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C11FC" w14:textId="0E32B623" w:rsidR="003251AD" w:rsidRPr="00150667" w:rsidRDefault="0020353A" w:rsidP="000039FC">
      <w:pPr>
        <w:spacing w:line="240" w:lineRule="auto"/>
        <w:contextualSpacing/>
        <w:jc w:val="both"/>
        <w:rPr>
          <w:rFonts w:ascii="Segoe UI" w:hAnsi="Segoe UI" w:cs="Segoe UI"/>
          <w:sz w:val="44"/>
          <w:szCs w:val="28"/>
        </w:rPr>
      </w:pPr>
      <w:r w:rsidRPr="008F35B2">
        <w:rPr>
          <w:rFonts w:ascii="Segoe UI" w:hAnsi="Segoe UI" w:cs="Segoe UI"/>
          <w:noProof/>
        </w:rPr>
        <mc:AlternateContent>
          <mc:Choice Requires="wps">
            <w:drawing>
              <wp:anchor distT="0" distB="0" distL="114300" distR="114300" simplePos="0" relativeHeight="251657215" behindDoc="0" locked="0" layoutInCell="1" allowOverlap="1" wp14:anchorId="71112931" wp14:editId="49700B1D">
                <wp:simplePos x="0" y="0"/>
                <wp:positionH relativeFrom="column">
                  <wp:posOffset>-532130</wp:posOffset>
                </wp:positionH>
                <wp:positionV relativeFrom="paragraph">
                  <wp:posOffset>934085</wp:posOffset>
                </wp:positionV>
                <wp:extent cx="6800850" cy="5397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5397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2E63D749" w:rsidR="00490B3C" w:rsidRPr="00713620" w:rsidRDefault="00490B3C" w:rsidP="00490B3C">
                            <w:pPr>
                              <w:tabs>
                                <w:tab w:val="left" w:pos="3969"/>
                              </w:tabs>
                              <w:spacing w:after="0"/>
                              <w:ind w:left="57"/>
                              <w:rPr>
                                <w:rFonts w:ascii="Segoe UI" w:hAnsi="Segoe UI" w:cs="Segoe UI"/>
                                <w:bCs/>
                                <w:color w:val="000091" w:themeColor="text1"/>
                                <w:sz w:val="16"/>
                                <w:szCs w:val="16"/>
                                <w:lang w:eastAsia="ja-JP"/>
                              </w:rPr>
                            </w:pPr>
                            <w:r w:rsidRPr="00713620">
                              <w:rPr>
                                <w:rFonts w:ascii="Segoe UI" w:hAnsi="Segoe UI" w:cs="Segoe UI"/>
                                <w:bCs/>
                                <w:color w:val="000091" w:themeColor="text1"/>
                                <w:sz w:val="16"/>
                                <w:szCs w:val="16"/>
                                <w:lang w:eastAsia="ja-JP"/>
                              </w:rPr>
                              <w:t xml:space="preserve">Ambassade de </w:t>
                            </w:r>
                            <w:r w:rsidR="00546356" w:rsidRPr="00713620">
                              <w:rPr>
                                <w:rFonts w:ascii="Segoe UI" w:hAnsi="Segoe UI" w:cs="Segoe UI"/>
                                <w:bCs/>
                                <w:color w:val="000091" w:themeColor="text1"/>
                                <w:sz w:val="16"/>
                                <w:szCs w:val="16"/>
                                <w:lang w:eastAsia="ja-JP"/>
                              </w:rPr>
                              <w:t>France en Inde</w:t>
                            </w:r>
                          </w:p>
                          <w:p w14:paraId="0598E9AE" w14:textId="77777777" w:rsidR="00713620" w:rsidRPr="00282876" w:rsidRDefault="00490B3C" w:rsidP="00490B3C">
                            <w:pPr>
                              <w:spacing w:after="0"/>
                              <w:ind w:left="57" w:right="614"/>
                              <w:jc w:val="both"/>
                              <w:rPr>
                                <w:rFonts w:ascii="Segoe UI" w:hAnsi="Segoe UI" w:cs="Segoe UI"/>
                                <w:bCs/>
                                <w:color w:val="000091" w:themeColor="text1"/>
                                <w:sz w:val="16"/>
                                <w:szCs w:val="16"/>
                                <w:lang w:eastAsia="ja-JP"/>
                              </w:rPr>
                            </w:pPr>
                            <w:r w:rsidRPr="00282876">
                              <w:rPr>
                                <w:rFonts w:ascii="Segoe UI" w:hAnsi="Segoe UI" w:cs="Segoe UI"/>
                                <w:bCs/>
                                <w:color w:val="000091" w:themeColor="text1"/>
                                <w:sz w:val="16"/>
                                <w:szCs w:val="16"/>
                                <w:lang w:eastAsia="ja-JP"/>
                              </w:rPr>
                              <w:t xml:space="preserve">Service économique </w:t>
                            </w:r>
                            <w:r w:rsidR="00546356" w:rsidRPr="00282876">
                              <w:rPr>
                                <w:rFonts w:ascii="Segoe UI" w:hAnsi="Segoe UI" w:cs="Segoe UI"/>
                                <w:bCs/>
                                <w:color w:val="000091" w:themeColor="text1"/>
                                <w:sz w:val="16"/>
                                <w:szCs w:val="16"/>
                                <w:lang w:eastAsia="ja-JP"/>
                              </w:rPr>
                              <w:t>Régional de New Delhi</w:t>
                            </w:r>
                          </w:p>
                          <w:p w14:paraId="123D8D7E" w14:textId="5505DE72" w:rsidR="0020353A" w:rsidRPr="00713620" w:rsidRDefault="00713620" w:rsidP="00490B3C">
                            <w:pPr>
                              <w:spacing w:after="0"/>
                              <w:ind w:left="57" w:right="614"/>
                              <w:jc w:val="both"/>
                              <w:rPr>
                                <w:rFonts w:ascii="Segoe UI" w:hAnsi="Segoe UI" w:cs="Segoe UI"/>
                                <w:bCs/>
                                <w:color w:val="000091" w:themeColor="text1"/>
                                <w:sz w:val="16"/>
                                <w:szCs w:val="16"/>
                                <w:lang w:eastAsia="ja-JP"/>
                              </w:rPr>
                            </w:pPr>
                            <w:r w:rsidRPr="00242DD0">
                              <w:rPr>
                                <w:rFonts w:ascii="Segoe UI" w:hAnsi="Segoe UI" w:cs="Segoe UI"/>
                                <w:bCs/>
                                <w:color w:val="000091" w:themeColor="text1"/>
                                <w:sz w:val="16"/>
                                <w:szCs w:val="16"/>
                                <w:lang w:eastAsia="ja-JP"/>
                              </w:rPr>
                              <w:t>25-</w:t>
                            </w:r>
                            <w:r w:rsidR="00242DD0">
                              <w:rPr>
                                <w:rFonts w:ascii="Segoe UI" w:hAnsi="Segoe UI" w:cs="Segoe UI"/>
                                <w:bCs/>
                                <w:color w:val="000091" w:themeColor="text1"/>
                                <w:sz w:val="16"/>
                                <w:szCs w:val="16"/>
                                <w:lang w:eastAsia="ja-JP"/>
                              </w:rPr>
                              <w:t>116</w:t>
                            </w:r>
                          </w:p>
                          <w:p w14:paraId="69170377" w14:textId="7F52A4F8" w:rsidR="0020353A" w:rsidRDefault="0020353A" w:rsidP="00490B3C">
                            <w:pPr>
                              <w:spacing w:after="0"/>
                              <w:ind w:left="57" w:right="614"/>
                              <w:jc w:val="both"/>
                              <w:rPr>
                                <w:rFonts w:ascii="Arial" w:hAnsi="Arial" w:cs="Arial"/>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6" style="position:absolute;left:0;text-align:left;margin-left:-41.9pt;margin-top:73.55pt;width:535.5pt;height:42.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dPqgIAAM4FAAAOAAAAZHJzL2Uyb0RvYy54bWysVE1v2zAMvQ/YfxB0X+1kST+COkXQosOA&#10;ri3aDj0rspQYkERNUmJnv36U5Lhp1+0wLAeFoshH8pnk+UWnFdkK5xswFR0dlZQIw6FuzKqi35+u&#10;P51S4gMzNVNgREV3wtOL+ccP562diTGsQdXCEQQxftbaiq5DsLOi8HwtNPNHYIXBRwlOs4BXtypq&#10;x1pE16oYl+Vx0YKrrQMuvEftVX6k84QvpeDhTkovAlEVxdxCOl06l/Es5udstnLMrhvep8H+IQvN&#10;GoNBB6grFhjZuOY3KN1wBx5kOOKgC5Cy4SLVgNWMyjfVPK6ZFakWJMfbgSb//2D57fbekaau6JgS&#10;wzR+ogckjZmVEmQc6Wmtn6HVo713/c2jGGvtpNPxH6sgXaJ0N1AqukA4Ko9Py/J0isxzfJt+PjtB&#10;GWGKF2/rfPgiQJMoVNRh9MQk2974kE33JjGYB9XU141S6RLbRFwqR7YMPzDjXJgwTu5qo79BnfWT&#10;En/5U6MaGyKrj/dqzCY1XERKub0KokwMZSAGzflETRF5yUwkKeyUiHbKPAiJhGLtOZEB+TDHUcrR&#10;r1ktsnr6x1wSYESWGH/A7gHeq3/UE9zbR1eRJmFwLnP0vzkPHikymDA468aAew9AhSFytt+TlKmJ&#10;LIVu2fVNtIR6h53nII+kt/y6wQa4YT7cM4cziD2DeyXc4SEVtBWFXqJkDe7ne/poj6OBr5S0ONMV&#10;9T82zAlK1FeDQ3M2mkziEkiXyfRkjBd3+LI8fDEbfQnYVSPcYJYnMdoHtRelA/2M62cRo+ITMxxj&#10;V5QHt79chrxrcIFxsVgkMxx8y8KNebQ8gkeCY4M/dc/M2X4KAs7PLeznn83eDEO2jZ4GFpsAskmT&#10;EinOvPbU49JI/dwvuLiVDu/J6mUNz38BAAD//wMAUEsDBBQABgAIAAAAIQDee6vq5AAAAAsBAAAP&#10;AAAAZHJzL2Rvd25yZXYueG1sTI9BT8JAFITvJv6HzTPxYmDbolBrt4SoqAlwAL14e3SfbbX7tuku&#10;UP+960mPk5nMfJPPB9OKI/WusawgHkcgiEurG64UvL0uRykI55E1tpZJwTc5mBfnZzlm2p54S8ed&#10;r0QoYZehgtr7LpPSlTUZdGPbEQfvw/YGfZB9JXWPp1BuWplE0VQabDgs1NjRfU3l1+5gFHTb9+ny&#10;qlusbvDpcZ1uzOfq5flBqcuLYXEHwtPg/8Lwix/QoQhMe3tg7USrYJROAroPxvUsBhESt+ksAbFX&#10;kEySGGSRy/8fih8AAAD//wMAUEsBAi0AFAAGAAgAAAAhALaDOJL+AAAA4QEAABMAAAAAAAAAAAAA&#10;AAAAAAAAAFtDb250ZW50X1R5cGVzXS54bWxQSwECLQAUAAYACAAAACEAOP0h/9YAAACUAQAACwAA&#10;AAAAAAAAAAAAAAAvAQAAX3JlbHMvLnJlbHNQSwECLQAUAAYACAAAACEASbLHT6oCAADOBQAADgAA&#10;AAAAAAAAAAAAAAAuAgAAZHJzL2Uyb0RvYy54bWxQSwECLQAUAAYACAAAACEA3nur6uQAAAALAQAA&#10;DwAAAAAAAAAAAAAAAAAEBQAAZHJzL2Rvd25yZXYueG1sUEsFBgAAAAAEAAQA8wAAABUGAAAAAA==&#10;" fillcolor="#fde8b0 [1301]" stroked="f" strokeweight="1pt">
                <v:textbox>
                  <w:txbxContent>
                    <w:p w14:paraId="7465B737" w14:textId="2E63D749" w:rsidR="00490B3C" w:rsidRPr="00713620" w:rsidRDefault="00490B3C" w:rsidP="00490B3C">
                      <w:pPr>
                        <w:tabs>
                          <w:tab w:val="left" w:pos="3969"/>
                        </w:tabs>
                        <w:spacing w:after="0"/>
                        <w:ind w:left="57"/>
                        <w:rPr>
                          <w:rFonts w:ascii="Segoe UI" w:hAnsi="Segoe UI" w:cs="Segoe UI"/>
                          <w:bCs/>
                          <w:color w:val="000091" w:themeColor="text1"/>
                          <w:sz w:val="16"/>
                          <w:szCs w:val="16"/>
                          <w:lang w:eastAsia="ja-JP"/>
                        </w:rPr>
                      </w:pPr>
                      <w:r w:rsidRPr="00713620">
                        <w:rPr>
                          <w:rFonts w:ascii="Segoe UI" w:hAnsi="Segoe UI" w:cs="Segoe UI"/>
                          <w:bCs/>
                          <w:color w:val="000091" w:themeColor="text1"/>
                          <w:sz w:val="16"/>
                          <w:szCs w:val="16"/>
                          <w:lang w:eastAsia="ja-JP"/>
                        </w:rPr>
                        <w:t xml:space="preserve">Ambassade de </w:t>
                      </w:r>
                      <w:r w:rsidR="00546356" w:rsidRPr="00713620">
                        <w:rPr>
                          <w:rFonts w:ascii="Segoe UI" w:hAnsi="Segoe UI" w:cs="Segoe UI"/>
                          <w:bCs/>
                          <w:color w:val="000091" w:themeColor="text1"/>
                          <w:sz w:val="16"/>
                          <w:szCs w:val="16"/>
                          <w:lang w:eastAsia="ja-JP"/>
                        </w:rPr>
                        <w:t>France en Inde</w:t>
                      </w:r>
                    </w:p>
                    <w:p w14:paraId="0598E9AE" w14:textId="77777777" w:rsidR="00713620" w:rsidRPr="00282876" w:rsidRDefault="00490B3C" w:rsidP="00490B3C">
                      <w:pPr>
                        <w:spacing w:after="0"/>
                        <w:ind w:left="57" w:right="614"/>
                        <w:jc w:val="both"/>
                        <w:rPr>
                          <w:rFonts w:ascii="Segoe UI" w:hAnsi="Segoe UI" w:cs="Segoe UI"/>
                          <w:bCs/>
                          <w:color w:val="000091" w:themeColor="text1"/>
                          <w:sz w:val="16"/>
                          <w:szCs w:val="16"/>
                          <w:lang w:eastAsia="ja-JP"/>
                        </w:rPr>
                      </w:pPr>
                      <w:r w:rsidRPr="00282876">
                        <w:rPr>
                          <w:rFonts w:ascii="Segoe UI" w:hAnsi="Segoe UI" w:cs="Segoe UI"/>
                          <w:bCs/>
                          <w:color w:val="000091" w:themeColor="text1"/>
                          <w:sz w:val="16"/>
                          <w:szCs w:val="16"/>
                          <w:lang w:eastAsia="ja-JP"/>
                        </w:rPr>
                        <w:t xml:space="preserve">Service économique </w:t>
                      </w:r>
                      <w:r w:rsidR="00546356" w:rsidRPr="00282876">
                        <w:rPr>
                          <w:rFonts w:ascii="Segoe UI" w:hAnsi="Segoe UI" w:cs="Segoe UI"/>
                          <w:bCs/>
                          <w:color w:val="000091" w:themeColor="text1"/>
                          <w:sz w:val="16"/>
                          <w:szCs w:val="16"/>
                          <w:lang w:eastAsia="ja-JP"/>
                        </w:rPr>
                        <w:t>Régional de New Delhi</w:t>
                      </w:r>
                    </w:p>
                    <w:p w14:paraId="123D8D7E" w14:textId="5505DE72" w:rsidR="0020353A" w:rsidRPr="00713620" w:rsidRDefault="00713620" w:rsidP="00490B3C">
                      <w:pPr>
                        <w:spacing w:after="0"/>
                        <w:ind w:left="57" w:right="614"/>
                        <w:jc w:val="both"/>
                        <w:rPr>
                          <w:rFonts w:ascii="Segoe UI" w:hAnsi="Segoe UI" w:cs="Segoe UI"/>
                          <w:bCs/>
                          <w:color w:val="000091" w:themeColor="text1"/>
                          <w:sz w:val="16"/>
                          <w:szCs w:val="16"/>
                          <w:lang w:eastAsia="ja-JP"/>
                        </w:rPr>
                      </w:pPr>
                      <w:r w:rsidRPr="00242DD0">
                        <w:rPr>
                          <w:rFonts w:ascii="Segoe UI" w:hAnsi="Segoe UI" w:cs="Segoe UI"/>
                          <w:bCs/>
                          <w:color w:val="000091" w:themeColor="text1"/>
                          <w:sz w:val="16"/>
                          <w:szCs w:val="16"/>
                          <w:lang w:eastAsia="ja-JP"/>
                        </w:rPr>
                        <w:t>25-</w:t>
                      </w:r>
                      <w:r w:rsidR="00242DD0">
                        <w:rPr>
                          <w:rFonts w:ascii="Segoe UI" w:hAnsi="Segoe UI" w:cs="Segoe UI"/>
                          <w:bCs/>
                          <w:color w:val="000091" w:themeColor="text1"/>
                          <w:sz w:val="16"/>
                          <w:szCs w:val="16"/>
                          <w:lang w:eastAsia="ja-JP"/>
                        </w:rPr>
                        <w:t>116</w:t>
                      </w:r>
                    </w:p>
                    <w:p w14:paraId="69170377" w14:textId="7F52A4F8" w:rsidR="0020353A" w:rsidRDefault="0020353A" w:rsidP="00490B3C">
                      <w:pPr>
                        <w:spacing w:after="0"/>
                        <w:ind w:left="57" w:right="614"/>
                        <w:jc w:val="both"/>
                        <w:rPr>
                          <w:rFonts w:ascii="Arial" w:hAnsi="Arial" w:cs="Arial"/>
                          <w:bCs/>
                        </w:rPr>
                      </w:pPr>
                    </w:p>
                  </w:txbxContent>
                </v:textbox>
                <w10:wrap type="topAndBottom"/>
              </v:rect>
            </w:pict>
          </mc:Fallback>
        </mc:AlternateContent>
      </w:r>
      <w:r w:rsidR="00546356" w:rsidRPr="008F35B2">
        <w:rPr>
          <w:rFonts w:ascii="Segoe UI" w:hAnsi="Segoe UI" w:cs="Segoe UI"/>
          <w:noProof/>
        </w:rPr>
        <mc:AlternateContent>
          <mc:Choice Requires="wps">
            <w:drawing>
              <wp:anchor distT="0" distB="0" distL="114300" distR="114300" simplePos="0" relativeHeight="251659264" behindDoc="0" locked="0" layoutInCell="1" allowOverlap="1" wp14:anchorId="585DE714" wp14:editId="717672EF">
                <wp:simplePos x="0" y="0"/>
                <wp:positionH relativeFrom="margin">
                  <wp:posOffset>3761105</wp:posOffset>
                </wp:positionH>
                <wp:positionV relativeFrom="paragraph">
                  <wp:posOffset>912495</wp:posOffset>
                </wp:positionV>
                <wp:extent cx="2508250" cy="53340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2508250" cy="533400"/>
                        </a:xfrm>
                        <a:prstGeom prst="rect">
                          <a:avLst/>
                        </a:prstGeom>
                        <a:noFill/>
                        <a:ln w="6350">
                          <a:noFill/>
                        </a:ln>
                      </wps:spPr>
                      <wps:txbx>
                        <w:txbxContent>
                          <w:p w14:paraId="07E31681" w14:textId="7E153F4F" w:rsidR="00490B3C" w:rsidRDefault="00490B3C" w:rsidP="003959DE">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9D5D21">
                              <w:rPr>
                                <w:rFonts w:ascii="Segoe UI" w:hAnsi="Segoe UI" w:cs="Segoe UI"/>
                                <w:color w:val="000091" w:themeColor="text1"/>
                                <w:sz w:val="17"/>
                                <w:szCs w:val="17"/>
                                <w:lang w:eastAsia="ja-JP"/>
                              </w:rPr>
                              <w:t>E. Pons et D. Brahimi</w:t>
                            </w:r>
                            <w:r w:rsidR="00137081">
                              <w:rPr>
                                <w:rFonts w:ascii="Segoe UI" w:hAnsi="Segoe UI" w:cs="Segoe UI"/>
                                <w:color w:val="000091" w:themeColor="text1"/>
                                <w:sz w:val="17"/>
                                <w:szCs w:val="17"/>
                                <w:lang w:eastAsia="ja-JP"/>
                              </w:rPr>
                              <w:t xml:space="preserve"> </w:t>
                            </w:r>
                          </w:p>
                          <w:p w14:paraId="001E787F" w14:textId="2217586B" w:rsidR="00137081" w:rsidRPr="00A7004D" w:rsidRDefault="00137081" w:rsidP="003959DE">
                            <w:pPr>
                              <w:tabs>
                                <w:tab w:val="left" w:pos="3969"/>
                              </w:tabs>
                              <w:spacing w:after="0"/>
                              <w:jc w:val="right"/>
                              <w:rPr>
                                <w:rFonts w:ascii="Segoe UI" w:hAnsi="Segoe UI" w:cs="Segoe UI"/>
                                <w:color w:val="000091" w:themeColor="text1"/>
                                <w:sz w:val="17"/>
                                <w:szCs w:val="17"/>
                                <w:lang w:eastAsia="ja-JP"/>
                              </w:rPr>
                            </w:pPr>
                            <w:r w:rsidRPr="00AE249D">
                              <w:rPr>
                                <w:rFonts w:ascii="Segoe UI" w:hAnsi="Segoe UI" w:cs="Segoe UI"/>
                                <w:color w:val="000091" w:themeColor="text1"/>
                                <w:sz w:val="17"/>
                                <w:szCs w:val="17"/>
                                <w:lang w:eastAsia="ja-JP"/>
                              </w:rPr>
                              <w:t xml:space="preserve">Revue </w:t>
                            </w:r>
                            <w:r w:rsidR="00AE249D">
                              <w:rPr>
                                <w:rFonts w:ascii="Segoe UI" w:hAnsi="Segoe UI" w:cs="Segoe UI"/>
                                <w:color w:val="000091" w:themeColor="text1"/>
                                <w:sz w:val="17"/>
                                <w:szCs w:val="17"/>
                                <w:lang w:eastAsia="ja-JP"/>
                              </w:rPr>
                              <w:t>Erwan Andaloussi</w:t>
                            </w:r>
                            <w:r>
                              <w:rPr>
                                <w:rFonts w:ascii="Segoe UI" w:hAnsi="Segoe UI" w:cs="Segoe UI"/>
                                <w:color w:val="000091" w:themeColor="text1"/>
                                <w:sz w:val="17"/>
                                <w:szCs w:val="17"/>
                                <w:lang w:eastAsia="ja-JP"/>
                              </w:rPr>
                              <w:t xml:space="preserve"> </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left:0;text-align:left;margin-left:296.15pt;margin-top:71.85pt;width:197.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3TRNAIAAF0EAAAOAAAAZHJzL2Uyb0RvYy54bWysVE1v2zAMvQ/YfxB0X+x8dV0Qp8haZBhQ&#10;tAXSocBuiizHBmxRk5TY2a/fk5ykWbfTsEMUSqQo8r1Hz2+6pmZ7ZV1FOuPDQcqZ0pLySm8z/u15&#10;9eGaM+eFzkVNWmX8oBy/Wbx/N2/NTI2opDpXliGJdrPWZLz03sySxMlSNcINyCgNZ0G2ER5bu01y&#10;K1pkb+pklKZXSUs2N5akcg6nd72TL2L+olDSPxaFU57VGUdtPq42rpuwJou5mG2tMGUlj2WIf6ii&#10;EZXGo+dUd8ILtrPVH6maSlpyVPiBpCahoqikij2gm2H6ppt1KYyKvQAcZ84wuf+XVj7snyyr8oyP&#10;OdOiAUXfQRTLFfOq84qNA0StcTNErg1iffeZOlB9Onc4DJ13hW3CP3pi8APswxlgZGISh6Npeo0f&#10;ZxK+6Xg8SSMDyettY53/oqhhwci4BYERV7G/dx6VIPQUEh7TtKrqOpJYa9Zm/GqM9L95cKPWuBh6&#10;6GsNlu82XWz73MeG8gPas9RrxBm5qlDDvXD+SViIAmVD6P4RS1ET3qKjxVlJ9uffzkM8uIKXsxYi&#10;y7j7sRNWcVZ/1WDx03AyCaqMm8n04wgbe+nZXHr0rrkl6HiIkTIymiHe1yezsNS8YB6W4VW4hJZ4&#10;O+P+ZN76XvqYJ6mWyxgEHRrh7/XayJA6YBcQfu5ehDVHGoIUHugkRzF7w0Yf26O+3HkqqkhVwLlH&#10;9Qg/NBwZPM5bGJLLfYx6/SosfgEAAP//AwBQSwMEFAAGAAgAAAAhAMOQzwLiAAAACwEAAA8AAABk&#10;cnMvZG93bnJldi54bWxMj8tOwzAQRfdI/IM1SOyog0tJGuJUVaQKCdFFSzfsnHiaRPgRYrcNfD3D&#10;CpYz9+jOmWI1WcPOOIbeOwn3swQYusbr3rUSDm+buwxYiMppZbxDCV8YYFVeXxUq1/7idnjex5ZR&#10;iQu5ktDFOOSch6ZDq8LMD+goO/rRqkjj2HI9qguVW8NFkjxyq3pHFzo1YNVh87E/WQkv1WardrWw&#10;2bepnl+P6+Hz8L6Q8vZmWj8BizjFPxh+9UkdSnKq/cnpwIyExVLMCaXgYZ4CI2KZpbSpJQiRpsDL&#10;gv//ofwBAAD//wMAUEsBAi0AFAAGAAgAAAAhALaDOJL+AAAA4QEAABMAAAAAAAAAAAAAAAAAAAAA&#10;AFtDb250ZW50X1R5cGVzXS54bWxQSwECLQAUAAYACAAAACEAOP0h/9YAAACUAQAACwAAAAAAAAAA&#10;AAAAAAAvAQAAX3JlbHMvLnJlbHNQSwECLQAUAAYACAAAACEAym900TQCAABdBAAADgAAAAAAAAAA&#10;AAAAAAAuAgAAZHJzL2Uyb0RvYy54bWxQSwECLQAUAAYACAAAACEAw5DPAuIAAAALAQAADwAAAAAA&#10;AAAAAAAAAACOBAAAZHJzL2Rvd25yZXYueG1sUEsFBgAAAAAEAAQA8wAAAJ0FAAAAAA==&#10;" filled="f" stroked="f" strokeweight=".5pt">
                <v:textbox>
                  <w:txbxContent>
                    <w:p w14:paraId="07E31681" w14:textId="7E153F4F" w:rsidR="00490B3C" w:rsidRDefault="00490B3C" w:rsidP="003959DE">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9D5D21">
                        <w:rPr>
                          <w:rFonts w:ascii="Segoe UI" w:hAnsi="Segoe UI" w:cs="Segoe UI"/>
                          <w:color w:val="000091" w:themeColor="text1"/>
                          <w:sz w:val="17"/>
                          <w:szCs w:val="17"/>
                          <w:lang w:eastAsia="ja-JP"/>
                        </w:rPr>
                        <w:t>E. Pons et D. Brahimi</w:t>
                      </w:r>
                      <w:r w:rsidR="00137081">
                        <w:rPr>
                          <w:rFonts w:ascii="Segoe UI" w:hAnsi="Segoe UI" w:cs="Segoe UI"/>
                          <w:color w:val="000091" w:themeColor="text1"/>
                          <w:sz w:val="17"/>
                          <w:szCs w:val="17"/>
                          <w:lang w:eastAsia="ja-JP"/>
                        </w:rPr>
                        <w:t xml:space="preserve"> </w:t>
                      </w:r>
                    </w:p>
                    <w:p w14:paraId="001E787F" w14:textId="2217586B" w:rsidR="00137081" w:rsidRPr="00A7004D" w:rsidRDefault="00137081" w:rsidP="003959DE">
                      <w:pPr>
                        <w:tabs>
                          <w:tab w:val="left" w:pos="3969"/>
                        </w:tabs>
                        <w:spacing w:after="0"/>
                        <w:jc w:val="right"/>
                        <w:rPr>
                          <w:rFonts w:ascii="Segoe UI" w:hAnsi="Segoe UI" w:cs="Segoe UI"/>
                          <w:color w:val="000091" w:themeColor="text1"/>
                          <w:sz w:val="17"/>
                          <w:szCs w:val="17"/>
                          <w:lang w:eastAsia="ja-JP"/>
                        </w:rPr>
                      </w:pPr>
                      <w:r w:rsidRPr="00AE249D">
                        <w:rPr>
                          <w:rFonts w:ascii="Segoe UI" w:hAnsi="Segoe UI" w:cs="Segoe UI"/>
                          <w:color w:val="000091" w:themeColor="text1"/>
                          <w:sz w:val="17"/>
                          <w:szCs w:val="17"/>
                          <w:lang w:eastAsia="ja-JP"/>
                        </w:rPr>
                        <w:t xml:space="preserve">Revue </w:t>
                      </w:r>
                      <w:r w:rsidR="00AE249D">
                        <w:rPr>
                          <w:rFonts w:ascii="Segoe UI" w:hAnsi="Segoe UI" w:cs="Segoe UI"/>
                          <w:color w:val="000091" w:themeColor="text1"/>
                          <w:sz w:val="17"/>
                          <w:szCs w:val="17"/>
                          <w:lang w:eastAsia="ja-JP"/>
                        </w:rPr>
                        <w:t>Erwan Andaloussi</w:t>
                      </w:r>
                      <w:r>
                        <w:rPr>
                          <w:rFonts w:ascii="Segoe UI" w:hAnsi="Segoe UI" w:cs="Segoe UI"/>
                          <w:color w:val="000091" w:themeColor="text1"/>
                          <w:sz w:val="17"/>
                          <w:szCs w:val="17"/>
                          <w:lang w:eastAsia="ja-JP"/>
                        </w:rPr>
                        <w:t xml:space="preserve"> </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type="square" anchorx="margin"/>
              </v:shape>
            </w:pict>
          </mc:Fallback>
        </mc:AlternateContent>
      </w:r>
      <w:r w:rsidR="00FD7798" w:rsidRPr="008F35B2">
        <w:rPr>
          <w:rFonts w:ascii="Segoe UI" w:hAnsi="Segoe UI" w:cs="Segoe UI"/>
          <w:noProof/>
        </w:rPr>
        <mc:AlternateContent>
          <mc:Choice Requires="wps">
            <w:drawing>
              <wp:anchor distT="0" distB="0" distL="114300" distR="114300" simplePos="0" relativeHeight="251656190" behindDoc="0" locked="0" layoutInCell="1" allowOverlap="1" wp14:anchorId="16D250F6" wp14:editId="57D28F80">
                <wp:simplePos x="0" y="0"/>
                <wp:positionH relativeFrom="column">
                  <wp:posOffset>-529547</wp:posOffset>
                </wp:positionH>
                <wp:positionV relativeFrom="paragraph">
                  <wp:posOffset>1406634</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4F8C0CFF" w:rsidR="00532CE3" w:rsidRDefault="00FD3F54" w:rsidP="00532CE3">
                            <w:pPr>
                              <w:jc w:val="center"/>
                            </w:pPr>
                            <w:r>
                              <w:rPr>
                                <w:rFonts w:ascii="Segoe UI" w:hAnsi="Segoe UI" w:cs="Segoe UI"/>
                                <w:b/>
                                <w:bCs/>
                                <w:color w:val="000091" w:themeColor="text1"/>
                                <w:sz w:val="32"/>
                                <w:szCs w:val="20"/>
                              </w:rPr>
                              <w:t>INDE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8" style="position:absolute;left:0;text-align:left;margin-left:-41.7pt;margin-top:110.7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onoAIAAJcFAAAOAAAAZHJzL2Uyb0RvYy54bWysVE1v2zAMvQ/YfxB0X+2kadYGdYogRYYB&#10;RVu0HXpWZCk2IIuapMTOfv0oyXY/VuwwLAeHFB8fRYrk5VXXKHIQ1tWgCzo5ySkRmkNZ611Bfzxt&#10;vpxT4jzTJVOgRUGPwtGr5edPl61ZiClUoEphCZJot2hNQSvvzSLLHK9Ew9wJGKHRKME2zKNqd1lp&#10;WYvsjcqmeT7PWrClscCFc3h6nYx0GfmlFNzfSemEJ6qgeDcfvzZ+t+GbLS/ZYmeZqWreX4P9wy0a&#10;VmsMOlJdM8/I3tZ/UDU1t+BA+hMOTQZS1lzEHDCbSf4um8eKGRFzweI4M5bJ/T9afnu4t6QuCzqj&#10;RLMGn+gBi8b0TgkyC+VpjVsg6tHc215zKIZcO2mb8I9ZkC6W9DiWVHSecDycn+f5+RlWnqPtdD65&#10;QBlpshdvY53/JqAhQSioxeixkuxw43yCDpAQzIGqy02tVFTsbrtWlhwYPu9mvZ6frnr2NzClA1hD&#10;cEuM4SQLmaVcouSPSgSc0g9CYknw9tN4k9iMYozDOBfaT5KpYqVI4c9y/A3RQ/sGj5hpJAzMEuOP&#10;3D3BgEwkA3e6ZY8PriL28uic/+1iyXn0iJFB+9G5qTXYjwgUZtVHTvihSKk0oUq+23axXaYBGU62&#10;UB6xhSyk2XKGb2p8yRvm/D2zOEz4+Lgg/B1+pIK2oNBLlFRgf310HvDY42ilpMXhLKj7uWdWUKK+&#10;a+z+i8lsFqY5KrOzr1NU7GvL9rVF75s1YINMcBUZHsWA92oQpYXmGffIKkRFE9McYxeUezsoa5+W&#10;Bm4iLlarCMMJNszf6EfDA3moc+jUp+6ZWdO3s8dBuIVhkNniXVcnbPDUsNp7kHVs+Ze69i+A0x9b&#10;qd9UYb281iPqZZ8ufwMAAP//AwBQSwMEFAAGAAgAAAAhAM6FThXjAAAACwEAAA8AAABkcnMvZG93&#10;bnJldi54bWxMj8tOwzAQRfdI/IM1SGxQ6zSQ1oQ4VYWUDZV4FBYsnXiIo8bjKHab8PeYFSxn5ujO&#10;ucV2tj074+g7RxJWywQYUuN0R62Ej/dqIYD5oEir3hFK+EYP2/LyolC5dhO94fkQWhZDyOdKgglh&#10;yDn3jUGr/NINSPH25UarQhzHlutRTTHc9jxNkjW3qqP4wagBHw02x8PJSvg8mv3NJKruyb/4fSWe&#10;X0Od7aS8vpp3D8ACzuEPhl/9qA5ldKrdibRnvYSFuL2LqIQ0XWXAInEvNmtgddxsRAa8LPj/DuUP&#10;AAAA//8DAFBLAQItABQABgAIAAAAIQC2gziS/gAAAOEBAAATAAAAAAAAAAAAAAAAAAAAAABbQ29u&#10;dGVudF9UeXBlc10ueG1sUEsBAi0AFAAGAAgAAAAhADj9If/WAAAAlAEAAAsAAAAAAAAAAAAAAAAA&#10;LwEAAF9yZWxzLy5yZWxzUEsBAi0AFAAGAAgAAAAhAM3dyiegAgAAlwUAAA4AAAAAAAAAAAAAAAAA&#10;LgIAAGRycy9lMm9Eb2MueG1sUEsBAi0AFAAGAAgAAAAhAM6FThXjAAAACwEAAA8AAAAAAAAAAAAA&#10;AAAA+gQAAGRycy9kb3ducmV2LnhtbFBLBQYAAAAABAAEAPMAAAAKBgAAAAA=&#10;" fillcolor="#fcc63a" stroked="f" strokeweight="1pt">
                <v:textbox>
                  <w:txbxContent>
                    <w:p w14:paraId="2ED3FE0E" w14:textId="4F8C0CFF" w:rsidR="00532CE3" w:rsidRDefault="00FD3F54" w:rsidP="00532CE3">
                      <w:pPr>
                        <w:jc w:val="center"/>
                      </w:pPr>
                      <w:r>
                        <w:rPr>
                          <w:rFonts w:ascii="Segoe UI" w:hAnsi="Segoe UI" w:cs="Segoe UI"/>
                          <w:b/>
                          <w:bCs/>
                          <w:color w:val="000091" w:themeColor="text1"/>
                          <w:sz w:val="32"/>
                          <w:szCs w:val="20"/>
                        </w:rPr>
                        <w:t>INDE</w:t>
                      </w:r>
                    </w:p>
                  </w:txbxContent>
                </v:textbox>
              </v:rect>
            </w:pict>
          </mc:Fallback>
        </mc:AlternateContent>
      </w:r>
      <w:r w:rsidR="00FD7798" w:rsidRPr="008F35B2">
        <w:rPr>
          <w:rFonts w:ascii="Segoe UI" w:hAnsi="Segoe UI" w:cs="Segoe UI"/>
          <w:noProof/>
        </w:rPr>
        <mc:AlternateContent>
          <mc:Choice Requires="wps">
            <w:drawing>
              <wp:anchor distT="45720" distB="45720" distL="114300" distR="114300" simplePos="0" relativeHeight="251661312" behindDoc="0" locked="0" layoutInCell="1" allowOverlap="1" wp14:anchorId="5987A5E4" wp14:editId="2B25A752">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3DAF8C65" w:rsidR="00490B3C" w:rsidRPr="00532CE3" w:rsidRDefault="00FD3F54"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New Delhi</w:t>
                            </w:r>
                            <w:r w:rsidR="00490B3C" w:rsidRPr="00532CE3">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le</w:t>
                            </w:r>
                            <w:r w:rsidR="00970BE4">
                              <w:rPr>
                                <w:rFonts w:ascii="Segoe UI" w:hAnsi="Segoe UI" w:cs="Segoe UI"/>
                                <w:color w:val="986E02" w:themeColor="accent2" w:themeShade="80"/>
                                <w:sz w:val="17"/>
                                <w:szCs w:val="17"/>
                                <w:lang w:eastAsia="ja-JP"/>
                              </w:rPr>
                              <w:t xml:space="preserve"> </w:t>
                            </w:r>
                            <w:r w:rsidR="00B41956">
                              <w:rPr>
                                <w:rFonts w:ascii="Segoe UI" w:hAnsi="Segoe UI" w:cs="Segoe UI"/>
                                <w:color w:val="986E02" w:themeColor="accent2" w:themeShade="80"/>
                                <w:sz w:val="17"/>
                                <w:szCs w:val="17"/>
                                <w:lang w:eastAsia="ja-JP"/>
                              </w:rPr>
                              <w:t>1</w:t>
                            </w:r>
                            <w:r w:rsidR="00B41956" w:rsidRPr="00B41956">
                              <w:rPr>
                                <w:rFonts w:ascii="Segoe UI" w:hAnsi="Segoe UI" w:cs="Segoe UI"/>
                                <w:color w:val="986E02" w:themeColor="accent2" w:themeShade="80"/>
                                <w:sz w:val="17"/>
                                <w:szCs w:val="17"/>
                                <w:vertAlign w:val="superscript"/>
                                <w:lang w:eastAsia="ja-JP"/>
                              </w:rPr>
                              <w:t>er</w:t>
                            </w:r>
                            <w:r w:rsidR="00B41956">
                              <w:rPr>
                                <w:rFonts w:ascii="Segoe UI" w:hAnsi="Segoe UI" w:cs="Segoe UI"/>
                                <w:color w:val="986E02" w:themeColor="accent2" w:themeShade="80"/>
                                <w:sz w:val="17"/>
                                <w:szCs w:val="17"/>
                                <w:lang w:eastAsia="ja-JP"/>
                              </w:rPr>
                              <w:t xml:space="preserve"> </w:t>
                            </w:r>
                            <w:r w:rsidR="00282876">
                              <w:rPr>
                                <w:rFonts w:ascii="Segoe UI" w:hAnsi="Segoe UI" w:cs="Segoe UI"/>
                                <w:color w:val="986E02" w:themeColor="accent2" w:themeShade="80"/>
                                <w:sz w:val="17"/>
                                <w:szCs w:val="17"/>
                                <w:lang w:eastAsia="ja-JP"/>
                              </w:rPr>
                              <w:t>septembre</w:t>
                            </w:r>
                            <w:r w:rsidR="00C50609">
                              <w:rPr>
                                <w:rFonts w:ascii="Segoe UI" w:hAnsi="Segoe UI" w:cs="Segoe UI"/>
                                <w:color w:val="986E02" w:themeColor="accent2" w:themeShade="80"/>
                                <w:sz w:val="17"/>
                                <w:szCs w:val="17"/>
                                <w:lang w:eastAsia="ja-JP"/>
                              </w:rPr>
                              <w:t xml:space="preserve"> 2025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9"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zEAIAAAAEAAAOAAAAZHJzL2Uyb0RvYy54bWysU01vGyEQvVfqf0Dc6/2I3SQr4yhNmqpS&#10;+iGlvfSGWdaLCgwF7F3n13dgbddKb1U5oBlmeMx7MyxvRqPJTvqgwDJazUpKpBXQKrth9Pu3hzdX&#10;lITIbcs1WMnoXgZ6s3r9ajm4RtbQg26lJwhiQzM4RvsYXVMUQfTS8DADJy0GO/CGR3T9pmg9HxDd&#10;6KIuy7fFAL51HoQMAU/vpyBdZfyukyJ+6bogI9GMYm0x7z7v67QXqyVvNp67XolDGfwfqjBcWXz0&#10;BHXPIydbr/6CMkp4CNDFmQBTQNcpITMHZFOVL9g89dzJzAXFCe4kU/h/sOLz7qsnqmW0ri4psdxg&#10;k35gq0grSZRjlKROIg0uNJj75DA7ju9gxGZnwsE9gvgZiIW7ntuNvPUehl7yFous0s3i7OqEExLI&#10;evgELb7FtxEy0Nh5kxRETQiiY7P2pwZhHUTgYb2o51W9oERg7AIdtNMTvDnedj7EDxIMSQajHgcg&#10;o/PdY4hT6jElPWbhQWmN57zRlgyMXi8Q8kXEqIgzqpVh9KpMa5qaRPK9bfPlyJWebKxF2wPrRHSi&#10;HMf1mFW+OIq5hnaPMniYRhK/EBo9+GdKBhxHRsOvLfeSEv3RopTX1Xye5jc788VljY4/j6zPI9wK&#10;hGI0UjKZdzHP/ETsFiXvVFYj9Waq5FAyjlnW8/Al0hyf+znrz8dd/QYAAP//AwBQSwMEFAAGAAgA&#10;AAAhABw59+TfAAAACwEAAA8AAABkcnMvZG93bnJldi54bWxMj01vwjAMhu+T+A+RkXYbzhhFtDRF&#10;iGnXTWMfErfQmLZa41RNoN2/XziNmy0/ev28+Wa0rbhQ7xvHCh5nEgRx6UzDlYLPj5eHFQgfNBvd&#10;OiYFv+RhU0zucp0ZN/A7XfahEjGEfaYV1CF0GaIva7Laz1xHHG8n11sd4tpXaHo9xHDb4lzKJVrd&#10;cPxQ6452NZU/+7NV8PV6Onwv5Fv1bJNucKNEtikqdT8dt2sQgcbwD8NVP6pDEZ2O7szGi1bBUiaL&#10;iCpIkycQV0DKeQriGKdErgCLHG87FH8AAAD//wMAUEsBAi0AFAAGAAgAAAAhALaDOJL+AAAA4QEA&#10;ABMAAAAAAAAAAAAAAAAAAAAAAFtDb250ZW50X1R5cGVzXS54bWxQSwECLQAUAAYACAAAACEAOP0h&#10;/9YAAACUAQAACwAAAAAAAAAAAAAAAAAvAQAAX3JlbHMvLnJlbHNQSwECLQAUAAYACAAAACEAeqAv&#10;8xACAAAABAAADgAAAAAAAAAAAAAAAAAuAgAAZHJzL2Uyb0RvYy54bWxQSwECLQAUAAYACAAAACEA&#10;HDn35N8AAAALAQAADwAAAAAAAAAAAAAAAABqBAAAZHJzL2Rvd25yZXYueG1sUEsFBgAAAAAEAAQA&#10;8wAAAHYFAAAAAA==&#10;" filled="f" stroked="f">
                <v:textbox>
                  <w:txbxContent>
                    <w:p w14:paraId="44111769" w14:textId="3DAF8C65" w:rsidR="00490B3C" w:rsidRPr="00532CE3" w:rsidRDefault="00FD3F54"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New Delhi</w:t>
                      </w:r>
                      <w:r w:rsidR="00490B3C" w:rsidRPr="00532CE3">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le</w:t>
                      </w:r>
                      <w:r w:rsidR="00970BE4">
                        <w:rPr>
                          <w:rFonts w:ascii="Segoe UI" w:hAnsi="Segoe UI" w:cs="Segoe UI"/>
                          <w:color w:val="986E02" w:themeColor="accent2" w:themeShade="80"/>
                          <w:sz w:val="17"/>
                          <w:szCs w:val="17"/>
                          <w:lang w:eastAsia="ja-JP"/>
                        </w:rPr>
                        <w:t xml:space="preserve"> </w:t>
                      </w:r>
                      <w:r w:rsidR="00B41956">
                        <w:rPr>
                          <w:rFonts w:ascii="Segoe UI" w:hAnsi="Segoe UI" w:cs="Segoe UI"/>
                          <w:color w:val="986E02" w:themeColor="accent2" w:themeShade="80"/>
                          <w:sz w:val="17"/>
                          <w:szCs w:val="17"/>
                          <w:lang w:eastAsia="ja-JP"/>
                        </w:rPr>
                        <w:t>1</w:t>
                      </w:r>
                      <w:r w:rsidR="00B41956" w:rsidRPr="00B41956">
                        <w:rPr>
                          <w:rFonts w:ascii="Segoe UI" w:hAnsi="Segoe UI" w:cs="Segoe UI"/>
                          <w:color w:val="986E02" w:themeColor="accent2" w:themeShade="80"/>
                          <w:sz w:val="17"/>
                          <w:szCs w:val="17"/>
                          <w:vertAlign w:val="superscript"/>
                          <w:lang w:eastAsia="ja-JP"/>
                        </w:rPr>
                        <w:t>er</w:t>
                      </w:r>
                      <w:r w:rsidR="00B41956">
                        <w:rPr>
                          <w:rFonts w:ascii="Segoe UI" w:hAnsi="Segoe UI" w:cs="Segoe UI"/>
                          <w:color w:val="986E02" w:themeColor="accent2" w:themeShade="80"/>
                          <w:sz w:val="17"/>
                          <w:szCs w:val="17"/>
                          <w:lang w:eastAsia="ja-JP"/>
                        </w:rPr>
                        <w:t xml:space="preserve"> </w:t>
                      </w:r>
                      <w:r w:rsidR="00282876">
                        <w:rPr>
                          <w:rFonts w:ascii="Segoe UI" w:hAnsi="Segoe UI" w:cs="Segoe UI"/>
                          <w:color w:val="986E02" w:themeColor="accent2" w:themeShade="80"/>
                          <w:sz w:val="17"/>
                          <w:szCs w:val="17"/>
                          <w:lang w:eastAsia="ja-JP"/>
                        </w:rPr>
                        <w:t>septembre</w:t>
                      </w:r>
                      <w:r w:rsidR="00C50609">
                        <w:rPr>
                          <w:rFonts w:ascii="Segoe UI" w:hAnsi="Segoe UI" w:cs="Segoe UI"/>
                          <w:color w:val="986E02" w:themeColor="accent2" w:themeShade="80"/>
                          <w:sz w:val="17"/>
                          <w:szCs w:val="17"/>
                          <w:lang w:eastAsia="ja-JP"/>
                        </w:rPr>
                        <w:t xml:space="preserve"> 2025</w:t>
                      </w:r>
                    </w:p>
                    <w:p w14:paraId="36A3B918" w14:textId="266F4991" w:rsidR="00490B3C" w:rsidRPr="00490B3C" w:rsidRDefault="00490B3C">
                      <w:pPr>
                        <w:rPr>
                          <w:sz w:val="28"/>
                          <w:szCs w:val="28"/>
                        </w:rPr>
                      </w:pPr>
                    </w:p>
                  </w:txbxContent>
                </v:textbox>
                <w10:wrap type="square" anchorx="margin"/>
              </v:shape>
            </w:pict>
          </mc:Fallback>
        </mc:AlternateContent>
      </w:r>
      <w:r w:rsidR="00FD7798" w:rsidRPr="008F35B2">
        <w:rPr>
          <w:rFonts w:ascii="Segoe UI" w:hAnsi="Segoe UI" w:cs="Segoe UI"/>
          <w:noProof/>
        </w:rPr>
        <w:drawing>
          <wp:anchor distT="0" distB="0" distL="114300" distR="114300" simplePos="0" relativeHeight="251658240" behindDoc="1" locked="0" layoutInCell="1" allowOverlap="1" wp14:anchorId="56177B8F" wp14:editId="009CA1BF">
            <wp:simplePos x="0" y="0"/>
            <wp:positionH relativeFrom="column">
              <wp:posOffset>-633095</wp:posOffset>
            </wp:positionH>
            <wp:positionV relativeFrom="page">
              <wp:posOffset>159905</wp:posOffset>
            </wp:positionV>
            <wp:extent cx="3124200" cy="1092835"/>
            <wp:effectExtent l="0" t="0" r="0"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124200" cy="1092835"/>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10415" w:type="dxa"/>
        <w:tblInd w:w="-284" w:type="dxa"/>
        <w:tblLook w:val="04A0" w:firstRow="1" w:lastRow="0" w:firstColumn="1" w:lastColumn="0" w:noHBand="0" w:noVBand="1"/>
      </w:tblPr>
      <w:tblGrid>
        <w:gridCol w:w="10415"/>
      </w:tblGrid>
      <w:tr w:rsidR="00E1075B" w:rsidRPr="002D06F0" w14:paraId="6AF8F134" w14:textId="77777777" w:rsidTr="00D00925">
        <w:trPr>
          <w:trHeight w:val="138"/>
        </w:trPr>
        <w:tc>
          <w:tcPr>
            <w:tcW w:w="10415" w:type="dxa"/>
            <w:tcBorders>
              <w:top w:val="nil"/>
              <w:left w:val="nil"/>
              <w:bottom w:val="nil"/>
              <w:right w:val="nil"/>
            </w:tcBorders>
          </w:tcPr>
          <w:p w14:paraId="41A09D3A" w14:textId="77777777" w:rsidR="00B42F2B" w:rsidRPr="00E64488" w:rsidRDefault="00B42F2B" w:rsidP="0070783B">
            <w:pPr>
              <w:tabs>
                <w:tab w:val="left" w:pos="3969"/>
              </w:tabs>
              <w:ind w:left="-112"/>
              <w:contextualSpacing/>
              <w:jc w:val="both"/>
              <w:rPr>
                <w:rFonts w:eastAsia="Calibri" w:cstheme="minorHAnsi"/>
                <w:b/>
                <w:bCs/>
                <w:color w:val="000091" w:themeColor="text1"/>
                <w:sz w:val="28"/>
                <w:szCs w:val="28"/>
                <w:lang w:eastAsia="fr-FR"/>
              </w:rPr>
            </w:pPr>
          </w:p>
          <w:p w14:paraId="2C37926C" w14:textId="4A9543E5" w:rsidR="00E1075B" w:rsidRPr="00150667" w:rsidRDefault="00E64488" w:rsidP="0070783B">
            <w:pPr>
              <w:tabs>
                <w:tab w:val="left" w:pos="3969"/>
              </w:tabs>
              <w:ind w:left="-112"/>
              <w:contextualSpacing/>
              <w:jc w:val="both"/>
              <w:rPr>
                <w:rFonts w:eastAsia="Calibri" w:cstheme="minorHAnsi"/>
                <w:b/>
                <w:bCs/>
                <w:color w:val="000091" w:themeColor="text1"/>
                <w:lang w:eastAsia="fr-FR"/>
              </w:rPr>
            </w:pPr>
            <w:r w:rsidRPr="00E64488">
              <w:rPr>
                <w:rFonts w:eastAsia="Calibri" w:cstheme="minorHAnsi"/>
                <w:b/>
                <w:bCs/>
                <w:color w:val="000091" w:themeColor="text1"/>
                <w:sz w:val="28"/>
                <w:szCs w:val="28"/>
                <w:lang w:eastAsia="fr-FR"/>
              </w:rPr>
              <w:t xml:space="preserve">Forte accélération de la croissance du PIB au cours du premier trimestre de l’exercice 2025/26 </w:t>
            </w:r>
            <w:r w:rsidR="00282876" w:rsidRPr="00E64488">
              <w:rPr>
                <w:rFonts w:eastAsia="Calibri" w:cstheme="minorHAnsi"/>
                <w:b/>
                <w:bCs/>
                <w:color w:val="000091" w:themeColor="text1"/>
                <w:sz w:val="28"/>
                <w:szCs w:val="28"/>
                <w:lang w:eastAsia="fr-FR"/>
              </w:rPr>
              <w:t xml:space="preserve"> </w:t>
            </w:r>
          </w:p>
        </w:tc>
      </w:tr>
    </w:tbl>
    <w:p w14:paraId="3498182E" w14:textId="77777777" w:rsidR="000F7190" w:rsidRPr="002D06F0" w:rsidRDefault="000F7190" w:rsidP="00D05751">
      <w:pPr>
        <w:pStyle w:val="Briefinglist1"/>
        <w:numPr>
          <w:ilvl w:val="0"/>
          <w:numId w:val="0"/>
        </w:numPr>
        <w:spacing w:after="0"/>
        <w:contextualSpacing/>
        <w:rPr>
          <w:rFonts w:ascii="Segoe UI" w:eastAsia="Times New Roman" w:hAnsi="Segoe UI" w:cs="Segoe UI"/>
          <w:i/>
          <w:sz w:val="8"/>
          <w:szCs w:val="8"/>
          <w:lang w:val="fr-FR" w:eastAsia="fr-FR"/>
        </w:rPr>
      </w:pPr>
      <w:bookmarkStart w:id="0" w:name="_Hlk181623191"/>
    </w:p>
    <w:p w14:paraId="3F8B7923" w14:textId="77777777" w:rsidR="00B42F2B" w:rsidRDefault="00B42F2B" w:rsidP="00187F02">
      <w:pPr>
        <w:pStyle w:val="Briefinglist1"/>
        <w:numPr>
          <w:ilvl w:val="0"/>
          <w:numId w:val="0"/>
        </w:numPr>
        <w:spacing w:after="0"/>
        <w:ind w:left="-284"/>
        <w:contextualSpacing/>
        <w:rPr>
          <w:rFonts w:asciiTheme="minorHAnsi" w:eastAsia="Times New Roman" w:hAnsiTheme="minorHAnsi" w:cstheme="minorHAnsi"/>
          <w:i/>
          <w:iCs/>
          <w:color w:val="000091" w:themeColor="text1"/>
          <w:szCs w:val="22"/>
          <w:lang w:val="fr-FR" w:eastAsia="fr-FR"/>
        </w:rPr>
      </w:pPr>
      <w:bookmarkStart w:id="1" w:name="_Hlk195024581"/>
      <w:bookmarkEnd w:id="0"/>
    </w:p>
    <w:p w14:paraId="1C53975D" w14:textId="603B9D91" w:rsidR="00E1075B" w:rsidRDefault="00282876" w:rsidP="00187F02">
      <w:pPr>
        <w:pStyle w:val="Briefinglist1"/>
        <w:numPr>
          <w:ilvl w:val="0"/>
          <w:numId w:val="0"/>
        </w:numPr>
        <w:spacing w:after="0"/>
        <w:ind w:left="-284"/>
        <w:contextualSpacing/>
        <w:rPr>
          <w:rFonts w:asciiTheme="minorHAnsi" w:eastAsia="Times New Roman" w:hAnsiTheme="minorHAnsi" w:cstheme="minorHAnsi"/>
          <w:i/>
          <w:iCs/>
          <w:color w:val="000091" w:themeColor="text1"/>
          <w:szCs w:val="22"/>
          <w:lang w:val="fr-FR" w:eastAsia="fr-FR"/>
        </w:rPr>
      </w:pPr>
      <w:r w:rsidRPr="00282876">
        <w:rPr>
          <w:rFonts w:asciiTheme="minorHAnsi" w:eastAsia="Times New Roman" w:hAnsiTheme="minorHAnsi" w:cstheme="minorHAnsi"/>
          <w:i/>
          <w:iCs/>
          <w:color w:val="000091" w:themeColor="text1"/>
          <w:szCs w:val="22"/>
          <w:lang w:val="fr-FR" w:eastAsia="fr-FR"/>
        </w:rPr>
        <w:t>L’économie indienne a enregistré une croissance du PIB de 7,</w:t>
      </w:r>
      <w:r w:rsidR="00413C4C">
        <w:rPr>
          <w:rFonts w:asciiTheme="minorHAnsi" w:eastAsia="Times New Roman" w:hAnsiTheme="minorHAnsi" w:cstheme="minorHAnsi"/>
          <w:i/>
          <w:iCs/>
          <w:color w:val="000091" w:themeColor="text1"/>
          <w:szCs w:val="22"/>
          <w:lang w:val="fr-FR" w:eastAsia="fr-FR"/>
        </w:rPr>
        <w:t>8</w:t>
      </w:r>
      <w:r w:rsidRPr="00282876">
        <w:rPr>
          <w:rFonts w:asciiTheme="minorHAnsi" w:eastAsia="Times New Roman" w:hAnsiTheme="minorHAnsi" w:cstheme="minorHAnsi"/>
          <w:i/>
          <w:iCs/>
          <w:color w:val="000091" w:themeColor="text1"/>
          <w:szCs w:val="22"/>
          <w:lang w:val="fr-FR" w:eastAsia="fr-FR"/>
        </w:rPr>
        <w:t xml:space="preserve">% en glissement annuel au </w:t>
      </w:r>
      <w:r w:rsidR="00413C4C">
        <w:rPr>
          <w:rFonts w:asciiTheme="minorHAnsi" w:eastAsia="Times New Roman" w:hAnsiTheme="minorHAnsi" w:cstheme="minorHAnsi"/>
          <w:i/>
          <w:iCs/>
          <w:color w:val="000091" w:themeColor="text1"/>
          <w:szCs w:val="22"/>
          <w:lang w:val="fr-FR" w:eastAsia="fr-FR"/>
        </w:rPr>
        <w:t>premier</w:t>
      </w:r>
      <w:r w:rsidRPr="00282876">
        <w:rPr>
          <w:rFonts w:asciiTheme="minorHAnsi" w:eastAsia="Times New Roman" w:hAnsiTheme="minorHAnsi" w:cstheme="minorHAnsi"/>
          <w:i/>
          <w:iCs/>
          <w:color w:val="000091" w:themeColor="text1"/>
          <w:szCs w:val="22"/>
          <w:lang w:val="fr-FR" w:eastAsia="fr-FR"/>
        </w:rPr>
        <w:t xml:space="preserve"> trimestre de l’exercice </w:t>
      </w:r>
      <w:r w:rsidR="00413C4C">
        <w:rPr>
          <w:rFonts w:asciiTheme="minorHAnsi" w:eastAsia="Times New Roman" w:hAnsiTheme="minorHAnsi" w:cstheme="minorHAnsi"/>
          <w:i/>
          <w:iCs/>
          <w:color w:val="000091" w:themeColor="text1"/>
          <w:szCs w:val="22"/>
          <w:lang w:val="fr-FR" w:eastAsia="fr-FR"/>
        </w:rPr>
        <w:t>2025/26</w:t>
      </w:r>
      <w:r w:rsidRPr="00282876">
        <w:rPr>
          <w:rFonts w:asciiTheme="minorHAnsi" w:eastAsia="Times New Roman" w:hAnsiTheme="minorHAnsi" w:cstheme="minorHAnsi"/>
          <w:i/>
          <w:iCs/>
          <w:color w:val="000091" w:themeColor="text1"/>
          <w:szCs w:val="22"/>
          <w:lang w:val="fr-FR" w:eastAsia="fr-FR"/>
        </w:rPr>
        <w:t xml:space="preserve"> (</w:t>
      </w:r>
      <w:r w:rsidR="00413C4C">
        <w:rPr>
          <w:rFonts w:asciiTheme="minorHAnsi" w:eastAsia="Times New Roman" w:hAnsiTheme="minorHAnsi" w:cstheme="minorHAnsi"/>
          <w:i/>
          <w:iCs/>
          <w:color w:val="000091" w:themeColor="text1"/>
          <w:szCs w:val="22"/>
          <w:lang w:val="fr-FR" w:eastAsia="fr-FR"/>
        </w:rPr>
        <w:t xml:space="preserve">avril </w:t>
      </w:r>
      <w:r w:rsidR="00B42F2B">
        <w:rPr>
          <w:rFonts w:asciiTheme="minorHAnsi" w:eastAsia="Times New Roman" w:hAnsiTheme="minorHAnsi" w:cstheme="minorHAnsi"/>
          <w:i/>
          <w:iCs/>
          <w:color w:val="000091" w:themeColor="text1"/>
          <w:szCs w:val="22"/>
          <w:lang w:val="fr-FR" w:eastAsia="fr-FR"/>
        </w:rPr>
        <w:t>-</w:t>
      </w:r>
      <w:r w:rsidR="00413C4C">
        <w:rPr>
          <w:rFonts w:asciiTheme="minorHAnsi" w:eastAsia="Times New Roman" w:hAnsiTheme="minorHAnsi" w:cstheme="minorHAnsi"/>
          <w:i/>
          <w:iCs/>
          <w:color w:val="000091" w:themeColor="text1"/>
          <w:szCs w:val="22"/>
          <w:lang w:val="fr-FR" w:eastAsia="fr-FR"/>
        </w:rPr>
        <w:t xml:space="preserve"> juin </w:t>
      </w:r>
      <w:r w:rsidRPr="00282876">
        <w:rPr>
          <w:rFonts w:asciiTheme="minorHAnsi" w:eastAsia="Times New Roman" w:hAnsiTheme="minorHAnsi" w:cstheme="minorHAnsi"/>
          <w:i/>
          <w:iCs/>
          <w:color w:val="000091" w:themeColor="text1"/>
          <w:szCs w:val="22"/>
          <w:lang w:val="fr-FR" w:eastAsia="fr-FR"/>
        </w:rPr>
        <w:t>2025)</w:t>
      </w:r>
      <w:r w:rsidR="00565326">
        <w:rPr>
          <w:rFonts w:asciiTheme="minorHAnsi" w:eastAsia="Times New Roman" w:hAnsiTheme="minorHAnsi" w:cstheme="minorHAnsi"/>
          <w:i/>
          <w:iCs/>
          <w:color w:val="000091" w:themeColor="text1"/>
          <w:szCs w:val="22"/>
          <w:lang w:val="fr-FR" w:eastAsia="fr-FR"/>
        </w:rPr>
        <w:t xml:space="preserve">, marquant </w:t>
      </w:r>
      <w:r w:rsidR="00CE0FE5">
        <w:rPr>
          <w:rFonts w:asciiTheme="minorHAnsi" w:eastAsia="Times New Roman" w:hAnsiTheme="minorHAnsi" w:cstheme="minorHAnsi"/>
          <w:i/>
          <w:iCs/>
          <w:color w:val="000091" w:themeColor="text1"/>
          <w:szCs w:val="22"/>
          <w:lang w:val="fr-FR" w:eastAsia="fr-FR"/>
        </w:rPr>
        <w:t>le plus haut niveau enregistré en cinq trimestres</w:t>
      </w:r>
      <w:r w:rsidR="00565326">
        <w:rPr>
          <w:rFonts w:asciiTheme="minorHAnsi" w:eastAsia="Times New Roman" w:hAnsiTheme="minorHAnsi" w:cstheme="minorHAnsi"/>
          <w:i/>
          <w:iCs/>
          <w:color w:val="000091" w:themeColor="text1"/>
          <w:szCs w:val="22"/>
          <w:lang w:val="fr-FR" w:eastAsia="fr-FR"/>
        </w:rPr>
        <w:t xml:space="preserve"> et dépassant les </w:t>
      </w:r>
      <w:r w:rsidR="00822BF6">
        <w:rPr>
          <w:rFonts w:asciiTheme="minorHAnsi" w:eastAsia="Times New Roman" w:hAnsiTheme="minorHAnsi" w:cstheme="minorHAnsi"/>
          <w:i/>
          <w:iCs/>
          <w:color w:val="000091" w:themeColor="text1"/>
          <w:szCs w:val="22"/>
          <w:lang w:val="fr-FR" w:eastAsia="fr-FR"/>
        </w:rPr>
        <w:t>anticipations</w:t>
      </w:r>
      <w:r w:rsidR="00565326">
        <w:rPr>
          <w:rFonts w:asciiTheme="minorHAnsi" w:eastAsia="Times New Roman" w:hAnsiTheme="minorHAnsi" w:cstheme="minorHAnsi"/>
          <w:i/>
          <w:iCs/>
          <w:color w:val="000091" w:themeColor="text1"/>
          <w:szCs w:val="22"/>
          <w:lang w:val="fr-FR" w:eastAsia="fr-FR"/>
        </w:rPr>
        <w:t xml:space="preserve"> des conjoncturistes</w:t>
      </w:r>
      <w:r w:rsidR="00413C4C">
        <w:rPr>
          <w:rFonts w:asciiTheme="minorHAnsi" w:eastAsia="Times New Roman" w:hAnsiTheme="minorHAnsi" w:cstheme="minorHAnsi"/>
          <w:i/>
          <w:iCs/>
          <w:color w:val="000091" w:themeColor="text1"/>
          <w:szCs w:val="22"/>
          <w:lang w:val="fr-FR" w:eastAsia="fr-FR"/>
        </w:rPr>
        <w:t xml:space="preserve">. </w:t>
      </w:r>
      <w:r w:rsidR="001A3509" w:rsidRPr="001A3509">
        <w:rPr>
          <w:rFonts w:asciiTheme="minorHAnsi" w:eastAsia="Times New Roman" w:hAnsiTheme="minorHAnsi" w:cstheme="minorHAnsi"/>
          <w:i/>
          <w:iCs/>
          <w:color w:val="000091" w:themeColor="text1"/>
          <w:szCs w:val="22"/>
          <w:lang w:val="fr-FR" w:eastAsia="fr-FR"/>
        </w:rPr>
        <w:t>Cette performance résulte de l’accélération des investissements publics, contrastant avec le premier trimestre de l’exercice précédent, marqué par un ralentissement lié aux contraintes électorales</w:t>
      </w:r>
      <w:r w:rsidR="0063271A">
        <w:rPr>
          <w:rFonts w:asciiTheme="minorHAnsi" w:eastAsia="Times New Roman" w:hAnsiTheme="minorHAnsi" w:cstheme="minorHAnsi"/>
          <w:i/>
          <w:iCs/>
          <w:color w:val="000091" w:themeColor="text1"/>
          <w:szCs w:val="22"/>
          <w:lang w:val="fr-FR" w:eastAsia="fr-FR"/>
        </w:rPr>
        <w:t xml:space="preserve">.  </w:t>
      </w:r>
      <w:r w:rsidR="001A3509">
        <w:rPr>
          <w:rFonts w:asciiTheme="minorHAnsi" w:eastAsia="Times New Roman" w:hAnsiTheme="minorHAnsi" w:cstheme="minorHAnsi"/>
          <w:i/>
          <w:iCs/>
          <w:color w:val="000091" w:themeColor="text1"/>
          <w:szCs w:val="22"/>
          <w:lang w:val="fr-FR" w:eastAsia="fr-FR"/>
        </w:rPr>
        <w:t>Parallèlement</w:t>
      </w:r>
      <w:r w:rsidR="0063271A" w:rsidRPr="0063271A">
        <w:rPr>
          <w:rFonts w:asciiTheme="minorHAnsi" w:eastAsia="Times New Roman" w:hAnsiTheme="minorHAnsi" w:cstheme="minorHAnsi"/>
          <w:i/>
          <w:iCs/>
          <w:color w:val="000091" w:themeColor="text1"/>
          <w:szCs w:val="22"/>
          <w:lang w:val="fr-FR" w:eastAsia="fr-FR"/>
        </w:rPr>
        <w:t xml:space="preserve">, le déflateur du PIB s’est établi à un niveau historiquement bas, </w:t>
      </w:r>
      <w:bookmarkEnd w:id="1"/>
      <w:r w:rsidR="001A3509" w:rsidRPr="001A3509">
        <w:rPr>
          <w:rFonts w:asciiTheme="minorHAnsi" w:eastAsia="Times New Roman" w:hAnsiTheme="minorHAnsi" w:cstheme="minorHAnsi"/>
          <w:i/>
          <w:iCs/>
          <w:color w:val="000091" w:themeColor="text1"/>
          <w:szCs w:val="22"/>
          <w:lang w:val="fr-FR" w:eastAsia="fr-FR"/>
        </w:rPr>
        <w:t>amplifiant mécaniquement la croissance réelle, en particulier dans les secteurs des services et de l’industrie. La dynamique de croissance demeure principalement soutenue par la vigueur de la demande domestique, stimulée par des politiques budgétaires expansionnistes mises en œuvre par le gouvernement indien</w:t>
      </w:r>
      <w:r w:rsidR="001A3509">
        <w:rPr>
          <w:rFonts w:asciiTheme="minorHAnsi" w:eastAsia="Times New Roman" w:hAnsiTheme="minorHAnsi" w:cstheme="minorHAnsi"/>
          <w:i/>
          <w:iCs/>
          <w:color w:val="000091" w:themeColor="text1"/>
          <w:szCs w:val="22"/>
          <w:lang w:val="fr-FR" w:eastAsia="fr-FR"/>
        </w:rPr>
        <w:t>.</w:t>
      </w:r>
    </w:p>
    <w:p w14:paraId="3A27FDC4" w14:textId="77777777" w:rsidR="00187F02" w:rsidRPr="00187F02" w:rsidRDefault="00187F02" w:rsidP="00187F02">
      <w:pPr>
        <w:pStyle w:val="Briefinglist1"/>
        <w:numPr>
          <w:ilvl w:val="0"/>
          <w:numId w:val="0"/>
        </w:numPr>
        <w:spacing w:after="0"/>
        <w:ind w:left="-284"/>
        <w:contextualSpacing/>
        <w:rPr>
          <w:rFonts w:asciiTheme="minorHAnsi" w:eastAsia="Times New Roman" w:hAnsiTheme="minorHAnsi" w:cstheme="minorHAnsi"/>
          <w:i/>
          <w:iCs/>
          <w:color w:val="000091" w:themeColor="text1"/>
          <w:szCs w:val="22"/>
          <w:lang w:val="fr-FR" w:eastAsia="fr-FR"/>
        </w:rPr>
      </w:pPr>
    </w:p>
    <w:p w14:paraId="6D303722" w14:textId="3EAE9EFF" w:rsidR="002D06F0" w:rsidRDefault="00565326" w:rsidP="002D06F0">
      <w:pPr>
        <w:pStyle w:val="Paragraphedeliste"/>
        <w:numPr>
          <w:ilvl w:val="0"/>
          <w:numId w:val="26"/>
        </w:numPr>
        <w:spacing w:line="240" w:lineRule="auto"/>
        <w:jc w:val="both"/>
        <w:rPr>
          <w:rFonts w:cstheme="minorHAnsi"/>
          <w:b/>
          <w:bCs/>
          <w:color w:val="000091" w:themeColor="text1"/>
          <w:szCs w:val="24"/>
        </w:rPr>
      </w:pPr>
      <w:r>
        <w:rPr>
          <w:rFonts w:cstheme="minorHAnsi"/>
          <w:b/>
          <w:bCs/>
          <w:color w:val="000091" w:themeColor="text1"/>
          <w:szCs w:val="24"/>
        </w:rPr>
        <w:t>Le premier trimestre de l’exercice 2025/26 est marqué par une accélération notable de la croissance, s’établissant à 7,8%</w:t>
      </w:r>
    </w:p>
    <w:p w14:paraId="516EA1F1" w14:textId="201CA2D6" w:rsidR="00565326" w:rsidRDefault="00C95AFB" w:rsidP="002D06F0">
      <w:pPr>
        <w:spacing w:after="60" w:line="240" w:lineRule="auto"/>
        <w:ind w:left="-284"/>
        <w:contextualSpacing/>
        <w:jc w:val="both"/>
        <w:rPr>
          <w:rFonts w:cstheme="minorHAnsi"/>
        </w:rPr>
      </w:pPr>
      <w:r w:rsidRPr="00C95AFB">
        <w:rPr>
          <w:rFonts w:cstheme="minorHAnsi"/>
        </w:rPr>
        <w:t>La croissance du PIB réel de l’Inde au premier trimestre de l’exercice 2025-26</w:t>
      </w:r>
      <w:r w:rsidR="00747E03">
        <w:rPr>
          <w:rFonts w:cstheme="minorHAnsi"/>
        </w:rPr>
        <w:t xml:space="preserve"> </w:t>
      </w:r>
      <w:r w:rsidR="00785A6F">
        <w:rPr>
          <w:rFonts w:cstheme="minorHAnsi"/>
        </w:rPr>
        <w:t xml:space="preserve">a nettement dépassé les anticipations, atteignant un rythme de </w:t>
      </w:r>
      <w:r w:rsidRPr="00C95AFB">
        <w:rPr>
          <w:rFonts w:cstheme="minorHAnsi"/>
        </w:rPr>
        <w:t>7,8 %</w:t>
      </w:r>
      <w:r w:rsidR="00785A6F">
        <w:rPr>
          <w:rFonts w:cstheme="minorHAnsi"/>
        </w:rPr>
        <w:t xml:space="preserve">. Il s’agit d’une </w:t>
      </w:r>
      <w:r w:rsidR="00BD23F5">
        <w:rPr>
          <w:rFonts w:cstheme="minorHAnsi"/>
        </w:rPr>
        <w:t xml:space="preserve">progression </w:t>
      </w:r>
      <w:r w:rsidR="00785A6F">
        <w:rPr>
          <w:rFonts w:cstheme="minorHAnsi"/>
        </w:rPr>
        <w:t xml:space="preserve">bien </w:t>
      </w:r>
      <w:r w:rsidR="00785A6F" w:rsidRPr="00C95AFB">
        <w:rPr>
          <w:rFonts w:cstheme="minorHAnsi"/>
        </w:rPr>
        <w:t>supérieure</w:t>
      </w:r>
      <w:r w:rsidRPr="00C95AFB">
        <w:rPr>
          <w:rFonts w:cstheme="minorHAnsi"/>
        </w:rPr>
        <w:t xml:space="preserve"> aux prévisions des économistes ainsi qu’aux estimations de la RBI, qui anticipait une progression de 6,5 % sur la période</w:t>
      </w:r>
      <w:r w:rsidR="00242DD0">
        <w:rPr>
          <w:rStyle w:val="Appelnotedebasdep"/>
          <w:rFonts w:cstheme="minorHAnsi"/>
        </w:rPr>
        <w:footnoteReference w:id="1"/>
      </w:r>
      <w:r w:rsidR="00565326">
        <w:rPr>
          <w:rFonts w:cstheme="minorHAnsi"/>
        </w:rPr>
        <w:t xml:space="preserve">. </w:t>
      </w:r>
    </w:p>
    <w:p w14:paraId="7A8E45EA" w14:textId="77777777" w:rsidR="00565326" w:rsidRDefault="00565326" w:rsidP="002D06F0">
      <w:pPr>
        <w:spacing w:after="60" w:line="240" w:lineRule="auto"/>
        <w:ind w:left="-284"/>
        <w:contextualSpacing/>
        <w:jc w:val="both"/>
        <w:rPr>
          <w:rFonts w:cstheme="minorHAnsi"/>
        </w:rPr>
      </w:pPr>
    </w:p>
    <w:p w14:paraId="5A5F09A3" w14:textId="64A2DFC5" w:rsidR="00313EB7" w:rsidRDefault="00282876" w:rsidP="002D06F0">
      <w:pPr>
        <w:spacing w:after="60" w:line="240" w:lineRule="auto"/>
        <w:ind w:left="-284"/>
        <w:contextualSpacing/>
        <w:jc w:val="both"/>
        <w:rPr>
          <w:rFonts w:cstheme="minorHAnsi"/>
        </w:rPr>
      </w:pPr>
      <w:r>
        <w:rPr>
          <w:rFonts w:cstheme="minorHAnsi"/>
        </w:rPr>
        <w:t>Sur le plan de l’offre</w:t>
      </w:r>
      <w:r w:rsidR="00CE0FE5">
        <w:rPr>
          <w:rFonts w:cstheme="minorHAnsi"/>
        </w:rPr>
        <w:t xml:space="preserve">, la valeur ajoutée brute </w:t>
      </w:r>
      <w:r w:rsidR="00C95AFB">
        <w:rPr>
          <w:rFonts w:cstheme="minorHAnsi"/>
        </w:rPr>
        <w:t>progresse de</w:t>
      </w:r>
      <w:r w:rsidR="00CE0FE5">
        <w:rPr>
          <w:rFonts w:cstheme="minorHAnsi"/>
        </w:rPr>
        <w:t xml:space="preserve"> 7,6%, contre 6,8% au premier trimestre de l’exercice précédent. Le secteur tertiaire émerge comme principal moteur, </w:t>
      </w:r>
      <w:r w:rsidR="00C95AFB">
        <w:rPr>
          <w:rFonts w:cstheme="minorHAnsi"/>
        </w:rPr>
        <w:t>avec une hausse</w:t>
      </w:r>
      <w:r w:rsidR="00CE0FE5">
        <w:rPr>
          <w:rFonts w:cstheme="minorHAnsi"/>
        </w:rPr>
        <w:t xml:space="preserve"> de 9,3%, </w:t>
      </w:r>
      <w:r w:rsidR="00C95AFB">
        <w:rPr>
          <w:rFonts w:cstheme="minorHAnsi"/>
        </w:rPr>
        <w:t>portée par les</w:t>
      </w:r>
      <w:r w:rsidR="00CE0FE5">
        <w:rPr>
          <w:rFonts w:cstheme="minorHAnsi"/>
        </w:rPr>
        <w:t xml:space="preserve"> services financiers, l’immobilier et les administrations publiques. </w:t>
      </w:r>
      <w:r w:rsidR="00C95AFB" w:rsidRPr="00C95AFB">
        <w:rPr>
          <w:rFonts w:cstheme="minorHAnsi"/>
        </w:rPr>
        <w:t>Le secteur secondaire maintient une dynamique robuste avec une croissance de 7% : l’industrie manufacturière enregistre une expansion de 7,7%, tandis que la construction progresse de 7,6%, soutenue par la poursuite des projets publics d’infrastructures.</w:t>
      </w:r>
      <w:r w:rsidR="00C95AFB">
        <w:rPr>
          <w:rFonts w:cstheme="minorHAnsi"/>
        </w:rPr>
        <w:t xml:space="preserve"> </w:t>
      </w:r>
      <w:r w:rsidR="00D85C07" w:rsidRPr="00D85C07">
        <w:rPr>
          <w:rFonts w:cstheme="minorHAnsi"/>
        </w:rPr>
        <w:t xml:space="preserve">Le secteur primaire </w:t>
      </w:r>
      <w:r w:rsidR="0063271A">
        <w:rPr>
          <w:rFonts w:cstheme="minorHAnsi"/>
        </w:rPr>
        <w:t>affiche quant à lui</w:t>
      </w:r>
      <w:r w:rsidR="00D85C07" w:rsidRPr="00D85C07">
        <w:rPr>
          <w:rFonts w:cstheme="minorHAnsi"/>
        </w:rPr>
        <w:t xml:space="preserve"> une croissance modérée de 2,8%, avec une production agricole en hausse de 3,7%, </w:t>
      </w:r>
      <w:r w:rsidR="00747E03">
        <w:rPr>
          <w:rFonts w:cstheme="minorHAnsi"/>
        </w:rPr>
        <w:t xml:space="preserve">contre 1,5% un an plus tôt, </w:t>
      </w:r>
      <w:r w:rsidR="00D85C07" w:rsidRPr="00D85C07">
        <w:rPr>
          <w:rFonts w:cstheme="minorHAnsi"/>
        </w:rPr>
        <w:t>soutenue par des conditions climatiques favorables, tandis que le segment des mines et carrières s’est contracté de 3,1%</w:t>
      </w:r>
      <w:r w:rsidR="0063271A">
        <w:rPr>
          <w:rFonts w:cstheme="minorHAnsi"/>
        </w:rPr>
        <w:t xml:space="preserve">. </w:t>
      </w:r>
    </w:p>
    <w:p w14:paraId="251DAB60" w14:textId="77777777" w:rsidR="00282876" w:rsidRPr="002D06F0" w:rsidRDefault="00282876" w:rsidP="002D06F0">
      <w:pPr>
        <w:spacing w:after="60" w:line="240" w:lineRule="auto"/>
        <w:ind w:left="-284"/>
        <w:contextualSpacing/>
        <w:jc w:val="both"/>
        <w:rPr>
          <w:rFonts w:cstheme="minorHAnsi"/>
        </w:rPr>
      </w:pPr>
    </w:p>
    <w:p w14:paraId="42B5CFA0" w14:textId="34ACEA44" w:rsidR="0034612A" w:rsidRDefault="00E4332B" w:rsidP="00785A6F">
      <w:pPr>
        <w:spacing w:after="60" w:line="240" w:lineRule="auto"/>
        <w:ind w:left="-284"/>
        <w:contextualSpacing/>
        <w:jc w:val="both"/>
        <w:rPr>
          <w:rFonts w:cstheme="minorHAnsi"/>
        </w:rPr>
      </w:pPr>
      <w:r>
        <w:rPr>
          <w:rFonts w:cstheme="minorHAnsi"/>
        </w:rPr>
        <w:t>Du côté de la demande,</w:t>
      </w:r>
      <w:r w:rsidR="00A5466B">
        <w:rPr>
          <w:rFonts w:cstheme="minorHAnsi"/>
        </w:rPr>
        <w:t xml:space="preserve"> l</w:t>
      </w:r>
      <w:r w:rsidR="00A5466B" w:rsidRPr="00A5466B">
        <w:rPr>
          <w:rFonts w:cstheme="minorHAnsi"/>
        </w:rPr>
        <w:t>a consommation publique</w:t>
      </w:r>
      <w:r w:rsidR="00785A6F">
        <w:rPr>
          <w:rFonts w:cstheme="minorHAnsi"/>
        </w:rPr>
        <w:t xml:space="preserve"> enregistre un rebond spectaculaire</w:t>
      </w:r>
      <w:r w:rsidR="009E59A2">
        <w:rPr>
          <w:rFonts w:cstheme="minorHAnsi"/>
        </w:rPr>
        <w:t xml:space="preserve"> avec une progression de 7,4% après un r</w:t>
      </w:r>
      <w:r w:rsidR="003C75A5">
        <w:rPr>
          <w:rFonts w:cstheme="minorHAnsi"/>
        </w:rPr>
        <w:t>epli</w:t>
      </w:r>
      <w:r w:rsidR="009E59A2">
        <w:rPr>
          <w:rFonts w:cstheme="minorHAnsi"/>
        </w:rPr>
        <w:t xml:space="preserve"> de 0,3% l’année précédente à la même période.</w:t>
      </w:r>
      <w:r w:rsidR="002B3D7E">
        <w:rPr>
          <w:rFonts w:cstheme="minorHAnsi"/>
        </w:rPr>
        <w:t xml:space="preserve"> </w:t>
      </w:r>
      <w:r w:rsidR="00580BA3">
        <w:t xml:space="preserve">La consommation privée, principal amortisseur cyclique de l’économie, reste solide avec une progression de 7 %, légèrement en deçà des 8,3 % enregistrés un an plus tôt. Elle demeure portée par le redressement de la demande rurale, l’amélioration des revenus et la dynamique des services destinés aux ménages urbains. </w:t>
      </w:r>
      <w:r w:rsidR="00A5466B" w:rsidRPr="00A5466B">
        <w:rPr>
          <w:rFonts w:cstheme="minorHAnsi"/>
        </w:rPr>
        <w:t xml:space="preserve">L’investissement en capital fixe brut </w:t>
      </w:r>
      <w:r w:rsidR="00084644">
        <w:rPr>
          <w:rFonts w:cstheme="minorHAnsi"/>
        </w:rPr>
        <w:t>progresse</w:t>
      </w:r>
      <w:r w:rsidR="00A5466B" w:rsidRPr="00A5466B">
        <w:rPr>
          <w:rFonts w:cstheme="minorHAnsi"/>
        </w:rPr>
        <w:t xml:space="preserve"> de 7,8%, </w:t>
      </w:r>
      <w:r w:rsidR="00084644" w:rsidRPr="00084644">
        <w:rPr>
          <w:rFonts w:cstheme="minorHAnsi"/>
        </w:rPr>
        <w:t>prolongeant la trajectoire haussière amorcée au trimestre précédent sous l’effet de l’intensification des dépenses d’investissement</w:t>
      </w:r>
      <w:r w:rsidR="009E59A2">
        <w:rPr>
          <w:rFonts w:cstheme="minorHAnsi"/>
        </w:rPr>
        <w:t xml:space="preserve">. </w:t>
      </w:r>
      <w:r w:rsidR="00785A6F">
        <w:rPr>
          <w:rFonts w:cstheme="minorHAnsi"/>
        </w:rPr>
        <w:t xml:space="preserve">Quant au </w:t>
      </w:r>
      <w:r w:rsidR="00F94973" w:rsidRPr="00F94973">
        <w:rPr>
          <w:rFonts w:cstheme="minorHAnsi"/>
        </w:rPr>
        <w:t>solde extérieur</w:t>
      </w:r>
      <w:r w:rsidR="00785A6F">
        <w:rPr>
          <w:rFonts w:cstheme="minorHAnsi"/>
        </w:rPr>
        <w:t>, il demeure</w:t>
      </w:r>
      <w:r w:rsidR="00F94973" w:rsidRPr="00F94973">
        <w:rPr>
          <w:rFonts w:cstheme="minorHAnsi"/>
        </w:rPr>
        <w:t xml:space="preserve"> exposé à des risques à moyen terme, dans un contexte de tensions commerciales avec les États-Unis susceptibles de peser sur les volumes exportés dans les prochains trimestres. </w:t>
      </w:r>
      <w:r w:rsidR="00AE249D">
        <w:t xml:space="preserve">À cet égard, contrairement aux prévisions, les exportations ont progressé de 6,3 %, notamment vers les États-Unis. Cette hausse s’explique en partie par l’anticipation des tarifs douaniers annoncés par Donald Trump, </w:t>
      </w:r>
      <w:r w:rsidR="00AE249D">
        <w:lastRenderedPageBreak/>
        <w:t xml:space="preserve">qui a conduit les exportateurs indiens à accélérer leurs expéditions avant leur mise en œuvre. Toutefois, ce sursaut a été plus que compensé par la reprise des importations, en hausse de 10,9 %, ce qui a dégradé la contribution nette du commerce extérieur à la croissance. </w:t>
      </w:r>
    </w:p>
    <w:p w14:paraId="5A54A169" w14:textId="77777777" w:rsidR="00F94973" w:rsidRDefault="00F94973" w:rsidP="002D06F0">
      <w:pPr>
        <w:spacing w:after="60" w:line="240" w:lineRule="auto"/>
        <w:ind w:left="-284"/>
        <w:contextualSpacing/>
        <w:jc w:val="both"/>
        <w:rPr>
          <w:rFonts w:cstheme="minorHAnsi"/>
        </w:rPr>
      </w:pPr>
    </w:p>
    <w:p w14:paraId="3631E48B" w14:textId="75E07327" w:rsidR="00282876" w:rsidRDefault="0034612A" w:rsidP="002D06F0">
      <w:pPr>
        <w:spacing w:after="60" w:line="240" w:lineRule="auto"/>
        <w:ind w:left="-284"/>
        <w:contextualSpacing/>
        <w:jc w:val="both"/>
        <w:rPr>
          <w:rFonts w:cstheme="minorHAnsi"/>
        </w:rPr>
      </w:pPr>
      <w:r>
        <w:rPr>
          <w:rFonts w:cstheme="minorHAnsi"/>
        </w:rPr>
        <w:t xml:space="preserve">Malgré cette reprise notable de la trajectoire de croissance, </w:t>
      </w:r>
      <w:r w:rsidR="001811AC" w:rsidRPr="001811AC">
        <w:rPr>
          <w:rFonts w:cstheme="minorHAnsi"/>
        </w:rPr>
        <w:t xml:space="preserve">le niveau historiquement bas du déflateur du PIB, estimé à 0,9% </w:t>
      </w:r>
      <w:r w:rsidR="001811AC">
        <w:rPr>
          <w:rFonts w:cstheme="minorHAnsi"/>
        </w:rPr>
        <w:t xml:space="preserve">- </w:t>
      </w:r>
      <w:r w:rsidR="001811AC" w:rsidRPr="001811AC">
        <w:rPr>
          <w:rFonts w:cstheme="minorHAnsi"/>
        </w:rPr>
        <w:t>le plus faible depuis 23 trimestres</w:t>
      </w:r>
      <w:r w:rsidR="00594B9F">
        <w:rPr>
          <w:rFonts w:cstheme="minorHAnsi"/>
        </w:rPr>
        <w:t xml:space="preserve"> en lien avec l’inflation particulièrement basse de 2,7% en moyenne lors du trimestre</w:t>
      </w:r>
      <w:r w:rsidR="001811AC">
        <w:rPr>
          <w:rFonts w:cstheme="minorHAnsi"/>
        </w:rPr>
        <w:t xml:space="preserve"> - </w:t>
      </w:r>
      <w:r w:rsidR="001811AC" w:rsidRPr="001811AC">
        <w:rPr>
          <w:rFonts w:cstheme="minorHAnsi"/>
        </w:rPr>
        <w:t>a amplifié mécaniquement la croissance réelle, d’environ 0,8 point de pourcentage selon les estimations. Par ailleurs, les nouvelles mesures tarifaires entrées en vigueur le 27 août, dont les effets ne sont pas reflétés dans les données du premier trimestre, devraient peser sur les exportations à partir du deuxième trimestre</w:t>
      </w:r>
      <w:r w:rsidR="00594B9F">
        <w:rPr>
          <w:rFonts w:cstheme="minorHAnsi"/>
        </w:rPr>
        <w:t xml:space="preserve"> de l’exercice budgétaire</w:t>
      </w:r>
      <w:r w:rsidR="001811AC" w:rsidRPr="001811AC">
        <w:rPr>
          <w:rFonts w:cstheme="minorHAnsi"/>
        </w:rPr>
        <w:t>. L’impact de ces mesures est actuellement estimé entre 0,6 et 1 point de PIB sur l’exercice 2025/26, avec un risque de sous-estimation en cas d’application élargie du taux de sanction additionnel de 25% sur certains produits exportés.</w:t>
      </w:r>
    </w:p>
    <w:p w14:paraId="346B23AA" w14:textId="77777777" w:rsidR="001811AC" w:rsidRPr="002D06F0" w:rsidRDefault="001811AC" w:rsidP="002D06F0">
      <w:pPr>
        <w:spacing w:after="60" w:line="240" w:lineRule="auto"/>
        <w:ind w:left="-284"/>
        <w:contextualSpacing/>
        <w:jc w:val="both"/>
        <w:rPr>
          <w:rFonts w:cstheme="minorHAnsi"/>
        </w:rPr>
      </w:pPr>
    </w:p>
    <w:p w14:paraId="101B2A3C" w14:textId="3B4B2606" w:rsidR="004C283E" w:rsidRPr="002D06F0" w:rsidRDefault="000E659F" w:rsidP="00F207C0">
      <w:pPr>
        <w:pStyle w:val="Paragraphedeliste"/>
        <w:numPr>
          <w:ilvl w:val="0"/>
          <w:numId w:val="26"/>
        </w:numPr>
        <w:spacing w:after="60" w:line="240" w:lineRule="auto"/>
        <w:jc w:val="both"/>
        <w:rPr>
          <w:rFonts w:cstheme="minorHAnsi"/>
          <w:b/>
          <w:bCs/>
          <w:color w:val="000091" w:themeColor="text1"/>
          <w:szCs w:val="24"/>
        </w:rPr>
      </w:pPr>
      <w:r w:rsidRPr="000E659F">
        <w:rPr>
          <w:rFonts w:cstheme="minorHAnsi"/>
          <w:b/>
          <w:bCs/>
          <w:color w:val="000091" w:themeColor="text1"/>
          <w:szCs w:val="24"/>
        </w:rPr>
        <w:t>Politiques budgétaires et monétaires : piliers de la reprise</w:t>
      </w:r>
    </w:p>
    <w:p w14:paraId="141F7FC1" w14:textId="36E3A429" w:rsidR="00594B9F" w:rsidRDefault="00594B9F" w:rsidP="00B42F2B">
      <w:pPr>
        <w:spacing w:after="60" w:line="240" w:lineRule="auto"/>
        <w:ind w:left="-284"/>
        <w:contextualSpacing/>
        <w:jc w:val="both"/>
        <w:rPr>
          <w:rFonts w:cstheme="minorHAnsi"/>
        </w:rPr>
      </w:pPr>
    </w:p>
    <w:p w14:paraId="561D8DA3" w14:textId="4646AAC1" w:rsidR="00594B9F" w:rsidRDefault="00C4665E" w:rsidP="00B42F2B">
      <w:pPr>
        <w:spacing w:after="60" w:line="240" w:lineRule="auto"/>
        <w:ind w:left="-284"/>
        <w:contextualSpacing/>
        <w:jc w:val="both"/>
        <w:rPr>
          <w:rFonts w:cstheme="minorHAnsi"/>
        </w:rPr>
      </w:pPr>
      <w:r>
        <w:t>Dans le cadre d’une stratégie de croissance assumée, la ministre des Finances a présenté, le 1er février 2025, un budget axé sur le renforcement de la demande intérieure, la stimulation de l’investissement privé et l’accélération de l’effort public. Cette orientation s’est traduite, au</w:t>
      </w:r>
      <w:r w:rsidR="008F2D48">
        <w:t xml:space="preserve"> premier trimestre de l’exercice</w:t>
      </w:r>
      <w:r>
        <w:t xml:space="preserve">, par un accroissement de 52 % en glissement annuel des dépenses en capital, atteignant ₹2,8 </w:t>
      </w:r>
      <w:proofErr w:type="spellStart"/>
      <w:r>
        <w:t>lakh</w:t>
      </w:r>
      <w:proofErr w:type="spellEnd"/>
      <w:r>
        <w:t xml:space="preserve"> </w:t>
      </w:r>
      <w:proofErr w:type="spellStart"/>
      <w:r>
        <w:t>crore</w:t>
      </w:r>
      <w:proofErr w:type="spellEnd"/>
      <w:r w:rsidR="00A40715">
        <w:rPr>
          <w:rStyle w:val="Appelnotedebasdep"/>
        </w:rPr>
        <w:footnoteReference w:id="2"/>
      </w:r>
      <w:r>
        <w:t xml:space="preserve">. </w:t>
      </w:r>
      <w:r w:rsidR="004D2FF6">
        <w:t>Avec le capex comme moteur de croissance, l</w:t>
      </w:r>
      <w:r>
        <w:t xml:space="preserve">’objectif </w:t>
      </w:r>
      <w:r w:rsidR="00732365">
        <w:t xml:space="preserve">étant de </w:t>
      </w:r>
      <w:r>
        <w:t>générer un effet multiplicateur sur l’activité économique tout en préservant la trajectoire de consolidation budgétaire,</w:t>
      </w:r>
      <w:r w:rsidR="00EE3E42">
        <w:t xml:space="preserve"> et la trajectoire de déficit de 4,4% du PIB pour 2025-26</w:t>
      </w:r>
      <w:r w:rsidR="00A40715">
        <w:rPr>
          <w:rStyle w:val="Appelnotedebasdep"/>
        </w:rPr>
        <w:footnoteReference w:id="3"/>
      </w:r>
      <w:r w:rsidR="00EE3E42">
        <w:t>,</w:t>
      </w:r>
      <w:r>
        <w:t xml:space="preserve"> </w:t>
      </w:r>
      <w:r w:rsidR="00732365">
        <w:t xml:space="preserve">une </w:t>
      </w:r>
      <w:r>
        <w:t xml:space="preserve">condition </w:t>
      </w:r>
      <w:r w:rsidR="004D2FF6">
        <w:t xml:space="preserve">jugée </w:t>
      </w:r>
      <w:r>
        <w:t xml:space="preserve">essentielle </w:t>
      </w:r>
      <w:r w:rsidR="004D2FF6">
        <w:t xml:space="preserve">par les autorités afin de maintenir parallèlement </w:t>
      </w:r>
      <w:r>
        <w:t>la confiance des investisseurs.</w:t>
      </w:r>
    </w:p>
    <w:p w14:paraId="77D80FD0" w14:textId="77777777" w:rsidR="00594B9F" w:rsidRDefault="00594B9F" w:rsidP="00B42F2B">
      <w:pPr>
        <w:spacing w:after="60" w:line="240" w:lineRule="auto"/>
        <w:ind w:left="-284"/>
        <w:contextualSpacing/>
        <w:jc w:val="both"/>
        <w:rPr>
          <w:rFonts w:cstheme="minorHAnsi"/>
        </w:rPr>
      </w:pPr>
    </w:p>
    <w:p w14:paraId="08C2E770" w14:textId="2EAB8493" w:rsidR="00B42F2B" w:rsidRDefault="00B42F2B" w:rsidP="00B42F2B">
      <w:pPr>
        <w:spacing w:after="60" w:line="240" w:lineRule="auto"/>
        <w:ind w:left="-284"/>
        <w:contextualSpacing/>
        <w:jc w:val="both"/>
        <w:rPr>
          <w:rFonts w:cstheme="minorHAnsi"/>
        </w:rPr>
      </w:pPr>
      <w:r w:rsidRPr="00B42F2B">
        <w:rPr>
          <w:rFonts w:cstheme="minorHAnsi"/>
        </w:rPr>
        <w:t xml:space="preserve">Le gouvernement central devrait </w:t>
      </w:r>
      <w:r w:rsidR="00732365">
        <w:rPr>
          <w:rFonts w:cstheme="minorHAnsi"/>
        </w:rPr>
        <w:t xml:space="preserve">ainsi engager </w:t>
      </w:r>
      <w:r w:rsidRPr="00B42F2B">
        <w:rPr>
          <w:rFonts w:cstheme="minorHAnsi"/>
        </w:rPr>
        <w:t>l’intégralité de son enveloppe d’investissement en capital pour 2025</w:t>
      </w:r>
      <w:r w:rsidR="00732365">
        <w:rPr>
          <w:rFonts w:cstheme="minorHAnsi"/>
        </w:rPr>
        <w:t>/</w:t>
      </w:r>
      <w:r w:rsidRPr="00B42F2B">
        <w:rPr>
          <w:rFonts w:cstheme="minorHAnsi"/>
        </w:rPr>
        <w:t>26 (11,2 trillions INR, soit 3,1 % du PIB)</w:t>
      </w:r>
      <w:r w:rsidR="00A40715">
        <w:rPr>
          <w:rStyle w:val="Appelnotedebasdep"/>
          <w:rFonts w:cstheme="minorHAnsi"/>
        </w:rPr>
        <w:footnoteReference w:id="4"/>
      </w:r>
      <w:r w:rsidRPr="00B42F2B">
        <w:rPr>
          <w:rFonts w:cstheme="minorHAnsi"/>
        </w:rPr>
        <w:t xml:space="preserve"> </w:t>
      </w:r>
      <w:r w:rsidR="00732365">
        <w:rPr>
          <w:rFonts w:cstheme="minorHAnsi"/>
        </w:rPr>
        <w:t xml:space="preserve">conformément au </w:t>
      </w:r>
      <w:r w:rsidRPr="00B42F2B">
        <w:rPr>
          <w:rFonts w:cstheme="minorHAnsi"/>
        </w:rPr>
        <w:t>rythme habituel</w:t>
      </w:r>
      <w:r w:rsidR="00732365">
        <w:rPr>
          <w:rFonts w:cstheme="minorHAnsi"/>
        </w:rPr>
        <w:t xml:space="preserve"> en place depuis l’exercice 2022.</w:t>
      </w:r>
      <w:r w:rsidRPr="00B42F2B">
        <w:rPr>
          <w:rFonts w:cstheme="minorHAnsi"/>
        </w:rPr>
        <w:t xml:space="preserve"> </w:t>
      </w:r>
      <w:r w:rsidR="00732365">
        <w:t>Après un premier semestre 2024-25 marqué par un net ralentissement de l’investissement public en raison du cycle électoral et de conditions météorologiques défavorables, la croissance annuelle des dépenses d’équipement apparaîtra mécaniquement élevée au premier semestre 2025</w:t>
      </w:r>
      <w:r w:rsidR="004D2FF6">
        <w:t>/</w:t>
      </w:r>
      <w:r w:rsidR="00732365">
        <w:t xml:space="preserve">26, contribuant à soutenir une expansion du PIB estimée à 6,5 % malgré les incertitudes liées au contexte tarifaire. </w:t>
      </w:r>
    </w:p>
    <w:p w14:paraId="74534176" w14:textId="77777777" w:rsidR="00B42F2B" w:rsidRDefault="00B42F2B" w:rsidP="00B42F2B">
      <w:pPr>
        <w:spacing w:after="60" w:line="240" w:lineRule="auto"/>
        <w:ind w:left="-284"/>
        <w:contextualSpacing/>
        <w:jc w:val="both"/>
        <w:rPr>
          <w:rFonts w:cstheme="minorHAnsi"/>
        </w:rPr>
      </w:pPr>
    </w:p>
    <w:p w14:paraId="6401FB59" w14:textId="7DE7CF4B" w:rsidR="00B42F2B" w:rsidRDefault="00B01387" w:rsidP="00B01387">
      <w:pPr>
        <w:spacing w:after="60" w:line="240" w:lineRule="auto"/>
        <w:ind w:left="-284"/>
        <w:contextualSpacing/>
        <w:jc w:val="both"/>
        <w:rPr>
          <w:rFonts w:cstheme="minorHAnsi"/>
        </w:rPr>
      </w:pPr>
      <w:r>
        <w:t xml:space="preserve">Par ailleurs, le versement exceptionnel de 2,7 trillions INR par la Banque centrale (RBI), 300 à 400 Mds </w:t>
      </w:r>
      <w:r w:rsidR="008F2D48">
        <w:t>INR</w:t>
      </w:r>
      <w:r>
        <w:t xml:space="preserve"> de plus qu’anticipé</w:t>
      </w:r>
      <w:r w:rsidR="00A40715">
        <w:rPr>
          <w:rStyle w:val="Appelnotedebasdep"/>
        </w:rPr>
        <w:footnoteReference w:id="5"/>
      </w:r>
      <w:r>
        <w:t>, a conféré au gouvernement une marge de manœuvre budgétaire additionnelle, notamment dans l’optique de financer l’effort de défense. Sur le plan monétaire, il est largement attendu que le Comité de politique monétaire (MPC) procède, lors de sa réunion du 1</w:t>
      </w:r>
      <w:r w:rsidRPr="00B01387">
        <w:rPr>
          <w:vertAlign w:val="superscript"/>
        </w:rPr>
        <w:t>er</w:t>
      </w:r>
      <w:r>
        <w:t xml:space="preserve"> octobre, à une réduction de 25 points de base du taux repo, qui serait alors ramené à 5,25 %, et ce, afin de soutenir l’objectif de croissance de 6,5 % sur les exercices 2025/26 et 2026/27</w:t>
      </w:r>
      <w:r w:rsidR="00F338F3">
        <w:rPr>
          <w:rStyle w:val="Appelnotedebasdep"/>
        </w:rPr>
        <w:footnoteReference w:id="6"/>
      </w:r>
      <w:r>
        <w:t>. En parallèle, la RBI a initié une réduction progressive du Cash Reserve Ratio (CRR) de 100 points de base, avec un objectif de 3 % d’ici novembre 2025 visant à maintenir un excédent structurel de liquidité dans le système bancaire afin de soutenir le crédit et stimuler la croissance agrégée</w:t>
      </w:r>
      <w:r w:rsidR="00F338F3">
        <w:rPr>
          <w:rStyle w:val="Appelnotedebasdep"/>
        </w:rPr>
        <w:footnoteReference w:id="7"/>
      </w:r>
      <w:r>
        <w:t>.</w:t>
      </w:r>
    </w:p>
    <w:p w14:paraId="4C56B9A2" w14:textId="77777777" w:rsidR="00B42F2B" w:rsidRPr="00B42F2B" w:rsidRDefault="00B42F2B" w:rsidP="00B42F2B">
      <w:pPr>
        <w:spacing w:after="60" w:line="240" w:lineRule="auto"/>
        <w:ind w:left="-284"/>
        <w:contextualSpacing/>
        <w:jc w:val="both"/>
        <w:rPr>
          <w:rFonts w:cstheme="minorHAnsi"/>
        </w:rPr>
      </w:pPr>
    </w:p>
    <w:p w14:paraId="795ACA19" w14:textId="66AE7388" w:rsidR="00B42F2B" w:rsidRDefault="002E5E1B" w:rsidP="00B42F2B">
      <w:pPr>
        <w:spacing w:after="60" w:line="240" w:lineRule="auto"/>
        <w:ind w:left="-284"/>
        <w:contextualSpacing/>
        <w:jc w:val="both"/>
        <w:rPr>
          <w:rFonts w:cstheme="minorHAnsi"/>
        </w:rPr>
      </w:pPr>
      <w:r>
        <w:t xml:space="preserve">La consommation privée, qui représente </w:t>
      </w:r>
      <w:r w:rsidR="00937DED">
        <w:t>61</w:t>
      </w:r>
      <w:r>
        <w:t xml:space="preserve"> % du PIB</w:t>
      </w:r>
      <w:r w:rsidR="00937DED">
        <w:rPr>
          <w:rStyle w:val="Appelnotedebasdep"/>
        </w:rPr>
        <w:footnoteReference w:id="8"/>
      </w:r>
      <w:r>
        <w:t>, principal moteur de l’économie indienne, bénéficie d’un soutien conjoint des politiques monétaire et budgétaire, dans le prolongement de l’objectif de croissance affiché par les autorités. Elle est portée par le reflux marqué de l’inflation (CPI à 1,55 % en juillet, un plus bas en huit ans)</w:t>
      </w:r>
      <w:r w:rsidR="00F338F3">
        <w:rPr>
          <w:rStyle w:val="Appelnotedebasdep"/>
        </w:rPr>
        <w:footnoteReference w:id="9"/>
      </w:r>
      <w:r>
        <w:t xml:space="preserve">, mais également par les mesures annoncées dans le budget 2026, notamment une </w:t>
      </w:r>
      <w:r>
        <w:lastRenderedPageBreak/>
        <w:t xml:space="preserve">réduction d’impôts de 1 000 </w:t>
      </w:r>
      <w:r w:rsidR="00347FCE">
        <w:t>Mds INR</w:t>
      </w:r>
      <w:r w:rsidR="004F4579">
        <w:rPr>
          <w:rStyle w:val="Appelnotedebasdep"/>
        </w:rPr>
        <w:footnoteReference w:id="10"/>
      </w:r>
      <w:r w:rsidR="00347FCE">
        <w:t xml:space="preserve"> </w:t>
      </w:r>
      <w:r>
        <w:t xml:space="preserve">et une rationalisation des taux de TVA (GST). Ces mesures devraient accroître le revenu disponible réel des ménages et stimuler la demande intérieure, même si une partie de la baisse de TVA risque d’être captée par les entreprises sous forme de marges, plutôt que pleinement transmise aux consommateurs. </w:t>
      </w:r>
      <w:r w:rsidR="004D2FF6">
        <w:t>Toutefois, il convient de noter que les retombées de ces mesures fiscales se feront ressentir plutôt lors du deuxième trimestre de l’exercice</w:t>
      </w:r>
      <w:r w:rsidR="00771DEE">
        <w:t xml:space="preserve">, et leur capacité à </w:t>
      </w:r>
      <w:r w:rsidR="00771DEE" w:rsidRPr="00771DEE">
        <w:t>neutraliser pleinement l’impact négatif des tensions commerciales externes</w:t>
      </w:r>
      <w:r w:rsidR="00771DEE">
        <w:t xml:space="preserve"> demeure une interrogation.</w:t>
      </w:r>
    </w:p>
    <w:p w14:paraId="13C43C6C" w14:textId="77777777" w:rsidR="002E5E1B" w:rsidRPr="00B42F2B" w:rsidRDefault="002E5E1B" w:rsidP="00B42F2B">
      <w:pPr>
        <w:spacing w:after="60" w:line="240" w:lineRule="auto"/>
        <w:ind w:left="-284"/>
        <w:contextualSpacing/>
        <w:jc w:val="both"/>
        <w:rPr>
          <w:rFonts w:cstheme="minorHAnsi"/>
        </w:rPr>
      </w:pPr>
    </w:p>
    <w:p w14:paraId="43479415" w14:textId="2D932DAC" w:rsidR="00AC501A" w:rsidRDefault="00AC501A" w:rsidP="00580BA3">
      <w:pPr>
        <w:spacing w:after="60" w:line="240" w:lineRule="auto"/>
        <w:ind w:left="-284"/>
        <w:contextualSpacing/>
        <w:jc w:val="both"/>
        <w:rPr>
          <w:rFonts w:cstheme="minorHAnsi"/>
        </w:rPr>
      </w:pPr>
      <w:r w:rsidRPr="00AC501A">
        <w:rPr>
          <w:rFonts w:cstheme="minorHAnsi"/>
        </w:rPr>
        <w:t xml:space="preserve">Néanmoins, la décision américaine de relever à 25 % les droits de douane sur les exportations indiennes, entrée en vigueur le </w:t>
      </w:r>
      <w:r>
        <w:rPr>
          <w:rFonts w:cstheme="minorHAnsi"/>
        </w:rPr>
        <w:t>27</w:t>
      </w:r>
      <w:r w:rsidRPr="00AC501A">
        <w:rPr>
          <w:rFonts w:cstheme="minorHAnsi"/>
        </w:rPr>
        <w:t xml:space="preserve"> août</w:t>
      </w:r>
      <w:r w:rsidR="006729F5">
        <w:rPr>
          <w:rStyle w:val="Appelnotedebasdep"/>
          <w:rFonts w:cstheme="minorHAnsi"/>
        </w:rPr>
        <w:footnoteReference w:id="11"/>
      </w:r>
      <w:r w:rsidRPr="00AC501A">
        <w:rPr>
          <w:rFonts w:cstheme="minorHAnsi"/>
        </w:rPr>
        <w:t xml:space="preserve">, constitue un risque baissier pour la croissance. Si cette mesure devrait rester transitoire </w:t>
      </w:r>
      <w:r w:rsidR="00590878">
        <w:rPr>
          <w:rFonts w:cstheme="minorHAnsi"/>
        </w:rPr>
        <w:t xml:space="preserve">- </w:t>
      </w:r>
      <w:r w:rsidRPr="00AC501A">
        <w:rPr>
          <w:rFonts w:cstheme="minorHAnsi"/>
        </w:rPr>
        <w:t>un accord bilatéral étant attendu d’ici l’automne prévoyant une réduction du tarif à 15 %</w:t>
      </w:r>
      <w:r w:rsidR="00A9489A">
        <w:rPr>
          <w:rStyle w:val="Appelnotedebasdep"/>
          <w:rFonts w:cstheme="minorHAnsi"/>
        </w:rPr>
        <w:footnoteReference w:id="12"/>
      </w:r>
      <w:r w:rsidR="00590878">
        <w:rPr>
          <w:rFonts w:cstheme="minorHAnsi"/>
        </w:rPr>
        <w:t xml:space="preserve"> -</w:t>
      </w:r>
      <w:r w:rsidRPr="00AC501A">
        <w:rPr>
          <w:rFonts w:cstheme="minorHAnsi"/>
        </w:rPr>
        <w:t xml:space="preserve"> l’épisode alimente un climat d’incertitude, susceptible de peser sur la confiance des entreprises et de différer la reprise de l’investissement privé, déjà repoussée à plusieurs reprises ces dernières années. </w:t>
      </w:r>
      <w:r w:rsidR="002F110E">
        <w:t>Dans ce contexte, le maintien d’un</w:t>
      </w:r>
      <w:r w:rsidR="008F2D48">
        <w:t xml:space="preserve">e combinaison budgétaire et monétaire </w:t>
      </w:r>
      <w:r w:rsidR="002F110E">
        <w:t xml:space="preserve">expansionniste apparaît déterminant pour soutenir la croissance dans une fourchette de 6,5 à 7 %, en dépit des tensions commerciales et du climat mondial incertain. </w:t>
      </w:r>
    </w:p>
    <w:p w14:paraId="2EA3D6ED" w14:textId="77777777" w:rsidR="00B42F2B" w:rsidRPr="002D06F0" w:rsidRDefault="00B42F2B" w:rsidP="00A40A71">
      <w:pPr>
        <w:spacing w:after="60" w:line="240" w:lineRule="auto"/>
        <w:ind w:left="-284"/>
        <w:contextualSpacing/>
        <w:jc w:val="both"/>
        <w:rPr>
          <w:rFonts w:cstheme="minorHAnsi"/>
        </w:rPr>
      </w:pPr>
    </w:p>
    <w:p w14:paraId="32A69597" w14:textId="7EAD83FD" w:rsidR="00A40A71" w:rsidRPr="00A40A71" w:rsidRDefault="00771DEE" w:rsidP="00771DEE">
      <w:pPr>
        <w:spacing w:after="60" w:line="240" w:lineRule="auto"/>
        <w:ind w:left="-284"/>
        <w:contextualSpacing/>
        <w:jc w:val="both"/>
        <w:rPr>
          <w:rFonts w:eastAsia="Times New Roman" w:cstheme="minorHAnsi"/>
          <w:i/>
          <w:color w:val="000091" w:themeColor="text1"/>
          <w:lang w:eastAsia="fr-FR"/>
        </w:rPr>
      </w:pPr>
      <w:r w:rsidRPr="00771DEE">
        <w:rPr>
          <w:rFonts w:eastAsia="Times New Roman" w:cstheme="minorHAnsi"/>
          <w:i/>
          <w:color w:val="000091" w:themeColor="text1"/>
          <w:lang w:eastAsia="fr-FR"/>
        </w:rPr>
        <w:t>Le premier trimestre de l’exercice 2025/26 se distingue par une croissance du PIB</w:t>
      </w:r>
      <w:r>
        <w:rPr>
          <w:rFonts w:eastAsia="Times New Roman" w:cstheme="minorHAnsi"/>
          <w:i/>
          <w:color w:val="000091" w:themeColor="text1"/>
          <w:lang w:eastAsia="fr-FR"/>
        </w:rPr>
        <w:t xml:space="preserve"> solide</w:t>
      </w:r>
      <w:r w:rsidRPr="00771DEE">
        <w:rPr>
          <w:rFonts w:eastAsia="Times New Roman" w:cstheme="minorHAnsi"/>
          <w:i/>
          <w:color w:val="000091" w:themeColor="text1"/>
          <w:lang w:eastAsia="fr-FR"/>
        </w:rPr>
        <w:t xml:space="preserve">, soutenue par des dépenses publiques ciblées, une dynamique positive de l’investissement et une demande domestique robuste. Toutefois, la performance de 7,8 % doit être relativisée </w:t>
      </w:r>
      <w:r>
        <w:rPr>
          <w:rFonts w:eastAsia="Times New Roman" w:cstheme="minorHAnsi"/>
          <w:i/>
          <w:color w:val="000091" w:themeColor="text1"/>
          <w:lang w:eastAsia="fr-FR"/>
        </w:rPr>
        <w:t>à la lumière d’un</w:t>
      </w:r>
      <w:r w:rsidRPr="00771DEE">
        <w:rPr>
          <w:rFonts w:eastAsia="Times New Roman" w:cstheme="minorHAnsi"/>
          <w:i/>
          <w:color w:val="000091" w:themeColor="text1"/>
          <w:lang w:eastAsia="fr-FR"/>
        </w:rPr>
        <w:t xml:space="preserve"> déflateur exceptionnellement bas</w:t>
      </w:r>
      <w:r w:rsidR="000F66BC">
        <w:rPr>
          <w:rFonts w:eastAsia="Times New Roman" w:cstheme="minorHAnsi"/>
          <w:i/>
          <w:color w:val="000091" w:themeColor="text1"/>
          <w:lang w:eastAsia="fr-FR"/>
        </w:rPr>
        <w:t xml:space="preserve">, gonflant artificiellement </w:t>
      </w:r>
      <w:r w:rsidRPr="00771DEE">
        <w:rPr>
          <w:rFonts w:eastAsia="Times New Roman" w:cstheme="minorHAnsi"/>
          <w:i/>
          <w:color w:val="000091" w:themeColor="text1"/>
          <w:lang w:eastAsia="fr-FR"/>
        </w:rPr>
        <w:t>la mesure du PIB réel</w:t>
      </w:r>
      <w:r w:rsidR="000F66BC">
        <w:rPr>
          <w:rFonts w:eastAsia="Times New Roman" w:cstheme="minorHAnsi"/>
          <w:i/>
          <w:color w:val="000091" w:themeColor="text1"/>
          <w:lang w:eastAsia="fr-FR"/>
        </w:rPr>
        <w:t xml:space="preserve">. Par conséquent, ce </w:t>
      </w:r>
      <w:r w:rsidRPr="00771DEE">
        <w:rPr>
          <w:rFonts w:eastAsia="Times New Roman" w:cstheme="minorHAnsi"/>
          <w:i/>
          <w:color w:val="000091" w:themeColor="text1"/>
          <w:lang w:eastAsia="fr-FR"/>
        </w:rPr>
        <w:t xml:space="preserve">dynamisme </w:t>
      </w:r>
      <w:r w:rsidR="000F66BC">
        <w:rPr>
          <w:rFonts w:eastAsia="Times New Roman" w:cstheme="minorHAnsi"/>
          <w:i/>
          <w:color w:val="000091" w:themeColor="text1"/>
          <w:lang w:eastAsia="fr-FR"/>
        </w:rPr>
        <w:t>revêt un</w:t>
      </w:r>
      <w:r w:rsidRPr="00771DEE">
        <w:rPr>
          <w:rFonts w:eastAsia="Times New Roman" w:cstheme="minorHAnsi"/>
          <w:i/>
          <w:color w:val="000091" w:themeColor="text1"/>
          <w:lang w:eastAsia="fr-FR"/>
        </w:rPr>
        <w:t xml:space="preserve"> caractère </w:t>
      </w:r>
      <w:r w:rsidR="000F66BC">
        <w:rPr>
          <w:rFonts w:eastAsia="Times New Roman" w:cstheme="minorHAnsi"/>
          <w:i/>
          <w:color w:val="000091" w:themeColor="text1"/>
          <w:lang w:eastAsia="fr-FR"/>
        </w:rPr>
        <w:t xml:space="preserve">essentiellement </w:t>
      </w:r>
      <w:r w:rsidRPr="00771DEE">
        <w:rPr>
          <w:rFonts w:eastAsia="Times New Roman" w:cstheme="minorHAnsi"/>
          <w:i/>
          <w:color w:val="000091" w:themeColor="text1"/>
          <w:lang w:eastAsia="fr-FR"/>
        </w:rPr>
        <w:t>conjoncturel</w:t>
      </w:r>
      <w:r>
        <w:rPr>
          <w:rFonts w:eastAsia="Times New Roman" w:cstheme="minorHAnsi"/>
          <w:i/>
          <w:color w:val="000091" w:themeColor="text1"/>
          <w:lang w:eastAsia="fr-FR"/>
        </w:rPr>
        <w:t xml:space="preserve">, </w:t>
      </w:r>
      <w:r w:rsidRPr="00771DEE">
        <w:rPr>
          <w:rFonts w:eastAsia="Times New Roman" w:cstheme="minorHAnsi"/>
          <w:i/>
          <w:color w:val="000091" w:themeColor="text1"/>
          <w:lang w:eastAsia="fr-FR"/>
        </w:rPr>
        <w:t>masquant certaines fragilités structurelles. Les perspectives pour les prochains trimestres apparaissent plus contraintes, sous l’effet d’un environnement externe moins porteur</w:t>
      </w:r>
      <w:r>
        <w:rPr>
          <w:rFonts w:eastAsia="Times New Roman" w:cstheme="minorHAnsi"/>
          <w:i/>
          <w:color w:val="000091" w:themeColor="text1"/>
          <w:lang w:eastAsia="fr-FR"/>
        </w:rPr>
        <w:t>,</w:t>
      </w:r>
      <w:r w:rsidR="000F66BC">
        <w:rPr>
          <w:rFonts w:eastAsia="Times New Roman" w:cstheme="minorHAnsi"/>
          <w:i/>
          <w:color w:val="000091" w:themeColor="text1"/>
          <w:lang w:eastAsia="fr-FR"/>
        </w:rPr>
        <w:t xml:space="preserve"> </w:t>
      </w:r>
      <w:r w:rsidR="000F66BC" w:rsidRPr="000F66BC">
        <w:rPr>
          <w:rFonts w:eastAsia="Times New Roman" w:cstheme="minorHAnsi"/>
          <w:i/>
          <w:color w:val="000091" w:themeColor="text1"/>
          <w:lang w:eastAsia="fr-FR"/>
        </w:rPr>
        <w:t>en particulier si les tensions commerciales avec les États-Unis persistent et s’aggravent, tandis que la reprise de l’investissement privé reste hésitante</w:t>
      </w:r>
      <w:r w:rsidRPr="00771DEE">
        <w:rPr>
          <w:rFonts w:eastAsia="Times New Roman" w:cstheme="minorHAnsi"/>
          <w:i/>
          <w:color w:val="000091" w:themeColor="text1"/>
          <w:lang w:eastAsia="fr-FR"/>
        </w:rPr>
        <w:t>. Si la baisse des taux directeurs devrait contribuer à amortir partiellement ce choc, son effet restera limité dans un contexte d’inflation structurellement faible.</w:t>
      </w:r>
      <w:r>
        <w:rPr>
          <w:rFonts w:eastAsia="Times New Roman" w:cstheme="minorHAnsi"/>
          <w:i/>
          <w:color w:val="000091" w:themeColor="text1"/>
          <w:lang w:eastAsia="fr-FR"/>
        </w:rPr>
        <w:t xml:space="preserve"> </w:t>
      </w:r>
      <w:r w:rsidRPr="00771DEE">
        <w:rPr>
          <w:rFonts w:eastAsia="Times New Roman" w:cstheme="minorHAnsi"/>
          <w:i/>
          <w:color w:val="000091" w:themeColor="text1"/>
          <w:lang w:eastAsia="fr-FR"/>
        </w:rPr>
        <w:t xml:space="preserve">La soutenabilité de la trajectoire de croissance reposera dès lors sur la capacité des autorités à maintenir un </w:t>
      </w:r>
      <w:proofErr w:type="spellStart"/>
      <w:r w:rsidRPr="00771DEE">
        <w:rPr>
          <w:rFonts w:eastAsia="Times New Roman" w:cstheme="minorHAnsi"/>
          <w:i/>
          <w:color w:val="000091" w:themeColor="text1"/>
          <w:lang w:eastAsia="fr-FR"/>
        </w:rPr>
        <w:t>policy</w:t>
      </w:r>
      <w:proofErr w:type="spellEnd"/>
      <w:r w:rsidRPr="00771DEE">
        <w:rPr>
          <w:rFonts w:eastAsia="Times New Roman" w:cstheme="minorHAnsi"/>
          <w:i/>
          <w:color w:val="000091" w:themeColor="text1"/>
          <w:lang w:eastAsia="fr-FR"/>
        </w:rPr>
        <w:t xml:space="preserve"> mix expansionniste sans compromettre la stabilité macroéconomique. </w:t>
      </w:r>
    </w:p>
    <w:sectPr w:rsidR="00A40A71" w:rsidRPr="00A40A71" w:rsidSect="005F36AB">
      <w:footerReference w:type="default" r:id="rId13"/>
      <w:endnotePr>
        <w:numFmt w:val="decimal"/>
      </w:endnotePr>
      <w:pgSz w:w="11906" w:h="16838"/>
      <w:pgMar w:top="709" w:right="1274"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90F7" w14:textId="77777777" w:rsidR="009A20E8" w:rsidRDefault="009A20E8" w:rsidP="001C2361">
      <w:pPr>
        <w:spacing w:after="0" w:line="240" w:lineRule="auto"/>
      </w:pPr>
      <w:r>
        <w:separator/>
      </w:r>
    </w:p>
  </w:endnote>
  <w:endnote w:type="continuationSeparator" w:id="0">
    <w:p w14:paraId="56A9ED89" w14:textId="77777777" w:rsidR="009A20E8" w:rsidRDefault="009A20E8"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Times New Roman (Corp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269470"/>
      <w:docPartObj>
        <w:docPartGallery w:val="Page Numbers (Bottom of Page)"/>
        <w:docPartUnique/>
      </w:docPartObj>
    </w:sdtPr>
    <w:sdtEndPr/>
    <w:sdtContent>
      <w:p w14:paraId="676859E8" w14:textId="2F40D4C1" w:rsidR="004642DE" w:rsidRDefault="004642DE">
        <w:pPr>
          <w:pStyle w:val="Pieddepage"/>
          <w:jc w:val="right"/>
        </w:pPr>
        <w:r>
          <w:fldChar w:fldCharType="begin"/>
        </w:r>
        <w:r>
          <w:instrText>PAGE   \* MERGEFORMAT</w:instrText>
        </w:r>
        <w:r>
          <w:fldChar w:fldCharType="separate"/>
        </w:r>
        <w:r>
          <w:t>2</w:t>
        </w:r>
        <w:r>
          <w:fldChar w:fldCharType="end"/>
        </w:r>
      </w:p>
    </w:sdtContent>
  </w:sdt>
  <w:p w14:paraId="0EDDC50B" w14:textId="77777777" w:rsidR="004642DE" w:rsidRDefault="004642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DDD5" w14:textId="77777777" w:rsidR="009A20E8" w:rsidRDefault="009A20E8" w:rsidP="001C2361">
      <w:pPr>
        <w:spacing w:after="0" w:line="240" w:lineRule="auto"/>
      </w:pPr>
      <w:r>
        <w:separator/>
      </w:r>
    </w:p>
  </w:footnote>
  <w:footnote w:type="continuationSeparator" w:id="0">
    <w:p w14:paraId="7D07946F" w14:textId="77777777" w:rsidR="009A20E8" w:rsidRDefault="009A20E8" w:rsidP="001C2361">
      <w:pPr>
        <w:spacing w:after="0" w:line="240" w:lineRule="auto"/>
      </w:pPr>
      <w:r>
        <w:continuationSeparator/>
      </w:r>
    </w:p>
  </w:footnote>
  <w:footnote w:id="1">
    <w:p w14:paraId="059FBE8B" w14:textId="2FB6E160" w:rsidR="00242DD0" w:rsidRPr="00242DD0" w:rsidRDefault="00242DD0">
      <w:pPr>
        <w:pStyle w:val="Notedebasdepage"/>
        <w:rPr>
          <w:sz w:val="18"/>
          <w:szCs w:val="18"/>
          <w:lang w:val="en-GB"/>
        </w:rPr>
      </w:pPr>
      <w:r w:rsidRPr="00242DD0">
        <w:rPr>
          <w:rStyle w:val="Appelnotedebasdep"/>
          <w:sz w:val="18"/>
          <w:szCs w:val="18"/>
        </w:rPr>
        <w:footnoteRef/>
      </w:r>
      <w:r w:rsidRPr="00242DD0">
        <w:rPr>
          <w:sz w:val="18"/>
          <w:szCs w:val="18"/>
          <w:lang w:val="en-GB"/>
        </w:rPr>
        <w:t xml:space="preserve"> </w:t>
      </w:r>
      <w:hyperlink r:id="rId1" w:history="1">
        <w:r w:rsidRPr="00242DD0">
          <w:rPr>
            <w:rStyle w:val="Lienhypertexte"/>
            <w:sz w:val="18"/>
            <w:szCs w:val="18"/>
            <w:lang w:val="en-GB"/>
          </w:rPr>
          <w:t>Ministry of Statistics Office and Programme Implementation – Quarterly Estimates of GDP</w:t>
        </w:r>
      </w:hyperlink>
      <w:r>
        <w:rPr>
          <w:sz w:val="18"/>
          <w:szCs w:val="18"/>
          <w:lang w:val="en-GB"/>
        </w:rPr>
        <w:t xml:space="preserve"> </w:t>
      </w:r>
    </w:p>
  </w:footnote>
  <w:footnote w:id="2">
    <w:p w14:paraId="0166F51D" w14:textId="6490587A" w:rsidR="00A40715" w:rsidRPr="004F4579" w:rsidRDefault="00A40715" w:rsidP="00A40715">
      <w:pPr>
        <w:pStyle w:val="Notedebasdepage"/>
        <w:jc w:val="both"/>
        <w:rPr>
          <w:sz w:val="16"/>
          <w:szCs w:val="16"/>
          <w:lang w:val="en-GB"/>
        </w:rPr>
      </w:pPr>
      <w:r w:rsidRPr="004F4579">
        <w:rPr>
          <w:rStyle w:val="Appelnotedebasdep"/>
          <w:sz w:val="16"/>
          <w:szCs w:val="16"/>
        </w:rPr>
        <w:footnoteRef/>
      </w:r>
      <w:r w:rsidRPr="004F4579">
        <w:rPr>
          <w:sz w:val="16"/>
          <w:szCs w:val="16"/>
          <w:lang w:val="en-GB"/>
        </w:rPr>
        <w:t xml:space="preserve"> </w:t>
      </w:r>
      <w:hyperlink r:id="rId2" w:history="1">
        <w:r w:rsidRPr="004F4579">
          <w:rPr>
            <w:rStyle w:val="Lienhypertexte"/>
            <w:sz w:val="16"/>
            <w:szCs w:val="16"/>
            <w:lang w:val="en-GB"/>
          </w:rPr>
          <w:t>https://www.icra.in/CommonService/OpenMediaS3?Key=19b872ba-1a07-452e-9d06-1e1f06d99b86</w:t>
        </w:r>
      </w:hyperlink>
      <w:r w:rsidRPr="004F4579">
        <w:rPr>
          <w:sz w:val="16"/>
          <w:szCs w:val="16"/>
          <w:lang w:val="en-GB"/>
        </w:rPr>
        <w:t xml:space="preserve"> </w:t>
      </w:r>
    </w:p>
  </w:footnote>
  <w:footnote w:id="3">
    <w:p w14:paraId="20117DEA" w14:textId="72870201" w:rsidR="00A40715" w:rsidRPr="004F4579" w:rsidRDefault="00A40715">
      <w:pPr>
        <w:pStyle w:val="Notedebasdepage"/>
        <w:rPr>
          <w:sz w:val="16"/>
          <w:szCs w:val="16"/>
          <w:lang w:val="en-US"/>
        </w:rPr>
      </w:pPr>
      <w:r w:rsidRPr="004F4579">
        <w:rPr>
          <w:rStyle w:val="Appelnotedebasdep"/>
          <w:sz w:val="16"/>
          <w:szCs w:val="16"/>
        </w:rPr>
        <w:footnoteRef/>
      </w:r>
      <w:r w:rsidRPr="004F4579">
        <w:rPr>
          <w:sz w:val="16"/>
          <w:szCs w:val="16"/>
          <w:lang w:val="en-GB"/>
        </w:rPr>
        <w:t xml:space="preserve"> </w:t>
      </w:r>
      <w:hyperlink r:id="rId3" w:history="1">
        <w:r w:rsidRPr="004F4579">
          <w:rPr>
            <w:rStyle w:val="Lienhypertexte"/>
            <w:sz w:val="16"/>
            <w:szCs w:val="16"/>
            <w:lang w:val="en-GB"/>
          </w:rPr>
          <w:t>https://www.pib.gov.in/PressReleaseIframePage.aspx?PRID=2098353</w:t>
        </w:r>
      </w:hyperlink>
      <w:r w:rsidRPr="004F4579">
        <w:rPr>
          <w:sz w:val="16"/>
          <w:szCs w:val="16"/>
          <w:lang w:val="en-GB"/>
        </w:rPr>
        <w:t xml:space="preserve"> </w:t>
      </w:r>
    </w:p>
  </w:footnote>
  <w:footnote w:id="4">
    <w:p w14:paraId="0509C85C" w14:textId="72AE6DAE" w:rsidR="00A40715" w:rsidRPr="004F4579" w:rsidRDefault="00A40715">
      <w:pPr>
        <w:pStyle w:val="Notedebasdepage"/>
        <w:rPr>
          <w:sz w:val="16"/>
          <w:szCs w:val="16"/>
          <w:lang w:val="en-US"/>
        </w:rPr>
      </w:pPr>
      <w:r w:rsidRPr="004F4579">
        <w:rPr>
          <w:rStyle w:val="Appelnotedebasdep"/>
          <w:sz w:val="16"/>
          <w:szCs w:val="16"/>
        </w:rPr>
        <w:footnoteRef/>
      </w:r>
      <w:r w:rsidRPr="004F4579">
        <w:rPr>
          <w:sz w:val="16"/>
          <w:szCs w:val="16"/>
          <w:lang w:val="en-US"/>
        </w:rPr>
        <w:t xml:space="preserve"> </w:t>
      </w:r>
      <w:hyperlink r:id="rId4" w:history="1">
        <w:r w:rsidRPr="004F4579">
          <w:rPr>
            <w:rStyle w:val="Lienhypertexte"/>
            <w:sz w:val="16"/>
            <w:szCs w:val="16"/>
            <w:lang w:val="en-US"/>
          </w:rPr>
          <w:t>https://www.pib.gov.in/PressReleaseIframePage.aspx?PRID=2098353</w:t>
        </w:r>
      </w:hyperlink>
      <w:r w:rsidRPr="004F4579">
        <w:rPr>
          <w:sz w:val="16"/>
          <w:szCs w:val="16"/>
          <w:lang w:val="en-US"/>
        </w:rPr>
        <w:t xml:space="preserve"> </w:t>
      </w:r>
    </w:p>
  </w:footnote>
  <w:footnote w:id="5">
    <w:p w14:paraId="25F65ECD" w14:textId="63BA9F94" w:rsidR="00A40715" w:rsidRPr="004F4579" w:rsidRDefault="00A40715">
      <w:pPr>
        <w:pStyle w:val="Notedebasdepage"/>
        <w:rPr>
          <w:sz w:val="16"/>
          <w:szCs w:val="16"/>
          <w:lang w:val="en-US"/>
        </w:rPr>
      </w:pPr>
      <w:r w:rsidRPr="004F4579">
        <w:rPr>
          <w:rStyle w:val="Appelnotedebasdep"/>
          <w:sz w:val="16"/>
          <w:szCs w:val="16"/>
        </w:rPr>
        <w:footnoteRef/>
      </w:r>
      <w:r w:rsidRPr="004F4579">
        <w:rPr>
          <w:sz w:val="16"/>
          <w:szCs w:val="16"/>
          <w:lang w:val="en-US"/>
        </w:rPr>
        <w:t xml:space="preserve"> </w:t>
      </w:r>
      <w:hyperlink r:id="rId5" w:history="1">
        <w:r w:rsidRPr="004F4579">
          <w:rPr>
            <w:rStyle w:val="Lienhypertexte"/>
            <w:sz w:val="16"/>
            <w:szCs w:val="16"/>
            <w:lang w:val="en-US"/>
          </w:rPr>
          <w:t>https://economictimes.indiatimes.com/news/economy/finance/rbis-rs-2-68-lakh-crore-dividend-bonanza-beats-govt-estimate/articleshow/121377041.cms?from=mdr</w:t>
        </w:r>
      </w:hyperlink>
      <w:r w:rsidRPr="004F4579">
        <w:rPr>
          <w:sz w:val="16"/>
          <w:szCs w:val="16"/>
          <w:lang w:val="en-US"/>
        </w:rPr>
        <w:t xml:space="preserve"> </w:t>
      </w:r>
    </w:p>
  </w:footnote>
  <w:footnote w:id="6">
    <w:p w14:paraId="5DD4DE80" w14:textId="31ADE090" w:rsidR="00F338F3" w:rsidRPr="004F4579" w:rsidRDefault="00F338F3">
      <w:pPr>
        <w:pStyle w:val="Notedebasdepage"/>
        <w:rPr>
          <w:sz w:val="16"/>
          <w:szCs w:val="16"/>
          <w:lang w:val="en-US"/>
        </w:rPr>
      </w:pPr>
      <w:r w:rsidRPr="004F4579">
        <w:rPr>
          <w:rStyle w:val="Appelnotedebasdep"/>
          <w:sz w:val="16"/>
          <w:szCs w:val="16"/>
        </w:rPr>
        <w:footnoteRef/>
      </w:r>
      <w:r w:rsidRPr="004F4579">
        <w:rPr>
          <w:sz w:val="16"/>
          <w:szCs w:val="16"/>
          <w:lang w:val="en-US"/>
        </w:rPr>
        <w:t xml:space="preserve"> </w:t>
      </w:r>
      <w:hyperlink r:id="rId6" w:history="1">
        <w:r w:rsidRPr="004F4579">
          <w:rPr>
            <w:rStyle w:val="Lienhypertexte"/>
            <w:sz w:val="16"/>
            <w:szCs w:val="16"/>
            <w:lang w:val="en-US"/>
          </w:rPr>
          <w:t>https://www.pib.gov.in/PressNoteDetails.aspx?NoteId=154573&amp;ModuleId=3</w:t>
        </w:r>
      </w:hyperlink>
      <w:r w:rsidRPr="004F4579">
        <w:rPr>
          <w:sz w:val="16"/>
          <w:szCs w:val="16"/>
          <w:lang w:val="en-US"/>
        </w:rPr>
        <w:t xml:space="preserve"> </w:t>
      </w:r>
    </w:p>
  </w:footnote>
  <w:footnote w:id="7">
    <w:p w14:paraId="41087864" w14:textId="228E9D92" w:rsidR="00F338F3" w:rsidRPr="004F4579" w:rsidRDefault="00F338F3">
      <w:pPr>
        <w:pStyle w:val="Notedebasdepage"/>
        <w:rPr>
          <w:sz w:val="16"/>
          <w:szCs w:val="16"/>
          <w:lang w:val="en-US"/>
        </w:rPr>
      </w:pPr>
      <w:r w:rsidRPr="004F4579">
        <w:rPr>
          <w:rStyle w:val="Appelnotedebasdep"/>
          <w:sz w:val="16"/>
          <w:szCs w:val="16"/>
        </w:rPr>
        <w:footnoteRef/>
      </w:r>
      <w:r w:rsidRPr="004F4579">
        <w:rPr>
          <w:sz w:val="16"/>
          <w:szCs w:val="16"/>
          <w:lang w:val="en-US"/>
        </w:rPr>
        <w:t xml:space="preserve"> </w:t>
      </w:r>
      <w:hyperlink r:id="rId7" w:history="1">
        <w:r w:rsidRPr="004F4579">
          <w:rPr>
            <w:rStyle w:val="Lienhypertexte"/>
            <w:sz w:val="16"/>
            <w:szCs w:val="16"/>
            <w:lang w:val="en-US"/>
          </w:rPr>
          <w:t>RBI to cut CRR by 100 bps in four tranches to boost liquidity, effective Sept - The Economic Times</w:t>
        </w:r>
      </w:hyperlink>
      <w:r w:rsidRPr="004F4579">
        <w:rPr>
          <w:sz w:val="16"/>
          <w:szCs w:val="16"/>
          <w:lang w:val="en-US"/>
        </w:rPr>
        <w:t xml:space="preserve"> </w:t>
      </w:r>
    </w:p>
  </w:footnote>
  <w:footnote w:id="8">
    <w:p w14:paraId="4D932217" w14:textId="4391EBAB" w:rsidR="00937DED" w:rsidRPr="00937DED" w:rsidRDefault="00937DED">
      <w:pPr>
        <w:pStyle w:val="Notedebasdepage"/>
        <w:rPr>
          <w:lang w:val="en-US"/>
        </w:rPr>
      </w:pPr>
      <w:r w:rsidRPr="00937DED">
        <w:rPr>
          <w:rStyle w:val="Appelnotedebasdep"/>
          <w:sz w:val="16"/>
          <w:szCs w:val="16"/>
        </w:rPr>
        <w:footnoteRef/>
      </w:r>
      <w:r w:rsidRPr="00937DED">
        <w:rPr>
          <w:sz w:val="16"/>
          <w:szCs w:val="16"/>
          <w:lang w:val="en-US"/>
        </w:rPr>
        <w:t xml:space="preserve"> </w:t>
      </w:r>
      <w:hyperlink r:id="rId8" w:history="1">
        <w:r w:rsidRPr="00937DED">
          <w:rPr>
            <w:rStyle w:val="Lienhypertexte"/>
            <w:sz w:val="16"/>
            <w:szCs w:val="16"/>
            <w:lang w:val="en-US"/>
          </w:rPr>
          <w:t>https://economictimes.indiatimes.com/news/economy/indicators/private-consumption-share-in-indias-gdp-at-two-decade-high-finance-ministry/articleshow/122126505.cms?from=mdr</w:t>
        </w:r>
      </w:hyperlink>
      <w:r w:rsidRPr="00937DED">
        <w:rPr>
          <w:sz w:val="16"/>
          <w:szCs w:val="16"/>
          <w:lang w:val="en-US"/>
        </w:rPr>
        <w:t xml:space="preserve"> </w:t>
      </w:r>
    </w:p>
  </w:footnote>
  <w:footnote w:id="9">
    <w:p w14:paraId="63C81865" w14:textId="3B363161" w:rsidR="00F338F3" w:rsidRPr="004F4579" w:rsidRDefault="00F338F3">
      <w:pPr>
        <w:pStyle w:val="Notedebasdepage"/>
        <w:rPr>
          <w:sz w:val="16"/>
          <w:szCs w:val="16"/>
          <w:lang w:val="en-US"/>
        </w:rPr>
      </w:pPr>
      <w:r w:rsidRPr="004F4579">
        <w:rPr>
          <w:rStyle w:val="Appelnotedebasdep"/>
          <w:sz w:val="16"/>
          <w:szCs w:val="16"/>
        </w:rPr>
        <w:footnoteRef/>
      </w:r>
      <w:r w:rsidRPr="004F4579">
        <w:rPr>
          <w:sz w:val="16"/>
          <w:szCs w:val="16"/>
          <w:lang w:val="en-US"/>
        </w:rPr>
        <w:t xml:space="preserve"> </w:t>
      </w:r>
      <w:hyperlink r:id="rId9" w:history="1">
        <w:r w:rsidRPr="004F4579">
          <w:rPr>
            <w:rStyle w:val="Lienhypertexte"/>
            <w:sz w:val="16"/>
            <w:szCs w:val="16"/>
            <w:lang w:val="en-US"/>
          </w:rPr>
          <w:t>https://www.pib.gov.in/PressReleasePage.aspx?PRID=2155476</w:t>
        </w:r>
      </w:hyperlink>
      <w:r w:rsidRPr="004F4579">
        <w:rPr>
          <w:sz w:val="16"/>
          <w:szCs w:val="16"/>
          <w:lang w:val="en-US"/>
        </w:rPr>
        <w:t xml:space="preserve"> </w:t>
      </w:r>
    </w:p>
  </w:footnote>
  <w:footnote w:id="10">
    <w:p w14:paraId="1A9483FF" w14:textId="4FBAC896" w:rsidR="004F4579" w:rsidRPr="004F4579" w:rsidRDefault="004F4579">
      <w:pPr>
        <w:pStyle w:val="Notedebasdepage"/>
        <w:rPr>
          <w:lang w:val="en-US"/>
        </w:rPr>
      </w:pPr>
      <w:r w:rsidRPr="004F4579">
        <w:rPr>
          <w:rStyle w:val="Appelnotedebasdep"/>
          <w:sz w:val="16"/>
          <w:szCs w:val="16"/>
        </w:rPr>
        <w:footnoteRef/>
      </w:r>
      <w:r w:rsidRPr="004F4579">
        <w:rPr>
          <w:sz w:val="16"/>
          <w:szCs w:val="16"/>
          <w:lang w:val="en-US"/>
        </w:rPr>
        <w:t xml:space="preserve"> </w:t>
      </w:r>
      <w:hyperlink r:id="rId10" w:history="1">
        <w:r w:rsidRPr="004F4579">
          <w:rPr>
            <w:rStyle w:val="Lienhypertexte"/>
            <w:sz w:val="16"/>
            <w:szCs w:val="16"/>
            <w:lang w:val="en-US"/>
          </w:rPr>
          <w:t>https://www.pib.gov.in/PressReleasePage.aspx?PRID=2098352</w:t>
        </w:r>
      </w:hyperlink>
      <w:r w:rsidRPr="004F4579">
        <w:rPr>
          <w:sz w:val="16"/>
          <w:szCs w:val="16"/>
          <w:lang w:val="en-US"/>
        </w:rPr>
        <w:t xml:space="preserve"> </w:t>
      </w:r>
    </w:p>
  </w:footnote>
  <w:footnote w:id="11">
    <w:p w14:paraId="668DB054" w14:textId="206ACCBA" w:rsidR="006729F5" w:rsidRPr="006729F5" w:rsidRDefault="006729F5" w:rsidP="006729F5">
      <w:pPr>
        <w:pStyle w:val="Notedebasdepage"/>
        <w:jc w:val="both"/>
        <w:rPr>
          <w:lang w:val="en-US"/>
        </w:rPr>
      </w:pPr>
      <w:r>
        <w:rPr>
          <w:rStyle w:val="Appelnotedebasdep"/>
        </w:rPr>
        <w:footnoteRef/>
      </w:r>
      <w:hyperlink r:id="rId11" w:history="1">
        <w:r w:rsidRPr="006729F5">
          <w:rPr>
            <w:rStyle w:val="Lienhypertexte"/>
            <w:sz w:val="16"/>
            <w:szCs w:val="16"/>
            <w:lang w:val="en-US"/>
          </w:rPr>
          <w:t>https://www.fedex.com/content/dam/fedex/us-united-states/International/Additional_Tariffs_on_Indian_Origin_Goods_Effective_August_27_2025.pdf</w:t>
        </w:r>
      </w:hyperlink>
      <w:r w:rsidRPr="006729F5">
        <w:rPr>
          <w:sz w:val="16"/>
          <w:szCs w:val="16"/>
          <w:lang w:val="en-US"/>
        </w:rPr>
        <w:t xml:space="preserve"> </w:t>
      </w:r>
    </w:p>
  </w:footnote>
  <w:footnote w:id="12">
    <w:p w14:paraId="024BF19C" w14:textId="40EFE1E4" w:rsidR="00A9489A" w:rsidRPr="00A9489A" w:rsidRDefault="00A9489A">
      <w:pPr>
        <w:pStyle w:val="Notedebasdepage"/>
        <w:rPr>
          <w:lang w:val="en-US"/>
        </w:rPr>
      </w:pPr>
      <w:r>
        <w:rPr>
          <w:rStyle w:val="Appelnotedebasdep"/>
        </w:rPr>
        <w:footnoteRef/>
      </w:r>
      <w:r w:rsidRPr="00A9489A">
        <w:rPr>
          <w:lang w:val="en-US"/>
        </w:rPr>
        <w:t xml:space="preserve"> </w:t>
      </w:r>
      <w:hyperlink r:id="rId12" w:history="1">
        <w:r w:rsidRPr="00A9489A">
          <w:rPr>
            <w:rStyle w:val="Lienhypertexte"/>
            <w:sz w:val="16"/>
            <w:szCs w:val="16"/>
            <w:lang w:val="en-US"/>
          </w:rPr>
          <w:t>https://economictimes.indiatimes.com/news/economy/foreign-trade/us-india-in-talks-on-trade-deal-that-may-cut-tariff-below-20/articleshow/122394648.cms?from=mdr</w:t>
        </w:r>
      </w:hyperlink>
      <w:r w:rsidRPr="00A9489A">
        <w:rPr>
          <w:sz w:val="16"/>
          <w:szCs w:val="16"/>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27D"/>
    <w:multiLevelType w:val="hybridMultilevel"/>
    <w:tmpl w:val="7EE81D50"/>
    <w:lvl w:ilvl="0" w:tplc="9BFA2CD0">
      <w:start w:val="2"/>
      <w:numFmt w:val="upp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2"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15:restartNumberingAfterBreak="0">
    <w:nsid w:val="0CE72D27"/>
    <w:multiLevelType w:val="multilevel"/>
    <w:tmpl w:val="D074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0613DE"/>
    <w:multiLevelType w:val="multilevel"/>
    <w:tmpl w:val="E5A6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977EFE"/>
    <w:multiLevelType w:val="hybridMultilevel"/>
    <w:tmpl w:val="5DC49E58"/>
    <w:lvl w:ilvl="0" w:tplc="BA0E28C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27B0D9A"/>
    <w:multiLevelType w:val="multilevel"/>
    <w:tmpl w:val="00F2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CF73CCC"/>
    <w:multiLevelType w:val="multilevel"/>
    <w:tmpl w:val="31C6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632F41"/>
    <w:multiLevelType w:val="hybridMultilevel"/>
    <w:tmpl w:val="A05C60C4"/>
    <w:lvl w:ilvl="0" w:tplc="06F64A1C">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3" w15:restartNumberingAfterBreak="0">
    <w:nsid w:val="33C70EF6"/>
    <w:multiLevelType w:val="hybridMultilevel"/>
    <w:tmpl w:val="44746A80"/>
    <w:lvl w:ilvl="0" w:tplc="61A0C488">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6" w15:restartNumberingAfterBreak="0">
    <w:nsid w:val="39105FFA"/>
    <w:multiLevelType w:val="multilevel"/>
    <w:tmpl w:val="806C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32678C"/>
    <w:multiLevelType w:val="hybridMultilevel"/>
    <w:tmpl w:val="05E09F1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D577D5F"/>
    <w:multiLevelType w:val="multilevel"/>
    <w:tmpl w:val="13DE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E4050CF"/>
    <w:multiLevelType w:val="hybridMultilevel"/>
    <w:tmpl w:val="3056A740"/>
    <w:lvl w:ilvl="0" w:tplc="7214DECE">
      <w:start w:val="3"/>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226F7B"/>
    <w:multiLevelType w:val="multilevel"/>
    <w:tmpl w:val="33E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F60254"/>
    <w:multiLevelType w:val="hybridMultilevel"/>
    <w:tmpl w:val="CF6263D4"/>
    <w:lvl w:ilvl="0" w:tplc="EDDC94B0">
      <w:start w:val="1"/>
      <w:numFmt w:val="low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24" w15:restartNumberingAfterBreak="0">
    <w:nsid w:val="535D68F1"/>
    <w:multiLevelType w:val="multilevel"/>
    <w:tmpl w:val="735C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52061F8"/>
    <w:multiLevelType w:val="hybridMultilevel"/>
    <w:tmpl w:val="E92C052A"/>
    <w:lvl w:ilvl="0" w:tplc="E6D877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D861E7"/>
    <w:multiLevelType w:val="hybridMultilevel"/>
    <w:tmpl w:val="1304E4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324FE1"/>
    <w:multiLevelType w:val="multilevel"/>
    <w:tmpl w:val="6134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392EF2"/>
    <w:multiLevelType w:val="multilevel"/>
    <w:tmpl w:val="5EA2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EE5443"/>
    <w:multiLevelType w:val="hybridMultilevel"/>
    <w:tmpl w:val="44AE34B0"/>
    <w:lvl w:ilvl="0" w:tplc="2EC0C74C">
      <w:start w:val="1"/>
      <w:numFmt w:val="low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31" w15:restartNumberingAfterBreak="0">
    <w:nsid w:val="5C4E61A5"/>
    <w:multiLevelType w:val="multilevel"/>
    <w:tmpl w:val="99BE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C24FC0"/>
    <w:multiLevelType w:val="multilevel"/>
    <w:tmpl w:val="5E76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561093C"/>
    <w:multiLevelType w:val="hybridMultilevel"/>
    <w:tmpl w:val="56DED5D0"/>
    <w:lvl w:ilvl="0" w:tplc="A1745A66">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7E1AD5"/>
    <w:multiLevelType w:val="hybridMultilevel"/>
    <w:tmpl w:val="97F283B2"/>
    <w:lvl w:ilvl="0" w:tplc="A646506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88741F0"/>
    <w:multiLevelType w:val="hybridMultilevel"/>
    <w:tmpl w:val="90E4E2B4"/>
    <w:lvl w:ilvl="0" w:tplc="9ABA39E6">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0" w15:restartNumberingAfterBreak="0">
    <w:nsid w:val="78DC67ED"/>
    <w:multiLevelType w:val="hybridMultilevel"/>
    <w:tmpl w:val="CF6263D4"/>
    <w:lvl w:ilvl="0" w:tplc="EDDC94B0">
      <w:start w:val="1"/>
      <w:numFmt w:val="low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41"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A821641"/>
    <w:multiLevelType w:val="multilevel"/>
    <w:tmpl w:val="C18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8A41AB"/>
    <w:multiLevelType w:val="multilevel"/>
    <w:tmpl w:val="0E6A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697B12"/>
    <w:multiLevelType w:val="multilevel"/>
    <w:tmpl w:val="497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7A0819"/>
    <w:multiLevelType w:val="hybridMultilevel"/>
    <w:tmpl w:val="5D6C6110"/>
    <w:lvl w:ilvl="0" w:tplc="1B9EEED8">
      <w:start w:val="1"/>
      <w:numFmt w:val="low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num w:numId="1">
    <w:abstractNumId w:val="19"/>
  </w:num>
  <w:num w:numId="2">
    <w:abstractNumId w:val="3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41"/>
  </w:num>
  <w:num w:numId="6">
    <w:abstractNumId w:val="38"/>
  </w:num>
  <w:num w:numId="7">
    <w:abstractNumId w:val="10"/>
  </w:num>
  <w:num w:numId="8">
    <w:abstractNumId w:val="9"/>
  </w:num>
  <w:num w:numId="9">
    <w:abstractNumId w:val="2"/>
  </w:num>
  <w:num w:numId="10">
    <w:abstractNumId w:val="22"/>
  </w:num>
  <w:num w:numId="11">
    <w:abstractNumId w:val="14"/>
  </w:num>
  <w:num w:numId="12">
    <w:abstractNumId w:val="1"/>
  </w:num>
  <w:num w:numId="13">
    <w:abstractNumId w:val="3"/>
  </w:num>
  <w:num w:numId="14">
    <w:abstractNumId w:val="33"/>
  </w:num>
  <w:num w:numId="15">
    <w:abstractNumId w:val="15"/>
  </w:num>
  <w:num w:numId="16">
    <w:abstractNumId w:val="17"/>
  </w:num>
  <w:num w:numId="17">
    <w:abstractNumId w:val="20"/>
  </w:num>
  <w:num w:numId="18">
    <w:abstractNumId w:val="36"/>
  </w:num>
  <w:num w:numId="19">
    <w:abstractNumId w:val="27"/>
  </w:num>
  <w:num w:numId="20">
    <w:abstractNumId w:val="26"/>
  </w:num>
  <w:num w:numId="21">
    <w:abstractNumId w:val="13"/>
  </w:num>
  <w:num w:numId="22">
    <w:abstractNumId w:val="7"/>
  </w:num>
  <w:num w:numId="23">
    <w:abstractNumId w:val="37"/>
  </w:num>
  <w:num w:numId="24">
    <w:abstractNumId w:val="35"/>
  </w:num>
  <w:num w:numId="25">
    <w:abstractNumId w:val="6"/>
  </w:num>
  <w:num w:numId="26">
    <w:abstractNumId w:val="12"/>
  </w:num>
  <w:num w:numId="27">
    <w:abstractNumId w:val="42"/>
  </w:num>
  <w:num w:numId="28">
    <w:abstractNumId w:val="43"/>
  </w:num>
  <w:num w:numId="29">
    <w:abstractNumId w:val="4"/>
  </w:num>
  <w:num w:numId="30">
    <w:abstractNumId w:val="29"/>
  </w:num>
  <w:num w:numId="31">
    <w:abstractNumId w:val="21"/>
  </w:num>
  <w:num w:numId="32">
    <w:abstractNumId w:val="32"/>
  </w:num>
  <w:num w:numId="33">
    <w:abstractNumId w:val="16"/>
  </w:num>
  <w:num w:numId="34">
    <w:abstractNumId w:val="24"/>
  </w:num>
  <w:num w:numId="35">
    <w:abstractNumId w:val="23"/>
  </w:num>
  <w:num w:numId="36">
    <w:abstractNumId w:val="30"/>
  </w:num>
  <w:num w:numId="37">
    <w:abstractNumId w:val="40"/>
  </w:num>
  <w:num w:numId="38">
    <w:abstractNumId w:val="0"/>
  </w:num>
  <w:num w:numId="39">
    <w:abstractNumId w:val="45"/>
  </w:num>
  <w:num w:numId="40">
    <w:abstractNumId w:val="8"/>
  </w:num>
  <w:num w:numId="41">
    <w:abstractNumId w:val="18"/>
  </w:num>
  <w:num w:numId="42">
    <w:abstractNumId w:val="28"/>
  </w:num>
  <w:num w:numId="43">
    <w:abstractNumId w:val="5"/>
  </w:num>
  <w:num w:numId="44">
    <w:abstractNumId w:val="11"/>
  </w:num>
  <w:num w:numId="45">
    <w:abstractNumId w:val="31"/>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2250"/>
    <w:rsid w:val="000039FC"/>
    <w:rsid w:val="000064C1"/>
    <w:rsid w:val="00006D9E"/>
    <w:rsid w:val="00006E50"/>
    <w:rsid w:val="0001120A"/>
    <w:rsid w:val="000128E1"/>
    <w:rsid w:val="000154D8"/>
    <w:rsid w:val="00020EE2"/>
    <w:rsid w:val="0002183B"/>
    <w:rsid w:val="00021F0F"/>
    <w:rsid w:val="00022880"/>
    <w:rsid w:val="00022F44"/>
    <w:rsid w:val="00031533"/>
    <w:rsid w:val="000355FC"/>
    <w:rsid w:val="00045CF8"/>
    <w:rsid w:val="00050225"/>
    <w:rsid w:val="00051E58"/>
    <w:rsid w:val="000528F0"/>
    <w:rsid w:val="00052A46"/>
    <w:rsid w:val="000534EC"/>
    <w:rsid w:val="00055B39"/>
    <w:rsid w:val="000635B4"/>
    <w:rsid w:val="00064115"/>
    <w:rsid w:val="00064632"/>
    <w:rsid w:val="000676F2"/>
    <w:rsid w:val="00071F97"/>
    <w:rsid w:val="00074453"/>
    <w:rsid w:val="000763B3"/>
    <w:rsid w:val="00080037"/>
    <w:rsid w:val="00084644"/>
    <w:rsid w:val="000850EB"/>
    <w:rsid w:val="0009024B"/>
    <w:rsid w:val="00092DF5"/>
    <w:rsid w:val="00094DB5"/>
    <w:rsid w:val="00097527"/>
    <w:rsid w:val="00097777"/>
    <w:rsid w:val="000A1918"/>
    <w:rsid w:val="000A2662"/>
    <w:rsid w:val="000A60CA"/>
    <w:rsid w:val="000B021C"/>
    <w:rsid w:val="000B4DF1"/>
    <w:rsid w:val="000C0326"/>
    <w:rsid w:val="000C108D"/>
    <w:rsid w:val="000C7257"/>
    <w:rsid w:val="000D001A"/>
    <w:rsid w:val="000D0BC4"/>
    <w:rsid w:val="000D721F"/>
    <w:rsid w:val="000D72BD"/>
    <w:rsid w:val="000E1E2F"/>
    <w:rsid w:val="000E288F"/>
    <w:rsid w:val="000E36A3"/>
    <w:rsid w:val="000E390B"/>
    <w:rsid w:val="000E659F"/>
    <w:rsid w:val="000E744D"/>
    <w:rsid w:val="000E7793"/>
    <w:rsid w:val="000F2C4E"/>
    <w:rsid w:val="000F6048"/>
    <w:rsid w:val="000F66BC"/>
    <w:rsid w:val="000F7190"/>
    <w:rsid w:val="000F7ACA"/>
    <w:rsid w:val="000F7E4A"/>
    <w:rsid w:val="00100569"/>
    <w:rsid w:val="00100C95"/>
    <w:rsid w:val="00102564"/>
    <w:rsid w:val="001105E1"/>
    <w:rsid w:val="001109EF"/>
    <w:rsid w:val="00111C32"/>
    <w:rsid w:val="00115B20"/>
    <w:rsid w:val="001170A2"/>
    <w:rsid w:val="00117DF8"/>
    <w:rsid w:val="00120DB6"/>
    <w:rsid w:val="00123DCB"/>
    <w:rsid w:val="0012430D"/>
    <w:rsid w:val="0012637B"/>
    <w:rsid w:val="001276D3"/>
    <w:rsid w:val="0013180B"/>
    <w:rsid w:val="001346C7"/>
    <w:rsid w:val="00134AD4"/>
    <w:rsid w:val="00134DE8"/>
    <w:rsid w:val="00135B91"/>
    <w:rsid w:val="001360A8"/>
    <w:rsid w:val="001362D3"/>
    <w:rsid w:val="00137081"/>
    <w:rsid w:val="0014211B"/>
    <w:rsid w:val="00143130"/>
    <w:rsid w:val="00147754"/>
    <w:rsid w:val="001505C0"/>
    <w:rsid w:val="00150667"/>
    <w:rsid w:val="00152C27"/>
    <w:rsid w:val="001543E7"/>
    <w:rsid w:val="001551CB"/>
    <w:rsid w:val="00162513"/>
    <w:rsid w:val="00163AEE"/>
    <w:rsid w:val="00171B4E"/>
    <w:rsid w:val="001720F8"/>
    <w:rsid w:val="00172EFF"/>
    <w:rsid w:val="001747D5"/>
    <w:rsid w:val="00174BE4"/>
    <w:rsid w:val="0017544F"/>
    <w:rsid w:val="00175E92"/>
    <w:rsid w:val="00176D10"/>
    <w:rsid w:val="00177888"/>
    <w:rsid w:val="001811AC"/>
    <w:rsid w:val="00181A98"/>
    <w:rsid w:val="00182D54"/>
    <w:rsid w:val="00184135"/>
    <w:rsid w:val="00187F02"/>
    <w:rsid w:val="00190166"/>
    <w:rsid w:val="0019173B"/>
    <w:rsid w:val="0019280B"/>
    <w:rsid w:val="001A1719"/>
    <w:rsid w:val="001A1A43"/>
    <w:rsid w:val="001A1CD5"/>
    <w:rsid w:val="001A3509"/>
    <w:rsid w:val="001A5A37"/>
    <w:rsid w:val="001A7621"/>
    <w:rsid w:val="001B1CF0"/>
    <w:rsid w:val="001B1D99"/>
    <w:rsid w:val="001B772F"/>
    <w:rsid w:val="001C027A"/>
    <w:rsid w:val="001C100F"/>
    <w:rsid w:val="001C2361"/>
    <w:rsid w:val="001C3774"/>
    <w:rsid w:val="001D5AB4"/>
    <w:rsid w:val="001D6D73"/>
    <w:rsid w:val="001E3759"/>
    <w:rsid w:val="001E4D67"/>
    <w:rsid w:val="001F1053"/>
    <w:rsid w:val="001F235A"/>
    <w:rsid w:val="001F2D7C"/>
    <w:rsid w:val="001F741C"/>
    <w:rsid w:val="00201264"/>
    <w:rsid w:val="00201837"/>
    <w:rsid w:val="00201C83"/>
    <w:rsid w:val="00202DEB"/>
    <w:rsid w:val="0020353A"/>
    <w:rsid w:val="00223554"/>
    <w:rsid w:val="00225798"/>
    <w:rsid w:val="00230DDE"/>
    <w:rsid w:val="00236CEC"/>
    <w:rsid w:val="00237824"/>
    <w:rsid w:val="002419CA"/>
    <w:rsid w:val="00242CCE"/>
    <w:rsid w:val="00242DD0"/>
    <w:rsid w:val="00246C65"/>
    <w:rsid w:val="00250F27"/>
    <w:rsid w:val="00252AE8"/>
    <w:rsid w:val="002550BB"/>
    <w:rsid w:val="00255F30"/>
    <w:rsid w:val="00256FFD"/>
    <w:rsid w:val="00257E48"/>
    <w:rsid w:val="00260CEC"/>
    <w:rsid w:val="00266324"/>
    <w:rsid w:val="002671F5"/>
    <w:rsid w:val="002762C9"/>
    <w:rsid w:val="00276870"/>
    <w:rsid w:val="002818E1"/>
    <w:rsid w:val="00281BCD"/>
    <w:rsid w:val="00282876"/>
    <w:rsid w:val="00283B11"/>
    <w:rsid w:val="0029566D"/>
    <w:rsid w:val="00297AC0"/>
    <w:rsid w:val="002A07E0"/>
    <w:rsid w:val="002A3CAD"/>
    <w:rsid w:val="002A5243"/>
    <w:rsid w:val="002B0853"/>
    <w:rsid w:val="002B3D7E"/>
    <w:rsid w:val="002B4A41"/>
    <w:rsid w:val="002B7249"/>
    <w:rsid w:val="002C0121"/>
    <w:rsid w:val="002C47E7"/>
    <w:rsid w:val="002C7DFA"/>
    <w:rsid w:val="002D06F0"/>
    <w:rsid w:val="002D0CCD"/>
    <w:rsid w:val="002D13A2"/>
    <w:rsid w:val="002D4C04"/>
    <w:rsid w:val="002D5C3C"/>
    <w:rsid w:val="002D5C4A"/>
    <w:rsid w:val="002D60A4"/>
    <w:rsid w:val="002E37BB"/>
    <w:rsid w:val="002E4204"/>
    <w:rsid w:val="002E5E1B"/>
    <w:rsid w:val="002E6890"/>
    <w:rsid w:val="002E7383"/>
    <w:rsid w:val="002F110E"/>
    <w:rsid w:val="002F210F"/>
    <w:rsid w:val="002F5299"/>
    <w:rsid w:val="002F7BC8"/>
    <w:rsid w:val="002F7E7A"/>
    <w:rsid w:val="0030017B"/>
    <w:rsid w:val="00301021"/>
    <w:rsid w:val="0030139C"/>
    <w:rsid w:val="0030148A"/>
    <w:rsid w:val="00302A59"/>
    <w:rsid w:val="00303F75"/>
    <w:rsid w:val="00306DB9"/>
    <w:rsid w:val="003073FD"/>
    <w:rsid w:val="0030773E"/>
    <w:rsid w:val="00311071"/>
    <w:rsid w:val="00313DDA"/>
    <w:rsid w:val="00313EB7"/>
    <w:rsid w:val="00315BEF"/>
    <w:rsid w:val="00317870"/>
    <w:rsid w:val="00323A4A"/>
    <w:rsid w:val="00324EAA"/>
    <w:rsid w:val="003251AD"/>
    <w:rsid w:val="003257BD"/>
    <w:rsid w:val="00327683"/>
    <w:rsid w:val="0033036F"/>
    <w:rsid w:val="00330428"/>
    <w:rsid w:val="00332310"/>
    <w:rsid w:val="003339CE"/>
    <w:rsid w:val="003407BF"/>
    <w:rsid w:val="00341E94"/>
    <w:rsid w:val="00341EC1"/>
    <w:rsid w:val="00344131"/>
    <w:rsid w:val="003458F7"/>
    <w:rsid w:val="0034612A"/>
    <w:rsid w:val="00347F9E"/>
    <w:rsid w:val="00347FCE"/>
    <w:rsid w:val="00351E1C"/>
    <w:rsid w:val="00352269"/>
    <w:rsid w:val="00353B9D"/>
    <w:rsid w:val="003566D0"/>
    <w:rsid w:val="00364C55"/>
    <w:rsid w:val="00365384"/>
    <w:rsid w:val="00367335"/>
    <w:rsid w:val="0036736D"/>
    <w:rsid w:val="003762BD"/>
    <w:rsid w:val="00377143"/>
    <w:rsid w:val="00377431"/>
    <w:rsid w:val="00377E86"/>
    <w:rsid w:val="00380A81"/>
    <w:rsid w:val="00380B8A"/>
    <w:rsid w:val="003847EC"/>
    <w:rsid w:val="003849D9"/>
    <w:rsid w:val="003857AF"/>
    <w:rsid w:val="003874DB"/>
    <w:rsid w:val="00387FCC"/>
    <w:rsid w:val="003954C6"/>
    <w:rsid w:val="003959DE"/>
    <w:rsid w:val="003A0174"/>
    <w:rsid w:val="003A1D94"/>
    <w:rsid w:val="003A713D"/>
    <w:rsid w:val="003A7321"/>
    <w:rsid w:val="003A7EB8"/>
    <w:rsid w:val="003B0C07"/>
    <w:rsid w:val="003B1A22"/>
    <w:rsid w:val="003B33D3"/>
    <w:rsid w:val="003B6551"/>
    <w:rsid w:val="003C12E4"/>
    <w:rsid w:val="003C21D8"/>
    <w:rsid w:val="003C3140"/>
    <w:rsid w:val="003C3C6E"/>
    <w:rsid w:val="003C75A5"/>
    <w:rsid w:val="003D17F4"/>
    <w:rsid w:val="003D2AD3"/>
    <w:rsid w:val="003D5550"/>
    <w:rsid w:val="003D6537"/>
    <w:rsid w:val="003D69ED"/>
    <w:rsid w:val="003D7280"/>
    <w:rsid w:val="003E0D22"/>
    <w:rsid w:val="003E34CE"/>
    <w:rsid w:val="003E442D"/>
    <w:rsid w:val="003E56E8"/>
    <w:rsid w:val="003E7D9D"/>
    <w:rsid w:val="003F4682"/>
    <w:rsid w:val="003F48EF"/>
    <w:rsid w:val="003F78BD"/>
    <w:rsid w:val="0040330E"/>
    <w:rsid w:val="0040500F"/>
    <w:rsid w:val="00406D60"/>
    <w:rsid w:val="00411356"/>
    <w:rsid w:val="004128F4"/>
    <w:rsid w:val="00413C4C"/>
    <w:rsid w:val="00414952"/>
    <w:rsid w:val="00415199"/>
    <w:rsid w:val="00415F39"/>
    <w:rsid w:val="0042195C"/>
    <w:rsid w:val="004247A9"/>
    <w:rsid w:val="00427FC2"/>
    <w:rsid w:val="00430845"/>
    <w:rsid w:val="00430906"/>
    <w:rsid w:val="00430A4F"/>
    <w:rsid w:val="004311AF"/>
    <w:rsid w:val="00433FC6"/>
    <w:rsid w:val="00435184"/>
    <w:rsid w:val="004372C1"/>
    <w:rsid w:val="00441827"/>
    <w:rsid w:val="0044237D"/>
    <w:rsid w:val="004437D6"/>
    <w:rsid w:val="00443A19"/>
    <w:rsid w:val="00445D79"/>
    <w:rsid w:val="00450D73"/>
    <w:rsid w:val="004513D1"/>
    <w:rsid w:val="00452C51"/>
    <w:rsid w:val="0045466C"/>
    <w:rsid w:val="00457B18"/>
    <w:rsid w:val="00462456"/>
    <w:rsid w:val="00462FE2"/>
    <w:rsid w:val="00463378"/>
    <w:rsid w:val="004642DE"/>
    <w:rsid w:val="004664F4"/>
    <w:rsid w:val="004716CD"/>
    <w:rsid w:val="00471702"/>
    <w:rsid w:val="00472C6F"/>
    <w:rsid w:val="0047732C"/>
    <w:rsid w:val="00480654"/>
    <w:rsid w:val="00482064"/>
    <w:rsid w:val="00485E65"/>
    <w:rsid w:val="004908E5"/>
    <w:rsid w:val="00490B3C"/>
    <w:rsid w:val="00493969"/>
    <w:rsid w:val="00493DCA"/>
    <w:rsid w:val="00496D10"/>
    <w:rsid w:val="00496F9C"/>
    <w:rsid w:val="00497893"/>
    <w:rsid w:val="004A0106"/>
    <w:rsid w:val="004A2003"/>
    <w:rsid w:val="004A28DB"/>
    <w:rsid w:val="004A585F"/>
    <w:rsid w:val="004C011C"/>
    <w:rsid w:val="004C17C4"/>
    <w:rsid w:val="004C283E"/>
    <w:rsid w:val="004C3273"/>
    <w:rsid w:val="004C4D75"/>
    <w:rsid w:val="004C67D4"/>
    <w:rsid w:val="004D2FF6"/>
    <w:rsid w:val="004D444C"/>
    <w:rsid w:val="004D4950"/>
    <w:rsid w:val="004D625C"/>
    <w:rsid w:val="004D7C76"/>
    <w:rsid w:val="004E2322"/>
    <w:rsid w:val="004E6C1A"/>
    <w:rsid w:val="004E6DB3"/>
    <w:rsid w:val="004E7972"/>
    <w:rsid w:val="004F1B08"/>
    <w:rsid w:val="004F211B"/>
    <w:rsid w:val="004F4579"/>
    <w:rsid w:val="004F4F58"/>
    <w:rsid w:val="004F5781"/>
    <w:rsid w:val="004F5B56"/>
    <w:rsid w:val="004F7074"/>
    <w:rsid w:val="005025FE"/>
    <w:rsid w:val="005077FB"/>
    <w:rsid w:val="00510365"/>
    <w:rsid w:val="00512AD3"/>
    <w:rsid w:val="0051342E"/>
    <w:rsid w:val="00521E88"/>
    <w:rsid w:val="005246AF"/>
    <w:rsid w:val="0052502D"/>
    <w:rsid w:val="00532CDF"/>
    <w:rsid w:val="00532CE3"/>
    <w:rsid w:val="00533C10"/>
    <w:rsid w:val="00533D55"/>
    <w:rsid w:val="0053519B"/>
    <w:rsid w:val="005417A6"/>
    <w:rsid w:val="00541AB4"/>
    <w:rsid w:val="00543CA9"/>
    <w:rsid w:val="00545340"/>
    <w:rsid w:val="00545FE6"/>
    <w:rsid w:val="00546356"/>
    <w:rsid w:val="00551F53"/>
    <w:rsid w:val="005541C8"/>
    <w:rsid w:val="00556F73"/>
    <w:rsid w:val="00557E89"/>
    <w:rsid w:val="00561CC4"/>
    <w:rsid w:val="005629C2"/>
    <w:rsid w:val="00563D2B"/>
    <w:rsid w:val="00565326"/>
    <w:rsid w:val="00570D3F"/>
    <w:rsid w:val="00575F99"/>
    <w:rsid w:val="00577210"/>
    <w:rsid w:val="005806A2"/>
    <w:rsid w:val="00580BA3"/>
    <w:rsid w:val="00584799"/>
    <w:rsid w:val="00585D2B"/>
    <w:rsid w:val="00590878"/>
    <w:rsid w:val="00590894"/>
    <w:rsid w:val="00591EEF"/>
    <w:rsid w:val="0059242E"/>
    <w:rsid w:val="0059329B"/>
    <w:rsid w:val="00594B9F"/>
    <w:rsid w:val="00594BC3"/>
    <w:rsid w:val="00595003"/>
    <w:rsid w:val="005965B5"/>
    <w:rsid w:val="005A1ECF"/>
    <w:rsid w:val="005A1F35"/>
    <w:rsid w:val="005A2BB6"/>
    <w:rsid w:val="005A3DAE"/>
    <w:rsid w:val="005A5D69"/>
    <w:rsid w:val="005A6B4A"/>
    <w:rsid w:val="005B0A86"/>
    <w:rsid w:val="005B28D9"/>
    <w:rsid w:val="005B3D40"/>
    <w:rsid w:val="005B64A1"/>
    <w:rsid w:val="005B68FE"/>
    <w:rsid w:val="005C2786"/>
    <w:rsid w:val="005C5D49"/>
    <w:rsid w:val="005D11FA"/>
    <w:rsid w:val="005D625F"/>
    <w:rsid w:val="005E0695"/>
    <w:rsid w:val="005E2FD5"/>
    <w:rsid w:val="005E4B58"/>
    <w:rsid w:val="005E60C4"/>
    <w:rsid w:val="005E6FED"/>
    <w:rsid w:val="005F36AB"/>
    <w:rsid w:val="005F3966"/>
    <w:rsid w:val="005F6235"/>
    <w:rsid w:val="00602ABA"/>
    <w:rsid w:val="00606EC9"/>
    <w:rsid w:val="00607443"/>
    <w:rsid w:val="00610942"/>
    <w:rsid w:val="00611A71"/>
    <w:rsid w:val="00616173"/>
    <w:rsid w:val="00616EE2"/>
    <w:rsid w:val="00620BD6"/>
    <w:rsid w:val="00622911"/>
    <w:rsid w:val="00624A26"/>
    <w:rsid w:val="00625905"/>
    <w:rsid w:val="00627753"/>
    <w:rsid w:val="00632692"/>
    <w:rsid w:val="0063271A"/>
    <w:rsid w:val="00632E51"/>
    <w:rsid w:val="00633C9B"/>
    <w:rsid w:val="00633DEB"/>
    <w:rsid w:val="006351F3"/>
    <w:rsid w:val="00636DF9"/>
    <w:rsid w:val="006410BC"/>
    <w:rsid w:val="006417E5"/>
    <w:rsid w:val="00641868"/>
    <w:rsid w:val="006477A2"/>
    <w:rsid w:val="00652A7E"/>
    <w:rsid w:val="00654F3D"/>
    <w:rsid w:val="00655048"/>
    <w:rsid w:val="006600F3"/>
    <w:rsid w:val="0066465B"/>
    <w:rsid w:val="00667912"/>
    <w:rsid w:val="006729F5"/>
    <w:rsid w:val="0067425C"/>
    <w:rsid w:val="00683D30"/>
    <w:rsid w:val="00690152"/>
    <w:rsid w:val="00690B13"/>
    <w:rsid w:val="00691D57"/>
    <w:rsid w:val="006A0293"/>
    <w:rsid w:val="006A3795"/>
    <w:rsid w:val="006A67A4"/>
    <w:rsid w:val="006B4AE0"/>
    <w:rsid w:val="006B5511"/>
    <w:rsid w:val="006C1559"/>
    <w:rsid w:val="006C2522"/>
    <w:rsid w:val="006C3A94"/>
    <w:rsid w:val="006C4193"/>
    <w:rsid w:val="006C6B75"/>
    <w:rsid w:val="006D209E"/>
    <w:rsid w:val="006D2C35"/>
    <w:rsid w:val="006D4D83"/>
    <w:rsid w:val="006D6AE7"/>
    <w:rsid w:val="006E3241"/>
    <w:rsid w:val="006E40BB"/>
    <w:rsid w:val="006E5CBE"/>
    <w:rsid w:val="006E6805"/>
    <w:rsid w:val="006E6FA7"/>
    <w:rsid w:val="006F08DB"/>
    <w:rsid w:val="006F302F"/>
    <w:rsid w:val="006F4CCE"/>
    <w:rsid w:val="006F6043"/>
    <w:rsid w:val="007044B5"/>
    <w:rsid w:val="00706D2B"/>
    <w:rsid w:val="00707800"/>
    <w:rsid w:val="0070783B"/>
    <w:rsid w:val="007114DA"/>
    <w:rsid w:val="00713620"/>
    <w:rsid w:val="00713D95"/>
    <w:rsid w:val="00714644"/>
    <w:rsid w:val="00715C2C"/>
    <w:rsid w:val="007209E2"/>
    <w:rsid w:val="007221EA"/>
    <w:rsid w:val="007241D4"/>
    <w:rsid w:val="007243A8"/>
    <w:rsid w:val="00727D83"/>
    <w:rsid w:val="00730945"/>
    <w:rsid w:val="00732365"/>
    <w:rsid w:val="0073377D"/>
    <w:rsid w:val="00733B08"/>
    <w:rsid w:val="00733CCE"/>
    <w:rsid w:val="00735A16"/>
    <w:rsid w:val="00735B0E"/>
    <w:rsid w:val="00736387"/>
    <w:rsid w:val="00736F8B"/>
    <w:rsid w:val="00737E87"/>
    <w:rsid w:val="00741137"/>
    <w:rsid w:val="007430C1"/>
    <w:rsid w:val="00743DD2"/>
    <w:rsid w:val="00745853"/>
    <w:rsid w:val="00747E03"/>
    <w:rsid w:val="00751E35"/>
    <w:rsid w:val="00752C17"/>
    <w:rsid w:val="00753B19"/>
    <w:rsid w:val="00754A0C"/>
    <w:rsid w:val="00754E7E"/>
    <w:rsid w:val="00756A18"/>
    <w:rsid w:val="007618C8"/>
    <w:rsid w:val="00761DE4"/>
    <w:rsid w:val="00762B07"/>
    <w:rsid w:val="00764282"/>
    <w:rsid w:val="007673F8"/>
    <w:rsid w:val="00767C52"/>
    <w:rsid w:val="00771121"/>
    <w:rsid w:val="0077141E"/>
    <w:rsid w:val="00771DEE"/>
    <w:rsid w:val="0077483A"/>
    <w:rsid w:val="0077520D"/>
    <w:rsid w:val="007761A7"/>
    <w:rsid w:val="007761DD"/>
    <w:rsid w:val="00776C9A"/>
    <w:rsid w:val="00777884"/>
    <w:rsid w:val="00780E3E"/>
    <w:rsid w:val="00781BFC"/>
    <w:rsid w:val="0078229D"/>
    <w:rsid w:val="007842D2"/>
    <w:rsid w:val="007855F6"/>
    <w:rsid w:val="00785A6F"/>
    <w:rsid w:val="00785F09"/>
    <w:rsid w:val="00786241"/>
    <w:rsid w:val="00787921"/>
    <w:rsid w:val="00791423"/>
    <w:rsid w:val="007952D4"/>
    <w:rsid w:val="00795F56"/>
    <w:rsid w:val="007973A9"/>
    <w:rsid w:val="00797604"/>
    <w:rsid w:val="007A352F"/>
    <w:rsid w:val="007A47E4"/>
    <w:rsid w:val="007B0159"/>
    <w:rsid w:val="007B4BC5"/>
    <w:rsid w:val="007B74A6"/>
    <w:rsid w:val="007B7F70"/>
    <w:rsid w:val="007C0F6F"/>
    <w:rsid w:val="007C3111"/>
    <w:rsid w:val="007C60D0"/>
    <w:rsid w:val="007C69B1"/>
    <w:rsid w:val="007C7491"/>
    <w:rsid w:val="007E0655"/>
    <w:rsid w:val="007E0777"/>
    <w:rsid w:val="007E456F"/>
    <w:rsid w:val="007E6D56"/>
    <w:rsid w:val="007F0AE5"/>
    <w:rsid w:val="007F4001"/>
    <w:rsid w:val="007F55EB"/>
    <w:rsid w:val="007F6278"/>
    <w:rsid w:val="007F632E"/>
    <w:rsid w:val="007F7CCA"/>
    <w:rsid w:val="00800D8A"/>
    <w:rsid w:val="008029D3"/>
    <w:rsid w:val="00804CC7"/>
    <w:rsid w:val="00812EA5"/>
    <w:rsid w:val="00816CD2"/>
    <w:rsid w:val="00817C05"/>
    <w:rsid w:val="00820BCA"/>
    <w:rsid w:val="00822BF6"/>
    <w:rsid w:val="008267C2"/>
    <w:rsid w:val="00827486"/>
    <w:rsid w:val="00831588"/>
    <w:rsid w:val="00847CE8"/>
    <w:rsid w:val="00850C64"/>
    <w:rsid w:val="00851DB5"/>
    <w:rsid w:val="00852151"/>
    <w:rsid w:val="00856805"/>
    <w:rsid w:val="00857694"/>
    <w:rsid w:val="00857CE5"/>
    <w:rsid w:val="00860BF2"/>
    <w:rsid w:val="00872358"/>
    <w:rsid w:val="00877C80"/>
    <w:rsid w:val="00881C1D"/>
    <w:rsid w:val="0088232B"/>
    <w:rsid w:val="00890E59"/>
    <w:rsid w:val="008918AF"/>
    <w:rsid w:val="008924BF"/>
    <w:rsid w:val="008A0F9B"/>
    <w:rsid w:val="008A1507"/>
    <w:rsid w:val="008A17CA"/>
    <w:rsid w:val="008A299F"/>
    <w:rsid w:val="008A3AD5"/>
    <w:rsid w:val="008A53A6"/>
    <w:rsid w:val="008B3695"/>
    <w:rsid w:val="008B495B"/>
    <w:rsid w:val="008B697B"/>
    <w:rsid w:val="008B7180"/>
    <w:rsid w:val="008C0290"/>
    <w:rsid w:val="008C1375"/>
    <w:rsid w:val="008C5873"/>
    <w:rsid w:val="008D1B54"/>
    <w:rsid w:val="008D7C1E"/>
    <w:rsid w:val="008E048F"/>
    <w:rsid w:val="008E1707"/>
    <w:rsid w:val="008E2808"/>
    <w:rsid w:val="008E3942"/>
    <w:rsid w:val="008F1B56"/>
    <w:rsid w:val="008F2D48"/>
    <w:rsid w:val="008F35B2"/>
    <w:rsid w:val="008F48D6"/>
    <w:rsid w:val="008F7A1E"/>
    <w:rsid w:val="0090794D"/>
    <w:rsid w:val="0091070E"/>
    <w:rsid w:val="00910E48"/>
    <w:rsid w:val="0091192C"/>
    <w:rsid w:val="0091428C"/>
    <w:rsid w:val="00920915"/>
    <w:rsid w:val="009210BC"/>
    <w:rsid w:val="009233E1"/>
    <w:rsid w:val="00923993"/>
    <w:rsid w:val="00924ECB"/>
    <w:rsid w:val="0092634F"/>
    <w:rsid w:val="00930305"/>
    <w:rsid w:val="0093582B"/>
    <w:rsid w:val="00937C6B"/>
    <w:rsid w:val="00937DED"/>
    <w:rsid w:val="00941528"/>
    <w:rsid w:val="00942D00"/>
    <w:rsid w:val="00944A1B"/>
    <w:rsid w:val="0094537D"/>
    <w:rsid w:val="00950B44"/>
    <w:rsid w:val="00952541"/>
    <w:rsid w:val="00952A36"/>
    <w:rsid w:val="00952A47"/>
    <w:rsid w:val="00957E6E"/>
    <w:rsid w:val="00961B96"/>
    <w:rsid w:val="00965841"/>
    <w:rsid w:val="0096625D"/>
    <w:rsid w:val="009664E8"/>
    <w:rsid w:val="00967AF4"/>
    <w:rsid w:val="009702AD"/>
    <w:rsid w:val="00970BE4"/>
    <w:rsid w:val="00970FD2"/>
    <w:rsid w:val="00971B84"/>
    <w:rsid w:val="00973EE5"/>
    <w:rsid w:val="009770F2"/>
    <w:rsid w:val="009801D4"/>
    <w:rsid w:val="00981726"/>
    <w:rsid w:val="00985384"/>
    <w:rsid w:val="009854A7"/>
    <w:rsid w:val="00985A53"/>
    <w:rsid w:val="009869B4"/>
    <w:rsid w:val="00990EA6"/>
    <w:rsid w:val="009A1E15"/>
    <w:rsid w:val="009A20E8"/>
    <w:rsid w:val="009A5CB7"/>
    <w:rsid w:val="009A6702"/>
    <w:rsid w:val="009B4431"/>
    <w:rsid w:val="009B7F35"/>
    <w:rsid w:val="009C0DDC"/>
    <w:rsid w:val="009C300D"/>
    <w:rsid w:val="009C3C07"/>
    <w:rsid w:val="009C551D"/>
    <w:rsid w:val="009C67FA"/>
    <w:rsid w:val="009D1261"/>
    <w:rsid w:val="009D2ED0"/>
    <w:rsid w:val="009D3794"/>
    <w:rsid w:val="009D5D21"/>
    <w:rsid w:val="009D65B6"/>
    <w:rsid w:val="009D7AB8"/>
    <w:rsid w:val="009E59A2"/>
    <w:rsid w:val="009F118B"/>
    <w:rsid w:val="009F2A69"/>
    <w:rsid w:val="009F4175"/>
    <w:rsid w:val="00A0197D"/>
    <w:rsid w:val="00A073CB"/>
    <w:rsid w:val="00A0743B"/>
    <w:rsid w:val="00A07865"/>
    <w:rsid w:val="00A134C4"/>
    <w:rsid w:val="00A1460C"/>
    <w:rsid w:val="00A164E0"/>
    <w:rsid w:val="00A16600"/>
    <w:rsid w:val="00A16E6F"/>
    <w:rsid w:val="00A2007D"/>
    <w:rsid w:val="00A229D9"/>
    <w:rsid w:val="00A233D7"/>
    <w:rsid w:val="00A27EA0"/>
    <w:rsid w:val="00A32592"/>
    <w:rsid w:val="00A33DC3"/>
    <w:rsid w:val="00A35142"/>
    <w:rsid w:val="00A40715"/>
    <w:rsid w:val="00A40A71"/>
    <w:rsid w:val="00A413F3"/>
    <w:rsid w:val="00A41E72"/>
    <w:rsid w:val="00A42997"/>
    <w:rsid w:val="00A46269"/>
    <w:rsid w:val="00A54172"/>
    <w:rsid w:val="00A5466B"/>
    <w:rsid w:val="00A603EA"/>
    <w:rsid w:val="00A62883"/>
    <w:rsid w:val="00A62F5F"/>
    <w:rsid w:val="00A6437E"/>
    <w:rsid w:val="00A665DD"/>
    <w:rsid w:val="00A7311F"/>
    <w:rsid w:val="00A73A50"/>
    <w:rsid w:val="00A8530F"/>
    <w:rsid w:val="00A864F9"/>
    <w:rsid w:val="00A92281"/>
    <w:rsid w:val="00A92617"/>
    <w:rsid w:val="00A9489A"/>
    <w:rsid w:val="00A95957"/>
    <w:rsid w:val="00A95AB3"/>
    <w:rsid w:val="00AA020A"/>
    <w:rsid w:val="00AA34DD"/>
    <w:rsid w:val="00AA4332"/>
    <w:rsid w:val="00AA5DA2"/>
    <w:rsid w:val="00AA684E"/>
    <w:rsid w:val="00AB1362"/>
    <w:rsid w:val="00AB3252"/>
    <w:rsid w:val="00AB48A8"/>
    <w:rsid w:val="00AC17E1"/>
    <w:rsid w:val="00AC1B52"/>
    <w:rsid w:val="00AC320A"/>
    <w:rsid w:val="00AC4676"/>
    <w:rsid w:val="00AC501A"/>
    <w:rsid w:val="00AD406C"/>
    <w:rsid w:val="00AD7FB7"/>
    <w:rsid w:val="00AE00C8"/>
    <w:rsid w:val="00AE0A23"/>
    <w:rsid w:val="00AE11BC"/>
    <w:rsid w:val="00AE1D0C"/>
    <w:rsid w:val="00AE249D"/>
    <w:rsid w:val="00AF0E03"/>
    <w:rsid w:val="00AF159B"/>
    <w:rsid w:val="00AF24A0"/>
    <w:rsid w:val="00AF62F5"/>
    <w:rsid w:val="00B01387"/>
    <w:rsid w:val="00B02138"/>
    <w:rsid w:val="00B02A76"/>
    <w:rsid w:val="00B02AE3"/>
    <w:rsid w:val="00B04613"/>
    <w:rsid w:val="00B04951"/>
    <w:rsid w:val="00B07F73"/>
    <w:rsid w:val="00B113A9"/>
    <w:rsid w:val="00B13B8A"/>
    <w:rsid w:val="00B14C4B"/>
    <w:rsid w:val="00B16C2B"/>
    <w:rsid w:val="00B26261"/>
    <w:rsid w:val="00B26ECE"/>
    <w:rsid w:val="00B30489"/>
    <w:rsid w:val="00B31F8E"/>
    <w:rsid w:val="00B343C4"/>
    <w:rsid w:val="00B371BF"/>
    <w:rsid w:val="00B41956"/>
    <w:rsid w:val="00B428B2"/>
    <w:rsid w:val="00B42F2B"/>
    <w:rsid w:val="00B454D0"/>
    <w:rsid w:val="00B56543"/>
    <w:rsid w:val="00B64CAE"/>
    <w:rsid w:val="00B6555F"/>
    <w:rsid w:val="00B6720E"/>
    <w:rsid w:val="00B678B8"/>
    <w:rsid w:val="00B72690"/>
    <w:rsid w:val="00B751E1"/>
    <w:rsid w:val="00B8386D"/>
    <w:rsid w:val="00B85912"/>
    <w:rsid w:val="00B85DFB"/>
    <w:rsid w:val="00B93592"/>
    <w:rsid w:val="00B9418B"/>
    <w:rsid w:val="00B94B65"/>
    <w:rsid w:val="00B9564D"/>
    <w:rsid w:val="00B95AD7"/>
    <w:rsid w:val="00B95CDB"/>
    <w:rsid w:val="00B95D13"/>
    <w:rsid w:val="00BA31BC"/>
    <w:rsid w:val="00BA5EF8"/>
    <w:rsid w:val="00BA7283"/>
    <w:rsid w:val="00BB069D"/>
    <w:rsid w:val="00BB12C7"/>
    <w:rsid w:val="00BB2CEE"/>
    <w:rsid w:val="00BC5A4C"/>
    <w:rsid w:val="00BC65BF"/>
    <w:rsid w:val="00BD0B74"/>
    <w:rsid w:val="00BD23F5"/>
    <w:rsid w:val="00BD387A"/>
    <w:rsid w:val="00BD4764"/>
    <w:rsid w:val="00BD4921"/>
    <w:rsid w:val="00BD772B"/>
    <w:rsid w:val="00BE6F56"/>
    <w:rsid w:val="00BE7CCA"/>
    <w:rsid w:val="00BF2676"/>
    <w:rsid w:val="00BF4CBF"/>
    <w:rsid w:val="00BF4E9B"/>
    <w:rsid w:val="00C012C8"/>
    <w:rsid w:val="00C03C98"/>
    <w:rsid w:val="00C03F1A"/>
    <w:rsid w:val="00C07A62"/>
    <w:rsid w:val="00C11220"/>
    <w:rsid w:val="00C17508"/>
    <w:rsid w:val="00C22828"/>
    <w:rsid w:val="00C2614D"/>
    <w:rsid w:val="00C264C8"/>
    <w:rsid w:val="00C26A1B"/>
    <w:rsid w:val="00C30E06"/>
    <w:rsid w:val="00C3105B"/>
    <w:rsid w:val="00C34021"/>
    <w:rsid w:val="00C34A5E"/>
    <w:rsid w:val="00C35193"/>
    <w:rsid w:val="00C3555F"/>
    <w:rsid w:val="00C41086"/>
    <w:rsid w:val="00C41E6D"/>
    <w:rsid w:val="00C42AD3"/>
    <w:rsid w:val="00C4665E"/>
    <w:rsid w:val="00C5017F"/>
    <w:rsid w:val="00C50609"/>
    <w:rsid w:val="00C52FA6"/>
    <w:rsid w:val="00C60981"/>
    <w:rsid w:val="00C61E08"/>
    <w:rsid w:val="00C84FBC"/>
    <w:rsid w:val="00C94BFE"/>
    <w:rsid w:val="00C9503E"/>
    <w:rsid w:val="00C95AFB"/>
    <w:rsid w:val="00C97CBC"/>
    <w:rsid w:val="00CA0084"/>
    <w:rsid w:val="00CA04FB"/>
    <w:rsid w:val="00CA0BF9"/>
    <w:rsid w:val="00CA2341"/>
    <w:rsid w:val="00CA50BD"/>
    <w:rsid w:val="00CA5F26"/>
    <w:rsid w:val="00CB17AA"/>
    <w:rsid w:val="00CB24B8"/>
    <w:rsid w:val="00CB51F4"/>
    <w:rsid w:val="00CB6BB2"/>
    <w:rsid w:val="00CC1270"/>
    <w:rsid w:val="00CC3768"/>
    <w:rsid w:val="00CC37AF"/>
    <w:rsid w:val="00CC3E57"/>
    <w:rsid w:val="00CC7245"/>
    <w:rsid w:val="00CD1C6D"/>
    <w:rsid w:val="00CD1F5E"/>
    <w:rsid w:val="00CD2631"/>
    <w:rsid w:val="00CD3608"/>
    <w:rsid w:val="00CD3BF2"/>
    <w:rsid w:val="00CD4441"/>
    <w:rsid w:val="00CD54D9"/>
    <w:rsid w:val="00CD6F14"/>
    <w:rsid w:val="00CD7985"/>
    <w:rsid w:val="00CE0FE5"/>
    <w:rsid w:val="00CE5AB6"/>
    <w:rsid w:val="00CE7A93"/>
    <w:rsid w:val="00CF2A11"/>
    <w:rsid w:val="00CF2CC4"/>
    <w:rsid w:val="00CF344B"/>
    <w:rsid w:val="00CF36A4"/>
    <w:rsid w:val="00CF49B9"/>
    <w:rsid w:val="00D00925"/>
    <w:rsid w:val="00D047A7"/>
    <w:rsid w:val="00D04A9E"/>
    <w:rsid w:val="00D05751"/>
    <w:rsid w:val="00D0637E"/>
    <w:rsid w:val="00D11E72"/>
    <w:rsid w:val="00D133F9"/>
    <w:rsid w:val="00D13547"/>
    <w:rsid w:val="00D14376"/>
    <w:rsid w:val="00D1616A"/>
    <w:rsid w:val="00D17D42"/>
    <w:rsid w:val="00D21565"/>
    <w:rsid w:val="00D22302"/>
    <w:rsid w:val="00D232E4"/>
    <w:rsid w:val="00D26585"/>
    <w:rsid w:val="00D309B8"/>
    <w:rsid w:val="00D32924"/>
    <w:rsid w:val="00D33D38"/>
    <w:rsid w:val="00D43700"/>
    <w:rsid w:val="00D44A8A"/>
    <w:rsid w:val="00D4519C"/>
    <w:rsid w:val="00D47EC8"/>
    <w:rsid w:val="00D57E0E"/>
    <w:rsid w:val="00D6187C"/>
    <w:rsid w:val="00D647F8"/>
    <w:rsid w:val="00D72A8E"/>
    <w:rsid w:val="00D75547"/>
    <w:rsid w:val="00D7794E"/>
    <w:rsid w:val="00D80D3C"/>
    <w:rsid w:val="00D82E2E"/>
    <w:rsid w:val="00D8590D"/>
    <w:rsid w:val="00D85C07"/>
    <w:rsid w:val="00D86B9E"/>
    <w:rsid w:val="00D87853"/>
    <w:rsid w:val="00D91814"/>
    <w:rsid w:val="00D9438C"/>
    <w:rsid w:val="00D9479A"/>
    <w:rsid w:val="00D95540"/>
    <w:rsid w:val="00D97D04"/>
    <w:rsid w:val="00DA218D"/>
    <w:rsid w:val="00DB24EE"/>
    <w:rsid w:val="00DB334A"/>
    <w:rsid w:val="00DB3A59"/>
    <w:rsid w:val="00DB3E4A"/>
    <w:rsid w:val="00DB3F30"/>
    <w:rsid w:val="00DB4B5B"/>
    <w:rsid w:val="00DC1D97"/>
    <w:rsid w:val="00DD310F"/>
    <w:rsid w:val="00DE3DFB"/>
    <w:rsid w:val="00DE5AE7"/>
    <w:rsid w:val="00DF2F02"/>
    <w:rsid w:val="00DF4CC8"/>
    <w:rsid w:val="00E01524"/>
    <w:rsid w:val="00E04650"/>
    <w:rsid w:val="00E05554"/>
    <w:rsid w:val="00E0786B"/>
    <w:rsid w:val="00E07DE5"/>
    <w:rsid w:val="00E1075B"/>
    <w:rsid w:val="00E118AD"/>
    <w:rsid w:val="00E12D9E"/>
    <w:rsid w:val="00E14072"/>
    <w:rsid w:val="00E17D80"/>
    <w:rsid w:val="00E2222E"/>
    <w:rsid w:val="00E23C6C"/>
    <w:rsid w:val="00E273AF"/>
    <w:rsid w:val="00E40931"/>
    <w:rsid w:val="00E4332B"/>
    <w:rsid w:val="00E45916"/>
    <w:rsid w:val="00E464F1"/>
    <w:rsid w:val="00E53D21"/>
    <w:rsid w:val="00E55039"/>
    <w:rsid w:val="00E567AA"/>
    <w:rsid w:val="00E61924"/>
    <w:rsid w:val="00E64488"/>
    <w:rsid w:val="00E73D15"/>
    <w:rsid w:val="00E77CBB"/>
    <w:rsid w:val="00E80A5D"/>
    <w:rsid w:val="00E81403"/>
    <w:rsid w:val="00E871E2"/>
    <w:rsid w:val="00E901B6"/>
    <w:rsid w:val="00E909BE"/>
    <w:rsid w:val="00E90D3C"/>
    <w:rsid w:val="00E91B0E"/>
    <w:rsid w:val="00E93EC7"/>
    <w:rsid w:val="00E94F32"/>
    <w:rsid w:val="00E95F3D"/>
    <w:rsid w:val="00EA1D46"/>
    <w:rsid w:val="00EA31C5"/>
    <w:rsid w:val="00EB0081"/>
    <w:rsid w:val="00EB1FBA"/>
    <w:rsid w:val="00EB48B7"/>
    <w:rsid w:val="00EB664E"/>
    <w:rsid w:val="00EC3104"/>
    <w:rsid w:val="00EC6882"/>
    <w:rsid w:val="00EC68A8"/>
    <w:rsid w:val="00EC769F"/>
    <w:rsid w:val="00EC784E"/>
    <w:rsid w:val="00ED2A98"/>
    <w:rsid w:val="00ED3F7C"/>
    <w:rsid w:val="00ED59B2"/>
    <w:rsid w:val="00ED7BA8"/>
    <w:rsid w:val="00EE1DDE"/>
    <w:rsid w:val="00EE3E42"/>
    <w:rsid w:val="00EF4776"/>
    <w:rsid w:val="00EF498D"/>
    <w:rsid w:val="00EF591F"/>
    <w:rsid w:val="00EF5BF0"/>
    <w:rsid w:val="00F01033"/>
    <w:rsid w:val="00F01413"/>
    <w:rsid w:val="00F03FFA"/>
    <w:rsid w:val="00F05AE8"/>
    <w:rsid w:val="00F063F5"/>
    <w:rsid w:val="00F15ADF"/>
    <w:rsid w:val="00F207C0"/>
    <w:rsid w:val="00F26F9A"/>
    <w:rsid w:val="00F27EF2"/>
    <w:rsid w:val="00F32FC3"/>
    <w:rsid w:val="00F33386"/>
    <w:rsid w:val="00F338F3"/>
    <w:rsid w:val="00F350F1"/>
    <w:rsid w:val="00F367A8"/>
    <w:rsid w:val="00F4255E"/>
    <w:rsid w:val="00F43D4E"/>
    <w:rsid w:val="00F44858"/>
    <w:rsid w:val="00F52103"/>
    <w:rsid w:val="00F5228D"/>
    <w:rsid w:val="00F55061"/>
    <w:rsid w:val="00F57CF1"/>
    <w:rsid w:val="00F61170"/>
    <w:rsid w:val="00F63211"/>
    <w:rsid w:val="00F65027"/>
    <w:rsid w:val="00F676DD"/>
    <w:rsid w:val="00F724B9"/>
    <w:rsid w:val="00F760B1"/>
    <w:rsid w:val="00F76247"/>
    <w:rsid w:val="00F77238"/>
    <w:rsid w:val="00F865D3"/>
    <w:rsid w:val="00F90A47"/>
    <w:rsid w:val="00F93864"/>
    <w:rsid w:val="00F94973"/>
    <w:rsid w:val="00FA3760"/>
    <w:rsid w:val="00FB3378"/>
    <w:rsid w:val="00FC0190"/>
    <w:rsid w:val="00FC524E"/>
    <w:rsid w:val="00FD05E0"/>
    <w:rsid w:val="00FD06D8"/>
    <w:rsid w:val="00FD2C80"/>
    <w:rsid w:val="00FD2C9E"/>
    <w:rsid w:val="00FD3F54"/>
    <w:rsid w:val="00FD6348"/>
    <w:rsid w:val="00FD6573"/>
    <w:rsid w:val="00FD7798"/>
    <w:rsid w:val="00FE0055"/>
    <w:rsid w:val="00FE0C91"/>
    <w:rsid w:val="00FE3B3B"/>
    <w:rsid w:val="00FF0C0E"/>
    <w:rsid w:val="00FF6802"/>
    <w:rsid w:val="00FF70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paragraph" w:styleId="Titre5">
    <w:name w:val="heading 5"/>
    <w:basedOn w:val="Normal"/>
    <w:next w:val="Normal"/>
    <w:link w:val="Titre5Car"/>
    <w:uiPriority w:val="9"/>
    <w:semiHidden/>
    <w:unhideWhenUsed/>
    <w:rsid w:val="00CD6F14"/>
    <w:pPr>
      <w:keepNext/>
      <w:keepLines/>
      <w:spacing w:before="40" w:after="0"/>
      <w:outlineLvl w:val="4"/>
    </w:pPr>
    <w:rPr>
      <w:rFonts w:asciiTheme="majorHAnsi" w:eastAsiaTheme="majorEastAsia" w:hAnsiTheme="majorHAnsi" w:cstheme="majorBidi"/>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qFormat/>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aliases w:val="fn,footnote text,Footnotes,Footnote ak,Reference,Footnote,Fußnote,FSR footnote,lábléc,Footnote Text Char Char,Note de bas de page Car1 Car,Note de bas de page Car Car Car,Note de bas de page Car Car Car Car Car,Footnote Text Cha"/>
    <w:basedOn w:val="Normal"/>
    <w:link w:val="NotedebasdepageCar"/>
    <w:uiPriority w:val="99"/>
    <w:unhideWhenUsed/>
    <w:qFormat/>
    <w:rsid w:val="00745853"/>
    <w:pPr>
      <w:spacing w:after="0" w:line="240" w:lineRule="auto"/>
    </w:pPr>
    <w:rPr>
      <w:sz w:val="20"/>
      <w:szCs w:val="20"/>
    </w:rPr>
  </w:style>
  <w:style w:type="character" w:customStyle="1" w:styleId="NotedebasdepageCar">
    <w:name w:val="Note de bas de page Car"/>
    <w:aliases w:val="fn Car,footnote text Car,Footnotes Car,Footnote ak Car,Reference Car,Footnote Car,Fußnote Car,FSR footnote Car,lábléc Car,Footnote Text Char Char Car,Note de bas de page Car1 Car Car,Note de bas de page Car Car Car Car"/>
    <w:basedOn w:val="Policepardfaut"/>
    <w:link w:val="Notedebasdepage"/>
    <w:uiPriority w:val="99"/>
    <w:rsid w:val="00745853"/>
    <w:rPr>
      <w:sz w:val="20"/>
      <w:szCs w:val="20"/>
    </w:rPr>
  </w:style>
  <w:style w:type="character" w:styleId="Appelnotedebasdep">
    <w:name w:val="footnote reference"/>
    <w:aliases w:val="Footnote Reference Number,Footnote Reference_LVL6,Footnote Reference_LVL61,Footnote Reference_LVL62,Footnote Reference_LVL63,Footnote Reference_LVL64,HAppel note de bas de p.,SUPERS,Ref,de nota al pie,BVI fnr"/>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457B18"/>
    <w:pPr>
      <w:spacing w:before="240" w:after="80" w:line="240" w:lineRule="auto"/>
      <w:ind w:left="-284"/>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457B18"/>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311AF"/>
    <w:pPr>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character" w:styleId="Mentionnonrsolue">
    <w:name w:val="Unresolved Mention"/>
    <w:basedOn w:val="Policepardfaut"/>
    <w:uiPriority w:val="99"/>
    <w:semiHidden/>
    <w:unhideWhenUsed/>
    <w:rsid w:val="00E61924"/>
    <w:rPr>
      <w:color w:val="605E5C"/>
      <w:shd w:val="clear" w:color="auto" w:fill="E1DFDD"/>
    </w:rPr>
  </w:style>
  <w:style w:type="paragraph" w:customStyle="1" w:styleId="Briefinglist1">
    <w:name w:val="Briefing list 1"/>
    <w:basedOn w:val="Normal"/>
    <w:rsid w:val="00E1075B"/>
    <w:pPr>
      <w:keepLines/>
      <w:numPr>
        <w:numId w:val="25"/>
      </w:numPr>
      <w:spacing w:after="120" w:line="240" w:lineRule="auto"/>
      <w:jc w:val="both"/>
    </w:pPr>
    <w:rPr>
      <w:rFonts w:ascii="Arial" w:eastAsia="SimSun" w:hAnsi="Arial" w:cs="Arial"/>
      <w:szCs w:val="24"/>
      <w:lang w:val="en-GB"/>
    </w:rPr>
  </w:style>
  <w:style w:type="paragraph" w:styleId="NormalWeb">
    <w:name w:val="Normal (Web)"/>
    <w:basedOn w:val="Normal"/>
    <w:uiPriority w:val="99"/>
    <w:semiHidden/>
    <w:unhideWhenUsed/>
    <w:rsid w:val="00EC78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semiHidden/>
    <w:rsid w:val="00CD6F14"/>
    <w:rPr>
      <w:rFonts w:asciiTheme="majorHAnsi" w:eastAsiaTheme="majorEastAsia" w:hAnsiTheme="majorHAnsi" w:cstheme="majorBidi"/>
      <w:color w:val="006B60" w:themeColor="accent1" w:themeShade="BF"/>
    </w:rPr>
  </w:style>
  <w:style w:type="paragraph" w:customStyle="1" w:styleId="DecimalAligned">
    <w:name w:val="Decimal Aligned"/>
    <w:basedOn w:val="Normal"/>
    <w:uiPriority w:val="40"/>
    <w:rsid w:val="008267C2"/>
    <w:pPr>
      <w:tabs>
        <w:tab w:val="decimal" w:pos="360"/>
      </w:tabs>
      <w:spacing w:after="200" w:line="276" w:lineRule="auto"/>
    </w:pPr>
    <w:rPr>
      <w:rFonts w:eastAsiaTheme="minorEastAsia" w:cs="Times New Roman"/>
      <w:lang w:eastAsia="fr-FR"/>
    </w:rPr>
  </w:style>
  <w:style w:type="table" w:styleId="Trameclaire-Accent1">
    <w:name w:val="Light Shading Accent 1"/>
    <w:basedOn w:val="TableauNormal"/>
    <w:uiPriority w:val="60"/>
    <w:rsid w:val="008267C2"/>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1367">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432091925">
      <w:bodyDiv w:val="1"/>
      <w:marLeft w:val="0"/>
      <w:marRight w:val="0"/>
      <w:marTop w:val="0"/>
      <w:marBottom w:val="0"/>
      <w:divBdr>
        <w:top w:val="none" w:sz="0" w:space="0" w:color="auto"/>
        <w:left w:val="none" w:sz="0" w:space="0" w:color="auto"/>
        <w:bottom w:val="none" w:sz="0" w:space="0" w:color="auto"/>
        <w:right w:val="none" w:sz="0" w:space="0" w:color="auto"/>
      </w:divBdr>
      <w:divsChild>
        <w:div w:id="588198279">
          <w:marLeft w:val="0"/>
          <w:marRight w:val="0"/>
          <w:marTop w:val="0"/>
          <w:marBottom w:val="0"/>
          <w:divBdr>
            <w:top w:val="none" w:sz="0" w:space="0" w:color="auto"/>
            <w:left w:val="none" w:sz="0" w:space="0" w:color="auto"/>
            <w:bottom w:val="none" w:sz="0" w:space="0" w:color="auto"/>
            <w:right w:val="none" w:sz="0" w:space="0" w:color="auto"/>
          </w:divBdr>
          <w:divsChild>
            <w:div w:id="1673948552">
              <w:marLeft w:val="0"/>
              <w:marRight w:val="0"/>
              <w:marTop w:val="0"/>
              <w:marBottom w:val="0"/>
              <w:divBdr>
                <w:top w:val="none" w:sz="0" w:space="0" w:color="auto"/>
                <w:left w:val="none" w:sz="0" w:space="0" w:color="auto"/>
                <w:bottom w:val="none" w:sz="0" w:space="0" w:color="auto"/>
                <w:right w:val="none" w:sz="0" w:space="0" w:color="auto"/>
              </w:divBdr>
              <w:divsChild>
                <w:div w:id="2123186480">
                  <w:marLeft w:val="0"/>
                  <w:marRight w:val="0"/>
                  <w:marTop w:val="0"/>
                  <w:marBottom w:val="0"/>
                  <w:divBdr>
                    <w:top w:val="none" w:sz="0" w:space="0" w:color="auto"/>
                    <w:left w:val="none" w:sz="0" w:space="0" w:color="auto"/>
                    <w:bottom w:val="none" w:sz="0" w:space="0" w:color="auto"/>
                    <w:right w:val="none" w:sz="0" w:space="0" w:color="auto"/>
                  </w:divBdr>
                  <w:divsChild>
                    <w:div w:id="92557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048870">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586504341">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784426544">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965113750">
      <w:bodyDiv w:val="1"/>
      <w:marLeft w:val="0"/>
      <w:marRight w:val="0"/>
      <w:marTop w:val="0"/>
      <w:marBottom w:val="0"/>
      <w:divBdr>
        <w:top w:val="none" w:sz="0" w:space="0" w:color="auto"/>
        <w:left w:val="none" w:sz="0" w:space="0" w:color="auto"/>
        <w:bottom w:val="none" w:sz="0" w:space="0" w:color="auto"/>
        <w:right w:val="none" w:sz="0" w:space="0" w:color="auto"/>
      </w:divBdr>
    </w:div>
    <w:div w:id="1073697384">
      <w:bodyDiv w:val="1"/>
      <w:marLeft w:val="0"/>
      <w:marRight w:val="0"/>
      <w:marTop w:val="0"/>
      <w:marBottom w:val="0"/>
      <w:divBdr>
        <w:top w:val="none" w:sz="0" w:space="0" w:color="auto"/>
        <w:left w:val="none" w:sz="0" w:space="0" w:color="auto"/>
        <w:bottom w:val="none" w:sz="0" w:space="0" w:color="auto"/>
        <w:right w:val="none" w:sz="0" w:space="0" w:color="auto"/>
      </w:divBdr>
      <w:divsChild>
        <w:div w:id="1637644848">
          <w:marLeft w:val="0"/>
          <w:marRight w:val="0"/>
          <w:marTop w:val="0"/>
          <w:marBottom w:val="0"/>
          <w:divBdr>
            <w:top w:val="none" w:sz="0" w:space="0" w:color="auto"/>
            <w:left w:val="none" w:sz="0" w:space="0" w:color="auto"/>
            <w:bottom w:val="none" w:sz="0" w:space="0" w:color="auto"/>
            <w:right w:val="none" w:sz="0" w:space="0" w:color="auto"/>
          </w:divBdr>
          <w:divsChild>
            <w:div w:id="1846481246">
              <w:marLeft w:val="0"/>
              <w:marRight w:val="0"/>
              <w:marTop w:val="0"/>
              <w:marBottom w:val="0"/>
              <w:divBdr>
                <w:top w:val="none" w:sz="0" w:space="0" w:color="auto"/>
                <w:left w:val="none" w:sz="0" w:space="0" w:color="auto"/>
                <w:bottom w:val="none" w:sz="0" w:space="0" w:color="auto"/>
                <w:right w:val="none" w:sz="0" w:space="0" w:color="auto"/>
              </w:divBdr>
              <w:divsChild>
                <w:div w:id="1456946560">
                  <w:marLeft w:val="0"/>
                  <w:marRight w:val="0"/>
                  <w:marTop w:val="0"/>
                  <w:marBottom w:val="0"/>
                  <w:divBdr>
                    <w:top w:val="none" w:sz="0" w:space="0" w:color="auto"/>
                    <w:left w:val="none" w:sz="0" w:space="0" w:color="auto"/>
                    <w:bottom w:val="none" w:sz="0" w:space="0" w:color="auto"/>
                    <w:right w:val="none" w:sz="0" w:space="0" w:color="auto"/>
                  </w:divBdr>
                  <w:divsChild>
                    <w:div w:id="4734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396411">
      <w:bodyDiv w:val="1"/>
      <w:marLeft w:val="0"/>
      <w:marRight w:val="0"/>
      <w:marTop w:val="0"/>
      <w:marBottom w:val="0"/>
      <w:divBdr>
        <w:top w:val="none" w:sz="0" w:space="0" w:color="auto"/>
        <w:left w:val="none" w:sz="0" w:space="0" w:color="auto"/>
        <w:bottom w:val="none" w:sz="0" w:space="0" w:color="auto"/>
        <w:right w:val="none" w:sz="0" w:space="0" w:color="auto"/>
      </w:divBdr>
      <w:divsChild>
        <w:div w:id="1677343940">
          <w:marLeft w:val="0"/>
          <w:marRight w:val="0"/>
          <w:marTop w:val="0"/>
          <w:marBottom w:val="0"/>
          <w:divBdr>
            <w:top w:val="none" w:sz="0" w:space="0" w:color="auto"/>
            <w:left w:val="none" w:sz="0" w:space="0" w:color="auto"/>
            <w:bottom w:val="none" w:sz="0" w:space="0" w:color="auto"/>
            <w:right w:val="none" w:sz="0" w:space="0" w:color="auto"/>
          </w:divBdr>
          <w:divsChild>
            <w:div w:id="846821383">
              <w:marLeft w:val="0"/>
              <w:marRight w:val="0"/>
              <w:marTop w:val="0"/>
              <w:marBottom w:val="0"/>
              <w:divBdr>
                <w:top w:val="none" w:sz="0" w:space="0" w:color="auto"/>
                <w:left w:val="none" w:sz="0" w:space="0" w:color="auto"/>
                <w:bottom w:val="none" w:sz="0" w:space="0" w:color="auto"/>
                <w:right w:val="none" w:sz="0" w:space="0" w:color="auto"/>
              </w:divBdr>
            </w:div>
            <w:div w:id="652832923">
              <w:marLeft w:val="0"/>
              <w:marRight w:val="0"/>
              <w:marTop w:val="0"/>
              <w:marBottom w:val="0"/>
              <w:divBdr>
                <w:top w:val="none" w:sz="0" w:space="0" w:color="auto"/>
                <w:left w:val="none" w:sz="0" w:space="0" w:color="auto"/>
                <w:bottom w:val="none" w:sz="0" w:space="0" w:color="auto"/>
                <w:right w:val="none" w:sz="0" w:space="0" w:color="auto"/>
              </w:divBdr>
              <w:divsChild>
                <w:div w:id="968170739">
                  <w:marLeft w:val="0"/>
                  <w:marRight w:val="0"/>
                  <w:marTop w:val="0"/>
                  <w:marBottom w:val="0"/>
                  <w:divBdr>
                    <w:top w:val="none" w:sz="0" w:space="0" w:color="auto"/>
                    <w:left w:val="none" w:sz="0" w:space="0" w:color="auto"/>
                    <w:bottom w:val="none" w:sz="0" w:space="0" w:color="auto"/>
                    <w:right w:val="none" w:sz="0" w:space="0" w:color="auto"/>
                  </w:divBdr>
                  <w:divsChild>
                    <w:div w:id="16416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6627">
              <w:marLeft w:val="0"/>
              <w:marRight w:val="0"/>
              <w:marTop w:val="0"/>
              <w:marBottom w:val="0"/>
              <w:divBdr>
                <w:top w:val="none" w:sz="0" w:space="0" w:color="auto"/>
                <w:left w:val="none" w:sz="0" w:space="0" w:color="auto"/>
                <w:bottom w:val="none" w:sz="0" w:space="0" w:color="auto"/>
                <w:right w:val="none" w:sz="0" w:space="0" w:color="auto"/>
              </w:divBdr>
              <w:divsChild>
                <w:div w:id="1971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30949">
          <w:marLeft w:val="0"/>
          <w:marRight w:val="0"/>
          <w:marTop w:val="0"/>
          <w:marBottom w:val="0"/>
          <w:divBdr>
            <w:top w:val="none" w:sz="0" w:space="0" w:color="auto"/>
            <w:left w:val="none" w:sz="0" w:space="0" w:color="auto"/>
            <w:bottom w:val="none" w:sz="0" w:space="0" w:color="auto"/>
            <w:right w:val="none" w:sz="0" w:space="0" w:color="auto"/>
          </w:divBdr>
          <w:divsChild>
            <w:div w:id="859969499">
              <w:marLeft w:val="0"/>
              <w:marRight w:val="0"/>
              <w:marTop w:val="0"/>
              <w:marBottom w:val="0"/>
              <w:divBdr>
                <w:top w:val="none" w:sz="0" w:space="0" w:color="auto"/>
                <w:left w:val="none" w:sz="0" w:space="0" w:color="auto"/>
                <w:bottom w:val="none" w:sz="0" w:space="0" w:color="auto"/>
                <w:right w:val="none" w:sz="0" w:space="0" w:color="auto"/>
              </w:divBdr>
              <w:divsChild>
                <w:div w:id="1088890951">
                  <w:marLeft w:val="0"/>
                  <w:marRight w:val="0"/>
                  <w:marTop w:val="0"/>
                  <w:marBottom w:val="0"/>
                  <w:divBdr>
                    <w:top w:val="none" w:sz="0" w:space="0" w:color="auto"/>
                    <w:left w:val="none" w:sz="0" w:space="0" w:color="auto"/>
                    <w:bottom w:val="none" w:sz="0" w:space="0" w:color="auto"/>
                    <w:right w:val="none" w:sz="0" w:space="0" w:color="auto"/>
                  </w:divBdr>
                  <w:divsChild>
                    <w:div w:id="8943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8245">
      <w:bodyDiv w:val="1"/>
      <w:marLeft w:val="0"/>
      <w:marRight w:val="0"/>
      <w:marTop w:val="0"/>
      <w:marBottom w:val="0"/>
      <w:divBdr>
        <w:top w:val="none" w:sz="0" w:space="0" w:color="auto"/>
        <w:left w:val="none" w:sz="0" w:space="0" w:color="auto"/>
        <w:bottom w:val="none" w:sz="0" w:space="0" w:color="auto"/>
        <w:right w:val="none" w:sz="0" w:space="0" w:color="auto"/>
      </w:divBdr>
    </w:div>
    <w:div w:id="1207451303">
      <w:bodyDiv w:val="1"/>
      <w:marLeft w:val="0"/>
      <w:marRight w:val="0"/>
      <w:marTop w:val="0"/>
      <w:marBottom w:val="0"/>
      <w:divBdr>
        <w:top w:val="none" w:sz="0" w:space="0" w:color="auto"/>
        <w:left w:val="none" w:sz="0" w:space="0" w:color="auto"/>
        <w:bottom w:val="none" w:sz="0" w:space="0" w:color="auto"/>
        <w:right w:val="none" w:sz="0" w:space="0" w:color="auto"/>
      </w:divBdr>
    </w:div>
    <w:div w:id="1231887899">
      <w:bodyDiv w:val="1"/>
      <w:marLeft w:val="0"/>
      <w:marRight w:val="0"/>
      <w:marTop w:val="0"/>
      <w:marBottom w:val="0"/>
      <w:divBdr>
        <w:top w:val="none" w:sz="0" w:space="0" w:color="auto"/>
        <w:left w:val="none" w:sz="0" w:space="0" w:color="auto"/>
        <w:bottom w:val="none" w:sz="0" w:space="0" w:color="auto"/>
        <w:right w:val="none" w:sz="0" w:space="0" w:color="auto"/>
      </w:divBdr>
    </w:div>
    <w:div w:id="1615474844">
      <w:bodyDiv w:val="1"/>
      <w:marLeft w:val="0"/>
      <w:marRight w:val="0"/>
      <w:marTop w:val="0"/>
      <w:marBottom w:val="0"/>
      <w:divBdr>
        <w:top w:val="none" w:sz="0" w:space="0" w:color="auto"/>
        <w:left w:val="none" w:sz="0" w:space="0" w:color="auto"/>
        <w:bottom w:val="none" w:sz="0" w:space="0" w:color="auto"/>
        <w:right w:val="none" w:sz="0" w:space="0" w:color="auto"/>
      </w:divBdr>
    </w:div>
    <w:div w:id="1678776465">
      <w:bodyDiv w:val="1"/>
      <w:marLeft w:val="0"/>
      <w:marRight w:val="0"/>
      <w:marTop w:val="0"/>
      <w:marBottom w:val="0"/>
      <w:divBdr>
        <w:top w:val="none" w:sz="0" w:space="0" w:color="auto"/>
        <w:left w:val="none" w:sz="0" w:space="0" w:color="auto"/>
        <w:bottom w:val="none" w:sz="0" w:space="0" w:color="auto"/>
        <w:right w:val="none" w:sz="0" w:space="0" w:color="auto"/>
      </w:divBdr>
    </w:div>
    <w:div w:id="1741169932">
      <w:bodyDiv w:val="1"/>
      <w:marLeft w:val="0"/>
      <w:marRight w:val="0"/>
      <w:marTop w:val="0"/>
      <w:marBottom w:val="0"/>
      <w:divBdr>
        <w:top w:val="none" w:sz="0" w:space="0" w:color="auto"/>
        <w:left w:val="none" w:sz="0" w:space="0" w:color="auto"/>
        <w:bottom w:val="none" w:sz="0" w:space="0" w:color="auto"/>
        <w:right w:val="none" w:sz="0" w:space="0" w:color="auto"/>
      </w:divBdr>
    </w:div>
    <w:div w:id="1820031601">
      <w:bodyDiv w:val="1"/>
      <w:marLeft w:val="0"/>
      <w:marRight w:val="0"/>
      <w:marTop w:val="0"/>
      <w:marBottom w:val="0"/>
      <w:divBdr>
        <w:top w:val="none" w:sz="0" w:space="0" w:color="auto"/>
        <w:left w:val="none" w:sz="0" w:space="0" w:color="auto"/>
        <w:bottom w:val="none" w:sz="0" w:space="0" w:color="auto"/>
        <w:right w:val="none" w:sz="0" w:space="0" w:color="auto"/>
      </w:divBdr>
    </w:div>
    <w:div w:id="1845827256">
      <w:bodyDiv w:val="1"/>
      <w:marLeft w:val="0"/>
      <w:marRight w:val="0"/>
      <w:marTop w:val="0"/>
      <w:marBottom w:val="0"/>
      <w:divBdr>
        <w:top w:val="none" w:sz="0" w:space="0" w:color="auto"/>
        <w:left w:val="none" w:sz="0" w:space="0" w:color="auto"/>
        <w:bottom w:val="none" w:sz="0" w:space="0" w:color="auto"/>
        <w:right w:val="none" w:sz="0" w:space="0" w:color="auto"/>
      </w:divBdr>
    </w:div>
    <w:div w:id="1925411130">
      <w:bodyDiv w:val="1"/>
      <w:marLeft w:val="0"/>
      <w:marRight w:val="0"/>
      <w:marTop w:val="0"/>
      <w:marBottom w:val="0"/>
      <w:divBdr>
        <w:top w:val="none" w:sz="0" w:space="0" w:color="auto"/>
        <w:left w:val="none" w:sz="0" w:space="0" w:color="auto"/>
        <w:bottom w:val="none" w:sz="0" w:space="0" w:color="auto"/>
        <w:right w:val="none" w:sz="0" w:space="0" w:color="auto"/>
      </w:divBdr>
    </w:div>
    <w:div w:id="1946844644">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onomictimes.indiatimes.com/news/economy/indicators/private-consumption-share-in-indias-gdp-at-two-decade-high-finance-ministry/articleshow/122126505.cms?from=mdr" TargetMode="External"/><Relationship Id="rId3" Type="http://schemas.openxmlformats.org/officeDocument/2006/relationships/hyperlink" Target="https://www.pib.gov.in/PressReleaseIframePage.aspx?PRID=2098353" TargetMode="External"/><Relationship Id="rId7" Type="http://schemas.openxmlformats.org/officeDocument/2006/relationships/hyperlink" Target="https://economictimes.indiatimes.com/news/economy/policy/rbi-cuts-crr-by-100-bps-in-four-tranches-to-boost-liquidity-effective-sept/articleshow/121665891.cms?from=mdr" TargetMode="External"/><Relationship Id="rId12" Type="http://schemas.openxmlformats.org/officeDocument/2006/relationships/hyperlink" Target="https://economictimes.indiatimes.com/news/economy/foreign-trade/us-india-in-talks-on-trade-deal-that-may-cut-tariff-below-20/articleshow/122394648.cms?from=mdr" TargetMode="External"/><Relationship Id="rId2" Type="http://schemas.openxmlformats.org/officeDocument/2006/relationships/hyperlink" Target="https://www.icra.in/CommonService/OpenMediaS3?Key=19b872ba-1a07-452e-9d06-1e1f06d99b86" TargetMode="External"/><Relationship Id="rId1" Type="http://schemas.openxmlformats.org/officeDocument/2006/relationships/hyperlink" Target="https://www.mospi.gov.in/sites/default/files/press_release/GDP_PR_Q1_2025-26_29082025.pdf" TargetMode="External"/><Relationship Id="rId6" Type="http://schemas.openxmlformats.org/officeDocument/2006/relationships/hyperlink" Target="https://www.pib.gov.in/PressNoteDetails.aspx?NoteId=154573&amp;ModuleId=3" TargetMode="External"/><Relationship Id="rId11" Type="http://schemas.openxmlformats.org/officeDocument/2006/relationships/hyperlink" Target="https://www.fedex.com/content/dam/fedex/us-united-states/International/Additional_Tariffs_on_Indian_Origin_Goods_Effective_August_27_2025.pdf" TargetMode="External"/><Relationship Id="rId5" Type="http://schemas.openxmlformats.org/officeDocument/2006/relationships/hyperlink" Target="https://economictimes.indiatimes.com/news/economy/finance/rbis-rs-2-68-lakh-crore-dividend-bonanza-beats-govt-estimate/articleshow/121377041.cms?from=mdr" TargetMode="External"/><Relationship Id="rId10" Type="http://schemas.openxmlformats.org/officeDocument/2006/relationships/hyperlink" Target="https://www.pib.gov.in/PressReleasePage.aspx?PRID=2098352" TargetMode="External"/><Relationship Id="rId4" Type="http://schemas.openxmlformats.org/officeDocument/2006/relationships/hyperlink" Target="https://www.pib.gov.in/PressReleaseIframePage.aspx?PRID=2098353" TargetMode="External"/><Relationship Id="rId9" Type="http://schemas.openxmlformats.org/officeDocument/2006/relationships/hyperlink" Target="https://www.pib.gov.in/PressReleasePage.aspx?PRID=2155476" TargetMode="External"/></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2.xml><?xml version="1.0" encoding="utf-8"?>
<ds:datastoreItem xmlns:ds="http://schemas.openxmlformats.org/officeDocument/2006/customXml" ds:itemID="{984E70A4-4068-4A2A-B461-0F496D4F37F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7089C39-B73A-4C06-BD6A-F911CC7058AB}">
  <ds:schemaRefs>
    <ds:schemaRef ds:uri="http://schemas.microsoft.com/sharepoint/v3/contenttype/forms"/>
  </ds:schemaRefs>
</ds:datastoreItem>
</file>

<file path=customXml/itemProps4.xml><?xml version="1.0" encoding="utf-8"?>
<ds:datastoreItem xmlns:ds="http://schemas.openxmlformats.org/officeDocument/2006/customXml" ds:itemID="{EB247683-4EEA-48B5-BAEB-ED72EA5D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1492</Words>
  <Characters>8211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PONS ELEA</cp:lastModifiedBy>
  <cp:revision>8</cp:revision>
  <cp:lastPrinted>2025-08-13T04:03:00Z</cp:lastPrinted>
  <dcterms:created xsi:type="dcterms:W3CDTF">2025-09-05T10:22:00Z</dcterms:created>
  <dcterms:modified xsi:type="dcterms:W3CDTF">2025-09-05T10:34:00Z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