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359B1" w14:textId="77777777" w:rsidR="003633E3" w:rsidRDefault="003633E3" w:rsidP="004432FE">
      <w:pPr>
        <w:tabs>
          <w:tab w:val="left" w:pos="3969"/>
        </w:tabs>
        <w:spacing w:after="0"/>
        <w:rPr>
          <w:rFonts w:ascii="Arial" w:hAnsi="Arial" w:cs="Arial"/>
        </w:rPr>
      </w:pPr>
    </w:p>
    <w:p w14:paraId="4E64CC4A" w14:textId="4DB0810B" w:rsidR="006A6814" w:rsidRPr="00AF3E63" w:rsidRDefault="004432FE" w:rsidP="004432FE">
      <w:pPr>
        <w:tabs>
          <w:tab w:val="left" w:pos="3969"/>
        </w:tabs>
        <w:spacing w:after="0"/>
        <w:rPr>
          <w:rFonts w:ascii="Arial" w:hAnsi="Arial" w:cs="Arial"/>
        </w:rPr>
      </w:pPr>
      <w:r w:rsidRPr="00AF3E63">
        <w:rPr>
          <w:rFonts w:ascii="Arial" w:hAnsi="Arial" w:cs="Arial"/>
        </w:rPr>
        <w:tab/>
      </w:r>
    </w:p>
    <w:tbl>
      <w:tblPr>
        <w:tblStyle w:val="Grilledutableau"/>
        <w:tblW w:w="9214" w:type="dxa"/>
        <w:tblLook w:val="04A0" w:firstRow="1" w:lastRow="0" w:firstColumn="1" w:lastColumn="0" w:noHBand="0" w:noVBand="1"/>
      </w:tblPr>
      <w:tblGrid>
        <w:gridCol w:w="5103"/>
        <w:gridCol w:w="3959"/>
        <w:gridCol w:w="152"/>
      </w:tblGrid>
      <w:tr w:rsidR="006A6814" w:rsidRPr="005C5173" w14:paraId="3F8B0232" w14:textId="77777777" w:rsidTr="0057751A">
        <w:tc>
          <w:tcPr>
            <w:tcW w:w="5103" w:type="dxa"/>
            <w:tcBorders>
              <w:top w:val="nil"/>
              <w:left w:val="nil"/>
              <w:bottom w:val="nil"/>
              <w:right w:val="nil"/>
            </w:tcBorders>
          </w:tcPr>
          <w:p w14:paraId="0BFE0C47" w14:textId="77777777" w:rsidR="00AF3E63" w:rsidRPr="005C5173" w:rsidRDefault="006A6814" w:rsidP="006A6814">
            <w:pPr>
              <w:tabs>
                <w:tab w:val="left" w:pos="3969"/>
              </w:tabs>
              <w:rPr>
                <w:rFonts w:ascii="Segoe UI" w:eastAsia="SimSun" w:hAnsi="Segoe UI" w:cs="Segoe UI"/>
                <w:b/>
                <w:color w:val="000000" w:themeColor="text1"/>
                <w:lang w:eastAsia="ja-JP"/>
              </w:rPr>
            </w:pPr>
            <w:r w:rsidRPr="005C5173">
              <w:rPr>
                <w:rFonts w:ascii="Segoe UI" w:eastAsia="SimSun" w:hAnsi="Segoe UI" w:cs="Segoe UI"/>
                <w:b/>
                <w:color w:val="000000" w:themeColor="text1"/>
                <w:lang w:eastAsia="ja-JP"/>
              </w:rPr>
              <w:t xml:space="preserve">  </w:t>
            </w:r>
          </w:p>
          <w:p w14:paraId="2C29A7A8" w14:textId="49EB11A6" w:rsidR="00AF3E63" w:rsidRPr="00723BCF" w:rsidRDefault="002F1588" w:rsidP="006A6814">
            <w:pPr>
              <w:tabs>
                <w:tab w:val="left" w:pos="3969"/>
              </w:tabs>
              <w:rPr>
                <w:rFonts w:ascii="Segoe UI" w:eastAsia="SimSun" w:hAnsi="Segoe UI" w:cs="Segoe UI"/>
                <w:bCs/>
                <w:color w:val="000000" w:themeColor="text1"/>
                <w:sz w:val="20"/>
                <w:szCs w:val="20"/>
                <w:lang w:eastAsia="ja-JP"/>
              </w:rPr>
            </w:pPr>
            <w:r>
              <w:rPr>
                <w:rFonts w:ascii="Segoe UI" w:eastAsia="SimSun" w:hAnsi="Segoe UI" w:cs="Segoe UI"/>
                <w:bCs/>
                <w:color w:val="000000" w:themeColor="text1"/>
                <w:sz w:val="20"/>
                <w:szCs w:val="20"/>
                <w:lang w:eastAsia="ja-JP"/>
              </w:rPr>
              <w:t>KWT 202</w:t>
            </w:r>
            <w:r w:rsidR="00BE541D">
              <w:rPr>
                <w:rFonts w:ascii="Segoe UI" w:eastAsia="SimSun" w:hAnsi="Segoe UI" w:cs="Segoe UI"/>
                <w:bCs/>
                <w:color w:val="000000" w:themeColor="text1"/>
                <w:sz w:val="20"/>
                <w:szCs w:val="20"/>
                <w:lang w:eastAsia="ja-JP"/>
              </w:rPr>
              <w:t>4</w:t>
            </w:r>
            <w:r>
              <w:rPr>
                <w:rFonts w:ascii="Segoe UI" w:eastAsia="SimSun" w:hAnsi="Segoe UI" w:cs="Segoe UI"/>
                <w:bCs/>
                <w:color w:val="000000" w:themeColor="text1"/>
                <w:sz w:val="20"/>
                <w:szCs w:val="20"/>
                <w:lang w:eastAsia="ja-JP"/>
              </w:rPr>
              <w:t>/</w:t>
            </w:r>
            <w:r w:rsidR="00F43BDD" w:rsidRPr="00F43BDD">
              <w:rPr>
                <w:rFonts w:ascii="Segoe UI" w:eastAsia="SimSun" w:hAnsi="Segoe UI" w:cs="Segoe UI"/>
                <w:bCs/>
                <w:color w:val="000000" w:themeColor="text1"/>
                <w:sz w:val="20"/>
                <w:szCs w:val="20"/>
                <w:lang w:eastAsia="ja-JP"/>
              </w:rPr>
              <w:t>039</w:t>
            </w:r>
            <w:r w:rsidR="00B50782" w:rsidRPr="00F43BDD">
              <w:rPr>
                <w:rFonts w:ascii="Segoe UI" w:eastAsia="SimSun" w:hAnsi="Segoe UI" w:cs="Segoe UI"/>
                <w:bCs/>
                <w:color w:val="000000" w:themeColor="text1"/>
                <w:sz w:val="20"/>
                <w:szCs w:val="20"/>
                <w:lang w:eastAsia="ja-JP"/>
              </w:rPr>
              <w:t xml:space="preserve"> </w:t>
            </w:r>
            <w:r w:rsidR="00DB4EEA">
              <w:rPr>
                <w:rFonts w:ascii="Segoe UI" w:eastAsia="SimSun" w:hAnsi="Segoe UI" w:cs="Segoe UI"/>
                <w:bCs/>
                <w:color w:val="000000" w:themeColor="text1"/>
                <w:sz w:val="20"/>
                <w:szCs w:val="20"/>
                <w:lang w:eastAsia="ja-JP"/>
              </w:rPr>
              <w:t>AB</w:t>
            </w:r>
            <w:r w:rsidR="00723BCF" w:rsidRPr="00D4640E">
              <w:rPr>
                <w:rFonts w:ascii="Segoe UI" w:eastAsia="SimSun" w:hAnsi="Segoe UI" w:cs="Segoe UI"/>
                <w:bCs/>
                <w:color w:val="000000" w:themeColor="text1"/>
                <w:sz w:val="20"/>
                <w:szCs w:val="20"/>
                <w:lang w:eastAsia="ja-JP"/>
              </w:rPr>
              <w:t xml:space="preserve"> </w:t>
            </w:r>
          </w:p>
          <w:p w14:paraId="5511A3C8" w14:textId="77777777" w:rsidR="00AF3E63" w:rsidRPr="00963B41" w:rsidRDefault="006A6814" w:rsidP="0057751A">
            <w:pPr>
              <w:tabs>
                <w:tab w:val="left" w:pos="3969"/>
              </w:tabs>
              <w:rPr>
                <w:rFonts w:ascii="Segoe UI" w:eastAsia="SimSun" w:hAnsi="Segoe UI" w:cs="Segoe UI"/>
                <w:b/>
                <w:color w:val="000000" w:themeColor="text1"/>
                <w:sz w:val="20"/>
                <w:lang w:eastAsia="ja-JP"/>
              </w:rPr>
            </w:pPr>
            <w:r w:rsidRPr="00963B41">
              <w:rPr>
                <w:rFonts w:ascii="Segoe UI" w:eastAsia="SimSun" w:hAnsi="Segoe UI" w:cs="Segoe UI"/>
                <w:b/>
                <w:color w:val="000000" w:themeColor="text1"/>
                <w:sz w:val="20"/>
                <w:lang w:eastAsia="ja-JP"/>
              </w:rPr>
              <w:t xml:space="preserve">Ambassade de France </w:t>
            </w:r>
            <w:r w:rsidR="0057751A">
              <w:rPr>
                <w:rFonts w:ascii="Segoe UI" w:eastAsia="SimSun" w:hAnsi="Segoe UI" w:cs="Segoe UI"/>
                <w:b/>
                <w:color w:val="000000" w:themeColor="text1"/>
                <w:sz w:val="20"/>
                <w:lang w:eastAsia="ja-JP"/>
              </w:rPr>
              <w:t>au Koweït</w:t>
            </w:r>
          </w:p>
          <w:p w14:paraId="20C52200" w14:textId="77777777" w:rsidR="006A6814" w:rsidRPr="00963B41" w:rsidRDefault="0057751A" w:rsidP="006A6814">
            <w:pPr>
              <w:tabs>
                <w:tab w:val="left" w:pos="3969"/>
              </w:tabs>
              <w:rPr>
                <w:rFonts w:ascii="Segoe UI" w:eastAsia="SimSun" w:hAnsi="Segoe UI" w:cs="Segoe UI"/>
                <w:b/>
                <w:color w:val="000000" w:themeColor="text1"/>
                <w:sz w:val="20"/>
                <w:lang w:eastAsia="ja-JP"/>
              </w:rPr>
            </w:pPr>
            <w:r>
              <w:rPr>
                <w:rFonts w:ascii="Segoe UI" w:eastAsia="SimSun" w:hAnsi="Segoe UI" w:cs="Segoe UI"/>
                <w:b/>
                <w:color w:val="000000" w:themeColor="text1"/>
                <w:sz w:val="20"/>
                <w:lang w:eastAsia="ja-JP"/>
              </w:rPr>
              <w:t>Service économique de Koweït</w:t>
            </w:r>
          </w:p>
          <w:p w14:paraId="45B61485" w14:textId="77777777" w:rsidR="006A6814" w:rsidRPr="005C5173" w:rsidRDefault="006A6814" w:rsidP="004432FE">
            <w:pPr>
              <w:tabs>
                <w:tab w:val="left" w:pos="3969"/>
              </w:tabs>
              <w:rPr>
                <w:rFonts w:ascii="Segoe UI" w:hAnsi="Segoe UI" w:cs="Segoe UI"/>
              </w:rPr>
            </w:pPr>
          </w:p>
        </w:tc>
        <w:tc>
          <w:tcPr>
            <w:tcW w:w="4111" w:type="dxa"/>
            <w:gridSpan w:val="2"/>
            <w:tcBorders>
              <w:top w:val="nil"/>
              <w:left w:val="nil"/>
              <w:bottom w:val="nil"/>
              <w:right w:val="nil"/>
            </w:tcBorders>
          </w:tcPr>
          <w:p w14:paraId="753E06D5" w14:textId="77777777" w:rsidR="00AF3E63" w:rsidRPr="005C5173" w:rsidRDefault="00AF3E63" w:rsidP="007E6B29">
            <w:pPr>
              <w:tabs>
                <w:tab w:val="left" w:pos="3969"/>
              </w:tabs>
              <w:rPr>
                <w:rFonts w:ascii="Segoe UI" w:eastAsia="SimSun" w:hAnsi="Segoe UI" w:cs="Segoe UI"/>
                <w:color w:val="000000" w:themeColor="text1"/>
                <w:sz w:val="20"/>
                <w:lang w:eastAsia="ja-JP"/>
              </w:rPr>
            </w:pPr>
          </w:p>
          <w:p w14:paraId="67991562" w14:textId="77777777" w:rsidR="003C1760" w:rsidRPr="005C5173" w:rsidRDefault="003C1760" w:rsidP="007E6B29">
            <w:pPr>
              <w:tabs>
                <w:tab w:val="left" w:pos="3969"/>
              </w:tabs>
              <w:rPr>
                <w:rFonts w:ascii="Segoe UI" w:eastAsia="SimSun" w:hAnsi="Segoe UI" w:cs="Segoe UI"/>
                <w:color w:val="000000" w:themeColor="text1"/>
                <w:sz w:val="20"/>
                <w:lang w:eastAsia="ja-JP"/>
              </w:rPr>
            </w:pPr>
          </w:p>
          <w:p w14:paraId="76D6421D" w14:textId="3620516D" w:rsidR="006A6814" w:rsidRPr="005C5173" w:rsidRDefault="00D50735" w:rsidP="00233A6A">
            <w:pPr>
              <w:tabs>
                <w:tab w:val="left" w:pos="3969"/>
              </w:tabs>
              <w:ind w:firstLine="459"/>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 xml:space="preserve">                 </w:t>
            </w:r>
            <w:r w:rsidR="0057751A">
              <w:rPr>
                <w:rFonts w:ascii="Segoe UI" w:eastAsia="SimSun" w:hAnsi="Segoe UI" w:cs="Segoe UI"/>
                <w:color w:val="000000" w:themeColor="text1"/>
                <w:sz w:val="20"/>
                <w:lang w:eastAsia="ja-JP"/>
              </w:rPr>
              <w:t xml:space="preserve">Kuwait City, </w:t>
            </w:r>
            <w:r w:rsidR="00F27B3F">
              <w:rPr>
                <w:rFonts w:ascii="Segoe UI" w:eastAsia="SimSun" w:hAnsi="Segoe UI" w:cs="Segoe UI"/>
                <w:color w:val="000000" w:themeColor="text1"/>
                <w:sz w:val="20"/>
                <w:lang w:eastAsia="ja-JP"/>
              </w:rPr>
              <w:t xml:space="preserve">le </w:t>
            </w:r>
            <w:r w:rsidR="00594EDB">
              <w:rPr>
                <w:rFonts w:ascii="Segoe UI" w:eastAsia="SimSun" w:hAnsi="Segoe UI" w:cs="Segoe UI"/>
                <w:color w:val="000000" w:themeColor="text1"/>
                <w:sz w:val="20"/>
                <w:lang w:eastAsia="ja-JP"/>
              </w:rPr>
              <w:t>25</w:t>
            </w:r>
            <w:r w:rsidR="00DB4EEA">
              <w:rPr>
                <w:rFonts w:ascii="Segoe UI" w:eastAsia="SimSun" w:hAnsi="Segoe UI" w:cs="Segoe UI"/>
                <w:color w:val="000000" w:themeColor="text1"/>
                <w:sz w:val="20"/>
                <w:lang w:eastAsia="ja-JP"/>
              </w:rPr>
              <w:t xml:space="preserve"> mars</w:t>
            </w:r>
            <w:r w:rsidR="00D4640E">
              <w:rPr>
                <w:rFonts w:ascii="Segoe UI" w:eastAsia="SimSun" w:hAnsi="Segoe UI" w:cs="Segoe UI"/>
                <w:color w:val="000000" w:themeColor="text1"/>
                <w:sz w:val="20"/>
                <w:lang w:eastAsia="ja-JP"/>
              </w:rPr>
              <w:t xml:space="preserve"> 202</w:t>
            </w:r>
            <w:r w:rsidR="00BE541D">
              <w:rPr>
                <w:rFonts w:ascii="Segoe UI" w:eastAsia="SimSun" w:hAnsi="Segoe UI" w:cs="Segoe UI"/>
                <w:color w:val="000000" w:themeColor="text1"/>
                <w:sz w:val="20"/>
                <w:lang w:eastAsia="ja-JP"/>
              </w:rPr>
              <w:t>4</w:t>
            </w:r>
          </w:p>
          <w:p w14:paraId="14B359DC" w14:textId="3FEBAC7F" w:rsidR="006A6814" w:rsidRPr="005C5173" w:rsidRDefault="006A6814" w:rsidP="003C1760">
            <w:pPr>
              <w:tabs>
                <w:tab w:val="left" w:pos="3969"/>
              </w:tabs>
              <w:ind w:firstLine="459"/>
              <w:rPr>
                <w:rFonts w:ascii="Segoe UI" w:hAnsi="Segoe UI" w:cs="Segoe UI"/>
              </w:rPr>
            </w:pPr>
          </w:p>
        </w:tc>
      </w:tr>
      <w:tr w:rsidR="00F37E56" w:rsidRPr="00821B9A" w14:paraId="176D7276" w14:textId="77777777" w:rsidTr="0057751A">
        <w:trPr>
          <w:gridAfter w:val="1"/>
          <w:wAfter w:w="152" w:type="dxa"/>
        </w:trPr>
        <w:tc>
          <w:tcPr>
            <w:tcW w:w="9062" w:type="dxa"/>
            <w:gridSpan w:val="2"/>
            <w:tcBorders>
              <w:top w:val="nil"/>
              <w:left w:val="nil"/>
              <w:bottom w:val="nil"/>
              <w:right w:val="nil"/>
            </w:tcBorders>
          </w:tcPr>
          <w:p w14:paraId="52E0179F" w14:textId="351B4BBD" w:rsidR="00723BCF" w:rsidRPr="00821B9A" w:rsidRDefault="00B50782" w:rsidP="00B50782">
            <w:pPr>
              <w:tabs>
                <w:tab w:val="left" w:pos="3969"/>
                <w:tab w:val="center" w:pos="4423"/>
                <w:tab w:val="right" w:pos="8846"/>
              </w:tabs>
              <w:jc w:val="center"/>
              <w:rPr>
                <w:rFonts w:ascii="Segoe UI" w:eastAsia="Calibri" w:hAnsi="Segoe UI" w:cs="Segoe UI"/>
                <w:color w:val="006CE5"/>
                <w:sz w:val="32"/>
                <w:szCs w:val="32"/>
                <w:lang w:eastAsia="fr-FR"/>
              </w:rPr>
            </w:pPr>
            <w:r>
              <w:rPr>
                <w:rFonts w:ascii="Segoe UI" w:eastAsia="Calibri" w:hAnsi="Segoe UI" w:cs="Segoe UI"/>
                <w:color w:val="006CE5"/>
                <w:sz w:val="32"/>
                <w:szCs w:val="32"/>
                <w:lang w:eastAsia="fr-FR"/>
              </w:rPr>
              <w:t>Budget 2024-2025 : des efforts budgétaires</w:t>
            </w:r>
            <w:r w:rsidR="00DD5C3A">
              <w:rPr>
                <w:rFonts w:ascii="Segoe UI" w:eastAsia="Calibri" w:hAnsi="Segoe UI" w:cs="Segoe UI"/>
                <w:color w:val="006CE5"/>
                <w:sz w:val="32"/>
                <w:szCs w:val="32"/>
                <w:lang w:eastAsia="fr-FR"/>
              </w:rPr>
              <w:t xml:space="preserve"> en trompe l’</w:t>
            </w:r>
            <w:r w:rsidR="00EB1BAC">
              <w:rPr>
                <w:rFonts w:ascii="Segoe UI" w:eastAsia="Calibri" w:hAnsi="Segoe UI" w:cs="Segoe UI"/>
                <w:color w:val="006CE5"/>
                <w:sz w:val="32"/>
                <w:szCs w:val="32"/>
                <w:lang w:eastAsia="fr-FR"/>
              </w:rPr>
              <w:t>œil</w:t>
            </w:r>
            <w:r>
              <w:rPr>
                <w:rFonts w:ascii="Segoe UI" w:eastAsia="Calibri" w:hAnsi="Segoe UI" w:cs="Segoe UI"/>
                <w:color w:val="006CE5"/>
                <w:sz w:val="32"/>
                <w:szCs w:val="32"/>
                <w:lang w:eastAsia="fr-FR"/>
              </w:rPr>
              <w:t xml:space="preserve"> qui n’empêchent pas </w:t>
            </w:r>
            <w:r w:rsidR="00B22247">
              <w:rPr>
                <w:rFonts w:ascii="Segoe UI" w:eastAsia="Calibri" w:hAnsi="Segoe UI" w:cs="Segoe UI"/>
                <w:color w:val="006CE5"/>
                <w:sz w:val="32"/>
                <w:szCs w:val="32"/>
                <w:lang w:eastAsia="fr-FR"/>
              </w:rPr>
              <w:t xml:space="preserve">un </w:t>
            </w:r>
            <w:r>
              <w:rPr>
                <w:rFonts w:ascii="Segoe UI" w:eastAsia="Calibri" w:hAnsi="Segoe UI" w:cs="Segoe UI"/>
                <w:color w:val="006CE5"/>
                <w:sz w:val="32"/>
                <w:szCs w:val="32"/>
                <w:lang w:eastAsia="fr-FR"/>
              </w:rPr>
              <w:t xml:space="preserve">déficit </w:t>
            </w:r>
            <w:r w:rsidR="00B22247">
              <w:rPr>
                <w:rFonts w:ascii="Segoe UI" w:eastAsia="Calibri" w:hAnsi="Segoe UI" w:cs="Segoe UI"/>
                <w:color w:val="006CE5"/>
                <w:sz w:val="32"/>
                <w:szCs w:val="32"/>
                <w:lang w:eastAsia="fr-FR"/>
              </w:rPr>
              <w:t xml:space="preserve">prévu </w:t>
            </w:r>
            <w:r>
              <w:rPr>
                <w:rFonts w:ascii="Segoe UI" w:eastAsia="Calibri" w:hAnsi="Segoe UI" w:cs="Segoe UI"/>
                <w:color w:val="006CE5"/>
                <w:sz w:val="32"/>
                <w:szCs w:val="32"/>
                <w:lang w:eastAsia="fr-FR"/>
              </w:rPr>
              <w:t xml:space="preserve">toujours </w:t>
            </w:r>
            <w:r w:rsidR="00CA465D">
              <w:rPr>
                <w:rFonts w:ascii="Segoe UI" w:eastAsia="Calibri" w:hAnsi="Segoe UI" w:cs="Segoe UI"/>
                <w:color w:val="006CE5"/>
                <w:sz w:val="32"/>
                <w:szCs w:val="32"/>
                <w:lang w:eastAsia="fr-FR"/>
              </w:rPr>
              <w:t>important</w:t>
            </w:r>
          </w:p>
          <w:p w14:paraId="79F71855" w14:textId="77777777" w:rsidR="00904EBC" w:rsidRPr="00821B9A" w:rsidRDefault="00E7604C" w:rsidP="00723BCF">
            <w:pPr>
              <w:tabs>
                <w:tab w:val="left" w:pos="3969"/>
                <w:tab w:val="center" w:pos="4423"/>
                <w:tab w:val="right" w:pos="8846"/>
              </w:tabs>
              <w:jc w:val="center"/>
              <w:rPr>
                <w:rFonts w:ascii="Segoe UI" w:eastAsia="Calibri" w:hAnsi="Segoe UI" w:cs="Segoe UI"/>
                <w:color w:val="006CE5"/>
                <w:sz w:val="32"/>
                <w:szCs w:val="32"/>
                <w:lang w:eastAsia="fr-FR"/>
              </w:rPr>
            </w:pPr>
            <w:r w:rsidRPr="00821B9A">
              <w:rPr>
                <w:rFonts w:ascii="Segoe UI" w:eastAsia="Calibri" w:hAnsi="Segoe UI" w:cs="Segoe UI"/>
                <w:color w:val="006CE5"/>
                <w:sz w:val="32"/>
                <w:szCs w:val="32"/>
                <w:lang w:eastAsia="fr-FR"/>
              </w:rPr>
              <w:tab/>
            </w:r>
            <w:r w:rsidRPr="00821B9A">
              <w:rPr>
                <w:rFonts w:ascii="Segoe UI" w:eastAsia="Calibri" w:hAnsi="Segoe UI" w:cs="Segoe UI"/>
                <w:color w:val="006CE5"/>
                <w:sz w:val="32"/>
                <w:szCs w:val="32"/>
                <w:lang w:eastAsia="fr-FR"/>
              </w:rPr>
              <w:tab/>
            </w:r>
          </w:p>
        </w:tc>
      </w:tr>
    </w:tbl>
    <w:p w14:paraId="74D7A5B5" w14:textId="24773216" w:rsidR="00F01509" w:rsidRPr="00B50782" w:rsidRDefault="00904EBC" w:rsidP="00FE33A3">
      <w:pPr>
        <w:jc w:val="both"/>
        <w:rPr>
          <w:rFonts w:ascii="Segoe UI" w:eastAsia="Times New Roman" w:hAnsi="Segoe UI" w:cs="Segoe UI"/>
          <w:b/>
          <w:bCs/>
          <w:color w:val="006CE5"/>
          <w:sz w:val="20"/>
          <w:szCs w:val="20"/>
          <w:lang w:eastAsia="fr-FR"/>
        </w:rPr>
      </w:pPr>
      <w:r w:rsidRPr="00F01509">
        <w:rPr>
          <w:rFonts w:ascii="Segoe UI" w:eastAsia="Times New Roman" w:hAnsi="Segoe UI" w:cs="Segoe UI"/>
          <w:b/>
          <w:bCs/>
          <w:color w:val="006CE5"/>
          <w:sz w:val="20"/>
          <w:szCs w:val="20"/>
          <w:lang w:eastAsia="fr-FR"/>
        </w:rPr>
        <w:t>Résumé</w:t>
      </w:r>
      <w:r w:rsidR="00BF361E" w:rsidRPr="00F01509">
        <w:rPr>
          <w:rFonts w:ascii="Segoe UI" w:eastAsia="Times New Roman" w:hAnsi="Segoe UI" w:cs="Segoe UI"/>
          <w:b/>
          <w:bCs/>
          <w:color w:val="006CE5"/>
          <w:sz w:val="20"/>
          <w:szCs w:val="20"/>
          <w:lang w:eastAsia="fr-FR"/>
        </w:rPr>
        <w:t xml:space="preserve"> </w:t>
      </w:r>
      <w:r w:rsidRPr="00F01509">
        <w:rPr>
          <w:rFonts w:ascii="Segoe UI" w:eastAsia="Times New Roman" w:hAnsi="Segoe UI" w:cs="Segoe UI"/>
          <w:b/>
          <w:bCs/>
          <w:color w:val="006CE5"/>
          <w:sz w:val="20"/>
          <w:szCs w:val="20"/>
          <w:lang w:eastAsia="fr-FR"/>
        </w:rPr>
        <w:t>:</w:t>
      </w:r>
      <w:r w:rsidR="0015590C" w:rsidRPr="00F01509">
        <w:rPr>
          <w:rFonts w:ascii="Segoe UI" w:eastAsia="Times New Roman" w:hAnsi="Segoe UI" w:cs="Segoe UI"/>
          <w:b/>
          <w:bCs/>
          <w:color w:val="006CE5"/>
          <w:sz w:val="20"/>
          <w:szCs w:val="20"/>
          <w:lang w:eastAsia="fr-FR"/>
        </w:rPr>
        <w:t xml:space="preserve"> </w:t>
      </w:r>
      <w:r w:rsidR="006839F3">
        <w:rPr>
          <w:rFonts w:ascii="Segoe UI" w:eastAsia="Times New Roman" w:hAnsi="Segoe UI" w:cs="Segoe UI"/>
          <w:b/>
          <w:bCs/>
          <w:color w:val="006CE5"/>
          <w:sz w:val="20"/>
          <w:szCs w:val="20"/>
          <w:lang w:eastAsia="fr-FR"/>
        </w:rPr>
        <w:t>Déficit annoncé à 1</w:t>
      </w:r>
      <w:r w:rsidR="00820745">
        <w:rPr>
          <w:rFonts w:ascii="Segoe UI" w:eastAsia="Times New Roman" w:hAnsi="Segoe UI" w:cs="Segoe UI"/>
          <w:b/>
          <w:bCs/>
          <w:color w:val="006CE5"/>
          <w:sz w:val="20"/>
          <w:szCs w:val="20"/>
          <w:lang w:eastAsia="fr-FR"/>
        </w:rPr>
        <w:t xml:space="preserve">9,15 </w:t>
      </w:r>
      <w:r w:rsidR="006839F3">
        <w:rPr>
          <w:rFonts w:ascii="Segoe UI" w:eastAsia="Times New Roman" w:hAnsi="Segoe UI" w:cs="Segoe UI"/>
          <w:b/>
          <w:bCs/>
          <w:color w:val="006CE5"/>
          <w:sz w:val="20"/>
          <w:szCs w:val="20"/>
          <w:lang w:eastAsia="fr-FR"/>
        </w:rPr>
        <w:t>Mds USD</w:t>
      </w:r>
      <w:r w:rsidR="00C20F3B">
        <w:rPr>
          <w:rFonts w:ascii="Segoe UI" w:eastAsia="Times New Roman" w:hAnsi="Segoe UI" w:cs="Segoe UI"/>
          <w:b/>
          <w:bCs/>
          <w:color w:val="006CE5"/>
          <w:sz w:val="20"/>
          <w:szCs w:val="20"/>
          <w:lang w:eastAsia="fr-FR"/>
        </w:rPr>
        <w:t>, en baisse par rapport à l’année précédente</w:t>
      </w:r>
      <w:r w:rsidR="006839F3">
        <w:rPr>
          <w:rFonts w:ascii="Segoe UI" w:eastAsia="Times New Roman" w:hAnsi="Segoe UI" w:cs="Segoe UI"/>
          <w:b/>
          <w:bCs/>
          <w:color w:val="006CE5"/>
          <w:sz w:val="20"/>
          <w:szCs w:val="20"/>
          <w:lang w:eastAsia="fr-FR"/>
        </w:rPr>
        <w:t>. Réduction des dépenses (-6,6%) en trompe l’œil</w:t>
      </w:r>
      <w:r w:rsidR="003633E3">
        <w:rPr>
          <w:rFonts w:ascii="Segoe UI" w:eastAsia="Times New Roman" w:hAnsi="Segoe UI" w:cs="Segoe UI"/>
          <w:b/>
          <w:bCs/>
          <w:color w:val="006CE5"/>
          <w:sz w:val="20"/>
          <w:szCs w:val="20"/>
          <w:lang w:eastAsia="fr-FR"/>
        </w:rPr>
        <w:t>. Hypothèses de revenu conservatrices</w:t>
      </w:r>
      <w:r w:rsidR="006839F3">
        <w:rPr>
          <w:rFonts w:ascii="Segoe UI" w:eastAsia="Times New Roman" w:hAnsi="Segoe UI" w:cs="Segoe UI"/>
          <w:b/>
          <w:bCs/>
          <w:color w:val="006CE5"/>
          <w:sz w:val="20"/>
          <w:szCs w:val="20"/>
          <w:lang w:eastAsia="fr-FR"/>
        </w:rPr>
        <w:t xml:space="preserve">. </w:t>
      </w:r>
      <w:r w:rsidR="003633E3">
        <w:rPr>
          <w:rFonts w:ascii="Segoe UI" w:eastAsia="Times New Roman" w:hAnsi="Segoe UI" w:cs="Segoe UI"/>
          <w:b/>
          <w:bCs/>
          <w:color w:val="006CE5"/>
          <w:sz w:val="20"/>
          <w:szCs w:val="20"/>
          <w:lang w:eastAsia="fr-FR"/>
        </w:rPr>
        <w:t>Prix d’équilibre budgétaire du baril à p</w:t>
      </w:r>
      <w:r w:rsidR="0094543E">
        <w:rPr>
          <w:rFonts w:ascii="Segoe UI" w:eastAsia="Times New Roman" w:hAnsi="Segoe UI" w:cs="Segoe UI"/>
          <w:b/>
          <w:bCs/>
          <w:color w:val="006CE5"/>
          <w:sz w:val="20"/>
          <w:szCs w:val="20"/>
          <w:lang w:eastAsia="fr-FR"/>
        </w:rPr>
        <w:t>rè</w:t>
      </w:r>
      <w:r w:rsidR="003633E3">
        <w:rPr>
          <w:rFonts w:ascii="Segoe UI" w:eastAsia="Times New Roman" w:hAnsi="Segoe UI" w:cs="Segoe UI"/>
          <w:b/>
          <w:bCs/>
          <w:color w:val="006CE5"/>
          <w:sz w:val="20"/>
          <w:szCs w:val="20"/>
          <w:lang w:eastAsia="fr-FR"/>
        </w:rPr>
        <w:t>s de 9</w:t>
      </w:r>
      <w:r w:rsidR="0094543E">
        <w:rPr>
          <w:rFonts w:ascii="Segoe UI" w:eastAsia="Times New Roman" w:hAnsi="Segoe UI" w:cs="Segoe UI"/>
          <w:b/>
          <w:bCs/>
          <w:color w:val="006CE5"/>
          <w:sz w:val="20"/>
          <w:szCs w:val="20"/>
          <w:lang w:eastAsia="fr-FR"/>
        </w:rPr>
        <w:t>1</w:t>
      </w:r>
      <w:r w:rsidR="003633E3">
        <w:rPr>
          <w:rFonts w:ascii="Segoe UI" w:eastAsia="Times New Roman" w:hAnsi="Segoe UI" w:cs="Segoe UI"/>
          <w:b/>
          <w:bCs/>
          <w:color w:val="006CE5"/>
          <w:sz w:val="20"/>
          <w:szCs w:val="20"/>
          <w:lang w:eastAsia="fr-FR"/>
        </w:rPr>
        <w:t xml:space="preserve"> USD.</w:t>
      </w:r>
      <w:r w:rsidR="001C37D2">
        <w:rPr>
          <w:rFonts w:ascii="Segoe UI" w:eastAsia="Times New Roman" w:hAnsi="Segoe UI" w:cs="Segoe UI"/>
          <w:b/>
          <w:bCs/>
          <w:color w:val="006CE5"/>
          <w:sz w:val="20"/>
          <w:szCs w:val="20"/>
          <w:lang w:eastAsia="fr-FR"/>
        </w:rPr>
        <w:t xml:space="preserve"> </w:t>
      </w:r>
    </w:p>
    <w:p w14:paraId="0FB6E942" w14:textId="333BE55D" w:rsidR="00B50782" w:rsidRDefault="00B50782" w:rsidP="00C60A57">
      <w:pPr>
        <w:jc w:val="both"/>
        <w:rPr>
          <w:rFonts w:ascii="Segoe UI" w:eastAsia="Times New Roman" w:hAnsi="Segoe UI" w:cs="Segoe UI"/>
          <w:sz w:val="23"/>
          <w:szCs w:val="23"/>
          <w:lang w:eastAsia="fr-FR"/>
        </w:rPr>
      </w:pPr>
      <w:r>
        <w:rPr>
          <w:rFonts w:ascii="Segoe UI" w:eastAsia="Times New Roman" w:hAnsi="Segoe UI" w:cs="Segoe UI"/>
          <w:sz w:val="23"/>
          <w:szCs w:val="23"/>
          <w:lang w:eastAsia="fr-FR"/>
        </w:rPr>
        <w:t>Le ministère des finances a publié la version provisoire du budget pour l’année fiscale 2024-2025 qui débutera le 1</w:t>
      </w:r>
      <w:r w:rsidRPr="00B50782">
        <w:rPr>
          <w:rFonts w:ascii="Segoe UI" w:eastAsia="Times New Roman" w:hAnsi="Segoe UI" w:cs="Segoe UI"/>
          <w:sz w:val="23"/>
          <w:szCs w:val="23"/>
          <w:vertAlign w:val="superscript"/>
          <w:lang w:eastAsia="fr-FR"/>
        </w:rPr>
        <w:t>er</w:t>
      </w:r>
      <w:r>
        <w:rPr>
          <w:rFonts w:ascii="Segoe UI" w:eastAsia="Times New Roman" w:hAnsi="Segoe UI" w:cs="Segoe UI"/>
          <w:sz w:val="23"/>
          <w:szCs w:val="23"/>
          <w:lang w:eastAsia="fr-FR"/>
        </w:rPr>
        <w:t xml:space="preserve"> avril 2024. Cette version devra être </w:t>
      </w:r>
      <w:r w:rsidR="00EA4227">
        <w:rPr>
          <w:rFonts w:ascii="Segoe UI" w:eastAsia="Times New Roman" w:hAnsi="Segoe UI" w:cs="Segoe UI"/>
          <w:sz w:val="23"/>
          <w:szCs w:val="23"/>
          <w:lang w:eastAsia="fr-FR"/>
        </w:rPr>
        <w:t>revue</w:t>
      </w:r>
      <w:r>
        <w:rPr>
          <w:rFonts w:ascii="Segoe UI" w:eastAsia="Times New Roman" w:hAnsi="Segoe UI" w:cs="Segoe UI"/>
          <w:sz w:val="23"/>
          <w:szCs w:val="23"/>
          <w:lang w:eastAsia="fr-FR"/>
        </w:rPr>
        <w:t xml:space="preserve"> par l</w:t>
      </w:r>
      <w:r w:rsidR="00EA4227">
        <w:rPr>
          <w:rFonts w:ascii="Segoe UI" w:eastAsia="Times New Roman" w:hAnsi="Segoe UI" w:cs="Segoe UI"/>
          <w:sz w:val="23"/>
          <w:szCs w:val="23"/>
          <w:lang w:eastAsia="fr-FR"/>
        </w:rPr>
        <w:t>’assemblée nationale qui sera élue le 4 avril prochain</w:t>
      </w:r>
      <w:r>
        <w:rPr>
          <w:rFonts w:ascii="Segoe UI" w:eastAsia="Times New Roman" w:hAnsi="Segoe UI" w:cs="Segoe UI"/>
          <w:sz w:val="23"/>
          <w:szCs w:val="23"/>
          <w:lang w:eastAsia="fr-FR"/>
        </w:rPr>
        <w:t xml:space="preserve"> </w:t>
      </w:r>
      <w:r w:rsidR="00EA4227">
        <w:rPr>
          <w:rFonts w:ascii="Segoe UI" w:eastAsia="Times New Roman" w:hAnsi="Segoe UI" w:cs="Segoe UI"/>
          <w:sz w:val="23"/>
          <w:szCs w:val="23"/>
          <w:lang w:eastAsia="fr-FR"/>
        </w:rPr>
        <w:t xml:space="preserve">puis adoptée en tant que loi avant d’être transmise au cabinet </w:t>
      </w:r>
      <w:r w:rsidR="00D0275A">
        <w:rPr>
          <w:rFonts w:ascii="Segoe UI" w:eastAsia="Times New Roman" w:hAnsi="Segoe UI" w:cs="Segoe UI"/>
          <w:sz w:val="23"/>
          <w:szCs w:val="23"/>
          <w:lang w:eastAsia="fr-FR"/>
        </w:rPr>
        <w:t>et à</w:t>
      </w:r>
      <w:r w:rsidR="00EA4227">
        <w:rPr>
          <w:rFonts w:ascii="Segoe UI" w:eastAsia="Times New Roman" w:hAnsi="Segoe UI" w:cs="Segoe UI"/>
          <w:sz w:val="23"/>
          <w:szCs w:val="23"/>
          <w:lang w:eastAsia="fr-FR"/>
        </w:rPr>
        <w:t xml:space="preserve"> l’Emir. </w:t>
      </w:r>
    </w:p>
    <w:p w14:paraId="7B29A813" w14:textId="15AAE7B6" w:rsidR="005B491C" w:rsidRDefault="005B491C" w:rsidP="00C60A57">
      <w:pPr>
        <w:jc w:val="both"/>
        <w:rPr>
          <w:rFonts w:ascii="Segoe UI" w:eastAsia="Times New Roman" w:hAnsi="Segoe UI" w:cs="Segoe UI"/>
          <w:sz w:val="23"/>
          <w:szCs w:val="23"/>
          <w:lang w:eastAsia="fr-FR"/>
        </w:rPr>
      </w:pPr>
      <w:r w:rsidRPr="00E375A2">
        <w:rPr>
          <w:rFonts w:ascii="Segoe UI" w:hAnsi="Segoe UI" w:cs="Segoe UI"/>
          <w:noProof/>
          <w:sz w:val="23"/>
          <w:szCs w:val="23"/>
        </w:rPr>
        <mc:AlternateContent>
          <mc:Choice Requires="wps">
            <w:drawing>
              <wp:inline distT="0" distB="0" distL="0" distR="0" wp14:anchorId="3CC2071B" wp14:editId="0088A2BB">
                <wp:extent cx="5760720" cy="304800"/>
                <wp:effectExtent l="0" t="0" r="0" b="0"/>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04800"/>
                        </a:xfrm>
                        <a:prstGeom prst="rect">
                          <a:avLst/>
                        </a:prstGeom>
                        <a:solidFill>
                          <a:srgbClr val="006CE5"/>
                        </a:solidFill>
                        <a:ln w="9525">
                          <a:noFill/>
                          <a:miter lim="800000"/>
                          <a:headEnd/>
                          <a:tailEnd/>
                        </a:ln>
                      </wps:spPr>
                      <wps:txbx>
                        <w:txbxContent>
                          <w:p w14:paraId="59F6827E" w14:textId="2738C8D1" w:rsidR="005B491C" w:rsidRPr="00316304" w:rsidRDefault="005B491C" w:rsidP="005B491C">
                            <w:pPr>
                              <w:pStyle w:val="Paragraphedeliste"/>
                              <w:numPr>
                                <w:ilvl w:val="0"/>
                                <w:numId w:val="10"/>
                              </w:numPr>
                              <w:spacing w:after="160" w:line="259" w:lineRule="auto"/>
                              <w:rPr>
                                <w:rFonts w:ascii="Segoe UI Historic" w:hAnsi="Segoe UI Historic" w:cs="Segoe UI Historic"/>
                                <w:color w:val="FFFFFF" w:themeColor="background1"/>
                                <w:sz w:val="24"/>
                              </w:rPr>
                            </w:pPr>
                            <w:r>
                              <w:rPr>
                                <w:rFonts w:ascii="Segoe UI Historic" w:hAnsi="Segoe UI Historic" w:cs="Segoe UI Historic"/>
                                <w:color w:val="FFFFFF" w:themeColor="background1"/>
                                <w:sz w:val="24"/>
                              </w:rPr>
                              <w:t>Un déficit budgétaire contenu</w:t>
                            </w:r>
                            <w:r w:rsidR="003633E3">
                              <w:rPr>
                                <w:rFonts w:ascii="Segoe UI Historic" w:hAnsi="Segoe UI Historic" w:cs="Segoe UI Historic"/>
                                <w:color w:val="FFFFFF" w:themeColor="background1"/>
                                <w:sz w:val="24"/>
                              </w:rPr>
                              <w:t>.</w:t>
                            </w:r>
                          </w:p>
                        </w:txbxContent>
                      </wps:txbx>
                      <wps:bodyPr rot="0" vert="horz" wrap="square" lIns="91440" tIns="45720" rIns="91440" bIns="45720" anchor="t" anchorCtr="0">
                        <a:noAutofit/>
                      </wps:bodyPr>
                    </wps:wsp>
                  </a:graphicData>
                </a:graphic>
              </wp:inline>
            </w:drawing>
          </mc:Choice>
          <mc:Fallback>
            <w:pict>
              <v:shapetype w14:anchorId="3CC2071B" id="_x0000_t202" coordsize="21600,21600" o:spt="202" path="m,l,21600r21600,l21600,xe">
                <v:stroke joinstyle="miter"/>
                <v:path gradientshapeok="t" o:connecttype="rect"/>
              </v:shapetype>
              <v:shape id="Zone de texte 2" o:spid="_x0000_s1026" type="#_x0000_t202" style="width:453.6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" fillcolor="#006ce5" stroked="f">
                <v:textbox>
                  <w:txbxContent>
                    <w:p w14:paraId="59F6827E" w14:textId="2738C8D1" w:rsidR="005B491C" w:rsidRPr="00316304" w:rsidRDefault="005B491C" w:rsidP="005B491C">
                      <w:pPr>
                        <w:pStyle w:val="Paragraphedeliste"/>
                        <w:numPr>
                          <w:ilvl w:val="0"/>
                          <w:numId w:val="10"/>
                        </w:numPr>
                        <w:spacing w:after="160" w:line="259" w:lineRule="auto"/>
                        <w:rPr>
                          <w:rFonts w:ascii="Segoe UI Historic" w:hAnsi="Segoe UI Historic" w:cs="Segoe UI Historic"/>
                          <w:color w:val="FFFFFF" w:themeColor="background1"/>
                          <w:sz w:val="24"/>
                        </w:rPr>
                      </w:pPr>
                      <w:r>
                        <w:rPr>
                          <w:rFonts w:ascii="Segoe UI Historic" w:hAnsi="Segoe UI Historic" w:cs="Segoe UI Historic"/>
                          <w:color w:val="FFFFFF" w:themeColor="background1"/>
                          <w:sz w:val="24"/>
                        </w:rPr>
                        <w:t>Un déficit budgétaire contenu</w:t>
                      </w:r>
                      <w:r w:rsidR="003633E3">
                        <w:rPr>
                          <w:rFonts w:ascii="Segoe UI Historic" w:hAnsi="Segoe UI Historic" w:cs="Segoe UI Historic"/>
                          <w:color w:val="FFFFFF" w:themeColor="background1"/>
                          <w:sz w:val="24"/>
                        </w:rPr>
                        <w:t>.</w:t>
                      </w:r>
                    </w:p>
                  </w:txbxContent>
                </v:textbox>
                <w10:anchorlock/>
              </v:shape>
            </w:pict>
          </mc:Fallback>
        </mc:AlternateContent>
      </w:r>
    </w:p>
    <w:p w14:paraId="2DF8ABD5" w14:textId="7AB8E5B3" w:rsidR="005A359A" w:rsidRDefault="00B41F51" w:rsidP="00C60A57">
      <w:pPr>
        <w:jc w:val="both"/>
        <w:rPr>
          <w:rFonts w:ascii="Segoe UI" w:eastAsia="Times New Roman" w:hAnsi="Segoe UI" w:cs="Segoe UI"/>
          <w:sz w:val="23"/>
          <w:szCs w:val="23"/>
          <w:lang w:eastAsia="fr-FR"/>
        </w:rPr>
      </w:pPr>
      <w:r w:rsidRPr="00B41F51">
        <w:rPr>
          <w:rFonts w:ascii="Segoe UI" w:eastAsia="Times New Roman" w:hAnsi="Segoe UI" w:cs="Segoe UI"/>
          <w:b/>
          <w:bCs/>
          <w:sz w:val="23"/>
          <w:szCs w:val="23"/>
          <w:lang w:eastAsia="fr-FR"/>
        </w:rPr>
        <w:t xml:space="preserve">Le déficit est annoncé en recul de 13,5% par rapport </w:t>
      </w:r>
      <w:r w:rsidR="001E7029">
        <w:rPr>
          <w:rFonts w:ascii="Segoe UI" w:eastAsia="Times New Roman" w:hAnsi="Segoe UI" w:cs="Segoe UI"/>
          <w:b/>
          <w:bCs/>
          <w:sz w:val="23"/>
          <w:szCs w:val="23"/>
          <w:lang w:eastAsia="fr-FR"/>
        </w:rPr>
        <w:t>au budget de</w:t>
      </w:r>
      <w:r w:rsidRPr="00B41F51">
        <w:rPr>
          <w:rFonts w:ascii="Segoe UI" w:eastAsia="Times New Roman" w:hAnsi="Segoe UI" w:cs="Segoe UI"/>
          <w:b/>
          <w:bCs/>
          <w:sz w:val="23"/>
          <w:szCs w:val="23"/>
          <w:lang w:eastAsia="fr-FR"/>
        </w:rPr>
        <w:t xml:space="preserve"> l’an passé</w:t>
      </w:r>
      <w:r>
        <w:rPr>
          <w:rFonts w:ascii="Segoe UI" w:eastAsia="Times New Roman" w:hAnsi="Segoe UI" w:cs="Segoe UI"/>
          <w:sz w:val="23"/>
          <w:szCs w:val="23"/>
          <w:lang w:eastAsia="fr-FR"/>
        </w:rPr>
        <w:t>, pour s’établir à 5,8 Mds KWD (1</w:t>
      </w:r>
      <w:r w:rsidR="00820745">
        <w:rPr>
          <w:rFonts w:ascii="Segoe UI" w:eastAsia="Times New Roman" w:hAnsi="Segoe UI" w:cs="Segoe UI"/>
          <w:sz w:val="23"/>
          <w:szCs w:val="23"/>
          <w:lang w:eastAsia="fr-FR"/>
        </w:rPr>
        <w:t>9,15</w:t>
      </w:r>
      <w:r>
        <w:rPr>
          <w:rFonts w:ascii="Segoe UI" w:eastAsia="Times New Roman" w:hAnsi="Segoe UI" w:cs="Segoe UI"/>
          <w:sz w:val="23"/>
          <w:szCs w:val="23"/>
          <w:lang w:eastAsia="fr-FR"/>
        </w:rPr>
        <w:t xml:space="preserve"> Mds USD).</w:t>
      </w:r>
      <w:r w:rsidR="00F84A1C">
        <w:rPr>
          <w:rFonts w:ascii="Segoe UI" w:eastAsia="Times New Roman" w:hAnsi="Segoe UI" w:cs="Segoe UI"/>
          <w:sz w:val="23"/>
          <w:szCs w:val="23"/>
          <w:lang w:eastAsia="fr-FR"/>
        </w:rPr>
        <w:t xml:space="preserve"> Cela représente 3,6% du PIB </w:t>
      </w:r>
      <w:r w:rsidR="0023773E">
        <w:rPr>
          <w:rFonts w:ascii="Segoe UI" w:eastAsia="Times New Roman" w:hAnsi="Segoe UI" w:cs="Segoe UI"/>
          <w:sz w:val="23"/>
          <w:szCs w:val="23"/>
          <w:lang w:eastAsia="fr-FR"/>
        </w:rPr>
        <w:t>de</w:t>
      </w:r>
      <w:r w:rsidR="00F84A1C">
        <w:rPr>
          <w:rFonts w:ascii="Segoe UI" w:eastAsia="Times New Roman" w:hAnsi="Segoe UI" w:cs="Segoe UI"/>
          <w:sz w:val="23"/>
          <w:szCs w:val="23"/>
          <w:lang w:eastAsia="fr-FR"/>
        </w:rPr>
        <w:t xml:space="preserve"> 2023</w:t>
      </w:r>
      <w:r w:rsidR="000F0C0A">
        <w:rPr>
          <w:rFonts w:ascii="Segoe UI" w:eastAsia="Times New Roman" w:hAnsi="Segoe UI" w:cs="Segoe UI"/>
          <w:sz w:val="23"/>
          <w:szCs w:val="23"/>
          <w:lang w:eastAsia="fr-FR"/>
        </w:rPr>
        <w:t>, ou 24% des dépenses budgétées</w:t>
      </w:r>
      <w:r w:rsidR="00F84A1C">
        <w:rPr>
          <w:rFonts w:ascii="Segoe UI" w:eastAsia="Times New Roman" w:hAnsi="Segoe UI" w:cs="Segoe UI"/>
          <w:sz w:val="23"/>
          <w:szCs w:val="23"/>
          <w:lang w:eastAsia="fr-FR"/>
        </w:rPr>
        <w:t>.</w:t>
      </w:r>
      <w:r w:rsidR="00226C4F">
        <w:rPr>
          <w:rFonts w:ascii="Segoe UI" w:eastAsia="Times New Roman" w:hAnsi="Segoe UI" w:cs="Segoe UI"/>
          <w:sz w:val="23"/>
          <w:szCs w:val="23"/>
          <w:lang w:eastAsia="fr-FR"/>
        </w:rPr>
        <w:t xml:space="preserve"> Par comparaison, le déficit réalisé des 9 premiers mois du budget actuel (avril à décembre 2023) est estimé par la NBK à 4,5% du PIB proratisé. </w:t>
      </w:r>
      <w:r>
        <w:rPr>
          <w:rFonts w:ascii="Segoe UI" w:eastAsia="Times New Roman" w:hAnsi="Segoe UI" w:cs="Segoe UI"/>
          <w:sz w:val="23"/>
          <w:szCs w:val="23"/>
          <w:lang w:eastAsia="fr-FR"/>
        </w:rPr>
        <w:t>Ce recul</w:t>
      </w:r>
      <w:r w:rsidR="00226C4F">
        <w:rPr>
          <w:rFonts w:ascii="Segoe UI" w:eastAsia="Times New Roman" w:hAnsi="Segoe UI" w:cs="Segoe UI"/>
          <w:sz w:val="23"/>
          <w:szCs w:val="23"/>
          <w:lang w:eastAsia="fr-FR"/>
        </w:rPr>
        <w:t xml:space="preserve"> du déficit</w:t>
      </w:r>
      <w:r>
        <w:rPr>
          <w:rFonts w:ascii="Segoe UI" w:eastAsia="Times New Roman" w:hAnsi="Segoe UI" w:cs="Segoe UI"/>
          <w:sz w:val="23"/>
          <w:szCs w:val="23"/>
          <w:lang w:eastAsia="fr-FR"/>
        </w:rPr>
        <w:t xml:space="preserve"> est permis par une </w:t>
      </w:r>
      <w:r w:rsidRPr="008C4809">
        <w:rPr>
          <w:rFonts w:ascii="Segoe UI" w:eastAsia="Times New Roman" w:hAnsi="Segoe UI" w:cs="Segoe UI"/>
          <w:b/>
          <w:bCs/>
          <w:sz w:val="23"/>
          <w:szCs w:val="23"/>
          <w:lang w:eastAsia="fr-FR"/>
        </w:rPr>
        <w:t>baisse des dépenses de 6,6%</w:t>
      </w:r>
      <w:r>
        <w:rPr>
          <w:rFonts w:ascii="Segoe UI" w:eastAsia="Times New Roman" w:hAnsi="Segoe UI" w:cs="Segoe UI"/>
          <w:sz w:val="23"/>
          <w:szCs w:val="23"/>
          <w:lang w:eastAsia="fr-FR"/>
        </w:rPr>
        <w:t xml:space="preserve">, pour atteindre 24,5 Mds KWD (81,2 Mds USD). </w:t>
      </w:r>
      <w:r w:rsidR="00B02ED3">
        <w:rPr>
          <w:rFonts w:ascii="Segoe UI" w:eastAsia="Times New Roman" w:hAnsi="Segoe UI" w:cs="Segoe UI"/>
          <w:sz w:val="23"/>
          <w:szCs w:val="23"/>
          <w:lang w:eastAsia="fr-FR"/>
        </w:rPr>
        <w:t>De manière agrégée</w:t>
      </w:r>
      <w:r>
        <w:rPr>
          <w:rFonts w:ascii="Segoe UI" w:eastAsia="Times New Roman" w:hAnsi="Segoe UI" w:cs="Segoe UI"/>
          <w:sz w:val="23"/>
          <w:szCs w:val="23"/>
          <w:lang w:eastAsia="fr-FR"/>
        </w:rPr>
        <w:t>, 80%</w:t>
      </w:r>
      <w:r w:rsidR="002C6CE0">
        <w:rPr>
          <w:rFonts w:ascii="Segoe UI" w:eastAsia="Times New Roman" w:hAnsi="Segoe UI" w:cs="Segoe UI"/>
          <w:sz w:val="23"/>
          <w:szCs w:val="23"/>
          <w:lang w:eastAsia="fr-FR"/>
        </w:rPr>
        <w:t xml:space="preserve"> des dépenses</w:t>
      </w:r>
      <w:r w:rsidR="00B02ED3">
        <w:rPr>
          <w:rFonts w:ascii="Segoe UI" w:eastAsia="Times New Roman" w:hAnsi="Segoe UI" w:cs="Segoe UI"/>
          <w:sz w:val="23"/>
          <w:szCs w:val="23"/>
          <w:lang w:eastAsia="fr-FR"/>
        </w:rPr>
        <w:t xml:space="preserve"> totales</w:t>
      </w:r>
      <w:r>
        <w:rPr>
          <w:rFonts w:ascii="Segoe UI" w:eastAsia="Times New Roman" w:hAnsi="Segoe UI" w:cs="Segoe UI"/>
          <w:sz w:val="23"/>
          <w:szCs w:val="23"/>
          <w:lang w:eastAsia="fr-FR"/>
        </w:rPr>
        <w:t xml:space="preserve"> sont liées aux salaires et aux subventions et 9% aux dépenses d’investissement (CAPEX)</w:t>
      </w:r>
      <w:r w:rsidR="005A359A">
        <w:rPr>
          <w:rFonts w:ascii="Segoe UI" w:eastAsia="Times New Roman" w:hAnsi="Segoe UI" w:cs="Segoe UI"/>
          <w:sz w:val="23"/>
          <w:szCs w:val="23"/>
          <w:lang w:eastAsia="fr-FR"/>
        </w:rPr>
        <w:t xml:space="preserve">, une répartition qui n’a pas changé par rapport à l’an passé. </w:t>
      </w:r>
    </w:p>
    <w:p w14:paraId="31E5EDF0" w14:textId="78EB9BC2" w:rsidR="005B491C" w:rsidRDefault="005B491C" w:rsidP="00C60A57">
      <w:pPr>
        <w:jc w:val="both"/>
        <w:rPr>
          <w:rFonts w:ascii="Segoe UI" w:eastAsia="Times New Roman" w:hAnsi="Segoe UI" w:cs="Segoe UI"/>
          <w:sz w:val="23"/>
          <w:szCs w:val="23"/>
          <w:lang w:eastAsia="fr-FR"/>
        </w:rPr>
      </w:pPr>
      <w:r w:rsidRPr="00E375A2">
        <w:rPr>
          <w:rFonts w:ascii="Segoe UI" w:hAnsi="Segoe UI" w:cs="Segoe UI"/>
          <w:noProof/>
          <w:sz w:val="23"/>
          <w:szCs w:val="23"/>
        </w:rPr>
        <mc:AlternateContent>
          <mc:Choice Requires="wps">
            <w:drawing>
              <wp:inline distT="0" distB="0" distL="0" distR="0" wp14:anchorId="01C35CAA" wp14:editId="3CC0D624">
                <wp:extent cx="5760720" cy="304800"/>
                <wp:effectExtent l="0" t="0" r="0" b="0"/>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04800"/>
                        </a:xfrm>
                        <a:prstGeom prst="rect">
                          <a:avLst/>
                        </a:prstGeom>
                        <a:solidFill>
                          <a:srgbClr val="006CE5"/>
                        </a:solidFill>
                        <a:ln w="9525">
                          <a:noFill/>
                          <a:miter lim="800000"/>
                          <a:headEnd/>
                          <a:tailEnd/>
                        </a:ln>
                      </wps:spPr>
                      <wps:txbx>
                        <w:txbxContent>
                          <w:p w14:paraId="5CE5DA11" w14:textId="324568C4" w:rsidR="005B491C" w:rsidRPr="00316304" w:rsidRDefault="005B491C" w:rsidP="005B491C">
                            <w:pPr>
                              <w:pStyle w:val="Paragraphedeliste"/>
                              <w:numPr>
                                <w:ilvl w:val="0"/>
                                <w:numId w:val="10"/>
                              </w:numPr>
                              <w:spacing w:after="160" w:line="259" w:lineRule="auto"/>
                              <w:rPr>
                                <w:rFonts w:ascii="Segoe UI Historic" w:hAnsi="Segoe UI Historic" w:cs="Segoe UI Historic"/>
                                <w:color w:val="FFFFFF" w:themeColor="background1"/>
                                <w:sz w:val="24"/>
                              </w:rPr>
                            </w:pPr>
                            <w:r>
                              <w:rPr>
                                <w:rFonts w:ascii="Segoe UI Historic" w:hAnsi="Segoe UI Historic" w:cs="Segoe UI Historic"/>
                                <w:color w:val="FFFFFF" w:themeColor="background1"/>
                                <w:sz w:val="24"/>
                              </w:rPr>
                              <w:t>Une maîtrise des dépenses en trompe-l’</w:t>
                            </w:r>
                            <w:r w:rsidR="00550C73">
                              <w:rPr>
                                <w:rFonts w:ascii="Segoe UI Historic" w:hAnsi="Segoe UI Historic" w:cs="Segoe UI Historic"/>
                                <w:color w:val="FFFFFF" w:themeColor="background1"/>
                                <w:sz w:val="24"/>
                              </w:rPr>
                              <w:t>œil.</w:t>
                            </w:r>
                          </w:p>
                        </w:txbxContent>
                      </wps:txbx>
                      <wps:bodyPr rot="0" vert="horz" wrap="square" lIns="91440" tIns="45720" rIns="91440" bIns="45720" anchor="t" anchorCtr="0">
                        <a:noAutofit/>
                      </wps:bodyPr>
                    </wps:wsp>
                  </a:graphicData>
                </a:graphic>
              </wp:inline>
            </w:drawing>
          </mc:Choice>
          <mc:Fallback>
            <w:pict>
              <v:shape w14:anchorId="01C35CAA" id="_x0000_s1027" type="#_x0000_t202" style="width:453.6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" fillcolor="#006ce5" stroked="f">
                <v:textbox>
                  <w:txbxContent>
                    <w:p w14:paraId="5CE5DA11" w14:textId="324568C4" w:rsidR="005B491C" w:rsidRPr="00316304" w:rsidRDefault="005B491C" w:rsidP="005B491C">
                      <w:pPr>
                        <w:pStyle w:val="Paragraphedeliste"/>
                        <w:numPr>
                          <w:ilvl w:val="0"/>
                          <w:numId w:val="10"/>
                        </w:numPr>
                        <w:spacing w:after="160" w:line="259" w:lineRule="auto"/>
                        <w:rPr>
                          <w:rFonts w:ascii="Segoe UI Historic" w:hAnsi="Segoe UI Historic" w:cs="Segoe UI Historic"/>
                          <w:color w:val="FFFFFF" w:themeColor="background1"/>
                          <w:sz w:val="24"/>
                        </w:rPr>
                      </w:pPr>
                      <w:r>
                        <w:rPr>
                          <w:rFonts w:ascii="Segoe UI Historic" w:hAnsi="Segoe UI Historic" w:cs="Segoe UI Historic"/>
                          <w:color w:val="FFFFFF" w:themeColor="background1"/>
                          <w:sz w:val="24"/>
                        </w:rPr>
                        <w:t>Une maîtrise des dépenses en trompe-l’</w:t>
                      </w:r>
                      <w:r w:rsidR="00550C73">
                        <w:rPr>
                          <w:rFonts w:ascii="Segoe UI Historic" w:hAnsi="Segoe UI Historic" w:cs="Segoe UI Historic"/>
                          <w:color w:val="FFFFFF" w:themeColor="background1"/>
                          <w:sz w:val="24"/>
                        </w:rPr>
                        <w:t>œil.</w:t>
                      </w:r>
                    </w:p>
                  </w:txbxContent>
                </v:textbox>
                <w10:anchorlock/>
              </v:shape>
            </w:pict>
          </mc:Fallback>
        </mc:AlternateContent>
      </w:r>
    </w:p>
    <w:p w14:paraId="31EC089F" w14:textId="1FE2C008" w:rsidR="00CA6CE8" w:rsidRPr="002D6062" w:rsidRDefault="008C4809" w:rsidP="008C4809">
      <w:pPr>
        <w:jc w:val="both"/>
        <w:rPr>
          <w:rFonts w:ascii="Segoe UI" w:eastAsia="Times New Roman" w:hAnsi="Segoe UI" w:cs="Segoe UI"/>
          <w:sz w:val="23"/>
          <w:szCs w:val="23"/>
          <w:lang w:eastAsia="fr-FR"/>
        </w:rPr>
      </w:pPr>
      <w:r>
        <w:rPr>
          <w:rFonts w:ascii="Segoe UI" w:eastAsia="Times New Roman" w:hAnsi="Segoe UI" w:cs="Segoe UI"/>
          <w:sz w:val="23"/>
          <w:szCs w:val="23"/>
          <w:lang w:eastAsia="fr-FR"/>
        </w:rPr>
        <w:t xml:space="preserve">Néanmoins, cette </w:t>
      </w:r>
      <w:r w:rsidRPr="00E0236D">
        <w:rPr>
          <w:rFonts w:ascii="Segoe UI" w:eastAsia="Times New Roman" w:hAnsi="Segoe UI" w:cs="Segoe UI"/>
          <w:b/>
          <w:bCs/>
          <w:sz w:val="23"/>
          <w:szCs w:val="23"/>
          <w:lang w:eastAsia="fr-FR"/>
        </w:rPr>
        <w:t>baisse des dépenses significative est en trompe l’œil</w:t>
      </w:r>
      <w:r w:rsidR="00E0236D" w:rsidRPr="00E0236D">
        <w:rPr>
          <w:rFonts w:ascii="Segoe UI" w:eastAsia="Times New Roman" w:hAnsi="Segoe UI" w:cs="Segoe UI"/>
          <w:b/>
          <w:bCs/>
          <w:sz w:val="23"/>
          <w:szCs w:val="23"/>
          <w:lang w:eastAsia="fr-FR"/>
        </w:rPr>
        <w:t xml:space="preserve"> </w:t>
      </w:r>
      <w:r w:rsidR="00CA6CE8" w:rsidRPr="002D6062">
        <w:rPr>
          <w:rFonts w:ascii="Segoe UI" w:eastAsia="Times New Roman" w:hAnsi="Segoe UI" w:cs="Segoe UI"/>
          <w:sz w:val="23"/>
          <w:szCs w:val="23"/>
          <w:lang w:eastAsia="fr-FR"/>
        </w:rPr>
        <w:t xml:space="preserve">car elle comptabilise des postes de dépense non-récurrents. </w:t>
      </w:r>
      <w:r w:rsidR="00CA6CE8">
        <w:rPr>
          <w:rFonts w:ascii="Segoe UI" w:eastAsia="Times New Roman" w:hAnsi="Segoe UI" w:cs="Segoe UI"/>
          <w:sz w:val="23"/>
          <w:szCs w:val="23"/>
          <w:lang w:eastAsia="fr-FR"/>
        </w:rPr>
        <w:t xml:space="preserve">Les dépenses de subventions et transferts ont été ainsi gonflées de </w:t>
      </w:r>
      <w:r w:rsidR="009047D7">
        <w:rPr>
          <w:rFonts w:ascii="Segoe UI" w:eastAsia="Times New Roman" w:hAnsi="Segoe UI" w:cs="Segoe UI"/>
          <w:sz w:val="23"/>
          <w:szCs w:val="23"/>
          <w:lang w:eastAsia="fr-FR"/>
        </w:rPr>
        <w:t>1 Md KWD par le décaissement de subventions non réglées aux opérateurs industriels (essence, producteurs d’eau potables et d’électricité) et 500 M KWD</w:t>
      </w:r>
      <w:r w:rsidR="00841292">
        <w:rPr>
          <w:rFonts w:ascii="Segoe UI" w:eastAsia="Times New Roman" w:hAnsi="Segoe UI" w:cs="Segoe UI"/>
          <w:sz w:val="23"/>
          <w:szCs w:val="23"/>
          <w:lang w:eastAsia="fr-FR"/>
        </w:rPr>
        <w:t xml:space="preserve"> concernant principalement </w:t>
      </w:r>
      <w:r w:rsidR="005B764D">
        <w:rPr>
          <w:rFonts w:ascii="Segoe UI" w:eastAsia="Times New Roman" w:hAnsi="Segoe UI" w:cs="Segoe UI"/>
          <w:sz w:val="23"/>
          <w:szCs w:val="23"/>
          <w:lang w:eastAsia="fr-FR"/>
        </w:rPr>
        <w:t>de</w:t>
      </w:r>
      <w:r w:rsidR="00841292">
        <w:rPr>
          <w:rFonts w:ascii="Segoe UI" w:eastAsia="Times New Roman" w:hAnsi="Segoe UI" w:cs="Segoe UI"/>
          <w:sz w:val="23"/>
          <w:szCs w:val="23"/>
          <w:lang w:eastAsia="fr-FR"/>
        </w:rPr>
        <w:t>s</w:t>
      </w:r>
      <w:r w:rsidR="005B764D">
        <w:rPr>
          <w:rFonts w:ascii="Segoe UI" w:eastAsia="Times New Roman" w:hAnsi="Segoe UI" w:cs="Segoe UI"/>
          <w:sz w:val="23"/>
          <w:szCs w:val="23"/>
          <w:lang w:eastAsia="fr-FR"/>
        </w:rPr>
        <w:t xml:space="preserve"> charges salariales liées à la compensation de congés d’agents publics non pris</w:t>
      </w:r>
      <w:r w:rsidR="00841292">
        <w:rPr>
          <w:rStyle w:val="Appelnotedebasdep"/>
          <w:rFonts w:ascii="Segoe UI" w:eastAsia="Times New Roman" w:hAnsi="Segoe UI" w:cs="Segoe UI"/>
          <w:sz w:val="23"/>
          <w:szCs w:val="23"/>
          <w:lang w:eastAsia="fr-FR"/>
        </w:rPr>
        <w:footnoteReference w:id="1"/>
      </w:r>
      <w:r w:rsidR="005B764D">
        <w:rPr>
          <w:rFonts w:ascii="Segoe UI" w:eastAsia="Times New Roman" w:hAnsi="Segoe UI" w:cs="Segoe UI"/>
          <w:sz w:val="23"/>
          <w:szCs w:val="23"/>
          <w:lang w:eastAsia="fr-FR"/>
        </w:rPr>
        <w:t>.</w:t>
      </w:r>
    </w:p>
    <w:p w14:paraId="7D0D6466" w14:textId="6A3C91E2" w:rsidR="005F4E92" w:rsidRDefault="008C4809" w:rsidP="008C4809">
      <w:pPr>
        <w:jc w:val="both"/>
        <w:rPr>
          <w:rFonts w:ascii="Segoe UI" w:eastAsia="Times New Roman" w:hAnsi="Segoe UI" w:cs="Segoe UI"/>
          <w:sz w:val="23"/>
          <w:szCs w:val="23"/>
          <w:lang w:eastAsia="fr-FR"/>
        </w:rPr>
      </w:pPr>
      <w:r w:rsidRPr="008C4809">
        <w:rPr>
          <w:rFonts w:ascii="Segoe UI" w:eastAsia="Times New Roman" w:hAnsi="Segoe UI" w:cs="Segoe UI"/>
          <w:b/>
          <w:bCs/>
          <w:sz w:val="23"/>
          <w:szCs w:val="23"/>
          <w:lang w:eastAsia="fr-FR"/>
        </w:rPr>
        <w:lastRenderedPageBreak/>
        <w:t>Corrigées de ces mesures exceptionnelles, les dépenses sont seulement réduites de 1% par rapport à l’an passé</w:t>
      </w:r>
      <w:r w:rsidR="00A12F15">
        <w:rPr>
          <w:rFonts w:ascii="Segoe UI" w:eastAsia="Times New Roman" w:hAnsi="Segoe UI" w:cs="Segoe UI"/>
          <w:b/>
          <w:bCs/>
          <w:sz w:val="23"/>
          <w:szCs w:val="23"/>
          <w:lang w:eastAsia="fr-FR"/>
        </w:rPr>
        <w:t xml:space="preserve"> </w:t>
      </w:r>
      <w:r w:rsidR="00A12F15" w:rsidRPr="00A12F15">
        <w:rPr>
          <w:rFonts w:ascii="Segoe UI" w:eastAsia="Times New Roman" w:hAnsi="Segoe UI" w:cs="Segoe UI"/>
          <w:sz w:val="23"/>
          <w:szCs w:val="23"/>
          <w:lang w:eastAsia="fr-FR"/>
        </w:rPr>
        <w:t>d’après une étude de la National Bank of Kuwait (NBK)</w:t>
      </w:r>
      <w:r w:rsidR="000D24C9" w:rsidRPr="000D24C9">
        <w:rPr>
          <w:rStyle w:val="Appelnotedebasdep"/>
          <w:rFonts w:ascii="Segoe UI" w:eastAsia="Times New Roman" w:hAnsi="Segoe UI" w:cs="Segoe UI"/>
          <w:sz w:val="23"/>
          <w:szCs w:val="23"/>
          <w:lang w:eastAsia="fr-FR"/>
        </w:rPr>
        <w:t xml:space="preserve"> </w:t>
      </w:r>
      <w:r w:rsidR="000D24C9">
        <w:rPr>
          <w:rStyle w:val="Appelnotedebasdep"/>
          <w:rFonts w:ascii="Segoe UI" w:eastAsia="Times New Roman" w:hAnsi="Segoe UI" w:cs="Segoe UI"/>
          <w:sz w:val="23"/>
          <w:szCs w:val="23"/>
          <w:lang w:eastAsia="fr-FR"/>
        </w:rPr>
        <w:footnoteReference w:id="2"/>
      </w:r>
      <w:r w:rsidR="00A12F15" w:rsidRPr="00A12F15">
        <w:rPr>
          <w:rFonts w:ascii="Segoe UI" w:eastAsia="Times New Roman" w:hAnsi="Segoe UI" w:cs="Segoe UI"/>
          <w:sz w:val="23"/>
          <w:szCs w:val="23"/>
          <w:lang w:eastAsia="fr-FR"/>
        </w:rPr>
        <w:t>.</w:t>
      </w:r>
      <w:r w:rsidR="00A12F15">
        <w:rPr>
          <w:rFonts w:ascii="Segoe UI" w:eastAsia="Times New Roman" w:hAnsi="Segoe UI" w:cs="Segoe UI"/>
          <w:b/>
          <w:bCs/>
          <w:sz w:val="23"/>
          <w:szCs w:val="23"/>
          <w:lang w:eastAsia="fr-FR"/>
        </w:rPr>
        <w:t xml:space="preserve"> </w:t>
      </w:r>
      <w:r w:rsidR="00F025DD">
        <w:rPr>
          <w:rFonts w:ascii="Segoe UI" w:eastAsia="Times New Roman" w:hAnsi="Segoe UI" w:cs="Segoe UI"/>
          <w:sz w:val="23"/>
          <w:szCs w:val="23"/>
          <w:lang w:eastAsia="fr-FR"/>
        </w:rPr>
        <w:t>Cela constitue néanmoins une rupture de tendance</w:t>
      </w:r>
      <w:r w:rsidR="005F4E92">
        <w:rPr>
          <w:rFonts w:ascii="Segoe UI" w:eastAsia="Times New Roman" w:hAnsi="Segoe UI" w:cs="Segoe UI"/>
          <w:sz w:val="23"/>
          <w:szCs w:val="23"/>
          <w:lang w:eastAsia="fr-FR"/>
        </w:rPr>
        <w:t xml:space="preserve"> avec les années pré-Covid où les dépenses croissaient de 6% par an. </w:t>
      </w:r>
    </w:p>
    <w:p w14:paraId="1A3B541B" w14:textId="2D944EAC" w:rsidR="005B491C" w:rsidRDefault="005B491C" w:rsidP="008C4809">
      <w:pPr>
        <w:jc w:val="both"/>
        <w:rPr>
          <w:rFonts w:ascii="Segoe UI" w:eastAsia="Times New Roman" w:hAnsi="Segoe UI" w:cs="Segoe UI"/>
          <w:sz w:val="23"/>
          <w:szCs w:val="23"/>
          <w:lang w:eastAsia="fr-FR"/>
        </w:rPr>
      </w:pPr>
      <w:r w:rsidRPr="00E375A2">
        <w:rPr>
          <w:rFonts w:ascii="Segoe UI" w:hAnsi="Segoe UI" w:cs="Segoe UI"/>
          <w:noProof/>
          <w:sz w:val="23"/>
          <w:szCs w:val="23"/>
        </w:rPr>
        <mc:AlternateContent>
          <mc:Choice Requires="wps">
            <w:drawing>
              <wp:inline distT="0" distB="0" distL="0" distR="0" wp14:anchorId="2D9ADAAD" wp14:editId="3331E63C">
                <wp:extent cx="5760720" cy="541020"/>
                <wp:effectExtent l="0" t="0" r="0" b="0"/>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541020"/>
                        </a:xfrm>
                        <a:prstGeom prst="rect">
                          <a:avLst/>
                        </a:prstGeom>
                        <a:solidFill>
                          <a:srgbClr val="006CE5"/>
                        </a:solidFill>
                        <a:ln w="9525">
                          <a:noFill/>
                          <a:miter lim="800000"/>
                          <a:headEnd/>
                          <a:tailEnd/>
                        </a:ln>
                      </wps:spPr>
                      <wps:txbx>
                        <w:txbxContent>
                          <w:p w14:paraId="7CA077A5" w14:textId="2BD1028B" w:rsidR="005B491C" w:rsidRPr="00316304" w:rsidRDefault="005B491C" w:rsidP="005B491C">
                            <w:pPr>
                              <w:pStyle w:val="Paragraphedeliste"/>
                              <w:numPr>
                                <w:ilvl w:val="0"/>
                                <w:numId w:val="10"/>
                              </w:numPr>
                              <w:spacing w:after="160" w:line="259" w:lineRule="auto"/>
                              <w:rPr>
                                <w:rFonts w:ascii="Segoe UI Historic" w:hAnsi="Segoe UI Historic" w:cs="Segoe UI Historic"/>
                                <w:color w:val="FFFFFF" w:themeColor="background1"/>
                                <w:sz w:val="24"/>
                              </w:rPr>
                            </w:pPr>
                            <w:r>
                              <w:rPr>
                                <w:rFonts w:ascii="Segoe UI Historic" w:hAnsi="Segoe UI Historic" w:cs="Segoe UI Historic"/>
                                <w:color w:val="FFFFFF" w:themeColor="background1"/>
                                <w:sz w:val="24"/>
                              </w:rPr>
                              <w:t>Un ajustement par les dépenses d’investissement politiquement logique mais économiquement préoccupant</w:t>
                            </w:r>
                            <w:r w:rsidR="00550C73">
                              <w:rPr>
                                <w:rFonts w:ascii="Segoe UI Historic" w:hAnsi="Segoe UI Historic" w:cs="Segoe UI Historic"/>
                                <w:color w:val="FFFFFF" w:themeColor="background1"/>
                                <w:sz w:val="24"/>
                              </w:rPr>
                              <w:t>.</w:t>
                            </w:r>
                          </w:p>
                        </w:txbxContent>
                      </wps:txbx>
                      <wps:bodyPr rot="0" vert="horz" wrap="square" lIns="91440" tIns="45720" rIns="91440" bIns="45720" anchor="t" anchorCtr="0">
                        <a:noAutofit/>
                      </wps:bodyPr>
                    </wps:wsp>
                  </a:graphicData>
                </a:graphic>
              </wp:inline>
            </w:drawing>
          </mc:Choice>
          <mc:Fallback>
            <w:pict>
              <v:shape w14:anchorId="2D9ADAAD" id="_x0000_s1028" type="#_x0000_t202" style="width:453.6pt;height:4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" fillcolor="#006ce5" stroked="f">
                <v:textbox>
                  <w:txbxContent>
                    <w:p w14:paraId="7CA077A5" w14:textId="2BD1028B" w:rsidR="005B491C" w:rsidRPr="00316304" w:rsidRDefault="005B491C" w:rsidP="005B491C">
                      <w:pPr>
                        <w:pStyle w:val="Paragraphedeliste"/>
                        <w:numPr>
                          <w:ilvl w:val="0"/>
                          <w:numId w:val="10"/>
                        </w:numPr>
                        <w:spacing w:after="160" w:line="259" w:lineRule="auto"/>
                        <w:rPr>
                          <w:rFonts w:ascii="Segoe UI Historic" w:hAnsi="Segoe UI Historic" w:cs="Segoe UI Historic"/>
                          <w:color w:val="FFFFFF" w:themeColor="background1"/>
                          <w:sz w:val="24"/>
                        </w:rPr>
                      </w:pPr>
                      <w:r>
                        <w:rPr>
                          <w:rFonts w:ascii="Segoe UI Historic" w:hAnsi="Segoe UI Historic" w:cs="Segoe UI Historic"/>
                          <w:color w:val="FFFFFF" w:themeColor="background1"/>
                          <w:sz w:val="24"/>
                        </w:rPr>
                        <w:t>Un ajustement par les dépenses d’investissement politiquement logique mais économiquement préoccupant</w:t>
                      </w:r>
                      <w:r w:rsidR="00550C73">
                        <w:rPr>
                          <w:rFonts w:ascii="Segoe UI Historic" w:hAnsi="Segoe UI Historic" w:cs="Segoe UI Historic"/>
                          <w:color w:val="FFFFFF" w:themeColor="background1"/>
                          <w:sz w:val="24"/>
                        </w:rPr>
                        <w:t>.</w:t>
                      </w:r>
                    </w:p>
                  </w:txbxContent>
                </v:textbox>
                <w10:anchorlock/>
              </v:shape>
            </w:pict>
          </mc:Fallback>
        </mc:AlternateContent>
      </w:r>
    </w:p>
    <w:p w14:paraId="0AF68385" w14:textId="6555BA97" w:rsidR="00550C73" w:rsidRDefault="006A23B7" w:rsidP="008C4809">
      <w:pPr>
        <w:jc w:val="both"/>
        <w:rPr>
          <w:rFonts w:ascii="Segoe UI" w:eastAsia="Times New Roman" w:hAnsi="Segoe UI" w:cs="Segoe UI"/>
          <w:b/>
          <w:bCs/>
          <w:sz w:val="23"/>
          <w:szCs w:val="23"/>
          <w:lang w:eastAsia="fr-FR"/>
        </w:rPr>
      </w:pPr>
      <w:r>
        <w:rPr>
          <w:rFonts w:ascii="Segoe UI" w:eastAsia="Times New Roman" w:hAnsi="Segoe UI" w:cs="Segoe UI"/>
          <w:sz w:val="23"/>
          <w:szCs w:val="23"/>
          <w:lang w:eastAsia="fr-FR"/>
        </w:rPr>
        <w:t>Un point notable est la</w:t>
      </w:r>
      <w:r w:rsidR="005B764D">
        <w:rPr>
          <w:rFonts w:ascii="Segoe UI" w:eastAsia="Times New Roman" w:hAnsi="Segoe UI" w:cs="Segoe UI"/>
          <w:sz w:val="23"/>
          <w:szCs w:val="23"/>
          <w:lang w:eastAsia="fr-FR"/>
        </w:rPr>
        <w:t xml:space="preserve"> poursuite de la</w:t>
      </w:r>
      <w:r>
        <w:rPr>
          <w:rFonts w:ascii="Segoe UI" w:eastAsia="Times New Roman" w:hAnsi="Segoe UI" w:cs="Segoe UI"/>
          <w:sz w:val="23"/>
          <w:szCs w:val="23"/>
          <w:lang w:eastAsia="fr-FR"/>
        </w:rPr>
        <w:t xml:space="preserve"> </w:t>
      </w:r>
      <w:r w:rsidRPr="006A23B7">
        <w:rPr>
          <w:rFonts w:ascii="Segoe UI" w:eastAsia="Times New Roman" w:hAnsi="Segoe UI" w:cs="Segoe UI"/>
          <w:b/>
          <w:bCs/>
          <w:sz w:val="23"/>
          <w:szCs w:val="23"/>
          <w:lang w:eastAsia="fr-FR"/>
        </w:rPr>
        <w:t xml:space="preserve">baisse des </w:t>
      </w:r>
      <w:r w:rsidR="005A10CB">
        <w:rPr>
          <w:rFonts w:ascii="Segoe UI" w:eastAsia="Times New Roman" w:hAnsi="Segoe UI" w:cs="Segoe UI"/>
          <w:b/>
          <w:bCs/>
          <w:sz w:val="23"/>
          <w:szCs w:val="23"/>
          <w:lang w:eastAsia="fr-FR"/>
        </w:rPr>
        <w:t xml:space="preserve">objectifs de </w:t>
      </w:r>
      <w:r w:rsidRPr="006A23B7">
        <w:rPr>
          <w:rFonts w:ascii="Segoe UI" w:eastAsia="Times New Roman" w:hAnsi="Segoe UI" w:cs="Segoe UI"/>
          <w:b/>
          <w:bCs/>
          <w:sz w:val="23"/>
          <w:szCs w:val="23"/>
          <w:lang w:eastAsia="fr-FR"/>
        </w:rPr>
        <w:t>dépenses d’investissement (CAPEX)</w:t>
      </w:r>
      <w:r w:rsidR="005B764D">
        <w:rPr>
          <w:rFonts w:ascii="Segoe UI" w:eastAsia="Times New Roman" w:hAnsi="Segoe UI" w:cs="Segoe UI"/>
          <w:b/>
          <w:bCs/>
          <w:sz w:val="23"/>
          <w:szCs w:val="23"/>
          <w:lang w:eastAsia="fr-FR"/>
        </w:rPr>
        <w:t xml:space="preserve">, </w:t>
      </w:r>
      <w:r w:rsidRPr="006A23B7">
        <w:rPr>
          <w:rFonts w:ascii="Segoe UI" w:eastAsia="Times New Roman" w:hAnsi="Segoe UI" w:cs="Segoe UI"/>
          <w:b/>
          <w:bCs/>
          <w:sz w:val="23"/>
          <w:szCs w:val="23"/>
          <w:lang w:eastAsia="fr-FR"/>
        </w:rPr>
        <w:t>pour la troisième année consécutive</w:t>
      </w:r>
      <w:r w:rsidR="00A35C10">
        <w:rPr>
          <w:rFonts w:ascii="Segoe UI" w:eastAsia="Times New Roman" w:hAnsi="Segoe UI" w:cs="Segoe UI"/>
          <w:b/>
          <w:bCs/>
          <w:sz w:val="23"/>
          <w:szCs w:val="23"/>
          <w:lang w:eastAsia="fr-FR"/>
        </w:rPr>
        <w:t xml:space="preserve">, </w:t>
      </w:r>
      <w:r w:rsidR="00A35C10" w:rsidRPr="00A35C10">
        <w:rPr>
          <w:rFonts w:ascii="Segoe UI" w:eastAsia="Times New Roman" w:hAnsi="Segoe UI" w:cs="Segoe UI"/>
          <w:sz w:val="23"/>
          <w:szCs w:val="23"/>
          <w:lang w:eastAsia="fr-FR"/>
        </w:rPr>
        <w:t>après des baisse</w:t>
      </w:r>
      <w:r w:rsidR="006821D4">
        <w:rPr>
          <w:rFonts w:ascii="Segoe UI" w:eastAsia="Times New Roman" w:hAnsi="Segoe UI" w:cs="Segoe UI"/>
          <w:sz w:val="23"/>
          <w:szCs w:val="23"/>
          <w:lang w:eastAsia="fr-FR"/>
        </w:rPr>
        <w:t>s</w:t>
      </w:r>
      <w:r w:rsidR="00A35C10" w:rsidRPr="00A35C10">
        <w:rPr>
          <w:rFonts w:ascii="Segoe UI" w:eastAsia="Times New Roman" w:hAnsi="Segoe UI" w:cs="Segoe UI"/>
          <w:sz w:val="23"/>
          <w:szCs w:val="23"/>
          <w:lang w:eastAsia="fr-FR"/>
        </w:rPr>
        <w:t xml:space="preserve"> de 15% par an déjà lors des deux précédents</w:t>
      </w:r>
      <w:r w:rsidR="005B764D">
        <w:rPr>
          <w:rFonts w:ascii="Segoe UI" w:eastAsia="Times New Roman" w:hAnsi="Segoe UI" w:cs="Segoe UI"/>
          <w:sz w:val="23"/>
          <w:szCs w:val="23"/>
          <w:lang w:eastAsia="fr-FR"/>
        </w:rPr>
        <w:t xml:space="preserve"> exercices budgétaires</w:t>
      </w:r>
      <w:r w:rsidR="00A35C10" w:rsidRPr="00A35C10">
        <w:rPr>
          <w:rFonts w:ascii="Segoe UI" w:eastAsia="Times New Roman" w:hAnsi="Segoe UI" w:cs="Segoe UI"/>
          <w:sz w:val="23"/>
          <w:szCs w:val="23"/>
          <w:lang w:eastAsia="fr-FR"/>
        </w:rPr>
        <w:t>.</w:t>
      </w:r>
      <w:r w:rsidR="00A35C10">
        <w:rPr>
          <w:rFonts w:ascii="Segoe UI" w:eastAsia="Times New Roman" w:hAnsi="Segoe UI" w:cs="Segoe UI"/>
          <w:b/>
          <w:bCs/>
          <w:sz w:val="23"/>
          <w:szCs w:val="23"/>
          <w:lang w:eastAsia="fr-FR"/>
        </w:rPr>
        <w:t xml:space="preserve"> </w:t>
      </w:r>
      <w:r w:rsidR="00EE7C6D" w:rsidRPr="00EE7C6D">
        <w:rPr>
          <w:rFonts w:ascii="Segoe UI" w:eastAsia="Times New Roman" w:hAnsi="Segoe UI" w:cs="Segoe UI"/>
          <w:sz w:val="23"/>
          <w:szCs w:val="23"/>
          <w:lang w:eastAsia="fr-FR"/>
        </w:rPr>
        <w:t>Elles sont</w:t>
      </w:r>
      <w:r w:rsidR="00EE7C6D">
        <w:rPr>
          <w:rFonts w:ascii="Segoe UI" w:eastAsia="Times New Roman" w:hAnsi="Segoe UI" w:cs="Segoe UI"/>
          <w:b/>
          <w:bCs/>
          <w:sz w:val="23"/>
          <w:szCs w:val="23"/>
          <w:lang w:eastAsia="fr-FR"/>
        </w:rPr>
        <w:t xml:space="preserve"> </w:t>
      </w:r>
      <w:r w:rsidR="00EE7C6D" w:rsidRPr="00EE7C6D">
        <w:rPr>
          <w:rFonts w:ascii="Segoe UI" w:eastAsia="Times New Roman" w:hAnsi="Segoe UI" w:cs="Segoe UI"/>
          <w:sz w:val="23"/>
          <w:szCs w:val="23"/>
          <w:lang w:eastAsia="fr-FR"/>
        </w:rPr>
        <w:t>prévues</w:t>
      </w:r>
      <w:r w:rsidR="00EE7C6D">
        <w:rPr>
          <w:rFonts w:ascii="Segoe UI" w:eastAsia="Times New Roman" w:hAnsi="Segoe UI" w:cs="Segoe UI"/>
          <w:sz w:val="23"/>
          <w:szCs w:val="23"/>
          <w:lang w:eastAsia="fr-FR"/>
        </w:rPr>
        <w:t xml:space="preserve"> en baisse de </w:t>
      </w:r>
      <w:r w:rsidR="000A16A8">
        <w:rPr>
          <w:rFonts w:ascii="Segoe UI" w:eastAsia="Times New Roman" w:hAnsi="Segoe UI" w:cs="Segoe UI"/>
          <w:sz w:val="23"/>
          <w:szCs w:val="23"/>
          <w:lang w:eastAsia="fr-FR"/>
        </w:rPr>
        <w:t>7,7</w:t>
      </w:r>
      <w:r w:rsidR="00EE7C6D">
        <w:rPr>
          <w:rFonts w:ascii="Segoe UI" w:eastAsia="Times New Roman" w:hAnsi="Segoe UI" w:cs="Segoe UI"/>
          <w:sz w:val="23"/>
          <w:szCs w:val="23"/>
          <w:lang w:eastAsia="fr-FR"/>
        </w:rPr>
        <w:t>%</w:t>
      </w:r>
      <w:r w:rsidR="00EE7C6D" w:rsidRPr="00EE7C6D">
        <w:rPr>
          <w:rFonts w:ascii="Segoe UI" w:eastAsia="Times New Roman" w:hAnsi="Segoe UI" w:cs="Segoe UI"/>
          <w:sz w:val="23"/>
          <w:szCs w:val="23"/>
          <w:lang w:eastAsia="fr-FR"/>
        </w:rPr>
        <w:t xml:space="preserve"> pour s’élever à 2,3 Mds KWD (</w:t>
      </w:r>
      <w:r w:rsidR="00EE7C6D">
        <w:rPr>
          <w:rFonts w:ascii="Segoe UI" w:eastAsia="Times New Roman" w:hAnsi="Segoe UI" w:cs="Segoe UI"/>
          <w:sz w:val="23"/>
          <w:szCs w:val="23"/>
          <w:lang w:eastAsia="fr-FR"/>
        </w:rPr>
        <w:t>7,5 Mds USD)</w:t>
      </w:r>
      <w:r>
        <w:rPr>
          <w:rFonts w:ascii="Segoe UI" w:eastAsia="Times New Roman" w:hAnsi="Segoe UI" w:cs="Segoe UI"/>
          <w:sz w:val="23"/>
          <w:szCs w:val="23"/>
          <w:lang w:eastAsia="fr-FR"/>
        </w:rPr>
        <w:t xml:space="preserve">. </w:t>
      </w:r>
      <w:r w:rsidR="005A10CB">
        <w:rPr>
          <w:rFonts w:ascii="Segoe UI" w:eastAsia="Times New Roman" w:hAnsi="Segoe UI" w:cs="Segoe UI"/>
          <w:sz w:val="23"/>
          <w:szCs w:val="23"/>
          <w:lang w:eastAsia="fr-FR"/>
        </w:rPr>
        <w:t>De plus,</w:t>
      </w:r>
      <w:r w:rsidR="004A1AF4">
        <w:rPr>
          <w:rFonts w:ascii="Segoe UI" w:eastAsia="Times New Roman" w:hAnsi="Segoe UI" w:cs="Segoe UI"/>
          <w:sz w:val="23"/>
          <w:szCs w:val="23"/>
          <w:lang w:eastAsia="fr-FR"/>
        </w:rPr>
        <w:t xml:space="preserve"> </w:t>
      </w:r>
      <w:r w:rsidR="00C77673">
        <w:rPr>
          <w:rFonts w:ascii="Segoe UI" w:eastAsia="Times New Roman" w:hAnsi="Segoe UI" w:cs="Segoe UI"/>
          <w:sz w:val="23"/>
          <w:szCs w:val="23"/>
          <w:lang w:eastAsia="fr-FR"/>
        </w:rPr>
        <w:t>s</w:t>
      </w:r>
      <w:r w:rsidR="00257D76">
        <w:rPr>
          <w:rFonts w:ascii="Segoe UI" w:eastAsia="Times New Roman" w:hAnsi="Segoe UI" w:cs="Segoe UI"/>
          <w:sz w:val="23"/>
          <w:szCs w:val="23"/>
          <w:lang w:eastAsia="fr-FR"/>
        </w:rPr>
        <w:t xml:space="preserve">ur les 9 premiers mois </w:t>
      </w:r>
      <w:r w:rsidR="00C77673">
        <w:rPr>
          <w:rFonts w:ascii="Segoe UI" w:eastAsia="Times New Roman" w:hAnsi="Segoe UI" w:cs="Segoe UI"/>
          <w:sz w:val="23"/>
          <w:szCs w:val="23"/>
          <w:lang w:eastAsia="fr-FR"/>
        </w:rPr>
        <w:t xml:space="preserve">réalisés </w:t>
      </w:r>
      <w:r w:rsidR="00257D76">
        <w:rPr>
          <w:rFonts w:ascii="Segoe UI" w:eastAsia="Times New Roman" w:hAnsi="Segoe UI" w:cs="Segoe UI"/>
          <w:sz w:val="23"/>
          <w:szCs w:val="23"/>
          <w:lang w:eastAsia="fr-FR"/>
        </w:rPr>
        <w:t>du budget actuel (période d’avril à décembre 202</w:t>
      </w:r>
      <w:r w:rsidR="006847AC">
        <w:rPr>
          <w:rFonts w:ascii="Segoe UI" w:eastAsia="Times New Roman" w:hAnsi="Segoe UI" w:cs="Segoe UI"/>
          <w:sz w:val="23"/>
          <w:szCs w:val="23"/>
          <w:lang w:eastAsia="fr-FR"/>
        </w:rPr>
        <w:t>3</w:t>
      </w:r>
      <w:r w:rsidR="00257D76">
        <w:rPr>
          <w:rFonts w:ascii="Segoe UI" w:eastAsia="Times New Roman" w:hAnsi="Segoe UI" w:cs="Segoe UI"/>
          <w:sz w:val="23"/>
          <w:szCs w:val="23"/>
          <w:lang w:eastAsia="fr-FR"/>
        </w:rPr>
        <w:t xml:space="preserve">), </w:t>
      </w:r>
      <w:r w:rsidR="00257D76" w:rsidRPr="00257D76">
        <w:rPr>
          <w:rFonts w:ascii="Segoe UI" w:eastAsia="Times New Roman" w:hAnsi="Segoe UI" w:cs="Segoe UI"/>
          <w:b/>
          <w:bCs/>
          <w:sz w:val="23"/>
          <w:szCs w:val="23"/>
          <w:lang w:eastAsia="fr-FR"/>
        </w:rPr>
        <w:t>seules 39% des dépenses en CAPEX prévues ont été effectuées</w:t>
      </w:r>
      <w:r w:rsidR="00257D76">
        <w:rPr>
          <w:rFonts w:ascii="Segoe UI" w:eastAsia="Times New Roman" w:hAnsi="Segoe UI" w:cs="Segoe UI"/>
          <w:b/>
          <w:bCs/>
          <w:sz w:val="23"/>
          <w:szCs w:val="23"/>
          <w:lang w:eastAsia="fr-FR"/>
        </w:rPr>
        <w:t>.</w:t>
      </w:r>
      <w:r w:rsidR="0080574F">
        <w:rPr>
          <w:rFonts w:ascii="Segoe UI" w:eastAsia="Times New Roman" w:hAnsi="Segoe UI" w:cs="Segoe UI"/>
          <w:b/>
          <w:bCs/>
          <w:sz w:val="23"/>
          <w:szCs w:val="23"/>
          <w:lang w:eastAsia="fr-FR"/>
        </w:rPr>
        <w:t xml:space="preserve"> </w:t>
      </w:r>
    </w:p>
    <w:p w14:paraId="15C6DCED" w14:textId="2631CCB8" w:rsidR="00682062" w:rsidRDefault="0080574F" w:rsidP="008C4809">
      <w:pPr>
        <w:jc w:val="both"/>
        <w:rPr>
          <w:rFonts w:ascii="Segoe UI" w:eastAsia="Times New Roman" w:hAnsi="Segoe UI" w:cs="Segoe UI"/>
          <w:sz w:val="23"/>
          <w:szCs w:val="23"/>
          <w:lang w:eastAsia="fr-FR"/>
        </w:rPr>
      </w:pPr>
      <w:r>
        <w:rPr>
          <w:rFonts w:ascii="Segoe UI" w:eastAsia="Times New Roman" w:hAnsi="Segoe UI" w:cs="Segoe UI"/>
          <w:sz w:val="23"/>
          <w:szCs w:val="23"/>
          <w:lang w:eastAsia="fr-FR"/>
        </w:rPr>
        <w:t xml:space="preserve">Sauf sursaut lors du dernier trimestre, il </w:t>
      </w:r>
      <w:r w:rsidR="005B764D">
        <w:rPr>
          <w:rFonts w:ascii="Segoe UI" w:eastAsia="Times New Roman" w:hAnsi="Segoe UI" w:cs="Segoe UI"/>
          <w:sz w:val="23"/>
          <w:szCs w:val="23"/>
          <w:lang w:eastAsia="fr-FR"/>
        </w:rPr>
        <w:t xml:space="preserve"> sera probablement difficile de dépasser les niveaux de consommation (</w:t>
      </w:r>
      <w:r>
        <w:rPr>
          <w:rFonts w:ascii="Segoe UI" w:eastAsia="Times New Roman" w:hAnsi="Segoe UI" w:cs="Segoe UI"/>
          <w:sz w:val="23"/>
          <w:szCs w:val="23"/>
          <w:lang w:eastAsia="fr-FR"/>
        </w:rPr>
        <w:t>70 à 80%</w:t>
      </w:r>
      <w:r w:rsidR="005B764D">
        <w:rPr>
          <w:rFonts w:ascii="Segoe UI" w:eastAsia="Times New Roman" w:hAnsi="Segoe UI" w:cs="Segoe UI"/>
          <w:sz w:val="23"/>
          <w:szCs w:val="23"/>
          <w:lang w:eastAsia="fr-FR"/>
        </w:rPr>
        <w:t>) observés lors des années précédentes</w:t>
      </w:r>
      <w:r>
        <w:rPr>
          <w:rFonts w:ascii="Segoe UI" w:eastAsia="Times New Roman" w:hAnsi="Segoe UI" w:cs="Segoe UI"/>
          <w:sz w:val="23"/>
          <w:szCs w:val="23"/>
          <w:lang w:eastAsia="fr-FR"/>
        </w:rPr>
        <w:t>.</w:t>
      </w:r>
      <w:r w:rsidR="00A15821">
        <w:rPr>
          <w:rFonts w:ascii="Segoe UI" w:eastAsia="Times New Roman" w:hAnsi="Segoe UI" w:cs="Segoe UI"/>
          <w:sz w:val="23"/>
          <w:szCs w:val="23"/>
          <w:lang w:eastAsia="fr-FR"/>
        </w:rPr>
        <w:t xml:space="preserve"> </w:t>
      </w:r>
      <w:r w:rsidRPr="00F308B3">
        <w:rPr>
          <w:rFonts w:ascii="Segoe UI" w:eastAsia="Times New Roman" w:hAnsi="Segoe UI" w:cs="Segoe UI"/>
          <w:b/>
          <w:bCs/>
          <w:sz w:val="23"/>
          <w:szCs w:val="23"/>
          <w:lang w:eastAsia="fr-FR"/>
        </w:rPr>
        <w:t>L</w:t>
      </w:r>
      <w:r w:rsidR="00A15821" w:rsidRPr="00F308B3">
        <w:rPr>
          <w:rFonts w:ascii="Segoe UI" w:eastAsia="Times New Roman" w:hAnsi="Segoe UI" w:cs="Segoe UI"/>
          <w:b/>
          <w:bCs/>
          <w:sz w:val="23"/>
          <w:szCs w:val="23"/>
          <w:lang w:eastAsia="fr-FR"/>
        </w:rPr>
        <w:t>es contraintes de liquidité et les turbulences politiques</w:t>
      </w:r>
      <w:r w:rsidR="00A15821">
        <w:rPr>
          <w:rFonts w:ascii="Segoe UI" w:eastAsia="Times New Roman" w:hAnsi="Segoe UI" w:cs="Segoe UI"/>
          <w:sz w:val="23"/>
          <w:szCs w:val="23"/>
          <w:lang w:eastAsia="fr-FR"/>
        </w:rPr>
        <w:t xml:space="preserve"> font partie des raisons expliquant cet écart</w:t>
      </w:r>
      <w:r w:rsidR="00F308B3">
        <w:rPr>
          <w:rFonts w:ascii="Segoe UI" w:eastAsia="Times New Roman" w:hAnsi="Segoe UI" w:cs="Segoe UI"/>
          <w:sz w:val="23"/>
          <w:szCs w:val="23"/>
          <w:lang w:eastAsia="fr-FR"/>
        </w:rPr>
        <w:t xml:space="preserve">. </w:t>
      </w:r>
      <w:r w:rsidR="004903FD">
        <w:rPr>
          <w:rFonts w:ascii="Segoe UI" w:eastAsia="Times New Roman" w:hAnsi="Segoe UI" w:cs="Segoe UI"/>
          <w:sz w:val="23"/>
          <w:szCs w:val="23"/>
          <w:lang w:eastAsia="fr-FR"/>
        </w:rPr>
        <w:t xml:space="preserve">Plus généralement, la sous-consommation systématique par le non-décaissement des dotations (rétention par le département des finances) fait traditionnellement partie de la </w:t>
      </w:r>
      <w:r w:rsidR="004903FD" w:rsidRPr="002D6062">
        <w:rPr>
          <w:rFonts w:ascii="Segoe UI" w:eastAsia="Times New Roman" w:hAnsi="Segoe UI" w:cs="Segoe UI"/>
          <w:b/>
          <w:bCs/>
          <w:sz w:val="23"/>
          <w:szCs w:val="23"/>
          <w:lang w:eastAsia="fr-FR"/>
        </w:rPr>
        <w:t>régulation budgétaire koweïtienne.</w:t>
      </w:r>
      <w:r w:rsidR="004903FD">
        <w:rPr>
          <w:rFonts w:ascii="Segoe UI" w:eastAsia="Times New Roman" w:hAnsi="Segoe UI" w:cs="Segoe UI"/>
          <w:sz w:val="23"/>
          <w:szCs w:val="23"/>
          <w:lang w:eastAsia="fr-FR"/>
        </w:rPr>
        <w:t xml:space="preserve"> Ce</w:t>
      </w:r>
      <w:r w:rsidR="00550C73">
        <w:rPr>
          <w:rFonts w:ascii="Segoe UI" w:eastAsia="Times New Roman" w:hAnsi="Segoe UI" w:cs="Segoe UI"/>
          <w:sz w:val="23"/>
          <w:szCs w:val="23"/>
          <w:lang w:eastAsia="fr-FR"/>
        </w:rPr>
        <w:t>tte stratégie</w:t>
      </w:r>
      <w:r w:rsidR="004903FD">
        <w:rPr>
          <w:rFonts w:ascii="Segoe UI" w:eastAsia="Times New Roman" w:hAnsi="Segoe UI" w:cs="Segoe UI"/>
          <w:sz w:val="23"/>
          <w:szCs w:val="23"/>
          <w:lang w:eastAsia="fr-FR"/>
        </w:rPr>
        <w:t xml:space="preserve"> permet de toujours exécuter le budget </w:t>
      </w:r>
      <w:r w:rsidR="005B764D">
        <w:rPr>
          <w:rFonts w:ascii="Segoe UI" w:eastAsia="Times New Roman" w:hAnsi="Segoe UI" w:cs="Segoe UI"/>
          <w:sz w:val="23"/>
          <w:szCs w:val="23"/>
          <w:lang w:eastAsia="fr-FR"/>
        </w:rPr>
        <w:t xml:space="preserve">en-deçà des dotations prévues au </w:t>
      </w:r>
      <w:r w:rsidR="004903FD">
        <w:rPr>
          <w:rFonts w:ascii="Segoe UI" w:eastAsia="Times New Roman" w:hAnsi="Segoe UI" w:cs="Segoe UI"/>
          <w:sz w:val="23"/>
          <w:szCs w:val="23"/>
          <w:lang w:eastAsia="fr-FR"/>
        </w:rPr>
        <w:t>PLF.</w:t>
      </w:r>
    </w:p>
    <w:p w14:paraId="0B815EB3" w14:textId="59122D5E" w:rsidR="005B491C" w:rsidRDefault="005B491C" w:rsidP="008C4809">
      <w:pPr>
        <w:jc w:val="both"/>
        <w:rPr>
          <w:rFonts w:ascii="Segoe UI" w:eastAsia="Times New Roman" w:hAnsi="Segoe UI" w:cs="Segoe UI"/>
          <w:sz w:val="23"/>
          <w:szCs w:val="23"/>
          <w:lang w:eastAsia="fr-FR"/>
        </w:rPr>
      </w:pPr>
      <w:r w:rsidRPr="00E375A2">
        <w:rPr>
          <w:rFonts w:ascii="Segoe UI" w:hAnsi="Segoe UI" w:cs="Segoe UI"/>
          <w:noProof/>
          <w:sz w:val="23"/>
          <w:szCs w:val="23"/>
        </w:rPr>
        <mc:AlternateContent>
          <mc:Choice Requires="wps">
            <w:drawing>
              <wp:inline distT="0" distB="0" distL="0" distR="0" wp14:anchorId="29634F36" wp14:editId="214C35B3">
                <wp:extent cx="5760720" cy="304800"/>
                <wp:effectExtent l="0" t="0" r="0" b="0"/>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04800"/>
                        </a:xfrm>
                        <a:prstGeom prst="rect">
                          <a:avLst/>
                        </a:prstGeom>
                        <a:solidFill>
                          <a:srgbClr val="006CE5"/>
                        </a:solidFill>
                        <a:ln w="9525">
                          <a:noFill/>
                          <a:miter lim="800000"/>
                          <a:headEnd/>
                          <a:tailEnd/>
                        </a:ln>
                      </wps:spPr>
                      <wps:txbx>
                        <w:txbxContent>
                          <w:p w14:paraId="7D1AA59B" w14:textId="542094F3" w:rsidR="005B491C" w:rsidRPr="00316304" w:rsidRDefault="005B491C" w:rsidP="005B491C">
                            <w:pPr>
                              <w:pStyle w:val="Paragraphedeliste"/>
                              <w:numPr>
                                <w:ilvl w:val="0"/>
                                <w:numId w:val="10"/>
                              </w:numPr>
                              <w:spacing w:after="160" w:line="259" w:lineRule="auto"/>
                              <w:rPr>
                                <w:rFonts w:ascii="Segoe UI Historic" w:hAnsi="Segoe UI Historic" w:cs="Segoe UI Historic"/>
                                <w:color w:val="FFFFFF" w:themeColor="background1"/>
                                <w:sz w:val="24"/>
                              </w:rPr>
                            </w:pPr>
                            <w:r>
                              <w:rPr>
                                <w:rFonts w:ascii="Segoe UI Historic" w:hAnsi="Segoe UI Historic" w:cs="Segoe UI Historic"/>
                                <w:color w:val="FFFFFF" w:themeColor="background1"/>
                                <w:sz w:val="24"/>
                              </w:rPr>
                              <w:t>Des recettes estimées de façon conservatrice</w:t>
                            </w:r>
                            <w:r w:rsidR="002D6062">
                              <w:rPr>
                                <w:rFonts w:ascii="Segoe UI Historic" w:hAnsi="Segoe UI Historic" w:cs="Segoe UI Historic"/>
                                <w:color w:val="FFFFFF" w:themeColor="background1"/>
                                <w:sz w:val="24"/>
                              </w:rPr>
                              <w:t>.</w:t>
                            </w:r>
                          </w:p>
                        </w:txbxContent>
                      </wps:txbx>
                      <wps:bodyPr rot="0" vert="horz" wrap="square" lIns="91440" tIns="45720" rIns="91440" bIns="45720" anchor="t" anchorCtr="0">
                        <a:noAutofit/>
                      </wps:bodyPr>
                    </wps:wsp>
                  </a:graphicData>
                </a:graphic>
              </wp:inline>
            </w:drawing>
          </mc:Choice>
          <mc:Fallback>
            <w:pict>
              <v:shapetype w14:anchorId="29634F36" id="_x0000_t202" coordsize="21600,21600" o:spt="202" path="m,l,21600r21600,l21600,xe">
                <v:stroke joinstyle="miter"/>
                <v:path gradientshapeok="t" o:connecttype="rect"/>
              </v:shapetype>
              <v:shape id="_x0000_s1029" type="#_x0000_t202" style="width:453.6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" fillcolor="#006ce5" stroked="f">
                <v:textbox>
                  <w:txbxContent>
                    <w:p w14:paraId="7D1AA59B" w14:textId="542094F3" w:rsidR="005B491C" w:rsidRPr="00316304" w:rsidRDefault="005B491C" w:rsidP="005B491C">
                      <w:pPr>
                        <w:pStyle w:val="Paragraphedeliste"/>
                        <w:numPr>
                          <w:ilvl w:val="0"/>
                          <w:numId w:val="10"/>
                        </w:numPr>
                        <w:spacing w:after="160" w:line="259" w:lineRule="auto"/>
                        <w:rPr>
                          <w:rFonts w:ascii="Segoe UI Historic" w:hAnsi="Segoe UI Historic" w:cs="Segoe UI Historic"/>
                          <w:color w:val="FFFFFF" w:themeColor="background1"/>
                          <w:sz w:val="24"/>
                        </w:rPr>
                      </w:pPr>
                      <w:r>
                        <w:rPr>
                          <w:rFonts w:ascii="Segoe UI Historic" w:hAnsi="Segoe UI Historic" w:cs="Segoe UI Historic"/>
                          <w:color w:val="FFFFFF" w:themeColor="background1"/>
                          <w:sz w:val="24"/>
                        </w:rPr>
                        <w:t>Des recettes estimées de façon conservatrice</w:t>
                      </w:r>
                      <w:r w:rsidR="002D6062">
                        <w:rPr>
                          <w:rFonts w:ascii="Segoe UI Historic" w:hAnsi="Segoe UI Historic" w:cs="Segoe UI Historic"/>
                          <w:color w:val="FFFFFF" w:themeColor="background1"/>
                          <w:sz w:val="24"/>
                        </w:rPr>
                        <w:t>.</w:t>
                      </w:r>
                    </w:p>
                  </w:txbxContent>
                </v:textbox>
                <w10:anchorlock/>
              </v:shape>
            </w:pict>
          </mc:Fallback>
        </mc:AlternateContent>
      </w:r>
    </w:p>
    <w:p w14:paraId="6475E553" w14:textId="0A23EE29" w:rsidR="001F4FEA" w:rsidRDefault="00D929EA" w:rsidP="008C4809">
      <w:pPr>
        <w:jc w:val="both"/>
        <w:rPr>
          <w:rFonts w:ascii="Segoe UI" w:eastAsia="Times New Roman" w:hAnsi="Segoe UI" w:cs="Segoe UI"/>
          <w:sz w:val="23"/>
          <w:szCs w:val="23"/>
          <w:lang w:eastAsia="fr-FR"/>
        </w:rPr>
      </w:pPr>
      <w:r w:rsidRPr="00D929EA">
        <w:rPr>
          <w:rFonts w:ascii="Segoe UI" w:eastAsia="Times New Roman" w:hAnsi="Segoe UI" w:cs="Segoe UI"/>
          <w:b/>
          <w:bCs/>
          <w:sz w:val="23"/>
          <w:szCs w:val="23"/>
          <w:lang w:eastAsia="fr-FR"/>
        </w:rPr>
        <w:t xml:space="preserve">Les revenus sont </w:t>
      </w:r>
      <w:r w:rsidR="001130F2">
        <w:rPr>
          <w:rFonts w:ascii="Segoe UI" w:eastAsia="Times New Roman" w:hAnsi="Segoe UI" w:cs="Segoe UI"/>
          <w:b/>
          <w:bCs/>
          <w:sz w:val="23"/>
          <w:szCs w:val="23"/>
          <w:lang w:eastAsia="fr-FR"/>
        </w:rPr>
        <w:t xml:space="preserve">eux </w:t>
      </w:r>
      <w:r w:rsidR="00682062">
        <w:rPr>
          <w:rFonts w:ascii="Segoe UI" w:eastAsia="Times New Roman" w:hAnsi="Segoe UI" w:cs="Segoe UI"/>
          <w:b/>
          <w:bCs/>
          <w:sz w:val="23"/>
          <w:szCs w:val="23"/>
          <w:lang w:eastAsia="fr-FR"/>
        </w:rPr>
        <w:t>prévus</w:t>
      </w:r>
      <w:r w:rsidRPr="00D929EA">
        <w:rPr>
          <w:rFonts w:ascii="Segoe UI" w:eastAsia="Times New Roman" w:hAnsi="Segoe UI" w:cs="Segoe UI"/>
          <w:b/>
          <w:bCs/>
          <w:sz w:val="23"/>
          <w:szCs w:val="23"/>
          <w:lang w:eastAsia="fr-FR"/>
        </w:rPr>
        <w:t xml:space="preserve"> en baisse de 4,1%</w:t>
      </w:r>
      <w:r>
        <w:rPr>
          <w:rFonts w:ascii="Segoe UI" w:eastAsia="Times New Roman" w:hAnsi="Segoe UI" w:cs="Segoe UI"/>
          <w:sz w:val="23"/>
          <w:szCs w:val="23"/>
          <w:lang w:eastAsia="fr-FR"/>
        </w:rPr>
        <w:t xml:space="preserve"> à 18,7 Mds KWD (61,7 Mds USD). </w:t>
      </w:r>
      <w:r w:rsidR="00030B1C">
        <w:rPr>
          <w:rFonts w:ascii="Segoe UI" w:eastAsia="Times New Roman" w:hAnsi="Segoe UI" w:cs="Segoe UI"/>
          <w:sz w:val="23"/>
          <w:szCs w:val="23"/>
          <w:lang w:eastAsia="fr-FR"/>
        </w:rPr>
        <w:t xml:space="preserve">Ils sont à 87% liés au pétrole contre 13% pour les autres </w:t>
      </w:r>
      <w:r w:rsidR="0044125D">
        <w:rPr>
          <w:rFonts w:ascii="Segoe UI" w:eastAsia="Times New Roman" w:hAnsi="Segoe UI" w:cs="Segoe UI"/>
          <w:sz w:val="23"/>
          <w:szCs w:val="23"/>
          <w:lang w:eastAsia="fr-FR"/>
        </w:rPr>
        <w:t xml:space="preserve">secteurs. </w:t>
      </w:r>
      <w:r w:rsidR="00877761">
        <w:rPr>
          <w:rFonts w:ascii="Segoe UI" w:eastAsia="Times New Roman" w:hAnsi="Segoe UI" w:cs="Segoe UI"/>
          <w:sz w:val="23"/>
          <w:szCs w:val="23"/>
          <w:lang w:eastAsia="fr-FR"/>
        </w:rPr>
        <w:t xml:space="preserve">Les revenus pétroliers sont en baisse de 5,4% par rapport </w:t>
      </w:r>
      <w:r w:rsidR="00D26863">
        <w:rPr>
          <w:rFonts w:ascii="Segoe UI" w:eastAsia="Times New Roman" w:hAnsi="Segoe UI" w:cs="Segoe UI"/>
          <w:sz w:val="23"/>
          <w:szCs w:val="23"/>
          <w:lang w:eastAsia="fr-FR"/>
        </w:rPr>
        <w:t>au budget prévisionnel de</w:t>
      </w:r>
      <w:r w:rsidR="00877761">
        <w:rPr>
          <w:rFonts w:ascii="Segoe UI" w:eastAsia="Times New Roman" w:hAnsi="Segoe UI" w:cs="Segoe UI"/>
          <w:sz w:val="23"/>
          <w:szCs w:val="23"/>
          <w:lang w:eastAsia="fr-FR"/>
        </w:rPr>
        <w:t xml:space="preserve"> l’an passé. </w:t>
      </w:r>
      <w:r w:rsidR="003B016F">
        <w:rPr>
          <w:rFonts w:ascii="Segoe UI" w:eastAsia="Times New Roman" w:hAnsi="Segoe UI" w:cs="Segoe UI"/>
          <w:sz w:val="23"/>
          <w:szCs w:val="23"/>
          <w:lang w:eastAsia="fr-FR"/>
        </w:rPr>
        <w:t xml:space="preserve">Le prix du baril retenu est toujours de 70 USD par baril, mais la baisse est consécutive à la </w:t>
      </w:r>
      <w:r w:rsidR="003B016F" w:rsidRPr="00570600">
        <w:rPr>
          <w:rFonts w:ascii="Segoe UI" w:eastAsia="Times New Roman" w:hAnsi="Segoe UI" w:cs="Segoe UI"/>
          <w:b/>
          <w:bCs/>
          <w:sz w:val="23"/>
          <w:szCs w:val="23"/>
          <w:lang w:eastAsia="fr-FR"/>
        </w:rPr>
        <w:t>réduction du nombre de barils produits</w:t>
      </w:r>
      <w:r w:rsidR="003B016F">
        <w:rPr>
          <w:rFonts w:ascii="Segoe UI" w:eastAsia="Times New Roman" w:hAnsi="Segoe UI" w:cs="Segoe UI"/>
          <w:sz w:val="23"/>
          <w:szCs w:val="23"/>
          <w:lang w:eastAsia="fr-FR"/>
        </w:rPr>
        <w:t xml:space="preserve"> (suite aux restrictions décidées dans le cadre de l’OPEC+). </w:t>
      </w:r>
    </w:p>
    <w:p w14:paraId="34C0861A" w14:textId="75EC1D58" w:rsidR="002F3755" w:rsidRDefault="00570600" w:rsidP="008C4809">
      <w:pPr>
        <w:jc w:val="both"/>
        <w:rPr>
          <w:rFonts w:ascii="Segoe UI" w:eastAsia="Times New Roman" w:hAnsi="Segoe UI" w:cs="Segoe UI"/>
          <w:b/>
          <w:bCs/>
          <w:sz w:val="23"/>
          <w:szCs w:val="23"/>
          <w:lang w:eastAsia="fr-FR"/>
        </w:rPr>
      </w:pPr>
      <w:r>
        <w:rPr>
          <w:rFonts w:ascii="Segoe UI" w:eastAsia="Times New Roman" w:hAnsi="Segoe UI" w:cs="Segoe UI"/>
          <w:sz w:val="23"/>
          <w:szCs w:val="23"/>
          <w:lang w:eastAsia="fr-FR"/>
        </w:rPr>
        <w:t>Le volume anticipé est de 2</w:t>
      </w:r>
      <w:r w:rsidR="00B135E7">
        <w:rPr>
          <w:rFonts w:ascii="Segoe UI" w:eastAsia="Times New Roman" w:hAnsi="Segoe UI" w:cs="Segoe UI"/>
          <w:sz w:val="23"/>
          <w:szCs w:val="23"/>
          <w:lang w:eastAsia="fr-FR"/>
        </w:rPr>
        <w:t>,</w:t>
      </w:r>
      <w:r>
        <w:rPr>
          <w:rFonts w:ascii="Segoe UI" w:eastAsia="Times New Roman" w:hAnsi="Segoe UI" w:cs="Segoe UI"/>
          <w:sz w:val="23"/>
          <w:szCs w:val="23"/>
          <w:lang w:eastAsia="fr-FR"/>
        </w:rPr>
        <w:t>5 M de barils par jour</w:t>
      </w:r>
      <w:r w:rsidR="000F0C0A">
        <w:rPr>
          <w:rFonts w:ascii="Segoe UI" w:eastAsia="Times New Roman" w:hAnsi="Segoe UI" w:cs="Segoe UI"/>
          <w:sz w:val="23"/>
          <w:szCs w:val="23"/>
          <w:lang w:eastAsia="fr-FR"/>
        </w:rPr>
        <w:t xml:space="preserve"> (baisse de 4,8%), correspondant aux quotas de l’OPEC</w:t>
      </w:r>
      <w:r w:rsidR="008A6502">
        <w:rPr>
          <w:rFonts w:ascii="Segoe UI" w:eastAsia="Times New Roman" w:hAnsi="Segoe UI" w:cs="Segoe UI"/>
          <w:sz w:val="23"/>
          <w:szCs w:val="23"/>
          <w:lang w:eastAsia="fr-FR"/>
        </w:rPr>
        <w:t>+</w:t>
      </w:r>
      <w:r w:rsidR="009F3B69">
        <w:rPr>
          <w:rFonts w:ascii="Segoe UI" w:eastAsia="Times New Roman" w:hAnsi="Segoe UI" w:cs="Segoe UI"/>
          <w:sz w:val="23"/>
          <w:szCs w:val="23"/>
          <w:lang w:eastAsia="fr-FR"/>
        </w:rPr>
        <w:t>.</w:t>
      </w:r>
      <w:r w:rsidR="00D26863">
        <w:rPr>
          <w:rFonts w:ascii="Segoe UI" w:eastAsia="Times New Roman" w:hAnsi="Segoe UI" w:cs="Segoe UI"/>
          <w:sz w:val="23"/>
          <w:szCs w:val="23"/>
          <w:lang w:eastAsia="fr-FR"/>
        </w:rPr>
        <w:t xml:space="preserve"> </w:t>
      </w:r>
      <w:r w:rsidR="008516D6">
        <w:rPr>
          <w:rFonts w:ascii="Segoe UI" w:eastAsia="Times New Roman" w:hAnsi="Segoe UI" w:cs="Segoe UI"/>
          <w:sz w:val="23"/>
          <w:szCs w:val="23"/>
          <w:lang w:eastAsia="fr-FR"/>
        </w:rPr>
        <w:t xml:space="preserve">Témoignant d’une approche prudente, les hypothèses d’estimation du revenu pétrolier sont </w:t>
      </w:r>
      <w:r w:rsidR="002B2162">
        <w:rPr>
          <w:rFonts w:ascii="Segoe UI" w:eastAsia="Times New Roman" w:hAnsi="Segoe UI" w:cs="Segoe UI"/>
          <w:sz w:val="23"/>
          <w:szCs w:val="23"/>
          <w:lang w:eastAsia="fr-FR"/>
        </w:rPr>
        <w:t xml:space="preserve">donc doublement </w:t>
      </w:r>
      <w:r w:rsidR="008516D6">
        <w:rPr>
          <w:rFonts w:ascii="Segoe UI" w:eastAsia="Times New Roman" w:hAnsi="Segoe UI" w:cs="Segoe UI"/>
          <w:sz w:val="23"/>
          <w:szCs w:val="23"/>
          <w:lang w:eastAsia="fr-FR"/>
        </w:rPr>
        <w:t>conservatrices</w:t>
      </w:r>
      <w:r w:rsidR="002B2162">
        <w:rPr>
          <w:rFonts w:ascii="Segoe UI" w:eastAsia="Times New Roman" w:hAnsi="Segoe UI" w:cs="Segoe UI"/>
          <w:sz w:val="23"/>
          <w:szCs w:val="23"/>
          <w:lang w:eastAsia="fr-FR"/>
        </w:rPr>
        <w:t>, sur l’hypothèse de prix et sur l’hypothèse de quantités</w:t>
      </w:r>
      <w:r w:rsidR="008516D6">
        <w:rPr>
          <w:rFonts w:ascii="Segoe UI" w:eastAsia="Times New Roman" w:hAnsi="Segoe UI" w:cs="Segoe UI"/>
          <w:sz w:val="23"/>
          <w:szCs w:val="23"/>
          <w:lang w:eastAsia="fr-FR"/>
        </w:rPr>
        <w:t xml:space="preserve">. Ainsi, les 9 premiers mois du budget 2023-2024 ont vu 79% du revenu pétrolier annuel prévu effectivement réalisé, malgré un volume de production en-dessous des prévisions. </w:t>
      </w:r>
      <w:r w:rsidR="00B30A87" w:rsidRPr="00B30A87">
        <w:rPr>
          <w:rFonts w:ascii="Segoe UI" w:eastAsia="Times New Roman" w:hAnsi="Segoe UI" w:cs="Segoe UI"/>
          <w:b/>
          <w:bCs/>
          <w:sz w:val="23"/>
          <w:szCs w:val="23"/>
          <w:lang w:eastAsia="fr-FR"/>
        </w:rPr>
        <w:t xml:space="preserve">Le revenu hors pétrole est lui projeté en augmentation de </w:t>
      </w:r>
      <w:r w:rsidR="00B30A87">
        <w:rPr>
          <w:rFonts w:ascii="Segoe UI" w:eastAsia="Times New Roman" w:hAnsi="Segoe UI" w:cs="Segoe UI"/>
          <w:b/>
          <w:bCs/>
          <w:sz w:val="23"/>
          <w:szCs w:val="23"/>
          <w:lang w:eastAsia="fr-FR"/>
        </w:rPr>
        <w:t>5,7%</w:t>
      </w:r>
      <w:r w:rsidR="008516D6">
        <w:rPr>
          <w:rFonts w:ascii="Segoe UI" w:eastAsia="Times New Roman" w:hAnsi="Segoe UI" w:cs="Segoe UI"/>
          <w:b/>
          <w:bCs/>
          <w:sz w:val="23"/>
          <w:szCs w:val="23"/>
          <w:lang w:eastAsia="fr-FR"/>
        </w:rPr>
        <w:t xml:space="preserve"> par rapport au budget précédent</w:t>
      </w:r>
      <w:r w:rsidR="00B30A87">
        <w:rPr>
          <w:rFonts w:ascii="Segoe UI" w:eastAsia="Times New Roman" w:hAnsi="Segoe UI" w:cs="Segoe UI"/>
          <w:b/>
          <w:bCs/>
          <w:sz w:val="23"/>
          <w:szCs w:val="23"/>
          <w:lang w:eastAsia="fr-FR"/>
        </w:rPr>
        <w:t xml:space="preserve">. </w:t>
      </w:r>
      <w:r w:rsidR="002B2162">
        <w:rPr>
          <w:rFonts w:ascii="Segoe UI" w:eastAsia="Times New Roman" w:hAnsi="Segoe UI" w:cs="Segoe UI"/>
          <w:b/>
          <w:bCs/>
          <w:sz w:val="23"/>
          <w:szCs w:val="23"/>
          <w:lang w:eastAsia="fr-FR"/>
        </w:rPr>
        <w:t xml:space="preserve">Le prix d’équilibre budgétaire du baril ressort à </w:t>
      </w:r>
      <w:r w:rsidR="00CC4492" w:rsidRPr="00CC4492">
        <w:rPr>
          <w:rFonts w:ascii="Segoe UI" w:eastAsia="Times New Roman" w:hAnsi="Segoe UI" w:cs="Segoe UI"/>
          <w:b/>
          <w:bCs/>
          <w:sz w:val="23"/>
          <w:szCs w:val="23"/>
          <w:lang w:eastAsia="fr-FR"/>
        </w:rPr>
        <w:t>90,7 USD</w:t>
      </w:r>
      <w:r w:rsidR="002B2162">
        <w:rPr>
          <w:rFonts w:ascii="Segoe UI" w:eastAsia="Times New Roman" w:hAnsi="Segoe UI" w:cs="Segoe UI"/>
          <w:b/>
          <w:bCs/>
          <w:sz w:val="23"/>
          <w:szCs w:val="23"/>
          <w:lang w:eastAsia="fr-FR"/>
        </w:rPr>
        <w:t xml:space="preserve">, soit un cours voisin du prix constaté </w:t>
      </w:r>
      <w:r w:rsidR="00550C73">
        <w:rPr>
          <w:rFonts w:ascii="Segoe UI" w:eastAsia="Times New Roman" w:hAnsi="Segoe UI" w:cs="Segoe UI"/>
          <w:b/>
          <w:bCs/>
          <w:sz w:val="23"/>
          <w:szCs w:val="23"/>
          <w:lang w:eastAsia="fr-FR"/>
        </w:rPr>
        <w:t xml:space="preserve">à date </w:t>
      </w:r>
      <w:r w:rsidR="002B2162">
        <w:rPr>
          <w:rFonts w:ascii="Segoe UI" w:eastAsia="Times New Roman" w:hAnsi="Segoe UI" w:cs="Segoe UI"/>
          <w:b/>
          <w:bCs/>
          <w:sz w:val="23"/>
          <w:szCs w:val="23"/>
          <w:lang w:eastAsia="fr-FR"/>
        </w:rPr>
        <w:t>pour le brent (85/87 USD).</w:t>
      </w:r>
    </w:p>
    <w:p w14:paraId="739E86B3" w14:textId="23A26FEC" w:rsidR="002F3755" w:rsidRDefault="002F3755" w:rsidP="008C4809">
      <w:pPr>
        <w:jc w:val="both"/>
        <w:rPr>
          <w:rFonts w:ascii="Segoe UI" w:eastAsia="Times New Roman" w:hAnsi="Segoe UI" w:cs="Segoe UI"/>
          <w:b/>
          <w:bCs/>
          <w:sz w:val="23"/>
          <w:szCs w:val="23"/>
          <w:lang w:eastAsia="fr-FR"/>
        </w:rPr>
      </w:pPr>
    </w:p>
    <w:p w14:paraId="29AC83FB" w14:textId="5A500674" w:rsidR="002F3755" w:rsidRDefault="002F3755" w:rsidP="008C4809">
      <w:pPr>
        <w:jc w:val="both"/>
        <w:rPr>
          <w:rFonts w:ascii="Segoe UI" w:eastAsia="Times New Roman" w:hAnsi="Segoe UI" w:cs="Segoe UI"/>
          <w:b/>
          <w:bCs/>
          <w:sz w:val="23"/>
          <w:szCs w:val="23"/>
          <w:lang w:eastAsia="fr-FR"/>
        </w:rPr>
      </w:pPr>
    </w:p>
    <w:p w14:paraId="4B147AEA" w14:textId="6BBC36A0" w:rsidR="002F3755" w:rsidRDefault="002F3755" w:rsidP="008C4809">
      <w:pPr>
        <w:jc w:val="both"/>
        <w:rPr>
          <w:rFonts w:ascii="Segoe UI" w:eastAsia="Times New Roman" w:hAnsi="Segoe UI" w:cs="Segoe UI"/>
          <w:b/>
          <w:bCs/>
          <w:sz w:val="23"/>
          <w:szCs w:val="23"/>
          <w:lang w:eastAsia="fr-FR"/>
        </w:rPr>
      </w:pPr>
    </w:p>
    <w:p w14:paraId="3BF24D38" w14:textId="59893B3A" w:rsidR="002F3755" w:rsidRDefault="002F3755" w:rsidP="008C4809">
      <w:pPr>
        <w:jc w:val="both"/>
        <w:rPr>
          <w:rFonts w:ascii="Segoe UI" w:eastAsia="Times New Roman" w:hAnsi="Segoe UI" w:cs="Segoe UI"/>
          <w:b/>
          <w:bCs/>
          <w:sz w:val="23"/>
          <w:szCs w:val="23"/>
          <w:lang w:eastAsia="fr-FR"/>
        </w:rPr>
      </w:pPr>
    </w:p>
    <w:p w14:paraId="00B210C4" w14:textId="77777777" w:rsidR="002F3755" w:rsidRDefault="002F3755" w:rsidP="008C4809">
      <w:pPr>
        <w:jc w:val="both"/>
        <w:rPr>
          <w:rFonts w:ascii="Segoe UI" w:eastAsia="Times New Roman" w:hAnsi="Segoe UI" w:cs="Segoe UI"/>
          <w:b/>
          <w:bCs/>
          <w:sz w:val="23"/>
          <w:szCs w:val="23"/>
          <w:lang w:eastAsia="fr-FR"/>
        </w:rPr>
      </w:pPr>
    </w:p>
    <w:p w14:paraId="7426B027" w14:textId="28ADF96A" w:rsidR="008978C8" w:rsidRDefault="0053267A" w:rsidP="002D6062">
      <w:pPr>
        <w:jc w:val="center"/>
        <w:rPr>
          <w:rFonts w:ascii="Segoe UI" w:eastAsia="Times New Roman" w:hAnsi="Segoe UI" w:cs="Segoe UI"/>
          <w:b/>
          <w:bCs/>
          <w:sz w:val="23"/>
          <w:szCs w:val="23"/>
          <w:lang w:eastAsia="fr-FR"/>
        </w:rPr>
      </w:pPr>
      <w:r>
        <w:rPr>
          <w:rFonts w:ascii="Segoe UI" w:eastAsia="Times New Roman" w:hAnsi="Segoe UI" w:cs="Segoe UI"/>
          <w:b/>
          <w:bCs/>
          <w:sz w:val="23"/>
          <w:szCs w:val="23"/>
          <w:lang w:eastAsia="fr-FR"/>
        </w:rPr>
        <w:t>Annexe 1 : Evolution du solde budgétaire</w:t>
      </w:r>
    </w:p>
    <w:p w14:paraId="627F922C" w14:textId="509F13AC" w:rsidR="0053267A" w:rsidRDefault="004C6B71" w:rsidP="004C6B71">
      <w:pPr>
        <w:rPr>
          <w:rFonts w:ascii="Segoe UI" w:eastAsia="Times New Roman" w:hAnsi="Segoe UI" w:cs="Segoe UI"/>
          <w:b/>
          <w:bCs/>
          <w:sz w:val="23"/>
          <w:szCs w:val="23"/>
          <w:lang w:eastAsia="fr-FR"/>
        </w:rPr>
      </w:pPr>
      <w:r>
        <w:rPr>
          <w:rFonts w:ascii="Segoe UI" w:eastAsia="Times New Roman" w:hAnsi="Segoe UI" w:cs="Segoe UI"/>
          <w:b/>
          <w:bCs/>
          <w:noProof/>
          <w:sz w:val="23"/>
          <w:szCs w:val="23"/>
          <w:lang w:eastAsia="fr-FR"/>
        </w:rPr>
        <w:drawing>
          <wp:inline distT="0" distB="0" distL="0" distR="0" wp14:anchorId="1399A561" wp14:editId="46269140">
            <wp:extent cx="5925820" cy="3426460"/>
            <wp:effectExtent l="0" t="0" r="0" b="254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5820" cy="3426460"/>
                    </a:xfrm>
                    <a:prstGeom prst="rect">
                      <a:avLst/>
                    </a:prstGeom>
                    <a:noFill/>
                  </pic:spPr>
                </pic:pic>
              </a:graphicData>
            </a:graphic>
          </wp:inline>
        </w:drawing>
      </w:r>
    </w:p>
    <w:p w14:paraId="7CEC7825" w14:textId="21E7A922" w:rsidR="00152F10" w:rsidRDefault="00152F10" w:rsidP="008C4809">
      <w:pPr>
        <w:jc w:val="both"/>
        <w:rPr>
          <w:rFonts w:ascii="Segoe UI" w:eastAsia="Times New Roman" w:hAnsi="Segoe UI" w:cs="Segoe UI"/>
          <w:b/>
          <w:bCs/>
          <w:sz w:val="23"/>
          <w:szCs w:val="23"/>
          <w:lang w:eastAsia="fr-FR"/>
        </w:rPr>
      </w:pPr>
    </w:p>
    <w:p w14:paraId="4F503DDE" w14:textId="77777777" w:rsidR="004C6B71" w:rsidRDefault="004C6B71" w:rsidP="008C4809">
      <w:pPr>
        <w:jc w:val="both"/>
        <w:rPr>
          <w:rFonts w:ascii="Segoe UI" w:eastAsia="Times New Roman" w:hAnsi="Segoe UI" w:cs="Segoe UI"/>
          <w:b/>
          <w:bCs/>
          <w:sz w:val="23"/>
          <w:szCs w:val="23"/>
          <w:lang w:eastAsia="fr-FR"/>
        </w:rPr>
      </w:pPr>
    </w:p>
    <w:p w14:paraId="3A4560C4" w14:textId="354615ED" w:rsidR="00E51433" w:rsidRDefault="00E51433" w:rsidP="002D6062">
      <w:pPr>
        <w:jc w:val="center"/>
        <w:rPr>
          <w:rFonts w:ascii="Segoe UI" w:eastAsia="Times New Roman" w:hAnsi="Segoe UI" w:cs="Segoe UI"/>
          <w:b/>
          <w:bCs/>
          <w:sz w:val="23"/>
          <w:szCs w:val="23"/>
          <w:lang w:eastAsia="fr-FR"/>
        </w:rPr>
      </w:pPr>
      <w:r>
        <w:rPr>
          <w:rFonts w:ascii="Segoe UI" w:eastAsia="Times New Roman" w:hAnsi="Segoe UI" w:cs="Segoe UI"/>
          <w:b/>
          <w:bCs/>
          <w:sz w:val="23"/>
          <w:szCs w:val="23"/>
          <w:lang w:eastAsia="fr-FR"/>
        </w:rPr>
        <w:t xml:space="preserve">Annexe </w:t>
      </w:r>
      <w:r w:rsidR="0053267A">
        <w:rPr>
          <w:rFonts w:ascii="Segoe UI" w:eastAsia="Times New Roman" w:hAnsi="Segoe UI" w:cs="Segoe UI"/>
          <w:b/>
          <w:bCs/>
          <w:sz w:val="23"/>
          <w:szCs w:val="23"/>
          <w:lang w:eastAsia="fr-FR"/>
        </w:rPr>
        <w:t>2</w:t>
      </w:r>
      <w:r>
        <w:rPr>
          <w:rFonts w:ascii="Segoe UI" w:eastAsia="Times New Roman" w:hAnsi="Segoe UI" w:cs="Segoe UI"/>
          <w:b/>
          <w:bCs/>
          <w:sz w:val="23"/>
          <w:szCs w:val="23"/>
          <w:lang w:eastAsia="fr-FR"/>
        </w:rPr>
        <w:t> : Répartition des dépenses</w:t>
      </w:r>
    </w:p>
    <w:p w14:paraId="27905979" w14:textId="217F2EF2" w:rsidR="00240F52" w:rsidRPr="00B50782" w:rsidRDefault="00E51433" w:rsidP="002D6062">
      <w:pPr>
        <w:jc w:val="center"/>
        <w:rPr>
          <w:rFonts w:ascii="Segoe UI" w:eastAsia="Times New Roman" w:hAnsi="Segoe UI" w:cs="Segoe UI"/>
          <w:sz w:val="23"/>
          <w:szCs w:val="23"/>
          <w:lang w:eastAsia="fr-FR"/>
        </w:rPr>
      </w:pPr>
      <w:r>
        <w:rPr>
          <w:noProof/>
        </w:rPr>
        <w:drawing>
          <wp:inline distT="0" distB="0" distL="0" distR="0" wp14:anchorId="5D1F540C" wp14:editId="035DB4A0">
            <wp:extent cx="4572000" cy="2743200"/>
            <wp:effectExtent l="0" t="0" r="0" b="0"/>
            <wp:docPr id="1" name="Graphique 1">
              <a:extLst xmlns:a="http://schemas.openxmlformats.org/drawingml/2006/main">
                <a:ext uri="{FF2B5EF4-FFF2-40B4-BE49-F238E27FC236}">
                  <a16:creationId xmlns:a16="http://schemas.microsoft.com/office/drawing/2014/main" id="{8CDB28A4-ABA3-4839-8577-D47E852133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sectPr w:rsidR="00240F52" w:rsidRPr="00B50782" w:rsidSect="004432FE">
      <w:headerReference w:type="default"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0B6B1" w14:textId="77777777" w:rsidR="002A5CBF" w:rsidRDefault="002A5CBF" w:rsidP="004432FE">
      <w:pPr>
        <w:spacing w:after="0" w:line="240" w:lineRule="auto"/>
      </w:pPr>
      <w:r>
        <w:separator/>
      </w:r>
    </w:p>
  </w:endnote>
  <w:endnote w:type="continuationSeparator" w:id="0">
    <w:p w14:paraId="53CA9F69" w14:textId="77777777" w:rsidR="002A5CBF" w:rsidRDefault="002A5CBF" w:rsidP="0044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8277298"/>
      <w:docPartObj>
        <w:docPartGallery w:val="Page Numbers (Bottom of Page)"/>
        <w:docPartUnique/>
      </w:docPartObj>
    </w:sdtPr>
    <w:sdtEndPr/>
    <w:sdtContent>
      <w:p w14:paraId="7122F109" w14:textId="77777777" w:rsidR="00F025C1" w:rsidRDefault="00F025C1">
        <w:pPr>
          <w:pStyle w:val="Pieddepage"/>
          <w:jc w:val="right"/>
        </w:pPr>
        <w:r>
          <w:fldChar w:fldCharType="begin"/>
        </w:r>
        <w:r>
          <w:instrText>PAGE   \* MERGEFORMAT</w:instrText>
        </w:r>
        <w:r>
          <w:fldChar w:fldCharType="separate"/>
        </w:r>
        <w:r w:rsidR="00D742F8">
          <w:rPr>
            <w:noProof/>
          </w:rPr>
          <w:t>7</w:t>
        </w:r>
        <w:r>
          <w:fldChar w:fldCharType="end"/>
        </w:r>
      </w:p>
    </w:sdtContent>
  </w:sdt>
  <w:p w14:paraId="6485E13A" w14:textId="77777777" w:rsidR="004432FE" w:rsidRDefault="004432F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A59A" w14:textId="77777777" w:rsidR="00ED108C" w:rsidRDefault="00ED108C" w:rsidP="007E6B29">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F1DB6" w14:textId="77777777" w:rsidR="002A5CBF" w:rsidRDefault="002A5CBF" w:rsidP="004432FE">
      <w:pPr>
        <w:spacing w:after="0" w:line="240" w:lineRule="auto"/>
      </w:pPr>
      <w:r>
        <w:separator/>
      </w:r>
    </w:p>
  </w:footnote>
  <w:footnote w:type="continuationSeparator" w:id="0">
    <w:p w14:paraId="582DE3AB" w14:textId="77777777" w:rsidR="002A5CBF" w:rsidRDefault="002A5CBF" w:rsidP="004432FE">
      <w:pPr>
        <w:spacing w:after="0" w:line="240" w:lineRule="auto"/>
      </w:pPr>
      <w:r>
        <w:continuationSeparator/>
      </w:r>
    </w:p>
  </w:footnote>
  <w:footnote w:id="1">
    <w:p w14:paraId="643B7231" w14:textId="023F482D" w:rsidR="00841292" w:rsidRPr="002D6062" w:rsidRDefault="00841292">
      <w:pPr>
        <w:pStyle w:val="Notedebasdepage"/>
        <w:rPr>
          <w:lang w:val="en-GB"/>
        </w:rPr>
      </w:pPr>
      <w:r>
        <w:rPr>
          <w:rStyle w:val="Appelnotedebasdep"/>
        </w:rPr>
        <w:footnoteRef/>
      </w:r>
      <w:r w:rsidRPr="002D6062">
        <w:rPr>
          <w:lang w:val="en-GB"/>
        </w:rPr>
        <w:t xml:space="preserve"> </w:t>
      </w:r>
      <w:r w:rsidRPr="00AE3280">
        <w:rPr>
          <w:lang w:val="en-GB"/>
        </w:rPr>
        <w:t>Kuwait: FY24/25 draft budget sees lower spending, but another large deficit</w:t>
      </w:r>
      <w:r>
        <w:rPr>
          <w:lang w:val="en-GB"/>
        </w:rPr>
        <w:t>, NBK, March 4</w:t>
      </w:r>
      <w:r w:rsidRPr="00AE3280">
        <w:rPr>
          <w:vertAlign w:val="superscript"/>
          <w:lang w:val="en-GB"/>
        </w:rPr>
        <w:t>th</w:t>
      </w:r>
      <w:r>
        <w:rPr>
          <w:lang w:val="en-GB"/>
        </w:rPr>
        <w:t xml:space="preserve"> 2024</w:t>
      </w:r>
    </w:p>
  </w:footnote>
  <w:footnote w:id="2">
    <w:p w14:paraId="198FE860" w14:textId="5520EB13" w:rsidR="000D24C9" w:rsidRPr="002D6062" w:rsidRDefault="000D24C9" w:rsidP="000D24C9">
      <w:pPr>
        <w:pStyle w:val="Notedebasdepage"/>
        <w:rPr>
          <w:lang w:val="en-GB"/>
        </w:rPr>
      </w:pPr>
      <w:r>
        <w:rPr>
          <w:rStyle w:val="Appelnotedebasdep"/>
        </w:rPr>
        <w:footnoteRef/>
      </w:r>
      <w:r w:rsidR="00841292">
        <w:rPr>
          <w:lang w:val="en-GB"/>
        </w:rPr>
        <w:t xml:space="preserve"> Idem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5421B" w14:textId="77777777" w:rsidR="004432FE" w:rsidRDefault="004432FE" w:rsidP="004432FE">
    <w:pPr>
      <w:pStyle w:val="En-tte"/>
    </w:pPr>
  </w:p>
  <w:p w14:paraId="17B6081D" w14:textId="77777777" w:rsidR="004432FE" w:rsidRDefault="004432FE" w:rsidP="004432FE">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6C267" w14:textId="77777777" w:rsidR="00AF3E63" w:rsidRDefault="00AF3E63" w:rsidP="00AF3E63">
    <w:pPr>
      <w:pStyle w:val="Intituldirection"/>
      <w:rPr>
        <w:lang w:val="fr-FR"/>
      </w:rPr>
    </w:pPr>
  </w:p>
  <w:p w14:paraId="11FCBFAA" w14:textId="77777777" w:rsidR="00AF3E63" w:rsidRDefault="00AF3E63" w:rsidP="00AF3E63">
    <w:pPr>
      <w:pStyle w:val="Intituldirection"/>
      <w:rPr>
        <w:lang w:val="fr-FR"/>
      </w:rPr>
    </w:pPr>
  </w:p>
  <w:p w14:paraId="285192DC" w14:textId="77777777" w:rsidR="00AF3E63" w:rsidRPr="003D4054" w:rsidRDefault="00AF3E63" w:rsidP="00AF3E63">
    <w:pPr>
      <w:pStyle w:val="Intituldirection"/>
      <w:rPr>
        <w:lang w:val="fr-FR"/>
      </w:rPr>
    </w:pPr>
    <w:r>
      <w:rPr>
        <w:b w:val="0"/>
        <w:bCs w:val="0"/>
        <w:noProof/>
        <w:lang w:val="fr-FR" w:eastAsia="fr-FR"/>
      </w:rPr>
      <w:drawing>
        <wp:anchor distT="0" distB="0" distL="114300" distR="114300" simplePos="0" relativeHeight="251673600" behindDoc="0" locked="0" layoutInCell="1" allowOverlap="1" wp14:anchorId="2DD4FE6B" wp14:editId="5F312590">
          <wp:simplePos x="0" y="0"/>
          <wp:positionH relativeFrom="margin">
            <wp:align>left</wp:align>
          </wp:positionH>
          <wp:positionV relativeFrom="page">
            <wp:posOffset>460303</wp:posOffset>
          </wp:positionV>
          <wp:extent cx="1426829" cy="1142665"/>
          <wp:effectExtent l="0" t="0" r="2540" b="63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_Economie_Finances_Relance_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29" cy="1142665"/>
                  </a:xfrm>
                  <a:prstGeom prst="rect">
                    <a:avLst/>
                  </a:prstGeom>
                </pic:spPr>
              </pic:pic>
            </a:graphicData>
          </a:graphic>
          <wp14:sizeRelH relativeFrom="margin">
            <wp14:pctWidth>0</wp14:pctWidth>
          </wp14:sizeRelH>
          <wp14:sizeRelV relativeFrom="margin">
            <wp14:pctHeight>0</wp14:pctHeight>
          </wp14:sizeRelV>
        </wp:anchor>
      </w:drawing>
    </w:r>
    <w:r>
      <w:rPr>
        <w:lang w:val="fr-FR"/>
      </w:rPr>
      <w:t>Direction générale du Trésor</w:t>
    </w:r>
  </w:p>
  <w:p w14:paraId="5C7BBAF1" w14:textId="77777777" w:rsidR="00AF3E63" w:rsidRDefault="00AF3E63">
    <w:pPr>
      <w:pStyle w:val="En-tte"/>
    </w:pPr>
  </w:p>
  <w:p w14:paraId="11BF9229" w14:textId="77777777" w:rsidR="004432FE" w:rsidRDefault="004432FE" w:rsidP="007F3CB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067A"/>
    <w:multiLevelType w:val="hybridMultilevel"/>
    <w:tmpl w:val="78F24274"/>
    <w:lvl w:ilvl="0" w:tplc="65D87EEA">
      <w:start w:val="1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8629A7"/>
    <w:multiLevelType w:val="hybridMultilevel"/>
    <w:tmpl w:val="7C4CD8E0"/>
    <w:lvl w:ilvl="0" w:tplc="0AF268F8">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F600AE"/>
    <w:multiLevelType w:val="hybridMultilevel"/>
    <w:tmpl w:val="7E48EF44"/>
    <w:lvl w:ilvl="0" w:tplc="7D9A04D6">
      <w:start w:val="1"/>
      <w:numFmt w:val="bullet"/>
      <w:lvlText w:val=""/>
      <w:lvlJc w:val="left"/>
      <w:pPr>
        <w:ind w:left="720" w:hanging="360"/>
      </w:pPr>
      <w:rPr>
        <w:rFonts w:ascii="Wingdings" w:hAnsi="Wingdings" w:hint="default"/>
        <w:color w:val="006CE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8F7275"/>
    <w:multiLevelType w:val="hybridMultilevel"/>
    <w:tmpl w:val="4EF8D602"/>
    <w:lvl w:ilvl="0" w:tplc="7D9A04D6">
      <w:start w:val="1"/>
      <w:numFmt w:val="bullet"/>
      <w:lvlText w:val=""/>
      <w:lvlJc w:val="left"/>
      <w:pPr>
        <w:ind w:left="720" w:hanging="360"/>
      </w:pPr>
      <w:rPr>
        <w:rFonts w:ascii="Wingdings" w:hAnsi="Wingdings" w:hint="default"/>
        <w:color w:val="006CE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105190"/>
    <w:multiLevelType w:val="hybridMultilevel"/>
    <w:tmpl w:val="AB8CAE94"/>
    <w:lvl w:ilvl="0" w:tplc="EB4C8A7E">
      <w:numFmt w:val="bullet"/>
      <w:lvlText w:val="-"/>
      <w:lvlJc w:val="left"/>
      <w:pPr>
        <w:ind w:left="720" w:hanging="360"/>
      </w:pPr>
      <w:rPr>
        <w:rFonts w:ascii="Segoe UI" w:eastAsia="Times New Roman"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A2C242D"/>
    <w:multiLevelType w:val="hybridMultilevel"/>
    <w:tmpl w:val="A0124D6A"/>
    <w:lvl w:ilvl="0" w:tplc="77DE1AE2">
      <w:numFmt w:val="bullet"/>
      <w:lvlText w:val="-"/>
      <w:lvlJc w:val="left"/>
      <w:pPr>
        <w:ind w:left="720" w:hanging="360"/>
      </w:pPr>
      <w:rPr>
        <w:rFonts w:ascii="Segoe UI" w:eastAsia="Times New Roman"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E3D19B3"/>
    <w:multiLevelType w:val="hybridMultilevel"/>
    <w:tmpl w:val="692404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21F79ED"/>
    <w:multiLevelType w:val="hybridMultilevel"/>
    <w:tmpl w:val="9D96E91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659E2B0A"/>
    <w:multiLevelType w:val="hybridMultilevel"/>
    <w:tmpl w:val="EE14FBD8"/>
    <w:lvl w:ilvl="0" w:tplc="4D46FE36">
      <w:start w:val="3"/>
      <w:numFmt w:val="bullet"/>
      <w:lvlText w:val=""/>
      <w:lvlJc w:val="left"/>
      <w:pPr>
        <w:ind w:left="720" w:hanging="360"/>
      </w:pPr>
      <w:rPr>
        <w:rFonts w:ascii="Wingdings" w:eastAsiaTheme="minorHAnsi" w:hAnsi="Wingdings"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8"/>
  </w:num>
  <w:num w:numId="6">
    <w:abstractNumId w:val="9"/>
  </w:num>
  <w:num w:numId="7">
    <w:abstractNumId w:val="1"/>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2FE"/>
    <w:rsid w:val="00003B44"/>
    <w:rsid w:val="00004600"/>
    <w:rsid w:val="00005492"/>
    <w:rsid w:val="00011DF8"/>
    <w:rsid w:val="00013928"/>
    <w:rsid w:val="00021A82"/>
    <w:rsid w:val="0002471B"/>
    <w:rsid w:val="00030B1C"/>
    <w:rsid w:val="00031415"/>
    <w:rsid w:val="0003467F"/>
    <w:rsid w:val="00044702"/>
    <w:rsid w:val="00044E73"/>
    <w:rsid w:val="000507F2"/>
    <w:rsid w:val="000509BD"/>
    <w:rsid w:val="000513AE"/>
    <w:rsid w:val="000517E8"/>
    <w:rsid w:val="0007154F"/>
    <w:rsid w:val="000719EF"/>
    <w:rsid w:val="00072826"/>
    <w:rsid w:val="000803D3"/>
    <w:rsid w:val="000804EF"/>
    <w:rsid w:val="000851A3"/>
    <w:rsid w:val="00091253"/>
    <w:rsid w:val="00091B4F"/>
    <w:rsid w:val="00093BFB"/>
    <w:rsid w:val="000942E0"/>
    <w:rsid w:val="000A12E9"/>
    <w:rsid w:val="000A14CD"/>
    <w:rsid w:val="000A16A8"/>
    <w:rsid w:val="000A2747"/>
    <w:rsid w:val="000A282E"/>
    <w:rsid w:val="000C2BFA"/>
    <w:rsid w:val="000C3741"/>
    <w:rsid w:val="000C38A1"/>
    <w:rsid w:val="000D0766"/>
    <w:rsid w:val="000D1249"/>
    <w:rsid w:val="000D24C9"/>
    <w:rsid w:val="000D4A2B"/>
    <w:rsid w:val="000D7066"/>
    <w:rsid w:val="000E0358"/>
    <w:rsid w:val="000E150B"/>
    <w:rsid w:val="000F0C0A"/>
    <w:rsid w:val="000F4464"/>
    <w:rsid w:val="000F4731"/>
    <w:rsid w:val="000F78DF"/>
    <w:rsid w:val="001038CF"/>
    <w:rsid w:val="001100C8"/>
    <w:rsid w:val="001124D7"/>
    <w:rsid w:val="001130F2"/>
    <w:rsid w:val="00117549"/>
    <w:rsid w:val="00123912"/>
    <w:rsid w:val="00123B0C"/>
    <w:rsid w:val="00126A87"/>
    <w:rsid w:val="001308DE"/>
    <w:rsid w:val="00137E39"/>
    <w:rsid w:val="00140514"/>
    <w:rsid w:val="00140A68"/>
    <w:rsid w:val="00143431"/>
    <w:rsid w:val="0015266E"/>
    <w:rsid w:val="00152F10"/>
    <w:rsid w:val="00153F63"/>
    <w:rsid w:val="0015475C"/>
    <w:rsid w:val="0015590C"/>
    <w:rsid w:val="0016026F"/>
    <w:rsid w:val="00161F15"/>
    <w:rsid w:val="00163E41"/>
    <w:rsid w:val="00164EB2"/>
    <w:rsid w:val="00165FE3"/>
    <w:rsid w:val="0017331C"/>
    <w:rsid w:val="00174EC5"/>
    <w:rsid w:val="0018135A"/>
    <w:rsid w:val="00181D55"/>
    <w:rsid w:val="001834CE"/>
    <w:rsid w:val="00184A20"/>
    <w:rsid w:val="0018615B"/>
    <w:rsid w:val="001912E8"/>
    <w:rsid w:val="001929DF"/>
    <w:rsid w:val="00193BCF"/>
    <w:rsid w:val="00196C2C"/>
    <w:rsid w:val="00196F77"/>
    <w:rsid w:val="001B1DCC"/>
    <w:rsid w:val="001B2A89"/>
    <w:rsid w:val="001B490F"/>
    <w:rsid w:val="001B68D3"/>
    <w:rsid w:val="001C2824"/>
    <w:rsid w:val="001C37D2"/>
    <w:rsid w:val="001C471F"/>
    <w:rsid w:val="001C7446"/>
    <w:rsid w:val="001C7FFE"/>
    <w:rsid w:val="001D1801"/>
    <w:rsid w:val="001D466A"/>
    <w:rsid w:val="001D6B08"/>
    <w:rsid w:val="001D7FE6"/>
    <w:rsid w:val="001E4B79"/>
    <w:rsid w:val="001E5983"/>
    <w:rsid w:val="001E6235"/>
    <w:rsid w:val="001E7029"/>
    <w:rsid w:val="001F0678"/>
    <w:rsid w:val="001F4958"/>
    <w:rsid w:val="001F4FEA"/>
    <w:rsid w:val="001F5AD6"/>
    <w:rsid w:val="00202CBF"/>
    <w:rsid w:val="002118D5"/>
    <w:rsid w:val="0021305A"/>
    <w:rsid w:val="00225A16"/>
    <w:rsid w:val="00225DB7"/>
    <w:rsid w:val="00226C4F"/>
    <w:rsid w:val="00226F7E"/>
    <w:rsid w:val="00232B83"/>
    <w:rsid w:val="00233A6A"/>
    <w:rsid w:val="00234993"/>
    <w:rsid w:val="002372F7"/>
    <w:rsid w:val="0023773E"/>
    <w:rsid w:val="00240F52"/>
    <w:rsid w:val="002469C7"/>
    <w:rsid w:val="00253BFA"/>
    <w:rsid w:val="00254F13"/>
    <w:rsid w:val="00256889"/>
    <w:rsid w:val="00257917"/>
    <w:rsid w:val="00257D76"/>
    <w:rsid w:val="002608E3"/>
    <w:rsid w:val="0027034C"/>
    <w:rsid w:val="00282F12"/>
    <w:rsid w:val="00287874"/>
    <w:rsid w:val="002910DB"/>
    <w:rsid w:val="002A1C78"/>
    <w:rsid w:val="002A354C"/>
    <w:rsid w:val="002A5ACB"/>
    <w:rsid w:val="002A5CBF"/>
    <w:rsid w:val="002A666E"/>
    <w:rsid w:val="002A7847"/>
    <w:rsid w:val="002B1026"/>
    <w:rsid w:val="002B2162"/>
    <w:rsid w:val="002B2D95"/>
    <w:rsid w:val="002C0A31"/>
    <w:rsid w:val="002C6CE0"/>
    <w:rsid w:val="002D0185"/>
    <w:rsid w:val="002D084F"/>
    <w:rsid w:val="002D18C9"/>
    <w:rsid w:val="002D31C9"/>
    <w:rsid w:val="002D6062"/>
    <w:rsid w:val="002E17A8"/>
    <w:rsid w:val="002E3BE4"/>
    <w:rsid w:val="002E7AD2"/>
    <w:rsid w:val="002E7B7D"/>
    <w:rsid w:val="002F0AFE"/>
    <w:rsid w:val="002F1588"/>
    <w:rsid w:val="002F1ECD"/>
    <w:rsid w:val="002F3755"/>
    <w:rsid w:val="002F544E"/>
    <w:rsid w:val="003143AC"/>
    <w:rsid w:val="00314E65"/>
    <w:rsid w:val="00320ED6"/>
    <w:rsid w:val="0032335E"/>
    <w:rsid w:val="00326ED3"/>
    <w:rsid w:val="00330353"/>
    <w:rsid w:val="003316C3"/>
    <w:rsid w:val="003459E1"/>
    <w:rsid w:val="0034606B"/>
    <w:rsid w:val="00347DDE"/>
    <w:rsid w:val="0035086C"/>
    <w:rsid w:val="00350DFB"/>
    <w:rsid w:val="003545E8"/>
    <w:rsid w:val="00355C81"/>
    <w:rsid w:val="00361153"/>
    <w:rsid w:val="003612C3"/>
    <w:rsid w:val="00362096"/>
    <w:rsid w:val="003633E3"/>
    <w:rsid w:val="00363F1B"/>
    <w:rsid w:val="003640B7"/>
    <w:rsid w:val="003728C0"/>
    <w:rsid w:val="00373302"/>
    <w:rsid w:val="003773E7"/>
    <w:rsid w:val="0038083E"/>
    <w:rsid w:val="00382580"/>
    <w:rsid w:val="00387A2D"/>
    <w:rsid w:val="00396549"/>
    <w:rsid w:val="00396894"/>
    <w:rsid w:val="003A13EB"/>
    <w:rsid w:val="003A7CF0"/>
    <w:rsid w:val="003B016F"/>
    <w:rsid w:val="003B35AE"/>
    <w:rsid w:val="003B4250"/>
    <w:rsid w:val="003B49B8"/>
    <w:rsid w:val="003B52B5"/>
    <w:rsid w:val="003B67EE"/>
    <w:rsid w:val="003B7DCB"/>
    <w:rsid w:val="003C1760"/>
    <w:rsid w:val="003C2EBE"/>
    <w:rsid w:val="003C71F5"/>
    <w:rsid w:val="003E3FAE"/>
    <w:rsid w:val="003F0DE5"/>
    <w:rsid w:val="003F38CF"/>
    <w:rsid w:val="003F3A34"/>
    <w:rsid w:val="00401805"/>
    <w:rsid w:val="00415387"/>
    <w:rsid w:val="00415751"/>
    <w:rsid w:val="00427ACD"/>
    <w:rsid w:val="00434902"/>
    <w:rsid w:val="00436F64"/>
    <w:rsid w:val="00437C6A"/>
    <w:rsid w:val="0044125D"/>
    <w:rsid w:val="004432FE"/>
    <w:rsid w:val="004471B5"/>
    <w:rsid w:val="00450E0B"/>
    <w:rsid w:val="00451F44"/>
    <w:rsid w:val="00453809"/>
    <w:rsid w:val="004551BB"/>
    <w:rsid w:val="0046038D"/>
    <w:rsid w:val="00466153"/>
    <w:rsid w:val="00466567"/>
    <w:rsid w:val="00466BB0"/>
    <w:rsid w:val="0047272C"/>
    <w:rsid w:val="004745BE"/>
    <w:rsid w:val="00480C63"/>
    <w:rsid w:val="004872A7"/>
    <w:rsid w:val="004903FD"/>
    <w:rsid w:val="00493A7D"/>
    <w:rsid w:val="0049466E"/>
    <w:rsid w:val="00496555"/>
    <w:rsid w:val="004A1AF4"/>
    <w:rsid w:val="004B06F2"/>
    <w:rsid w:val="004B623F"/>
    <w:rsid w:val="004B65C2"/>
    <w:rsid w:val="004C2816"/>
    <w:rsid w:val="004C6B71"/>
    <w:rsid w:val="004C6B86"/>
    <w:rsid w:val="004C7370"/>
    <w:rsid w:val="004C7F29"/>
    <w:rsid w:val="004D4380"/>
    <w:rsid w:val="004D4C6C"/>
    <w:rsid w:val="004E4CC8"/>
    <w:rsid w:val="004E5753"/>
    <w:rsid w:val="004E5A3E"/>
    <w:rsid w:val="004E7757"/>
    <w:rsid w:val="004F3F63"/>
    <w:rsid w:val="004F6F24"/>
    <w:rsid w:val="004F77CE"/>
    <w:rsid w:val="00500591"/>
    <w:rsid w:val="005050E3"/>
    <w:rsid w:val="00506B63"/>
    <w:rsid w:val="00510A6B"/>
    <w:rsid w:val="00512A47"/>
    <w:rsid w:val="00525FFC"/>
    <w:rsid w:val="0052612C"/>
    <w:rsid w:val="00526D5F"/>
    <w:rsid w:val="00531620"/>
    <w:rsid w:val="0053267A"/>
    <w:rsid w:val="00532F69"/>
    <w:rsid w:val="005405ED"/>
    <w:rsid w:val="00541948"/>
    <w:rsid w:val="00550C73"/>
    <w:rsid w:val="005521BA"/>
    <w:rsid w:val="00552D18"/>
    <w:rsid w:val="005579D6"/>
    <w:rsid w:val="00561594"/>
    <w:rsid w:val="0056470A"/>
    <w:rsid w:val="00565D78"/>
    <w:rsid w:val="00570600"/>
    <w:rsid w:val="0057751A"/>
    <w:rsid w:val="005809EC"/>
    <w:rsid w:val="005813A2"/>
    <w:rsid w:val="00582308"/>
    <w:rsid w:val="0058446F"/>
    <w:rsid w:val="00585571"/>
    <w:rsid w:val="00586DE3"/>
    <w:rsid w:val="00592A05"/>
    <w:rsid w:val="00593DBA"/>
    <w:rsid w:val="00594EDB"/>
    <w:rsid w:val="005A10CB"/>
    <w:rsid w:val="005A13A1"/>
    <w:rsid w:val="005A20A5"/>
    <w:rsid w:val="005A21E6"/>
    <w:rsid w:val="005A2218"/>
    <w:rsid w:val="005A359A"/>
    <w:rsid w:val="005B3028"/>
    <w:rsid w:val="005B491C"/>
    <w:rsid w:val="005B6FA5"/>
    <w:rsid w:val="005B7528"/>
    <w:rsid w:val="005B764D"/>
    <w:rsid w:val="005C0D07"/>
    <w:rsid w:val="005C5173"/>
    <w:rsid w:val="005C6587"/>
    <w:rsid w:val="005C7F46"/>
    <w:rsid w:val="005E549A"/>
    <w:rsid w:val="005E6709"/>
    <w:rsid w:val="005F2117"/>
    <w:rsid w:val="005F2183"/>
    <w:rsid w:val="005F38DA"/>
    <w:rsid w:val="005F44EA"/>
    <w:rsid w:val="005F4E92"/>
    <w:rsid w:val="005F711B"/>
    <w:rsid w:val="006008FA"/>
    <w:rsid w:val="006044E4"/>
    <w:rsid w:val="00605CB6"/>
    <w:rsid w:val="0061505C"/>
    <w:rsid w:val="0061663A"/>
    <w:rsid w:val="00616C51"/>
    <w:rsid w:val="006177AF"/>
    <w:rsid w:val="006179CD"/>
    <w:rsid w:val="00622918"/>
    <w:rsid w:val="00622BD5"/>
    <w:rsid w:val="00626331"/>
    <w:rsid w:val="00630EFF"/>
    <w:rsid w:val="006330E9"/>
    <w:rsid w:val="0064206D"/>
    <w:rsid w:val="0064423C"/>
    <w:rsid w:val="00647EC2"/>
    <w:rsid w:val="0065140F"/>
    <w:rsid w:val="00660B5B"/>
    <w:rsid w:val="00664D72"/>
    <w:rsid w:val="00666DD1"/>
    <w:rsid w:val="00672852"/>
    <w:rsid w:val="00673CAD"/>
    <w:rsid w:val="00673E77"/>
    <w:rsid w:val="0067582D"/>
    <w:rsid w:val="00675F1C"/>
    <w:rsid w:val="0067656C"/>
    <w:rsid w:val="006771FD"/>
    <w:rsid w:val="006807CE"/>
    <w:rsid w:val="00682062"/>
    <w:rsid w:val="006821D4"/>
    <w:rsid w:val="00682307"/>
    <w:rsid w:val="006839F3"/>
    <w:rsid w:val="006847AC"/>
    <w:rsid w:val="00693AB1"/>
    <w:rsid w:val="0069748A"/>
    <w:rsid w:val="006A0A90"/>
    <w:rsid w:val="006A166A"/>
    <w:rsid w:val="006A23B7"/>
    <w:rsid w:val="006A3103"/>
    <w:rsid w:val="006A6000"/>
    <w:rsid w:val="006A6814"/>
    <w:rsid w:val="006B3BB3"/>
    <w:rsid w:val="006B4735"/>
    <w:rsid w:val="006B7B61"/>
    <w:rsid w:val="006C062C"/>
    <w:rsid w:val="006C2861"/>
    <w:rsid w:val="006C54CD"/>
    <w:rsid w:val="006C7CC9"/>
    <w:rsid w:val="006D4273"/>
    <w:rsid w:val="006D4DB4"/>
    <w:rsid w:val="006F44A8"/>
    <w:rsid w:val="006F58D9"/>
    <w:rsid w:val="006F77B5"/>
    <w:rsid w:val="00700750"/>
    <w:rsid w:val="00705C15"/>
    <w:rsid w:val="00713588"/>
    <w:rsid w:val="00715388"/>
    <w:rsid w:val="00722D63"/>
    <w:rsid w:val="00723913"/>
    <w:rsid w:val="00723BCF"/>
    <w:rsid w:val="0072417F"/>
    <w:rsid w:val="0072526E"/>
    <w:rsid w:val="0073137F"/>
    <w:rsid w:val="00733F22"/>
    <w:rsid w:val="00741771"/>
    <w:rsid w:val="00744B3A"/>
    <w:rsid w:val="00746F96"/>
    <w:rsid w:val="00756D71"/>
    <w:rsid w:val="00756F72"/>
    <w:rsid w:val="00762D9B"/>
    <w:rsid w:val="00763EF3"/>
    <w:rsid w:val="00766EA9"/>
    <w:rsid w:val="00775AB5"/>
    <w:rsid w:val="00776841"/>
    <w:rsid w:val="00783727"/>
    <w:rsid w:val="00785D22"/>
    <w:rsid w:val="007928CB"/>
    <w:rsid w:val="007A0C3F"/>
    <w:rsid w:val="007B0FBF"/>
    <w:rsid w:val="007B1EBE"/>
    <w:rsid w:val="007C0BE7"/>
    <w:rsid w:val="007D34EB"/>
    <w:rsid w:val="007D3BCB"/>
    <w:rsid w:val="007E0350"/>
    <w:rsid w:val="007E3DD9"/>
    <w:rsid w:val="007E6B29"/>
    <w:rsid w:val="007E6CA3"/>
    <w:rsid w:val="007F3CB4"/>
    <w:rsid w:val="007F5835"/>
    <w:rsid w:val="0080574F"/>
    <w:rsid w:val="00817FD2"/>
    <w:rsid w:val="00820745"/>
    <w:rsid w:val="0082131D"/>
    <w:rsid w:val="00821B9A"/>
    <w:rsid w:val="0082204E"/>
    <w:rsid w:val="00824978"/>
    <w:rsid w:val="00831C99"/>
    <w:rsid w:val="0083695F"/>
    <w:rsid w:val="00837895"/>
    <w:rsid w:val="00841292"/>
    <w:rsid w:val="0084477B"/>
    <w:rsid w:val="008457A1"/>
    <w:rsid w:val="008516D6"/>
    <w:rsid w:val="008547DD"/>
    <w:rsid w:val="00854B11"/>
    <w:rsid w:val="00857B03"/>
    <w:rsid w:val="00875F72"/>
    <w:rsid w:val="00876A35"/>
    <w:rsid w:val="00877761"/>
    <w:rsid w:val="00886CD1"/>
    <w:rsid w:val="008978C8"/>
    <w:rsid w:val="008A1C4D"/>
    <w:rsid w:val="008A1CE9"/>
    <w:rsid w:val="008A4053"/>
    <w:rsid w:val="008A486A"/>
    <w:rsid w:val="008A6502"/>
    <w:rsid w:val="008A6E47"/>
    <w:rsid w:val="008B0EAE"/>
    <w:rsid w:val="008B5D9D"/>
    <w:rsid w:val="008B6D61"/>
    <w:rsid w:val="008C4809"/>
    <w:rsid w:val="008C56CA"/>
    <w:rsid w:val="008D1CB0"/>
    <w:rsid w:val="008D2155"/>
    <w:rsid w:val="008D75F4"/>
    <w:rsid w:val="008E2027"/>
    <w:rsid w:val="008E71EA"/>
    <w:rsid w:val="008F530E"/>
    <w:rsid w:val="009032D5"/>
    <w:rsid w:val="0090368C"/>
    <w:rsid w:val="009047D7"/>
    <w:rsid w:val="009048AF"/>
    <w:rsid w:val="00904EBC"/>
    <w:rsid w:val="00906B57"/>
    <w:rsid w:val="00912B3A"/>
    <w:rsid w:val="00917620"/>
    <w:rsid w:val="009213FD"/>
    <w:rsid w:val="00924E9B"/>
    <w:rsid w:val="00932708"/>
    <w:rsid w:val="009418CC"/>
    <w:rsid w:val="00944F4C"/>
    <w:rsid w:val="0094543E"/>
    <w:rsid w:val="00956352"/>
    <w:rsid w:val="0096054F"/>
    <w:rsid w:val="00963B41"/>
    <w:rsid w:val="0097111B"/>
    <w:rsid w:val="00973584"/>
    <w:rsid w:val="00984465"/>
    <w:rsid w:val="00987099"/>
    <w:rsid w:val="00987770"/>
    <w:rsid w:val="009913C2"/>
    <w:rsid w:val="00993E6B"/>
    <w:rsid w:val="009B2677"/>
    <w:rsid w:val="009B5536"/>
    <w:rsid w:val="009B7B72"/>
    <w:rsid w:val="009C0280"/>
    <w:rsid w:val="009C5585"/>
    <w:rsid w:val="009C5DD3"/>
    <w:rsid w:val="009D5439"/>
    <w:rsid w:val="009D54CB"/>
    <w:rsid w:val="009F21B0"/>
    <w:rsid w:val="009F3B69"/>
    <w:rsid w:val="009F5787"/>
    <w:rsid w:val="009F73D2"/>
    <w:rsid w:val="00A0109E"/>
    <w:rsid w:val="00A0206B"/>
    <w:rsid w:val="00A10C5E"/>
    <w:rsid w:val="00A12F15"/>
    <w:rsid w:val="00A157EF"/>
    <w:rsid w:val="00A15821"/>
    <w:rsid w:val="00A20A12"/>
    <w:rsid w:val="00A21FBC"/>
    <w:rsid w:val="00A228C6"/>
    <w:rsid w:val="00A22CDD"/>
    <w:rsid w:val="00A3474D"/>
    <w:rsid w:val="00A35C10"/>
    <w:rsid w:val="00A423BF"/>
    <w:rsid w:val="00A46728"/>
    <w:rsid w:val="00A50298"/>
    <w:rsid w:val="00A5451A"/>
    <w:rsid w:val="00A57A4E"/>
    <w:rsid w:val="00A64679"/>
    <w:rsid w:val="00A654E4"/>
    <w:rsid w:val="00A65B43"/>
    <w:rsid w:val="00A76FC1"/>
    <w:rsid w:val="00A84BD4"/>
    <w:rsid w:val="00A85E2D"/>
    <w:rsid w:val="00AA0DF3"/>
    <w:rsid w:val="00AA5AFE"/>
    <w:rsid w:val="00AC032A"/>
    <w:rsid w:val="00AC22C2"/>
    <w:rsid w:val="00AC31E1"/>
    <w:rsid w:val="00AC37A2"/>
    <w:rsid w:val="00AD2E94"/>
    <w:rsid w:val="00AD5C16"/>
    <w:rsid w:val="00AE1AAF"/>
    <w:rsid w:val="00AE2689"/>
    <w:rsid w:val="00AF31F0"/>
    <w:rsid w:val="00AF3E63"/>
    <w:rsid w:val="00AF5141"/>
    <w:rsid w:val="00B01F67"/>
    <w:rsid w:val="00B02ED3"/>
    <w:rsid w:val="00B07715"/>
    <w:rsid w:val="00B135E7"/>
    <w:rsid w:val="00B22247"/>
    <w:rsid w:val="00B25B40"/>
    <w:rsid w:val="00B30A87"/>
    <w:rsid w:val="00B322F8"/>
    <w:rsid w:val="00B41821"/>
    <w:rsid w:val="00B41F51"/>
    <w:rsid w:val="00B45104"/>
    <w:rsid w:val="00B45900"/>
    <w:rsid w:val="00B47E63"/>
    <w:rsid w:val="00B50782"/>
    <w:rsid w:val="00B52D04"/>
    <w:rsid w:val="00B6389F"/>
    <w:rsid w:val="00B63AC9"/>
    <w:rsid w:val="00B67CB1"/>
    <w:rsid w:val="00B70582"/>
    <w:rsid w:val="00B72B8E"/>
    <w:rsid w:val="00B75747"/>
    <w:rsid w:val="00B83C99"/>
    <w:rsid w:val="00B86470"/>
    <w:rsid w:val="00B86746"/>
    <w:rsid w:val="00B91C6E"/>
    <w:rsid w:val="00B96288"/>
    <w:rsid w:val="00B96D12"/>
    <w:rsid w:val="00BA1F59"/>
    <w:rsid w:val="00BA5574"/>
    <w:rsid w:val="00BB65E1"/>
    <w:rsid w:val="00BC0F78"/>
    <w:rsid w:val="00BE541D"/>
    <w:rsid w:val="00BE62F2"/>
    <w:rsid w:val="00BE79B9"/>
    <w:rsid w:val="00BF2652"/>
    <w:rsid w:val="00BF361E"/>
    <w:rsid w:val="00C0140F"/>
    <w:rsid w:val="00C0200F"/>
    <w:rsid w:val="00C04336"/>
    <w:rsid w:val="00C05140"/>
    <w:rsid w:val="00C06693"/>
    <w:rsid w:val="00C06711"/>
    <w:rsid w:val="00C15363"/>
    <w:rsid w:val="00C16F87"/>
    <w:rsid w:val="00C20373"/>
    <w:rsid w:val="00C20F3B"/>
    <w:rsid w:val="00C2179B"/>
    <w:rsid w:val="00C23F45"/>
    <w:rsid w:val="00C24299"/>
    <w:rsid w:val="00C32273"/>
    <w:rsid w:val="00C32ED4"/>
    <w:rsid w:val="00C337E8"/>
    <w:rsid w:val="00C56506"/>
    <w:rsid w:val="00C5771F"/>
    <w:rsid w:val="00C60A57"/>
    <w:rsid w:val="00C630CB"/>
    <w:rsid w:val="00C63CE1"/>
    <w:rsid w:val="00C65BE2"/>
    <w:rsid w:val="00C67036"/>
    <w:rsid w:val="00C677EA"/>
    <w:rsid w:val="00C735B2"/>
    <w:rsid w:val="00C751E6"/>
    <w:rsid w:val="00C7670D"/>
    <w:rsid w:val="00C77673"/>
    <w:rsid w:val="00C82EBB"/>
    <w:rsid w:val="00C83ECF"/>
    <w:rsid w:val="00C93200"/>
    <w:rsid w:val="00C93F03"/>
    <w:rsid w:val="00C97FB4"/>
    <w:rsid w:val="00CA00AB"/>
    <w:rsid w:val="00CA01C8"/>
    <w:rsid w:val="00CA1896"/>
    <w:rsid w:val="00CA3F02"/>
    <w:rsid w:val="00CA465D"/>
    <w:rsid w:val="00CA5E03"/>
    <w:rsid w:val="00CA6CE8"/>
    <w:rsid w:val="00CB17AE"/>
    <w:rsid w:val="00CB321C"/>
    <w:rsid w:val="00CC2A09"/>
    <w:rsid w:val="00CC4492"/>
    <w:rsid w:val="00CC70A3"/>
    <w:rsid w:val="00CD0A52"/>
    <w:rsid w:val="00CD3774"/>
    <w:rsid w:val="00CD54F7"/>
    <w:rsid w:val="00CE239A"/>
    <w:rsid w:val="00CE4DB5"/>
    <w:rsid w:val="00CE7A5E"/>
    <w:rsid w:val="00CE7AB8"/>
    <w:rsid w:val="00CF3ED4"/>
    <w:rsid w:val="00CF4329"/>
    <w:rsid w:val="00CF457F"/>
    <w:rsid w:val="00D0275A"/>
    <w:rsid w:val="00D02B7B"/>
    <w:rsid w:val="00D15224"/>
    <w:rsid w:val="00D16A7C"/>
    <w:rsid w:val="00D26863"/>
    <w:rsid w:val="00D26C40"/>
    <w:rsid w:val="00D40810"/>
    <w:rsid w:val="00D413B6"/>
    <w:rsid w:val="00D421BD"/>
    <w:rsid w:val="00D456DD"/>
    <w:rsid w:val="00D4640E"/>
    <w:rsid w:val="00D50735"/>
    <w:rsid w:val="00D61205"/>
    <w:rsid w:val="00D61224"/>
    <w:rsid w:val="00D61754"/>
    <w:rsid w:val="00D648BB"/>
    <w:rsid w:val="00D679AF"/>
    <w:rsid w:val="00D706F5"/>
    <w:rsid w:val="00D71F4D"/>
    <w:rsid w:val="00D742F8"/>
    <w:rsid w:val="00D830E4"/>
    <w:rsid w:val="00D9196A"/>
    <w:rsid w:val="00D929EA"/>
    <w:rsid w:val="00D93B7A"/>
    <w:rsid w:val="00D949A0"/>
    <w:rsid w:val="00D954AB"/>
    <w:rsid w:val="00D95E80"/>
    <w:rsid w:val="00DA455B"/>
    <w:rsid w:val="00DA54A4"/>
    <w:rsid w:val="00DB05F7"/>
    <w:rsid w:val="00DB4EEA"/>
    <w:rsid w:val="00DC0732"/>
    <w:rsid w:val="00DD017A"/>
    <w:rsid w:val="00DD4466"/>
    <w:rsid w:val="00DD5C3A"/>
    <w:rsid w:val="00DD70AE"/>
    <w:rsid w:val="00DE2A29"/>
    <w:rsid w:val="00DE5642"/>
    <w:rsid w:val="00DE6672"/>
    <w:rsid w:val="00DE7F57"/>
    <w:rsid w:val="00DF5A6F"/>
    <w:rsid w:val="00DF604A"/>
    <w:rsid w:val="00E0236D"/>
    <w:rsid w:val="00E02BC3"/>
    <w:rsid w:val="00E042C5"/>
    <w:rsid w:val="00E05CF5"/>
    <w:rsid w:val="00E0650A"/>
    <w:rsid w:val="00E126C2"/>
    <w:rsid w:val="00E12FA4"/>
    <w:rsid w:val="00E13158"/>
    <w:rsid w:val="00E14C9A"/>
    <w:rsid w:val="00E16E11"/>
    <w:rsid w:val="00E22A19"/>
    <w:rsid w:val="00E3201F"/>
    <w:rsid w:val="00E3208C"/>
    <w:rsid w:val="00E32E73"/>
    <w:rsid w:val="00E46967"/>
    <w:rsid w:val="00E47933"/>
    <w:rsid w:val="00E51433"/>
    <w:rsid w:val="00E56F42"/>
    <w:rsid w:val="00E57C3A"/>
    <w:rsid w:val="00E612B6"/>
    <w:rsid w:val="00E65E5D"/>
    <w:rsid w:val="00E66522"/>
    <w:rsid w:val="00E6758E"/>
    <w:rsid w:val="00E67C95"/>
    <w:rsid w:val="00E71A2A"/>
    <w:rsid w:val="00E7604C"/>
    <w:rsid w:val="00E76E3D"/>
    <w:rsid w:val="00E803AA"/>
    <w:rsid w:val="00E839F2"/>
    <w:rsid w:val="00E87204"/>
    <w:rsid w:val="00E91612"/>
    <w:rsid w:val="00E95D95"/>
    <w:rsid w:val="00E967ED"/>
    <w:rsid w:val="00E9783F"/>
    <w:rsid w:val="00EA2446"/>
    <w:rsid w:val="00EA4227"/>
    <w:rsid w:val="00EA4708"/>
    <w:rsid w:val="00EB114B"/>
    <w:rsid w:val="00EB1BAC"/>
    <w:rsid w:val="00EB23C7"/>
    <w:rsid w:val="00EB240D"/>
    <w:rsid w:val="00EC0E63"/>
    <w:rsid w:val="00EC0E6A"/>
    <w:rsid w:val="00EC2D97"/>
    <w:rsid w:val="00EC2F32"/>
    <w:rsid w:val="00EC59D0"/>
    <w:rsid w:val="00ED108C"/>
    <w:rsid w:val="00ED2E3E"/>
    <w:rsid w:val="00EE32E4"/>
    <w:rsid w:val="00EE7C6D"/>
    <w:rsid w:val="00F01509"/>
    <w:rsid w:val="00F025C1"/>
    <w:rsid w:val="00F025DD"/>
    <w:rsid w:val="00F05C5A"/>
    <w:rsid w:val="00F05CD4"/>
    <w:rsid w:val="00F06CCF"/>
    <w:rsid w:val="00F20FAE"/>
    <w:rsid w:val="00F22A5E"/>
    <w:rsid w:val="00F26B50"/>
    <w:rsid w:val="00F27B3F"/>
    <w:rsid w:val="00F308B3"/>
    <w:rsid w:val="00F37E56"/>
    <w:rsid w:val="00F43AAA"/>
    <w:rsid w:val="00F43BDD"/>
    <w:rsid w:val="00F458F5"/>
    <w:rsid w:val="00F478BF"/>
    <w:rsid w:val="00F478EF"/>
    <w:rsid w:val="00F50DD3"/>
    <w:rsid w:val="00F5142F"/>
    <w:rsid w:val="00F516F6"/>
    <w:rsid w:val="00F5356B"/>
    <w:rsid w:val="00F56A46"/>
    <w:rsid w:val="00F62604"/>
    <w:rsid w:val="00F63AC6"/>
    <w:rsid w:val="00F66BFE"/>
    <w:rsid w:val="00F6713E"/>
    <w:rsid w:val="00F71915"/>
    <w:rsid w:val="00F729A6"/>
    <w:rsid w:val="00F76B69"/>
    <w:rsid w:val="00F82E2E"/>
    <w:rsid w:val="00F84A1C"/>
    <w:rsid w:val="00F8535C"/>
    <w:rsid w:val="00F9685C"/>
    <w:rsid w:val="00F97B43"/>
    <w:rsid w:val="00FA0FE3"/>
    <w:rsid w:val="00FA17D2"/>
    <w:rsid w:val="00FA2B2A"/>
    <w:rsid w:val="00FA332B"/>
    <w:rsid w:val="00FA5F01"/>
    <w:rsid w:val="00FA6E96"/>
    <w:rsid w:val="00FB150D"/>
    <w:rsid w:val="00FB2DF8"/>
    <w:rsid w:val="00FC01C8"/>
    <w:rsid w:val="00FC0398"/>
    <w:rsid w:val="00FC3090"/>
    <w:rsid w:val="00FC5459"/>
    <w:rsid w:val="00FC6B66"/>
    <w:rsid w:val="00FD65AA"/>
    <w:rsid w:val="00FE1510"/>
    <w:rsid w:val="00FE1EBF"/>
    <w:rsid w:val="00FE33A3"/>
    <w:rsid w:val="00FF3C27"/>
    <w:rsid w:val="00FF422C"/>
    <w:rsid w:val="00FF4DA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B13C7"/>
  <w15:chartTrackingRefBased/>
  <w15:docId w15:val="{F7242330-7C61-4E26-B066-64F00309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44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32FE"/>
    <w:pPr>
      <w:tabs>
        <w:tab w:val="center" w:pos="4536"/>
        <w:tab w:val="right" w:pos="9072"/>
      </w:tabs>
      <w:spacing w:after="0" w:line="240" w:lineRule="auto"/>
    </w:pPr>
  </w:style>
  <w:style w:type="character" w:customStyle="1" w:styleId="En-tteCar">
    <w:name w:val="En-tête Car"/>
    <w:basedOn w:val="Policepardfaut"/>
    <w:link w:val="En-tte"/>
    <w:uiPriority w:val="99"/>
    <w:rsid w:val="004432FE"/>
  </w:style>
  <w:style w:type="paragraph" w:styleId="Pieddepage">
    <w:name w:val="footer"/>
    <w:basedOn w:val="Normal"/>
    <w:link w:val="PieddepageCar"/>
    <w:uiPriority w:val="99"/>
    <w:unhideWhenUsed/>
    <w:rsid w:val="004432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32FE"/>
  </w:style>
  <w:style w:type="paragraph" w:styleId="Paragraphedeliste">
    <w:name w:val="List Paragraph"/>
    <w:aliases w:val="EC,Paragraphe de liste11,Paragraphe de liste1,Colorful List Accent 1,List Paragraph (numbered (a)),List_Paragraph,Multilevel para_II,List Paragraph1,Colorful List - Accent 11,Dot pt,No Spacing1,Indicator Text,L,List Paragraph,Puce"/>
    <w:basedOn w:val="Normal"/>
    <w:link w:val="ParagraphedelisteCar"/>
    <w:uiPriority w:val="34"/>
    <w:qFormat/>
    <w:rsid w:val="004432FE"/>
    <w:pPr>
      <w:spacing w:after="200" w:line="276" w:lineRule="auto"/>
      <w:ind w:left="720"/>
      <w:contextualSpacing/>
    </w:pPr>
  </w:style>
  <w:style w:type="character" w:customStyle="1" w:styleId="ParagraphedelisteCar">
    <w:name w:val="Paragraphe de liste Car"/>
    <w:aliases w:val="EC Car,Paragraphe de liste11 Car,Paragraphe de liste1 Car,Colorful List Accent 1 Car,List Paragraph (numbered (a)) Car,List_Paragraph Car,Multilevel para_II Car,List Paragraph1 Car,Colorful List - Accent 11 Car,Dot pt Car,L Car"/>
    <w:basedOn w:val="Policepardfaut"/>
    <w:link w:val="Paragraphedeliste"/>
    <w:uiPriority w:val="34"/>
    <w:qFormat/>
    <w:rsid w:val="004432FE"/>
  </w:style>
  <w:style w:type="paragraph" w:customStyle="1" w:styleId="Briefinglist1">
    <w:name w:val="Briefing list 1"/>
    <w:basedOn w:val="Normal"/>
    <w:rsid w:val="004432FE"/>
    <w:pPr>
      <w:keepLines/>
      <w:numPr>
        <w:numId w:val="1"/>
      </w:numPr>
      <w:spacing w:after="120" w:line="240" w:lineRule="auto"/>
      <w:jc w:val="both"/>
    </w:pPr>
    <w:rPr>
      <w:rFonts w:ascii="Arial" w:eastAsia="SimSun" w:hAnsi="Arial" w:cs="Arial"/>
      <w:szCs w:val="24"/>
      <w:lang w:val="en-GB"/>
    </w:rPr>
  </w:style>
  <w:style w:type="paragraph" w:styleId="Textedebulles">
    <w:name w:val="Balloon Text"/>
    <w:basedOn w:val="Normal"/>
    <w:link w:val="TextedebullesCar"/>
    <w:semiHidden/>
    <w:rsid w:val="004432FE"/>
    <w:pPr>
      <w:overflowPunct w:val="0"/>
      <w:autoSpaceDE w:val="0"/>
      <w:autoSpaceDN w:val="0"/>
      <w:adjustRightInd w:val="0"/>
      <w:spacing w:after="0" w:line="240" w:lineRule="auto"/>
      <w:textAlignment w:val="baseline"/>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semiHidden/>
    <w:rsid w:val="004432FE"/>
    <w:rPr>
      <w:rFonts w:ascii="Tahoma" w:eastAsia="Times New Roman" w:hAnsi="Tahoma" w:cs="Tahoma"/>
      <w:sz w:val="16"/>
      <w:szCs w:val="16"/>
      <w:lang w:eastAsia="fr-FR"/>
    </w:rPr>
  </w:style>
  <w:style w:type="character" w:customStyle="1" w:styleId="affaire-suiviepar">
    <w:name w:val="affaire-suivie par"/>
    <w:basedOn w:val="Policepardfaut"/>
    <w:uiPriority w:val="1"/>
    <w:rsid w:val="004432FE"/>
    <w:rPr>
      <w:rFonts w:ascii="Times New Roman" w:hAnsi="Times New Roman"/>
      <w:sz w:val="18"/>
    </w:rPr>
  </w:style>
  <w:style w:type="paragraph" w:styleId="Sansinterligne">
    <w:name w:val="No Spacing"/>
    <w:uiPriority w:val="1"/>
    <w:qFormat/>
    <w:rsid w:val="004432FE"/>
    <w:pPr>
      <w:spacing w:after="0" w:line="240" w:lineRule="auto"/>
    </w:pPr>
  </w:style>
  <w:style w:type="table" w:styleId="Grilledutableau">
    <w:name w:val="Table Grid"/>
    <w:basedOn w:val="TableauNormal"/>
    <w:uiPriority w:val="39"/>
    <w:rsid w:val="006A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ituldirection">
    <w:name w:val="Intitulé direction"/>
    <w:basedOn w:val="En-tte"/>
    <w:next w:val="Corpsdetexte"/>
    <w:link w:val="IntituldirectionCar"/>
    <w:qFormat/>
    <w:rsid w:val="00AF3E6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IntituldirectionCar">
    <w:name w:val="Intitulé direction Car"/>
    <w:basedOn w:val="En-tteCar"/>
    <w:link w:val="Intituldirection"/>
    <w:rsid w:val="00AF3E63"/>
    <w:rPr>
      <w:rFonts w:ascii="Arial" w:hAnsi="Arial" w:cs="Arial"/>
      <w:b/>
      <w:bCs/>
      <w:sz w:val="24"/>
      <w:szCs w:val="24"/>
      <w:lang w:val="en-US"/>
    </w:rPr>
  </w:style>
  <w:style w:type="paragraph" w:styleId="Corpsdetexte">
    <w:name w:val="Body Text"/>
    <w:basedOn w:val="Normal"/>
    <w:link w:val="CorpsdetexteCar"/>
    <w:uiPriority w:val="99"/>
    <w:semiHidden/>
    <w:unhideWhenUsed/>
    <w:rsid w:val="00AF3E63"/>
    <w:pPr>
      <w:spacing w:after="120"/>
    </w:pPr>
  </w:style>
  <w:style w:type="character" w:customStyle="1" w:styleId="CorpsdetexteCar">
    <w:name w:val="Corps de texte Car"/>
    <w:basedOn w:val="Policepardfaut"/>
    <w:link w:val="Corpsdetexte"/>
    <w:uiPriority w:val="99"/>
    <w:semiHidden/>
    <w:rsid w:val="00AF3E63"/>
  </w:style>
  <w:style w:type="paragraph" w:styleId="Notedebasdepage">
    <w:name w:val="footnote text"/>
    <w:basedOn w:val="Normal"/>
    <w:link w:val="NotedebasdepageCar"/>
    <w:uiPriority w:val="99"/>
    <w:semiHidden/>
    <w:unhideWhenUsed/>
    <w:rsid w:val="00B70582"/>
    <w:pPr>
      <w:spacing w:after="0" w:line="240" w:lineRule="auto"/>
    </w:pPr>
    <w:rPr>
      <w:rFonts w:ascii="Calibri" w:hAnsi="Calibri" w:cs="Calibri"/>
      <w:sz w:val="20"/>
      <w:szCs w:val="20"/>
    </w:rPr>
  </w:style>
  <w:style w:type="character" w:customStyle="1" w:styleId="NotedebasdepageCar">
    <w:name w:val="Note de bas de page Car"/>
    <w:basedOn w:val="Policepardfaut"/>
    <w:link w:val="Notedebasdepage"/>
    <w:uiPriority w:val="99"/>
    <w:semiHidden/>
    <w:rsid w:val="00B70582"/>
    <w:rPr>
      <w:rFonts w:ascii="Calibri" w:hAnsi="Calibri" w:cs="Calibri"/>
      <w:sz w:val="20"/>
      <w:szCs w:val="20"/>
    </w:rPr>
  </w:style>
  <w:style w:type="character" w:styleId="Appelnotedebasdep">
    <w:name w:val="footnote reference"/>
    <w:basedOn w:val="Policepardfaut"/>
    <w:uiPriority w:val="99"/>
    <w:semiHidden/>
    <w:unhideWhenUsed/>
    <w:rsid w:val="00B70582"/>
    <w:rPr>
      <w:vertAlign w:val="superscript"/>
    </w:rPr>
  </w:style>
  <w:style w:type="character" w:styleId="Lienhypertexte">
    <w:name w:val="Hyperlink"/>
    <w:basedOn w:val="Policepardfaut"/>
    <w:uiPriority w:val="99"/>
    <w:unhideWhenUsed/>
    <w:rsid w:val="00B70582"/>
    <w:rPr>
      <w:color w:val="0000FF"/>
      <w:u w:val="single"/>
    </w:rPr>
  </w:style>
  <w:style w:type="paragraph" w:customStyle="1" w:styleId="Default">
    <w:name w:val="Default"/>
    <w:rsid w:val="001E6235"/>
    <w:pPr>
      <w:autoSpaceDE w:val="0"/>
      <w:autoSpaceDN w:val="0"/>
      <w:adjustRightInd w:val="0"/>
      <w:spacing w:after="0" w:line="240" w:lineRule="auto"/>
    </w:pPr>
    <w:rPr>
      <w:rFonts w:ascii="Segoe UI" w:hAnsi="Segoe UI" w:cs="Segoe UI"/>
      <w:color w:val="000000"/>
      <w:sz w:val="24"/>
      <w:szCs w:val="24"/>
    </w:rPr>
  </w:style>
  <w:style w:type="table" w:styleId="TableauGrille4-Accentuation5">
    <w:name w:val="Grid Table 4 Accent 5"/>
    <w:basedOn w:val="TableauNormal"/>
    <w:uiPriority w:val="49"/>
    <w:rsid w:val="001B1DC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tedefin">
    <w:name w:val="endnote text"/>
    <w:basedOn w:val="Normal"/>
    <w:link w:val="NotedefinCar"/>
    <w:uiPriority w:val="99"/>
    <w:semiHidden/>
    <w:unhideWhenUsed/>
    <w:rsid w:val="00660B5B"/>
    <w:pPr>
      <w:spacing w:after="0" w:line="240" w:lineRule="auto"/>
    </w:pPr>
    <w:rPr>
      <w:sz w:val="20"/>
      <w:szCs w:val="20"/>
    </w:rPr>
  </w:style>
  <w:style w:type="character" w:customStyle="1" w:styleId="NotedefinCar">
    <w:name w:val="Note de fin Car"/>
    <w:basedOn w:val="Policepardfaut"/>
    <w:link w:val="Notedefin"/>
    <w:uiPriority w:val="99"/>
    <w:semiHidden/>
    <w:rsid w:val="00660B5B"/>
    <w:rPr>
      <w:sz w:val="20"/>
      <w:szCs w:val="20"/>
    </w:rPr>
  </w:style>
  <w:style w:type="character" w:styleId="Appeldenotedefin">
    <w:name w:val="endnote reference"/>
    <w:basedOn w:val="Policepardfaut"/>
    <w:uiPriority w:val="99"/>
    <w:semiHidden/>
    <w:unhideWhenUsed/>
    <w:rsid w:val="00660B5B"/>
    <w:rPr>
      <w:vertAlign w:val="superscript"/>
    </w:rPr>
  </w:style>
  <w:style w:type="character" w:styleId="Marquedecommentaire">
    <w:name w:val="annotation reference"/>
    <w:basedOn w:val="Policepardfaut"/>
    <w:uiPriority w:val="99"/>
    <w:semiHidden/>
    <w:unhideWhenUsed/>
    <w:rsid w:val="00FC01C8"/>
    <w:rPr>
      <w:sz w:val="16"/>
      <w:szCs w:val="16"/>
    </w:rPr>
  </w:style>
  <w:style w:type="paragraph" w:styleId="Commentaire">
    <w:name w:val="annotation text"/>
    <w:basedOn w:val="Normal"/>
    <w:link w:val="CommentaireCar"/>
    <w:uiPriority w:val="99"/>
    <w:semiHidden/>
    <w:unhideWhenUsed/>
    <w:rsid w:val="00FC01C8"/>
    <w:pPr>
      <w:spacing w:line="240" w:lineRule="auto"/>
    </w:pPr>
    <w:rPr>
      <w:sz w:val="20"/>
      <w:szCs w:val="20"/>
    </w:rPr>
  </w:style>
  <w:style w:type="character" w:customStyle="1" w:styleId="CommentaireCar">
    <w:name w:val="Commentaire Car"/>
    <w:basedOn w:val="Policepardfaut"/>
    <w:link w:val="Commentaire"/>
    <w:uiPriority w:val="99"/>
    <w:semiHidden/>
    <w:rsid w:val="00FC01C8"/>
    <w:rPr>
      <w:sz w:val="20"/>
      <w:szCs w:val="20"/>
    </w:rPr>
  </w:style>
  <w:style w:type="paragraph" w:styleId="Objetducommentaire">
    <w:name w:val="annotation subject"/>
    <w:basedOn w:val="Commentaire"/>
    <w:next w:val="Commentaire"/>
    <w:link w:val="ObjetducommentaireCar"/>
    <w:uiPriority w:val="99"/>
    <w:semiHidden/>
    <w:unhideWhenUsed/>
    <w:rsid w:val="00FC01C8"/>
    <w:rPr>
      <w:b/>
      <w:bCs/>
    </w:rPr>
  </w:style>
  <w:style w:type="character" w:customStyle="1" w:styleId="ObjetducommentaireCar">
    <w:name w:val="Objet du commentaire Car"/>
    <w:basedOn w:val="CommentaireCar"/>
    <w:link w:val="Objetducommentaire"/>
    <w:uiPriority w:val="99"/>
    <w:semiHidden/>
    <w:rsid w:val="00FC01C8"/>
    <w:rPr>
      <w:b/>
      <w:bCs/>
      <w:sz w:val="20"/>
      <w:szCs w:val="20"/>
    </w:rPr>
  </w:style>
  <w:style w:type="character" w:styleId="Lienhypertextesuivivisit">
    <w:name w:val="FollowedHyperlink"/>
    <w:basedOn w:val="Policepardfaut"/>
    <w:uiPriority w:val="99"/>
    <w:semiHidden/>
    <w:unhideWhenUsed/>
    <w:rsid w:val="00541948"/>
    <w:rPr>
      <w:color w:val="954F72" w:themeColor="followedHyperlink"/>
      <w:u w:val="single"/>
    </w:rPr>
  </w:style>
  <w:style w:type="character" w:styleId="Mentionnonrsolue">
    <w:name w:val="Unresolved Mention"/>
    <w:basedOn w:val="Policepardfaut"/>
    <w:uiPriority w:val="99"/>
    <w:semiHidden/>
    <w:unhideWhenUsed/>
    <w:rsid w:val="00D02B7B"/>
    <w:rPr>
      <w:color w:val="605E5C"/>
      <w:shd w:val="clear" w:color="auto" w:fill="E1DFDD"/>
    </w:rPr>
  </w:style>
  <w:style w:type="table" w:styleId="TableauGrille1Clair-Accentuation1">
    <w:name w:val="Grid Table 1 Light Accent 1"/>
    <w:basedOn w:val="TableauNormal"/>
    <w:uiPriority w:val="46"/>
    <w:rsid w:val="00526D5F"/>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526D5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526D5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35702">
      <w:bodyDiv w:val="1"/>
      <w:marLeft w:val="0"/>
      <w:marRight w:val="0"/>
      <w:marTop w:val="0"/>
      <w:marBottom w:val="0"/>
      <w:divBdr>
        <w:top w:val="none" w:sz="0" w:space="0" w:color="auto"/>
        <w:left w:val="none" w:sz="0" w:space="0" w:color="auto"/>
        <w:bottom w:val="none" w:sz="0" w:space="0" w:color="auto"/>
        <w:right w:val="none" w:sz="0" w:space="0" w:color="auto"/>
      </w:divBdr>
    </w:div>
    <w:div w:id="500776315">
      <w:bodyDiv w:val="1"/>
      <w:marLeft w:val="0"/>
      <w:marRight w:val="0"/>
      <w:marTop w:val="0"/>
      <w:marBottom w:val="0"/>
      <w:divBdr>
        <w:top w:val="none" w:sz="0" w:space="0" w:color="auto"/>
        <w:left w:val="none" w:sz="0" w:space="0" w:color="auto"/>
        <w:bottom w:val="none" w:sz="0" w:space="0" w:color="auto"/>
        <w:right w:val="none" w:sz="0" w:space="0" w:color="auto"/>
      </w:divBdr>
    </w:div>
    <w:div w:id="917593288">
      <w:bodyDiv w:val="1"/>
      <w:marLeft w:val="0"/>
      <w:marRight w:val="0"/>
      <w:marTop w:val="0"/>
      <w:marBottom w:val="0"/>
      <w:divBdr>
        <w:top w:val="none" w:sz="0" w:space="0" w:color="auto"/>
        <w:left w:val="none" w:sz="0" w:space="0" w:color="auto"/>
        <w:bottom w:val="none" w:sz="0" w:space="0" w:color="auto"/>
        <w:right w:val="none" w:sz="0" w:space="0" w:color="auto"/>
      </w:divBdr>
    </w:div>
    <w:div w:id="962154333">
      <w:bodyDiv w:val="1"/>
      <w:marLeft w:val="0"/>
      <w:marRight w:val="0"/>
      <w:marTop w:val="0"/>
      <w:marBottom w:val="0"/>
      <w:divBdr>
        <w:top w:val="none" w:sz="0" w:space="0" w:color="auto"/>
        <w:left w:val="none" w:sz="0" w:space="0" w:color="auto"/>
        <w:bottom w:val="none" w:sz="0" w:space="0" w:color="auto"/>
        <w:right w:val="none" w:sz="0" w:space="0" w:color="auto"/>
      </w:divBdr>
    </w:div>
    <w:div w:id="1034186453">
      <w:bodyDiv w:val="1"/>
      <w:marLeft w:val="0"/>
      <w:marRight w:val="0"/>
      <w:marTop w:val="0"/>
      <w:marBottom w:val="0"/>
      <w:divBdr>
        <w:top w:val="none" w:sz="0" w:space="0" w:color="auto"/>
        <w:left w:val="none" w:sz="0" w:space="0" w:color="auto"/>
        <w:bottom w:val="none" w:sz="0" w:space="0" w:color="auto"/>
        <w:right w:val="none" w:sz="0" w:space="0" w:color="auto"/>
      </w:divBdr>
    </w:div>
    <w:div w:id="1045249486">
      <w:bodyDiv w:val="1"/>
      <w:marLeft w:val="0"/>
      <w:marRight w:val="0"/>
      <w:marTop w:val="0"/>
      <w:marBottom w:val="0"/>
      <w:divBdr>
        <w:top w:val="none" w:sz="0" w:space="0" w:color="auto"/>
        <w:left w:val="none" w:sz="0" w:space="0" w:color="auto"/>
        <w:bottom w:val="none" w:sz="0" w:space="0" w:color="auto"/>
        <w:right w:val="none" w:sz="0" w:space="0" w:color="auto"/>
      </w:divBdr>
    </w:div>
    <w:div w:id="1047871478">
      <w:bodyDiv w:val="1"/>
      <w:marLeft w:val="0"/>
      <w:marRight w:val="0"/>
      <w:marTop w:val="0"/>
      <w:marBottom w:val="0"/>
      <w:divBdr>
        <w:top w:val="none" w:sz="0" w:space="0" w:color="auto"/>
        <w:left w:val="none" w:sz="0" w:space="0" w:color="auto"/>
        <w:bottom w:val="none" w:sz="0" w:space="0" w:color="auto"/>
        <w:right w:val="none" w:sz="0" w:space="0" w:color="auto"/>
      </w:divBdr>
    </w:div>
    <w:div w:id="1064570715">
      <w:bodyDiv w:val="1"/>
      <w:marLeft w:val="0"/>
      <w:marRight w:val="0"/>
      <w:marTop w:val="0"/>
      <w:marBottom w:val="0"/>
      <w:divBdr>
        <w:top w:val="none" w:sz="0" w:space="0" w:color="auto"/>
        <w:left w:val="none" w:sz="0" w:space="0" w:color="auto"/>
        <w:bottom w:val="none" w:sz="0" w:space="0" w:color="auto"/>
        <w:right w:val="none" w:sz="0" w:space="0" w:color="auto"/>
      </w:divBdr>
    </w:div>
    <w:div w:id="1318806462">
      <w:bodyDiv w:val="1"/>
      <w:marLeft w:val="0"/>
      <w:marRight w:val="0"/>
      <w:marTop w:val="0"/>
      <w:marBottom w:val="0"/>
      <w:divBdr>
        <w:top w:val="none" w:sz="0" w:space="0" w:color="auto"/>
        <w:left w:val="none" w:sz="0" w:space="0" w:color="auto"/>
        <w:bottom w:val="none" w:sz="0" w:space="0" w:color="auto"/>
        <w:right w:val="none" w:sz="0" w:space="0" w:color="auto"/>
      </w:divBdr>
    </w:div>
    <w:div w:id="1471441347">
      <w:bodyDiv w:val="1"/>
      <w:marLeft w:val="0"/>
      <w:marRight w:val="0"/>
      <w:marTop w:val="0"/>
      <w:marBottom w:val="0"/>
      <w:divBdr>
        <w:top w:val="none" w:sz="0" w:space="0" w:color="auto"/>
        <w:left w:val="none" w:sz="0" w:space="0" w:color="auto"/>
        <w:bottom w:val="none" w:sz="0" w:space="0" w:color="auto"/>
        <w:right w:val="none" w:sz="0" w:space="0" w:color="auto"/>
      </w:divBdr>
    </w:div>
    <w:div w:id="1616599720">
      <w:bodyDiv w:val="1"/>
      <w:marLeft w:val="0"/>
      <w:marRight w:val="0"/>
      <w:marTop w:val="0"/>
      <w:marBottom w:val="0"/>
      <w:divBdr>
        <w:top w:val="none" w:sz="0" w:space="0" w:color="auto"/>
        <w:left w:val="none" w:sz="0" w:space="0" w:color="auto"/>
        <w:bottom w:val="none" w:sz="0" w:space="0" w:color="auto"/>
        <w:right w:val="none" w:sz="0" w:space="0" w:color="auto"/>
      </w:divBdr>
    </w:div>
    <w:div w:id="1657496494">
      <w:bodyDiv w:val="1"/>
      <w:marLeft w:val="0"/>
      <w:marRight w:val="0"/>
      <w:marTop w:val="0"/>
      <w:marBottom w:val="0"/>
      <w:divBdr>
        <w:top w:val="none" w:sz="0" w:space="0" w:color="auto"/>
        <w:left w:val="none" w:sz="0" w:space="0" w:color="auto"/>
        <w:bottom w:val="none" w:sz="0" w:space="0" w:color="auto"/>
        <w:right w:val="none" w:sz="0" w:space="0" w:color="auto"/>
      </w:divBdr>
    </w:div>
    <w:div w:id="1722751355">
      <w:bodyDiv w:val="1"/>
      <w:marLeft w:val="0"/>
      <w:marRight w:val="0"/>
      <w:marTop w:val="0"/>
      <w:marBottom w:val="0"/>
      <w:divBdr>
        <w:top w:val="none" w:sz="0" w:space="0" w:color="auto"/>
        <w:left w:val="none" w:sz="0" w:space="0" w:color="auto"/>
        <w:bottom w:val="none" w:sz="0" w:space="0" w:color="auto"/>
        <w:right w:val="none" w:sz="0" w:space="0" w:color="auto"/>
      </w:divBdr>
    </w:div>
    <w:div w:id="193131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006CE5"/>
              </a:solidFill>
              <a:ln w="19050">
                <a:solidFill>
                  <a:schemeClr val="lt1"/>
                </a:solidFill>
              </a:ln>
              <a:effectLst/>
            </c:spPr>
            <c:extLst>
              <c:ext xmlns:c16="http://schemas.microsoft.com/office/drawing/2014/chart" uri="{C3380CC4-5D6E-409C-BE32-E72D297353CC}">
                <c16:uniqueId val="{00000001-6344-409D-9045-F271CBAFF38A}"/>
              </c:ext>
            </c:extLst>
          </c:dPt>
          <c:dPt>
            <c:idx val="1"/>
            <c:bubble3D val="0"/>
            <c:spPr>
              <a:solidFill>
                <a:srgbClr val="00B0F0"/>
              </a:solidFill>
              <a:ln w="19050">
                <a:solidFill>
                  <a:schemeClr val="lt1"/>
                </a:solidFill>
              </a:ln>
              <a:effectLst/>
            </c:spPr>
            <c:extLst>
              <c:ext xmlns:c16="http://schemas.microsoft.com/office/drawing/2014/chart" uri="{C3380CC4-5D6E-409C-BE32-E72D297353CC}">
                <c16:uniqueId val="{00000003-6344-409D-9045-F271CBAFF38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344-409D-9045-F271CBAFF38A}"/>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fr-F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Feuil1!$D$10:$D$12</c:f>
              <c:strCache>
                <c:ptCount val="3"/>
                <c:pt idx="0">
                  <c:v>Salaires et subventions</c:v>
                </c:pt>
                <c:pt idx="1">
                  <c:v>CAPEX</c:v>
                </c:pt>
                <c:pt idx="2">
                  <c:v>Autres dépenses</c:v>
                </c:pt>
              </c:strCache>
            </c:strRef>
          </c:cat>
          <c:val>
            <c:numRef>
              <c:f>Feuil1!$E$10:$E$12</c:f>
              <c:numCache>
                <c:formatCode>0%</c:formatCode>
                <c:ptCount val="3"/>
                <c:pt idx="0">
                  <c:v>0.79400000000000004</c:v>
                </c:pt>
                <c:pt idx="1">
                  <c:v>9.2999999999999999E-2</c:v>
                </c:pt>
                <c:pt idx="2">
                  <c:v>0.113</c:v>
                </c:pt>
              </c:numCache>
            </c:numRef>
          </c:val>
          <c:extLst>
            <c:ext xmlns:c16="http://schemas.microsoft.com/office/drawing/2014/chart" uri="{C3380CC4-5D6E-409C-BE32-E72D297353CC}">
              <c16:uniqueId val="{00000006-6344-409D-9045-F271CBAFF38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CAB5A97558B742A2DB673CBDF82631" ma:contentTypeVersion="5" ma:contentTypeDescription="Crée un document." ma:contentTypeScope="" ma:versionID="c31b6c800821cb253460375248cf1a46">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9edc6e895e479aa75efce00932c1c730"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4CFAB0-EA74-42EC-BBF2-7656C7C15E94}">
  <ds:schemaRefs>
    <ds:schemaRef ds:uri="http://schemas.openxmlformats.org/officeDocument/2006/bibliography"/>
  </ds:schemaRefs>
</ds:datastoreItem>
</file>

<file path=customXml/itemProps2.xml><?xml version="1.0" encoding="utf-8"?>
<ds:datastoreItem xmlns:ds="http://schemas.openxmlformats.org/officeDocument/2006/customXml" ds:itemID="{EED9D934-B2D2-4B4E-A779-F24A898AEBD3}">
  <ds:schemaRefs>
    <ds:schemaRef ds:uri="http://schemas.microsoft.com/sharepoint/v3/contenttype/forms"/>
  </ds:schemaRefs>
</ds:datastoreItem>
</file>

<file path=customXml/itemProps3.xml><?xml version="1.0" encoding="utf-8"?>
<ds:datastoreItem xmlns:ds="http://schemas.openxmlformats.org/officeDocument/2006/customXml" ds:itemID="{A2AED7BF-F8DC-45B9-BFE6-90231472C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A5C3BE-9D6B-49ED-965C-A9AEB9945F4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677</Words>
  <Characters>3726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BORDES Gilles</dc:creator>
  <cp:keywords/>
  <dc:description/>
  <cp:lastModifiedBy>ZANGHELLINI Bruno</cp:lastModifiedBy>
  <cp:revision>5</cp:revision>
  <cp:lastPrinted>2022-01-30T09:16:00Z</cp:lastPrinted>
  <dcterms:created xsi:type="dcterms:W3CDTF">2024-03-25T12:25:00Z</dcterms:created>
  <dcterms:modified xsi:type="dcterms:W3CDTF">2024-03-25T12:39:00Z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0x010100D8CAB5A97558B742A2DB673CBDF82631</vt:lpwstr>
  </property>
</Properties>
</file>