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6778" w14:textId="77777777" w:rsidR="002F65B2" w:rsidRDefault="002F65B2" w:rsidP="00F82F8B">
      <w:pPr>
        <w:tabs>
          <w:tab w:val="left" w:pos="2552"/>
        </w:tabs>
        <w:ind w:left="142"/>
        <w:jc w:val="center"/>
      </w:pP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5103"/>
        <w:gridCol w:w="3959"/>
        <w:gridCol w:w="152"/>
      </w:tblGrid>
      <w:tr w:rsidR="002F65B2" w:rsidRPr="005C5173" w14:paraId="64BABB4B" w14:textId="77777777" w:rsidTr="002A610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B8D2EE" w14:textId="77777777" w:rsidR="002F65B2" w:rsidRPr="00963B41" w:rsidRDefault="002F65B2" w:rsidP="002A610E">
            <w:pPr>
              <w:tabs>
                <w:tab w:val="left" w:pos="3969"/>
              </w:tabs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bookmarkStart w:id="0" w:name="_Hlk121998834"/>
            <w:r w:rsidRPr="00963B41"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 xml:space="preserve">Ambassade de France </w:t>
            </w:r>
            <w:r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>au Koweït</w:t>
            </w:r>
          </w:p>
          <w:p w14:paraId="0C80CD1B" w14:textId="77777777" w:rsidR="002F65B2" w:rsidRPr="00963B41" w:rsidRDefault="002F65B2" w:rsidP="002A610E">
            <w:pPr>
              <w:tabs>
                <w:tab w:val="left" w:pos="3969"/>
              </w:tabs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>Service économique de Koweït</w:t>
            </w:r>
          </w:p>
          <w:bookmarkEnd w:id="0"/>
          <w:p w14:paraId="444933B7" w14:textId="77777777" w:rsidR="002F65B2" w:rsidRPr="005C5173" w:rsidRDefault="002F65B2" w:rsidP="002A610E">
            <w:pPr>
              <w:tabs>
                <w:tab w:val="left" w:pos="3969"/>
              </w:tabs>
              <w:rPr>
                <w:rFonts w:ascii="Segoe UI" w:hAnsi="Segoe UI" w:cs="Segoe UI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1C215" w14:textId="77777777" w:rsidR="002F65B2" w:rsidRPr="005C5173" w:rsidRDefault="002F65B2" w:rsidP="002A610E">
            <w:pPr>
              <w:tabs>
                <w:tab w:val="left" w:pos="3969"/>
              </w:tabs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</w:pPr>
          </w:p>
          <w:p w14:paraId="268F67DD" w14:textId="77777777" w:rsidR="002F65B2" w:rsidRPr="005C5173" w:rsidRDefault="002F65B2" w:rsidP="002A610E">
            <w:pPr>
              <w:tabs>
                <w:tab w:val="left" w:pos="3969"/>
              </w:tabs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</w:pPr>
          </w:p>
          <w:p w14:paraId="669040A8" w14:textId="2B498CAC" w:rsidR="002F65B2" w:rsidRPr="005C5173" w:rsidRDefault="002F65B2" w:rsidP="002A610E">
            <w:pPr>
              <w:tabs>
                <w:tab w:val="left" w:pos="3969"/>
              </w:tabs>
              <w:ind w:firstLine="459"/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     </w:t>
            </w:r>
            <w:r w:rsidR="00803C3D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       </w:t>
            </w:r>
            <w:r w:rsidR="00A90F56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</w:t>
            </w:r>
            <w:r w:rsidR="003A2253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  </w:t>
            </w:r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Kuwait City, le </w:t>
            </w:r>
            <w:r w:rsidR="003A2253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2</w:t>
            </w:r>
            <w:r w:rsidR="00A90F56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</w:t>
            </w:r>
            <w:r w:rsidR="003A2253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avril</w:t>
            </w:r>
            <w:r w:rsidR="00A90F56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2024 </w:t>
            </w:r>
            <w:r w:rsidR="00C20EBB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</w:t>
            </w:r>
          </w:p>
          <w:p w14:paraId="470D4FC9" w14:textId="77777777" w:rsidR="002F65B2" w:rsidRPr="005C5173" w:rsidRDefault="002F65B2" w:rsidP="002A610E">
            <w:pPr>
              <w:tabs>
                <w:tab w:val="left" w:pos="3969"/>
              </w:tabs>
              <w:ind w:firstLine="459"/>
              <w:rPr>
                <w:rFonts w:ascii="Segoe UI" w:hAnsi="Segoe UI" w:cs="Segoe UI"/>
              </w:rPr>
            </w:pPr>
          </w:p>
        </w:tc>
      </w:tr>
      <w:tr w:rsidR="00EC18DD" w:rsidRPr="005C5173" w14:paraId="41D300AB" w14:textId="77777777" w:rsidTr="002A610E">
        <w:trPr>
          <w:gridAfter w:val="1"/>
          <w:wAfter w:w="152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9E647" w14:textId="77777777" w:rsidR="002E3B08" w:rsidRDefault="002E3B08" w:rsidP="003A2253">
            <w:pPr>
              <w:tabs>
                <w:tab w:val="left" w:pos="3969"/>
                <w:tab w:val="center" w:pos="4423"/>
                <w:tab w:val="right" w:pos="8846"/>
              </w:tabs>
              <w:rPr>
                <w:rFonts w:ascii="Segoe UI" w:eastAsia="Calibri" w:hAnsi="Segoe UI" w:cs="Segoe UI"/>
                <w:color w:val="006CE5"/>
                <w:sz w:val="32"/>
                <w:szCs w:val="32"/>
                <w:lang w:eastAsia="fr-FR"/>
              </w:rPr>
            </w:pPr>
          </w:p>
          <w:p w14:paraId="4F4921DE" w14:textId="24C24056" w:rsidR="002E3B08" w:rsidRDefault="002E3B08" w:rsidP="00C20EBB">
            <w:pPr>
              <w:tabs>
                <w:tab w:val="left" w:pos="3969"/>
                <w:tab w:val="center" w:pos="4423"/>
                <w:tab w:val="right" w:pos="8846"/>
              </w:tabs>
              <w:jc w:val="center"/>
              <w:rPr>
                <w:rFonts w:ascii="Segoe UI" w:eastAsia="Calibri" w:hAnsi="Segoe UI" w:cs="Segoe UI"/>
                <w:color w:val="006CE5"/>
                <w:sz w:val="32"/>
                <w:szCs w:val="32"/>
                <w:lang w:eastAsia="fr-FR"/>
              </w:rPr>
            </w:pPr>
            <w:r>
              <w:rPr>
                <w:rFonts w:ascii="Segoe UI" w:eastAsia="Calibri" w:hAnsi="Segoe UI" w:cs="Segoe UI"/>
                <w:color w:val="006CE5"/>
                <w:sz w:val="32"/>
                <w:szCs w:val="32"/>
                <w:lang w:eastAsia="fr-FR"/>
              </w:rPr>
              <w:t xml:space="preserve">Un déficit commercial </w:t>
            </w:r>
            <w:r w:rsidR="007F58E4">
              <w:rPr>
                <w:rFonts w:ascii="Segoe UI" w:eastAsia="Calibri" w:hAnsi="Segoe UI" w:cs="Segoe UI"/>
                <w:color w:val="006CE5"/>
                <w:sz w:val="32"/>
                <w:szCs w:val="32"/>
                <w:lang w:eastAsia="fr-FR"/>
              </w:rPr>
              <w:t xml:space="preserve">creusé </w:t>
            </w:r>
            <w:r>
              <w:rPr>
                <w:rFonts w:ascii="Segoe UI" w:eastAsia="Calibri" w:hAnsi="Segoe UI" w:cs="Segoe UI"/>
                <w:color w:val="006CE5"/>
                <w:sz w:val="32"/>
                <w:szCs w:val="32"/>
                <w:lang w:eastAsia="fr-FR"/>
              </w:rPr>
              <w:t>malgré des exportations hors aéronautiques qui confirment leur dynamisme et leur intensité technologique.</w:t>
            </w:r>
          </w:p>
          <w:p w14:paraId="5F70E338" w14:textId="77777777" w:rsidR="002E3B08" w:rsidRPr="00C95D42" w:rsidRDefault="002E3B08" w:rsidP="00C20EBB">
            <w:pPr>
              <w:tabs>
                <w:tab w:val="left" w:pos="3969"/>
                <w:tab w:val="center" w:pos="4423"/>
                <w:tab w:val="right" w:pos="8846"/>
              </w:tabs>
              <w:jc w:val="center"/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</w:pPr>
          </w:p>
          <w:p w14:paraId="6E199F6F" w14:textId="249DF85D" w:rsidR="003A4D1E" w:rsidRPr="00C95D42" w:rsidRDefault="002E3B08" w:rsidP="00B14885">
            <w:pPr>
              <w:tabs>
                <w:tab w:val="left" w:pos="3969"/>
                <w:tab w:val="center" w:pos="4423"/>
                <w:tab w:val="right" w:pos="8846"/>
              </w:tabs>
              <w:jc w:val="both"/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</w:pPr>
            <w:r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 xml:space="preserve">Résumé : </w:t>
            </w:r>
            <w:r w:rsidR="00B14885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>le Koweït devient notre 3</w:t>
            </w:r>
            <w:r w:rsidR="00B14885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vertAlign w:val="superscript"/>
                <w:lang w:eastAsia="fr-FR"/>
              </w:rPr>
              <w:t>ième</w:t>
            </w:r>
            <w:r w:rsidR="00B14885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 xml:space="preserve"> partenaire commercial CCEAG. </w:t>
            </w:r>
            <w:r w:rsidR="00F76CFB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 xml:space="preserve">creusement du déficit apparu en 2022 </w:t>
            </w:r>
            <w:r w:rsidR="00E60172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 xml:space="preserve"> à 1,28 Md EUR (70 %) </w:t>
            </w:r>
            <w:r w:rsidR="00F76CFB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>en raison du dynamisme confirmé de nos importations d</w:t>
            </w:r>
            <w:r w:rsidR="00B14885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>e distillats</w:t>
            </w:r>
            <w:r w:rsidR="00F76CFB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 xml:space="preserve"> (&gt; 2 Mds EUR + 1/5) et du cycle de livraisons aéronautiques (-42 % pour l’ensemble des matériels de transport). Hors </w:t>
            </w:r>
            <w:r w:rsidR="00361204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>matériel de transport</w:t>
            </w:r>
            <w:r w:rsidR="00F76CFB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 xml:space="preserve">, nos exportations continuent à progresser </w:t>
            </w:r>
            <w:r w:rsidR="00361204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>(</w:t>
            </w:r>
            <w:r w:rsidR="002D03B9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>+6,4%</w:t>
            </w:r>
            <w:r w:rsidR="00361204" w:rsidRPr="00C95D42"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  <w:t>).</w:t>
            </w:r>
          </w:p>
          <w:p w14:paraId="7F141E15" w14:textId="5DD76EDC" w:rsidR="00C20EBB" w:rsidRPr="007826C1" w:rsidRDefault="00C20EBB" w:rsidP="00C20EBB">
            <w:pPr>
              <w:tabs>
                <w:tab w:val="left" w:pos="3969"/>
                <w:tab w:val="center" w:pos="4423"/>
                <w:tab w:val="right" w:pos="8846"/>
              </w:tabs>
              <w:jc w:val="center"/>
              <w:rPr>
                <w:rFonts w:ascii="Segoe UI" w:eastAsia="Calibri" w:hAnsi="Segoe UI" w:cs="Segoe UI"/>
                <w:color w:val="006CE5"/>
                <w:sz w:val="20"/>
                <w:szCs w:val="20"/>
                <w:lang w:eastAsia="fr-FR"/>
              </w:rPr>
            </w:pPr>
          </w:p>
        </w:tc>
      </w:tr>
    </w:tbl>
    <w:p w14:paraId="7218EE2C" w14:textId="21900A87" w:rsidR="00024757" w:rsidRDefault="00024757" w:rsidP="00024757">
      <w:pPr>
        <w:jc w:val="both"/>
        <w:rPr>
          <w:rFonts w:ascii="Segoe UI" w:hAnsi="Segoe UI" w:cs="Segoe UI"/>
        </w:rPr>
      </w:pPr>
      <w:r w:rsidRPr="00E375A2">
        <w:rPr>
          <w:rFonts w:ascii="Segoe UI" w:hAnsi="Segoe UI" w:cs="Segoe UI"/>
          <w:noProof/>
          <w:sz w:val="23"/>
          <w:szCs w:val="23"/>
        </w:rPr>
        <mc:AlternateContent>
          <mc:Choice Requires="wps">
            <w:drawing>
              <wp:inline distT="0" distB="0" distL="0" distR="0" wp14:anchorId="2DF09B9C" wp14:editId="1E13648D">
                <wp:extent cx="5760720" cy="523875"/>
                <wp:effectExtent l="0" t="0" r="0" b="9525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523875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DA67" w14:textId="5D032F67" w:rsidR="00024757" w:rsidRPr="00316304" w:rsidRDefault="00E60172" w:rsidP="00316304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</w:pPr>
                            <w:r w:rsidRPr="00316304"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  <w:t>La baisse de nos livraisons d’aéronefs dégrade sensiblement nos exportations.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F09B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53.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" fillcolor="#006ce5" stroked="f">
                <v:textbox>
                  <w:txbxContent>
                    <w:p w14:paraId="4E23DA67" w14:textId="5D032F67" w:rsidR="00024757" w:rsidRPr="00316304" w:rsidRDefault="00E60172" w:rsidP="00316304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</w:pPr>
                      <w:r w:rsidRPr="00316304"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  <w:t>La baisse de nos livraisons d’aéronefs dégrade sensiblement nos exportations.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097DCD" w14:textId="115C11AE" w:rsidR="0007741F" w:rsidRDefault="00081205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 w:rsidRPr="00081205">
        <w:rPr>
          <w:rFonts w:ascii="Segoe UI" w:hAnsi="Segoe UI" w:cs="Segoe UI"/>
          <w:bCs/>
          <w:iCs/>
        </w:rPr>
        <w:t xml:space="preserve">Nos </w:t>
      </w:r>
      <w:r w:rsidRPr="00081205">
        <w:rPr>
          <w:rFonts w:ascii="Segoe UI" w:hAnsi="Segoe UI" w:cs="Segoe UI"/>
          <w:b/>
          <w:iCs/>
        </w:rPr>
        <w:t>exportations vers le Koweït (803,6 M EUR)</w:t>
      </w:r>
      <w:r w:rsidRPr="00081205">
        <w:rPr>
          <w:rFonts w:ascii="Segoe UI" w:hAnsi="Segoe UI" w:cs="Segoe UI"/>
          <w:bCs/>
          <w:iCs/>
        </w:rPr>
        <w:t xml:space="preserve">, en baisse de </w:t>
      </w:r>
      <w:r w:rsidRPr="00081205">
        <w:rPr>
          <w:rFonts w:ascii="Segoe UI" w:hAnsi="Segoe UI" w:cs="Segoe UI"/>
          <w:b/>
          <w:iCs/>
        </w:rPr>
        <w:t>18,6% par rapport à 2022</w:t>
      </w:r>
      <w:r w:rsidRPr="00081205">
        <w:rPr>
          <w:rFonts w:ascii="Segoe UI" w:hAnsi="Segoe UI" w:cs="Segoe UI"/>
          <w:bCs/>
          <w:iCs/>
        </w:rPr>
        <w:t xml:space="preserve"> (987,5 M EUR), </w:t>
      </w:r>
      <w:r w:rsidR="00CC6ABA">
        <w:rPr>
          <w:rFonts w:ascii="Segoe UI" w:hAnsi="Segoe UI" w:cs="Segoe UI"/>
          <w:bCs/>
          <w:iCs/>
        </w:rPr>
        <w:t xml:space="preserve">reculent de 183,9 M EUR </w:t>
      </w:r>
      <w:r w:rsidRPr="004C2D7E">
        <w:rPr>
          <w:rFonts w:ascii="Segoe UI" w:hAnsi="Segoe UI" w:cs="Segoe UI"/>
          <w:b/>
          <w:iCs/>
        </w:rPr>
        <w:t>après une année</w:t>
      </w:r>
      <w:r w:rsidRPr="00081205">
        <w:rPr>
          <w:rFonts w:ascii="Segoe UI" w:hAnsi="Segoe UI" w:cs="Segoe UI"/>
          <w:bCs/>
          <w:iCs/>
        </w:rPr>
        <w:t xml:space="preserve"> </w:t>
      </w:r>
      <w:r w:rsidRPr="00081205">
        <w:rPr>
          <w:rFonts w:ascii="Segoe UI" w:hAnsi="Segoe UI" w:cs="Segoe UI"/>
          <w:b/>
          <w:iCs/>
        </w:rPr>
        <w:t>2022 historique</w:t>
      </w:r>
      <w:r w:rsidRPr="00E86C65">
        <w:rPr>
          <w:rFonts w:ascii="Segoe UI" w:hAnsi="Segoe UI" w:cs="Segoe UI"/>
          <w:b/>
          <w:iCs/>
        </w:rPr>
        <w:t>.</w:t>
      </w:r>
      <w:r w:rsidRPr="00E86C65">
        <w:rPr>
          <w:rFonts w:ascii="Segoe UI" w:hAnsi="Segoe UI" w:cs="Segoe UI"/>
          <w:bCs/>
          <w:iCs/>
        </w:rPr>
        <w:t xml:space="preserve"> Elle</w:t>
      </w:r>
      <w:r w:rsidR="00E86C65">
        <w:rPr>
          <w:rFonts w:ascii="Segoe UI" w:hAnsi="Segoe UI" w:cs="Segoe UI"/>
          <w:bCs/>
          <w:iCs/>
        </w:rPr>
        <w:t>s</w:t>
      </w:r>
      <w:r w:rsidRPr="00E86C65">
        <w:rPr>
          <w:rFonts w:ascii="Segoe UI" w:hAnsi="Segoe UI" w:cs="Segoe UI"/>
          <w:bCs/>
          <w:iCs/>
        </w:rPr>
        <w:t xml:space="preserve"> reste</w:t>
      </w:r>
      <w:r w:rsidR="00E86C65">
        <w:rPr>
          <w:rFonts w:ascii="Segoe UI" w:hAnsi="Segoe UI" w:cs="Segoe UI"/>
          <w:bCs/>
          <w:iCs/>
        </w:rPr>
        <w:t>nt</w:t>
      </w:r>
      <w:r w:rsidRPr="00E86C65">
        <w:rPr>
          <w:rFonts w:ascii="Segoe UI" w:hAnsi="Segoe UI" w:cs="Segoe UI"/>
          <w:bCs/>
          <w:iCs/>
        </w:rPr>
        <w:t xml:space="preserve"> néanmoins à un niveau élevé, en hausse de </w:t>
      </w:r>
      <w:r w:rsidR="00E86C65" w:rsidRPr="00E86C65">
        <w:rPr>
          <w:rFonts w:ascii="Segoe UI" w:hAnsi="Segoe UI" w:cs="Segoe UI"/>
          <w:bCs/>
          <w:iCs/>
        </w:rPr>
        <w:t>37% par rapport à 2021 (588,5 M EUR).</w:t>
      </w:r>
      <w:r w:rsidR="00E86C65">
        <w:rPr>
          <w:rFonts w:ascii="Segoe UI" w:hAnsi="Segoe UI" w:cs="Segoe UI"/>
          <w:bCs/>
          <w:iCs/>
        </w:rPr>
        <w:t xml:space="preserve"> </w:t>
      </w:r>
      <w:r w:rsidR="00BC00EF">
        <w:rPr>
          <w:rFonts w:ascii="Segoe UI" w:hAnsi="Segoe UI" w:cs="Segoe UI"/>
          <w:bCs/>
          <w:iCs/>
        </w:rPr>
        <w:t xml:space="preserve">Au sein du Conseil de coopération du Golfe, le Koweït est devenu le </w:t>
      </w:r>
      <w:r w:rsidR="00BC00EF" w:rsidRPr="00BC00EF">
        <w:rPr>
          <w:rFonts w:ascii="Segoe UI" w:hAnsi="Segoe UI" w:cs="Segoe UI"/>
          <w:b/>
          <w:iCs/>
        </w:rPr>
        <w:t>3</w:t>
      </w:r>
      <w:r w:rsidR="00BC00EF" w:rsidRPr="00BC00EF">
        <w:rPr>
          <w:rFonts w:ascii="Segoe UI" w:hAnsi="Segoe UI" w:cs="Segoe UI"/>
          <w:b/>
          <w:iCs/>
          <w:vertAlign w:val="superscript"/>
        </w:rPr>
        <w:t>ème</w:t>
      </w:r>
      <w:r w:rsidR="00BC00EF" w:rsidRPr="00BC00EF">
        <w:rPr>
          <w:rFonts w:ascii="Segoe UI" w:hAnsi="Segoe UI" w:cs="Segoe UI"/>
          <w:b/>
          <w:iCs/>
        </w:rPr>
        <w:t xml:space="preserve"> partenaire commercial de la France</w:t>
      </w:r>
      <w:r w:rsidR="00BC00EF">
        <w:rPr>
          <w:rFonts w:ascii="Segoe UI" w:hAnsi="Segoe UI" w:cs="Segoe UI"/>
          <w:bCs/>
          <w:iCs/>
        </w:rPr>
        <w:t xml:space="preserve">, </w:t>
      </w:r>
      <w:r w:rsidR="00BC00EF" w:rsidRPr="002E3B08">
        <w:rPr>
          <w:rFonts w:ascii="Segoe UI" w:hAnsi="Segoe UI" w:cs="Segoe UI"/>
          <w:b/>
          <w:iCs/>
        </w:rPr>
        <w:t>en dépassant le Qatar</w:t>
      </w:r>
      <w:r w:rsidR="00BC00EF">
        <w:rPr>
          <w:rFonts w:ascii="Segoe UI" w:hAnsi="Segoe UI" w:cs="Segoe UI"/>
          <w:bCs/>
          <w:iCs/>
        </w:rPr>
        <w:t xml:space="preserve"> et derrière les EAU et l’Arabie Saoudite. </w:t>
      </w:r>
    </w:p>
    <w:p w14:paraId="65BAE94F" w14:textId="42CE68AB" w:rsidR="00CC6ABA" w:rsidRDefault="00E86C65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>
        <w:rPr>
          <w:rFonts w:ascii="Segoe UI" w:hAnsi="Segoe UI" w:cs="Segoe UI"/>
          <w:bCs/>
          <w:iCs/>
        </w:rPr>
        <w:t>Le reflux</w:t>
      </w:r>
      <w:r w:rsidR="004C2D7E">
        <w:rPr>
          <w:rFonts w:ascii="Segoe UI" w:hAnsi="Segoe UI" w:cs="Segoe UI"/>
          <w:bCs/>
          <w:iCs/>
        </w:rPr>
        <w:t xml:space="preserve"> des exportations</w:t>
      </w:r>
      <w:r>
        <w:rPr>
          <w:rFonts w:ascii="Segoe UI" w:hAnsi="Segoe UI" w:cs="Segoe UI"/>
          <w:bCs/>
          <w:iCs/>
        </w:rPr>
        <w:t xml:space="preserve"> s’explique par l</w:t>
      </w:r>
      <w:r w:rsidR="00E60172">
        <w:rPr>
          <w:rFonts w:ascii="Segoe UI" w:hAnsi="Segoe UI" w:cs="Segoe UI"/>
          <w:bCs/>
          <w:iCs/>
        </w:rPr>
        <w:t>e</w:t>
      </w:r>
      <w:r>
        <w:rPr>
          <w:rFonts w:ascii="Segoe UI" w:hAnsi="Segoe UI" w:cs="Segoe UI"/>
          <w:bCs/>
          <w:iCs/>
        </w:rPr>
        <w:t xml:space="preserve"> cyc</w:t>
      </w:r>
      <w:r w:rsidR="00E60172">
        <w:rPr>
          <w:rFonts w:ascii="Segoe UI" w:hAnsi="Segoe UI" w:cs="Segoe UI"/>
          <w:bCs/>
          <w:iCs/>
        </w:rPr>
        <w:t xml:space="preserve">le aéronautique </w:t>
      </w:r>
      <w:r>
        <w:rPr>
          <w:rFonts w:ascii="Segoe UI" w:hAnsi="Segoe UI" w:cs="Segoe UI"/>
          <w:bCs/>
          <w:iCs/>
        </w:rPr>
        <w:t xml:space="preserve">avec </w:t>
      </w:r>
      <w:r w:rsidRPr="00E86C65">
        <w:rPr>
          <w:rFonts w:ascii="Segoe UI" w:hAnsi="Segoe UI" w:cs="Segoe UI"/>
          <w:b/>
          <w:iCs/>
        </w:rPr>
        <w:t>une baisse des exportations matériel de transport de 41,7%</w:t>
      </w:r>
      <w:r>
        <w:rPr>
          <w:rFonts w:ascii="Segoe UI" w:hAnsi="Segoe UI" w:cs="Segoe UI"/>
          <w:bCs/>
          <w:iCs/>
        </w:rPr>
        <w:t xml:space="preserve"> par rapport à 2022 (- 214 M EUR) pour atteindre 299 M EUR.</w:t>
      </w:r>
      <w:r w:rsidR="004C6C6C">
        <w:rPr>
          <w:rFonts w:ascii="Segoe UI" w:hAnsi="Segoe UI" w:cs="Segoe UI"/>
          <w:bCs/>
          <w:iCs/>
        </w:rPr>
        <w:t xml:space="preserve"> </w:t>
      </w:r>
      <w:r w:rsidR="00B57B33">
        <w:rPr>
          <w:rFonts w:ascii="Segoe UI" w:hAnsi="Segoe UI" w:cs="Segoe UI"/>
          <w:bCs/>
          <w:iCs/>
        </w:rPr>
        <w:t>L</w:t>
      </w:r>
      <w:r w:rsidR="002E3B08">
        <w:rPr>
          <w:rFonts w:ascii="Segoe UI" w:hAnsi="Segoe UI" w:cs="Segoe UI"/>
          <w:bCs/>
          <w:iCs/>
        </w:rPr>
        <w:t>e niveau atteint en</w:t>
      </w:r>
      <w:r w:rsidR="00B57B33">
        <w:rPr>
          <w:rFonts w:ascii="Segoe UI" w:hAnsi="Segoe UI" w:cs="Segoe UI"/>
          <w:bCs/>
          <w:iCs/>
        </w:rPr>
        <w:t xml:space="preserve"> 2022 </w:t>
      </w:r>
      <w:r w:rsidR="002E3B08">
        <w:rPr>
          <w:rFonts w:ascii="Segoe UI" w:hAnsi="Segoe UI" w:cs="Segoe UI"/>
          <w:bCs/>
          <w:iCs/>
        </w:rPr>
        <w:t xml:space="preserve"> reflétait </w:t>
      </w:r>
      <w:r w:rsidR="00B57B33">
        <w:rPr>
          <w:rFonts w:ascii="Segoe UI" w:hAnsi="Segoe UI" w:cs="Segoe UI"/>
          <w:bCs/>
          <w:iCs/>
        </w:rPr>
        <w:t xml:space="preserve">la livraison de 4 appareils Airbus à la compagnie aérienne Kuwait Airways et de 2 A 320 </w:t>
      </w:r>
      <w:proofErr w:type="spellStart"/>
      <w:r w:rsidR="00B57B33">
        <w:rPr>
          <w:rFonts w:ascii="Segoe UI" w:hAnsi="Segoe UI" w:cs="Segoe UI"/>
          <w:bCs/>
          <w:iCs/>
        </w:rPr>
        <w:t>neo</w:t>
      </w:r>
      <w:proofErr w:type="spellEnd"/>
      <w:r w:rsidR="00B57B33">
        <w:rPr>
          <w:rFonts w:ascii="Segoe UI" w:hAnsi="Segoe UI" w:cs="Segoe UI"/>
          <w:bCs/>
          <w:iCs/>
        </w:rPr>
        <w:t xml:space="preserve"> à Jazeera Airways. </w:t>
      </w:r>
    </w:p>
    <w:p w14:paraId="3E2CA6E8" w14:textId="77777777" w:rsidR="002E3B08" w:rsidRDefault="002E3B08" w:rsidP="002E3B08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 w:rsidRPr="00057EDC">
        <w:rPr>
          <w:rFonts w:ascii="Segoe UI" w:hAnsi="Segoe UI" w:cs="Segoe UI"/>
          <w:b/>
          <w:iCs/>
        </w:rPr>
        <w:t>Les équipements mécaniques, matériel électrique, électronique informatique</w:t>
      </w:r>
      <w:r>
        <w:rPr>
          <w:rFonts w:ascii="Segoe UI" w:hAnsi="Segoe UI" w:cs="Segoe UI"/>
          <w:bCs/>
          <w:iCs/>
        </w:rPr>
        <w:t xml:space="preserve"> progressent de manière significative avec une </w:t>
      </w:r>
      <w:r w:rsidRPr="003A4D1E">
        <w:rPr>
          <w:rFonts w:ascii="Segoe UI" w:hAnsi="Segoe UI" w:cs="Segoe UI"/>
          <w:b/>
          <w:iCs/>
        </w:rPr>
        <w:t>hausse de 56,5% pour atteindre 122,9 M EUR</w:t>
      </w:r>
      <w:r>
        <w:rPr>
          <w:rFonts w:ascii="Segoe UI" w:hAnsi="Segoe UI" w:cs="Segoe UI"/>
          <w:bCs/>
          <w:iCs/>
        </w:rPr>
        <w:t xml:space="preserve">. Confirmant la place de la France comme nation technologique, ces postes représentent désormais 15% de nos exportations vers le Koweït, soit un quasi doublement de leur importance (8%) par rapport à 2022. </w:t>
      </w:r>
    </w:p>
    <w:p w14:paraId="16710E11" w14:textId="55BB3906" w:rsidR="00F76CFB" w:rsidRDefault="004C6C6C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 w:rsidRPr="004C6C6C">
        <w:rPr>
          <w:rFonts w:ascii="Segoe UI" w:hAnsi="Segoe UI" w:cs="Segoe UI"/>
          <w:b/>
          <w:iCs/>
        </w:rPr>
        <w:t xml:space="preserve">L’industrie du </w:t>
      </w:r>
      <w:r>
        <w:rPr>
          <w:rFonts w:ascii="Segoe UI" w:hAnsi="Segoe UI" w:cs="Segoe UI"/>
          <w:b/>
          <w:iCs/>
        </w:rPr>
        <w:t>textile</w:t>
      </w:r>
      <w:r>
        <w:rPr>
          <w:rFonts w:ascii="Segoe UI" w:hAnsi="Segoe UI" w:cs="Segoe UI"/>
          <w:bCs/>
          <w:iCs/>
        </w:rPr>
        <w:t xml:space="preserve"> connaît aussi une légère baisse d’activité (-8,9%) mais reste un poste important </w:t>
      </w:r>
      <w:r w:rsidR="001B11E8">
        <w:rPr>
          <w:rFonts w:ascii="Segoe UI" w:hAnsi="Segoe UI" w:cs="Segoe UI"/>
          <w:bCs/>
          <w:iCs/>
        </w:rPr>
        <w:t>pour</w:t>
      </w:r>
      <w:r>
        <w:rPr>
          <w:rFonts w:ascii="Segoe UI" w:hAnsi="Segoe UI" w:cs="Segoe UI"/>
          <w:bCs/>
          <w:iCs/>
        </w:rPr>
        <w:t xml:space="preserve"> la France avec des e</w:t>
      </w:r>
      <w:r w:rsidR="002E3B08">
        <w:rPr>
          <w:rFonts w:ascii="Segoe UI" w:hAnsi="Segoe UI" w:cs="Segoe UI"/>
          <w:bCs/>
          <w:iCs/>
        </w:rPr>
        <w:t>nvois</w:t>
      </w:r>
      <w:r>
        <w:rPr>
          <w:rFonts w:ascii="Segoe UI" w:hAnsi="Segoe UI" w:cs="Segoe UI"/>
          <w:bCs/>
          <w:iCs/>
        </w:rPr>
        <w:t xml:space="preserve"> de 100 M EUR. Enfin, les </w:t>
      </w:r>
      <w:r w:rsidRPr="00002ED4">
        <w:rPr>
          <w:rFonts w:ascii="Segoe UI" w:hAnsi="Segoe UI" w:cs="Segoe UI"/>
          <w:b/>
          <w:iCs/>
        </w:rPr>
        <w:t>produits chimiques, parfums et cosmétiques</w:t>
      </w:r>
      <w:r>
        <w:rPr>
          <w:rFonts w:ascii="Segoe UI" w:hAnsi="Segoe UI" w:cs="Segoe UI"/>
          <w:bCs/>
          <w:iCs/>
        </w:rPr>
        <w:t xml:space="preserve"> diminuent de 17,5% pour atteindre 71,5 M EU</w:t>
      </w:r>
      <w:r w:rsidR="00002ED4">
        <w:rPr>
          <w:rFonts w:ascii="Segoe UI" w:hAnsi="Segoe UI" w:cs="Segoe UI"/>
          <w:bCs/>
          <w:iCs/>
        </w:rPr>
        <w:t>R. La dynamique dans ces industries semble être à une normalisation après deux dernières années très performantes d</w:t>
      </w:r>
      <w:r w:rsidR="00DB68FE">
        <w:rPr>
          <w:rFonts w:ascii="Segoe UI" w:hAnsi="Segoe UI" w:cs="Segoe UI"/>
          <w:bCs/>
          <w:iCs/>
        </w:rPr>
        <w:t>urant lesquelles un</w:t>
      </w:r>
      <w:r w:rsidR="00002ED4">
        <w:rPr>
          <w:rFonts w:ascii="Segoe UI" w:hAnsi="Segoe UI" w:cs="Segoe UI"/>
          <w:bCs/>
          <w:iCs/>
        </w:rPr>
        <w:t xml:space="preserve"> rattrapage</w:t>
      </w:r>
      <w:r w:rsidR="00DB68FE">
        <w:rPr>
          <w:rFonts w:ascii="Segoe UI" w:hAnsi="Segoe UI" w:cs="Segoe UI"/>
          <w:bCs/>
          <w:iCs/>
        </w:rPr>
        <w:t xml:space="preserve"> semble avoir eu lieu</w:t>
      </w:r>
      <w:r w:rsidR="00002ED4">
        <w:rPr>
          <w:rFonts w:ascii="Segoe UI" w:hAnsi="Segoe UI" w:cs="Segoe UI"/>
          <w:bCs/>
          <w:iCs/>
        </w:rPr>
        <w:t xml:space="preserve"> </w:t>
      </w:r>
      <w:r w:rsidR="00CC6ABA">
        <w:rPr>
          <w:rFonts w:ascii="Segoe UI" w:hAnsi="Segoe UI" w:cs="Segoe UI"/>
          <w:bCs/>
          <w:iCs/>
        </w:rPr>
        <w:t>après les périodes de restrictions sanitaires</w:t>
      </w:r>
      <w:r w:rsidR="00DB68FE">
        <w:rPr>
          <w:rFonts w:ascii="Segoe UI" w:hAnsi="Segoe UI" w:cs="Segoe UI"/>
          <w:bCs/>
          <w:iCs/>
        </w:rPr>
        <w:t xml:space="preserve"> en 2020-2021. </w:t>
      </w:r>
    </w:p>
    <w:p w14:paraId="6652CD0D" w14:textId="364324D0" w:rsidR="00022D57" w:rsidRDefault="00022D57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 w:rsidRPr="00B14885">
        <w:rPr>
          <w:rFonts w:ascii="Segoe UI" w:hAnsi="Segoe UI" w:cs="Segoe UI"/>
          <w:b/>
          <w:iCs/>
        </w:rPr>
        <w:t>Les produits des industries agroalimentaires</w:t>
      </w:r>
      <w:r w:rsidRPr="00B14885">
        <w:rPr>
          <w:rFonts w:ascii="Segoe UI" w:hAnsi="Segoe UI" w:cs="Segoe UI"/>
          <w:bCs/>
          <w:iCs/>
        </w:rPr>
        <w:t xml:space="preserve"> ont connu un léger recul de 7,1% pour atteindre un niveau de 67 M EUR. Ils confirment néanmoins leur niveau élevé, comptant pour 8% des exportations (et même 15% hors matériel de transport). </w:t>
      </w:r>
    </w:p>
    <w:p w14:paraId="48E810B6" w14:textId="77777777" w:rsidR="00E60172" w:rsidRPr="00B14885" w:rsidRDefault="00E60172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</w:p>
    <w:p w14:paraId="660D354A" w14:textId="77777777" w:rsidR="003A4D1E" w:rsidRDefault="003A4D1E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</w:p>
    <w:p w14:paraId="5F9D1F96" w14:textId="3A179F77" w:rsidR="007E7EBF" w:rsidRDefault="007E7EBF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 w:rsidRPr="00E375A2">
        <w:rPr>
          <w:rFonts w:ascii="Segoe UI" w:hAnsi="Segoe UI" w:cs="Segoe UI"/>
          <w:noProof/>
          <w:sz w:val="23"/>
          <w:szCs w:val="23"/>
        </w:rPr>
        <w:lastRenderedPageBreak/>
        <mc:AlternateContent>
          <mc:Choice Requires="wps">
            <w:drawing>
              <wp:inline distT="0" distB="0" distL="0" distR="0" wp14:anchorId="374D5992" wp14:editId="3C9485C9">
                <wp:extent cx="5981700" cy="342900"/>
                <wp:effectExtent l="0" t="0" r="0" b="0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4290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9F1EF" w14:textId="523DB22E" w:rsidR="007E7EBF" w:rsidRPr="00574C07" w:rsidRDefault="00B14885" w:rsidP="007E7EBF">
                            <w:pP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  <w:t xml:space="preserve">2. </w:t>
                            </w:r>
                            <w:r w:rsidR="00244E2F"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  <w:t xml:space="preserve">Le rôle du Koweït dans l’approvisionnement </w:t>
                            </w:r>
                            <w:r w:rsidR="00B258F3"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  <w:t>énergétique</w:t>
                            </w:r>
                            <w:r w:rsidR="00244E2F"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  <w:t xml:space="preserve"> de la France se </w:t>
                            </w:r>
                            <w:r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  <w:t>renforce</w:t>
                            </w:r>
                            <w:r w:rsidR="002E3B08">
                              <w:rPr>
                                <w:rFonts w:ascii="Segoe UI Historic" w:hAnsi="Segoe UI Historic" w:cs="Segoe UI Historic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D5992" id="_x0000_s1027" type="#_x0000_t202" style="width:471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" fillcolor="#006ce5" stroked="f">
                <v:textbox>
                  <w:txbxContent>
                    <w:p w14:paraId="1A49F1EF" w14:textId="523DB22E" w:rsidR="007E7EBF" w:rsidRPr="00574C07" w:rsidRDefault="00B14885" w:rsidP="007E7EBF">
                      <w:pP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  <w:t xml:space="preserve">2. </w:t>
                      </w:r>
                      <w:r w:rsidR="00244E2F"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  <w:t xml:space="preserve">Le rôle du Koweït dans l’approvisionnement </w:t>
                      </w:r>
                      <w:r w:rsidR="00B258F3"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  <w:t>énergétique</w:t>
                      </w:r>
                      <w:r w:rsidR="00244E2F"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  <w:t xml:space="preserve"> de la France se </w:t>
                      </w:r>
                      <w:r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  <w:t>renforce</w:t>
                      </w:r>
                      <w:r w:rsidR="002E3B08">
                        <w:rPr>
                          <w:rFonts w:ascii="Segoe UI Historic" w:hAnsi="Segoe UI Historic" w:cs="Segoe UI Historic"/>
                          <w:color w:val="FFFFFF" w:themeColor="background1"/>
                          <w:sz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4C88BE" w14:textId="77777777" w:rsidR="00F76CFB" w:rsidRDefault="00F76CFB" w:rsidP="00081205">
      <w:pPr>
        <w:spacing w:after="120" w:line="240" w:lineRule="auto"/>
        <w:jc w:val="both"/>
        <w:rPr>
          <w:rFonts w:ascii="Segoe UI" w:hAnsi="Segoe UI" w:cs="Segoe UI"/>
          <w:b/>
          <w:iCs/>
        </w:rPr>
      </w:pPr>
    </w:p>
    <w:p w14:paraId="318CED7F" w14:textId="446EF7D5" w:rsidR="00F76CFB" w:rsidRDefault="00061F05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 w:rsidRPr="00061F05">
        <w:rPr>
          <w:rFonts w:ascii="Segoe UI" w:hAnsi="Segoe UI" w:cs="Segoe UI"/>
          <w:b/>
          <w:iCs/>
        </w:rPr>
        <w:t>Nos importations atteignent un nouveau record avec 2,08 Md EUR</w:t>
      </w:r>
      <w:r>
        <w:rPr>
          <w:rFonts w:ascii="Segoe UI" w:hAnsi="Segoe UI" w:cs="Segoe UI"/>
          <w:bCs/>
          <w:iCs/>
        </w:rPr>
        <w:t xml:space="preserve"> en 2023, en hausse de 19,3%. Elles reposent </w:t>
      </w:r>
      <w:r w:rsidR="002E3B08">
        <w:rPr>
          <w:rFonts w:ascii="Segoe UI" w:hAnsi="Segoe UI" w:cs="Segoe UI"/>
          <w:bCs/>
          <w:iCs/>
        </w:rPr>
        <w:t xml:space="preserve"> en totalité sur les </w:t>
      </w:r>
      <w:r w:rsidRPr="00061F05">
        <w:rPr>
          <w:rFonts w:ascii="Segoe UI" w:hAnsi="Segoe UI" w:cs="Segoe UI"/>
          <w:b/>
          <w:iCs/>
        </w:rPr>
        <w:t>produits pétroliers raffinés</w:t>
      </w:r>
      <w:r w:rsidR="00B258F3">
        <w:rPr>
          <w:rFonts w:ascii="Segoe UI" w:hAnsi="Segoe UI" w:cs="Segoe UI"/>
          <w:bCs/>
          <w:iCs/>
        </w:rPr>
        <w:t>. Le Koweït confirme ainsi son rôle dans l’approvisionnement énergétique de la France, dans une relation d’intérêts particulièrement convergents ces dernières années.</w:t>
      </w:r>
    </w:p>
    <w:p w14:paraId="6664B5CE" w14:textId="110EAAA3" w:rsidR="00CA5631" w:rsidRDefault="00B258F3" w:rsidP="00CA5631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>
        <w:rPr>
          <w:rFonts w:ascii="Segoe UI" w:hAnsi="Segoe UI" w:cs="Segoe UI"/>
          <w:bCs/>
          <w:iCs/>
        </w:rPr>
        <w:t xml:space="preserve">La France souhaite </w:t>
      </w:r>
      <w:r w:rsidRPr="005A23AD">
        <w:rPr>
          <w:rFonts w:ascii="Segoe UI" w:hAnsi="Segoe UI" w:cs="Segoe UI"/>
          <w:b/>
          <w:iCs/>
        </w:rPr>
        <w:t>diversifier ses sources d’approvisionnement énergétique</w:t>
      </w:r>
      <w:r>
        <w:rPr>
          <w:rFonts w:ascii="Segoe UI" w:hAnsi="Segoe UI" w:cs="Segoe UI"/>
          <w:bCs/>
          <w:iCs/>
        </w:rPr>
        <w:t xml:space="preserve">, tendance particulièrement prononcée depuis l’éclatement de la guerre en Ukraine. </w:t>
      </w:r>
      <w:r w:rsidR="005A23AD">
        <w:rPr>
          <w:rFonts w:ascii="Segoe UI" w:hAnsi="Segoe UI" w:cs="Segoe UI"/>
          <w:bCs/>
          <w:iCs/>
        </w:rPr>
        <w:t>Parallèlement</w:t>
      </w:r>
      <w:r w:rsidR="00F30677">
        <w:rPr>
          <w:rFonts w:ascii="Segoe UI" w:hAnsi="Segoe UI" w:cs="Segoe UI"/>
          <w:bCs/>
          <w:iCs/>
        </w:rPr>
        <w:t>,</w:t>
      </w:r>
      <w:r w:rsidR="005A23AD">
        <w:rPr>
          <w:rFonts w:ascii="Segoe UI" w:hAnsi="Segoe UI" w:cs="Segoe UI"/>
          <w:bCs/>
          <w:iCs/>
        </w:rPr>
        <w:t xml:space="preserve"> la nouvelle raffinerie d’Al </w:t>
      </w:r>
      <w:proofErr w:type="spellStart"/>
      <w:r w:rsidR="005A23AD">
        <w:rPr>
          <w:rFonts w:ascii="Segoe UI" w:hAnsi="Segoe UI" w:cs="Segoe UI"/>
          <w:bCs/>
          <w:iCs/>
        </w:rPr>
        <w:t>Zhour</w:t>
      </w:r>
      <w:proofErr w:type="spellEnd"/>
      <w:r w:rsidR="005A23AD">
        <w:rPr>
          <w:rFonts w:ascii="Segoe UI" w:hAnsi="Segoe UI" w:cs="Segoe UI"/>
          <w:bCs/>
          <w:iCs/>
        </w:rPr>
        <w:t xml:space="preserve"> et le site de Mina Abdullah sont depuis l’année dernière en </w:t>
      </w:r>
      <w:r w:rsidR="005A23AD" w:rsidRPr="005A23AD">
        <w:rPr>
          <w:rFonts w:ascii="Segoe UI" w:hAnsi="Segoe UI" w:cs="Segoe UI"/>
          <w:b/>
          <w:iCs/>
        </w:rPr>
        <w:t>capacité de produire essence et diesel désulfurisées</w:t>
      </w:r>
      <w:r w:rsidR="005A23AD">
        <w:rPr>
          <w:rFonts w:ascii="Segoe UI" w:hAnsi="Segoe UI" w:cs="Segoe UI"/>
          <w:bCs/>
          <w:iCs/>
        </w:rPr>
        <w:t xml:space="preserve"> </w:t>
      </w:r>
      <w:r w:rsidR="00F76CFB">
        <w:rPr>
          <w:rFonts w:ascii="Segoe UI" w:hAnsi="Segoe UI" w:cs="Segoe UI"/>
          <w:bCs/>
          <w:iCs/>
        </w:rPr>
        <w:t xml:space="preserve">(ainsi que du kérosène) </w:t>
      </w:r>
      <w:r w:rsidR="005A23AD">
        <w:rPr>
          <w:rFonts w:ascii="Segoe UI" w:hAnsi="Segoe UI" w:cs="Segoe UI"/>
          <w:bCs/>
          <w:iCs/>
        </w:rPr>
        <w:t xml:space="preserve">correspondant aux besoins européens. Après des travaux de maintenance, la raffinerie d’Al </w:t>
      </w:r>
      <w:proofErr w:type="spellStart"/>
      <w:r w:rsidR="005A23AD">
        <w:rPr>
          <w:rFonts w:ascii="Segoe UI" w:hAnsi="Segoe UI" w:cs="Segoe UI"/>
          <w:bCs/>
          <w:iCs/>
        </w:rPr>
        <w:t>Zhour</w:t>
      </w:r>
      <w:proofErr w:type="spellEnd"/>
      <w:r w:rsidR="005A23AD">
        <w:rPr>
          <w:rFonts w:ascii="Segoe UI" w:hAnsi="Segoe UI" w:cs="Segoe UI"/>
          <w:bCs/>
          <w:iCs/>
        </w:rPr>
        <w:t xml:space="preserve"> </w:t>
      </w:r>
      <w:r w:rsidR="00C6160D">
        <w:rPr>
          <w:rFonts w:ascii="Segoe UI" w:hAnsi="Segoe UI" w:cs="Segoe UI"/>
          <w:bCs/>
          <w:iCs/>
        </w:rPr>
        <w:t>a atteint début février 2024 sa pleine capacité de production pour la première fois. Une augmentation des importations</w:t>
      </w:r>
      <w:r w:rsidR="00DA509A">
        <w:rPr>
          <w:rFonts w:ascii="Segoe UI" w:hAnsi="Segoe UI" w:cs="Segoe UI"/>
          <w:bCs/>
          <w:iCs/>
        </w:rPr>
        <w:t>,</w:t>
      </w:r>
      <w:r w:rsidR="00C6160D">
        <w:rPr>
          <w:rFonts w:ascii="Segoe UI" w:hAnsi="Segoe UI" w:cs="Segoe UI"/>
          <w:bCs/>
          <w:iCs/>
        </w:rPr>
        <w:t xml:space="preserve"> portée par une hausse des volumes alors que les prix sont </w:t>
      </w:r>
      <w:r w:rsidR="00DA509A">
        <w:rPr>
          <w:rFonts w:ascii="Segoe UI" w:hAnsi="Segoe UI" w:cs="Segoe UI"/>
          <w:bCs/>
          <w:iCs/>
        </w:rPr>
        <w:t>anticipés</w:t>
      </w:r>
      <w:r w:rsidR="00C6160D">
        <w:rPr>
          <w:rFonts w:ascii="Segoe UI" w:hAnsi="Segoe UI" w:cs="Segoe UI"/>
          <w:bCs/>
          <w:iCs/>
        </w:rPr>
        <w:t xml:space="preserve"> plutôt stables, n’est donc pas à exclure l’an prochain. </w:t>
      </w:r>
    </w:p>
    <w:p w14:paraId="384BC81E" w14:textId="3E322822" w:rsidR="005B056F" w:rsidRDefault="005B056F" w:rsidP="00081205">
      <w:pPr>
        <w:spacing w:after="120" w:line="240" w:lineRule="auto"/>
        <w:jc w:val="both"/>
        <w:rPr>
          <w:rFonts w:ascii="Segoe UI" w:hAnsi="Segoe UI" w:cs="Segoe UI"/>
          <w:b/>
          <w:iCs/>
        </w:rPr>
      </w:pPr>
      <w:r>
        <w:rPr>
          <w:rFonts w:ascii="Segoe UI" w:hAnsi="Segoe UI" w:cs="Segoe UI"/>
          <w:bCs/>
          <w:iCs/>
        </w:rPr>
        <w:t xml:space="preserve">En 2023, le Koweït représente 0,3% de nos importations contre 0,22% en 2022. </w:t>
      </w:r>
      <w:r w:rsidRPr="005B056F">
        <w:rPr>
          <w:rFonts w:ascii="Segoe UI" w:hAnsi="Segoe UI" w:cs="Segoe UI"/>
          <w:b/>
          <w:iCs/>
        </w:rPr>
        <w:t>Notre déficit commercial</w:t>
      </w:r>
      <w:r>
        <w:rPr>
          <w:rFonts w:ascii="Segoe UI" w:hAnsi="Segoe UI" w:cs="Segoe UI"/>
          <w:b/>
          <w:iCs/>
        </w:rPr>
        <w:t xml:space="preserve"> se creuse pour</w:t>
      </w:r>
      <w:r w:rsidRPr="005B056F">
        <w:rPr>
          <w:rFonts w:ascii="Segoe UI" w:hAnsi="Segoe UI" w:cs="Segoe UI"/>
          <w:b/>
          <w:iCs/>
        </w:rPr>
        <w:t xml:space="preserve"> s’établi</w:t>
      </w:r>
      <w:r>
        <w:rPr>
          <w:rFonts w:ascii="Segoe UI" w:hAnsi="Segoe UI" w:cs="Segoe UI"/>
          <w:b/>
          <w:iCs/>
        </w:rPr>
        <w:t>r</w:t>
      </w:r>
      <w:r w:rsidRPr="005B056F">
        <w:rPr>
          <w:rFonts w:ascii="Segoe UI" w:hAnsi="Segoe UI" w:cs="Segoe UI"/>
          <w:b/>
          <w:iCs/>
        </w:rPr>
        <w:t xml:space="preserve"> à 1,28 Md EUR</w:t>
      </w:r>
      <w:r>
        <w:rPr>
          <w:rFonts w:ascii="Segoe UI" w:hAnsi="Segoe UI" w:cs="Segoe UI"/>
          <w:b/>
          <w:iCs/>
        </w:rPr>
        <w:t xml:space="preserve">, </w:t>
      </w:r>
      <w:r w:rsidRPr="005B056F">
        <w:rPr>
          <w:rFonts w:ascii="Segoe UI" w:hAnsi="Segoe UI" w:cs="Segoe UI"/>
          <w:bCs/>
          <w:iCs/>
        </w:rPr>
        <w:t>une hausse de 69% par rapport à 2022.</w:t>
      </w:r>
      <w:r>
        <w:rPr>
          <w:rFonts w:ascii="Segoe UI" w:hAnsi="Segoe UI" w:cs="Segoe UI"/>
          <w:b/>
          <w:iCs/>
        </w:rPr>
        <w:t xml:space="preserve">  </w:t>
      </w:r>
    </w:p>
    <w:p w14:paraId="253A8462" w14:textId="50F569E2" w:rsidR="00316304" w:rsidRPr="00AC5280" w:rsidRDefault="00316304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</w:p>
    <w:p w14:paraId="71EBEB79" w14:textId="684C554A" w:rsidR="00316304" w:rsidRPr="00AC5280" w:rsidRDefault="00AC5280" w:rsidP="00081205">
      <w:pPr>
        <w:spacing w:after="120" w:line="240" w:lineRule="auto"/>
        <w:jc w:val="both"/>
        <w:rPr>
          <w:rFonts w:ascii="Segoe UI" w:hAnsi="Segoe UI" w:cs="Segoe UI"/>
          <w:bCs/>
          <w:iCs/>
        </w:rPr>
      </w:pPr>
      <w:r w:rsidRPr="00AC5280">
        <w:rPr>
          <w:rFonts w:ascii="Segoe UI" w:hAnsi="Segoe UI" w:cs="Segoe UI"/>
          <w:bCs/>
          <w:iCs/>
        </w:rPr>
        <w:t>L</w:t>
      </w:r>
      <w:r w:rsidR="00316304" w:rsidRPr="00AC5280">
        <w:rPr>
          <w:rFonts w:ascii="Segoe UI" w:hAnsi="Segoe UI" w:cs="Segoe UI"/>
          <w:bCs/>
          <w:iCs/>
        </w:rPr>
        <w:t>es chiffres 2023 confirment globalement la tendance dessinée en 2022 : montée en puissance du pays dans nos approvisionnements en hydrocarbures, impact très important de nos exportations aéronautiques, dynamisme de nos exportations</w:t>
      </w:r>
      <w:r w:rsidR="003D272E" w:rsidRPr="00AC5280">
        <w:rPr>
          <w:rFonts w:ascii="Segoe UI" w:hAnsi="Segoe UI" w:cs="Segoe UI"/>
          <w:bCs/>
          <w:iCs/>
        </w:rPr>
        <w:t>, ce qui conduit le Koweït à devenir notre troisième partenaire commercial dans la région.</w:t>
      </w:r>
    </w:p>
    <w:p w14:paraId="68AF59B4" w14:textId="2D0D6ED8" w:rsidR="00942288" w:rsidRDefault="00EB0B2D" w:rsidP="00B14885">
      <w:pPr>
        <w:rPr>
          <w:rFonts w:ascii="Segoe UI" w:hAnsi="Segoe UI" w:cs="Segoe UI"/>
          <w:b/>
          <w:iCs/>
          <w:sz w:val="28"/>
          <w:szCs w:val="28"/>
        </w:rPr>
      </w:pPr>
      <w:r>
        <w:rPr>
          <w:rFonts w:ascii="Segoe UI" w:hAnsi="Segoe UI" w:cs="Segoe UI"/>
          <w:bCs/>
          <w:iCs/>
        </w:rPr>
        <w:br w:type="page"/>
      </w:r>
    </w:p>
    <w:p w14:paraId="2A365E53" w14:textId="4517ECCC" w:rsidR="00942288" w:rsidRPr="00B14885" w:rsidRDefault="00EC7500" w:rsidP="00B14885">
      <w:pPr>
        <w:jc w:val="center"/>
        <w:rPr>
          <w:rFonts w:ascii="Segoe UI" w:hAnsi="Segoe UI" w:cs="Segoe UI"/>
          <w:b/>
          <w:iCs/>
          <w:color w:val="2E74B5" w:themeColor="accent5" w:themeShade="BF"/>
          <w:sz w:val="28"/>
          <w:szCs w:val="28"/>
        </w:rPr>
      </w:pPr>
      <w:r w:rsidRPr="00B14885">
        <w:rPr>
          <w:rFonts w:ascii="Segoe UI" w:hAnsi="Segoe UI" w:cs="Segoe UI"/>
          <w:b/>
          <w:iCs/>
          <w:color w:val="2E74B5" w:themeColor="accent5" w:themeShade="BF"/>
          <w:sz w:val="28"/>
          <w:szCs w:val="28"/>
        </w:rPr>
        <w:lastRenderedPageBreak/>
        <w:t>Annexe</w:t>
      </w:r>
      <w:r w:rsidR="00942288" w:rsidRPr="00B14885">
        <w:rPr>
          <w:rFonts w:ascii="Segoe UI" w:hAnsi="Segoe UI" w:cs="Segoe UI"/>
          <w:b/>
          <w:iCs/>
          <w:color w:val="2E74B5" w:themeColor="accent5" w:themeShade="BF"/>
          <w:sz w:val="28"/>
          <w:szCs w:val="28"/>
        </w:rPr>
        <w:t>s</w:t>
      </w:r>
      <w:r w:rsidRPr="00B14885">
        <w:rPr>
          <w:rFonts w:ascii="Segoe UI" w:hAnsi="Segoe UI" w:cs="Segoe UI"/>
          <w:b/>
          <w:iCs/>
          <w:color w:val="2E74B5" w:themeColor="accent5" w:themeShade="BF"/>
          <w:sz w:val="28"/>
          <w:szCs w:val="28"/>
        </w:rPr>
        <w:t> :</w:t>
      </w:r>
    </w:p>
    <w:p w14:paraId="2564B871" w14:textId="045506DD" w:rsidR="005D6971" w:rsidRPr="00942288" w:rsidRDefault="00942288" w:rsidP="00CC267A">
      <w:pPr>
        <w:jc w:val="both"/>
        <w:rPr>
          <w:rFonts w:ascii="Segoe UI" w:hAnsi="Segoe UI" w:cs="Segoe UI"/>
          <w:b/>
          <w:iCs/>
          <w:sz w:val="24"/>
          <w:szCs w:val="24"/>
        </w:rPr>
      </w:pPr>
      <w:r>
        <w:rPr>
          <w:rFonts w:ascii="Segoe UI" w:hAnsi="Segoe UI" w:cs="Segoe UI"/>
          <w:b/>
          <w:iCs/>
          <w:sz w:val="24"/>
          <w:szCs w:val="24"/>
        </w:rPr>
        <w:t>Annexe 1 : Evolution des importations et exportations en 2022 et 2023 en EUR</w:t>
      </w:r>
      <w:r w:rsidR="00EC7500" w:rsidRPr="00942288">
        <w:rPr>
          <w:rFonts w:ascii="Segoe UI" w:hAnsi="Segoe UI" w:cs="Segoe UI"/>
          <w:b/>
          <w:iCs/>
          <w:sz w:val="24"/>
          <w:szCs w:val="24"/>
        </w:rPr>
        <w:t xml:space="preserve"> </w:t>
      </w:r>
    </w:p>
    <w:p w14:paraId="5A7506ED" w14:textId="1341E3A1" w:rsidR="00BB7ABB" w:rsidRDefault="00942288" w:rsidP="00CC267A">
      <w:pPr>
        <w:jc w:val="both"/>
        <w:rPr>
          <w:rFonts w:ascii="Segoe UI" w:hAnsi="Segoe UI" w:cs="Segoe UI"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 wp14:anchorId="5CB060C3" wp14:editId="757CFA18">
            <wp:extent cx="5297366" cy="2743200"/>
            <wp:effectExtent l="0" t="0" r="17780" b="0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606F2396-5A2C-4659-A5D0-4C45C0F344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C64F9C" w14:textId="1FADB8B9" w:rsidR="00942288" w:rsidRPr="00942288" w:rsidRDefault="00942288" w:rsidP="00CC267A">
      <w:pPr>
        <w:jc w:val="both"/>
        <w:rPr>
          <w:rFonts w:ascii="Segoe UI" w:hAnsi="Segoe UI" w:cs="Segoe UI"/>
          <w:b/>
          <w:iCs/>
          <w:sz w:val="24"/>
          <w:szCs w:val="24"/>
        </w:rPr>
      </w:pPr>
      <w:r w:rsidRPr="00942288">
        <w:rPr>
          <w:rFonts w:ascii="Segoe UI" w:hAnsi="Segoe UI" w:cs="Segoe UI"/>
          <w:b/>
          <w:iCs/>
          <w:sz w:val="24"/>
          <w:szCs w:val="24"/>
        </w:rPr>
        <w:t xml:space="preserve">Annexe 2 : Structures des exportations françaises </w:t>
      </w:r>
      <w:r>
        <w:rPr>
          <w:rFonts w:ascii="Segoe UI" w:hAnsi="Segoe UI" w:cs="Segoe UI"/>
          <w:b/>
          <w:iCs/>
          <w:sz w:val="24"/>
          <w:szCs w:val="24"/>
        </w:rPr>
        <w:t>en 2023 (en EUR)</w:t>
      </w:r>
    </w:p>
    <w:p w14:paraId="5783C82C" w14:textId="543889D3" w:rsidR="00EC7500" w:rsidRDefault="00EC7500" w:rsidP="00CC267A">
      <w:pPr>
        <w:jc w:val="both"/>
        <w:rPr>
          <w:rFonts w:ascii="Segoe UI" w:hAnsi="Segoe UI" w:cs="Segoe UI"/>
          <w:bCs/>
          <w:iCs/>
        </w:rPr>
      </w:pPr>
      <w:r>
        <w:rPr>
          <w:noProof/>
        </w:rPr>
        <mc:AlternateContent>
          <mc:Choice Requires="cx1">
            <w:drawing>
              <wp:inline distT="0" distB="0" distL="0" distR="0" wp14:anchorId="040517F8" wp14:editId="7AA811B4">
                <wp:extent cx="5760720" cy="3242310"/>
                <wp:effectExtent l="0" t="0" r="11430" b="15240"/>
                <wp:docPr id="5" name="Graphiqu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95E907-89F6-4033-A469-6B38BB1DDC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</wp:inline>
            </w:drawing>
          </mc:Choice>
          <mc:Fallback>
            <w:drawing>
              <wp:inline distT="0" distB="0" distL="0" distR="0" wp14:anchorId="040517F8" wp14:editId="7AA811B4">
                <wp:extent cx="5760720" cy="3242310"/>
                <wp:effectExtent l="0" t="0" r="11430" b="15240"/>
                <wp:docPr id="5" name="Graphiqu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95E907-89F6-4033-A469-6B38BB1DDCDE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que 5">
                          <a:extLst>
                            <a:ext uri="{FF2B5EF4-FFF2-40B4-BE49-F238E27FC236}">
                              <a16:creationId xmlns:a16="http://schemas.microsoft.com/office/drawing/2014/main" id="{CD95E907-89F6-4033-A469-6B38BB1DDCDE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3242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80C5938" w14:textId="77777777" w:rsidR="00EC7500" w:rsidRDefault="00EC7500" w:rsidP="00CC267A">
      <w:pPr>
        <w:jc w:val="both"/>
        <w:rPr>
          <w:rFonts w:ascii="Segoe UI" w:hAnsi="Segoe UI" w:cs="Segoe UI"/>
          <w:bCs/>
          <w:iCs/>
        </w:rPr>
      </w:pPr>
    </w:p>
    <w:p w14:paraId="04DED7D8" w14:textId="77777777" w:rsidR="00EE0E25" w:rsidRDefault="00EE0E25" w:rsidP="00CC267A">
      <w:pPr>
        <w:jc w:val="both"/>
        <w:rPr>
          <w:rFonts w:ascii="Segoe UI" w:hAnsi="Segoe UI" w:cs="Segoe UI"/>
          <w:bCs/>
          <w:iCs/>
        </w:rPr>
      </w:pPr>
    </w:p>
    <w:p w14:paraId="6FDAD01B" w14:textId="29722A1D" w:rsidR="005B24FA" w:rsidRDefault="005B24FA" w:rsidP="00CC267A">
      <w:pPr>
        <w:jc w:val="both"/>
        <w:rPr>
          <w:rFonts w:ascii="Segoe UI" w:hAnsi="Segoe UI" w:cs="Segoe UI"/>
          <w:bCs/>
          <w:iCs/>
        </w:rPr>
      </w:pPr>
    </w:p>
    <w:p w14:paraId="4833284C" w14:textId="1B222670" w:rsidR="006D7F7D" w:rsidRPr="00CC267A" w:rsidRDefault="006D7F7D" w:rsidP="00640EB2">
      <w:pPr>
        <w:spacing w:line="240" w:lineRule="auto"/>
        <w:ind w:right="1134"/>
        <w:rPr>
          <w:rFonts w:ascii="Segoe UI" w:hAnsi="Segoe UI" w:cs="Segoe UI"/>
          <w:color w:val="0066FF"/>
        </w:rPr>
      </w:pPr>
    </w:p>
    <w:sectPr w:rsidR="006D7F7D" w:rsidRPr="00CC267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89A8" w14:textId="77777777" w:rsidR="00D76DA1" w:rsidRDefault="00D76DA1" w:rsidP="00B411E8">
      <w:pPr>
        <w:spacing w:after="0" w:line="240" w:lineRule="auto"/>
      </w:pPr>
      <w:r>
        <w:separator/>
      </w:r>
    </w:p>
  </w:endnote>
  <w:endnote w:type="continuationSeparator" w:id="0">
    <w:p w14:paraId="38424A7C" w14:textId="77777777" w:rsidR="00D76DA1" w:rsidRDefault="00D76DA1" w:rsidP="00B4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EC62" w14:textId="77777777" w:rsidR="00D76DA1" w:rsidRDefault="00D76DA1" w:rsidP="00B411E8">
      <w:pPr>
        <w:spacing w:after="0" w:line="240" w:lineRule="auto"/>
      </w:pPr>
      <w:r>
        <w:separator/>
      </w:r>
    </w:p>
  </w:footnote>
  <w:footnote w:type="continuationSeparator" w:id="0">
    <w:p w14:paraId="2DA2FF8C" w14:textId="77777777" w:rsidR="00D76DA1" w:rsidRDefault="00D76DA1" w:rsidP="00B4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BB0E" w14:textId="77777777" w:rsidR="002F65B2" w:rsidRPr="003D4054" w:rsidRDefault="002F65B2" w:rsidP="002F65B2">
    <w:pPr>
      <w:pStyle w:val="Intituldirection"/>
      <w:rPr>
        <w:lang w:val="fr-FR"/>
      </w:rPr>
    </w:pPr>
    <w:r>
      <w:rPr>
        <w:b w:val="0"/>
        <w:bCs w:val="0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783950E4" wp14:editId="1D2B4A18">
          <wp:simplePos x="0" y="0"/>
          <wp:positionH relativeFrom="column">
            <wp:posOffset>-325231</wp:posOffset>
          </wp:positionH>
          <wp:positionV relativeFrom="paragraph">
            <wp:posOffset>-453446</wp:posOffset>
          </wp:positionV>
          <wp:extent cx="1828800" cy="111125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lang w:val="fr-FR"/>
      </w:rPr>
      <w:t>Direction générale du Trésor</w:t>
    </w:r>
  </w:p>
  <w:p w14:paraId="6B25CB25" w14:textId="77777777" w:rsidR="002F65B2" w:rsidRDefault="002F65B2" w:rsidP="002F65B2">
    <w:pPr>
      <w:pStyle w:val="En-tte"/>
    </w:pPr>
  </w:p>
  <w:p w14:paraId="3C745342" w14:textId="23EF3A16" w:rsidR="002F65B2" w:rsidRDefault="002F65B2" w:rsidP="00BF05CC">
    <w:pPr>
      <w:pStyle w:val="En-tte"/>
      <w:tabs>
        <w:tab w:val="clear" w:pos="4536"/>
        <w:tab w:val="clear" w:pos="9072"/>
        <w:tab w:val="left" w:pos="44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0CE"/>
    <w:multiLevelType w:val="hybridMultilevel"/>
    <w:tmpl w:val="7100A1A2"/>
    <w:lvl w:ilvl="0" w:tplc="42F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7266"/>
    <w:multiLevelType w:val="hybridMultilevel"/>
    <w:tmpl w:val="62C0BC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0D95"/>
    <w:multiLevelType w:val="hybridMultilevel"/>
    <w:tmpl w:val="5EC2AA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490"/>
    <w:multiLevelType w:val="hybridMultilevel"/>
    <w:tmpl w:val="F36ADC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350AE"/>
    <w:multiLevelType w:val="hybridMultilevel"/>
    <w:tmpl w:val="9A7C2B24"/>
    <w:lvl w:ilvl="0" w:tplc="1306461A">
      <w:start w:val="1"/>
      <w:numFmt w:val="decimal"/>
      <w:pStyle w:val="Titre1"/>
      <w:lvlText w:val="%1."/>
      <w:lvlJc w:val="left"/>
      <w:pPr>
        <w:ind w:left="360" w:hanging="360"/>
      </w:pPr>
      <w:rPr>
        <w:rFonts w:ascii="Times New Roman Gras" w:hAnsi="Times New Roman Gras" w:hint="default"/>
        <w:b/>
        <w:i w:val="0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6703"/>
    <w:multiLevelType w:val="hybridMultilevel"/>
    <w:tmpl w:val="3D8460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34B14"/>
    <w:multiLevelType w:val="hybridMultilevel"/>
    <w:tmpl w:val="3ABED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32D3"/>
    <w:multiLevelType w:val="hybridMultilevel"/>
    <w:tmpl w:val="05C4A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0A10"/>
    <w:multiLevelType w:val="hybridMultilevel"/>
    <w:tmpl w:val="9C76F042"/>
    <w:lvl w:ilvl="0" w:tplc="B1D25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A627F"/>
    <w:multiLevelType w:val="hybridMultilevel"/>
    <w:tmpl w:val="84763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2F6B"/>
    <w:multiLevelType w:val="hybridMultilevel"/>
    <w:tmpl w:val="85A80CA4"/>
    <w:lvl w:ilvl="0" w:tplc="040C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87358"/>
    <w:multiLevelType w:val="hybridMultilevel"/>
    <w:tmpl w:val="D5DAAB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10066"/>
    <w:multiLevelType w:val="hybridMultilevel"/>
    <w:tmpl w:val="09762D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34B1"/>
    <w:multiLevelType w:val="hybridMultilevel"/>
    <w:tmpl w:val="726C273A"/>
    <w:lvl w:ilvl="0" w:tplc="95AEDB3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9C061B"/>
    <w:multiLevelType w:val="hybridMultilevel"/>
    <w:tmpl w:val="E01046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3D19B3"/>
    <w:multiLevelType w:val="hybridMultilevel"/>
    <w:tmpl w:val="692404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9516A"/>
    <w:multiLevelType w:val="hybridMultilevel"/>
    <w:tmpl w:val="F77CF414"/>
    <w:lvl w:ilvl="0" w:tplc="916694E8">
      <w:start w:val="1"/>
      <w:numFmt w:val="upperRoman"/>
      <w:lvlText w:val="%1."/>
      <w:lvlJc w:val="left"/>
      <w:pPr>
        <w:ind w:left="1080" w:hanging="720"/>
      </w:pPr>
      <w:rPr>
        <w:rFonts w:ascii="Segoe UI" w:hAnsi="Segoe UI" w:cs="Segoe U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33E1D"/>
    <w:multiLevelType w:val="hybridMultilevel"/>
    <w:tmpl w:val="6E5E7A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30DA3"/>
    <w:multiLevelType w:val="multilevel"/>
    <w:tmpl w:val="415E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E8444F"/>
    <w:multiLevelType w:val="hybridMultilevel"/>
    <w:tmpl w:val="0A3E2E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975667"/>
    <w:multiLevelType w:val="hybridMultilevel"/>
    <w:tmpl w:val="E9E238F2"/>
    <w:lvl w:ilvl="0" w:tplc="2982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E5D4D"/>
    <w:multiLevelType w:val="hybridMultilevel"/>
    <w:tmpl w:val="C4E661D6"/>
    <w:lvl w:ilvl="0" w:tplc="85905A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0"/>
  </w:num>
  <w:num w:numId="7">
    <w:abstractNumId w:val="13"/>
  </w:num>
  <w:num w:numId="8">
    <w:abstractNumId w:val="14"/>
  </w:num>
  <w:num w:numId="9">
    <w:abstractNumId w:val="19"/>
  </w:num>
  <w:num w:numId="10">
    <w:abstractNumId w:val="16"/>
  </w:num>
  <w:num w:numId="11">
    <w:abstractNumId w:val="21"/>
  </w:num>
  <w:num w:numId="12">
    <w:abstractNumId w:val="2"/>
  </w:num>
  <w:num w:numId="13">
    <w:abstractNumId w:val="8"/>
  </w:num>
  <w:num w:numId="14">
    <w:abstractNumId w:val="10"/>
  </w:num>
  <w:num w:numId="15">
    <w:abstractNumId w:val="7"/>
  </w:num>
  <w:num w:numId="16">
    <w:abstractNumId w:val="17"/>
  </w:num>
  <w:num w:numId="17">
    <w:abstractNumId w:val="11"/>
  </w:num>
  <w:num w:numId="18">
    <w:abstractNumId w:val="18"/>
  </w:num>
  <w:num w:numId="19">
    <w:abstractNumId w:val="9"/>
  </w:num>
  <w:num w:numId="20">
    <w:abstractNumId w:val="12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44"/>
    <w:rsid w:val="00002ED4"/>
    <w:rsid w:val="00007E94"/>
    <w:rsid w:val="000121A4"/>
    <w:rsid w:val="00012F08"/>
    <w:rsid w:val="00014241"/>
    <w:rsid w:val="00022D57"/>
    <w:rsid w:val="00024757"/>
    <w:rsid w:val="00024DA8"/>
    <w:rsid w:val="00032A5B"/>
    <w:rsid w:val="00040B9D"/>
    <w:rsid w:val="00045854"/>
    <w:rsid w:val="00052A04"/>
    <w:rsid w:val="000542BB"/>
    <w:rsid w:val="0005743C"/>
    <w:rsid w:val="00057EDC"/>
    <w:rsid w:val="00061F05"/>
    <w:rsid w:val="0007053F"/>
    <w:rsid w:val="00071F8A"/>
    <w:rsid w:val="0007741F"/>
    <w:rsid w:val="00081205"/>
    <w:rsid w:val="0008397C"/>
    <w:rsid w:val="000967A6"/>
    <w:rsid w:val="000A3D31"/>
    <w:rsid w:val="000A66C7"/>
    <w:rsid w:val="000B60D4"/>
    <w:rsid w:val="000B743C"/>
    <w:rsid w:val="000C7A06"/>
    <w:rsid w:val="000E1B5F"/>
    <w:rsid w:val="000E719A"/>
    <w:rsid w:val="000F5640"/>
    <w:rsid w:val="000F5C39"/>
    <w:rsid w:val="001005DE"/>
    <w:rsid w:val="00107203"/>
    <w:rsid w:val="00112701"/>
    <w:rsid w:val="00117368"/>
    <w:rsid w:val="00126DF7"/>
    <w:rsid w:val="001476A2"/>
    <w:rsid w:val="00155D10"/>
    <w:rsid w:val="00181118"/>
    <w:rsid w:val="001864CC"/>
    <w:rsid w:val="001877F7"/>
    <w:rsid w:val="001A060E"/>
    <w:rsid w:val="001A1919"/>
    <w:rsid w:val="001A5698"/>
    <w:rsid w:val="001B0673"/>
    <w:rsid w:val="001B09C1"/>
    <w:rsid w:val="001B11E8"/>
    <w:rsid w:val="001D0E76"/>
    <w:rsid w:val="001D5AA8"/>
    <w:rsid w:val="001F34AF"/>
    <w:rsid w:val="001F59FE"/>
    <w:rsid w:val="00210A6D"/>
    <w:rsid w:val="00211D02"/>
    <w:rsid w:val="002146A2"/>
    <w:rsid w:val="00226DEA"/>
    <w:rsid w:val="00236196"/>
    <w:rsid w:val="00237061"/>
    <w:rsid w:val="0023707F"/>
    <w:rsid w:val="00240379"/>
    <w:rsid w:val="00241AF6"/>
    <w:rsid w:val="00242E61"/>
    <w:rsid w:val="00244E2F"/>
    <w:rsid w:val="002720AA"/>
    <w:rsid w:val="00273093"/>
    <w:rsid w:val="00281D55"/>
    <w:rsid w:val="00286DB9"/>
    <w:rsid w:val="002A0ADE"/>
    <w:rsid w:val="002A610E"/>
    <w:rsid w:val="002B7CB0"/>
    <w:rsid w:val="002C2B27"/>
    <w:rsid w:val="002D03B9"/>
    <w:rsid w:val="002D0938"/>
    <w:rsid w:val="002E3B08"/>
    <w:rsid w:val="002F65B2"/>
    <w:rsid w:val="002F6EA5"/>
    <w:rsid w:val="0030362B"/>
    <w:rsid w:val="00316304"/>
    <w:rsid w:val="003206C8"/>
    <w:rsid w:val="00322816"/>
    <w:rsid w:val="003228E6"/>
    <w:rsid w:val="0032679B"/>
    <w:rsid w:val="0033324A"/>
    <w:rsid w:val="0033499E"/>
    <w:rsid w:val="0033598D"/>
    <w:rsid w:val="00340C59"/>
    <w:rsid w:val="0034217C"/>
    <w:rsid w:val="00343090"/>
    <w:rsid w:val="00346403"/>
    <w:rsid w:val="003475CF"/>
    <w:rsid w:val="00353016"/>
    <w:rsid w:val="0035651C"/>
    <w:rsid w:val="00361204"/>
    <w:rsid w:val="0036354D"/>
    <w:rsid w:val="00363DCA"/>
    <w:rsid w:val="00364EBA"/>
    <w:rsid w:val="00365858"/>
    <w:rsid w:val="00367C51"/>
    <w:rsid w:val="00371433"/>
    <w:rsid w:val="0038236A"/>
    <w:rsid w:val="003850D6"/>
    <w:rsid w:val="00386FBB"/>
    <w:rsid w:val="00390AEC"/>
    <w:rsid w:val="003A2253"/>
    <w:rsid w:val="003A4D1E"/>
    <w:rsid w:val="003C74D9"/>
    <w:rsid w:val="003D01D9"/>
    <w:rsid w:val="003D272E"/>
    <w:rsid w:val="003D663C"/>
    <w:rsid w:val="003E2947"/>
    <w:rsid w:val="003E50D0"/>
    <w:rsid w:val="003F49AE"/>
    <w:rsid w:val="003F6069"/>
    <w:rsid w:val="00406051"/>
    <w:rsid w:val="00412502"/>
    <w:rsid w:val="00417DB2"/>
    <w:rsid w:val="004201FF"/>
    <w:rsid w:val="0043157A"/>
    <w:rsid w:val="00441418"/>
    <w:rsid w:val="00444383"/>
    <w:rsid w:val="00450C18"/>
    <w:rsid w:val="004521E4"/>
    <w:rsid w:val="004526D3"/>
    <w:rsid w:val="004555A1"/>
    <w:rsid w:val="00462289"/>
    <w:rsid w:val="00462D48"/>
    <w:rsid w:val="00471F7C"/>
    <w:rsid w:val="00492923"/>
    <w:rsid w:val="004A0C61"/>
    <w:rsid w:val="004A30FB"/>
    <w:rsid w:val="004A7EEE"/>
    <w:rsid w:val="004B4FC2"/>
    <w:rsid w:val="004B712E"/>
    <w:rsid w:val="004C2955"/>
    <w:rsid w:val="004C2D7E"/>
    <w:rsid w:val="004C2FBF"/>
    <w:rsid w:val="004C3938"/>
    <w:rsid w:val="004C6C6C"/>
    <w:rsid w:val="004C703D"/>
    <w:rsid w:val="004C7E59"/>
    <w:rsid w:val="004D2F0F"/>
    <w:rsid w:val="004D77AC"/>
    <w:rsid w:val="004F0244"/>
    <w:rsid w:val="00513E9D"/>
    <w:rsid w:val="005242CF"/>
    <w:rsid w:val="005251A7"/>
    <w:rsid w:val="00531B14"/>
    <w:rsid w:val="005324A5"/>
    <w:rsid w:val="00536593"/>
    <w:rsid w:val="00537C8C"/>
    <w:rsid w:val="00541AAE"/>
    <w:rsid w:val="00561B52"/>
    <w:rsid w:val="005623F4"/>
    <w:rsid w:val="0058179A"/>
    <w:rsid w:val="005957B8"/>
    <w:rsid w:val="005A1D21"/>
    <w:rsid w:val="005A1F93"/>
    <w:rsid w:val="005A23AD"/>
    <w:rsid w:val="005A6176"/>
    <w:rsid w:val="005A7FD9"/>
    <w:rsid w:val="005B056F"/>
    <w:rsid w:val="005B24FA"/>
    <w:rsid w:val="005C07ED"/>
    <w:rsid w:val="005D1BF3"/>
    <w:rsid w:val="005D6971"/>
    <w:rsid w:val="005D6A5F"/>
    <w:rsid w:val="005E0568"/>
    <w:rsid w:val="005E1AC7"/>
    <w:rsid w:val="0060374C"/>
    <w:rsid w:val="00617C9C"/>
    <w:rsid w:val="0062436D"/>
    <w:rsid w:val="00630D7A"/>
    <w:rsid w:val="00631AE7"/>
    <w:rsid w:val="00631B6A"/>
    <w:rsid w:val="00634F25"/>
    <w:rsid w:val="006353E3"/>
    <w:rsid w:val="00640EB2"/>
    <w:rsid w:val="006433FC"/>
    <w:rsid w:val="00660544"/>
    <w:rsid w:val="00660F24"/>
    <w:rsid w:val="0067130E"/>
    <w:rsid w:val="006955A0"/>
    <w:rsid w:val="006B5335"/>
    <w:rsid w:val="006C06E3"/>
    <w:rsid w:val="006C3937"/>
    <w:rsid w:val="006C5463"/>
    <w:rsid w:val="006D7B91"/>
    <w:rsid w:val="006D7F7D"/>
    <w:rsid w:val="006E628E"/>
    <w:rsid w:val="006F2745"/>
    <w:rsid w:val="006F4D1B"/>
    <w:rsid w:val="007112B4"/>
    <w:rsid w:val="00715931"/>
    <w:rsid w:val="00723017"/>
    <w:rsid w:val="00740EE4"/>
    <w:rsid w:val="00747AC2"/>
    <w:rsid w:val="007519F7"/>
    <w:rsid w:val="00751D5C"/>
    <w:rsid w:val="00754176"/>
    <w:rsid w:val="00771B56"/>
    <w:rsid w:val="00771E80"/>
    <w:rsid w:val="00777941"/>
    <w:rsid w:val="0078215C"/>
    <w:rsid w:val="007826C1"/>
    <w:rsid w:val="007854C3"/>
    <w:rsid w:val="00793784"/>
    <w:rsid w:val="0079506D"/>
    <w:rsid w:val="007A5837"/>
    <w:rsid w:val="007B5256"/>
    <w:rsid w:val="007B5F06"/>
    <w:rsid w:val="007B6BCB"/>
    <w:rsid w:val="007C49C3"/>
    <w:rsid w:val="007C4A45"/>
    <w:rsid w:val="007D4931"/>
    <w:rsid w:val="007E7EBF"/>
    <w:rsid w:val="007F5420"/>
    <w:rsid w:val="007F58E4"/>
    <w:rsid w:val="00801D25"/>
    <w:rsid w:val="00803C3D"/>
    <w:rsid w:val="00804F9C"/>
    <w:rsid w:val="00834927"/>
    <w:rsid w:val="00857A70"/>
    <w:rsid w:val="00877D46"/>
    <w:rsid w:val="008901D5"/>
    <w:rsid w:val="00895899"/>
    <w:rsid w:val="008A05A9"/>
    <w:rsid w:val="008A48AA"/>
    <w:rsid w:val="008A7956"/>
    <w:rsid w:val="008B5F50"/>
    <w:rsid w:val="008B6F0D"/>
    <w:rsid w:val="008C5E57"/>
    <w:rsid w:val="008D14F4"/>
    <w:rsid w:val="008D7539"/>
    <w:rsid w:val="008E6056"/>
    <w:rsid w:val="008F6C8E"/>
    <w:rsid w:val="009002CD"/>
    <w:rsid w:val="00900585"/>
    <w:rsid w:val="00902654"/>
    <w:rsid w:val="00922D61"/>
    <w:rsid w:val="00923400"/>
    <w:rsid w:val="00925590"/>
    <w:rsid w:val="00931CD4"/>
    <w:rsid w:val="00942288"/>
    <w:rsid w:val="00952ED0"/>
    <w:rsid w:val="009618CF"/>
    <w:rsid w:val="0099680F"/>
    <w:rsid w:val="009A7A25"/>
    <w:rsid w:val="009B1128"/>
    <w:rsid w:val="009B59BD"/>
    <w:rsid w:val="009C0109"/>
    <w:rsid w:val="009C3747"/>
    <w:rsid w:val="009D156B"/>
    <w:rsid w:val="009D69A1"/>
    <w:rsid w:val="00A019B8"/>
    <w:rsid w:val="00A052DF"/>
    <w:rsid w:val="00A06AE8"/>
    <w:rsid w:val="00A102C0"/>
    <w:rsid w:val="00A26A2F"/>
    <w:rsid w:val="00A3773D"/>
    <w:rsid w:val="00A4698C"/>
    <w:rsid w:val="00A50483"/>
    <w:rsid w:val="00A510FB"/>
    <w:rsid w:val="00A700D1"/>
    <w:rsid w:val="00A70F39"/>
    <w:rsid w:val="00A72BC9"/>
    <w:rsid w:val="00A85D64"/>
    <w:rsid w:val="00A9092F"/>
    <w:rsid w:val="00A90F56"/>
    <w:rsid w:val="00A9478A"/>
    <w:rsid w:val="00A94E18"/>
    <w:rsid w:val="00A95DDD"/>
    <w:rsid w:val="00AB0CA5"/>
    <w:rsid w:val="00AC3624"/>
    <w:rsid w:val="00AC5280"/>
    <w:rsid w:val="00AD39E4"/>
    <w:rsid w:val="00AE06C5"/>
    <w:rsid w:val="00B00437"/>
    <w:rsid w:val="00B0607C"/>
    <w:rsid w:val="00B13A1E"/>
    <w:rsid w:val="00B14885"/>
    <w:rsid w:val="00B1538B"/>
    <w:rsid w:val="00B258F3"/>
    <w:rsid w:val="00B31B44"/>
    <w:rsid w:val="00B411E8"/>
    <w:rsid w:val="00B43CEB"/>
    <w:rsid w:val="00B522AB"/>
    <w:rsid w:val="00B57B33"/>
    <w:rsid w:val="00B600EF"/>
    <w:rsid w:val="00B673E0"/>
    <w:rsid w:val="00B70951"/>
    <w:rsid w:val="00B71041"/>
    <w:rsid w:val="00B7380D"/>
    <w:rsid w:val="00B73E45"/>
    <w:rsid w:val="00B7746F"/>
    <w:rsid w:val="00B94013"/>
    <w:rsid w:val="00BB7ABB"/>
    <w:rsid w:val="00BC00EF"/>
    <w:rsid w:val="00BC00FD"/>
    <w:rsid w:val="00BC0DB1"/>
    <w:rsid w:val="00BC3D10"/>
    <w:rsid w:val="00BC52C7"/>
    <w:rsid w:val="00BD194A"/>
    <w:rsid w:val="00BD57CA"/>
    <w:rsid w:val="00BD7944"/>
    <w:rsid w:val="00BF05CC"/>
    <w:rsid w:val="00BF2807"/>
    <w:rsid w:val="00BF3B9A"/>
    <w:rsid w:val="00C023AB"/>
    <w:rsid w:val="00C06A3E"/>
    <w:rsid w:val="00C20EBB"/>
    <w:rsid w:val="00C24AB2"/>
    <w:rsid w:val="00C2706E"/>
    <w:rsid w:val="00C27685"/>
    <w:rsid w:val="00C350AE"/>
    <w:rsid w:val="00C40EA4"/>
    <w:rsid w:val="00C44AB2"/>
    <w:rsid w:val="00C53F4B"/>
    <w:rsid w:val="00C6160D"/>
    <w:rsid w:val="00C65433"/>
    <w:rsid w:val="00C65A17"/>
    <w:rsid w:val="00C67831"/>
    <w:rsid w:val="00C803B8"/>
    <w:rsid w:val="00C95D42"/>
    <w:rsid w:val="00CA4C34"/>
    <w:rsid w:val="00CA4C42"/>
    <w:rsid w:val="00CA5631"/>
    <w:rsid w:val="00CC06AA"/>
    <w:rsid w:val="00CC267A"/>
    <w:rsid w:val="00CC6ABA"/>
    <w:rsid w:val="00CD08C0"/>
    <w:rsid w:val="00CD0CF3"/>
    <w:rsid w:val="00CD1944"/>
    <w:rsid w:val="00D00625"/>
    <w:rsid w:val="00D026A4"/>
    <w:rsid w:val="00D02A39"/>
    <w:rsid w:val="00D25F7C"/>
    <w:rsid w:val="00D30C95"/>
    <w:rsid w:val="00D460A7"/>
    <w:rsid w:val="00D52A56"/>
    <w:rsid w:val="00D53646"/>
    <w:rsid w:val="00D561ED"/>
    <w:rsid w:val="00D654F5"/>
    <w:rsid w:val="00D66744"/>
    <w:rsid w:val="00D716F5"/>
    <w:rsid w:val="00D71CC3"/>
    <w:rsid w:val="00D76DA1"/>
    <w:rsid w:val="00D821DD"/>
    <w:rsid w:val="00D8309A"/>
    <w:rsid w:val="00D8790D"/>
    <w:rsid w:val="00D91C44"/>
    <w:rsid w:val="00D91FC4"/>
    <w:rsid w:val="00D959A1"/>
    <w:rsid w:val="00DA264B"/>
    <w:rsid w:val="00DA34B4"/>
    <w:rsid w:val="00DA48F0"/>
    <w:rsid w:val="00DA509A"/>
    <w:rsid w:val="00DB2879"/>
    <w:rsid w:val="00DB4557"/>
    <w:rsid w:val="00DB68FE"/>
    <w:rsid w:val="00DC4F84"/>
    <w:rsid w:val="00DC5793"/>
    <w:rsid w:val="00DC7904"/>
    <w:rsid w:val="00DC7C98"/>
    <w:rsid w:val="00DD10A9"/>
    <w:rsid w:val="00DD2506"/>
    <w:rsid w:val="00DD5C99"/>
    <w:rsid w:val="00DF3406"/>
    <w:rsid w:val="00E0314A"/>
    <w:rsid w:val="00E07064"/>
    <w:rsid w:val="00E20462"/>
    <w:rsid w:val="00E24D7F"/>
    <w:rsid w:val="00E33BD2"/>
    <w:rsid w:val="00E45A9E"/>
    <w:rsid w:val="00E47EDB"/>
    <w:rsid w:val="00E60172"/>
    <w:rsid w:val="00E8109F"/>
    <w:rsid w:val="00E812B3"/>
    <w:rsid w:val="00E81627"/>
    <w:rsid w:val="00E83147"/>
    <w:rsid w:val="00E8320D"/>
    <w:rsid w:val="00E859C9"/>
    <w:rsid w:val="00E86C65"/>
    <w:rsid w:val="00E92639"/>
    <w:rsid w:val="00EB0B2D"/>
    <w:rsid w:val="00EC18DD"/>
    <w:rsid w:val="00EC2F63"/>
    <w:rsid w:val="00EC3A59"/>
    <w:rsid w:val="00EC7500"/>
    <w:rsid w:val="00EE0E25"/>
    <w:rsid w:val="00EE4792"/>
    <w:rsid w:val="00EF3A1D"/>
    <w:rsid w:val="00F0186B"/>
    <w:rsid w:val="00F068DB"/>
    <w:rsid w:val="00F210A0"/>
    <w:rsid w:val="00F30677"/>
    <w:rsid w:val="00F3124C"/>
    <w:rsid w:val="00F4326B"/>
    <w:rsid w:val="00F434E8"/>
    <w:rsid w:val="00F445B5"/>
    <w:rsid w:val="00F5103A"/>
    <w:rsid w:val="00F56629"/>
    <w:rsid w:val="00F61221"/>
    <w:rsid w:val="00F762B6"/>
    <w:rsid w:val="00F76CFB"/>
    <w:rsid w:val="00F80226"/>
    <w:rsid w:val="00F82F8B"/>
    <w:rsid w:val="00FB5B6A"/>
    <w:rsid w:val="00FC6DDF"/>
    <w:rsid w:val="00FD0101"/>
    <w:rsid w:val="00FD657F"/>
    <w:rsid w:val="00FE6253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B1CC0"/>
  <w15:chartTrackingRefBased/>
  <w15:docId w15:val="{75B79245-D29F-4985-AA81-F03F46A7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24757"/>
    <w:pPr>
      <w:numPr>
        <w:numId w:val="21"/>
      </w:numPr>
      <w:tabs>
        <w:tab w:val="left" w:pos="357"/>
      </w:tabs>
      <w:suppressAutoHyphens/>
      <w:spacing w:before="240" w:after="0" w:line="240" w:lineRule="auto"/>
      <w:jc w:val="both"/>
      <w:outlineLvl w:val="0"/>
    </w:pPr>
    <w:rPr>
      <w:rFonts w:ascii="Arial" w:eastAsia="Times New Roman" w:hAnsi="Arial" w:cs="Times New Roman"/>
      <w:bCs/>
      <w:i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List Paragraph,Puce"/>
    <w:basedOn w:val="Normal"/>
    <w:link w:val="ParagraphedelisteCar"/>
    <w:uiPriority w:val="34"/>
    <w:qFormat/>
    <w:rsid w:val="00F434E8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9618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B411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411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411E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F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65B2"/>
  </w:style>
  <w:style w:type="paragraph" w:styleId="Pieddepage">
    <w:name w:val="footer"/>
    <w:basedOn w:val="Normal"/>
    <w:link w:val="PieddepageCar"/>
    <w:uiPriority w:val="99"/>
    <w:unhideWhenUsed/>
    <w:rsid w:val="002F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65B2"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2F65B2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2F65B2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F65B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65B2"/>
  </w:style>
  <w:style w:type="table" w:styleId="Grilledutableau">
    <w:name w:val="Table Grid"/>
    <w:basedOn w:val="TableauNormal"/>
    <w:uiPriority w:val="39"/>
    <w:rsid w:val="002F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rsid w:val="003475CF"/>
  </w:style>
  <w:style w:type="table" w:styleId="TableauListe4-Accentuation1">
    <w:name w:val="List Table 4 Accent 1"/>
    <w:basedOn w:val="TableauNormal"/>
    <w:uiPriority w:val="49"/>
    <w:rsid w:val="00226D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720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20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20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0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0A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F34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34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3E45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211D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024757"/>
    <w:rPr>
      <w:rFonts w:ascii="Arial" w:eastAsia="Times New Roman" w:hAnsi="Arial" w:cs="Times New Roman"/>
      <w:bCs/>
      <w:iCs/>
      <w:szCs w:val="24"/>
      <w:lang w:eastAsia="fr-FR"/>
    </w:rPr>
  </w:style>
  <w:style w:type="paragraph" w:styleId="Rvision">
    <w:name w:val="Revision"/>
    <w:hidden/>
    <w:uiPriority w:val="99"/>
    <w:semiHidden/>
    <w:rsid w:val="00631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4/relationships/chartEx" Target="charts/chart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bossard\Desktop\R&#233;sum&#233;%20COMEX%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abossard\Desktop\R&#233;sum&#233;%20COMEX%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600">
                <a:latin typeface="Segoe UI" panose="020B0502040204020203" pitchFamily="34" charset="0"/>
                <a:cs typeface="Segoe UI" panose="020B0502040204020203" pitchFamily="34" charset="0"/>
              </a:rPr>
              <a:t>Evolution des importations et exportations</a:t>
            </a:r>
            <a:r>
              <a:rPr lang="fr-FR" sz="1600" baseline="0">
                <a:latin typeface="Segoe UI" panose="020B0502040204020203" pitchFamily="34" charset="0"/>
                <a:cs typeface="Segoe UI" panose="020B0502040204020203" pitchFamily="34" charset="0"/>
              </a:rPr>
              <a:t> (EUR)</a:t>
            </a:r>
            <a:r>
              <a:rPr lang="fr-FR" sz="1600">
                <a:latin typeface="Segoe UI" panose="020B0502040204020203" pitchFamily="34" charset="0"/>
                <a:cs typeface="Segoe UI" panose="020B0502040204020203" pitchFamily="34" charset="0"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'récap GCC'!$D$12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EE7FE"/>
            </a:soli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'récap GCC'!$B$13:$B$14</c:f>
              <c:strCache>
                <c:ptCount val="2"/>
                <c:pt idx="0">
                  <c:v>Importations</c:v>
                </c:pt>
                <c:pt idx="1">
                  <c:v>Exportations</c:v>
                </c:pt>
              </c:strCache>
            </c:strRef>
          </c:cat>
          <c:val>
            <c:numRef>
              <c:f>'récap GCC'!$D$13:$D$14</c:f>
              <c:numCache>
                <c:formatCode>#,##0.00</c:formatCode>
                <c:ptCount val="2"/>
                <c:pt idx="0">
                  <c:v>1744239398</c:v>
                </c:pt>
                <c:pt idx="1">
                  <c:v>987479019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F8-4C99-A7BF-B836D8F2F61C}"/>
            </c:ext>
          </c:extLst>
        </c:ser>
        <c:ser>
          <c:idx val="1"/>
          <c:order val="1"/>
          <c:tx>
            <c:strRef>
              <c:f>'récap GCC'!$C$12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6CE5"/>
            </a:solidFill>
            <a:ln>
              <a:noFill/>
            </a:ln>
            <a:effectLst>
              <a:innerShdw>
                <a:srgbClr val="006CE5"/>
              </a:innerShdw>
            </a:effectLst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F8-4C99-A7BF-B836D8F2F61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F8-4C99-A7BF-B836D8F2F6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'récap GCC'!$B$13:$B$14</c:f>
              <c:strCache>
                <c:ptCount val="2"/>
                <c:pt idx="0">
                  <c:v>Importations</c:v>
                </c:pt>
                <c:pt idx="1">
                  <c:v>Exportations</c:v>
                </c:pt>
              </c:strCache>
            </c:strRef>
          </c:cat>
          <c:val>
            <c:numRef>
              <c:f>'récap GCC'!$C$13:$C$14</c:f>
              <c:numCache>
                <c:formatCode>#,##0.00</c:formatCode>
                <c:ptCount val="2"/>
                <c:pt idx="0">
                  <c:v>2080973723</c:v>
                </c:pt>
                <c:pt idx="1">
                  <c:v>803551398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F8-4C99-A7BF-B836D8F2F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overlap val="-48"/>
        <c:axId val="1515896576"/>
        <c:axId val="1515909472"/>
      </c:barChart>
      <c:catAx>
        <c:axId val="151589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fr-FR"/>
          </a:p>
        </c:txPr>
        <c:crossAx val="1515909472"/>
        <c:crosses val="autoZero"/>
        <c:auto val="1"/>
        <c:lblAlgn val="ctr"/>
        <c:lblOffset val="100"/>
        <c:noMultiLvlLbl val="0"/>
      </c:catAx>
      <c:valAx>
        <c:axId val="1515909472"/>
        <c:scaling>
          <c:orientation val="minMax"/>
        </c:scaling>
        <c:delete val="1"/>
        <c:axPos val="b"/>
        <c:numFmt formatCode="#,##0.00" sourceLinked="1"/>
        <c:majorTickMark val="none"/>
        <c:minorTickMark val="none"/>
        <c:tickLblPos val="nextTo"/>
        <c:crossAx val="151589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'Graph structure exportations'!$A$16:$A$24</cx:f>
        <cx:lvl ptCount="9">
          <cx:pt idx="0">Autres produits industriels</cx:pt>
          <cx:pt idx="1">Equipements mécaniques, matériel électrique, électronique et informatique</cx:pt>
          <cx:pt idx="2">Hydrocarbures naturels, autres produits des industries extractives, électricité, déchets</cx:pt>
          <cx:pt idx="3">Matériels de transport</cx:pt>
          <cx:pt idx="4">Produits agricoles, sylvicoles, de la pêche et de l’aquaculture</cx:pt>
          <cx:pt idx="5">Produits des industries agroalimentaires (IAA)</cx:pt>
          <cx:pt idx="6">Produits divers</cx:pt>
          <cx:pt idx="7">Produits pétroliers raffinés et coke</cx:pt>
        </cx:lvl>
      </cx:strDim>
      <cx:numDim type="size">
        <cx:f>'Graph structure exportations'!$B$16:$B$24</cx:f>
        <cx:lvl ptCount="9" formatCode="Standard">
          <cx:pt idx="0">303890306</cx:pt>
          <cx:pt idx="1">122913461</cx:pt>
          <cx:pt idx="2">259163</cx:pt>
          <cx:pt idx="3">299156009</cx:pt>
          <cx:pt idx="4">3810841</cx:pt>
          <cx:pt idx="5">67325197</cx:pt>
          <cx:pt idx="6">2511681</cx:pt>
          <cx:pt idx="7">3684740</cx:pt>
        </cx:lvl>
      </cx:numDim>
    </cx:data>
  </cx:chartData>
  <cx:chart>
    <cx:title pos="t" align="ctr" overlay="0">
      <cx:tx>
        <cx:txData>
          <cx:v>Structure des exportations en 2023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600"/>
          </a:pPr>
          <a:r>
            <a:rPr lang="fr-FR" sz="16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Segoe UI" panose="020B0502040204020203" pitchFamily="34" charset="0"/>
              <a:cs typeface="Segoe UI" panose="020B0502040204020203" pitchFamily="34" charset="0"/>
            </a:rPr>
            <a:t>Structure des exportations en 2023</a:t>
          </a:r>
        </a:p>
      </cx:txPr>
    </cx:title>
    <cx:plotArea>
      <cx:plotAreaRegion>
        <cx:series layoutId="treemap" uniqueId="{63E5EBC1-2B75-4F87-918C-2D5D4A917077}">
          <cx:tx>
            <cx:txData>
              <cx:f>'Graph structure exportations'!$B$15</cx:f>
              <cx:v>Exportations 2023 (EUR)</cx:v>
            </cx:txData>
          </cx:tx>
          <cx:dataPt idx="0">
            <cx:spPr>
              <a:solidFill>
                <a:srgbClr val="4472C4"/>
              </a:solidFill>
            </cx:spPr>
          </cx:dataPt>
          <cx:dataLabels pos="inEnd"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200">
                    <a:latin typeface="Segoe UI" panose="020B0502040204020203" pitchFamily="34" charset="0"/>
                    <a:ea typeface="Segoe UI" panose="020B0502040204020203" pitchFamily="34" charset="0"/>
                    <a:cs typeface="Segoe UI" panose="020B0502040204020203" pitchFamily="34" charset="0"/>
                  </a:defRPr>
                </a:pPr>
                <a:endParaRPr lang="fr-FR" sz="1200" b="0" i="0" u="none" strike="noStrike" baseline="0">
                  <a:solidFill>
                    <a:sysClr val="window" lastClr="FFFFFF"/>
                  </a:solidFill>
                  <a:latin typeface="Segoe UI" panose="020B0502040204020203" pitchFamily="34" charset="0"/>
                  <a:cs typeface="Segoe UI" panose="020B0502040204020203" pitchFamily="34" charset="0"/>
                </a:endParaRPr>
              </a:p>
            </cx:txPr>
            <cx:visibility seriesName="0" categoryName="1" value="0"/>
            <cx:separator>, </cx:separator>
            <cx:dataLabel idx="0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 sz="1200"/>
                  </a:pPr>
                  <a:r>
                    <a:rPr lang="fr-FR" sz="1200" b="0" i="0" u="none" strike="noStrike" baseline="0">
                      <a:solidFill>
                        <a:sysClr val="window" lastClr="FFFFFF"/>
                      </a:solidFill>
                      <a:latin typeface="Segoe UI" panose="020B0502040204020203" pitchFamily="34" charset="0"/>
                      <a:cs typeface="Segoe UI" panose="020B0502040204020203" pitchFamily="34" charset="0"/>
                    </a:rPr>
                    <a:t>Autres produits industriels</a:t>
                  </a:r>
                </a:p>
              </cx:txPr>
              <cx:visibility seriesName="0" categoryName="1" value="0"/>
              <cx:separator>
</cx:separator>
            </cx:dataLabel>
            <cx:dataLabel idx="1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 sz="1200"/>
                  </a:pPr>
                  <a:r>
                    <a:rPr lang="fr-FR" sz="1200" b="0" i="0" u="none" strike="noStrike" baseline="0">
                      <a:solidFill>
                        <a:sysClr val="window" lastClr="FFFFFF"/>
                      </a:solidFill>
                      <a:latin typeface="Segoe UI" panose="020B0502040204020203" pitchFamily="34" charset="0"/>
                      <a:cs typeface="Segoe UI" panose="020B0502040204020203" pitchFamily="34" charset="0"/>
                    </a:rPr>
                    <a:t>Equipements mécaniques, matériel électrique, électronique et informatique</a:t>
                  </a:r>
                </a:p>
              </cx:txPr>
              <cx:visibility seriesName="0" categoryName="1" value="0"/>
              <cx:separator>, </cx:separator>
            </cx:dataLabel>
            <cx:dataLabel idx="3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/>
                  </a:pPr>
                  <a:r>
                    <a:rPr lang="fr-FR" sz="1200" b="0" i="0" u="none" strike="noStrike" baseline="0">
                      <a:solidFill>
                        <a:sysClr val="window" lastClr="FFFFFF"/>
                      </a:solidFill>
                      <a:latin typeface="Segoe UI" panose="020B0502040204020203" pitchFamily="34" charset="0"/>
                      <a:cs typeface="Segoe UI" panose="020B0502040204020203" pitchFamily="34" charset="0"/>
                    </a:rPr>
                    <a:t>Matériels de transport</a:t>
                  </a:r>
                </a:p>
              </cx:txPr>
              <cx:visibility seriesName="0" categoryName="1" value="0"/>
              <cx:separator>, </cx:separator>
            </cx:dataLabel>
            <cx:dataLabel idx="4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/>
                  </a:pPr>
                  <a:r>
                    <a:rPr lang="fr-FR" sz="1200" b="0" i="0" u="none" strike="noStrike" baseline="0">
                      <a:solidFill>
                        <a:sysClr val="window" lastClr="FFFFFF"/>
                      </a:solidFill>
                      <a:latin typeface="Segoe UI" panose="020B0502040204020203" pitchFamily="34" charset="0"/>
                      <a:cs typeface="Segoe UI" panose="020B0502040204020203" pitchFamily="34" charset="0"/>
                    </a:rPr>
                    <a:t>Produits agricoles, sylvicoles, de la pêche et de l’aquaculture</a:t>
                  </a:r>
                </a:p>
              </cx:txPr>
              <cx:visibility seriesName="0" categoryName="1" value="0"/>
              <cx:separator>, </cx:separator>
            </cx:dataLabel>
            <cx:dataLabel idx="5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/>
                  </a:pPr>
                  <a:r>
                    <a:rPr lang="fr-FR" sz="1200" b="0" i="0" u="none" strike="noStrike" baseline="0">
                      <a:solidFill>
                        <a:sysClr val="window" lastClr="FFFFFF"/>
                      </a:solidFill>
                      <a:latin typeface="Segoe UI" panose="020B0502040204020203" pitchFamily="34" charset="0"/>
                      <a:cs typeface="Segoe UI" panose="020B0502040204020203" pitchFamily="34" charset="0"/>
                    </a:rPr>
                    <a:t>Produits des industries agroalimentaires (IAA)</a:t>
                  </a:r>
                </a:p>
              </cx:txPr>
              <cx:visibility seriesName="0" categoryName="1" value="0"/>
              <cx:separator>, </cx:separator>
            </cx:dataLabel>
            <cx:dataLabel idx="6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/>
                  </a:pPr>
                  <a:r>
                    <a:rPr lang="fr-FR" sz="1200" b="0" i="0" u="none" strike="noStrike" baseline="0">
                      <a:solidFill>
                        <a:sysClr val="window" lastClr="FFFFFF"/>
                      </a:solidFill>
                      <a:latin typeface="Segoe UI" panose="020B0502040204020203" pitchFamily="34" charset="0"/>
                      <a:cs typeface="Segoe UI" panose="020B0502040204020203" pitchFamily="34" charset="0"/>
                    </a:rPr>
                    <a:t>Produits divers</a:t>
                  </a:r>
                </a:p>
              </cx:txPr>
              <cx:visibility seriesName="0" categoryName="1" value="0"/>
              <cx:separator>, </cx:separator>
            </cx:dataLabel>
            <cx:dataLabel idx="7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/>
                  </a:pPr>
                  <a:r>
                    <a:rPr lang="fr-FR" sz="1200" b="0" i="0" u="none" strike="noStrike" baseline="0">
                      <a:solidFill>
                        <a:sysClr val="window" lastClr="FFFFFF"/>
                      </a:solidFill>
                      <a:latin typeface="Segoe UI" panose="020B0502040204020203" pitchFamily="34" charset="0"/>
                      <a:cs typeface="Segoe UI" panose="020B0502040204020203" pitchFamily="34" charset="0"/>
                    </a:rPr>
                    <a:t>Produits pétroliers raffinés et coke</a:t>
                  </a:r>
                </a:p>
              </cx:txPr>
              <cx:visibility seriesName="0" categoryName="1" value="0"/>
              <cx:separator>, </cx:separator>
            </cx:dataLabel>
          </cx:dataLabels>
          <cx:dataId val="0"/>
          <cx:layoutPr>
            <cx:parentLabelLayout val="overlapping"/>
          </cx:layoutPr>
        </cx:series>
      </cx:plotAreaRegion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2F4A74C9DFD41BDD7656923504BF8" ma:contentTypeVersion="1" ma:contentTypeDescription="Crée un document." ma:contentTypeScope="" ma:versionID="d52e5671c49a104fe9385544bd385509">
  <xsd:schema xmlns:xsd="http://www.w3.org/2001/XMLSchema" xmlns:xs="http://www.w3.org/2001/XMLSchema" xmlns:p="http://schemas.microsoft.com/office/2006/metadata/properties" xmlns:ns2="b9f65f96-bc9b-4e5c-a9c1-41ba32c0550c" targetNamespace="http://schemas.microsoft.com/office/2006/metadata/properties" ma:root="true" ma:fieldsID="13adfa59d1cb70f1e33028fcc5508a0f" ns2:_="">
    <xsd:import namespace="b9f65f96-bc9b-4e5c-a9c1-41ba32c0550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65f96-bc9b-4e5c-a9c1-41ba32c055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D70EA-A22E-4ADA-8203-C84EBB695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8121E4-6ED2-4067-8331-FE5CDDBD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65f96-bc9b-4e5c-a9c1-41ba32c05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3EB43-E168-4AEC-974B-1932A9E32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CD6BFC-F8BF-4705-BBF9-A8EF8E9E5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OULERICH Hugo</dc:creator>
  <cp:keywords/>
  <dc:description/>
  <cp:lastModifiedBy>ZANGHELLINI Bruno</cp:lastModifiedBy>
  <cp:revision>2</cp:revision>
  <dcterms:created xsi:type="dcterms:W3CDTF">2024-04-02T09:00:00Z</dcterms:created>
  <dcterms:modified xsi:type="dcterms:W3CDTF">2024-04-02T09:00:00Z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0x01010024D2F4A74C9DFD41BDD7656923504BF8</vt:lpwstr>
  </property>
</Properties>
</file>