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4CC4A" w14:textId="77777777" w:rsidR="006A6814" w:rsidRPr="00AF3E63" w:rsidRDefault="004432FE" w:rsidP="004432FE">
      <w:pPr>
        <w:tabs>
          <w:tab w:val="left" w:pos="3969"/>
        </w:tabs>
        <w:spacing w:after="0"/>
        <w:rPr>
          <w:rFonts w:ascii="Arial" w:hAnsi="Arial" w:cs="Arial"/>
        </w:rPr>
      </w:pPr>
      <w:r w:rsidRPr="00AF3E63">
        <w:rPr>
          <w:rFonts w:ascii="Arial" w:hAnsi="Arial" w:cs="Arial"/>
        </w:rPr>
        <w:tab/>
      </w:r>
    </w:p>
    <w:tbl>
      <w:tblPr>
        <w:tblStyle w:val="Grilledutableau"/>
        <w:tblW w:w="9214" w:type="dxa"/>
        <w:tblLook w:val="04A0" w:firstRow="1" w:lastRow="0" w:firstColumn="1" w:lastColumn="0" w:noHBand="0" w:noVBand="1"/>
      </w:tblPr>
      <w:tblGrid>
        <w:gridCol w:w="5103"/>
        <w:gridCol w:w="3959"/>
        <w:gridCol w:w="152"/>
      </w:tblGrid>
      <w:tr w:rsidR="006A6814" w:rsidRPr="005C5173" w14:paraId="3F8B0232" w14:textId="77777777" w:rsidTr="0057751A">
        <w:tc>
          <w:tcPr>
            <w:tcW w:w="5103" w:type="dxa"/>
            <w:tcBorders>
              <w:top w:val="nil"/>
              <w:left w:val="nil"/>
              <w:bottom w:val="nil"/>
              <w:right w:val="nil"/>
            </w:tcBorders>
          </w:tcPr>
          <w:p w14:paraId="0BFE0C47" w14:textId="77777777" w:rsidR="00AF3E63" w:rsidRPr="005C5173" w:rsidRDefault="006A6814" w:rsidP="006A6814">
            <w:pPr>
              <w:tabs>
                <w:tab w:val="left" w:pos="3969"/>
              </w:tabs>
              <w:rPr>
                <w:rFonts w:ascii="Segoe UI" w:eastAsia="SimSun" w:hAnsi="Segoe UI" w:cs="Segoe UI"/>
                <w:b/>
                <w:color w:val="000000" w:themeColor="text1"/>
                <w:lang w:eastAsia="ja-JP"/>
              </w:rPr>
            </w:pPr>
            <w:r w:rsidRPr="005C5173">
              <w:rPr>
                <w:rFonts w:ascii="Segoe UI" w:eastAsia="SimSun" w:hAnsi="Segoe UI" w:cs="Segoe UI"/>
                <w:b/>
                <w:color w:val="000000" w:themeColor="text1"/>
                <w:lang w:eastAsia="ja-JP"/>
              </w:rPr>
              <w:t xml:space="preserve">  </w:t>
            </w:r>
          </w:p>
          <w:p w14:paraId="5511A3C8" w14:textId="77777777" w:rsidR="00AF3E63" w:rsidRPr="00963B41" w:rsidRDefault="006A6814" w:rsidP="0057751A">
            <w:pPr>
              <w:tabs>
                <w:tab w:val="left" w:pos="3969"/>
              </w:tabs>
              <w:rPr>
                <w:rFonts w:ascii="Segoe UI" w:eastAsia="SimSun" w:hAnsi="Segoe UI" w:cs="Segoe UI"/>
                <w:b/>
                <w:color w:val="000000" w:themeColor="text1"/>
                <w:sz w:val="20"/>
                <w:lang w:eastAsia="ja-JP"/>
              </w:rPr>
            </w:pPr>
            <w:r w:rsidRPr="00963B41">
              <w:rPr>
                <w:rFonts w:ascii="Segoe UI" w:eastAsia="SimSun" w:hAnsi="Segoe UI" w:cs="Segoe UI"/>
                <w:b/>
                <w:color w:val="000000" w:themeColor="text1"/>
                <w:sz w:val="20"/>
                <w:lang w:eastAsia="ja-JP"/>
              </w:rPr>
              <w:t xml:space="preserve">Ambassade de France </w:t>
            </w:r>
            <w:r w:rsidR="0057751A">
              <w:rPr>
                <w:rFonts w:ascii="Segoe UI" w:eastAsia="SimSun" w:hAnsi="Segoe UI" w:cs="Segoe UI"/>
                <w:b/>
                <w:color w:val="000000" w:themeColor="text1"/>
                <w:sz w:val="20"/>
                <w:lang w:eastAsia="ja-JP"/>
              </w:rPr>
              <w:t>au Koweït</w:t>
            </w:r>
          </w:p>
          <w:p w14:paraId="20C52200" w14:textId="77777777" w:rsidR="006A6814" w:rsidRPr="00963B41" w:rsidRDefault="0057751A" w:rsidP="006A6814">
            <w:pPr>
              <w:tabs>
                <w:tab w:val="left" w:pos="3969"/>
              </w:tabs>
              <w:rPr>
                <w:rFonts w:ascii="Segoe UI" w:eastAsia="SimSun" w:hAnsi="Segoe UI" w:cs="Segoe UI"/>
                <w:b/>
                <w:color w:val="000000" w:themeColor="text1"/>
                <w:sz w:val="20"/>
                <w:lang w:eastAsia="ja-JP"/>
              </w:rPr>
            </w:pPr>
            <w:r>
              <w:rPr>
                <w:rFonts w:ascii="Segoe UI" w:eastAsia="SimSun" w:hAnsi="Segoe UI" w:cs="Segoe UI"/>
                <w:b/>
                <w:color w:val="000000" w:themeColor="text1"/>
                <w:sz w:val="20"/>
                <w:lang w:eastAsia="ja-JP"/>
              </w:rPr>
              <w:t>Service économique de Koweït</w:t>
            </w:r>
          </w:p>
          <w:p w14:paraId="45B61485" w14:textId="77777777" w:rsidR="006A6814" w:rsidRPr="005C5173" w:rsidRDefault="006A6814" w:rsidP="004432FE">
            <w:pPr>
              <w:tabs>
                <w:tab w:val="left" w:pos="3969"/>
              </w:tabs>
              <w:rPr>
                <w:rFonts w:ascii="Segoe UI" w:hAnsi="Segoe UI" w:cs="Segoe UI"/>
              </w:rPr>
            </w:pPr>
          </w:p>
        </w:tc>
        <w:tc>
          <w:tcPr>
            <w:tcW w:w="4111" w:type="dxa"/>
            <w:gridSpan w:val="2"/>
            <w:tcBorders>
              <w:top w:val="nil"/>
              <w:left w:val="nil"/>
              <w:bottom w:val="nil"/>
              <w:right w:val="nil"/>
            </w:tcBorders>
          </w:tcPr>
          <w:p w14:paraId="753E06D5" w14:textId="77777777" w:rsidR="00AF3E63" w:rsidRPr="005C5173" w:rsidRDefault="00AF3E63" w:rsidP="007E6B29">
            <w:pPr>
              <w:tabs>
                <w:tab w:val="left" w:pos="3969"/>
              </w:tabs>
              <w:rPr>
                <w:rFonts w:ascii="Segoe UI" w:eastAsia="SimSun" w:hAnsi="Segoe UI" w:cs="Segoe UI"/>
                <w:color w:val="000000" w:themeColor="text1"/>
                <w:sz w:val="20"/>
                <w:lang w:eastAsia="ja-JP"/>
              </w:rPr>
            </w:pPr>
          </w:p>
          <w:p w14:paraId="67991562" w14:textId="77777777" w:rsidR="003C1760" w:rsidRPr="005C5173" w:rsidRDefault="003C1760" w:rsidP="007E6B29">
            <w:pPr>
              <w:tabs>
                <w:tab w:val="left" w:pos="3969"/>
              </w:tabs>
              <w:rPr>
                <w:rFonts w:ascii="Segoe UI" w:eastAsia="SimSun" w:hAnsi="Segoe UI" w:cs="Segoe UI"/>
                <w:color w:val="000000" w:themeColor="text1"/>
                <w:sz w:val="20"/>
                <w:lang w:eastAsia="ja-JP"/>
              </w:rPr>
            </w:pPr>
          </w:p>
          <w:p w14:paraId="76D6421D" w14:textId="2E351007" w:rsidR="006A6814" w:rsidRPr="005C5173" w:rsidRDefault="00D50735" w:rsidP="00233A6A">
            <w:pPr>
              <w:tabs>
                <w:tab w:val="left" w:pos="3969"/>
              </w:tabs>
              <w:ind w:firstLine="459"/>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 xml:space="preserve">                 </w:t>
            </w:r>
            <w:r w:rsidR="0025670F">
              <w:rPr>
                <w:rFonts w:ascii="Segoe UI" w:eastAsia="SimSun" w:hAnsi="Segoe UI" w:cs="Segoe UI"/>
                <w:color w:val="000000" w:themeColor="text1"/>
                <w:sz w:val="20"/>
                <w:lang w:eastAsia="ja-JP"/>
              </w:rPr>
              <w:t xml:space="preserve"> </w:t>
            </w:r>
            <w:r w:rsidR="0057751A">
              <w:rPr>
                <w:rFonts w:ascii="Segoe UI" w:eastAsia="SimSun" w:hAnsi="Segoe UI" w:cs="Segoe UI"/>
                <w:color w:val="000000" w:themeColor="text1"/>
                <w:sz w:val="20"/>
                <w:lang w:eastAsia="ja-JP"/>
              </w:rPr>
              <w:t xml:space="preserve">Kuwait City, </w:t>
            </w:r>
            <w:r w:rsidR="00F27B3F">
              <w:rPr>
                <w:rFonts w:ascii="Segoe UI" w:eastAsia="SimSun" w:hAnsi="Segoe UI" w:cs="Segoe UI"/>
                <w:color w:val="000000" w:themeColor="text1"/>
                <w:sz w:val="20"/>
                <w:lang w:eastAsia="ja-JP"/>
              </w:rPr>
              <w:t xml:space="preserve">le </w:t>
            </w:r>
            <w:r w:rsidR="009B3827">
              <w:rPr>
                <w:rFonts w:ascii="Segoe UI" w:eastAsia="SimSun" w:hAnsi="Segoe UI" w:cs="Segoe UI"/>
                <w:color w:val="000000" w:themeColor="text1"/>
                <w:sz w:val="20"/>
                <w:lang w:eastAsia="ja-JP"/>
              </w:rPr>
              <w:t>30</w:t>
            </w:r>
            <w:r w:rsidR="0025670F">
              <w:rPr>
                <w:rFonts w:ascii="Segoe UI" w:eastAsia="SimSun" w:hAnsi="Segoe UI" w:cs="Segoe UI"/>
                <w:color w:val="000000" w:themeColor="text1"/>
                <w:sz w:val="20"/>
                <w:lang w:eastAsia="ja-JP"/>
              </w:rPr>
              <w:t xml:space="preserve"> avril</w:t>
            </w:r>
            <w:r w:rsidR="00D4640E">
              <w:rPr>
                <w:rFonts w:ascii="Segoe UI" w:eastAsia="SimSun" w:hAnsi="Segoe UI" w:cs="Segoe UI"/>
                <w:color w:val="000000" w:themeColor="text1"/>
                <w:sz w:val="20"/>
                <w:lang w:eastAsia="ja-JP"/>
              </w:rPr>
              <w:t xml:space="preserve"> 202</w:t>
            </w:r>
            <w:r w:rsidR="00BE541D">
              <w:rPr>
                <w:rFonts w:ascii="Segoe UI" w:eastAsia="SimSun" w:hAnsi="Segoe UI" w:cs="Segoe UI"/>
                <w:color w:val="000000" w:themeColor="text1"/>
                <w:sz w:val="20"/>
                <w:lang w:eastAsia="ja-JP"/>
              </w:rPr>
              <w:t>4</w:t>
            </w:r>
          </w:p>
          <w:p w14:paraId="14B359DC" w14:textId="3FEBAC7F" w:rsidR="006A6814" w:rsidRPr="005C5173" w:rsidRDefault="006A6814" w:rsidP="003C1760">
            <w:pPr>
              <w:tabs>
                <w:tab w:val="left" w:pos="3969"/>
              </w:tabs>
              <w:ind w:firstLine="459"/>
              <w:rPr>
                <w:rFonts w:ascii="Segoe UI" w:hAnsi="Segoe UI" w:cs="Segoe UI"/>
              </w:rPr>
            </w:pPr>
          </w:p>
        </w:tc>
      </w:tr>
      <w:tr w:rsidR="00F37E56" w:rsidRPr="00821B9A" w14:paraId="176D7276" w14:textId="77777777" w:rsidTr="0057751A">
        <w:trPr>
          <w:gridAfter w:val="1"/>
          <w:wAfter w:w="152" w:type="dxa"/>
        </w:trPr>
        <w:tc>
          <w:tcPr>
            <w:tcW w:w="9062" w:type="dxa"/>
            <w:gridSpan w:val="2"/>
            <w:tcBorders>
              <w:top w:val="nil"/>
              <w:left w:val="nil"/>
              <w:bottom w:val="nil"/>
              <w:right w:val="nil"/>
            </w:tcBorders>
          </w:tcPr>
          <w:p w14:paraId="52E0179F" w14:textId="349FA1D5" w:rsidR="00723BCF" w:rsidRPr="00821B9A" w:rsidRDefault="00712EFB" w:rsidP="00B50782">
            <w:pPr>
              <w:tabs>
                <w:tab w:val="left" w:pos="3969"/>
                <w:tab w:val="center" w:pos="4423"/>
                <w:tab w:val="right" w:pos="8846"/>
              </w:tabs>
              <w:jc w:val="center"/>
              <w:rPr>
                <w:rFonts w:ascii="Segoe UI" w:eastAsia="Calibri" w:hAnsi="Segoe UI" w:cs="Segoe UI"/>
                <w:color w:val="006CE5"/>
                <w:sz w:val="32"/>
                <w:szCs w:val="32"/>
                <w:lang w:eastAsia="fr-FR"/>
              </w:rPr>
            </w:pPr>
            <w:r>
              <w:rPr>
                <w:rFonts w:ascii="Segoe UI" w:eastAsia="Calibri" w:hAnsi="Segoe UI" w:cs="Segoe UI"/>
                <w:color w:val="006CE5"/>
                <w:sz w:val="32"/>
                <w:szCs w:val="32"/>
                <w:lang w:eastAsia="fr-FR"/>
              </w:rPr>
              <w:t>Relations économiques bilatérales</w:t>
            </w:r>
          </w:p>
          <w:p w14:paraId="79F71855" w14:textId="77777777" w:rsidR="00904EBC" w:rsidRPr="00821B9A" w:rsidRDefault="00E7604C" w:rsidP="00723BCF">
            <w:pPr>
              <w:tabs>
                <w:tab w:val="left" w:pos="3969"/>
                <w:tab w:val="center" w:pos="4423"/>
                <w:tab w:val="right" w:pos="8846"/>
              </w:tabs>
              <w:jc w:val="center"/>
              <w:rPr>
                <w:rFonts w:ascii="Segoe UI" w:eastAsia="Calibri" w:hAnsi="Segoe UI" w:cs="Segoe UI"/>
                <w:color w:val="006CE5"/>
                <w:sz w:val="32"/>
                <w:szCs w:val="32"/>
                <w:lang w:eastAsia="fr-FR"/>
              </w:rPr>
            </w:pPr>
            <w:r w:rsidRPr="00821B9A">
              <w:rPr>
                <w:rFonts w:ascii="Segoe UI" w:eastAsia="Calibri" w:hAnsi="Segoe UI" w:cs="Segoe UI"/>
                <w:color w:val="006CE5"/>
                <w:sz w:val="32"/>
                <w:szCs w:val="32"/>
                <w:lang w:eastAsia="fr-FR"/>
              </w:rPr>
              <w:tab/>
            </w:r>
            <w:r w:rsidRPr="00821B9A">
              <w:rPr>
                <w:rFonts w:ascii="Segoe UI" w:eastAsia="Calibri" w:hAnsi="Segoe UI" w:cs="Segoe UI"/>
                <w:color w:val="006CE5"/>
                <w:sz w:val="32"/>
                <w:szCs w:val="32"/>
                <w:lang w:eastAsia="fr-FR"/>
              </w:rPr>
              <w:tab/>
            </w:r>
          </w:p>
        </w:tc>
      </w:tr>
    </w:tbl>
    <w:p w14:paraId="69AC8AB2" w14:textId="65B11519" w:rsidR="002E6ED3" w:rsidRDefault="001A6531" w:rsidP="001E5160">
      <w:pPr>
        <w:jc w:val="both"/>
        <w:rPr>
          <w:rFonts w:ascii="Segoe UI" w:eastAsia="Times New Roman" w:hAnsi="Segoe UI" w:cs="Segoe UI"/>
          <w:b/>
          <w:bCs/>
          <w:color w:val="006CE5"/>
          <w:sz w:val="23"/>
          <w:szCs w:val="23"/>
          <w:lang w:eastAsia="fr-FR"/>
        </w:rPr>
      </w:pPr>
      <w:r>
        <w:rPr>
          <w:rFonts w:ascii="Segoe UI" w:eastAsia="Times New Roman" w:hAnsi="Segoe UI" w:cs="Segoe UI"/>
          <w:b/>
          <w:bCs/>
          <w:color w:val="006CE5"/>
          <w:sz w:val="23"/>
          <w:szCs w:val="23"/>
          <w:lang w:eastAsia="fr-FR"/>
        </w:rPr>
        <w:t>Le Koweït est désormais le 3</w:t>
      </w:r>
      <w:r w:rsidRPr="001A6531">
        <w:rPr>
          <w:rFonts w:ascii="Segoe UI" w:eastAsia="Times New Roman" w:hAnsi="Segoe UI" w:cs="Segoe UI"/>
          <w:b/>
          <w:bCs/>
          <w:color w:val="006CE5"/>
          <w:sz w:val="23"/>
          <w:szCs w:val="23"/>
          <w:vertAlign w:val="superscript"/>
          <w:lang w:eastAsia="fr-FR"/>
        </w:rPr>
        <w:t>ème</w:t>
      </w:r>
      <w:r>
        <w:rPr>
          <w:rFonts w:ascii="Segoe UI" w:eastAsia="Times New Roman" w:hAnsi="Segoe UI" w:cs="Segoe UI"/>
          <w:b/>
          <w:bCs/>
          <w:color w:val="006CE5"/>
          <w:sz w:val="23"/>
          <w:szCs w:val="23"/>
          <w:lang w:eastAsia="fr-FR"/>
        </w:rPr>
        <w:t xml:space="preserve"> partenaire commercial de la France dans le Golfe. Notre déficit commercial se creuse pour s’établir à 1,28 Md EUR, engendré par des importations d’hydrocarbures en hausse et un recul des exportations </w:t>
      </w:r>
      <w:r w:rsidR="005456EC">
        <w:rPr>
          <w:rFonts w:ascii="Segoe UI" w:eastAsia="Times New Roman" w:hAnsi="Segoe UI" w:cs="Segoe UI"/>
          <w:b/>
          <w:bCs/>
          <w:color w:val="006CE5"/>
          <w:sz w:val="23"/>
          <w:szCs w:val="23"/>
          <w:lang w:eastAsia="fr-FR"/>
        </w:rPr>
        <w:t>dû</w:t>
      </w:r>
      <w:r>
        <w:rPr>
          <w:rFonts w:ascii="Segoe UI" w:eastAsia="Times New Roman" w:hAnsi="Segoe UI" w:cs="Segoe UI"/>
          <w:b/>
          <w:bCs/>
          <w:color w:val="006CE5"/>
          <w:sz w:val="23"/>
          <w:szCs w:val="23"/>
          <w:lang w:eastAsia="fr-FR"/>
        </w:rPr>
        <w:t xml:space="preserve"> à la cyclicité du transport aérien. </w:t>
      </w:r>
      <w:r w:rsidR="002E6ED3">
        <w:rPr>
          <w:rFonts w:ascii="Segoe UI" w:eastAsia="Times New Roman" w:hAnsi="Segoe UI" w:cs="Segoe UI"/>
          <w:b/>
          <w:bCs/>
          <w:color w:val="006CE5"/>
          <w:sz w:val="23"/>
          <w:szCs w:val="23"/>
          <w:lang w:eastAsia="fr-FR"/>
        </w:rPr>
        <w:t xml:space="preserve">39 filiales d’entreprises françaises </w:t>
      </w:r>
      <w:r w:rsidR="00E75D09">
        <w:rPr>
          <w:rFonts w:ascii="Segoe UI" w:eastAsia="Times New Roman" w:hAnsi="Segoe UI" w:cs="Segoe UI"/>
          <w:b/>
          <w:bCs/>
          <w:color w:val="006CE5"/>
          <w:sz w:val="23"/>
          <w:szCs w:val="23"/>
          <w:lang w:eastAsia="fr-FR"/>
        </w:rPr>
        <w:t>sont implantées au Koweït. Elles représentent plus de la moitié des entreprises de l’UE. Nous étions en 2022 le 8</w:t>
      </w:r>
      <w:r w:rsidR="00E75D09" w:rsidRPr="00E75D09">
        <w:rPr>
          <w:rFonts w:ascii="Segoe UI" w:eastAsia="Times New Roman" w:hAnsi="Segoe UI" w:cs="Segoe UI"/>
          <w:b/>
          <w:bCs/>
          <w:color w:val="006CE5"/>
          <w:sz w:val="23"/>
          <w:szCs w:val="23"/>
          <w:vertAlign w:val="superscript"/>
          <w:lang w:eastAsia="fr-FR"/>
        </w:rPr>
        <w:t>ème</w:t>
      </w:r>
      <w:r w:rsidR="00E75D09">
        <w:rPr>
          <w:rFonts w:ascii="Segoe UI" w:eastAsia="Times New Roman" w:hAnsi="Segoe UI" w:cs="Segoe UI"/>
          <w:b/>
          <w:bCs/>
          <w:color w:val="006CE5"/>
          <w:sz w:val="23"/>
          <w:szCs w:val="23"/>
          <w:lang w:eastAsia="fr-FR"/>
        </w:rPr>
        <w:t xml:space="preserve"> investisseur mondial dans le pays et le 1</w:t>
      </w:r>
      <w:r w:rsidR="00E75D09" w:rsidRPr="00E75D09">
        <w:rPr>
          <w:rFonts w:ascii="Segoe UI" w:eastAsia="Times New Roman" w:hAnsi="Segoe UI" w:cs="Segoe UI"/>
          <w:b/>
          <w:bCs/>
          <w:color w:val="006CE5"/>
          <w:sz w:val="23"/>
          <w:szCs w:val="23"/>
          <w:vertAlign w:val="superscript"/>
          <w:lang w:eastAsia="fr-FR"/>
        </w:rPr>
        <w:t>er</w:t>
      </w:r>
      <w:r w:rsidR="00E75D09">
        <w:rPr>
          <w:rFonts w:ascii="Segoe UI" w:eastAsia="Times New Roman" w:hAnsi="Segoe UI" w:cs="Segoe UI"/>
          <w:b/>
          <w:bCs/>
          <w:color w:val="006CE5"/>
          <w:sz w:val="23"/>
          <w:szCs w:val="23"/>
          <w:lang w:eastAsia="fr-FR"/>
        </w:rPr>
        <w:t xml:space="preserve"> européen. Le Koweït présente un potentiel d’accroissement des échanges bilatéraux, que des initiatives régaliennes pourraient aider à stimuler.  </w:t>
      </w:r>
    </w:p>
    <w:p w14:paraId="55834622" w14:textId="77777777" w:rsidR="00365B87" w:rsidRPr="002E6ED3" w:rsidRDefault="00365B87" w:rsidP="001E5160">
      <w:pPr>
        <w:jc w:val="both"/>
        <w:rPr>
          <w:rFonts w:ascii="Segoe UI" w:eastAsia="Times New Roman" w:hAnsi="Segoe UI" w:cs="Segoe UI"/>
          <w:sz w:val="23"/>
          <w:szCs w:val="23"/>
          <w:lang w:eastAsia="fr-FR"/>
        </w:rPr>
      </w:pPr>
    </w:p>
    <w:p w14:paraId="298057FC" w14:textId="1B51B9F7" w:rsidR="001E5160" w:rsidRPr="001E5160" w:rsidRDefault="0025670F" w:rsidP="001E5160">
      <w:pPr>
        <w:jc w:val="both"/>
        <w:rPr>
          <w:rFonts w:ascii="Segoe UI" w:eastAsia="Times New Roman" w:hAnsi="Segoe UI" w:cs="Segoe UI"/>
          <w:sz w:val="23"/>
          <w:szCs w:val="23"/>
          <w:lang w:eastAsia="fr-FR"/>
        </w:rPr>
      </w:pPr>
      <w:r w:rsidRPr="00E375A2">
        <w:rPr>
          <w:rFonts w:ascii="Segoe UI" w:hAnsi="Segoe UI" w:cs="Segoe UI"/>
          <w:noProof/>
          <w:sz w:val="23"/>
          <w:szCs w:val="23"/>
        </w:rPr>
        <mc:AlternateContent>
          <mc:Choice Requires="wps">
            <w:drawing>
              <wp:inline distT="0" distB="0" distL="0" distR="0" wp14:anchorId="75AEE7B1" wp14:editId="2A9C376E">
                <wp:extent cx="5760720" cy="548640"/>
                <wp:effectExtent l="0" t="0" r="0" b="3810"/>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548640"/>
                        </a:xfrm>
                        <a:prstGeom prst="rect">
                          <a:avLst/>
                        </a:prstGeom>
                        <a:solidFill>
                          <a:srgbClr val="006CE5"/>
                        </a:solidFill>
                        <a:ln w="9525">
                          <a:noFill/>
                          <a:miter lim="800000"/>
                          <a:headEnd/>
                          <a:tailEnd/>
                        </a:ln>
                      </wps:spPr>
                      <wps:txbx>
                        <w:txbxContent>
                          <w:p w14:paraId="68BBD409" w14:textId="1C9A8329" w:rsidR="0025670F" w:rsidRPr="00712EFB" w:rsidRDefault="00712EFB" w:rsidP="00712EFB">
                            <w:pPr>
                              <w:rPr>
                                <w:rFonts w:ascii="Segoe UI Historic" w:hAnsi="Segoe UI Historic" w:cs="Segoe UI Historic"/>
                                <w:color w:val="FFFFFF" w:themeColor="background1"/>
                                <w:sz w:val="24"/>
                              </w:rPr>
                            </w:pPr>
                            <w:r>
                              <w:rPr>
                                <w:rFonts w:ascii="Segoe UI Historic" w:hAnsi="Segoe UI Historic" w:cs="Segoe UI Historic"/>
                                <w:color w:val="FFFFFF" w:themeColor="background1"/>
                                <w:sz w:val="24"/>
                              </w:rPr>
                              <w:t xml:space="preserve">La baisse de nos livraisons d’aéronefs dégrade nos exportations tandis que le rôle du Koweït dans notre approvisionnement énergétique se renforce </w:t>
                            </w:r>
                          </w:p>
                        </w:txbxContent>
                      </wps:txbx>
                      <wps:bodyPr rot="0" vert="horz" wrap="square" lIns="91440" tIns="45720" rIns="91440" bIns="45720" anchor="t" anchorCtr="0">
                        <a:noAutofit/>
                      </wps:bodyPr>
                    </wps:wsp>
                  </a:graphicData>
                </a:graphic>
              </wp:inline>
            </w:drawing>
          </mc:Choice>
          <mc:Fallback>
            <w:pict>
              <v:shapetype w14:anchorId="75AEE7B1" id="_x0000_t202" coordsize="21600,21600" o:spt="202" path="m,l,21600r21600,l21600,xe">
                <v:stroke joinstyle="miter"/>
                <v:path gradientshapeok="t" o:connecttype="rect"/>
              </v:shapetype>
              <v:shape id="Zone de texte 2" o:spid="_x0000_s1026" type="#_x0000_t202" style="width:453.6pt;height:4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" fillcolor="#006ce5" stroked="f">
                <v:textbox>
                  <w:txbxContent>
                    <w:p w14:paraId="68BBD409" w14:textId="1C9A8329" w:rsidR="0025670F" w:rsidRPr="00712EFB" w:rsidRDefault="00712EFB" w:rsidP="00712EFB">
                      <w:pPr>
                        <w:rPr>
                          <w:rFonts w:ascii="Segoe UI Historic" w:hAnsi="Segoe UI Historic" w:cs="Segoe UI Historic"/>
                          <w:color w:val="FFFFFF" w:themeColor="background1"/>
                          <w:sz w:val="24"/>
                        </w:rPr>
                      </w:pPr>
                      <w:r>
                        <w:rPr>
                          <w:rFonts w:ascii="Segoe UI Historic" w:hAnsi="Segoe UI Historic" w:cs="Segoe UI Historic"/>
                          <w:color w:val="FFFFFF" w:themeColor="background1"/>
                          <w:sz w:val="24"/>
                        </w:rPr>
                        <w:t xml:space="preserve">La baisse de nos livraisons d’aéronefs dégrade nos exportations tandis que le rôle du Koweït dans notre approvisionnement énergétique se renforce </w:t>
                      </w:r>
                    </w:p>
                  </w:txbxContent>
                </v:textbox>
                <w10:anchorlock/>
              </v:shape>
            </w:pict>
          </mc:Fallback>
        </mc:AlternateContent>
      </w:r>
      <w:r w:rsidR="00E50BB1">
        <w:rPr>
          <w:rFonts w:ascii="Segoe UI" w:eastAsia="Times New Roman" w:hAnsi="Segoe UI" w:cs="Segoe UI"/>
          <w:sz w:val="23"/>
          <w:szCs w:val="23"/>
          <w:lang w:eastAsia="fr-FR"/>
        </w:rPr>
        <w:t xml:space="preserve">  </w:t>
      </w:r>
    </w:p>
    <w:p w14:paraId="0E2CC68E" w14:textId="0F983979" w:rsidR="007A7DA9" w:rsidRPr="007A7DA9" w:rsidRDefault="007A7DA9" w:rsidP="001E5160">
      <w:pPr>
        <w:jc w:val="both"/>
        <w:rPr>
          <w:rFonts w:ascii="Segoe UI" w:eastAsia="Times New Roman" w:hAnsi="Segoe UI" w:cs="Segoe UI"/>
          <w:b/>
          <w:bCs/>
          <w:color w:val="006CE5"/>
          <w:sz w:val="23"/>
          <w:szCs w:val="23"/>
          <w:u w:val="single"/>
          <w:lang w:eastAsia="fr-FR"/>
        </w:rPr>
      </w:pPr>
      <w:r w:rsidRPr="007A7DA9">
        <w:rPr>
          <w:rFonts w:ascii="Segoe UI" w:eastAsia="Times New Roman" w:hAnsi="Segoe UI" w:cs="Segoe UI"/>
          <w:b/>
          <w:bCs/>
          <w:color w:val="006CE5"/>
          <w:sz w:val="23"/>
          <w:szCs w:val="23"/>
          <w:u w:val="single"/>
          <w:lang w:eastAsia="fr-FR"/>
        </w:rPr>
        <w:t>Le Koweït est désormais le 3</w:t>
      </w:r>
      <w:r w:rsidRPr="007A7DA9">
        <w:rPr>
          <w:rFonts w:ascii="Segoe UI" w:eastAsia="Times New Roman" w:hAnsi="Segoe UI" w:cs="Segoe UI"/>
          <w:b/>
          <w:bCs/>
          <w:color w:val="006CE5"/>
          <w:sz w:val="23"/>
          <w:szCs w:val="23"/>
          <w:u w:val="single"/>
          <w:vertAlign w:val="superscript"/>
          <w:lang w:eastAsia="fr-FR"/>
        </w:rPr>
        <w:t>ème</w:t>
      </w:r>
      <w:r w:rsidRPr="007A7DA9">
        <w:rPr>
          <w:rFonts w:ascii="Segoe UI" w:eastAsia="Times New Roman" w:hAnsi="Segoe UI" w:cs="Segoe UI"/>
          <w:b/>
          <w:bCs/>
          <w:color w:val="006CE5"/>
          <w:sz w:val="23"/>
          <w:szCs w:val="23"/>
          <w:u w:val="single"/>
          <w:lang w:eastAsia="fr-FR"/>
        </w:rPr>
        <w:t xml:space="preserve"> partenaire commercial de la France dans le Golfe</w:t>
      </w:r>
    </w:p>
    <w:p w14:paraId="68795D11" w14:textId="0003003D" w:rsidR="008924BC" w:rsidRDefault="001E5160" w:rsidP="001E5160">
      <w:pPr>
        <w:jc w:val="both"/>
        <w:rPr>
          <w:rFonts w:ascii="Segoe UI" w:eastAsia="Times New Roman" w:hAnsi="Segoe UI" w:cs="Segoe UI"/>
          <w:sz w:val="23"/>
          <w:szCs w:val="23"/>
          <w:highlight w:val="yellow"/>
          <w:lang w:eastAsia="fr-FR"/>
        </w:rPr>
      </w:pPr>
      <w:r w:rsidRPr="008924BC">
        <w:rPr>
          <w:rFonts w:ascii="Segoe UI" w:eastAsia="Times New Roman" w:hAnsi="Segoe UI" w:cs="Segoe UI"/>
          <w:sz w:val="23"/>
          <w:szCs w:val="23"/>
          <w:lang w:eastAsia="fr-FR"/>
        </w:rPr>
        <w:t xml:space="preserve">Les échanges franco-koweïtiens (exportations + importations) ont </w:t>
      </w:r>
      <w:r w:rsidR="008924BC" w:rsidRPr="008924BC">
        <w:rPr>
          <w:rFonts w:ascii="Segoe UI" w:eastAsia="Times New Roman" w:hAnsi="Segoe UI" w:cs="Segoe UI"/>
          <w:b/>
          <w:bCs/>
          <w:sz w:val="23"/>
          <w:szCs w:val="23"/>
          <w:lang w:eastAsia="fr-FR"/>
        </w:rPr>
        <w:t>augmenté</w:t>
      </w:r>
      <w:r w:rsidRPr="008924BC">
        <w:rPr>
          <w:rFonts w:ascii="Segoe UI" w:eastAsia="Times New Roman" w:hAnsi="Segoe UI" w:cs="Segoe UI"/>
          <w:b/>
          <w:bCs/>
          <w:sz w:val="23"/>
          <w:szCs w:val="23"/>
          <w:lang w:eastAsia="fr-FR"/>
        </w:rPr>
        <w:t xml:space="preserve"> de </w:t>
      </w:r>
      <w:r w:rsidR="008924BC" w:rsidRPr="008924BC">
        <w:rPr>
          <w:rFonts w:ascii="Segoe UI" w:eastAsia="Times New Roman" w:hAnsi="Segoe UI" w:cs="Segoe UI"/>
          <w:b/>
          <w:bCs/>
          <w:sz w:val="23"/>
          <w:szCs w:val="23"/>
          <w:lang w:eastAsia="fr-FR"/>
        </w:rPr>
        <w:t>5,6</w:t>
      </w:r>
      <w:r w:rsidRPr="008924BC">
        <w:rPr>
          <w:rFonts w:ascii="Segoe UI" w:eastAsia="Times New Roman" w:hAnsi="Segoe UI" w:cs="Segoe UI"/>
          <w:b/>
          <w:bCs/>
          <w:sz w:val="23"/>
          <w:szCs w:val="23"/>
          <w:lang w:eastAsia="fr-FR"/>
        </w:rPr>
        <w:t>% en 202</w:t>
      </w:r>
      <w:r w:rsidR="008924BC" w:rsidRPr="008924BC">
        <w:rPr>
          <w:rFonts w:ascii="Segoe UI" w:eastAsia="Times New Roman" w:hAnsi="Segoe UI" w:cs="Segoe UI"/>
          <w:b/>
          <w:bCs/>
          <w:sz w:val="23"/>
          <w:szCs w:val="23"/>
          <w:lang w:eastAsia="fr-FR"/>
        </w:rPr>
        <w:t>3</w:t>
      </w:r>
      <w:r w:rsidRPr="008924BC">
        <w:rPr>
          <w:rFonts w:ascii="Segoe UI" w:eastAsia="Times New Roman" w:hAnsi="Segoe UI" w:cs="Segoe UI"/>
          <w:b/>
          <w:bCs/>
          <w:sz w:val="23"/>
          <w:szCs w:val="23"/>
          <w:lang w:eastAsia="fr-FR"/>
        </w:rPr>
        <w:t xml:space="preserve"> par rapport à 202</w:t>
      </w:r>
      <w:r w:rsidR="008924BC" w:rsidRPr="008924BC">
        <w:rPr>
          <w:rFonts w:ascii="Segoe UI" w:eastAsia="Times New Roman" w:hAnsi="Segoe UI" w:cs="Segoe UI"/>
          <w:b/>
          <w:bCs/>
          <w:sz w:val="23"/>
          <w:szCs w:val="23"/>
          <w:lang w:eastAsia="fr-FR"/>
        </w:rPr>
        <w:t>2</w:t>
      </w:r>
      <w:r w:rsidRPr="008924BC">
        <w:rPr>
          <w:rFonts w:ascii="Segoe UI" w:eastAsia="Times New Roman" w:hAnsi="Segoe UI" w:cs="Segoe UI"/>
          <w:b/>
          <w:bCs/>
          <w:sz w:val="23"/>
          <w:szCs w:val="23"/>
          <w:lang w:eastAsia="fr-FR"/>
        </w:rPr>
        <w:t xml:space="preserve">, pour atteindre </w:t>
      </w:r>
      <w:r w:rsidR="008924BC" w:rsidRPr="008924BC">
        <w:rPr>
          <w:rFonts w:ascii="Segoe UI" w:eastAsia="Times New Roman" w:hAnsi="Segoe UI" w:cs="Segoe UI"/>
          <w:b/>
          <w:bCs/>
          <w:sz w:val="23"/>
          <w:szCs w:val="23"/>
          <w:lang w:eastAsia="fr-FR"/>
        </w:rPr>
        <w:t xml:space="preserve">2,9 </w:t>
      </w:r>
      <w:r w:rsidRPr="008924BC">
        <w:rPr>
          <w:rFonts w:ascii="Segoe UI" w:eastAsia="Times New Roman" w:hAnsi="Segoe UI" w:cs="Segoe UI"/>
          <w:b/>
          <w:bCs/>
          <w:sz w:val="23"/>
          <w:szCs w:val="23"/>
          <w:lang w:eastAsia="fr-FR"/>
        </w:rPr>
        <w:t>M</w:t>
      </w:r>
      <w:r w:rsidR="008924BC" w:rsidRPr="008924BC">
        <w:rPr>
          <w:rFonts w:ascii="Segoe UI" w:eastAsia="Times New Roman" w:hAnsi="Segoe UI" w:cs="Segoe UI"/>
          <w:b/>
          <w:bCs/>
          <w:sz w:val="23"/>
          <w:szCs w:val="23"/>
          <w:lang w:eastAsia="fr-FR"/>
        </w:rPr>
        <w:t>ds</w:t>
      </w:r>
      <w:r w:rsidRPr="008924BC">
        <w:rPr>
          <w:rFonts w:ascii="Segoe UI" w:eastAsia="Times New Roman" w:hAnsi="Segoe UI" w:cs="Segoe UI"/>
          <w:b/>
          <w:bCs/>
          <w:sz w:val="23"/>
          <w:szCs w:val="23"/>
          <w:lang w:eastAsia="fr-FR"/>
        </w:rPr>
        <w:t xml:space="preserve"> EUR</w:t>
      </w:r>
      <w:r w:rsidRPr="00CF5E71">
        <w:rPr>
          <w:rFonts w:ascii="Segoe UI" w:eastAsia="Times New Roman" w:hAnsi="Segoe UI" w:cs="Segoe UI"/>
          <w:sz w:val="23"/>
          <w:szCs w:val="23"/>
          <w:lang w:eastAsia="fr-FR"/>
        </w:rPr>
        <w:t>.</w:t>
      </w:r>
      <w:r w:rsidR="008924BC" w:rsidRPr="00CF5E71">
        <w:rPr>
          <w:rFonts w:ascii="Segoe UI" w:eastAsia="Times New Roman" w:hAnsi="Segoe UI" w:cs="Segoe UI"/>
          <w:sz w:val="23"/>
          <w:szCs w:val="23"/>
          <w:lang w:eastAsia="fr-FR"/>
        </w:rPr>
        <w:t xml:space="preserve"> </w:t>
      </w:r>
      <w:r w:rsidR="00CF5E71" w:rsidRPr="00CF5E71">
        <w:rPr>
          <w:rFonts w:ascii="Segoe UI" w:eastAsia="Times New Roman" w:hAnsi="Segoe UI" w:cs="Segoe UI"/>
          <w:sz w:val="23"/>
          <w:szCs w:val="23"/>
          <w:lang w:eastAsia="fr-FR"/>
        </w:rPr>
        <w:t>Nos exportations sont en baisse de 18,6% pour atteindre 987,5 M EUR, mais nos importations ont augmenté de 19,3% pour atteindre 2,08 Md EUR.</w:t>
      </w:r>
      <w:r w:rsidR="00CF5E71">
        <w:rPr>
          <w:rFonts w:ascii="Segoe UI" w:eastAsia="Times New Roman" w:hAnsi="Segoe UI" w:cs="Segoe UI"/>
          <w:sz w:val="23"/>
          <w:szCs w:val="23"/>
          <w:highlight w:val="yellow"/>
          <w:lang w:eastAsia="fr-FR"/>
        </w:rPr>
        <w:t xml:space="preserve"> </w:t>
      </w:r>
    </w:p>
    <w:p w14:paraId="3B95E4A0" w14:textId="1B098E68" w:rsidR="001E5160" w:rsidRPr="00A178F5" w:rsidRDefault="001E5160" w:rsidP="001E5160">
      <w:pPr>
        <w:jc w:val="both"/>
        <w:rPr>
          <w:rFonts w:ascii="Segoe UI" w:eastAsia="Times New Roman" w:hAnsi="Segoe UI" w:cs="Segoe UI"/>
          <w:sz w:val="23"/>
          <w:szCs w:val="23"/>
          <w:lang w:eastAsia="fr-FR"/>
        </w:rPr>
      </w:pPr>
      <w:r w:rsidRPr="00FF095A">
        <w:rPr>
          <w:rFonts w:ascii="Segoe UI" w:eastAsia="Times New Roman" w:hAnsi="Segoe UI" w:cs="Segoe UI"/>
          <w:b/>
          <w:bCs/>
          <w:sz w:val="23"/>
          <w:szCs w:val="23"/>
          <w:lang w:eastAsia="fr-FR"/>
        </w:rPr>
        <w:t xml:space="preserve">Notre </w:t>
      </w:r>
      <w:r w:rsidR="00A178F5" w:rsidRPr="00FF095A">
        <w:rPr>
          <w:rFonts w:ascii="Segoe UI" w:eastAsia="Times New Roman" w:hAnsi="Segoe UI" w:cs="Segoe UI"/>
          <w:b/>
          <w:bCs/>
          <w:sz w:val="23"/>
          <w:szCs w:val="23"/>
          <w:lang w:eastAsia="fr-FR"/>
        </w:rPr>
        <w:t>déficit</w:t>
      </w:r>
      <w:r w:rsidRPr="00FF095A">
        <w:rPr>
          <w:rFonts w:ascii="Segoe UI" w:eastAsia="Times New Roman" w:hAnsi="Segoe UI" w:cs="Segoe UI"/>
          <w:b/>
          <w:bCs/>
          <w:sz w:val="23"/>
          <w:szCs w:val="23"/>
          <w:lang w:eastAsia="fr-FR"/>
        </w:rPr>
        <w:t xml:space="preserve"> commercial </w:t>
      </w:r>
      <w:r w:rsidR="00A178F5" w:rsidRPr="00FF095A">
        <w:rPr>
          <w:rFonts w:ascii="Segoe UI" w:eastAsia="Times New Roman" w:hAnsi="Segoe UI" w:cs="Segoe UI"/>
          <w:b/>
          <w:bCs/>
          <w:sz w:val="23"/>
          <w:szCs w:val="23"/>
          <w:lang w:eastAsia="fr-FR"/>
        </w:rPr>
        <w:t xml:space="preserve">se creuse pour s’établir </w:t>
      </w:r>
      <w:r w:rsidRPr="00FF095A">
        <w:rPr>
          <w:rFonts w:ascii="Segoe UI" w:eastAsia="Times New Roman" w:hAnsi="Segoe UI" w:cs="Segoe UI"/>
          <w:b/>
          <w:bCs/>
          <w:sz w:val="23"/>
          <w:szCs w:val="23"/>
          <w:lang w:eastAsia="fr-FR"/>
        </w:rPr>
        <w:t xml:space="preserve">à </w:t>
      </w:r>
      <w:r w:rsidR="00A178F5" w:rsidRPr="00FF095A">
        <w:rPr>
          <w:rFonts w:ascii="Segoe UI" w:eastAsia="Times New Roman" w:hAnsi="Segoe UI" w:cs="Segoe UI"/>
          <w:b/>
          <w:bCs/>
          <w:sz w:val="23"/>
          <w:szCs w:val="23"/>
          <w:lang w:eastAsia="fr-FR"/>
        </w:rPr>
        <w:t>1,28</w:t>
      </w:r>
      <w:r w:rsidRPr="00FF095A">
        <w:rPr>
          <w:rFonts w:ascii="Segoe UI" w:eastAsia="Times New Roman" w:hAnsi="Segoe UI" w:cs="Segoe UI"/>
          <w:b/>
          <w:bCs/>
          <w:sz w:val="23"/>
          <w:szCs w:val="23"/>
          <w:lang w:eastAsia="fr-FR"/>
        </w:rPr>
        <w:t xml:space="preserve"> M</w:t>
      </w:r>
      <w:r w:rsidR="00A178F5" w:rsidRPr="00FF095A">
        <w:rPr>
          <w:rFonts w:ascii="Segoe UI" w:eastAsia="Times New Roman" w:hAnsi="Segoe UI" w:cs="Segoe UI"/>
          <w:b/>
          <w:bCs/>
          <w:sz w:val="23"/>
          <w:szCs w:val="23"/>
          <w:lang w:eastAsia="fr-FR"/>
        </w:rPr>
        <w:t>d</w:t>
      </w:r>
      <w:r w:rsidRPr="00FF095A">
        <w:rPr>
          <w:rFonts w:ascii="Segoe UI" w:eastAsia="Times New Roman" w:hAnsi="Segoe UI" w:cs="Segoe UI"/>
          <w:b/>
          <w:bCs/>
          <w:sz w:val="23"/>
          <w:szCs w:val="23"/>
          <w:lang w:eastAsia="fr-FR"/>
        </w:rPr>
        <w:t xml:space="preserve"> EUR</w:t>
      </w:r>
      <w:r w:rsidR="00A178F5" w:rsidRPr="00A178F5">
        <w:rPr>
          <w:rFonts w:ascii="Segoe UI" w:eastAsia="Times New Roman" w:hAnsi="Segoe UI" w:cs="Segoe UI"/>
          <w:sz w:val="23"/>
          <w:szCs w:val="23"/>
          <w:lang w:eastAsia="fr-FR"/>
        </w:rPr>
        <w:t>, une hausse de 69% par rapport à 2022</w:t>
      </w:r>
      <w:r w:rsidRPr="00A178F5">
        <w:rPr>
          <w:rFonts w:ascii="Segoe UI" w:eastAsia="Times New Roman" w:hAnsi="Segoe UI" w:cs="Segoe UI"/>
          <w:sz w:val="23"/>
          <w:szCs w:val="23"/>
          <w:lang w:eastAsia="fr-FR"/>
        </w:rPr>
        <w:t>.</w:t>
      </w:r>
    </w:p>
    <w:p w14:paraId="763C8D08" w14:textId="1E3D5E8D" w:rsidR="00FF095A" w:rsidRDefault="001E5160" w:rsidP="001E5160">
      <w:pPr>
        <w:jc w:val="both"/>
        <w:rPr>
          <w:rFonts w:ascii="Segoe UI" w:eastAsia="Times New Roman" w:hAnsi="Segoe UI" w:cs="Segoe UI"/>
          <w:sz w:val="23"/>
          <w:szCs w:val="23"/>
          <w:highlight w:val="yellow"/>
          <w:lang w:eastAsia="fr-FR"/>
        </w:rPr>
      </w:pPr>
      <w:r w:rsidRPr="00FF095A">
        <w:rPr>
          <w:rFonts w:ascii="Segoe UI" w:eastAsia="Times New Roman" w:hAnsi="Segoe UI" w:cs="Segoe UI"/>
          <w:sz w:val="23"/>
          <w:szCs w:val="23"/>
          <w:lang w:eastAsia="fr-FR"/>
        </w:rPr>
        <w:t xml:space="preserve">Au sein du Conseil de coopération du Golfe, </w:t>
      </w:r>
      <w:r w:rsidRPr="00F84A01">
        <w:rPr>
          <w:rFonts w:ascii="Segoe UI" w:eastAsia="Times New Roman" w:hAnsi="Segoe UI" w:cs="Segoe UI"/>
          <w:b/>
          <w:bCs/>
          <w:sz w:val="23"/>
          <w:szCs w:val="23"/>
          <w:lang w:eastAsia="fr-FR"/>
        </w:rPr>
        <w:t xml:space="preserve">le Koweït </w:t>
      </w:r>
      <w:r w:rsidR="00FF095A" w:rsidRPr="00F84A01">
        <w:rPr>
          <w:rFonts w:ascii="Segoe UI" w:eastAsia="Times New Roman" w:hAnsi="Segoe UI" w:cs="Segoe UI"/>
          <w:b/>
          <w:bCs/>
          <w:sz w:val="23"/>
          <w:szCs w:val="23"/>
          <w:lang w:eastAsia="fr-FR"/>
        </w:rPr>
        <w:t>est désormais notre 3</w:t>
      </w:r>
      <w:r w:rsidR="00FF095A" w:rsidRPr="00F84A01">
        <w:rPr>
          <w:rFonts w:ascii="Segoe UI" w:eastAsia="Times New Roman" w:hAnsi="Segoe UI" w:cs="Segoe UI"/>
          <w:b/>
          <w:bCs/>
          <w:sz w:val="23"/>
          <w:szCs w:val="23"/>
          <w:vertAlign w:val="superscript"/>
          <w:lang w:eastAsia="fr-FR"/>
        </w:rPr>
        <w:t>ème</w:t>
      </w:r>
      <w:r w:rsidR="00FF095A" w:rsidRPr="00F84A01">
        <w:rPr>
          <w:rFonts w:ascii="Segoe UI" w:eastAsia="Times New Roman" w:hAnsi="Segoe UI" w:cs="Segoe UI"/>
          <w:b/>
          <w:bCs/>
          <w:sz w:val="23"/>
          <w:szCs w:val="23"/>
          <w:lang w:eastAsia="fr-FR"/>
        </w:rPr>
        <w:t xml:space="preserve"> partenaire commercial,</w:t>
      </w:r>
      <w:r w:rsidR="00FF095A" w:rsidRPr="00FF095A">
        <w:rPr>
          <w:rFonts w:ascii="Segoe UI" w:eastAsia="Times New Roman" w:hAnsi="Segoe UI" w:cs="Segoe UI"/>
          <w:sz w:val="23"/>
          <w:szCs w:val="23"/>
          <w:lang w:eastAsia="fr-FR"/>
        </w:rPr>
        <w:t xml:space="preserve"> devant le Qatar et derrière les EAU et l’Arabie Saoudite.</w:t>
      </w:r>
      <w:r w:rsidR="00FF095A">
        <w:rPr>
          <w:rFonts w:ascii="Segoe UI" w:eastAsia="Times New Roman" w:hAnsi="Segoe UI" w:cs="Segoe UI"/>
          <w:sz w:val="23"/>
          <w:szCs w:val="23"/>
          <w:highlight w:val="yellow"/>
          <w:lang w:eastAsia="fr-FR"/>
        </w:rPr>
        <w:t xml:space="preserve"> </w:t>
      </w:r>
    </w:p>
    <w:p w14:paraId="7B3F138A" w14:textId="77777777" w:rsidR="001E5160" w:rsidRPr="001E5160" w:rsidRDefault="001E5160" w:rsidP="001E5160">
      <w:pPr>
        <w:jc w:val="both"/>
        <w:rPr>
          <w:rFonts w:ascii="Segoe UI" w:eastAsia="Times New Roman" w:hAnsi="Segoe UI" w:cs="Segoe UI"/>
          <w:sz w:val="23"/>
          <w:szCs w:val="23"/>
          <w:highlight w:val="yellow"/>
          <w:lang w:eastAsia="fr-FR"/>
        </w:rPr>
      </w:pPr>
    </w:p>
    <w:p w14:paraId="3DDD90FE" w14:textId="4FE9AEEB" w:rsidR="001E5160" w:rsidRPr="007A7DA9" w:rsidRDefault="001E5160" w:rsidP="001E5160">
      <w:pPr>
        <w:jc w:val="both"/>
        <w:rPr>
          <w:rFonts w:ascii="Segoe UI" w:eastAsia="Times New Roman" w:hAnsi="Segoe UI" w:cs="Segoe UI"/>
          <w:b/>
          <w:bCs/>
          <w:color w:val="006CE5"/>
          <w:sz w:val="23"/>
          <w:szCs w:val="23"/>
          <w:u w:val="single"/>
          <w:lang w:eastAsia="fr-FR"/>
        </w:rPr>
      </w:pPr>
      <w:r w:rsidRPr="007A7DA9">
        <w:rPr>
          <w:rFonts w:ascii="Segoe UI" w:eastAsia="Times New Roman" w:hAnsi="Segoe UI" w:cs="Segoe UI"/>
          <w:b/>
          <w:bCs/>
          <w:color w:val="006CE5"/>
          <w:sz w:val="23"/>
          <w:szCs w:val="23"/>
          <w:u w:val="single"/>
          <w:lang w:eastAsia="fr-FR"/>
        </w:rPr>
        <w:t>Nos exportations connaissent une baisse du fait de la chute de nos ventes de matériels de transport (-</w:t>
      </w:r>
      <w:r w:rsidR="00FA0F28" w:rsidRPr="007A7DA9">
        <w:rPr>
          <w:rFonts w:ascii="Segoe UI" w:eastAsia="Times New Roman" w:hAnsi="Segoe UI" w:cs="Segoe UI"/>
          <w:b/>
          <w:bCs/>
          <w:color w:val="006CE5"/>
          <w:sz w:val="23"/>
          <w:szCs w:val="23"/>
          <w:u w:val="single"/>
          <w:lang w:eastAsia="fr-FR"/>
        </w:rPr>
        <w:t xml:space="preserve">41,7 </w:t>
      </w:r>
      <w:r w:rsidRPr="007A7DA9">
        <w:rPr>
          <w:rFonts w:ascii="Segoe UI" w:eastAsia="Times New Roman" w:hAnsi="Segoe UI" w:cs="Segoe UI"/>
          <w:b/>
          <w:bCs/>
          <w:color w:val="006CE5"/>
          <w:sz w:val="23"/>
          <w:szCs w:val="23"/>
          <w:u w:val="single"/>
          <w:lang w:eastAsia="fr-FR"/>
        </w:rPr>
        <w:t>% en un an)</w:t>
      </w:r>
    </w:p>
    <w:p w14:paraId="36B854FE" w14:textId="3CD5A5FF" w:rsidR="00FA0F28" w:rsidRPr="00FA0F28" w:rsidRDefault="001E5160" w:rsidP="001E5160">
      <w:pPr>
        <w:jc w:val="both"/>
        <w:rPr>
          <w:rFonts w:ascii="Segoe UI" w:eastAsia="Times New Roman" w:hAnsi="Segoe UI" w:cs="Segoe UI"/>
          <w:sz w:val="23"/>
          <w:szCs w:val="23"/>
          <w:lang w:eastAsia="fr-FR"/>
        </w:rPr>
      </w:pPr>
      <w:r w:rsidRPr="00FA0F28">
        <w:rPr>
          <w:rFonts w:ascii="Segoe UI" w:eastAsia="Times New Roman" w:hAnsi="Segoe UI" w:cs="Segoe UI"/>
          <w:sz w:val="23"/>
          <w:szCs w:val="23"/>
          <w:lang w:eastAsia="fr-FR"/>
        </w:rPr>
        <w:t xml:space="preserve">Ce résultat s’explique </w:t>
      </w:r>
      <w:r w:rsidR="00FA0F28">
        <w:rPr>
          <w:rFonts w:ascii="Segoe UI" w:eastAsia="Times New Roman" w:hAnsi="Segoe UI" w:cs="Segoe UI"/>
          <w:sz w:val="23"/>
          <w:szCs w:val="23"/>
          <w:lang w:eastAsia="fr-FR"/>
        </w:rPr>
        <w:t xml:space="preserve">par la cyclicité de l’aéronautique avec </w:t>
      </w:r>
      <w:r w:rsidR="00FA0F28" w:rsidRPr="00FA0F28">
        <w:rPr>
          <w:rFonts w:ascii="Segoe UI" w:hAnsi="Segoe UI" w:cs="Segoe UI"/>
          <w:b/>
          <w:iCs/>
          <w:sz w:val="23"/>
          <w:szCs w:val="23"/>
        </w:rPr>
        <w:t>une baisse des exportations matériel de transport de 41,7%</w:t>
      </w:r>
      <w:r w:rsidR="00FA0F28" w:rsidRPr="00FA0F28">
        <w:rPr>
          <w:rFonts w:ascii="Segoe UI" w:hAnsi="Segoe UI" w:cs="Segoe UI"/>
          <w:bCs/>
          <w:iCs/>
          <w:sz w:val="23"/>
          <w:szCs w:val="23"/>
        </w:rPr>
        <w:t xml:space="preserve"> par rapport à 2022 (- 214 M EUR) pour atteindre 299 M EUR. Le niveau atteint en 2022 reflétait la livraison de 4 appareils Airbus à la compagnie aérienne Kuwait Airways et de 2 A 320 </w:t>
      </w:r>
      <w:proofErr w:type="spellStart"/>
      <w:r w:rsidR="00FA0F28" w:rsidRPr="00FA0F28">
        <w:rPr>
          <w:rFonts w:ascii="Segoe UI" w:hAnsi="Segoe UI" w:cs="Segoe UI"/>
          <w:bCs/>
          <w:iCs/>
          <w:sz w:val="23"/>
          <w:szCs w:val="23"/>
        </w:rPr>
        <w:t>neo</w:t>
      </w:r>
      <w:proofErr w:type="spellEnd"/>
      <w:r w:rsidR="00FA0F28" w:rsidRPr="00FA0F28">
        <w:rPr>
          <w:rFonts w:ascii="Segoe UI" w:hAnsi="Segoe UI" w:cs="Segoe UI"/>
          <w:bCs/>
          <w:iCs/>
          <w:sz w:val="23"/>
          <w:szCs w:val="23"/>
        </w:rPr>
        <w:t xml:space="preserve"> à Jazeera Airways.</w:t>
      </w:r>
    </w:p>
    <w:p w14:paraId="18CE44DE" w14:textId="77777777" w:rsidR="007A1C39" w:rsidRDefault="007A1C39" w:rsidP="007A1C39">
      <w:pPr>
        <w:spacing w:after="120" w:line="240" w:lineRule="auto"/>
        <w:jc w:val="both"/>
        <w:rPr>
          <w:rFonts w:ascii="Segoe UI" w:hAnsi="Segoe UI" w:cs="Segoe UI"/>
          <w:bCs/>
          <w:iCs/>
          <w:sz w:val="23"/>
          <w:szCs w:val="23"/>
        </w:rPr>
      </w:pPr>
      <w:r w:rsidRPr="007A1C39">
        <w:rPr>
          <w:rFonts w:ascii="Segoe UI" w:hAnsi="Segoe UI" w:cs="Segoe UI"/>
          <w:b/>
          <w:iCs/>
          <w:sz w:val="23"/>
          <w:szCs w:val="23"/>
        </w:rPr>
        <w:lastRenderedPageBreak/>
        <w:t>Les équipements mécaniques, matériel électrique, électronique informatique</w:t>
      </w:r>
      <w:r w:rsidRPr="007A1C39">
        <w:rPr>
          <w:rFonts w:ascii="Segoe UI" w:hAnsi="Segoe UI" w:cs="Segoe UI"/>
          <w:bCs/>
          <w:iCs/>
          <w:sz w:val="23"/>
          <w:szCs w:val="23"/>
        </w:rPr>
        <w:t xml:space="preserve"> progressent de manière significative avec une </w:t>
      </w:r>
      <w:r w:rsidRPr="007A1C39">
        <w:rPr>
          <w:rFonts w:ascii="Segoe UI" w:hAnsi="Segoe UI" w:cs="Segoe UI"/>
          <w:b/>
          <w:iCs/>
          <w:sz w:val="23"/>
          <w:szCs w:val="23"/>
        </w:rPr>
        <w:t>hausse de 56,5% pour atteindre 122,9 M EUR</w:t>
      </w:r>
      <w:r>
        <w:rPr>
          <w:rFonts w:ascii="Segoe UI" w:hAnsi="Segoe UI" w:cs="Segoe UI"/>
          <w:b/>
          <w:iCs/>
          <w:sz w:val="23"/>
          <w:szCs w:val="23"/>
        </w:rPr>
        <w:t>,</w:t>
      </w:r>
      <w:r w:rsidRPr="007A1C39">
        <w:rPr>
          <w:rFonts w:ascii="Segoe UI" w:hAnsi="Segoe UI" w:cs="Segoe UI"/>
          <w:bCs/>
          <w:iCs/>
          <w:sz w:val="23"/>
          <w:szCs w:val="23"/>
        </w:rPr>
        <w:t xml:space="preserve"> </w:t>
      </w:r>
      <w:r>
        <w:rPr>
          <w:rFonts w:ascii="Segoe UI" w:hAnsi="Segoe UI" w:cs="Segoe UI"/>
          <w:bCs/>
          <w:iCs/>
          <w:sz w:val="23"/>
          <w:szCs w:val="23"/>
        </w:rPr>
        <w:t>c</w:t>
      </w:r>
      <w:r w:rsidRPr="007A1C39">
        <w:rPr>
          <w:rFonts w:ascii="Segoe UI" w:hAnsi="Segoe UI" w:cs="Segoe UI"/>
          <w:bCs/>
          <w:iCs/>
          <w:sz w:val="23"/>
          <w:szCs w:val="23"/>
        </w:rPr>
        <w:t>onfirmant la place de la France comme nation technologique</w:t>
      </w:r>
      <w:r>
        <w:rPr>
          <w:rFonts w:ascii="Segoe UI" w:hAnsi="Segoe UI" w:cs="Segoe UI"/>
          <w:bCs/>
          <w:iCs/>
          <w:sz w:val="23"/>
          <w:szCs w:val="23"/>
        </w:rPr>
        <w:t>.</w:t>
      </w:r>
    </w:p>
    <w:p w14:paraId="26AFF8A5" w14:textId="534AEF18" w:rsidR="007A1C39" w:rsidRPr="00E80296" w:rsidRDefault="007A1C39" w:rsidP="00E80296">
      <w:pPr>
        <w:spacing w:after="120" w:line="240" w:lineRule="auto"/>
        <w:jc w:val="both"/>
        <w:rPr>
          <w:rFonts w:ascii="Segoe UI" w:hAnsi="Segoe UI" w:cs="Segoe UI"/>
          <w:bCs/>
          <w:iCs/>
          <w:sz w:val="23"/>
          <w:szCs w:val="23"/>
        </w:rPr>
      </w:pPr>
      <w:r w:rsidRPr="007A1C39">
        <w:rPr>
          <w:rFonts w:ascii="Segoe UI" w:hAnsi="Segoe UI" w:cs="Segoe UI"/>
          <w:b/>
          <w:iCs/>
          <w:sz w:val="23"/>
          <w:szCs w:val="23"/>
        </w:rPr>
        <w:t>L’industrie du textile</w:t>
      </w:r>
      <w:r w:rsidRPr="007A1C39">
        <w:rPr>
          <w:rFonts w:ascii="Segoe UI" w:hAnsi="Segoe UI" w:cs="Segoe UI"/>
          <w:bCs/>
          <w:iCs/>
          <w:sz w:val="23"/>
          <w:szCs w:val="23"/>
        </w:rPr>
        <w:t xml:space="preserve"> connaît aussi une légère baisse d’activité (-8,9%) mais reste un poste important pour la France avec des envois de 100 M EUR. Enfin, les </w:t>
      </w:r>
      <w:r w:rsidRPr="007A1C39">
        <w:rPr>
          <w:rFonts w:ascii="Segoe UI" w:hAnsi="Segoe UI" w:cs="Segoe UI"/>
          <w:b/>
          <w:iCs/>
          <w:sz w:val="23"/>
          <w:szCs w:val="23"/>
        </w:rPr>
        <w:t>produits chimiques, parfums et cosmétiques</w:t>
      </w:r>
      <w:r w:rsidRPr="007A1C39">
        <w:rPr>
          <w:rFonts w:ascii="Segoe UI" w:hAnsi="Segoe UI" w:cs="Segoe UI"/>
          <w:bCs/>
          <w:iCs/>
          <w:sz w:val="23"/>
          <w:szCs w:val="23"/>
        </w:rPr>
        <w:t xml:space="preserve"> diminuent de 17,5% pour atteindre 71,5 M EUR. La dynamique dans ces industries semble être à une normalisation après deux dernières années très performantes durant lesquelles un rattrapage semble avoir eu lieu après les périodes de restrictions sanitaires en 2020-2021. </w:t>
      </w:r>
    </w:p>
    <w:p w14:paraId="4B6647B9" w14:textId="277DB1C0" w:rsidR="001E5160" w:rsidRPr="001E5160" w:rsidRDefault="001E5160" w:rsidP="001E5160">
      <w:pPr>
        <w:jc w:val="both"/>
        <w:rPr>
          <w:rFonts w:ascii="Segoe UI" w:eastAsia="Times New Roman" w:hAnsi="Segoe UI" w:cs="Segoe UI"/>
          <w:sz w:val="23"/>
          <w:szCs w:val="23"/>
          <w:highlight w:val="yellow"/>
          <w:lang w:eastAsia="fr-FR"/>
        </w:rPr>
      </w:pPr>
      <w:r w:rsidRPr="00B056C7">
        <w:rPr>
          <w:rFonts w:ascii="Segoe UI" w:eastAsia="Times New Roman" w:hAnsi="Segoe UI" w:cs="Segoe UI"/>
          <w:sz w:val="23"/>
          <w:szCs w:val="23"/>
          <w:lang w:eastAsia="fr-FR"/>
        </w:rPr>
        <w:t>En 202</w:t>
      </w:r>
      <w:r w:rsidR="00641C98">
        <w:rPr>
          <w:rFonts w:ascii="Segoe UI" w:eastAsia="Times New Roman" w:hAnsi="Segoe UI" w:cs="Segoe UI"/>
          <w:sz w:val="23"/>
          <w:szCs w:val="23"/>
          <w:lang w:eastAsia="fr-FR"/>
        </w:rPr>
        <w:t>3</w:t>
      </w:r>
      <w:r w:rsidRPr="00FF0AD4">
        <w:rPr>
          <w:rFonts w:ascii="Segoe UI" w:eastAsia="Times New Roman" w:hAnsi="Segoe UI" w:cs="Segoe UI"/>
          <w:b/>
          <w:bCs/>
          <w:sz w:val="23"/>
          <w:szCs w:val="23"/>
          <w:lang w:eastAsia="fr-FR"/>
        </w:rPr>
        <w:t>, la France était le 1</w:t>
      </w:r>
      <w:r w:rsidR="00641C98">
        <w:rPr>
          <w:rFonts w:ascii="Segoe UI" w:eastAsia="Times New Roman" w:hAnsi="Segoe UI" w:cs="Segoe UI"/>
          <w:b/>
          <w:bCs/>
          <w:sz w:val="23"/>
          <w:szCs w:val="23"/>
          <w:lang w:eastAsia="fr-FR"/>
        </w:rPr>
        <w:t>0</w:t>
      </w:r>
      <w:r w:rsidRPr="00FF0AD4">
        <w:rPr>
          <w:rFonts w:ascii="Segoe UI" w:eastAsia="Times New Roman" w:hAnsi="Segoe UI" w:cs="Segoe UI"/>
          <w:b/>
          <w:bCs/>
          <w:sz w:val="23"/>
          <w:szCs w:val="23"/>
          <w:lang w:eastAsia="fr-FR"/>
        </w:rPr>
        <w:t xml:space="preserve">ème fournisseur mondial du Koweït et le 4ème fournisseur européen </w:t>
      </w:r>
      <w:r w:rsidRPr="00FF0AD4">
        <w:rPr>
          <w:rFonts w:ascii="Segoe UI" w:eastAsia="Times New Roman" w:hAnsi="Segoe UI" w:cs="Segoe UI"/>
          <w:sz w:val="23"/>
          <w:szCs w:val="23"/>
          <w:lang w:eastAsia="fr-FR"/>
        </w:rPr>
        <w:t>avec une part de marché de 2,</w:t>
      </w:r>
      <w:r w:rsidR="00641C98">
        <w:rPr>
          <w:rFonts w:ascii="Segoe UI" w:eastAsia="Times New Roman" w:hAnsi="Segoe UI" w:cs="Segoe UI"/>
          <w:sz w:val="23"/>
          <w:szCs w:val="23"/>
          <w:lang w:eastAsia="fr-FR"/>
        </w:rPr>
        <w:t>7</w:t>
      </w:r>
      <w:r w:rsidRPr="00FF0AD4">
        <w:rPr>
          <w:rFonts w:ascii="Segoe UI" w:eastAsia="Times New Roman" w:hAnsi="Segoe UI" w:cs="Segoe UI"/>
          <w:sz w:val="23"/>
          <w:szCs w:val="23"/>
          <w:lang w:eastAsia="fr-FR"/>
        </w:rPr>
        <w:t>% (</w:t>
      </w:r>
      <w:r w:rsidR="00641C98">
        <w:rPr>
          <w:rFonts w:ascii="Segoe UI" w:eastAsia="Times New Roman" w:hAnsi="Segoe UI" w:cs="Segoe UI"/>
          <w:sz w:val="23"/>
          <w:szCs w:val="23"/>
          <w:lang w:eastAsia="fr-FR"/>
        </w:rPr>
        <w:t xml:space="preserve">en hausse par rapport </w:t>
      </w:r>
      <w:r w:rsidR="004A5F95">
        <w:rPr>
          <w:rFonts w:ascii="Segoe UI" w:eastAsia="Times New Roman" w:hAnsi="Segoe UI" w:cs="Segoe UI"/>
          <w:sz w:val="23"/>
          <w:szCs w:val="23"/>
          <w:lang w:eastAsia="fr-FR"/>
        </w:rPr>
        <w:t xml:space="preserve">à </w:t>
      </w:r>
      <w:r w:rsidRPr="00FF0AD4">
        <w:rPr>
          <w:rFonts w:ascii="Segoe UI" w:eastAsia="Times New Roman" w:hAnsi="Segoe UI" w:cs="Segoe UI"/>
          <w:sz w:val="23"/>
          <w:szCs w:val="23"/>
          <w:lang w:eastAsia="fr-FR"/>
        </w:rPr>
        <w:t>20</w:t>
      </w:r>
      <w:r w:rsidR="00FF0AD4" w:rsidRPr="00FF0AD4">
        <w:rPr>
          <w:rFonts w:ascii="Segoe UI" w:eastAsia="Times New Roman" w:hAnsi="Segoe UI" w:cs="Segoe UI"/>
          <w:sz w:val="23"/>
          <w:szCs w:val="23"/>
          <w:lang w:eastAsia="fr-FR"/>
        </w:rPr>
        <w:t>2</w:t>
      </w:r>
      <w:r w:rsidR="00641C98">
        <w:rPr>
          <w:rFonts w:ascii="Segoe UI" w:eastAsia="Times New Roman" w:hAnsi="Segoe UI" w:cs="Segoe UI"/>
          <w:sz w:val="23"/>
          <w:szCs w:val="23"/>
          <w:lang w:eastAsia="fr-FR"/>
        </w:rPr>
        <w:t>2</w:t>
      </w:r>
      <w:r w:rsidRPr="00FF0AD4">
        <w:rPr>
          <w:rFonts w:ascii="Segoe UI" w:eastAsia="Times New Roman" w:hAnsi="Segoe UI" w:cs="Segoe UI"/>
          <w:sz w:val="23"/>
          <w:szCs w:val="23"/>
          <w:lang w:eastAsia="fr-FR"/>
        </w:rPr>
        <w:t>), derrière l’Allemagne (</w:t>
      </w:r>
      <w:r w:rsidR="004A5F95">
        <w:rPr>
          <w:rFonts w:ascii="Segoe UI" w:eastAsia="Times New Roman" w:hAnsi="Segoe UI" w:cs="Segoe UI"/>
          <w:sz w:val="23"/>
          <w:szCs w:val="23"/>
          <w:lang w:eastAsia="fr-FR"/>
        </w:rPr>
        <w:t>4</w:t>
      </w:r>
      <w:r w:rsidR="00FF0AD4" w:rsidRPr="00FF0AD4">
        <w:rPr>
          <w:rFonts w:ascii="Segoe UI" w:eastAsia="Times New Roman" w:hAnsi="Segoe UI" w:cs="Segoe UI"/>
          <w:sz w:val="23"/>
          <w:szCs w:val="23"/>
          <w:lang w:eastAsia="fr-FR"/>
        </w:rPr>
        <w:t>,</w:t>
      </w:r>
      <w:r w:rsidR="004A5F95">
        <w:rPr>
          <w:rFonts w:ascii="Segoe UI" w:eastAsia="Times New Roman" w:hAnsi="Segoe UI" w:cs="Segoe UI"/>
          <w:sz w:val="23"/>
          <w:szCs w:val="23"/>
          <w:lang w:eastAsia="fr-FR"/>
        </w:rPr>
        <w:t>4</w:t>
      </w:r>
      <w:r w:rsidRPr="00FF0AD4">
        <w:rPr>
          <w:rFonts w:ascii="Segoe UI" w:eastAsia="Times New Roman" w:hAnsi="Segoe UI" w:cs="Segoe UI"/>
          <w:sz w:val="23"/>
          <w:szCs w:val="23"/>
          <w:lang w:eastAsia="fr-FR"/>
        </w:rPr>
        <w:t>%),</w:t>
      </w:r>
      <w:r w:rsidR="00FF0AD4" w:rsidRPr="00FF0AD4">
        <w:rPr>
          <w:rFonts w:ascii="Segoe UI" w:eastAsia="Times New Roman" w:hAnsi="Segoe UI" w:cs="Segoe UI"/>
          <w:sz w:val="23"/>
          <w:szCs w:val="23"/>
          <w:lang w:eastAsia="fr-FR"/>
        </w:rPr>
        <w:t xml:space="preserve"> </w:t>
      </w:r>
      <w:r w:rsidRPr="00FF0AD4">
        <w:rPr>
          <w:rFonts w:ascii="Segoe UI" w:eastAsia="Times New Roman" w:hAnsi="Segoe UI" w:cs="Segoe UI"/>
          <w:sz w:val="23"/>
          <w:szCs w:val="23"/>
          <w:lang w:eastAsia="fr-FR"/>
        </w:rPr>
        <w:t>l’Italie (3,</w:t>
      </w:r>
      <w:r w:rsidR="00FF0AD4" w:rsidRPr="00FF0AD4">
        <w:rPr>
          <w:rFonts w:ascii="Segoe UI" w:eastAsia="Times New Roman" w:hAnsi="Segoe UI" w:cs="Segoe UI"/>
          <w:sz w:val="23"/>
          <w:szCs w:val="23"/>
          <w:lang w:eastAsia="fr-FR"/>
        </w:rPr>
        <w:t>9</w:t>
      </w:r>
      <w:r w:rsidRPr="00FF0AD4">
        <w:rPr>
          <w:rFonts w:ascii="Segoe UI" w:eastAsia="Times New Roman" w:hAnsi="Segoe UI" w:cs="Segoe UI"/>
          <w:sz w:val="23"/>
          <w:szCs w:val="23"/>
          <w:lang w:eastAsia="fr-FR"/>
        </w:rPr>
        <w:t>%)</w:t>
      </w:r>
      <w:r w:rsidR="00FF0AD4" w:rsidRPr="00FF0AD4">
        <w:rPr>
          <w:rFonts w:ascii="Segoe UI" w:eastAsia="Times New Roman" w:hAnsi="Segoe UI" w:cs="Segoe UI"/>
          <w:sz w:val="23"/>
          <w:szCs w:val="23"/>
          <w:lang w:eastAsia="fr-FR"/>
        </w:rPr>
        <w:t xml:space="preserve"> et la Suisse (2,</w:t>
      </w:r>
      <w:r w:rsidR="004A5F95">
        <w:rPr>
          <w:rFonts w:ascii="Segoe UI" w:eastAsia="Times New Roman" w:hAnsi="Segoe UI" w:cs="Segoe UI"/>
          <w:sz w:val="23"/>
          <w:szCs w:val="23"/>
          <w:lang w:eastAsia="fr-FR"/>
        </w:rPr>
        <w:t>8</w:t>
      </w:r>
      <w:r w:rsidR="00FF0AD4" w:rsidRPr="00FF0AD4">
        <w:rPr>
          <w:rFonts w:ascii="Segoe UI" w:eastAsia="Times New Roman" w:hAnsi="Segoe UI" w:cs="Segoe UI"/>
          <w:sz w:val="23"/>
          <w:szCs w:val="23"/>
          <w:lang w:eastAsia="fr-FR"/>
        </w:rPr>
        <w:t>%)</w:t>
      </w:r>
      <w:r w:rsidRPr="00FF0AD4">
        <w:rPr>
          <w:rFonts w:ascii="Segoe UI" w:eastAsia="Times New Roman" w:hAnsi="Segoe UI" w:cs="Segoe UI"/>
          <w:sz w:val="23"/>
          <w:szCs w:val="23"/>
          <w:lang w:eastAsia="fr-FR"/>
        </w:rPr>
        <w:t>,</w:t>
      </w:r>
      <w:r w:rsidRPr="00F32238">
        <w:rPr>
          <w:rFonts w:ascii="Segoe UI" w:eastAsia="Times New Roman" w:hAnsi="Segoe UI" w:cs="Segoe UI"/>
          <w:sz w:val="23"/>
          <w:szCs w:val="23"/>
          <w:lang w:eastAsia="fr-FR"/>
        </w:rPr>
        <w:t xml:space="preserve"> mais devant</w:t>
      </w:r>
      <w:r w:rsidR="004A5F95">
        <w:rPr>
          <w:rFonts w:ascii="Segoe UI" w:eastAsia="Times New Roman" w:hAnsi="Segoe UI" w:cs="Segoe UI"/>
          <w:sz w:val="23"/>
          <w:szCs w:val="23"/>
          <w:lang w:eastAsia="fr-FR"/>
        </w:rPr>
        <w:t xml:space="preserve"> le Royaume-Uni (2,2%) et</w:t>
      </w:r>
      <w:r w:rsidRPr="00F32238">
        <w:rPr>
          <w:rFonts w:ascii="Segoe UI" w:eastAsia="Times New Roman" w:hAnsi="Segoe UI" w:cs="Segoe UI"/>
          <w:sz w:val="23"/>
          <w:szCs w:val="23"/>
          <w:lang w:eastAsia="fr-FR"/>
        </w:rPr>
        <w:t xml:space="preserve"> les Pays-Bas et l’Espagne (tous deux</w:t>
      </w:r>
      <w:r w:rsidR="00F32238" w:rsidRPr="00F32238">
        <w:rPr>
          <w:rFonts w:ascii="Segoe UI" w:eastAsia="Times New Roman" w:hAnsi="Segoe UI" w:cs="Segoe UI"/>
          <w:sz w:val="23"/>
          <w:szCs w:val="23"/>
          <w:lang w:eastAsia="fr-FR"/>
        </w:rPr>
        <w:t xml:space="preserve"> légèrement au-dessus de 1%</w:t>
      </w:r>
      <w:r w:rsidR="004A5F95">
        <w:rPr>
          <w:rFonts w:ascii="Segoe UI" w:eastAsia="Times New Roman" w:hAnsi="Segoe UI" w:cs="Segoe UI"/>
          <w:sz w:val="23"/>
          <w:szCs w:val="23"/>
          <w:lang w:eastAsia="fr-FR"/>
        </w:rPr>
        <w:t>)</w:t>
      </w:r>
      <w:r w:rsidRPr="00F32238">
        <w:rPr>
          <w:rFonts w:ascii="Segoe UI" w:eastAsia="Times New Roman" w:hAnsi="Segoe UI" w:cs="Segoe UI"/>
          <w:sz w:val="23"/>
          <w:szCs w:val="23"/>
          <w:lang w:eastAsia="fr-FR"/>
        </w:rPr>
        <w:t xml:space="preserve">. </w:t>
      </w:r>
      <w:r w:rsidRPr="00516E23">
        <w:rPr>
          <w:rFonts w:ascii="Segoe UI" w:eastAsia="Times New Roman" w:hAnsi="Segoe UI" w:cs="Segoe UI"/>
          <w:sz w:val="23"/>
          <w:szCs w:val="23"/>
          <w:lang w:eastAsia="fr-FR"/>
        </w:rPr>
        <w:t>Alors que 0,</w:t>
      </w:r>
      <w:r w:rsidR="00516E23" w:rsidRPr="00516E23">
        <w:rPr>
          <w:rFonts w:ascii="Segoe UI" w:eastAsia="Times New Roman" w:hAnsi="Segoe UI" w:cs="Segoe UI"/>
          <w:sz w:val="23"/>
          <w:szCs w:val="23"/>
          <w:lang w:eastAsia="fr-FR"/>
        </w:rPr>
        <w:t>2</w:t>
      </w:r>
      <w:r w:rsidRPr="00516E23">
        <w:rPr>
          <w:rFonts w:ascii="Segoe UI" w:eastAsia="Times New Roman" w:hAnsi="Segoe UI" w:cs="Segoe UI"/>
          <w:sz w:val="23"/>
          <w:szCs w:val="23"/>
          <w:lang w:eastAsia="fr-FR"/>
        </w:rPr>
        <w:t xml:space="preserve">% de nos </w:t>
      </w:r>
      <w:r w:rsidR="00516E23" w:rsidRPr="00516E23">
        <w:rPr>
          <w:rFonts w:ascii="Segoe UI" w:eastAsia="Times New Roman" w:hAnsi="Segoe UI" w:cs="Segoe UI"/>
          <w:sz w:val="23"/>
          <w:szCs w:val="23"/>
          <w:lang w:eastAsia="fr-FR"/>
        </w:rPr>
        <w:t>importa</w:t>
      </w:r>
      <w:r w:rsidRPr="00516E23">
        <w:rPr>
          <w:rFonts w:ascii="Segoe UI" w:eastAsia="Times New Roman" w:hAnsi="Segoe UI" w:cs="Segoe UI"/>
          <w:sz w:val="23"/>
          <w:szCs w:val="23"/>
          <w:lang w:eastAsia="fr-FR"/>
        </w:rPr>
        <w:t xml:space="preserve">tions étaient </w:t>
      </w:r>
      <w:r w:rsidR="00516E23" w:rsidRPr="00516E23">
        <w:rPr>
          <w:rFonts w:ascii="Segoe UI" w:eastAsia="Times New Roman" w:hAnsi="Segoe UI" w:cs="Segoe UI"/>
          <w:sz w:val="23"/>
          <w:szCs w:val="23"/>
          <w:lang w:eastAsia="fr-FR"/>
        </w:rPr>
        <w:t>en provenance</w:t>
      </w:r>
      <w:r w:rsidRPr="00516E23">
        <w:rPr>
          <w:rFonts w:ascii="Segoe UI" w:eastAsia="Times New Roman" w:hAnsi="Segoe UI" w:cs="Segoe UI"/>
          <w:sz w:val="23"/>
          <w:szCs w:val="23"/>
          <w:lang w:eastAsia="fr-FR"/>
        </w:rPr>
        <w:t xml:space="preserve"> du Koweït en 202</w:t>
      </w:r>
      <w:r w:rsidR="00516E23" w:rsidRPr="00516E23">
        <w:rPr>
          <w:rFonts w:ascii="Segoe UI" w:eastAsia="Times New Roman" w:hAnsi="Segoe UI" w:cs="Segoe UI"/>
          <w:sz w:val="23"/>
          <w:szCs w:val="23"/>
          <w:lang w:eastAsia="fr-FR"/>
        </w:rPr>
        <w:t>2</w:t>
      </w:r>
      <w:r w:rsidRPr="00516E23">
        <w:rPr>
          <w:rFonts w:ascii="Segoe UI" w:eastAsia="Times New Roman" w:hAnsi="Segoe UI" w:cs="Segoe UI"/>
          <w:sz w:val="23"/>
          <w:szCs w:val="23"/>
          <w:lang w:eastAsia="fr-FR"/>
        </w:rPr>
        <w:t>, ce chiffre monte à 0,</w:t>
      </w:r>
      <w:r w:rsidR="00516E23" w:rsidRPr="00516E23">
        <w:rPr>
          <w:rFonts w:ascii="Segoe UI" w:eastAsia="Times New Roman" w:hAnsi="Segoe UI" w:cs="Segoe UI"/>
          <w:sz w:val="23"/>
          <w:szCs w:val="23"/>
          <w:lang w:eastAsia="fr-FR"/>
        </w:rPr>
        <w:t>3</w:t>
      </w:r>
      <w:r w:rsidRPr="00516E23">
        <w:rPr>
          <w:rFonts w:ascii="Segoe UI" w:eastAsia="Times New Roman" w:hAnsi="Segoe UI" w:cs="Segoe UI"/>
          <w:sz w:val="23"/>
          <w:szCs w:val="23"/>
          <w:lang w:eastAsia="fr-FR"/>
        </w:rPr>
        <w:t>% en 202</w:t>
      </w:r>
      <w:r w:rsidR="00516E23" w:rsidRPr="00516E23">
        <w:rPr>
          <w:rFonts w:ascii="Segoe UI" w:eastAsia="Times New Roman" w:hAnsi="Segoe UI" w:cs="Segoe UI"/>
          <w:sz w:val="23"/>
          <w:szCs w:val="23"/>
          <w:lang w:eastAsia="fr-FR"/>
        </w:rPr>
        <w:t>3</w:t>
      </w:r>
      <w:r w:rsidRPr="00516E23">
        <w:rPr>
          <w:rFonts w:ascii="Segoe UI" w:eastAsia="Times New Roman" w:hAnsi="Segoe UI" w:cs="Segoe UI"/>
          <w:sz w:val="23"/>
          <w:szCs w:val="23"/>
          <w:lang w:eastAsia="fr-FR"/>
        </w:rPr>
        <w:t>.</w:t>
      </w:r>
      <w:r w:rsidRPr="001E5160">
        <w:rPr>
          <w:rFonts w:ascii="Segoe UI" w:eastAsia="Times New Roman" w:hAnsi="Segoe UI" w:cs="Segoe UI"/>
          <w:sz w:val="23"/>
          <w:szCs w:val="23"/>
          <w:highlight w:val="yellow"/>
          <w:lang w:eastAsia="fr-FR"/>
        </w:rPr>
        <w:t xml:space="preserve"> </w:t>
      </w:r>
    </w:p>
    <w:p w14:paraId="2DDA57AE" w14:textId="77777777" w:rsidR="001E5160" w:rsidRPr="001E5160" w:rsidRDefault="001E5160" w:rsidP="001E5160">
      <w:pPr>
        <w:jc w:val="both"/>
        <w:rPr>
          <w:rFonts w:ascii="Segoe UI" w:eastAsia="Times New Roman" w:hAnsi="Segoe UI" w:cs="Segoe UI"/>
          <w:sz w:val="23"/>
          <w:szCs w:val="23"/>
          <w:highlight w:val="yellow"/>
          <w:lang w:eastAsia="fr-FR"/>
        </w:rPr>
      </w:pPr>
    </w:p>
    <w:p w14:paraId="2C626F07" w14:textId="4538103C" w:rsidR="001E5160" w:rsidRPr="007A7DA9" w:rsidRDefault="001E5160" w:rsidP="001E5160">
      <w:pPr>
        <w:jc w:val="both"/>
        <w:rPr>
          <w:rFonts w:ascii="Segoe UI" w:eastAsia="Times New Roman" w:hAnsi="Segoe UI" w:cs="Segoe UI"/>
          <w:b/>
          <w:bCs/>
          <w:color w:val="006CE5"/>
          <w:sz w:val="23"/>
          <w:szCs w:val="23"/>
          <w:highlight w:val="yellow"/>
          <w:u w:val="single"/>
          <w:lang w:eastAsia="fr-FR"/>
        </w:rPr>
      </w:pPr>
      <w:r w:rsidRPr="007A7DA9">
        <w:rPr>
          <w:rFonts w:ascii="Segoe UI" w:eastAsia="Times New Roman" w:hAnsi="Segoe UI" w:cs="Segoe UI"/>
          <w:b/>
          <w:bCs/>
          <w:color w:val="006CE5"/>
          <w:sz w:val="23"/>
          <w:szCs w:val="23"/>
          <w:u w:val="single"/>
          <w:lang w:eastAsia="fr-FR"/>
        </w:rPr>
        <w:t xml:space="preserve">Nos importations </w:t>
      </w:r>
      <w:r w:rsidR="0003392F" w:rsidRPr="007A7DA9">
        <w:rPr>
          <w:rFonts w:ascii="Segoe UI" w:eastAsia="Times New Roman" w:hAnsi="Segoe UI" w:cs="Segoe UI"/>
          <w:b/>
          <w:bCs/>
          <w:color w:val="006CE5"/>
          <w:sz w:val="23"/>
          <w:szCs w:val="23"/>
          <w:u w:val="single"/>
          <w:lang w:eastAsia="fr-FR"/>
        </w:rPr>
        <w:t>continuent de croître à un rythme important</w:t>
      </w:r>
      <w:r w:rsidRPr="007A7DA9">
        <w:rPr>
          <w:rFonts w:ascii="Segoe UI" w:eastAsia="Times New Roman" w:hAnsi="Segoe UI" w:cs="Segoe UI"/>
          <w:b/>
          <w:bCs/>
          <w:color w:val="006CE5"/>
          <w:sz w:val="23"/>
          <w:szCs w:val="23"/>
          <w:u w:val="single"/>
          <w:lang w:eastAsia="fr-FR"/>
        </w:rPr>
        <w:t xml:space="preserve"> (+</w:t>
      </w:r>
      <w:r w:rsidR="0003392F" w:rsidRPr="007A7DA9">
        <w:rPr>
          <w:rFonts w:ascii="Segoe UI" w:eastAsia="Times New Roman" w:hAnsi="Segoe UI" w:cs="Segoe UI"/>
          <w:b/>
          <w:bCs/>
          <w:color w:val="006CE5"/>
          <w:sz w:val="23"/>
          <w:szCs w:val="23"/>
          <w:u w:val="single"/>
          <w:lang w:eastAsia="fr-FR"/>
        </w:rPr>
        <w:t>19</w:t>
      </w:r>
      <w:r w:rsidRPr="007A7DA9">
        <w:rPr>
          <w:rFonts w:ascii="Segoe UI" w:eastAsia="Times New Roman" w:hAnsi="Segoe UI" w:cs="Segoe UI"/>
          <w:b/>
          <w:bCs/>
          <w:color w:val="006CE5"/>
          <w:sz w:val="23"/>
          <w:szCs w:val="23"/>
          <w:u w:val="single"/>
          <w:lang w:eastAsia="fr-FR"/>
        </w:rPr>
        <w:t>%)</w:t>
      </w:r>
      <w:r w:rsidRPr="007A7DA9">
        <w:rPr>
          <w:rFonts w:ascii="Segoe UI" w:eastAsia="Times New Roman" w:hAnsi="Segoe UI" w:cs="Segoe UI"/>
          <w:b/>
          <w:bCs/>
          <w:color w:val="006CE5"/>
          <w:sz w:val="23"/>
          <w:szCs w:val="23"/>
          <w:highlight w:val="yellow"/>
          <w:u w:val="single"/>
          <w:lang w:eastAsia="fr-FR"/>
        </w:rPr>
        <w:t xml:space="preserve"> </w:t>
      </w:r>
    </w:p>
    <w:p w14:paraId="64A4C25B" w14:textId="09A255AC" w:rsidR="007D3EE2" w:rsidRPr="007D3EE2" w:rsidRDefault="007D3EE2" w:rsidP="007D3EE2">
      <w:pPr>
        <w:spacing w:after="120" w:line="240" w:lineRule="auto"/>
        <w:jc w:val="both"/>
        <w:rPr>
          <w:rFonts w:ascii="Segoe UI" w:hAnsi="Segoe UI" w:cs="Segoe UI"/>
          <w:bCs/>
          <w:iCs/>
          <w:sz w:val="23"/>
          <w:szCs w:val="23"/>
        </w:rPr>
      </w:pPr>
      <w:r w:rsidRPr="007D3EE2">
        <w:rPr>
          <w:rFonts w:ascii="Segoe UI" w:hAnsi="Segoe UI" w:cs="Segoe UI"/>
          <w:b/>
          <w:iCs/>
          <w:sz w:val="23"/>
          <w:szCs w:val="23"/>
        </w:rPr>
        <w:t>Nos importations atteignent un nouveau record avec 2,08 Md EUR</w:t>
      </w:r>
      <w:r w:rsidRPr="007D3EE2">
        <w:rPr>
          <w:rFonts w:ascii="Segoe UI" w:hAnsi="Segoe UI" w:cs="Segoe UI"/>
          <w:bCs/>
          <w:iCs/>
          <w:sz w:val="23"/>
          <w:szCs w:val="23"/>
        </w:rPr>
        <w:t xml:space="preserve"> en 2023, en hausse de 19,3%. Elles reposent en totalité sur les </w:t>
      </w:r>
      <w:r w:rsidRPr="007D3EE2">
        <w:rPr>
          <w:rFonts w:ascii="Segoe UI" w:hAnsi="Segoe UI" w:cs="Segoe UI"/>
          <w:b/>
          <w:iCs/>
          <w:sz w:val="23"/>
          <w:szCs w:val="23"/>
        </w:rPr>
        <w:t>produits pétroliers raffinés</w:t>
      </w:r>
      <w:r w:rsidRPr="007D3EE2">
        <w:rPr>
          <w:rFonts w:ascii="Segoe UI" w:hAnsi="Segoe UI" w:cs="Segoe UI"/>
          <w:bCs/>
          <w:iCs/>
          <w:sz w:val="23"/>
          <w:szCs w:val="23"/>
        </w:rPr>
        <w:t>. Le Koweït confirme ainsi son rôle dans l’approvisionnement énergétique de la France, dans une relation d’intérêts particulièrement convergents ces dernières années.</w:t>
      </w:r>
    </w:p>
    <w:p w14:paraId="41B7EC59" w14:textId="1FC11159" w:rsidR="007D3EE2" w:rsidRPr="007D3EE2" w:rsidRDefault="007D3EE2" w:rsidP="007D3EE2">
      <w:pPr>
        <w:jc w:val="both"/>
        <w:rPr>
          <w:rFonts w:ascii="Segoe UI" w:eastAsia="Times New Roman" w:hAnsi="Segoe UI" w:cs="Segoe UI"/>
          <w:sz w:val="23"/>
          <w:szCs w:val="23"/>
          <w:highlight w:val="yellow"/>
          <w:lang w:eastAsia="fr-FR"/>
        </w:rPr>
      </w:pPr>
      <w:r w:rsidRPr="007D3EE2">
        <w:rPr>
          <w:rFonts w:ascii="Segoe UI" w:hAnsi="Segoe UI" w:cs="Segoe UI"/>
          <w:bCs/>
          <w:iCs/>
          <w:sz w:val="23"/>
          <w:szCs w:val="23"/>
        </w:rPr>
        <w:t xml:space="preserve">La France souhaite </w:t>
      </w:r>
      <w:r w:rsidRPr="007D3EE2">
        <w:rPr>
          <w:rFonts w:ascii="Segoe UI" w:hAnsi="Segoe UI" w:cs="Segoe UI"/>
          <w:b/>
          <w:iCs/>
          <w:sz w:val="23"/>
          <w:szCs w:val="23"/>
        </w:rPr>
        <w:t>diversifier ses sources d’approvisionnement énergétique</w:t>
      </w:r>
      <w:r w:rsidRPr="007D3EE2">
        <w:rPr>
          <w:rFonts w:ascii="Segoe UI" w:hAnsi="Segoe UI" w:cs="Segoe UI"/>
          <w:bCs/>
          <w:iCs/>
          <w:sz w:val="23"/>
          <w:szCs w:val="23"/>
        </w:rPr>
        <w:t xml:space="preserve">, tendance particulièrement prononcée depuis l’éclatement de la guerre en Ukraine. Parallèlement, la nouvelle raffinerie d’Al </w:t>
      </w:r>
      <w:proofErr w:type="spellStart"/>
      <w:r w:rsidRPr="007D3EE2">
        <w:rPr>
          <w:rFonts w:ascii="Segoe UI" w:hAnsi="Segoe UI" w:cs="Segoe UI"/>
          <w:bCs/>
          <w:iCs/>
          <w:sz w:val="23"/>
          <w:szCs w:val="23"/>
        </w:rPr>
        <w:t>Zhour</w:t>
      </w:r>
      <w:proofErr w:type="spellEnd"/>
      <w:r w:rsidRPr="007D3EE2">
        <w:rPr>
          <w:rFonts w:ascii="Segoe UI" w:hAnsi="Segoe UI" w:cs="Segoe UI"/>
          <w:bCs/>
          <w:iCs/>
          <w:sz w:val="23"/>
          <w:szCs w:val="23"/>
        </w:rPr>
        <w:t xml:space="preserve"> et le site de Mina Abdullah sont depuis l’année dernière en </w:t>
      </w:r>
      <w:r w:rsidRPr="007D3EE2">
        <w:rPr>
          <w:rFonts w:ascii="Segoe UI" w:hAnsi="Segoe UI" w:cs="Segoe UI"/>
          <w:b/>
          <w:iCs/>
          <w:sz w:val="23"/>
          <w:szCs w:val="23"/>
        </w:rPr>
        <w:t>capacité de produire essence et diesel désulfurisées</w:t>
      </w:r>
      <w:r w:rsidRPr="007D3EE2">
        <w:rPr>
          <w:rFonts w:ascii="Segoe UI" w:hAnsi="Segoe UI" w:cs="Segoe UI"/>
          <w:bCs/>
          <w:iCs/>
          <w:sz w:val="23"/>
          <w:szCs w:val="23"/>
        </w:rPr>
        <w:t xml:space="preserve"> (ainsi que du kérosène) correspondant aux besoins européens.</w:t>
      </w:r>
    </w:p>
    <w:p w14:paraId="4B79BE3F" w14:textId="0B7804DF" w:rsidR="0025670F" w:rsidRDefault="001E5160" w:rsidP="001E5160">
      <w:pPr>
        <w:jc w:val="both"/>
        <w:rPr>
          <w:rFonts w:ascii="Segoe UI" w:eastAsia="Times New Roman" w:hAnsi="Segoe UI" w:cs="Segoe UI"/>
          <w:sz w:val="23"/>
          <w:szCs w:val="23"/>
          <w:highlight w:val="yellow"/>
          <w:lang w:eastAsia="fr-FR"/>
        </w:rPr>
      </w:pPr>
      <w:r w:rsidRPr="00FA0F28">
        <w:rPr>
          <w:rFonts w:ascii="Segoe UI" w:eastAsia="Times New Roman" w:hAnsi="Segoe UI" w:cs="Segoe UI"/>
          <w:sz w:val="23"/>
          <w:szCs w:val="23"/>
          <w:lang w:eastAsia="fr-FR"/>
        </w:rPr>
        <w:t>En 20</w:t>
      </w:r>
      <w:r w:rsidR="00FA0F28" w:rsidRPr="00FA0F28">
        <w:rPr>
          <w:rFonts w:ascii="Segoe UI" w:eastAsia="Times New Roman" w:hAnsi="Segoe UI" w:cs="Segoe UI"/>
          <w:sz w:val="23"/>
          <w:szCs w:val="23"/>
          <w:lang w:eastAsia="fr-FR"/>
        </w:rPr>
        <w:t>23</w:t>
      </w:r>
      <w:r w:rsidRPr="00FA0F28">
        <w:rPr>
          <w:rFonts w:ascii="Segoe UI" w:eastAsia="Times New Roman" w:hAnsi="Segoe UI" w:cs="Segoe UI"/>
          <w:sz w:val="23"/>
          <w:szCs w:val="23"/>
          <w:lang w:eastAsia="fr-FR"/>
        </w:rPr>
        <w:t>, le Koweït représente 0,</w:t>
      </w:r>
      <w:r w:rsidR="00FA0F28" w:rsidRPr="00FA0F28">
        <w:rPr>
          <w:rFonts w:ascii="Segoe UI" w:eastAsia="Times New Roman" w:hAnsi="Segoe UI" w:cs="Segoe UI"/>
          <w:sz w:val="23"/>
          <w:szCs w:val="23"/>
          <w:lang w:eastAsia="fr-FR"/>
        </w:rPr>
        <w:t>3%</w:t>
      </w:r>
      <w:r w:rsidRPr="00FA0F28">
        <w:rPr>
          <w:rFonts w:ascii="Segoe UI" w:eastAsia="Times New Roman" w:hAnsi="Segoe UI" w:cs="Segoe UI"/>
          <w:sz w:val="23"/>
          <w:szCs w:val="23"/>
          <w:lang w:eastAsia="fr-FR"/>
        </w:rPr>
        <w:t xml:space="preserve"> de nos importations, contre 0,</w:t>
      </w:r>
      <w:r w:rsidR="00FA0F28" w:rsidRPr="00FA0F28">
        <w:rPr>
          <w:rFonts w:ascii="Segoe UI" w:eastAsia="Times New Roman" w:hAnsi="Segoe UI" w:cs="Segoe UI"/>
          <w:sz w:val="23"/>
          <w:szCs w:val="23"/>
          <w:lang w:eastAsia="fr-FR"/>
        </w:rPr>
        <w:t>22%</w:t>
      </w:r>
      <w:r w:rsidRPr="00FA0F28">
        <w:rPr>
          <w:rFonts w:ascii="Segoe UI" w:eastAsia="Times New Roman" w:hAnsi="Segoe UI" w:cs="Segoe UI"/>
          <w:sz w:val="23"/>
          <w:szCs w:val="23"/>
          <w:lang w:eastAsia="fr-FR"/>
        </w:rPr>
        <w:t xml:space="preserve"> en 202</w:t>
      </w:r>
      <w:r w:rsidR="00FA0F28" w:rsidRPr="00FA0F28">
        <w:rPr>
          <w:rFonts w:ascii="Segoe UI" w:eastAsia="Times New Roman" w:hAnsi="Segoe UI" w:cs="Segoe UI"/>
          <w:sz w:val="23"/>
          <w:szCs w:val="23"/>
          <w:lang w:eastAsia="fr-FR"/>
        </w:rPr>
        <w:t>2</w:t>
      </w:r>
      <w:r w:rsidRPr="00FA0F28">
        <w:rPr>
          <w:rFonts w:ascii="Segoe UI" w:eastAsia="Times New Roman" w:hAnsi="Segoe UI" w:cs="Segoe UI"/>
          <w:sz w:val="23"/>
          <w:szCs w:val="23"/>
          <w:lang w:eastAsia="fr-FR"/>
        </w:rPr>
        <w:t>.</w:t>
      </w:r>
      <w:r w:rsidR="00FA0F28">
        <w:rPr>
          <w:rFonts w:ascii="Segoe UI" w:eastAsia="Times New Roman" w:hAnsi="Segoe UI" w:cs="Segoe UI"/>
          <w:sz w:val="23"/>
          <w:szCs w:val="23"/>
          <w:lang w:eastAsia="fr-FR"/>
        </w:rPr>
        <w:t xml:space="preserve"> </w:t>
      </w:r>
      <w:r w:rsidRPr="00FA0F28">
        <w:rPr>
          <w:rFonts w:ascii="Segoe UI" w:eastAsia="Times New Roman" w:hAnsi="Segoe UI" w:cs="Segoe UI"/>
          <w:b/>
          <w:bCs/>
          <w:sz w:val="23"/>
          <w:szCs w:val="23"/>
          <w:lang w:eastAsia="fr-FR"/>
        </w:rPr>
        <w:t xml:space="preserve">Notre </w:t>
      </w:r>
      <w:r w:rsidR="00FA0F28" w:rsidRPr="00FA0F28">
        <w:rPr>
          <w:rFonts w:ascii="Segoe UI" w:eastAsia="Times New Roman" w:hAnsi="Segoe UI" w:cs="Segoe UI"/>
          <w:b/>
          <w:bCs/>
          <w:sz w:val="23"/>
          <w:szCs w:val="23"/>
          <w:lang w:eastAsia="fr-FR"/>
        </w:rPr>
        <w:t>déficit</w:t>
      </w:r>
      <w:r w:rsidRPr="00FA0F28">
        <w:rPr>
          <w:rFonts w:ascii="Segoe UI" w:eastAsia="Times New Roman" w:hAnsi="Segoe UI" w:cs="Segoe UI"/>
          <w:b/>
          <w:bCs/>
          <w:sz w:val="23"/>
          <w:szCs w:val="23"/>
          <w:lang w:eastAsia="fr-FR"/>
        </w:rPr>
        <w:t xml:space="preserve"> commercial </w:t>
      </w:r>
      <w:r w:rsidR="00FA0F28" w:rsidRPr="00FA0F28">
        <w:rPr>
          <w:rFonts w:ascii="Segoe UI" w:eastAsia="Times New Roman" w:hAnsi="Segoe UI" w:cs="Segoe UI"/>
          <w:b/>
          <w:bCs/>
          <w:sz w:val="23"/>
          <w:szCs w:val="23"/>
          <w:lang w:eastAsia="fr-FR"/>
        </w:rPr>
        <w:t xml:space="preserve">se creuse pour s’établir </w:t>
      </w:r>
      <w:r w:rsidRPr="00FA0F28">
        <w:rPr>
          <w:rFonts w:ascii="Segoe UI" w:eastAsia="Times New Roman" w:hAnsi="Segoe UI" w:cs="Segoe UI"/>
          <w:b/>
          <w:bCs/>
          <w:sz w:val="23"/>
          <w:szCs w:val="23"/>
          <w:lang w:eastAsia="fr-FR"/>
        </w:rPr>
        <w:t xml:space="preserve">à </w:t>
      </w:r>
      <w:r w:rsidR="00FA0F28" w:rsidRPr="00FA0F28">
        <w:rPr>
          <w:rFonts w:ascii="Segoe UI" w:eastAsia="Times New Roman" w:hAnsi="Segoe UI" w:cs="Segoe UI"/>
          <w:b/>
          <w:bCs/>
          <w:sz w:val="23"/>
          <w:szCs w:val="23"/>
          <w:lang w:eastAsia="fr-FR"/>
        </w:rPr>
        <w:t>1,28 Md</w:t>
      </w:r>
      <w:r w:rsidRPr="00FA0F28">
        <w:rPr>
          <w:rFonts w:ascii="Segoe UI" w:eastAsia="Times New Roman" w:hAnsi="Segoe UI" w:cs="Segoe UI"/>
          <w:b/>
          <w:bCs/>
          <w:sz w:val="23"/>
          <w:szCs w:val="23"/>
          <w:lang w:eastAsia="fr-FR"/>
        </w:rPr>
        <w:t xml:space="preserve"> M EUR</w:t>
      </w:r>
      <w:r w:rsidRPr="00FA0F28">
        <w:rPr>
          <w:rFonts w:ascii="Segoe UI" w:eastAsia="Times New Roman" w:hAnsi="Segoe UI" w:cs="Segoe UI"/>
          <w:sz w:val="23"/>
          <w:szCs w:val="23"/>
          <w:lang w:eastAsia="fr-FR"/>
        </w:rPr>
        <w:t xml:space="preserve">, une </w:t>
      </w:r>
      <w:r w:rsidR="00FA0F28" w:rsidRPr="00FA0F28">
        <w:rPr>
          <w:rFonts w:ascii="Segoe UI" w:eastAsia="Times New Roman" w:hAnsi="Segoe UI" w:cs="Segoe UI"/>
          <w:sz w:val="23"/>
          <w:szCs w:val="23"/>
          <w:lang w:eastAsia="fr-FR"/>
        </w:rPr>
        <w:t>hausse</w:t>
      </w:r>
      <w:r w:rsidRPr="00FA0F28">
        <w:rPr>
          <w:rFonts w:ascii="Segoe UI" w:eastAsia="Times New Roman" w:hAnsi="Segoe UI" w:cs="Segoe UI"/>
          <w:sz w:val="23"/>
          <w:szCs w:val="23"/>
          <w:lang w:eastAsia="fr-FR"/>
        </w:rPr>
        <w:t xml:space="preserve"> de </w:t>
      </w:r>
      <w:r w:rsidR="00FA0F28" w:rsidRPr="00FA0F28">
        <w:rPr>
          <w:rFonts w:ascii="Segoe UI" w:eastAsia="Times New Roman" w:hAnsi="Segoe UI" w:cs="Segoe UI"/>
          <w:sz w:val="23"/>
          <w:szCs w:val="23"/>
          <w:lang w:eastAsia="fr-FR"/>
        </w:rPr>
        <w:t>69</w:t>
      </w:r>
      <w:r w:rsidRPr="00FA0F28">
        <w:rPr>
          <w:rFonts w:ascii="Segoe UI" w:eastAsia="Times New Roman" w:hAnsi="Segoe UI" w:cs="Segoe UI"/>
          <w:sz w:val="23"/>
          <w:szCs w:val="23"/>
          <w:lang w:eastAsia="fr-FR"/>
        </w:rPr>
        <w:t>% par rapport à 202</w:t>
      </w:r>
      <w:r w:rsidR="00FA0F28" w:rsidRPr="00FA0F28">
        <w:rPr>
          <w:rFonts w:ascii="Segoe UI" w:eastAsia="Times New Roman" w:hAnsi="Segoe UI" w:cs="Segoe UI"/>
          <w:sz w:val="23"/>
          <w:szCs w:val="23"/>
          <w:lang w:eastAsia="fr-FR"/>
        </w:rPr>
        <w:t>2</w:t>
      </w:r>
      <w:r w:rsidRPr="00FA0F28">
        <w:rPr>
          <w:rFonts w:ascii="Segoe UI" w:eastAsia="Times New Roman" w:hAnsi="Segoe UI" w:cs="Segoe UI"/>
          <w:sz w:val="23"/>
          <w:szCs w:val="23"/>
          <w:lang w:eastAsia="fr-FR"/>
        </w:rPr>
        <w:t>.</w:t>
      </w:r>
      <w:r w:rsidR="0025670F" w:rsidRPr="001B3E38">
        <w:rPr>
          <w:rFonts w:ascii="Segoe UI" w:eastAsia="Times New Roman" w:hAnsi="Segoe UI" w:cs="Segoe UI"/>
          <w:b/>
          <w:bCs/>
          <w:sz w:val="23"/>
          <w:szCs w:val="23"/>
          <w:lang w:eastAsia="fr-FR"/>
        </w:rPr>
        <w:t xml:space="preserve"> </w:t>
      </w:r>
    </w:p>
    <w:p w14:paraId="7DB83461" w14:textId="77777777" w:rsidR="00246DAE" w:rsidRPr="0025670F" w:rsidRDefault="00246DAE" w:rsidP="0025670F">
      <w:pPr>
        <w:jc w:val="both"/>
        <w:rPr>
          <w:rFonts w:ascii="Segoe UI" w:eastAsia="Times New Roman" w:hAnsi="Segoe UI" w:cs="Segoe UI"/>
          <w:sz w:val="23"/>
          <w:szCs w:val="23"/>
          <w:highlight w:val="yellow"/>
          <w:lang w:eastAsia="fr-FR"/>
        </w:rPr>
      </w:pPr>
    </w:p>
    <w:p w14:paraId="5F3008A2" w14:textId="29293D54" w:rsidR="00246DAE" w:rsidRPr="0025670F" w:rsidRDefault="00246DAE" w:rsidP="0025670F">
      <w:pPr>
        <w:jc w:val="both"/>
        <w:rPr>
          <w:rFonts w:ascii="Segoe UI" w:eastAsia="Times New Roman" w:hAnsi="Segoe UI" w:cs="Segoe UI"/>
          <w:sz w:val="23"/>
          <w:szCs w:val="23"/>
          <w:highlight w:val="yellow"/>
          <w:lang w:eastAsia="fr-FR"/>
        </w:rPr>
      </w:pPr>
      <w:r w:rsidRPr="00E375A2">
        <w:rPr>
          <w:rFonts w:ascii="Segoe UI" w:hAnsi="Segoe UI" w:cs="Segoe UI"/>
          <w:noProof/>
          <w:sz w:val="23"/>
          <w:szCs w:val="23"/>
        </w:rPr>
        <mc:AlternateContent>
          <mc:Choice Requires="wps">
            <w:drawing>
              <wp:inline distT="0" distB="0" distL="0" distR="0" wp14:anchorId="5EE06E1B" wp14:editId="4C4BA3AE">
                <wp:extent cx="5760720" cy="304800"/>
                <wp:effectExtent l="0" t="0" r="0" b="0"/>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04800"/>
                        </a:xfrm>
                        <a:prstGeom prst="rect">
                          <a:avLst/>
                        </a:prstGeom>
                        <a:solidFill>
                          <a:srgbClr val="006CE5"/>
                        </a:solidFill>
                        <a:ln w="9525">
                          <a:noFill/>
                          <a:miter lim="800000"/>
                          <a:headEnd/>
                          <a:tailEnd/>
                        </a:ln>
                      </wps:spPr>
                      <wps:txbx>
                        <w:txbxContent>
                          <w:p w14:paraId="0AB1C82F" w14:textId="6AC52403" w:rsidR="00246DAE" w:rsidRPr="00B35607" w:rsidRDefault="00B35607" w:rsidP="00B35607">
                            <w:pPr>
                              <w:rPr>
                                <w:rFonts w:ascii="Segoe UI Historic" w:hAnsi="Segoe UI Historic" w:cs="Segoe UI Historic"/>
                                <w:color w:val="FFFFFF" w:themeColor="background1"/>
                                <w:sz w:val="24"/>
                              </w:rPr>
                            </w:pPr>
                            <w:r w:rsidRPr="003A61E1">
                              <w:rPr>
                                <w:rFonts w:ascii="Segoe UI Historic" w:hAnsi="Segoe UI Historic" w:cs="Segoe UI Historic"/>
                                <w:color w:val="FFFFFF" w:themeColor="background1"/>
                                <w:sz w:val="24"/>
                              </w:rPr>
                              <w:t xml:space="preserve">La France </w:t>
                            </w:r>
                            <w:r w:rsidR="00342624">
                              <w:rPr>
                                <w:rFonts w:ascii="Segoe UI Historic" w:hAnsi="Segoe UI Historic" w:cs="Segoe UI Historic"/>
                                <w:color w:val="FFFFFF" w:themeColor="background1"/>
                                <w:sz w:val="24"/>
                              </w:rPr>
                              <w:t>demeure</w:t>
                            </w:r>
                            <w:r w:rsidRPr="003A61E1">
                              <w:rPr>
                                <w:rFonts w:ascii="Segoe UI Historic" w:hAnsi="Segoe UI Historic" w:cs="Segoe UI Historic"/>
                                <w:color w:val="FFFFFF" w:themeColor="background1"/>
                                <w:sz w:val="24"/>
                              </w:rPr>
                              <w:t xml:space="preserve"> le </w:t>
                            </w:r>
                            <w:r w:rsidR="003A61E1">
                              <w:rPr>
                                <w:rFonts w:ascii="Segoe UI Historic" w:hAnsi="Segoe UI Historic" w:cs="Segoe UI Historic"/>
                                <w:color w:val="FFFFFF" w:themeColor="background1"/>
                                <w:sz w:val="24"/>
                              </w:rPr>
                              <w:t>1er</w:t>
                            </w:r>
                            <w:r w:rsidRPr="003A61E1">
                              <w:rPr>
                                <w:rFonts w:ascii="Segoe UI Historic" w:hAnsi="Segoe UI Historic" w:cs="Segoe UI Historic"/>
                                <w:color w:val="FFFFFF" w:themeColor="background1"/>
                                <w:sz w:val="24"/>
                              </w:rPr>
                              <w:t xml:space="preserve"> investisseur européen au Koweït</w:t>
                            </w:r>
                          </w:p>
                        </w:txbxContent>
                      </wps:txbx>
                      <wps:bodyPr rot="0" vert="horz" wrap="square" lIns="91440" tIns="45720" rIns="91440" bIns="45720" anchor="t" anchorCtr="0">
                        <a:noAutofit/>
                      </wps:bodyPr>
                    </wps:wsp>
                  </a:graphicData>
                </a:graphic>
              </wp:inline>
            </w:drawing>
          </mc:Choice>
          <mc:Fallback>
            <w:pict>
              <v:shape w14:anchorId="5EE06E1B" id="_x0000_s1027" type="#_x0000_t202" style="width:453.6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" fillcolor="#006ce5" stroked="f">
                <v:textbox>
                  <w:txbxContent>
                    <w:p w14:paraId="0AB1C82F" w14:textId="6AC52403" w:rsidR="00246DAE" w:rsidRPr="00B35607" w:rsidRDefault="00B35607" w:rsidP="00B35607">
                      <w:pPr>
                        <w:rPr>
                          <w:rFonts w:ascii="Segoe UI Historic" w:hAnsi="Segoe UI Historic" w:cs="Segoe UI Historic"/>
                          <w:color w:val="FFFFFF" w:themeColor="background1"/>
                          <w:sz w:val="24"/>
                        </w:rPr>
                      </w:pPr>
                      <w:r w:rsidRPr="003A61E1">
                        <w:rPr>
                          <w:rFonts w:ascii="Segoe UI Historic" w:hAnsi="Segoe UI Historic" w:cs="Segoe UI Historic"/>
                          <w:color w:val="FFFFFF" w:themeColor="background1"/>
                          <w:sz w:val="24"/>
                        </w:rPr>
                        <w:t xml:space="preserve">La France </w:t>
                      </w:r>
                      <w:r w:rsidR="00342624">
                        <w:rPr>
                          <w:rFonts w:ascii="Segoe UI Historic" w:hAnsi="Segoe UI Historic" w:cs="Segoe UI Historic"/>
                          <w:color w:val="FFFFFF" w:themeColor="background1"/>
                          <w:sz w:val="24"/>
                        </w:rPr>
                        <w:t>demeure</w:t>
                      </w:r>
                      <w:r w:rsidRPr="003A61E1">
                        <w:rPr>
                          <w:rFonts w:ascii="Segoe UI Historic" w:hAnsi="Segoe UI Historic" w:cs="Segoe UI Historic"/>
                          <w:color w:val="FFFFFF" w:themeColor="background1"/>
                          <w:sz w:val="24"/>
                        </w:rPr>
                        <w:t xml:space="preserve"> le </w:t>
                      </w:r>
                      <w:r w:rsidR="003A61E1">
                        <w:rPr>
                          <w:rFonts w:ascii="Segoe UI Historic" w:hAnsi="Segoe UI Historic" w:cs="Segoe UI Historic"/>
                          <w:color w:val="FFFFFF" w:themeColor="background1"/>
                          <w:sz w:val="24"/>
                        </w:rPr>
                        <w:t>1er</w:t>
                      </w:r>
                      <w:r w:rsidRPr="003A61E1">
                        <w:rPr>
                          <w:rFonts w:ascii="Segoe UI Historic" w:hAnsi="Segoe UI Historic" w:cs="Segoe UI Historic"/>
                          <w:color w:val="FFFFFF" w:themeColor="background1"/>
                          <w:sz w:val="24"/>
                        </w:rPr>
                        <w:t xml:space="preserve"> investisseur européen au Koweït</w:t>
                      </w:r>
                    </w:p>
                  </w:txbxContent>
                </v:textbox>
                <w10:anchorlock/>
              </v:shape>
            </w:pict>
          </mc:Fallback>
        </mc:AlternateContent>
      </w:r>
    </w:p>
    <w:p w14:paraId="3216EAB5" w14:textId="77777777" w:rsidR="00B35607" w:rsidRDefault="00B35607" w:rsidP="0025670F">
      <w:pPr>
        <w:jc w:val="both"/>
        <w:rPr>
          <w:rFonts w:ascii="Segoe UI" w:eastAsia="Times New Roman" w:hAnsi="Segoe UI" w:cs="Segoe UI"/>
          <w:b/>
          <w:bCs/>
          <w:sz w:val="23"/>
          <w:szCs w:val="23"/>
          <w:u w:val="single"/>
          <w:lang w:eastAsia="fr-FR"/>
        </w:rPr>
      </w:pPr>
      <w:r w:rsidRPr="00B35607">
        <w:rPr>
          <w:rFonts w:ascii="Segoe UI" w:eastAsia="Times New Roman" w:hAnsi="Segoe UI" w:cs="Segoe UI"/>
          <w:b/>
          <w:bCs/>
          <w:color w:val="006CE5"/>
          <w:sz w:val="23"/>
          <w:szCs w:val="23"/>
          <w:u w:val="single"/>
          <w:lang w:eastAsia="fr-FR"/>
        </w:rPr>
        <w:t>La présence économique française au Koweït est proportionnée à la taille du pays mais considérable par rapport à nos concurrents européens</w:t>
      </w:r>
    </w:p>
    <w:p w14:paraId="2A3F6F32" w14:textId="3E652B03" w:rsidR="00201CFB" w:rsidRPr="009312A9" w:rsidRDefault="00201CFB" w:rsidP="00201CFB">
      <w:pPr>
        <w:pStyle w:val="NormalWeb"/>
        <w:jc w:val="both"/>
        <w:rPr>
          <w:rFonts w:ascii="Segoe UI" w:eastAsiaTheme="minorHAnsi" w:hAnsi="Segoe UI" w:cs="Segoe UI"/>
          <w:bCs/>
          <w:iCs/>
          <w:sz w:val="23"/>
          <w:szCs w:val="23"/>
          <w:lang w:eastAsia="en-US"/>
        </w:rPr>
      </w:pPr>
      <w:r w:rsidRPr="00DB51C3">
        <w:rPr>
          <w:rFonts w:ascii="Segoe UI" w:eastAsiaTheme="minorHAnsi" w:hAnsi="Segoe UI" w:cs="Segoe UI"/>
          <w:bCs/>
          <w:iCs/>
          <w:sz w:val="23"/>
          <w:szCs w:val="23"/>
          <w:lang w:eastAsia="en-US"/>
        </w:rPr>
        <w:t xml:space="preserve">Selon les chiffres les plus récents de l’enquête européenne sur l’activité des filiales étrangères des groupes français (OFATS) pour l’année 2021, </w:t>
      </w:r>
      <w:r w:rsidRPr="00DB51C3">
        <w:rPr>
          <w:rFonts w:ascii="Segoe UI" w:eastAsiaTheme="minorHAnsi" w:hAnsi="Segoe UI" w:cs="Segoe UI"/>
          <w:b/>
          <w:iCs/>
          <w:sz w:val="23"/>
          <w:szCs w:val="23"/>
          <w:lang w:eastAsia="en-US"/>
        </w:rPr>
        <w:t>la France comptait 39 filiales d’entreprises françaises au Koweït pour un chiffre d’affaires de 58</w:t>
      </w:r>
      <w:r w:rsidR="00DB51C3" w:rsidRPr="00DB51C3">
        <w:rPr>
          <w:rFonts w:ascii="Segoe UI" w:eastAsiaTheme="minorHAnsi" w:hAnsi="Segoe UI" w:cs="Segoe UI"/>
          <w:b/>
          <w:iCs/>
          <w:sz w:val="23"/>
          <w:szCs w:val="23"/>
          <w:lang w:eastAsia="en-US"/>
        </w:rPr>
        <w:t>5</w:t>
      </w:r>
      <w:r w:rsidRPr="00DB51C3">
        <w:rPr>
          <w:rFonts w:ascii="Segoe UI" w:eastAsiaTheme="minorHAnsi" w:hAnsi="Segoe UI" w:cs="Segoe UI"/>
          <w:b/>
          <w:iCs/>
          <w:sz w:val="23"/>
          <w:szCs w:val="23"/>
          <w:lang w:eastAsia="en-US"/>
        </w:rPr>
        <w:t xml:space="preserve"> M EUR</w:t>
      </w:r>
      <w:r w:rsidRPr="00DB51C3">
        <w:rPr>
          <w:rFonts w:ascii="Segoe UI" w:eastAsiaTheme="minorHAnsi" w:hAnsi="Segoe UI" w:cs="Segoe UI"/>
          <w:bCs/>
          <w:iCs/>
          <w:sz w:val="23"/>
          <w:szCs w:val="23"/>
          <w:lang w:eastAsia="en-US"/>
        </w:rPr>
        <w:t xml:space="preserve"> (+</w:t>
      </w:r>
      <w:r w:rsidR="00DB51C3" w:rsidRPr="00DB51C3">
        <w:rPr>
          <w:rFonts w:ascii="Segoe UI" w:eastAsiaTheme="minorHAnsi" w:hAnsi="Segoe UI" w:cs="Segoe UI"/>
          <w:bCs/>
          <w:iCs/>
          <w:sz w:val="23"/>
          <w:szCs w:val="23"/>
          <w:lang w:eastAsia="en-US"/>
        </w:rPr>
        <w:t>7</w:t>
      </w:r>
      <w:r w:rsidRPr="00DB51C3">
        <w:rPr>
          <w:rFonts w:ascii="Segoe UI" w:eastAsiaTheme="minorHAnsi" w:hAnsi="Segoe UI" w:cs="Segoe UI"/>
          <w:bCs/>
          <w:iCs/>
          <w:sz w:val="23"/>
          <w:szCs w:val="23"/>
          <w:lang w:eastAsia="en-US"/>
        </w:rPr>
        <w:t>% par rapport à 201</w:t>
      </w:r>
      <w:r w:rsidR="00DB51C3" w:rsidRPr="00DB51C3">
        <w:rPr>
          <w:rFonts w:ascii="Segoe UI" w:eastAsiaTheme="minorHAnsi" w:hAnsi="Segoe UI" w:cs="Segoe UI"/>
          <w:bCs/>
          <w:iCs/>
          <w:sz w:val="23"/>
          <w:szCs w:val="23"/>
          <w:lang w:eastAsia="en-US"/>
        </w:rPr>
        <w:t>9</w:t>
      </w:r>
      <w:r w:rsidRPr="00DB51C3">
        <w:rPr>
          <w:rFonts w:ascii="Segoe UI" w:eastAsiaTheme="minorHAnsi" w:hAnsi="Segoe UI" w:cs="Segoe UI"/>
          <w:bCs/>
          <w:iCs/>
          <w:sz w:val="23"/>
          <w:szCs w:val="23"/>
          <w:lang w:eastAsia="en-US"/>
        </w:rPr>
        <w:t>)</w:t>
      </w:r>
      <w:r w:rsidRPr="004D0F8E">
        <w:rPr>
          <w:rFonts w:ascii="Segoe UI" w:eastAsiaTheme="minorHAnsi" w:hAnsi="Segoe UI" w:cs="Segoe UI"/>
          <w:bCs/>
          <w:iCs/>
          <w:sz w:val="23"/>
          <w:szCs w:val="23"/>
          <w:lang w:eastAsia="en-US"/>
        </w:rPr>
        <w:t xml:space="preserve"> et 2</w:t>
      </w:r>
      <w:r w:rsidR="004D0F8E" w:rsidRPr="004D0F8E">
        <w:rPr>
          <w:rFonts w:ascii="Segoe UI" w:eastAsiaTheme="minorHAnsi" w:hAnsi="Segoe UI" w:cs="Segoe UI"/>
          <w:bCs/>
          <w:iCs/>
          <w:sz w:val="23"/>
          <w:szCs w:val="23"/>
          <w:lang w:eastAsia="en-US"/>
        </w:rPr>
        <w:t xml:space="preserve"> 1</w:t>
      </w:r>
      <w:r w:rsidRPr="004D0F8E">
        <w:rPr>
          <w:rFonts w:ascii="Segoe UI" w:eastAsiaTheme="minorHAnsi" w:hAnsi="Segoe UI" w:cs="Segoe UI"/>
          <w:bCs/>
          <w:iCs/>
          <w:sz w:val="23"/>
          <w:szCs w:val="23"/>
          <w:lang w:eastAsia="en-US"/>
        </w:rPr>
        <w:t>3</w:t>
      </w:r>
      <w:r w:rsidR="004D0F8E" w:rsidRPr="004D0F8E">
        <w:rPr>
          <w:rFonts w:ascii="Segoe UI" w:eastAsiaTheme="minorHAnsi" w:hAnsi="Segoe UI" w:cs="Segoe UI"/>
          <w:bCs/>
          <w:iCs/>
          <w:sz w:val="23"/>
          <w:szCs w:val="23"/>
          <w:lang w:eastAsia="en-US"/>
        </w:rPr>
        <w:t>9</w:t>
      </w:r>
      <w:r w:rsidRPr="004D0F8E">
        <w:rPr>
          <w:rFonts w:ascii="Segoe UI" w:eastAsiaTheme="minorHAnsi" w:hAnsi="Segoe UI" w:cs="Segoe UI"/>
          <w:bCs/>
          <w:iCs/>
          <w:sz w:val="23"/>
          <w:szCs w:val="23"/>
          <w:lang w:eastAsia="en-US"/>
        </w:rPr>
        <w:t xml:space="preserve"> personnes employées (</w:t>
      </w:r>
      <w:r w:rsidR="004D0F8E" w:rsidRPr="004D0F8E">
        <w:rPr>
          <w:rFonts w:ascii="Segoe UI" w:eastAsiaTheme="minorHAnsi" w:hAnsi="Segoe UI" w:cs="Segoe UI"/>
          <w:bCs/>
          <w:iCs/>
          <w:sz w:val="23"/>
          <w:szCs w:val="23"/>
          <w:lang w:eastAsia="en-US"/>
        </w:rPr>
        <w:t>-22</w:t>
      </w:r>
      <w:r w:rsidRPr="004D0F8E">
        <w:rPr>
          <w:rFonts w:ascii="Segoe UI" w:eastAsiaTheme="minorHAnsi" w:hAnsi="Segoe UI" w:cs="Segoe UI"/>
          <w:bCs/>
          <w:iCs/>
          <w:sz w:val="23"/>
          <w:szCs w:val="23"/>
          <w:lang w:eastAsia="en-US"/>
        </w:rPr>
        <w:t xml:space="preserve">% </w:t>
      </w:r>
      <w:r w:rsidR="004D0F8E" w:rsidRPr="004D0F8E">
        <w:rPr>
          <w:rFonts w:ascii="Segoe UI" w:eastAsiaTheme="minorHAnsi" w:hAnsi="Segoe UI" w:cs="Segoe UI"/>
          <w:bCs/>
          <w:iCs/>
          <w:sz w:val="23"/>
          <w:szCs w:val="23"/>
          <w:lang w:eastAsia="en-US"/>
        </w:rPr>
        <w:t>par rapport à 2019</w:t>
      </w:r>
      <w:r w:rsidRPr="004D0F8E">
        <w:rPr>
          <w:rFonts w:ascii="Segoe UI" w:eastAsiaTheme="minorHAnsi" w:hAnsi="Segoe UI" w:cs="Segoe UI"/>
          <w:bCs/>
          <w:iCs/>
          <w:sz w:val="23"/>
          <w:szCs w:val="23"/>
          <w:lang w:eastAsia="en-US"/>
        </w:rPr>
        <w:t>).</w:t>
      </w:r>
      <w:r w:rsidR="005E70D1">
        <w:rPr>
          <w:rFonts w:ascii="Segoe UI" w:eastAsiaTheme="minorHAnsi" w:hAnsi="Segoe UI" w:cs="Segoe UI"/>
          <w:bCs/>
          <w:iCs/>
          <w:sz w:val="23"/>
          <w:szCs w:val="23"/>
          <w:lang w:eastAsia="en-US"/>
        </w:rPr>
        <w:t xml:space="preserve"> </w:t>
      </w:r>
      <w:r w:rsidRPr="005E70D1">
        <w:rPr>
          <w:rFonts w:ascii="Segoe UI" w:eastAsiaTheme="minorHAnsi" w:hAnsi="Segoe UI" w:cs="Segoe UI"/>
          <w:b/>
          <w:iCs/>
          <w:sz w:val="23"/>
          <w:szCs w:val="23"/>
          <w:lang w:eastAsia="en-US"/>
        </w:rPr>
        <w:t xml:space="preserve">La France </w:t>
      </w:r>
      <w:r w:rsidRPr="005E70D1">
        <w:rPr>
          <w:rFonts w:ascii="Segoe UI" w:eastAsiaTheme="minorHAnsi" w:hAnsi="Segoe UI" w:cs="Segoe UI"/>
          <w:b/>
          <w:iCs/>
          <w:sz w:val="23"/>
          <w:szCs w:val="23"/>
          <w:lang w:eastAsia="en-US"/>
        </w:rPr>
        <w:lastRenderedPageBreak/>
        <w:t xml:space="preserve">constitue ainsi la première présence européenne avec </w:t>
      </w:r>
      <w:r w:rsidR="005E70D1" w:rsidRPr="005E70D1">
        <w:rPr>
          <w:rFonts w:ascii="Segoe UI" w:eastAsiaTheme="minorHAnsi" w:hAnsi="Segoe UI" w:cs="Segoe UI"/>
          <w:b/>
          <w:iCs/>
          <w:sz w:val="23"/>
          <w:szCs w:val="23"/>
          <w:lang w:eastAsia="en-US"/>
        </w:rPr>
        <w:t>59</w:t>
      </w:r>
      <w:r w:rsidRPr="005E70D1">
        <w:rPr>
          <w:rFonts w:ascii="Segoe UI" w:eastAsiaTheme="minorHAnsi" w:hAnsi="Segoe UI" w:cs="Segoe UI"/>
          <w:b/>
          <w:iCs/>
          <w:sz w:val="23"/>
          <w:szCs w:val="23"/>
          <w:lang w:eastAsia="en-US"/>
        </w:rPr>
        <w:t>% des 6</w:t>
      </w:r>
      <w:r w:rsidR="005E70D1" w:rsidRPr="005E70D1">
        <w:rPr>
          <w:rFonts w:ascii="Segoe UI" w:eastAsiaTheme="minorHAnsi" w:hAnsi="Segoe UI" w:cs="Segoe UI"/>
          <w:b/>
          <w:iCs/>
          <w:sz w:val="23"/>
          <w:szCs w:val="23"/>
          <w:lang w:eastAsia="en-US"/>
        </w:rPr>
        <w:t>6</w:t>
      </w:r>
      <w:r w:rsidRPr="005E70D1">
        <w:rPr>
          <w:rFonts w:ascii="Segoe UI" w:eastAsiaTheme="minorHAnsi" w:hAnsi="Segoe UI" w:cs="Segoe UI"/>
          <w:b/>
          <w:iCs/>
          <w:sz w:val="23"/>
          <w:szCs w:val="23"/>
          <w:lang w:eastAsia="en-US"/>
        </w:rPr>
        <w:t xml:space="preserve"> entreprises européennes</w:t>
      </w:r>
      <w:r w:rsidRPr="005E70D1">
        <w:rPr>
          <w:rFonts w:ascii="Segoe UI" w:eastAsiaTheme="minorHAnsi" w:hAnsi="Segoe UI" w:cs="Segoe UI"/>
          <w:bCs/>
          <w:iCs/>
          <w:sz w:val="23"/>
          <w:szCs w:val="23"/>
          <w:lang w:eastAsia="en-US"/>
        </w:rPr>
        <w:t xml:space="preserve"> et </w:t>
      </w:r>
      <w:r w:rsidR="005E70D1" w:rsidRPr="005E70D1">
        <w:rPr>
          <w:rFonts w:ascii="Segoe UI" w:eastAsiaTheme="minorHAnsi" w:hAnsi="Segoe UI" w:cs="Segoe UI"/>
          <w:bCs/>
          <w:iCs/>
          <w:sz w:val="23"/>
          <w:szCs w:val="23"/>
          <w:lang w:eastAsia="en-US"/>
        </w:rPr>
        <w:t>40</w:t>
      </w:r>
      <w:r w:rsidRPr="005E70D1">
        <w:rPr>
          <w:rFonts w:ascii="Segoe UI" w:eastAsiaTheme="minorHAnsi" w:hAnsi="Segoe UI" w:cs="Segoe UI"/>
          <w:bCs/>
          <w:iCs/>
          <w:sz w:val="23"/>
          <w:szCs w:val="23"/>
          <w:lang w:eastAsia="en-US"/>
        </w:rPr>
        <w:t xml:space="preserve">% des </w:t>
      </w:r>
      <w:r w:rsidR="005E70D1" w:rsidRPr="005E70D1">
        <w:rPr>
          <w:rFonts w:ascii="Segoe UI" w:eastAsiaTheme="minorHAnsi" w:hAnsi="Segoe UI" w:cs="Segoe UI"/>
          <w:bCs/>
          <w:iCs/>
          <w:sz w:val="23"/>
          <w:szCs w:val="23"/>
          <w:lang w:eastAsia="en-US"/>
        </w:rPr>
        <w:t>5 313</w:t>
      </w:r>
      <w:r w:rsidRPr="005E70D1">
        <w:rPr>
          <w:rFonts w:ascii="Segoe UI" w:eastAsiaTheme="minorHAnsi" w:hAnsi="Segoe UI" w:cs="Segoe UI"/>
          <w:bCs/>
          <w:iCs/>
          <w:sz w:val="23"/>
          <w:szCs w:val="23"/>
          <w:lang w:eastAsia="en-US"/>
        </w:rPr>
        <w:t xml:space="preserve"> employés de ces filiales</w:t>
      </w:r>
      <w:r w:rsidRPr="00D711DA">
        <w:rPr>
          <w:rFonts w:ascii="Segoe UI" w:eastAsiaTheme="minorHAnsi" w:hAnsi="Segoe UI" w:cs="Segoe UI"/>
          <w:b/>
          <w:iCs/>
          <w:sz w:val="23"/>
          <w:szCs w:val="23"/>
          <w:lang w:eastAsia="en-US"/>
        </w:rPr>
        <w:t xml:space="preserve">. Les filiales françaises représentent </w:t>
      </w:r>
      <w:r w:rsidR="004958E3" w:rsidRPr="00D711DA">
        <w:rPr>
          <w:rFonts w:ascii="Segoe UI" w:eastAsiaTheme="minorHAnsi" w:hAnsi="Segoe UI" w:cs="Segoe UI"/>
          <w:b/>
          <w:iCs/>
          <w:sz w:val="23"/>
          <w:szCs w:val="23"/>
          <w:lang w:eastAsia="en-US"/>
        </w:rPr>
        <w:t>50</w:t>
      </w:r>
      <w:r w:rsidRPr="00D711DA">
        <w:rPr>
          <w:rFonts w:ascii="Segoe UI" w:eastAsiaTheme="minorHAnsi" w:hAnsi="Segoe UI" w:cs="Segoe UI"/>
          <w:b/>
          <w:iCs/>
          <w:sz w:val="23"/>
          <w:szCs w:val="23"/>
          <w:lang w:eastAsia="en-US"/>
        </w:rPr>
        <w:t>% du chiffre d’affaires des filiales de l’UE</w:t>
      </w:r>
      <w:r w:rsidRPr="004958E3">
        <w:rPr>
          <w:rFonts w:ascii="Segoe UI" w:eastAsiaTheme="minorHAnsi" w:hAnsi="Segoe UI" w:cs="Segoe UI"/>
          <w:bCs/>
          <w:iCs/>
          <w:sz w:val="23"/>
          <w:szCs w:val="23"/>
          <w:lang w:eastAsia="en-US"/>
        </w:rPr>
        <w:t>,</w:t>
      </w:r>
      <w:r w:rsidR="009312A9">
        <w:rPr>
          <w:rFonts w:ascii="Segoe UI" w:eastAsiaTheme="minorHAnsi" w:hAnsi="Segoe UI" w:cs="Segoe UI"/>
          <w:bCs/>
          <w:iCs/>
          <w:sz w:val="23"/>
          <w:szCs w:val="23"/>
          <w:lang w:eastAsia="en-US"/>
        </w:rPr>
        <w:t xml:space="preserve"> devant l’Allemagne qui représente 38%. </w:t>
      </w:r>
    </w:p>
    <w:p w14:paraId="143B2AF6" w14:textId="77777777" w:rsidR="0065587D" w:rsidRDefault="00201CFB" w:rsidP="0065587D">
      <w:pPr>
        <w:pStyle w:val="NormalWeb"/>
        <w:jc w:val="both"/>
        <w:rPr>
          <w:rFonts w:ascii="Segoe UI" w:eastAsiaTheme="minorHAnsi" w:hAnsi="Segoe UI" w:cs="Segoe UI"/>
          <w:bCs/>
          <w:iCs/>
          <w:sz w:val="23"/>
          <w:szCs w:val="23"/>
          <w:lang w:eastAsia="en-US"/>
        </w:rPr>
      </w:pPr>
      <w:r w:rsidRPr="00625ACE">
        <w:rPr>
          <w:rFonts w:ascii="Segoe UI" w:eastAsiaTheme="minorHAnsi" w:hAnsi="Segoe UI" w:cs="Segoe UI"/>
          <w:bCs/>
          <w:iCs/>
          <w:sz w:val="23"/>
          <w:szCs w:val="23"/>
          <w:lang w:eastAsia="en-US"/>
        </w:rPr>
        <w:t xml:space="preserve">Selon les dernières données de l’INSEE, </w:t>
      </w:r>
      <w:r w:rsidR="0065587D">
        <w:rPr>
          <w:rFonts w:ascii="Segoe UI" w:eastAsiaTheme="minorHAnsi" w:hAnsi="Segoe UI" w:cs="Segoe UI"/>
          <w:bCs/>
          <w:iCs/>
          <w:sz w:val="23"/>
          <w:szCs w:val="23"/>
          <w:lang w:eastAsia="en-US"/>
        </w:rPr>
        <w:t>1 747</w:t>
      </w:r>
      <w:r w:rsidRPr="00625ACE">
        <w:rPr>
          <w:rFonts w:ascii="Segoe UI" w:eastAsiaTheme="minorHAnsi" w:hAnsi="Segoe UI" w:cs="Segoe UI"/>
          <w:bCs/>
          <w:iCs/>
          <w:sz w:val="23"/>
          <w:szCs w:val="23"/>
          <w:lang w:eastAsia="en-US"/>
        </w:rPr>
        <w:t xml:space="preserve"> entreprises françaises ont exporté au Koweït en 20</w:t>
      </w:r>
      <w:r w:rsidR="0065587D">
        <w:rPr>
          <w:rFonts w:ascii="Segoe UI" w:eastAsiaTheme="minorHAnsi" w:hAnsi="Segoe UI" w:cs="Segoe UI"/>
          <w:bCs/>
          <w:iCs/>
          <w:sz w:val="23"/>
          <w:szCs w:val="23"/>
          <w:lang w:eastAsia="en-US"/>
        </w:rPr>
        <w:t>23</w:t>
      </w:r>
      <w:r w:rsidRPr="00625ACE">
        <w:rPr>
          <w:rFonts w:ascii="Segoe UI" w:eastAsiaTheme="minorHAnsi" w:hAnsi="Segoe UI" w:cs="Segoe UI"/>
          <w:bCs/>
          <w:iCs/>
          <w:sz w:val="23"/>
          <w:szCs w:val="23"/>
          <w:lang w:eastAsia="en-US"/>
        </w:rPr>
        <w:t xml:space="preserve">. </w:t>
      </w:r>
    </w:p>
    <w:p w14:paraId="45879676" w14:textId="3B1448D7" w:rsidR="00201CFB" w:rsidRPr="0065587D" w:rsidRDefault="00201CFB" w:rsidP="0065587D">
      <w:pPr>
        <w:pStyle w:val="NormalWeb"/>
        <w:jc w:val="both"/>
        <w:rPr>
          <w:rFonts w:ascii="Segoe UI" w:eastAsiaTheme="minorHAnsi" w:hAnsi="Segoe UI" w:cs="Segoe UI"/>
          <w:bCs/>
          <w:iCs/>
          <w:sz w:val="23"/>
          <w:szCs w:val="23"/>
          <w:lang w:eastAsia="en-US"/>
        </w:rPr>
      </w:pPr>
      <w:r w:rsidRPr="00201CFB">
        <w:rPr>
          <w:rFonts w:ascii="Segoe UI" w:hAnsi="Segoe UI" w:cs="Segoe UI"/>
          <w:b/>
          <w:bCs/>
          <w:color w:val="006CE5"/>
          <w:sz w:val="23"/>
          <w:szCs w:val="23"/>
          <w:u w:val="single"/>
        </w:rPr>
        <w:t>Les investissements croisés ont progressé</w:t>
      </w:r>
    </w:p>
    <w:p w14:paraId="12D34ABC" w14:textId="24F11ED1" w:rsidR="000B31E4" w:rsidRDefault="00201CFB" w:rsidP="00201CFB">
      <w:pPr>
        <w:pStyle w:val="NormalWeb"/>
        <w:jc w:val="both"/>
        <w:rPr>
          <w:rFonts w:ascii="Segoe UI" w:eastAsiaTheme="minorHAnsi" w:hAnsi="Segoe UI" w:cs="Segoe UI"/>
          <w:bCs/>
          <w:iCs/>
          <w:sz w:val="23"/>
          <w:szCs w:val="23"/>
          <w:lang w:eastAsia="en-US"/>
        </w:rPr>
      </w:pPr>
      <w:r w:rsidRPr="002425AF">
        <w:rPr>
          <w:rFonts w:ascii="Segoe UI" w:eastAsiaTheme="minorHAnsi" w:hAnsi="Segoe UI" w:cs="Segoe UI"/>
          <w:bCs/>
          <w:iCs/>
          <w:sz w:val="23"/>
          <w:szCs w:val="23"/>
          <w:lang w:eastAsia="en-US"/>
        </w:rPr>
        <w:t>Selon les derniers chiffres disponibles de 20</w:t>
      </w:r>
      <w:r w:rsidR="002425AF" w:rsidRPr="002425AF">
        <w:rPr>
          <w:rFonts w:ascii="Segoe UI" w:eastAsiaTheme="minorHAnsi" w:hAnsi="Segoe UI" w:cs="Segoe UI"/>
          <w:bCs/>
          <w:iCs/>
          <w:sz w:val="23"/>
          <w:szCs w:val="23"/>
          <w:lang w:eastAsia="en-US"/>
        </w:rPr>
        <w:t>22</w:t>
      </w:r>
      <w:r w:rsidRPr="002425AF">
        <w:rPr>
          <w:rFonts w:ascii="Segoe UI" w:eastAsiaTheme="minorHAnsi" w:hAnsi="Segoe UI" w:cs="Segoe UI"/>
          <w:bCs/>
          <w:iCs/>
          <w:sz w:val="23"/>
          <w:szCs w:val="23"/>
          <w:lang w:eastAsia="en-US"/>
        </w:rPr>
        <w:t xml:space="preserve">, </w:t>
      </w:r>
      <w:r w:rsidRPr="002425AF">
        <w:rPr>
          <w:rFonts w:ascii="Segoe UI" w:eastAsiaTheme="minorHAnsi" w:hAnsi="Segoe UI" w:cs="Segoe UI"/>
          <w:b/>
          <w:iCs/>
          <w:sz w:val="23"/>
          <w:szCs w:val="23"/>
          <w:lang w:eastAsia="en-US"/>
        </w:rPr>
        <w:t xml:space="preserve">le stock d’IDE français au Koweït a </w:t>
      </w:r>
      <w:r w:rsidR="002425AF" w:rsidRPr="002425AF">
        <w:rPr>
          <w:rFonts w:ascii="Segoe UI" w:eastAsiaTheme="minorHAnsi" w:hAnsi="Segoe UI" w:cs="Segoe UI"/>
          <w:b/>
          <w:iCs/>
          <w:sz w:val="23"/>
          <w:szCs w:val="23"/>
          <w:lang w:eastAsia="en-US"/>
        </w:rPr>
        <w:t>augmenté de 20% par rapport à 2021</w:t>
      </w:r>
      <w:r w:rsidRPr="002425AF">
        <w:rPr>
          <w:rFonts w:ascii="Segoe UI" w:eastAsiaTheme="minorHAnsi" w:hAnsi="Segoe UI" w:cs="Segoe UI"/>
          <w:b/>
          <w:iCs/>
          <w:sz w:val="23"/>
          <w:szCs w:val="23"/>
          <w:lang w:eastAsia="en-US"/>
        </w:rPr>
        <w:t xml:space="preserve">, s’élevant à </w:t>
      </w:r>
      <w:r w:rsidR="002425AF" w:rsidRPr="002425AF">
        <w:rPr>
          <w:rFonts w:ascii="Segoe UI" w:eastAsiaTheme="minorHAnsi" w:hAnsi="Segoe UI" w:cs="Segoe UI"/>
          <w:b/>
          <w:iCs/>
          <w:sz w:val="23"/>
          <w:szCs w:val="23"/>
          <w:lang w:eastAsia="en-US"/>
        </w:rPr>
        <w:t>172</w:t>
      </w:r>
      <w:r w:rsidRPr="002425AF">
        <w:rPr>
          <w:rFonts w:ascii="Segoe UI" w:eastAsiaTheme="minorHAnsi" w:hAnsi="Segoe UI" w:cs="Segoe UI"/>
          <w:b/>
          <w:iCs/>
          <w:sz w:val="23"/>
          <w:szCs w:val="23"/>
          <w:lang w:eastAsia="en-US"/>
        </w:rPr>
        <w:t xml:space="preserve"> M</w:t>
      </w:r>
      <w:r w:rsidR="002425AF" w:rsidRPr="002425AF">
        <w:rPr>
          <w:rFonts w:ascii="Segoe UI" w:eastAsiaTheme="minorHAnsi" w:hAnsi="Segoe UI" w:cs="Segoe UI"/>
          <w:b/>
          <w:iCs/>
          <w:sz w:val="23"/>
          <w:szCs w:val="23"/>
          <w:lang w:eastAsia="en-US"/>
        </w:rPr>
        <w:t xml:space="preserve"> </w:t>
      </w:r>
      <w:r w:rsidRPr="002425AF">
        <w:rPr>
          <w:rFonts w:ascii="Segoe UI" w:eastAsiaTheme="minorHAnsi" w:hAnsi="Segoe UI" w:cs="Segoe UI"/>
          <w:b/>
          <w:iCs/>
          <w:sz w:val="23"/>
          <w:szCs w:val="23"/>
          <w:lang w:eastAsia="en-US"/>
        </w:rPr>
        <w:t>EUR</w:t>
      </w:r>
      <w:r w:rsidR="002425AF">
        <w:rPr>
          <w:rFonts w:ascii="Segoe UI" w:eastAsiaTheme="minorHAnsi" w:hAnsi="Segoe UI" w:cs="Segoe UI"/>
          <w:bCs/>
          <w:iCs/>
          <w:sz w:val="23"/>
          <w:szCs w:val="23"/>
          <w:lang w:eastAsia="en-US"/>
        </w:rPr>
        <w:t xml:space="preserve">. </w:t>
      </w:r>
    </w:p>
    <w:p w14:paraId="1929395A" w14:textId="135BFEF7" w:rsidR="00201CFB" w:rsidRPr="000B31E4" w:rsidRDefault="00201CFB" w:rsidP="00201CFB">
      <w:pPr>
        <w:pStyle w:val="NormalWeb"/>
        <w:jc w:val="both"/>
        <w:rPr>
          <w:rFonts w:ascii="Segoe UI" w:eastAsiaTheme="minorHAnsi" w:hAnsi="Segoe UI" w:cs="Segoe UI"/>
          <w:bCs/>
          <w:iCs/>
          <w:sz w:val="23"/>
          <w:szCs w:val="23"/>
          <w:lang w:eastAsia="en-US"/>
        </w:rPr>
      </w:pPr>
      <w:r w:rsidRPr="002E2FFA">
        <w:rPr>
          <w:rFonts w:ascii="Segoe UI" w:eastAsiaTheme="minorHAnsi" w:hAnsi="Segoe UI" w:cs="Segoe UI"/>
          <w:bCs/>
          <w:iCs/>
          <w:sz w:val="23"/>
          <w:szCs w:val="23"/>
          <w:lang w:eastAsia="en-US"/>
        </w:rPr>
        <w:t>Selon les données du FMI</w:t>
      </w:r>
      <w:r w:rsidRPr="00342624">
        <w:rPr>
          <w:rFonts w:ascii="Segoe UI" w:eastAsiaTheme="minorHAnsi" w:hAnsi="Segoe UI" w:cs="Segoe UI"/>
          <w:b/>
          <w:iCs/>
          <w:sz w:val="23"/>
          <w:szCs w:val="23"/>
          <w:lang w:eastAsia="en-US"/>
        </w:rPr>
        <w:t xml:space="preserve">, le montant du flux des IDE français à destination du Koweït est de </w:t>
      </w:r>
      <w:r w:rsidR="002E2FFA" w:rsidRPr="00342624">
        <w:rPr>
          <w:rFonts w:ascii="Segoe UI" w:eastAsiaTheme="minorHAnsi" w:hAnsi="Segoe UI" w:cs="Segoe UI"/>
          <w:b/>
          <w:iCs/>
          <w:sz w:val="23"/>
          <w:szCs w:val="23"/>
          <w:lang w:eastAsia="en-US"/>
        </w:rPr>
        <w:t>49</w:t>
      </w:r>
      <w:r w:rsidRPr="00342624">
        <w:rPr>
          <w:rFonts w:ascii="Segoe UI" w:eastAsiaTheme="minorHAnsi" w:hAnsi="Segoe UI" w:cs="Segoe UI"/>
          <w:b/>
          <w:iCs/>
          <w:sz w:val="23"/>
          <w:szCs w:val="23"/>
          <w:lang w:eastAsia="en-US"/>
        </w:rPr>
        <w:t>M USD en 202</w:t>
      </w:r>
      <w:r w:rsidR="002E2FFA" w:rsidRPr="00342624">
        <w:rPr>
          <w:rFonts w:ascii="Segoe UI" w:eastAsiaTheme="minorHAnsi" w:hAnsi="Segoe UI" w:cs="Segoe UI"/>
          <w:b/>
          <w:iCs/>
          <w:sz w:val="23"/>
          <w:szCs w:val="23"/>
          <w:lang w:eastAsia="en-US"/>
        </w:rPr>
        <w:t>2</w:t>
      </w:r>
      <w:r w:rsidRPr="00342624">
        <w:rPr>
          <w:rFonts w:ascii="Segoe UI" w:eastAsiaTheme="minorHAnsi" w:hAnsi="Segoe UI" w:cs="Segoe UI"/>
          <w:b/>
          <w:iCs/>
          <w:sz w:val="23"/>
          <w:szCs w:val="23"/>
          <w:lang w:eastAsia="en-US"/>
        </w:rPr>
        <w:t>, faisant de la France le premier investisseur européen dans le pays,</w:t>
      </w:r>
      <w:r w:rsidRPr="002E2FFA">
        <w:rPr>
          <w:rFonts w:ascii="Segoe UI" w:eastAsiaTheme="minorHAnsi" w:hAnsi="Segoe UI" w:cs="Segoe UI"/>
          <w:bCs/>
          <w:iCs/>
          <w:sz w:val="23"/>
          <w:szCs w:val="23"/>
          <w:lang w:eastAsia="en-US"/>
        </w:rPr>
        <w:t xml:space="preserve"> </w:t>
      </w:r>
      <w:r w:rsidRPr="002E7DCF">
        <w:rPr>
          <w:rFonts w:ascii="Segoe UI" w:eastAsiaTheme="minorHAnsi" w:hAnsi="Segoe UI" w:cs="Segoe UI"/>
          <w:bCs/>
          <w:iCs/>
          <w:sz w:val="23"/>
          <w:szCs w:val="23"/>
          <w:lang w:eastAsia="en-US"/>
        </w:rPr>
        <w:t xml:space="preserve">le </w:t>
      </w:r>
      <w:r w:rsidR="0002077A">
        <w:rPr>
          <w:rFonts w:ascii="Segoe UI" w:eastAsiaTheme="minorHAnsi" w:hAnsi="Segoe UI" w:cs="Segoe UI"/>
          <w:bCs/>
          <w:iCs/>
          <w:sz w:val="23"/>
          <w:szCs w:val="23"/>
          <w:lang w:eastAsia="en-US"/>
        </w:rPr>
        <w:t>3</w:t>
      </w:r>
      <w:r w:rsidR="002E7DCF" w:rsidRPr="002E7DCF">
        <w:rPr>
          <w:rFonts w:ascii="Segoe UI" w:eastAsiaTheme="minorHAnsi" w:hAnsi="Segoe UI" w:cs="Segoe UI"/>
          <w:bCs/>
          <w:iCs/>
          <w:sz w:val="23"/>
          <w:szCs w:val="23"/>
          <w:lang w:eastAsia="en-US"/>
        </w:rPr>
        <w:t>ème</w:t>
      </w:r>
      <w:r w:rsidRPr="002E7DCF">
        <w:rPr>
          <w:rFonts w:ascii="Segoe UI" w:eastAsiaTheme="minorHAnsi" w:hAnsi="Segoe UI" w:cs="Segoe UI"/>
          <w:bCs/>
          <w:iCs/>
          <w:sz w:val="23"/>
          <w:szCs w:val="23"/>
          <w:lang w:eastAsia="en-US"/>
        </w:rPr>
        <w:t xml:space="preserve"> non-régional </w:t>
      </w:r>
      <w:r w:rsidRPr="00800B16">
        <w:rPr>
          <w:rFonts w:ascii="Segoe UI" w:eastAsiaTheme="minorHAnsi" w:hAnsi="Segoe UI" w:cs="Segoe UI"/>
          <w:bCs/>
          <w:iCs/>
          <w:sz w:val="23"/>
          <w:szCs w:val="23"/>
          <w:lang w:eastAsia="en-US"/>
        </w:rPr>
        <w:t xml:space="preserve">et le </w:t>
      </w:r>
      <w:r w:rsidR="00800B16" w:rsidRPr="00800B16">
        <w:rPr>
          <w:rFonts w:ascii="Segoe UI" w:eastAsiaTheme="minorHAnsi" w:hAnsi="Segoe UI" w:cs="Segoe UI"/>
          <w:bCs/>
          <w:iCs/>
          <w:sz w:val="23"/>
          <w:szCs w:val="23"/>
          <w:lang w:eastAsia="en-US"/>
        </w:rPr>
        <w:t>8</w:t>
      </w:r>
      <w:r w:rsidRPr="00800B16">
        <w:rPr>
          <w:rFonts w:ascii="Segoe UI" w:eastAsiaTheme="minorHAnsi" w:hAnsi="Segoe UI" w:cs="Segoe UI"/>
          <w:bCs/>
          <w:iCs/>
          <w:sz w:val="23"/>
          <w:szCs w:val="23"/>
          <w:lang w:eastAsia="en-US"/>
        </w:rPr>
        <w:t>ème dans le monde derrière le Qatar, l’Arabie Saoudite, les EAU, Bahreïn, Oman</w:t>
      </w:r>
      <w:r w:rsidR="00800B16">
        <w:rPr>
          <w:rFonts w:ascii="Segoe UI" w:eastAsiaTheme="minorHAnsi" w:hAnsi="Segoe UI" w:cs="Segoe UI"/>
          <w:bCs/>
          <w:iCs/>
          <w:sz w:val="23"/>
          <w:szCs w:val="23"/>
          <w:lang w:eastAsia="en-US"/>
        </w:rPr>
        <w:t xml:space="preserve">, la Chine </w:t>
      </w:r>
      <w:r w:rsidRPr="00800B16">
        <w:rPr>
          <w:rFonts w:ascii="Segoe UI" w:eastAsiaTheme="minorHAnsi" w:hAnsi="Segoe UI" w:cs="Segoe UI"/>
          <w:bCs/>
          <w:iCs/>
          <w:sz w:val="23"/>
          <w:szCs w:val="23"/>
          <w:lang w:eastAsia="en-US"/>
        </w:rPr>
        <w:t>et les Etats-Unis</w:t>
      </w:r>
      <w:r w:rsidRPr="00906986">
        <w:rPr>
          <w:rFonts w:ascii="Segoe UI" w:eastAsiaTheme="minorHAnsi" w:hAnsi="Segoe UI" w:cs="Segoe UI"/>
          <w:bCs/>
          <w:iCs/>
          <w:sz w:val="23"/>
          <w:szCs w:val="23"/>
          <w:lang w:eastAsia="en-US"/>
        </w:rPr>
        <w:t>.</w:t>
      </w:r>
      <w:r w:rsidRPr="00800B16">
        <w:rPr>
          <w:rFonts w:ascii="Segoe UI" w:eastAsiaTheme="minorHAnsi" w:hAnsi="Segoe UI" w:cs="Segoe UI"/>
          <w:bCs/>
          <w:iCs/>
          <w:sz w:val="23"/>
          <w:szCs w:val="23"/>
          <w:lang w:eastAsia="en-US"/>
        </w:rPr>
        <w:t xml:space="preserve"> L’investissement français se matérialise majoritairement sous forme de co-entreprise, condition nécessaire au succès dans l’émirat, sauf adoption du régime KDIPA.</w:t>
      </w:r>
    </w:p>
    <w:p w14:paraId="4FBB7BB5" w14:textId="36F7F4F9" w:rsidR="00D86429" w:rsidRPr="004F1F7C" w:rsidRDefault="005E394C" w:rsidP="004F1F7C">
      <w:pPr>
        <w:pStyle w:val="NormalWeb"/>
        <w:jc w:val="both"/>
        <w:rPr>
          <w:rFonts w:ascii="Segoe UI" w:eastAsiaTheme="minorHAnsi" w:hAnsi="Segoe UI" w:cs="Segoe UI"/>
          <w:bCs/>
          <w:iCs/>
          <w:sz w:val="23"/>
          <w:szCs w:val="23"/>
          <w:lang w:eastAsia="en-US"/>
        </w:rPr>
      </w:pPr>
      <w:r>
        <w:rPr>
          <w:rFonts w:ascii="Segoe UI" w:eastAsiaTheme="minorHAnsi" w:hAnsi="Segoe UI" w:cs="Segoe UI"/>
          <w:bCs/>
          <w:iCs/>
          <w:sz w:val="23"/>
          <w:szCs w:val="23"/>
          <w:lang w:eastAsia="en-US"/>
        </w:rPr>
        <w:t xml:space="preserve">Le stock d’IDE koweïtiens en France sont eux en hausse de 3% pour s’établir à 340 M EUR. </w:t>
      </w:r>
      <w:r w:rsidR="00201CFB" w:rsidRPr="00E77E6F">
        <w:rPr>
          <w:rFonts w:ascii="Segoe UI" w:eastAsiaTheme="minorHAnsi" w:hAnsi="Segoe UI" w:cs="Segoe UI"/>
          <w:bCs/>
          <w:iCs/>
          <w:sz w:val="23"/>
          <w:szCs w:val="23"/>
          <w:lang w:eastAsia="en-US"/>
        </w:rPr>
        <w:t xml:space="preserve">Cela représente </w:t>
      </w:r>
      <w:r w:rsidR="00E77E6F" w:rsidRPr="005E394C">
        <w:rPr>
          <w:rFonts w:ascii="Segoe UI" w:eastAsiaTheme="minorHAnsi" w:hAnsi="Segoe UI" w:cs="Segoe UI"/>
          <w:b/>
          <w:iCs/>
          <w:sz w:val="23"/>
          <w:szCs w:val="23"/>
          <w:lang w:eastAsia="en-US"/>
        </w:rPr>
        <w:t>6,4</w:t>
      </w:r>
      <w:r w:rsidR="00201CFB" w:rsidRPr="005E394C">
        <w:rPr>
          <w:rFonts w:ascii="Segoe UI" w:eastAsiaTheme="minorHAnsi" w:hAnsi="Segoe UI" w:cs="Segoe UI"/>
          <w:b/>
          <w:iCs/>
          <w:sz w:val="23"/>
          <w:szCs w:val="23"/>
          <w:lang w:eastAsia="en-US"/>
        </w:rPr>
        <w:t>% du stock d’IDE</w:t>
      </w:r>
      <w:r w:rsidR="00201CFB" w:rsidRPr="00E77E6F">
        <w:rPr>
          <w:rFonts w:ascii="Segoe UI" w:eastAsiaTheme="minorHAnsi" w:hAnsi="Segoe UI" w:cs="Segoe UI"/>
          <w:bCs/>
          <w:iCs/>
          <w:sz w:val="23"/>
          <w:szCs w:val="23"/>
          <w:lang w:eastAsia="en-US"/>
        </w:rPr>
        <w:t xml:space="preserve"> des pays du GCC</w:t>
      </w:r>
      <w:r w:rsidR="00201CFB" w:rsidRPr="005E394C">
        <w:rPr>
          <w:rFonts w:ascii="Segoe UI" w:eastAsiaTheme="minorHAnsi" w:hAnsi="Segoe UI" w:cs="Segoe UI"/>
          <w:bCs/>
          <w:iCs/>
          <w:sz w:val="23"/>
          <w:szCs w:val="23"/>
          <w:lang w:eastAsia="en-US"/>
        </w:rPr>
        <w:t xml:space="preserve"> (contre 3,</w:t>
      </w:r>
      <w:r w:rsidRPr="005E394C">
        <w:rPr>
          <w:rFonts w:ascii="Segoe UI" w:eastAsiaTheme="minorHAnsi" w:hAnsi="Segoe UI" w:cs="Segoe UI"/>
          <w:bCs/>
          <w:iCs/>
          <w:sz w:val="23"/>
          <w:szCs w:val="23"/>
          <w:lang w:eastAsia="en-US"/>
        </w:rPr>
        <w:t>2</w:t>
      </w:r>
      <w:r w:rsidR="00201CFB" w:rsidRPr="005E394C">
        <w:rPr>
          <w:rFonts w:ascii="Segoe UI" w:eastAsiaTheme="minorHAnsi" w:hAnsi="Segoe UI" w:cs="Segoe UI"/>
          <w:bCs/>
          <w:iCs/>
          <w:sz w:val="23"/>
          <w:szCs w:val="23"/>
          <w:lang w:eastAsia="en-US"/>
        </w:rPr>
        <w:t>% en 2019).</w:t>
      </w:r>
      <w:r w:rsidR="00523107" w:rsidRPr="005E394C">
        <w:rPr>
          <w:rFonts w:ascii="Segoe UI" w:eastAsiaTheme="minorHAnsi" w:hAnsi="Segoe UI" w:cs="Segoe UI"/>
          <w:bCs/>
          <w:iCs/>
          <w:sz w:val="23"/>
          <w:szCs w:val="23"/>
          <w:lang w:eastAsia="en-US"/>
        </w:rPr>
        <w:t xml:space="preserve"> </w:t>
      </w:r>
    </w:p>
    <w:p w14:paraId="0AF63848" w14:textId="7DB5ABC5" w:rsidR="0025670F" w:rsidRPr="0025670F" w:rsidRDefault="008E6875" w:rsidP="0025670F">
      <w:pPr>
        <w:jc w:val="both"/>
        <w:rPr>
          <w:rFonts w:ascii="Segoe UI" w:eastAsia="Times New Roman" w:hAnsi="Segoe UI" w:cs="Segoe UI"/>
          <w:sz w:val="23"/>
          <w:szCs w:val="23"/>
          <w:highlight w:val="yellow"/>
          <w:lang w:eastAsia="fr-FR"/>
        </w:rPr>
      </w:pPr>
      <w:r w:rsidRPr="00E375A2">
        <w:rPr>
          <w:rFonts w:ascii="Segoe UI" w:hAnsi="Segoe UI" w:cs="Segoe UI"/>
          <w:noProof/>
          <w:sz w:val="23"/>
          <w:szCs w:val="23"/>
        </w:rPr>
        <mc:AlternateContent>
          <mc:Choice Requires="wps">
            <w:drawing>
              <wp:inline distT="0" distB="0" distL="0" distR="0" wp14:anchorId="3D8BA0A6" wp14:editId="4939E6FD">
                <wp:extent cx="5760720" cy="304800"/>
                <wp:effectExtent l="0" t="0" r="0" b="0"/>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04800"/>
                        </a:xfrm>
                        <a:prstGeom prst="rect">
                          <a:avLst/>
                        </a:prstGeom>
                        <a:solidFill>
                          <a:srgbClr val="006CE5"/>
                        </a:solidFill>
                        <a:ln w="9525">
                          <a:noFill/>
                          <a:miter lim="800000"/>
                          <a:headEnd/>
                          <a:tailEnd/>
                        </a:ln>
                      </wps:spPr>
                      <wps:txbx>
                        <w:txbxContent>
                          <w:p w14:paraId="5622E4E5" w14:textId="452E75C5" w:rsidR="008E6875" w:rsidRPr="00927DE7" w:rsidRDefault="00927DE7" w:rsidP="00927DE7">
                            <w:pPr>
                              <w:rPr>
                                <w:rFonts w:ascii="Segoe UI Historic" w:hAnsi="Segoe UI Historic" w:cs="Segoe UI Historic"/>
                                <w:color w:val="FFFFFF" w:themeColor="background1"/>
                                <w:sz w:val="24"/>
                              </w:rPr>
                            </w:pPr>
                            <w:r w:rsidRPr="005A672E">
                              <w:rPr>
                                <w:rFonts w:ascii="Segoe UI Historic" w:hAnsi="Segoe UI Historic" w:cs="Segoe UI Historic"/>
                                <w:color w:val="FFFFFF" w:themeColor="background1"/>
                                <w:sz w:val="24"/>
                              </w:rPr>
                              <w:t>Le Koweït présente un potentiel de densification de nos échanges</w:t>
                            </w:r>
                          </w:p>
                        </w:txbxContent>
                      </wps:txbx>
                      <wps:bodyPr rot="0" vert="horz" wrap="square" lIns="91440" tIns="45720" rIns="91440" bIns="45720" anchor="t" anchorCtr="0">
                        <a:noAutofit/>
                      </wps:bodyPr>
                    </wps:wsp>
                  </a:graphicData>
                </a:graphic>
              </wp:inline>
            </w:drawing>
          </mc:Choice>
          <mc:Fallback>
            <w:pict>
              <v:shape w14:anchorId="3D8BA0A6" id="_x0000_s1028" type="#_x0000_t202" style="width:453.6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" fillcolor="#006ce5" stroked="f">
                <v:textbox>
                  <w:txbxContent>
                    <w:p w14:paraId="5622E4E5" w14:textId="452E75C5" w:rsidR="008E6875" w:rsidRPr="00927DE7" w:rsidRDefault="00927DE7" w:rsidP="00927DE7">
                      <w:pPr>
                        <w:rPr>
                          <w:rFonts w:ascii="Segoe UI Historic" w:hAnsi="Segoe UI Historic" w:cs="Segoe UI Historic"/>
                          <w:color w:val="FFFFFF" w:themeColor="background1"/>
                          <w:sz w:val="24"/>
                        </w:rPr>
                      </w:pPr>
                      <w:r w:rsidRPr="005A672E">
                        <w:rPr>
                          <w:rFonts w:ascii="Segoe UI Historic" w:hAnsi="Segoe UI Historic" w:cs="Segoe UI Historic"/>
                          <w:color w:val="FFFFFF" w:themeColor="background1"/>
                          <w:sz w:val="24"/>
                        </w:rPr>
                        <w:t>Le Koweït présente un potentiel de densification de nos échanges</w:t>
                      </w:r>
                    </w:p>
                  </w:txbxContent>
                </v:textbox>
                <w10:anchorlock/>
              </v:shape>
            </w:pict>
          </mc:Fallback>
        </mc:AlternateContent>
      </w:r>
    </w:p>
    <w:p w14:paraId="698E2C38" w14:textId="3D056595" w:rsidR="00927DE7" w:rsidRPr="00902C41" w:rsidRDefault="00927DE7" w:rsidP="00927DE7">
      <w:pPr>
        <w:pStyle w:val="NormalWeb"/>
        <w:jc w:val="both"/>
        <w:rPr>
          <w:rFonts w:ascii="Segoe UI" w:hAnsi="Segoe UI" w:cs="Segoe UI"/>
          <w:b/>
          <w:bCs/>
          <w:color w:val="006CE5"/>
          <w:sz w:val="23"/>
          <w:szCs w:val="23"/>
          <w:u w:val="single"/>
        </w:rPr>
      </w:pPr>
      <w:r w:rsidRPr="00902C41">
        <w:rPr>
          <w:rFonts w:ascii="Segoe UI" w:hAnsi="Segoe UI" w:cs="Segoe UI"/>
          <w:b/>
          <w:bCs/>
          <w:color w:val="006CE5"/>
          <w:sz w:val="23"/>
          <w:szCs w:val="23"/>
          <w:u w:val="single"/>
        </w:rPr>
        <w:t>L’export français pourrait s’appuyer davantage sur le plan de diversification économique du Koweït</w:t>
      </w:r>
    </w:p>
    <w:p w14:paraId="0E435922" w14:textId="3274B1F4" w:rsidR="00927DE7" w:rsidRPr="00927DE7" w:rsidRDefault="00927DE7" w:rsidP="00927DE7">
      <w:pPr>
        <w:pStyle w:val="NormalWeb"/>
        <w:jc w:val="both"/>
        <w:rPr>
          <w:rFonts w:ascii="Segoe UI" w:hAnsi="Segoe UI" w:cs="Segoe UI"/>
          <w:color w:val="000000"/>
          <w:sz w:val="23"/>
          <w:szCs w:val="23"/>
          <w:highlight w:val="yellow"/>
        </w:rPr>
      </w:pPr>
      <w:r w:rsidRPr="009114D6">
        <w:rPr>
          <w:rFonts w:ascii="Segoe UI" w:hAnsi="Segoe UI" w:cs="Segoe UI"/>
          <w:color w:val="000000"/>
          <w:sz w:val="23"/>
          <w:szCs w:val="23"/>
        </w:rPr>
        <w:t>La filière des hydrocarbures koweïtienne a engagé un plan d’investissement estimé à 80 Mds USD sur la période 2020-2025 (500 Mds</w:t>
      </w:r>
      <w:r w:rsidR="009114D6" w:rsidRPr="009114D6">
        <w:rPr>
          <w:rFonts w:ascii="Segoe UI" w:hAnsi="Segoe UI" w:cs="Segoe UI"/>
          <w:color w:val="000000"/>
          <w:sz w:val="23"/>
          <w:szCs w:val="23"/>
        </w:rPr>
        <w:t xml:space="preserve"> USD</w:t>
      </w:r>
      <w:r w:rsidRPr="009114D6">
        <w:rPr>
          <w:rFonts w:ascii="Segoe UI" w:hAnsi="Segoe UI" w:cs="Segoe UI"/>
          <w:color w:val="000000"/>
          <w:sz w:val="23"/>
          <w:szCs w:val="23"/>
        </w:rPr>
        <w:t xml:space="preserve"> d’ici à 2040). </w:t>
      </w:r>
      <w:r w:rsidR="00C064E3">
        <w:rPr>
          <w:rFonts w:ascii="Segoe UI" w:hAnsi="Segoe UI" w:cs="Segoe UI"/>
          <w:color w:val="000000"/>
          <w:sz w:val="23"/>
          <w:szCs w:val="23"/>
        </w:rPr>
        <w:t>M</w:t>
      </w:r>
      <w:r w:rsidRPr="009114D6">
        <w:rPr>
          <w:rFonts w:ascii="Segoe UI" w:hAnsi="Segoe UI" w:cs="Segoe UI"/>
          <w:color w:val="000000"/>
          <w:sz w:val="23"/>
          <w:szCs w:val="23"/>
        </w:rPr>
        <w:t xml:space="preserve">ême </w:t>
      </w:r>
      <w:r w:rsidR="00C064E3">
        <w:rPr>
          <w:rFonts w:ascii="Segoe UI" w:hAnsi="Segoe UI" w:cs="Segoe UI"/>
          <w:color w:val="000000"/>
          <w:sz w:val="23"/>
          <w:szCs w:val="23"/>
        </w:rPr>
        <w:t>si elle</w:t>
      </w:r>
      <w:r w:rsidRPr="009114D6">
        <w:rPr>
          <w:rFonts w:ascii="Segoe UI" w:hAnsi="Segoe UI" w:cs="Segoe UI"/>
          <w:color w:val="000000"/>
          <w:sz w:val="23"/>
          <w:szCs w:val="23"/>
        </w:rPr>
        <w:t xml:space="preserve"> a été révisé</w:t>
      </w:r>
      <w:r w:rsidR="00C064E3">
        <w:rPr>
          <w:rFonts w:ascii="Segoe UI" w:hAnsi="Segoe UI" w:cs="Segoe UI"/>
          <w:color w:val="000000"/>
          <w:sz w:val="23"/>
          <w:szCs w:val="23"/>
        </w:rPr>
        <w:t>e</w:t>
      </w:r>
      <w:r w:rsidRPr="009114D6">
        <w:rPr>
          <w:rFonts w:ascii="Segoe UI" w:hAnsi="Segoe UI" w:cs="Segoe UI"/>
          <w:color w:val="000000"/>
          <w:sz w:val="23"/>
          <w:szCs w:val="23"/>
        </w:rPr>
        <w:t xml:space="preserve"> à la baisse,</w:t>
      </w:r>
      <w:r w:rsidR="009114D6">
        <w:rPr>
          <w:rFonts w:ascii="Segoe UI" w:hAnsi="Segoe UI" w:cs="Segoe UI"/>
          <w:color w:val="000000"/>
          <w:sz w:val="23"/>
          <w:szCs w:val="23"/>
        </w:rPr>
        <w:t xml:space="preserve"> </w:t>
      </w:r>
      <w:r w:rsidR="009114D6" w:rsidRPr="00686548">
        <w:rPr>
          <w:rFonts w:ascii="Segoe UI" w:hAnsi="Segoe UI" w:cs="Segoe UI"/>
          <w:b/>
          <w:bCs/>
          <w:color w:val="000000"/>
          <w:sz w:val="23"/>
          <w:szCs w:val="23"/>
        </w:rPr>
        <w:t>la stratégie 2040 adoptée par Kuwait Petroleum Corporation prévoit 410 Mds USD d’investissement</w:t>
      </w:r>
      <w:r w:rsidR="00686548">
        <w:rPr>
          <w:rFonts w:ascii="Segoe UI" w:hAnsi="Segoe UI" w:cs="Segoe UI"/>
          <w:b/>
          <w:bCs/>
          <w:color w:val="000000"/>
          <w:sz w:val="23"/>
          <w:szCs w:val="23"/>
        </w:rPr>
        <w:t xml:space="preserve">, </w:t>
      </w:r>
      <w:r w:rsidR="00686548">
        <w:rPr>
          <w:rFonts w:ascii="Segoe UI" w:hAnsi="Segoe UI" w:cs="Segoe UI"/>
          <w:color w:val="000000"/>
          <w:sz w:val="23"/>
          <w:szCs w:val="23"/>
        </w:rPr>
        <w:t>à la fois</w:t>
      </w:r>
      <w:r w:rsidR="009114D6">
        <w:rPr>
          <w:rFonts w:ascii="Segoe UI" w:hAnsi="Segoe UI" w:cs="Segoe UI"/>
          <w:color w:val="000000"/>
          <w:sz w:val="23"/>
          <w:szCs w:val="23"/>
        </w:rPr>
        <w:t xml:space="preserve"> dans les énergies fossiles (pour 300 Mds) et les énergies renouvelables (110 Mds USD). Cela</w:t>
      </w:r>
      <w:r w:rsidRPr="007F350A">
        <w:rPr>
          <w:rFonts w:ascii="Segoe UI" w:hAnsi="Segoe UI" w:cs="Segoe UI"/>
          <w:color w:val="000000"/>
          <w:sz w:val="23"/>
          <w:szCs w:val="23"/>
        </w:rPr>
        <w:t xml:space="preserve"> vise à accroître la </w:t>
      </w:r>
      <w:r w:rsidRPr="00686548">
        <w:rPr>
          <w:rFonts w:ascii="Segoe UI" w:hAnsi="Segoe UI" w:cs="Segoe UI"/>
          <w:b/>
          <w:bCs/>
          <w:color w:val="000000"/>
          <w:sz w:val="23"/>
          <w:szCs w:val="23"/>
        </w:rPr>
        <w:t>capacité de production du pays</w:t>
      </w:r>
      <w:r w:rsidRPr="007F350A">
        <w:rPr>
          <w:rFonts w:ascii="Segoe UI" w:hAnsi="Segoe UI" w:cs="Segoe UI"/>
          <w:color w:val="000000"/>
          <w:sz w:val="23"/>
          <w:szCs w:val="23"/>
        </w:rPr>
        <w:t xml:space="preserve"> (environ 3M b/j avant la pandémie de COVID-19, objectif de capacité totale de 4M b/j d</w:t>
      </w:r>
      <w:r w:rsidR="007F350A" w:rsidRPr="007F350A">
        <w:rPr>
          <w:rFonts w:ascii="Segoe UI" w:hAnsi="Segoe UI" w:cs="Segoe UI"/>
          <w:color w:val="000000"/>
          <w:sz w:val="23"/>
          <w:szCs w:val="23"/>
        </w:rPr>
        <w:t>ès 2035 et au moins jusqu’à</w:t>
      </w:r>
      <w:r w:rsidRPr="007F350A">
        <w:rPr>
          <w:rFonts w:ascii="Segoe UI" w:hAnsi="Segoe UI" w:cs="Segoe UI"/>
          <w:color w:val="000000"/>
          <w:sz w:val="23"/>
          <w:szCs w:val="23"/>
        </w:rPr>
        <w:t xml:space="preserve"> 2040</w:t>
      </w:r>
      <w:r w:rsidRPr="00686548">
        <w:rPr>
          <w:rFonts w:ascii="Segoe UI" w:hAnsi="Segoe UI" w:cs="Segoe UI"/>
          <w:color w:val="000000"/>
          <w:sz w:val="23"/>
          <w:szCs w:val="23"/>
        </w:rPr>
        <w:t xml:space="preserve">), verdir son empreinte (ex : arrêt du gazage), renforcer sa diversification en aval (pétrochimie), et assurer sa pérennité (exploration offshore). Les acteurs de la filière parapétrolière, y compris Total raffinage et pétrochimie, pourraient mieux tirer profit des opportunités associées. Pour y contribuer, Bpifrance Assurance Export et Kuwait Petroleum </w:t>
      </w:r>
      <w:proofErr w:type="spellStart"/>
      <w:r w:rsidRPr="00686548">
        <w:rPr>
          <w:rFonts w:ascii="Segoe UI" w:hAnsi="Segoe UI" w:cs="Segoe UI"/>
          <w:color w:val="000000"/>
          <w:sz w:val="23"/>
          <w:szCs w:val="23"/>
        </w:rPr>
        <w:t>Com</w:t>
      </w:r>
      <w:r w:rsidR="007F350A" w:rsidRPr="00686548">
        <w:rPr>
          <w:rFonts w:ascii="Segoe UI" w:hAnsi="Segoe UI" w:cs="Segoe UI"/>
          <w:color w:val="000000"/>
          <w:sz w:val="23"/>
          <w:szCs w:val="23"/>
        </w:rPr>
        <w:softHyphen/>
      </w:r>
      <w:r w:rsidRPr="00686548">
        <w:rPr>
          <w:rFonts w:ascii="Segoe UI" w:hAnsi="Segoe UI" w:cs="Segoe UI"/>
          <w:color w:val="000000"/>
          <w:sz w:val="23"/>
          <w:szCs w:val="23"/>
        </w:rPr>
        <w:t>pany</w:t>
      </w:r>
      <w:proofErr w:type="spellEnd"/>
      <w:r w:rsidRPr="00686548">
        <w:rPr>
          <w:rFonts w:ascii="Segoe UI" w:hAnsi="Segoe UI" w:cs="Segoe UI"/>
          <w:color w:val="000000"/>
          <w:sz w:val="23"/>
          <w:szCs w:val="23"/>
        </w:rPr>
        <w:t xml:space="preserve"> ont conclu fin 2019 un accord pour la mise à disposition d’une enveloppe de garantie jusqu’à 1Md EUR.</w:t>
      </w:r>
    </w:p>
    <w:p w14:paraId="663BC39E" w14:textId="6A692A6E" w:rsidR="00927DE7" w:rsidRPr="00F35358" w:rsidRDefault="00927DE7" w:rsidP="00927DE7">
      <w:pPr>
        <w:pStyle w:val="NormalWeb"/>
        <w:jc w:val="both"/>
        <w:rPr>
          <w:rFonts w:ascii="Segoe UI" w:hAnsi="Segoe UI" w:cs="Segoe UI"/>
          <w:color w:val="000000"/>
          <w:sz w:val="23"/>
          <w:szCs w:val="23"/>
        </w:rPr>
      </w:pPr>
      <w:r w:rsidRPr="00F35358">
        <w:rPr>
          <w:rFonts w:ascii="Segoe UI" w:hAnsi="Segoe UI" w:cs="Segoe UI"/>
          <w:color w:val="000000"/>
          <w:sz w:val="23"/>
          <w:szCs w:val="23"/>
        </w:rPr>
        <w:t>L’offre française est de nature à répondre aux projets d’infrastructures du plan de diversification à l’horizon 2035 (« New Kuwait ») dans les domaines de l’environnement, de l’énergie électrique (ex : centrales à cycle combiné et de</w:t>
      </w:r>
      <w:r w:rsidR="00036C75" w:rsidRPr="00F35358">
        <w:rPr>
          <w:rFonts w:ascii="Segoe UI" w:hAnsi="Segoe UI" w:cs="Segoe UI"/>
          <w:color w:val="000000"/>
          <w:sz w:val="23"/>
          <w:szCs w:val="23"/>
        </w:rPr>
        <w:t xml:space="preserve"> dessalement</w:t>
      </w:r>
      <w:r w:rsidRPr="00F35358">
        <w:rPr>
          <w:rFonts w:ascii="Segoe UI" w:hAnsi="Segoe UI" w:cs="Segoe UI"/>
          <w:color w:val="000000"/>
          <w:sz w:val="23"/>
          <w:szCs w:val="23"/>
        </w:rPr>
        <w:t>), des</w:t>
      </w:r>
      <w:r w:rsidR="00421420">
        <w:rPr>
          <w:rFonts w:ascii="Segoe UI" w:hAnsi="Segoe UI" w:cs="Segoe UI"/>
          <w:color w:val="000000"/>
          <w:sz w:val="23"/>
          <w:szCs w:val="23"/>
        </w:rPr>
        <w:t xml:space="preserve"> infrastructures de</w:t>
      </w:r>
      <w:r w:rsidRPr="00F35358">
        <w:rPr>
          <w:rFonts w:ascii="Segoe UI" w:hAnsi="Segoe UI" w:cs="Segoe UI"/>
          <w:color w:val="000000"/>
          <w:sz w:val="23"/>
          <w:szCs w:val="23"/>
        </w:rPr>
        <w:t xml:space="preserve"> transports (</w:t>
      </w:r>
      <w:r w:rsidR="00421420">
        <w:rPr>
          <w:rFonts w:ascii="Segoe UI" w:hAnsi="Segoe UI" w:cs="Segoe UI"/>
          <w:color w:val="000000"/>
          <w:sz w:val="23"/>
          <w:szCs w:val="23"/>
        </w:rPr>
        <w:t xml:space="preserve">terminal 2 de l’aéroport, projets de liaisons ferroviaires avec l’Arabie </w:t>
      </w:r>
      <w:r w:rsidR="00421420">
        <w:rPr>
          <w:rFonts w:ascii="Segoe UI" w:hAnsi="Segoe UI" w:cs="Segoe UI"/>
          <w:color w:val="000000"/>
          <w:sz w:val="23"/>
          <w:szCs w:val="23"/>
        </w:rPr>
        <w:lastRenderedPageBreak/>
        <w:t xml:space="preserve">saoudite) </w:t>
      </w:r>
      <w:r w:rsidRPr="00F35358">
        <w:rPr>
          <w:rFonts w:ascii="Segoe UI" w:hAnsi="Segoe UI" w:cs="Segoe UI"/>
          <w:color w:val="000000"/>
          <w:sz w:val="23"/>
          <w:szCs w:val="23"/>
        </w:rPr>
        <w:t>et des loisirs, ainsi que les télécommunications, voire les projets de transports urbains.</w:t>
      </w:r>
    </w:p>
    <w:p w14:paraId="1BFF0158" w14:textId="77777777" w:rsidR="0025670F" w:rsidRPr="00927DE7" w:rsidRDefault="0025670F" w:rsidP="00927DE7">
      <w:pPr>
        <w:jc w:val="both"/>
        <w:rPr>
          <w:rFonts w:ascii="Segoe UI" w:eastAsia="Times New Roman" w:hAnsi="Segoe UI" w:cs="Segoe UI"/>
          <w:sz w:val="23"/>
          <w:szCs w:val="23"/>
          <w:highlight w:val="yellow"/>
          <w:lang w:eastAsia="fr-FR"/>
        </w:rPr>
      </w:pPr>
    </w:p>
    <w:p w14:paraId="27905979" w14:textId="323C6964" w:rsidR="00240F52" w:rsidRPr="00B50782" w:rsidRDefault="00240F52" w:rsidP="00C60A57">
      <w:pPr>
        <w:jc w:val="both"/>
        <w:rPr>
          <w:rFonts w:ascii="Segoe UI" w:eastAsia="Times New Roman" w:hAnsi="Segoe UI" w:cs="Segoe UI"/>
          <w:sz w:val="23"/>
          <w:szCs w:val="23"/>
          <w:lang w:eastAsia="fr-FR"/>
        </w:rPr>
      </w:pPr>
    </w:p>
    <w:sectPr w:rsidR="00240F52" w:rsidRPr="00B50782" w:rsidSect="004432FE">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A95B3" w14:textId="77777777" w:rsidR="007B74BD" w:rsidRDefault="007B74BD" w:rsidP="004432FE">
      <w:pPr>
        <w:spacing w:after="0" w:line="240" w:lineRule="auto"/>
      </w:pPr>
      <w:r>
        <w:separator/>
      </w:r>
    </w:p>
  </w:endnote>
  <w:endnote w:type="continuationSeparator" w:id="0">
    <w:p w14:paraId="4294142A" w14:textId="77777777" w:rsidR="007B74BD" w:rsidRDefault="007B74BD" w:rsidP="0044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277298"/>
      <w:docPartObj>
        <w:docPartGallery w:val="Page Numbers (Bottom of Page)"/>
        <w:docPartUnique/>
      </w:docPartObj>
    </w:sdtPr>
    <w:sdtEndPr/>
    <w:sdtContent>
      <w:p w14:paraId="7122F109" w14:textId="77777777" w:rsidR="00F025C1" w:rsidRDefault="00F025C1">
        <w:pPr>
          <w:pStyle w:val="Pieddepage"/>
          <w:jc w:val="right"/>
        </w:pPr>
        <w:r>
          <w:fldChar w:fldCharType="begin"/>
        </w:r>
        <w:r>
          <w:instrText>PAGE   \* MERGEFORMAT</w:instrText>
        </w:r>
        <w:r>
          <w:fldChar w:fldCharType="separate"/>
        </w:r>
        <w:r w:rsidR="00D742F8">
          <w:rPr>
            <w:noProof/>
          </w:rPr>
          <w:t>7</w:t>
        </w:r>
        <w:r>
          <w:fldChar w:fldCharType="end"/>
        </w:r>
      </w:p>
    </w:sdtContent>
  </w:sdt>
  <w:p w14:paraId="6485E13A" w14:textId="77777777" w:rsidR="004432FE" w:rsidRDefault="004432F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058088"/>
      <w:docPartObj>
        <w:docPartGallery w:val="Page Numbers (Bottom of Page)"/>
        <w:docPartUnique/>
      </w:docPartObj>
    </w:sdtPr>
    <w:sdtEndPr/>
    <w:sdtContent>
      <w:p w14:paraId="036520A4" w14:textId="307AD4AB" w:rsidR="00DC4FA2" w:rsidRDefault="00DC4FA2">
        <w:pPr>
          <w:pStyle w:val="Pieddepage"/>
          <w:jc w:val="right"/>
        </w:pPr>
        <w:r>
          <w:fldChar w:fldCharType="begin"/>
        </w:r>
        <w:r>
          <w:instrText>PAGE   \* MERGEFORMAT</w:instrText>
        </w:r>
        <w:r>
          <w:fldChar w:fldCharType="separate"/>
        </w:r>
        <w:r>
          <w:t>2</w:t>
        </w:r>
        <w:r>
          <w:fldChar w:fldCharType="end"/>
        </w:r>
      </w:p>
    </w:sdtContent>
  </w:sdt>
  <w:p w14:paraId="0970A59A" w14:textId="77777777" w:rsidR="00ED108C" w:rsidRDefault="00ED108C" w:rsidP="007E6B29">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9268B" w14:textId="77777777" w:rsidR="007B74BD" w:rsidRDefault="007B74BD" w:rsidP="004432FE">
      <w:pPr>
        <w:spacing w:after="0" w:line="240" w:lineRule="auto"/>
      </w:pPr>
      <w:r>
        <w:separator/>
      </w:r>
    </w:p>
  </w:footnote>
  <w:footnote w:type="continuationSeparator" w:id="0">
    <w:p w14:paraId="127C6BDA" w14:textId="77777777" w:rsidR="007B74BD" w:rsidRDefault="007B74BD" w:rsidP="00443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421B" w14:textId="77777777" w:rsidR="004432FE" w:rsidRDefault="004432FE" w:rsidP="004432FE">
    <w:pPr>
      <w:pStyle w:val="En-tte"/>
    </w:pPr>
  </w:p>
  <w:p w14:paraId="17B6081D" w14:textId="77777777" w:rsidR="004432FE" w:rsidRDefault="004432FE" w:rsidP="004432FE">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6C267" w14:textId="77777777" w:rsidR="00AF3E63" w:rsidRDefault="00AF3E63" w:rsidP="00AF3E63">
    <w:pPr>
      <w:pStyle w:val="Intituldirection"/>
      <w:rPr>
        <w:lang w:val="fr-FR"/>
      </w:rPr>
    </w:pPr>
  </w:p>
  <w:p w14:paraId="11FCBFAA" w14:textId="77777777" w:rsidR="00AF3E63" w:rsidRDefault="00AF3E63" w:rsidP="00AF3E63">
    <w:pPr>
      <w:pStyle w:val="Intituldirection"/>
      <w:rPr>
        <w:lang w:val="fr-FR"/>
      </w:rPr>
    </w:pPr>
  </w:p>
  <w:p w14:paraId="285192DC" w14:textId="77777777" w:rsidR="00AF3E63" w:rsidRPr="003D4054" w:rsidRDefault="00AF3E63" w:rsidP="00AF3E63">
    <w:pPr>
      <w:pStyle w:val="Intituldirection"/>
      <w:rPr>
        <w:lang w:val="fr-FR"/>
      </w:rPr>
    </w:pPr>
    <w:r>
      <w:rPr>
        <w:b w:val="0"/>
        <w:bCs w:val="0"/>
        <w:noProof/>
        <w:lang w:val="fr-FR" w:eastAsia="fr-FR"/>
      </w:rPr>
      <w:drawing>
        <wp:anchor distT="0" distB="0" distL="114300" distR="114300" simplePos="0" relativeHeight="251673600" behindDoc="0" locked="0" layoutInCell="1" allowOverlap="1" wp14:anchorId="2DD4FE6B" wp14:editId="5F312590">
          <wp:simplePos x="0" y="0"/>
          <wp:positionH relativeFrom="margin">
            <wp:align>left</wp:align>
          </wp:positionH>
          <wp:positionV relativeFrom="page">
            <wp:posOffset>460303</wp:posOffset>
          </wp:positionV>
          <wp:extent cx="1426829" cy="1142665"/>
          <wp:effectExtent l="0" t="0" r="2540" b="63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_Economie_Finances_Relance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29" cy="1142665"/>
                  </a:xfrm>
                  <a:prstGeom prst="rect">
                    <a:avLst/>
                  </a:prstGeom>
                </pic:spPr>
              </pic:pic>
            </a:graphicData>
          </a:graphic>
          <wp14:sizeRelH relativeFrom="margin">
            <wp14:pctWidth>0</wp14:pctWidth>
          </wp14:sizeRelH>
          <wp14:sizeRelV relativeFrom="margin">
            <wp14:pctHeight>0</wp14:pctHeight>
          </wp14:sizeRelV>
        </wp:anchor>
      </w:drawing>
    </w:r>
    <w:r>
      <w:rPr>
        <w:lang w:val="fr-FR"/>
      </w:rPr>
      <w:t>Direction générale du Trésor</w:t>
    </w:r>
  </w:p>
  <w:p w14:paraId="5C7BBAF1" w14:textId="77777777" w:rsidR="00AF3E63" w:rsidRDefault="00AF3E63">
    <w:pPr>
      <w:pStyle w:val="En-tte"/>
    </w:pPr>
  </w:p>
  <w:p w14:paraId="11BF9229" w14:textId="77777777" w:rsidR="004432FE" w:rsidRDefault="004432FE" w:rsidP="007F3C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067A"/>
    <w:multiLevelType w:val="hybridMultilevel"/>
    <w:tmpl w:val="78F24274"/>
    <w:lvl w:ilvl="0" w:tplc="65D87EEA">
      <w:start w:val="1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8629A7"/>
    <w:multiLevelType w:val="hybridMultilevel"/>
    <w:tmpl w:val="7C4CD8E0"/>
    <w:lvl w:ilvl="0" w:tplc="0AF268F8">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F600AE"/>
    <w:multiLevelType w:val="hybridMultilevel"/>
    <w:tmpl w:val="7E48EF44"/>
    <w:lvl w:ilvl="0" w:tplc="7D9A04D6">
      <w:start w:val="1"/>
      <w:numFmt w:val="bullet"/>
      <w:lvlText w:val=""/>
      <w:lvlJc w:val="left"/>
      <w:pPr>
        <w:ind w:left="720" w:hanging="360"/>
      </w:pPr>
      <w:rPr>
        <w:rFonts w:ascii="Wingdings" w:hAnsi="Wingdings" w:hint="default"/>
        <w:color w:val="006CE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8F7275"/>
    <w:multiLevelType w:val="hybridMultilevel"/>
    <w:tmpl w:val="4EF8D602"/>
    <w:lvl w:ilvl="0" w:tplc="7D9A04D6">
      <w:start w:val="1"/>
      <w:numFmt w:val="bullet"/>
      <w:lvlText w:val=""/>
      <w:lvlJc w:val="left"/>
      <w:pPr>
        <w:ind w:left="720" w:hanging="360"/>
      </w:pPr>
      <w:rPr>
        <w:rFonts w:ascii="Wingdings" w:hAnsi="Wingdings" w:hint="default"/>
        <w:color w:val="006CE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3D19B3"/>
    <w:multiLevelType w:val="hybridMultilevel"/>
    <w:tmpl w:val="692404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21F79ED"/>
    <w:multiLevelType w:val="hybridMultilevel"/>
    <w:tmpl w:val="9D96E91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659E2B0A"/>
    <w:multiLevelType w:val="hybridMultilevel"/>
    <w:tmpl w:val="EE14FBD8"/>
    <w:lvl w:ilvl="0" w:tplc="4D46FE36">
      <w:start w:val="3"/>
      <w:numFmt w:val="bullet"/>
      <w:lvlText w:val=""/>
      <w:lvlJc w:val="left"/>
      <w:pPr>
        <w:ind w:left="720" w:hanging="360"/>
      </w:pPr>
      <w:rPr>
        <w:rFonts w:ascii="Wingdings" w:eastAsiaTheme="minorHAnsi" w:hAnsi="Wingdings"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6"/>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2FE"/>
    <w:rsid w:val="00003B44"/>
    <w:rsid w:val="00004600"/>
    <w:rsid w:val="00005492"/>
    <w:rsid w:val="00011DF8"/>
    <w:rsid w:val="00013928"/>
    <w:rsid w:val="0002077A"/>
    <w:rsid w:val="00021838"/>
    <w:rsid w:val="00021A82"/>
    <w:rsid w:val="0002471B"/>
    <w:rsid w:val="00031415"/>
    <w:rsid w:val="0003392F"/>
    <w:rsid w:val="0003467F"/>
    <w:rsid w:val="00036C75"/>
    <w:rsid w:val="000427E9"/>
    <w:rsid w:val="00044702"/>
    <w:rsid w:val="00044E73"/>
    <w:rsid w:val="000507F2"/>
    <w:rsid w:val="000509BD"/>
    <w:rsid w:val="000517E8"/>
    <w:rsid w:val="0005680C"/>
    <w:rsid w:val="0007154F"/>
    <w:rsid w:val="000719EF"/>
    <w:rsid w:val="00072826"/>
    <w:rsid w:val="0007495B"/>
    <w:rsid w:val="00076A38"/>
    <w:rsid w:val="000803D3"/>
    <w:rsid w:val="000804EF"/>
    <w:rsid w:val="000851A3"/>
    <w:rsid w:val="00091253"/>
    <w:rsid w:val="00091B4F"/>
    <w:rsid w:val="000942E0"/>
    <w:rsid w:val="000A12E9"/>
    <w:rsid w:val="000A14CD"/>
    <w:rsid w:val="000A2747"/>
    <w:rsid w:val="000A282E"/>
    <w:rsid w:val="000B31E4"/>
    <w:rsid w:val="000C2BFA"/>
    <w:rsid w:val="000C38A1"/>
    <w:rsid w:val="000D0766"/>
    <w:rsid w:val="000D1249"/>
    <w:rsid w:val="000D4A2B"/>
    <w:rsid w:val="000D7066"/>
    <w:rsid w:val="000E0358"/>
    <w:rsid w:val="000E150B"/>
    <w:rsid w:val="000E4A08"/>
    <w:rsid w:val="000F4464"/>
    <w:rsid w:val="000F4731"/>
    <w:rsid w:val="000F78DF"/>
    <w:rsid w:val="001031DD"/>
    <w:rsid w:val="001038CF"/>
    <w:rsid w:val="001100C8"/>
    <w:rsid w:val="001124D7"/>
    <w:rsid w:val="00117549"/>
    <w:rsid w:val="00123B0C"/>
    <w:rsid w:val="00126A87"/>
    <w:rsid w:val="001308DE"/>
    <w:rsid w:val="00137E39"/>
    <w:rsid w:val="00140514"/>
    <w:rsid w:val="00140A68"/>
    <w:rsid w:val="00143431"/>
    <w:rsid w:val="00146856"/>
    <w:rsid w:val="0015266E"/>
    <w:rsid w:val="00153F63"/>
    <w:rsid w:val="0015475C"/>
    <w:rsid w:val="0015590C"/>
    <w:rsid w:val="0016026F"/>
    <w:rsid w:val="00161F15"/>
    <w:rsid w:val="00163E41"/>
    <w:rsid w:val="00164EB2"/>
    <w:rsid w:val="00165FE3"/>
    <w:rsid w:val="00171C38"/>
    <w:rsid w:val="0017331C"/>
    <w:rsid w:val="00174EC5"/>
    <w:rsid w:val="0018135A"/>
    <w:rsid w:val="00181D55"/>
    <w:rsid w:val="001834CE"/>
    <w:rsid w:val="00184A20"/>
    <w:rsid w:val="0018615B"/>
    <w:rsid w:val="001912E8"/>
    <w:rsid w:val="001929DF"/>
    <w:rsid w:val="00193BCF"/>
    <w:rsid w:val="00196C2C"/>
    <w:rsid w:val="00196F77"/>
    <w:rsid w:val="001A6531"/>
    <w:rsid w:val="001A77F6"/>
    <w:rsid w:val="001B1DCC"/>
    <w:rsid w:val="001B2A89"/>
    <w:rsid w:val="001B3E38"/>
    <w:rsid w:val="001B490F"/>
    <w:rsid w:val="001B68D3"/>
    <w:rsid w:val="001C2824"/>
    <w:rsid w:val="001C2DF7"/>
    <w:rsid w:val="001C471F"/>
    <w:rsid w:val="001C7446"/>
    <w:rsid w:val="001D1801"/>
    <w:rsid w:val="001D2E5E"/>
    <w:rsid w:val="001D466A"/>
    <w:rsid w:val="001D6B08"/>
    <w:rsid w:val="001D7FE6"/>
    <w:rsid w:val="001E234B"/>
    <w:rsid w:val="001E4B79"/>
    <w:rsid w:val="001E5160"/>
    <w:rsid w:val="001E5983"/>
    <w:rsid w:val="001E6235"/>
    <w:rsid w:val="001E68A0"/>
    <w:rsid w:val="001F0678"/>
    <w:rsid w:val="001F4958"/>
    <w:rsid w:val="001F5AD6"/>
    <w:rsid w:val="00200E90"/>
    <w:rsid w:val="00201CFB"/>
    <w:rsid w:val="00202CBF"/>
    <w:rsid w:val="0020431A"/>
    <w:rsid w:val="002118D5"/>
    <w:rsid w:val="0021305A"/>
    <w:rsid w:val="00225A16"/>
    <w:rsid w:val="00225DB7"/>
    <w:rsid w:val="00226F7E"/>
    <w:rsid w:val="00232B83"/>
    <w:rsid w:val="00233A6A"/>
    <w:rsid w:val="00234993"/>
    <w:rsid w:val="002372F7"/>
    <w:rsid w:val="00240F52"/>
    <w:rsid w:val="002425AF"/>
    <w:rsid w:val="00244426"/>
    <w:rsid w:val="002466A2"/>
    <w:rsid w:val="00246DAE"/>
    <w:rsid w:val="00253BFA"/>
    <w:rsid w:val="00254F13"/>
    <w:rsid w:val="0025670F"/>
    <w:rsid w:val="00256889"/>
    <w:rsid w:val="00257917"/>
    <w:rsid w:val="002608E3"/>
    <w:rsid w:val="0027034C"/>
    <w:rsid w:val="00283487"/>
    <w:rsid w:val="00287874"/>
    <w:rsid w:val="002910DB"/>
    <w:rsid w:val="00294887"/>
    <w:rsid w:val="00297D7B"/>
    <w:rsid w:val="002A1C78"/>
    <w:rsid w:val="002A354C"/>
    <w:rsid w:val="002A5ACB"/>
    <w:rsid w:val="002A666E"/>
    <w:rsid w:val="002A7669"/>
    <w:rsid w:val="002A7847"/>
    <w:rsid w:val="002B1026"/>
    <w:rsid w:val="002B2D95"/>
    <w:rsid w:val="002C0A31"/>
    <w:rsid w:val="002C1CDC"/>
    <w:rsid w:val="002D0185"/>
    <w:rsid w:val="002D084F"/>
    <w:rsid w:val="002D18C9"/>
    <w:rsid w:val="002D31C9"/>
    <w:rsid w:val="002E17A8"/>
    <w:rsid w:val="002E2FFA"/>
    <w:rsid w:val="002E6ED3"/>
    <w:rsid w:val="002E7B7D"/>
    <w:rsid w:val="002E7DCF"/>
    <w:rsid w:val="002F0AFE"/>
    <w:rsid w:val="002F1588"/>
    <w:rsid w:val="002F1ECD"/>
    <w:rsid w:val="002F544E"/>
    <w:rsid w:val="003132B3"/>
    <w:rsid w:val="003143AC"/>
    <w:rsid w:val="00314E65"/>
    <w:rsid w:val="00320ED6"/>
    <w:rsid w:val="0032335E"/>
    <w:rsid w:val="00326ED3"/>
    <w:rsid w:val="00330344"/>
    <w:rsid w:val="00330353"/>
    <w:rsid w:val="00342624"/>
    <w:rsid w:val="003459E1"/>
    <w:rsid w:val="0034606B"/>
    <w:rsid w:val="00347DDE"/>
    <w:rsid w:val="0035086C"/>
    <w:rsid w:val="00350DFB"/>
    <w:rsid w:val="003545E8"/>
    <w:rsid w:val="00355C81"/>
    <w:rsid w:val="003600F6"/>
    <w:rsid w:val="00361153"/>
    <w:rsid w:val="00362096"/>
    <w:rsid w:val="00363F1B"/>
    <w:rsid w:val="003640B7"/>
    <w:rsid w:val="00365B87"/>
    <w:rsid w:val="003728C0"/>
    <w:rsid w:val="00373302"/>
    <w:rsid w:val="003773E7"/>
    <w:rsid w:val="0038083E"/>
    <w:rsid w:val="00380A93"/>
    <w:rsid w:val="00382580"/>
    <w:rsid w:val="00396549"/>
    <w:rsid w:val="00396894"/>
    <w:rsid w:val="003A4C8E"/>
    <w:rsid w:val="003A61E1"/>
    <w:rsid w:val="003A6E16"/>
    <w:rsid w:val="003A7CF0"/>
    <w:rsid w:val="003B35AE"/>
    <w:rsid w:val="003B4250"/>
    <w:rsid w:val="003B49B8"/>
    <w:rsid w:val="003B52B5"/>
    <w:rsid w:val="003B67EE"/>
    <w:rsid w:val="003B7DCB"/>
    <w:rsid w:val="003C1760"/>
    <w:rsid w:val="003C1FFA"/>
    <w:rsid w:val="003C2EBE"/>
    <w:rsid w:val="003C71F5"/>
    <w:rsid w:val="003D13AC"/>
    <w:rsid w:val="003E253F"/>
    <w:rsid w:val="003E3FAE"/>
    <w:rsid w:val="003F0DE5"/>
    <w:rsid w:val="003F38CF"/>
    <w:rsid w:val="003F3A34"/>
    <w:rsid w:val="0040065E"/>
    <w:rsid w:val="00402BF6"/>
    <w:rsid w:val="00415387"/>
    <w:rsid w:val="00415751"/>
    <w:rsid w:val="00421420"/>
    <w:rsid w:val="0042649F"/>
    <w:rsid w:val="0042784D"/>
    <w:rsid w:val="00427ACD"/>
    <w:rsid w:val="00434902"/>
    <w:rsid w:val="00436F64"/>
    <w:rsid w:val="00437C6A"/>
    <w:rsid w:val="004432FE"/>
    <w:rsid w:val="004471B5"/>
    <w:rsid w:val="00450E0B"/>
    <w:rsid w:val="00451F44"/>
    <w:rsid w:val="00453809"/>
    <w:rsid w:val="004551BB"/>
    <w:rsid w:val="004551C5"/>
    <w:rsid w:val="0045573D"/>
    <w:rsid w:val="0046038D"/>
    <w:rsid w:val="00466153"/>
    <w:rsid w:val="00466567"/>
    <w:rsid w:val="00466BB0"/>
    <w:rsid w:val="0047272C"/>
    <w:rsid w:val="004745BE"/>
    <w:rsid w:val="00476BDD"/>
    <w:rsid w:val="00480C63"/>
    <w:rsid w:val="004834FC"/>
    <w:rsid w:val="004872A7"/>
    <w:rsid w:val="00493A7D"/>
    <w:rsid w:val="0049466E"/>
    <w:rsid w:val="004958E3"/>
    <w:rsid w:val="00496555"/>
    <w:rsid w:val="004A5F95"/>
    <w:rsid w:val="004B06F2"/>
    <w:rsid w:val="004B623F"/>
    <w:rsid w:val="004B65C2"/>
    <w:rsid w:val="004B7993"/>
    <w:rsid w:val="004C2816"/>
    <w:rsid w:val="004C6B86"/>
    <w:rsid w:val="004C7370"/>
    <w:rsid w:val="004C7F29"/>
    <w:rsid w:val="004D0F8E"/>
    <w:rsid w:val="004D4380"/>
    <w:rsid w:val="004D4C6C"/>
    <w:rsid w:val="004D6375"/>
    <w:rsid w:val="004E44D7"/>
    <w:rsid w:val="004E4CC8"/>
    <w:rsid w:val="004E5753"/>
    <w:rsid w:val="004E5A3E"/>
    <w:rsid w:val="004E7757"/>
    <w:rsid w:val="004F1F7C"/>
    <w:rsid w:val="004F3F63"/>
    <w:rsid w:val="004F6F24"/>
    <w:rsid w:val="004F77CE"/>
    <w:rsid w:val="005050E3"/>
    <w:rsid w:val="00506B63"/>
    <w:rsid w:val="00510A6B"/>
    <w:rsid w:val="00516E23"/>
    <w:rsid w:val="00523107"/>
    <w:rsid w:val="00525FFC"/>
    <w:rsid w:val="0052612C"/>
    <w:rsid w:val="00526D5F"/>
    <w:rsid w:val="00531620"/>
    <w:rsid w:val="00532F69"/>
    <w:rsid w:val="005405ED"/>
    <w:rsid w:val="00541948"/>
    <w:rsid w:val="005456EC"/>
    <w:rsid w:val="005519EA"/>
    <w:rsid w:val="005521BA"/>
    <w:rsid w:val="00552D18"/>
    <w:rsid w:val="005579D6"/>
    <w:rsid w:val="0056470A"/>
    <w:rsid w:val="00565D78"/>
    <w:rsid w:val="0057751A"/>
    <w:rsid w:val="005809EC"/>
    <w:rsid w:val="005813A2"/>
    <w:rsid w:val="005825AA"/>
    <w:rsid w:val="0058446F"/>
    <w:rsid w:val="00585571"/>
    <w:rsid w:val="00586DE3"/>
    <w:rsid w:val="00592A05"/>
    <w:rsid w:val="005A20A5"/>
    <w:rsid w:val="005A21E6"/>
    <w:rsid w:val="005A2218"/>
    <w:rsid w:val="005A42FC"/>
    <w:rsid w:val="005A672E"/>
    <w:rsid w:val="005B27EF"/>
    <w:rsid w:val="005B3028"/>
    <w:rsid w:val="005B7528"/>
    <w:rsid w:val="005C0D07"/>
    <w:rsid w:val="005C5173"/>
    <w:rsid w:val="005C6587"/>
    <w:rsid w:val="005C7F46"/>
    <w:rsid w:val="005D180B"/>
    <w:rsid w:val="005D7933"/>
    <w:rsid w:val="005E394C"/>
    <w:rsid w:val="005E53EE"/>
    <w:rsid w:val="005E549A"/>
    <w:rsid w:val="005E6709"/>
    <w:rsid w:val="005E70D1"/>
    <w:rsid w:val="005F2117"/>
    <w:rsid w:val="005F2183"/>
    <w:rsid w:val="005F38DA"/>
    <w:rsid w:val="005F44EA"/>
    <w:rsid w:val="005F6840"/>
    <w:rsid w:val="005F711B"/>
    <w:rsid w:val="006008FA"/>
    <w:rsid w:val="00605CB6"/>
    <w:rsid w:val="0061505C"/>
    <w:rsid w:val="0061663A"/>
    <w:rsid w:val="00616C51"/>
    <w:rsid w:val="006177AF"/>
    <w:rsid w:val="006179CD"/>
    <w:rsid w:val="00622918"/>
    <w:rsid w:val="00622BD5"/>
    <w:rsid w:val="00625ACE"/>
    <w:rsid w:val="00626331"/>
    <w:rsid w:val="00630EFF"/>
    <w:rsid w:val="006330E9"/>
    <w:rsid w:val="00641C98"/>
    <w:rsid w:val="0064206D"/>
    <w:rsid w:val="0064423C"/>
    <w:rsid w:val="00647EC2"/>
    <w:rsid w:val="00650A55"/>
    <w:rsid w:val="0065140F"/>
    <w:rsid w:val="0065329A"/>
    <w:rsid w:val="006555F9"/>
    <w:rsid w:val="0065587D"/>
    <w:rsid w:val="00660B5B"/>
    <w:rsid w:val="00664D72"/>
    <w:rsid w:val="00666985"/>
    <w:rsid w:val="00666DD1"/>
    <w:rsid w:val="00672852"/>
    <w:rsid w:val="00672F81"/>
    <w:rsid w:val="00673CAD"/>
    <w:rsid w:val="0067582D"/>
    <w:rsid w:val="00675F1C"/>
    <w:rsid w:val="0067656C"/>
    <w:rsid w:val="006766E8"/>
    <w:rsid w:val="006771FD"/>
    <w:rsid w:val="006807CE"/>
    <w:rsid w:val="00682307"/>
    <w:rsid w:val="00683009"/>
    <w:rsid w:val="00686548"/>
    <w:rsid w:val="00686E21"/>
    <w:rsid w:val="00693AB1"/>
    <w:rsid w:val="00693D8A"/>
    <w:rsid w:val="0069748A"/>
    <w:rsid w:val="006A166A"/>
    <w:rsid w:val="006A3103"/>
    <w:rsid w:val="006A586F"/>
    <w:rsid w:val="006A6000"/>
    <w:rsid w:val="006A602F"/>
    <w:rsid w:val="006A6814"/>
    <w:rsid w:val="006B4735"/>
    <w:rsid w:val="006B7B61"/>
    <w:rsid w:val="006C062C"/>
    <w:rsid w:val="006C2861"/>
    <w:rsid w:val="006C535C"/>
    <w:rsid w:val="006C7CC9"/>
    <w:rsid w:val="006D4DB4"/>
    <w:rsid w:val="006F44A8"/>
    <w:rsid w:val="006F58D9"/>
    <w:rsid w:val="006F6F66"/>
    <w:rsid w:val="006F77B5"/>
    <w:rsid w:val="00700750"/>
    <w:rsid w:val="00705C15"/>
    <w:rsid w:val="00712EFB"/>
    <w:rsid w:val="00713588"/>
    <w:rsid w:val="00715388"/>
    <w:rsid w:val="00716C90"/>
    <w:rsid w:val="00722D63"/>
    <w:rsid w:val="00723913"/>
    <w:rsid w:val="00723BCF"/>
    <w:rsid w:val="0072417F"/>
    <w:rsid w:val="0072526E"/>
    <w:rsid w:val="00725B0A"/>
    <w:rsid w:val="00730505"/>
    <w:rsid w:val="0073137F"/>
    <w:rsid w:val="00733F22"/>
    <w:rsid w:val="00741771"/>
    <w:rsid w:val="00744B3A"/>
    <w:rsid w:val="00756D71"/>
    <w:rsid w:val="00756F72"/>
    <w:rsid w:val="00762D9B"/>
    <w:rsid w:val="00763EF3"/>
    <w:rsid w:val="00765EB1"/>
    <w:rsid w:val="00766EA9"/>
    <w:rsid w:val="00775AB5"/>
    <w:rsid w:val="00776841"/>
    <w:rsid w:val="00783727"/>
    <w:rsid w:val="00785D22"/>
    <w:rsid w:val="00794DB0"/>
    <w:rsid w:val="007A1C39"/>
    <w:rsid w:val="007A2961"/>
    <w:rsid w:val="007A7DA9"/>
    <w:rsid w:val="007B0FBF"/>
    <w:rsid w:val="007B1EBE"/>
    <w:rsid w:val="007B74BD"/>
    <w:rsid w:val="007C0BE7"/>
    <w:rsid w:val="007C3B9A"/>
    <w:rsid w:val="007C7F1B"/>
    <w:rsid w:val="007D34EB"/>
    <w:rsid w:val="007D3BCB"/>
    <w:rsid w:val="007D3EE2"/>
    <w:rsid w:val="007E0350"/>
    <w:rsid w:val="007E3DD9"/>
    <w:rsid w:val="007E6B29"/>
    <w:rsid w:val="007E6CA3"/>
    <w:rsid w:val="007F350A"/>
    <w:rsid w:val="007F3CB4"/>
    <w:rsid w:val="007F5835"/>
    <w:rsid w:val="00800B16"/>
    <w:rsid w:val="00802483"/>
    <w:rsid w:val="00817FD2"/>
    <w:rsid w:val="0082131D"/>
    <w:rsid w:val="00821B9A"/>
    <w:rsid w:val="0082204E"/>
    <w:rsid w:val="00824978"/>
    <w:rsid w:val="00827986"/>
    <w:rsid w:val="00831C99"/>
    <w:rsid w:val="0083695F"/>
    <w:rsid w:val="00837895"/>
    <w:rsid w:val="0084477B"/>
    <w:rsid w:val="00854B11"/>
    <w:rsid w:val="00857B03"/>
    <w:rsid w:val="00871FCA"/>
    <w:rsid w:val="00875F72"/>
    <w:rsid w:val="00876A35"/>
    <w:rsid w:val="00886CD1"/>
    <w:rsid w:val="008924BC"/>
    <w:rsid w:val="0089449E"/>
    <w:rsid w:val="008A1C4D"/>
    <w:rsid w:val="008A1CE9"/>
    <w:rsid w:val="008A486A"/>
    <w:rsid w:val="008A6E47"/>
    <w:rsid w:val="008B0EAE"/>
    <w:rsid w:val="008B5D9D"/>
    <w:rsid w:val="008B6D61"/>
    <w:rsid w:val="008C56CA"/>
    <w:rsid w:val="008D1CB0"/>
    <w:rsid w:val="008D2155"/>
    <w:rsid w:val="008D75F4"/>
    <w:rsid w:val="008D7BD4"/>
    <w:rsid w:val="008E2027"/>
    <w:rsid w:val="008E6875"/>
    <w:rsid w:val="008E71EA"/>
    <w:rsid w:val="008F530E"/>
    <w:rsid w:val="00902C41"/>
    <w:rsid w:val="009032D5"/>
    <w:rsid w:val="0090368C"/>
    <w:rsid w:val="009048AF"/>
    <w:rsid w:val="00904EBC"/>
    <w:rsid w:val="00906986"/>
    <w:rsid w:val="00906B57"/>
    <w:rsid w:val="009114D6"/>
    <w:rsid w:val="00912B3A"/>
    <w:rsid w:val="009213FD"/>
    <w:rsid w:val="00924E9B"/>
    <w:rsid w:val="00927DE7"/>
    <w:rsid w:val="009312A9"/>
    <w:rsid w:val="00932708"/>
    <w:rsid w:val="009418CC"/>
    <w:rsid w:val="00944F4C"/>
    <w:rsid w:val="00952DE8"/>
    <w:rsid w:val="0096054F"/>
    <w:rsid w:val="00963B41"/>
    <w:rsid w:val="00964B61"/>
    <w:rsid w:val="00967DDD"/>
    <w:rsid w:val="0097111B"/>
    <w:rsid w:val="0097166C"/>
    <w:rsid w:val="00973584"/>
    <w:rsid w:val="00974E02"/>
    <w:rsid w:val="00984465"/>
    <w:rsid w:val="00987099"/>
    <w:rsid w:val="009876D1"/>
    <w:rsid w:val="00987770"/>
    <w:rsid w:val="009913C2"/>
    <w:rsid w:val="009931B6"/>
    <w:rsid w:val="00993E6B"/>
    <w:rsid w:val="009B2677"/>
    <w:rsid w:val="009B3827"/>
    <w:rsid w:val="009B5536"/>
    <w:rsid w:val="009B7B72"/>
    <w:rsid w:val="009C0280"/>
    <w:rsid w:val="009C51A7"/>
    <w:rsid w:val="009C5585"/>
    <w:rsid w:val="009D5439"/>
    <w:rsid w:val="009D54CB"/>
    <w:rsid w:val="009E30C3"/>
    <w:rsid w:val="009F21B0"/>
    <w:rsid w:val="009F5787"/>
    <w:rsid w:val="009F73D2"/>
    <w:rsid w:val="00A0109E"/>
    <w:rsid w:val="00A0206B"/>
    <w:rsid w:val="00A10C5E"/>
    <w:rsid w:val="00A14260"/>
    <w:rsid w:val="00A157EF"/>
    <w:rsid w:val="00A178F5"/>
    <w:rsid w:val="00A20A12"/>
    <w:rsid w:val="00A21FBC"/>
    <w:rsid w:val="00A228C6"/>
    <w:rsid w:val="00A22CDD"/>
    <w:rsid w:val="00A27A47"/>
    <w:rsid w:val="00A3474D"/>
    <w:rsid w:val="00A46728"/>
    <w:rsid w:val="00A50298"/>
    <w:rsid w:val="00A5451A"/>
    <w:rsid w:val="00A545FA"/>
    <w:rsid w:val="00A57A4E"/>
    <w:rsid w:val="00A60C34"/>
    <w:rsid w:val="00A64679"/>
    <w:rsid w:val="00A654E4"/>
    <w:rsid w:val="00A65B43"/>
    <w:rsid w:val="00A7034E"/>
    <w:rsid w:val="00A720AA"/>
    <w:rsid w:val="00A76FC1"/>
    <w:rsid w:val="00A85E2D"/>
    <w:rsid w:val="00A85F43"/>
    <w:rsid w:val="00AA3239"/>
    <w:rsid w:val="00AA5AFE"/>
    <w:rsid w:val="00AC032A"/>
    <w:rsid w:val="00AC22C2"/>
    <w:rsid w:val="00AC31E1"/>
    <w:rsid w:val="00AC37A2"/>
    <w:rsid w:val="00AC427B"/>
    <w:rsid w:val="00AD0E86"/>
    <w:rsid w:val="00AD2E94"/>
    <w:rsid w:val="00AD5C16"/>
    <w:rsid w:val="00AD67E5"/>
    <w:rsid w:val="00AE1AAF"/>
    <w:rsid w:val="00AE2689"/>
    <w:rsid w:val="00AF286B"/>
    <w:rsid w:val="00AF31F0"/>
    <w:rsid w:val="00AF3E63"/>
    <w:rsid w:val="00AF5141"/>
    <w:rsid w:val="00AF69C9"/>
    <w:rsid w:val="00B01F67"/>
    <w:rsid w:val="00B056C7"/>
    <w:rsid w:val="00B07715"/>
    <w:rsid w:val="00B23B35"/>
    <w:rsid w:val="00B25B40"/>
    <w:rsid w:val="00B35607"/>
    <w:rsid w:val="00B41821"/>
    <w:rsid w:val="00B433F1"/>
    <w:rsid w:val="00B45104"/>
    <w:rsid w:val="00B50782"/>
    <w:rsid w:val="00B524D3"/>
    <w:rsid w:val="00B52D04"/>
    <w:rsid w:val="00B6389F"/>
    <w:rsid w:val="00B63AC9"/>
    <w:rsid w:val="00B67CB1"/>
    <w:rsid w:val="00B70582"/>
    <w:rsid w:val="00B72B51"/>
    <w:rsid w:val="00B72B8E"/>
    <w:rsid w:val="00B75747"/>
    <w:rsid w:val="00B80565"/>
    <w:rsid w:val="00B86470"/>
    <w:rsid w:val="00B86746"/>
    <w:rsid w:val="00B91C6E"/>
    <w:rsid w:val="00B96288"/>
    <w:rsid w:val="00B96D12"/>
    <w:rsid w:val="00BA5574"/>
    <w:rsid w:val="00BB65E1"/>
    <w:rsid w:val="00BC0F78"/>
    <w:rsid w:val="00BC421F"/>
    <w:rsid w:val="00BE541D"/>
    <w:rsid w:val="00BE62F2"/>
    <w:rsid w:val="00BE79B9"/>
    <w:rsid w:val="00BF2652"/>
    <w:rsid w:val="00BF361E"/>
    <w:rsid w:val="00C0140F"/>
    <w:rsid w:val="00C04336"/>
    <w:rsid w:val="00C05140"/>
    <w:rsid w:val="00C064E3"/>
    <w:rsid w:val="00C06711"/>
    <w:rsid w:val="00C14724"/>
    <w:rsid w:val="00C15363"/>
    <w:rsid w:val="00C16F87"/>
    <w:rsid w:val="00C20373"/>
    <w:rsid w:val="00C2179B"/>
    <w:rsid w:val="00C23F45"/>
    <w:rsid w:val="00C24299"/>
    <w:rsid w:val="00C27760"/>
    <w:rsid w:val="00C32273"/>
    <w:rsid w:val="00C32ED4"/>
    <w:rsid w:val="00C56506"/>
    <w:rsid w:val="00C5771F"/>
    <w:rsid w:val="00C57C6A"/>
    <w:rsid w:val="00C60A57"/>
    <w:rsid w:val="00C630CB"/>
    <w:rsid w:val="00C65BE2"/>
    <w:rsid w:val="00C67036"/>
    <w:rsid w:val="00C677EA"/>
    <w:rsid w:val="00C715A0"/>
    <w:rsid w:val="00C735B2"/>
    <w:rsid w:val="00C751E6"/>
    <w:rsid w:val="00C7670D"/>
    <w:rsid w:val="00C82B1A"/>
    <w:rsid w:val="00C82EBB"/>
    <w:rsid w:val="00C93200"/>
    <w:rsid w:val="00C93F03"/>
    <w:rsid w:val="00C95E8C"/>
    <w:rsid w:val="00CA00AB"/>
    <w:rsid w:val="00CA01C8"/>
    <w:rsid w:val="00CA0DDA"/>
    <w:rsid w:val="00CA1896"/>
    <w:rsid w:val="00CA3F02"/>
    <w:rsid w:val="00CA5E03"/>
    <w:rsid w:val="00CB15FB"/>
    <w:rsid w:val="00CB17AE"/>
    <w:rsid w:val="00CB321C"/>
    <w:rsid w:val="00CC2A09"/>
    <w:rsid w:val="00CC70A3"/>
    <w:rsid w:val="00CD0A52"/>
    <w:rsid w:val="00CD3774"/>
    <w:rsid w:val="00CD54F7"/>
    <w:rsid w:val="00CE239A"/>
    <w:rsid w:val="00CE4DB5"/>
    <w:rsid w:val="00CF3ED4"/>
    <w:rsid w:val="00CF4329"/>
    <w:rsid w:val="00CF5E71"/>
    <w:rsid w:val="00D02B7B"/>
    <w:rsid w:val="00D15224"/>
    <w:rsid w:val="00D16A7C"/>
    <w:rsid w:val="00D26C40"/>
    <w:rsid w:val="00D27D1F"/>
    <w:rsid w:val="00D34C70"/>
    <w:rsid w:val="00D3687B"/>
    <w:rsid w:val="00D40810"/>
    <w:rsid w:val="00D413B6"/>
    <w:rsid w:val="00D421BD"/>
    <w:rsid w:val="00D456DD"/>
    <w:rsid w:val="00D4640E"/>
    <w:rsid w:val="00D4739A"/>
    <w:rsid w:val="00D50735"/>
    <w:rsid w:val="00D61205"/>
    <w:rsid w:val="00D61224"/>
    <w:rsid w:val="00D61754"/>
    <w:rsid w:val="00D648BB"/>
    <w:rsid w:val="00D679AF"/>
    <w:rsid w:val="00D711DA"/>
    <w:rsid w:val="00D71F4D"/>
    <w:rsid w:val="00D742F8"/>
    <w:rsid w:val="00D830E4"/>
    <w:rsid w:val="00D86429"/>
    <w:rsid w:val="00D93B7A"/>
    <w:rsid w:val="00D949A0"/>
    <w:rsid w:val="00D954AB"/>
    <w:rsid w:val="00D95E80"/>
    <w:rsid w:val="00DA54A4"/>
    <w:rsid w:val="00DB05F7"/>
    <w:rsid w:val="00DB51C3"/>
    <w:rsid w:val="00DC0732"/>
    <w:rsid w:val="00DC4FA2"/>
    <w:rsid w:val="00DD017A"/>
    <w:rsid w:val="00DD4466"/>
    <w:rsid w:val="00DD487E"/>
    <w:rsid w:val="00DD4DAE"/>
    <w:rsid w:val="00DD5C33"/>
    <w:rsid w:val="00DD70AE"/>
    <w:rsid w:val="00DE2A29"/>
    <w:rsid w:val="00DE5642"/>
    <w:rsid w:val="00DE6672"/>
    <w:rsid w:val="00DF3AAD"/>
    <w:rsid w:val="00DF5A6F"/>
    <w:rsid w:val="00DF604A"/>
    <w:rsid w:val="00E02BC3"/>
    <w:rsid w:val="00E042C5"/>
    <w:rsid w:val="00E05CF5"/>
    <w:rsid w:val="00E0650A"/>
    <w:rsid w:val="00E126C2"/>
    <w:rsid w:val="00E12FA4"/>
    <w:rsid w:val="00E13158"/>
    <w:rsid w:val="00E13540"/>
    <w:rsid w:val="00E14C9A"/>
    <w:rsid w:val="00E16E11"/>
    <w:rsid w:val="00E22A19"/>
    <w:rsid w:val="00E26064"/>
    <w:rsid w:val="00E313B2"/>
    <w:rsid w:val="00E3201F"/>
    <w:rsid w:val="00E3208C"/>
    <w:rsid w:val="00E32E73"/>
    <w:rsid w:val="00E47933"/>
    <w:rsid w:val="00E50BB1"/>
    <w:rsid w:val="00E534DD"/>
    <w:rsid w:val="00E57C3A"/>
    <w:rsid w:val="00E64867"/>
    <w:rsid w:val="00E65E5D"/>
    <w:rsid w:val="00E66522"/>
    <w:rsid w:val="00E6758E"/>
    <w:rsid w:val="00E67C95"/>
    <w:rsid w:val="00E75D09"/>
    <w:rsid w:val="00E7604C"/>
    <w:rsid w:val="00E76E3D"/>
    <w:rsid w:val="00E77E6F"/>
    <w:rsid w:val="00E80296"/>
    <w:rsid w:val="00E839F2"/>
    <w:rsid w:val="00E91612"/>
    <w:rsid w:val="00E95D95"/>
    <w:rsid w:val="00E967ED"/>
    <w:rsid w:val="00E9783F"/>
    <w:rsid w:val="00EA2446"/>
    <w:rsid w:val="00EA4708"/>
    <w:rsid w:val="00EB114B"/>
    <w:rsid w:val="00EB23C7"/>
    <w:rsid w:val="00EB240D"/>
    <w:rsid w:val="00EB532B"/>
    <w:rsid w:val="00EC0E6A"/>
    <w:rsid w:val="00EC2D97"/>
    <w:rsid w:val="00EC2F32"/>
    <w:rsid w:val="00EC59D0"/>
    <w:rsid w:val="00ED108C"/>
    <w:rsid w:val="00ED2E3E"/>
    <w:rsid w:val="00ED7787"/>
    <w:rsid w:val="00EF5F33"/>
    <w:rsid w:val="00F01509"/>
    <w:rsid w:val="00F025C1"/>
    <w:rsid w:val="00F026F7"/>
    <w:rsid w:val="00F05C5A"/>
    <w:rsid w:val="00F05CD4"/>
    <w:rsid w:val="00F06CCF"/>
    <w:rsid w:val="00F1616D"/>
    <w:rsid w:val="00F20FAE"/>
    <w:rsid w:val="00F26B50"/>
    <w:rsid w:val="00F277E1"/>
    <w:rsid w:val="00F27B3F"/>
    <w:rsid w:val="00F32238"/>
    <w:rsid w:val="00F35358"/>
    <w:rsid w:val="00F37E56"/>
    <w:rsid w:val="00F43AAA"/>
    <w:rsid w:val="00F458F5"/>
    <w:rsid w:val="00F478BF"/>
    <w:rsid w:val="00F50DD3"/>
    <w:rsid w:val="00F513ED"/>
    <w:rsid w:val="00F5142F"/>
    <w:rsid w:val="00F516F6"/>
    <w:rsid w:val="00F527F9"/>
    <w:rsid w:val="00F5356B"/>
    <w:rsid w:val="00F56A46"/>
    <w:rsid w:val="00F62604"/>
    <w:rsid w:val="00F63AC6"/>
    <w:rsid w:val="00F648AC"/>
    <w:rsid w:val="00F64D58"/>
    <w:rsid w:val="00F66BFE"/>
    <w:rsid w:val="00F6713E"/>
    <w:rsid w:val="00F6714C"/>
    <w:rsid w:val="00F71915"/>
    <w:rsid w:val="00F729A6"/>
    <w:rsid w:val="00F76B69"/>
    <w:rsid w:val="00F82E2E"/>
    <w:rsid w:val="00F84A01"/>
    <w:rsid w:val="00F9685C"/>
    <w:rsid w:val="00F97B43"/>
    <w:rsid w:val="00FA0F28"/>
    <w:rsid w:val="00FA0FE3"/>
    <w:rsid w:val="00FA17D2"/>
    <w:rsid w:val="00FA2B2A"/>
    <w:rsid w:val="00FA332B"/>
    <w:rsid w:val="00FA5F01"/>
    <w:rsid w:val="00FA6E96"/>
    <w:rsid w:val="00FB150D"/>
    <w:rsid w:val="00FB2DF8"/>
    <w:rsid w:val="00FC01C8"/>
    <w:rsid w:val="00FC0398"/>
    <w:rsid w:val="00FC044E"/>
    <w:rsid w:val="00FC3090"/>
    <w:rsid w:val="00FC3983"/>
    <w:rsid w:val="00FC5459"/>
    <w:rsid w:val="00FC5A29"/>
    <w:rsid w:val="00FC6B66"/>
    <w:rsid w:val="00FD62BB"/>
    <w:rsid w:val="00FE05B0"/>
    <w:rsid w:val="00FE1510"/>
    <w:rsid w:val="00FE33A3"/>
    <w:rsid w:val="00FF095A"/>
    <w:rsid w:val="00FF0AD4"/>
    <w:rsid w:val="00FF3C27"/>
    <w:rsid w:val="00FF422C"/>
    <w:rsid w:val="00FF4DA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B13C7"/>
  <w15:chartTrackingRefBased/>
  <w15:docId w15:val="{0C364D6C-3651-4DB1-B7F3-619FED11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44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32FE"/>
    <w:pPr>
      <w:tabs>
        <w:tab w:val="center" w:pos="4536"/>
        <w:tab w:val="right" w:pos="9072"/>
      </w:tabs>
      <w:spacing w:after="0" w:line="240" w:lineRule="auto"/>
    </w:pPr>
  </w:style>
  <w:style w:type="character" w:customStyle="1" w:styleId="En-tteCar">
    <w:name w:val="En-tête Car"/>
    <w:basedOn w:val="Policepardfaut"/>
    <w:link w:val="En-tte"/>
    <w:uiPriority w:val="99"/>
    <w:rsid w:val="004432FE"/>
  </w:style>
  <w:style w:type="paragraph" w:styleId="Pieddepage">
    <w:name w:val="footer"/>
    <w:basedOn w:val="Normal"/>
    <w:link w:val="PieddepageCar"/>
    <w:uiPriority w:val="99"/>
    <w:unhideWhenUsed/>
    <w:rsid w:val="004432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32FE"/>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uiPriority w:val="34"/>
    <w:qFormat/>
    <w:rsid w:val="004432FE"/>
    <w:pPr>
      <w:spacing w:after="200" w:line="276" w:lineRule="auto"/>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rsid w:val="004432FE"/>
  </w:style>
  <w:style w:type="paragraph" w:customStyle="1" w:styleId="Briefinglist1">
    <w:name w:val="Briefing list 1"/>
    <w:basedOn w:val="Normal"/>
    <w:rsid w:val="004432FE"/>
    <w:pPr>
      <w:keepLines/>
      <w:numPr>
        <w:numId w:val="1"/>
      </w:numPr>
      <w:spacing w:after="120" w:line="240" w:lineRule="auto"/>
      <w:jc w:val="both"/>
    </w:pPr>
    <w:rPr>
      <w:rFonts w:ascii="Arial" w:eastAsia="SimSun" w:hAnsi="Arial" w:cs="Arial"/>
      <w:szCs w:val="24"/>
      <w:lang w:val="en-GB"/>
    </w:rPr>
  </w:style>
  <w:style w:type="paragraph" w:styleId="Textedebulles">
    <w:name w:val="Balloon Text"/>
    <w:basedOn w:val="Normal"/>
    <w:link w:val="TextedebullesCar"/>
    <w:semiHidden/>
    <w:rsid w:val="004432FE"/>
    <w:pPr>
      <w:overflowPunct w:val="0"/>
      <w:autoSpaceDE w:val="0"/>
      <w:autoSpaceDN w:val="0"/>
      <w:adjustRightInd w:val="0"/>
      <w:spacing w:after="0" w:line="240" w:lineRule="auto"/>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4432FE"/>
    <w:rPr>
      <w:rFonts w:ascii="Tahoma" w:eastAsia="Times New Roman" w:hAnsi="Tahoma" w:cs="Tahoma"/>
      <w:sz w:val="16"/>
      <w:szCs w:val="16"/>
      <w:lang w:eastAsia="fr-FR"/>
    </w:rPr>
  </w:style>
  <w:style w:type="character" w:customStyle="1" w:styleId="affaire-suiviepar">
    <w:name w:val="affaire-suivie par"/>
    <w:basedOn w:val="Policepardfaut"/>
    <w:uiPriority w:val="1"/>
    <w:rsid w:val="004432FE"/>
    <w:rPr>
      <w:rFonts w:ascii="Times New Roman" w:hAnsi="Times New Roman"/>
      <w:sz w:val="18"/>
    </w:rPr>
  </w:style>
  <w:style w:type="paragraph" w:styleId="Sansinterligne">
    <w:name w:val="No Spacing"/>
    <w:uiPriority w:val="1"/>
    <w:qFormat/>
    <w:rsid w:val="004432FE"/>
    <w:pPr>
      <w:spacing w:after="0" w:line="240" w:lineRule="auto"/>
    </w:pPr>
  </w:style>
  <w:style w:type="table" w:styleId="Grilledutableau">
    <w:name w:val="Table Grid"/>
    <w:basedOn w:val="TableauNormal"/>
    <w:uiPriority w:val="39"/>
    <w:rsid w:val="006A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irection">
    <w:name w:val="Intitulé direction"/>
    <w:basedOn w:val="En-tte"/>
    <w:next w:val="Corpsdetexte"/>
    <w:link w:val="IntituldirectionCar"/>
    <w:qFormat/>
    <w:rsid w:val="00AF3E6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IntituldirectionCar">
    <w:name w:val="Intitulé direction Car"/>
    <w:basedOn w:val="En-tteCar"/>
    <w:link w:val="Intituldirection"/>
    <w:rsid w:val="00AF3E63"/>
    <w:rPr>
      <w:rFonts w:ascii="Arial" w:hAnsi="Arial" w:cs="Arial"/>
      <w:b/>
      <w:bCs/>
      <w:sz w:val="24"/>
      <w:szCs w:val="24"/>
      <w:lang w:val="en-US"/>
    </w:rPr>
  </w:style>
  <w:style w:type="paragraph" w:styleId="Corpsdetexte">
    <w:name w:val="Body Text"/>
    <w:basedOn w:val="Normal"/>
    <w:link w:val="CorpsdetexteCar"/>
    <w:uiPriority w:val="99"/>
    <w:semiHidden/>
    <w:unhideWhenUsed/>
    <w:rsid w:val="00AF3E63"/>
    <w:pPr>
      <w:spacing w:after="120"/>
    </w:pPr>
  </w:style>
  <w:style w:type="character" w:customStyle="1" w:styleId="CorpsdetexteCar">
    <w:name w:val="Corps de texte Car"/>
    <w:basedOn w:val="Policepardfaut"/>
    <w:link w:val="Corpsdetexte"/>
    <w:uiPriority w:val="99"/>
    <w:semiHidden/>
    <w:rsid w:val="00AF3E63"/>
  </w:style>
  <w:style w:type="paragraph" w:styleId="Notedebasdepage">
    <w:name w:val="footnote text"/>
    <w:basedOn w:val="Normal"/>
    <w:link w:val="NotedebasdepageCar"/>
    <w:uiPriority w:val="99"/>
    <w:semiHidden/>
    <w:unhideWhenUsed/>
    <w:rsid w:val="00B70582"/>
    <w:pPr>
      <w:spacing w:after="0" w:line="240" w:lineRule="auto"/>
    </w:pPr>
    <w:rPr>
      <w:rFonts w:ascii="Calibri" w:hAnsi="Calibri" w:cs="Calibri"/>
      <w:sz w:val="20"/>
      <w:szCs w:val="20"/>
    </w:rPr>
  </w:style>
  <w:style w:type="character" w:customStyle="1" w:styleId="NotedebasdepageCar">
    <w:name w:val="Note de bas de page Car"/>
    <w:basedOn w:val="Policepardfaut"/>
    <w:link w:val="Notedebasdepage"/>
    <w:uiPriority w:val="99"/>
    <w:semiHidden/>
    <w:rsid w:val="00B70582"/>
    <w:rPr>
      <w:rFonts w:ascii="Calibri" w:hAnsi="Calibri" w:cs="Calibri"/>
      <w:sz w:val="20"/>
      <w:szCs w:val="20"/>
    </w:rPr>
  </w:style>
  <w:style w:type="character" w:styleId="Appelnotedebasdep">
    <w:name w:val="footnote reference"/>
    <w:basedOn w:val="Policepardfaut"/>
    <w:uiPriority w:val="99"/>
    <w:semiHidden/>
    <w:unhideWhenUsed/>
    <w:rsid w:val="00B70582"/>
    <w:rPr>
      <w:vertAlign w:val="superscript"/>
    </w:rPr>
  </w:style>
  <w:style w:type="character" w:styleId="Lienhypertexte">
    <w:name w:val="Hyperlink"/>
    <w:basedOn w:val="Policepardfaut"/>
    <w:uiPriority w:val="99"/>
    <w:unhideWhenUsed/>
    <w:rsid w:val="00B70582"/>
    <w:rPr>
      <w:color w:val="0000FF"/>
      <w:u w:val="single"/>
    </w:rPr>
  </w:style>
  <w:style w:type="paragraph" w:customStyle="1" w:styleId="Default">
    <w:name w:val="Default"/>
    <w:rsid w:val="001E6235"/>
    <w:pPr>
      <w:autoSpaceDE w:val="0"/>
      <w:autoSpaceDN w:val="0"/>
      <w:adjustRightInd w:val="0"/>
      <w:spacing w:after="0" w:line="240" w:lineRule="auto"/>
    </w:pPr>
    <w:rPr>
      <w:rFonts w:ascii="Segoe UI" w:hAnsi="Segoe UI" w:cs="Segoe UI"/>
      <w:color w:val="000000"/>
      <w:sz w:val="24"/>
      <w:szCs w:val="24"/>
    </w:rPr>
  </w:style>
  <w:style w:type="table" w:styleId="TableauGrille4-Accentuation5">
    <w:name w:val="Grid Table 4 Accent 5"/>
    <w:basedOn w:val="TableauNormal"/>
    <w:uiPriority w:val="49"/>
    <w:rsid w:val="001B1DC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tedefin">
    <w:name w:val="endnote text"/>
    <w:basedOn w:val="Normal"/>
    <w:link w:val="NotedefinCar"/>
    <w:uiPriority w:val="99"/>
    <w:semiHidden/>
    <w:unhideWhenUsed/>
    <w:rsid w:val="00660B5B"/>
    <w:pPr>
      <w:spacing w:after="0" w:line="240" w:lineRule="auto"/>
    </w:pPr>
    <w:rPr>
      <w:sz w:val="20"/>
      <w:szCs w:val="20"/>
    </w:rPr>
  </w:style>
  <w:style w:type="character" w:customStyle="1" w:styleId="NotedefinCar">
    <w:name w:val="Note de fin Car"/>
    <w:basedOn w:val="Policepardfaut"/>
    <w:link w:val="Notedefin"/>
    <w:uiPriority w:val="99"/>
    <w:semiHidden/>
    <w:rsid w:val="00660B5B"/>
    <w:rPr>
      <w:sz w:val="20"/>
      <w:szCs w:val="20"/>
    </w:rPr>
  </w:style>
  <w:style w:type="character" w:styleId="Appeldenotedefin">
    <w:name w:val="endnote reference"/>
    <w:basedOn w:val="Policepardfaut"/>
    <w:uiPriority w:val="99"/>
    <w:semiHidden/>
    <w:unhideWhenUsed/>
    <w:rsid w:val="00660B5B"/>
    <w:rPr>
      <w:vertAlign w:val="superscript"/>
    </w:rPr>
  </w:style>
  <w:style w:type="character" w:styleId="Marquedecommentaire">
    <w:name w:val="annotation reference"/>
    <w:basedOn w:val="Policepardfaut"/>
    <w:uiPriority w:val="99"/>
    <w:semiHidden/>
    <w:unhideWhenUsed/>
    <w:rsid w:val="00FC01C8"/>
    <w:rPr>
      <w:sz w:val="16"/>
      <w:szCs w:val="16"/>
    </w:rPr>
  </w:style>
  <w:style w:type="paragraph" w:styleId="Commentaire">
    <w:name w:val="annotation text"/>
    <w:basedOn w:val="Normal"/>
    <w:link w:val="CommentaireCar"/>
    <w:uiPriority w:val="99"/>
    <w:semiHidden/>
    <w:unhideWhenUsed/>
    <w:rsid w:val="00FC01C8"/>
    <w:pPr>
      <w:spacing w:line="240" w:lineRule="auto"/>
    </w:pPr>
    <w:rPr>
      <w:sz w:val="20"/>
      <w:szCs w:val="20"/>
    </w:rPr>
  </w:style>
  <w:style w:type="character" w:customStyle="1" w:styleId="CommentaireCar">
    <w:name w:val="Commentaire Car"/>
    <w:basedOn w:val="Policepardfaut"/>
    <w:link w:val="Commentaire"/>
    <w:uiPriority w:val="99"/>
    <w:semiHidden/>
    <w:rsid w:val="00FC01C8"/>
    <w:rPr>
      <w:sz w:val="20"/>
      <w:szCs w:val="20"/>
    </w:rPr>
  </w:style>
  <w:style w:type="paragraph" w:styleId="Objetducommentaire">
    <w:name w:val="annotation subject"/>
    <w:basedOn w:val="Commentaire"/>
    <w:next w:val="Commentaire"/>
    <w:link w:val="ObjetducommentaireCar"/>
    <w:uiPriority w:val="99"/>
    <w:semiHidden/>
    <w:unhideWhenUsed/>
    <w:rsid w:val="00FC01C8"/>
    <w:rPr>
      <w:b/>
      <w:bCs/>
    </w:rPr>
  </w:style>
  <w:style w:type="character" w:customStyle="1" w:styleId="ObjetducommentaireCar">
    <w:name w:val="Objet du commentaire Car"/>
    <w:basedOn w:val="CommentaireCar"/>
    <w:link w:val="Objetducommentaire"/>
    <w:uiPriority w:val="99"/>
    <w:semiHidden/>
    <w:rsid w:val="00FC01C8"/>
    <w:rPr>
      <w:b/>
      <w:bCs/>
      <w:sz w:val="20"/>
      <w:szCs w:val="20"/>
    </w:rPr>
  </w:style>
  <w:style w:type="character" w:styleId="Lienhypertextesuivivisit">
    <w:name w:val="FollowedHyperlink"/>
    <w:basedOn w:val="Policepardfaut"/>
    <w:uiPriority w:val="99"/>
    <w:semiHidden/>
    <w:unhideWhenUsed/>
    <w:rsid w:val="00541948"/>
    <w:rPr>
      <w:color w:val="954F72" w:themeColor="followedHyperlink"/>
      <w:u w:val="single"/>
    </w:rPr>
  </w:style>
  <w:style w:type="character" w:styleId="Mentionnonrsolue">
    <w:name w:val="Unresolved Mention"/>
    <w:basedOn w:val="Policepardfaut"/>
    <w:uiPriority w:val="99"/>
    <w:semiHidden/>
    <w:unhideWhenUsed/>
    <w:rsid w:val="00D02B7B"/>
    <w:rPr>
      <w:color w:val="605E5C"/>
      <w:shd w:val="clear" w:color="auto" w:fill="E1DFDD"/>
    </w:rPr>
  </w:style>
  <w:style w:type="table" w:styleId="TableauGrille1Clair-Accentuation1">
    <w:name w:val="Grid Table 1 Light Accent 1"/>
    <w:basedOn w:val="TableauNormal"/>
    <w:uiPriority w:val="46"/>
    <w:rsid w:val="00526D5F"/>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526D5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526D5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201CF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5702">
      <w:bodyDiv w:val="1"/>
      <w:marLeft w:val="0"/>
      <w:marRight w:val="0"/>
      <w:marTop w:val="0"/>
      <w:marBottom w:val="0"/>
      <w:divBdr>
        <w:top w:val="none" w:sz="0" w:space="0" w:color="auto"/>
        <w:left w:val="none" w:sz="0" w:space="0" w:color="auto"/>
        <w:bottom w:val="none" w:sz="0" w:space="0" w:color="auto"/>
        <w:right w:val="none" w:sz="0" w:space="0" w:color="auto"/>
      </w:divBdr>
    </w:div>
    <w:div w:id="500776315">
      <w:bodyDiv w:val="1"/>
      <w:marLeft w:val="0"/>
      <w:marRight w:val="0"/>
      <w:marTop w:val="0"/>
      <w:marBottom w:val="0"/>
      <w:divBdr>
        <w:top w:val="none" w:sz="0" w:space="0" w:color="auto"/>
        <w:left w:val="none" w:sz="0" w:space="0" w:color="auto"/>
        <w:bottom w:val="none" w:sz="0" w:space="0" w:color="auto"/>
        <w:right w:val="none" w:sz="0" w:space="0" w:color="auto"/>
      </w:divBdr>
    </w:div>
    <w:div w:id="917593288">
      <w:bodyDiv w:val="1"/>
      <w:marLeft w:val="0"/>
      <w:marRight w:val="0"/>
      <w:marTop w:val="0"/>
      <w:marBottom w:val="0"/>
      <w:divBdr>
        <w:top w:val="none" w:sz="0" w:space="0" w:color="auto"/>
        <w:left w:val="none" w:sz="0" w:space="0" w:color="auto"/>
        <w:bottom w:val="none" w:sz="0" w:space="0" w:color="auto"/>
        <w:right w:val="none" w:sz="0" w:space="0" w:color="auto"/>
      </w:divBdr>
    </w:div>
    <w:div w:id="962154333">
      <w:bodyDiv w:val="1"/>
      <w:marLeft w:val="0"/>
      <w:marRight w:val="0"/>
      <w:marTop w:val="0"/>
      <w:marBottom w:val="0"/>
      <w:divBdr>
        <w:top w:val="none" w:sz="0" w:space="0" w:color="auto"/>
        <w:left w:val="none" w:sz="0" w:space="0" w:color="auto"/>
        <w:bottom w:val="none" w:sz="0" w:space="0" w:color="auto"/>
        <w:right w:val="none" w:sz="0" w:space="0" w:color="auto"/>
      </w:divBdr>
    </w:div>
    <w:div w:id="1034186453">
      <w:bodyDiv w:val="1"/>
      <w:marLeft w:val="0"/>
      <w:marRight w:val="0"/>
      <w:marTop w:val="0"/>
      <w:marBottom w:val="0"/>
      <w:divBdr>
        <w:top w:val="none" w:sz="0" w:space="0" w:color="auto"/>
        <w:left w:val="none" w:sz="0" w:space="0" w:color="auto"/>
        <w:bottom w:val="none" w:sz="0" w:space="0" w:color="auto"/>
        <w:right w:val="none" w:sz="0" w:space="0" w:color="auto"/>
      </w:divBdr>
    </w:div>
    <w:div w:id="1045249486">
      <w:bodyDiv w:val="1"/>
      <w:marLeft w:val="0"/>
      <w:marRight w:val="0"/>
      <w:marTop w:val="0"/>
      <w:marBottom w:val="0"/>
      <w:divBdr>
        <w:top w:val="none" w:sz="0" w:space="0" w:color="auto"/>
        <w:left w:val="none" w:sz="0" w:space="0" w:color="auto"/>
        <w:bottom w:val="none" w:sz="0" w:space="0" w:color="auto"/>
        <w:right w:val="none" w:sz="0" w:space="0" w:color="auto"/>
      </w:divBdr>
    </w:div>
    <w:div w:id="1047871478">
      <w:bodyDiv w:val="1"/>
      <w:marLeft w:val="0"/>
      <w:marRight w:val="0"/>
      <w:marTop w:val="0"/>
      <w:marBottom w:val="0"/>
      <w:divBdr>
        <w:top w:val="none" w:sz="0" w:space="0" w:color="auto"/>
        <w:left w:val="none" w:sz="0" w:space="0" w:color="auto"/>
        <w:bottom w:val="none" w:sz="0" w:space="0" w:color="auto"/>
        <w:right w:val="none" w:sz="0" w:space="0" w:color="auto"/>
      </w:divBdr>
    </w:div>
    <w:div w:id="1064570715">
      <w:bodyDiv w:val="1"/>
      <w:marLeft w:val="0"/>
      <w:marRight w:val="0"/>
      <w:marTop w:val="0"/>
      <w:marBottom w:val="0"/>
      <w:divBdr>
        <w:top w:val="none" w:sz="0" w:space="0" w:color="auto"/>
        <w:left w:val="none" w:sz="0" w:space="0" w:color="auto"/>
        <w:bottom w:val="none" w:sz="0" w:space="0" w:color="auto"/>
        <w:right w:val="none" w:sz="0" w:space="0" w:color="auto"/>
      </w:divBdr>
    </w:div>
    <w:div w:id="1318806462">
      <w:bodyDiv w:val="1"/>
      <w:marLeft w:val="0"/>
      <w:marRight w:val="0"/>
      <w:marTop w:val="0"/>
      <w:marBottom w:val="0"/>
      <w:divBdr>
        <w:top w:val="none" w:sz="0" w:space="0" w:color="auto"/>
        <w:left w:val="none" w:sz="0" w:space="0" w:color="auto"/>
        <w:bottom w:val="none" w:sz="0" w:space="0" w:color="auto"/>
        <w:right w:val="none" w:sz="0" w:space="0" w:color="auto"/>
      </w:divBdr>
    </w:div>
    <w:div w:id="1381438041">
      <w:bodyDiv w:val="1"/>
      <w:marLeft w:val="0"/>
      <w:marRight w:val="0"/>
      <w:marTop w:val="0"/>
      <w:marBottom w:val="0"/>
      <w:divBdr>
        <w:top w:val="none" w:sz="0" w:space="0" w:color="auto"/>
        <w:left w:val="none" w:sz="0" w:space="0" w:color="auto"/>
        <w:bottom w:val="none" w:sz="0" w:space="0" w:color="auto"/>
        <w:right w:val="none" w:sz="0" w:space="0" w:color="auto"/>
      </w:divBdr>
    </w:div>
    <w:div w:id="1471441347">
      <w:bodyDiv w:val="1"/>
      <w:marLeft w:val="0"/>
      <w:marRight w:val="0"/>
      <w:marTop w:val="0"/>
      <w:marBottom w:val="0"/>
      <w:divBdr>
        <w:top w:val="none" w:sz="0" w:space="0" w:color="auto"/>
        <w:left w:val="none" w:sz="0" w:space="0" w:color="auto"/>
        <w:bottom w:val="none" w:sz="0" w:space="0" w:color="auto"/>
        <w:right w:val="none" w:sz="0" w:space="0" w:color="auto"/>
      </w:divBdr>
    </w:div>
    <w:div w:id="1616599720">
      <w:bodyDiv w:val="1"/>
      <w:marLeft w:val="0"/>
      <w:marRight w:val="0"/>
      <w:marTop w:val="0"/>
      <w:marBottom w:val="0"/>
      <w:divBdr>
        <w:top w:val="none" w:sz="0" w:space="0" w:color="auto"/>
        <w:left w:val="none" w:sz="0" w:space="0" w:color="auto"/>
        <w:bottom w:val="none" w:sz="0" w:space="0" w:color="auto"/>
        <w:right w:val="none" w:sz="0" w:space="0" w:color="auto"/>
      </w:divBdr>
    </w:div>
    <w:div w:id="1657496494">
      <w:bodyDiv w:val="1"/>
      <w:marLeft w:val="0"/>
      <w:marRight w:val="0"/>
      <w:marTop w:val="0"/>
      <w:marBottom w:val="0"/>
      <w:divBdr>
        <w:top w:val="none" w:sz="0" w:space="0" w:color="auto"/>
        <w:left w:val="none" w:sz="0" w:space="0" w:color="auto"/>
        <w:bottom w:val="none" w:sz="0" w:space="0" w:color="auto"/>
        <w:right w:val="none" w:sz="0" w:space="0" w:color="auto"/>
      </w:divBdr>
    </w:div>
    <w:div w:id="1722751355">
      <w:bodyDiv w:val="1"/>
      <w:marLeft w:val="0"/>
      <w:marRight w:val="0"/>
      <w:marTop w:val="0"/>
      <w:marBottom w:val="0"/>
      <w:divBdr>
        <w:top w:val="none" w:sz="0" w:space="0" w:color="auto"/>
        <w:left w:val="none" w:sz="0" w:space="0" w:color="auto"/>
        <w:bottom w:val="none" w:sz="0" w:space="0" w:color="auto"/>
        <w:right w:val="none" w:sz="0" w:space="0" w:color="auto"/>
      </w:divBdr>
    </w:div>
    <w:div w:id="1815488765">
      <w:bodyDiv w:val="1"/>
      <w:marLeft w:val="0"/>
      <w:marRight w:val="0"/>
      <w:marTop w:val="0"/>
      <w:marBottom w:val="0"/>
      <w:divBdr>
        <w:top w:val="none" w:sz="0" w:space="0" w:color="auto"/>
        <w:left w:val="none" w:sz="0" w:space="0" w:color="auto"/>
        <w:bottom w:val="none" w:sz="0" w:space="0" w:color="auto"/>
        <w:right w:val="none" w:sz="0" w:space="0" w:color="auto"/>
      </w:divBdr>
    </w:div>
    <w:div w:id="1836410824">
      <w:bodyDiv w:val="1"/>
      <w:marLeft w:val="0"/>
      <w:marRight w:val="0"/>
      <w:marTop w:val="0"/>
      <w:marBottom w:val="0"/>
      <w:divBdr>
        <w:top w:val="none" w:sz="0" w:space="0" w:color="auto"/>
        <w:left w:val="none" w:sz="0" w:space="0" w:color="auto"/>
        <w:bottom w:val="none" w:sz="0" w:space="0" w:color="auto"/>
        <w:right w:val="none" w:sz="0" w:space="0" w:color="auto"/>
      </w:divBdr>
    </w:div>
    <w:div w:id="193131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5C3BE-9D6B-49ED-965C-A9AEB9945F4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2AED7BF-F8DC-45B9-BFE6-90231472C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4CFAB0-EA74-42EC-BBF2-7656C7C15E94}">
  <ds:schemaRefs>
    <ds:schemaRef ds:uri="http://schemas.openxmlformats.org/officeDocument/2006/bibliography"/>
  </ds:schemaRefs>
</ds:datastoreItem>
</file>

<file path=customXml/itemProps4.xml><?xml version="1.0" encoding="utf-8"?>
<ds:datastoreItem xmlns:ds="http://schemas.openxmlformats.org/officeDocument/2006/customXml" ds:itemID="{EED9D934-B2D2-4B4E-A779-F24A898AE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1107</Words>
  <Characters>6091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BORDES Gilles</dc:creator>
  <cp:keywords/>
  <dc:description/>
  <cp:lastModifiedBy>HECHENBERGER Bernhard</cp:lastModifiedBy>
  <cp:revision>3</cp:revision>
  <cp:lastPrinted>2022-01-30T09:16:00Z</cp:lastPrinted>
  <dcterms:created xsi:type="dcterms:W3CDTF">2025-01-10T19:37:00Z</dcterms:created>
  <dcterms:modified xsi:type="dcterms:W3CDTF">2025-01-10T19:38:00Z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