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97A6" w14:textId="77777777" w:rsidR="00FB42E8" w:rsidRPr="00D27C98" w:rsidRDefault="00FB42E8" w:rsidP="00FB42E8">
      <w:pPr>
        <w:tabs>
          <w:tab w:val="left" w:pos="3969"/>
        </w:tabs>
        <w:spacing w:after="0"/>
        <w:rPr>
          <w:rFonts w:ascii="Segoe UI" w:hAnsi="Segoe UI" w:cs="Segoe UI"/>
          <w:b/>
          <w:bCs/>
          <w:color w:val="FFFFFF" w:themeColor="background1"/>
        </w:rPr>
      </w:pPr>
    </w:p>
    <w:tbl>
      <w:tblPr>
        <w:tblStyle w:val="Grilledutableau"/>
        <w:tblW w:w="0" w:type="auto"/>
        <w:tblLook w:val="04A0" w:firstRow="1" w:lastRow="0" w:firstColumn="1" w:lastColumn="0" w:noHBand="0" w:noVBand="1"/>
      </w:tblPr>
      <w:tblGrid>
        <w:gridCol w:w="5387"/>
        <w:gridCol w:w="3675"/>
      </w:tblGrid>
      <w:tr w:rsidR="00FB42E8" w:rsidRPr="006B6092" w14:paraId="25A2DAFD" w14:textId="77777777" w:rsidTr="006B6092">
        <w:tc>
          <w:tcPr>
            <w:tcW w:w="5387" w:type="dxa"/>
            <w:tcBorders>
              <w:top w:val="nil"/>
              <w:left w:val="nil"/>
              <w:bottom w:val="nil"/>
              <w:right w:val="nil"/>
            </w:tcBorders>
          </w:tcPr>
          <w:p w14:paraId="0D6BCEE2" w14:textId="77777777" w:rsidR="000F4325" w:rsidRPr="00D27C98" w:rsidRDefault="000F4325" w:rsidP="007B7F62">
            <w:pPr>
              <w:tabs>
                <w:tab w:val="left" w:pos="3969"/>
              </w:tabs>
              <w:rPr>
                <w:rFonts w:ascii="Segoe UI" w:hAnsi="Segoe UI" w:cs="Segoe UI"/>
                <w:b/>
                <w:bCs/>
                <w:color w:val="FFFFFF" w:themeColor="background1"/>
              </w:rPr>
            </w:pPr>
          </w:p>
          <w:p w14:paraId="5F066E08" w14:textId="39EE7E30" w:rsidR="00FB42E8" w:rsidRPr="00D27C98" w:rsidRDefault="00FB42E8" w:rsidP="007B7F62">
            <w:pPr>
              <w:tabs>
                <w:tab w:val="left" w:pos="3969"/>
              </w:tabs>
              <w:rPr>
                <w:rFonts w:ascii="Segoe UI" w:hAnsi="Segoe UI" w:cs="Segoe UI"/>
                <w:b/>
                <w:bCs/>
                <w:color w:val="FFFFFF" w:themeColor="background1"/>
              </w:rPr>
            </w:pPr>
            <w:r w:rsidRPr="00D27C98">
              <w:rPr>
                <w:rFonts w:ascii="Segoe UI" w:hAnsi="Segoe UI" w:cs="Segoe UI"/>
                <w:b/>
                <w:bCs/>
                <w:color w:val="FFFFFF" w:themeColor="background1"/>
              </w:rPr>
              <w:t>Ambassade de France en Tanzanie</w:t>
            </w:r>
          </w:p>
          <w:p w14:paraId="14B801A0" w14:textId="77777777" w:rsidR="00FB42E8" w:rsidRPr="00D27C98" w:rsidRDefault="00FB42E8" w:rsidP="007B7F62">
            <w:pPr>
              <w:tabs>
                <w:tab w:val="left" w:pos="3969"/>
              </w:tabs>
              <w:rPr>
                <w:rFonts w:ascii="Segoe UI" w:hAnsi="Segoe UI" w:cs="Segoe UI"/>
                <w:b/>
                <w:bCs/>
                <w:color w:val="FFFFFF" w:themeColor="background1"/>
              </w:rPr>
            </w:pPr>
            <w:r w:rsidRPr="00D27C98">
              <w:rPr>
                <w:rFonts w:ascii="Segoe UI" w:hAnsi="Segoe UI" w:cs="Segoe UI"/>
                <w:b/>
                <w:bCs/>
                <w:color w:val="FFFFFF" w:themeColor="background1"/>
              </w:rPr>
              <w:t>Service économique de Dar es Salam</w:t>
            </w:r>
          </w:p>
          <w:p w14:paraId="72230CFF" w14:textId="77777777" w:rsidR="00FB42E8" w:rsidRPr="00D27C98" w:rsidRDefault="00FB42E8" w:rsidP="007B7F62">
            <w:pPr>
              <w:tabs>
                <w:tab w:val="left" w:pos="3969"/>
              </w:tabs>
              <w:rPr>
                <w:rFonts w:ascii="Segoe UI" w:hAnsi="Segoe UI" w:cs="Segoe UI"/>
                <w:b/>
                <w:bCs/>
                <w:color w:val="FFFFFF" w:themeColor="background1"/>
              </w:rPr>
            </w:pPr>
          </w:p>
        </w:tc>
        <w:tc>
          <w:tcPr>
            <w:tcW w:w="3675" w:type="dxa"/>
            <w:tcBorders>
              <w:top w:val="nil"/>
              <w:left w:val="nil"/>
              <w:bottom w:val="nil"/>
              <w:right w:val="nil"/>
            </w:tcBorders>
          </w:tcPr>
          <w:p w14:paraId="395337A7" w14:textId="4E46ADC6" w:rsidR="006B6092" w:rsidRPr="006B6092" w:rsidRDefault="006B6092" w:rsidP="006B6092">
            <w:pPr>
              <w:jc w:val="right"/>
              <w:rPr>
                <w:rFonts w:ascii="Segoe UI" w:eastAsia="SimSun" w:hAnsi="Segoe UI" w:cs="Segoe UI"/>
                <w:color w:val="000000" w:themeColor="text1"/>
                <w:sz w:val="20"/>
                <w:lang w:eastAsia="ja-JP"/>
              </w:rPr>
            </w:pPr>
            <w:r w:rsidRPr="006B6092">
              <w:rPr>
                <w:rFonts w:ascii="Segoe UI" w:eastAsia="SimSun" w:hAnsi="Segoe UI" w:cs="Segoe UI"/>
                <w:color w:val="000000" w:themeColor="text1"/>
                <w:sz w:val="20"/>
                <w:lang w:eastAsia="ja-JP"/>
              </w:rPr>
              <w:t xml:space="preserve">Dar </w:t>
            </w:r>
            <w:proofErr w:type="gramStart"/>
            <w:r w:rsidRPr="006B6092">
              <w:rPr>
                <w:rFonts w:ascii="Segoe UI" w:eastAsia="SimSun" w:hAnsi="Segoe UI" w:cs="Segoe UI"/>
                <w:color w:val="000000" w:themeColor="text1"/>
                <w:sz w:val="20"/>
                <w:lang w:eastAsia="ja-JP"/>
              </w:rPr>
              <w:t>es</w:t>
            </w:r>
            <w:proofErr w:type="gramEnd"/>
            <w:r w:rsidRPr="006B6092">
              <w:rPr>
                <w:rFonts w:ascii="Segoe UI" w:eastAsia="SimSun" w:hAnsi="Segoe UI" w:cs="Segoe UI"/>
                <w:color w:val="000000" w:themeColor="text1"/>
                <w:sz w:val="20"/>
                <w:lang w:eastAsia="ja-JP"/>
              </w:rPr>
              <w:t xml:space="preserve"> Salam, le 17/08/2023  </w:t>
            </w:r>
          </w:p>
          <w:p w14:paraId="488AD151" w14:textId="2C88057B" w:rsidR="006B6092" w:rsidRPr="006B6092" w:rsidRDefault="006B6092" w:rsidP="006B6092">
            <w:pPr>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 xml:space="preserve">    </w:t>
            </w:r>
            <w:r w:rsidRPr="006B6092">
              <w:rPr>
                <w:rFonts w:ascii="Segoe UI" w:eastAsia="SimSun" w:hAnsi="Segoe UI" w:cs="Segoe UI"/>
                <w:color w:val="000000" w:themeColor="text1"/>
                <w:sz w:val="20"/>
                <w:lang w:eastAsia="ja-JP"/>
              </w:rPr>
              <w:t xml:space="preserve">Affaire suivie par Mashaka </w:t>
            </w:r>
            <w:r>
              <w:rPr>
                <w:rFonts w:ascii="Segoe UI" w:eastAsia="SimSun" w:hAnsi="Segoe UI" w:cs="Segoe UI"/>
                <w:color w:val="000000" w:themeColor="text1"/>
                <w:sz w:val="20"/>
                <w:lang w:eastAsia="ja-JP"/>
              </w:rPr>
              <w:t>NTOBELA</w:t>
            </w:r>
          </w:p>
          <w:p w14:paraId="108CED7D" w14:textId="1CBBD3EC" w:rsidR="006B6092" w:rsidRPr="006B6092" w:rsidRDefault="006B6092" w:rsidP="006B6092">
            <w:pPr>
              <w:jc w:val="right"/>
              <w:rPr>
                <w:rFonts w:ascii="Segoe UI" w:eastAsia="SimSun" w:hAnsi="Segoe UI" w:cs="Segoe UI"/>
                <w:color w:val="000000" w:themeColor="text1"/>
                <w:sz w:val="20"/>
                <w:lang w:eastAsia="ja-JP"/>
              </w:rPr>
            </w:pPr>
            <w:r w:rsidRPr="006B6092">
              <w:rPr>
                <w:rFonts w:ascii="Segoe UI" w:eastAsia="SimSun" w:hAnsi="Segoe UI" w:cs="Segoe UI"/>
                <w:color w:val="000000" w:themeColor="text1"/>
                <w:sz w:val="20"/>
                <w:lang w:eastAsia="ja-JP"/>
              </w:rPr>
              <w:t>Revue par Annie BIRO</w:t>
            </w:r>
          </w:p>
          <w:p w14:paraId="291BAC04" w14:textId="7BEC669A" w:rsidR="00FB42E8" w:rsidRPr="006B6092" w:rsidRDefault="00FB42E8" w:rsidP="007B7F62">
            <w:pPr>
              <w:tabs>
                <w:tab w:val="left" w:pos="3969"/>
              </w:tabs>
              <w:ind w:firstLine="459"/>
              <w:rPr>
                <w:rFonts w:ascii="Segoe UI" w:hAnsi="Segoe UI" w:cs="Segoe UI"/>
                <w:b/>
                <w:bCs/>
                <w:color w:val="FFFFFF" w:themeColor="background1"/>
                <w:sz w:val="20"/>
              </w:rPr>
            </w:pPr>
          </w:p>
        </w:tc>
      </w:tr>
      <w:tr w:rsidR="00FB42E8" w:rsidRPr="005C5173" w14:paraId="1E569944" w14:textId="77777777" w:rsidTr="007B7F62">
        <w:tc>
          <w:tcPr>
            <w:tcW w:w="9062" w:type="dxa"/>
            <w:gridSpan w:val="2"/>
            <w:tcBorders>
              <w:top w:val="nil"/>
              <w:left w:val="nil"/>
              <w:bottom w:val="nil"/>
              <w:right w:val="nil"/>
            </w:tcBorders>
          </w:tcPr>
          <w:p w14:paraId="73B7E4F6" w14:textId="6F529BE7" w:rsidR="00FB42E8" w:rsidRPr="0095722A" w:rsidRDefault="001C222C" w:rsidP="007B7F62">
            <w:pPr>
              <w:tabs>
                <w:tab w:val="left" w:pos="3969"/>
                <w:tab w:val="center" w:pos="4423"/>
                <w:tab w:val="right" w:pos="8846"/>
              </w:tabs>
              <w:jc w:val="center"/>
              <w:rPr>
                <w:rFonts w:ascii="Segoe UI" w:eastAsia="Calibri" w:hAnsi="Segoe UI" w:cs="Segoe UI"/>
                <w:b/>
                <w:bCs/>
                <w:color w:val="006CE5"/>
                <w:sz w:val="28"/>
                <w:szCs w:val="28"/>
                <w:lang w:eastAsia="fr-FR"/>
              </w:rPr>
            </w:pPr>
            <w:r>
              <w:rPr>
                <w:rFonts w:ascii="Segoe UI" w:eastAsia="Calibri" w:hAnsi="Segoe UI" w:cs="Segoe UI"/>
                <w:b/>
                <w:bCs/>
                <w:color w:val="006CE5"/>
                <w:sz w:val="28"/>
                <w:szCs w:val="28"/>
                <w:lang w:eastAsia="fr-FR"/>
              </w:rPr>
              <w:t xml:space="preserve">                                   </w:t>
            </w:r>
            <w:r w:rsidR="000F4325" w:rsidRPr="00340DDD">
              <w:rPr>
                <w:rFonts w:ascii="Segoe UI" w:eastAsia="Calibri" w:hAnsi="Segoe UI" w:cs="Segoe UI"/>
                <w:b/>
                <w:bCs/>
                <w:color w:val="006CE5"/>
                <w:sz w:val="28"/>
                <w:szCs w:val="28"/>
                <w:lang w:eastAsia="fr-FR"/>
              </w:rPr>
              <w:t>Le c</w:t>
            </w:r>
            <w:r w:rsidR="000F4325">
              <w:rPr>
                <w:rFonts w:ascii="Segoe UI" w:eastAsia="Calibri" w:hAnsi="Segoe UI" w:cs="Segoe UI"/>
                <w:b/>
                <w:bCs/>
                <w:color w:val="006CE5"/>
                <w:sz w:val="28"/>
                <w:szCs w:val="28"/>
                <w:lang w:eastAsia="fr-FR"/>
              </w:rPr>
              <w:t>ommerce extérieur de la Tanzanie en 2022</w:t>
            </w:r>
          </w:p>
          <w:p w14:paraId="70D7B563" w14:textId="77777777" w:rsidR="00FB42E8" w:rsidRPr="00340DDD" w:rsidRDefault="00FB42E8" w:rsidP="00340DDD">
            <w:pPr>
              <w:tabs>
                <w:tab w:val="left" w:pos="3969"/>
                <w:tab w:val="center" w:pos="4423"/>
                <w:tab w:val="right" w:pos="8846"/>
              </w:tabs>
              <w:jc w:val="center"/>
              <w:rPr>
                <w:rFonts w:ascii="Segoe UI" w:eastAsia="Calibri" w:hAnsi="Segoe UI" w:cs="Segoe UI"/>
                <w:b/>
                <w:bCs/>
                <w:color w:val="006CE5"/>
                <w:sz w:val="28"/>
                <w:szCs w:val="28"/>
                <w:lang w:eastAsia="fr-FR"/>
              </w:rPr>
            </w:pPr>
            <w:r w:rsidRPr="00340DDD">
              <w:rPr>
                <w:rFonts w:ascii="Segoe UI" w:eastAsia="Calibri" w:hAnsi="Segoe UI" w:cs="Segoe UI"/>
                <w:b/>
                <w:bCs/>
                <w:color w:val="006CE5"/>
                <w:sz w:val="28"/>
                <w:szCs w:val="28"/>
                <w:lang w:eastAsia="fr-FR"/>
              </w:rPr>
              <w:tab/>
            </w:r>
            <w:r w:rsidRPr="00340DDD">
              <w:rPr>
                <w:rFonts w:ascii="Segoe UI" w:eastAsia="Calibri" w:hAnsi="Segoe UI" w:cs="Segoe UI"/>
                <w:b/>
                <w:bCs/>
                <w:color w:val="006CE5"/>
                <w:sz w:val="28"/>
                <w:szCs w:val="28"/>
                <w:lang w:eastAsia="fr-FR"/>
              </w:rPr>
              <w:tab/>
            </w:r>
          </w:p>
        </w:tc>
      </w:tr>
    </w:tbl>
    <w:p w14:paraId="7DB449C4" w14:textId="54929D6C" w:rsidR="002F4D02" w:rsidRPr="0056448A" w:rsidRDefault="002F4D02" w:rsidP="00FB42E8">
      <w:pPr>
        <w:pStyle w:val="Briefinglist1"/>
        <w:keepLines w:val="0"/>
        <w:numPr>
          <w:ilvl w:val="0"/>
          <w:numId w:val="0"/>
        </w:numPr>
        <w:rPr>
          <w:rFonts w:ascii="Segoe UI" w:eastAsia="Times New Roman" w:hAnsi="Segoe UI" w:cs="Segoe UI"/>
          <w:i/>
          <w:iCs/>
          <w:color w:val="006CE5"/>
          <w:sz w:val="20"/>
          <w:szCs w:val="22"/>
          <w:lang w:val="fr-FR" w:eastAsia="fr-FR"/>
        </w:rPr>
      </w:pPr>
      <w:r w:rsidRPr="00A12E9B">
        <w:rPr>
          <w:rFonts w:ascii="Segoe UI" w:eastAsia="Times New Roman" w:hAnsi="Segoe UI" w:cs="Segoe UI"/>
          <w:i/>
          <w:iCs/>
          <w:color w:val="006CE5"/>
          <w:sz w:val="20"/>
          <w:szCs w:val="22"/>
          <w:lang w:val="fr-FR" w:eastAsia="fr-FR"/>
        </w:rPr>
        <w:t>En 20</w:t>
      </w:r>
      <w:r w:rsidR="00036A66">
        <w:rPr>
          <w:rFonts w:ascii="Segoe UI" w:eastAsia="Times New Roman" w:hAnsi="Segoe UI" w:cs="Segoe UI"/>
          <w:i/>
          <w:iCs/>
          <w:color w:val="006CE5"/>
          <w:sz w:val="20"/>
          <w:szCs w:val="22"/>
          <w:lang w:val="fr-FR" w:eastAsia="fr-FR"/>
        </w:rPr>
        <w:t>21/</w:t>
      </w:r>
      <w:r w:rsidRPr="00A12E9B">
        <w:rPr>
          <w:rFonts w:ascii="Segoe UI" w:eastAsia="Times New Roman" w:hAnsi="Segoe UI" w:cs="Segoe UI"/>
          <w:i/>
          <w:iCs/>
          <w:color w:val="006CE5"/>
          <w:sz w:val="20"/>
          <w:szCs w:val="22"/>
          <w:lang w:val="fr-FR" w:eastAsia="fr-FR"/>
        </w:rPr>
        <w:t>22, le commerce extérieur de la Tanzanie est resté viable, malgré les défis posés par les prix élevés des matières premières, les conditions financières restrictives, l’inflation élevée chez les partenaires commerciaux et les perturbations d’approvisionnement causées par la guerre en Ukraine</w:t>
      </w:r>
      <w:r w:rsidR="002F7844">
        <w:rPr>
          <w:rFonts w:ascii="Segoe UI" w:eastAsia="Times New Roman" w:hAnsi="Segoe UI" w:cs="Segoe UI"/>
          <w:i/>
          <w:iCs/>
          <w:color w:val="006CE5"/>
          <w:sz w:val="20"/>
          <w:szCs w:val="22"/>
          <w:lang w:val="fr-FR" w:eastAsia="fr-FR"/>
        </w:rPr>
        <w:t>, e</w:t>
      </w:r>
      <w:r w:rsidR="00645EDC" w:rsidRPr="0056448A">
        <w:rPr>
          <w:rFonts w:ascii="Segoe UI" w:eastAsia="Times New Roman" w:hAnsi="Segoe UI" w:cs="Segoe UI"/>
          <w:i/>
          <w:iCs/>
          <w:color w:val="006CE5"/>
          <w:sz w:val="20"/>
          <w:szCs w:val="22"/>
          <w:lang w:val="fr-FR" w:eastAsia="fr-FR"/>
        </w:rPr>
        <w:t xml:space="preserve">n 2022 le commerce extérieur tanzanien </w:t>
      </w:r>
      <w:r w:rsidR="0056448A" w:rsidRPr="0056448A">
        <w:rPr>
          <w:rFonts w:ascii="Segoe UI" w:eastAsia="Times New Roman" w:hAnsi="Segoe UI" w:cs="Segoe UI"/>
          <w:i/>
          <w:iCs/>
          <w:color w:val="006CE5"/>
          <w:sz w:val="20"/>
          <w:szCs w:val="22"/>
          <w:lang w:val="fr-FR" w:eastAsia="fr-FR"/>
        </w:rPr>
        <w:t>a</w:t>
      </w:r>
      <w:r w:rsidR="00645EDC" w:rsidRPr="0056448A">
        <w:rPr>
          <w:rFonts w:ascii="Segoe UI" w:eastAsia="Times New Roman" w:hAnsi="Segoe UI" w:cs="Segoe UI"/>
          <w:i/>
          <w:iCs/>
          <w:color w:val="006CE5"/>
          <w:sz w:val="20"/>
          <w:szCs w:val="22"/>
          <w:lang w:val="fr-FR" w:eastAsia="fr-FR"/>
        </w:rPr>
        <w:t xml:space="preserve"> enregistré une hausse de +36% par rapport à </w:t>
      </w:r>
      <w:r w:rsidR="0056448A" w:rsidRPr="0056448A">
        <w:rPr>
          <w:rFonts w:ascii="Segoe UI" w:eastAsia="Times New Roman" w:hAnsi="Segoe UI" w:cs="Segoe UI"/>
          <w:i/>
          <w:iCs/>
          <w:color w:val="006CE5"/>
          <w:sz w:val="20"/>
          <w:szCs w:val="22"/>
          <w:lang w:val="fr-FR" w:eastAsia="fr-FR"/>
        </w:rPr>
        <w:t>2021</w:t>
      </w:r>
      <w:r w:rsidR="0056448A">
        <w:rPr>
          <w:rFonts w:ascii="Segoe UI" w:eastAsia="Times New Roman" w:hAnsi="Segoe UI" w:cs="Segoe UI"/>
          <w:i/>
          <w:iCs/>
          <w:color w:val="006CE5"/>
          <w:sz w:val="20"/>
          <w:szCs w:val="22"/>
          <w:lang w:val="fr-FR" w:eastAsia="fr-FR"/>
        </w:rPr>
        <w:t>.</w:t>
      </w:r>
      <w:r w:rsidR="00645EDC" w:rsidRPr="0056448A">
        <w:rPr>
          <w:rFonts w:ascii="Segoe UI" w:eastAsia="Times New Roman" w:hAnsi="Segoe UI" w:cs="Segoe UI"/>
          <w:i/>
          <w:iCs/>
          <w:color w:val="006CE5"/>
          <w:sz w:val="20"/>
          <w:szCs w:val="22"/>
          <w:lang w:val="fr-FR" w:eastAsia="fr-FR"/>
        </w:rPr>
        <w:t xml:space="preserve"> Portées par l’augmentation de la demande intérieure et des prix mondiaux des produits pétroliers, les importations ont enregistré la plus forte progression en valeur, +37%, en 2022. Les exportations, largement dominées par les produits primaires (agriculture, mines) et le tourisme générant des recettes volatiles, sont en hausse, mais ne parviennent pas à renverser le déficit commercial structurel du pays. La Chine et l</w:t>
      </w:r>
      <w:r w:rsidR="001263EF">
        <w:rPr>
          <w:rFonts w:ascii="Segoe UI" w:eastAsia="Times New Roman" w:hAnsi="Segoe UI" w:cs="Segoe UI"/>
          <w:i/>
          <w:iCs/>
          <w:color w:val="006CE5"/>
          <w:sz w:val="20"/>
          <w:szCs w:val="22"/>
          <w:lang w:val="fr-FR" w:eastAsia="fr-FR"/>
        </w:rPr>
        <w:t xml:space="preserve">es </w:t>
      </w:r>
      <w:r w:rsidR="0056448A" w:rsidRPr="0056448A">
        <w:rPr>
          <w:rFonts w:ascii="Segoe UI" w:eastAsia="Times New Roman" w:hAnsi="Segoe UI" w:cs="Segoe UI"/>
          <w:i/>
          <w:iCs/>
          <w:color w:val="006CE5"/>
          <w:sz w:val="20"/>
          <w:szCs w:val="22"/>
          <w:lang w:val="fr-FR" w:eastAsia="fr-FR"/>
        </w:rPr>
        <w:t>Emirats arabes unis</w:t>
      </w:r>
      <w:r w:rsidR="00645EDC" w:rsidRPr="0056448A">
        <w:rPr>
          <w:rFonts w:ascii="Segoe UI" w:eastAsia="Times New Roman" w:hAnsi="Segoe UI" w:cs="Segoe UI"/>
          <w:i/>
          <w:iCs/>
          <w:color w:val="006CE5"/>
          <w:sz w:val="20"/>
          <w:szCs w:val="22"/>
          <w:lang w:val="fr-FR" w:eastAsia="fr-FR"/>
        </w:rPr>
        <w:t xml:space="preserve"> demeurent les deux principaux partenaires commerciaux de la Tanzanie</w:t>
      </w:r>
      <w:r w:rsidR="0056448A" w:rsidRPr="0056448A">
        <w:rPr>
          <w:rFonts w:ascii="Segoe UI" w:eastAsia="Times New Roman" w:hAnsi="Segoe UI" w:cs="Segoe UI"/>
          <w:i/>
          <w:iCs/>
          <w:color w:val="006CE5"/>
          <w:sz w:val="20"/>
          <w:szCs w:val="22"/>
          <w:lang w:val="fr-FR" w:eastAsia="fr-FR"/>
        </w:rPr>
        <w:t>.</w:t>
      </w:r>
      <w:r w:rsidR="00645EDC" w:rsidRPr="0056448A">
        <w:rPr>
          <w:rFonts w:ascii="Segoe UI" w:eastAsia="Times New Roman" w:hAnsi="Segoe UI" w:cs="Segoe UI"/>
          <w:i/>
          <w:iCs/>
          <w:color w:val="006CE5"/>
          <w:sz w:val="20"/>
          <w:szCs w:val="22"/>
          <w:lang w:val="fr-FR" w:eastAsia="fr-FR"/>
        </w:rPr>
        <w:t xml:space="preserve"> </w:t>
      </w:r>
    </w:p>
    <w:p w14:paraId="7B07F728" w14:textId="77777777" w:rsidR="00FB42E8" w:rsidRPr="005C5173" w:rsidRDefault="00FB42E8" w:rsidP="00FB42E8">
      <w:pPr>
        <w:rPr>
          <w:rFonts w:ascii="Segoe UI" w:eastAsia="Times New Roman" w:hAnsi="Segoe UI" w:cs="Segoe UI"/>
          <w:color w:val="000091"/>
          <w:lang w:eastAsia="fr-FR"/>
        </w:rPr>
      </w:pPr>
      <w:r w:rsidRPr="005C5173">
        <w:rPr>
          <w:rFonts w:ascii="Segoe UI" w:hAnsi="Segoe UI" w:cs="Segoe UI"/>
          <w:noProof/>
          <w:color w:val="000091"/>
          <w:lang w:eastAsia="fr-FR"/>
        </w:rPr>
        <mc:AlternateContent>
          <mc:Choice Requires="wps">
            <w:drawing>
              <wp:inline distT="0" distB="0" distL="0" distR="0" wp14:anchorId="43BBE356" wp14:editId="1A0D3369">
                <wp:extent cx="5780599" cy="297711"/>
                <wp:effectExtent l="0" t="0" r="0" b="762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599" cy="297711"/>
                        </a:xfrm>
                        <a:prstGeom prst="rect">
                          <a:avLst/>
                        </a:prstGeom>
                        <a:solidFill>
                          <a:srgbClr val="006CE5"/>
                        </a:solidFill>
                        <a:ln w="9525">
                          <a:noFill/>
                          <a:miter lim="800000"/>
                          <a:headEnd/>
                          <a:tailEnd/>
                        </a:ln>
                      </wps:spPr>
                      <wps:txbx>
                        <w:txbxContent>
                          <w:p w14:paraId="45FD2A92" w14:textId="68C72489" w:rsidR="00FB42E8" w:rsidRPr="00492C67" w:rsidRDefault="00861F6D" w:rsidP="00D27C98">
                            <w:pPr>
                              <w:spacing w:line="276" w:lineRule="auto"/>
                              <w:jc w:val="both"/>
                              <w:rPr>
                                <w:rFonts w:ascii="Segoe UI Historic" w:hAnsi="Segoe UI Historic" w:cs="Segoe UI Historic"/>
                                <w:color w:val="FFFFFF" w:themeColor="background1"/>
                                <w:sz w:val="24"/>
                                <w:szCs w:val="24"/>
                              </w:rPr>
                            </w:pPr>
                            <w:r>
                              <w:rPr>
                                <w:rFonts w:ascii="Segoe UI" w:hAnsi="Segoe UI" w:cs="Segoe UI"/>
                                <w:b/>
                                <w:bCs/>
                                <w:color w:val="FFFFFF" w:themeColor="background1"/>
                              </w:rPr>
                              <w:t xml:space="preserve">Progression du commerce extérieur tanzanien, </w:t>
                            </w:r>
                            <w:r w:rsidR="00E756CC" w:rsidRPr="00D27C98">
                              <w:rPr>
                                <w:rFonts w:ascii="Segoe UI" w:hAnsi="Segoe UI" w:cs="Segoe UI"/>
                                <w:b/>
                                <w:bCs/>
                                <w:color w:val="FFFFFF" w:themeColor="background1"/>
                              </w:rPr>
                              <w:t>+</w:t>
                            </w:r>
                            <w:r w:rsidR="00D27C98" w:rsidRPr="00D27C98">
                              <w:rPr>
                                <w:rFonts w:ascii="Segoe UI" w:hAnsi="Segoe UI" w:cs="Segoe UI"/>
                                <w:b/>
                                <w:bCs/>
                                <w:color w:val="FFFFFF" w:themeColor="background1"/>
                              </w:rPr>
                              <w:t>36</w:t>
                            </w:r>
                            <w:r w:rsidR="00E756CC" w:rsidRPr="00D27C98">
                              <w:rPr>
                                <w:rFonts w:ascii="Segoe UI" w:hAnsi="Segoe UI" w:cs="Segoe UI"/>
                                <w:b/>
                                <w:bCs/>
                                <w:color w:val="FFFFFF" w:themeColor="background1"/>
                              </w:rPr>
                              <w:t>% tiré par les importations</w:t>
                            </w:r>
                          </w:p>
                        </w:txbxContent>
                      </wps:txbx>
                      <wps:bodyPr rot="0" vert="horz" wrap="square" lIns="91440" tIns="45720" rIns="91440" bIns="45720" anchor="t" anchorCtr="0">
                        <a:noAutofit/>
                      </wps:bodyPr>
                    </wps:wsp>
                  </a:graphicData>
                </a:graphic>
              </wp:inline>
            </w:drawing>
          </mc:Choice>
          <mc:Fallback>
            <w:pict>
              <v:shapetype w14:anchorId="43BBE356" id="_x0000_t202" coordsize="21600,21600" o:spt="202" path="m,l,21600r21600,l21600,xe">
                <v:stroke joinstyle="miter"/>
                <v:path gradientshapeok="t" o:connecttype="rect"/>
              </v:shapetype>
              <v:shape id="Zone de texte 2" o:spid="_x0000_s1026" type="#_x0000_t202" style="width:455.1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" fillcolor="#006ce5" stroked="f">
                <v:textbox>
                  <w:txbxContent>
                    <w:p w14:paraId="45FD2A92" w14:textId="68C72489" w:rsidR="00FB42E8" w:rsidRPr="00492C67" w:rsidRDefault="00861F6D" w:rsidP="00D27C98">
                      <w:pPr>
                        <w:spacing w:line="276" w:lineRule="auto"/>
                        <w:jc w:val="both"/>
                        <w:rPr>
                          <w:rFonts w:ascii="Segoe UI Historic" w:hAnsi="Segoe UI Historic" w:cs="Segoe UI Historic"/>
                          <w:color w:val="FFFFFF" w:themeColor="background1"/>
                          <w:sz w:val="24"/>
                          <w:szCs w:val="24"/>
                        </w:rPr>
                      </w:pPr>
                      <w:r>
                        <w:rPr>
                          <w:rFonts w:ascii="Segoe UI" w:hAnsi="Segoe UI" w:cs="Segoe UI"/>
                          <w:b/>
                          <w:bCs/>
                          <w:color w:val="FFFFFF" w:themeColor="background1"/>
                        </w:rPr>
                        <w:t xml:space="preserve">Progression du commerce extérieur tanzanien, </w:t>
                      </w:r>
                      <w:r w:rsidR="00E756CC" w:rsidRPr="00D27C98">
                        <w:rPr>
                          <w:rFonts w:ascii="Segoe UI" w:hAnsi="Segoe UI" w:cs="Segoe UI"/>
                          <w:b/>
                          <w:bCs/>
                          <w:color w:val="FFFFFF" w:themeColor="background1"/>
                        </w:rPr>
                        <w:t>+</w:t>
                      </w:r>
                      <w:r w:rsidR="00D27C98" w:rsidRPr="00D27C98">
                        <w:rPr>
                          <w:rFonts w:ascii="Segoe UI" w:hAnsi="Segoe UI" w:cs="Segoe UI"/>
                          <w:b/>
                          <w:bCs/>
                          <w:color w:val="FFFFFF" w:themeColor="background1"/>
                        </w:rPr>
                        <w:t>36</w:t>
                      </w:r>
                      <w:r w:rsidR="00E756CC" w:rsidRPr="00D27C98">
                        <w:rPr>
                          <w:rFonts w:ascii="Segoe UI" w:hAnsi="Segoe UI" w:cs="Segoe UI"/>
                          <w:b/>
                          <w:bCs/>
                          <w:color w:val="FFFFFF" w:themeColor="background1"/>
                        </w:rPr>
                        <w:t>% tiré par les importations</w:t>
                      </w:r>
                    </w:p>
                  </w:txbxContent>
                </v:textbox>
                <w10:anchorlock/>
              </v:shape>
            </w:pict>
          </mc:Fallback>
        </mc:AlternateContent>
      </w:r>
      <w:r w:rsidRPr="005C5173">
        <w:rPr>
          <w:rFonts w:ascii="Segoe UI" w:eastAsia="Times New Roman" w:hAnsi="Segoe UI" w:cs="Segoe UI"/>
          <w:color w:val="000091"/>
          <w:lang w:eastAsia="fr-FR"/>
        </w:rPr>
        <w:t xml:space="preserve"> </w:t>
      </w:r>
    </w:p>
    <w:p w14:paraId="2452FB04" w14:textId="26464263" w:rsidR="002D4FE0" w:rsidRDefault="002D4FE0" w:rsidP="00F67CCF">
      <w:pPr>
        <w:spacing w:line="276" w:lineRule="auto"/>
        <w:jc w:val="both"/>
        <w:rPr>
          <w:rFonts w:ascii="Segoe UI" w:eastAsia="SimSun" w:hAnsi="Segoe UI" w:cs="Segoe UI"/>
          <w:color w:val="000000" w:themeColor="text1"/>
          <w:sz w:val="20"/>
          <w:lang w:eastAsia="ja-JP"/>
        </w:rPr>
      </w:pPr>
      <w:r w:rsidRPr="00D47519">
        <w:rPr>
          <w:rFonts w:ascii="Segoe UI" w:eastAsia="SimSun" w:hAnsi="Segoe UI" w:cs="Segoe UI"/>
          <w:b/>
          <w:bCs/>
          <w:color w:val="000000" w:themeColor="text1"/>
          <w:sz w:val="20"/>
          <w:lang w:eastAsia="ja-JP"/>
        </w:rPr>
        <w:t>Après avoir chuté sous l’effet de la crise économique et sanitaire</w:t>
      </w:r>
      <w:r w:rsidR="001263EF">
        <w:rPr>
          <w:rFonts w:ascii="Segoe UI" w:eastAsia="SimSun" w:hAnsi="Segoe UI" w:cs="Segoe UI"/>
          <w:b/>
          <w:bCs/>
          <w:color w:val="000000" w:themeColor="text1"/>
          <w:sz w:val="20"/>
          <w:lang w:eastAsia="ja-JP"/>
        </w:rPr>
        <w:t xml:space="preserve"> du Covid-19</w:t>
      </w:r>
      <w:r w:rsidRPr="00D47519">
        <w:rPr>
          <w:rFonts w:ascii="Segoe UI" w:eastAsia="SimSun" w:hAnsi="Segoe UI" w:cs="Segoe UI"/>
          <w:b/>
          <w:bCs/>
          <w:color w:val="000000" w:themeColor="text1"/>
          <w:sz w:val="20"/>
          <w:lang w:eastAsia="ja-JP"/>
        </w:rPr>
        <w:t>, les échanges commerciaux se sont redressés en 2021/22, en hausse de +</w:t>
      </w:r>
      <w:r w:rsidR="00692AF8" w:rsidRPr="00D47519">
        <w:rPr>
          <w:rFonts w:ascii="Segoe UI" w:eastAsia="SimSun" w:hAnsi="Segoe UI" w:cs="Segoe UI"/>
          <w:b/>
          <w:bCs/>
          <w:color w:val="000000" w:themeColor="text1"/>
          <w:sz w:val="20"/>
          <w:lang w:eastAsia="ja-JP"/>
        </w:rPr>
        <w:t>36</w:t>
      </w:r>
      <w:r w:rsidR="003239BF" w:rsidRPr="00D47519">
        <w:rPr>
          <w:rFonts w:ascii="Segoe UI" w:eastAsia="SimSun" w:hAnsi="Segoe UI" w:cs="Segoe UI"/>
          <w:b/>
          <w:bCs/>
          <w:color w:val="000000" w:themeColor="text1"/>
          <w:sz w:val="20"/>
          <w:lang w:eastAsia="ja-JP"/>
        </w:rPr>
        <w:t>%</w:t>
      </w:r>
      <w:r w:rsidRPr="00D47519">
        <w:rPr>
          <w:rFonts w:ascii="Segoe UI" w:eastAsia="SimSun" w:hAnsi="Segoe UI" w:cs="Segoe UI"/>
          <w:b/>
          <w:bCs/>
          <w:color w:val="000000" w:themeColor="text1"/>
          <w:sz w:val="20"/>
          <w:lang w:eastAsia="ja-JP"/>
        </w:rPr>
        <w:t xml:space="preserve"> par rapport à 2020/21,</w:t>
      </w:r>
      <w:r w:rsidRPr="00692AF8">
        <w:rPr>
          <w:rFonts w:ascii="Segoe UI" w:eastAsia="SimSun" w:hAnsi="Segoe UI" w:cs="Segoe UI"/>
          <w:color w:val="000000" w:themeColor="text1"/>
          <w:sz w:val="20"/>
          <w:lang w:eastAsia="ja-JP"/>
        </w:rPr>
        <w:t xml:space="preserve"> pour atteindre 25,1 Md USD (contre </w:t>
      </w:r>
      <w:r w:rsidR="00DA41DC" w:rsidRPr="00692AF8">
        <w:rPr>
          <w:rFonts w:ascii="Segoe UI" w:eastAsia="SimSun" w:hAnsi="Segoe UI" w:cs="Segoe UI"/>
          <w:color w:val="000000" w:themeColor="text1"/>
          <w:sz w:val="20"/>
          <w:lang w:eastAsia="ja-JP"/>
        </w:rPr>
        <w:t>1</w:t>
      </w:r>
      <w:r w:rsidR="00692AF8" w:rsidRPr="00692AF8">
        <w:rPr>
          <w:rFonts w:ascii="Segoe UI" w:eastAsia="SimSun" w:hAnsi="Segoe UI" w:cs="Segoe UI"/>
          <w:color w:val="000000" w:themeColor="text1"/>
          <w:sz w:val="20"/>
          <w:lang w:eastAsia="ja-JP"/>
        </w:rPr>
        <w:t>8</w:t>
      </w:r>
      <w:r w:rsidR="00DA41DC" w:rsidRPr="00692AF8">
        <w:rPr>
          <w:rFonts w:ascii="Segoe UI" w:eastAsia="SimSun" w:hAnsi="Segoe UI" w:cs="Segoe UI"/>
          <w:color w:val="000000" w:themeColor="text1"/>
          <w:sz w:val="20"/>
          <w:lang w:eastAsia="ja-JP"/>
        </w:rPr>
        <w:t>,6</w:t>
      </w:r>
      <w:r w:rsidR="00FC48B0" w:rsidRPr="00692AF8">
        <w:rPr>
          <w:rFonts w:ascii="Segoe UI" w:eastAsia="SimSun" w:hAnsi="Segoe UI" w:cs="Segoe UI"/>
          <w:color w:val="000000" w:themeColor="text1"/>
          <w:sz w:val="20"/>
          <w:lang w:eastAsia="ja-JP"/>
        </w:rPr>
        <w:t xml:space="preserve"> Md USD</w:t>
      </w:r>
      <w:r w:rsidRPr="00692AF8">
        <w:rPr>
          <w:rFonts w:ascii="Segoe UI" w:eastAsia="SimSun" w:hAnsi="Segoe UI" w:cs="Segoe UI"/>
          <w:color w:val="000000" w:themeColor="text1"/>
          <w:sz w:val="20"/>
          <w:lang w:eastAsia="ja-JP"/>
        </w:rPr>
        <w:t xml:space="preserve"> lors de l’exercice précédent). </w:t>
      </w:r>
      <w:r w:rsidRPr="003239BF">
        <w:rPr>
          <w:rFonts w:ascii="Segoe UI" w:eastAsia="SimSun" w:hAnsi="Segoe UI" w:cs="Segoe UI"/>
          <w:color w:val="000000" w:themeColor="text1"/>
          <w:sz w:val="20"/>
          <w:lang w:eastAsia="ja-JP"/>
        </w:rPr>
        <w:t xml:space="preserve">La Tanzanie récupère et dépasse alors la performance prépandémique de 19,7 Md USD en 2019 et confirme la rupture avec l’ère </w:t>
      </w:r>
      <w:proofErr w:type="spellStart"/>
      <w:r w:rsidRPr="003239BF">
        <w:rPr>
          <w:rFonts w:ascii="Segoe UI" w:eastAsia="SimSun" w:hAnsi="Segoe UI" w:cs="Segoe UI"/>
          <w:color w:val="000000" w:themeColor="text1"/>
          <w:sz w:val="20"/>
          <w:lang w:eastAsia="ja-JP"/>
        </w:rPr>
        <w:t>Magufuli</w:t>
      </w:r>
      <w:proofErr w:type="spellEnd"/>
      <w:r w:rsidRPr="003239BF">
        <w:rPr>
          <w:rFonts w:ascii="Segoe UI" w:eastAsia="SimSun" w:hAnsi="Segoe UI" w:cs="Segoe UI"/>
          <w:color w:val="000000" w:themeColor="text1"/>
          <w:sz w:val="20"/>
          <w:lang w:eastAsia="ja-JP"/>
        </w:rPr>
        <w:t>, caractérisée par son peu d’ouverture vers l’international.</w:t>
      </w:r>
    </w:p>
    <w:p w14:paraId="7F724144" w14:textId="1D58AA90" w:rsidR="00A62CEE" w:rsidRPr="00D27C98" w:rsidRDefault="00A62CEE" w:rsidP="00F67CCF">
      <w:pPr>
        <w:spacing w:line="276" w:lineRule="auto"/>
        <w:jc w:val="both"/>
        <w:rPr>
          <w:rFonts w:ascii="Segoe UI" w:eastAsia="SimSun" w:hAnsi="Segoe UI" w:cs="Segoe UI"/>
          <w:color w:val="000000" w:themeColor="text1"/>
          <w:sz w:val="20"/>
          <w:lang w:eastAsia="ja-JP"/>
        </w:rPr>
      </w:pPr>
      <w:r w:rsidRPr="00D47519">
        <w:rPr>
          <w:rFonts w:ascii="Segoe UI" w:eastAsia="SimSun" w:hAnsi="Segoe UI" w:cs="Segoe UI"/>
          <w:b/>
          <w:bCs/>
          <w:color w:val="000000" w:themeColor="text1"/>
          <w:sz w:val="20"/>
          <w:lang w:eastAsia="ja-JP"/>
        </w:rPr>
        <w:t xml:space="preserve">Les importations de biens et de services ont augmenté pour atteindre </w:t>
      </w:r>
      <w:r w:rsidR="00F25279" w:rsidRPr="00D47519">
        <w:rPr>
          <w:rFonts w:ascii="Segoe UI" w:eastAsia="SimSun" w:hAnsi="Segoe UI" w:cs="Segoe UI"/>
          <w:b/>
          <w:bCs/>
          <w:color w:val="000000" w:themeColor="text1"/>
          <w:sz w:val="20"/>
          <w:lang w:eastAsia="ja-JP"/>
        </w:rPr>
        <w:t>14</w:t>
      </w:r>
      <w:r w:rsidRPr="00D47519">
        <w:rPr>
          <w:rFonts w:ascii="Segoe UI" w:eastAsia="SimSun" w:hAnsi="Segoe UI" w:cs="Segoe UI"/>
          <w:b/>
          <w:bCs/>
          <w:color w:val="000000" w:themeColor="text1"/>
          <w:sz w:val="20"/>
          <w:lang w:eastAsia="ja-JP"/>
        </w:rPr>
        <w:t xml:space="preserve"> M</w:t>
      </w:r>
      <w:r w:rsidR="00F25279" w:rsidRPr="00D47519">
        <w:rPr>
          <w:rFonts w:ascii="Segoe UI" w:eastAsia="SimSun" w:hAnsi="Segoe UI" w:cs="Segoe UI"/>
          <w:b/>
          <w:bCs/>
          <w:color w:val="000000" w:themeColor="text1"/>
          <w:sz w:val="20"/>
          <w:lang w:eastAsia="ja-JP"/>
        </w:rPr>
        <w:t>d</w:t>
      </w:r>
      <w:r w:rsidRPr="00D47519">
        <w:rPr>
          <w:rFonts w:ascii="Segoe UI" w:eastAsia="SimSun" w:hAnsi="Segoe UI" w:cs="Segoe UI"/>
          <w:b/>
          <w:bCs/>
          <w:color w:val="000000" w:themeColor="text1"/>
          <w:sz w:val="20"/>
          <w:lang w:eastAsia="ja-JP"/>
        </w:rPr>
        <w:t xml:space="preserve"> USD en 2021/22 (contre </w:t>
      </w:r>
      <w:r w:rsidR="00F25279" w:rsidRPr="00D47519">
        <w:rPr>
          <w:rFonts w:ascii="Segoe UI" w:eastAsia="SimSun" w:hAnsi="Segoe UI" w:cs="Segoe UI"/>
          <w:b/>
          <w:bCs/>
          <w:color w:val="000000" w:themeColor="text1"/>
          <w:sz w:val="20"/>
          <w:lang w:eastAsia="ja-JP"/>
        </w:rPr>
        <w:t>9,8</w:t>
      </w:r>
      <w:r w:rsidRPr="00D47519">
        <w:rPr>
          <w:rFonts w:ascii="Segoe UI" w:eastAsia="SimSun" w:hAnsi="Segoe UI" w:cs="Segoe UI"/>
          <w:b/>
          <w:bCs/>
          <w:color w:val="000000" w:themeColor="text1"/>
          <w:sz w:val="20"/>
          <w:lang w:eastAsia="ja-JP"/>
        </w:rPr>
        <w:t xml:space="preserve"> M</w:t>
      </w:r>
      <w:r w:rsidR="00F25279" w:rsidRPr="00D47519">
        <w:rPr>
          <w:rFonts w:ascii="Segoe UI" w:eastAsia="SimSun" w:hAnsi="Segoe UI" w:cs="Segoe UI"/>
          <w:b/>
          <w:bCs/>
          <w:color w:val="000000" w:themeColor="text1"/>
          <w:sz w:val="20"/>
          <w:lang w:eastAsia="ja-JP"/>
        </w:rPr>
        <w:t>d</w:t>
      </w:r>
      <w:r w:rsidRPr="00D47519">
        <w:rPr>
          <w:rFonts w:ascii="Segoe UI" w:eastAsia="SimSun" w:hAnsi="Segoe UI" w:cs="Segoe UI"/>
          <w:b/>
          <w:bCs/>
          <w:color w:val="000000" w:themeColor="text1"/>
          <w:sz w:val="20"/>
          <w:lang w:eastAsia="ja-JP"/>
        </w:rPr>
        <w:t xml:space="preserve"> USD en 2020/21).</w:t>
      </w:r>
      <w:r w:rsidRPr="00F25279">
        <w:rPr>
          <w:rFonts w:ascii="Segoe UI" w:eastAsia="SimSun" w:hAnsi="Segoe UI" w:cs="Segoe UI"/>
          <w:color w:val="000000" w:themeColor="text1"/>
          <w:sz w:val="20"/>
          <w:lang w:eastAsia="ja-JP"/>
        </w:rPr>
        <w:t xml:space="preserve"> </w:t>
      </w:r>
      <w:r w:rsidRPr="00D27C98">
        <w:rPr>
          <w:rFonts w:ascii="Segoe UI" w:eastAsia="SimSun" w:hAnsi="Segoe UI" w:cs="Segoe UI"/>
          <w:color w:val="000000" w:themeColor="text1"/>
          <w:sz w:val="20"/>
          <w:lang w:eastAsia="ja-JP"/>
        </w:rPr>
        <w:t>En particulier, les</w:t>
      </w:r>
      <w:r w:rsidR="001263EF">
        <w:rPr>
          <w:rFonts w:ascii="Segoe UI" w:eastAsia="SimSun" w:hAnsi="Segoe UI" w:cs="Segoe UI"/>
          <w:color w:val="000000" w:themeColor="text1"/>
          <w:sz w:val="20"/>
          <w:lang w:eastAsia="ja-JP"/>
        </w:rPr>
        <w:t> </w:t>
      </w:r>
      <w:proofErr w:type="spellStart"/>
      <w:r w:rsidR="00CA4729">
        <w:rPr>
          <w:rFonts w:ascii="Segoe UI" w:eastAsia="SimSun" w:hAnsi="Segoe UI" w:cs="Segoe UI"/>
          <w:color w:val="000000" w:themeColor="text1"/>
          <w:sz w:val="20"/>
          <w:lang w:eastAsia="ja-JP"/>
        </w:rPr>
        <w:t>importaions</w:t>
      </w:r>
      <w:proofErr w:type="spellEnd"/>
      <w:r w:rsidR="00CA4729">
        <w:rPr>
          <w:rFonts w:ascii="Segoe UI" w:eastAsia="SimSun" w:hAnsi="Segoe UI" w:cs="Segoe UI"/>
          <w:color w:val="000000" w:themeColor="text1"/>
          <w:sz w:val="20"/>
          <w:lang w:eastAsia="ja-JP"/>
        </w:rPr>
        <w:t xml:space="preserve"> </w:t>
      </w:r>
      <w:r w:rsidRPr="00D27C98">
        <w:rPr>
          <w:rFonts w:ascii="Segoe UI" w:eastAsia="SimSun" w:hAnsi="Segoe UI" w:cs="Segoe UI"/>
          <w:color w:val="000000" w:themeColor="text1"/>
          <w:sz w:val="20"/>
          <w:lang w:eastAsia="ja-JP"/>
        </w:rPr>
        <w:t xml:space="preserve">de biens </w:t>
      </w:r>
      <w:r w:rsidR="006E16B8" w:rsidRPr="00D27C98">
        <w:rPr>
          <w:rFonts w:ascii="Segoe UI" w:eastAsia="SimSun" w:hAnsi="Segoe UI" w:cs="Segoe UI"/>
          <w:color w:val="000000" w:themeColor="text1"/>
          <w:sz w:val="20"/>
          <w:lang w:eastAsia="ja-JP"/>
        </w:rPr>
        <w:t>sont en forte hausse sur l’exercice</w:t>
      </w:r>
      <w:r w:rsidRPr="00D27C98">
        <w:rPr>
          <w:rFonts w:ascii="Segoe UI" w:eastAsia="SimSun" w:hAnsi="Segoe UI" w:cs="Segoe UI"/>
          <w:color w:val="000000" w:themeColor="text1"/>
          <w:sz w:val="20"/>
          <w:lang w:eastAsia="ja-JP"/>
        </w:rPr>
        <w:t xml:space="preserve"> </w:t>
      </w:r>
      <w:r w:rsidR="006E16B8" w:rsidRPr="00D27C98">
        <w:rPr>
          <w:rFonts w:ascii="Segoe UI" w:eastAsia="SimSun" w:hAnsi="Segoe UI" w:cs="Segoe UI"/>
          <w:color w:val="000000" w:themeColor="text1"/>
          <w:sz w:val="20"/>
          <w:lang w:eastAsia="ja-JP"/>
        </w:rPr>
        <w:t>(+</w:t>
      </w:r>
      <w:r w:rsidR="00A74CB5" w:rsidRPr="00D27C98">
        <w:rPr>
          <w:rFonts w:ascii="Segoe UI" w:eastAsia="SimSun" w:hAnsi="Segoe UI" w:cs="Segoe UI"/>
          <w:color w:val="000000" w:themeColor="text1"/>
          <w:sz w:val="20"/>
          <w:lang w:eastAsia="ja-JP"/>
        </w:rPr>
        <w:t>37</w:t>
      </w:r>
      <w:r w:rsidRPr="00D27C98">
        <w:rPr>
          <w:rFonts w:ascii="Segoe UI" w:eastAsia="SimSun" w:hAnsi="Segoe UI" w:cs="Segoe UI"/>
          <w:color w:val="000000" w:themeColor="text1"/>
          <w:sz w:val="20"/>
          <w:lang w:eastAsia="ja-JP"/>
        </w:rPr>
        <w:t>%</w:t>
      </w:r>
      <w:r w:rsidR="006E16B8" w:rsidRPr="00D27C98">
        <w:rPr>
          <w:rFonts w:ascii="Segoe UI" w:eastAsia="SimSun" w:hAnsi="Segoe UI" w:cs="Segoe UI"/>
          <w:color w:val="000000" w:themeColor="text1"/>
          <w:sz w:val="20"/>
          <w:lang w:eastAsia="ja-JP"/>
        </w:rPr>
        <w:t xml:space="preserve">) et ont atteint </w:t>
      </w:r>
      <w:r w:rsidR="00F25279" w:rsidRPr="00D27C98">
        <w:rPr>
          <w:rFonts w:ascii="Segoe UI" w:eastAsia="SimSun" w:hAnsi="Segoe UI" w:cs="Segoe UI"/>
          <w:color w:val="000000" w:themeColor="text1"/>
          <w:sz w:val="20"/>
          <w:lang w:eastAsia="ja-JP"/>
        </w:rPr>
        <w:t>11,7</w:t>
      </w:r>
      <w:r w:rsidRPr="00D27C98">
        <w:rPr>
          <w:rFonts w:ascii="Segoe UI" w:eastAsia="SimSun" w:hAnsi="Segoe UI" w:cs="Segoe UI"/>
          <w:color w:val="000000" w:themeColor="text1"/>
          <w:sz w:val="20"/>
          <w:lang w:eastAsia="ja-JP"/>
        </w:rPr>
        <w:t xml:space="preserve"> M</w:t>
      </w:r>
      <w:r w:rsidR="00F25279" w:rsidRPr="00D27C98">
        <w:rPr>
          <w:rFonts w:ascii="Segoe UI" w:eastAsia="SimSun" w:hAnsi="Segoe UI" w:cs="Segoe UI"/>
          <w:color w:val="000000" w:themeColor="text1"/>
          <w:sz w:val="20"/>
          <w:lang w:eastAsia="ja-JP"/>
        </w:rPr>
        <w:t>d</w:t>
      </w:r>
      <w:r w:rsidRPr="00D27C98">
        <w:rPr>
          <w:rFonts w:ascii="Segoe UI" w:eastAsia="SimSun" w:hAnsi="Segoe UI" w:cs="Segoe UI"/>
          <w:color w:val="000000" w:themeColor="text1"/>
          <w:sz w:val="20"/>
          <w:lang w:eastAsia="ja-JP"/>
        </w:rPr>
        <w:t xml:space="preserve"> USD</w:t>
      </w:r>
      <w:r w:rsidR="00A12E9B" w:rsidRPr="00D27C98">
        <w:rPr>
          <w:rFonts w:ascii="Segoe UI" w:eastAsia="SimSun" w:hAnsi="Segoe UI" w:cs="Segoe UI"/>
          <w:color w:val="000000" w:themeColor="text1"/>
          <w:sz w:val="20"/>
          <w:lang w:eastAsia="ja-JP"/>
        </w:rPr>
        <w:t xml:space="preserve">, en raison des prix élevés sur le marché mondial (notamment des biens intermédiaires et de consommation).  </w:t>
      </w:r>
      <w:r w:rsidR="00F67CCF" w:rsidRPr="00D47519">
        <w:rPr>
          <w:rFonts w:ascii="Segoe UI" w:eastAsia="SimSun" w:hAnsi="Segoe UI" w:cs="Segoe UI"/>
          <w:b/>
          <w:bCs/>
          <w:color w:val="000000" w:themeColor="text1"/>
          <w:sz w:val="20"/>
          <w:lang w:eastAsia="ja-JP"/>
        </w:rPr>
        <w:t xml:space="preserve">Les exportations de marchandises ont également augmenté </w:t>
      </w:r>
      <w:r w:rsidR="0090781B" w:rsidRPr="00D47519">
        <w:rPr>
          <w:rFonts w:ascii="Segoe UI" w:eastAsia="SimSun" w:hAnsi="Segoe UI" w:cs="Segoe UI"/>
          <w:b/>
          <w:bCs/>
          <w:color w:val="000000" w:themeColor="text1"/>
          <w:sz w:val="20"/>
          <w:lang w:eastAsia="ja-JP"/>
        </w:rPr>
        <w:t>(+1</w:t>
      </w:r>
      <w:r w:rsidR="00A74CB5" w:rsidRPr="00D47519">
        <w:rPr>
          <w:rFonts w:ascii="Segoe UI" w:eastAsia="SimSun" w:hAnsi="Segoe UI" w:cs="Segoe UI"/>
          <w:b/>
          <w:bCs/>
          <w:color w:val="000000" w:themeColor="text1"/>
          <w:sz w:val="20"/>
          <w:lang w:eastAsia="ja-JP"/>
        </w:rPr>
        <w:t>0</w:t>
      </w:r>
      <w:r w:rsidR="0090781B" w:rsidRPr="00D47519">
        <w:rPr>
          <w:rFonts w:ascii="Segoe UI" w:eastAsia="SimSun" w:hAnsi="Segoe UI" w:cs="Segoe UI"/>
          <w:b/>
          <w:bCs/>
          <w:color w:val="000000" w:themeColor="text1"/>
          <w:sz w:val="20"/>
          <w:lang w:eastAsia="ja-JP"/>
        </w:rPr>
        <w:t>%</w:t>
      </w:r>
      <w:r w:rsidR="006E16B8" w:rsidRPr="00D47519">
        <w:rPr>
          <w:rFonts w:ascii="Segoe UI" w:eastAsia="SimSun" w:hAnsi="Segoe UI" w:cs="Segoe UI"/>
          <w:b/>
          <w:bCs/>
          <w:color w:val="000000" w:themeColor="text1"/>
          <w:sz w:val="20"/>
          <w:lang w:eastAsia="ja-JP"/>
        </w:rPr>
        <w:t xml:space="preserve"> </w:t>
      </w:r>
      <w:r w:rsidR="00F67CCF" w:rsidRPr="00D47519">
        <w:rPr>
          <w:rFonts w:ascii="Segoe UI" w:eastAsia="SimSun" w:hAnsi="Segoe UI" w:cs="Segoe UI"/>
          <w:b/>
          <w:bCs/>
          <w:color w:val="000000" w:themeColor="text1"/>
          <w:sz w:val="20"/>
          <w:lang w:eastAsia="ja-JP"/>
        </w:rPr>
        <w:t xml:space="preserve">par rapport à </w:t>
      </w:r>
      <w:r w:rsidR="0090781B" w:rsidRPr="00D47519">
        <w:rPr>
          <w:rFonts w:ascii="Segoe UI" w:eastAsia="SimSun" w:hAnsi="Segoe UI" w:cs="Segoe UI"/>
          <w:b/>
          <w:bCs/>
          <w:color w:val="000000" w:themeColor="text1"/>
          <w:sz w:val="20"/>
          <w:lang w:eastAsia="ja-JP"/>
        </w:rPr>
        <w:t>2020/21</w:t>
      </w:r>
      <w:r w:rsidR="006E16B8" w:rsidRPr="00D47519">
        <w:rPr>
          <w:rFonts w:ascii="Segoe UI" w:eastAsia="SimSun" w:hAnsi="Segoe UI" w:cs="Segoe UI"/>
          <w:b/>
          <w:bCs/>
          <w:color w:val="000000" w:themeColor="text1"/>
          <w:sz w:val="20"/>
          <w:lang w:eastAsia="ja-JP"/>
        </w:rPr>
        <w:t>)</w:t>
      </w:r>
      <w:r w:rsidR="00F67CCF" w:rsidRPr="00D47519">
        <w:rPr>
          <w:rFonts w:ascii="Segoe UI" w:eastAsia="SimSun" w:hAnsi="Segoe UI" w:cs="Segoe UI"/>
          <w:b/>
          <w:bCs/>
          <w:color w:val="000000" w:themeColor="text1"/>
          <w:sz w:val="20"/>
          <w:lang w:eastAsia="ja-JP"/>
        </w:rPr>
        <w:t xml:space="preserve"> pour atteindre 7,1 Md USD</w:t>
      </w:r>
      <w:r w:rsidR="00F67CCF" w:rsidRPr="00D27C98">
        <w:rPr>
          <w:rFonts w:ascii="Segoe UI" w:eastAsia="SimSun" w:hAnsi="Segoe UI" w:cs="Segoe UI"/>
          <w:color w:val="000000" w:themeColor="text1"/>
          <w:sz w:val="20"/>
          <w:lang w:eastAsia="ja-JP"/>
        </w:rPr>
        <w:t xml:space="preserve"> principalement grâce aux exportations de produits non-traditionnels</w:t>
      </w:r>
      <w:r w:rsidR="0090781B" w:rsidRPr="00D27C98">
        <w:rPr>
          <w:rFonts w:ascii="Segoe UI" w:eastAsia="SimSun" w:hAnsi="Segoe UI" w:cs="Segoe UI"/>
          <w:color w:val="000000" w:themeColor="text1"/>
          <w:sz w:val="20"/>
          <w:lang w:eastAsia="ja-JP"/>
        </w:rPr>
        <w:t xml:space="preserve"> (84,5% des exportations de marchandises). </w:t>
      </w:r>
      <w:r w:rsidR="00F67CCF" w:rsidRPr="00D27C98">
        <w:rPr>
          <w:rFonts w:ascii="Segoe UI" w:eastAsia="SimSun" w:hAnsi="Segoe UI" w:cs="Segoe UI"/>
          <w:color w:val="000000" w:themeColor="text1"/>
          <w:sz w:val="20"/>
          <w:lang w:eastAsia="ja-JP"/>
        </w:rPr>
        <w:t xml:space="preserve"> </w:t>
      </w:r>
    </w:p>
    <w:p w14:paraId="14628C10" w14:textId="2E173F78" w:rsidR="00F67CCF" w:rsidRDefault="00F67CCF" w:rsidP="00E66FF9">
      <w:pPr>
        <w:spacing w:line="276" w:lineRule="auto"/>
        <w:jc w:val="both"/>
        <w:rPr>
          <w:rFonts w:ascii="Segoe UI" w:eastAsia="SimSun" w:hAnsi="Segoe UI" w:cs="Segoe UI"/>
          <w:color w:val="000000" w:themeColor="text1"/>
          <w:sz w:val="20"/>
          <w:lang w:eastAsia="ja-JP"/>
        </w:rPr>
      </w:pPr>
      <w:r w:rsidRPr="00F25279">
        <w:rPr>
          <w:rFonts w:ascii="Segoe UI" w:eastAsia="SimSun" w:hAnsi="Segoe UI" w:cs="Segoe UI"/>
          <w:color w:val="000000" w:themeColor="text1"/>
          <w:sz w:val="20"/>
          <w:lang w:eastAsia="ja-JP"/>
        </w:rPr>
        <w:t>Le positionnement de la Tanzanie dans les chaînes de valeur mondiales génère un déficit structurel de sa balance commerciale, -2,</w:t>
      </w:r>
      <w:r w:rsidR="00D54ADB">
        <w:rPr>
          <w:rFonts w:ascii="Segoe UI" w:eastAsia="SimSun" w:hAnsi="Segoe UI" w:cs="Segoe UI"/>
          <w:color w:val="000000" w:themeColor="text1"/>
          <w:sz w:val="20"/>
          <w:lang w:eastAsia="ja-JP"/>
        </w:rPr>
        <w:t>6</w:t>
      </w:r>
      <w:r w:rsidRPr="00F25279">
        <w:rPr>
          <w:rFonts w:ascii="Segoe UI" w:eastAsia="SimSun" w:hAnsi="Segoe UI" w:cs="Segoe UI"/>
          <w:color w:val="000000" w:themeColor="text1"/>
          <w:sz w:val="20"/>
          <w:lang w:eastAsia="ja-JP"/>
        </w:rPr>
        <w:t xml:space="preserve"> Md USD en 2021</w:t>
      </w:r>
      <w:r w:rsidR="00D54ADB">
        <w:rPr>
          <w:rFonts w:ascii="Segoe UI" w:eastAsia="SimSun" w:hAnsi="Segoe UI" w:cs="Segoe UI"/>
          <w:color w:val="000000" w:themeColor="text1"/>
          <w:sz w:val="20"/>
          <w:lang w:eastAsia="ja-JP"/>
        </w:rPr>
        <w:t>/2022</w:t>
      </w:r>
      <w:r w:rsidRPr="00F25279">
        <w:rPr>
          <w:rFonts w:ascii="Segoe UI" w:eastAsia="SimSun" w:hAnsi="Segoe UI" w:cs="Segoe UI"/>
          <w:color w:val="000000" w:themeColor="text1"/>
          <w:sz w:val="20"/>
          <w:lang w:eastAsia="ja-JP"/>
        </w:rPr>
        <w:t xml:space="preserve">, en augmentation de </w:t>
      </w:r>
      <w:r w:rsidRPr="0090781B">
        <w:rPr>
          <w:rFonts w:ascii="Segoe UI" w:eastAsia="SimSun" w:hAnsi="Segoe UI" w:cs="Segoe UI"/>
          <w:color w:val="000000" w:themeColor="text1"/>
          <w:sz w:val="20"/>
          <w:lang w:eastAsia="ja-JP"/>
        </w:rPr>
        <w:t>+1</w:t>
      </w:r>
      <w:r w:rsidR="00D54ADB">
        <w:rPr>
          <w:rFonts w:ascii="Segoe UI" w:eastAsia="SimSun" w:hAnsi="Segoe UI" w:cs="Segoe UI"/>
          <w:color w:val="000000" w:themeColor="text1"/>
          <w:sz w:val="20"/>
          <w:lang w:eastAsia="ja-JP"/>
        </w:rPr>
        <w:t>7</w:t>
      </w:r>
      <w:r w:rsidRPr="0090781B">
        <w:rPr>
          <w:rFonts w:ascii="Segoe UI" w:eastAsia="SimSun" w:hAnsi="Segoe UI" w:cs="Segoe UI"/>
          <w:color w:val="000000" w:themeColor="text1"/>
          <w:sz w:val="20"/>
          <w:lang w:eastAsia="ja-JP"/>
        </w:rPr>
        <w:t xml:space="preserve">0% </w:t>
      </w:r>
      <w:r w:rsidRPr="00F25279">
        <w:rPr>
          <w:rFonts w:ascii="Segoe UI" w:eastAsia="SimSun" w:hAnsi="Segoe UI" w:cs="Segoe UI"/>
          <w:color w:val="000000" w:themeColor="text1"/>
          <w:sz w:val="20"/>
          <w:lang w:eastAsia="ja-JP"/>
        </w:rPr>
        <w:t>par rapport à 2020</w:t>
      </w:r>
      <w:r w:rsidR="00F25279" w:rsidRPr="00F25279">
        <w:rPr>
          <w:rFonts w:ascii="Segoe UI" w:eastAsia="SimSun" w:hAnsi="Segoe UI" w:cs="Segoe UI"/>
          <w:color w:val="000000" w:themeColor="text1"/>
          <w:sz w:val="20"/>
          <w:lang w:eastAsia="ja-JP"/>
        </w:rPr>
        <w:t>/21</w:t>
      </w:r>
      <w:r w:rsidR="006E16B8">
        <w:rPr>
          <w:rFonts w:ascii="Segoe UI" w:eastAsia="SimSun" w:hAnsi="Segoe UI" w:cs="Segoe UI"/>
          <w:color w:val="000000" w:themeColor="text1"/>
          <w:sz w:val="20"/>
          <w:lang w:eastAsia="ja-JP"/>
        </w:rPr>
        <w:t xml:space="preserve">. </w:t>
      </w:r>
    </w:p>
    <w:p w14:paraId="4FE394D7" w14:textId="40E705BA" w:rsidR="00FB42E8" w:rsidRPr="00BA21A6" w:rsidRDefault="00AF2D85" w:rsidP="00E66FF9">
      <w:pPr>
        <w:spacing w:line="276" w:lineRule="auto"/>
        <w:jc w:val="both"/>
        <w:rPr>
          <w:rFonts w:ascii="Segoe UI" w:eastAsia="SimSun" w:hAnsi="Segoe UI" w:cs="Segoe UI"/>
          <w:color w:val="000000" w:themeColor="text1"/>
          <w:sz w:val="20"/>
          <w:lang w:eastAsia="ja-JP"/>
        </w:rPr>
      </w:pPr>
      <w:r w:rsidRPr="00D47519">
        <w:rPr>
          <w:rFonts w:ascii="Segoe UI" w:eastAsia="SimSun" w:hAnsi="Segoe UI" w:cs="Segoe UI"/>
          <w:b/>
          <w:bCs/>
          <w:color w:val="000000" w:themeColor="text1"/>
          <w:sz w:val="20"/>
          <w:lang w:eastAsia="ja-JP"/>
        </w:rPr>
        <w:t xml:space="preserve">Les exportations de biens et de services devraient s’intensifier </w:t>
      </w:r>
      <w:r w:rsidR="006E16B8" w:rsidRPr="00D47519">
        <w:rPr>
          <w:rFonts w:ascii="Segoe UI" w:eastAsia="SimSun" w:hAnsi="Segoe UI" w:cs="Segoe UI"/>
          <w:b/>
          <w:bCs/>
          <w:color w:val="000000" w:themeColor="text1"/>
          <w:sz w:val="20"/>
          <w:lang w:eastAsia="ja-JP"/>
        </w:rPr>
        <w:t xml:space="preserve">lors du prochain exercice </w:t>
      </w:r>
      <w:r w:rsidRPr="00CA4729">
        <w:rPr>
          <w:rFonts w:ascii="Segoe UI" w:eastAsia="SimSun" w:hAnsi="Segoe UI" w:cs="Segoe UI"/>
          <w:color w:val="000000" w:themeColor="text1"/>
          <w:sz w:val="20"/>
          <w:lang w:eastAsia="ja-JP"/>
        </w:rPr>
        <w:t>en raison du rebond continu du secteur du tourisme,</w:t>
      </w:r>
      <w:r w:rsidRPr="001263EF">
        <w:rPr>
          <w:rFonts w:ascii="Segoe UI" w:eastAsia="SimSun" w:hAnsi="Segoe UI" w:cs="Segoe UI"/>
          <w:color w:val="000000" w:themeColor="text1"/>
          <w:sz w:val="20"/>
          <w:lang w:eastAsia="ja-JP"/>
        </w:rPr>
        <w:t xml:space="preserve"> de la croissance des activités de l’industrie</w:t>
      </w:r>
      <w:r w:rsidRPr="00437EE0">
        <w:rPr>
          <w:rFonts w:ascii="Segoe UI" w:eastAsia="SimSun" w:hAnsi="Segoe UI" w:cs="Segoe UI"/>
          <w:color w:val="000000" w:themeColor="text1"/>
          <w:sz w:val="20"/>
          <w:lang w:eastAsia="ja-JP"/>
        </w:rPr>
        <w:t xml:space="preserve"> manufacturière et de l’augmentation des échanges intrarégionaux. </w:t>
      </w:r>
      <w:r w:rsidRPr="00CA4729">
        <w:rPr>
          <w:rFonts w:ascii="Segoe UI" w:eastAsia="SimSun" w:hAnsi="Segoe UI" w:cs="Segoe UI"/>
          <w:b/>
          <w:bCs/>
          <w:color w:val="000000" w:themeColor="text1"/>
          <w:sz w:val="20"/>
          <w:lang w:eastAsia="ja-JP"/>
        </w:rPr>
        <w:t>Les importations de biens et de services devraient également augmenter</w:t>
      </w:r>
      <w:r w:rsidRPr="00437EE0">
        <w:rPr>
          <w:rFonts w:ascii="Segoe UI" w:eastAsia="SimSun" w:hAnsi="Segoe UI" w:cs="Segoe UI"/>
          <w:color w:val="000000" w:themeColor="text1"/>
          <w:sz w:val="20"/>
          <w:lang w:eastAsia="ja-JP"/>
        </w:rPr>
        <w:t xml:space="preserve"> en raison d’une période prolongée de prix élevés des </w:t>
      </w:r>
      <w:r w:rsidR="00782DC6" w:rsidRPr="00437EE0">
        <w:rPr>
          <w:rFonts w:ascii="Segoe UI" w:eastAsia="SimSun" w:hAnsi="Segoe UI" w:cs="Segoe UI"/>
          <w:color w:val="000000" w:themeColor="text1"/>
          <w:sz w:val="20"/>
          <w:lang w:eastAsia="ja-JP"/>
        </w:rPr>
        <w:t>matières premières</w:t>
      </w:r>
      <w:r w:rsidRPr="00437EE0">
        <w:rPr>
          <w:rFonts w:ascii="Segoe UI" w:eastAsia="SimSun" w:hAnsi="Segoe UI" w:cs="Segoe UI"/>
          <w:color w:val="000000" w:themeColor="text1"/>
          <w:sz w:val="20"/>
          <w:lang w:eastAsia="ja-JP"/>
        </w:rPr>
        <w:t xml:space="preserve"> dans le monde</w:t>
      </w:r>
      <w:r w:rsidR="001263EF">
        <w:rPr>
          <w:rFonts w:ascii="Segoe UI" w:eastAsia="SimSun" w:hAnsi="Segoe UI" w:cs="Segoe UI"/>
          <w:color w:val="000000" w:themeColor="text1"/>
          <w:sz w:val="20"/>
          <w:lang w:eastAsia="ja-JP"/>
        </w:rPr>
        <w:t xml:space="preserve"> et des besoins croissants</w:t>
      </w:r>
      <w:r w:rsidRPr="00437EE0">
        <w:rPr>
          <w:rFonts w:ascii="Segoe UI" w:eastAsia="SimSun" w:hAnsi="Segoe UI" w:cs="Segoe UI"/>
          <w:color w:val="000000" w:themeColor="text1"/>
          <w:sz w:val="20"/>
          <w:lang w:eastAsia="ja-JP"/>
        </w:rPr>
        <w:t xml:space="preserve">. </w:t>
      </w:r>
    </w:p>
    <w:p w14:paraId="68D1E753" w14:textId="77777777" w:rsidR="00FB42E8" w:rsidRPr="005C5173" w:rsidRDefault="00FB42E8" w:rsidP="00FB42E8">
      <w:pPr>
        <w:jc w:val="both"/>
        <w:rPr>
          <w:rFonts w:ascii="Segoe UI" w:hAnsi="Segoe UI" w:cs="Segoe UI"/>
        </w:rPr>
      </w:pPr>
      <w:r w:rsidRPr="005C5173">
        <w:rPr>
          <w:rFonts w:ascii="Segoe UI" w:hAnsi="Segoe UI" w:cs="Segoe UI"/>
          <w:noProof/>
          <w:lang w:eastAsia="fr-FR"/>
        </w:rPr>
        <mc:AlternateContent>
          <mc:Choice Requires="wps">
            <w:drawing>
              <wp:inline distT="0" distB="0" distL="0" distR="0" wp14:anchorId="0779FC78" wp14:editId="06393E48">
                <wp:extent cx="5780405" cy="482803"/>
                <wp:effectExtent l="0" t="0" r="0" b="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482803"/>
                        </a:xfrm>
                        <a:prstGeom prst="rect">
                          <a:avLst/>
                        </a:prstGeom>
                        <a:solidFill>
                          <a:srgbClr val="006CE5"/>
                        </a:solidFill>
                        <a:ln w="9525">
                          <a:noFill/>
                          <a:miter lim="800000"/>
                          <a:headEnd/>
                          <a:tailEnd/>
                        </a:ln>
                      </wps:spPr>
                      <wps:txbx>
                        <w:txbxContent>
                          <w:p w14:paraId="5063D315" w14:textId="4A7FF3FA" w:rsidR="00FB42E8" w:rsidRPr="00492C67" w:rsidRDefault="00861F6D" w:rsidP="00E756CC">
                            <w:pPr>
                              <w:jc w:val="both"/>
                              <w:rPr>
                                <w:rFonts w:ascii="Segoe UI Historic" w:hAnsi="Segoe UI Historic" w:cs="Segoe UI Historic"/>
                                <w:color w:val="FFFFFF" w:themeColor="background1"/>
                                <w:sz w:val="24"/>
                                <w:szCs w:val="24"/>
                              </w:rPr>
                            </w:pPr>
                            <w:r>
                              <w:rPr>
                                <w:rFonts w:ascii="Segoe UI" w:hAnsi="Segoe UI" w:cs="Segoe UI"/>
                                <w:b/>
                                <w:bCs/>
                                <w:color w:val="FFFFFF" w:themeColor="background1"/>
                              </w:rPr>
                              <w:t xml:space="preserve">Des exportations </w:t>
                            </w:r>
                            <w:r w:rsidR="00E756CC">
                              <w:rPr>
                                <w:rFonts w:ascii="Segoe UI" w:hAnsi="Segoe UI" w:cs="Segoe UI"/>
                                <w:b/>
                                <w:bCs/>
                                <w:color w:val="FFFFFF" w:themeColor="background1"/>
                              </w:rPr>
                              <w:t>concentrées sur quelques biens issus du secteur primaire agricole et minier</w:t>
                            </w:r>
                          </w:p>
                        </w:txbxContent>
                      </wps:txbx>
                      <wps:bodyPr rot="0" vert="horz" wrap="square" lIns="91440" tIns="45720" rIns="91440" bIns="45720" anchor="t" anchorCtr="0">
                        <a:noAutofit/>
                      </wps:bodyPr>
                    </wps:wsp>
                  </a:graphicData>
                </a:graphic>
              </wp:inline>
            </w:drawing>
          </mc:Choice>
          <mc:Fallback>
            <w:pict>
              <v:shape w14:anchorId="0779FC78" id="_x0000_s1027" type="#_x0000_t202" style="width:455.1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" fillcolor="#006ce5" stroked="f">
                <v:textbox>
                  <w:txbxContent>
                    <w:p w14:paraId="5063D315" w14:textId="4A7FF3FA" w:rsidR="00FB42E8" w:rsidRPr="00492C67" w:rsidRDefault="00861F6D" w:rsidP="00E756CC">
                      <w:pPr>
                        <w:jc w:val="both"/>
                        <w:rPr>
                          <w:rFonts w:ascii="Segoe UI Historic" w:hAnsi="Segoe UI Historic" w:cs="Segoe UI Historic"/>
                          <w:color w:val="FFFFFF" w:themeColor="background1"/>
                          <w:sz w:val="24"/>
                          <w:szCs w:val="24"/>
                        </w:rPr>
                      </w:pPr>
                      <w:r>
                        <w:rPr>
                          <w:rFonts w:ascii="Segoe UI" w:hAnsi="Segoe UI" w:cs="Segoe UI"/>
                          <w:b/>
                          <w:bCs/>
                          <w:color w:val="FFFFFF" w:themeColor="background1"/>
                        </w:rPr>
                        <w:t xml:space="preserve">Des exportations </w:t>
                      </w:r>
                      <w:r w:rsidR="00E756CC">
                        <w:rPr>
                          <w:rFonts w:ascii="Segoe UI" w:hAnsi="Segoe UI" w:cs="Segoe UI"/>
                          <w:b/>
                          <w:bCs/>
                          <w:color w:val="FFFFFF" w:themeColor="background1"/>
                        </w:rPr>
                        <w:t>concentrées sur quelques biens issus du secteur primaire agricole et minier</w:t>
                      </w:r>
                    </w:p>
                  </w:txbxContent>
                </v:textbox>
                <w10:anchorlock/>
              </v:shape>
            </w:pict>
          </mc:Fallback>
        </mc:AlternateContent>
      </w:r>
    </w:p>
    <w:p w14:paraId="0F153BAC" w14:textId="28786CAD" w:rsidR="00F90B16" w:rsidRDefault="003438DA" w:rsidP="00E66FF9">
      <w:pPr>
        <w:spacing w:after="120" w:line="276" w:lineRule="auto"/>
        <w:jc w:val="both"/>
        <w:rPr>
          <w:rFonts w:ascii="Segoe UI" w:hAnsi="Segoe UI" w:cs="Segoe UI"/>
          <w:bCs/>
          <w:sz w:val="20"/>
          <w:szCs w:val="20"/>
        </w:rPr>
      </w:pPr>
      <w:r w:rsidRPr="00D47519">
        <w:rPr>
          <w:rFonts w:ascii="Segoe UI" w:hAnsi="Segoe UI" w:cs="Segoe UI"/>
          <w:b/>
          <w:sz w:val="20"/>
          <w:szCs w:val="20"/>
        </w:rPr>
        <w:t>S’agissant des biens, les exportations tanzaniennes sont majoritairement dominées par des produits à faible valeur ajoutée, issus des secteurs agricole et minier</w:t>
      </w:r>
      <w:r>
        <w:rPr>
          <w:rFonts w:ascii="Segoe UI" w:hAnsi="Segoe UI" w:cs="Segoe UI"/>
          <w:bCs/>
          <w:sz w:val="20"/>
          <w:szCs w:val="20"/>
        </w:rPr>
        <w:t xml:space="preserve">, </w:t>
      </w:r>
      <w:r w:rsidRPr="0002122C">
        <w:rPr>
          <w:rFonts w:ascii="Segoe UI" w:hAnsi="Segoe UI" w:cs="Segoe UI"/>
          <w:bCs/>
          <w:sz w:val="20"/>
          <w:szCs w:val="20"/>
        </w:rPr>
        <w:t xml:space="preserve">dont la valeur fluctue sur les </w:t>
      </w:r>
      <w:r w:rsidRPr="0002122C">
        <w:rPr>
          <w:rFonts w:ascii="Segoe UI" w:hAnsi="Segoe UI" w:cs="Segoe UI"/>
          <w:bCs/>
          <w:sz w:val="20"/>
          <w:szCs w:val="20"/>
        </w:rPr>
        <w:lastRenderedPageBreak/>
        <w:t xml:space="preserve">marchés internationaux, </w:t>
      </w:r>
      <w:r w:rsidR="00B327D0">
        <w:rPr>
          <w:rFonts w:ascii="Segoe UI" w:hAnsi="Segoe UI" w:cs="Segoe UI"/>
          <w:bCs/>
          <w:sz w:val="20"/>
          <w:szCs w:val="20"/>
        </w:rPr>
        <w:t xml:space="preserve">facteur </w:t>
      </w:r>
      <w:proofErr w:type="spellStart"/>
      <w:r w:rsidR="00B327D0">
        <w:rPr>
          <w:rFonts w:ascii="Segoe UI" w:hAnsi="Segoe UI" w:cs="Segoe UI"/>
          <w:bCs/>
          <w:sz w:val="20"/>
          <w:szCs w:val="20"/>
        </w:rPr>
        <w:t>de</w:t>
      </w:r>
      <w:r w:rsidRPr="0002122C">
        <w:rPr>
          <w:rFonts w:ascii="Segoe UI" w:hAnsi="Segoe UI" w:cs="Segoe UI"/>
          <w:bCs/>
          <w:sz w:val="20"/>
          <w:szCs w:val="20"/>
        </w:rPr>
        <w:t>vulnérabilité</w:t>
      </w:r>
      <w:proofErr w:type="spellEnd"/>
      <w:r w:rsidRPr="0002122C">
        <w:rPr>
          <w:rFonts w:ascii="Segoe UI" w:hAnsi="Segoe UI" w:cs="Segoe UI"/>
          <w:bCs/>
          <w:sz w:val="20"/>
          <w:szCs w:val="20"/>
        </w:rPr>
        <w:t xml:space="preserve"> du pays vis-à-vis de l’extérieur et des variations des termes de l’échange.</w:t>
      </w:r>
    </w:p>
    <w:p w14:paraId="7C4D37F9" w14:textId="78337FAC" w:rsidR="006D5A75" w:rsidRPr="006D5A75" w:rsidRDefault="0062463A" w:rsidP="00E66FF9">
      <w:pPr>
        <w:spacing w:line="276" w:lineRule="auto"/>
        <w:jc w:val="both"/>
        <w:rPr>
          <w:rFonts w:ascii="Segoe UI" w:hAnsi="Segoe UI" w:cs="Segoe UI"/>
          <w:bCs/>
          <w:sz w:val="20"/>
          <w:szCs w:val="20"/>
        </w:rPr>
      </w:pPr>
      <w:r w:rsidRPr="00D47519">
        <w:rPr>
          <w:rFonts w:ascii="Segoe UI" w:hAnsi="Segoe UI" w:cs="Segoe UI"/>
          <w:b/>
          <w:sz w:val="20"/>
          <w:szCs w:val="20"/>
        </w:rPr>
        <w:t xml:space="preserve">Les </w:t>
      </w:r>
      <w:r w:rsidR="00F90B16" w:rsidRPr="00D47519">
        <w:rPr>
          <w:rFonts w:ascii="Segoe UI" w:hAnsi="Segoe UI" w:cs="Segoe UI"/>
          <w:b/>
          <w:sz w:val="20"/>
          <w:szCs w:val="20"/>
        </w:rPr>
        <w:t>principaux produits d’exportation</w:t>
      </w:r>
      <w:r w:rsidRPr="00D47519">
        <w:rPr>
          <w:rFonts w:ascii="Segoe UI" w:hAnsi="Segoe UI" w:cs="Segoe UI"/>
          <w:b/>
          <w:sz w:val="20"/>
          <w:szCs w:val="20"/>
        </w:rPr>
        <w:t xml:space="preserve"> de la Tanzanie en 2022 ont été l’or</w:t>
      </w:r>
      <w:r w:rsidRPr="00F90B16">
        <w:rPr>
          <w:rFonts w:ascii="Segoe UI" w:hAnsi="Segoe UI" w:cs="Segoe UI"/>
          <w:bCs/>
          <w:sz w:val="20"/>
          <w:szCs w:val="20"/>
        </w:rPr>
        <w:t xml:space="preserve"> (2,</w:t>
      </w:r>
      <w:r w:rsidR="00F90B16" w:rsidRPr="00F90B16">
        <w:rPr>
          <w:rFonts w:ascii="Segoe UI" w:hAnsi="Segoe UI" w:cs="Segoe UI"/>
          <w:bCs/>
          <w:sz w:val="20"/>
          <w:szCs w:val="20"/>
        </w:rPr>
        <w:t>7</w:t>
      </w:r>
      <w:r w:rsidRPr="00F90B16">
        <w:rPr>
          <w:rFonts w:ascii="Segoe UI" w:hAnsi="Segoe UI" w:cs="Segoe UI"/>
          <w:bCs/>
          <w:sz w:val="20"/>
          <w:szCs w:val="20"/>
        </w:rPr>
        <w:t xml:space="preserve"> Md USD</w:t>
      </w:r>
      <w:r w:rsidR="00F90B16" w:rsidRPr="00F90B16">
        <w:rPr>
          <w:rFonts w:ascii="Segoe UI" w:hAnsi="Segoe UI" w:cs="Segoe UI"/>
          <w:bCs/>
          <w:sz w:val="20"/>
          <w:szCs w:val="20"/>
        </w:rPr>
        <w:t xml:space="preserve"> contre 3 Md USD en 2020/21 en raison de l’effet des prix sur le marché mondial</w:t>
      </w:r>
      <w:r w:rsidRPr="00F90B16">
        <w:rPr>
          <w:rFonts w:ascii="Segoe UI" w:hAnsi="Segoe UI" w:cs="Segoe UI"/>
          <w:bCs/>
          <w:sz w:val="20"/>
          <w:szCs w:val="20"/>
        </w:rPr>
        <w:t>), les produits manufacturés (1,4 Md USD) et les exportations traditionnelles telles que le tabac, le café, le coton, les noix de cajou, le thé et les clous de girofle (766,5 M USD).</w:t>
      </w:r>
    </w:p>
    <w:p w14:paraId="592E8AEA" w14:textId="1D793EA2" w:rsidR="005834DF" w:rsidRPr="00D47519" w:rsidRDefault="005834DF" w:rsidP="00E66FF9">
      <w:pPr>
        <w:spacing w:after="120" w:line="276" w:lineRule="auto"/>
        <w:jc w:val="both"/>
        <w:rPr>
          <w:rFonts w:ascii="Segoe UI" w:hAnsi="Segoe UI" w:cs="Segoe UI"/>
          <w:sz w:val="20"/>
          <w:szCs w:val="20"/>
        </w:rPr>
      </w:pPr>
      <w:r w:rsidRPr="00CA4729">
        <w:rPr>
          <w:rFonts w:ascii="Segoe UI" w:hAnsi="Segoe UI" w:cs="Segoe UI"/>
          <w:sz w:val="20"/>
          <w:szCs w:val="20"/>
        </w:rPr>
        <w:t>Selon les estimations de la Banque centrale</w:t>
      </w:r>
      <w:r w:rsidR="006D5A75" w:rsidRPr="00CA4729">
        <w:rPr>
          <w:rFonts w:ascii="Segoe UI" w:hAnsi="Segoe UI" w:cs="Segoe UI"/>
          <w:sz w:val="20"/>
          <w:szCs w:val="20"/>
        </w:rPr>
        <w:t xml:space="preserve"> (</w:t>
      </w:r>
      <w:proofErr w:type="spellStart"/>
      <w:r w:rsidR="006D5A75" w:rsidRPr="00CA4729">
        <w:rPr>
          <w:rFonts w:ascii="Segoe UI" w:hAnsi="Segoe UI" w:cs="Segoe UI"/>
          <w:sz w:val="20"/>
          <w:szCs w:val="20"/>
        </w:rPr>
        <w:t>BoT</w:t>
      </w:r>
      <w:proofErr w:type="spellEnd"/>
      <w:r w:rsidR="006D5A75" w:rsidRPr="00CA4729">
        <w:rPr>
          <w:rFonts w:ascii="Segoe UI" w:hAnsi="Segoe UI" w:cs="Segoe UI"/>
          <w:sz w:val="20"/>
          <w:szCs w:val="20"/>
        </w:rPr>
        <w:t>)</w:t>
      </w:r>
      <w:r w:rsidRPr="00CA4729">
        <w:rPr>
          <w:rFonts w:ascii="Segoe UI" w:hAnsi="Segoe UI" w:cs="Segoe UI"/>
          <w:sz w:val="20"/>
          <w:szCs w:val="20"/>
        </w:rPr>
        <w:t>,</w:t>
      </w:r>
      <w:r w:rsidRPr="00D47519">
        <w:rPr>
          <w:rFonts w:ascii="Segoe UI" w:hAnsi="Segoe UI" w:cs="Segoe UI"/>
          <w:b/>
          <w:bCs/>
          <w:sz w:val="20"/>
          <w:szCs w:val="20"/>
        </w:rPr>
        <w:t xml:space="preserve"> les principaux </w:t>
      </w:r>
      <w:r w:rsidR="008D645A">
        <w:rPr>
          <w:rFonts w:ascii="Segoe UI" w:hAnsi="Segoe UI" w:cs="Segoe UI"/>
          <w:b/>
          <w:bCs/>
          <w:sz w:val="20"/>
          <w:szCs w:val="20"/>
        </w:rPr>
        <w:t xml:space="preserve">pays </w:t>
      </w:r>
      <w:r w:rsidRPr="00D47519">
        <w:rPr>
          <w:rFonts w:ascii="Segoe UI" w:hAnsi="Segoe UI" w:cs="Segoe UI"/>
          <w:b/>
          <w:bCs/>
          <w:sz w:val="20"/>
          <w:szCs w:val="20"/>
        </w:rPr>
        <w:t>clients de la Tanzanie en 2021</w:t>
      </w:r>
      <w:r w:rsidR="003617EF" w:rsidRPr="00D47519">
        <w:rPr>
          <w:rFonts w:ascii="Segoe UI" w:hAnsi="Segoe UI" w:cs="Segoe UI"/>
          <w:b/>
          <w:bCs/>
          <w:sz w:val="20"/>
          <w:szCs w:val="20"/>
        </w:rPr>
        <w:t>/2022</w:t>
      </w:r>
      <w:r w:rsidRPr="00D47519">
        <w:rPr>
          <w:rFonts w:ascii="Segoe UI" w:hAnsi="Segoe UI" w:cs="Segoe UI"/>
          <w:b/>
          <w:bCs/>
          <w:sz w:val="20"/>
          <w:szCs w:val="20"/>
        </w:rPr>
        <w:t xml:space="preserve"> </w:t>
      </w:r>
      <w:r w:rsidRPr="00B327D0">
        <w:rPr>
          <w:rFonts w:ascii="Segoe UI" w:hAnsi="Segoe UI" w:cs="Segoe UI"/>
          <w:b/>
          <w:bCs/>
          <w:sz w:val="20"/>
          <w:szCs w:val="20"/>
        </w:rPr>
        <w:t xml:space="preserve">sont </w:t>
      </w:r>
      <w:r w:rsidR="00D47519" w:rsidRPr="00CA4729">
        <w:rPr>
          <w:rFonts w:ascii="Segoe UI" w:hAnsi="Segoe UI" w:cs="Segoe UI"/>
          <w:b/>
          <w:bCs/>
          <w:sz w:val="20"/>
          <w:szCs w:val="20"/>
        </w:rPr>
        <w:t>l</w:t>
      </w:r>
      <w:r w:rsidRPr="00CA4729">
        <w:rPr>
          <w:rFonts w:ascii="Segoe UI" w:hAnsi="Segoe UI" w:cs="Segoe UI"/>
          <w:b/>
          <w:bCs/>
          <w:sz w:val="20"/>
          <w:szCs w:val="20"/>
        </w:rPr>
        <w:t>es Emirats arabes unis (16,5%), l’Inde (15,8%), l’Afrique du Sud (14,3%), la Suisse (8,2%) et le Kenya (6,2%).</w:t>
      </w:r>
      <w:r w:rsidR="003617EF" w:rsidRPr="00D47519">
        <w:rPr>
          <w:rFonts w:ascii="Segoe UI" w:hAnsi="Segoe UI" w:cs="Segoe UI"/>
          <w:sz w:val="20"/>
          <w:szCs w:val="20"/>
        </w:rPr>
        <w:t xml:space="preserve"> De plus, les 15 principales destinations d’exportations représentent 86,8% des exportations totales</w:t>
      </w:r>
      <w:r w:rsidR="009C7A8B" w:rsidRPr="00D47519">
        <w:rPr>
          <w:rFonts w:ascii="Segoe UI" w:hAnsi="Segoe UI" w:cs="Segoe UI"/>
          <w:sz w:val="20"/>
          <w:szCs w:val="20"/>
        </w:rPr>
        <w:t xml:space="preserve"> du pays</w:t>
      </w:r>
      <w:r w:rsidR="003617EF" w:rsidRPr="00D47519">
        <w:rPr>
          <w:rFonts w:ascii="Segoe UI" w:hAnsi="Segoe UI" w:cs="Segoe UI"/>
          <w:sz w:val="20"/>
          <w:szCs w:val="20"/>
        </w:rPr>
        <w:t xml:space="preserve">. </w:t>
      </w:r>
      <w:r w:rsidRPr="00D47519">
        <w:rPr>
          <w:rFonts w:ascii="Segoe UI" w:hAnsi="Segoe UI" w:cs="Segoe UI"/>
          <w:sz w:val="20"/>
          <w:szCs w:val="20"/>
        </w:rPr>
        <w:t xml:space="preserve"> </w:t>
      </w:r>
    </w:p>
    <w:p w14:paraId="5FE9D5A6" w14:textId="77777777" w:rsidR="00EA3867" w:rsidRDefault="00793B8B" w:rsidP="00E66FF9">
      <w:pPr>
        <w:spacing w:after="120" w:line="276" w:lineRule="auto"/>
        <w:jc w:val="both"/>
        <w:rPr>
          <w:rFonts w:ascii="Segoe UI" w:hAnsi="Segoe UI" w:cs="Segoe UI"/>
          <w:bCs/>
          <w:sz w:val="20"/>
          <w:szCs w:val="20"/>
        </w:rPr>
      </w:pPr>
      <w:r w:rsidRPr="00D47519">
        <w:rPr>
          <w:rFonts w:ascii="Segoe UI" w:hAnsi="Segoe UI" w:cs="Segoe UI"/>
          <w:b/>
          <w:bCs/>
          <w:sz w:val="20"/>
          <w:szCs w:val="20"/>
        </w:rPr>
        <w:t>A l’échelle régionale,</w:t>
      </w:r>
      <w:r w:rsidRPr="005834DF">
        <w:rPr>
          <w:rFonts w:ascii="Segoe UI" w:hAnsi="Segoe UI" w:cs="Segoe UI"/>
          <w:sz w:val="20"/>
          <w:szCs w:val="20"/>
        </w:rPr>
        <w:t xml:space="preserve"> </w:t>
      </w:r>
      <w:r w:rsidRPr="00D47519">
        <w:rPr>
          <w:rFonts w:ascii="Segoe UI" w:hAnsi="Segoe UI" w:cs="Segoe UI"/>
          <w:b/>
          <w:bCs/>
          <w:sz w:val="20"/>
          <w:szCs w:val="20"/>
        </w:rPr>
        <w:t>la Tanzanie est un exportateur net puisqu’elle bénéficie d’un excédent commercial avec la Communauté de Développement de l'Afrique Australe</w:t>
      </w:r>
      <w:r w:rsidR="00BA21A6" w:rsidRPr="00D47519">
        <w:rPr>
          <w:rFonts w:ascii="Segoe UI" w:hAnsi="Segoe UI" w:cs="Segoe UI"/>
          <w:b/>
          <w:bCs/>
          <w:sz w:val="20"/>
          <w:szCs w:val="20"/>
        </w:rPr>
        <w:t xml:space="preserve"> – </w:t>
      </w:r>
      <w:r w:rsidRPr="00D47519">
        <w:rPr>
          <w:rFonts w:ascii="Segoe UI" w:hAnsi="Segoe UI" w:cs="Segoe UI"/>
          <w:b/>
          <w:bCs/>
          <w:sz w:val="20"/>
          <w:szCs w:val="20"/>
        </w:rPr>
        <w:t>CDAA</w:t>
      </w:r>
      <w:r w:rsidRPr="00BA21A6">
        <w:rPr>
          <w:rFonts w:ascii="Segoe UI" w:hAnsi="Segoe UI" w:cs="Segoe UI"/>
          <w:sz w:val="20"/>
          <w:szCs w:val="20"/>
        </w:rPr>
        <w:t xml:space="preserve"> (+</w:t>
      </w:r>
      <w:r w:rsidR="00BA21A6" w:rsidRPr="00BA21A6">
        <w:rPr>
          <w:rFonts w:ascii="Segoe UI" w:hAnsi="Segoe UI" w:cs="Segoe UI"/>
          <w:sz w:val="20"/>
          <w:szCs w:val="20"/>
        </w:rPr>
        <w:t>680,2</w:t>
      </w:r>
      <w:r w:rsidRPr="00BA21A6">
        <w:rPr>
          <w:rFonts w:ascii="Segoe UI" w:hAnsi="Segoe UI" w:cs="Segoe UI"/>
          <w:sz w:val="20"/>
          <w:szCs w:val="20"/>
        </w:rPr>
        <w:t xml:space="preserve"> M</w:t>
      </w:r>
      <w:r w:rsidR="00BA21A6" w:rsidRPr="00BA21A6">
        <w:rPr>
          <w:rFonts w:ascii="Segoe UI" w:hAnsi="Segoe UI" w:cs="Segoe UI"/>
          <w:sz w:val="20"/>
          <w:szCs w:val="20"/>
        </w:rPr>
        <w:t xml:space="preserve"> </w:t>
      </w:r>
      <w:r w:rsidRPr="00BA21A6">
        <w:rPr>
          <w:rFonts w:ascii="Segoe UI" w:hAnsi="Segoe UI" w:cs="Segoe UI"/>
          <w:sz w:val="20"/>
          <w:szCs w:val="20"/>
        </w:rPr>
        <w:t>USD</w:t>
      </w:r>
      <w:r w:rsidR="00BA21A6">
        <w:rPr>
          <w:rFonts w:ascii="Segoe UI" w:hAnsi="Segoe UI" w:cs="Segoe UI"/>
          <w:sz w:val="20"/>
          <w:szCs w:val="20"/>
        </w:rPr>
        <w:t xml:space="preserve"> en 2021</w:t>
      </w:r>
      <w:r w:rsidRPr="00793B8B">
        <w:rPr>
          <w:rFonts w:ascii="Segoe UI" w:hAnsi="Segoe UI" w:cs="Segoe UI"/>
          <w:sz w:val="20"/>
          <w:szCs w:val="20"/>
        </w:rPr>
        <w:t xml:space="preserve">) </w:t>
      </w:r>
      <w:r w:rsidRPr="00CA4729">
        <w:rPr>
          <w:rFonts w:ascii="Segoe UI" w:hAnsi="Segoe UI" w:cs="Segoe UI"/>
          <w:b/>
          <w:bCs/>
          <w:sz w:val="20"/>
          <w:szCs w:val="20"/>
        </w:rPr>
        <w:t>ainsi qu’avec la Communauté d’Afrique de l’Est – CAE</w:t>
      </w:r>
      <w:r w:rsidRPr="00BA21A6">
        <w:rPr>
          <w:rFonts w:ascii="Segoe UI" w:hAnsi="Segoe UI" w:cs="Segoe UI"/>
          <w:sz w:val="20"/>
          <w:szCs w:val="20"/>
        </w:rPr>
        <w:t xml:space="preserve"> (+</w:t>
      </w:r>
      <w:r w:rsidR="00BA21A6" w:rsidRPr="00BA21A6">
        <w:rPr>
          <w:rFonts w:ascii="Segoe UI" w:hAnsi="Segoe UI" w:cs="Segoe UI"/>
          <w:sz w:val="20"/>
          <w:szCs w:val="20"/>
        </w:rPr>
        <w:t>589,2</w:t>
      </w:r>
      <w:r w:rsidRPr="00BA21A6">
        <w:rPr>
          <w:rFonts w:ascii="Segoe UI" w:hAnsi="Segoe UI" w:cs="Segoe UI"/>
          <w:sz w:val="20"/>
          <w:szCs w:val="20"/>
        </w:rPr>
        <w:t xml:space="preserve"> M</w:t>
      </w:r>
      <w:r w:rsidR="00BA21A6">
        <w:rPr>
          <w:rFonts w:ascii="Segoe UI" w:hAnsi="Segoe UI" w:cs="Segoe UI"/>
          <w:sz w:val="20"/>
          <w:szCs w:val="20"/>
        </w:rPr>
        <w:t xml:space="preserve"> </w:t>
      </w:r>
      <w:r w:rsidRPr="00BA21A6">
        <w:rPr>
          <w:rFonts w:ascii="Segoe UI" w:hAnsi="Segoe UI" w:cs="Segoe UI"/>
          <w:sz w:val="20"/>
          <w:szCs w:val="20"/>
        </w:rPr>
        <w:t>USD</w:t>
      </w:r>
      <w:r w:rsidR="00BA21A6" w:rsidRPr="00BA21A6">
        <w:rPr>
          <w:rFonts w:ascii="Segoe UI" w:hAnsi="Segoe UI" w:cs="Segoe UI"/>
          <w:sz w:val="20"/>
          <w:szCs w:val="20"/>
        </w:rPr>
        <w:t xml:space="preserve"> en 2021</w:t>
      </w:r>
      <w:r w:rsidR="00994178">
        <w:rPr>
          <w:rFonts w:ascii="Segoe UI" w:hAnsi="Segoe UI" w:cs="Segoe UI"/>
          <w:sz w:val="20"/>
          <w:szCs w:val="20"/>
        </w:rPr>
        <w:t xml:space="preserve"> contre +340,2 M USD en 2020</w:t>
      </w:r>
      <w:r w:rsidRPr="00BA21A6">
        <w:rPr>
          <w:rFonts w:ascii="Segoe UI" w:hAnsi="Segoe UI" w:cs="Segoe UI"/>
          <w:sz w:val="20"/>
          <w:szCs w:val="20"/>
        </w:rPr>
        <w:t>)</w:t>
      </w:r>
      <w:r w:rsidR="00006AFA" w:rsidRPr="007B667F">
        <w:rPr>
          <w:rFonts w:ascii="Segoe UI" w:hAnsi="Segoe UI" w:cs="Segoe UI"/>
          <w:sz w:val="20"/>
          <w:szCs w:val="20"/>
        </w:rPr>
        <w:t>. Les principales exportations vers la CDAA sont l’or, les textiles, la verrerie, ainsi que le fer et l’acier</w:t>
      </w:r>
      <w:r w:rsidR="00994178">
        <w:rPr>
          <w:rFonts w:ascii="Segoe UI" w:hAnsi="Segoe UI" w:cs="Segoe UI"/>
          <w:sz w:val="20"/>
          <w:szCs w:val="20"/>
        </w:rPr>
        <w:t> ; les marchandises exportées vers les pays de la CAE sont principalement le riz</w:t>
      </w:r>
      <w:r w:rsidR="00C808F4">
        <w:rPr>
          <w:rFonts w:ascii="Segoe UI" w:hAnsi="Segoe UI" w:cs="Segoe UI"/>
          <w:sz w:val="20"/>
          <w:szCs w:val="20"/>
        </w:rPr>
        <w:t>, l’eau minérale, l’huile de cuisson, le maïs, les cosmétiques, ainsi que le fer et l’acier</w:t>
      </w:r>
      <w:r w:rsidR="00006AFA" w:rsidRPr="007B667F">
        <w:rPr>
          <w:rFonts w:ascii="Segoe UI" w:hAnsi="Segoe UI" w:cs="Segoe UI"/>
          <w:sz w:val="20"/>
          <w:szCs w:val="20"/>
        </w:rPr>
        <w:t xml:space="preserve">. </w:t>
      </w:r>
      <w:r w:rsidR="00C808F4" w:rsidRPr="007B667F">
        <w:rPr>
          <w:rFonts w:ascii="Segoe UI" w:hAnsi="Segoe UI" w:cs="Segoe UI"/>
          <w:sz w:val="20"/>
          <w:szCs w:val="20"/>
        </w:rPr>
        <w:t>L’Afrique du Sud compte pour 70,7% des exportations tanzaniennes intra-CDAA en 2021</w:t>
      </w:r>
      <w:r w:rsidR="00C808F4">
        <w:rPr>
          <w:rFonts w:ascii="Segoe UI" w:hAnsi="Segoe UI" w:cs="Segoe UI"/>
          <w:sz w:val="20"/>
          <w:szCs w:val="20"/>
        </w:rPr>
        <w:t xml:space="preserve">. </w:t>
      </w:r>
      <w:r w:rsidR="00006AFA" w:rsidRPr="007B667F">
        <w:rPr>
          <w:rFonts w:ascii="Segoe UI" w:hAnsi="Segoe UI" w:cs="Segoe UI"/>
          <w:sz w:val="20"/>
          <w:szCs w:val="20"/>
        </w:rPr>
        <w:t xml:space="preserve">Le Kenya reste le principal partenaire commercial </w:t>
      </w:r>
      <w:r w:rsidR="007B667F" w:rsidRPr="007B667F">
        <w:rPr>
          <w:rFonts w:ascii="Segoe UI" w:hAnsi="Segoe UI" w:cs="Segoe UI"/>
          <w:sz w:val="20"/>
          <w:szCs w:val="20"/>
        </w:rPr>
        <w:t xml:space="preserve">de la Tanzanie </w:t>
      </w:r>
      <w:r w:rsidR="00006AFA" w:rsidRPr="007B667F">
        <w:rPr>
          <w:rFonts w:ascii="Segoe UI" w:hAnsi="Segoe UI" w:cs="Segoe UI"/>
          <w:sz w:val="20"/>
          <w:szCs w:val="20"/>
        </w:rPr>
        <w:t>au sein de la CAE, représentant 37,4% des exportations</w:t>
      </w:r>
      <w:r w:rsidR="007B667F" w:rsidRPr="007B667F">
        <w:rPr>
          <w:rFonts w:ascii="Segoe UI" w:hAnsi="Segoe UI" w:cs="Segoe UI"/>
          <w:sz w:val="20"/>
          <w:szCs w:val="20"/>
        </w:rPr>
        <w:t xml:space="preserve"> du pays </w:t>
      </w:r>
      <w:r w:rsidR="00006AFA" w:rsidRPr="007B667F">
        <w:rPr>
          <w:rFonts w:ascii="Segoe UI" w:hAnsi="Segoe UI" w:cs="Segoe UI"/>
          <w:sz w:val="20"/>
          <w:szCs w:val="20"/>
        </w:rPr>
        <w:t>intra</w:t>
      </w:r>
      <w:r w:rsidR="007B667F" w:rsidRPr="007B667F">
        <w:rPr>
          <w:rFonts w:ascii="Segoe UI" w:hAnsi="Segoe UI" w:cs="Segoe UI"/>
          <w:sz w:val="20"/>
          <w:szCs w:val="20"/>
        </w:rPr>
        <w:t>-CEA en 2021</w:t>
      </w:r>
      <w:r w:rsidR="007B667F">
        <w:rPr>
          <w:rFonts w:ascii="Segoe UI" w:hAnsi="Segoe UI" w:cs="Segoe UI"/>
          <w:sz w:val="20"/>
          <w:szCs w:val="20"/>
        </w:rPr>
        <w:t xml:space="preserve"> (contre 28,4% en 2020) devant l’Ouganda (26% des exportations intra-CEA en 2</w:t>
      </w:r>
      <w:r w:rsidR="007B667F" w:rsidRPr="005834DF">
        <w:rPr>
          <w:rFonts w:ascii="Segoe UI" w:hAnsi="Segoe UI" w:cs="Segoe UI"/>
          <w:sz w:val="20"/>
          <w:szCs w:val="20"/>
        </w:rPr>
        <w:t>021).</w:t>
      </w:r>
      <w:r w:rsidR="007B667F" w:rsidRPr="005834DF">
        <w:rPr>
          <w:rFonts w:ascii="Segoe UI" w:hAnsi="Segoe UI" w:cs="Segoe UI"/>
          <w:bCs/>
          <w:sz w:val="20"/>
          <w:szCs w:val="20"/>
        </w:rPr>
        <w:t xml:space="preserve"> </w:t>
      </w:r>
    </w:p>
    <w:p w14:paraId="55B454CB" w14:textId="2EEDFCB2" w:rsidR="00006AFA" w:rsidRPr="005834DF" w:rsidRDefault="007B667F" w:rsidP="00E66FF9">
      <w:pPr>
        <w:spacing w:after="120" w:line="276" w:lineRule="auto"/>
        <w:jc w:val="both"/>
        <w:rPr>
          <w:rFonts w:ascii="Segoe UI" w:hAnsi="Segoe UI" w:cs="Segoe UI"/>
          <w:bCs/>
          <w:sz w:val="20"/>
          <w:szCs w:val="20"/>
        </w:rPr>
      </w:pPr>
      <w:r w:rsidRPr="00D47519">
        <w:rPr>
          <w:rFonts w:ascii="Segoe UI" w:hAnsi="Segoe UI" w:cs="Segoe UI"/>
          <w:b/>
          <w:sz w:val="20"/>
          <w:szCs w:val="20"/>
        </w:rPr>
        <w:t>L</w:t>
      </w:r>
      <w:r w:rsidR="00006AFA" w:rsidRPr="00D47519">
        <w:rPr>
          <w:rFonts w:ascii="Segoe UI" w:hAnsi="Segoe UI" w:cs="Segoe UI"/>
          <w:b/>
          <w:sz w:val="20"/>
          <w:szCs w:val="20"/>
        </w:rPr>
        <w:t xml:space="preserve">es échanges intrarégionaux </w:t>
      </w:r>
      <w:r w:rsidRPr="00D47519">
        <w:rPr>
          <w:rFonts w:ascii="Segoe UI" w:hAnsi="Segoe UI" w:cs="Segoe UI"/>
          <w:b/>
          <w:sz w:val="20"/>
          <w:szCs w:val="20"/>
        </w:rPr>
        <w:t>restent toutefois</w:t>
      </w:r>
      <w:r w:rsidR="00006AFA" w:rsidRPr="00D47519">
        <w:rPr>
          <w:rFonts w:ascii="Segoe UI" w:hAnsi="Segoe UI" w:cs="Segoe UI"/>
          <w:b/>
          <w:sz w:val="20"/>
          <w:szCs w:val="20"/>
        </w:rPr>
        <w:t xml:space="preserve"> limités du fait de la forte ressemblance des ressources des pays de la communauté</w:t>
      </w:r>
      <w:r w:rsidR="00006AFA" w:rsidRPr="007B667F">
        <w:rPr>
          <w:rFonts w:ascii="Segoe UI" w:hAnsi="Segoe UI" w:cs="Segoe UI"/>
          <w:bCs/>
          <w:sz w:val="20"/>
          <w:szCs w:val="20"/>
        </w:rPr>
        <w:t>. Par exemple, 4 des 6 membres affichent l’or et les pierres précieuses dans leurs trois premiers postes d’exportation. Par ailleurs, des barrières non tarifaires contrarient toujours l’accès au marché des Etats membres et, sur le plan financier, l’idée d’une monnaie commune évolue peu.</w:t>
      </w:r>
      <w:r w:rsidR="00006AFA" w:rsidRPr="005834DF">
        <w:rPr>
          <w:rFonts w:ascii="Segoe UI" w:hAnsi="Segoe UI" w:cs="Segoe UI"/>
          <w:bCs/>
          <w:sz w:val="20"/>
          <w:szCs w:val="20"/>
        </w:rPr>
        <w:t xml:space="preserve"> L’entrée de la République Démocratique du Congo dans la CAE le 29 mars 2022 ainsi que le rapprochement entre le Kenya et la Tanzanie enclenché par l’arrivée à la présidence de Samia </w:t>
      </w:r>
      <w:proofErr w:type="spellStart"/>
      <w:r w:rsidR="00006AFA" w:rsidRPr="005834DF">
        <w:rPr>
          <w:rFonts w:ascii="Segoe UI" w:hAnsi="Segoe UI" w:cs="Segoe UI"/>
          <w:bCs/>
          <w:sz w:val="20"/>
          <w:szCs w:val="20"/>
        </w:rPr>
        <w:t>Suluhu</w:t>
      </w:r>
      <w:proofErr w:type="spellEnd"/>
      <w:r w:rsidR="00006AFA" w:rsidRPr="005834DF">
        <w:rPr>
          <w:rFonts w:ascii="Segoe UI" w:hAnsi="Segoe UI" w:cs="Segoe UI"/>
          <w:bCs/>
          <w:sz w:val="20"/>
          <w:szCs w:val="20"/>
        </w:rPr>
        <w:t xml:space="preserve"> Hassan devraient impacter favorablement le commerce intra-CAE</w:t>
      </w:r>
      <w:r w:rsidR="005834DF">
        <w:rPr>
          <w:rFonts w:ascii="Segoe UI" w:hAnsi="Segoe UI" w:cs="Segoe UI"/>
          <w:bCs/>
          <w:sz w:val="20"/>
          <w:szCs w:val="20"/>
        </w:rPr>
        <w:t xml:space="preserve">. </w:t>
      </w:r>
    </w:p>
    <w:p w14:paraId="370D9FB2" w14:textId="6B9F3351" w:rsidR="0021390A" w:rsidRDefault="00E756CC" w:rsidP="00E66FF9">
      <w:pPr>
        <w:spacing w:line="276" w:lineRule="auto"/>
        <w:jc w:val="both"/>
        <w:rPr>
          <w:rFonts w:ascii="Segoe UI" w:hAnsi="Segoe UI" w:cs="Segoe UI"/>
          <w:sz w:val="20"/>
          <w:szCs w:val="20"/>
        </w:rPr>
      </w:pPr>
      <w:r w:rsidRPr="00D47519">
        <w:rPr>
          <w:rFonts w:ascii="Segoe UI" w:hAnsi="Segoe UI" w:cs="Segoe UI"/>
          <w:b/>
          <w:sz w:val="20"/>
          <w:szCs w:val="20"/>
        </w:rPr>
        <w:t xml:space="preserve">En 2022, les </w:t>
      </w:r>
      <w:r w:rsidR="00332707" w:rsidRPr="00D47519">
        <w:rPr>
          <w:rFonts w:ascii="Segoe UI" w:hAnsi="Segoe UI" w:cs="Segoe UI"/>
          <w:b/>
          <w:sz w:val="20"/>
          <w:szCs w:val="20"/>
        </w:rPr>
        <w:t xml:space="preserve">exportations tanzaniennes à destination de la France </w:t>
      </w:r>
      <w:r w:rsidRPr="00D47519">
        <w:rPr>
          <w:rFonts w:ascii="Segoe UI" w:hAnsi="Segoe UI" w:cs="Segoe UI"/>
          <w:b/>
          <w:sz w:val="20"/>
          <w:szCs w:val="20"/>
        </w:rPr>
        <w:t>ont augmenté pour se situer à 35,8</w:t>
      </w:r>
      <w:r w:rsidR="005B2C47" w:rsidRPr="00D47519">
        <w:rPr>
          <w:rFonts w:ascii="Segoe UI" w:hAnsi="Segoe UI" w:cs="Segoe UI"/>
          <w:b/>
          <w:sz w:val="20"/>
          <w:szCs w:val="20"/>
        </w:rPr>
        <w:t xml:space="preserve"> </w:t>
      </w:r>
      <w:r w:rsidRPr="00D47519">
        <w:rPr>
          <w:rFonts w:ascii="Segoe UI" w:hAnsi="Segoe UI" w:cs="Segoe UI"/>
          <w:b/>
          <w:sz w:val="20"/>
          <w:szCs w:val="20"/>
        </w:rPr>
        <w:t>M EUR, soit une hausse de 15,3% par rapport à 2021</w:t>
      </w:r>
      <w:r w:rsidR="005B2C47" w:rsidRPr="00E110A2">
        <w:rPr>
          <w:rFonts w:ascii="Segoe UI" w:hAnsi="Segoe UI" w:cs="Segoe UI"/>
          <w:bCs/>
          <w:sz w:val="20"/>
          <w:szCs w:val="20"/>
        </w:rPr>
        <w:t xml:space="preserve"> (</w:t>
      </w:r>
      <w:r w:rsidR="008D645A">
        <w:rPr>
          <w:rFonts w:ascii="Segoe UI" w:hAnsi="Segoe UI" w:cs="Segoe UI"/>
          <w:bCs/>
          <w:sz w:val="20"/>
          <w:szCs w:val="20"/>
        </w:rPr>
        <w:t xml:space="preserve">Source : </w:t>
      </w:r>
      <w:r w:rsidR="005B2C47" w:rsidRPr="005B2C47">
        <w:rPr>
          <w:rFonts w:ascii="Segoe UI" w:hAnsi="Segoe UI" w:cs="Segoe UI"/>
          <w:bCs/>
          <w:sz w:val="20"/>
          <w:szCs w:val="20"/>
        </w:rPr>
        <w:t>Douanes françaises)</w:t>
      </w:r>
      <w:r w:rsidRPr="005B2C47">
        <w:rPr>
          <w:rFonts w:ascii="Segoe UI" w:hAnsi="Segoe UI" w:cs="Segoe UI"/>
          <w:bCs/>
          <w:sz w:val="20"/>
          <w:szCs w:val="20"/>
        </w:rPr>
        <w:t>.</w:t>
      </w:r>
      <w:r>
        <w:rPr>
          <w:rFonts w:ascii="Segoe UI" w:hAnsi="Segoe UI" w:cs="Segoe UI"/>
          <w:b/>
          <w:sz w:val="20"/>
          <w:szCs w:val="20"/>
        </w:rPr>
        <w:t xml:space="preserve"> </w:t>
      </w:r>
      <w:r w:rsidRPr="00EC1CB3">
        <w:rPr>
          <w:rFonts w:ascii="Segoe UI" w:hAnsi="Segoe UI" w:cs="Segoe UI"/>
          <w:bCs/>
          <w:sz w:val="20"/>
          <w:szCs w:val="20"/>
        </w:rPr>
        <w:t>Plus de</w:t>
      </w:r>
      <w:r w:rsidR="008D645A">
        <w:rPr>
          <w:rFonts w:ascii="Segoe UI" w:hAnsi="Segoe UI" w:cs="Segoe UI"/>
          <w:bCs/>
          <w:sz w:val="20"/>
          <w:szCs w:val="20"/>
        </w:rPr>
        <w:t xml:space="preserve">s deux </w:t>
      </w:r>
      <w:proofErr w:type="spellStart"/>
      <w:r w:rsidR="008D645A">
        <w:rPr>
          <w:rFonts w:ascii="Segoe UI" w:hAnsi="Segoe UI" w:cs="Segoe UI"/>
          <w:bCs/>
          <w:sz w:val="20"/>
          <w:szCs w:val="20"/>
        </w:rPr>
        <w:t>tiers</w:t>
      </w:r>
      <w:r w:rsidRPr="00EC1CB3">
        <w:rPr>
          <w:rFonts w:ascii="Segoe UI" w:hAnsi="Segoe UI" w:cs="Segoe UI"/>
          <w:bCs/>
          <w:sz w:val="20"/>
          <w:szCs w:val="20"/>
        </w:rPr>
        <w:t>de</w:t>
      </w:r>
      <w:r w:rsidR="005B2C47">
        <w:rPr>
          <w:rFonts w:ascii="Segoe UI" w:hAnsi="Segoe UI" w:cs="Segoe UI"/>
          <w:bCs/>
          <w:sz w:val="20"/>
          <w:szCs w:val="20"/>
        </w:rPr>
        <w:t>s</w:t>
      </w:r>
      <w:proofErr w:type="spellEnd"/>
      <w:r w:rsidR="005B2C47">
        <w:rPr>
          <w:rFonts w:ascii="Segoe UI" w:hAnsi="Segoe UI" w:cs="Segoe UI"/>
          <w:bCs/>
          <w:sz w:val="20"/>
          <w:szCs w:val="20"/>
        </w:rPr>
        <w:t xml:space="preserve"> importations françaises</w:t>
      </w:r>
      <w:r w:rsidRPr="00EC1CB3">
        <w:rPr>
          <w:rFonts w:ascii="Segoe UI" w:hAnsi="Segoe UI" w:cs="Segoe UI"/>
          <w:bCs/>
          <w:sz w:val="20"/>
          <w:szCs w:val="20"/>
        </w:rPr>
        <w:t xml:space="preserve"> proviennent de deux secteurs : les produits des industries agroalimentaires (12,3</w:t>
      </w:r>
      <w:r w:rsidR="005B2C47">
        <w:rPr>
          <w:rFonts w:ascii="Segoe UI" w:hAnsi="Segoe UI" w:cs="Segoe UI"/>
          <w:bCs/>
          <w:sz w:val="20"/>
          <w:szCs w:val="20"/>
        </w:rPr>
        <w:t xml:space="preserve"> </w:t>
      </w:r>
      <w:r w:rsidRPr="00EC1CB3">
        <w:rPr>
          <w:rFonts w:ascii="Segoe UI" w:hAnsi="Segoe UI" w:cs="Segoe UI"/>
          <w:bCs/>
          <w:sz w:val="20"/>
          <w:szCs w:val="20"/>
        </w:rPr>
        <w:t>M EUR) ainsi que les produits agricoles, sylvicoles, de la pêche et de l’aquaculture (11,9</w:t>
      </w:r>
      <w:r w:rsidR="005B2C47">
        <w:rPr>
          <w:rFonts w:ascii="Segoe UI" w:hAnsi="Segoe UI" w:cs="Segoe UI"/>
          <w:bCs/>
          <w:sz w:val="20"/>
          <w:szCs w:val="20"/>
        </w:rPr>
        <w:t xml:space="preserve"> </w:t>
      </w:r>
      <w:r w:rsidRPr="00EC1CB3">
        <w:rPr>
          <w:rFonts w:ascii="Segoe UI" w:hAnsi="Segoe UI" w:cs="Segoe UI"/>
          <w:bCs/>
          <w:sz w:val="20"/>
          <w:szCs w:val="20"/>
        </w:rPr>
        <w:t>M</w:t>
      </w:r>
      <w:r>
        <w:rPr>
          <w:rFonts w:ascii="Segoe UI" w:hAnsi="Segoe UI" w:cs="Segoe UI"/>
          <w:bCs/>
          <w:sz w:val="20"/>
          <w:szCs w:val="20"/>
        </w:rPr>
        <w:t xml:space="preserve"> </w:t>
      </w:r>
      <w:r w:rsidRPr="00EC1CB3">
        <w:rPr>
          <w:rFonts w:ascii="Segoe UI" w:hAnsi="Segoe UI" w:cs="Segoe UI"/>
          <w:bCs/>
          <w:sz w:val="20"/>
          <w:szCs w:val="20"/>
        </w:rPr>
        <w:t>EUR).</w:t>
      </w:r>
      <w:r>
        <w:rPr>
          <w:rFonts w:ascii="Segoe UI" w:hAnsi="Segoe UI" w:cs="Segoe UI"/>
          <w:bCs/>
          <w:sz w:val="20"/>
          <w:szCs w:val="20"/>
        </w:rPr>
        <w:t xml:space="preserve"> Les </w:t>
      </w:r>
      <w:r w:rsidR="008D645A">
        <w:rPr>
          <w:rFonts w:ascii="Segoe UI" w:hAnsi="Segoe UI" w:cs="Segoe UI"/>
          <w:bCs/>
          <w:sz w:val="20"/>
          <w:szCs w:val="20"/>
        </w:rPr>
        <w:t xml:space="preserve">achats </w:t>
      </w:r>
      <w:r>
        <w:rPr>
          <w:rFonts w:ascii="Segoe UI" w:hAnsi="Segoe UI" w:cs="Segoe UI"/>
          <w:bCs/>
          <w:sz w:val="20"/>
          <w:szCs w:val="20"/>
        </w:rPr>
        <w:t>dans ces secteurs ont respectivement augmenté de 4,9% et 1,3%.</w:t>
      </w:r>
      <w:r w:rsidR="000E0C23">
        <w:rPr>
          <w:rFonts w:ascii="Segoe UI" w:hAnsi="Segoe UI" w:cs="Segoe UI"/>
          <w:bCs/>
          <w:sz w:val="20"/>
          <w:szCs w:val="20"/>
        </w:rPr>
        <w:t xml:space="preserve"> </w:t>
      </w:r>
      <w:r w:rsidR="008739E5" w:rsidRPr="009C7A20">
        <w:rPr>
          <w:rFonts w:ascii="Segoe UI" w:hAnsi="Segoe UI" w:cs="Segoe UI"/>
          <w:sz w:val="20"/>
          <w:szCs w:val="20"/>
        </w:rPr>
        <w:t>En comparaison avec les autres pays européens, la France se class</w:t>
      </w:r>
      <w:r w:rsidR="008D645A">
        <w:rPr>
          <w:rFonts w:ascii="Segoe UI" w:hAnsi="Segoe UI" w:cs="Segoe UI"/>
          <w:sz w:val="20"/>
          <w:szCs w:val="20"/>
        </w:rPr>
        <w:t xml:space="preserve">ait </w:t>
      </w:r>
      <w:r w:rsidR="007C14BE">
        <w:rPr>
          <w:rFonts w:ascii="Segoe UI" w:hAnsi="Segoe UI" w:cs="Segoe UI"/>
          <w:sz w:val="20"/>
          <w:szCs w:val="20"/>
        </w:rPr>
        <w:t>en 2021</w:t>
      </w:r>
      <w:r w:rsidR="008739E5" w:rsidRPr="009C7A20">
        <w:rPr>
          <w:rFonts w:ascii="Segoe UI" w:hAnsi="Segoe UI" w:cs="Segoe UI"/>
          <w:sz w:val="20"/>
          <w:szCs w:val="20"/>
        </w:rPr>
        <w:t xml:space="preserve"> après</w:t>
      </w:r>
      <w:r w:rsidR="000E0C23">
        <w:rPr>
          <w:rFonts w:ascii="Segoe UI" w:hAnsi="Segoe UI" w:cs="Segoe UI"/>
          <w:sz w:val="20"/>
          <w:szCs w:val="20"/>
        </w:rPr>
        <w:t xml:space="preserve"> la Suisse</w:t>
      </w:r>
      <w:r w:rsidR="007C14BE">
        <w:rPr>
          <w:rFonts w:ascii="Segoe UI" w:hAnsi="Segoe UI" w:cs="Segoe UI"/>
          <w:sz w:val="20"/>
          <w:szCs w:val="20"/>
        </w:rPr>
        <w:t xml:space="preserve">, la Belgique, l’Allemagne, l’Italie et le Royaume-Uni </w:t>
      </w:r>
      <w:r w:rsidR="005834DF">
        <w:rPr>
          <w:rFonts w:ascii="Segoe UI" w:hAnsi="Segoe UI" w:cs="Segoe UI"/>
          <w:sz w:val="20"/>
          <w:szCs w:val="20"/>
        </w:rPr>
        <w:t>(</w:t>
      </w:r>
      <w:r w:rsidR="008E43CB">
        <w:rPr>
          <w:rFonts w:ascii="Segoe UI" w:hAnsi="Segoe UI" w:cs="Segoe UI"/>
          <w:sz w:val="20"/>
          <w:szCs w:val="20"/>
        </w:rPr>
        <w:t xml:space="preserve">Source : </w:t>
      </w:r>
      <w:proofErr w:type="spellStart"/>
      <w:r w:rsidR="008E43CB">
        <w:rPr>
          <w:rFonts w:ascii="Segoe UI" w:hAnsi="Segoe UI" w:cs="Segoe UI"/>
          <w:sz w:val="20"/>
          <w:szCs w:val="20"/>
        </w:rPr>
        <w:t>Bonk</w:t>
      </w:r>
      <w:proofErr w:type="spellEnd"/>
      <w:r w:rsidR="008E43CB">
        <w:rPr>
          <w:rFonts w:ascii="Segoe UI" w:hAnsi="Segoe UI" w:cs="Segoe UI"/>
          <w:sz w:val="20"/>
          <w:szCs w:val="20"/>
        </w:rPr>
        <w:t xml:space="preserve"> of Tanzania</w:t>
      </w:r>
      <w:r w:rsidR="005834DF">
        <w:rPr>
          <w:rFonts w:ascii="Segoe UI" w:hAnsi="Segoe UI" w:cs="Segoe UI"/>
          <w:sz w:val="20"/>
          <w:szCs w:val="20"/>
        </w:rPr>
        <w:t>)</w:t>
      </w:r>
      <w:r w:rsidR="007C14BE">
        <w:rPr>
          <w:rFonts w:ascii="Segoe UI" w:hAnsi="Segoe UI" w:cs="Segoe UI"/>
          <w:sz w:val="20"/>
          <w:szCs w:val="20"/>
        </w:rPr>
        <w:t>.</w:t>
      </w:r>
    </w:p>
    <w:p w14:paraId="163FBF0C" w14:textId="02EBF1DE" w:rsidR="002F7844" w:rsidRDefault="0021390A" w:rsidP="002F7844">
      <w:pPr>
        <w:spacing w:line="276" w:lineRule="auto"/>
        <w:jc w:val="both"/>
        <w:rPr>
          <w:rFonts w:ascii="Segoe UI" w:hAnsi="Segoe UI" w:cs="Segoe UI"/>
          <w:bCs/>
          <w:sz w:val="20"/>
          <w:szCs w:val="20"/>
        </w:rPr>
      </w:pPr>
      <w:r w:rsidRPr="00F02397">
        <w:rPr>
          <w:rFonts w:ascii="Segoe UI" w:hAnsi="Segoe UI" w:cs="Segoe UI"/>
          <w:b/>
          <w:bCs/>
          <w:sz w:val="20"/>
          <w:szCs w:val="20"/>
        </w:rPr>
        <w:t xml:space="preserve">Pour rééquilibrer la balance commerciale, </w:t>
      </w:r>
      <w:r w:rsidR="002F7844">
        <w:rPr>
          <w:rFonts w:ascii="Segoe UI" w:hAnsi="Segoe UI" w:cs="Segoe UI"/>
          <w:bCs/>
          <w:sz w:val="20"/>
          <w:szCs w:val="20"/>
        </w:rPr>
        <w:t>la présidente a fait le choix de prioriser les secteurs permettant de sécuriser les approvisionnements du pays et assurant la croissance de ses exportations, dans un contexte de reprise économique menacée par la guerre en Ukraine. Ainsi, pour l’année fiscale 2023-2024, les budgets consacrés au secteur agricole, au secteur minier, à l’énergie, au tourisme et au secteur de la construction sont en expansion de respectivement 29,2%, 7,1%, 5%, 4,9%, 3,3% par rapport à l’exercice précédent.</w:t>
      </w:r>
    </w:p>
    <w:p w14:paraId="7ECBBD67" w14:textId="2BC77551" w:rsidR="002F4D02" w:rsidRDefault="002F4D02" w:rsidP="00E66FF9">
      <w:pPr>
        <w:spacing w:line="276" w:lineRule="auto"/>
        <w:jc w:val="both"/>
        <w:rPr>
          <w:rFonts w:ascii="Segoe UI" w:hAnsi="Segoe UI" w:cs="Segoe UI"/>
          <w:sz w:val="20"/>
          <w:szCs w:val="20"/>
        </w:rPr>
      </w:pPr>
      <w:r w:rsidRPr="005C5173">
        <w:rPr>
          <w:rFonts w:ascii="Segoe UI" w:hAnsi="Segoe UI" w:cs="Segoe UI"/>
          <w:noProof/>
          <w:lang w:eastAsia="fr-FR"/>
        </w:rPr>
        <mc:AlternateContent>
          <mc:Choice Requires="wps">
            <w:drawing>
              <wp:inline distT="0" distB="0" distL="0" distR="0" wp14:anchorId="1DEC7C05" wp14:editId="6AAEBD40">
                <wp:extent cx="5760720" cy="278296"/>
                <wp:effectExtent l="0" t="0" r="0" b="762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8296"/>
                        </a:xfrm>
                        <a:prstGeom prst="rect">
                          <a:avLst/>
                        </a:prstGeom>
                        <a:solidFill>
                          <a:srgbClr val="006CE5"/>
                        </a:solidFill>
                        <a:ln w="9525">
                          <a:noFill/>
                          <a:miter lim="800000"/>
                          <a:headEnd/>
                          <a:tailEnd/>
                        </a:ln>
                      </wps:spPr>
                      <wps:txbx>
                        <w:txbxContent>
                          <w:p w14:paraId="692E1C24" w14:textId="39EDC39A" w:rsidR="002F4D02" w:rsidRPr="00492C67" w:rsidRDefault="002F4D02" w:rsidP="002F4D02">
                            <w:pPr>
                              <w:jc w:val="both"/>
                              <w:rPr>
                                <w:rFonts w:ascii="Segoe UI Historic" w:hAnsi="Segoe UI Historic" w:cs="Segoe UI Historic"/>
                                <w:color w:val="FFFFFF" w:themeColor="background1"/>
                                <w:sz w:val="24"/>
                                <w:szCs w:val="24"/>
                              </w:rPr>
                            </w:pPr>
                            <w:r>
                              <w:rPr>
                                <w:rFonts w:ascii="Segoe UI" w:hAnsi="Segoe UI" w:cs="Segoe UI"/>
                                <w:b/>
                                <w:bCs/>
                                <w:color w:val="FFFFFF" w:themeColor="background1"/>
                              </w:rPr>
                              <w:t>Reprise progressive du secteur touristique : 2,6 Md USD de recettes en 2022</w:t>
                            </w:r>
                          </w:p>
                        </w:txbxContent>
                      </wps:txbx>
                      <wps:bodyPr rot="0" vert="horz" wrap="square" lIns="91440" tIns="45720" rIns="91440" bIns="45720" anchor="t" anchorCtr="0">
                        <a:noAutofit/>
                      </wps:bodyPr>
                    </wps:wsp>
                  </a:graphicData>
                </a:graphic>
              </wp:inline>
            </w:drawing>
          </mc:Choice>
          <mc:Fallback>
            <w:pict>
              <v:shape w14:anchorId="1DEC7C05" id="_x0000_s1028" type="#_x0000_t202" style="width:453.6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" fillcolor="#006ce5" stroked="f">
                <v:textbox>
                  <w:txbxContent>
                    <w:p w14:paraId="692E1C24" w14:textId="39EDC39A" w:rsidR="002F4D02" w:rsidRPr="00492C67" w:rsidRDefault="002F4D02" w:rsidP="002F4D02">
                      <w:pPr>
                        <w:jc w:val="both"/>
                        <w:rPr>
                          <w:rFonts w:ascii="Segoe UI Historic" w:hAnsi="Segoe UI Historic" w:cs="Segoe UI Historic"/>
                          <w:color w:val="FFFFFF" w:themeColor="background1"/>
                          <w:sz w:val="24"/>
                          <w:szCs w:val="24"/>
                        </w:rPr>
                      </w:pPr>
                      <w:r>
                        <w:rPr>
                          <w:rFonts w:ascii="Segoe UI" w:hAnsi="Segoe UI" w:cs="Segoe UI"/>
                          <w:b/>
                          <w:bCs/>
                          <w:color w:val="FFFFFF" w:themeColor="background1"/>
                        </w:rPr>
                        <w:t>Reprise progressive du secteur touristique : 2,6 Md USD de recettes en 2022</w:t>
                      </w:r>
                    </w:p>
                  </w:txbxContent>
                </v:textbox>
                <w10:anchorlock/>
              </v:shape>
            </w:pict>
          </mc:Fallback>
        </mc:AlternateContent>
      </w:r>
    </w:p>
    <w:p w14:paraId="513E611B" w14:textId="77777777" w:rsidR="006D5A75" w:rsidRDefault="006D5A75" w:rsidP="006D5A75">
      <w:pPr>
        <w:spacing w:after="120" w:line="276" w:lineRule="auto"/>
        <w:jc w:val="both"/>
        <w:rPr>
          <w:rFonts w:ascii="Segoe UI" w:hAnsi="Segoe UI" w:cs="Segoe UI"/>
          <w:sz w:val="20"/>
          <w:szCs w:val="20"/>
        </w:rPr>
      </w:pPr>
      <w:r w:rsidRPr="00D47519">
        <w:rPr>
          <w:rFonts w:ascii="Segoe UI" w:hAnsi="Segoe UI" w:cs="Segoe UI"/>
          <w:b/>
          <w:bCs/>
          <w:sz w:val="20"/>
          <w:szCs w:val="20"/>
        </w:rPr>
        <w:lastRenderedPageBreak/>
        <w:t>Le nombre d’arrivées de touristes en Tanzanie a atteint 1,5 M en 2022, contre 922 700 en 2021</w:t>
      </w:r>
      <w:r>
        <w:rPr>
          <w:rFonts w:ascii="Segoe UI" w:hAnsi="Segoe UI" w:cs="Segoe UI"/>
          <w:sz w:val="20"/>
          <w:szCs w:val="20"/>
        </w:rPr>
        <w:t xml:space="preserve"> (</w:t>
      </w:r>
      <w:r w:rsidRPr="00E756CC">
        <w:rPr>
          <w:rFonts w:ascii="Segoe UI" w:hAnsi="Segoe UI" w:cs="Segoe UI"/>
          <w:sz w:val="20"/>
          <w:szCs w:val="20"/>
        </w:rPr>
        <w:t>Bureau National des Statistiques</w:t>
      </w:r>
      <w:r w:rsidRPr="001322A1">
        <w:rPr>
          <w:rFonts w:ascii="Segoe UI" w:hAnsi="Segoe UI" w:cs="Segoe UI"/>
          <w:sz w:val="20"/>
          <w:szCs w:val="20"/>
        </w:rPr>
        <w:t xml:space="preserve">). Les Etats-Unis sont le principal marché d’origine des touristes (100 600 en 2022) suivis par la France (100 371), l’Allemagne, le Royaume-Uni et la Pologne. </w:t>
      </w:r>
    </w:p>
    <w:p w14:paraId="44FAD95A" w14:textId="30AA71F2" w:rsidR="00B4177E" w:rsidRDefault="006D5A75" w:rsidP="006D5A75">
      <w:pPr>
        <w:spacing w:line="276" w:lineRule="auto"/>
        <w:jc w:val="both"/>
        <w:rPr>
          <w:rFonts w:ascii="Segoe UI" w:hAnsi="Segoe UI" w:cs="Segoe UI"/>
          <w:sz w:val="20"/>
          <w:szCs w:val="20"/>
        </w:rPr>
      </w:pPr>
      <w:r w:rsidRPr="00D47519">
        <w:rPr>
          <w:rFonts w:ascii="Segoe UI" w:hAnsi="Segoe UI" w:cs="Segoe UI"/>
          <w:b/>
          <w:bCs/>
          <w:sz w:val="20"/>
          <w:szCs w:val="20"/>
        </w:rPr>
        <w:t>Avec la crise sanitaire de Covid-19, la Tanzanie a</w:t>
      </w:r>
      <w:r w:rsidR="008E43CB">
        <w:rPr>
          <w:rFonts w:ascii="Segoe UI" w:hAnsi="Segoe UI" w:cs="Segoe UI"/>
          <w:b/>
          <w:bCs/>
          <w:sz w:val="20"/>
          <w:szCs w:val="20"/>
        </w:rPr>
        <w:t>vait</w:t>
      </w:r>
      <w:r w:rsidRPr="00D47519">
        <w:rPr>
          <w:rFonts w:ascii="Segoe UI" w:hAnsi="Segoe UI" w:cs="Segoe UI"/>
          <w:b/>
          <w:bCs/>
          <w:sz w:val="20"/>
          <w:szCs w:val="20"/>
        </w:rPr>
        <w:t xml:space="preserve"> connu une chute drastique des exportations de tourisme (-55 % sur l’année fiscale 2020/21).</w:t>
      </w:r>
      <w:r w:rsidRPr="006D5A75">
        <w:rPr>
          <w:rFonts w:ascii="Segoe UI" w:hAnsi="Segoe UI" w:cs="Segoe UI"/>
          <w:sz w:val="20"/>
          <w:szCs w:val="20"/>
        </w:rPr>
        <w:t xml:space="preserve"> De même, la guerre en Ukraine a eu des effets immédiats sur l’économie touristique avec l’arrêt de certaines liaisons aériennes vers Zanzibar. Grâce à la fin des restrictions de voyage ainsi qu’à des initiatives gouvernementales de promotion du secteur, le tourisme tanzanien tente de retrouver progressivement son niveau d’avant la pandémie de Covid-19. En particulier, le lancement du documentaire </w:t>
      </w:r>
      <w:r w:rsidRPr="006D5A75">
        <w:rPr>
          <w:rFonts w:ascii="Segoe UI" w:hAnsi="Segoe UI" w:cs="Segoe UI"/>
          <w:i/>
          <w:iCs/>
          <w:sz w:val="20"/>
          <w:szCs w:val="20"/>
        </w:rPr>
        <w:t xml:space="preserve">The Royal </w:t>
      </w:r>
      <w:r w:rsidRPr="006D5A75">
        <w:rPr>
          <w:rFonts w:ascii="Segoe UI" w:hAnsi="Segoe UI" w:cs="Segoe UI"/>
          <w:sz w:val="20"/>
          <w:szCs w:val="20"/>
        </w:rPr>
        <w:t xml:space="preserve">Tour avec la participation de la présidente Samia </w:t>
      </w:r>
      <w:proofErr w:type="spellStart"/>
      <w:r w:rsidRPr="006D5A75">
        <w:rPr>
          <w:rFonts w:ascii="Segoe UI" w:hAnsi="Segoe UI" w:cs="Segoe UI"/>
          <w:sz w:val="20"/>
          <w:szCs w:val="20"/>
        </w:rPr>
        <w:t>Suluhu</w:t>
      </w:r>
      <w:proofErr w:type="spellEnd"/>
      <w:r w:rsidRPr="006D5A75">
        <w:rPr>
          <w:rFonts w:ascii="Segoe UI" w:hAnsi="Segoe UI" w:cs="Segoe UI"/>
          <w:sz w:val="20"/>
          <w:szCs w:val="20"/>
        </w:rPr>
        <w:t xml:space="preserve"> Hassan a eu des impacts très positifs sur le secteur. </w:t>
      </w:r>
      <w:r>
        <w:rPr>
          <w:rFonts w:ascii="Segoe UI" w:hAnsi="Segoe UI" w:cs="Segoe UI"/>
          <w:sz w:val="20"/>
          <w:szCs w:val="20"/>
        </w:rPr>
        <w:t>En début d’année 2022, la B</w:t>
      </w:r>
      <w:r w:rsidR="000F5720">
        <w:rPr>
          <w:rFonts w:ascii="Segoe UI" w:hAnsi="Segoe UI" w:cs="Segoe UI"/>
          <w:sz w:val="20"/>
          <w:szCs w:val="20"/>
        </w:rPr>
        <w:t>anque of Tanzania</w:t>
      </w:r>
      <w:r>
        <w:rPr>
          <w:rFonts w:ascii="Segoe UI" w:hAnsi="Segoe UI" w:cs="Segoe UI"/>
          <w:sz w:val="20"/>
          <w:szCs w:val="20"/>
        </w:rPr>
        <w:t xml:space="preserve"> a </w:t>
      </w:r>
      <w:r w:rsidRPr="006D5A75">
        <w:rPr>
          <w:rFonts w:ascii="Segoe UI" w:hAnsi="Segoe UI" w:cs="Segoe UI"/>
          <w:sz w:val="20"/>
          <w:szCs w:val="20"/>
        </w:rPr>
        <w:t>affirmé que le pays avait pu rétablir la majeure partie de ses recettes notamment grâce au choix des touristes de privilégier le report de leurs séjours prévus en 2020 plutôt que leur annulation. </w:t>
      </w:r>
    </w:p>
    <w:p w14:paraId="61203959" w14:textId="1C75E5FF" w:rsidR="006D5A75" w:rsidRDefault="006D5A75" w:rsidP="006D5A75">
      <w:pPr>
        <w:spacing w:line="276" w:lineRule="auto"/>
        <w:jc w:val="both"/>
        <w:rPr>
          <w:rFonts w:ascii="Segoe UI" w:hAnsi="Segoe UI" w:cs="Segoe UI"/>
          <w:sz w:val="20"/>
          <w:szCs w:val="20"/>
        </w:rPr>
      </w:pPr>
      <w:r w:rsidRPr="00D47519">
        <w:rPr>
          <w:rFonts w:ascii="Segoe UI" w:hAnsi="Segoe UI" w:cs="Segoe UI"/>
          <w:b/>
          <w:bCs/>
          <w:sz w:val="20"/>
          <w:szCs w:val="20"/>
        </w:rPr>
        <w:t>Ainsi, l’année 2022 a bénéficié à la fois de ces nombreux reports mais aussi de la reprise progressive du secteur ; le montant des recettes du tourisme a atteint 2,56 Md USD en 2022</w:t>
      </w:r>
      <w:r w:rsidRPr="00447C75">
        <w:rPr>
          <w:rFonts w:ascii="Segoe UI" w:hAnsi="Segoe UI" w:cs="Segoe UI"/>
          <w:sz w:val="20"/>
          <w:szCs w:val="20"/>
        </w:rPr>
        <w:t xml:space="preserve"> soit un montant supérieur de 1,4% à celui enregistré avant la pandémie. Pour autant, le nombre de touristes ayant visité le pays reste légèrement </w:t>
      </w:r>
      <w:proofErr w:type="gramStart"/>
      <w:r w:rsidRPr="00447C75">
        <w:rPr>
          <w:rFonts w:ascii="Segoe UI" w:hAnsi="Segoe UI" w:cs="Segoe UI"/>
          <w:sz w:val="20"/>
          <w:szCs w:val="20"/>
        </w:rPr>
        <w:t>inférieur:</w:t>
      </w:r>
      <w:proofErr w:type="gramEnd"/>
      <w:r w:rsidRPr="00447C75">
        <w:rPr>
          <w:rFonts w:ascii="Segoe UI" w:hAnsi="Segoe UI" w:cs="Segoe UI"/>
          <w:sz w:val="20"/>
          <w:szCs w:val="20"/>
        </w:rPr>
        <w:t xml:space="preserve"> 1</w:t>
      </w:r>
      <w:r w:rsidR="00447C75">
        <w:rPr>
          <w:rFonts w:ascii="Segoe UI" w:hAnsi="Segoe UI" w:cs="Segoe UI"/>
          <w:sz w:val="20"/>
          <w:szCs w:val="20"/>
        </w:rPr>
        <w:t>,</w:t>
      </w:r>
      <w:r w:rsidRPr="00447C75">
        <w:rPr>
          <w:rFonts w:ascii="Segoe UI" w:hAnsi="Segoe UI" w:cs="Segoe UI"/>
          <w:sz w:val="20"/>
          <w:szCs w:val="20"/>
        </w:rPr>
        <w:t>45</w:t>
      </w:r>
      <w:r w:rsidR="00447C75">
        <w:rPr>
          <w:rFonts w:ascii="Segoe UI" w:hAnsi="Segoe UI" w:cs="Segoe UI"/>
          <w:sz w:val="20"/>
          <w:szCs w:val="20"/>
        </w:rPr>
        <w:t xml:space="preserve"> M</w:t>
      </w:r>
      <w:r w:rsidRPr="00447C75">
        <w:rPr>
          <w:rFonts w:ascii="Segoe UI" w:hAnsi="Segoe UI" w:cs="Segoe UI"/>
          <w:sz w:val="20"/>
          <w:szCs w:val="20"/>
        </w:rPr>
        <w:t xml:space="preserve"> en 2022 contre 1</w:t>
      </w:r>
      <w:r w:rsidR="00447C75">
        <w:rPr>
          <w:rFonts w:ascii="Segoe UI" w:hAnsi="Segoe UI" w:cs="Segoe UI"/>
          <w:sz w:val="20"/>
          <w:szCs w:val="20"/>
        </w:rPr>
        <w:t>,</w:t>
      </w:r>
      <w:r w:rsidRPr="00447C75">
        <w:rPr>
          <w:rFonts w:ascii="Segoe UI" w:hAnsi="Segoe UI" w:cs="Segoe UI"/>
          <w:sz w:val="20"/>
          <w:szCs w:val="20"/>
        </w:rPr>
        <w:t>5</w:t>
      </w:r>
      <w:r w:rsidR="00447C75">
        <w:rPr>
          <w:rFonts w:ascii="Segoe UI" w:hAnsi="Segoe UI" w:cs="Segoe UI"/>
          <w:sz w:val="20"/>
          <w:szCs w:val="20"/>
        </w:rPr>
        <w:t>3 M</w:t>
      </w:r>
      <w:r w:rsidRPr="00447C75">
        <w:rPr>
          <w:rFonts w:ascii="Segoe UI" w:hAnsi="Segoe UI" w:cs="Segoe UI"/>
          <w:sz w:val="20"/>
          <w:szCs w:val="20"/>
        </w:rPr>
        <w:t xml:space="preserve"> en 2019. En particulier, le secteur de l’hôtellerie, essentiel pour générer des recettes en devises, a contribué à environ 53,6% des recettes totales de services qui se sont élevées à 4,77 Md USD en 2022. </w:t>
      </w:r>
      <w:r w:rsidRPr="00A75F2B">
        <w:rPr>
          <w:rFonts w:ascii="Segoe UI" w:hAnsi="Segoe UI" w:cs="Segoe UI"/>
          <w:sz w:val="20"/>
          <w:szCs w:val="20"/>
        </w:rPr>
        <w:t xml:space="preserve">Ce retour des flux de voyageurs est une bonne nouvelle pour l’économie tanzanienne, fortement dépendante du tourisme : en 2019, le secteur représentait 10,7% du PIB et 35% des recettes en devises ; </w:t>
      </w:r>
      <w:r w:rsidR="008E43CB">
        <w:rPr>
          <w:rFonts w:ascii="Segoe UI" w:hAnsi="Segoe UI" w:cs="Segoe UI"/>
          <w:sz w:val="20"/>
          <w:szCs w:val="20"/>
        </w:rPr>
        <w:t xml:space="preserve">il </w:t>
      </w:r>
      <w:r w:rsidRPr="00A75F2B">
        <w:rPr>
          <w:rFonts w:ascii="Segoe UI" w:hAnsi="Segoe UI" w:cs="Segoe UI"/>
          <w:sz w:val="20"/>
          <w:szCs w:val="20"/>
        </w:rPr>
        <w:t>générait 1</w:t>
      </w:r>
      <w:r w:rsidR="00A75F2B" w:rsidRPr="00A75F2B">
        <w:rPr>
          <w:rFonts w:ascii="Segoe UI" w:hAnsi="Segoe UI" w:cs="Segoe UI"/>
          <w:sz w:val="20"/>
          <w:szCs w:val="20"/>
        </w:rPr>
        <w:t>,5 M d’</w:t>
      </w:r>
      <w:r w:rsidRPr="00A75F2B">
        <w:rPr>
          <w:rFonts w:ascii="Segoe UI" w:hAnsi="Segoe UI" w:cs="Segoe UI"/>
          <w:sz w:val="20"/>
          <w:szCs w:val="20"/>
        </w:rPr>
        <w:t>emplois (directs et indirects) et était le premier poste d’exportations de services.</w:t>
      </w:r>
      <w:r w:rsidRPr="0062463A">
        <w:rPr>
          <w:rFonts w:ascii="Segoe UI" w:hAnsi="Segoe UI" w:cs="Segoe UI"/>
          <w:sz w:val="20"/>
          <w:szCs w:val="20"/>
        </w:rPr>
        <w:t xml:space="preserve"> </w:t>
      </w:r>
    </w:p>
    <w:p w14:paraId="6FB09095" w14:textId="77777777" w:rsidR="00FB42E8" w:rsidRPr="005C5173" w:rsidRDefault="00FB42E8" w:rsidP="00FB42E8">
      <w:pPr>
        <w:rPr>
          <w:rFonts w:ascii="Segoe UI" w:hAnsi="Segoe UI" w:cs="Segoe UI"/>
          <w:color w:val="006CE5"/>
          <w:sz w:val="24"/>
          <w:szCs w:val="24"/>
          <w:u w:val="single"/>
        </w:rPr>
      </w:pPr>
      <w:r w:rsidRPr="005C5173">
        <w:rPr>
          <w:rFonts w:ascii="Segoe UI" w:hAnsi="Segoe UI" w:cs="Segoe UI"/>
          <w:noProof/>
          <w:lang w:eastAsia="fr-FR"/>
        </w:rPr>
        <mc:AlternateContent>
          <mc:Choice Requires="wps">
            <w:drawing>
              <wp:inline distT="0" distB="0" distL="0" distR="0" wp14:anchorId="74BFD62F" wp14:editId="7E88B498">
                <wp:extent cx="5748793" cy="299720"/>
                <wp:effectExtent l="0" t="0" r="4445" b="508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99720"/>
                        </a:xfrm>
                        <a:prstGeom prst="rect">
                          <a:avLst/>
                        </a:prstGeom>
                        <a:solidFill>
                          <a:srgbClr val="006CE5"/>
                        </a:solidFill>
                        <a:ln w="9525">
                          <a:noFill/>
                          <a:miter lim="800000"/>
                          <a:headEnd/>
                          <a:tailEnd/>
                        </a:ln>
                      </wps:spPr>
                      <wps:txbx>
                        <w:txbxContent>
                          <w:p w14:paraId="20A5A891" w14:textId="097EAFB9" w:rsidR="00FB42E8" w:rsidRPr="0095722A" w:rsidRDefault="00332707" w:rsidP="00FB42E8">
                            <w:pPr>
                              <w:rPr>
                                <w:rFonts w:ascii="Segoe UI" w:hAnsi="Segoe UI" w:cs="Segoe UI"/>
                                <w:b/>
                                <w:bCs/>
                                <w:color w:val="FFFFFF" w:themeColor="background1"/>
                              </w:rPr>
                            </w:pPr>
                            <w:r>
                              <w:rPr>
                                <w:rFonts w:ascii="Segoe UI" w:hAnsi="Segoe UI" w:cs="Segoe UI"/>
                                <w:b/>
                                <w:bCs/>
                                <w:color w:val="FFFFFF" w:themeColor="background1"/>
                              </w:rPr>
                              <w:t xml:space="preserve">Des importations </w:t>
                            </w:r>
                            <w:r w:rsidR="00DA6111">
                              <w:rPr>
                                <w:rFonts w:ascii="Segoe UI" w:hAnsi="Segoe UI" w:cs="Segoe UI"/>
                                <w:b/>
                                <w:bCs/>
                                <w:color w:val="FFFFFF" w:themeColor="background1"/>
                              </w:rPr>
                              <w:t xml:space="preserve">en hausse de </w:t>
                            </w:r>
                            <w:r w:rsidR="00A12E9B">
                              <w:rPr>
                                <w:rFonts w:ascii="Segoe UI" w:hAnsi="Segoe UI" w:cs="Segoe UI"/>
                                <w:b/>
                                <w:bCs/>
                                <w:color w:val="FFFFFF" w:themeColor="background1"/>
                              </w:rPr>
                              <w:t xml:space="preserve">26%, tirées par les achats de produits pétroliers </w:t>
                            </w:r>
                          </w:p>
                        </w:txbxContent>
                      </wps:txbx>
                      <wps:bodyPr rot="0" vert="horz" wrap="square" lIns="91440" tIns="45720" rIns="91440" bIns="45720" anchor="t" anchorCtr="0">
                        <a:noAutofit/>
                      </wps:bodyPr>
                    </wps:wsp>
                  </a:graphicData>
                </a:graphic>
              </wp:inline>
            </w:drawing>
          </mc:Choice>
          <mc:Fallback>
            <w:pict>
              <v:shape w14:anchorId="74BFD62F" id="_x0000_s1029" type="#_x0000_t202" style="width:452.6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" fillcolor="#006ce5" stroked="f">
                <v:textbox>
                  <w:txbxContent>
                    <w:p w14:paraId="20A5A891" w14:textId="097EAFB9" w:rsidR="00FB42E8" w:rsidRPr="0095722A" w:rsidRDefault="00332707" w:rsidP="00FB42E8">
                      <w:pPr>
                        <w:rPr>
                          <w:rFonts w:ascii="Segoe UI" w:hAnsi="Segoe UI" w:cs="Segoe UI"/>
                          <w:b/>
                          <w:bCs/>
                          <w:color w:val="FFFFFF" w:themeColor="background1"/>
                        </w:rPr>
                      </w:pPr>
                      <w:r>
                        <w:rPr>
                          <w:rFonts w:ascii="Segoe UI" w:hAnsi="Segoe UI" w:cs="Segoe UI"/>
                          <w:b/>
                          <w:bCs/>
                          <w:color w:val="FFFFFF" w:themeColor="background1"/>
                        </w:rPr>
                        <w:t xml:space="preserve">Des importations </w:t>
                      </w:r>
                      <w:r w:rsidR="00DA6111">
                        <w:rPr>
                          <w:rFonts w:ascii="Segoe UI" w:hAnsi="Segoe UI" w:cs="Segoe UI"/>
                          <w:b/>
                          <w:bCs/>
                          <w:color w:val="FFFFFF" w:themeColor="background1"/>
                        </w:rPr>
                        <w:t xml:space="preserve">en hausse de </w:t>
                      </w:r>
                      <w:r w:rsidR="00A12E9B">
                        <w:rPr>
                          <w:rFonts w:ascii="Segoe UI" w:hAnsi="Segoe UI" w:cs="Segoe UI"/>
                          <w:b/>
                          <w:bCs/>
                          <w:color w:val="FFFFFF" w:themeColor="background1"/>
                        </w:rPr>
                        <w:t xml:space="preserve">26%, tirées par les achats de produits pétroliers </w:t>
                      </w:r>
                    </w:p>
                  </w:txbxContent>
                </v:textbox>
                <w10:anchorlock/>
              </v:shape>
            </w:pict>
          </mc:Fallback>
        </mc:AlternateContent>
      </w:r>
    </w:p>
    <w:p w14:paraId="5EB55304" w14:textId="4DEA8873" w:rsidR="00E12A38" w:rsidRPr="005D1875" w:rsidRDefault="00A35EB6" w:rsidP="00E66FF9">
      <w:pPr>
        <w:tabs>
          <w:tab w:val="left" w:pos="5197"/>
        </w:tabs>
        <w:spacing w:line="276" w:lineRule="auto"/>
        <w:jc w:val="both"/>
        <w:rPr>
          <w:rFonts w:ascii="Segoe UI" w:eastAsia="Times New Roman" w:hAnsi="Segoe UI" w:cs="Segoe UI"/>
          <w:color w:val="000000" w:themeColor="text1"/>
          <w:sz w:val="20"/>
          <w:szCs w:val="20"/>
          <w:highlight w:val="yellow"/>
          <w:lang w:eastAsia="fr-FR"/>
        </w:rPr>
      </w:pPr>
      <w:r w:rsidRPr="00D47519">
        <w:rPr>
          <w:rFonts w:ascii="Segoe UI" w:eastAsia="Times New Roman" w:hAnsi="Segoe UI" w:cs="Segoe UI"/>
          <w:b/>
          <w:bCs/>
          <w:color w:val="000000" w:themeColor="text1"/>
          <w:sz w:val="20"/>
          <w:szCs w:val="20"/>
          <w:lang w:eastAsia="fr-FR"/>
        </w:rPr>
        <w:t>Les importations tanzaniennes, estimées à 11,7 Md USD, présentent le profil inverse des exportations :</w:t>
      </w:r>
      <w:r w:rsidRPr="00E66FF9">
        <w:rPr>
          <w:rFonts w:ascii="Segoe UI" w:eastAsia="Times New Roman" w:hAnsi="Segoe UI" w:cs="Segoe UI"/>
          <w:color w:val="000000" w:themeColor="text1"/>
          <w:sz w:val="20"/>
          <w:szCs w:val="20"/>
          <w:lang w:eastAsia="fr-FR"/>
        </w:rPr>
        <w:t xml:space="preserve"> les produits transformés prédominent. </w:t>
      </w:r>
      <w:r w:rsidR="00F24DD1" w:rsidRPr="005A1CDB">
        <w:rPr>
          <w:rFonts w:ascii="Segoe UI" w:eastAsia="Times New Roman" w:hAnsi="Segoe UI" w:cs="Segoe UI"/>
          <w:color w:val="000000" w:themeColor="text1"/>
          <w:sz w:val="20"/>
          <w:szCs w:val="20"/>
          <w:lang w:eastAsia="fr-FR"/>
        </w:rPr>
        <w:t xml:space="preserve">Elles </w:t>
      </w:r>
      <w:r w:rsidR="005A1CDB" w:rsidRPr="005A1CDB">
        <w:rPr>
          <w:rFonts w:ascii="Segoe UI" w:eastAsia="Times New Roman" w:hAnsi="Segoe UI" w:cs="Segoe UI"/>
          <w:color w:val="000000" w:themeColor="text1"/>
          <w:sz w:val="20"/>
          <w:szCs w:val="20"/>
          <w:lang w:eastAsia="fr-FR"/>
        </w:rPr>
        <w:t>sont dominées par les importations de biens intermédiaires (produits pétroliers, fer et acier, produits plastiques).</w:t>
      </w:r>
      <w:r w:rsidR="005A1CDB" w:rsidRPr="00D8537D">
        <w:rPr>
          <w:rFonts w:ascii="Segoe UI" w:eastAsia="Times New Roman" w:hAnsi="Segoe UI" w:cs="Segoe UI"/>
          <w:color w:val="000000" w:themeColor="text1"/>
          <w:sz w:val="20"/>
          <w:szCs w:val="20"/>
          <w:lang w:eastAsia="fr-FR"/>
        </w:rPr>
        <w:t xml:space="preserve"> </w:t>
      </w:r>
      <w:r w:rsidR="00D8537D" w:rsidRPr="00D8537D">
        <w:rPr>
          <w:rFonts w:ascii="Segoe UI" w:eastAsia="Times New Roman" w:hAnsi="Segoe UI" w:cs="Segoe UI"/>
          <w:color w:val="000000" w:themeColor="text1"/>
          <w:sz w:val="20"/>
          <w:szCs w:val="20"/>
          <w:lang w:eastAsia="fr-FR"/>
        </w:rPr>
        <w:t>En particulier, les importations de pétrole ont augmenté de 67,8% pour atteindre 2,</w:t>
      </w:r>
      <w:r w:rsidR="00ED2A51">
        <w:rPr>
          <w:rFonts w:ascii="Segoe UI" w:eastAsia="Times New Roman" w:hAnsi="Segoe UI" w:cs="Segoe UI"/>
          <w:color w:val="000000" w:themeColor="text1"/>
          <w:sz w:val="20"/>
          <w:szCs w:val="20"/>
          <w:lang w:eastAsia="fr-FR"/>
        </w:rPr>
        <w:t>5</w:t>
      </w:r>
      <w:r w:rsidR="00D8537D" w:rsidRPr="00D8537D">
        <w:rPr>
          <w:rFonts w:ascii="Segoe UI" w:eastAsia="Times New Roman" w:hAnsi="Segoe UI" w:cs="Segoe UI"/>
          <w:color w:val="000000" w:themeColor="text1"/>
          <w:sz w:val="20"/>
          <w:szCs w:val="20"/>
          <w:lang w:eastAsia="fr-FR"/>
        </w:rPr>
        <w:t xml:space="preserve"> M USD en 202</w:t>
      </w:r>
      <w:r w:rsidR="00ED2A51">
        <w:rPr>
          <w:rFonts w:ascii="Segoe UI" w:eastAsia="Times New Roman" w:hAnsi="Segoe UI" w:cs="Segoe UI"/>
          <w:color w:val="000000" w:themeColor="text1"/>
          <w:sz w:val="20"/>
          <w:szCs w:val="20"/>
          <w:lang w:eastAsia="fr-FR"/>
        </w:rPr>
        <w:t>2</w:t>
      </w:r>
      <w:r w:rsidR="00D8537D" w:rsidRPr="00D8537D">
        <w:rPr>
          <w:rFonts w:ascii="Segoe UI" w:eastAsia="Times New Roman" w:hAnsi="Segoe UI" w:cs="Segoe UI"/>
          <w:color w:val="000000" w:themeColor="text1"/>
          <w:sz w:val="20"/>
          <w:szCs w:val="20"/>
          <w:lang w:eastAsia="fr-FR"/>
        </w:rPr>
        <w:t xml:space="preserve"> (contre 1,5 M USD en 202</w:t>
      </w:r>
      <w:r w:rsidR="00ED2A51">
        <w:rPr>
          <w:rFonts w:ascii="Segoe UI" w:eastAsia="Times New Roman" w:hAnsi="Segoe UI" w:cs="Segoe UI"/>
          <w:color w:val="000000" w:themeColor="text1"/>
          <w:sz w:val="20"/>
          <w:szCs w:val="20"/>
          <w:lang w:eastAsia="fr-FR"/>
        </w:rPr>
        <w:t>1</w:t>
      </w:r>
      <w:r w:rsidR="00D8537D" w:rsidRPr="00D8537D">
        <w:rPr>
          <w:rFonts w:ascii="Segoe UI" w:eastAsia="Times New Roman" w:hAnsi="Segoe UI" w:cs="Segoe UI"/>
          <w:color w:val="000000" w:themeColor="text1"/>
          <w:sz w:val="20"/>
          <w:szCs w:val="20"/>
          <w:lang w:eastAsia="fr-FR"/>
        </w:rPr>
        <w:t>)</w:t>
      </w:r>
      <w:r w:rsidR="006E557B">
        <w:rPr>
          <w:rFonts w:ascii="Segoe UI" w:eastAsia="Times New Roman" w:hAnsi="Segoe UI" w:cs="Segoe UI"/>
          <w:color w:val="000000" w:themeColor="text1"/>
          <w:sz w:val="20"/>
          <w:szCs w:val="20"/>
          <w:lang w:eastAsia="fr-FR"/>
        </w:rPr>
        <w:t xml:space="preserve"> en raison </w:t>
      </w:r>
      <w:r w:rsidR="00DA6111">
        <w:rPr>
          <w:rFonts w:ascii="Segoe UI" w:eastAsia="Times New Roman" w:hAnsi="Segoe UI" w:cs="Segoe UI"/>
          <w:color w:val="000000" w:themeColor="text1"/>
          <w:sz w:val="20"/>
          <w:szCs w:val="20"/>
          <w:lang w:eastAsia="fr-FR"/>
        </w:rPr>
        <w:t>des</w:t>
      </w:r>
      <w:r w:rsidR="006E557B">
        <w:rPr>
          <w:rFonts w:ascii="Segoe UI" w:eastAsia="Times New Roman" w:hAnsi="Segoe UI" w:cs="Segoe UI"/>
          <w:color w:val="000000" w:themeColor="text1"/>
          <w:sz w:val="20"/>
          <w:szCs w:val="20"/>
          <w:lang w:eastAsia="fr-FR"/>
        </w:rPr>
        <w:t xml:space="preserve"> prix élevé</w:t>
      </w:r>
      <w:r w:rsidR="00DA6111">
        <w:rPr>
          <w:rFonts w:ascii="Segoe UI" w:eastAsia="Times New Roman" w:hAnsi="Segoe UI" w:cs="Segoe UI"/>
          <w:color w:val="000000" w:themeColor="text1"/>
          <w:sz w:val="20"/>
          <w:szCs w:val="20"/>
          <w:lang w:eastAsia="fr-FR"/>
        </w:rPr>
        <w:t>s</w:t>
      </w:r>
      <w:r w:rsidR="006E557B">
        <w:rPr>
          <w:rFonts w:ascii="Segoe UI" w:eastAsia="Times New Roman" w:hAnsi="Segoe UI" w:cs="Segoe UI"/>
          <w:color w:val="000000" w:themeColor="text1"/>
          <w:sz w:val="20"/>
          <w:szCs w:val="20"/>
          <w:lang w:eastAsia="fr-FR"/>
        </w:rPr>
        <w:t xml:space="preserve"> sur le marché mondial </w:t>
      </w:r>
      <w:r w:rsidR="00DA6111">
        <w:rPr>
          <w:rFonts w:ascii="Segoe UI" w:eastAsia="Times New Roman" w:hAnsi="Segoe UI" w:cs="Segoe UI"/>
          <w:color w:val="000000" w:themeColor="text1"/>
          <w:sz w:val="20"/>
          <w:szCs w:val="20"/>
          <w:lang w:eastAsia="fr-FR"/>
        </w:rPr>
        <w:t>dus</w:t>
      </w:r>
      <w:r w:rsidR="006E557B">
        <w:rPr>
          <w:rFonts w:ascii="Segoe UI" w:eastAsia="Times New Roman" w:hAnsi="Segoe UI" w:cs="Segoe UI"/>
          <w:color w:val="000000" w:themeColor="text1"/>
          <w:sz w:val="20"/>
          <w:szCs w:val="20"/>
          <w:lang w:eastAsia="fr-FR"/>
        </w:rPr>
        <w:t xml:space="preserve"> aux ruptures d’approvisionnement pendant la guerre en Ukraine. </w:t>
      </w:r>
      <w:r w:rsidR="00DA6111">
        <w:rPr>
          <w:rFonts w:ascii="Segoe UI" w:eastAsia="Times New Roman" w:hAnsi="Segoe UI" w:cs="Segoe UI"/>
          <w:color w:val="000000" w:themeColor="text1"/>
          <w:sz w:val="20"/>
          <w:szCs w:val="20"/>
          <w:lang w:eastAsia="fr-FR"/>
        </w:rPr>
        <w:t xml:space="preserve">Les importations d’huile comestible, de blé et d’engrais ont également augmenté en raison de la guerre en Ukraine. </w:t>
      </w:r>
      <w:r w:rsidR="00E12A38">
        <w:rPr>
          <w:rFonts w:ascii="Segoe UI" w:eastAsia="Times New Roman" w:hAnsi="Segoe UI" w:cs="Segoe UI"/>
          <w:color w:val="000000" w:themeColor="text1"/>
          <w:sz w:val="20"/>
          <w:szCs w:val="20"/>
          <w:lang w:eastAsia="fr-FR"/>
        </w:rPr>
        <w:t>Les principaux produits importés en provenance de la CAE sont le pétrole, les bouchons, le sel, le fer et l’acier</w:t>
      </w:r>
      <w:r w:rsidR="005A1CDB">
        <w:rPr>
          <w:rFonts w:ascii="Segoe UI" w:eastAsia="Times New Roman" w:hAnsi="Segoe UI" w:cs="Segoe UI"/>
          <w:color w:val="000000" w:themeColor="text1"/>
          <w:sz w:val="20"/>
          <w:szCs w:val="20"/>
          <w:lang w:eastAsia="fr-FR"/>
        </w:rPr>
        <w:t xml:space="preserve">, le savon, les détergents et les produits pharmaceutiques. </w:t>
      </w:r>
      <w:r w:rsidR="005D1875" w:rsidRPr="00CD1906">
        <w:rPr>
          <w:rFonts w:ascii="Segoe UI" w:eastAsia="Times New Roman" w:hAnsi="Segoe UI" w:cs="Segoe UI"/>
          <w:color w:val="000000" w:themeColor="text1"/>
          <w:sz w:val="20"/>
          <w:szCs w:val="20"/>
          <w:lang w:eastAsia="fr-FR"/>
        </w:rPr>
        <w:t xml:space="preserve">Le principal poste d’importation de services est le </w:t>
      </w:r>
      <w:r w:rsidR="00744C64" w:rsidRPr="00CD1906">
        <w:rPr>
          <w:rFonts w:ascii="Segoe UI" w:eastAsia="Times New Roman" w:hAnsi="Segoe UI" w:cs="Segoe UI"/>
          <w:color w:val="000000" w:themeColor="text1"/>
          <w:sz w:val="20"/>
          <w:szCs w:val="20"/>
          <w:lang w:eastAsia="fr-FR"/>
        </w:rPr>
        <w:t>transport</w:t>
      </w:r>
      <w:r w:rsidR="006A3BAB" w:rsidRPr="00CD1906">
        <w:rPr>
          <w:rFonts w:ascii="Segoe UI" w:eastAsia="Times New Roman" w:hAnsi="Segoe UI" w:cs="Segoe UI"/>
          <w:color w:val="000000" w:themeColor="text1"/>
          <w:sz w:val="20"/>
          <w:szCs w:val="20"/>
          <w:lang w:eastAsia="fr-FR"/>
        </w:rPr>
        <w:t xml:space="preserve"> (1 Md USD en </w:t>
      </w:r>
      <w:r w:rsidR="00CD1906" w:rsidRPr="00CD1906">
        <w:rPr>
          <w:rFonts w:ascii="Segoe UI" w:eastAsia="Times New Roman" w:hAnsi="Segoe UI" w:cs="Segoe UI"/>
          <w:color w:val="000000" w:themeColor="text1"/>
          <w:sz w:val="20"/>
          <w:szCs w:val="20"/>
          <w:lang w:eastAsia="fr-FR"/>
        </w:rPr>
        <w:t xml:space="preserve">2021/22 </w:t>
      </w:r>
      <w:r w:rsidR="006A3BAB" w:rsidRPr="00CD1906">
        <w:rPr>
          <w:rFonts w:ascii="Segoe UI" w:eastAsia="Times New Roman" w:hAnsi="Segoe UI" w:cs="Segoe UI"/>
          <w:color w:val="000000" w:themeColor="text1"/>
          <w:sz w:val="20"/>
          <w:szCs w:val="20"/>
          <w:lang w:eastAsia="fr-FR"/>
        </w:rPr>
        <w:t>contre 631,4 M USD l’année précédente).</w:t>
      </w:r>
      <w:r w:rsidR="006A3BAB">
        <w:rPr>
          <w:rFonts w:ascii="Segoe UI" w:eastAsia="Times New Roman" w:hAnsi="Segoe UI" w:cs="Segoe UI"/>
          <w:color w:val="000000" w:themeColor="text1"/>
          <w:sz w:val="20"/>
          <w:szCs w:val="20"/>
          <w:highlight w:val="yellow"/>
          <w:lang w:eastAsia="fr-FR"/>
        </w:rPr>
        <w:t xml:space="preserve"> </w:t>
      </w:r>
    </w:p>
    <w:p w14:paraId="71C94129" w14:textId="7A273B08" w:rsidR="00F24DD1" w:rsidRPr="00994178" w:rsidRDefault="00F24DD1" w:rsidP="00E66FF9">
      <w:pPr>
        <w:tabs>
          <w:tab w:val="left" w:pos="5197"/>
        </w:tabs>
        <w:spacing w:line="276" w:lineRule="auto"/>
        <w:jc w:val="both"/>
        <w:rPr>
          <w:rFonts w:ascii="Segoe UI" w:eastAsia="Times New Roman" w:hAnsi="Segoe UI" w:cs="Segoe UI"/>
          <w:color w:val="000000" w:themeColor="text1"/>
          <w:sz w:val="20"/>
          <w:szCs w:val="20"/>
          <w:lang w:eastAsia="fr-FR"/>
        </w:rPr>
      </w:pPr>
      <w:r w:rsidRPr="00D47519">
        <w:rPr>
          <w:rFonts w:ascii="Segoe UI" w:eastAsia="Times New Roman" w:hAnsi="Segoe UI" w:cs="Segoe UI"/>
          <w:b/>
          <w:bCs/>
          <w:color w:val="000000" w:themeColor="text1"/>
          <w:sz w:val="20"/>
          <w:szCs w:val="20"/>
          <w:lang w:eastAsia="fr-FR"/>
        </w:rPr>
        <w:t>L’origine géographique des fournisseurs répond à une logique d’approvisionnement en produits pétroliers ainsi qu’en biens industriels, machines, équipements nécessaires aux grands projets d’infrastructure en cours.</w:t>
      </w:r>
      <w:r w:rsidRPr="00F24DD1">
        <w:rPr>
          <w:rFonts w:ascii="Segoe UI" w:eastAsia="Times New Roman" w:hAnsi="Segoe UI" w:cs="Segoe UI"/>
          <w:color w:val="000000" w:themeColor="text1"/>
          <w:sz w:val="20"/>
          <w:szCs w:val="20"/>
          <w:lang w:eastAsia="fr-FR"/>
        </w:rPr>
        <w:t xml:space="preserve"> La Chine est ainsi le premier fournisseur du pays et comptait pour 24,9% des importations en 2021.</w:t>
      </w:r>
      <w:r w:rsidRPr="00994178">
        <w:rPr>
          <w:rFonts w:ascii="Segoe UI" w:eastAsia="Times New Roman" w:hAnsi="Segoe UI" w:cs="Segoe UI"/>
          <w:color w:val="000000" w:themeColor="text1"/>
          <w:sz w:val="20"/>
          <w:szCs w:val="20"/>
          <w:lang w:eastAsia="fr-FR"/>
        </w:rPr>
        <w:t xml:space="preserve"> </w:t>
      </w:r>
      <w:r w:rsidR="00994178" w:rsidRPr="00994178">
        <w:rPr>
          <w:rFonts w:ascii="Segoe UI" w:eastAsia="Times New Roman" w:hAnsi="Segoe UI" w:cs="Segoe UI"/>
          <w:color w:val="000000" w:themeColor="text1"/>
          <w:sz w:val="20"/>
          <w:szCs w:val="20"/>
          <w:lang w:eastAsia="fr-FR"/>
        </w:rPr>
        <w:t>Les EAU et l’Inde</w:t>
      </w:r>
      <w:r w:rsidRPr="00994178">
        <w:rPr>
          <w:rFonts w:ascii="Segoe UI" w:eastAsia="Times New Roman" w:hAnsi="Segoe UI" w:cs="Segoe UI"/>
          <w:color w:val="000000" w:themeColor="text1"/>
          <w:sz w:val="20"/>
          <w:szCs w:val="20"/>
          <w:lang w:eastAsia="fr-FR"/>
        </w:rPr>
        <w:t>, respectivement 2e et 3e fournisseurs de la Tanzanie avec 1</w:t>
      </w:r>
      <w:r w:rsidR="00994178" w:rsidRPr="00994178">
        <w:rPr>
          <w:rFonts w:ascii="Segoe UI" w:eastAsia="Times New Roman" w:hAnsi="Segoe UI" w:cs="Segoe UI"/>
          <w:color w:val="000000" w:themeColor="text1"/>
          <w:sz w:val="20"/>
          <w:szCs w:val="20"/>
          <w:lang w:eastAsia="fr-FR"/>
        </w:rPr>
        <w:t>2,7</w:t>
      </w:r>
      <w:r w:rsidRPr="00994178">
        <w:rPr>
          <w:rFonts w:ascii="Segoe UI" w:eastAsia="Times New Roman" w:hAnsi="Segoe UI" w:cs="Segoe UI"/>
          <w:color w:val="000000" w:themeColor="text1"/>
          <w:sz w:val="20"/>
          <w:szCs w:val="20"/>
          <w:lang w:eastAsia="fr-FR"/>
        </w:rPr>
        <w:t>% et 1</w:t>
      </w:r>
      <w:r w:rsidR="00994178" w:rsidRPr="00994178">
        <w:rPr>
          <w:rFonts w:ascii="Segoe UI" w:eastAsia="Times New Roman" w:hAnsi="Segoe UI" w:cs="Segoe UI"/>
          <w:color w:val="000000" w:themeColor="text1"/>
          <w:sz w:val="20"/>
          <w:szCs w:val="20"/>
          <w:lang w:eastAsia="fr-FR"/>
        </w:rPr>
        <w:t>1,1</w:t>
      </w:r>
      <w:r w:rsidRPr="00994178">
        <w:rPr>
          <w:rFonts w:ascii="Segoe UI" w:eastAsia="Times New Roman" w:hAnsi="Segoe UI" w:cs="Segoe UI"/>
          <w:color w:val="000000" w:themeColor="text1"/>
          <w:sz w:val="20"/>
          <w:szCs w:val="20"/>
          <w:lang w:eastAsia="fr-FR"/>
        </w:rPr>
        <w:t>% de part</w:t>
      </w:r>
      <w:r w:rsidR="00994178" w:rsidRPr="00994178">
        <w:rPr>
          <w:rFonts w:ascii="Segoe UI" w:eastAsia="Times New Roman" w:hAnsi="Segoe UI" w:cs="Segoe UI"/>
          <w:color w:val="000000" w:themeColor="text1"/>
          <w:sz w:val="20"/>
          <w:szCs w:val="20"/>
          <w:lang w:eastAsia="fr-FR"/>
        </w:rPr>
        <w:t>s</w:t>
      </w:r>
      <w:r w:rsidRPr="00994178">
        <w:rPr>
          <w:rFonts w:ascii="Segoe UI" w:eastAsia="Times New Roman" w:hAnsi="Segoe UI" w:cs="Segoe UI"/>
          <w:color w:val="000000" w:themeColor="text1"/>
          <w:sz w:val="20"/>
          <w:szCs w:val="20"/>
          <w:lang w:eastAsia="fr-FR"/>
        </w:rPr>
        <w:t xml:space="preserve"> de marché, dominent les importations de carburants. Notons que les EAU, principale place de réexportation de marchandises vers l’Afrique de l’Est, a vu sa part dans les importations du pays croître depuis quelques années (+</w:t>
      </w:r>
      <w:r w:rsidR="00994178">
        <w:rPr>
          <w:rFonts w:ascii="Segoe UI" w:eastAsia="Times New Roman" w:hAnsi="Segoe UI" w:cs="Segoe UI"/>
          <w:color w:val="000000" w:themeColor="text1"/>
          <w:sz w:val="20"/>
          <w:szCs w:val="20"/>
          <w:lang w:eastAsia="fr-FR"/>
        </w:rPr>
        <w:t>5</w:t>
      </w:r>
      <w:r w:rsidRPr="00994178">
        <w:rPr>
          <w:rFonts w:ascii="Segoe UI" w:eastAsia="Times New Roman" w:hAnsi="Segoe UI" w:cs="Segoe UI"/>
          <w:color w:val="000000" w:themeColor="text1"/>
          <w:sz w:val="20"/>
          <w:szCs w:val="20"/>
          <w:lang w:eastAsia="fr-FR"/>
        </w:rPr>
        <w:t xml:space="preserve"> points de pourcentage par rapport à 201</w:t>
      </w:r>
      <w:r w:rsidR="00994178" w:rsidRPr="00994178">
        <w:rPr>
          <w:rFonts w:ascii="Segoe UI" w:eastAsia="Times New Roman" w:hAnsi="Segoe UI" w:cs="Segoe UI"/>
          <w:color w:val="000000" w:themeColor="text1"/>
          <w:sz w:val="20"/>
          <w:szCs w:val="20"/>
          <w:lang w:eastAsia="fr-FR"/>
        </w:rPr>
        <w:t>7</w:t>
      </w:r>
      <w:r w:rsidRPr="00994178">
        <w:rPr>
          <w:rFonts w:ascii="Segoe UI" w:eastAsia="Times New Roman" w:hAnsi="Segoe UI" w:cs="Segoe UI"/>
          <w:color w:val="000000" w:themeColor="text1"/>
          <w:sz w:val="20"/>
          <w:szCs w:val="20"/>
          <w:lang w:eastAsia="fr-FR"/>
        </w:rPr>
        <w:t xml:space="preserve"> selon la </w:t>
      </w:r>
      <w:proofErr w:type="spellStart"/>
      <w:r w:rsidRPr="00994178">
        <w:rPr>
          <w:rFonts w:ascii="Segoe UI" w:eastAsia="Times New Roman" w:hAnsi="Segoe UI" w:cs="Segoe UI"/>
          <w:color w:val="000000" w:themeColor="text1"/>
          <w:sz w:val="20"/>
          <w:szCs w:val="20"/>
          <w:lang w:eastAsia="fr-FR"/>
        </w:rPr>
        <w:t>B</w:t>
      </w:r>
      <w:r w:rsidR="00994178" w:rsidRPr="00994178">
        <w:rPr>
          <w:rFonts w:ascii="Segoe UI" w:eastAsia="Times New Roman" w:hAnsi="Segoe UI" w:cs="Segoe UI"/>
          <w:color w:val="000000" w:themeColor="text1"/>
          <w:sz w:val="20"/>
          <w:szCs w:val="20"/>
          <w:lang w:eastAsia="fr-FR"/>
        </w:rPr>
        <w:t>oT</w:t>
      </w:r>
      <w:proofErr w:type="spellEnd"/>
      <w:r w:rsidRPr="00994178">
        <w:rPr>
          <w:rFonts w:ascii="Segoe UI" w:eastAsia="Times New Roman" w:hAnsi="Segoe UI" w:cs="Segoe UI"/>
          <w:color w:val="000000" w:themeColor="text1"/>
          <w:sz w:val="20"/>
          <w:szCs w:val="20"/>
          <w:lang w:eastAsia="fr-FR"/>
        </w:rPr>
        <w:t>).</w:t>
      </w:r>
    </w:p>
    <w:p w14:paraId="56FB5F2A" w14:textId="2188EF7F" w:rsidR="00D47519" w:rsidRDefault="00A35EB6" w:rsidP="00D47519">
      <w:pPr>
        <w:tabs>
          <w:tab w:val="left" w:pos="5197"/>
        </w:tabs>
        <w:spacing w:line="276" w:lineRule="auto"/>
        <w:jc w:val="both"/>
        <w:rPr>
          <w:rFonts w:ascii="Segoe UI" w:eastAsia="Times New Roman" w:hAnsi="Segoe UI" w:cs="Segoe UI"/>
          <w:color w:val="000000" w:themeColor="text1"/>
          <w:sz w:val="20"/>
          <w:szCs w:val="20"/>
          <w:lang w:eastAsia="fr-FR"/>
        </w:rPr>
      </w:pPr>
      <w:r w:rsidRPr="00D47519">
        <w:rPr>
          <w:rFonts w:ascii="Segoe UI" w:hAnsi="Segoe UI" w:cs="Segoe UI"/>
          <w:b/>
          <w:bCs/>
          <w:sz w:val="20"/>
          <w:szCs w:val="20"/>
        </w:rPr>
        <w:t xml:space="preserve">La France </w:t>
      </w:r>
      <w:r w:rsidR="00E110A2" w:rsidRPr="00D47519">
        <w:rPr>
          <w:rFonts w:ascii="Segoe UI" w:hAnsi="Segoe UI" w:cs="Segoe UI"/>
          <w:b/>
          <w:bCs/>
          <w:sz w:val="20"/>
          <w:szCs w:val="20"/>
        </w:rPr>
        <w:t>est un fournisseur marginal de la Tanzanie.</w:t>
      </w:r>
      <w:r w:rsidR="00E110A2">
        <w:rPr>
          <w:rFonts w:ascii="Segoe UI" w:hAnsi="Segoe UI" w:cs="Segoe UI"/>
          <w:sz w:val="20"/>
          <w:szCs w:val="20"/>
        </w:rPr>
        <w:t xml:space="preserve"> Ses exportations (équipements mécaniques, matériels de transport, produits chimiques, parfums et cosmétiques, produits des industries agroalimentaires pour l’essentiel) ont atteint 71,3 M EUR en 2022, soit une hausse de 43,1% (Douanes </w:t>
      </w:r>
      <w:r w:rsidR="00E110A2">
        <w:rPr>
          <w:rFonts w:ascii="Segoe UI" w:hAnsi="Segoe UI" w:cs="Segoe UI"/>
          <w:sz w:val="20"/>
          <w:szCs w:val="20"/>
        </w:rPr>
        <w:lastRenderedPageBreak/>
        <w:t>françaises</w:t>
      </w:r>
      <w:r w:rsidR="00E110A2" w:rsidRPr="004418B8">
        <w:rPr>
          <w:rFonts w:ascii="Segoe UI" w:hAnsi="Segoe UI" w:cs="Segoe UI"/>
          <w:sz w:val="20"/>
          <w:szCs w:val="20"/>
        </w:rPr>
        <w:t xml:space="preserve">). </w:t>
      </w:r>
      <w:r w:rsidR="0058507F" w:rsidRPr="009C7A20">
        <w:rPr>
          <w:rFonts w:ascii="Segoe UI" w:hAnsi="Segoe UI" w:cs="Segoe UI"/>
          <w:sz w:val="20"/>
          <w:szCs w:val="20"/>
        </w:rPr>
        <w:t xml:space="preserve">En comparaison avec les autres pays européens, </w:t>
      </w:r>
      <w:r w:rsidR="004418B8" w:rsidRPr="009C7A20">
        <w:rPr>
          <w:rFonts w:ascii="Segoe UI" w:hAnsi="Segoe UI" w:cs="Segoe UI"/>
          <w:sz w:val="20"/>
          <w:szCs w:val="20"/>
        </w:rPr>
        <w:t>la France se classe</w:t>
      </w:r>
      <w:r w:rsidR="007C14BE">
        <w:rPr>
          <w:rFonts w:ascii="Segoe UI" w:hAnsi="Segoe UI" w:cs="Segoe UI"/>
          <w:sz w:val="20"/>
          <w:szCs w:val="20"/>
        </w:rPr>
        <w:t xml:space="preserve"> en 2021</w:t>
      </w:r>
      <w:r w:rsidR="004418B8" w:rsidRPr="009C7A20">
        <w:rPr>
          <w:rFonts w:ascii="Segoe UI" w:hAnsi="Segoe UI" w:cs="Segoe UI"/>
          <w:sz w:val="20"/>
          <w:szCs w:val="20"/>
        </w:rPr>
        <w:t xml:space="preserve"> après l’Allemagne, </w:t>
      </w:r>
      <w:r w:rsidR="000E0C23">
        <w:rPr>
          <w:rFonts w:ascii="Segoe UI" w:hAnsi="Segoe UI" w:cs="Segoe UI"/>
          <w:sz w:val="20"/>
          <w:szCs w:val="20"/>
        </w:rPr>
        <w:t xml:space="preserve">le Royaume-Uni, </w:t>
      </w:r>
      <w:r w:rsidR="004418B8" w:rsidRPr="009C7A20">
        <w:rPr>
          <w:rFonts w:ascii="Segoe UI" w:hAnsi="Segoe UI" w:cs="Segoe UI"/>
          <w:sz w:val="20"/>
          <w:szCs w:val="20"/>
        </w:rPr>
        <w:t>l’Italie, les Pays-Bas</w:t>
      </w:r>
      <w:r w:rsidR="009C7A20" w:rsidRPr="009C7A20">
        <w:rPr>
          <w:rFonts w:ascii="Segoe UI" w:hAnsi="Segoe UI" w:cs="Segoe UI"/>
          <w:sz w:val="20"/>
          <w:szCs w:val="20"/>
        </w:rPr>
        <w:t xml:space="preserve">, </w:t>
      </w:r>
      <w:r w:rsidR="000E0C23">
        <w:rPr>
          <w:rFonts w:ascii="Segoe UI" w:hAnsi="Segoe UI" w:cs="Segoe UI"/>
          <w:sz w:val="20"/>
          <w:szCs w:val="20"/>
        </w:rPr>
        <w:t xml:space="preserve">la Suisse, </w:t>
      </w:r>
      <w:r w:rsidR="009C7A20" w:rsidRPr="009C7A20">
        <w:rPr>
          <w:rFonts w:ascii="Segoe UI" w:hAnsi="Segoe UI" w:cs="Segoe UI"/>
          <w:sz w:val="20"/>
          <w:szCs w:val="20"/>
        </w:rPr>
        <w:t xml:space="preserve">la Finlande et la </w:t>
      </w:r>
      <w:r w:rsidR="007C14BE">
        <w:rPr>
          <w:rFonts w:ascii="Segoe UI" w:hAnsi="Segoe UI" w:cs="Segoe UI"/>
          <w:sz w:val="20"/>
          <w:szCs w:val="20"/>
        </w:rPr>
        <w:t>Belgique (</w:t>
      </w:r>
      <w:proofErr w:type="spellStart"/>
      <w:r w:rsidR="007C14BE">
        <w:rPr>
          <w:rFonts w:ascii="Segoe UI" w:hAnsi="Segoe UI" w:cs="Segoe UI"/>
          <w:sz w:val="20"/>
          <w:szCs w:val="20"/>
        </w:rPr>
        <w:t>BoT</w:t>
      </w:r>
      <w:proofErr w:type="spellEnd"/>
      <w:r w:rsidR="007C14BE">
        <w:rPr>
          <w:rFonts w:ascii="Segoe UI" w:hAnsi="Segoe UI" w:cs="Segoe UI"/>
          <w:sz w:val="20"/>
          <w:szCs w:val="20"/>
        </w:rPr>
        <w:t>)</w:t>
      </w:r>
      <w:r w:rsidR="009C7A20" w:rsidRPr="009C7A20">
        <w:rPr>
          <w:rFonts w:ascii="Segoe UI" w:hAnsi="Segoe UI" w:cs="Segoe UI"/>
          <w:sz w:val="20"/>
          <w:szCs w:val="20"/>
        </w:rPr>
        <w:t>.</w:t>
      </w:r>
    </w:p>
    <w:p w14:paraId="736D16AE" w14:textId="3B0BF8FD" w:rsidR="001A1248" w:rsidRDefault="001A1248" w:rsidP="00D47519">
      <w:pPr>
        <w:tabs>
          <w:tab w:val="left" w:pos="5197"/>
        </w:tabs>
        <w:spacing w:line="276" w:lineRule="auto"/>
        <w:jc w:val="both"/>
        <w:rPr>
          <w:rFonts w:ascii="Segoe UI" w:eastAsia="Times New Roman" w:hAnsi="Segoe UI" w:cs="Segoe UI"/>
          <w:color w:val="000000" w:themeColor="text1"/>
          <w:sz w:val="20"/>
          <w:szCs w:val="20"/>
          <w:lang w:eastAsia="fr-FR"/>
        </w:rPr>
      </w:pPr>
    </w:p>
    <w:p w14:paraId="555BCB6A" w14:textId="3D97829E" w:rsidR="001A1248" w:rsidRDefault="001A1248" w:rsidP="00D47519">
      <w:pPr>
        <w:tabs>
          <w:tab w:val="left" w:pos="5197"/>
        </w:tabs>
        <w:spacing w:line="276" w:lineRule="auto"/>
        <w:jc w:val="both"/>
        <w:rPr>
          <w:rFonts w:ascii="Segoe UI" w:eastAsia="Times New Roman" w:hAnsi="Segoe UI" w:cs="Segoe UI"/>
          <w:color w:val="000000" w:themeColor="text1"/>
          <w:sz w:val="20"/>
          <w:szCs w:val="20"/>
          <w:lang w:eastAsia="fr-FR"/>
        </w:rPr>
      </w:pPr>
    </w:p>
    <w:p w14:paraId="787AAA75" w14:textId="77777777" w:rsidR="001A1248" w:rsidRPr="00D47519" w:rsidRDefault="001A1248" w:rsidP="00D47519">
      <w:pPr>
        <w:tabs>
          <w:tab w:val="left" w:pos="5197"/>
        </w:tabs>
        <w:spacing w:line="276" w:lineRule="auto"/>
        <w:jc w:val="both"/>
        <w:rPr>
          <w:rFonts w:ascii="Segoe UI" w:eastAsia="Times New Roman" w:hAnsi="Segoe UI" w:cs="Segoe UI"/>
          <w:color w:val="000000" w:themeColor="text1"/>
          <w:sz w:val="20"/>
          <w:szCs w:val="20"/>
          <w:lang w:eastAsia="fr-FR"/>
        </w:rPr>
      </w:pPr>
    </w:p>
    <w:p w14:paraId="4856D04B" w14:textId="0D569315" w:rsidR="00FB42E8" w:rsidRDefault="00FB42E8" w:rsidP="00FB42E8">
      <w:pPr>
        <w:rPr>
          <w:rFonts w:ascii="Segoe UI" w:hAnsi="Segoe UI" w:cs="Segoe UI"/>
          <w:i/>
          <w:iCs/>
          <w:color w:val="000000" w:themeColor="text1"/>
          <w:sz w:val="20"/>
          <w:szCs w:val="20"/>
          <w:u w:val="single"/>
        </w:rPr>
      </w:pPr>
      <w:r w:rsidRPr="00365F02">
        <w:rPr>
          <w:rFonts w:ascii="Segoe UI" w:hAnsi="Segoe UI" w:cs="Segoe UI"/>
          <w:i/>
          <w:iCs/>
          <w:color w:val="000000" w:themeColor="text1"/>
          <w:sz w:val="20"/>
          <w:szCs w:val="20"/>
          <w:u w:val="single"/>
        </w:rPr>
        <w:t>Annexes statistiques </w:t>
      </w:r>
      <w:r w:rsidR="00861F6D">
        <w:rPr>
          <w:rFonts w:ascii="Segoe UI" w:hAnsi="Segoe UI" w:cs="Segoe UI"/>
          <w:i/>
          <w:iCs/>
          <w:color w:val="000000" w:themeColor="text1"/>
          <w:sz w:val="20"/>
          <w:szCs w:val="20"/>
          <w:u w:val="single"/>
        </w:rPr>
        <w:t>– Source : Bank of Tanzania</w:t>
      </w:r>
    </w:p>
    <w:p w14:paraId="4581A164" w14:textId="00DAECAD" w:rsidR="00FB42E8" w:rsidRPr="0095722A" w:rsidRDefault="00FB42E8" w:rsidP="00FB42E8">
      <w:pPr>
        <w:spacing w:after="0"/>
        <w:rPr>
          <w:rFonts w:ascii="Segoe UI" w:hAnsi="Segoe UI" w:cs="Segoe UI"/>
          <w:i/>
          <w:iCs/>
          <w:color w:val="000000" w:themeColor="text1"/>
          <w:sz w:val="20"/>
          <w:szCs w:val="20"/>
        </w:rPr>
      </w:pPr>
      <w:r>
        <w:rPr>
          <w:rFonts w:ascii="Segoe UI" w:hAnsi="Segoe UI" w:cs="Segoe UI"/>
          <w:i/>
          <w:iCs/>
          <w:color w:val="000000" w:themeColor="text1"/>
          <w:sz w:val="20"/>
          <w:szCs w:val="20"/>
        </w:rPr>
        <w:t xml:space="preserve">1. </w:t>
      </w:r>
      <w:r w:rsidR="00DC24A8" w:rsidRPr="00DC24A8">
        <w:rPr>
          <w:rFonts w:ascii="Segoe UI" w:hAnsi="Segoe UI" w:cs="Segoe UI"/>
          <w:i/>
          <w:iCs/>
          <w:color w:val="000000" w:themeColor="text1"/>
          <w:sz w:val="20"/>
          <w:szCs w:val="20"/>
        </w:rPr>
        <w:t>Structure des échanges commerciaux tanzaniens de 2011 à 202</w:t>
      </w:r>
      <w:r w:rsidR="00DC24A8">
        <w:rPr>
          <w:rFonts w:ascii="Segoe UI" w:hAnsi="Segoe UI" w:cs="Segoe UI"/>
          <w:i/>
          <w:iCs/>
          <w:color w:val="000000" w:themeColor="text1"/>
          <w:sz w:val="20"/>
          <w:szCs w:val="20"/>
        </w:rPr>
        <w:t>2</w:t>
      </w:r>
    </w:p>
    <w:p w14:paraId="2508CC21" w14:textId="732001C3" w:rsidR="00BA21A6" w:rsidRDefault="00FB42E8" w:rsidP="00D55B0B">
      <w:pPr>
        <w:spacing w:after="0"/>
        <w:rPr>
          <w:rFonts w:ascii="Segoe UI" w:hAnsi="Segoe UI" w:cs="Segoe UI"/>
          <w:i/>
          <w:iCs/>
          <w:color w:val="000000" w:themeColor="text1"/>
          <w:sz w:val="20"/>
          <w:szCs w:val="20"/>
        </w:rPr>
      </w:pPr>
      <w:r>
        <w:rPr>
          <w:rFonts w:ascii="Segoe UI" w:hAnsi="Segoe UI" w:cs="Segoe UI"/>
          <w:i/>
          <w:iCs/>
          <w:color w:val="000000" w:themeColor="text1"/>
          <w:sz w:val="20"/>
          <w:szCs w:val="20"/>
        </w:rPr>
        <w:t xml:space="preserve">2. </w:t>
      </w:r>
      <w:r w:rsidR="00DC24A8" w:rsidRPr="00DC24A8">
        <w:rPr>
          <w:rFonts w:ascii="Segoe UI" w:hAnsi="Segoe UI" w:cs="Segoe UI"/>
          <w:i/>
          <w:iCs/>
          <w:color w:val="000000" w:themeColor="text1"/>
          <w:sz w:val="20"/>
          <w:szCs w:val="20"/>
        </w:rPr>
        <w:t>Principaux clients et fournisseurs de la Tanzanie en 202</w:t>
      </w:r>
      <w:r w:rsidR="00D55B0B">
        <w:rPr>
          <w:rFonts w:ascii="Segoe UI" w:hAnsi="Segoe UI" w:cs="Segoe UI"/>
          <w:i/>
          <w:iCs/>
          <w:color w:val="000000" w:themeColor="text1"/>
          <w:sz w:val="20"/>
          <w:szCs w:val="20"/>
        </w:rPr>
        <w:t>2</w:t>
      </w:r>
    </w:p>
    <w:p w14:paraId="04E7D820" w14:textId="77777777" w:rsidR="00D55B0B" w:rsidRPr="00D55B0B" w:rsidRDefault="00D55B0B" w:rsidP="00D55B0B">
      <w:pPr>
        <w:spacing w:after="0"/>
        <w:rPr>
          <w:rFonts w:ascii="Segoe UI" w:hAnsi="Segoe UI" w:cs="Segoe UI"/>
          <w:i/>
          <w:iCs/>
          <w:color w:val="000000" w:themeColor="text1"/>
          <w:sz w:val="20"/>
          <w:szCs w:val="20"/>
        </w:rPr>
      </w:pPr>
    </w:p>
    <w:p w14:paraId="19832DA8" w14:textId="7DB908D7" w:rsidR="00FB42E8" w:rsidRPr="000F0D70" w:rsidRDefault="00FB42E8" w:rsidP="00DC24A8">
      <w:pPr>
        <w:jc w:val="center"/>
        <w:rPr>
          <w:rFonts w:ascii="Segoe UI" w:hAnsi="Segoe UI" w:cs="Segoe UI"/>
          <w:b/>
          <w:color w:val="006CE5"/>
          <w:sz w:val="28"/>
          <w:szCs w:val="21"/>
          <w:lang w:eastAsia="fr-FR"/>
        </w:rPr>
      </w:pPr>
      <w:r w:rsidRPr="00FC7D30">
        <w:rPr>
          <w:rFonts w:ascii="Segoe UI" w:hAnsi="Segoe UI" w:cs="Segoe UI"/>
          <w:b/>
          <w:color w:val="006CE5"/>
          <w:sz w:val="28"/>
          <w:szCs w:val="21"/>
          <w:lang w:eastAsia="fr-FR"/>
        </w:rPr>
        <w:t>ANNEXES STATISTIQUES</w:t>
      </w:r>
    </w:p>
    <w:p w14:paraId="58D34649" w14:textId="18F41AC7" w:rsidR="00FB42E8" w:rsidRPr="00D55B0B" w:rsidRDefault="00DC24A8" w:rsidP="00D55B0B">
      <w:pPr>
        <w:jc w:val="both"/>
        <w:rPr>
          <w:rFonts w:ascii="Segoe UI" w:hAnsi="Segoe UI" w:cs="Segoe UI"/>
          <w:color w:val="006CE5"/>
          <w:sz w:val="20"/>
          <w:szCs w:val="20"/>
          <w:lang w:eastAsia="fr-FR"/>
        </w:rPr>
      </w:pPr>
      <w:r w:rsidRPr="00DD44EC">
        <w:rPr>
          <w:rFonts w:ascii="Segoe UI" w:hAnsi="Segoe UI" w:cs="Segoe UI"/>
          <w:noProof/>
          <w:lang w:eastAsia="fr-FR"/>
        </w:rPr>
        <mc:AlternateContent>
          <mc:Choice Requires="wps">
            <w:drawing>
              <wp:inline distT="0" distB="0" distL="0" distR="0" wp14:anchorId="5E8EED5D" wp14:editId="06837F58">
                <wp:extent cx="5760720" cy="281127"/>
                <wp:effectExtent l="0" t="0" r="0" b="508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1127"/>
                        </a:xfrm>
                        <a:prstGeom prst="rect">
                          <a:avLst/>
                        </a:prstGeom>
                        <a:solidFill>
                          <a:srgbClr val="006CE5"/>
                        </a:solidFill>
                        <a:ln w="9525">
                          <a:noFill/>
                          <a:miter lim="800000"/>
                          <a:headEnd/>
                          <a:tailEnd/>
                        </a:ln>
                      </wps:spPr>
                      <wps:txbx>
                        <w:txbxContent>
                          <w:p w14:paraId="4E0E41EB" w14:textId="69999DD8" w:rsidR="00DC24A8" w:rsidRPr="0098615C" w:rsidRDefault="00DC24A8" w:rsidP="00DC24A8">
                            <w:pPr>
                              <w:rPr>
                                <w:rFonts w:ascii="Segoe UI Historic" w:hAnsi="Segoe UI Historic" w:cs="Segoe UI Historic"/>
                                <w:color w:val="FFFFFF" w:themeColor="background1"/>
                              </w:rPr>
                            </w:pPr>
                            <w:r w:rsidRPr="00DC24A8">
                              <w:rPr>
                                <w:rFonts w:ascii="Segoe UI Historic" w:hAnsi="Segoe UI Historic" w:cs="Segoe UI Historic"/>
                                <w:color w:val="FFFFFF" w:themeColor="background1"/>
                                <w:sz w:val="20"/>
                                <w:szCs w:val="20"/>
                              </w:rPr>
                              <w:t xml:space="preserve">Structure des échanges commerciaux tanzaniens de 2011 à </w:t>
                            </w:r>
                            <w:proofErr w:type="gramStart"/>
                            <w:r w:rsidRPr="00DC24A8">
                              <w:rPr>
                                <w:rFonts w:ascii="Segoe UI Historic" w:hAnsi="Segoe UI Historic" w:cs="Segoe UI Historic"/>
                                <w:color w:val="FFFFFF" w:themeColor="background1"/>
                                <w:sz w:val="20"/>
                                <w:szCs w:val="20"/>
                              </w:rPr>
                              <w:t>202</w:t>
                            </w:r>
                            <w:r>
                              <w:rPr>
                                <w:rFonts w:ascii="Segoe UI Historic" w:hAnsi="Segoe UI Historic" w:cs="Segoe UI Historic"/>
                                <w:color w:val="FFFFFF" w:themeColor="background1"/>
                                <w:sz w:val="20"/>
                                <w:szCs w:val="20"/>
                              </w:rPr>
                              <w:t>2</w:t>
                            </w:r>
                            <w:r w:rsidRPr="00DC24A8">
                              <w:rPr>
                                <w:rFonts w:ascii="Segoe UI Historic" w:hAnsi="Segoe UI Historic" w:cs="Segoe UI Historic"/>
                                <w:color w:val="FFFFFF" w:themeColor="background1"/>
                                <w:sz w:val="20"/>
                                <w:szCs w:val="20"/>
                              </w:rPr>
                              <w:t xml:space="preserve"> </w:t>
                            </w:r>
                            <w:r w:rsidR="00D55B0B">
                              <w:rPr>
                                <w:rFonts w:ascii="Segoe UI Historic" w:hAnsi="Segoe UI Historic" w:cs="Segoe UI Historic"/>
                                <w:color w:val="FFFFFF" w:themeColor="background1"/>
                                <w:sz w:val="20"/>
                                <w:szCs w:val="20"/>
                              </w:rPr>
                              <w:t xml:space="preserve"> en</w:t>
                            </w:r>
                            <w:proofErr w:type="gramEnd"/>
                            <w:r w:rsidR="00D55B0B">
                              <w:rPr>
                                <w:rFonts w:ascii="Segoe UI Historic" w:hAnsi="Segoe UI Historic" w:cs="Segoe UI Historic"/>
                                <w:color w:val="FFFFFF" w:themeColor="background1"/>
                                <w:sz w:val="20"/>
                                <w:szCs w:val="20"/>
                              </w:rPr>
                              <w:t xml:space="preserve"> Md USD</w:t>
                            </w:r>
                            <w:r w:rsidRPr="00DC24A8">
                              <w:rPr>
                                <w:rFonts w:ascii="Segoe UI Historic" w:hAnsi="Segoe UI Historic" w:cs="Segoe UI Historic"/>
                                <w:color w:val="FFFFFF" w:themeColor="background1"/>
                                <w:sz w:val="20"/>
                                <w:szCs w:val="20"/>
                              </w:rPr>
                              <w:t>– Source : Bank of</w:t>
                            </w:r>
                            <w:r w:rsidRPr="00DC24A8">
                              <w:rPr>
                                <w:rFonts w:ascii="Segoe UI Historic" w:hAnsi="Segoe UI Historic" w:cs="Segoe UI Historic"/>
                                <w:color w:val="FFFFFF" w:themeColor="background1"/>
                                <w:sz w:val="18"/>
                                <w:szCs w:val="18"/>
                              </w:rPr>
                              <w:t xml:space="preserve"> </w:t>
                            </w:r>
                            <w:r w:rsidRPr="00DC24A8">
                              <w:rPr>
                                <w:rFonts w:ascii="Segoe UI Historic" w:hAnsi="Segoe UI Historic" w:cs="Segoe UI Historic"/>
                                <w:color w:val="FFFFFF" w:themeColor="background1"/>
                                <w:sz w:val="20"/>
                                <w:szCs w:val="20"/>
                              </w:rPr>
                              <w:t>Tanzania</w:t>
                            </w:r>
                          </w:p>
                          <w:p w14:paraId="1403A658" w14:textId="77777777" w:rsidR="00DC24A8" w:rsidRPr="00492C67" w:rsidRDefault="00DC24A8" w:rsidP="00DC24A8">
                            <w:pPr>
                              <w:rPr>
                                <w:rFonts w:ascii="Segoe UI Historic" w:hAnsi="Segoe UI Historic" w:cs="Segoe UI Historic"/>
                                <w:color w:val="FFFFFF" w:themeColor="background1"/>
                                <w:sz w:val="24"/>
                                <w:szCs w:val="24"/>
                              </w:rPr>
                            </w:pPr>
                            <w:proofErr w:type="spellStart"/>
                            <w:proofErr w:type="gramStart"/>
                            <w:r>
                              <w:rPr>
                                <w:rFonts w:ascii="Segoe UI Historic" w:hAnsi="Segoe UI Historic" w:cs="Segoe UI Historic"/>
                                <w:color w:val="FFFFFF" w:themeColor="background1"/>
                                <w:sz w:val="24"/>
                                <w:szCs w:val="24"/>
                              </w:rPr>
                              <w:t>ortationsroduits</w:t>
                            </w:r>
                            <w:proofErr w:type="spellEnd"/>
                            <w:proofErr w:type="gramEnd"/>
                            <w:r>
                              <w:rPr>
                                <w:rFonts w:ascii="Segoe UI Historic" w:hAnsi="Segoe UI Historic" w:cs="Segoe UI Historic"/>
                                <w:color w:val="FFFFFF" w:themeColor="background1"/>
                                <w:sz w:val="24"/>
                                <w:szCs w:val="24"/>
                              </w:rPr>
                              <w:t xml:space="preserve"> pharmaceutiques résistent à la baisse des exportations.</w:t>
                            </w:r>
                          </w:p>
                        </w:txbxContent>
                      </wps:txbx>
                      <wps:bodyPr rot="0" vert="horz" wrap="square" lIns="91440" tIns="45720" rIns="91440" bIns="45720" anchor="t" anchorCtr="0">
                        <a:noAutofit/>
                      </wps:bodyPr>
                    </wps:wsp>
                  </a:graphicData>
                </a:graphic>
              </wp:inline>
            </w:drawing>
          </mc:Choice>
          <mc:Fallback>
            <w:pict>
              <v:shape w14:anchorId="5E8EED5D" id="_x0000_s1030" type="#_x0000_t202" style="width:453.6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" fillcolor="#006ce5" stroked="f">
                <v:textbox>
                  <w:txbxContent>
                    <w:p w14:paraId="4E0E41EB" w14:textId="69999DD8" w:rsidR="00DC24A8" w:rsidRPr="0098615C" w:rsidRDefault="00DC24A8" w:rsidP="00DC24A8">
                      <w:pPr>
                        <w:rPr>
                          <w:rFonts w:ascii="Segoe UI Historic" w:hAnsi="Segoe UI Historic" w:cs="Segoe UI Historic"/>
                          <w:color w:val="FFFFFF" w:themeColor="background1"/>
                        </w:rPr>
                      </w:pPr>
                      <w:r w:rsidRPr="00DC24A8">
                        <w:rPr>
                          <w:rFonts w:ascii="Segoe UI Historic" w:hAnsi="Segoe UI Historic" w:cs="Segoe UI Historic"/>
                          <w:color w:val="FFFFFF" w:themeColor="background1"/>
                          <w:sz w:val="20"/>
                          <w:szCs w:val="20"/>
                        </w:rPr>
                        <w:t xml:space="preserve">Structure des échanges commerciaux tanzaniens de 2011 à </w:t>
                      </w:r>
                      <w:proofErr w:type="gramStart"/>
                      <w:r w:rsidRPr="00DC24A8">
                        <w:rPr>
                          <w:rFonts w:ascii="Segoe UI Historic" w:hAnsi="Segoe UI Historic" w:cs="Segoe UI Historic"/>
                          <w:color w:val="FFFFFF" w:themeColor="background1"/>
                          <w:sz w:val="20"/>
                          <w:szCs w:val="20"/>
                        </w:rPr>
                        <w:t>202</w:t>
                      </w:r>
                      <w:r>
                        <w:rPr>
                          <w:rFonts w:ascii="Segoe UI Historic" w:hAnsi="Segoe UI Historic" w:cs="Segoe UI Historic"/>
                          <w:color w:val="FFFFFF" w:themeColor="background1"/>
                          <w:sz w:val="20"/>
                          <w:szCs w:val="20"/>
                        </w:rPr>
                        <w:t>2</w:t>
                      </w:r>
                      <w:r w:rsidRPr="00DC24A8">
                        <w:rPr>
                          <w:rFonts w:ascii="Segoe UI Historic" w:hAnsi="Segoe UI Historic" w:cs="Segoe UI Historic"/>
                          <w:color w:val="FFFFFF" w:themeColor="background1"/>
                          <w:sz w:val="20"/>
                          <w:szCs w:val="20"/>
                        </w:rPr>
                        <w:t xml:space="preserve"> </w:t>
                      </w:r>
                      <w:r w:rsidR="00D55B0B">
                        <w:rPr>
                          <w:rFonts w:ascii="Segoe UI Historic" w:hAnsi="Segoe UI Historic" w:cs="Segoe UI Historic"/>
                          <w:color w:val="FFFFFF" w:themeColor="background1"/>
                          <w:sz w:val="20"/>
                          <w:szCs w:val="20"/>
                        </w:rPr>
                        <w:t xml:space="preserve"> en</w:t>
                      </w:r>
                      <w:proofErr w:type="gramEnd"/>
                      <w:r w:rsidR="00D55B0B">
                        <w:rPr>
                          <w:rFonts w:ascii="Segoe UI Historic" w:hAnsi="Segoe UI Historic" w:cs="Segoe UI Historic"/>
                          <w:color w:val="FFFFFF" w:themeColor="background1"/>
                          <w:sz w:val="20"/>
                          <w:szCs w:val="20"/>
                        </w:rPr>
                        <w:t xml:space="preserve"> Md USD</w:t>
                      </w:r>
                      <w:r w:rsidRPr="00DC24A8">
                        <w:rPr>
                          <w:rFonts w:ascii="Segoe UI Historic" w:hAnsi="Segoe UI Historic" w:cs="Segoe UI Historic"/>
                          <w:color w:val="FFFFFF" w:themeColor="background1"/>
                          <w:sz w:val="20"/>
                          <w:szCs w:val="20"/>
                        </w:rPr>
                        <w:t>– Source : Bank of</w:t>
                      </w:r>
                      <w:r w:rsidRPr="00DC24A8">
                        <w:rPr>
                          <w:rFonts w:ascii="Segoe UI Historic" w:hAnsi="Segoe UI Historic" w:cs="Segoe UI Historic"/>
                          <w:color w:val="FFFFFF" w:themeColor="background1"/>
                          <w:sz w:val="18"/>
                          <w:szCs w:val="18"/>
                        </w:rPr>
                        <w:t xml:space="preserve"> </w:t>
                      </w:r>
                      <w:r w:rsidRPr="00DC24A8">
                        <w:rPr>
                          <w:rFonts w:ascii="Segoe UI Historic" w:hAnsi="Segoe UI Historic" w:cs="Segoe UI Historic"/>
                          <w:color w:val="FFFFFF" w:themeColor="background1"/>
                          <w:sz w:val="20"/>
                          <w:szCs w:val="20"/>
                        </w:rPr>
                        <w:t>Tanzania</w:t>
                      </w:r>
                    </w:p>
                    <w:p w14:paraId="1403A658" w14:textId="77777777" w:rsidR="00DC24A8" w:rsidRPr="00492C67" w:rsidRDefault="00DC24A8" w:rsidP="00DC24A8">
                      <w:pPr>
                        <w:rPr>
                          <w:rFonts w:ascii="Segoe UI Historic" w:hAnsi="Segoe UI Historic" w:cs="Segoe UI Historic"/>
                          <w:color w:val="FFFFFF" w:themeColor="background1"/>
                          <w:sz w:val="24"/>
                          <w:szCs w:val="24"/>
                        </w:rPr>
                      </w:pPr>
                      <w:proofErr w:type="spellStart"/>
                      <w:proofErr w:type="gramStart"/>
                      <w:r>
                        <w:rPr>
                          <w:rFonts w:ascii="Segoe UI Historic" w:hAnsi="Segoe UI Historic" w:cs="Segoe UI Historic"/>
                          <w:color w:val="FFFFFF" w:themeColor="background1"/>
                          <w:sz w:val="24"/>
                          <w:szCs w:val="24"/>
                        </w:rPr>
                        <w:t>ortationsroduits</w:t>
                      </w:r>
                      <w:proofErr w:type="spellEnd"/>
                      <w:proofErr w:type="gramEnd"/>
                      <w:r>
                        <w:rPr>
                          <w:rFonts w:ascii="Segoe UI Historic" w:hAnsi="Segoe UI Historic" w:cs="Segoe UI Historic"/>
                          <w:color w:val="FFFFFF" w:themeColor="background1"/>
                          <w:sz w:val="24"/>
                          <w:szCs w:val="24"/>
                        </w:rPr>
                        <w:t xml:space="preserve"> pharmaceutiques résistent à la baisse des exportations.</w:t>
                      </w:r>
                    </w:p>
                  </w:txbxContent>
                </v:textbox>
                <w10:anchorlock/>
              </v:shape>
            </w:pict>
          </mc:Fallback>
        </mc:AlternateContent>
      </w:r>
    </w:p>
    <w:p w14:paraId="3C3C4865" w14:textId="222FD12F" w:rsidR="00FB42E8" w:rsidRPr="00D55B0B" w:rsidRDefault="00D55B0B" w:rsidP="00D55B0B">
      <w:pPr>
        <w:rPr>
          <w:rFonts w:ascii="Segoe UI" w:hAnsi="Segoe UI" w:cs="Segoe UI"/>
          <w:color w:val="7030A0"/>
          <w:sz w:val="28"/>
          <w:szCs w:val="21"/>
          <w:lang w:eastAsia="fr-FR"/>
        </w:rPr>
      </w:pPr>
      <w:r>
        <w:rPr>
          <w:noProof/>
        </w:rPr>
        <w:drawing>
          <wp:inline distT="0" distB="0" distL="0" distR="0" wp14:anchorId="6C90C913" wp14:editId="24E5AACA">
            <wp:extent cx="5780599" cy="2274073"/>
            <wp:effectExtent l="0" t="0" r="10795" b="12065"/>
            <wp:docPr id="3" name="Graphique 3">
              <a:extLst xmlns:a="http://schemas.openxmlformats.org/drawingml/2006/main">
                <a:ext uri="{FF2B5EF4-FFF2-40B4-BE49-F238E27FC236}">
                  <a16:creationId xmlns:a16="http://schemas.microsoft.com/office/drawing/2014/main" id="{9A65DAA9-F6E2-4A82-9DCD-129291AFC4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B2176A" w14:textId="18952F33" w:rsidR="00FB42E8" w:rsidRPr="005C5173" w:rsidRDefault="00597C24" w:rsidP="00FB42E8">
      <w:pPr>
        <w:jc w:val="right"/>
        <w:rPr>
          <w:rFonts w:ascii="Segoe UI" w:hAnsi="Segoe UI" w:cs="Segoe UI"/>
          <w:szCs w:val="24"/>
        </w:rPr>
      </w:pPr>
      <w:r w:rsidRPr="00DD44EC">
        <w:rPr>
          <w:rFonts w:ascii="Segoe UI" w:hAnsi="Segoe UI" w:cs="Segoe UI"/>
          <w:noProof/>
          <w:lang w:eastAsia="fr-FR"/>
        </w:rPr>
        <mc:AlternateContent>
          <mc:Choice Requires="wps">
            <w:drawing>
              <wp:inline distT="0" distB="0" distL="0" distR="0" wp14:anchorId="2E4063F6" wp14:editId="2C8E5671">
                <wp:extent cx="5760720" cy="299924"/>
                <wp:effectExtent l="0" t="0" r="0" b="5080"/>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9924"/>
                        </a:xfrm>
                        <a:prstGeom prst="rect">
                          <a:avLst/>
                        </a:prstGeom>
                        <a:solidFill>
                          <a:srgbClr val="006CE5"/>
                        </a:solidFill>
                        <a:ln w="9525">
                          <a:noFill/>
                          <a:miter lim="800000"/>
                          <a:headEnd/>
                          <a:tailEnd/>
                        </a:ln>
                      </wps:spPr>
                      <wps:txbx>
                        <w:txbxContent>
                          <w:p w14:paraId="2CBD05EF" w14:textId="75A47782" w:rsidR="00597C24" w:rsidRPr="00597C24" w:rsidRDefault="00597C24" w:rsidP="00597C24">
                            <w:pPr>
                              <w:rPr>
                                <w:rFonts w:ascii="Segoe UI Historic" w:hAnsi="Segoe UI Historic" w:cs="Segoe UI Historic"/>
                                <w:color w:val="FFFFFF" w:themeColor="background1"/>
                                <w:sz w:val="20"/>
                                <w:szCs w:val="20"/>
                              </w:rPr>
                            </w:pPr>
                            <w:bookmarkStart w:id="0" w:name="_Hlk106113951"/>
                            <w:bookmarkStart w:id="1" w:name="_Hlk106113952"/>
                            <w:r w:rsidRPr="00597C24">
                              <w:rPr>
                                <w:rFonts w:ascii="Segoe UI Historic" w:hAnsi="Segoe UI Historic" w:cs="Segoe UI Historic"/>
                                <w:color w:val="FFFFFF" w:themeColor="background1"/>
                                <w:sz w:val="20"/>
                                <w:szCs w:val="20"/>
                              </w:rPr>
                              <w:t>Principaux clients et fournisseurs de la Tanzanie en 202</w:t>
                            </w:r>
                            <w:r w:rsidR="00D55B0B">
                              <w:rPr>
                                <w:rFonts w:ascii="Segoe UI Historic" w:hAnsi="Segoe UI Historic" w:cs="Segoe UI Historic"/>
                                <w:color w:val="FFFFFF" w:themeColor="background1"/>
                                <w:sz w:val="20"/>
                                <w:szCs w:val="20"/>
                              </w:rPr>
                              <w:t>2</w:t>
                            </w:r>
                            <w:r w:rsidRPr="00597C24">
                              <w:rPr>
                                <w:rFonts w:ascii="Segoe UI Historic" w:hAnsi="Segoe UI Historic" w:cs="Segoe UI Historic"/>
                                <w:color w:val="FFFFFF" w:themeColor="background1"/>
                                <w:sz w:val="20"/>
                                <w:szCs w:val="20"/>
                              </w:rPr>
                              <w:t xml:space="preserve"> – Source : Bank of Tanzania</w:t>
                            </w:r>
                            <w:bookmarkEnd w:id="0"/>
                            <w:bookmarkEnd w:id="1"/>
                          </w:p>
                        </w:txbxContent>
                      </wps:txbx>
                      <wps:bodyPr rot="0" vert="horz" wrap="square" lIns="91440" tIns="45720" rIns="91440" bIns="45720" anchor="t" anchorCtr="0">
                        <a:noAutofit/>
                      </wps:bodyPr>
                    </wps:wsp>
                  </a:graphicData>
                </a:graphic>
              </wp:inline>
            </w:drawing>
          </mc:Choice>
          <mc:Fallback>
            <w:pict>
              <v:shape w14:anchorId="2E4063F6" id="_x0000_s1031" type="#_x0000_t202" style="width:45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" fillcolor="#006ce5" stroked="f">
                <v:textbox>
                  <w:txbxContent>
                    <w:p w14:paraId="2CBD05EF" w14:textId="75A47782" w:rsidR="00597C24" w:rsidRPr="00597C24" w:rsidRDefault="00597C24" w:rsidP="00597C24">
                      <w:pPr>
                        <w:rPr>
                          <w:rFonts w:ascii="Segoe UI Historic" w:hAnsi="Segoe UI Historic" w:cs="Segoe UI Historic"/>
                          <w:color w:val="FFFFFF" w:themeColor="background1"/>
                          <w:sz w:val="20"/>
                          <w:szCs w:val="20"/>
                        </w:rPr>
                      </w:pPr>
                      <w:bookmarkStart w:id="2" w:name="_Hlk106113951"/>
                      <w:bookmarkStart w:id="3" w:name="_Hlk106113952"/>
                      <w:r w:rsidRPr="00597C24">
                        <w:rPr>
                          <w:rFonts w:ascii="Segoe UI Historic" w:hAnsi="Segoe UI Historic" w:cs="Segoe UI Historic"/>
                          <w:color w:val="FFFFFF" w:themeColor="background1"/>
                          <w:sz w:val="20"/>
                          <w:szCs w:val="20"/>
                        </w:rPr>
                        <w:t>Principaux clients et fournisseurs de la Tanzanie en 202</w:t>
                      </w:r>
                      <w:r w:rsidR="00D55B0B">
                        <w:rPr>
                          <w:rFonts w:ascii="Segoe UI Historic" w:hAnsi="Segoe UI Historic" w:cs="Segoe UI Historic"/>
                          <w:color w:val="FFFFFF" w:themeColor="background1"/>
                          <w:sz w:val="20"/>
                          <w:szCs w:val="20"/>
                        </w:rPr>
                        <w:t>2</w:t>
                      </w:r>
                      <w:r w:rsidRPr="00597C24">
                        <w:rPr>
                          <w:rFonts w:ascii="Segoe UI Historic" w:hAnsi="Segoe UI Historic" w:cs="Segoe UI Historic"/>
                          <w:color w:val="FFFFFF" w:themeColor="background1"/>
                          <w:sz w:val="20"/>
                          <w:szCs w:val="20"/>
                        </w:rPr>
                        <w:t xml:space="preserve"> – Source : Bank of Tanzania</w:t>
                      </w:r>
                      <w:bookmarkEnd w:id="2"/>
                      <w:bookmarkEnd w:id="3"/>
                    </w:p>
                  </w:txbxContent>
                </v:textbox>
                <w10:anchorlock/>
              </v:shape>
            </w:pict>
          </mc:Fallback>
        </mc:AlternateContent>
      </w:r>
    </w:p>
    <w:tbl>
      <w:tblPr>
        <w:tblStyle w:val="Grilledutableau"/>
        <w:tblW w:w="910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174"/>
        <w:gridCol w:w="1481"/>
        <w:gridCol w:w="2964"/>
        <w:gridCol w:w="1481"/>
      </w:tblGrid>
      <w:tr w:rsidR="00597C24" w14:paraId="782AD197" w14:textId="77777777" w:rsidTr="006F0C1B">
        <w:trPr>
          <w:trHeight w:val="259"/>
          <w:jc w:val="center"/>
        </w:trPr>
        <w:tc>
          <w:tcPr>
            <w:tcW w:w="3174" w:type="dxa"/>
            <w:shd w:val="clear" w:color="auto" w:fill="BDD6EE" w:themeFill="accent5" w:themeFillTint="66"/>
          </w:tcPr>
          <w:p w14:paraId="08C050CA" w14:textId="5A62C176" w:rsidR="00597C24" w:rsidRPr="00E651A2" w:rsidRDefault="00597C24" w:rsidP="00597C24">
            <w:pPr>
              <w:jc w:val="center"/>
              <w:rPr>
                <w:b/>
                <w:bCs/>
                <w:color w:val="002060"/>
                <w:sz w:val="20"/>
                <w:szCs w:val="20"/>
              </w:rPr>
            </w:pPr>
            <w:r w:rsidRPr="00E651A2">
              <w:rPr>
                <w:b/>
                <w:bCs/>
                <w:color w:val="002060"/>
                <w:sz w:val="20"/>
                <w:szCs w:val="20"/>
              </w:rPr>
              <w:t>Clients</w:t>
            </w:r>
          </w:p>
        </w:tc>
        <w:tc>
          <w:tcPr>
            <w:tcW w:w="1481" w:type="dxa"/>
            <w:shd w:val="clear" w:color="auto" w:fill="BDD6EE" w:themeFill="accent5" w:themeFillTint="66"/>
          </w:tcPr>
          <w:p w14:paraId="54E8009E" w14:textId="2F85758F" w:rsidR="00597C24" w:rsidRPr="00E651A2" w:rsidRDefault="00597C24" w:rsidP="00597C24">
            <w:pPr>
              <w:jc w:val="center"/>
              <w:rPr>
                <w:b/>
                <w:bCs/>
                <w:color w:val="002060"/>
                <w:sz w:val="20"/>
                <w:szCs w:val="20"/>
              </w:rPr>
            </w:pPr>
            <w:r w:rsidRPr="00E651A2">
              <w:rPr>
                <w:b/>
                <w:bCs/>
                <w:color w:val="002060"/>
                <w:sz w:val="20"/>
                <w:szCs w:val="20"/>
              </w:rPr>
              <w:t>Part</w:t>
            </w:r>
            <w:r w:rsidR="00834BB2" w:rsidRPr="00E651A2">
              <w:rPr>
                <w:b/>
                <w:bCs/>
                <w:color w:val="002060"/>
                <w:sz w:val="20"/>
                <w:szCs w:val="20"/>
              </w:rPr>
              <w:t xml:space="preserve"> (%)</w:t>
            </w:r>
          </w:p>
        </w:tc>
        <w:tc>
          <w:tcPr>
            <w:tcW w:w="2964" w:type="dxa"/>
            <w:shd w:val="clear" w:color="auto" w:fill="BDD6EE" w:themeFill="accent5" w:themeFillTint="66"/>
          </w:tcPr>
          <w:p w14:paraId="636C7FD1" w14:textId="7CB8167F" w:rsidR="00597C24" w:rsidRPr="00E651A2" w:rsidRDefault="00597C24" w:rsidP="00597C24">
            <w:pPr>
              <w:jc w:val="center"/>
              <w:rPr>
                <w:b/>
                <w:bCs/>
                <w:color w:val="002060"/>
                <w:sz w:val="20"/>
                <w:szCs w:val="20"/>
              </w:rPr>
            </w:pPr>
            <w:r w:rsidRPr="00E651A2">
              <w:rPr>
                <w:b/>
                <w:bCs/>
                <w:color w:val="002060"/>
                <w:sz w:val="20"/>
                <w:szCs w:val="20"/>
              </w:rPr>
              <w:t>Fournisseurs</w:t>
            </w:r>
          </w:p>
        </w:tc>
        <w:tc>
          <w:tcPr>
            <w:tcW w:w="1481" w:type="dxa"/>
            <w:shd w:val="clear" w:color="auto" w:fill="BDD6EE" w:themeFill="accent5" w:themeFillTint="66"/>
          </w:tcPr>
          <w:p w14:paraId="54706DA2" w14:textId="119405F1" w:rsidR="00597C24" w:rsidRPr="00E651A2" w:rsidRDefault="00597C24" w:rsidP="00597C24">
            <w:pPr>
              <w:jc w:val="center"/>
              <w:rPr>
                <w:b/>
                <w:bCs/>
                <w:color w:val="002060"/>
                <w:sz w:val="20"/>
                <w:szCs w:val="20"/>
              </w:rPr>
            </w:pPr>
            <w:r w:rsidRPr="00E651A2">
              <w:rPr>
                <w:b/>
                <w:bCs/>
                <w:color w:val="002060"/>
                <w:sz w:val="20"/>
                <w:szCs w:val="20"/>
              </w:rPr>
              <w:t>Part</w:t>
            </w:r>
            <w:r w:rsidR="00FB1127" w:rsidRPr="00E651A2">
              <w:rPr>
                <w:b/>
                <w:bCs/>
                <w:color w:val="002060"/>
                <w:sz w:val="20"/>
                <w:szCs w:val="20"/>
              </w:rPr>
              <w:t xml:space="preserve"> (%)</w:t>
            </w:r>
          </w:p>
        </w:tc>
      </w:tr>
      <w:tr w:rsidR="00597C24" w14:paraId="5F4F8939" w14:textId="77777777" w:rsidTr="006F0C1B">
        <w:trPr>
          <w:trHeight w:val="259"/>
          <w:jc w:val="center"/>
        </w:trPr>
        <w:tc>
          <w:tcPr>
            <w:tcW w:w="3174" w:type="dxa"/>
          </w:tcPr>
          <w:p w14:paraId="1DB783B8" w14:textId="2AF2898A" w:rsidR="00597C24" w:rsidRPr="00E651A2" w:rsidRDefault="00834BB2" w:rsidP="00597C24">
            <w:pPr>
              <w:jc w:val="center"/>
              <w:rPr>
                <w:color w:val="002060"/>
                <w:sz w:val="20"/>
                <w:szCs w:val="20"/>
              </w:rPr>
            </w:pPr>
            <w:r w:rsidRPr="00E651A2">
              <w:rPr>
                <w:color w:val="002060"/>
                <w:sz w:val="20"/>
                <w:szCs w:val="20"/>
              </w:rPr>
              <w:t>Emirats arabes unis</w:t>
            </w:r>
          </w:p>
        </w:tc>
        <w:tc>
          <w:tcPr>
            <w:tcW w:w="1481" w:type="dxa"/>
          </w:tcPr>
          <w:p w14:paraId="2444F90C" w14:textId="2DFBCB6A" w:rsidR="00597C24" w:rsidRPr="00E651A2" w:rsidRDefault="00834BB2" w:rsidP="00597C24">
            <w:pPr>
              <w:jc w:val="center"/>
              <w:rPr>
                <w:color w:val="002060"/>
                <w:sz w:val="20"/>
                <w:szCs w:val="20"/>
              </w:rPr>
            </w:pPr>
            <w:r w:rsidRPr="00E651A2">
              <w:rPr>
                <w:color w:val="002060"/>
                <w:sz w:val="20"/>
                <w:szCs w:val="20"/>
              </w:rPr>
              <w:t>16,5</w:t>
            </w:r>
          </w:p>
        </w:tc>
        <w:tc>
          <w:tcPr>
            <w:tcW w:w="2964" w:type="dxa"/>
          </w:tcPr>
          <w:p w14:paraId="0512F49D" w14:textId="07C0700A" w:rsidR="00597C24" w:rsidRPr="00E651A2" w:rsidRDefault="00834BB2" w:rsidP="00597C24">
            <w:pPr>
              <w:jc w:val="center"/>
              <w:rPr>
                <w:color w:val="002060"/>
                <w:sz w:val="20"/>
                <w:szCs w:val="20"/>
              </w:rPr>
            </w:pPr>
            <w:r w:rsidRPr="00E651A2">
              <w:rPr>
                <w:color w:val="002060"/>
                <w:sz w:val="20"/>
                <w:szCs w:val="20"/>
              </w:rPr>
              <w:t>Chine</w:t>
            </w:r>
          </w:p>
        </w:tc>
        <w:tc>
          <w:tcPr>
            <w:tcW w:w="1481" w:type="dxa"/>
          </w:tcPr>
          <w:p w14:paraId="433EE7CD" w14:textId="43B2E412" w:rsidR="00597C24" w:rsidRPr="00E651A2" w:rsidRDefault="00FB1127" w:rsidP="00597C24">
            <w:pPr>
              <w:jc w:val="center"/>
              <w:rPr>
                <w:color w:val="002060"/>
                <w:sz w:val="20"/>
                <w:szCs w:val="20"/>
              </w:rPr>
            </w:pPr>
            <w:r w:rsidRPr="00E651A2">
              <w:rPr>
                <w:color w:val="002060"/>
                <w:sz w:val="20"/>
                <w:szCs w:val="20"/>
              </w:rPr>
              <w:t>24,9</w:t>
            </w:r>
          </w:p>
        </w:tc>
      </w:tr>
      <w:tr w:rsidR="00597C24" w14:paraId="6DDD4630" w14:textId="77777777" w:rsidTr="006F0C1B">
        <w:trPr>
          <w:trHeight w:val="259"/>
          <w:jc w:val="center"/>
        </w:trPr>
        <w:tc>
          <w:tcPr>
            <w:tcW w:w="3174" w:type="dxa"/>
          </w:tcPr>
          <w:p w14:paraId="0950432D" w14:textId="218089F5" w:rsidR="00597C24" w:rsidRPr="00E651A2" w:rsidRDefault="00834BB2" w:rsidP="00597C24">
            <w:pPr>
              <w:jc w:val="center"/>
              <w:rPr>
                <w:color w:val="002060"/>
                <w:sz w:val="20"/>
                <w:szCs w:val="20"/>
              </w:rPr>
            </w:pPr>
            <w:r w:rsidRPr="00E651A2">
              <w:rPr>
                <w:color w:val="002060"/>
                <w:sz w:val="20"/>
                <w:szCs w:val="20"/>
              </w:rPr>
              <w:t>Inde</w:t>
            </w:r>
          </w:p>
        </w:tc>
        <w:tc>
          <w:tcPr>
            <w:tcW w:w="1481" w:type="dxa"/>
          </w:tcPr>
          <w:p w14:paraId="672DC54D" w14:textId="2FB77188" w:rsidR="00597C24" w:rsidRPr="00E651A2" w:rsidRDefault="00834BB2" w:rsidP="00597C24">
            <w:pPr>
              <w:jc w:val="center"/>
              <w:rPr>
                <w:color w:val="002060"/>
                <w:sz w:val="20"/>
                <w:szCs w:val="20"/>
              </w:rPr>
            </w:pPr>
            <w:r w:rsidRPr="00E651A2">
              <w:rPr>
                <w:color w:val="002060"/>
                <w:sz w:val="20"/>
                <w:szCs w:val="20"/>
              </w:rPr>
              <w:t>15,8</w:t>
            </w:r>
          </w:p>
        </w:tc>
        <w:tc>
          <w:tcPr>
            <w:tcW w:w="2964" w:type="dxa"/>
          </w:tcPr>
          <w:p w14:paraId="61F6FE67" w14:textId="158BD736" w:rsidR="00597C24" w:rsidRPr="00E651A2" w:rsidRDefault="00834BB2" w:rsidP="00597C24">
            <w:pPr>
              <w:jc w:val="center"/>
              <w:rPr>
                <w:color w:val="002060"/>
                <w:sz w:val="20"/>
                <w:szCs w:val="20"/>
              </w:rPr>
            </w:pPr>
            <w:r w:rsidRPr="00E651A2">
              <w:rPr>
                <w:color w:val="002060"/>
                <w:sz w:val="20"/>
                <w:szCs w:val="20"/>
              </w:rPr>
              <w:t>Emirats arabes unis</w:t>
            </w:r>
          </w:p>
        </w:tc>
        <w:tc>
          <w:tcPr>
            <w:tcW w:w="1481" w:type="dxa"/>
          </w:tcPr>
          <w:p w14:paraId="5B8A90AE" w14:textId="49BBD7CD" w:rsidR="00597C24" w:rsidRPr="00E651A2" w:rsidRDefault="00FB1127" w:rsidP="00597C24">
            <w:pPr>
              <w:jc w:val="center"/>
              <w:rPr>
                <w:color w:val="002060"/>
                <w:sz w:val="20"/>
                <w:szCs w:val="20"/>
              </w:rPr>
            </w:pPr>
            <w:r w:rsidRPr="00E651A2">
              <w:rPr>
                <w:color w:val="002060"/>
                <w:sz w:val="20"/>
                <w:szCs w:val="20"/>
              </w:rPr>
              <w:t>12,7</w:t>
            </w:r>
          </w:p>
        </w:tc>
      </w:tr>
      <w:tr w:rsidR="00597C24" w14:paraId="5894E8A0" w14:textId="77777777" w:rsidTr="006F0C1B">
        <w:trPr>
          <w:trHeight w:val="259"/>
          <w:jc w:val="center"/>
        </w:trPr>
        <w:tc>
          <w:tcPr>
            <w:tcW w:w="3174" w:type="dxa"/>
          </w:tcPr>
          <w:p w14:paraId="5CDA9D9E" w14:textId="0779028E" w:rsidR="00597C24" w:rsidRPr="00E651A2" w:rsidRDefault="00834BB2" w:rsidP="00597C24">
            <w:pPr>
              <w:jc w:val="center"/>
              <w:rPr>
                <w:color w:val="002060"/>
                <w:sz w:val="20"/>
                <w:szCs w:val="20"/>
              </w:rPr>
            </w:pPr>
            <w:r w:rsidRPr="00E651A2">
              <w:rPr>
                <w:color w:val="002060"/>
                <w:sz w:val="20"/>
                <w:szCs w:val="20"/>
              </w:rPr>
              <w:t>Afrique du Sud</w:t>
            </w:r>
          </w:p>
        </w:tc>
        <w:tc>
          <w:tcPr>
            <w:tcW w:w="1481" w:type="dxa"/>
          </w:tcPr>
          <w:p w14:paraId="49DD8BBE" w14:textId="1953EB14" w:rsidR="00597C24" w:rsidRPr="00E651A2" w:rsidRDefault="00834BB2" w:rsidP="00597C24">
            <w:pPr>
              <w:jc w:val="center"/>
              <w:rPr>
                <w:color w:val="002060"/>
                <w:sz w:val="20"/>
                <w:szCs w:val="20"/>
              </w:rPr>
            </w:pPr>
            <w:r w:rsidRPr="00E651A2">
              <w:rPr>
                <w:color w:val="002060"/>
                <w:sz w:val="20"/>
                <w:szCs w:val="20"/>
              </w:rPr>
              <w:t>14,3</w:t>
            </w:r>
          </w:p>
        </w:tc>
        <w:tc>
          <w:tcPr>
            <w:tcW w:w="2964" w:type="dxa"/>
          </w:tcPr>
          <w:p w14:paraId="5346CD97" w14:textId="6A252AB2" w:rsidR="00597C24" w:rsidRPr="00E651A2" w:rsidRDefault="00834BB2" w:rsidP="00597C24">
            <w:pPr>
              <w:jc w:val="center"/>
              <w:rPr>
                <w:color w:val="002060"/>
                <w:sz w:val="20"/>
                <w:szCs w:val="20"/>
              </w:rPr>
            </w:pPr>
            <w:r w:rsidRPr="00E651A2">
              <w:rPr>
                <w:color w:val="002060"/>
                <w:sz w:val="20"/>
                <w:szCs w:val="20"/>
              </w:rPr>
              <w:t>Inde</w:t>
            </w:r>
          </w:p>
        </w:tc>
        <w:tc>
          <w:tcPr>
            <w:tcW w:w="1481" w:type="dxa"/>
          </w:tcPr>
          <w:p w14:paraId="5E4A0454" w14:textId="52573D05" w:rsidR="00597C24" w:rsidRPr="00E651A2" w:rsidRDefault="00FB1127" w:rsidP="00597C24">
            <w:pPr>
              <w:jc w:val="center"/>
              <w:rPr>
                <w:color w:val="002060"/>
                <w:sz w:val="20"/>
                <w:szCs w:val="20"/>
              </w:rPr>
            </w:pPr>
            <w:r w:rsidRPr="00E651A2">
              <w:rPr>
                <w:color w:val="002060"/>
                <w:sz w:val="20"/>
                <w:szCs w:val="20"/>
              </w:rPr>
              <w:t>11,1</w:t>
            </w:r>
          </w:p>
        </w:tc>
      </w:tr>
      <w:tr w:rsidR="00597C24" w14:paraId="268516EB" w14:textId="77777777" w:rsidTr="006F0C1B">
        <w:trPr>
          <w:trHeight w:val="259"/>
          <w:jc w:val="center"/>
        </w:trPr>
        <w:tc>
          <w:tcPr>
            <w:tcW w:w="3174" w:type="dxa"/>
          </w:tcPr>
          <w:p w14:paraId="63AD215B" w14:textId="2B29EF45" w:rsidR="00597C24" w:rsidRPr="00E651A2" w:rsidRDefault="00834BB2" w:rsidP="00597C24">
            <w:pPr>
              <w:jc w:val="center"/>
              <w:rPr>
                <w:color w:val="002060"/>
                <w:sz w:val="20"/>
                <w:szCs w:val="20"/>
              </w:rPr>
            </w:pPr>
            <w:r w:rsidRPr="00E651A2">
              <w:rPr>
                <w:color w:val="002060"/>
                <w:sz w:val="20"/>
                <w:szCs w:val="20"/>
              </w:rPr>
              <w:t>Suisse</w:t>
            </w:r>
          </w:p>
        </w:tc>
        <w:tc>
          <w:tcPr>
            <w:tcW w:w="1481" w:type="dxa"/>
          </w:tcPr>
          <w:p w14:paraId="03E59B18" w14:textId="2B8B47F2" w:rsidR="00597C24" w:rsidRPr="00E651A2" w:rsidRDefault="00834BB2" w:rsidP="00597C24">
            <w:pPr>
              <w:jc w:val="center"/>
              <w:rPr>
                <w:color w:val="002060"/>
                <w:sz w:val="20"/>
                <w:szCs w:val="20"/>
              </w:rPr>
            </w:pPr>
            <w:r w:rsidRPr="00E651A2">
              <w:rPr>
                <w:color w:val="002060"/>
                <w:sz w:val="20"/>
                <w:szCs w:val="20"/>
              </w:rPr>
              <w:t>8,2</w:t>
            </w:r>
          </w:p>
        </w:tc>
        <w:tc>
          <w:tcPr>
            <w:tcW w:w="2964" w:type="dxa"/>
          </w:tcPr>
          <w:p w14:paraId="1A7BA4F0" w14:textId="752A2B6F" w:rsidR="00597C24" w:rsidRPr="00E651A2" w:rsidRDefault="00834BB2" w:rsidP="00597C24">
            <w:pPr>
              <w:jc w:val="center"/>
              <w:rPr>
                <w:color w:val="002060"/>
                <w:sz w:val="20"/>
                <w:szCs w:val="20"/>
              </w:rPr>
            </w:pPr>
            <w:r w:rsidRPr="00E651A2">
              <w:rPr>
                <w:color w:val="002060"/>
                <w:sz w:val="20"/>
                <w:szCs w:val="20"/>
              </w:rPr>
              <w:t>Arabie saoudite</w:t>
            </w:r>
          </w:p>
        </w:tc>
        <w:tc>
          <w:tcPr>
            <w:tcW w:w="1481" w:type="dxa"/>
          </w:tcPr>
          <w:p w14:paraId="14734E07" w14:textId="2216C469" w:rsidR="00597C24" w:rsidRPr="00E651A2" w:rsidRDefault="00FB1127" w:rsidP="00597C24">
            <w:pPr>
              <w:jc w:val="center"/>
              <w:rPr>
                <w:color w:val="002060"/>
                <w:sz w:val="20"/>
                <w:szCs w:val="20"/>
              </w:rPr>
            </w:pPr>
            <w:r w:rsidRPr="00E651A2">
              <w:rPr>
                <w:color w:val="002060"/>
                <w:sz w:val="20"/>
                <w:szCs w:val="20"/>
              </w:rPr>
              <w:t>6,2</w:t>
            </w:r>
          </w:p>
        </w:tc>
      </w:tr>
      <w:tr w:rsidR="00597C24" w14:paraId="63EE2682" w14:textId="77777777" w:rsidTr="006F0C1B">
        <w:trPr>
          <w:trHeight w:val="259"/>
          <w:jc w:val="center"/>
        </w:trPr>
        <w:tc>
          <w:tcPr>
            <w:tcW w:w="3174" w:type="dxa"/>
          </w:tcPr>
          <w:p w14:paraId="5ACD0DEF" w14:textId="3016BD11" w:rsidR="00597C24" w:rsidRPr="00E651A2" w:rsidRDefault="00834BB2" w:rsidP="00597C24">
            <w:pPr>
              <w:jc w:val="center"/>
              <w:rPr>
                <w:color w:val="002060"/>
                <w:sz w:val="20"/>
                <w:szCs w:val="20"/>
              </w:rPr>
            </w:pPr>
            <w:r w:rsidRPr="00E651A2">
              <w:rPr>
                <w:color w:val="002060"/>
                <w:sz w:val="20"/>
                <w:szCs w:val="20"/>
              </w:rPr>
              <w:t>Kenya</w:t>
            </w:r>
          </w:p>
        </w:tc>
        <w:tc>
          <w:tcPr>
            <w:tcW w:w="1481" w:type="dxa"/>
          </w:tcPr>
          <w:p w14:paraId="079C7E7E" w14:textId="436E21C7" w:rsidR="00597C24" w:rsidRPr="00E651A2" w:rsidRDefault="00834BB2" w:rsidP="00597C24">
            <w:pPr>
              <w:jc w:val="center"/>
              <w:rPr>
                <w:color w:val="002060"/>
                <w:sz w:val="20"/>
                <w:szCs w:val="20"/>
              </w:rPr>
            </w:pPr>
            <w:r w:rsidRPr="00E651A2">
              <w:rPr>
                <w:color w:val="002060"/>
                <w:sz w:val="20"/>
                <w:szCs w:val="20"/>
              </w:rPr>
              <w:t>6,2</w:t>
            </w:r>
          </w:p>
        </w:tc>
        <w:tc>
          <w:tcPr>
            <w:tcW w:w="2964" w:type="dxa"/>
          </w:tcPr>
          <w:p w14:paraId="19AD5422" w14:textId="30925AC0" w:rsidR="00597C24" w:rsidRPr="00E651A2" w:rsidRDefault="00FB1127" w:rsidP="00597C24">
            <w:pPr>
              <w:jc w:val="center"/>
              <w:rPr>
                <w:color w:val="002060"/>
                <w:sz w:val="20"/>
                <w:szCs w:val="20"/>
              </w:rPr>
            </w:pPr>
            <w:r w:rsidRPr="00E651A2">
              <w:rPr>
                <w:color w:val="002060"/>
                <w:sz w:val="20"/>
                <w:szCs w:val="20"/>
              </w:rPr>
              <w:t xml:space="preserve">Japon </w:t>
            </w:r>
          </w:p>
        </w:tc>
        <w:tc>
          <w:tcPr>
            <w:tcW w:w="1481" w:type="dxa"/>
          </w:tcPr>
          <w:p w14:paraId="29816436" w14:textId="010EBA3F" w:rsidR="00597C24" w:rsidRPr="00E651A2" w:rsidRDefault="00FB1127" w:rsidP="00597C24">
            <w:pPr>
              <w:jc w:val="center"/>
              <w:rPr>
                <w:color w:val="002060"/>
                <w:sz w:val="20"/>
                <w:szCs w:val="20"/>
              </w:rPr>
            </w:pPr>
            <w:r w:rsidRPr="00E651A2">
              <w:rPr>
                <w:color w:val="002060"/>
                <w:sz w:val="20"/>
                <w:szCs w:val="20"/>
              </w:rPr>
              <w:t>4,3</w:t>
            </w:r>
          </w:p>
        </w:tc>
      </w:tr>
      <w:tr w:rsidR="00597C24" w14:paraId="79803DF5" w14:textId="77777777" w:rsidTr="006F0C1B">
        <w:trPr>
          <w:trHeight w:val="259"/>
          <w:jc w:val="center"/>
        </w:trPr>
        <w:tc>
          <w:tcPr>
            <w:tcW w:w="3174" w:type="dxa"/>
          </w:tcPr>
          <w:p w14:paraId="42484096" w14:textId="34D2A11A" w:rsidR="00597C24" w:rsidRPr="00E651A2" w:rsidRDefault="00834BB2" w:rsidP="00597C24">
            <w:pPr>
              <w:jc w:val="center"/>
              <w:rPr>
                <w:color w:val="002060"/>
                <w:sz w:val="20"/>
                <w:szCs w:val="20"/>
              </w:rPr>
            </w:pPr>
            <w:r w:rsidRPr="00E651A2">
              <w:rPr>
                <w:color w:val="002060"/>
                <w:sz w:val="20"/>
                <w:szCs w:val="20"/>
              </w:rPr>
              <w:t>Ouganda</w:t>
            </w:r>
          </w:p>
        </w:tc>
        <w:tc>
          <w:tcPr>
            <w:tcW w:w="1481" w:type="dxa"/>
          </w:tcPr>
          <w:p w14:paraId="68E2A1E4" w14:textId="73129C04" w:rsidR="00597C24" w:rsidRPr="00E651A2" w:rsidRDefault="00834BB2" w:rsidP="00597C24">
            <w:pPr>
              <w:jc w:val="center"/>
              <w:rPr>
                <w:color w:val="002060"/>
                <w:sz w:val="20"/>
                <w:szCs w:val="20"/>
              </w:rPr>
            </w:pPr>
            <w:r w:rsidRPr="00E651A2">
              <w:rPr>
                <w:color w:val="002060"/>
                <w:sz w:val="20"/>
                <w:szCs w:val="20"/>
              </w:rPr>
              <w:t>4,9</w:t>
            </w:r>
          </w:p>
        </w:tc>
        <w:tc>
          <w:tcPr>
            <w:tcW w:w="2964" w:type="dxa"/>
          </w:tcPr>
          <w:p w14:paraId="59699B24" w14:textId="79A4D649" w:rsidR="00597C24" w:rsidRPr="00E651A2" w:rsidRDefault="00FB1127" w:rsidP="00597C24">
            <w:pPr>
              <w:jc w:val="center"/>
              <w:rPr>
                <w:color w:val="002060"/>
                <w:sz w:val="20"/>
                <w:szCs w:val="20"/>
              </w:rPr>
            </w:pPr>
            <w:r w:rsidRPr="00E651A2">
              <w:rPr>
                <w:color w:val="002060"/>
                <w:sz w:val="20"/>
                <w:szCs w:val="20"/>
              </w:rPr>
              <w:t>Afrique du Sud</w:t>
            </w:r>
          </w:p>
        </w:tc>
        <w:tc>
          <w:tcPr>
            <w:tcW w:w="1481" w:type="dxa"/>
          </w:tcPr>
          <w:p w14:paraId="4371A2D2" w14:textId="2D0BBF0E" w:rsidR="00597C24" w:rsidRPr="00E651A2" w:rsidRDefault="00FB1127" w:rsidP="00597C24">
            <w:pPr>
              <w:jc w:val="center"/>
              <w:rPr>
                <w:color w:val="002060"/>
                <w:sz w:val="20"/>
                <w:szCs w:val="20"/>
              </w:rPr>
            </w:pPr>
            <w:r w:rsidRPr="00E651A2">
              <w:rPr>
                <w:color w:val="002060"/>
                <w:sz w:val="20"/>
                <w:szCs w:val="20"/>
              </w:rPr>
              <w:t>4</w:t>
            </w:r>
          </w:p>
        </w:tc>
      </w:tr>
      <w:tr w:rsidR="00597C24" w14:paraId="27F2FF08" w14:textId="77777777" w:rsidTr="006F0C1B">
        <w:trPr>
          <w:trHeight w:val="259"/>
          <w:jc w:val="center"/>
        </w:trPr>
        <w:tc>
          <w:tcPr>
            <w:tcW w:w="3174" w:type="dxa"/>
          </w:tcPr>
          <w:p w14:paraId="47D5E0E1" w14:textId="5F1ED2AE" w:rsidR="00597C24" w:rsidRPr="00E651A2" w:rsidRDefault="00834BB2" w:rsidP="00597C24">
            <w:pPr>
              <w:jc w:val="center"/>
              <w:rPr>
                <w:color w:val="002060"/>
                <w:sz w:val="20"/>
                <w:szCs w:val="20"/>
              </w:rPr>
            </w:pPr>
            <w:r w:rsidRPr="00E651A2">
              <w:rPr>
                <w:color w:val="002060"/>
                <w:sz w:val="20"/>
                <w:szCs w:val="20"/>
              </w:rPr>
              <w:t>Chine</w:t>
            </w:r>
          </w:p>
        </w:tc>
        <w:tc>
          <w:tcPr>
            <w:tcW w:w="1481" w:type="dxa"/>
          </w:tcPr>
          <w:p w14:paraId="732101C2" w14:textId="2BF845A8" w:rsidR="00597C24" w:rsidRPr="00E651A2" w:rsidRDefault="00834BB2" w:rsidP="00597C24">
            <w:pPr>
              <w:jc w:val="center"/>
              <w:rPr>
                <w:color w:val="002060"/>
                <w:sz w:val="20"/>
                <w:szCs w:val="20"/>
              </w:rPr>
            </w:pPr>
            <w:r w:rsidRPr="00E651A2">
              <w:rPr>
                <w:color w:val="002060"/>
                <w:sz w:val="20"/>
                <w:szCs w:val="20"/>
              </w:rPr>
              <w:t>4,3</w:t>
            </w:r>
          </w:p>
        </w:tc>
        <w:tc>
          <w:tcPr>
            <w:tcW w:w="2964" w:type="dxa"/>
          </w:tcPr>
          <w:p w14:paraId="544D7081" w14:textId="65AD9F3C" w:rsidR="00597C24" w:rsidRPr="00E651A2" w:rsidRDefault="00FB1127" w:rsidP="00597C24">
            <w:pPr>
              <w:jc w:val="center"/>
              <w:rPr>
                <w:color w:val="002060"/>
                <w:sz w:val="20"/>
                <w:szCs w:val="20"/>
              </w:rPr>
            </w:pPr>
            <w:r w:rsidRPr="00E651A2">
              <w:rPr>
                <w:color w:val="002060"/>
                <w:sz w:val="20"/>
                <w:szCs w:val="20"/>
              </w:rPr>
              <w:t>Kenya</w:t>
            </w:r>
          </w:p>
        </w:tc>
        <w:tc>
          <w:tcPr>
            <w:tcW w:w="1481" w:type="dxa"/>
          </w:tcPr>
          <w:p w14:paraId="39E1D69C" w14:textId="08D50721" w:rsidR="00597C24" w:rsidRPr="00E651A2" w:rsidRDefault="00FB1127" w:rsidP="00597C24">
            <w:pPr>
              <w:jc w:val="center"/>
              <w:rPr>
                <w:color w:val="002060"/>
                <w:sz w:val="20"/>
                <w:szCs w:val="20"/>
              </w:rPr>
            </w:pPr>
            <w:r w:rsidRPr="00E651A2">
              <w:rPr>
                <w:color w:val="002060"/>
                <w:sz w:val="20"/>
                <w:szCs w:val="20"/>
              </w:rPr>
              <w:t>3,8</w:t>
            </w:r>
          </w:p>
        </w:tc>
      </w:tr>
      <w:tr w:rsidR="00834BB2" w14:paraId="26834E33" w14:textId="77777777" w:rsidTr="006F0C1B">
        <w:trPr>
          <w:trHeight w:val="271"/>
          <w:jc w:val="center"/>
        </w:trPr>
        <w:tc>
          <w:tcPr>
            <w:tcW w:w="3174" w:type="dxa"/>
          </w:tcPr>
          <w:p w14:paraId="7CDEC146" w14:textId="6D7DA3F9" w:rsidR="00834BB2" w:rsidRPr="00E651A2" w:rsidRDefault="00834BB2" w:rsidP="00597C24">
            <w:pPr>
              <w:jc w:val="center"/>
              <w:rPr>
                <w:color w:val="002060"/>
                <w:sz w:val="20"/>
                <w:szCs w:val="20"/>
              </w:rPr>
            </w:pPr>
            <w:r w:rsidRPr="00E651A2">
              <w:rPr>
                <w:color w:val="002060"/>
                <w:sz w:val="20"/>
                <w:szCs w:val="20"/>
              </w:rPr>
              <w:t>Rwanda</w:t>
            </w:r>
          </w:p>
        </w:tc>
        <w:tc>
          <w:tcPr>
            <w:tcW w:w="1481" w:type="dxa"/>
          </w:tcPr>
          <w:p w14:paraId="08A98A27" w14:textId="6E950FC7" w:rsidR="00834BB2" w:rsidRPr="00E651A2" w:rsidRDefault="00834BB2" w:rsidP="00597C24">
            <w:pPr>
              <w:jc w:val="center"/>
              <w:rPr>
                <w:color w:val="002060"/>
                <w:sz w:val="20"/>
                <w:szCs w:val="20"/>
              </w:rPr>
            </w:pPr>
            <w:r w:rsidRPr="00E651A2">
              <w:rPr>
                <w:color w:val="002060"/>
                <w:sz w:val="20"/>
                <w:szCs w:val="20"/>
              </w:rPr>
              <w:t>4,3</w:t>
            </w:r>
          </w:p>
        </w:tc>
        <w:tc>
          <w:tcPr>
            <w:tcW w:w="2964" w:type="dxa"/>
          </w:tcPr>
          <w:p w14:paraId="6B25A70C" w14:textId="616EC59C" w:rsidR="00834BB2" w:rsidRPr="00E651A2" w:rsidRDefault="00FB1127" w:rsidP="00597C24">
            <w:pPr>
              <w:jc w:val="center"/>
              <w:rPr>
                <w:color w:val="002060"/>
                <w:sz w:val="20"/>
                <w:szCs w:val="20"/>
              </w:rPr>
            </w:pPr>
            <w:r w:rsidRPr="00E651A2">
              <w:rPr>
                <w:color w:val="002060"/>
                <w:sz w:val="20"/>
                <w:szCs w:val="20"/>
              </w:rPr>
              <w:t>Etats-Unis</w:t>
            </w:r>
          </w:p>
        </w:tc>
        <w:tc>
          <w:tcPr>
            <w:tcW w:w="1481" w:type="dxa"/>
          </w:tcPr>
          <w:p w14:paraId="1E866FFF" w14:textId="70F2C4A2" w:rsidR="00834BB2" w:rsidRPr="00E651A2" w:rsidRDefault="00FB1127" w:rsidP="00597C24">
            <w:pPr>
              <w:jc w:val="center"/>
              <w:rPr>
                <w:color w:val="002060"/>
                <w:sz w:val="20"/>
                <w:szCs w:val="20"/>
              </w:rPr>
            </w:pPr>
            <w:r w:rsidRPr="00E651A2">
              <w:rPr>
                <w:color w:val="002060"/>
                <w:sz w:val="20"/>
                <w:szCs w:val="20"/>
              </w:rPr>
              <w:t>2,4</w:t>
            </w:r>
          </w:p>
        </w:tc>
      </w:tr>
      <w:tr w:rsidR="00834BB2" w14:paraId="47866B85" w14:textId="77777777" w:rsidTr="006F0C1B">
        <w:trPr>
          <w:trHeight w:val="259"/>
          <w:jc w:val="center"/>
        </w:trPr>
        <w:tc>
          <w:tcPr>
            <w:tcW w:w="3174" w:type="dxa"/>
          </w:tcPr>
          <w:p w14:paraId="165BB5B9" w14:textId="7EE99B28" w:rsidR="00834BB2" w:rsidRPr="00E651A2" w:rsidRDefault="00834BB2" w:rsidP="00597C24">
            <w:pPr>
              <w:jc w:val="center"/>
              <w:rPr>
                <w:color w:val="002060"/>
                <w:sz w:val="20"/>
                <w:szCs w:val="20"/>
              </w:rPr>
            </w:pPr>
            <w:r w:rsidRPr="00E651A2">
              <w:rPr>
                <w:color w:val="002060"/>
                <w:sz w:val="20"/>
                <w:szCs w:val="20"/>
              </w:rPr>
              <w:t>RDC</w:t>
            </w:r>
          </w:p>
        </w:tc>
        <w:tc>
          <w:tcPr>
            <w:tcW w:w="1481" w:type="dxa"/>
          </w:tcPr>
          <w:p w14:paraId="575740B7" w14:textId="678B25A6" w:rsidR="00834BB2" w:rsidRPr="00E651A2" w:rsidRDefault="00834BB2" w:rsidP="00597C24">
            <w:pPr>
              <w:jc w:val="center"/>
              <w:rPr>
                <w:color w:val="002060"/>
                <w:sz w:val="20"/>
                <w:szCs w:val="20"/>
              </w:rPr>
            </w:pPr>
            <w:r w:rsidRPr="00E651A2">
              <w:rPr>
                <w:color w:val="002060"/>
                <w:sz w:val="20"/>
                <w:szCs w:val="20"/>
              </w:rPr>
              <w:t>3,2</w:t>
            </w:r>
          </w:p>
        </w:tc>
        <w:tc>
          <w:tcPr>
            <w:tcW w:w="2964" w:type="dxa"/>
          </w:tcPr>
          <w:p w14:paraId="495A8366" w14:textId="21CE0F0B" w:rsidR="00834BB2" w:rsidRPr="00E651A2" w:rsidRDefault="00FB1127" w:rsidP="00597C24">
            <w:pPr>
              <w:jc w:val="center"/>
              <w:rPr>
                <w:color w:val="002060"/>
                <w:sz w:val="20"/>
                <w:szCs w:val="20"/>
              </w:rPr>
            </w:pPr>
            <w:r w:rsidRPr="00E651A2">
              <w:rPr>
                <w:color w:val="002060"/>
                <w:sz w:val="20"/>
                <w:szCs w:val="20"/>
              </w:rPr>
              <w:t>Allemagne</w:t>
            </w:r>
          </w:p>
        </w:tc>
        <w:tc>
          <w:tcPr>
            <w:tcW w:w="1481" w:type="dxa"/>
          </w:tcPr>
          <w:p w14:paraId="306FAE82" w14:textId="25C7B92D" w:rsidR="00834BB2" w:rsidRPr="00E651A2" w:rsidRDefault="00FB1127" w:rsidP="00597C24">
            <w:pPr>
              <w:jc w:val="center"/>
              <w:rPr>
                <w:color w:val="002060"/>
                <w:sz w:val="20"/>
                <w:szCs w:val="20"/>
              </w:rPr>
            </w:pPr>
            <w:r w:rsidRPr="00E651A2">
              <w:rPr>
                <w:color w:val="002060"/>
                <w:sz w:val="20"/>
                <w:szCs w:val="20"/>
              </w:rPr>
              <w:t>2,2</w:t>
            </w:r>
          </w:p>
        </w:tc>
      </w:tr>
      <w:tr w:rsidR="00834BB2" w14:paraId="296D2822" w14:textId="77777777" w:rsidTr="006F0C1B">
        <w:trPr>
          <w:trHeight w:val="259"/>
          <w:jc w:val="center"/>
        </w:trPr>
        <w:tc>
          <w:tcPr>
            <w:tcW w:w="3174" w:type="dxa"/>
          </w:tcPr>
          <w:p w14:paraId="0AD7B34C" w14:textId="087927D7" w:rsidR="00834BB2" w:rsidRPr="00E651A2" w:rsidRDefault="00834BB2" w:rsidP="00597C24">
            <w:pPr>
              <w:jc w:val="center"/>
              <w:rPr>
                <w:color w:val="002060"/>
                <w:sz w:val="20"/>
                <w:szCs w:val="20"/>
              </w:rPr>
            </w:pPr>
            <w:r w:rsidRPr="00E651A2">
              <w:rPr>
                <w:color w:val="002060"/>
                <w:sz w:val="20"/>
                <w:szCs w:val="20"/>
              </w:rPr>
              <w:t>Burundi</w:t>
            </w:r>
          </w:p>
        </w:tc>
        <w:tc>
          <w:tcPr>
            <w:tcW w:w="1481" w:type="dxa"/>
          </w:tcPr>
          <w:p w14:paraId="10062641" w14:textId="603041EC" w:rsidR="00834BB2" w:rsidRPr="00E651A2" w:rsidRDefault="00834BB2" w:rsidP="00597C24">
            <w:pPr>
              <w:jc w:val="center"/>
              <w:rPr>
                <w:color w:val="002060"/>
                <w:sz w:val="20"/>
                <w:szCs w:val="20"/>
              </w:rPr>
            </w:pPr>
            <w:r w:rsidRPr="00E651A2">
              <w:rPr>
                <w:color w:val="002060"/>
                <w:sz w:val="20"/>
                <w:szCs w:val="20"/>
              </w:rPr>
              <w:t>2,6</w:t>
            </w:r>
          </w:p>
        </w:tc>
        <w:tc>
          <w:tcPr>
            <w:tcW w:w="2964" w:type="dxa"/>
          </w:tcPr>
          <w:p w14:paraId="56F65591" w14:textId="130F58E4" w:rsidR="00834BB2" w:rsidRPr="00E651A2" w:rsidRDefault="00FB1127" w:rsidP="00597C24">
            <w:pPr>
              <w:jc w:val="center"/>
              <w:rPr>
                <w:color w:val="002060"/>
                <w:sz w:val="20"/>
                <w:szCs w:val="20"/>
              </w:rPr>
            </w:pPr>
            <w:r w:rsidRPr="00E651A2">
              <w:rPr>
                <w:color w:val="002060"/>
                <w:sz w:val="20"/>
                <w:szCs w:val="20"/>
              </w:rPr>
              <w:t>Turquie</w:t>
            </w:r>
          </w:p>
        </w:tc>
        <w:tc>
          <w:tcPr>
            <w:tcW w:w="1481" w:type="dxa"/>
          </w:tcPr>
          <w:p w14:paraId="433D803B" w14:textId="388DF4B6" w:rsidR="00834BB2" w:rsidRPr="00E651A2" w:rsidRDefault="00FB1127" w:rsidP="00597C24">
            <w:pPr>
              <w:jc w:val="center"/>
              <w:rPr>
                <w:color w:val="002060"/>
                <w:sz w:val="20"/>
                <w:szCs w:val="20"/>
              </w:rPr>
            </w:pPr>
            <w:r w:rsidRPr="00E651A2">
              <w:rPr>
                <w:color w:val="002060"/>
                <w:sz w:val="20"/>
                <w:szCs w:val="20"/>
              </w:rPr>
              <w:t>2,2</w:t>
            </w:r>
          </w:p>
        </w:tc>
      </w:tr>
      <w:tr w:rsidR="00834BB2" w14:paraId="2A7A183A" w14:textId="77777777" w:rsidTr="006F0C1B">
        <w:trPr>
          <w:trHeight w:val="259"/>
          <w:jc w:val="center"/>
        </w:trPr>
        <w:tc>
          <w:tcPr>
            <w:tcW w:w="3174" w:type="dxa"/>
          </w:tcPr>
          <w:p w14:paraId="5BA96BE1" w14:textId="3F303342" w:rsidR="00834BB2" w:rsidRPr="00E651A2" w:rsidRDefault="00834BB2" w:rsidP="00597C24">
            <w:pPr>
              <w:jc w:val="center"/>
              <w:rPr>
                <w:color w:val="002060"/>
                <w:sz w:val="20"/>
                <w:szCs w:val="20"/>
              </w:rPr>
            </w:pPr>
            <w:r w:rsidRPr="00E651A2">
              <w:rPr>
                <w:color w:val="002060"/>
                <w:sz w:val="20"/>
                <w:szCs w:val="20"/>
              </w:rPr>
              <w:t>Vietnam</w:t>
            </w:r>
          </w:p>
        </w:tc>
        <w:tc>
          <w:tcPr>
            <w:tcW w:w="1481" w:type="dxa"/>
          </w:tcPr>
          <w:p w14:paraId="0D9C742D" w14:textId="7B3885D0" w:rsidR="00834BB2" w:rsidRPr="00E651A2" w:rsidRDefault="00834BB2" w:rsidP="00597C24">
            <w:pPr>
              <w:jc w:val="center"/>
              <w:rPr>
                <w:color w:val="002060"/>
                <w:sz w:val="20"/>
                <w:szCs w:val="20"/>
              </w:rPr>
            </w:pPr>
            <w:r w:rsidRPr="00E651A2">
              <w:rPr>
                <w:color w:val="002060"/>
                <w:sz w:val="20"/>
                <w:szCs w:val="20"/>
              </w:rPr>
              <w:t>1,6</w:t>
            </w:r>
          </w:p>
        </w:tc>
        <w:tc>
          <w:tcPr>
            <w:tcW w:w="2964" w:type="dxa"/>
          </w:tcPr>
          <w:p w14:paraId="4621A93B" w14:textId="1B759253" w:rsidR="00834BB2" w:rsidRPr="00E651A2" w:rsidRDefault="00FB1127" w:rsidP="00597C24">
            <w:pPr>
              <w:jc w:val="center"/>
              <w:rPr>
                <w:color w:val="002060"/>
                <w:sz w:val="20"/>
                <w:szCs w:val="20"/>
              </w:rPr>
            </w:pPr>
            <w:r w:rsidRPr="00E651A2">
              <w:rPr>
                <w:color w:val="002060"/>
                <w:sz w:val="20"/>
                <w:szCs w:val="20"/>
              </w:rPr>
              <w:t>Indonésie</w:t>
            </w:r>
          </w:p>
        </w:tc>
        <w:tc>
          <w:tcPr>
            <w:tcW w:w="1481" w:type="dxa"/>
          </w:tcPr>
          <w:p w14:paraId="14660FD5" w14:textId="691A77D9" w:rsidR="00834BB2" w:rsidRPr="00E651A2" w:rsidRDefault="00FB1127" w:rsidP="00597C24">
            <w:pPr>
              <w:jc w:val="center"/>
              <w:rPr>
                <w:color w:val="002060"/>
                <w:sz w:val="20"/>
                <w:szCs w:val="20"/>
              </w:rPr>
            </w:pPr>
            <w:r w:rsidRPr="00E651A2">
              <w:rPr>
                <w:color w:val="002060"/>
                <w:sz w:val="20"/>
                <w:szCs w:val="20"/>
              </w:rPr>
              <w:t>2</w:t>
            </w:r>
          </w:p>
        </w:tc>
      </w:tr>
      <w:tr w:rsidR="00834BB2" w14:paraId="222B0425" w14:textId="77777777" w:rsidTr="006F0C1B">
        <w:trPr>
          <w:trHeight w:val="259"/>
          <w:jc w:val="center"/>
        </w:trPr>
        <w:tc>
          <w:tcPr>
            <w:tcW w:w="3174" w:type="dxa"/>
          </w:tcPr>
          <w:p w14:paraId="09002DE4" w14:textId="6B5D9663" w:rsidR="00834BB2" w:rsidRPr="00E651A2" w:rsidRDefault="00834BB2" w:rsidP="00597C24">
            <w:pPr>
              <w:jc w:val="center"/>
              <w:rPr>
                <w:color w:val="002060"/>
                <w:sz w:val="20"/>
                <w:szCs w:val="20"/>
              </w:rPr>
            </w:pPr>
            <w:r w:rsidRPr="00E651A2">
              <w:rPr>
                <w:color w:val="002060"/>
                <w:sz w:val="20"/>
                <w:szCs w:val="20"/>
              </w:rPr>
              <w:t>Belgique</w:t>
            </w:r>
          </w:p>
        </w:tc>
        <w:tc>
          <w:tcPr>
            <w:tcW w:w="1481" w:type="dxa"/>
          </w:tcPr>
          <w:p w14:paraId="66ED2CF6" w14:textId="0EF138F8" w:rsidR="00834BB2" w:rsidRPr="00E651A2" w:rsidRDefault="00834BB2" w:rsidP="00597C24">
            <w:pPr>
              <w:jc w:val="center"/>
              <w:rPr>
                <w:color w:val="002060"/>
                <w:sz w:val="20"/>
                <w:szCs w:val="20"/>
              </w:rPr>
            </w:pPr>
            <w:r w:rsidRPr="00E651A2">
              <w:rPr>
                <w:color w:val="002060"/>
                <w:sz w:val="20"/>
                <w:szCs w:val="20"/>
              </w:rPr>
              <w:t>1,6</w:t>
            </w:r>
          </w:p>
        </w:tc>
        <w:tc>
          <w:tcPr>
            <w:tcW w:w="2964" w:type="dxa"/>
          </w:tcPr>
          <w:p w14:paraId="33E2CEDB" w14:textId="34CADBAC" w:rsidR="00834BB2" w:rsidRPr="00E651A2" w:rsidRDefault="00FB1127" w:rsidP="00597C24">
            <w:pPr>
              <w:jc w:val="center"/>
              <w:rPr>
                <w:color w:val="002060"/>
                <w:sz w:val="20"/>
                <w:szCs w:val="20"/>
              </w:rPr>
            </w:pPr>
            <w:r w:rsidRPr="00E651A2">
              <w:rPr>
                <w:color w:val="002060"/>
                <w:sz w:val="20"/>
                <w:szCs w:val="20"/>
              </w:rPr>
              <w:t>Oman</w:t>
            </w:r>
          </w:p>
        </w:tc>
        <w:tc>
          <w:tcPr>
            <w:tcW w:w="1481" w:type="dxa"/>
          </w:tcPr>
          <w:p w14:paraId="1F267A35" w14:textId="3774BE9D" w:rsidR="00834BB2" w:rsidRPr="00E651A2" w:rsidRDefault="00FB1127" w:rsidP="00597C24">
            <w:pPr>
              <w:jc w:val="center"/>
              <w:rPr>
                <w:color w:val="002060"/>
                <w:sz w:val="20"/>
                <w:szCs w:val="20"/>
              </w:rPr>
            </w:pPr>
            <w:r w:rsidRPr="00E651A2">
              <w:rPr>
                <w:color w:val="002060"/>
                <w:sz w:val="20"/>
                <w:szCs w:val="20"/>
              </w:rPr>
              <w:t>2</w:t>
            </w:r>
          </w:p>
        </w:tc>
      </w:tr>
      <w:tr w:rsidR="00834BB2" w14:paraId="59EE7C61" w14:textId="77777777" w:rsidTr="006F0C1B">
        <w:trPr>
          <w:trHeight w:val="259"/>
          <w:jc w:val="center"/>
        </w:trPr>
        <w:tc>
          <w:tcPr>
            <w:tcW w:w="3174" w:type="dxa"/>
          </w:tcPr>
          <w:p w14:paraId="674ABE74" w14:textId="67F0F53A" w:rsidR="00834BB2" w:rsidRPr="00E651A2" w:rsidRDefault="00834BB2" w:rsidP="00597C24">
            <w:pPr>
              <w:jc w:val="center"/>
              <w:rPr>
                <w:color w:val="002060"/>
                <w:sz w:val="20"/>
                <w:szCs w:val="20"/>
              </w:rPr>
            </w:pPr>
            <w:r w:rsidRPr="00E651A2">
              <w:rPr>
                <w:color w:val="002060"/>
                <w:sz w:val="20"/>
                <w:szCs w:val="20"/>
              </w:rPr>
              <w:t>Pays-Bas</w:t>
            </w:r>
          </w:p>
        </w:tc>
        <w:tc>
          <w:tcPr>
            <w:tcW w:w="1481" w:type="dxa"/>
          </w:tcPr>
          <w:p w14:paraId="39795F21" w14:textId="57232B14" w:rsidR="00834BB2" w:rsidRPr="00E651A2" w:rsidRDefault="00834BB2" w:rsidP="00597C24">
            <w:pPr>
              <w:jc w:val="center"/>
              <w:rPr>
                <w:color w:val="002060"/>
                <w:sz w:val="20"/>
                <w:szCs w:val="20"/>
              </w:rPr>
            </w:pPr>
            <w:r w:rsidRPr="00E651A2">
              <w:rPr>
                <w:color w:val="002060"/>
                <w:sz w:val="20"/>
                <w:szCs w:val="20"/>
              </w:rPr>
              <w:t>1,2</w:t>
            </w:r>
          </w:p>
        </w:tc>
        <w:tc>
          <w:tcPr>
            <w:tcW w:w="2964" w:type="dxa"/>
          </w:tcPr>
          <w:p w14:paraId="0043398D" w14:textId="23F01CF4" w:rsidR="00834BB2" w:rsidRPr="00E651A2" w:rsidRDefault="00FB1127" w:rsidP="00597C24">
            <w:pPr>
              <w:jc w:val="center"/>
              <w:rPr>
                <w:color w:val="002060"/>
                <w:sz w:val="20"/>
                <w:szCs w:val="20"/>
              </w:rPr>
            </w:pPr>
            <w:r w:rsidRPr="00E651A2">
              <w:rPr>
                <w:color w:val="002060"/>
                <w:sz w:val="20"/>
                <w:szCs w:val="20"/>
              </w:rPr>
              <w:t>Royaume-Uni</w:t>
            </w:r>
          </w:p>
        </w:tc>
        <w:tc>
          <w:tcPr>
            <w:tcW w:w="1481" w:type="dxa"/>
          </w:tcPr>
          <w:p w14:paraId="2E03916B" w14:textId="163D0FED" w:rsidR="00834BB2" w:rsidRPr="00E651A2" w:rsidRDefault="00FB1127" w:rsidP="00597C24">
            <w:pPr>
              <w:jc w:val="center"/>
              <w:rPr>
                <w:color w:val="002060"/>
                <w:sz w:val="20"/>
                <w:szCs w:val="20"/>
              </w:rPr>
            </w:pPr>
            <w:r w:rsidRPr="00E651A2">
              <w:rPr>
                <w:color w:val="002060"/>
                <w:sz w:val="20"/>
                <w:szCs w:val="20"/>
              </w:rPr>
              <w:t>1,1</w:t>
            </w:r>
          </w:p>
        </w:tc>
      </w:tr>
      <w:tr w:rsidR="00834BB2" w14:paraId="3606C17C" w14:textId="77777777" w:rsidTr="006F0C1B">
        <w:trPr>
          <w:trHeight w:val="259"/>
          <w:jc w:val="center"/>
        </w:trPr>
        <w:tc>
          <w:tcPr>
            <w:tcW w:w="3174" w:type="dxa"/>
          </w:tcPr>
          <w:p w14:paraId="2D267A8B" w14:textId="3D3016D6" w:rsidR="00834BB2" w:rsidRPr="00E651A2" w:rsidRDefault="00834BB2" w:rsidP="00597C24">
            <w:pPr>
              <w:jc w:val="center"/>
              <w:rPr>
                <w:color w:val="002060"/>
                <w:sz w:val="20"/>
                <w:szCs w:val="20"/>
              </w:rPr>
            </w:pPr>
            <w:r w:rsidRPr="00E651A2">
              <w:rPr>
                <w:color w:val="002060"/>
                <w:sz w:val="20"/>
                <w:szCs w:val="20"/>
              </w:rPr>
              <w:t>Japon</w:t>
            </w:r>
          </w:p>
        </w:tc>
        <w:tc>
          <w:tcPr>
            <w:tcW w:w="1481" w:type="dxa"/>
          </w:tcPr>
          <w:p w14:paraId="3837F027" w14:textId="35E19829" w:rsidR="00834BB2" w:rsidRPr="00E651A2" w:rsidRDefault="00834BB2" w:rsidP="00597C24">
            <w:pPr>
              <w:jc w:val="center"/>
              <w:rPr>
                <w:color w:val="002060"/>
                <w:sz w:val="20"/>
                <w:szCs w:val="20"/>
              </w:rPr>
            </w:pPr>
            <w:r w:rsidRPr="00E651A2">
              <w:rPr>
                <w:color w:val="002060"/>
                <w:sz w:val="20"/>
                <w:szCs w:val="20"/>
              </w:rPr>
              <w:t>1,1</w:t>
            </w:r>
          </w:p>
        </w:tc>
        <w:tc>
          <w:tcPr>
            <w:tcW w:w="2964" w:type="dxa"/>
          </w:tcPr>
          <w:p w14:paraId="5504D0D9" w14:textId="033D1B47" w:rsidR="00834BB2" w:rsidRPr="00E651A2" w:rsidRDefault="00FB1127" w:rsidP="00597C24">
            <w:pPr>
              <w:jc w:val="center"/>
              <w:rPr>
                <w:color w:val="002060"/>
                <w:sz w:val="20"/>
                <w:szCs w:val="20"/>
              </w:rPr>
            </w:pPr>
            <w:r w:rsidRPr="00E651A2">
              <w:rPr>
                <w:color w:val="002060"/>
                <w:sz w:val="20"/>
                <w:szCs w:val="20"/>
              </w:rPr>
              <w:t>Australie</w:t>
            </w:r>
          </w:p>
        </w:tc>
        <w:tc>
          <w:tcPr>
            <w:tcW w:w="1481" w:type="dxa"/>
          </w:tcPr>
          <w:p w14:paraId="34CCF604" w14:textId="4063D631" w:rsidR="00834BB2" w:rsidRPr="00E651A2" w:rsidRDefault="00FB1127" w:rsidP="00597C24">
            <w:pPr>
              <w:jc w:val="center"/>
              <w:rPr>
                <w:color w:val="002060"/>
                <w:sz w:val="20"/>
                <w:szCs w:val="20"/>
              </w:rPr>
            </w:pPr>
            <w:r w:rsidRPr="00E651A2">
              <w:rPr>
                <w:color w:val="002060"/>
                <w:sz w:val="20"/>
                <w:szCs w:val="20"/>
              </w:rPr>
              <w:t>0,8</w:t>
            </w:r>
          </w:p>
        </w:tc>
      </w:tr>
      <w:tr w:rsidR="00834BB2" w14:paraId="030FA62F" w14:textId="77777777" w:rsidTr="006F0C1B">
        <w:trPr>
          <w:trHeight w:val="259"/>
          <w:jc w:val="center"/>
        </w:trPr>
        <w:tc>
          <w:tcPr>
            <w:tcW w:w="3174" w:type="dxa"/>
          </w:tcPr>
          <w:p w14:paraId="3C397735" w14:textId="1C459233" w:rsidR="00834BB2" w:rsidRPr="00E651A2" w:rsidRDefault="00834BB2" w:rsidP="00597C24">
            <w:pPr>
              <w:jc w:val="center"/>
              <w:rPr>
                <w:color w:val="002060"/>
                <w:sz w:val="20"/>
                <w:szCs w:val="20"/>
              </w:rPr>
            </w:pPr>
            <w:r w:rsidRPr="00E651A2">
              <w:rPr>
                <w:color w:val="002060"/>
                <w:sz w:val="20"/>
                <w:szCs w:val="20"/>
              </w:rPr>
              <w:t>Malawi</w:t>
            </w:r>
          </w:p>
        </w:tc>
        <w:tc>
          <w:tcPr>
            <w:tcW w:w="1481" w:type="dxa"/>
          </w:tcPr>
          <w:p w14:paraId="039EF8D6" w14:textId="2A971E29" w:rsidR="00834BB2" w:rsidRPr="00E651A2" w:rsidRDefault="00834BB2" w:rsidP="00597C24">
            <w:pPr>
              <w:jc w:val="center"/>
              <w:rPr>
                <w:color w:val="002060"/>
                <w:sz w:val="20"/>
                <w:szCs w:val="20"/>
              </w:rPr>
            </w:pPr>
            <w:r w:rsidRPr="00E651A2">
              <w:rPr>
                <w:color w:val="002060"/>
                <w:sz w:val="20"/>
                <w:szCs w:val="20"/>
              </w:rPr>
              <w:t>1</w:t>
            </w:r>
          </w:p>
        </w:tc>
        <w:tc>
          <w:tcPr>
            <w:tcW w:w="2964" w:type="dxa"/>
          </w:tcPr>
          <w:p w14:paraId="04BCCF49" w14:textId="0AA96265" w:rsidR="00834BB2" w:rsidRPr="00E651A2" w:rsidRDefault="00FB1127" w:rsidP="00597C24">
            <w:pPr>
              <w:jc w:val="center"/>
              <w:rPr>
                <w:color w:val="002060"/>
                <w:sz w:val="20"/>
                <w:szCs w:val="20"/>
              </w:rPr>
            </w:pPr>
            <w:r w:rsidRPr="00E651A2">
              <w:rPr>
                <w:color w:val="002060"/>
                <w:sz w:val="20"/>
                <w:szCs w:val="20"/>
              </w:rPr>
              <w:t>Suisse</w:t>
            </w:r>
          </w:p>
        </w:tc>
        <w:tc>
          <w:tcPr>
            <w:tcW w:w="1481" w:type="dxa"/>
          </w:tcPr>
          <w:p w14:paraId="5A68D712" w14:textId="32F8440A" w:rsidR="00834BB2" w:rsidRPr="00E651A2" w:rsidRDefault="00FB1127" w:rsidP="00597C24">
            <w:pPr>
              <w:jc w:val="center"/>
              <w:rPr>
                <w:color w:val="002060"/>
                <w:sz w:val="20"/>
                <w:szCs w:val="20"/>
              </w:rPr>
            </w:pPr>
            <w:r w:rsidRPr="00E651A2">
              <w:rPr>
                <w:color w:val="002060"/>
                <w:sz w:val="20"/>
                <w:szCs w:val="20"/>
              </w:rPr>
              <w:t>0,7</w:t>
            </w:r>
          </w:p>
        </w:tc>
      </w:tr>
    </w:tbl>
    <w:p w14:paraId="6C9BF03D" w14:textId="77777777" w:rsidR="001A1248" w:rsidRPr="00FB42E8" w:rsidRDefault="001A1248" w:rsidP="00FB42E8"/>
    <w:sectPr w:rsidR="001A1248" w:rsidRPr="00FB42E8" w:rsidSect="004432FE">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DAB0" w14:textId="77777777" w:rsidR="00CC57F1" w:rsidRDefault="00CC57F1" w:rsidP="005801DD">
      <w:pPr>
        <w:spacing w:after="0" w:line="240" w:lineRule="auto"/>
      </w:pPr>
      <w:r>
        <w:separator/>
      </w:r>
    </w:p>
  </w:endnote>
  <w:endnote w:type="continuationSeparator" w:id="0">
    <w:p w14:paraId="01159598" w14:textId="77777777" w:rsidR="00CC57F1" w:rsidRDefault="00CC57F1" w:rsidP="0058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77298"/>
      <w:docPartObj>
        <w:docPartGallery w:val="Page Numbers (Bottom of Page)"/>
        <w:docPartUnique/>
      </w:docPartObj>
    </w:sdtPr>
    <w:sdtEndPr/>
    <w:sdtContent>
      <w:p w14:paraId="12C03235" w14:textId="77777777" w:rsidR="00F025C1" w:rsidRDefault="009F7A52">
        <w:pPr>
          <w:pStyle w:val="Pieddepage"/>
          <w:jc w:val="right"/>
        </w:pPr>
        <w:r>
          <w:fldChar w:fldCharType="begin"/>
        </w:r>
        <w:r>
          <w:instrText>PAGE   \* MERGEFORMAT</w:instrText>
        </w:r>
        <w:r>
          <w:fldChar w:fldCharType="separate"/>
        </w:r>
        <w:r>
          <w:rPr>
            <w:noProof/>
          </w:rPr>
          <w:t>2</w:t>
        </w:r>
        <w:r>
          <w:fldChar w:fldCharType="end"/>
        </w:r>
      </w:p>
    </w:sdtContent>
  </w:sdt>
  <w:p w14:paraId="7252E4C1" w14:textId="77777777" w:rsidR="004432FE" w:rsidRDefault="00CC57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466027"/>
      <w:docPartObj>
        <w:docPartGallery w:val="Page Numbers (Bottom of Page)"/>
        <w:docPartUnique/>
      </w:docPartObj>
    </w:sdtPr>
    <w:sdtEndPr/>
    <w:sdtContent>
      <w:p w14:paraId="5551D361" w14:textId="5780F586" w:rsidR="009A4AC4" w:rsidRDefault="009A4AC4">
        <w:pPr>
          <w:pStyle w:val="Pieddepage"/>
          <w:jc w:val="right"/>
        </w:pPr>
        <w:r>
          <w:fldChar w:fldCharType="begin"/>
        </w:r>
        <w:r>
          <w:instrText>PAGE   \* MERGEFORMAT</w:instrText>
        </w:r>
        <w:r>
          <w:fldChar w:fldCharType="separate"/>
        </w:r>
        <w:r>
          <w:t>2</w:t>
        </w:r>
        <w:r>
          <w:fldChar w:fldCharType="end"/>
        </w:r>
      </w:p>
    </w:sdtContent>
  </w:sdt>
  <w:p w14:paraId="79A5BB7F" w14:textId="77777777" w:rsidR="00ED108C" w:rsidRDefault="00CC57F1" w:rsidP="007E6B2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991D" w14:textId="77777777" w:rsidR="00CC57F1" w:rsidRDefault="00CC57F1" w:rsidP="005801DD">
      <w:pPr>
        <w:spacing w:after="0" w:line="240" w:lineRule="auto"/>
      </w:pPr>
      <w:r>
        <w:separator/>
      </w:r>
    </w:p>
  </w:footnote>
  <w:footnote w:type="continuationSeparator" w:id="0">
    <w:p w14:paraId="49A28078" w14:textId="77777777" w:rsidR="00CC57F1" w:rsidRDefault="00CC57F1" w:rsidP="00580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4B98" w14:textId="77777777" w:rsidR="004432FE" w:rsidRDefault="00CC57F1" w:rsidP="004432FE">
    <w:pPr>
      <w:pStyle w:val="En-tte"/>
    </w:pPr>
  </w:p>
  <w:p w14:paraId="64EDB113" w14:textId="77777777" w:rsidR="004432FE" w:rsidRDefault="00CC57F1" w:rsidP="004432F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888E" w14:textId="3CC7DAF9" w:rsidR="00AF3E63" w:rsidRDefault="004E0401" w:rsidP="00AF3E63">
    <w:pPr>
      <w:pStyle w:val="Intituldirection"/>
      <w:rPr>
        <w:lang w:val="fr-FR"/>
      </w:rPr>
    </w:pPr>
    <w:r>
      <w:rPr>
        <w:noProof/>
      </w:rPr>
      <w:drawing>
        <wp:anchor distT="0" distB="0" distL="114300" distR="114300" simplePos="0" relativeHeight="251658240" behindDoc="0" locked="0" layoutInCell="1" allowOverlap="1" wp14:anchorId="3EC37BA6" wp14:editId="000E04D6">
          <wp:simplePos x="0" y="0"/>
          <wp:positionH relativeFrom="margin">
            <wp:align>left</wp:align>
          </wp:positionH>
          <wp:positionV relativeFrom="margin">
            <wp:posOffset>-638175</wp:posOffset>
          </wp:positionV>
          <wp:extent cx="2116938" cy="12858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938" cy="1285875"/>
                  </a:xfrm>
                  <a:prstGeom prst="rect">
                    <a:avLst/>
                  </a:prstGeom>
                  <a:noFill/>
                  <a:ln>
                    <a:noFill/>
                  </a:ln>
                </pic:spPr>
              </pic:pic>
            </a:graphicData>
          </a:graphic>
        </wp:anchor>
      </w:drawing>
    </w:r>
  </w:p>
  <w:p w14:paraId="351278F1" w14:textId="3483BBC9" w:rsidR="00AF3E63" w:rsidRDefault="00CC57F1" w:rsidP="004E0401">
    <w:pPr>
      <w:pStyle w:val="Intituldirection"/>
      <w:jc w:val="left"/>
      <w:rPr>
        <w:lang w:val="fr-FR"/>
      </w:rPr>
    </w:pPr>
  </w:p>
  <w:p w14:paraId="6629261E" w14:textId="7D6B7353" w:rsidR="004432FE" w:rsidRPr="004E0401" w:rsidRDefault="009F7A52" w:rsidP="004E0401">
    <w:pPr>
      <w:pStyle w:val="Intituldirection"/>
      <w:rPr>
        <w:lang w:val="fr-FR"/>
      </w:rPr>
    </w:pPr>
    <w:r>
      <w:rPr>
        <w:lang w:val="fr-FR"/>
      </w:rPr>
      <w:t>Direction générale du Trésor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445CBB"/>
    <w:multiLevelType w:val="hybridMultilevel"/>
    <w:tmpl w:val="8AF455BA"/>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 w15:restartNumberingAfterBreak="0">
    <w:nsid w:val="26A12DA9"/>
    <w:multiLevelType w:val="hybridMultilevel"/>
    <w:tmpl w:val="12325A1C"/>
    <w:lvl w:ilvl="0" w:tplc="720CBEAA">
      <w:start w:val="1"/>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C25006"/>
    <w:multiLevelType w:val="hybridMultilevel"/>
    <w:tmpl w:val="56BCC1DE"/>
    <w:lvl w:ilvl="0" w:tplc="BBB23E0A">
      <w:start w:val="1"/>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3A"/>
    <w:rsid w:val="00006AFA"/>
    <w:rsid w:val="00036A66"/>
    <w:rsid w:val="00063561"/>
    <w:rsid w:val="000E0C23"/>
    <w:rsid w:val="000E1EFC"/>
    <w:rsid w:val="000F17A6"/>
    <w:rsid w:val="000F4325"/>
    <w:rsid w:val="000F5720"/>
    <w:rsid w:val="001263EF"/>
    <w:rsid w:val="001322A1"/>
    <w:rsid w:val="0018531F"/>
    <w:rsid w:val="001A0CBE"/>
    <w:rsid w:val="001A1248"/>
    <w:rsid w:val="001A5CBD"/>
    <w:rsid w:val="001C222C"/>
    <w:rsid w:val="001C4EAA"/>
    <w:rsid w:val="001E17C4"/>
    <w:rsid w:val="0021390A"/>
    <w:rsid w:val="002547E1"/>
    <w:rsid w:val="002B2FBC"/>
    <w:rsid w:val="002D4FE0"/>
    <w:rsid w:val="002D5665"/>
    <w:rsid w:val="002F4D02"/>
    <w:rsid w:val="002F7844"/>
    <w:rsid w:val="003239BF"/>
    <w:rsid w:val="00332707"/>
    <w:rsid w:val="00340DDD"/>
    <w:rsid w:val="003438DA"/>
    <w:rsid w:val="003617EF"/>
    <w:rsid w:val="00365F02"/>
    <w:rsid w:val="003E1BC4"/>
    <w:rsid w:val="00426E7B"/>
    <w:rsid w:val="00437EE0"/>
    <w:rsid w:val="004418B8"/>
    <w:rsid w:val="00447C75"/>
    <w:rsid w:val="00450DE6"/>
    <w:rsid w:val="004652EE"/>
    <w:rsid w:val="004E0401"/>
    <w:rsid w:val="004E7F02"/>
    <w:rsid w:val="0050219F"/>
    <w:rsid w:val="005175AE"/>
    <w:rsid w:val="00526234"/>
    <w:rsid w:val="00530A2C"/>
    <w:rsid w:val="0056448A"/>
    <w:rsid w:val="005801DD"/>
    <w:rsid w:val="005834DF"/>
    <w:rsid w:val="0058507F"/>
    <w:rsid w:val="00597C24"/>
    <w:rsid w:val="005A1CDB"/>
    <w:rsid w:val="005B2C47"/>
    <w:rsid w:val="005C67BE"/>
    <w:rsid w:val="005D1875"/>
    <w:rsid w:val="005E309A"/>
    <w:rsid w:val="00607302"/>
    <w:rsid w:val="0062463A"/>
    <w:rsid w:val="00645EDC"/>
    <w:rsid w:val="006548F9"/>
    <w:rsid w:val="006704A7"/>
    <w:rsid w:val="00692AF8"/>
    <w:rsid w:val="006951E2"/>
    <w:rsid w:val="006A3BAB"/>
    <w:rsid w:val="006B6092"/>
    <w:rsid w:val="006D55FF"/>
    <w:rsid w:val="006D5A75"/>
    <w:rsid w:val="006E16B8"/>
    <w:rsid w:val="006E557B"/>
    <w:rsid w:val="006F0C1B"/>
    <w:rsid w:val="00744C64"/>
    <w:rsid w:val="00782DC6"/>
    <w:rsid w:val="00793B8B"/>
    <w:rsid w:val="007B667F"/>
    <w:rsid w:val="007C14BE"/>
    <w:rsid w:val="007E37F8"/>
    <w:rsid w:val="007F4ABE"/>
    <w:rsid w:val="0081615D"/>
    <w:rsid w:val="00834BB2"/>
    <w:rsid w:val="00861F6D"/>
    <w:rsid w:val="008739E5"/>
    <w:rsid w:val="00893AAD"/>
    <w:rsid w:val="008A08C3"/>
    <w:rsid w:val="008A531D"/>
    <w:rsid w:val="008D645A"/>
    <w:rsid w:val="008E43CB"/>
    <w:rsid w:val="008E6F34"/>
    <w:rsid w:val="00904C06"/>
    <w:rsid w:val="00906DA2"/>
    <w:rsid w:val="0090781B"/>
    <w:rsid w:val="00994178"/>
    <w:rsid w:val="009A4AC4"/>
    <w:rsid w:val="009C7A20"/>
    <w:rsid w:val="009C7A8B"/>
    <w:rsid w:val="009E1AF5"/>
    <w:rsid w:val="009E1D48"/>
    <w:rsid w:val="009F7A52"/>
    <w:rsid w:val="00A12E9B"/>
    <w:rsid w:val="00A35EB6"/>
    <w:rsid w:val="00A62CEE"/>
    <w:rsid w:val="00A74CB5"/>
    <w:rsid w:val="00A75F2B"/>
    <w:rsid w:val="00A775BF"/>
    <w:rsid w:val="00AF2D85"/>
    <w:rsid w:val="00B10444"/>
    <w:rsid w:val="00B176AE"/>
    <w:rsid w:val="00B327D0"/>
    <w:rsid w:val="00B4177E"/>
    <w:rsid w:val="00BA21A6"/>
    <w:rsid w:val="00BC6048"/>
    <w:rsid w:val="00BF0C94"/>
    <w:rsid w:val="00C13406"/>
    <w:rsid w:val="00C808F4"/>
    <w:rsid w:val="00CA2956"/>
    <w:rsid w:val="00CA4729"/>
    <w:rsid w:val="00CC57F1"/>
    <w:rsid w:val="00CD1906"/>
    <w:rsid w:val="00D27C98"/>
    <w:rsid w:val="00D47519"/>
    <w:rsid w:val="00D54ADB"/>
    <w:rsid w:val="00D55B0B"/>
    <w:rsid w:val="00D8537D"/>
    <w:rsid w:val="00DA41DC"/>
    <w:rsid w:val="00DA6111"/>
    <w:rsid w:val="00DA703A"/>
    <w:rsid w:val="00DB2769"/>
    <w:rsid w:val="00DC24A8"/>
    <w:rsid w:val="00E110A2"/>
    <w:rsid w:val="00E12A38"/>
    <w:rsid w:val="00E35EEC"/>
    <w:rsid w:val="00E651A2"/>
    <w:rsid w:val="00E66FF9"/>
    <w:rsid w:val="00E756CC"/>
    <w:rsid w:val="00EA3867"/>
    <w:rsid w:val="00ED2A51"/>
    <w:rsid w:val="00F161AF"/>
    <w:rsid w:val="00F24DD1"/>
    <w:rsid w:val="00F25279"/>
    <w:rsid w:val="00F44385"/>
    <w:rsid w:val="00F67CCF"/>
    <w:rsid w:val="00F90B16"/>
    <w:rsid w:val="00FB1127"/>
    <w:rsid w:val="00FB42E8"/>
    <w:rsid w:val="00FC48B0"/>
    <w:rsid w:val="00FC7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5F152"/>
  <w15:chartTrackingRefBased/>
  <w15:docId w15:val="{7E005617-125A-4341-B755-A5FDF850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03A"/>
    <w:pPr>
      <w:tabs>
        <w:tab w:val="center" w:pos="4536"/>
        <w:tab w:val="right" w:pos="9072"/>
      </w:tabs>
      <w:spacing w:after="0" w:line="240" w:lineRule="auto"/>
    </w:pPr>
  </w:style>
  <w:style w:type="character" w:customStyle="1" w:styleId="En-tteCar">
    <w:name w:val="En-tête Car"/>
    <w:basedOn w:val="Policepardfaut"/>
    <w:link w:val="En-tte"/>
    <w:uiPriority w:val="99"/>
    <w:rsid w:val="00DA703A"/>
  </w:style>
  <w:style w:type="paragraph" w:styleId="Pieddepage">
    <w:name w:val="footer"/>
    <w:basedOn w:val="Normal"/>
    <w:link w:val="PieddepageCar"/>
    <w:uiPriority w:val="99"/>
    <w:unhideWhenUsed/>
    <w:rsid w:val="00DA70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03A"/>
  </w:style>
  <w:style w:type="paragraph" w:customStyle="1" w:styleId="Briefinglist1">
    <w:name w:val="Briefing list 1"/>
    <w:basedOn w:val="Normal"/>
    <w:rsid w:val="00DA703A"/>
    <w:pPr>
      <w:keepLines/>
      <w:numPr>
        <w:numId w:val="1"/>
      </w:numPr>
      <w:spacing w:after="120" w:line="240" w:lineRule="auto"/>
      <w:jc w:val="both"/>
    </w:pPr>
    <w:rPr>
      <w:rFonts w:ascii="Arial" w:eastAsia="SimSun" w:hAnsi="Arial" w:cs="Arial"/>
      <w:szCs w:val="24"/>
      <w:lang w:val="en-GB"/>
    </w:rPr>
  </w:style>
  <w:style w:type="table" w:styleId="Grilledutableau">
    <w:name w:val="Table Grid"/>
    <w:basedOn w:val="TableauNormal"/>
    <w:uiPriority w:val="39"/>
    <w:rsid w:val="00DA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irection">
    <w:name w:val="Intitulé direction"/>
    <w:basedOn w:val="En-tte"/>
    <w:next w:val="Corpsdetexte"/>
    <w:link w:val="IntituldirectionCar"/>
    <w:qFormat/>
    <w:rsid w:val="00DA703A"/>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IntituldirectionCar">
    <w:name w:val="Intitulé direction Car"/>
    <w:basedOn w:val="En-tteCar"/>
    <w:link w:val="Intituldirection"/>
    <w:rsid w:val="00DA703A"/>
    <w:rPr>
      <w:rFonts w:ascii="Arial" w:hAnsi="Arial" w:cs="Arial"/>
      <w:b/>
      <w:bCs/>
      <w:sz w:val="24"/>
      <w:szCs w:val="24"/>
      <w:lang w:val="en-US"/>
    </w:rPr>
  </w:style>
  <w:style w:type="paragraph" w:styleId="Corpsdetexte">
    <w:name w:val="Body Text"/>
    <w:basedOn w:val="Normal"/>
    <w:link w:val="CorpsdetexteCar"/>
    <w:uiPriority w:val="99"/>
    <w:semiHidden/>
    <w:unhideWhenUsed/>
    <w:rsid w:val="00DA703A"/>
    <w:pPr>
      <w:spacing w:after="120"/>
    </w:pPr>
  </w:style>
  <w:style w:type="character" w:customStyle="1" w:styleId="CorpsdetexteCar">
    <w:name w:val="Corps de texte Car"/>
    <w:basedOn w:val="Policepardfaut"/>
    <w:link w:val="Corpsdetexte"/>
    <w:uiPriority w:val="99"/>
    <w:semiHidden/>
    <w:rsid w:val="00DA703A"/>
  </w:style>
  <w:style w:type="paragraph" w:styleId="Paragraphedeliste">
    <w:name w:val="List Paragraph"/>
    <w:aliases w:val="Titre §"/>
    <w:basedOn w:val="Normal"/>
    <w:link w:val="ParagraphedelisteCar"/>
    <w:uiPriority w:val="34"/>
    <w:qFormat/>
    <w:rsid w:val="00365F02"/>
    <w:pPr>
      <w:ind w:left="720"/>
      <w:contextualSpacing/>
    </w:pPr>
  </w:style>
  <w:style w:type="character" w:styleId="Marquedecommentaire">
    <w:name w:val="annotation reference"/>
    <w:basedOn w:val="Policepardfaut"/>
    <w:uiPriority w:val="99"/>
    <w:semiHidden/>
    <w:unhideWhenUsed/>
    <w:rsid w:val="00332707"/>
    <w:rPr>
      <w:sz w:val="16"/>
      <w:szCs w:val="16"/>
    </w:rPr>
  </w:style>
  <w:style w:type="paragraph" w:styleId="Commentaire">
    <w:name w:val="annotation text"/>
    <w:basedOn w:val="Normal"/>
    <w:link w:val="CommentaireCar"/>
    <w:uiPriority w:val="99"/>
    <w:semiHidden/>
    <w:unhideWhenUsed/>
    <w:rsid w:val="00332707"/>
    <w:pPr>
      <w:spacing w:line="240" w:lineRule="auto"/>
    </w:pPr>
    <w:rPr>
      <w:sz w:val="20"/>
      <w:szCs w:val="20"/>
    </w:rPr>
  </w:style>
  <w:style w:type="character" w:customStyle="1" w:styleId="CommentaireCar">
    <w:name w:val="Commentaire Car"/>
    <w:basedOn w:val="Policepardfaut"/>
    <w:link w:val="Commentaire"/>
    <w:uiPriority w:val="99"/>
    <w:semiHidden/>
    <w:rsid w:val="00332707"/>
    <w:rPr>
      <w:sz w:val="20"/>
      <w:szCs w:val="20"/>
    </w:rPr>
  </w:style>
  <w:style w:type="paragraph" w:styleId="Objetducommentaire">
    <w:name w:val="annotation subject"/>
    <w:basedOn w:val="Commentaire"/>
    <w:next w:val="Commentaire"/>
    <w:link w:val="ObjetducommentaireCar"/>
    <w:uiPriority w:val="99"/>
    <w:semiHidden/>
    <w:unhideWhenUsed/>
    <w:rsid w:val="00332707"/>
    <w:rPr>
      <w:b/>
      <w:bCs/>
    </w:rPr>
  </w:style>
  <w:style w:type="character" w:customStyle="1" w:styleId="ObjetducommentaireCar">
    <w:name w:val="Objet du commentaire Car"/>
    <w:basedOn w:val="CommentaireCar"/>
    <w:link w:val="Objetducommentaire"/>
    <w:uiPriority w:val="99"/>
    <w:semiHidden/>
    <w:rsid w:val="00332707"/>
    <w:rPr>
      <w:b/>
      <w:bCs/>
      <w:sz w:val="20"/>
      <w:szCs w:val="20"/>
    </w:rPr>
  </w:style>
  <w:style w:type="character" w:customStyle="1" w:styleId="ParagraphedelisteCar">
    <w:name w:val="Paragraphe de liste Car"/>
    <w:aliases w:val="Titre § Car"/>
    <w:basedOn w:val="Policepardfaut"/>
    <w:link w:val="Paragraphedeliste"/>
    <w:uiPriority w:val="34"/>
    <w:locked/>
    <w:rsid w:val="009E1D48"/>
  </w:style>
  <w:style w:type="table" w:styleId="TableauGrille1Clair-Accentuation5">
    <w:name w:val="Grid Table 1 Light Accent 5"/>
    <w:basedOn w:val="TableauNormal"/>
    <w:uiPriority w:val="46"/>
    <w:rsid w:val="00597C2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2232">
      <w:bodyDiv w:val="1"/>
      <w:marLeft w:val="0"/>
      <w:marRight w:val="0"/>
      <w:marTop w:val="0"/>
      <w:marBottom w:val="0"/>
      <w:divBdr>
        <w:top w:val="none" w:sz="0" w:space="0" w:color="auto"/>
        <w:left w:val="none" w:sz="0" w:space="0" w:color="auto"/>
        <w:bottom w:val="none" w:sz="0" w:space="0" w:color="auto"/>
        <w:right w:val="none" w:sz="0" w:space="0" w:color="auto"/>
      </w:divBdr>
    </w:div>
    <w:div w:id="1150362855">
      <w:bodyDiv w:val="1"/>
      <w:marLeft w:val="0"/>
      <w:marRight w:val="0"/>
      <w:marTop w:val="0"/>
      <w:marBottom w:val="0"/>
      <w:divBdr>
        <w:top w:val="none" w:sz="0" w:space="0" w:color="auto"/>
        <w:left w:val="none" w:sz="0" w:space="0" w:color="auto"/>
        <w:bottom w:val="none" w:sz="0" w:space="0" w:color="auto"/>
        <w:right w:val="none" w:sz="0" w:space="0" w:color="auto"/>
      </w:divBdr>
    </w:div>
    <w:div w:id="1578437248">
      <w:bodyDiv w:val="1"/>
      <w:marLeft w:val="0"/>
      <w:marRight w:val="0"/>
      <w:marTop w:val="0"/>
      <w:marBottom w:val="0"/>
      <w:divBdr>
        <w:top w:val="none" w:sz="0" w:space="0" w:color="auto"/>
        <w:left w:val="none" w:sz="0" w:space="0" w:color="auto"/>
        <w:bottom w:val="none" w:sz="0" w:space="0" w:color="auto"/>
        <w:right w:val="none" w:sz="0" w:space="0" w:color="auto"/>
      </w:divBdr>
    </w:div>
    <w:div w:id="15816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msntobela\Desktop\commerce%20bilateral%20tz\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Feuil1!$B$2</c:f>
              <c:strCache>
                <c:ptCount val="1"/>
                <c:pt idx="0">
                  <c:v>Imports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Feuil1!$A$3:$A$14</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Feuil1!$B$3:$B$14</c:f>
              <c:numCache>
                <c:formatCode>General</c:formatCode>
                <c:ptCount val="12"/>
                <c:pt idx="0">
                  <c:v>12</c:v>
                </c:pt>
                <c:pt idx="1">
                  <c:v>13</c:v>
                </c:pt>
                <c:pt idx="2">
                  <c:v>14</c:v>
                </c:pt>
                <c:pt idx="3">
                  <c:v>14</c:v>
                </c:pt>
                <c:pt idx="4">
                  <c:v>11</c:v>
                </c:pt>
                <c:pt idx="5">
                  <c:v>9</c:v>
                </c:pt>
                <c:pt idx="6">
                  <c:v>9</c:v>
                </c:pt>
                <c:pt idx="7">
                  <c:v>10</c:v>
                </c:pt>
                <c:pt idx="8">
                  <c:v>10</c:v>
                </c:pt>
                <c:pt idx="9">
                  <c:v>9</c:v>
                </c:pt>
                <c:pt idx="10">
                  <c:v>12</c:v>
                </c:pt>
                <c:pt idx="11">
                  <c:v>14</c:v>
                </c:pt>
              </c:numCache>
            </c:numRef>
          </c:val>
          <c:extLst>
            <c:ext xmlns:c16="http://schemas.microsoft.com/office/drawing/2014/chart" uri="{C3380CC4-5D6E-409C-BE32-E72D297353CC}">
              <c16:uniqueId val="{00000000-4892-4772-BC75-EBCCDDC4E668}"/>
            </c:ext>
          </c:extLst>
        </c:ser>
        <c:ser>
          <c:idx val="1"/>
          <c:order val="1"/>
          <c:tx>
            <c:strRef>
              <c:f>Feuil1!$C$2</c:f>
              <c:strCache>
                <c:ptCount val="1"/>
                <c:pt idx="0">
                  <c:v>Exports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Feuil1!$A$3:$A$14</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Feuil1!$C$3:$C$14</c:f>
              <c:numCache>
                <c:formatCode>General</c:formatCode>
                <c:ptCount val="12"/>
                <c:pt idx="0">
                  <c:v>7</c:v>
                </c:pt>
                <c:pt idx="1">
                  <c:v>8</c:v>
                </c:pt>
                <c:pt idx="2">
                  <c:v>8</c:v>
                </c:pt>
                <c:pt idx="3">
                  <c:v>8</c:v>
                </c:pt>
                <c:pt idx="4">
                  <c:v>8</c:v>
                </c:pt>
                <c:pt idx="5">
                  <c:v>8</c:v>
                </c:pt>
                <c:pt idx="6">
                  <c:v>8</c:v>
                </c:pt>
                <c:pt idx="7">
                  <c:v>8</c:v>
                </c:pt>
                <c:pt idx="8">
                  <c:v>9</c:v>
                </c:pt>
                <c:pt idx="9">
                  <c:v>8</c:v>
                </c:pt>
                <c:pt idx="10">
                  <c:v>10</c:v>
                </c:pt>
                <c:pt idx="11">
                  <c:v>7</c:v>
                </c:pt>
              </c:numCache>
            </c:numRef>
          </c:val>
          <c:extLst>
            <c:ext xmlns:c16="http://schemas.microsoft.com/office/drawing/2014/chart" uri="{C3380CC4-5D6E-409C-BE32-E72D297353CC}">
              <c16:uniqueId val="{00000001-4892-4772-BC75-EBCCDDC4E668}"/>
            </c:ext>
          </c:extLst>
        </c:ser>
        <c:dLbls>
          <c:showLegendKey val="0"/>
          <c:showVal val="1"/>
          <c:showCatName val="0"/>
          <c:showSerName val="0"/>
          <c:showPercent val="0"/>
          <c:showBubbleSize val="0"/>
        </c:dLbls>
        <c:gapWidth val="150"/>
        <c:overlap val="100"/>
        <c:axId val="2055202175"/>
        <c:axId val="2055210079"/>
      </c:barChart>
      <c:lineChart>
        <c:grouping val="stacked"/>
        <c:varyColors val="0"/>
        <c:ser>
          <c:idx val="2"/>
          <c:order val="2"/>
          <c:tx>
            <c:strRef>
              <c:f>Feuil1!$D$2</c:f>
              <c:strCache>
                <c:ptCount val="1"/>
                <c:pt idx="0">
                  <c:v>Total échangé</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Feuil1!$A$3:$A$14</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Feuil1!$D$3:$D$14</c:f>
              <c:numCache>
                <c:formatCode>General</c:formatCode>
                <c:ptCount val="12"/>
                <c:pt idx="0">
                  <c:v>19</c:v>
                </c:pt>
                <c:pt idx="1">
                  <c:v>21</c:v>
                </c:pt>
                <c:pt idx="2">
                  <c:v>22</c:v>
                </c:pt>
                <c:pt idx="3">
                  <c:v>22</c:v>
                </c:pt>
                <c:pt idx="4">
                  <c:v>19</c:v>
                </c:pt>
                <c:pt idx="5">
                  <c:v>17</c:v>
                </c:pt>
                <c:pt idx="6">
                  <c:v>17</c:v>
                </c:pt>
                <c:pt idx="7">
                  <c:v>18</c:v>
                </c:pt>
                <c:pt idx="8">
                  <c:v>19</c:v>
                </c:pt>
                <c:pt idx="9">
                  <c:v>17</c:v>
                </c:pt>
                <c:pt idx="10">
                  <c:v>22</c:v>
                </c:pt>
                <c:pt idx="11">
                  <c:v>21</c:v>
                </c:pt>
              </c:numCache>
            </c:numRef>
          </c:val>
          <c:smooth val="0"/>
          <c:extLst>
            <c:ext xmlns:c16="http://schemas.microsoft.com/office/drawing/2014/chart" uri="{C3380CC4-5D6E-409C-BE32-E72D297353CC}">
              <c16:uniqueId val="{00000002-4892-4772-BC75-EBCCDDC4E668}"/>
            </c:ext>
          </c:extLst>
        </c:ser>
        <c:dLbls>
          <c:showLegendKey val="0"/>
          <c:showVal val="1"/>
          <c:showCatName val="0"/>
          <c:showSerName val="0"/>
          <c:showPercent val="0"/>
          <c:showBubbleSize val="0"/>
        </c:dLbls>
        <c:marker val="1"/>
        <c:smooth val="0"/>
        <c:axId val="2055202175"/>
        <c:axId val="2055210079"/>
      </c:lineChart>
      <c:catAx>
        <c:axId val="2055202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55210079"/>
        <c:crosses val="autoZero"/>
        <c:auto val="1"/>
        <c:lblAlgn val="ctr"/>
        <c:lblOffset val="100"/>
        <c:noMultiLvlLbl val="0"/>
      </c:catAx>
      <c:valAx>
        <c:axId val="2055210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solidFill>
              <a:schemeClr val="accent1"/>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55202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4DA1-17EF-458F-9F72-415E4333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1752</Words>
  <Characters>9638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VERMOREL Romy</dc:creator>
  <cp:keywords/>
  <dc:description/>
  <cp:lastModifiedBy>NTOBELA Mashaka Sabini</cp:lastModifiedBy>
  <cp:revision>2</cp:revision>
  <dcterms:created xsi:type="dcterms:W3CDTF">2023-08-18T05:16:00Z</dcterms:created>
  <dcterms:modified xsi:type="dcterms:W3CDTF">2023-08-18T05:16:00Z</dcterms:modified>
</cp:coreProperties>
</file>