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7C0C" w14:textId="4D5924D8" w:rsidR="00601455" w:rsidRDefault="00601455" w:rsidP="00D00ACE">
      <w:pPr>
        <w:spacing w:before="120" w:after="0"/>
        <w:ind w:left="-284"/>
        <w:jc w:val="right"/>
        <w:rPr>
          <w:rFonts w:ascii="Segoe UI" w:hAnsi="Segoe UI" w:cs="Segoe UI"/>
          <w:bCs/>
          <w:sz w:val="18"/>
          <w:szCs w:val="18"/>
        </w:rPr>
      </w:pPr>
    </w:p>
    <w:p w14:paraId="18C000C1" w14:textId="41F41C2C" w:rsidR="009854A7" w:rsidRPr="00601455" w:rsidRDefault="009854A7" w:rsidP="00601455">
      <w:pPr>
        <w:jc w:val="center"/>
        <w:rPr>
          <w:rFonts w:ascii="Segoe UI" w:hAnsi="Segoe UI" w:cs="Segoe UI"/>
          <w:b/>
          <w:sz w:val="18"/>
          <w:szCs w:val="18"/>
        </w:rPr>
      </w:pPr>
      <w:r w:rsidRPr="009854A7">
        <w:rPr>
          <w:rFonts w:ascii="Segoe UI" w:hAnsi="Segoe UI" w:cs="Segoe UI"/>
          <w:bCs/>
          <w:color w:val="000091" w:themeColor="text1"/>
          <w:sz w:val="24"/>
          <w:szCs w:val="28"/>
        </w:rPr>
        <w:t xml:space="preserve">ANNEXE </w:t>
      </w:r>
      <w:r w:rsidR="0069000C" w:rsidRPr="0069000C">
        <w:rPr>
          <w:rFonts w:ascii="Segoe UI" w:hAnsi="Segoe UI" w:cs="Segoe UI"/>
          <w:bCs/>
          <w:color w:val="000091" w:themeColor="text1"/>
          <w:sz w:val="24"/>
          <w:szCs w:val="28"/>
        </w:rPr>
        <w:t>STATISTIQUE</w:t>
      </w:r>
      <w:r w:rsidR="0069000C">
        <w:rPr>
          <w:rStyle w:val="Appelnotedebasdep"/>
          <w:rFonts w:ascii="Segoe UI" w:hAnsi="Segoe UI" w:cs="Segoe UI"/>
          <w:bCs/>
          <w:color w:val="000091" w:themeColor="text1"/>
          <w:sz w:val="24"/>
          <w:szCs w:val="28"/>
        </w:rPr>
        <w:footnoteReference w:id="1"/>
      </w:r>
    </w:p>
    <w:p w14:paraId="27800294" w14:textId="3FF36008" w:rsidR="0069000C" w:rsidRDefault="0069000C" w:rsidP="00AE5899">
      <w:pPr>
        <w:pStyle w:val="Textecourant"/>
        <w:jc w:val="center"/>
      </w:pPr>
      <w:r>
        <w:rPr>
          <w:noProof/>
        </w:rPr>
        <w:drawing>
          <wp:inline distT="0" distB="0" distL="0" distR="0" wp14:anchorId="694CBE00" wp14:editId="02416F65">
            <wp:extent cx="5734050" cy="3667125"/>
            <wp:effectExtent l="0" t="0" r="0" b="9525"/>
            <wp:docPr id="5" name="Graphique 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B7DF55" w14:textId="79D68125" w:rsidR="0069000C" w:rsidRDefault="009C4C09" w:rsidP="0069000C">
      <w:pPr>
        <w:pStyle w:val="Textecourant"/>
        <w:jc w:val="center"/>
      </w:pPr>
      <w:r w:rsidRPr="0069000C">
        <w:rPr>
          <w:noProof/>
        </w:rPr>
        <w:drawing>
          <wp:anchor distT="0" distB="0" distL="114300" distR="114300" simplePos="0" relativeHeight="251666432" behindDoc="1" locked="0" layoutInCell="1" allowOverlap="1" wp14:anchorId="3EBC9186" wp14:editId="55D05883">
            <wp:simplePos x="0" y="0"/>
            <wp:positionH relativeFrom="margin">
              <wp:posOffset>2922463</wp:posOffset>
            </wp:positionH>
            <wp:positionV relativeFrom="paragraph">
              <wp:posOffset>189865</wp:posOffset>
            </wp:positionV>
            <wp:extent cx="2846705" cy="4545965"/>
            <wp:effectExtent l="0" t="0" r="10795" b="6985"/>
            <wp:wrapTight wrapText="bothSides">
              <wp:wrapPolygon edited="0">
                <wp:start x="0" y="0"/>
                <wp:lineTo x="0" y="21543"/>
                <wp:lineTo x="21537" y="21543"/>
                <wp:lineTo x="21537" y="0"/>
                <wp:lineTo x="0" y="0"/>
              </wp:wrapPolygon>
            </wp:wrapTight>
            <wp:docPr id="15" name="Graphique 15">
              <a:extLst xmlns:a="http://schemas.openxmlformats.org/drawingml/2006/main">
                <a:ext uri="{FF2B5EF4-FFF2-40B4-BE49-F238E27FC236}">
                  <a16:creationId xmlns:a16="http://schemas.microsoft.com/office/drawing/2014/main" id="{AF08109E-0BD7-4EA1-AB15-0CEEEFDEF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69000C">
        <w:rPr>
          <w:noProof/>
        </w:rPr>
        <w:drawing>
          <wp:anchor distT="0" distB="0" distL="114300" distR="114300" simplePos="0" relativeHeight="251665408" behindDoc="1" locked="0" layoutInCell="1" allowOverlap="1" wp14:anchorId="2179DC01" wp14:editId="4610033E">
            <wp:simplePos x="0" y="0"/>
            <wp:positionH relativeFrom="margin">
              <wp:posOffset>-32385</wp:posOffset>
            </wp:positionH>
            <wp:positionV relativeFrom="paragraph">
              <wp:posOffset>180340</wp:posOffset>
            </wp:positionV>
            <wp:extent cx="2898140" cy="4553585"/>
            <wp:effectExtent l="0" t="0" r="16510" b="18415"/>
            <wp:wrapTight wrapText="bothSides">
              <wp:wrapPolygon edited="0">
                <wp:start x="0" y="0"/>
                <wp:lineTo x="0" y="21597"/>
                <wp:lineTo x="21581" y="21597"/>
                <wp:lineTo x="21581" y="0"/>
                <wp:lineTo x="0" y="0"/>
              </wp:wrapPolygon>
            </wp:wrapTight>
            <wp:docPr id="14" name="Graphique 14">
              <a:extLst xmlns:a="http://schemas.openxmlformats.org/drawingml/2006/main">
                <a:ext uri="{FF2B5EF4-FFF2-40B4-BE49-F238E27FC236}">
                  <a16:creationId xmlns:a16="http://schemas.microsoft.com/office/drawing/2014/main" id="{1852C6F5-CAF4-4036-A646-0DF6BEC92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4438991C" w14:textId="3FE5D95C" w:rsidR="0069000C" w:rsidRDefault="0069000C">
      <w:pPr>
        <w:rPr>
          <w:rFonts w:ascii="Segoe UI" w:hAnsi="Segoe UI" w:cs="Segoe UI"/>
          <w:sz w:val="20"/>
          <w:szCs w:val="20"/>
        </w:rPr>
      </w:pPr>
      <w:r>
        <w:br w:type="page"/>
      </w:r>
    </w:p>
    <w:p w14:paraId="2244AFEA" w14:textId="4CE9A577" w:rsidR="00756A18" w:rsidRPr="009854A7" w:rsidRDefault="00AE5899" w:rsidP="00AE5899">
      <w:pPr>
        <w:pStyle w:val="Textecourant"/>
        <w:jc w:val="center"/>
      </w:pPr>
      <w:r w:rsidRPr="00AE5899">
        <w:rPr>
          <w:noProof/>
        </w:rPr>
        <w:lastRenderedPageBreak/>
        <w:drawing>
          <wp:anchor distT="0" distB="0" distL="114300" distR="114300" simplePos="0" relativeHeight="251670528" behindDoc="1" locked="0" layoutInCell="1" allowOverlap="1" wp14:anchorId="64D1BB96" wp14:editId="172E1A0E">
            <wp:simplePos x="0" y="0"/>
            <wp:positionH relativeFrom="margin">
              <wp:posOffset>0</wp:posOffset>
            </wp:positionH>
            <wp:positionV relativeFrom="paragraph">
              <wp:posOffset>166370</wp:posOffset>
            </wp:positionV>
            <wp:extent cx="2880995" cy="5632450"/>
            <wp:effectExtent l="0" t="0" r="14605" b="6350"/>
            <wp:wrapTight wrapText="bothSides">
              <wp:wrapPolygon edited="0">
                <wp:start x="0" y="0"/>
                <wp:lineTo x="0" y="21551"/>
                <wp:lineTo x="21567" y="21551"/>
                <wp:lineTo x="21567" y="0"/>
                <wp:lineTo x="0" y="0"/>
              </wp:wrapPolygon>
            </wp:wrapTight>
            <wp:docPr id="16" name="Graphique 16">
              <a:extLst xmlns:a="http://schemas.openxmlformats.org/drawingml/2006/main">
                <a:ext uri="{FF2B5EF4-FFF2-40B4-BE49-F238E27FC236}">
                  <a16:creationId xmlns:a16="http://schemas.microsoft.com/office/drawing/2014/main" id="{07CCE1D3-EB25-4F33-9A75-1F712A4A1B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AE5899">
        <w:rPr>
          <w:noProof/>
        </w:rPr>
        <w:drawing>
          <wp:anchor distT="0" distB="0" distL="114300" distR="114300" simplePos="0" relativeHeight="251671552" behindDoc="1" locked="0" layoutInCell="1" allowOverlap="1" wp14:anchorId="3EE4AEB8" wp14:editId="4310BE66">
            <wp:simplePos x="0" y="0"/>
            <wp:positionH relativeFrom="margin">
              <wp:posOffset>2992755</wp:posOffset>
            </wp:positionH>
            <wp:positionV relativeFrom="paragraph">
              <wp:posOffset>166370</wp:posOffset>
            </wp:positionV>
            <wp:extent cx="3088005" cy="5632450"/>
            <wp:effectExtent l="0" t="0" r="17145" b="6350"/>
            <wp:wrapTight wrapText="bothSides">
              <wp:wrapPolygon edited="0">
                <wp:start x="0" y="0"/>
                <wp:lineTo x="0" y="21551"/>
                <wp:lineTo x="21587" y="21551"/>
                <wp:lineTo x="21587" y="0"/>
                <wp:lineTo x="0" y="0"/>
              </wp:wrapPolygon>
            </wp:wrapTight>
            <wp:docPr id="18" name="Graphique 18">
              <a:extLst xmlns:a="http://schemas.openxmlformats.org/drawingml/2006/main">
                <a:ext uri="{FF2B5EF4-FFF2-40B4-BE49-F238E27FC236}">
                  <a16:creationId xmlns:a16="http://schemas.microsoft.com/office/drawing/2014/main" id="{A31C0E3B-8FD6-404A-BC94-02291D6CC9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4EFBFE1" w14:textId="24076D9A" w:rsidR="009854A7" w:rsidRPr="004A691D" w:rsidRDefault="009854A7" w:rsidP="0069000C">
      <w:pPr>
        <w:jc w:val="center"/>
        <w:rPr>
          <w:rFonts w:ascii="Segoe UI" w:hAnsi="Segoe UI" w:cs="Segoe UI"/>
          <w:bCs/>
          <w:sz w:val="20"/>
        </w:rPr>
      </w:pPr>
    </w:p>
    <w:sectPr w:rsidR="009854A7" w:rsidRPr="004A691D"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B700" w14:textId="77777777" w:rsidR="002B3B33" w:rsidRDefault="002B3B33" w:rsidP="001C2361">
      <w:pPr>
        <w:spacing w:after="0" w:line="240" w:lineRule="auto"/>
      </w:pPr>
      <w:r>
        <w:separator/>
      </w:r>
    </w:p>
  </w:endnote>
  <w:endnote w:type="continuationSeparator" w:id="0">
    <w:p w14:paraId="293EF693" w14:textId="77777777" w:rsidR="002B3B33" w:rsidRDefault="002B3B33"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A0000007" w:usb1="00000000" w:usb2="00010000" w:usb3="00000000" w:csb0="0000011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oolBoran">
    <w:panose1 w:val="020B0100010101010101"/>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311E" w14:textId="77777777" w:rsidR="002B3B33" w:rsidRDefault="002B3B33" w:rsidP="001C2361">
      <w:pPr>
        <w:spacing w:after="0" w:line="240" w:lineRule="auto"/>
      </w:pPr>
      <w:r>
        <w:separator/>
      </w:r>
    </w:p>
  </w:footnote>
  <w:footnote w:type="continuationSeparator" w:id="0">
    <w:p w14:paraId="2FEC86D9" w14:textId="77777777" w:rsidR="002B3B33" w:rsidRDefault="002B3B33" w:rsidP="001C2361">
      <w:pPr>
        <w:spacing w:after="0" w:line="240" w:lineRule="auto"/>
      </w:pPr>
      <w:r>
        <w:continuationSeparator/>
      </w:r>
    </w:p>
  </w:footnote>
  <w:footnote w:id="1">
    <w:p w14:paraId="1EFD4454" w14:textId="2109C108" w:rsidR="0069000C" w:rsidRDefault="0069000C">
      <w:pPr>
        <w:pStyle w:val="Notedebasdepage"/>
      </w:pPr>
      <w:r>
        <w:rPr>
          <w:rStyle w:val="Appelnotedebasdep"/>
        </w:rPr>
        <w:footnoteRef/>
      </w:r>
      <w:r>
        <w:t xml:space="preserve"> </w:t>
      </w:r>
      <w:r w:rsidRPr="0069000C">
        <w:t>Douane cambodgienne et calcul du SE (hors pierres et métaux précieux)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A0245C1"/>
    <w:multiLevelType w:val="hybridMultilevel"/>
    <w:tmpl w:val="CF7EC674"/>
    <w:lvl w:ilvl="0" w:tplc="FD820E3E">
      <w:start w:val="1"/>
      <w:numFmt w:val="lowerLetter"/>
      <w:lvlText w:val="%1)"/>
      <w:lvlJc w:val="left"/>
      <w:pPr>
        <w:ind w:left="436" w:hanging="360"/>
      </w:pPr>
      <w:rPr>
        <w:b/>
        <w:bCs/>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6"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553FFA"/>
    <w:multiLevelType w:val="hybridMultilevel"/>
    <w:tmpl w:val="888E1026"/>
    <w:lvl w:ilvl="0" w:tplc="040C0017">
      <w:start w:val="1"/>
      <w:numFmt w:val="lowerLetter"/>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1"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6"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6"/>
  </w:num>
  <w:num w:numId="6">
    <w:abstractNumId w:val="14"/>
  </w:num>
  <w:num w:numId="7">
    <w:abstractNumId w:val="4"/>
  </w:num>
  <w:num w:numId="8">
    <w:abstractNumId w:val="3"/>
  </w:num>
  <w:num w:numId="9">
    <w:abstractNumId w:val="1"/>
  </w:num>
  <w:num w:numId="10">
    <w:abstractNumId w:val="9"/>
  </w:num>
  <w:num w:numId="11">
    <w:abstractNumId w:val="6"/>
  </w:num>
  <w:num w:numId="12">
    <w:abstractNumId w:val="0"/>
  </w:num>
  <w:num w:numId="13">
    <w:abstractNumId w:val="2"/>
  </w:num>
  <w:num w:numId="14">
    <w:abstractNumId w:val="12"/>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F8"/>
    <w:rsid w:val="00000B3B"/>
    <w:rsid w:val="000064C1"/>
    <w:rsid w:val="00006D9E"/>
    <w:rsid w:val="00006E50"/>
    <w:rsid w:val="00020EE2"/>
    <w:rsid w:val="00022880"/>
    <w:rsid w:val="00022F44"/>
    <w:rsid w:val="00031533"/>
    <w:rsid w:val="00045CF8"/>
    <w:rsid w:val="00050225"/>
    <w:rsid w:val="000534EC"/>
    <w:rsid w:val="00064115"/>
    <w:rsid w:val="000651D5"/>
    <w:rsid w:val="000676F2"/>
    <w:rsid w:val="00071F97"/>
    <w:rsid w:val="000745EB"/>
    <w:rsid w:val="000763B3"/>
    <w:rsid w:val="00080037"/>
    <w:rsid w:val="00097777"/>
    <w:rsid w:val="000A1918"/>
    <w:rsid w:val="000C3AF2"/>
    <w:rsid w:val="000E1E2F"/>
    <w:rsid w:val="000E7793"/>
    <w:rsid w:val="000F2C4E"/>
    <w:rsid w:val="00100569"/>
    <w:rsid w:val="00100C95"/>
    <w:rsid w:val="001105E1"/>
    <w:rsid w:val="001109EF"/>
    <w:rsid w:val="00111C32"/>
    <w:rsid w:val="0012430D"/>
    <w:rsid w:val="001259CA"/>
    <w:rsid w:val="00134DE8"/>
    <w:rsid w:val="001360A8"/>
    <w:rsid w:val="00145A38"/>
    <w:rsid w:val="00147754"/>
    <w:rsid w:val="001505C0"/>
    <w:rsid w:val="00151C02"/>
    <w:rsid w:val="00152C27"/>
    <w:rsid w:val="00175E92"/>
    <w:rsid w:val="00184135"/>
    <w:rsid w:val="0019173B"/>
    <w:rsid w:val="0019280B"/>
    <w:rsid w:val="001A1A43"/>
    <w:rsid w:val="001A1CD5"/>
    <w:rsid w:val="001A5A37"/>
    <w:rsid w:val="001B1CF0"/>
    <w:rsid w:val="001B45D6"/>
    <w:rsid w:val="001C100F"/>
    <w:rsid w:val="001C2361"/>
    <w:rsid w:val="001E4D67"/>
    <w:rsid w:val="001F235A"/>
    <w:rsid w:val="001F243E"/>
    <w:rsid w:val="001F2D7C"/>
    <w:rsid w:val="001F6FD4"/>
    <w:rsid w:val="00223554"/>
    <w:rsid w:val="00225798"/>
    <w:rsid w:val="00246C65"/>
    <w:rsid w:val="00250F27"/>
    <w:rsid w:val="002550BB"/>
    <w:rsid w:val="00255F30"/>
    <w:rsid w:val="00257E48"/>
    <w:rsid w:val="002762C9"/>
    <w:rsid w:val="00281BCD"/>
    <w:rsid w:val="002B3B33"/>
    <w:rsid w:val="002B5DDF"/>
    <w:rsid w:val="002D13A2"/>
    <w:rsid w:val="002D4C04"/>
    <w:rsid w:val="002E6890"/>
    <w:rsid w:val="002E7383"/>
    <w:rsid w:val="002F210F"/>
    <w:rsid w:val="0030017B"/>
    <w:rsid w:val="00301021"/>
    <w:rsid w:val="0030148A"/>
    <w:rsid w:val="00317870"/>
    <w:rsid w:val="00323A4A"/>
    <w:rsid w:val="003257BD"/>
    <w:rsid w:val="0033036F"/>
    <w:rsid w:val="00330428"/>
    <w:rsid w:val="00332310"/>
    <w:rsid w:val="003339CE"/>
    <w:rsid w:val="003407BF"/>
    <w:rsid w:val="00341E94"/>
    <w:rsid w:val="00341EC1"/>
    <w:rsid w:val="00344131"/>
    <w:rsid w:val="00347F9E"/>
    <w:rsid w:val="00351E1C"/>
    <w:rsid w:val="00361AC2"/>
    <w:rsid w:val="00377143"/>
    <w:rsid w:val="00377431"/>
    <w:rsid w:val="003847EC"/>
    <w:rsid w:val="003A1D94"/>
    <w:rsid w:val="003A7EB8"/>
    <w:rsid w:val="003B1A22"/>
    <w:rsid w:val="003B33D3"/>
    <w:rsid w:val="003C7DAF"/>
    <w:rsid w:val="003D2AD3"/>
    <w:rsid w:val="003D5550"/>
    <w:rsid w:val="003D6537"/>
    <w:rsid w:val="0040330E"/>
    <w:rsid w:val="00406D60"/>
    <w:rsid w:val="004105F7"/>
    <w:rsid w:val="00415F39"/>
    <w:rsid w:val="00422654"/>
    <w:rsid w:val="004311AF"/>
    <w:rsid w:val="004372C1"/>
    <w:rsid w:val="00450D73"/>
    <w:rsid w:val="00452C51"/>
    <w:rsid w:val="00457B18"/>
    <w:rsid w:val="00461E62"/>
    <w:rsid w:val="00463378"/>
    <w:rsid w:val="004716CD"/>
    <w:rsid w:val="00471702"/>
    <w:rsid w:val="00472C6F"/>
    <w:rsid w:val="004908E5"/>
    <w:rsid w:val="00490B3C"/>
    <w:rsid w:val="00496D10"/>
    <w:rsid w:val="004A28DB"/>
    <w:rsid w:val="004C3273"/>
    <w:rsid w:val="004D444C"/>
    <w:rsid w:val="004D7C76"/>
    <w:rsid w:val="004E09DF"/>
    <w:rsid w:val="004E6C1A"/>
    <w:rsid w:val="004E6DB3"/>
    <w:rsid w:val="004E7972"/>
    <w:rsid w:val="004F0F6C"/>
    <w:rsid w:val="004F211B"/>
    <w:rsid w:val="005077FB"/>
    <w:rsid w:val="005249C9"/>
    <w:rsid w:val="00532CDF"/>
    <w:rsid w:val="00532CE3"/>
    <w:rsid w:val="00533C10"/>
    <w:rsid w:val="00533C43"/>
    <w:rsid w:val="00534EB1"/>
    <w:rsid w:val="00541AB4"/>
    <w:rsid w:val="00543CA9"/>
    <w:rsid w:val="00545FE6"/>
    <w:rsid w:val="00557E89"/>
    <w:rsid w:val="00561CC4"/>
    <w:rsid w:val="00563247"/>
    <w:rsid w:val="00570BE3"/>
    <w:rsid w:val="00570D3F"/>
    <w:rsid w:val="00575F99"/>
    <w:rsid w:val="005806A2"/>
    <w:rsid w:val="0058126C"/>
    <w:rsid w:val="00584799"/>
    <w:rsid w:val="00590894"/>
    <w:rsid w:val="00590E6D"/>
    <w:rsid w:val="00591EEF"/>
    <w:rsid w:val="0059242E"/>
    <w:rsid w:val="00595003"/>
    <w:rsid w:val="005A1ECF"/>
    <w:rsid w:val="005A5D69"/>
    <w:rsid w:val="005B28D9"/>
    <w:rsid w:val="005B3D40"/>
    <w:rsid w:val="005B656C"/>
    <w:rsid w:val="005E3BDD"/>
    <w:rsid w:val="005E6FED"/>
    <w:rsid w:val="005F3966"/>
    <w:rsid w:val="005F6235"/>
    <w:rsid w:val="00601455"/>
    <w:rsid w:val="00610942"/>
    <w:rsid w:val="00616EE2"/>
    <w:rsid w:val="00627753"/>
    <w:rsid w:val="00632692"/>
    <w:rsid w:val="00633C8B"/>
    <w:rsid w:val="00641868"/>
    <w:rsid w:val="006477A2"/>
    <w:rsid w:val="0065299E"/>
    <w:rsid w:val="006600F3"/>
    <w:rsid w:val="00686A37"/>
    <w:rsid w:val="0069000C"/>
    <w:rsid w:val="006A0293"/>
    <w:rsid w:val="006A20F0"/>
    <w:rsid w:val="006A3795"/>
    <w:rsid w:val="006B4AE0"/>
    <w:rsid w:val="006B5511"/>
    <w:rsid w:val="006C47B6"/>
    <w:rsid w:val="006D209E"/>
    <w:rsid w:val="006D4A49"/>
    <w:rsid w:val="006D4D83"/>
    <w:rsid w:val="006E40BB"/>
    <w:rsid w:val="006E6805"/>
    <w:rsid w:val="006E6FA7"/>
    <w:rsid w:val="006F4CCE"/>
    <w:rsid w:val="006F6043"/>
    <w:rsid w:val="00706D2B"/>
    <w:rsid w:val="00712C93"/>
    <w:rsid w:val="00713D95"/>
    <w:rsid w:val="007209E2"/>
    <w:rsid w:val="007241D4"/>
    <w:rsid w:val="00727D83"/>
    <w:rsid w:val="0073377D"/>
    <w:rsid w:val="00733B08"/>
    <w:rsid w:val="00733CCE"/>
    <w:rsid w:val="00743DD2"/>
    <w:rsid w:val="00745853"/>
    <w:rsid w:val="00754E7E"/>
    <w:rsid w:val="00756A18"/>
    <w:rsid w:val="0077520D"/>
    <w:rsid w:val="00776C9A"/>
    <w:rsid w:val="00777884"/>
    <w:rsid w:val="00781BFC"/>
    <w:rsid w:val="0078229D"/>
    <w:rsid w:val="007855F6"/>
    <w:rsid w:val="00786241"/>
    <w:rsid w:val="00787921"/>
    <w:rsid w:val="00791423"/>
    <w:rsid w:val="007952D4"/>
    <w:rsid w:val="00797604"/>
    <w:rsid w:val="007A352F"/>
    <w:rsid w:val="007B0159"/>
    <w:rsid w:val="007B4BC5"/>
    <w:rsid w:val="007B74A6"/>
    <w:rsid w:val="007C3111"/>
    <w:rsid w:val="007E456F"/>
    <w:rsid w:val="007E6D56"/>
    <w:rsid w:val="007F4001"/>
    <w:rsid w:val="007F55EB"/>
    <w:rsid w:val="007F6278"/>
    <w:rsid w:val="007F632E"/>
    <w:rsid w:val="008029D3"/>
    <w:rsid w:val="008066F5"/>
    <w:rsid w:val="00816CD2"/>
    <w:rsid w:val="00834BD6"/>
    <w:rsid w:val="00847CE8"/>
    <w:rsid w:val="008513A9"/>
    <w:rsid w:val="00872358"/>
    <w:rsid w:val="00877BF1"/>
    <w:rsid w:val="0088232B"/>
    <w:rsid w:val="00890E59"/>
    <w:rsid w:val="008918AF"/>
    <w:rsid w:val="008924BF"/>
    <w:rsid w:val="008A299F"/>
    <w:rsid w:val="008A3AD5"/>
    <w:rsid w:val="008B697B"/>
    <w:rsid w:val="008E048F"/>
    <w:rsid w:val="008E1707"/>
    <w:rsid w:val="008E3942"/>
    <w:rsid w:val="008F7A1E"/>
    <w:rsid w:val="00920915"/>
    <w:rsid w:val="009210BC"/>
    <w:rsid w:val="009233E1"/>
    <w:rsid w:val="00924ECB"/>
    <w:rsid w:val="0092634F"/>
    <w:rsid w:val="00941B1F"/>
    <w:rsid w:val="00952A36"/>
    <w:rsid w:val="00957E6E"/>
    <w:rsid w:val="00965841"/>
    <w:rsid w:val="0096625D"/>
    <w:rsid w:val="00971B84"/>
    <w:rsid w:val="009770F2"/>
    <w:rsid w:val="00981726"/>
    <w:rsid w:val="00985384"/>
    <w:rsid w:val="009854A7"/>
    <w:rsid w:val="00985A53"/>
    <w:rsid w:val="009A5CB7"/>
    <w:rsid w:val="009B7F35"/>
    <w:rsid w:val="009C4C09"/>
    <w:rsid w:val="009D65B6"/>
    <w:rsid w:val="009F118B"/>
    <w:rsid w:val="00A0197D"/>
    <w:rsid w:val="00A073CB"/>
    <w:rsid w:val="00A0743B"/>
    <w:rsid w:val="00A164E0"/>
    <w:rsid w:val="00A16E6F"/>
    <w:rsid w:val="00A2007D"/>
    <w:rsid w:val="00A233D7"/>
    <w:rsid w:val="00A27EA0"/>
    <w:rsid w:val="00A35142"/>
    <w:rsid w:val="00A413F3"/>
    <w:rsid w:val="00A55F02"/>
    <w:rsid w:val="00A904D9"/>
    <w:rsid w:val="00A92617"/>
    <w:rsid w:val="00AA020A"/>
    <w:rsid w:val="00AA2761"/>
    <w:rsid w:val="00AA5DA2"/>
    <w:rsid w:val="00AA684E"/>
    <w:rsid w:val="00AB3252"/>
    <w:rsid w:val="00AB48A8"/>
    <w:rsid w:val="00AC17E1"/>
    <w:rsid w:val="00AC64FF"/>
    <w:rsid w:val="00AE00C8"/>
    <w:rsid w:val="00AE5899"/>
    <w:rsid w:val="00B02AE3"/>
    <w:rsid w:val="00B16C2B"/>
    <w:rsid w:val="00B30489"/>
    <w:rsid w:val="00B3167C"/>
    <w:rsid w:val="00B343C4"/>
    <w:rsid w:val="00B454D0"/>
    <w:rsid w:val="00B55245"/>
    <w:rsid w:val="00B63BBD"/>
    <w:rsid w:val="00B6555F"/>
    <w:rsid w:val="00B81312"/>
    <w:rsid w:val="00B846AF"/>
    <w:rsid w:val="00B95CDB"/>
    <w:rsid w:val="00B97F57"/>
    <w:rsid w:val="00BA5EF8"/>
    <w:rsid w:val="00BA7283"/>
    <w:rsid w:val="00BB069D"/>
    <w:rsid w:val="00BB12C7"/>
    <w:rsid w:val="00BD2BCF"/>
    <w:rsid w:val="00BD5762"/>
    <w:rsid w:val="00BE7CCA"/>
    <w:rsid w:val="00BF4E9B"/>
    <w:rsid w:val="00C17508"/>
    <w:rsid w:val="00C264C8"/>
    <w:rsid w:val="00C26A1B"/>
    <w:rsid w:val="00C325F2"/>
    <w:rsid w:val="00C34A5E"/>
    <w:rsid w:val="00C3555F"/>
    <w:rsid w:val="00C40A91"/>
    <w:rsid w:val="00C41E6D"/>
    <w:rsid w:val="00C42AD3"/>
    <w:rsid w:val="00C61838"/>
    <w:rsid w:val="00C9503E"/>
    <w:rsid w:val="00CA0084"/>
    <w:rsid w:val="00CA0BF9"/>
    <w:rsid w:val="00CA50BD"/>
    <w:rsid w:val="00CA5F26"/>
    <w:rsid w:val="00CB51F4"/>
    <w:rsid w:val="00CC1270"/>
    <w:rsid w:val="00CC2BF8"/>
    <w:rsid w:val="00CC3768"/>
    <w:rsid w:val="00CC37AF"/>
    <w:rsid w:val="00CD1F5E"/>
    <w:rsid w:val="00CF2A11"/>
    <w:rsid w:val="00CF49B9"/>
    <w:rsid w:val="00CF7515"/>
    <w:rsid w:val="00D00ACE"/>
    <w:rsid w:val="00D047A7"/>
    <w:rsid w:val="00D11E72"/>
    <w:rsid w:val="00D13547"/>
    <w:rsid w:val="00D21565"/>
    <w:rsid w:val="00D309B8"/>
    <w:rsid w:val="00D42429"/>
    <w:rsid w:val="00D44CAD"/>
    <w:rsid w:val="00D6187C"/>
    <w:rsid w:val="00D647F8"/>
    <w:rsid w:val="00D648D9"/>
    <w:rsid w:val="00D71E29"/>
    <w:rsid w:val="00D75547"/>
    <w:rsid w:val="00D7794E"/>
    <w:rsid w:val="00D82E2E"/>
    <w:rsid w:val="00D85415"/>
    <w:rsid w:val="00D8590D"/>
    <w:rsid w:val="00D87853"/>
    <w:rsid w:val="00D91814"/>
    <w:rsid w:val="00D9438C"/>
    <w:rsid w:val="00DA218D"/>
    <w:rsid w:val="00DB3A59"/>
    <w:rsid w:val="00DB3E4A"/>
    <w:rsid w:val="00DB4B5B"/>
    <w:rsid w:val="00DE5AE7"/>
    <w:rsid w:val="00E01524"/>
    <w:rsid w:val="00E0182E"/>
    <w:rsid w:val="00E07DE5"/>
    <w:rsid w:val="00E12D9E"/>
    <w:rsid w:val="00E14B15"/>
    <w:rsid w:val="00E17D80"/>
    <w:rsid w:val="00E20418"/>
    <w:rsid w:val="00E2222E"/>
    <w:rsid w:val="00E23C6C"/>
    <w:rsid w:val="00E273AF"/>
    <w:rsid w:val="00E40931"/>
    <w:rsid w:val="00E55039"/>
    <w:rsid w:val="00E55637"/>
    <w:rsid w:val="00E6790E"/>
    <w:rsid w:val="00E73D15"/>
    <w:rsid w:val="00E81403"/>
    <w:rsid w:val="00E909BE"/>
    <w:rsid w:val="00E95F3D"/>
    <w:rsid w:val="00EA31C5"/>
    <w:rsid w:val="00EB1FBA"/>
    <w:rsid w:val="00EB21EC"/>
    <w:rsid w:val="00EC3104"/>
    <w:rsid w:val="00EC6882"/>
    <w:rsid w:val="00EC769F"/>
    <w:rsid w:val="00ED7BA8"/>
    <w:rsid w:val="00F05AE8"/>
    <w:rsid w:val="00F063F5"/>
    <w:rsid w:val="00F15ADF"/>
    <w:rsid w:val="00F26F9A"/>
    <w:rsid w:val="00F3166B"/>
    <w:rsid w:val="00F32FC3"/>
    <w:rsid w:val="00F4255E"/>
    <w:rsid w:val="00F43D4E"/>
    <w:rsid w:val="00F44858"/>
    <w:rsid w:val="00F563DE"/>
    <w:rsid w:val="00F61170"/>
    <w:rsid w:val="00F676DD"/>
    <w:rsid w:val="00F90A47"/>
    <w:rsid w:val="00F93864"/>
    <w:rsid w:val="00FB3378"/>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CFA33"/>
  <w15:chartTrackingRefBased/>
  <w15:docId w15:val="{1065EEDF-7058-46E6-8001-3E8BE688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6C47B6"/>
    <w:pPr>
      <w:spacing w:before="240" w:after="80" w:line="240" w:lineRule="auto"/>
      <w:ind w:left="-284"/>
      <w:jc w:val="both"/>
    </w:pPr>
    <w:rPr>
      <w:rFonts w:ascii="Segoe UI" w:hAnsi="Segoe UI" w:cs="Segoe UI"/>
      <w:bCs/>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6C47B6"/>
    <w:rPr>
      <w:rFonts w:ascii="Segoe UI" w:hAnsi="Segoe UI" w:cs="Segoe UI"/>
      <w:bCs/>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D:\jsok\Documents\SE\TEMPLATE_NOTE-RESEAU%20202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SIN-SRV16.si.local\PNH$\Travail\1-%20CAMBODGE\5-%20MACRO\b-%20Commerce%20ext&#233;rieur\FICHES%20ANNUELLES\Ann&#233;e%202023\GDCE\Statistiques%20EXIM%20du%20Cambodge%20par%20produits%20et%20par%20pays%202021-%202022%20(or%20et%20pierres%20pr&#233;cieuses%20exclu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SIN-SRV16.si.local\PNH$\Travail\1-%20CAMBODGE\5-%20MACRO\b-%20Commerce%20ext&#233;rieur\FICHES%20ANNUELLES\Ann&#233;e%202023\GDCE\Statistiques%20EXIM%20du%20Cambodge%20par%20produits%20et%20par%20pays%202021-%202022%20(or%20et%20pierres%20pr&#233;cieuses%20exclu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SIN-SRV16.si.local\PNH$\Travail\1-%20CAMBODGE\5-%20MACRO\b-%20Commerce%20ext&#233;rieur\FICHES%20ANNUELLES\Ann&#233;e%202023\GDCE\Statistiques%20EXIM%20du%20Cambodge%20par%20produits%20et%20par%20pays%202021-%202022%20(or%20et%20pierres%20pr&#233;cieuses%20exclu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SIN-SRV16.si.local\PNH$\Travail\1-%20CAMBODGE\5-%20MACRO\f-%20Statistiques%20et%20pr&#233;sentations\Statistiques%20-%20donn&#233;es%20macro%20trimestrielles%20-%202401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SIN-SRV16.si.local\PNH$\Travail\1-%20CAMBODGE\5-%20MACRO\f-%20Statistiques%20et%20pr&#233;sentations\Statistiques%20-%20donn&#233;es%20macro%20trimestrielles%20-%202401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r>
              <a:rPr lang="fr-FR" sz="1100"/>
              <a:t>Evolution des échanges extérieurs du Cambodge (Md USD)</a:t>
            </a:r>
          </a:p>
        </c:rich>
      </c:tx>
      <c:layout>
        <c:manualLayout>
          <c:xMode val="edge"/>
          <c:yMode val="edge"/>
          <c:x val="0.18655871504434038"/>
          <c:y val="1.390435286498278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9.0258368866682356E-2"/>
          <c:y val="9.2225108225108224E-2"/>
          <c:w val="0.89423775516432535"/>
          <c:h val="0.75835947779254864"/>
        </c:manualLayout>
      </c:layout>
      <c:barChart>
        <c:barDir val="col"/>
        <c:grouping val="clustered"/>
        <c:varyColors val="0"/>
        <c:ser>
          <c:idx val="0"/>
          <c:order val="0"/>
          <c:tx>
            <c:strRef>
              <c:f>'Déficit '!$A$9</c:f>
              <c:strCache>
                <c:ptCount val="1"/>
                <c:pt idx="0">
                  <c:v>Exportations cambodgiennes</c:v>
                </c:pt>
              </c:strCache>
            </c:strRef>
          </c:tx>
          <c:spPr>
            <a:solidFill>
              <a:srgbClr val="7030A0"/>
            </a:solidFill>
            <a:ln>
              <a:noFill/>
            </a:ln>
            <a:effectLst/>
          </c:spPr>
          <c:invertIfNegative val="0"/>
          <c:dLbls>
            <c:delete val="1"/>
          </c:dLbls>
          <c:cat>
            <c:numRef>
              <c:f>'Déficit '!$B$8:$I$8</c:f>
              <c:numCache>
                <c:formatCode>@</c:formatCode>
                <c:ptCount val="8"/>
                <c:pt idx="0" formatCode="General">
                  <c:v>2016</c:v>
                </c:pt>
                <c:pt idx="1">
                  <c:v>2017</c:v>
                </c:pt>
                <c:pt idx="2">
                  <c:v>2018</c:v>
                </c:pt>
                <c:pt idx="3">
                  <c:v>2019</c:v>
                </c:pt>
                <c:pt idx="4">
                  <c:v>2020</c:v>
                </c:pt>
                <c:pt idx="5" formatCode="General">
                  <c:v>2021</c:v>
                </c:pt>
                <c:pt idx="6" formatCode="General">
                  <c:v>2022</c:v>
                </c:pt>
                <c:pt idx="7" formatCode="General">
                  <c:v>2023</c:v>
                </c:pt>
              </c:numCache>
            </c:numRef>
          </c:cat>
          <c:val>
            <c:numRef>
              <c:f>'Déficit '!$B$9:$I$9</c:f>
              <c:numCache>
                <c:formatCode>_-* #\ ##0.0_-;\-* #\ ##0.0_-;_-* "-"??_-;_-@_-</c:formatCode>
                <c:ptCount val="8"/>
                <c:pt idx="0">
                  <c:v>9.929297</c:v>
                </c:pt>
                <c:pt idx="1">
                  <c:v>11.221534</c:v>
                </c:pt>
                <c:pt idx="2">
                  <c:v>12.628809</c:v>
                </c:pt>
                <c:pt idx="3">
                  <c:v>14.748739</c:v>
                </c:pt>
                <c:pt idx="4">
                  <c:v>18.342258000000001</c:v>
                </c:pt>
                <c:pt idx="5">
                  <c:v>19.296139</c:v>
                </c:pt>
                <c:pt idx="6">
                  <c:v>22.251235000000001</c:v>
                </c:pt>
                <c:pt idx="7">
                  <c:v>22.644988999999999</c:v>
                </c:pt>
              </c:numCache>
            </c:numRef>
          </c:val>
          <c:extLst>
            <c:ext xmlns:c16="http://schemas.microsoft.com/office/drawing/2014/chart" uri="{C3380CC4-5D6E-409C-BE32-E72D297353CC}">
              <c16:uniqueId val="{00000000-0759-4874-94FE-3EA3AF482B91}"/>
            </c:ext>
          </c:extLst>
        </c:ser>
        <c:ser>
          <c:idx val="1"/>
          <c:order val="1"/>
          <c:tx>
            <c:strRef>
              <c:f>'Déficit '!$A$10</c:f>
              <c:strCache>
                <c:ptCount val="1"/>
                <c:pt idx="0">
                  <c:v>Importations cambodgiennes</c:v>
                </c:pt>
              </c:strCache>
            </c:strRef>
          </c:tx>
          <c:spPr>
            <a:solidFill>
              <a:srgbClr val="00B0F0"/>
            </a:solidFill>
            <a:ln>
              <a:noFill/>
            </a:ln>
            <a:effectLst/>
          </c:spPr>
          <c:invertIfNegative val="0"/>
          <c:dLbls>
            <c:delete val="1"/>
          </c:dLbls>
          <c:cat>
            <c:numRef>
              <c:f>'Déficit '!$B$8:$I$8</c:f>
              <c:numCache>
                <c:formatCode>@</c:formatCode>
                <c:ptCount val="8"/>
                <c:pt idx="0" formatCode="General">
                  <c:v>2016</c:v>
                </c:pt>
                <c:pt idx="1">
                  <c:v>2017</c:v>
                </c:pt>
                <c:pt idx="2">
                  <c:v>2018</c:v>
                </c:pt>
                <c:pt idx="3">
                  <c:v>2019</c:v>
                </c:pt>
                <c:pt idx="4">
                  <c:v>2020</c:v>
                </c:pt>
                <c:pt idx="5" formatCode="General">
                  <c:v>2021</c:v>
                </c:pt>
                <c:pt idx="6" formatCode="General">
                  <c:v>2022</c:v>
                </c:pt>
                <c:pt idx="7" formatCode="General">
                  <c:v>2023</c:v>
                </c:pt>
              </c:numCache>
            </c:numRef>
          </c:cat>
          <c:val>
            <c:numRef>
              <c:f>'Déficit '!$B$10:$I$10</c:f>
              <c:numCache>
                <c:formatCode>_-* #\ ##0.0_-;\-* #\ ##0.0_-;_-* "-"??_-;_-@_-</c:formatCode>
                <c:ptCount val="8"/>
                <c:pt idx="0">
                  <c:v>12.244636</c:v>
                </c:pt>
                <c:pt idx="1">
                  <c:v>14.220151</c:v>
                </c:pt>
                <c:pt idx="2">
                  <c:v>17.264923</c:v>
                </c:pt>
                <c:pt idx="3">
                  <c:v>20.171811999999999</c:v>
                </c:pt>
                <c:pt idx="4">
                  <c:v>19.100027999999998</c:v>
                </c:pt>
                <c:pt idx="5">
                  <c:v>28.686726</c:v>
                </c:pt>
                <c:pt idx="6">
                  <c:v>25.460433897759899</c:v>
                </c:pt>
                <c:pt idx="7">
                  <c:v>24.183042794160002</c:v>
                </c:pt>
              </c:numCache>
            </c:numRef>
          </c:val>
          <c:extLst>
            <c:ext xmlns:c16="http://schemas.microsoft.com/office/drawing/2014/chart" uri="{C3380CC4-5D6E-409C-BE32-E72D297353CC}">
              <c16:uniqueId val="{00000001-0759-4874-94FE-3EA3AF482B91}"/>
            </c:ext>
          </c:extLst>
        </c:ser>
        <c:dLbls>
          <c:showLegendKey val="0"/>
          <c:showVal val="1"/>
          <c:showCatName val="0"/>
          <c:showSerName val="0"/>
          <c:showPercent val="0"/>
          <c:showBubbleSize val="0"/>
        </c:dLbls>
        <c:gapWidth val="219"/>
        <c:axId val="463554440"/>
        <c:axId val="463555616"/>
      </c:barChart>
      <c:lineChart>
        <c:grouping val="standard"/>
        <c:varyColors val="0"/>
        <c:ser>
          <c:idx val="2"/>
          <c:order val="2"/>
          <c:tx>
            <c:strRef>
              <c:f>'Déficit '!$A$11</c:f>
              <c:strCache>
                <c:ptCount val="1"/>
                <c:pt idx="0">
                  <c:v>Echanges totaux</c:v>
                </c:pt>
              </c:strCache>
            </c:strRef>
          </c:tx>
          <c:spPr>
            <a:ln w="28575" cap="rnd">
              <a:solidFill>
                <a:srgbClr val="00B050"/>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'Déficit '!$B$8:$I$8</c:f>
              <c:numCache>
                <c:formatCode>@</c:formatCode>
                <c:ptCount val="8"/>
                <c:pt idx="0" formatCode="General">
                  <c:v>2016</c:v>
                </c:pt>
                <c:pt idx="1">
                  <c:v>2017</c:v>
                </c:pt>
                <c:pt idx="2">
                  <c:v>2018</c:v>
                </c:pt>
                <c:pt idx="3">
                  <c:v>2019</c:v>
                </c:pt>
                <c:pt idx="4">
                  <c:v>2020</c:v>
                </c:pt>
                <c:pt idx="5" formatCode="General">
                  <c:v>2021</c:v>
                </c:pt>
                <c:pt idx="6" formatCode="General">
                  <c:v>2022</c:v>
                </c:pt>
                <c:pt idx="7" formatCode="General">
                  <c:v>2023</c:v>
                </c:pt>
              </c:numCache>
            </c:numRef>
          </c:cat>
          <c:val>
            <c:numRef>
              <c:f>'Déficit '!$B$11:$I$11</c:f>
              <c:numCache>
                <c:formatCode>_-* #\ ##0.0_-;\-* #\ ##0.0_-;_-* "-"??_-;_-@_-</c:formatCode>
                <c:ptCount val="8"/>
                <c:pt idx="0">
                  <c:v>22.173933000000002</c:v>
                </c:pt>
                <c:pt idx="1">
                  <c:v>25.441685</c:v>
                </c:pt>
                <c:pt idx="2">
                  <c:v>29.893732</c:v>
                </c:pt>
                <c:pt idx="3">
                  <c:v>34.920551000000003</c:v>
                </c:pt>
                <c:pt idx="4">
                  <c:v>37.442286000000003</c:v>
                </c:pt>
                <c:pt idx="5">
                  <c:v>47.982864999999997</c:v>
                </c:pt>
                <c:pt idx="6">
                  <c:v>47.7116688977599</c:v>
                </c:pt>
                <c:pt idx="7">
                  <c:v>46.828031794159998</c:v>
                </c:pt>
              </c:numCache>
            </c:numRef>
          </c:val>
          <c:smooth val="0"/>
          <c:extLst>
            <c:ext xmlns:c16="http://schemas.microsoft.com/office/drawing/2014/chart" uri="{C3380CC4-5D6E-409C-BE32-E72D297353CC}">
              <c16:uniqueId val="{00000002-0759-4874-94FE-3EA3AF482B91}"/>
            </c:ext>
          </c:extLst>
        </c:ser>
        <c:ser>
          <c:idx val="3"/>
          <c:order val="3"/>
          <c:tx>
            <c:strRef>
              <c:f>'Déficit '!$A$12</c:f>
              <c:strCache>
                <c:ptCount val="1"/>
                <c:pt idx="0">
                  <c:v>Déficit</c:v>
                </c:pt>
              </c:strCache>
            </c:strRef>
          </c:tx>
          <c:spPr>
            <a:ln w="28575" cap="rnd">
              <a:solidFill>
                <a:srgbClr val="FF0000"/>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fr-F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'Déficit '!$B$8:$I$8</c:f>
              <c:numCache>
                <c:formatCode>@</c:formatCode>
                <c:ptCount val="8"/>
                <c:pt idx="0" formatCode="General">
                  <c:v>2016</c:v>
                </c:pt>
                <c:pt idx="1">
                  <c:v>2017</c:v>
                </c:pt>
                <c:pt idx="2">
                  <c:v>2018</c:v>
                </c:pt>
                <c:pt idx="3">
                  <c:v>2019</c:v>
                </c:pt>
                <c:pt idx="4">
                  <c:v>2020</c:v>
                </c:pt>
                <c:pt idx="5" formatCode="General">
                  <c:v>2021</c:v>
                </c:pt>
                <c:pt idx="6" formatCode="General">
                  <c:v>2022</c:v>
                </c:pt>
                <c:pt idx="7" formatCode="General">
                  <c:v>2023</c:v>
                </c:pt>
              </c:numCache>
            </c:numRef>
          </c:cat>
          <c:val>
            <c:numRef>
              <c:f>'Déficit '!$B$12:$I$12</c:f>
              <c:numCache>
                <c:formatCode>_-* #\ ##0.0_-;\-* #\ ##0.0_-;_-* "-"??_-;_-@_-</c:formatCode>
                <c:ptCount val="8"/>
                <c:pt idx="0">
                  <c:v>-2.3153389999999998</c:v>
                </c:pt>
                <c:pt idx="1">
                  <c:v>-2.9986169999999999</c:v>
                </c:pt>
                <c:pt idx="2">
                  <c:v>-4.6361140000000001</c:v>
                </c:pt>
                <c:pt idx="3">
                  <c:v>-5.4230729999999996</c:v>
                </c:pt>
                <c:pt idx="4">
                  <c:v>-0.75777000000000005</c:v>
                </c:pt>
                <c:pt idx="5">
                  <c:v>-9.390587</c:v>
                </c:pt>
                <c:pt idx="6">
                  <c:v>-3.2091988977598995</c:v>
                </c:pt>
                <c:pt idx="7">
                  <c:v>-1.538053794160001</c:v>
                </c:pt>
              </c:numCache>
            </c:numRef>
          </c:val>
          <c:smooth val="0"/>
          <c:extLst>
            <c:ext xmlns:c16="http://schemas.microsoft.com/office/drawing/2014/chart" uri="{C3380CC4-5D6E-409C-BE32-E72D297353CC}">
              <c16:uniqueId val="{00000003-0759-4874-94FE-3EA3AF482B91}"/>
            </c:ext>
          </c:extLst>
        </c:ser>
        <c:dLbls>
          <c:showLegendKey val="0"/>
          <c:showVal val="0"/>
          <c:showCatName val="0"/>
          <c:showSerName val="0"/>
          <c:showPercent val="0"/>
          <c:showBubbleSize val="0"/>
        </c:dLbls>
        <c:marker val="1"/>
        <c:smooth val="0"/>
        <c:axId val="463554440"/>
        <c:axId val="463555616"/>
      </c:lineChart>
      <c:catAx>
        <c:axId val="46355444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crossAx val="463555616"/>
        <c:crosses val="autoZero"/>
        <c:auto val="1"/>
        <c:lblAlgn val="ctr"/>
        <c:lblOffset val="100"/>
        <c:noMultiLvlLbl val="0"/>
      </c:catAx>
      <c:valAx>
        <c:axId val="463555616"/>
        <c:scaling>
          <c:orientation val="minMax"/>
        </c:scaling>
        <c:delete val="0"/>
        <c:axPos val="l"/>
        <c:majorGridlines>
          <c:spPr>
            <a:ln w="9525" cap="flat" cmpd="sng" algn="ctr">
              <a:solidFill>
                <a:schemeClr val="tx1">
                  <a:lumMod val="15000"/>
                  <a:lumOff val="85000"/>
                </a:schemeClr>
              </a:solidFill>
              <a:round/>
            </a:ln>
            <a:effectLst/>
          </c:spPr>
        </c:majorGridlines>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crossAx val="463554440"/>
        <c:crosses val="autoZero"/>
        <c:crossBetween val="between"/>
      </c:valAx>
      <c:spPr>
        <a:noFill/>
        <a:ln>
          <a:noFill/>
        </a:ln>
        <a:effectLst/>
      </c:spPr>
    </c:plotArea>
    <c:legend>
      <c:legendPos val="b"/>
      <c:layout>
        <c:manualLayout>
          <c:xMode val="edge"/>
          <c:yMode val="edge"/>
          <c:x val="2.5350319582145269E-3"/>
          <c:y val="0.93004165388417359"/>
          <c:w val="0.99492993608357116"/>
          <c:h val="5.61055322630125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r>
              <a:rPr lang="fr-FR" sz="1100">
                <a:latin typeface="Segoe UI" panose="020B0502040204020203" pitchFamily="34" charset="0"/>
                <a:cs typeface="Segoe UI" panose="020B0502040204020203" pitchFamily="34" charset="0"/>
              </a:rPr>
              <a:t>Importations du Cambodge par pays en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0.14966109941142478"/>
          <c:y val="0.20421028253821213"/>
          <c:w val="0.72383158774794021"/>
          <c:h val="0.4771966188050023"/>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81-4E58-8502-04531C7ECA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81-4E58-8502-04531C7ECA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181-4E58-8502-04531C7ECA04}"/>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A181-4E58-8502-04531C7ECA0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181-4E58-8502-04531C7ECA0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181-4E58-8502-04531C7ECA0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181-4E58-8502-04531C7ECA0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A181-4E58-8502-04531C7ECA0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A181-4E58-8502-04531C7ECA04}"/>
              </c:ext>
            </c:extLst>
          </c:dPt>
          <c:dPt>
            <c:idx val="9"/>
            <c:bubble3D val="0"/>
            <c:spPr>
              <a:solidFill>
                <a:schemeClr val="bg2">
                  <a:lumMod val="65000"/>
                </a:schemeClr>
              </a:solidFill>
              <a:ln w="19050">
                <a:solidFill>
                  <a:schemeClr val="lt1"/>
                </a:solidFill>
              </a:ln>
              <a:effectLst/>
            </c:spPr>
            <c:extLst>
              <c:ext xmlns:c16="http://schemas.microsoft.com/office/drawing/2014/chart" uri="{C3380CC4-5D6E-409C-BE32-E72D297353CC}">
                <c16:uniqueId val="{00000013-A181-4E58-8502-04531C7ECA0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A181-4E58-8502-04531C7ECA04}"/>
              </c:ext>
            </c:extLst>
          </c:dPt>
          <c:dLbls>
            <c:dLbl>
              <c:idx val="0"/>
              <c:layout>
                <c:manualLayout>
                  <c:x val="4.51813068924261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81-4E58-8502-04531C7ECA04}"/>
                </c:ext>
              </c:extLst>
            </c:dLbl>
            <c:dLbl>
              <c:idx val="1"/>
              <c:layout>
                <c:manualLayout>
                  <c:x val="4.518130689242594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81-4E58-8502-04531C7ECA04}"/>
                </c:ext>
              </c:extLst>
            </c:dLbl>
            <c:dLbl>
              <c:idx val="4"/>
              <c:layout>
                <c:manualLayout>
                  <c:x val="4.51813068924261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181-4E58-8502-04531C7ECA04}"/>
                </c:ext>
              </c:extLst>
            </c:dLbl>
            <c:dLbl>
              <c:idx val="5"/>
              <c:layout>
                <c:manualLayout>
                  <c:x val="-4.5181306892426165E-2"/>
                  <c:y val="-5.43484392427632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181-4E58-8502-04531C7ECA04}"/>
                </c:ext>
              </c:extLst>
            </c:dLbl>
            <c:dLbl>
              <c:idx val="6"/>
              <c:layout>
                <c:manualLayout>
                  <c:x val="2.427608727989173E-2"/>
                  <c:y val="0.104464494546073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181-4E58-8502-04531C7ECA04}"/>
                </c:ext>
              </c:extLst>
            </c:dLbl>
            <c:dLbl>
              <c:idx val="7"/>
              <c:layout>
                <c:manualLayout>
                  <c:x val="-1.4051944170441642E-2"/>
                  <c:y val="-6.8974948550721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181-4E58-8502-04531C7ECA04}"/>
                </c:ext>
              </c:extLst>
            </c:dLbl>
            <c:dLbl>
              <c:idx val="8"/>
              <c:layout>
                <c:manualLayout>
                  <c:x val="1.6337486955419513E-2"/>
                  <c:y val="0.10245098386648251"/>
                </c:manualLayout>
              </c:layout>
              <c:showLegendKey val="0"/>
              <c:showVal val="1"/>
              <c:showCatName val="0"/>
              <c:showSerName val="0"/>
              <c:showPercent val="0"/>
              <c:showBubbleSize val="0"/>
              <c:extLst>
                <c:ext xmlns:c15="http://schemas.microsoft.com/office/drawing/2012/chart" uri="{CE6537A1-D6FC-4f65-9D91-7224C49458BB}">
                  <c15:layout>
                    <c:manualLayout>
                      <c:w val="8.0214258138863195E-2"/>
                      <c:h val="5.1704636181821736E-2"/>
                    </c:manualLayout>
                  </c15:layout>
                </c:ext>
                <c:ext xmlns:c16="http://schemas.microsoft.com/office/drawing/2014/chart" uri="{C3380CC4-5D6E-409C-BE32-E72D297353CC}">
                  <c16:uniqueId val="{00000011-A181-4E58-8502-04531C7ECA04}"/>
                </c:ext>
              </c:extLst>
            </c:dLbl>
            <c:dLbl>
              <c:idx val="9"/>
              <c:layout>
                <c:manualLayout>
                  <c:x val="-7.488006929627828E-3"/>
                  <c:y val="-0.108480784693584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181-4E58-8502-04531C7ECA04}"/>
                </c:ext>
              </c:extLst>
            </c:dLbl>
            <c:dLbl>
              <c:idx val="10"/>
              <c:layout>
                <c:manualLayout>
                  <c:x val="5.2650084025597521E-4"/>
                  <c:y val="-6.89851702491198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181-4E58-8502-04531C7ECA0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 pays 2023'!$I$28:$I$37</c:f>
              <c:strCache>
                <c:ptCount val="10"/>
                <c:pt idx="0">
                  <c:v> Chine </c:v>
                </c:pt>
                <c:pt idx="1">
                  <c:v> ASEAN </c:v>
                </c:pt>
                <c:pt idx="2">
                  <c:v> UE </c:v>
                </c:pt>
                <c:pt idx="3">
                  <c:v> Taiwan </c:v>
                </c:pt>
                <c:pt idx="4">
                  <c:v>Japon</c:v>
                </c:pt>
                <c:pt idx="5">
                  <c:v> Corée du Sud </c:v>
                </c:pt>
                <c:pt idx="6">
                  <c:v> Hong Kong </c:v>
                </c:pt>
                <c:pt idx="7">
                  <c:v> États-Unis </c:v>
                </c:pt>
                <c:pt idx="8">
                  <c:v> Inde </c:v>
                </c:pt>
                <c:pt idx="9">
                  <c:v> Autres </c:v>
                </c:pt>
              </c:strCache>
            </c:strRef>
          </c:cat>
          <c:val>
            <c:numRef>
              <c:f>'Par pays 2023'!$K$28:$K$37</c:f>
              <c:numCache>
                <c:formatCode>0%</c:formatCode>
                <c:ptCount val="10"/>
                <c:pt idx="0">
                  <c:v>0.45</c:v>
                </c:pt>
                <c:pt idx="1">
                  <c:v>0.37</c:v>
                </c:pt>
                <c:pt idx="2">
                  <c:v>0.04</c:v>
                </c:pt>
                <c:pt idx="3">
                  <c:v>0.03</c:v>
                </c:pt>
                <c:pt idx="4">
                  <c:v>3.0291588243819067E-2</c:v>
                </c:pt>
                <c:pt idx="5">
                  <c:v>2.1574593014692913E-2</c:v>
                </c:pt>
                <c:pt idx="6">
                  <c:v>1.329377143068235E-2</c:v>
                </c:pt>
                <c:pt idx="7">
                  <c:v>1.2284566453699878E-2</c:v>
                </c:pt>
                <c:pt idx="8">
                  <c:v>8.1800819790285532E-3</c:v>
                </c:pt>
                <c:pt idx="9">
                  <c:v>2.4375398878077159E-2</c:v>
                </c:pt>
              </c:numCache>
            </c:numRef>
          </c:val>
          <c:extLst>
            <c:ext xmlns:c16="http://schemas.microsoft.com/office/drawing/2014/chart" uri="{C3380CC4-5D6E-409C-BE32-E72D297353CC}">
              <c16:uniqueId val="{00000016-A181-4E58-8502-04531C7ECA04}"/>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r>
              <a:rPr lang="fr-FR" sz="1100">
                <a:latin typeface="Segoe UI" panose="020B0502040204020203" pitchFamily="34" charset="0"/>
                <a:cs typeface="Segoe UI" panose="020B0502040204020203" pitchFamily="34" charset="0"/>
              </a:rPr>
              <a:t>Exportations du Cambodge par pays en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0.1440420407571753"/>
          <c:y val="0.19688835191897308"/>
          <c:w val="0.69492467582656459"/>
          <c:h val="0.46614288954621413"/>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FD-4163-A426-F7FC46BC2F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FD-4163-A426-F7FC46BC2F8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3FD-4163-A426-F7FC46BC2F8B}"/>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93FD-4163-A426-F7FC46BC2F8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3FD-4163-A426-F7FC46BC2F8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3FD-4163-A426-F7FC46BC2F8B}"/>
              </c:ext>
            </c:extLst>
          </c:dPt>
          <c:dPt>
            <c:idx val="6"/>
            <c:bubble3D val="0"/>
            <c:spPr>
              <a:solidFill>
                <a:srgbClr val="00B0F0"/>
              </a:solidFill>
              <a:ln w="19050">
                <a:solidFill>
                  <a:schemeClr val="lt1"/>
                </a:solidFill>
              </a:ln>
              <a:effectLst/>
            </c:spPr>
            <c:extLst>
              <c:ext xmlns:c16="http://schemas.microsoft.com/office/drawing/2014/chart" uri="{C3380CC4-5D6E-409C-BE32-E72D297353CC}">
                <c16:uniqueId val="{0000000D-93FD-4163-A426-F7FC46BC2F8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3FD-4163-A426-F7FC46BC2F8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3FD-4163-A426-F7FC46BC2F8B}"/>
              </c:ext>
            </c:extLst>
          </c:dPt>
          <c:dPt>
            <c:idx val="9"/>
            <c:bubble3D val="0"/>
            <c:spPr>
              <a:solidFill>
                <a:schemeClr val="bg2">
                  <a:lumMod val="65000"/>
                </a:schemeClr>
              </a:solidFill>
              <a:ln w="19050">
                <a:solidFill>
                  <a:schemeClr val="lt1"/>
                </a:solidFill>
              </a:ln>
              <a:effectLst/>
            </c:spPr>
            <c:extLst>
              <c:ext xmlns:c16="http://schemas.microsoft.com/office/drawing/2014/chart" uri="{C3380CC4-5D6E-409C-BE32-E72D297353CC}">
                <c16:uniqueId val="{00000013-93FD-4163-A426-F7FC46BC2F8B}"/>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93FD-4163-A426-F7FC46BC2F8B}"/>
              </c:ext>
            </c:extLst>
          </c:dPt>
          <c:dLbls>
            <c:dLbl>
              <c:idx val="0"/>
              <c:layout>
                <c:manualLayout>
                  <c:x val="4.4811577900340342E-3"/>
                  <c:y val="-9.065604206613657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FD-4163-A426-F7FC46BC2F8B}"/>
                </c:ext>
              </c:extLst>
            </c:dLbl>
            <c:dLbl>
              <c:idx val="6"/>
              <c:layout>
                <c:manualLayout>
                  <c:x val="-9.1881377049203464E-4"/>
                  <c:y val="-5.1547997380354061E-3"/>
                </c:manualLayout>
              </c:layout>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Segoe UI" panose="020B0502040204020203" pitchFamily="34" charset="0"/>
                      <a:ea typeface="+mn-ea"/>
                      <a:cs typeface="Segoe UI" panose="020B0502040204020203" pitchFamily="34" charset="0"/>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3FD-4163-A426-F7FC46BC2F8B}"/>
                </c:ext>
              </c:extLst>
            </c:dLbl>
            <c:dLbl>
              <c:idx val="7"/>
              <c:layout>
                <c:manualLayout>
                  <c:x val="-3.1979425517470794E-2"/>
                  <c:y val="-5.9270868231703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3FD-4163-A426-F7FC46BC2F8B}"/>
                </c:ext>
              </c:extLst>
            </c:dLbl>
            <c:dLbl>
              <c:idx val="8"/>
              <c:layout>
                <c:manualLayout>
                  <c:x val="-2.0402384161064487E-2"/>
                  <c:y val="-8.6298047866237876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layout>
                    <c:manualLayout>
                      <c:w val="8.2419263130398684E-2"/>
                      <c:h val="6.43885871779174E-2"/>
                    </c:manualLayout>
                  </c15:layout>
                  <c15:showDataLabelsRange val="0"/>
                </c:ext>
                <c:ext xmlns:c16="http://schemas.microsoft.com/office/drawing/2014/chart" uri="{C3380CC4-5D6E-409C-BE32-E72D297353CC}">
                  <c16:uniqueId val="{00000011-93FD-4163-A426-F7FC46BC2F8B}"/>
                </c:ext>
              </c:extLst>
            </c:dLbl>
            <c:dLbl>
              <c:idx val="9"/>
              <c:layout>
                <c:manualLayout>
                  <c:x val="9.9436215555442076E-3"/>
                  <c:y val="8.9962611951878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3FD-4163-A426-F7FC46BC2F8B}"/>
                </c:ext>
              </c:extLst>
            </c:dLbl>
            <c:dLbl>
              <c:idx val="10"/>
              <c:layout>
                <c:manualLayout>
                  <c:x val="8.1707054244309287E-4"/>
                  <c:y val="-5.85351530885606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3FD-4163-A426-F7FC46BC2F8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 pays 2023'!$C$28:$C$37</c:f>
              <c:strCache>
                <c:ptCount val="10"/>
                <c:pt idx="0">
                  <c:v> Etats-Unis </c:v>
                </c:pt>
                <c:pt idx="1">
                  <c:v> UE </c:v>
                </c:pt>
                <c:pt idx="2">
                  <c:v> ASEAN </c:v>
                </c:pt>
                <c:pt idx="3">
                  <c:v> Chine </c:v>
                </c:pt>
                <c:pt idx="4">
                  <c:v> Japon </c:v>
                </c:pt>
                <c:pt idx="5">
                  <c:v>Canada</c:v>
                </c:pt>
                <c:pt idx="6">
                  <c:v>Royaume-Uni</c:v>
                </c:pt>
                <c:pt idx="7">
                  <c:v>Corée du Sud</c:v>
                </c:pt>
                <c:pt idx="8">
                  <c:v>Inde</c:v>
                </c:pt>
                <c:pt idx="9">
                  <c:v> Autres </c:v>
                </c:pt>
              </c:strCache>
            </c:strRef>
          </c:cat>
          <c:val>
            <c:numRef>
              <c:f>'Par pays 2023'!$E$28:$E$37</c:f>
              <c:numCache>
                <c:formatCode>0%</c:formatCode>
                <c:ptCount val="10"/>
                <c:pt idx="0">
                  <c:v>0.39</c:v>
                </c:pt>
                <c:pt idx="1">
                  <c:v>0.16</c:v>
                </c:pt>
                <c:pt idx="2">
                  <c:v>0.18</c:v>
                </c:pt>
                <c:pt idx="3">
                  <c:v>7.0000000000000007E-2</c:v>
                </c:pt>
                <c:pt idx="4">
                  <c:v>5.2746615495425392E-2</c:v>
                </c:pt>
                <c:pt idx="5">
                  <c:v>0.04</c:v>
                </c:pt>
                <c:pt idx="6">
                  <c:v>3.9890500730291115E-2</c:v>
                </c:pt>
                <c:pt idx="7">
                  <c:v>8.8487743419413279E-3</c:v>
                </c:pt>
                <c:pt idx="8">
                  <c:v>8.2407494494429277E-3</c:v>
                </c:pt>
                <c:pt idx="9">
                  <c:v>5.0273359982899168E-2</c:v>
                </c:pt>
              </c:numCache>
            </c:numRef>
          </c:val>
          <c:extLst>
            <c:ext xmlns:c16="http://schemas.microsoft.com/office/drawing/2014/chart" uri="{C3380CC4-5D6E-409C-BE32-E72D297353CC}">
              <c16:uniqueId val="{00000016-93FD-4163-A426-F7FC46BC2F8B}"/>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r>
              <a:rPr lang="fr-FR" sz="1100" b="0" i="0" u="none" strike="noStrike" baseline="0">
                <a:effectLst/>
              </a:rPr>
              <a:t>Premiers postes d'exportations du Cambodge en 2023</a:t>
            </a:r>
            <a:endParaRPr lang="en-US" sz="1100" b="0"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0.19295035222206214"/>
          <c:y val="8.4028463535293904E-2"/>
          <c:w val="0.64054814395720916"/>
          <c:h val="0.4764989226322115"/>
        </c:manualLayout>
      </c:layout>
      <c:pieChart>
        <c:varyColors val="1"/>
        <c:ser>
          <c:idx val="0"/>
          <c:order val="0"/>
          <c:tx>
            <c:strRef>
              <c:f>'Décomposition export'!$AD$3</c:f>
              <c:strCache>
                <c:ptCount val="1"/>
                <c:pt idx="0">
                  <c:v>2023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38-437F-A54B-AE1DD7BDEC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38-437F-A54B-AE1DD7BDEC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438-437F-A54B-AE1DD7BDEC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438-437F-A54B-AE1DD7BDEC7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438-437F-A54B-AE1DD7BDEC7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438-437F-A54B-AE1DD7BDEC7F}"/>
              </c:ext>
            </c:extLst>
          </c:dPt>
          <c:dPt>
            <c:idx val="6"/>
            <c:bubble3D val="0"/>
            <c:spPr>
              <a:solidFill>
                <a:srgbClr val="FF0000"/>
              </a:solidFill>
              <a:ln w="19050">
                <a:solidFill>
                  <a:schemeClr val="lt1"/>
                </a:solidFill>
              </a:ln>
              <a:effectLst/>
            </c:spPr>
            <c:extLst>
              <c:ext xmlns:c16="http://schemas.microsoft.com/office/drawing/2014/chart" uri="{C3380CC4-5D6E-409C-BE32-E72D297353CC}">
                <c16:uniqueId val="{0000000D-D438-437F-A54B-AE1DD7BDEC7F}"/>
              </c:ext>
            </c:extLst>
          </c:dPt>
          <c:dPt>
            <c:idx val="7"/>
            <c:bubble3D val="0"/>
            <c:spPr>
              <a:solidFill>
                <a:schemeClr val="bg2">
                  <a:lumMod val="65000"/>
                </a:schemeClr>
              </a:solidFill>
              <a:ln w="19050">
                <a:solidFill>
                  <a:schemeClr val="lt1"/>
                </a:solidFill>
              </a:ln>
              <a:effectLst/>
            </c:spPr>
            <c:extLst>
              <c:ext xmlns:c16="http://schemas.microsoft.com/office/drawing/2014/chart" uri="{C3380CC4-5D6E-409C-BE32-E72D297353CC}">
                <c16:uniqueId val="{0000000F-D438-437F-A54B-AE1DD7BDEC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'Décomposition export'!$AC$4:$AC$11</c:f>
              <c:strCache>
                <c:ptCount val="8"/>
                <c:pt idx="0">
                  <c:v>Textiles</c:v>
                </c:pt>
                <c:pt idx="1">
                  <c:v>Produits E&amp;E</c:v>
                </c:pt>
                <c:pt idx="2">
                  <c:v>Riz</c:v>
                </c:pt>
                <c:pt idx="3">
                  <c:v>Manioc</c:v>
                </c:pt>
                <c:pt idx="4">
                  <c:v>Caoutchouc</c:v>
                </c:pt>
                <c:pt idx="5">
                  <c:v>Autres produits agroalimentaires</c:v>
                </c:pt>
                <c:pt idx="6">
                  <c:v>Vélos</c:v>
                </c:pt>
                <c:pt idx="7">
                  <c:v>Autres</c:v>
                </c:pt>
              </c:strCache>
            </c:strRef>
          </c:cat>
          <c:val>
            <c:numRef>
              <c:f>'Décomposition export'!$AD$4:$AD$11</c:f>
              <c:numCache>
                <c:formatCode>0%</c:formatCode>
                <c:ptCount val="8"/>
                <c:pt idx="0">
                  <c:v>0.49</c:v>
                </c:pt>
                <c:pt idx="1">
                  <c:v>0.15</c:v>
                </c:pt>
                <c:pt idx="2">
                  <c:v>7.8869544784201648E-2</c:v>
                </c:pt>
                <c:pt idx="3">
                  <c:v>1.8635027549543815E-2</c:v>
                </c:pt>
                <c:pt idx="4">
                  <c:v>2.1221913290562031E-2</c:v>
                </c:pt>
                <c:pt idx="5">
                  <c:v>4.6397902191413765E-2</c:v>
                </c:pt>
                <c:pt idx="6">
                  <c:v>1.8404512978561993E-2</c:v>
                </c:pt>
                <c:pt idx="7">
                  <c:v>0.1764710992057168</c:v>
                </c:pt>
              </c:numCache>
            </c:numRef>
          </c:val>
          <c:extLst>
            <c:ext xmlns:c16="http://schemas.microsoft.com/office/drawing/2014/chart" uri="{C3380CC4-5D6E-409C-BE32-E72D297353CC}">
              <c16:uniqueId val="{00000010-D438-437F-A54B-AE1DD7BDEC7F}"/>
            </c:ext>
          </c:extLst>
        </c:ser>
        <c:dLbls>
          <c:showLegendKey val="0"/>
          <c:showVal val="0"/>
          <c:showCatName val="0"/>
          <c:showSerName val="0"/>
          <c:showPercent val="0"/>
          <c:showBubbleSize val="0"/>
          <c:showLeaderLines val="1"/>
        </c:dLbls>
        <c:firstSliceAng val="0"/>
      </c:pieChart>
      <c:spPr>
        <a:noFill/>
        <a:ln w="25400">
          <a:noFill/>
        </a:ln>
        <a:effectLst/>
      </c:spPr>
    </c:plotArea>
    <c:legend>
      <c:legendPos val="b"/>
      <c:layout>
        <c:manualLayout>
          <c:xMode val="edge"/>
          <c:yMode val="edge"/>
          <c:x val="0.1091988188976378"/>
          <c:y val="0.59305118110236221"/>
          <c:w val="0.78160236220472445"/>
          <c:h val="0.379171041119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Segoe UI" panose="020B0502040204020203" pitchFamily="34" charset="0"/>
                <a:ea typeface="+mn-ea"/>
                <a:cs typeface="Segoe UI" panose="020B0502040204020203" pitchFamily="34" charset="0"/>
              </a:defRPr>
            </a:pPr>
            <a:r>
              <a:rPr lang="fr-FR" sz="1100" b="0" i="0" baseline="0">
                <a:solidFill>
                  <a:schemeClr val="tx1">
                    <a:lumMod val="60000"/>
                    <a:lumOff val="40000"/>
                  </a:schemeClr>
                </a:solidFill>
                <a:effectLst/>
              </a:rPr>
              <a:t>Premiers postes d'</a:t>
            </a:r>
            <a:r>
              <a:rPr lang="fr-FR" sz="1100" b="0" i="0" u="none" strike="noStrike" baseline="0">
                <a:solidFill>
                  <a:schemeClr val="tx1">
                    <a:lumMod val="60000"/>
                    <a:lumOff val="40000"/>
                  </a:schemeClr>
                </a:solidFill>
                <a:effectLst/>
              </a:rPr>
              <a:t>importations</a:t>
            </a:r>
            <a:r>
              <a:rPr lang="fr-FR" sz="1100" b="0" i="0" baseline="0">
                <a:solidFill>
                  <a:schemeClr val="tx1">
                    <a:lumMod val="60000"/>
                    <a:lumOff val="40000"/>
                  </a:schemeClr>
                </a:solidFill>
                <a:effectLst/>
              </a:rPr>
              <a:t> du Cambodge en 2023</a:t>
            </a:r>
            <a:endParaRPr lang="fr-FR" sz="1100">
              <a:solidFill>
                <a:schemeClr val="tx1">
                  <a:lumMod val="60000"/>
                  <a:lumOff val="40000"/>
                </a:schemeClr>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0.19811949786350735"/>
          <c:y val="7.0229376009966774E-2"/>
          <c:w val="0.61577771182149899"/>
          <c:h val="0.45534636502950659"/>
        </c:manualLayout>
      </c:layout>
      <c:pieChart>
        <c:varyColors val="1"/>
        <c:ser>
          <c:idx val="0"/>
          <c:order val="0"/>
          <c:tx>
            <c:strRef>
              <c:f>'Décomposition import'!$AD$3</c:f>
              <c:strCache>
                <c:ptCount val="1"/>
                <c:pt idx="0">
                  <c:v>2023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69-43C4-8360-E7B16EA9F1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69-43C4-8360-E7B16EA9F10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69-43C4-8360-E7B16EA9F10E}"/>
              </c:ext>
            </c:extLst>
          </c:dPt>
          <c:dPt>
            <c:idx val="3"/>
            <c:bubble3D val="0"/>
            <c:spPr>
              <a:solidFill>
                <a:srgbClr val="7030A0"/>
              </a:solidFill>
              <a:ln w="19050">
                <a:solidFill>
                  <a:schemeClr val="lt1"/>
                </a:solidFill>
              </a:ln>
              <a:effectLst/>
            </c:spPr>
            <c:extLst>
              <c:ext xmlns:c16="http://schemas.microsoft.com/office/drawing/2014/chart" uri="{C3380CC4-5D6E-409C-BE32-E72D297353CC}">
                <c16:uniqueId val="{00000007-D869-43C4-8360-E7B16EA9F10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869-43C4-8360-E7B16EA9F10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869-43C4-8360-E7B16EA9F10E}"/>
              </c:ext>
            </c:extLst>
          </c:dPt>
          <c:dPt>
            <c:idx val="6"/>
            <c:bubble3D val="0"/>
            <c:spPr>
              <a:solidFill>
                <a:schemeClr val="tx2">
                  <a:lumMod val="75000"/>
                </a:schemeClr>
              </a:solidFill>
              <a:ln w="19050">
                <a:solidFill>
                  <a:schemeClr val="lt1"/>
                </a:solidFill>
              </a:ln>
              <a:effectLst/>
            </c:spPr>
            <c:extLst>
              <c:ext xmlns:c16="http://schemas.microsoft.com/office/drawing/2014/chart" uri="{C3380CC4-5D6E-409C-BE32-E72D297353CC}">
                <c16:uniqueId val="{0000000D-D869-43C4-8360-E7B16EA9F10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869-43C4-8360-E7B16EA9F10E}"/>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D869-43C4-8360-E7B16EA9F10E}"/>
              </c:ext>
            </c:extLst>
          </c:dPt>
          <c:dPt>
            <c:idx val="9"/>
            <c:bubble3D val="0"/>
            <c:spPr>
              <a:solidFill>
                <a:srgbClr val="00B050"/>
              </a:solidFill>
              <a:ln w="19050">
                <a:solidFill>
                  <a:schemeClr val="lt1"/>
                </a:solidFill>
              </a:ln>
              <a:effectLst/>
            </c:spPr>
            <c:extLst>
              <c:ext xmlns:c16="http://schemas.microsoft.com/office/drawing/2014/chart" uri="{C3380CC4-5D6E-409C-BE32-E72D297353CC}">
                <c16:uniqueId val="{00000013-D869-43C4-8360-E7B16EA9F10E}"/>
              </c:ext>
            </c:extLst>
          </c:dPt>
          <c:dPt>
            <c:idx val="10"/>
            <c:bubble3D val="0"/>
            <c:spPr>
              <a:solidFill>
                <a:schemeClr val="bg2">
                  <a:lumMod val="65000"/>
                </a:schemeClr>
              </a:solidFill>
              <a:ln w="19050">
                <a:solidFill>
                  <a:schemeClr val="lt1"/>
                </a:solidFill>
              </a:ln>
              <a:effectLst/>
            </c:spPr>
            <c:extLst>
              <c:ext xmlns:c16="http://schemas.microsoft.com/office/drawing/2014/chart" uri="{C3380CC4-5D6E-409C-BE32-E72D297353CC}">
                <c16:uniqueId val="{00000015-D869-43C4-8360-E7B16EA9F1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'Décomposition import'!$AC$4:$AC$14</c:f>
              <c:strCache>
                <c:ptCount val="11"/>
                <c:pt idx="0">
                  <c:v>Intrants textiles </c:v>
                </c:pt>
                <c:pt idx="1">
                  <c:v>Pétrole</c:v>
                </c:pt>
                <c:pt idx="2">
                  <c:v>Machines, équipements électriques, appareils mécaniques</c:v>
                </c:pt>
                <c:pt idx="3">
                  <c:v>Matériels de construction </c:v>
                </c:pt>
                <c:pt idx="4">
                  <c:v>Véhicules</c:v>
                </c:pt>
                <c:pt idx="5">
                  <c:v>Produits en plastique</c:v>
                </c:pt>
                <c:pt idx="6">
                  <c:v>Produits chimiques</c:v>
                </c:pt>
                <c:pt idx="7">
                  <c:v>Papier, carton, ouvrages en pâte à papier</c:v>
                </c:pt>
                <c:pt idx="8">
                  <c:v>Engrais</c:v>
                </c:pt>
                <c:pt idx="9">
                  <c:v>Produits pharmaceutiques</c:v>
                </c:pt>
                <c:pt idx="10">
                  <c:v>Autres</c:v>
                </c:pt>
              </c:strCache>
            </c:strRef>
          </c:cat>
          <c:val>
            <c:numRef>
              <c:f>'Décomposition import'!$AD$4:$AD$14</c:f>
              <c:numCache>
                <c:formatCode>0%</c:formatCode>
                <c:ptCount val="11"/>
                <c:pt idx="0">
                  <c:v>0.18</c:v>
                </c:pt>
                <c:pt idx="1">
                  <c:v>0.14000000000000001</c:v>
                </c:pt>
                <c:pt idx="2">
                  <c:v>0.12</c:v>
                </c:pt>
                <c:pt idx="3">
                  <c:v>7.8112172073572128E-2</c:v>
                </c:pt>
                <c:pt idx="4">
                  <c:v>5.5349067713812157E-2</c:v>
                </c:pt>
                <c:pt idx="5">
                  <c:v>4.3999999999999997E-2</c:v>
                </c:pt>
                <c:pt idx="6">
                  <c:v>4.1000000000000002E-2</c:v>
                </c:pt>
                <c:pt idx="7">
                  <c:v>2.3E-2</c:v>
                </c:pt>
                <c:pt idx="8">
                  <c:v>1.2999999999999999E-2</c:v>
                </c:pt>
                <c:pt idx="9">
                  <c:v>1.4E-2</c:v>
                </c:pt>
                <c:pt idx="10">
                  <c:v>0.29153876021261549</c:v>
                </c:pt>
              </c:numCache>
            </c:numRef>
          </c:val>
          <c:extLst>
            <c:ext xmlns:c16="http://schemas.microsoft.com/office/drawing/2014/chart" uri="{C3380CC4-5D6E-409C-BE32-E72D297353CC}">
              <c16:uniqueId val="{00000016-D869-43C4-8360-E7B16EA9F10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2.7634128882448403E-3"/>
          <c:y val="0.46466152114333287"/>
          <c:w val="0.98560399462262338"/>
          <c:h val="0.532755078793029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Segoe UI" panose="020B0502040204020203" pitchFamily="34" charset="0"/>
          <a:cs typeface="Segoe UI" panose="020B0502040204020203" pitchFamily="34"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3.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7089C39-B73A-4C06-BD6A-F911CC705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TEMPLATE_NOTE-RESEAU 2024.dotx</Template>
  <TotalTime>6</TotalTime>
  <Pages>2</Pages>
  <Words>4</Words>
  <Characters>28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 Junsereiwath</dc:creator>
  <cp:keywords>template</cp:keywords>
  <dc:description/>
  <cp:lastModifiedBy>SOK Junsereiwath</cp:lastModifiedBy>
  <cp:revision>3</cp:revision>
  <dcterms:created xsi:type="dcterms:W3CDTF">2024-07-26T08:51:00Z</dcterms:created>
  <dcterms:modified xsi:type="dcterms:W3CDTF">2024-07-26T08:55:00Z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