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7662" w14:textId="12D4D16D" w:rsidR="00574615" w:rsidRPr="00574615" w:rsidRDefault="00A46A38" w:rsidP="007D6617">
      <w:pPr>
        <w:spacing w:before="80" w:after="80"/>
        <w:ind w:right="1"/>
        <w:jc w:val="center"/>
        <w:rPr>
          <w:rFonts w:ascii="Segoe UI" w:hAnsi="Segoe UI" w:cs="Segoe UI"/>
          <w:color w:val="000091" w:themeColor="text1"/>
          <w:sz w:val="28"/>
          <w:szCs w:val="28"/>
          <w:lang w:eastAsia="fr-FR"/>
        </w:rPr>
      </w:pPr>
      <w:r>
        <w:rPr>
          <w:noProof/>
        </w:rPr>
        <w:drawing>
          <wp:anchor distT="0" distB="0" distL="114300" distR="114300" simplePos="0" relativeHeight="251675648" behindDoc="0" locked="0" layoutInCell="1" allowOverlap="1" wp14:anchorId="72749B0C" wp14:editId="1C81CF9E">
            <wp:simplePos x="0" y="0"/>
            <wp:positionH relativeFrom="column">
              <wp:posOffset>-594995</wp:posOffset>
            </wp:positionH>
            <wp:positionV relativeFrom="page">
              <wp:posOffset>85725</wp:posOffset>
            </wp:positionV>
            <wp:extent cx="2495550" cy="1248410"/>
            <wp:effectExtent l="0" t="0" r="0" b="889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550" cy="1248410"/>
                    </a:xfrm>
                    <a:prstGeom prst="rect">
                      <a:avLst/>
                    </a:prstGeom>
                    <a:ln cap="flat">
                      <a:prstDash val="solid"/>
                      <a:miter/>
                    </a:ln>
                  </pic:spPr>
                </pic:pic>
              </a:graphicData>
            </a:graphic>
            <wp14:sizeRelH relativeFrom="margin">
              <wp14:pctWidth>0</wp14:pctWidth>
            </wp14:sizeRelH>
            <wp14:sizeRelV relativeFrom="margin">
              <wp14:pctHeight>0</wp14:pctHeight>
            </wp14:sizeRelV>
          </wp:anchor>
        </w:drawing>
      </w:r>
      <w:r w:rsidR="00FD7798">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3B2E67B7">
                <wp:simplePos x="0" y="0"/>
                <wp:positionH relativeFrom="column">
                  <wp:posOffset>-528320</wp:posOffset>
                </wp:positionH>
                <wp:positionV relativeFrom="paragraph">
                  <wp:posOffset>1407160</wp:posOffset>
                </wp:positionV>
                <wp:extent cx="6800850" cy="38100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8100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04EFECEC" w:rsidR="00532CE3" w:rsidRDefault="009876DF" w:rsidP="00532CE3">
                            <w:pPr>
                              <w:jc w:val="center"/>
                            </w:pPr>
                            <w:r>
                              <w:rPr>
                                <w:rFonts w:ascii="Segoe UI" w:hAnsi="Segoe UI" w:cs="Segoe UI"/>
                                <w:b/>
                                <w:bCs/>
                                <w:color w:val="000091" w:themeColor="text1"/>
                                <w:sz w:val="32"/>
                                <w:szCs w:val="20"/>
                              </w:rPr>
                              <w:t>Bangladesh</w:t>
                            </w:r>
                            <w:r w:rsidR="0033550C">
                              <w:rPr>
                                <w:rFonts w:ascii="Segoe UI" w:hAnsi="Segoe UI" w:cs="Segoe UI"/>
                                <w:b/>
                                <w:bCs/>
                                <w:color w:val="000091" w:themeColor="text1"/>
                                <w:sz w:val="32"/>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8pt;width:535.5pt;height:30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" fillcolor="#fcc63a" stroked="f" strokeweight="1pt">
                <v:textbox>
                  <w:txbxContent>
                    <w:p w14:paraId="2ED3FE0E" w14:textId="04EFECEC" w:rsidR="00532CE3" w:rsidRDefault="009876DF" w:rsidP="00532CE3">
                      <w:pPr>
                        <w:jc w:val="center"/>
                      </w:pPr>
                      <w:r>
                        <w:rPr>
                          <w:rFonts w:ascii="Segoe UI" w:hAnsi="Segoe UI" w:cs="Segoe UI"/>
                          <w:b/>
                          <w:bCs/>
                          <w:color w:val="000091" w:themeColor="text1"/>
                          <w:sz w:val="32"/>
                          <w:szCs w:val="20"/>
                        </w:rPr>
                        <w:t>Bangladesh</w:t>
                      </w:r>
                      <w:r w:rsidR="0033550C">
                        <w:rPr>
                          <w:rFonts w:ascii="Segoe UI" w:hAnsi="Segoe UI" w:cs="Segoe UI"/>
                          <w:b/>
                          <w:bCs/>
                          <w:color w:val="000091" w:themeColor="text1"/>
                          <w:sz w:val="32"/>
                          <w:szCs w:val="20"/>
                        </w:rPr>
                        <w:t xml:space="preserve"> </w:t>
                      </w:r>
                    </w:p>
                  </w:txbxContent>
                </v:textbox>
              </v:rect>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6FBBB2BA"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9876DF">
                              <w:rPr>
                                <w:rFonts w:ascii="Segoe UI" w:hAnsi="Segoe UI" w:cs="Segoe UI"/>
                                <w:color w:val="000091" w:themeColor="text1"/>
                                <w:sz w:val="17"/>
                                <w:szCs w:val="17"/>
                                <w:lang w:eastAsia="ja-JP"/>
                              </w:rPr>
                              <w:t>Anaïs Blachon</w:t>
                            </w:r>
                            <w:r w:rsidR="00A1730E">
                              <w:rPr>
                                <w:rFonts w:ascii="Segoe UI" w:hAnsi="Segoe UI" w:cs="Segoe UI"/>
                                <w:color w:val="000091" w:themeColor="text1"/>
                                <w:sz w:val="17"/>
                                <w:szCs w:val="17"/>
                                <w:lang w:eastAsia="ja-JP"/>
                              </w:rPr>
                              <w:t>/</w:t>
                            </w:r>
                            <w:r w:rsidR="006B347C">
                              <w:rPr>
                                <w:rFonts w:ascii="Segoe UI" w:hAnsi="Segoe UI" w:cs="Segoe UI"/>
                                <w:color w:val="000091" w:themeColor="text1"/>
                                <w:sz w:val="17"/>
                                <w:szCs w:val="17"/>
                                <w:lang w:eastAsia="ja-JP"/>
                              </w:rPr>
                              <w:t>Julien Deur</w:t>
                            </w:r>
                          </w:p>
                          <w:p w14:paraId="07E31681" w14:textId="150DAF27"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1C2832">
                              <w:rPr>
                                <w:rFonts w:ascii="Segoe UI" w:hAnsi="Segoe UI" w:cs="Segoe UI"/>
                                <w:color w:val="000091" w:themeColor="text1"/>
                                <w:sz w:val="17"/>
                                <w:szCs w:val="17"/>
                                <w:lang w:eastAsia="ja-JP"/>
                              </w:rPr>
                              <w:t>Yann Riegel</w:t>
                            </w:r>
                            <w:r w:rsidR="00AB0644">
                              <w:rPr>
                                <w:rFonts w:ascii="Segoe UI" w:hAnsi="Segoe UI" w:cs="Segoe UI"/>
                                <w:color w:val="000091" w:themeColor="text1"/>
                                <w:sz w:val="17"/>
                                <w:szCs w:val="17"/>
                                <w:lang w:eastAsia="ja-JP"/>
                              </w:rPr>
                              <w:t xml:space="preserve">/David </w:t>
                            </w:r>
                            <w:proofErr w:type="spellStart"/>
                            <w:r w:rsidR="00AB0644">
                              <w:rPr>
                                <w:rFonts w:ascii="Segoe UI" w:hAnsi="Segoe UI" w:cs="Segoe UI"/>
                                <w:color w:val="000091" w:themeColor="text1"/>
                                <w:sz w:val="17"/>
                                <w:szCs w:val="17"/>
                                <w:lang w:eastAsia="ja-JP"/>
                              </w:rPr>
                              <w:t>Karmouni</w:t>
                            </w:r>
                            <w:proofErr w:type="spellEnd"/>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6FBBB2BA"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 </w:t>
                      </w:r>
                      <w:r w:rsidR="009876DF">
                        <w:rPr>
                          <w:rFonts w:ascii="Segoe UI" w:hAnsi="Segoe UI" w:cs="Segoe UI"/>
                          <w:color w:val="000091" w:themeColor="text1"/>
                          <w:sz w:val="17"/>
                          <w:szCs w:val="17"/>
                          <w:lang w:eastAsia="ja-JP"/>
                        </w:rPr>
                        <w:t>Anaïs Blachon</w:t>
                      </w:r>
                      <w:r w:rsidR="00A1730E">
                        <w:rPr>
                          <w:rFonts w:ascii="Segoe UI" w:hAnsi="Segoe UI" w:cs="Segoe UI"/>
                          <w:color w:val="000091" w:themeColor="text1"/>
                          <w:sz w:val="17"/>
                          <w:szCs w:val="17"/>
                          <w:lang w:eastAsia="ja-JP"/>
                        </w:rPr>
                        <w:t>/</w:t>
                      </w:r>
                      <w:r w:rsidR="006B347C">
                        <w:rPr>
                          <w:rFonts w:ascii="Segoe UI" w:hAnsi="Segoe UI" w:cs="Segoe UI"/>
                          <w:color w:val="000091" w:themeColor="text1"/>
                          <w:sz w:val="17"/>
                          <w:szCs w:val="17"/>
                          <w:lang w:eastAsia="ja-JP"/>
                        </w:rPr>
                        <w:t xml:space="preserve">Julien </w:t>
                      </w:r>
                      <w:proofErr w:type="spellStart"/>
                      <w:r w:rsidR="006B347C">
                        <w:rPr>
                          <w:rFonts w:ascii="Segoe UI" w:hAnsi="Segoe UI" w:cs="Segoe UI"/>
                          <w:color w:val="000091" w:themeColor="text1"/>
                          <w:sz w:val="17"/>
                          <w:szCs w:val="17"/>
                          <w:lang w:eastAsia="ja-JP"/>
                        </w:rPr>
                        <w:t>Deur</w:t>
                      </w:r>
                      <w:proofErr w:type="spellEnd"/>
                    </w:p>
                    <w:p w14:paraId="07E31681" w14:textId="150DAF27"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 xml:space="preserve">Visa : </w:t>
                      </w:r>
                      <w:r w:rsidR="001C2832">
                        <w:rPr>
                          <w:rFonts w:ascii="Segoe UI" w:hAnsi="Segoe UI" w:cs="Segoe UI"/>
                          <w:color w:val="000091" w:themeColor="text1"/>
                          <w:sz w:val="17"/>
                          <w:szCs w:val="17"/>
                          <w:lang w:eastAsia="ja-JP"/>
                        </w:rPr>
                        <w:t>Yann Riegel</w:t>
                      </w:r>
                      <w:r w:rsidR="00AB0644">
                        <w:rPr>
                          <w:rFonts w:ascii="Segoe UI" w:hAnsi="Segoe UI" w:cs="Segoe UI"/>
                          <w:color w:val="000091" w:themeColor="text1"/>
                          <w:sz w:val="17"/>
                          <w:szCs w:val="17"/>
                          <w:lang w:eastAsia="ja-JP"/>
                        </w:rPr>
                        <w:t xml:space="preserve">/David </w:t>
                      </w:r>
                      <w:proofErr w:type="spellStart"/>
                      <w:r w:rsidR="00AB0644">
                        <w:rPr>
                          <w:rFonts w:ascii="Segoe UI" w:hAnsi="Segoe UI" w:cs="Segoe UI"/>
                          <w:color w:val="000091" w:themeColor="text1"/>
                          <w:sz w:val="17"/>
                          <w:szCs w:val="17"/>
                          <w:lang w:eastAsia="ja-JP"/>
                        </w:rPr>
                        <w:t>Karmouni</w:t>
                      </w:r>
                      <w:proofErr w:type="spellEnd"/>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00FD7798"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5C2D8287" w:rsidR="00490B3C" w:rsidRPr="00532CE3" w:rsidRDefault="00C07354"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Dhaka</w:t>
                            </w:r>
                            <w:r w:rsidR="00490B3C" w:rsidRPr="00532CE3">
                              <w:rPr>
                                <w:rFonts w:ascii="Segoe UI" w:hAnsi="Segoe UI" w:cs="Segoe UI"/>
                                <w:color w:val="986E02" w:themeColor="accent2" w:themeShade="80"/>
                                <w:sz w:val="17"/>
                                <w:szCs w:val="17"/>
                                <w:lang w:eastAsia="ja-JP"/>
                              </w:rPr>
                              <w:t xml:space="preserve">, </w:t>
                            </w:r>
                            <w:r w:rsidR="00D136AA">
                              <w:rPr>
                                <w:rFonts w:ascii="Segoe UI" w:hAnsi="Segoe UI" w:cs="Segoe UI"/>
                                <w:color w:val="986E02" w:themeColor="accent2" w:themeShade="80"/>
                                <w:sz w:val="17"/>
                                <w:szCs w:val="17"/>
                                <w:lang w:eastAsia="ja-JP"/>
                              </w:rPr>
                              <w:t>2</w:t>
                            </w:r>
                            <w:r w:rsidR="00D573CB">
                              <w:rPr>
                                <w:rFonts w:ascii="Segoe UI" w:hAnsi="Segoe UI" w:cs="Segoe UI"/>
                                <w:color w:val="986E02" w:themeColor="accent2" w:themeShade="80"/>
                                <w:sz w:val="17"/>
                                <w:szCs w:val="17"/>
                                <w:lang w:eastAsia="ja-JP"/>
                              </w:rPr>
                              <w:t>4</w:t>
                            </w:r>
                            <w:r w:rsidR="001074CF">
                              <w:rPr>
                                <w:rFonts w:ascii="Segoe UI" w:hAnsi="Segoe UI" w:cs="Segoe UI"/>
                                <w:color w:val="986E02" w:themeColor="accent2" w:themeShade="80"/>
                                <w:sz w:val="17"/>
                                <w:szCs w:val="17"/>
                                <w:lang w:eastAsia="ja-JP"/>
                              </w:rPr>
                              <w:t xml:space="preserve"> </w:t>
                            </w:r>
                            <w:r w:rsidR="00D136AA">
                              <w:rPr>
                                <w:rFonts w:ascii="Segoe UI" w:hAnsi="Segoe UI" w:cs="Segoe UI"/>
                                <w:color w:val="986E02" w:themeColor="accent2" w:themeShade="80"/>
                                <w:sz w:val="17"/>
                                <w:szCs w:val="17"/>
                                <w:lang w:eastAsia="ja-JP"/>
                              </w:rPr>
                              <w:t>novembre</w:t>
                            </w:r>
                            <w:r w:rsidR="00A1730E">
                              <w:rPr>
                                <w:rFonts w:ascii="Segoe UI" w:hAnsi="Segoe UI" w:cs="Segoe UI"/>
                                <w:color w:val="986E02" w:themeColor="accent2" w:themeShade="80"/>
                                <w:sz w:val="17"/>
                                <w:szCs w:val="17"/>
                                <w:lang w:eastAsia="ja-JP"/>
                              </w:rPr>
                              <w:t xml:space="preserve"> 2024</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5C2D8287" w:rsidR="00490B3C" w:rsidRPr="00532CE3" w:rsidRDefault="00C07354"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Dhaka</w:t>
                      </w:r>
                      <w:r w:rsidR="00490B3C" w:rsidRPr="00532CE3">
                        <w:rPr>
                          <w:rFonts w:ascii="Segoe UI" w:hAnsi="Segoe UI" w:cs="Segoe UI"/>
                          <w:color w:val="986E02" w:themeColor="accent2" w:themeShade="80"/>
                          <w:sz w:val="17"/>
                          <w:szCs w:val="17"/>
                          <w:lang w:eastAsia="ja-JP"/>
                        </w:rPr>
                        <w:t xml:space="preserve">, </w:t>
                      </w:r>
                      <w:r w:rsidR="00D136AA">
                        <w:rPr>
                          <w:rFonts w:ascii="Segoe UI" w:hAnsi="Segoe UI" w:cs="Segoe UI"/>
                          <w:color w:val="986E02" w:themeColor="accent2" w:themeShade="80"/>
                          <w:sz w:val="17"/>
                          <w:szCs w:val="17"/>
                          <w:lang w:eastAsia="ja-JP"/>
                        </w:rPr>
                        <w:t>2</w:t>
                      </w:r>
                      <w:r w:rsidR="00D573CB">
                        <w:rPr>
                          <w:rFonts w:ascii="Segoe UI" w:hAnsi="Segoe UI" w:cs="Segoe UI"/>
                          <w:color w:val="986E02" w:themeColor="accent2" w:themeShade="80"/>
                          <w:sz w:val="17"/>
                          <w:szCs w:val="17"/>
                          <w:lang w:eastAsia="ja-JP"/>
                        </w:rPr>
                        <w:t>4</w:t>
                      </w:r>
                      <w:r w:rsidR="001074CF">
                        <w:rPr>
                          <w:rFonts w:ascii="Segoe UI" w:hAnsi="Segoe UI" w:cs="Segoe UI"/>
                          <w:color w:val="986E02" w:themeColor="accent2" w:themeShade="80"/>
                          <w:sz w:val="17"/>
                          <w:szCs w:val="17"/>
                          <w:lang w:eastAsia="ja-JP"/>
                        </w:rPr>
                        <w:t xml:space="preserve"> </w:t>
                      </w:r>
                      <w:r w:rsidR="00D136AA">
                        <w:rPr>
                          <w:rFonts w:ascii="Segoe UI" w:hAnsi="Segoe UI" w:cs="Segoe UI"/>
                          <w:color w:val="986E02" w:themeColor="accent2" w:themeShade="80"/>
                          <w:sz w:val="17"/>
                          <w:szCs w:val="17"/>
                          <w:lang w:eastAsia="ja-JP"/>
                        </w:rPr>
                        <w:t>novembre</w:t>
                      </w:r>
                      <w:r w:rsidR="00A1730E">
                        <w:rPr>
                          <w:rFonts w:ascii="Segoe UI" w:hAnsi="Segoe UI" w:cs="Segoe UI"/>
                          <w:color w:val="986E02" w:themeColor="accent2" w:themeShade="80"/>
                          <w:sz w:val="17"/>
                          <w:szCs w:val="17"/>
                          <w:lang w:eastAsia="ja-JP"/>
                        </w:rPr>
                        <w:t xml:space="preserve"> 2024</w:t>
                      </w:r>
                    </w:p>
                    <w:p w14:paraId="36A3B918" w14:textId="266F4991" w:rsidR="00490B3C" w:rsidRPr="00490B3C" w:rsidRDefault="00490B3C">
                      <w:pPr>
                        <w:rPr>
                          <w:sz w:val="28"/>
                          <w:szCs w:val="28"/>
                        </w:rPr>
                      </w:pPr>
                    </w:p>
                  </w:txbxContent>
                </v:textbox>
                <w10:wrap type="square" anchorx="margin"/>
              </v:shape>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73C23C3C">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437E1E2A"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C07354">
                              <w:rPr>
                                <w:rFonts w:ascii="Segoe UI" w:hAnsi="Segoe UI" w:cs="Segoe UI"/>
                                <w:bCs/>
                                <w:color w:val="000091" w:themeColor="text1"/>
                                <w:sz w:val="18"/>
                                <w:szCs w:val="18"/>
                                <w:lang w:eastAsia="ja-JP"/>
                              </w:rPr>
                              <w:t>France au Bangladesh</w:t>
                            </w:r>
                          </w:p>
                          <w:p w14:paraId="3D62CBBB" w14:textId="6AEB3E26"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C07354">
                              <w:rPr>
                                <w:rFonts w:ascii="Segoe UI" w:hAnsi="Segoe UI" w:cs="Segoe UI"/>
                                <w:bCs/>
                                <w:color w:val="000091" w:themeColor="text1"/>
                                <w:sz w:val="18"/>
                                <w:szCs w:val="18"/>
                                <w:lang w:eastAsia="ja-JP"/>
                              </w:rPr>
                              <w:t xml:space="preserve"> de Dhaka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437E1E2A"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w:t>
                      </w:r>
                      <w:r w:rsidR="00C07354">
                        <w:rPr>
                          <w:rFonts w:ascii="Segoe UI" w:hAnsi="Segoe UI" w:cs="Segoe UI"/>
                          <w:bCs/>
                          <w:color w:val="000091" w:themeColor="text1"/>
                          <w:sz w:val="18"/>
                          <w:szCs w:val="18"/>
                          <w:lang w:eastAsia="ja-JP"/>
                        </w:rPr>
                        <w:t>France au Bangladesh</w:t>
                      </w:r>
                    </w:p>
                    <w:p w14:paraId="3D62CBBB" w14:textId="6AEB3E26"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C07354">
                        <w:rPr>
                          <w:rFonts w:ascii="Segoe UI" w:hAnsi="Segoe UI" w:cs="Segoe UI"/>
                          <w:bCs/>
                          <w:color w:val="000091" w:themeColor="text1"/>
                          <w:sz w:val="18"/>
                          <w:szCs w:val="18"/>
                          <w:lang w:eastAsia="ja-JP"/>
                        </w:rPr>
                        <w:t xml:space="preserve"> de Dhaka</w:t>
                      </w:r>
                    </w:p>
                  </w:txbxContent>
                </v:textbox>
                <w10:wrap type="topAndBottom"/>
              </v:rect>
            </w:pict>
          </mc:Fallback>
        </mc:AlternateContent>
      </w:r>
      <w:r w:rsidR="00490B3C" w:rsidRPr="00490B3C">
        <w:rPr>
          <w:rFonts w:ascii="Segoe UI" w:hAnsi="Segoe UI" w:cs="Segoe UI"/>
          <w:color w:val="000091" w:themeColor="text1"/>
          <w:sz w:val="44"/>
          <w:szCs w:val="28"/>
        </w:rPr>
        <w:br/>
      </w:r>
      <w:r w:rsidR="007370C9">
        <w:rPr>
          <w:rFonts w:ascii="Segoe UI" w:hAnsi="Segoe UI" w:cs="Segoe UI"/>
          <w:color w:val="000091" w:themeColor="text1"/>
          <w:sz w:val="28"/>
          <w:szCs w:val="28"/>
          <w:lang w:eastAsia="fr-FR"/>
        </w:rPr>
        <w:t>Un secteur bancaire en très grande difficulté</w:t>
      </w:r>
    </w:p>
    <w:p w14:paraId="1C221411" w14:textId="37B10CCF" w:rsidR="00574615" w:rsidRDefault="00574615" w:rsidP="00F4255E">
      <w:pPr>
        <w:pStyle w:val="Sansinterligne"/>
        <w:ind w:left="-284"/>
        <w:jc w:val="both"/>
        <w:rPr>
          <w:rFonts w:ascii="Segoe UI" w:hAnsi="Segoe UI" w:cs="Segoe UI"/>
          <w:noProof/>
          <w:color w:val="000091" w:themeColor="text1"/>
          <w:sz w:val="20"/>
          <w:szCs w:val="20"/>
          <w:lang w:val="es-419" w:eastAsia="fr-FR"/>
        </w:rPr>
      </w:pPr>
    </w:p>
    <w:p w14:paraId="0EF18DDA" w14:textId="56E30E90" w:rsidR="007C5E88" w:rsidRDefault="001C2832" w:rsidP="00A73061">
      <w:pPr>
        <w:pStyle w:val="Sansinterligne"/>
        <w:spacing w:after="240"/>
        <w:ind w:left="-284"/>
        <w:jc w:val="both"/>
        <w:rPr>
          <w:rFonts w:ascii="Segoe UI" w:hAnsi="Segoe UI" w:cs="Segoe UI"/>
          <w:noProof/>
          <w:color w:val="000091" w:themeColor="text1"/>
          <w:sz w:val="20"/>
          <w:szCs w:val="20"/>
          <w:lang w:val="es-419" w:eastAsia="fr-FR"/>
        </w:rPr>
      </w:pPr>
      <w:r>
        <w:rPr>
          <w:rFonts w:ascii="Segoe UI" w:hAnsi="Segoe UI" w:cs="Segoe UI"/>
          <w:noProof/>
          <w:color w:val="000091" w:themeColor="text1"/>
          <w:sz w:val="20"/>
          <w:szCs w:val="20"/>
          <w:u w:val="single"/>
          <w:lang w:val="es-419" w:eastAsia="fr-FR"/>
        </w:rPr>
        <w:t>Ré</w:t>
      </w:r>
      <w:r w:rsidR="008E7848">
        <w:rPr>
          <w:rFonts w:ascii="Segoe UI" w:hAnsi="Segoe UI" w:cs="Segoe UI"/>
          <w:noProof/>
          <w:color w:val="000091" w:themeColor="text1"/>
          <w:sz w:val="20"/>
          <w:szCs w:val="20"/>
          <w:u w:val="single"/>
          <w:lang w:val="es-419" w:eastAsia="fr-FR"/>
        </w:rPr>
        <w:t>s</w:t>
      </w:r>
      <w:r>
        <w:rPr>
          <w:rFonts w:ascii="Segoe UI" w:hAnsi="Segoe UI" w:cs="Segoe UI"/>
          <w:noProof/>
          <w:color w:val="000091" w:themeColor="text1"/>
          <w:sz w:val="20"/>
          <w:szCs w:val="20"/>
          <w:u w:val="single"/>
          <w:lang w:val="es-419" w:eastAsia="fr-FR"/>
        </w:rPr>
        <w:t>umé :</w:t>
      </w:r>
      <w:r w:rsidRPr="00FB4E24">
        <w:rPr>
          <w:rFonts w:ascii="Segoe UI" w:hAnsi="Segoe UI" w:cs="Segoe UI"/>
          <w:noProof/>
          <w:color w:val="000091" w:themeColor="text1"/>
          <w:sz w:val="20"/>
          <w:szCs w:val="20"/>
          <w:lang w:val="es-419" w:eastAsia="fr-FR"/>
        </w:rPr>
        <w:t xml:space="preserve"> </w:t>
      </w:r>
      <w:r w:rsidR="006E3496" w:rsidRPr="006E3496">
        <w:rPr>
          <w:rFonts w:ascii="Segoe UI" w:hAnsi="Segoe UI" w:cs="Segoe UI"/>
          <w:noProof/>
          <w:color w:val="000091" w:themeColor="text1"/>
          <w:sz w:val="20"/>
          <w:szCs w:val="20"/>
          <w:lang w:val="es-419" w:eastAsia="fr-FR"/>
        </w:rPr>
        <w:t xml:space="preserve">Le secteur bancaire </w:t>
      </w:r>
      <w:r w:rsidR="00B17292">
        <w:rPr>
          <w:rFonts w:ascii="Segoe UI" w:hAnsi="Segoe UI" w:cs="Segoe UI"/>
          <w:noProof/>
          <w:color w:val="000091" w:themeColor="text1"/>
          <w:sz w:val="20"/>
          <w:szCs w:val="20"/>
          <w:lang w:val="es-419" w:eastAsia="fr-FR"/>
        </w:rPr>
        <w:t>a</w:t>
      </w:r>
      <w:r w:rsidR="006E3496" w:rsidRPr="006E3496">
        <w:rPr>
          <w:rFonts w:ascii="Segoe UI" w:hAnsi="Segoe UI" w:cs="Segoe UI"/>
          <w:noProof/>
          <w:color w:val="000091" w:themeColor="text1"/>
          <w:sz w:val="20"/>
          <w:szCs w:val="20"/>
          <w:lang w:val="es-419" w:eastAsia="fr-FR"/>
        </w:rPr>
        <w:t xml:space="preserve">u Bangladesh </w:t>
      </w:r>
      <w:r w:rsidR="00966E3A">
        <w:rPr>
          <w:rFonts w:ascii="Segoe UI" w:hAnsi="Segoe UI" w:cs="Segoe UI"/>
          <w:noProof/>
          <w:color w:val="000091" w:themeColor="text1"/>
          <w:sz w:val="20"/>
          <w:szCs w:val="20"/>
          <w:lang w:val="es-419" w:eastAsia="fr-FR"/>
        </w:rPr>
        <w:t>paraî</w:t>
      </w:r>
      <w:r w:rsidR="006E3496" w:rsidRPr="006E3496">
        <w:rPr>
          <w:rFonts w:ascii="Segoe UI" w:hAnsi="Segoe UI" w:cs="Segoe UI"/>
          <w:noProof/>
          <w:color w:val="000091" w:themeColor="text1"/>
          <w:sz w:val="20"/>
          <w:szCs w:val="20"/>
          <w:lang w:val="es-419" w:eastAsia="fr-FR"/>
        </w:rPr>
        <w:t>t actuellement en pleine restructuration, après avoir souffert pendant plusieurs années des conséquences d'une mauvaise gouvernance</w:t>
      </w:r>
      <w:r w:rsidR="00B17292">
        <w:rPr>
          <w:rFonts w:ascii="Segoe UI" w:hAnsi="Segoe UI" w:cs="Segoe UI"/>
          <w:noProof/>
          <w:color w:val="000091" w:themeColor="text1"/>
          <w:sz w:val="20"/>
          <w:szCs w:val="20"/>
          <w:lang w:val="es-419" w:eastAsia="fr-FR"/>
        </w:rPr>
        <w:t>,</w:t>
      </w:r>
      <w:r w:rsidR="006E3496" w:rsidRPr="006E3496">
        <w:rPr>
          <w:rFonts w:ascii="Segoe UI" w:hAnsi="Segoe UI" w:cs="Segoe UI"/>
          <w:noProof/>
          <w:color w:val="000091" w:themeColor="text1"/>
          <w:sz w:val="20"/>
          <w:szCs w:val="20"/>
          <w:lang w:val="es-419" w:eastAsia="fr-FR"/>
        </w:rPr>
        <w:t xml:space="preserve"> exploitée par l'élite politique et économique</w:t>
      </w:r>
      <w:r w:rsidR="006E3496">
        <w:rPr>
          <w:rFonts w:ascii="Segoe UI" w:hAnsi="Segoe UI" w:cs="Segoe UI"/>
          <w:noProof/>
          <w:color w:val="000091" w:themeColor="text1"/>
          <w:sz w:val="20"/>
          <w:szCs w:val="20"/>
          <w:lang w:val="es-419" w:eastAsia="fr-FR"/>
        </w:rPr>
        <w:t xml:space="preserve"> pour s’enrichir</w:t>
      </w:r>
      <w:r w:rsidR="006E3496" w:rsidRPr="006E3496">
        <w:rPr>
          <w:rFonts w:ascii="Segoe UI" w:hAnsi="Segoe UI" w:cs="Segoe UI"/>
          <w:noProof/>
          <w:color w:val="000091" w:themeColor="text1"/>
          <w:sz w:val="20"/>
          <w:szCs w:val="20"/>
          <w:lang w:val="es-419" w:eastAsia="fr-FR"/>
        </w:rPr>
        <w:t>.</w:t>
      </w:r>
      <w:r w:rsidR="006E3496" w:rsidRPr="006E3496">
        <w:t xml:space="preserve"> </w:t>
      </w:r>
      <w:r w:rsidR="006E3496" w:rsidRPr="006E3496">
        <w:rPr>
          <w:rFonts w:ascii="Segoe UI" w:hAnsi="Segoe UI" w:cs="Segoe UI"/>
          <w:noProof/>
          <w:color w:val="000091" w:themeColor="text1"/>
          <w:sz w:val="20"/>
          <w:szCs w:val="20"/>
          <w:lang w:val="es-419" w:eastAsia="fr-FR"/>
        </w:rPr>
        <w:t>La situation est particulièrement préoccupante</w:t>
      </w:r>
      <w:r w:rsidR="007C5E88">
        <w:rPr>
          <w:rFonts w:ascii="Segoe UI" w:hAnsi="Segoe UI" w:cs="Segoe UI"/>
          <w:noProof/>
          <w:color w:val="000091" w:themeColor="text1"/>
          <w:sz w:val="20"/>
          <w:szCs w:val="20"/>
          <w:lang w:val="es-419" w:eastAsia="fr-FR"/>
        </w:rPr>
        <w:t xml:space="preserve"> avec une</w:t>
      </w:r>
      <w:r w:rsidR="00B17292">
        <w:rPr>
          <w:rFonts w:ascii="Segoe UI" w:hAnsi="Segoe UI" w:cs="Segoe UI"/>
          <w:noProof/>
          <w:color w:val="000091" w:themeColor="text1"/>
          <w:sz w:val="20"/>
          <w:szCs w:val="20"/>
          <w:lang w:val="es-419" w:eastAsia="fr-FR"/>
        </w:rPr>
        <w:t xml:space="preserve"> </w:t>
      </w:r>
      <w:r w:rsidR="007C5E88" w:rsidRPr="007C5E88">
        <w:rPr>
          <w:rFonts w:ascii="Segoe UI" w:hAnsi="Segoe UI" w:cs="Segoe UI"/>
          <w:noProof/>
          <w:color w:val="000091" w:themeColor="text1"/>
          <w:sz w:val="20"/>
          <w:szCs w:val="20"/>
          <w:lang w:val="es-419" w:eastAsia="fr-FR"/>
        </w:rPr>
        <w:t>part de créances douteuses</w:t>
      </w:r>
      <w:r w:rsidR="007C5E88">
        <w:rPr>
          <w:rFonts w:ascii="Segoe UI" w:hAnsi="Segoe UI" w:cs="Segoe UI"/>
          <w:noProof/>
          <w:color w:val="000091" w:themeColor="text1"/>
          <w:sz w:val="20"/>
          <w:szCs w:val="20"/>
          <w:lang w:val="es-419" w:eastAsia="fr-FR"/>
        </w:rPr>
        <w:t xml:space="preserve"> qui atteint 32% des encours en 2023</w:t>
      </w:r>
      <w:r w:rsidR="00B17292">
        <w:rPr>
          <w:rFonts w:ascii="Segoe UI" w:hAnsi="Segoe UI" w:cs="Segoe UI"/>
          <w:noProof/>
          <w:color w:val="000091" w:themeColor="text1"/>
          <w:sz w:val="20"/>
          <w:szCs w:val="20"/>
          <w:lang w:val="es-419" w:eastAsia="fr-FR"/>
        </w:rPr>
        <w:t>, tandis que de nombreuses banques se trouvent</w:t>
      </w:r>
      <w:r w:rsidR="00CD27FA">
        <w:rPr>
          <w:rFonts w:ascii="Segoe UI" w:hAnsi="Segoe UI" w:cs="Segoe UI"/>
          <w:noProof/>
          <w:color w:val="000091" w:themeColor="text1"/>
          <w:sz w:val="20"/>
          <w:szCs w:val="20"/>
          <w:lang w:val="es-419" w:eastAsia="fr-FR"/>
        </w:rPr>
        <w:t xml:space="preserve"> fortement sous-provisionnées. C</w:t>
      </w:r>
      <w:r w:rsidR="00CD27FA" w:rsidRPr="00CD27FA">
        <w:rPr>
          <w:rFonts w:ascii="Segoe UI" w:hAnsi="Segoe UI" w:cs="Segoe UI"/>
          <w:noProof/>
          <w:color w:val="000091" w:themeColor="text1"/>
          <w:sz w:val="20"/>
          <w:szCs w:val="20"/>
          <w:lang w:val="es-419" w:eastAsia="fr-FR"/>
        </w:rPr>
        <w:t xml:space="preserve">ertaines </w:t>
      </w:r>
      <w:r w:rsidR="00966E3A">
        <w:rPr>
          <w:rFonts w:ascii="Segoe UI" w:hAnsi="Segoe UI" w:cs="Segoe UI"/>
          <w:noProof/>
          <w:color w:val="000091" w:themeColor="text1"/>
          <w:sz w:val="20"/>
          <w:szCs w:val="20"/>
          <w:lang w:val="es-419" w:eastAsia="fr-FR"/>
        </w:rPr>
        <w:t xml:space="preserve">établissements </w:t>
      </w:r>
      <w:r w:rsidR="00CD27FA" w:rsidRPr="00CD27FA">
        <w:rPr>
          <w:rFonts w:ascii="Segoe UI" w:hAnsi="Segoe UI" w:cs="Segoe UI"/>
          <w:noProof/>
          <w:color w:val="000091" w:themeColor="text1"/>
          <w:sz w:val="20"/>
          <w:szCs w:val="20"/>
          <w:lang w:val="es-419" w:eastAsia="fr-FR"/>
        </w:rPr>
        <w:t>rencontrent également d'importants problèmes de liquidité</w:t>
      </w:r>
      <w:r w:rsidR="00CD27FA">
        <w:rPr>
          <w:rFonts w:ascii="Segoe UI" w:hAnsi="Segoe UI" w:cs="Segoe UI"/>
          <w:noProof/>
          <w:color w:val="000091" w:themeColor="text1"/>
          <w:sz w:val="20"/>
          <w:szCs w:val="20"/>
          <w:lang w:val="es-419" w:eastAsia="fr-FR"/>
        </w:rPr>
        <w:t xml:space="preserve">, contraignant </w:t>
      </w:r>
      <w:r w:rsidR="00CD27FA" w:rsidRPr="00CD27FA">
        <w:rPr>
          <w:rFonts w:ascii="Segoe UI" w:hAnsi="Segoe UI" w:cs="Segoe UI"/>
          <w:noProof/>
          <w:color w:val="000091" w:themeColor="text1"/>
          <w:sz w:val="20"/>
          <w:szCs w:val="20"/>
          <w:lang w:val="es-419" w:eastAsia="fr-FR"/>
        </w:rPr>
        <w:t xml:space="preserve">la Banque centrale à leur accorder des </w:t>
      </w:r>
      <w:r w:rsidR="00121A16">
        <w:rPr>
          <w:rFonts w:ascii="Segoe UI" w:hAnsi="Segoe UI" w:cs="Segoe UI"/>
          <w:noProof/>
          <w:color w:val="000091" w:themeColor="text1"/>
          <w:sz w:val="20"/>
          <w:szCs w:val="20"/>
          <w:lang w:val="es-419" w:eastAsia="fr-FR"/>
        </w:rPr>
        <w:t xml:space="preserve">refinancements </w:t>
      </w:r>
      <w:r w:rsidR="00CD27FA">
        <w:rPr>
          <w:rFonts w:ascii="Segoe UI" w:hAnsi="Segoe UI" w:cs="Segoe UI"/>
          <w:noProof/>
          <w:color w:val="000091" w:themeColor="text1"/>
          <w:sz w:val="20"/>
          <w:szCs w:val="20"/>
          <w:lang w:val="es-419" w:eastAsia="fr-FR"/>
        </w:rPr>
        <w:t>importants dans un contexte de</w:t>
      </w:r>
      <w:r w:rsidR="00043569">
        <w:rPr>
          <w:rFonts w:ascii="Segoe UI" w:hAnsi="Segoe UI" w:cs="Segoe UI"/>
          <w:noProof/>
          <w:color w:val="000091" w:themeColor="text1"/>
          <w:sz w:val="20"/>
          <w:szCs w:val="20"/>
          <w:lang w:val="es-419" w:eastAsia="fr-FR"/>
        </w:rPr>
        <w:t xml:space="preserve"> forte inflation</w:t>
      </w:r>
      <w:r w:rsidR="00CD27FA" w:rsidRPr="00CD27FA">
        <w:rPr>
          <w:rFonts w:ascii="Segoe UI" w:hAnsi="Segoe UI" w:cs="Segoe UI"/>
          <w:noProof/>
          <w:color w:val="000091" w:themeColor="text1"/>
          <w:sz w:val="20"/>
          <w:szCs w:val="20"/>
          <w:lang w:val="es-419" w:eastAsia="fr-FR"/>
        </w:rPr>
        <w:t>.</w:t>
      </w:r>
      <w:r w:rsidR="001074CF">
        <w:rPr>
          <w:rFonts w:ascii="Segoe UI" w:hAnsi="Segoe UI" w:cs="Segoe UI"/>
          <w:noProof/>
          <w:color w:val="000091" w:themeColor="text1"/>
          <w:sz w:val="20"/>
          <w:szCs w:val="20"/>
          <w:lang w:val="es-419" w:eastAsia="fr-FR"/>
        </w:rPr>
        <w:t xml:space="preserve"> </w:t>
      </w:r>
      <w:r w:rsidR="00A91E03" w:rsidRPr="00A91E03">
        <w:rPr>
          <w:rFonts w:ascii="Segoe UI" w:hAnsi="Segoe UI" w:cs="Segoe UI"/>
          <w:noProof/>
          <w:color w:val="000091" w:themeColor="text1"/>
          <w:sz w:val="20"/>
          <w:szCs w:val="20"/>
          <w:lang w:val="es-419" w:eastAsia="fr-FR"/>
        </w:rPr>
        <w:t xml:space="preserve">À ce jour, le véritable état du secteur demeure largement inconnu en raison de sa faible transparence, tandis que les révélations continuent de se multiplier. </w:t>
      </w:r>
      <w:r w:rsidR="00A91E03">
        <w:rPr>
          <w:rFonts w:ascii="Segoe UI" w:hAnsi="Segoe UI" w:cs="Segoe UI"/>
          <w:noProof/>
          <w:color w:val="000091" w:themeColor="text1"/>
          <w:sz w:val="20"/>
          <w:szCs w:val="20"/>
          <w:lang w:val="es-419" w:eastAsia="fr-FR"/>
        </w:rPr>
        <w:t>En octobre 2024, l</w:t>
      </w:r>
      <w:r w:rsidR="00A91E03" w:rsidRPr="00A91E03">
        <w:rPr>
          <w:rFonts w:ascii="Segoe UI" w:hAnsi="Segoe UI" w:cs="Segoe UI"/>
          <w:noProof/>
          <w:color w:val="000091" w:themeColor="text1"/>
          <w:sz w:val="20"/>
          <w:szCs w:val="20"/>
          <w:lang w:val="es-419" w:eastAsia="fr-FR"/>
        </w:rPr>
        <w:t>e gouverneur de la Banque centrale</w:t>
      </w:r>
      <w:r w:rsidR="00121A16">
        <w:rPr>
          <w:rFonts w:ascii="Segoe UI" w:hAnsi="Segoe UI" w:cs="Segoe UI"/>
          <w:noProof/>
          <w:color w:val="000091" w:themeColor="text1"/>
          <w:sz w:val="20"/>
          <w:szCs w:val="20"/>
          <w:lang w:val="es-419" w:eastAsia="fr-FR"/>
        </w:rPr>
        <w:t>, nommé par la nouvelle équipe au pouvoir,</w:t>
      </w:r>
      <w:r w:rsidR="00A91E03" w:rsidRPr="00A91E03">
        <w:rPr>
          <w:rFonts w:ascii="Segoe UI" w:hAnsi="Segoe UI" w:cs="Segoe UI"/>
          <w:noProof/>
          <w:color w:val="000091" w:themeColor="text1"/>
          <w:sz w:val="20"/>
          <w:szCs w:val="20"/>
          <w:lang w:val="es-419" w:eastAsia="fr-FR"/>
        </w:rPr>
        <w:t xml:space="preserve"> </w:t>
      </w:r>
      <w:r w:rsidR="00A91E03">
        <w:rPr>
          <w:rFonts w:ascii="Segoe UI" w:hAnsi="Segoe UI" w:cs="Segoe UI"/>
          <w:noProof/>
          <w:color w:val="000091" w:themeColor="text1"/>
          <w:sz w:val="20"/>
          <w:szCs w:val="20"/>
          <w:lang w:val="es-419" w:eastAsia="fr-FR"/>
        </w:rPr>
        <w:t>révélait encore</w:t>
      </w:r>
      <w:r w:rsidR="00A91E03" w:rsidRPr="00A91E03">
        <w:rPr>
          <w:rFonts w:ascii="Segoe UI" w:hAnsi="Segoe UI" w:cs="Segoe UI"/>
          <w:noProof/>
          <w:color w:val="000091" w:themeColor="text1"/>
          <w:sz w:val="20"/>
          <w:szCs w:val="20"/>
          <w:lang w:val="es-419" w:eastAsia="fr-FR"/>
        </w:rPr>
        <w:t xml:space="preserve"> qu'environ 17 </w:t>
      </w:r>
      <w:r w:rsidR="00A91E03">
        <w:rPr>
          <w:rFonts w:ascii="Segoe UI" w:hAnsi="Segoe UI" w:cs="Segoe UI"/>
          <w:noProof/>
          <w:color w:val="000091" w:themeColor="text1"/>
          <w:sz w:val="20"/>
          <w:szCs w:val="20"/>
          <w:lang w:val="es-419" w:eastAsia="fr-FR"/>
        </w:rPr>
        <w:t xml:space="preserve">Mds USD </w:t>
      </w:r>
      <w:r w:rsidR="00A91E03" w:rsidRPr="00A91E03">
        <w:rPr>
          <w:rFonts w:ascii="Segoe UI" w:hAnsi="Segoe UI" w:cs="Segoe UI"/>
          <w:noProof/>
          <w:color w:val="000091" w:themeColor="text1"/>
          <w:sz w:val="20"/>
          <w:szCs w:val="20"/>
          <w:lang w:val="es-419" w:eastAsia="fr-FR"/>
        </w:rPr>
        <w:t xml:space="preserve">avaient été transférés hors du Bangladesh </w:t>
      </w:r>
      <w:r w:rsidR="00A73061">
        <w:rPr>
          <w:rFonts w:ascii="Segoe UI" w:hAnsi="Segoe UI" w:cs="Segoe UI"/>
          <w:noProof/>
          <w:color w:val="000091" w:themeColor="text1"/>
          <w:sz w:val="20"/>
          <w:szCs w:val="20"/>
          <w:lang w:val="es-419" w:eastAsia="fr-FR"/>
        </w:rPr>
        <w:t>grâce à des emprunts</w:t>
      </w:r>
      <w:r w:rsidR="00A91E03" w:rsidRPr="00A91E03">
        <w:rPr>
          <w:rFonts w:ascii="Segoe UI" w:hAnsi="Segoe UI" w:cs="Segoe UI"/>
          <w:noProof/>
          <w:color w:val="000091" w:themeColor="text1"/>
          <w:sz w:val="20"/>
          <w:szCs w:val="20"/>
          <w:lang w:val="es-419" w:eastAsia="fr-FR"/>
        </w:rPr>
        <w:t xml:space="preserve"> frauduleu</w:t>
      </w:r>
      <w:r w:rsidR="00A73061">
        <w:rPr>
          <w:rFonts w:ascii="Segoe UI" w:hAnsi="Segoe UI" w:cs="Segoe UI"/>
          <w:noProof/>
          <w:color w:val="000091" w:themeColor="text1"/>
          <w:sz w:val="20"/>
          <w:szCs w:val="20"/>
          <w:lang w:val="es-419" w:eastAsia="fr-FR"/>
        </w:rPr>
        <w:t>x</w:t>
      </w:r>
      <w:r w:rsidR="00A91E03" w:rsidRPr="00A91E03">
        <w:rPr>
          <w:rFonts w:ascii="Segoe UI" w:hAnsi="Segoe UI" w:cs="Segoe UI"/>
          <w:noProof/>
          <w:color w:val="000091" w:themeColor="text1"/>
          <w:sz w:val="20"/>
          <w:szCs w:val="20"/>
          <w:lang w:val="es-419" w:eastAsia="fr-FR"/>
        </w:rPr>
        <w:t>, tacitement approuvés par le précédent gouvernement</w:t>
      </w:r>
      <w:r w:rsidR="00A91E03">
        <w:rPr>
          <w:rFonts w:ascii="Segoe UI" w:hAnsi="Segoe UI" w:cs="Segoe UI"/>
          <w:noProof/>
          <w:color w:val="000091" w:themeColor="text1"/>
          <w:sz w:val="20"/>
          <w:szCs w:val="20"/>
          <w:lang w:val="es-419" w:eastAsia="fr-FR"/>
        </w:rPr>
        <w:t>. Néanmoins, l</w:t>
      </w:r>
      <w:r w:rsidR="00A91E03" w:rsidRPr="00A91E03">
        <w:rPr>
          <w:rFonts w:ascii="Segoe UI" w:hAnsi="Segoe UI" w:cs="Segoe UI"/>
          <w:noProof/>
          <w:color w:val="000091" w:themeColor="text1"/>
          <w:sz w:val="20"/>
          <w:szCs w:val="20"/>
          <w:lang w:val="es-419" w:eastAsia="fr-FR"/>
        </w:rPr>
        <w:t xml:space="preserve">e gouvernement intérimaire </w:t>
      </w:r>
      <w:r w:rsidR="00A91E03">
        <w:rPr>
          <w:rFonts w:ascii="Segoe UI" w:hAnsi="Segoe UI" w:cs="Segoe UI"/>
          <w:noProof/>
          <w:color w:val="000091" w:themeColor="text1"/>
          <w:sz w:val="20"/>
          <w:szCs w:val="20"/>
          <w:lang w:val="es-419" w:eastAsia="fr-FR"/>
        </w:rPr>
        <w:t xml:space="preserve">a </w:t>
      </w:r>
      <w:r w:rsidR="00A91E03" w:rsidRPr="00A91E03">
        <w:rPr>
          <w:rFonts w:ascii="Segoe UI" w:hAnsi="Segoe UI" w:cs="Segoe UI"/>
          <w:noProof/>
          <w:color w:val="000091" w:themeColor="text1"/>
          <w:sz w:val="20"/>
          <w:szCs w:val="20"/>
          <w:lang w:val="es-419" w:eastAsia="fr-FR"/>
        </w:rPr>
        <w:t>placé la restauration de la confiance dans le secteur bancaire comme l’une de</w:t>
      </w:r>
      <w:r w:rsidR="00A91E03">
        <w:rPr>
          <w:rFonts w:ascii="Segoe UI" w:hAnsi="Segoe UI" w:cs="Segoe UI"/>
          <w:noProof/>
          <w:color w:val="000091" w:themeColor="text1"/>
          <w:sz w:val="20"/>
          <w:szCs w:val="20"/>
          <w:lang w:val="es-419" w:eastAsia="fr-FR"/>
        </w:rPr>
        <w:t xml:space="preserve"> ses </w:t>
      </w:r>
      <w:r w:rsidR="00A91E03" w:rsidRPr="00A91E03">
        <w:rPr>
          <w:rFonts w:ascii="Segoe UI" w:hAnsi="Segoe UI" w:cs="Segoe UI"/>
          <w:noProof/>
          <w:color w:val="000091" w:themeColor="text1"/>
          <w:sz w:val="20"/>
          <w:szCs w:val="20"/>
          <w:lang w:val="es-419" w:eastAsia="fr-FR"/>
        </w:rPr>
        <w:t>priorités.</w:t>
      </w:r>
      <w:r w:rsidR="00CC0C59">
        <w:rPr>
          <w:rFonts w:ascii="Segoe UI" w:hAnsi="Segoe UI" w:cs="Segoe UI"/>
          <w:noProof/>
          <w:color w:val="000091" w:themeColor="text1"/>
          <w:sz w:val="20"/>
          <w:szCs w:val="20"/>
          <w:lang w:val="es-419" w:eastAsia="fr-FR"/>
        </w:rPr>
        <w:t xml:space="preserve"> </w:t>
      </w:r>
      <w:r w:rsidR="004C5B26" w:rsidRPr="004C5B26">
        <w:rPr>
          <w:rFonts w:ascii="Segoe UI" w:hAnsi="Segoe UI" w:cs="Segoe UI"/>
          <w:noProof/>
          <w:color w:val="000091" w:themeColor="text1"/>
          <w:sz w:val="20"/>
          <w:szCs w:val="20"/>
          <w:lang w:val="es-419" w:eastAsia="fr-FR"/>
        </w:rPr>
        <w:t xml:space="preserve">La Banque centrale a mis sur pied une </w:t>
      </w:r>
      <w:r w:rsidR="004C5B26" w:rsidRPr="00A73061">
        <w:rPr>
          <w:rFonts w:ascii="Segoe UI" w:hAnsi="Segoe UI" w:cs="Segoe UI"/>
          <w:i/>
          <w:iCs/>
          <w:noProof/>
          <w:color w:val="000091" w:themeColor="text1"/>
          <w:sz w:val="20"/>
          <w:szCs w:val="20"/>
          <w:lang w:val="es-419" w:eastAsia="fr-FR"/>
        </w:rPr>
        <w:t>task force</w:t>
      </w:r>
      <w:r w:rsidR="004C5B26" w:rsidRPr="004C5B26">
        <w:rPr>
          <w:rFonts w:ascii="Segoe UI" w:hAnsi="Segoe UI" w:cs="Segoe UI"/>
          <w:noProof/>
          <w:color w:val="000091" w:themeColor="text1"/>
          <w:sz w:val="20"/>
          <w:szCs w:val="20"/>
          <w:lang w:val="es-419" w:eastAsia="fr-FR"/>
        </w:rPr>
        <w:t xml:space="preserve"> en charge de faire des recommandations d’ici quelques mois et</w:t>
      </w:r>
      <w:r w:rsidR="004C5B26">
        <w:rPr>
          <w:rFonts w:ascii="Segoe UI" w:hAnsi="Segoe UI" w:cs="Segoe UI"/>
          <w:noProof/>
          <w:color w:val="000091" w:themeColor="text1"/>
          <w:sz w:val="20"/>
          <w:szCs w:val="20"/>
          <w:lang w:val="es-419" w:eastAsia="fr-FR"/>
        </w:rPr>
        <w:t xml:space="preserve"> </w:t>
      </w:r>
      <w:r w:rsidR="004C5B26" w:rsidRPr="004C5B26">
        <w:rPr>
          <w:rFonts w:ascii="Segoe UI" w:hAnsi="Segoe UI" w:cs="Segoe UI"/>
          <w:noProof/>
          <w:color w:val="000091" w:themeColor="text1"/>
          <w:sz w:val="20"/>
          <w:szCs w:val="20"/>
          <w:lang w:val="es-419" w:eastAsia="fr-FR"/>
        </w:rPr>
        <w:t>un livre blanc sur l’état des lieux de l’économie devrait être publié prochainement avec des données plus fiables et transparentes.</w:t>
      </w:r>
      <w:r w:rsidR="004C5B26" w:rsidRPr="004C5B26">
        <w:t xml:space="preserve"> </w:t>
      </w:r>
      <w:r w:rsidR="004C5B26" w:rsidRPr="004C5B26">
        <w:rPr>
          <w:rFonts w:ascii="Segoe UI" w:hAnsi="Segoe UI" w:cs="Segoe UI"/>
          <w:noProof/>
          <w:color w:val="000091" w:themeColor="text1"/>
          <w:sz w:val="20"/>
          <w:szCs w:val="20"/>
          <w:lang w:val="es-419" w:eastAsia="fr-FR"/>
        </w:rPr>
        <w:t>En attendant, la Banque centrale a déjà initié plusieurs réformes</w:t>
      </w:r>
      <w:r w:rsidR="00121A16">
        <w:rPr>
          <w:rFonts w:ascii="Segoe UI" w:hAnsi="Segoe UI" w:cs="Segoe UI"/>
          <w:noProof/>
          <w:color w:val="000091" w:themeColor="text1"/>
          <w:sz w:val="20"/>
          <w:szCs w:val="20"/>
          <w:lang w:val="es-419" w:eastAsia="fr-FR"/>
        </w:rPr>
        <w:t xml:space="preserve"> </w:t>
      </w:r>
      <w:r w:rsidR="004C5B26" w:rsidRPr="004C5B26">
        <w:rPr>
          <w:rFonts w:ascii="Segoe UI" w:hAnsi="Segoe UI" w:cs="Segoe UI"/>
          <w:noProof/>
          <w:color w:val="000091" w:themeColor="text1"/>
          <w:sz w:val="20"/>
          <w:szCs w:val="20"/>
          <w:lang w:val="es-419" w:eastAsia="fr-FR"/>
        </w:rPr>
        <w:t>visant à renforcer la gouvernance au sein du système bancaire.</w:t>
      </w:r>
    </w:p>
    <w:p w14:paraId="5374D058" w14:textId="69732482" w:rsidR="007209E2" w:rsidRPr="00DA66E2" w:rsidRDefault="006B2816" w:rsidP="009876DF">
      <w:pPr>
        <w:pStyle w:val="Paragraphedeliste"/>
        <w:numPr>
          <w:ilvl w:val="0"/>
          <w:numId w:val="16"/>
        </w:numPr>
        <w:spacing w:after="0"/>
        <w:jc w:val="both"/>
        <w:rPr>
          <w:rFonts w:ascii="Segoe UI" w:hAnsi="Segoe UI" w:cs="Segoe UI"/>
          <w:b/>
          <w:color w:val="000091" w:themeColor="text1"/>
          <w:sz w:val="24"/>
          <w:szCs w:val="24"/>
        </w:rPr>
      </w:pPr>
      <w:r>
        <w:rPr>
          <w:rFonts w:ascii="Segoe UI" w:hAnsi="Segoe UI" w:cs="Segoe UI"/>
          <w:b/>
          <w:color w:val="000091" w:themeColor="text1"/>
          <w:sz w:val="24"/>
          <w:szCs w:val="24"/>
        </w:rPr>
        <w:t>Etat des lieux d</w:t>
      </w:r>
      <w:r w:rsidR="00C736A5">
        <w:rPr>
          <w:rFonts w:ascii="Segoe UI" w:hAnsi="Segoe UI" w:cs="Segoe UI"/>
          <w:b/>
          <w:color w:val="000091" w:themeColor="text1"/>
          <w:sz w:val="24"/>
          <w:szCs w:val="24"/>
        </w:rPr>
        <w:t>e l’</w:t>
      </w:r>
      <w:r>
        <w:rPr>
          <w:rFonts w:ascii="Segoe UI" w:hAnsi="Segoe UI" w:cs="Segoe UI"/>
          <w:b/>
          <w:color w:val="000091" w:themeColor="text1"/>
          <w:sz w:val="24"/>
          <w:szCs w:val="24"/>
        </w:rPr>
        <w:t>un des principaux points faibles de l’économie</w:t>
      </w:r>
    </w:p>
    <w:p w14:paraId="31E0E56D" w14:textId="032CAF43" w:rsidR="007D4E5B" w:rsidRPr="005C55F0" w:rsidRDefault="005C55F0" w:rsidP="007D6617">
      <w:pPr>
        <w:pStyle w:val="Sansinterligne"/>
        <w:spacing w:after="80"/>
        <w:ind w:left="-284"/>
        <w:jc w:val="both"/>
        <w:rPr>
          <w:rFonts w:ascii="Segoe UI" w:hAnsi="Segoe UI" w:cs="Segoe UI"/>
          <w:sz w:val="20"/>
          <w:szCs w:val="20"/>
        </w:rPr>
      </w:pPr>
      <w:r w:rsidRPr="005C55F0">
        <w:rPr>
          <w:rFonts w:ascii="Segoe UI" w:hAnsi="Segoe UI" w:cs="Segoe UI"/>
          <w:sz w:val="20"/>
          <w:szCs w:val="20"/>
        </w:rPr>
        <w:t>Si le</w:t>
      </w:r>
      <w:r>
        <w:rPr>
          <w:rFonts w:ascii="Segoe UI" w:hAnsi="Segoe UI" w:cs="Segoe UI"/>
          <w:sz w:val="20"/>
          <w:szCs w:val="20"/>
        </w:rPr>
        <w:t xml:space="preserve"> secteur bancaire a connu une importante croissance au début des années 2000, il reste encore sous-développé par rapport à d’autres pays de la région. Les dépôts dans les banques représentent près de 40% du PIB, contre 72% en Inde et 32% au Pakistan. </w:t>
      </w:r>
    </w:p>
    <w:p w14:paraId="12F70648" w14:textId="0A31196F" w:rsidR="00ED0C69" w:rsidRDefault="005C55F0" w:rsidP="007D6617">
      <w:pPr>
        <w:pStyle w:val="Sansinterligne"/>
        <w:spacing w:after="80"/>
        <w:ind w:left="-284"/>
        <w:jc w:val="both"/>
        <w:rPr>
          <w:rFonts w:ascii="Segoe UI" w:hAnsi="Segoe UI" w:cs="Segoe UI"/>
          <w:sz w:val="20"/>
          <w:szCs w:val="20"/>
        </w:rPr>
      </w:pPr>
      <w:r>
        <w:rPr>
          <w:noProof/>
        </w:rPr>
        <w:drawing>
          <wp:anchor distT="0" distB="0" distL="114300" distR="114300" simplePos="0" relativeHeight="251676672" behindDoc="0" locked="0" layoutInCell="1" allowOverlap="1" wp14:anchorId="12EA7E88" wp14:editId="5492E293">
            <wp:simplePos x="0" y="0"/>
            <wp:positionH relativeFrom="margin">
              <wp:posOffset>-158750</wp:posOffset>
            </wp:positionH>
            <wp:positionV relativeFrom="paragraph">
              <wp:posOffset>747395</wp:posOffset>
            </wp:positionV>
            <wp:extent cx="3190875" cy="2266950"/>
            <wp:effectExtent l="0" t="0" r="9525" b="0"/>
            <wp:wrapSquare wrapText="bothSides"/>
            <wp:docPr id="8" name="Graphique 8">
              <a:extLst xmlns:a="http://schemas.openxmlformats.org/drawingml/2006/main">
                <a:ext uri="{FF2B5EF4-FFF2-40B4-BE49-F238E27FC236}">
                  <a16:creationId xmlns:a16="http://schemas.microsoft.com/office/drawing/2014/main" id="{CCCE209E-CA64-456C-9334-92280F9ADC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6B2816">
        <w:rPr>
          <w:rFonts w:ascii="Segoe UI" w:hAnsi="Segoe UI" w:cs="Segoe UI"/>
          <w:color w:val="6A6AF4" w:themeColor="text2"/>
          <w:sz w:val="20"/>
          <w:szCs w:val="20"/>
        </w:rPr>
        <w:t xml:space="preserve">Des volumes de créances douteuses inédits et inquiétants. </w:t>
      </w:r>
      <w:r w:rsidR="00121A16">
        <w:rPr>
          <w:rFonts w:ascii="Segoe UI" w:hAnsi="Segoe UI" w:cs="Segoe UI"/>
          <w:sz w:val="20"/>
          <w:szCs w:val="20"/>
        </w:rPr>
        <w:t xml:space="preserve">En liaison avec </w:t>
      </w:r>
      <w:r w:rsidR="00ED0C69" w:rsidRPr="006B347C">
        <w:rPr>
          <w:rFonts w:ascii="Segoe UI" w:hAnsi="Segoe UI" w:cs="Segoe UI"/>
          <w:sz w:val="20"/>
          <w:szCs w:val="20"/>
        </w:rPr>
        <w:t>un environnement r</w:t>
      </w:r>
      <w:r w:rsidR="007B1BFC">
        <w:rPr>
          <w:rFonts w:ascii="Segoe UI" w:hAnsi="Segoe UI" w:cs="Segoe UI"/>
          <w:sz w:val="20"/>
          <w:szCs w:val="20"/>
        </w:rPr>
        <w:t>é</w:t>
      </w:r>
      <w:r w:rsidR="00ED0C69" w:rsidRPr="006B347C">
        <w:rPr>
          <w:rFonts w:ascii="Segoe UI" w:hAnsi="Segoe UI" w:cs="Segoe UI"/>
          <w:sz w:val="20"/>
          <w:szCs w:val="20"/>
        </w:rPr>
        <w:t>gle</w:t>
      </w:r>
      <w:r w:rsidR="007B1BFC">
        <w:rPr>
          <w:rFonts w:ascii="Segoe UI" w:hAnsi="Segoe UI" w:cs="Segoe UI"/>
          <w:sz w:val="20"/>
          <w:szCs w:val="20"/>
        </w:rPr>
        <w:t>mentaire complai</w:t>
      </w:r>
      <w:r w:rsidR="00ED0C69" w:rsidRPr="006B347C">
        <w:rPr>
          <w:rFonts w:ascii="Segoe UI" w:hAnsi="Segoe UI" w:cs="Segoe UI"/>
          <w:sz w:val="20"/>
          <w:szCs w:val="20"/>
        </w:rPr>
        <w:t>s</w:t>
      </w:r>
      <w:r w:rsidR="007B1BFC">
        <w:rPr>
          <w:rFonts w:ascii="Segoe UI" w:hAnsi="Segoe UI" w:cs="Segoe UI"/>
          <w:sz w:val="20"/>
          <w:szCs w:val="20"/>
        </w:rPr>
        <w:t>ant</w:t>
      </w:r>
      <w:r w:rsidR="00ED0C69" w:rsidRPr="006B347C">
        <w:rPr>
          <w:rFonts w:ascii="Segoe UI" w:hAnsi="Segoe UI" w:cs="Segoe UI"/>
          <w:sz w:val="20"/>
          <w:szCs w:val="20"/>
        </w:rPr>
        <w:t>, de</w:t>
      </w:r>
      <w:r w:rsidR="00121A16">
        <w:rPr>
          <w:rFonts w:ascii="Segoe UI" w:hAnsi="Segoe UI" w:cs="Segoe UI"/>
          <w:sz w:val="20"/>
          <w:szCs w:val="20"/>
        </w:rPr>
        <w:t>s</w:t>
      </w:r>
      <w:r w:rsidR="00ED0C69" w:rsidRPr="006B347C">
        <w:rPr>
          <w:rFonts w:ascii="Segoe UI" w:hAnsi="Segoe UI" w:cs="Segoe UI"/>
          <w:sz w:val="20"/>
          <w:szCs w:val="20"/>
        </w:rPr>
        <w:t xml:space="preserve"> </w:t>
      </w:r>
      <w:r w:rsidR="00ED0C69" w:rsidRPr="006B347C">
        <w:rPr>
          <w:rFonts w:ascii="Segoe UI" w:hAnsi="Segoe UI" w:cs="Segoe UI"/>
          <w:noProof/>
          <w:sz w:val="20"/>
          <w:szCs w:val="20"/>
          <w:lang w:val="es-419" w:eastAsia="fr-FR"/>
        </w:rPr>
        <w:t>facilités</w:t>
      </w:r>
      <w:r w:rsidR="00ED0C69" w:rsidRPr="006B347C">
        <w:rPr>
          <w:rFonts w:ascii="Segoe UI" w:hAnsi="Segoe UI" w:cs="Segoe UI"/>
          <w:sz w:val="20"/>
          <w:szCs w:val="20"/>
        </w:rPr>
        <w:t xml:space="preserve"> indues accordées aux grands emprunteurs, et un</w:t>
      </w:r>
      <w:r w:rsidR="00121A16">
        <w:rPr>
          <w:rFonts w:ascii="Segoe UI" w:hAnsi="Segoe UI" w:cs="Segoe UI"/>
          <w:sz w:val="20"/>
          <w:szCs w:val="20"/>
        </w:rPr>
        <w:t>e</w:t>
      </w:r>
      <w:r w:rsidR="00ED0C69" w:rsidRPr="006B347C">
        <w:rPr>
          <w:rFonts w:ascii="Segoe UI" w:hAnsi="Segoe UI" w:cs="Segoe UI"/>
          <w:sz w:val="20"/>
          <w:szCs w:val="20"/>
        </w:rPr>
        <w:t xml:space="preserve"> </w:t>
      </w:r>
      <w:r w:rsidR="00121A16">
        <w:rPr>
          <w:rFonts w:ascii="Segoe UI" w:hAnsi="Segoe UI" w:cs="Segoe UI"/>
          <w:sz w:val="20"/>
          <w:szCs w:val="20"/>
        </w:rPr>
        <w:t>absence</w:t>
      </w:r>
      <w:r w:rsidR="00ED0C69" w:rsidRPr="006B347C">
        <w:rPr>
          <w:rFonts w:ascii="Segoe UI" w:hAnsi="Segoe UI" w:cs="Segoe UI"/>
          <w:sz w:val="20"/>
          <w:szCs w:val="20"/>
        </w:rPr>
        <w:t xml:space="preserve"> de </w:t>
      </w:r>
      <w:r w:rsidR="00121A16">
        <w:rPr>
          <w:rFonts w:ascii="Segoe UI" w:hAnsi="Segoe UI" w:cs="Segoe UI"/>
          <w:sz w:val="20"/>
          <w:szCs w:val="20"/>
        </w:rPr>
        <w:t>sanctions</w:t>
      </w:r>
      <w:r w:rsidR="00ED0C69" w:rsidRPr="006B347C">
        <w:rPr>
          <w:rFonts w:ascii="Segoe UI" w:hAnsi="Segoe UI" w:cs="Segoe UI"/>
          <w:sz w:val="20"/>
          <w:szCs w:val="20"/>
        </w:rPr>
        <w:t xml:space="preserve"> </w:t>
      </w:r>
      <w:r w:rsidR="00121A16">
        <w:rPr>
          <w:rFonts w:ascii="Segoe UI" w:hAnsi="Segoe UI" w:cs="Segoe UI"/>
          <w:sz w:val="20"/>
          <w:szCs w:val="20"/>
        </w:rPr>
        <w:t>d</w:t>
      </w:r>
      <w:r w:rsidR="00ED0C69" w:rsidRPr="006B347C">
        <w:rPr>
          <w:rFonts w:ascii="Segoe UI" w:hAnsi="Segoe UI" w:cs="Segoe UI"/>
          <w:sz w:val="20"/>
          <w:szCs w:val="20"/>
        </w:rPr>
        <w:t>es mauvais payeurs</w:t>
      </w:r>
      <w:r w:rsidR="00ED0C69">
        <w:rPr>
          <w:rFonts w:ascii="Segoe UI" w:hAnsi="Segoe UI" w:cs="Segoe UI"/>
          <w:sz w:val="20"/>
          <w:szCs w:val="20"/>
        </w:rPr>
        <w:t xml:space="preserve">, le volume de prêts non-performants </w:t>
      </w:r>
      <w:r w:rsidR="006B2816">
        <w:rPr>
          <w:rFonts w:ascii="Segoe UI" w:hAnsi="Segoe UI" w:cs="Segoe UI"/>
          <w:sz w:val="20"/>
          <w:szCs w:val="20"/>
        </w:rPr>
        <w:t xml:space="preserve">(PNP) </w:t>
      </w:r>
      <w:r w:rsidR="00ED0C69">
        <w:rPr>
          <w:rFonts w:ascii="Segoe UI" w:hAnsi="Segoe UI" w:cs="Segoe UI"/>
          <w:sz w:val="20"/>
          <w:szCs w:val="20"/>
        </w:rPr>
        <w:t xml:space="preserve">a bondi de 200 Mds </w:t>
      </w:r>
      <w:proofErr w:type="spellStart"/>
      <w:r w:rsidR="00ED0C69">
        <w:rPr>
          <w:rFonts w:ascii="Segoe UI" w:hAnsi="Segoe UI" w:cs="Segoe UI"/>
          <w:sz w:val="20"/>
          <w:szCs w:val="20"/>
        </w:rPr>
        <w:t>Tk</w:t>
      </w:r>
      <w:proofErr w:type="spellEnd"/>
      <w:r w:rsidR="00ED0C69">
        <w:rPr>
          <w:rFonts w:ascii="Segoe UI" w:hAnsi="Segoe UI" w:cs="Segoe UI"/>
          <w:sz w:val="20"/>
          <w:szCs w:val="20"/>
        </w:rPr>
        <w:t xml:space="preserve"> en 2011, après une décennie de stabilité, à 2</w:t>
      </w:r>
      <w:r w:rsidR="00B43751">
        <w:rPr>
          <w:rFonts w:ascii="Segoe UI" w:hAnsi="Segoe UI" w:cs="Segoe UI"/>
          <w:sz w:val="20"/>
          <w:szCs w:val="20"/>
        </w:rPr>
        <w:t>850</w:t>
      </w:r>
      <w:r w:rsidR="00ED0C69">
        <w:rPr>
          <w:rFonts w:ascii="Segoe UI" w:hAnsi="Segoe UI" w:cs="Segoe UI"/>
          <w:sz w:val="20"/>
          <w:szCs w:val="20"/>
        </w:rPr>
        <w:t xml:space="preserve"> Mds </w:t>
      </w:r>
      <w:proofErr w:type="spellStart"/>
      <w:r w:rsidR="00ED0C69">
        <w:rPr>
          <w:rFonts w:ascii="Segoe UI" w:hAnsi="Segoe UI" w:cs="Segoe UI"/>
          <w:sz w:val="20"/>
          <w:szCs w:val="20"/>
        </w:rPr>
        <w:t>Tk</w:t>
      </w:r>
      <w:proofErr w:type="spellEnd"/>
      <w:r w:rsidR="00ED0C69">
        <w:rPr>
          <w:rFonts w:ascii="Segoe UI" w:hAnsi="Segoe UI" w:cs="Segoe UI"/>
          <w:sz w:val="20"/>
          <w:szCs w:val="20"/>
        </w:rPr>
        <w:t xml:space="preserve"> (</w:t>
      </w:r>
      <w:r w:rsidR="00B43751">
        <w:rPr>
          <w:rFonts w:ascii="Segoe UI" w:hAnsi="Segoe UI" w:cs="Segoe UI"/>
          <w:sz w:val="20"/>
          <w:szCs w:val="20"/>
        </w:rPr>
        <w:t>22</w:t>
      </w:r>
      <w:r w:rsidR="00ED0C69">
        <w:rPr>
          <w:rFonts w:ascii="Segoe UI" w:hAnsi="Segoe UI" w:cs="Segoe UI"/>
          <w:sz w:val="20"/>
          <w:szCs w:val="20"/>
        </w:rPr>
        <w:t xml:space="preserve"> Mds USD) en 2024</w:t>
      </w:r>
      <w:r w:rsidR="006744F5">
        <w:rPr>
          <w:rFonts w:ascii="Segoe UI" w:hAnsi="Segoe UI" w:cs="Segoe UI"/>
          <w:sz w:val="20"/>
          <w:szCs w:val="20"/>
        </w:rPr>
        <w:t xml:space="preserve"> soit 1</w:t>
      </w:r>
      <w:r w:rsidR="00B43751">
        <w:rPr>
          <w:rFonts w:ascii="Segoe UI" w:hAnsi="Segoe UI" w:cs="Segoe UI"/>
          <w:sz w:val="20"/>
          <w:szCs w:val="20"/>
        </w:rPr>
        <w:t>7</w:t>
      </w:r>
      <w:r w:rsidR="006744F5">
        <w:rPr>
          <w:rFonts w:ascii="Segoe UI" w:hAnsi="Segoe UI" w:cs="Segoe UI"/>
          <w:sz w:val="20"/>
          <w:szCs w:val="20"/>
        </w:rPr>
        <w:t xml:space="preserve">% des encours. En incluant les prêts reprogrammés et restructurés, </w:t>
      </w:r>
      <w:r w:rsidR="006744F5" w:rsidRPr="006E5935">
        <w:rPr>
          <w:rFonts w:ascii="Segoe UI" w:hAnsi="Segoe UI" w:cs="Segoe UI"/>
          <w:b/>
          <w:bCs/>
          <w:sz w:val="20"/>
          <w:szCs w:val="20"/>
        </w:rPr>
        <w:t xml:space="preserve">le montant total </w:t>
      </w:r>
      <w:r w:rsidR="006E5935" w:rsidRPr="006E5935">
        <w:rPr>
          <w:rFonts w:ascii="Segoe UI" w:hAnsi="Segoe UI" w:cs="Segoe UI"/>
          <w:b/>
          <w:bCs/>
          <w:sz w:val="20"/>
          <w:szCs w:val="20"/>
        </w:rPr>
        <w:t xml:space="preserve">des créances douteuses </w:t>
      </w:r>
      <w:r w:rsidR="006744F5" w:rsidRPr="006E5935">
        <w:rPr>
          <w:rFonts w:ascii="Segoe UI" w:hAnsi="Segoe UI" w:cs="Segoe UI"/>
          <w:b/>
          <w:bCs/>
          <w:sz w:val="20"/>
          <w:szCs w:val="20"/>
        </w:rPr>
        <w:t xml:space="preserve">atteignait 4750 Mds </w:t>
      </w:r>
      <w:proofErr w:type="spellStart"/>
      <w:r w:rsidR="006744F5" w:rsidRPr="006E5935">
        <w:rPr>
          <w:rFonts w:ascii="Segoe UI" w:hAnsi="Segoe UI" w:cs="Segoe UI"/>
          <w:b/>
          <w:bCs/>
          <w:sz w:val="20"/>
          <w:szCs w:val="20"/>
        </w:rPr>
        <w:t>Tk</w:t>
      </w:r>
      <w:proofErr w:type="spellEnd"/>
      <w:r w:rsidR="006744F5" w:rsidRPr="006E5935">
        <w:rPr>
          <w:rFonts w:ascii="Segoe UI" w:hAnsi="Segoe UI" w:cs="Segoe UI"/>
          <w:b/>
          <w:bCs/>
          <w:sz w:val="20"/>
          <w:szCs w:val="20"/>
        </w:rPr>
        <w:t xml:space="preserve"> fin 2023 (32% des encours</w:t>
      </w:r>
      <w:r w:rsidRPr="005C55F0">
        <w:rPr>
          <w:rFonts w:ascii="Segoe UI" w:hAnsi="Segoe UI" w:cs="Segoe UI"/>
          <w:sz w:val="20"/>
          <w:szCs w:val="20"/>
        </w:rPr>
        <w:t xml:space="preserve"> </w:t>
      </w:r>
      <w:r w:rsidRPr="005C55F0">
        <w:rPr>
          <w:rFonts w:ascii="Segoe UI" w:hAnsi="Segoe UI" w:cs="Segoe UI"/>
          <w:b/>
          <w:bCs/>
          <w:sz w:val="20"/>
          <w:szCs w:val="20"/>
        </w:rPr>
        <w:t>ou encore près de 11% du PIB</w:t>
      </w:r>
      <w:r w:rsidR="006744F5" w:rsidRPr="006E5935">
        <w:rPr>
          <w:rFonts w:ascii="Segoe UI" w:hAnsi="Segoe UI" w:cs="Segoe UI"/>
          <w:b/>
          <w:bCs/>
          <w:sz w:val="20"/>
          <w:szCs w:val="20"/>
        </w:rPr>
        <w:t>)</w:t>
      </w:r>
      <w:r w:rsidR="00D573CB">
        <w:rPr>
          <w:rFonts w:ascii="Segoe UI" w:hAnsi="Segoe UI" w:cs="Segoe UI"/>
          <w:sz w:val="20"/>
          <w:szCs w:val="20"/>
        </w:rPr>
        <w:t>. Il s’agit</w:t>
      </w:r>
      <w:r w:rsidR="006744F5">
        <w:rPr>
          <w:rFonts w:ascii="Segoe UI" w:hAnsi="Segoe UI" w:cs="Segoe UI"/>
          <w:sz w:val="20"/>
          <w:szCs w:val="20"/>
        </w:rPr>
        <w:t xml:space="preserve"> </w:t>
      </w:r>
      <w:r w:rsidR="00D573CB">
        <w:rPr>
          <w:rFonts w:ascii="Segoe UI" w:hAnsi="Segoe UI" w:cs="Segoe UI"/>
          <w:sz w:val="20"/>
          <w:szCs w:val="20"/>
        </w:rPr>
        <w:t>d’un</w:t>
      </w:r>
      <w:r w:rsidR="006744F5">
        <w:rPr>
          <w:rFonts w:ascii="Segoe UI" w:hAnsi="Segoe UI" w:cs="Segoe UI"/>
          <w:sz w:val="20"/>
          <w:szCs w:val="20"/>
        </w:rPr>
        <w:t xml:space="preserve"> niveau inédit pour le pays</w:t>
      </w:r>
      <w:r w:rsidR="00D573CB">
        <w:rPr>
          <w:rFonts w:ascii="Segoe UI" w:hAnsi="Segoe UI" w:cs="Segoe UI"/>
          <w:sz w:val="20"/>
          <w:szCs w:val="20"/>
        </w:rPr>
        <w:t>, que peu d’autres pays ont connu par le passé (Grèce à 49% en 2017, Algérie à plus de 20% aujourd’hui)</w:t>
      </w:r>
      <w:r w:rsidR="006744F5">
        <w:rPr>
          <w:rFonts w:ascii="Segoe UI" w:hAnsi="Segoe UI" w:cs="Segoe UI"/>
          <w:sz w:val="20"/>
          <w:szCs w:val="20"/>
        </w:rPr>
        <w:t xml:space="preserve">. </w:t>
      </w:r>
      <w:r w:rsidR="00387D79">
        <w:rPr>
          <w:rFonts w:ascii="Segoe UI" w:hAnsi="Segoe UI" w:cs="Segoe UI"/>
          <w:sz w:val="20"/>
          <w:szCs w:val="20"/>
        </w:rPr>
        <w:t>Ces montants sont susceptibles d’être revu</w:t>
      </w:r>
      <w:r w:rsidR="001659C5">
        <w:rPr>
          <w:rFonts w:ascii="Segoe UI" w:hAnsi="Segoe UI" w:cs="Segoe UI"/>
          <w:sz w:val="20"/>
          <w:szCs w:val="20"/>
        </w:rPr>
        <w:t>s</w:t>
      </w:r>
      <w:r w:rsidR="00387D79">
        <w:rPr>
          <w:rFonts w:ascii="Segoe UI" w:hAnsi="Segoe UI" w:cs="Segoe UI"/>
          <w:sz w:val="20"/>
          <w:szCs w:val="20"/>
        </w:rPr>
        <w:t xml:space="preserve"> à la hausse sous le gouvernement intérimaire, alors que de nombreuses affaires font surface. </w:t>
      </w:r>
      <w:r w:rsidR="00FC402D">
        <w:rPr>
          <w:rFonts w:ascii="Segoe UI" w:hAnsi="Segoe UI" w:cs="Segoe UI"/>
          <w:sz w:val="20"/>
          <w:szCs w:val="20"/>
        </w:rPr>
        <w:t>Le</w:t>
      </w:r>
      <w:r w:rsidR="007D4E5B">
        <w:rPr>
          <w:rFonts w:ascii="Segoe UI" w:hAnsi="Segoe UI" w:cs="Segoe UI"/>
          <w:sz w:val="20"/>
          <w:szCs w:val="20"/>
        </w:rPr>
        <w:t xml:space="preserve"> Conseiller en chef a fait appel à plusieurs gouvernements (Etats-Unis, Canada, Royaume-Uni, Suisse, etc.) pour aider le Bangladesh à recouvrer ces sommes</w:t>
      </w:r>
      <w:r w:rsidR="00705735">
        <w:rPr>
          <w:rFonts w:ascii="Segoe UI" w:hAnsi="Segoe UI" w:cs="Segoe UI"/>
          <w:sz w:val="20"/>
          <w:szCs w:val="20"/>
        </w:rPr>
        <w:t xml:space="preserve"> dont une importante partie aurait été siphonnée à l’étranger</w:t>
      </w:r>
      <w:r w:rsidR="007D4E5B">
        <w:rPr>
          <w:rFonts w:ascii="Segoe UI" w:hAnsi="Segoe UI" w:cs="Segoe UI"/>
          <w:sz w:val="20"/>
          <w:szCs w:val="20"/>
        </w:rPr>
        <w:t xml:space="preserve">. </w:t>
      </w:r>
    </w:p>
    <w:p w14:paraId="07A70CCB" w14:textId="5FA26FAB" w:rsidR="00387D79" w:rsidRDefault="00FB3718" w:rsidP="003B23F3">
      <w:pPr>
        <w:pStyle w:val="Sansinterligne"/>
        <w:spacing w:after="80"/>
        <w:ind w:left="-284"/>
        <w:jc w:val="both"/>
        <w:rPr>
          <w:rFonts w:ascii="Segoe UI" w:hAnsi="Segoe UI" w:cs="Segoe UI"/>
          <w:sz w:val="20"/>
          <w:szCs w:val="20"/>
        </w:rPr>
      </w:pPr>
      <w:r>
        <w:rPr>
          <w:rFonts w:ascii="Segoe UI" w:hAnsi="Segoe UI" w:cs="Segoe UI"/>
          <w:sz w:val="20"/>
          <w:szCs w:val="20"/>
        </w:rPr>
        <w:t>La situation est particulièrement préoccupante pour un petit nombre de banques : les banques publiques</w:t>
      </w:r>
      <w:r w:rsidR="00FC402D">
        <w:rPr>
          <w:rFonts w:ascii="Segoe UI" w:hAnsi="Segoe UI" w:cs="Segoe UI"/>
          <w:sz w:val="20"/>
          <w:szCs w:val="20"/>
        </w:rPr>
        <w:t xml:space="preserve"> </w:t>
      </w:r>
      <w:r>
        <w:rPr>
          <w:rFonts w:ascii="Segoe UI" w:hAnsi="Segoe UI" w:cs="Segoe UI"/>
          <w:sz w:val="20"/>
          <w:szCs w:val="20"/>
        </w:rPr>
        <w:t xml:space="preserve">et les banques islamiques, </w:t>
      </w:r>
      <w:r w:rsidR="00267188">
        <w:rPr>
          <w:rFonts w:ascii="Segoe UI" w:hAnsi="Segoe UI" w:cs="Segoe UI"/>
          <w:sz w:val="20"/>
          <w:szCs w:val="20"/>
        </w:rPr>
        <w:t xml:space="preserve">représentant </w:t>
      </w:r>
      <w:r w:rsidR="00793FF4">
        <w:rPr>
          <w:rFonts w:ascii="Segoe UI" w:hAnsi="Segoe UI" w:cs="Segoe UI"/>
          <w:sz w:val="20"/>
          <w:szCs w:val="20"/>
        </w:rPr>
        <w:t>26% des dépôts totaux</w:t>
      </w:r>
      <w:r w:rsidR="00C736A5">
        <w:rPr>
          <w:rStyle w:val="Appeldenotedefin"/>
          <w:rFonts w:ascii="Segoe UI" w:hAnsi="Segoe UI" w:cs="Segoe UI"/>
          <w:sz w:val="20"/>
          <w:szCs w:val="20"/>
        </w:rPr>
        <w:endnoteReference w:id="1"/>
      </w:r>
      <w:r>
        <w:rPr>
          <w:rFonts w:ascii="Segoe UI" w:hAnsi="Segoe UI" w:cs="Segoe UI"/>
          <w:sz w:val="20"/>
          <w:szCs w:val="20"/>
        </w:rPr>
        <w:t xml:space="preserve">. </w:t>
      </w:r>
      <w:r w:rsidR="00FC0A92">
        <w:rPr>
          <w:rFonts w:ascii="Segoe UI" w:hAnsi="Segoe UI" w:cs="Segoe UI"/>
          <w:sz w:val="20"/>
          <w:szCs w:val="20"/>
        </w:rPr>
        <w:t>Elles sont par ailleurs particulièrement concernées par un provisionnement plus faible que la régulation</w:t>
      </w:r>
      <w:r w:rsidR="001659C5">
        <w:rPr>
          <w:rFonts w:ascii="Segoe UI" w:hAnsi="Segoe UI" w:cs="Segoe UI"/>
          <w:sz w:val="20"/>
          <w:szCs w:val="20"/>
        </w:rPr>
        <w:t xml:space="preserve"> ne l’exige</w:t>
      </w:r>
      <w:r w:rsidR="00FC0A92">
        <w:rPr>
          <w:rFonts w:ascii="Segoe UI" w:hAnsi="Segoe UI" w:cs="Segoe UI"/>
          <w:sz w:val="20"/>
          <w:szCs w:val="20"/>
        </w:rPr>
        <w:t xml:space="preserve">, avec un sous-provisionnement </w:t>
      </w:r>
      <w:r w:rsidR="00FC0A92">
        <w:rPr>
          <w:rFonts w:ascii="Segoe UI" w:hAnsi="Segoe UI" w:cs="Segoe UI"/>
          <w:sz w:val="20"/>
          <w:szCs w:val="20"/>
        </w:rPr>
        <w:lastRenderedPageBreak/>
        <w:t xml:space="preserve">global de 20% (1,9 Mds BDT). </w:t>
      </w:r>
      <w:r w:rsidR="009015FD">
        <w:rPr>
          <w:rFonts w:ascii="Segoe UI" w:hAnsi="Segoe UI" w:cs="Segoe UI"/>
          <w:sz w:val="20"/>
          <w:szCs w:val="20"/>
        </w:rPr>
        <w:t xml:space="preserve">Le risque de </w:t>
      </w:r>
      <w:r w:rsidR="001659C5">
        <w:rPr>
          <w:rFonts w:ascii="Segoe UI" w:hAnsi="Segoe UI" w:cs="Segoe UI"/>
          <w:sz w:val="20"/>
          <w:szCs w:val="20"/>
        </w:rPr>
        <w:t>contagion à d’autres acteurs du système bancaire</w:t>
      </w:r>
      <w:r w:rsidR="009015FD">
        <w:rPr>
          <w:rFonts w:ascii="Segoe UI" w:hAnsi="Segoe UI" w:cs="Segoe UI"/>
          <w:sz w:val="20"/>
          <w:szCs w:val="20"/>
        </w:rPr>
        <w:t xml:space="preserve"> </w:t>
      </w:r>
      <w:r w:rsidR="00E40122">
        <w:rPr>
          <w:rFonts w:ascii="Segoe UI" w:hAnsi="Segoe UI" w:cs="Segoe UI"/>
          <w:sz w:val="20"/>
          <w:szCs w:val="20"/>
        </w:rPr>
        <w:t xml:space="preserve">reste encore difficile à évaluer. </w:t>
      </w:r>
    </w:p>
    <w:p w14:paraId="0DCE8880" w14:textId="08992832" w:rsidR="00FB3718" w:rsidRDefault="003B23F3" w:rsidP="003A37CC">
      <w:pPr>
        <w:pStyle w:val="Sansinterligne"/>
        <w:spacing w:after="80"/>
        <w:ind w:left="-284"/>
        <w:jc w:val="both"/>
        <w:rPr>
          <w:rFonts w:ascii="Segoe UI" w:hAnsi="Segoe UI" w:cs="Segoe UI"/>
          <w:sz w:val="20"/>
          <w:szCs w:val="20"/>
        </w:rPr>
      </w:pPr>
      <w:r w:rsidRPr="003B23F3">
        <w:rPr>
          <w:rFonts w:ascii="Segoe UI" w:hAnsi="Segoe UI" w:cs="Segoe UI"/>
          <w:color w:val="6A6AF4" w:themeColor="text2"/>
          <w:sz w:val="20"/>
          <w:szCs w:val="20"/>
        </w:rPr>
        <w:t xml:space="preserve">Un manque de liquidité. </w:t>
      </w:r>
      <w:r w:rsidR="006769ED" w:rsidRPr="006769ED">
        <w:rPr>
          <w:rFonts w:ascii="Segoe UI" w:hAnsi="Segoe UI" w:cs="Segoe UI"/>
          <w:sz w:val="20"/>
          <w:szCs w:val="20"/>
        </w:rPr>
        <w:t>Certaines banques, parmi les plus fragiles, connaissent d’importants problèmes de liquidité qui ont o</w:t>
      </w:r>
      <w:r w:rsidR="006769ED">
        <w:rPr>
          <w:rFonts w:ascii="Segoe UI" w:hAnsi="Segoe UI" w:cs="Segoe UI"/>
          <w:sz w:val="20"/>
          <w:szCs w:val="20"/>
        </w:rPr>
        <w:t>bligé la Banque centrale</w:t>
      </w:r>
      <w:r w:rsidR="001659C5">
        <w:rPr>
          <w:rFonts w:ascii="Segoe UI" w:hAnsi="Segoe UI" w:cs="Segoe UI"/>
          <w:sz w:val="20"/>
          <w:szCs w:val="20"/>
        </w:rPr>
        <w:t xml:space="preserve"> à intervenir</w:t>
      </w:r>
      <w:r w:rsidR="006769ED">
        <w:rPr>
          <w:rFonts w:ascii="Segoe UI" w:hAnsi="Segoe UI" w:cs="Segoe UI"/>
          <w:sz w:val="20"/>
          <w:szCs w:val="20"/>
        </w:rPr>
        <w:t xml:space="preserve"> massivement </w:t>
      </w:r>
      <w:r w:rsidR="001659C5">
        <w:rPr>
          <w:rFonts w:ascii="Segoe UI" w:hAnsi="Segoe UI" w:cs="Segoe UI"/>
          <w:sz w:val="20"/>
          <w:szCs w:val="20"/>
        </w:rPr>
        <w:t>sur le marché interbancaire pour refinancer</w:t>
      </w:r>
      <w:r w:rsidR="006769ED">
        <w:rPr>
          <w:rFonts w:ascii="Segoe UI" w:hAnsi="Segoe UI" w:cs="Segoe UI"/>
          <w:sz w:val="20"/>
          <w:szCs w:val="20"/>
        </w:rPr>
        <w:t xml:space="preserve"> certains acteurs. </w:t>
      </w:r>
      <w:r w:rsidR="00A11C7D">
        <w:rPr>
          <w:rFonts w:ascii="Segoe UI" w:hAnsi="Segoe UI" w:cs="Segoe UI"/>
          <w:sz w:val="20"/>
          <w:szCs w:val="20"/>
        </w:rPr>
        <w:t xml:space="preserve">Ainsi, </w:t>
      </w:r>
      <w:r w:rsidR="001659C5">
        <w:rPr>
          <w:rFonts w:ascii="Segoe UI" w:hAnsi="Segoe UI" w:cs="Segoe UI"/>
          <w:sz w:val="20"/>
          <w:szCs w:val="20"/>
        </w:rPr>
        <w:t>neuf</w:t>
      </w:r>
      <w:r w:rsidR="00A11C7D">
        <w:rPr>
          <w:rFonts w:ascii="Segoe UI" w:hAnsi="Segoe UI" w:cs="Segoe UI"/>
          <w:sz w:val="20"/>
          <w:szCs w:val="20"/>
        </w:rPr>
        <w:t xml:space="preserve"> banques cumulaient plus de 180 Mds </w:t>
      </w:r>
      <w:proofErr w:type="spellStart"/>
      <w:r w:rsidR="00A11C7D">
        <w:rPr>
          <w:rFonts w:ascii="Segoe UI" w:hAnsi="Segoe UI" w:cs="Segoe UI"/>
          <w:sz w:val="20"/>
          <w:szCs w:val="20"/>
        </w:rPr>
        <w:t>Tk</w:t>
      </w:r>
      <w:proofErr w:type="spellEnd"/>
      <w:r w:rsidR="00A11C7D">
        <w:rPr>
          <w:rFonts w:ascii="Segoe UI" w:hAnsi="Segoe UI" w:cs="Segoe UI"/>
          <w:sz w:val="20"/>
          <w:szCs w:val="20"/>
        </w:rPr>
        <w:t xml:space="preserve"> (1,5 Md USD) de déficit de liquidité</w:t>
      </w:r>
      <w:r w:rsidR="00A11C7D" w:rsidRPr="001026BD">
        <w:rPr>
          <w:rStyle w:val="Appeldenotedefin"/>
          <w:rFonts w:ascii="Segoe UI" w:hAnsi="Segoe UI" w:cs="Segoe UI"/>
          <w:sz w:val="20"/>
          <w:szCs w:val="20"/>
        </w:rPr>
        <w:endnoteReference w:id="2"/>
      </w:r>
      <w:r w:rsidR="00A11C7D">
        <w:rPr>
          <w:rFonts w:ascii="Segoe UI" w:hAnsi="Segoe UI" w:cs="Segoe UI"/>
          <w:sz w:val="20"/>
          <w:szCs w:val="20"/>
        </w:rPr>
        <w:t xml:space="preserve">. </w:t>
      </w:r>
      <w:r w:rsidR="00D15CE0" w:rsidRPr="00D15CE0">
        <w:rPr>
          <w:rFonts w:ascii="Segoe UI" w:hAnsi="Segoe UI" w:cs="Segoe UI"/>
          <w:sz w:val="20"/>
          <w:szCs w:val="20"/>
        </w:rPr>
        <w:t xml:space="preserve">De multiples facteurs expliquent </w:t>
      </w:r>
      <w:r w:rsidR="00D15CE0">
        <w:rPr>
          <w:rFonts w:ascii="Segoe UI" w:hAnsi="Segoe UI" w:cs="Segoe UI"/>
          <w:sz w:val="20"/>
          <w:szCs w:val="20"/>
        </w:rPr>
        <w:t>cette tension, en particulier les recours aux banques commerciales pour financer le déficit public, l</w:t>
      </w:r>
      <w:r w:rsidR="00B23720" w:rsidRPr="00B23720">
        <w:rPr>
          <w:rFonts w:ascii="Segoe UI" w:hAnsi="Segoe UI" w:cs="Segoe UI"/>
          <w:sz w:val="20"/>
          <w:szCs w:val="20"/>
        </w:rPr>
        <w:t xml:space="preserve">a chute de la confiance dans la finance islamique, la dévaluation du </w:t>
      </w:r>
      <w:proofErr w:type="spellStart"/>
      <w:r w:rsidR="00B23720" w:rsidRPr="00B23720">
        <w:rPr>
          <w:rFonts w:ascii="Segoe UI" w:hAnsi="Segoe UI" w:cs="Segoe UI"/>
          <w:sz w:val="20"/>
          <w:szCs w:val="20"/>
        </w:rPr>
        <w:t>taka</w:t>
      </w:r>
      <w:proofErr w:type="spellEnd"/>
      <w:r w:rsidR="00B23720">
        <w:rPr>
          <w:rFonts w:ascii="Segoe UI" w:hAnsi="Segoe UI" w:cs="Segoe UI"/>
          <w:sz w:val="20"/>
          <w:szCs w:val="20"/>
        </w:rPr>
        <w:t> </w:t>
      </w:r>
      <w:r w:rsidR="00D15CE0">
        <w:rPr>
          <w:rFonts w:ascii="Segoe UI" w:hAnsi="Segoe UI" w:cs="Segoe UI"/>
          <w:sz w:val="20"/>
          <w:szCs w:val="20"/>
        </w:rPr>
        <w:t>et</w:t>
      </w:r>
      <w:r w:rsidR="00B23720">
        <w:rPr>
          <w:rFonts w:ascii="Segoe UI" w:hAnsi="Segoe UI" w:cs="Segoe UI"/>
          <w:sz w:val="20"/>
          <w:szCs w:val="20"/>
        </w:rPr>
        <w:t xml:space="preserve"> la hausse des PN</w:t>
      </w:r>
      <w:r w:rsidR="00D15CE0">
        <w:rPr>
          <w:rFonts w:ascii="Segoe UI" w:hAnsi="Segoe UI" w:cs="Segoe UI"/>
          <w:sz w:val="20"/>
          <w:szCs w:val="20"/>
        </w:rPr>
        <w:t xml:space="preserve">P. A titre d’exemple, </w:t>
      </w:r>
      <w:r w:rsidR="002A7C8A">
        <w:rPr>
          <w:rFonts w:ascii="Segoe UI" w:hAnsi="Segoe UI" w:cs="Segoe UI"/>
          <w:sz w:val="20"/>
          <w:szCs w:val="20"/>
        </w:rPr>
        <w:t>le volume d’emprunts publics nets auprès du secteur bancaire s’est é</w:t>
      </w:r>
      <w:r w:rsidR="00D15CE0">
        <w:rPr>
          <w:rFonts w:ascii="Segoe UI" w:hAnsi="Segoe UI" w:cs="Segoe UI"/>
          <w:sz w:val="20"/>
          <w:szCs w:val="20"/>
        </w:rPr>
        <w:t xml:space="preserve">levé à </w:t>
      </w:r>
      <w:r w:rsidR="00855070">
        <w:rPr>
          <w:rFonts w:ascii="Segoe UI" w:hAnsi="Segoe UI" w:cs="Segoe UI"/>
          <w:sz w:val="20"/>
          <w:szCs w:val="20"/>
        </w:rPr>
        <w:t>533</w:t>
      </w:r>
      <w:r w:rsidR="00D15CE0">
        <w:rPr>
          <w:rFonts w:ascii="Segoe UI" w:hAnsi="Segoe UI" w:cs="Segoe UI"/>
          <w:sz w:val="20"/>
          <w:szCs w:val="20"/>
        </w:rPr>
        <w:t xml:space="preserve"> Mds </w:t>
      </w:r>
      <w:proofErr w:type="spellStart"/>
      <w:r w:rsidR="00D15CE0">
        <w:rPr>
          <w:rFonts w:ascii="Segoe UI" w:hAnsi="Segoe UI" w:cs="Segoe UI"/>
          <w:sz w:val="20"/>
          <w:szCs w:val="20"/>
        </w:rPr>
        <w:t>Tk</w:t>
      </w:r>
      <w:proofErr w:type="spellEnd"/>
      <w:r w:rsidR="00D15CE0">
        <w:rPr>
          <w:rFonts w:ascii="Segoe UI" w:hAnsi="Segoe UI" w:cs="Segoe UI"/>
          <w:sz w:val="20"/>
          <w:szCs w:val="20"/>
        </w:rPr>
        <w:t xml:space="preserve"> (</w:t>
      </w:r>
      <w:r w:rsidR="00855070">
        <w:rPr>
          <w:rFonts w:ascii="Segoe UI" w:hAnsi="Segoe UI" w:cs="Segoe UI"/>
          <w:sz w:val="20"/>
          <w:szCs w:val="20"/>
        </w:rPr>
        <w:t>5</w:t>
      </w:r>
      <w:r w:rsidR="00D15CE0">
        <w:rPr>
          <w:rFonts w:ascii="Segoe UI" w:hAnsi="Segoe UI" w:cs="Segoe UI"/>
          <w:sz w:val="20"/>
          <w:szCs w:val="20"/>
        </w:rPr>
        <w:t xml:space="preserve"> Mds USD</w:t>
      </w:r>
      <w:r w:rsidR="002A7C8A">
        <w:rPr>
          <w:rFonts w:ascii="Segoe UI" w:hAnsi="Segoe UI" w:cs="Segoe UI"/>
          <w:sz w:val="20"/>
          <w:szCs w:val="20"/>
        </w:rPr>
        <w:t>)</w:t>
      </w:r>
      <w:r w:rsidR="009A6601" w:rsidRPr="009A6601">
        <w:rPr>
          <w:rFonts w:ascii="Segoe UI" w:hAnsi="Segoe UI" w:cs="Segoe UI"/>
          <w:sz w:val="20"/>
          <w:szCs w:val="20"/>
        </w:rPr>
        <w:t xml:space="preserve"> </w:t>
      </w:r>
      <w:r w:rsidR="009A6601">
        <w:rPr>
          <w:rFonts w:ascii="Segoe UI" w:hAnsi="Segoe UI" w:cs="Segoe UI"/>
          <w:sz w:val="20"/>
          <w:szCs w:val="20"/>
        </w:rPr>
        <w:t>en 2023-24</w:t>
      </w:r>
      <w:r w:rsidR="002A7C8A">
        <w:rPr>
          <w:rStyle w:val="Appeldenotedefin"/>
          <w:rFonts w:ascii="Segoe UI" w:hAnsi="Segoe UI" w:cs="Segoe UI"/>
          <w:sz w:val="20"/>
          <w:szCs w:val="20"/>
        </w:rPr>
        <w:endnoteReference w:id="3"/>
      </w:r>
      <w:r w:rsidR="00D15CE0">
        <w:rPr>
          <w:rFonts w:ascii="Segoe UI" w:hAnsi="Segoe UI" w:cs="Segoe UI"/>
          <w:sz w:val="20"/>
          <w:szCs w:val="20"/>
        </w:rPr>
        <w:t xml:space="preserve">. </w:t>
      </w:r>
    </w:p>
    <w:p w14:paraId="7DAA9BB6" w14:textId="7EB23FAD" w:rsidR="00671D1C" w:rsidRDefault="003A37CC" w:rsidP="00DB1F5C">
      <w:pPr>
        <w:pStyle w:val="Sansinterligne"/>
        <w:spacing w:after="80"/>
        <w:ind w:left="-284"/>
        <w:jc w:val="both"/>
        <w:rPr>
          <w:rFonts w:ascii="Segoe UI" w:hAnsi="Segoe UI" w:cs="Segoe UI"/>
          <w:sz w:val="20"/>
          <w:szCs w:val="20"/>
        </w:rPr>
      </w:pPr>
      <w:r>
        <w:rPr>
          <w:rFonts w:ascii="Segoe UI" w:hAnsi="Segoe UI" w:cs="Segoe UI"/>
          <w:color w:val="6A6AF4" w:themeColor="text2"/>
          <w:sz w:val="20"/>
          <w:szCs w:val="20"/>
        </w:rPr>
        <w:t>D</w:t>
      </w:r>
      <w:r w:rsidR="000473E4" w:rsidRPr="00FC0A92">
        <w:rPr>
          <w:rFonts w:ascii="Segoe UI" w:hAnsi="Segoe UI" w:cs="Segoe UI"/>
          <w:color w:val="6A6AF4" w:themeColor="text2"/>
          <w:sz w:val="20"/>
          <w:szCs w:val="20"/>
        </w:rPr>
        <w:t>es banques publiques particulièrement affecté</w:t>
      </w:r>
      <w:r>
        <w:rPr>
          <w:rFonts w:ascii="Segoe UI" w:hAnsi="Segoe UI" w:cs="Segoe UI"/>
          <w:color w:val="6A6AF4" w:themeColor="text2"/>
          <w:sz w:val="20"/>
          <w:szCs w:val="20"/>
        </w:rPr>
        <w:t>e</w:t>
      </w:r>
      <w:r w:rsidR="000473E4" w:rsidRPr="00FC0A92">
        <w:rPr>
          <w:rFonts w:ascii="Segoe UI" w:hAnsi="Segoe UI" w:cs="Segoe UI"/>
          <w:color w:val="6A6AF4" w:themeColor="text2"/>
          <w:sz w:val="20"/>
          <w:szCs w:val="20"/>
        </w:rPr>
        <w:t>s.</w:t>
      </w:r>
      <w:r w:rsidR="000473E4">
        <w:rPr>
          <w:rFonts w:ascii="Segoe UI" w:hAnsi="Segoe UI" w:cs="Segoe UI"/>
          <w:sz w:val="20"/>
          <w:szCs w:val="20"/>
        </w:rPr>
        <w:t xml:space="preserve"> </w:t>
      </w:r>
      <w:r w:rsidR="000473E4" w:rsidRPr="000473E4">
        <w:rPr>
          <w:rFonts w:ascii="Segoe UI" w:hAnsi="Segoe UI" w:cs="Segoe UI"/>
          <w:sz w:val="20"/>
          <w:szCs w:val="20"/>
        </w:rPr>
        <w:t xml:space="preserve">Les six banques publiques, qui représentent </w:t>
      </w:r>
      <w:r w:rsidR="00B23F47">
        <w:rPr>
          <w:rFonts w:ascii="Segoe UI" w:hAnsi="Segoe UI" w:cs="Segoe UI"/>
          <w:sz w:val="20"/>
          <w:szCs w:val="20"/>
        </w:rPr>
        <w:t>25</w:t>
      </w:r>
      <w:r w:rsidR="000473E4" w:rsidRPr="000473E4">
        <w:rPr>
          <w:rFonts w:ascii="Segoe UI" w:hAnsi="Segoe UI" w:cs="Segoe UI"/>
          <w:sz w:val="20"/>
          <w:szCs w:val="20"/>
        </w:rPr>
        <w:t xml:space="preserve">% du total des actifs bancaires, sont sous-capitalisées et pâtissent </w:t>
      </w:r>
      <w:r w:rsidR="000473E4" w:rsidRPr="00D414C6">
        <w:rPr>
          <w:rFonts w:ascii="Segoe UI" w:hAnsi="Segoe UI" w:cs="Segoe UI"/>
          <w:b/>
          <w:bCs/>
          <w:sz w:val="20"/>
          <w:szCs w:val="20"/>
        </w:rPr>
        <w:t xml:space="preserve">d’un niveau </w:t>
      </w:r>
      <w:r w:rsidR="00D414C6">
        <w:rPr>
          <w:rFonts w:ascii="Segoe UI" w:hAnsi="Segoe UI" w:cs="Segoe UI"/>
          <w:b/>
          <w:bCs/>
          <w:sz w:val="20"/>
          <w:szCs w:val="20"/>
        </w:rPr>
        <w:t xml:space="preserve">très </w:t>
      </w:r>
      <w:r w:rsidR="000473E4" w:rsidRPr="00D414C6">
        <w:rPr>
          <w:rFonts w:ascii="Segoe UI" w:hAnsi="Segoe UI" w:cs="Segoe UI"/>
          <w:b/>
          <w:bCs/>
          <w:sz w:val="20"/>
          <w:szCs w:val="20"/>
        </w:rPr>
        <w:t xml:space="preserve">élevé de </w:t>
      </w:r>
      <w:r w:rsidR="00FC0A92" w:rsidRPr="00D414C6">
        <w:rPr>
          <w:rFonts w:ascii="Segoe UI" w:hAnsi="Segoe UI" w:cs="Segoe UI"/>
          <w:b/>
          <w:bCs/>
          <w:sz w:val="20"/>
          <w:szCs w:val="20"/>
        </w:rPr>
        <w:t>PNP</w:t>
      </w:r>
      <w:r w:rsidR="000473E4" w:rsidRPr="00D414C6">
        <w:rPr>
          <w:rFonts w:ascii="Segoe UI" w:hAnsi="Segoe UI" w:cs="Segoe UI"/>
          <w:b/>
          <w:bCs/>
          <w:sz w:val="20"/>
          <w:szCs w:val="20"/>
        </w:rPr>
        <w:t xml:space="preserve">, à hauteur de </w:t>
      </w:r>
      <w:r w:rsidR="00D414C6" w:rsidRPr="00D414C6">
        <w:rPr>
          <w:rFonts w:ascii="Segoe UI" w:hAnsi="Segoe UI" w:cs="Segoe UI"/>
          <w:b/>
          <w:bCs/>
          <w:sz w:val="20"/>
          <w:szCs w:val="20"/>
        </w:rPr>
        <w:t>40</w:t>
      </w:r>
      <w:r w:rsidR="000473E4" w:rsidRPr="00D414C6">
        <w:rPr>
          <w:rFonts w:ascii="Segoe UI" w:hAnsi="Segoe UI" w:cs="Segoe UI"/>
          <w:b/>
          <w:bCs/>
          <w:sz w:val="20"/>
          <w:szCs w:val="20"/>
        </w:rPr>
        <w:t>% du total de leur bilan</w:t>
      </w:r>
      <w:r w:rsidR="00D414C6">
        <w:rPr>
          <w:rFonts w:ascii="Segoe UI" w:hAnsi="Segoe UI" w:cs="Segoe UI"/>
          <w:b/>
          <w:bCs/>
          <w:sz w:val="20"/>
          <w:szCs w:val="20"/>
        </w:rPr>
        <w:t xml:space="preserve"> représentant 44% des créances douteuses du pays</w:t>
      </w:r>
      <w:r w:rsidR="00FC0A92">
        <w:rPr>
          <w:rFonts w:ascii="Segoe UI" w:hAnsi="Segoe UI" w:cs="Segoe UI"/>
          <w:sz w:val="20"/>
          <w:szCs w:val="20"/>
        </w:rPr>
        <w:t xml:space="preserve">. </w:t>
      </w:r>
      <w:r w:rsidR="00900D9F">
        <w:rPr>
          <w:rFonts w:ascii="Segoe UI" w:hAnsi="Segoe UI" w:cs="Segoe UI"/>
          <w:sz w:val="20"/>
          <w:szCs w:val="20"/>
        </w:rPr>
        <w:t>S</w:t>
      </w:r>
      <w:r w:rsidR="00900D9F" w:rsidRPr="00900D9F">
        <w:rPr>
          <w:rFonts w:ascii="Segoe UI" w:hAnsi="Segoe UI" w:cs="Segoe UI"/>
          <w:sz w:val="20"/>
          <w:szCs w:val="20"/>
        </w:rPr>
        <w:t>i le coût de gestion d’un réseau très étendu et celui de leurs missions de service public pèsent sur leurs résultats, plusieurs institutions ont accumulé les fautes de gestion.</w:t>
      </w:r>
      <w:r w:rsidR="007370C9" w:rsidRPr="006B347C">
        <w:rPr>
          <w:rFonts w:ascii="Segoe UI" w:hAnsi="Segoe UI" w:cs="Segoe UI"/>
          <w:sz w:val="20"/>
          <w:szCs w:val="20"/>
        </w:rPr>
        <w:t xml:space="preserve"> Leur taux de recouvrement</w:t>
      </w:r>
      <w:r w:rsidR="00900D9F">
        <w:rPr>
          <w:rFonts w:ascii="Segoe UI" w:hAnsi="Segoe UI" w:cs="Segoe UI"/>
          <w:sz w:val="20"/>
          <w:szCs w:val="20"/>
        </w:rPr>
        <w:t xml:space="preserve"> des PNP</w:t>
      </w:r>
      <w:r w:rsidR="007370C9" w:rsidRPr="006B347C">
        <w:rPr>
          <w:rFonts w:ascii="Segoe UI" w:hAnsi="Segoe UI" w:cs="Segoe UI"/>
          <w:sz w:val="20"/>
          <w:szCs w:val="20"/>
        </w:rPr>
        <w:t xml:space="preserve"> est de seulement </w:t>
      </w:r>
      <w:r w:rsidR="00900D9F">
        <w:rPr>
          <w:rFonts w:ascii="Segoe UI" w:hAnsi="Segoe UI" w:cs="Segoe UI"/>
          <w:sz w:val="20"/>
          <w:szCs w:val="20"/>
        </w:rPr>
        <w:t>5</w:t>
      </w:r>
      <w:r w:rsidR="007370C9" w:rsidRPr="006B347C">
        <w:rPr>
          <w:rFonts w:ascii="Segoe UI" w:hAnsi="Segoe UI" w:cs="Segoe UI"/>
          <w:sz w:val="20"/>
          <w:szCs w:val="20"/>
        </w:rPr>
        <w:t xml:space="preserve">% par rapport à </w:t>
      </w:r>
      <w:r w:rsidR="00900D9F">
        <w:rPr>
          <w:rFonts w:ascii="Segoe UI" w:hAnsi="Segoe UI" w:cs="Segoe UI"/>
          <w:sz w:val="20"/>
          <w:szCs w:val="20"/>
        </w:rPr>
        <w:t>leurs</w:t>
      </w:r>
      <w:r w:rsidR="007370C9" w:rsidRPr="006B347C">
        <w:rPr>
          <w:rFonts w:ascii="Segoe UI" w:hAnsi="Segoe UI" w:cs="Segoe UI"/>
          <w:sz w:val="20"/>
          <w:szCs w:val="20"/>
        </w:rPr>
        <w:t xml:space="preserve"> objectifs</w:t>
      </w:r>
      <w:r w:rsidR="00900D9F">
        <w:rPr>
          <w:rFonts w:ascii="Segoe UI" w:hAnsi="Segoe UI" w:cs="Segoe UI"/>
          <w:sz w:val="20"/>
          <w:szCs w:val="20"/>
        </w:rPr>
        <w:t xml:space="preserve"> annuels</w:t>
      </w:r>
      <w:r w:rsidR="007370C9" w:rsidRPr="006B347C">
        <w:rPr>
          <w:rFonts w:ascii="Segoe UI" w:hAnsi="Segoe UI" w:cs="Segoe UI"/>
          <w:sz w:val="20"/>
          <w:szCs w:val="20"/>
        </w:rPr>
        <w:t xml:space="preserve">. </w:t>
      </w:r>
      <w:r w:rsidR="00FC402D">
        <w:rPr>
          <w:rFonts w:ascii="Segoe UI" w:hAnsi="Segoe UI" w:cs="Segoe UI"/>
          <w:sz w:val="20"/>
          <w:szCs w:val="20"/>
        </w:rPr>
        <w:t>Cela</w:t>
      </w:r>
      <w:r>
        <w:rPr>
          <w:rFonts w:ascii="Segoe UI" w:hAnsi="Segoe UI" w:cs="Segoe UI"/>
          <w:sz w:val="20"/>
          <w:szCs w:val="20"/>
        </w:rPr>
        <w:t xml:space="preserve"> affecte leur rentabilité, avec une rentabilité </w:t>
      </w:r>
      <w:r w:rsidR="003F2188">
        <w:rPr>
          <w:rFonts w:ascii="Segoe UI" w:hAnsi="Segoe UI" w:cs="Segoe UI"/>
          <w:sz w:val="20"/>
          <w:szCs w:val="20"/>
        </w:rPr>
        <w:t xml:space="preserve">négative </w:t>
      </w:r>
      <w:r>
        <w:rPr>
          <w:rFonts w:ascii="Segoe UI" w:hAnsi="Segoe UI" w:cs="Segoe UI"/>
          <w:sz w:val="20"/>
          <w:szCs w:val="20"/>
        </w:rPr>
        <w:t>des capitaux propres (ROE) de 19% en mars 2024, contre</w:t>
      </w:r>
      <w:r w:rsidR="003F2188">
        <w:rPr>
          <w:rFonts w:ascii="Segoe UI" w:hAnsi="Segoe UI" w:cs="Segoe UI"/>
          <w:sz w:val="20"/>
          <w:szCs w:val="20"/>
        </w:rPr>
        <w:t xml:space="preserve"> une rentabilité positive de</w:t>
      </w:r>
      <w:r>
        <w:rPr>
          <w:rFonts w:ascii="Segoe UI" w:hAnsi="Segoe UI" w:cs="Segoe UI"/>
          <w:sz w:val="20"/>
          <w:szCs w:val="20"/>
        </w:rPr>
        <w:t xml:space="preserve"> 6% pour les banques </w:t>
      </w:r>
      <w:r w:rsidR="003F2188">
        <w:rPr>
          <w:rFonts w:ascii="Segoe UI" w:hAnsi="Segoe UI" w:cs="Segoe UI"/>
          <w:sz w:val="20"/>
          <w:szCs w:val="20"/>
        </w:rPr>
        <w:t>privé</w:t>
      </w:r>
      <w:r>
        <w:rPr>
          <w:rFonts w:ascii="Segoe UI" w:hAnsi="Segoe UI" w:cs="Segoe UI"/>
          <w:sz w:val="20"/>
          <w:szCs w:val="20"/>
        </w:rPr>
        <w:t>es et 20% pour les banques étrangères</w:t>
      </w:r>
      <w:r w:rsidR="00505178">
        <w:rPr>
          <w:rFonts w:ascii="Segoe UI" w:hAnsi="Segoe UI" w:cs="Segoe UI"/>
          <w:sz w:val="20"/>
          <w:szCs w:val="20"/>
        </w:rPr>
        <w:t xml:space="preserve"> – et avec un </w:t>
      </w:r>
      <w:r w:rsidR="00505178" w:rsidRPr="00505178">
        <w:rPr>
          <w:rFonts w:ascii="Segoe UI" w:hAnsi="Segoe UI" w:cs="Segoe UI"/>
          <w:sz w:val="20"/>
          <w:szCs w:val="20"/>
        </w:rPr>
        <w:t>coefficient d’exploitation (</w:t>
      </w:r>
      <w:proofErr w:type="spellStart"/>
      <w:r w:rsidR="00505178" w:rsidRPr="009A3360">
        <w:rPr>
          <w:rFonts w:ascii="Segoe UI" w:hAnsi="Segoe UI" w:cs="Segoe UI"/>
          <w:i/>
          <w:iCs/>
          <w:sz w:val="20"/>
          <w:szCs w:val="20"/>
        </w:rPr>
        <w:t>expenditure</w:t>
      </w:r>
      <w:proofErr w:type="spellEnd"/>
      <w:r w:rsidR="00505178" w:rsidRPr="009A3360">
        <w:rPr>
          <w:rFonts w:ascii="Segoe UI" w:hAnsi="Segoe UI" w:cs="Segoe UI"/>
          <w:i/>
          <w:iCs/>
          <w:sz w:val="20"/>
          <w:szCs w:val="20"/>
        </w:rPr>
        <w:t xml:space="preserve"> to </w:t>
      </w:r>
      <w:proofErr w:type="spellStart"/>
      <w:r w:rsidR="00505178" w:rsidRPr="009A3360">
        <w:rPr>
          <w:rFonts w:ascii="Segoe UI" w:hAnsi="Segoe UI" w:cs="Segoe UI"/>
          <w:i/>
          <w:iCs/>
          <w:sz w:val="20"/>
          <w:szCs w:val="20"/>
        </w:rPr>
        <w:t>income</w:t>
      </w:r>
      <w:proofErr w:type="spellEnd"/>
      <w:r w:rsidR="00505178" w:rsidRPr="009A3360">
        <w:rPr>
          <w:rFonts w:ascii="Segoe UI" w:hAnsi="Segoe UI" w:cs="Segoe UI"/>
          <w:i/>
          <w:iCs/>
          <w:sz w:val="20"/>
          <w:szCs w:val="20"/>
        </w:rPr>
        <w:t xml:space="preserve"> ratio</w:t>
      </w:r>
      <w:r w:rsidR="00505178" w:rsidRPr="00505178">
        <w:rPr>
          <w:rFonts w:ascii="Segoe UI" w:hAnsi="Segoe UI" w:cs="Segoe UI"/>
          <w:sz w:val="20"/>
          <w:szCs w:val="20"/>
        </w:rPr>
        <w:t>)</w:t>
      </w:r>
      <w:r w:rsidR="00505178">
        <w:rPr>
          <w:rFonts w:ascii="Segoe UI" w:hAnsi="Segoe UI" w:cs="Segoe UI"/>
          <w:sz w:val="20"/>
          <w:szCs w:val="20"/>
        </w:rPr>
        <w:t xml:space="preserve"> </w:t>
      </w:r>
      <w:r w:rsidR="00505178" w:rsidRPr="00505178">
        <w:rPr>
          <w:rFonts w:ascii="Segoe UI" w:hAnsi="Segoe UI" w:cs="Segoe UI"/>
          <w:sz w:val="20"/>
          <w:szCs w:val="20"/>
        </w:rPr>
        <w:t xml:space="preserve">ressortant à </w:t>
      </w:r>
      <w:r w:rsidR="00505178">
        <w:rPr>
          <w:rFonts w:ascii="Segoe UI" w:hAnsi="Segoe UI" w:cs="Segoe UI"/>
          <w:sz w:val="20"/>
          <w:szCs w:val="20"/>
        </w:rPr>
        <w:t>82% pour las banques publiques contre 76% et 35% respectivement pour les banques privées locales et les banques étrangères</w:t>
      </w:r>
      <w:r w:rsidR="003F2188">
        <w:rPr>
          <w:rFonts w:ascii="Segoe UI" w:hAnsi="Segoe UI" w:cs="Segoe UI"/>
          <w:sz w:val="20"/>
          <w:szCs w:val="20"/>
        </w:rPr>
        <w:t>, reflétant notamment des sureffectifs</w:t>
      </w:r>
      <w:r w:rsidR="00505178">
        <w:rPr>
          <w:rFonts w:ascii="Segoe UI" w:hAnsi="Segoe UI" w:cs="Segoe UI"/>
          <w:sz w:val="20"/>
          <w:szCs w:val="20"/>
        </w:rPr>
        <w:t xml:space="preserve">. </w:t>
      </w:r>
      <w:r w:rsidR="00671D1C">
        <w:rPr>
          <w:rFonts w:ascii="Segoe UI" w:hAnsi="Segoe UI" w:cs="Segoe UI"/>
          <w:sz w:val="20"/>
          <w:szCs w:val="20"/>
        </w:rPr>
        <w:t>Les manquements récurrents aux obligations (</w:t>
      </w:r>
      <w:r w:rsidR="00671D1C" w:rsidRPr="00671D1C">
        <w:rPr>
          <w:rFonts w:ascii="Segoe UI" w:hAnsi="Segoe UI" w:cs="Segoe UI"/>
          <w:i/>
          <w:iCs/>
          <w:sz w:val="20"/>
          <w:szCs w:val="20"/>
        </w:rPr>
        <w:t xml:space="preserve">Capital </w:t>
      </w:r>
      <w:proofErr w:type="spellStart"/>
      <w:r w:rsidR="00671D1C" w:rsidRPr="00671D1C">
        <w:rPr>
          <w:rFonts w:ascii="Segoe UI" w:hAnsi="Segoe UI" w:cs="Segoe UI"/>
          <w:i/>
          <w:iCs/>
          <w:sz w:val="20"/>
          <w:szCs w:val="20"/>
        </w:rPr>
        <w:t>Adequacy</w:t>
      </w:r>
      <w:proofErr w:type="spellEnd"/>
      <w:r w:rsidR="00671D1C" w:rsidRPr="00671D1C">
        <w:rPr>
          <w:rFonts w:ascii="Segoe UI" w:hAnsi="Segoe UI" w:cs="Segoe UI"/>
          <w:i/>
          <w:iCs/>
          <w:sz w:val="20"/>
          <w:szCs w:val="20"/>
        </w:rPr>
        <w:t xml:space="preserve"> Rat</w:t>
      </w:r>
      <w:r w:rsidR="00671D1C">
        <w:rPr>
          <w:rFonts w:ascii="Segoe UI" w:hAnsi="Segoe UI" w:cs="Segoe UI"/>
          <w:i/>
          <w:iCs/>
          <w:sz w:val="20"/>
          <w:szCs w:val="20"/>
        </w:rPr>
        <w:t>io</w:t>
      </w:r>
      <w:r w:rsidR="00671D1C" w:rsidRPr="00671D1C">
        <w:rPr>
          <w:rFonts w:ascii="Segoe UI" w:hAnsi="Segoe UI" w:cs="Segoe UI"/>
          <w:sz w:val="20"/>
          <w:szCs w:val="20"/>
        </w:rPr>
        <w:t>,</w:t>
      </w:r>
      <w:r w:rsidR="00671D1C" w:rsidRPr="00671D1C">
        <w:rPr>
          <w:rFonts w:ascii="Segoe UI" w:hAnsi="Segoe UI" w:cs="Segoe UI"/>
          <w:i/>
          <w:iCs/>
          <w:sz w:val="20"/>
          <w:szCs w:val="20"/>
        </w:rPr>
        <w:t xml:space="preserve"> </w:t>
      </w:r>
      <w:proofErr w:type="spellStart"/>
      <w:r w:rsidR="00671D1C" w:rsidRPr="00671D1C">
        <w:rPr>
          <w:rFonts w:ascii="Segoe UI" w:hAnsi="Segoe UI" w:cs="Segoe UI"/>
          <w:i/>
          <w:iCs/>
          <w:sz w:val="20"/>
          <w:szCs w:val="20"/>
        </w:rPr>
        <w:t>Liquidity</w:t>
      </w:r>
      <w:proofErr w:type="spellEnd"/>
      <w:r w:rsidR="00671D1C" w:rsidRPr="00671D1C">
        <w:rPr>
          <w:rFonts w:ascii="Segoe UI" w:hAnsi="Segoe UI" w:cs="Segoe UI"/>
          <w:i/>
          <w:iCs/>
          <w:sz w:val="20"/>
          <w:szCs w:val="20"/>
        </w:rPr>
        <w:t xml:space="preserve"> </w:t>
      </w:r>
      <w:proofErr w:type="spellStart"/>
      <w:r w:rsidR="00671D1C" w:rsidRPr="00671D1C">
        <w:rPr>
          <w:rFonts w:ascii="Segoe UI" w:hAnsi="Segoe UI" w:cs="Segoe UI"/>
          <w:i/>
          <w:iCs/>
          <w:sz w:val="20"/>
          <w:szCs w:val="20"/>
        </w:rPr>
        <w:t>Adequacy</w:t>
      </w:r>
      <w:proofErr w:type="spellEnd"/>
      <w:r w:rsidR="00671D1C" w:rsidRPr="00671D1C">
        <w:rPr>
          <w:rFonts w:ascii="Segoe UI" w:hAnsi="Segoe UI" w:cs="Segoe UI"/>
          <w:i/>
          <w:iCs/>
          <w:sz w:val="20"/>
          <w:szCs w:val="20"/>
        </w:rPr>
        <w:t xml:space="preserve"> Ratio</w:t>
      </w:r>
      <w:r w:rsidR="00671D1C">
        <w:rPr>
          <w:rFonts w:ascii="Segoe UI" w:hAnsi="Segoe UI" w:cs="Segoe UI"/>
          <w:sz w:val="20"/>
          <w:szCs w:val="20"/>
        </w:rPr>
        <w:t xml:space="preserve">) ont fréquemment </w:t>
      </w:r>
      <w:r w:rsidR="00671D1C" w:rsidRPr="006E5935">
        <w:rPr>
          <w:rFonts w:ascii="Segoe UI" w:hAnsi="Segoe UI" w:cs="Segoe UI"/>
          <w:b/>
          <w:bCs/>
          <w:sz w:val="20"/>
          <w:szCs w:val="20"/>
        </w:rPr>
        <w:t>contraint l’Etat à recapitaliser les banques publiques</w:t>
      </w:r>
      <w:r w:rsidR="00671D1C">
        <w:rPr>
          <w:rFonts w:ascii="Segoe UI" w:hAnsi="Segoe UI" w:cs="Segoe UI"/>
          <w:sz w:val="20"/>
          <w:szCs w:val="20"/>
        </w:rPr>
        <w:t xml:space="preserve">, à hauteur de 306 Mds </w:t>
      </w:r>
      <w:proofErr w:type="spellStart"/>
      <w:r w:rsidR="00671D1C">
        <w:rPr>
          <w:rFonts w:ascii="Segoe UI" w:hAnsi="Segoe UI" w:cs="Segoe UI"/>
          <w:sz w:val="20"/>
          <w:szCs w:val="20"/>
        </w:rPr>
        <w:t>Tk</w:t>
      </w:r>
      <w:proofErr w:type="spellEnd"/>
      <w:r w:rsidR="00671D1C">
        <w:rPr>
          <w:rFonts w:ascii="Segoe UI" w:hAnsi="Segoe UI" w:cs="Segoe UI"/>
          <w:sz w:val="20"/>
          <w:szCs w:val="20"/>
        </w:rPr>
        <w:t xml:space="preserve"> (3 Mds USD) en dix ans. </w:t>
      </w:r>
    </w:p>
    <w:p w14:paraId="661DB6F1" w14:textId="1857E3EE" w:rsidR="00824129" w:rsidRDefault="00DB1F5C" w:rsidP="009A3360">
      <w:pPr>
        <w:pStyle w:val="Sansinterligne"/>
        <w:spacing w:after="120"/>
        <w:ind w:left="-284"/>
        <w:jc w:val="both"/>
        <w:rPr>
          <w:rFonts w:ascii="Segoe UI" w:hAnsi="Segoe UI" w:cs="Segoe UI"/>
          <w:sz w:val="20"/>
          <w:szCs w:val="20"/>
        </w:rPr>
      </w:pPr>
      <w:r>
        <w:rPr>
          <w:rFonts w:ascii="Segoe UI" w:hAnsi="Segoe UI" w:cs="Segoe UI"/>
          <w:color w:val="6A6AF4" w:themeColor="text2"/>
          <w:sz w:val="20"/>
          <w:szCs w:val="20"/>
        </w:rPr>
        <w:t xml:space="preserve">Pas de baisse massive des dépôts, </w:t>
      </w:r>
      <w:r w:rsidR="008306F8">
        <w:rPr>
          <w:rFonts w:ascii="Segoe UI" w:hAnsi="Segoe UI" w:cs="Segoe UI"/>
          <w:color w:val="6A6AF4" w:themeColor="text2"/>
          <w:sz w:val="20"/>
          <w:szCs w:val="20"/>
        </w:rPr>
        <w:t>mais un frémissement</w:t>
      </w:r>
      <w:r>
        <w:rPr>
          <w:rFonts w:ascii="Segoe UI" w:hAnsi="Segoe UI" w:cs="Segoe UI"/>
          <w:color w:val="6A6AF4" w:themeColor="text2"/>
          <w:sz w:val="20"/>
          <w:szCs w:val="20"/>
        </w:rPr>
        <w:t xml:space="preserve">. </w:t>
      </w:r>
      <w:r w:rsidRPr="00DB1F5C">
        <w:rPr>
          <w:rFonts w:ascii="Segoe UI" w:hAnsi="Segoe UI" w:cs="Segoe UI"/>
          <w:sz w:val="20"/>
          <w:szCs w:val="20"/>
        </w:rPr>
        <w:t xml:space="preserve">D’après les dernières données de la Banque centrale, </w:t>
      </w:r>
      <w:r w:rsidR="00FF5869">
        <w:rPr>
          <w:rFonts w:ascii="Segoe UI" w:hAnsi="Segoe UI" w:cs="Segoe UI"/>
          <w:sz w:val="20"/>
          <w:szCs w:val="20"/>
        </w:rPr>
        <w:t xml:space="preserve">disponibles jusqu’à </w:t>
      </w:r>
      <w:r w:rsidR="00B43751">
        <w:rPr>
          <w:rFonts w:ascii="Segoe UI" w:hAnsi="Segoe UI" w:cs="Segoe UI"/>
          <w:sz w:val="20"/>
          <w:szCs w:val="20"/>
        </w:rPr>
        <w:t>septembre</w:t>
      </w:r>
      <w:r w:rsidR="00FF5869">
        <w:rPr>
          <w:rFonts w:ascii="Segoe UI" w:hAnsi="Segoe UI" w:cs="Segoe UI"/>
          <w:sz w:val="20"/>
          <w:szCs w:val="20"/>
        </w:rPr>
        <w:t xml:space="preserve"> 2024, il n</w:t>
      </w:r>
      <w:r w:rsidR="00285045">
        <w:rPr>
          <w:rFonts w:ascii="Segoe UI" w:hAnsi="Segoe UI" w:cs="Segoe UI"/>
          <w:sz w:val="20"/>
          <w:szCs w:val="20"/>
        </w:rPr>
        <w:t>e s’est</w:t>
      </w:r>
      <w:r w:rsidR="00FF5869">
        <w:rPr>
          <w:rFonts w:ascii="Segoe UI" w:hAnsi="Segoe UI" w:cs="Segoe UI"/>
          <w:sz w:val="20"/>
          <w:szCs w:val="20"/>
        </w:rPr>
        <w:t xml:space="preserve"> pas </w:t>
      </w:r>
      <w:r w:rsidR="00285045">
        <w:rPr>
          <w:rFonts w:ascii="Segoe UI" w:hAnsi="Segoe UI" w:cs="Segoe UI"/>
          <w:sz w:val="20"/>
          <w:szCs w:val="20"/>
        </w:rPr>
        <w:t xml:space="preserve">produit </w:t>
      </w:r>
      <w:r w:rsidR="00FF5869">
        <w:rPr>
          <w:rFonts w:ascii="Segoe UI" w:hAnsi="Segoe UI" w:cs="Segoe UI"/>
          <w:sz w:val="20"/>
          <w:szCs w:val="20"/>
        </w:rPr>
        <w:t xml:space="preserve">pour l’instant de retrait </w:t>
      </w:r>
      <w:r w:rsidR="008306F8">
        <w:rPr>
          <w:rFonts w:ascii="Segoe UI" w:hAnsi="Segoe UI" w:cs="Segoe UI"/>
          <w:sz w:val="20"/>
          <w:szCs w:val="20"/>
        </w:rPr>
        <w:t>massif</w:t>
      </w:r>
      <w:r w:rsidR="00FF5869">
        <w:rPr>
          <w:rFonts w:ascii="Segoe UI" w:hAnsi="Segoe UI" w:cs="Segoe UI"/>
          <w:sz w:val="20"/>
          <w:szCs w:val="20"/>
        </w:rPr>
        <w:t xml:space="preserve"> </w:t>
      </w:r>
      <w:r w:rsidR="00285045">
        <w:rPr>
          <w:rFonts w:ascii="Segoe UI" w:hAnsi="Segoe UI" w:cs="Segoe UI"/>
          <w:sz w:val="20"/>
          <w:szCs w:val="20"/>
        </w:rPr>
        <w:t>(</w:t>
      </w:r>
      <w:proofErr w:type="spellStart"/>
      <w:r w:rsidR="00285045" w:rsidRPr="00B43751">
        <w:rPr>
          <w:rFonts w:ascii="Segoe UI" w:hAnsi="Segoe UI" w:cs="Segoe UI"/>
          <w:i/>
          <w:iCs/>
          <w:sz w:val="20"/>
          <w:szCs w:val="20"/>
        </w:rPr>
        <w:t>bank</w:t>
      </w:r>
      <w:proofErr w:type="spellEnd"/>
      <w:r w:rsidR="00285045" w:rsidRPr="00B43751">
        <w:rPr>
          <w:rFonts w:ascii="Segoe UI" w:hAnsi="Segoe UI" w:cs="Segoe UI"/>
          <w:i/>
          <w:iCs/>
          <w:sz w:val="20"/>
          <w:szCs w:val="20"/>
        </w:rPr>
        <w:t xml:space="preserve"> run</w:t>
      </w:r>
      <w:r w:rsidR="00285045">
        <w:rPr>
          <w:rFonts w:ascii="Segoe UI" w:hAnsi="Segoe UI" w:cs="Segoe UI"/>
          <w:sz w:val="20"/>
          <w:szCs w:val="20"/>
        </w:rPr>
        <w:t xml:space="preserve">) </w:t>
      </w:r>
      <w:r w:rsidR="00FF5869">
        <w:rPr>
          <w:rFonts w:ascii="Segoe UI" w:hAnsi="Segoe UI" w:cs="Segoe UI"/>
          <w:sz w:val="20"/>
          <w:szCs w:val="20"/>
        </w:rPr>
        <w:t>des dépôts</w:t>
      </w:r>
      <w:r w:rsidR="00B12F39">
        <w:rPr>
          <w:rFonts w:ascii="Segoe UI" w:hAnsi="Segoe UI" w:cs="Segoe UI"/>
          <w:sz w:val="20"/>
          <w:szCs w:val="20"/>
        </w:rPr>
        <w:t xml:space="preserve">. </w:t>
      </w:r>
      <w:r w:rsidR="00824129">
        <w:rPr>
          <w:rFonts w:ascii="Segoe UI" w:hAnsi="Segoe UI" w:cs="Segoe UI"/>
          <w:sz w:val="20"/>
          <w:szCs w:val="20"/>
        </w:rPr>
        <w:t>P</w:t>
      </w:r>
      <w:r w:rsidR="00AF1202">
        <w:rPr>
          <w:rFonts w:ascii="Segoe UI" w:hAnsi="Segoe UI" w:cs="Segoe UI"/>
          <w:sz w:val="20"/>
          <w:szCs w:val="20"/>
        </w:rPr>
        <w:t xml:space="preserve">lusieurs experts rapportent </w:t>
      </w:r>
      <w:r w:rsidR="00824129">
        <w:rPr>
          <w:rFonts w:ascii="Segoe UI" w:hAnsi="Segoe UI" w:cs="Segoe UI"/>
          <w:sz w:val="20"/>
          <w:szCs w:val="20"/>
        </w:rPr>
        <w:t xml:space="preserve">néanmoins </w:t>
      </w:r>
      <w:r w:rsidR="00AF1202">
        <w:rPr>
          <w:rFonts w:ascii="Segoe UI" w:hAnsi="Segoe UI" w:cs="Segoe UI"/>
          <w:sz w:val="20"/>
          <w:szCs w:val="20"/>
        </w:rPr>
        <w:t>que</w:t>
      </w:r>
      <w:r w:rsidR="00824129">
        <w:rPr>
          <w:rFonts w:ascii="Segoe UI" w:hAnsi="Segoe UI" w:cs="Segoe UI"/>
          <w:sz w:val="20"/>
          <w:szCs w:val="20"/>
        </w:rPr>
        <w:t xml:space="preserve"> si le volume des dépôts global ne varie pas, cela masque d’importants transferts de dépôts depuis les banques en mauvaise santé (</w:t>
      </w:r>
      <w:r w:rsidR="00FE507C">
        <w:rPr>
          <w:rFonts w:ascii="Segoe UI" w:hAnsi="Segoe UI" w:cs="Segoe UI"/>
          <w:sz w:val="20"/>
          <w:szCs w:val="20"/>
        </w:rPr>
        <w:t xml:space="preserve">principalement les </w:t>
      </w:r>
      <w:r w:rsidR="00C23789" w:rsidRPr="00C23789">
        <w:rPr>
          <w:rFonts w:ascii="Segoe UI" w:hAnsi="Segoe UI" w:cs="Segoe UI"/>
          <w:sz w:val="20"/>
          <w:szCs w:val="20"/>
        </w:rPr>
        <w:t>banques islamiques</w:t>
      </w:r>
      <w:r w:rsidR="00824129">
        <w:rPr>
          <w:rFonts w:ascii="Segoe UI" w:hAnsi="Segoe UI" w:cs="Segoe UI"/>
          <w:sz w:val="20"/>
          <w:szCs w:val="20"/>
        </w:rPr>
        <w:t xml:space="preserve">) vers des banques plus vertueuses, accentuant encore un peu plus le déséquilibre des liquidités.  </w:t>
      </w:r>
    </w:p>
    <w:p w14:paraId="146ECC0B" w14:textId="2665F87F" w:rsidR="00671D1C" w:rsidRDefault="00505178" w:rsidP="009A3360">
      <w:pPr>
        <w:pStyle w:val="Paragraphedeliste"/>
        <w:numPr>
          <w:ilvl w:val="0"/>
          <w:numId w:val="16"/>
        </w:numPr>
        <w:spacing w:after="120"/>
        <w:jc w:val="both"/>
        <w:rPr>
          <w:rFonts w:ascii="Segoe UI" w:hAnsi="Segoe UI" w:cs="Segoe UI"/>
          <w:b/>
          <w:color w:val="000091" w:themeColor="text1"/>
          <w:sz w:val="24"/>
          <w:szCs w:val="24"/>
        </w:rPr>
      </w:pPr>
      <w:r w:rsidRPr="00505178">
        <w:rPr>
          <w:rFonts w:ascii="Segoe UI" w:hAnsi="Segoe UI" w:cs="Segoe UI"/>
          <w:b/>
          <w:color w:val="000091" w:themeColor="text1"/>
          <w:sz w:val="24"/>
          <w:szCs w:val="24"/>
        </w:rPr>
        <w:t xml:space="preserve">La mauvaise gouvernance du secteur, principal enjeu </w:t>
      </w:r>
    </w:p>
    <w:p w14:paraId="566C8078" w14:textId="36E56B0A" w:rsidR="002503C5" w:rsidRDefault="00FC402D" w:rsidP="009A3360">
      <w:pPr>
        <w:pStyle w:val="Sansinterligne"/>
        <w:spacing w:after="120"/>
        <w:ind w:left="-284"/>
        <w:jc w:val="both"/>
        <w:rPr>
          <w:rFonts w:ascii="Segoe UI" w:hAnsi="Segoe UI" w:cs="Segoe UI"/>
          <w:sz w:val="20"/>
          <w:szCs w:val="20"/>
        </w:rPr>
      </w:pPr>
      <w:r>
        <w:rPr>
          <w:rFonts w:ascii="Segoe UI" w:hAnsi="Segoe UI" w:cs="Segoe UI"/>
          <w:color w:val="6A6AF4" w:themeColor="text2"/>
          <w:sz w:val="20"/>
          <w:szCs w:val="20"/>
        </w:rPr>
        <w:t>Un cadre légal à renforcer</w:t>
      </w:r>
      <w:r w:rsidR="00D93BC5" w:rsidRPr="00352D91">
        <w:rPr>
          <w:rFonts w:ascii="Segoe UI" w:hAnsi="Segoe UI" w:cs="Segoe UI"/>
          <w:color w:val="6A6AF4" w:themeColor="text2"/>
          <w:sz w:val="20"/>
          <w:szCs w:val="20"/>
        </w:rPr>
        <w:t>.</w:t>
      </w:r>
      <w:r w:rsidR="00D93BC5">
        <w:rPr>
          <w:rFonts w:ascii="Segoe UI" w:hAnsi="Segoe UI" w:cs="Segoe UI"/>
          <w:sz w:val="20"/>
          <w:szCs w:val="20"/>
        </w:rPr>
        <w:t xml:space="preserve"> </w:t>
      </w:r>
      <w:r w:rsidR="00AC11FF">
        <w:rPr>
          <w:rFonts w:ascii="Segoe UI" w:hAnsi="Segoe UI" w:cs="Segoe UI"/>
          <w:sz w:val="20"/>
          <w:szCs w:val="20"/>
        </w:rPr>
        <w:t>Le secteur bancaire a souffert d’un cadre légal inadapté pour prévenir les fraudes, pour les détecter et pour enquêter sur d’éventuels manquements.</w:t>
      </w:r>
      <w:r w:rsidR="00352D91">
        <w:rPr>
          <w:rFonts w:ascii="Segoe UI" w:hAnsi="Segoe UI" w:cs="Segoe UI"/>
          <w:sz w:val="20"/>
          <w:szCs w:val="20"/>
        </w:rPr>
        <w:t xml:space="preserve"> C’est ainsi le cas de la possibilité d’élire des membres des conseils d’administration</w:t>
      </w:r>
      <w:r w:rsidR="0093253B">
        <w:rPr>
          <w:rFonts w:ascii="Segoe UI" w:hAnsi="Segoe UI" w:cs="Segoe UI"/>
          <w:sz w:val="20"/>
          <w:szCs w:val="20"/>
        </w:rPr>
        <w:t xml:space="preserve"> proches des propriétaires</w:t>
      </w:r>
      <w:r w:rsidR="00352D91">
        <w:rPr>
          <w:rFonts w:ascii="Segoe UI" w:hAnsi="Segoe UI" w:cs="Segoe UI"/>
          <w:sz w:val="20"/>
          <w:szCs w:val="20"/>
        </w:rPr>
        <w:t>, de la faible</w:t>
      </w:r>
      <w:r w:rsidR="0093253B">
        <w:rPr>
          <w:rFonts w:ascii="Segoe UI" w:hAnsi="Segoe UI" w:cs="Segoe UI"/>
          <w:sz w:val="20"/>
          <w:szCs w:val="20"/>
        </w:rPr>
        <w:t>sse</w:t>
      </w:r>
      <w:r w:rsidR="00352D91">
        <w:rPr>
          <w:rFonts w:ascii="Segoe UI" w:hAnsi="Segoe UI" w:cs="Segoe UI"/>
          <w:sz w:val="20"/>
          <w:szCs w:val="20"/>
        </w:rPr>
        <w:t xml:space="preserve"> des comités d’audit, d</w:t>
      </w:r>
      <w:r w:rsidR="0093253B">
        <w:rPr>
          <w:rFonts w:ascii="Segoe UI" w:hAnsi="Segoe UI" w:cs="Segoe UI"/>
          <w:sz w:val="20"/>
          <w:szCs w:val="20"/>
        </w:rPr>
        <w:t>u manque de</w:t>
      </w:r>
      <w:r w:rsidR="00352D91">
        <w:rPr>
          <w:rFonts w:ascii="Segoe UI" w:hAnsi="Segoe UI" w:cs="Segoe UI"/>
          <w:sz w:val="20"/>
          <w:szCs w:val="20"/>
        </w:rPr>
        <w:t xml:space="preserve"> régulations pour accorder de </w:t>
      </w:r>
      <w:r w:rsidR="0093253B">
        <w:rPr>
          <w:rFonts w:ascii="Segoe UI" w:hAnsi="Segoe UI" w:cs="Segoe UI"/>
          <w:sz w:val="20"/>
          <w:szCs w:val="20"/>
        </w:rPr>
        <w:t>nouveaux prêts, de la déficience du système judiciaire ou encore du peu de transparence du secteur</w:t>
      </w:r>
      <w:r w:rsidR="00357DC3">
        <w:rPr>
          <w:rFonts w:ascii="Segoe UI" w:hAnsi="Segoe UI" w:cs="Segoe UI"/>
          <w:sz w:val="20"/>
          <w:szCs w:val="20"/>
        </w:rPr>
        <w:t xml:space="preserve">. </w:t>
      </w:r>
    </w:p>
    <w:p w14:paraId="1B4FCEC1" w14:textId="35B72890" w:rsidR="00DC22C9" w:rsidRPr="00DC22C9" w:rsidRDefault="006D288E" w:rsidP="00DC22C9">
      <w:pPr>
        <w:pStyle w:val="Sansinterligne"/>
        <w:spacing w:after="80"/>
        <w:ind w:left="-284"/>
        <w:jc w:val="both"/>
        <w:rPr>
          <w:rFonts w:ascii="Segoe UI" w:hAnsi="Segoe UI" w:cs="Segoe UI"/>
          <w:sz w:val="20"/>
          <w:szCs w:val="20"/>
        </w:rPr>
      </w:pPr>
      <w:r>
        <w:rPr>
          <w:rFonts w:ascii="Segoe UI" w:hAnsi="Segoe UI" w:cs="Segoe UI"/>
          <w:color w:val="6A6AF4" w:themeColor="text2"/>
          <w:sz w:val="20"/>
          <w:szCs w:val="20"/>
        </w:rPr>
        <w:t xml:space="preserve">Une corruption devenue systémique. </w:t>
      </w:r>
      <w:r w:rsidRPr="009E0BF6">
        <w:rPr>
          <w:rFonts w:ascii="Segoe UI" w:hAnsi="Segoe UI" w:cs="Segoe UI"/>
          <w:sz w:val="20"/>
          <w:szCs w:val="20"/>
        </w:rPr>
        <w:t>En 2023, le Bangladesh est classé en 12</w:t>
      </w:r>
      <w:r w:rsidRPr="009E0BF6">
        <w:rPr>
          <w:rFonts w:ascii="Segoe UI" w:hAnsi="Segoe UI" w:cs="Segoe UI"/>
          <w:sz w:val="20"/>
          <w:szCs w:val="20"/>
          <w:vertAlign w:val="superscript"/>
        </w:rPr>
        <w:t>ème</w:t>
      </w:r>
      <w:r w:rsidRPr="009E0BF6">
        <w:rPr>
          <w:rFonts w:ascii="Segoe UI" w:hAnsi="Segoe UI" w:cs="Segoe UI"/>
          <w:sz w:val="20"/>
          <w:szCs w:val="20"/>
        </w:rPr>
        <w:t xml:space="preserve"> position </w:t>
      </w:r>
      <w:r w:rsidR="00D0510A">
        <w:rPr>
          <w:rFonts w:ascii="Segoe UI" w:hAnsi="Segoe UI" w:cs="Segoe UI"/>
          <w:sz w:val="20"/>
          <w:szCs w:val="20"/>
        </w:rPr>
        <w:t>dans</w:t>
      </w:r>
      <w:r w:rsidRPr="009E0BF6">
        <w:rPr>
          <w:rFonts w:ascii="Segoe UI" w:hAnsi="Segoe UI" w:cs="Segoe UI"/>
          <w:sz w:val="20"/>
          <w:szCs w:val="20"/>
        </w:rPr>
        <w:t xml:space="preserve"> l’Indice de perception de la corruption (CPI) en Asie du Sud</w:t>
      </w:r>
      <w:r>
        <w:rPr>
          <w:rStyle w:val="Appeldenotedefin"/>
          <w:rFonts w:ascii="Segoe UI" w:hAnsi="Segoe UI" w:cs="Segoe UI"/>
          <w:sz w:val="20"/>
          <w:szCs w:val="20"/>
        </w:rPr>
        <w:endnoteReference w:id="4"/>
      </w:r>
      <w:r w:rsidRPr="009E0BF6">
        <w:rPr>
          <w:rFonts w:ascii="Segoe UI" w:hAnsi="Segoe UI" w:cs="Segoe UI"/>
          <w:sz w:val="20"/>
          <w:szCs w:val="20"/>
        </w:rPr>
        <w:t>, en avant-dernière position devant l’Afghanistan. Ce faible score est dû à des facteurs tels que le manque de suivi des politiques de tolérance zéro du gouvernement à l’égard de la corruption, du blanchiment d’argent, de la quantité de mauvais payeurs, etc. Le pays a perdu deux rangs au niveau mondial, se classant 149</w:t>
      </w:r>
      <w:r w:rsidRPr="009E0BF6">
        <w:rPr>
          <w:rFonts w:ascii="Segoe UI" w:hAnsi="Segoe UI" w:cs="Segoe UI"/>
          <w:sz w:val="20"/>
          <w:szCs w:val="20"/>
          <w:vertAlign w:val="superscript"/>
        </w:rPr>
        <w:t>ème</w:t>
      </w:r>
      <w:r w:rsidRPr="009E0BF6">
        <w:rPr>
          <w:rFonts w:ascii="Segoe UI" w:hAnsi="Segoe UI" w:cs="Segoe UI"/>
          <w:sz w:val="20"/>
          <w:szCs w:val="20"/>
        </w:rPr>
        <w:t xml:space="preserve"> sur 18</w:t>
      </w:r>
      <w:r w:rsidR="00B9089C">
        <w:rPr>
          <w:rFonts w:ascii="Segoe UI" w:hAnsi="Segoe UI" w:cs="Segoe UI"/>
          <w:sz w:val="20"/>
          <w:szCs w:val="20"/>
        </w:rPr>
        <w:t>0.</w:t>
      </w:r>
      <w:r w:rsidR="00A05837">
        <w:rPr>
          <w:rFonts w:ascii="Segoe UI" w:hAnsi="Segoe UI" w:cs="Segoe UI"/>
          <w:sz w:val="20"/>
          <w:szCs w:val="20"/>
        </w:rPr>
        <w:t xml:space="preserve"> </w:t>
      </w:r>
    </w:p>
    <w:p w14:paraId="14EE9F10" w14:textId="2158F863" w:rsidR="009A3360" w:rsidRDefault="009E0BF6" w:rsidP="009A3360">
      <w:pPr>
        <w:pStyle w:val="Sansinterligne"/>
        <w:spacing w:after="120"/>
        <w:ind w:left="-284"/>
        <w:jc w:val="both"/>
        <w:rPr>
          <w:rFonts w:ascii="Segoe UI" w:hAnsi="Segoe UI" w:cs="Segoe UI"/>
          <w:sz w:val="20"/>
          <w:szCs w:val="20"/>
        </w:rPr>
      </w:pPr>
      <w:r w:rsidRPr="005850B7">
        <w:rPr>
          <w:rFonts w:ascii="Segoe UI" w:hAnsi="Segoe UI" w:cs="Segoe UI"/>
          <w:color w:val="6A6AF4" w:themeColor="text2"/>
          <w:sz w:val="20"/>
          <w:szCs w:val="20"/>
        </w:rPr>
        <w:t xml:space="preserve">Des cas de corruption majeurs concernent le secteur bancaire. </w:t>
      </w:r>
      <w:r w:rsidR="005850B7" w:rsidRPr="005850B7">
        <w:rPr>
          <w:rFonts w:ascii="Segoe UI" w:hAnsi="Segoe UI" w:cs="Segoe UI"/>
          <w:sz w:val="20"/>
          <w:szCs w:val="20"/>
        </w:rPr>
        <w:t xml:space="preserve">Depuis </w:t>
      </w:r>
      <w:r w:rsidR="005850B7">
        <w:rPr>
          <w:rFonts w:ascii="Segoe UI" w:hAnsi="Segoe UI" w:cs="Segoe UI"/>
          <w:sz w:val="20"/>
          <w:szCs w:val="20"/>
        </w:rPr>
        <w:t>la chute du gouvernement de l’Awami League, les révélations se sont multipliées</w:t>
      </w:r>
      <w:r w:rsidR="00C92F00">
        <w:rPr>
          <w:rFonts w:ascii="Segoe UI" w:hAnsi="Segoe UI" w:cs="Segoe UI"/>
          <w:sz w:val="20"/>
          <w:szCs w:val="20"/>
        </w:rPr>
        <w:t>.</w:t>
      </w:r>
      <w:r w:rsidR="00CD64AF">
        <w:rPr>
          <w:rFonts w:ascii="Segoe UI" w:hAnsi="Segoe UI" w:cs="Segoe UI"/>
          <w:sz w:val="20"/>
          <w:szCs w:val="20"/>
        </w:rPr>
        <w:t xml:space="preserve"> </w:t>
      </w:r>
      <w:r w:rsidR="00903182" w:rsidRPr="00903182">
        <w:rPr>
          <w:rFonts w:ascii="Segoe UI" w:hAnsi="Segoe UI" w:cs="Segoe UI"/>
          <w:sz w:val="20"/>
          <w:szCs w:val="20"/>
        </w:rPr>
        <w:t xml:space="preserve">En octobre 2024, le gouverneur de la Banque centrale </w:t>
      </w:r>
      <w:r w:rsidR="00903182">
        <w:rPr>
          <w:rFonts w:ascii="Segoe UI" w:hAnsi="Segoe UI" w:cs="Segoe UI"/>
          <w:sz w:val="20"/>
          <w:szCs w:val="20"/>
        </w:rPr>
        <w:t>déclare</w:t>
      </w:r>
      <w:r w:rsidR="00DB0D97">
        <w:rPr>
          <w:rFonts w:ascii="Segoe UI" w:hAnsi="Segoe UI" w:cs="Segoe UI"/>
          <w:sz w:val="20"/>
          <w:szCs w:val="20"/>
        </w:rPr>
        <w:t xml:space="preserve"> en effet</w:t>
      </w:r>
      <w:r w:rsidR="00903182">
        <w:rPr>
          <w:rFonts w:ascii="Segoe UI" w:hAnsi="Segoe UI" w:cs="Segoe UI"/>
          <w:sz w:val="20"/>
          <w:szCs w:val="20"/>
        </w:rPr>
        <w:t xml:space="preserve"> </w:t>
      </w:r>
      <w:r w:rsidR="00903182" w:rsidRPr="00903182">
        <w:rPr>
          <w:rFonts w:ascii="Segoe UI" w:hAnsi="Segoe UI" w:cs="Segoe UI"/>
          <w:sz w:val="20"/>
          <w:szCs w:val="20"/>
        </w:rPr>
        <w:t>que plusieurs dirigeants de banques islamiques</w:t>
      </w:r>
      <w:r w:rsidR="00903182">
        <w:rPr>
          <w:rFonts w:ascii="Segoe UI" w:hAnsi="Segoe UI" w:cs="Segoe UI"/>
          <w:sz w:val="20"/>
          <w:szCs w:val="20"/>
        </w:rPr>
        <w:t xml:space="preserve"> ont</w:t>
      </w:r>
      <w:r w:rsidR="00903182" w:rsidRPr="00903182">
        <w:rPr>
          <w:rFonts w:ascii="Segoe UI" w:hAnsi="Segoe UI" w:cs="Segoe UI"/>
          <w:sz w:val="20"/>
          <w:szCs w:val="20"/>
        </w:rPr>
        <w:t xml:space="preserve"> été enlevés par les services de renseignement militaire bangladais (DGFI)</w:t>
      </w:r>
      <w:r w:rsidR="00B06945">
        <w:rPr>
          <w:rFonts w:ascii="Segoe UI" w:hAnsi="Segoe UI" w:cs="Segoe UI"/>
          <w:sz w:val="20"/>
          <w:szCs w:val="20"/>
        </w:rPr>
        <w:t>, principalement en 2017,</w:t>
      </w:r>
      <w:r w:rsidR="00903182" w:rsidRPr="00903182">
        <w:rPr>
          <w:rFonts w:ascii="Segoe UI" w:hAnsi="Segoe UI" w:cs="Segoe UI"/>
          <w:sz w:val="20"/>
          <w:szCs w:val="20"/>
        </w:rPr>
        <w:t xml:space="preserve"> et contraints de revendre leurs parts sur ordre de la Première ministre</w:t>
      </w:r>
      <w:r w:rsidR="00DC22C9">
        <w:rPr>
          <w:rFonts w:ascii="Segoe UI" w:hAnsi="Segoe UI" w:cs="Segoe UI"/>
          <w:sz w:val="20"/>
          <w:szCs w:val="20"/>
        </w:rPr>
        <w:t xml:space="preserve">. </w:t>
      </w:r>
      <w:r w:rsidR="00903182" w:rsidRPr="00903182">
        <w:rPr>
          <w:rFonts w:ascii="Segoe UI" w:hAnsi="Segoe UI" w:cs="Segoe UI"/>
          <w:b/>
          <w:bCs/>
          <w:sz w:val="20"/>
          <w:szCs w:val="20"/>
        </w:rPr>
        <w:t>La Banque centrale estime qu’environ 17 Mds USD ont été transférés hors du Bangladesh après ces acquisitions</w:t>
      </w:r>
      <w:r w:rsidR="00DB0D97">
        <w:rPr>
          <w:rFonts w:ascii="Segoe UI" w:hAnsi="Segoe UI" w:cs="Segoe UI"/>
          <w:b/>
          <w:bCs/>
          <w:sz w:val="20"/>
          <w:szCs w:val="20"/>
        </w:rPr>
        <w:t xml:space="preserve"> frauduleuses</w:t>
      </w:r>
      <w:r w:rsidR="00DB0D97" w:rsidRPr="00DB0D97">
        <w:rPr>
          <w:rFonts w:ascii="Segoe UI" w:hAnsi="Segoe UI" w:cs="Segoe UI"/>
          <w:sz w:val="20"/>
          <w:szCs w:val="20"/>
        </w:rPr>
        <w:t>,</w:t>
      </w:r>
      <w:r w:rsidR="00DB0D97">
        <w:rPr>
          <w:rFonts w:ascii="Segoe UI" w:hAnsi="Segoe UI" w:cs="Segoe UI"/>
          <w:b/>
          <w:bCs/>
          <w:sz w:val="20"/>
          <w:szCs w:val="20"/>
        </w:rPr>
        <w:t xml:space="preserve"> </w:t>
      </w:r>
      <w:r w:rsidR="00DB0D97" w:rsidRPr="00DB0D97">
        <w:rPr>
          <w:rFonts w:ascii="Segoe UI" w:hAnsi="Segoe UI" w:cs="Segoe UI"/>
          <w:sz w:val="20"/>
          <w:szCs w:val="20"/>
        </w:rPr>
        <w:t>notamment par le biais de prêts aux nouveaux actionnaires</w:t>
      </w:r>
      <w:r w:rsidR="00903182" w:rsidRPr="00DB0D97">
        <w:rPr>
          <w:rFonts w:ascii="Segoe UI" w:hAnsi="Segoe UI" w:cs="Segoe UI"/>
          <w:sz w:val="20"/>
          <w:szCs w:val="20"/>
        </w:rPr>
        <w:t>.</w:t>
      </w:r>
    </w:p>
    <w:p w14:paraId="3724BA9B" w14:textId="10848697" w:rsidR="006D288E" w:rsidRDefault="004C719C" w:rsidP="009A3360">
      <w:pPr>
        <w:pStyle w:val="Paragraphedeliste"/>
        <w:numPr>
          <w:ilvl w:val="0"/>
          <w:numId w:val="16"/>
        </w:numPr>
        <w:spacing w:after="120"/>
        <w:jc w:val="both"/>
        <w:rPr>
          <w:rFonts w:ascii="Segoe UI" w:hAnsi="Segoe UI" w:cs="Segoe UI"/>
          <w:b/>
          <w:color w:val="000091" w:themeColor="text1"/>
          <w:sz w:val="24"/>
          <w:szCs w:val="24"/>
        </w:rPr>
      </w:pPr>
      <w:r w:rsidRPr="004C719C">
        <w:rPr>
          <w:rFonts w:ascii="Segoe UI" w:hAnsi="Segoe UI" w:cs="Segoe UI"/>
          <w:b/>
          <w:color w:val="000091" w:themeColor="text1"/>
          <w:sz w:val="24"/>
          <w:szCs w:val="24"/>
        </w:rPr>
        <w:t xml:space="preserve">Un chantier considérable pour le gouvernement intérimaire </w:t>
      </w:r>
    </w:p>
    <w:p w14:paraId="472BF67E" w14:textId="34D5C71F" w:rsidR="006E5935" w:rsidRDefault="006E5935" w:rsidP="009A3360">
      <w:pPr>
        <w:pStyle w:val="Sansinterligne"/>
        <w:ind w:left="-284"/>
        <w:jc w:val="both"/>
        <w:rPr>
          <w:rFonts w:ascii="Segoe UI" w:hAnsi="Segoe UI" w:cs="Segoe UI"/>
          <w:sz w:val="20"/>
          <w:szCs w:val="20"/>
        </w:rPr>
      </w:pPr>
      <w:r w:rsidRPr="006E5935">
        <w:rPr>
          <w:rFonts w:ascii="Segoe UI" w:hAnsi="Segoe UI" w:cs="Segoe UI"/>
          <w:sz w:val="20"/>
          <w:szCs w:val="20"/>
        </w:rPr>
        <w:t xml:space="preserve">Le gouvernement intérimaire et le nouveau </w:t>
      </w:r>
      <w:r>
        <w:rPr>
          <w:rFonts w:ascii="Segoe UI" w:hAnsi="Segoe UI" w:cs="Segoe UI"/>
          <w:sz w:val="20"/>
          <w:szCs w:val="20"/>
        </w:rPr>
        <w:t xml:space="preserve">gouverneur </w:t>
      </w:r>
      <w:r w:rsidR="00164B00">
        <w:rPr>
          <w:rFonts w:ascii="Segoe UI" w:hAnsi="Segoe UI" w:cs="Segoe UI"/>
          <w:sz w:val="20"/>
          <w:szCs w:val="20"/>
        </w:rPr>
        <w:t xml:space="preserve">de la Banque centrale, </w:t>
      </w:r>
      <w:r>
        <w:rPr>
          <w:rFonts w:ascii="Segoe UI" w:hAnsi="Segoe UI" w:cs="Segoe UI"/>
          <w:sz w:val="20"/>
          <w:szCs w:val="20"/>
        </w:rPr>
        <w:t>Dr. Mansur</w:t>
      </w:r>
      <w:r w:rsidR="00164B00">
        <w:rPr>
          <w:rFonts w:ascii="Segoe UI" w:hAnsi="Segoe UI" w:cs="Segoe UI"/>
          <w:sz w:val="20"/>
          <w:szCs w:val="20"/>
        </w:rPr>
        <w:t>,</w:t>
      </w:r>
      <w:r>
        <w:rPr>
          <w:rFonts w:ascii="Segoe UI" w:hAnsi="Segoe UI" w:cs="Segoe UI"/>
          <w:sz w:val="20"/>
          <w:szCs w:val="20"/>
        </w:rPr>
        <w:t xml:space="preserve"> ont placé la restauration de la confiance dans le secteur bancaire comme l’une des -nombreuses- priorités. </w:t>
      </w:r>
    </w:p>
    <w:p w14:paraId="4D70D5E3" w14:textId="6B1E71E8" w:rsidR="00074525" w:rsidRDefault="005B1612" w:rsidP="00074525">
      <w:pPr>
        <w:pStyle w:val="Sansinterligne"/>
        <w:spacing w:after="80"/>
        <w:ind w:left="-284"/>
        <w:jc w:val="both"/>
        <w:rPr>
          <w:rFonts w:ascii="Segoe UI" w:hAnsi="Segoe UI" w:cs="Segoe UI"/>
          <w:sz w:val="20"/>
          <w:szCs w:val="20"/>
        </w:rPr>
      </w:pPr>
      <w:r>
        <w:rPr>
          <w:rFonts w:ascii="Segoe UI" w:hAnsi="Segoe UI" w:cs="Segoe UI"/>
          <w:color w:val="6A6AF4" w:themeColor="text2"/>
          <w:sz w:val="20"/>
          <w:szCs w:val="20"/>
        </w:rPr>
        <w:t>Livre</w:t>
      </w:r>
      <w:r w:rsidR="00074525" w:rsidRPr="00074525">
        <w:rPr>
          <w:rFonts w:ascii="Segoe UI" w:hAnsi="Segoe UI" w:cs="Segoe UI"/>
          <w:color w:val="6A6AF4" w:themeColor="text2"/>
          <w:sz w:val="20"/>
          <w:szCs w:val="20"/>
        </w:rPr>
        <w:t xml:space="preserve"> blanc sur l’économie</w:t>
      </w:r>
      <w:r>
        <w:rPr>
          <w:rFonts w:ascii="Segoe UI" w:hAnsi="Segoe UI" w:cs="Segoe UI"/>
          <w:color w:val="6A6AF4" w:themeColor="text2"/>
          <w:sz w:val="20"/>
          <w:szCs w:val="20"/>
        </w:rPr>
        <w:t xml:space="preserve"> et le secteur bancaire</w:t>
      </w:r>
      <w:r w:rsidR="00074525" w:rsidRPr="00074525">
        <w:rPr>
          <w:rFonts w:ascii="Segoe UI" w:hAnsi="Segoe UI" w:cs="Segoe UI"/>
          <w:color w:val="6A6AF4" w:themeColor="text2"/>
          <w:sz w:val="20"/>
          <w:szCs w:val="20"/>
        </w:rPr>
        <w:t>.</w:t>
      </w:r>
      <w:r w:rsidR="00074525">
        <w:rPr>
          <w:rFonts w:ascii="Segoe UI" w:hAnsi="Segoe UI" w:cs="Segoe UI"/>
          <w:sz w:val="20"/>
          <w:szCs w:val="20"/>
        </w:rPr>
        <w:t xml:space="preserve"> Le gouvernement a commandé la rédaction d’un </w:t>
      </w:r>
      <w:r w:rsidR="00FE1761">
        <w:rPr>
          <w:rFonts w:ascii="Segoe UI" w:hAnsi="Segoe UI" w:cs="Segoe UI"/>
          <w:sz w:val="20"/>
          <w:szCs w:val="20"/>
        </w:rPr>
        <w:t>livre</w:t>
      </w:r>
      <w:r w:rsidR="00074525">
        <w:rPr>
          <w:rFonts w:ascii="Segoe UI" w:hAnsi="Segoe UI" w:cs="Segoe UI"/>
          <w:sz w:val="20"/>
          <w:szCs w:val="20"/>
        </w:rPr>
        <w:t xml:space="preserve"> blanc à un comité de </w:t>
      </w:r>
      <w:proofErr w:type="gramStart"/>
      <w:r w:rsidR="00D0510A">
        <w:rPr>
          <w:rFonts w:ascii="Segoe UI" w:hAnsi="Segoe UI" w:cs="Segoe UI"/>
          <w:sz w:val="20"/>
          <w:szCs w:val="20"/>
        </w:rPr>
        <w:t>dix</w:t>
      </w:r>
      <w:r w:rsidR="00074525">
        <w:rPr>
          <w:rFonts w:ascii="Segoe UI" w:hAnsi="Segoe UI" w:cs="Segoe UI"/>
          <w:sz w:val="20"/>
          <w:szCs w:val="20"/>
        </w:rPr>
        <w:t xml:space="preserve"> experts chargé</w:t>
      </w:r>
      <w:proofErr w:type="gramEnd"/>
      <w:r w:rsidR="00074525">
        <w:rPr>
          <w:rFonts w:ascii="Segoe UI" w:hAnsi="Segoe UI" w:cs="Segoe UI"/>
          <w:sz w:val="20"/>
          <w:szCs w:val="20"/>
        </w:rPr>
        <w:t xml:space="preserve"> de </w:t>
      </w:r>
      <w:r w:rsidR="00D0510A">
        <w:rPr>
          <w:rFonts w:ascii="Segoe UI" w:hAnsi="Segoe UI" w:cs="Segoe UI"/>
          <w:sz w:val="20"/>
          <w:szCs w:val="20"/>
        </w:rPr>
        <w:t>d</w:t>
      </w:r>
      <w:r w:rsidR="00074525">
        <w:rPr>
          <w:rFonts w:ascii="Segoe UI" w:hAnsi="Segoe UI" w:cs="Segoe UI"/>
          <w:sz w:val="20"/>
          <w:szCs w:val="20"/>
        </w:rPr>
        <w:t>re</w:t>
      </w:r>
      <w:r w:rsidR="00D0510A">
        <w:rPr>
          <w:rFonts w:ascii="Segoe UI" w:hAnsi="Segoe UI" w:cs="Segoe UI"/>
          <w:sz w:val="20"/>
          <w:szCs w:val="20"/>
        </w:rPr>
        <w:t>sser</w:t>
      </w:r>
      <w:r w:rsidR="00074525">
        <w:rPr>
          <w:rFonts w:ascii="Segoe UI" w:hAnsi="Segoe UI" w:cs="Segoe UI"/>
          <w:sz w:val="20"/>
          <w:szCs w:val="20"/>
        </w:rPr>
        <w:t xml:space="preserve"> un état des lieux de l’économie, en particulier sur la corruption. Ce comité devrait rendre sa copie </w:t>
      </w:r>
      <w:r w:rsidR="00C61E8B">
        <w:rPr>
          <w:rFonts w:ascii="Segoe UI" w:hAnsi="Segoe UI" w:cs="Segoe UI"/>
          <w:sz w:val="20"/>
          <w:szCs w:val="20"/>
        </w:rPr>
        <w:t>début décembre</w:t>
      </w:r>
      <w:r w:rsidR="00722912">
        <w:rPr>
          <w:rFonts w:ascii="Segoe UI" w:hAnsi="Segoe UI" w:cs="Segoe UI"/>
          <w:sz w:val="20"/>
          <w:szCs w:val="20"/>
        </w:rPr>
        <w:t xml:space="preserve"> et devrait contribuer à la publication de données plus fiables et transparentes</w:t>
      </w:r>
      <w:r w:rsidR="00C61E8B">
        <w:rPr>
          <w:rFonts w:ascii="Segoe UI" w:hAnsi="Segoe UI" w:cs="Segoe UI"/>
          <w:sz w:val="20"/>
          <w:szCs w:val="20"/>
        </w:rPr>
        <w:t xml:space="preserve"> (PIB, inflation, PNP)</w:t>
      </w:r>
      <w:r w:rsidR="00722912">
        <w:rPr>
          <w:rFonts w:ascii="Segoe UI" w:hAnsi="Segoe UI" w:cs="Segoe UI"/>
          <w:sz w:val="20"/>
          <w:szCs w:val="20"/>
        </w:rPr>
        <w:t>.</w:t>
      </w:r>
      <w:r w:rsidR="00074525">
        <w:rPr>
          <w:rFonts w:ascii="Segoe UI" w:hAnsi="Segoe UI" w:cs="Segoe UI"/>
          <w:sz w:val="20"/>
          <w:szCs w:val="20"/>
        </w:rPr>
        <w:t xml:space="preserve"> </w:t>
      </w:r>
    </w:p>
    <w:p w14:paraId="084D18BE" w14:textId="4790E060" w:rsidR="006E5935" w:rsidRDefault="00074525" w:rsidP="00074525">
      <w:pPr>
        <w:pStyle w:val="Sansinterligne"/>
        <w:spacing w:after="80"/>
        <w:ind w:left="-284"/>
        <w:jc w:val="both"/>
        <w:rPr>
          <w:rFonts w:ascii="Segoe UI" w:hAnsi="Segoe UI" w:cs="Segoe UI"/>
          <w:sz w:val="20"/>
          <w:szCs w:val="20"/>
        </w:rPr>
      </w:pPr>
      <w:r>
        <w:rPr>
          <w:rFonts w:ascii="Segoe UI" w:hAnsi="Segoe UI" w:cs="Segoe UI"/>
          <w:sz w:val="20"/>
          <w:szCs w:val="20"/>
        </w:rPr>
        <w:lastRenderedPageBreak/>
        <w:t xml:space="preserve">Par ailleurs, </w:t>
      </w:r>
      <w:r w:rsidRPr="000524C6">
        <w:rPr>
          <w:rFonts w:ascii="Segoe UI" w:hAnsi="Segoe UI" w:cs="Segoe UI"/>
          <w:b/>
          <w:bCs/>
          <w:sz w:val="20"/>
          <w:szCs w:val="20"/>
        </w:rPr>
        <w:t xml:space="preserve">la Banque centrale a mis sur pied une </w:t>
      </w:r>
      <w:proofErr w:type="spellStart"/>
      <w:r w:rsidRPr="000524C6">
        <w:rPr>
          <w:rFonts w:ascii="Segoe UI" w:hAnsi="Segoe UI" w:cs="Segoe UI"/>
          <w:b/>
          <w:bCs/>
          <w:i/>
          <w:iCs/>
          <w:sz w:val="20"/>
          <w:szCs w:val="20"/>
        </w:rPr>
        <w:t>task</w:t>
      </w:r>
      <w:proofErr w:type="spellEnd"/>
      <w:r w:rsidRPr="000524C6">
        <w:rPr>
          <w:rFonts w:ascii="Segoe UI" w:hAnsi="Segoe UI" w:cs="Segoe UI"/>
          <w:b/>
          <w:bCs/>
          <w:i/>
          <w:iCs/>
          <w:sz w:val="20"/>
          <w:szCs w:val="20"/>
        </w:rPr>
        <w:t xml:space="preserve"> force</w:t>
      </w:r>
      <w:r w:rsidRPr="000524C6">
        <w:rPr>
          <w:rFonts w:ascii="Segoe UI" w:hAnsi="Segoe UI" w:cs="Segoe UI"/>
          <w:b/>
          <w:bCs/>
          <w:sz w:val="20"/>
          <w:szCs w:val="20"/>
        </w:rPr>
        <w:t xml:space="preserve"> sur la réforme du secteur bancaire début septembre. </w:t>
      </w:r>
      <w:r w:rsidR="005B1612">
        <w:rPr>
          <w:rFonts w:ascii="Segoe UI" w:hAnsi="Segoe UI" w:cs="Segoe UI"/>
          <w:sz w:val="20"/>
          <w:szCs w:val="20"/>
        </w:rPr>
        <w:t>Celle-ci est en charge de faire des propositions sur le</w:t>
      </w:r>
      <w:r w:rsidRPr="00074525">
        <w:rPr>
          <w:rFonts w:ascii="Segoe UI" w:hAnsi="Segoe UI" w:cs="Segoe UI"/>
          <w:sz w:val="20"/>
          <w:szCs w:val="20"/>
        </w:rPr>
        <w:t xml:space="preserve"> cadre réglementaire pour améliorer la gouvernance et la gestion des risques</w:t>
      </w:r>
      <w:r w:rsidR="005B1612">
        <w:rPr>
          <w:rFonts w:ascii="Segoe UI" w:hAnsi="Segoe UI" w:cs="Segoe UI"/>
          <w:sz w:val="20"/>
          <w:szCs w:val="20"/>
        </w:rPr>
        <w:t xml:space="preserve"> et pour </w:t>
      </w:r>
      <w:r w:rsidRPr="00074525">
        <w:rPr>
          <w:rFonts w:ascii="Segoe UI" w:hAnsi="Segoe UI" w:cs="Segoe UI"/>
          <w:sz w:val="20"/>
          <w:szCs w:val="20"/>
        </w:rPr>
        <w:t>limiter l'influence des politiques et des entreprises sur la prise de décision.</w:t>
      </w:r>
      <w:r w:rsidR="005B1612">
        <w:rPr>
          <w:rFonts w:ascii="Segoe UI" w:hAnsi="Segoe UI" w:cs="Segoe UI"/>
          <w:sz w:val="20"/>
          <w:szCs w:val="20"/>
        </w:rPr>
        <w:t xml:space="preserve"> Pour les </w:t>
      </w:r>
      <w:r w:rsidR="00D0510A">
        <w:rPr>
          <w:rFonts w:ascii="Segoe UI" w:hAnsi="Segoe UI" w:cs="Segoe UI"/>
          <w:sz w:val="20"/>
          <w:szCs w:val="20"/>
        </w:rPr>
        <w:t>établissements fragiles</w:t>
      </w:r>
      <w:r w:rsidR="005B1612">
        <w:rPr>
          <w:rFonts w:ascii="Segoe UI" w:hAnsi="Segoe UI" w:cs="Segoe UI"/>
          <w:sz w:val="20"/>
          <w:szCs w:val="20"/>
        </w:rPr>
        <w:t xml:space="preserve">, la </w:t>
      </w:r>
      <w:proofErr w:type="spellStart"/>
      <w:r w:rsidR="005B1612" w:rsidRPr="005B1612">
        <w:rPr>
          <w:rFonts w:ascii="Segoe UI" w:hAnsi="Segoe UI" w:cs="Segoe UI"/>
          <w:i/>
          <w:iCs/>
          <w:sz w:val="20"/>
          <w:szCs w:val="20"/>
        </w:rPr>
        <w:t>task</w:t>
      </w:r>
      <w:proofErr w:type="spellEnd"/>
      <w:r w:rsidR="005B1612" w:rsidRPr="005B1612">
        <w:rPr>
          <w:rFonts w:ascii="Segoe UI" w:hAnsi="Segoe UI" w:cs="Segoe UI"/>
          <w:i/>
          <w:iCs/>
          <w:sz w:val="20"/>
          <w:szCs w:val="20"/>
        </w:rPr>
        <w:t xml:space="preserve"> force</w:t>
      </w:r>
      <w:r w:rsidR="005B1612">
        <w:rPr>
          <w:rFonts w:ascii="Segoe UI" w:hAnsi="Segoe UI" w:cs="Segoe UI"/>
          <w:sz w:val="20"/>
          <w:szCs w:val="20"/>
        </w:rPr>
        <w:t xml:space="preserve"> proposera des réformes pour réglement</w:t>
      </w:r>
      <w:r w:rsidR="004028A2">
        <w:rPr>
          <w:rFonts w:ascii="Segoe UI" w:hAnsi="Segoe UI" w:cs="Segoe UI"/>
          <w:sz w:val="20"/>
          <w:szCs w:val="20"/>
        </w:rPr>
        <w:t xml:space="preserve">er </w:t>
      </w:r>
      <w:proofErr w:type="gramStart"/>
      <w:r w:rsidR="004028A2">
        <w:rPr>
          <w:rFonts w:ascii="Segoe UI" w:hAnsi="Segoe UI" w:cs="Segoe UI"/>
          <w:sz w:val="20"/>
          <w:szCs w:val="20"/>
        </w:rPr>
        <w:t xml:space="preserve">les </w:t>
      </w:r>
      <w:r w:rsidR="005B1612">
        <w:rPr>
          <w:rFonts w:ascii="Segoe UI" w:hAnsi="Segoe UI" w:cs="Segoe UI"/>
          <w:sz w:val="20"/>
          <w:szCs w:val="20"/>
        </w:rPr>
        <w:t xml:space="preserve"> fusion</w:t>
      </w:r>
      <w:r w:rsidR="004028A2">
        <w:rPr>
          <w:rFonts w:ascii="Segoe UI" w:hAnsi="Segoe UI" w:cs="Segoe UI"/>
          <w:sz w:val="20"/>
          <w:szCs w:val="20"/>
        </w:rPr>
        <w:t>s</w:t>
      </w:r>
      <w:proofErr w:type="gramEnd"/>
      <w:r w:rsidR="005B1612">
        <w:rPr>
          <w:rFonts w:ascii="Segoe UI" w:hAnsi="Segoe UI" w:cs="Segoe UI"/>
          <w:sz w:val="20"/>
          <w:szCs w:val="20"/>
        </w:rPr>
        <w:t>-acquisition</w:t>
      </w:r>
      <w:r w:rsidR="004028A2">
        <w:rPr>
          <w:rFonts w:ascii="Segoe UI" w:hAnsi="Segoe UI" w:cs="Segoe UI"/>
          <w:sz w:val="20"/>
          <w:szCs w:val="20"/>
        </w:rPr>
        <w:t>s</w:t>
      </w:r>
      <w:r w:rsidR="005B1612">
        <w:rPr>
          <w:rFonts w:ascii="Segoe UI" w:hAnsi="Segoe UI" w:cs="Segoe UI"/>
          <w:sz w:val="20"/>
          <w:szCs w:val="20"/>
        </w:rPr>
        <w:t xml:space="preserve"> et un cadre légal pour le redressement des banques en difficulté. </w:t>
      </w:r>
    </w:p>
    <w:p w14:paraId="6CC38F98" w14:textId="0381EED1" w:rsidR="00165668" w:rsidRDefault="00FE1761" w:rsidP="00165668">
      <w:pPr>
        <w:pStyle w:val="Sansinterligne"/>
        <w:spacing w:after="80"/>
        <w:ind w:left="-284"/>
        <w:jc w:val="both"/>
        <w:rPr>
          <w:rFonts w:ascii="Segoe UI" w:hAnsi="Segoe UI" w:cs="Segoe UI"/>
          <w:sz w:val="20"/>
          <w:szCs w:val="20"/>
        </w:rPr>
      </w:pPr>
      <w:r>
        <w:rPr>
          <w:rFonts w:ascii="Segoe UI" w:hAnsi="Segoe UI" w:cs="Segoe UI"/>
          <w:color w:val="6A6AF4" w:themeColor="text2"/>
          <w:sz w:val="20"/>
          <w:szCs w:val="20"/>
        </w:rPr>
        <w:t xml:space="preserve">De premières mesures prises par la Bangladesh Bank. </w:t>
      </w:r>
      <w:r w:rsidR="003232BE" w:rsidRPr="003232BE">
        <w:rPr>
          <w:rFonts w:ascii="Segoe UI" w:hAnsi="Segoe UI" w:cs="Segoe UI"/>
          <w:sz w:val="20"/>
          <w:szCs w:val="20"/>
        </w:rPr>
        <w:t xml:space="preserve">Plusieurs banques sont aujourd’hui sous strict contrôle de la </w:t>
      </w:r>
      <w:r w:rsidR="004028A2">
        <w:rPr>
          <w:rFonts w:ascii="Segoe UI" w:hAnsi="Segoe UI" w:cs="Segoe UI"/>
          <w:sz w:val="20"/>
          <w:szCs w:val="20"/>
        </w:rPr>
        <w:t>B</w:t>
      </w:r>
      <w:r w:rsidR="003232BE" w:rsidRPr="003232BE">
        <w:rPr>
          <w:rFonts w:ascii="Segoe UI" w:hAnsi="Segoe UI" w:cs="Segoe UI"/>
          <w:sz w:val="20"/>
          <w:szCs w:val="20"/>
        </w:rPr>
        <w:t>anque centrale. Une dizaine d</w:t>
      </w:r>
      <w:r w:rsidR="003232BE">
        <w:rPr>
          <w:rFonts w:ascii="Segoe UI" w:hAnsi="Segoe UI" w:cs="Segoe UI"/>
          <w:sz w:val="20"/>
          <w:szCs w:val="20"/>
        </w:rPr>
        <w:t>’</w:t>
      </w:r>
      <w:r w:rsidR="002145B2">
        <w:rPr>
          <w:rFonts w:ascii="Segoe UI" w:hAnsi="Segoe UI" w:cs="Segoe UI"/>
          <w:sz w:val="20"/>
          <w:szCs w:val="20"/>
        </w:rPr>
        <w:t>entre</w:t>
      </w:r>
      <w:r w:rsidR="003232BE">
        <w:rPr>
          <w:rFonts w:ascii="Segoe UI" w:hAnsi="Segoe UI" w:cs="Segoe UI"/>
          <w:sz w:val="20"/>
          <w:szCs w:val="20"/>
        </w:rPr>
        <w:t xml:space="preserve"> elles doivent partager 20 indicateurs quotidiennement. </w:t>
      </w:r>
      <w:r w:rsidR="00FE507C">
        <w:rPr>
          <w:rFonts w:ascii="Segoe UI" w:hAnsi="Segoe UI" w:cs="Segoe UI"/>
          <w:sz w:val="20"/>
          <w:szCs w:val="20"/>
        </w:rPr>
        <w:t xml:space="preserve">Certaines banques </w:t>
      </w:r>
      <w:r w:rsidR="003232BE">
        <w:rPr>
          <w:rFonts w:ascii="Segoe UI" w:hAnsi="Segoe UI" w:cs="Segoe UI"/>
          <w:sz w:val="20"/>
          <w:szCs w:val="20"/>
        </w:rPr>
        <w:t xml:space="preserve">doivent désormais obtenir l’accord du régulateur pour tout prêt de plus de 400.000 EUR. </w:t>
      </w:r>
      <w:r w:rsidR="006D288E" w:rsidRPr="004711FA">
        <w:rPr>
          <w:rFonts w:ascii="Segoe UI" w:hAnsi="Segoe UI" w:cs="Segoe UI"/>
          <w:sz w:val="20"/>
          <w:szCs w:val="20"/>
        </w:rPr>
        <w:t xml:space="preserve">Le gouverneur de la Bangladesh Bank a </w:t>
      </w:r>
      <w:r w:rsidR="004711FA">
        <w:rPr>
          <w:rFonts w:ascii="Segoe UI" w:hAnsi="Segoe UI" w:cs="Segoe UI"/>
          <w:sz w:val="20"/>
          <w:szCs w:val="20"/>
        </w:rPr>
        <w:t xml:space="preserve">par ailleurs </w:t>
      </w:r>
      <w:r w:rsidR="006D288E" w:rsidRPr="004711FA">
        <w:rPr>
          <w:rFonts w:ascii="Segoe UI" w:hAnsi="Segoe UI" w:cs="Segoe UI"/>
          <w:sz w:val="20"/>
          <w:szCs w:val="20"/>
        </w:rPr>
        <w:t xml:space="preserve">exclu le recours à la planche à billets pour </w:t>
      </w:r>
      <w:r w:rsidR="004711FA">
        <w:rPr>
          <w:rFonts w:ascii="Segoe UI" w:hAnsi="Segoe UI" w:cs="Segoe UI"/>
          <w:sz w:val="20"/>
          <w:szCs w:val="20"/>
        </w:rPr>
        <w:t>financer</w:t>
      </w:r>
      <w:r w:rsidR="006D288E" w:rsidRPr="004711FA">
        <w:rPr>
          <w:rFonts w:ascii="Segoe UI" w:hAnsi="Segoe UI" w:cs="Segoe UI"/>
          <w:sz w:val="20"/>
          <w:szCs w:val="20"/>
        </w:rPr>
        <w:t xml:space="preserve"> les banques en difficulté</w:t>
      </w:r>
      <w:r w:rsidR="006D288E">
        <w:rPr>
          <w:rStyle w:val="Appeldenotedefin"/>
          <w:rFonts w:ascii="Segoe UI" w:hAnsi="Segoe UI" w:cs="Segoe UI"/>
          <w:sz w:val="20"/>
          <w:szCs w:val="20"/>
        </w:rPr>
        <w:endnoteReference w:id="5"/>
      </w:r>
      <w:r w:rsidR="004711FA">
        <w:rPr>
          <w:rFonts w:ascii="Segoe UI" w:hAnsi="Segoe UI" w:cs="Segoe UI"/>
          <w:sz w:val="20"/>
          <w:szCs w:val="20"/>
        </w:rPr>
        <w:t xml:space="preserve">, privilégiant des emprunts interbancaires. </w:t>
      </w:r>
    </w:p>
    <w:p w14:paraId="680EB306" w14:textId="4C1EF72B" w:rsidR="006D288E" w:rsidRDefault="006D288E" w:rsidP="004711FA">
      <w:pPr>
        <w:pStyle w:val="Sansinterligne"/>
        <w:spacing w:after="80"/>
        <w:ind w:left="-284"/>
        <w:jc w:val="both"/>
        <w:rPr>
          <w:rFonts w:ascii="Segoe UI" w:hAnsi="Segoe UI" w:cs="Segoe UI"/>
          <w:sz w:val="20"/>
          <w:szCs w:val="20"/>
        </w:rPr>
      </w:pPr>
      <w:r>
        <w:rPr>
          <w:rFonts w:ascii="Segoe UI" w:hAnsi="Segoe UI" w:cs="Segoe UI"/>
          <w:color w:val="6A6AF4" w:themeColor="text2"/>
          <w:sz w:val="20"/>
          <w:szCs w:val="20"/>
        </w:rPr>
        <w:t>Changement de direction de nombreuses banques.</w:t>
      </w:r>
      <w:r w:rsidR="004711FA">
        <w:rPr>
          <w:rFonts w:ascii="Segoe UI" w:hAnsi="Segoe UI" w:cs="Segoe UI"/>
          <w:color w:val="6A6AF4" w:themeColor="text2"/>
          <w:sz w:val="20"/>
          <w:szCs w:val="20"/>
        </w:rPr>
        <w:t xml:space="preserve"> </w:t>
      </w:r>
      <w:r w:rsidR="004711FA" w:rsidRPr="004711FA">
        <w:rPr>
          <w:rFonts w:ascii="Segoe UI" w:hAnsi="Segoe UI" w:cs="Segoe UI"/>
          <w:sz w:val="20"/>
          <w:szCs w:val="20"/>
        </w:rPr>
        <w:t>Les mois d</w:t>
      </w:r>
      <w:r w:rsidR="004711FA">
        <w:rPr>
          <w:rFonts w:ascii="Segoe UI" w:hAnsi="Segoe UI" w:cs="Segoe UI"/>
          <w:sz w:val="20"/>
          <w:szCs w:val="20"/>
        </w:rPr>
        <w:t>’</w:t>
      </w:r>
      <w:r w:rsidR="004711FA" w:rsidRPr="004711FA">
        <w:rPr>
          <w:rFonts w:ascii="Segoe UI" w:hAnsi="Segoe UI" w:cs="Segoe UI"/>
          <w:sz w:val="20"/>
          <w:szCs w:val="20"/>
        </w:rPr>
        <w:t xml:space="preserve">août et septembre </w:t>
      </w:r>
      <w:r w:rsidR="004028A2">
        <w:rPr>
          <w:rFonts w:ascii="Segoe UI" w:hAnsi="Segoe UI" w:cs="Segoe UI"/>
          <w:sz w:val="20"/>
          <w:szCs w:val="20"/>
        </w:rPr>
        <w:t>ont</w:t>
      </w:r>
      <w:r w:rsidR="004711FA" w:rsidRPr="004711FA">
        <w:rPr>
          <w:rFonts w:ascii="Segoe UI" w:hAnsi="Segoe UI" w:cs="Segoe UI"/>
          <w:sz w:val="20"/>
          <w:szCs w:val="20"/>
        </w:rPr>
        <w:t xml:space="preserve"> connu </w:t>
      </w:r>
      <w:r w:rsidR="004028A2">
        <w:rPr>
          <w:rFonts w:ascii="Segoe UI" w:hAnsi="Segoe UI" w:cs="Segoe UI"/>
          <w:sz w:val="20"/>
          <w:szCs w:val="20"/>
        </w:rPr>
        <w:t>d’</w:t>
      </w:r>
      <w:r w:rsidR="00165668">
        <w:rPr>
          <w:rFonts w:ascii="Segoe UI" w:hAnsi="Segoe UI" w:cs="Segoe UI"/>
          <w:sz w:val="20"/>
          <w:szCs w:val="20"/>
        </w:rPr>
        <w:t>important</w:t>
      </w:r>
      <w:r w:rsidR="004028A2">
        <w:rPr>
          <w:rFonts w:ascii="Segoe UI" w:hAnsi="Segoe UI" w:cs="Segoe UI"/>
          <w:sz w:val="20"/>
          <w:szCs w:val="20"/>
        </w:rPr>
        <w:t>s changements dans les conseils d’administration</w:t>
      </w:r>
      <w:r w:rsidR="00165668">
        <w:rPr>
          <w:rFonts w:ascii="Segoe UI" w:hAnsi="Segoe UI" w:cs="Segoe UI"/>
          <w:sz w:val="20"/>
          <w:szCs w:val="20"/>
        </w:rPr>
        <w:t xml:space="preserve"> et </w:t>
      </w:r>
      <w:r w:rsidR="004028A2">
        <w:rPr>
          <w:rFonts w:ascii="Segoe UI" w:hAnsi="Segoe UI" w:cs="Segoe UI"/>
          <w:sz w:val="20"/>
          <w:szCs w:val="20"/>
        </w:rPr>
        <w:t>les</w:t>
      </w:r>
      <w:r w:rsidR="00165668">
        <w:rPr>
          <w:rFonts w:ascii="Segoe UI" w:hAnsi="Segoe UI" w:cs="Segoe UI"/>
          <w:sz w:val="20"/>
          <w:szCs w:val="20"/>
        </w:rPr>
        <w:t xml:space="preserve"> PDG </w:t>
      </w:r>
      <w:r w:rsidR="004028A2">
        <w:rPr>
          <w:rFonts w:ascii="Segoe UI" w:hAnsi="Segoe UI" w:cs="Segoe UI"/>
          <w:sz w:val="20"/>
          <w:szCs w:val="20"/>
        </w:rPr>
        <w:t>de</w:t>
      </w:r>
      <w:r w:rsidR="00165668">
        <w:rPr>
          <w:rFonts w:ascii="Segoe UI" w:hAnsi="Segoe UI" w:cs="Segoe UI"/>
          <w:sz w:val="20"/>
          <w:szCs w:val="20"/>
        </w:rPr>
        <w:t xml:space="preserve"> banques publiques et privées. Une dizaine de banques ont vu leur conseil d’administration dissou</w:t>
      </w:r>
      <w:r w:rsidR="004028A2">
        <w:rPr>
          <w:rFonts w:ascii="Segoe UI" w:hAnsi="Segoe UI" w:cs="Segoe UI"/>
          <w:sz w:val="20"/>
          <w:szCs w:val="20"/>
        </w:rPr>
        <w:t xml:space="preserve">s </w:t>
      </w:r>
      <w:r w:rsidR="00165668">
        <w:rPr>
          <w:rFonts w:ascii="Segoe UI" w:hAnsi="Segoe UI" w:cs="Segoe UI"/>
          <w:sz w:val="20"/>
          <w:szCs w:val="20"/>
        </w:rPr>
        <w:t>par la Banque centrale pour y nommer des administrateurs indépendants</w:t>
      </w:r>
      <w:r w:rsidR="00165668">
        <w:rPr>
          <w:rStyle w:val="Appeldenotedefin"/>
          <w:rFonts w:ascii="Segoe UI" w:hAnsi="Segoe UI" w:cs="Segoe UI"/>
          <w:sz w:val="20"/>
          <w:szCs w:val="20"/>
        </w:rPr>
        <w:endnoteReference w:id="6"/>
      </w:r>
      <w:r w:rsidR="00165668">
        <w:rPr>
          <w:rFonts w:ascii="Segoe UI" w:hAnsi="Segoe UI" w:cs="Segoe UI"/>
          <w:sz w:val="20"/>
          <w:szCs w:val="20"/>
        </w:rPr>
        <w:t xml:space="preserve">. Par ailleurs, la plupart des PDG des banques publiques ont </w:t>
      </w:r>
      <w:r w:rsidR="004028A2">
        <w:rPr>
          <w:rFonts w:ascii="Segoe UI" w:hAnsi="Segoe UI" w:cs="Segoe UI"/>
          <w:sz w:val="20"/>
          <w:szCs w:val="20"/>
        </w:rPr>
        <w:t>dû démissionner</w:t>
      </w:r>
      <w:r w:rsidR="00AD04FC">
        <w:rPr>
          <w:rFonts w:ascii="Segoe UI" w:hAnsi="Segoe UI" w:cs="Segoe UI"/>
          <w:sz w:val="20"/>
          <w:szCs w:val="20"/>
        </w:rPr>
        <w:t xml:space="preserve">. </w:t>
      </w:r>
    </w:p>
    <w:p w14:paraId="08A05C1E" w14:textId="4C92A481" w:rsidR="00165668" w:rsidRDefault="00165668" w:rsidP="00AD04FC">
      <w:pPr>
        <w:pStyle w:val="Sansinterligne"/>
        <w:spacing w:after="80"/>
        <w:ind w:left="-284"/>
        <w:jc w:val="both"/>
        <w:rPr>
          <w:rFonts w:ascii="Segoe UI" w:hAnsi="Segoe UI" w:cs="Segoe UI"/>
          <w:sz w:val="20"/>
          <w:szCs w:val="20"/>
        </w:rPr>
      </w:pPr>
      <w:r>
        <w:rPr>
          <w:rFonts w:ascii="Segoe UI" w:hAnsi="Segoe UI" w:cs="Segoe UI"/>
          <w:color w:val="6A6AF4" w:themeColor="text2"/>
          <w:sz w:val="20"/>
          <w:szCs w:val="20"/>
        </w:rPr>
        <w:t>L’avenir incertain d</w:t>
      </w:r>
      <w:r w:rsidR="004028A2">
        <w:rPr>
          <w:rFonts w:ascii="Segoe UI" w:hAnsi="Segoe UI" w:cs="Segoe UI"/>
          <w:color w:val="6A6AF4" w:themeColor="text2"/>
          <w:sz w:val="20"/>
          <w:szCs w:val="20"/>
        </w:rPr>
        <w:t>es</w:t>
      </w:r>
      <w:r>
        <w:rPr>
          <w:rFonts w:ascii="Segoe UI" w:hAnsi="Segoe UI" w:cs="Segoe UI"/>
          <w:color w:val="6A6AF4" w:themeColor="text2"/>
          <w:sz w:val="20"/>
          <w:szCs w:val="20"/>
        </w:rPr>
        <w:t xml:space="preserve"> projet</w:t>
      </w:r>
      <w:r w:rsidR="004028A2">
        <w:rPr>
          <w:rFonts w:ascii="Segoe UI" w:hAnsi="Segoe UI" w:cs="Segoe UI"/>
          <w:color w:val="6A6AF4" w:themeColor="text2"/>
          <w:sz w:val="20"/>
          <w:szCs w:val="20"/>
        </w:rPr>
        <w:t>s</w:t>
      </w:r>
      <w:r>
        <w:rPr>
          <w:rFonts w:ascii="Segoe UI" w:hAnsi="Segoe UI" w:cs="Segoe UI"/>
          <w:color w:val="6A6AF4" w:themeColor="text2"/>
          <w:sz w:val="20"/>
          <w:szCs w:val="20"/>
        </w:rPr>
        <w:t xml:space="preserve"> de fusion-</w:t>
      </w:r>
      <w:r w:rsidRPr="00AD04FC">
        <w:rPr>
          <w:rFonts w:ascii="Segoe UI" w:hAnsi="Segoe UI" w:cs="Segoe UI"/>
          <w:color w:val="6A6AF4" w:themeColor="text2"/>
          <w:sz w:val="20"/>
          <w:szCs w:val="20"/>
        </w:rPr>
        <w:t>acquisition.</w:t>
      </w:r>
      <w:r>
        <w:rPr>
          <w:rFonts w:ascii="Segoe UI" w:hAnsi="Segoe UI" w:cs="Segoe UI"/>
          <w:sz w:val="20"/>
          <w:szCs w:val="20"/>
        </w:rPr>
        <w:t xml:space="preserve"> </w:t>
      </w:r>
      <w:r w:rsidR="00AD04FC">
        <w:rPr>
          <w:rFonts w:ascii="Segoe UI" w:hAnsi="Segoe UI" w:cs="Segoe UI"/>
          <w:sz w:val="20"/>
          <w:szCs w:val="20"/>
        </w:rPr>
        <w:t xml:space="preserve">La précédente administration </w:t>
      </w:r>
      <w:r w:rsidR="00AD04FC" w:rsidRPr="00AD04FC">
        <w:rPr>
          <w:rFonts w:ascii="Segoe UI" w:hAnsi="Segoe UI" w:cs="Segoe UI"/>
          <w:sz w:val="20"/>
          <w:szCs w:val="20"/>
        </w:rPr>
        <w:t xml:space="preserve">avait </w:t>
      </w:r>
      <w:r w:rsidR="00AD04FC">
        <w:rPr>
          <w:rFonts w:ascii="Segoe UI" w:hAnsi="Segoe UI" w:cs="Segoe UI"/>
          <w:sz w:val="20"/>
          <w:szCs w:val="20"/>
        </w:rPr>
        <w:t>impulsé début 2024</w:t>
      </w:r>
      <w:r w:rsidR="00AD04FC" w:rsidRPr="00AD04FC">
        <w:rPr>
          <w:rFonts w:ascii="Segoe UI" w:hAnsi="Segoe UI" w:cs="Segoe UI"/>
          <w:sz w:val="20"/>
          <w:szCs w:val="20"/>
        </w:rPr>
        <w:t xml:space="preserve"> un mouvement de </w:t>
      </w:r>
      <w:r w:rsidR="00AD04FC">
        <w:rPr>
          <w:rFonts w:ascii="Segoe UI" w:hAnsi="Segoe UI" w:cs="Segoe UI"/>
          <w:sz w:val="20"/>
          <w:szCs w:val="20"/>
        </w:rPr>
        <w:t>consolidation du</w:t>
      </w:r>
      <w:r w:rsidR="00AD04FC" w:rsidRPr="00AD04FC">
        <w:rPr>
          <w:rFonts w:ascii="Segoe UI" w:hAnsi="Segoe UI" w:cs="Segoe UI"/>
          <w:sz w:val="20"/>
          <w:szCs w:val="20"/>
        </w:rPr>
        <w:t xml:space="preserve"> paysage bancaire</w:t>
      </w:r>
      <w:r w:rsidR="00AD04FC">
        <w:rPr>
          <w:rFonts w:ascii="Segoe UI" w:hAnsi="Segoe UI" w:cs="Segoe UI"/>
          <w:sz w:val="20"/>
          <w:szCs w:val="20"/>
        </w:rPr>
        <w:t xml:space="preserve">, espérant obtenir des fusions spontanées entre des banques « faibles » et des banques « fortes » d’ici à la fin de l’année. </w:t>
      </w:r>
      <w:r w:rsidR="00AD04FC" w:rsidRPr="00AD04FC">
        <w:rPr>
          <w:rFonts w:ascii="Segoe UI" w:hAnsi="Segoe UI" w:cs="Segoe UI"/>
          <w:sz w:val="20"/>
          <w:szCs w:val="20"/>
        </w:rPr>
        <w:t xml:space="preserve">Depuis l’adoption du </w:t>
      </w:r>
      <w:r w:rsidR="00AD04FC" w:rsidRPr="00576E60">
        <w:rPr>
          <w:rFonts w:ascii="Segoe UI" w:hAnsi="Segoe UI" w:cs="Segoe UI"/>
          <w:i/>
          <w:iCs/>
          <w:sz w:val="20"/>
          <w:szCs w:val="20"/>
        </w:rPr>
        <w:t xml:space="preserve">Bank </w:t>
      </w:r>
      <w:proofErr w:type="spellStart"/>
      <w:r w:rsidR="00AD04FC" w:rsidRPr="00576E60">
        <w:rPr>
          <w:rFonts w:ascii="Segoe UI" w:hAnsi="Segoe UI" w:cs="Segoe UI"/>
          <w:i/>
          <w:iCs/>
          <w:sz w:val="20"/>
          <w:szCs w:val="20"/>
        </w:rPr>
        <w:t>Companies</w:t>
      </w:r>
      <w:proofErr w:type="spellEnd"/>
      <w:r w:rsidR="00AD04FC" w:rsidRPr="00576E60">
        <w:rPr>
          <w:rFonts w:ascii="Segoe UI" w:hAnsi="Segoe UI" w:cs="Segoe UI"/>
          <w:i/>
          <w:iCs/>
          <w:sz w:val="20"/>
          <w:szCs w:val="20"/>
        </w:rPr>
        <w:t xml:space="preserve"> </w:t>
      </w:r>
      <w:proofErr w:type="spellStart"/>
      <w:r w:rsidR="00AD04FC" w:rsidRPr="00576E60">
        <w:rPr>
          <w:rFonts w:ascii="Segoe UI" w:hAnsi="Segoe UI" w:cs="Segoe UI"/>
          <w:i/>
          <w:iCs/>
          <w:sz w:val="20"/>
          <w:szCs w:val="20"/>
        </w:rPr>
        <w:t>Act</w:t>
      </w:r>
      <w:proofErr w:type="spellEnd"/>
      <w:r w:rsidR="00AD04FC" w:rsidRPr="00576E60">
        <w:rPr>
          <w:rFonts w:ascii="Segoe UI" w:hAnsi="Segoe UI" w:cs="Segoe UI"/>
          <w:i/>
          <w:iCs/>
          <w:sz w:val="20"/>
          <w:szCs w:val="20"/>
        </w:rPr>
        <w:t xml:space="preserve"> 2023</w:t>
      </w:r>
      <w:r w:rsidR="00AD04FC" w:rsidRPr="00AD04FC">
        <w:rPr>
          <w:rFonts w:ascii="Segoe UI" w:hAnsi="Segoe UI" w:cs="Segoe UI"/>
          <w:sz w:val="20"/>
          <w:szCs w:val="20"/>
        </w:rPr>
        <w:t xml:space="preserve">, la </w:t>
      </w:r>
      <w:r w:rsidR="004028A2">
        <w:rPr>
          <w:rFonts w:ascii="Segoe UI" w:hAnsi="Segoe UI" w:cs="Segoe UI"/>
          <w:sz w:val="20"/>
          <w:szCs w:val="20"/>
        </w:rPr>
        <w:t>B</w:t>
      </w:r>
      <w:r w:rsidR="00AD04FC" w:rsidRPr="00AD04FC">
        <w:rPr>
          <w:rFonts w:ascii="Segoe UI" w:hAnsi="Segoe UI" w:cs="Segoe UI"/>
          <w:sz w:val="20"/>
          <w:szCs w:val="20"/>
        </w:rPr>
        <w:t xml:space="preserve">anque centrale peut </w:t>
      </w:r>
      <w:r w:rsidR="00AD04FC">
        <w:rPr>
          <w:rFonts w:ascii="Segoe UI" w:hAnsi="Segoe UI" w:cs="Segoe UI"/>
          <w:sz w:val="20"/>
          <w:szCs w:val="20"/>
        </w:rPr>
        <w:t>par ailleurs</w:t>
      </w:r>
      <w:r w:rsidR="00AD04FC" w:rsidRPr="00AD04FC">
        <w:rPr>
          <w:rFonts w:ascii="Segoe UI" w:hAnsi="Segoe UI" w:cs="Segoe UI"/>
          <w:sz w:val="20"/>
          <w:szCs w:val="20"/>
        </w:rPr>
        <w:t xml:space="preserve"> </w:t>
      </w:r>
      <w:r w:rsidR="009F08F4">
        <w:rPr>
          <w:rFonts w:ascii="Segoe UI" w:hAnsi="Segoe UI" w:cs="Segoe UI"/>
          <w:sz w:val="20"/>
          <w:szCs w:val="20"/>
        </w:rPr>
        <w:t xml:space="preserve">contraindre à </w:t>
      </w:r>
      <w:r w:rsidR="00AD04FC" w:rsidRPr="00AD04FC">
        <w:rPr>
          <w:rFonts w:ascii="Segoe UI" w:hAnsi="Segoe UI" w:cs="Segoe UI"/>
          <w:sz w:val="20"/>
          <w:szCs w:val="20"/>
        </w:rPr>
        <w:t xml:space="preserve">des fusions-acquisitions. </w:t>
      </w:r>
      <w:r w:rsidR="00AD04FC">
        <w:rPr>
          <w:rFonts w:ascii="Segoe UI" w:hAnsi="Segoe UI" w:cs="Segoe UI"/>
          <w:sz w:val="20"/>
          <w:szCs w:val="20"/>
        </w:rPr>
        <w:t xml:space="preserve">Seule une fusion avait été formalisée entre EXIM Bank et Padma Bank. Alors que Padma Bank a stoppé </w:t>
      </w:r>
      <w:r w:rsidR="00696F1A">
        <w:rPr>
          <w:rFonts w:ascii="Segoe UI" w:hAnsi="Segoe UI" w:cs="Segoe UI"/>
          <w:sz w:val="20"/>
          <w:szCs w:val="20"/>
        </w:rPr>
        <w:t>l’émission de nouveaux prêts et la collecte de nouveaux dépôts depuis plusieurs mois, l</w:t>
      </w:r>
      <w:r w:rsidR="009F08F4">
        <w:rPr>
          <w:rFonts w:ascii="Segoe UI" w:hAnsi="Segoe UI" w:cs="Segoe UI"/>
          <w:sz w:val="20"/>
          <w:szCs w:val="20"/>
        </w:rPr>
        <w:t xml:space="preserve">’avenir </w:t>
      </w:r>
      <w:r w:rsidR="00696F1A">
        <w:rPr>
          <w:rFonts w:ascii="Segoe UI" w:hAnsi="Segoe UI" w:cs="Segoe UI"/>
          <w:sz w:val="20"/>
          <w:szCs w:val="20"/>
        </w:rPr>
        <w:t>de cette fusion est désormais incertain sous le gouvernement intérimaire</w:t>
      </w:r>
      <w:r w:rsidR="00AC11FF">
        <w:rPr>
          <w:rFonts w:ascii="Segoe UI" w:hAnsi="Segoe UI" w:cs="Segoe UI"/>
          <w:sz w:val="20"/>
          <w:szCs w:val="20"/>
        </w:rPr>
        <w:t xml:space="preserve"> alors </w:t>
      </w:r>
      <w:proofErr w:type="spellStart"/>
      <w:r w:rsidR="00AC11FF">
        <w:rPr>
          <w:rFonts w:ascii="Segoe UI" w:hAnsi="Segoe UI" w:cs="Segoe UI"/>
          <w:sz w:val="20"/>
          <w:szCs w:val="20"/>
        </w:rPr>
        <w:t>que</w:t>
      </w:r>
      <w:r w:rsidR="000F465E">
        <w:rPr>
          <w:rFonts w:ascii="Segoe UI" w:hAnsi="Segoe UI" w:cs="Segoe UI"/>
          <w:sz w:val="20"/>
          <w:szCs w:val="20"/>
        </w:rPr>
        <w:t>la</w:t>
      </w:r>
      <w:proofErr w:type="spellEnd"/>
      <w:r w:rsidR="000F465E">
        <w:rPr>
          <w:rFonts w:ascii="Segoe UI" w:hAnsi="Segoe UI" w:cs="Segoe UI"/>
          <w:sz w:val="20"/>
          <w:szCs w:val="20"/>
        </w:rPr>
        <w:t xml:space="preserve"> nouvelle administration a assuré mi-novembre qu’aucune banque ne sera fermée</w:t>
      </w:r>
      <w:r w:rsidR="000F465E">
        <w:rPr>
          <w:rStyle w:val="Appeldenotedefin"/>
          <w:rFonts w:ascii="Segoe UI" w:hAnsi="Segoe UI" w:cs="Segoe UI"/>
          <w:sz w:val="20"/>
          <w:szCs w:val="20"/>
        </w:rPr>
        <w:endnoteReference w:id="7"/>
      </w:r>
      <w:r w:rsidR="000F465E">
        <w:rPr>
          <w:rFonts w:ascii="Segoe UI" w:hAnsi="Segoe UI" w:cs="Segoe UI"/>
          <w:sz w:val="20"/>
          <w:szCs w:val="20"/>
        </w:rPr>
        <w:t xml:space="preserve">. </w:t>
      </w:r>
    </w:p>
    <w:p w14:paraId="22E5C613" w14:textId="43A75705" w:rsidR="00AB2A57" w:rsidRDefault="00AB2A57" w:rsidP="00AD04FC">
      <w:pPr>
        <w:pStyle w:val="Sansinterligne"/>
        <w:spacing w:after="80"/>
        <w:ind w:left="-284"/>
        <w:jc w:val="both"/>
        <w:rPr>
          <w:rFonts w:ascii="Segoe UI" w:hAnsi="Segoe UI" w:cs="Segoe UI"/>
          <w:sz w:val="20"/>
          <w:szCs w:val="20"/>
        </w:rPr>
      </w:pPr>
      <w:r>
        <w:rPr>
          <w:rFonts w:ascii="Segoe UI" w:hAnsi="Segoe UI" w:cs="Segoe UI"/>
          <w:color w:val="6A6AF4" w:themeColor="text2"/>
          <w:sz w:val="20"/>
          <w:szCs w:val="20"/>
        </w:rPr>
        <w:t xml:space="preserve">Une revue de la qualité </w:t>
      </w:r>
      <w:r w:rsidR="006B4318">
        <w:rPr>
          <w:rFonts w:ascii="Segoe UI" w:hAnsi="Segoe UI" w:cs="Segoe UI"/>
          <w:color w:val="6A6AF4" w:themeColor="text2"/>
          <w:sz w:val="20"/>
          <w:szCs w:val="20"/>
        </w:rPr>
        <w:t xml:space="preserve">des actifs. </w:t>
      </w:r>
      <w:r w:rsidR="006B4318" w:rsidRPr="006B4318">
        <w:rPr>
          <w:rFonts w:ascii="Segoe UI" w:hAnsi="Segoe UI" w:cs="Segoe UI"/>
          <w:sz w:val="20"/>
          <w:szCs w:val="20"/>
        </w:rPr>
        <w:t xml:space="preserve">Sous l’impulsion </w:t>
      </w:r>
      <w:r w:rsidR="006B4318">
        <w:rPr>
          <w:rFonts w:ascii="Segoe UI" w:hAnsi="Segoe UI" w:cs="Segoe UI"/>
          <w:sz w:val="20"/>
          <w:szCs w:val="20"/>
        </w:rPr>
        <w:t>du FMI, une revue de la qualité des actifs (AQR en anglais) sera lancée en décembre 2024 afin de clarifier les actions futures de la BB pour consolider le secteur. Une première série de 12 banques, identifiées comme faibles par la Banque centrale, seront d’abord analysée</w:t>
      </w:r>
      <w:r w:rsidR="000F465E">
        <w:rPr>
          <w:rFonts w:ascii="Segoe UI" w:hAnsi="Segoe UI" w:cs="Segoe UI"/>
          <w:sz w:val="20"/>
          <w:szCs w:val="20"/>
        </w:rPr>
        <w:t xml:space="preserve">s (4-6 mois). En parallèle, le FMI accompagne la BB pour l’écriture d’un </w:t>
      </w:r>
      <w:r w:rsidR="000F465E" w:rsidRPr="009A3360">
        <w:rPr>
          <w:rFonts w:ascii="Segoe UI" w:hAnsi="Segoe UI" w:cs="Segoe UI"/>
          <w:i/>
          <w:iCs/>
          <w:sz w:val="20"/>
          <w:szCs w:val="20"/>
        </w:rPr>
        <w:t xml:space="preserve">Bank </w:t>
      </w:r>
      <w:proofErr w:type="spellStart"/>
      <w:r w:rsidR="000F465E" w:rsidRPr="009A3360">
        <w:rPr>
          <w:rFonts w:ascii="Segoe UI" w:hAnsi="Segoe UI" w:cs="Segoe UI"/>
          <w:i/>
          <w:iCs/>
          <w:sz w:val="20"/>
          <w:szCs w:val="20"/>
        </w:rPr>
        <w:t>Resolution</w:t>
      </w:r>
      <w:proofErr w:type="spellEnd"/>
      <w:r w:rsidR="000F465E" w:rsidRPr="009A3360">
        <w:rPr>
          <w:rFonts w:ascii="Segoe UI" w:hAnsi="Segoe UI" w:cs="Segoe UI"/>
          <w:i/>
          <w:iCs/>
          <w:sz w:val="20"/>
          <w:szCs w:val="20"/>
        </w:rPr>
        <w:t xml:space="preserve"> </w:t>
      </w:r>
      <w:proofErr w:type="spellStart"/>
      <w:r w:rsidR="000F465E" w:rsidRPr="009A3360">
        <w:rPr>
          <w:rFonts w:ascii="Segoe UI" w:hAnsi="Segoe UI" w:cs="Segoe UI"/>
          <w:i/>
          <w:iCs/>
          <w:sz w:val="20"/>
          <w:szCs w:val="20"/>
        </w:rPr>
        <w:t>Act</w:t>
      </w:r>
      <w:proofErr w:type="spellEnd"/>
      <w:r w:rsidR="000F465E">
        <w:rPr>
          <w:rFonts w:ascii="Segoe UI" w:hAnsi="Segoe UI" w:cs="Segoe UI"/>
          <w:sz w:val="20"/>
          <w:szCs w:val="20"/>
        </w:rPr>
        <w:t xml:space="preserve">, qui devra donner à la Banque centrale les moyens de mettre en œuvre les résultats de l’AQR. </w:t>
      </w:r>
    </w:p>
    <w:p w14:paraId="3848A1F6" w14:textId="759741F9" w:rsidR="00576E60" w:rsidRDefault="00696F1A" w:rsidP="009A3360">
      <w:pPr>
        <w:pStyle w:val="Sansinterligne"/>
        <w:spacing w:after="80"/>
        <w:ind w:left="-284"/>
        <w:jc w:val="both"/>
        <w:rPr>
          <w:rFonts w:ascii="Segoe UI" w:hAnsi="Segoe UI" w:cs="Segoe UI"/>
          <w:sz w:val="20"/>
          <w:szCs w:val="20"/>
        </w:rPr>
      </w:pPr>
      <w:r w:rsidRPr="00696F1A">
        <w:rPr>
          <w:rFonts w:ascii="Segoe UI" w:hAnsi="Segoe UI" w:cs="Segoe UI"/>
          <w:color w:val="6A6AF4" w:themeColor="text2"/>
          <w:sz w:val="20"/>
          <w:szCs w:val="20"/>
        </w:rPr>
        <w:t>Un soutien attendu des bailleurs.</w:t>
      </w:r>
      <w:r>
        <w:rPr>
          <w:rFonts w:ascii="Segoe UI" w:hAnsi="Segoe UI" w:cs="Segoe UI"/>
          <w:sz w:val="20"/>
          <w:szCs w:val="20"/>
        </w:rPr>
        <w:t xml:space="preserve"> </w:t>
      </w:r>
      <w:r w:rsidRPr="00696F1A">
        <w:rPr>
          <w:rFonts w:ascii="Segoe UI" w:hAnsi="Segoe UI" w:cs="Segoe UI"/>
          <w:sz w:val="20"/>
          <w:szCs w:val="20"/>
        </w:rPr>
        <w:t>Le nouveau gouvernement intérimaire a engagé des négociations avec le FMI pour obtenir un prêt supplémentaire de 3 Mds USD</w:t>
      </w:r>
      <w:r>
        <w:rPr>
          <w:rFonts w:ascii="Segoe UI" w:hAnsi="Segoe UI" w:cs="Segoe UI"/>
          <w:sz w:val="20"/>
          <w:szCs w:val="20"/>
        </w:rPr>
        <w:t xml:space="preserve">. Dans ce cadre, il est attendu un renforcement des attentes de réformes notamment bancaires par le FMI. De son côté, la Banque Mondiale a annoncé un soutien à </w:t>
      </w:r>
      <w:r w:rsidRPr="00576E60">
        <w:rPr>
          <w:rFonts w:ascii="Segoe UI" w:hAnsi="Segoe UI" w:cs="Segoe UI"/>
          <w:sz w:val="20"/>
          <w:szCs w:val="20"/>
        </w:rPr>
        <w:t>l’</w:t>
      </w:r>
      <w:r w:rsidRPr="00576E60">
        <w:rPr>
          <w:rFonts w:ascii="Segoe UI" w:hAnsi="Segoe UI" w:cs="Segoe UI"/>
          <w:i/>
          <w:iCs/>
          <w:sz w:val="20"/>
          <w:szCs w:val="20"/>
        </w:rPr>
        <w:t>Anti-Corruption Commission</w:t>
      </w:r>
      <w:r w:rsidR="006A4DB4">
        <w:rPr>
          <w:rFonts w:ascii="Segoe UI" w:hAnsi="Segoe UI" w:cs="Segoe UI"/>
          <w:i/>
          <w:iCs/>
          <w:sz w:val="20"/>
          <w:szCs w:val="20"/>
        </w:rPr>
        <w:t xml:space="preserve"> (ACC)</w:t>
      </w:r>
      <w:r>
        <w:rPr>
          <w:rFonts w:ascii="Segoe UI" w:hAnsi="Segoe UI" w:cs="Segoe UI"/>
          <w:sz w:val="20"/>
          <w:szCs w:val="20"/>
        </w:rPr>
        <w:t xml:space="preserve"> au</w:t>
      </w:r>
      <w:r w:rsidRPr="00696F1A">
        <w:rPr>
          <w:rFonts w:ascii="Segoe UI" w:hAnsi="Segoe UI" w:cs="Segoe UI"/>
          <w:sz w:val="20"/>
          <w:szCs w:val="20"/>
        </w:rPr>
        <w:t xml:space="preserve"> travers </w:t>
      </w:r>
      <w:r>
        <w:rPr>
          <w:rFonts w:ascii="Segoe UI" w:hAnsi="Segoe UI" w:cs="Segoe UI"/>
          <w:sz w:val="20"/>
          <w:szCs w:val="20"/>
        </w:rPr>
        <w:t xml:space="preserve">de </w:t>
      </w:r>
      <w:r w:rsidRPr="00696F1A">
        <w:rPr>
          <w:rFonts w:ascii="Segoe UI" w:hAnsi="Segoe UI" w:cs="Segoe UI"/>
          <w:sz w:val="20"/>
          <w:szCs w:val="20"/>
        </w:rPr>
        <w:t>l</w:t>
      </w:r>
      <w:r w:rsidR="006732F0">
        <w:rPr>
          <w:rFonts w:ascii="Segoe UI" w:hAnsi="Segoe UI" w:cs="Segoe UI"/>
          <w:sz w:val="20"/>
          <w:szCs w:val="20"/>
        </w:rPr>
        <w:t>’initiative</w:t>
      </w:r>
      <w:r w:rsidRPr="00696F1A">
        <w:rPr>
          <w:rFonts w:ascii="Segoe UI" w:hAnsi="Segoe UI" w:cs="Segoe UI"/>
          <w:sz w:val="20"/>
          <w:szCs w:val="20"/>
        </w:rPr>
        <w:t xml:space="preserve"> </w:t>
      </w:r>
      <w:proofErr w:type="spellStart"/>
      <w:r w:rsidRPr="00576E60">
        <w:rPr>
          <w:rFonts w:ascii="Segoe UI" w:hAnsi="Segoe UI" w:cs="Segoe UI"/>
          <w:i/>
          <w:iCs/>
          <w:sz w:val="20"/>
          <w:szCs w:val="20"/>
        </w:rPr>
        <w:t>Stolen</w:t>
      </w:r>
      <w:proofErr w:type="spellEnd"/>
      <w:r w:rsidRPr="00576E60">
        <w:rPr>
          <w:rFonts w:ascii="Segoe UI" w:hAnsi="Segoe UI" w:cs="Segoe UI"/>
          <w:i/>
          <w:iCs/>
          <w:sz w:val="20"/>
          <w:szCs w:val="20"/>
        </w:rPr>
        <w:t xml:space="preserve"> Asset </w:t>
      </w:r>
      <w:proofErr w:type="spellStart"/>
      <w:r w:rsidRPr="00576E60">
        <w:rPr>
          <w:rFonts w:ascii="Segoe UI" w:hAnsi="Segoe UI" w:cs="Segoe UI"/>
          <w:i/>
          <w:iCs/>
          <w:sz w:val="20"/>
          <w:szCs w:val="20"/>
        </w:rPr>
        <w:t>Recovery</w:t>
      </w:r>
      <w:proofErr w:type="spellEnd"/>
      <w:r w:rsidR="006732F0">
        <w:rPr>
          <w:rFonts w:ascii="Segoe UI" w:hAnsi="Segoe UI" w:cs="Segoe UI"/>
          <w:sz w:val="20"/>
          <w:szCs w:val="20"/>
        </w:rPr>
        <w:t xml:space="preserve"> (</w:t>
      </w:r>
      <w:proofErr w:type="spellStart"/>
      <w:r w:rsidR="006732F0">
        <w:rPr>
          <w:rFonts w:ascii="Segoe UI" w:hAnsi="Segoe UI" w:cs="Segoe UI"/>
          <w:sz w:val="20"/>
          <w:szCs w:val="20"/>
        </w:rPr>
        <w:t>StAR</w:t>
      </w:r>
      <w:proofErr w:type="spellEnd"/>
      <w:r w:rsidR="006732F0">
        <w:rPr>
          <w:rFonts w:ascii="Segoe UI" w:hAnsi="Segoe UI" w:cs="Segoe UI"/>
          <w:sz w:val="20"/>
          <w:szCs w:val="20"/>
        </w:rPr>
        <w:t xml:space="preserve">) qui pourrait permettre d’accroître l’effort pour recouvrer certaines créances douteuses siphonnées à l’étranger, même si les montants récupérables sont probablement minimes. </w:t>
      </w:r>
    </w:p>
    <w:p w14:paraId="46CAD515" w14:textId="77777777" w:rsidR="009A3360" w:rsidRPr="009A3360" w:rsidRDefault="009A3360" w:rsidP="009A3360">
      <w:pPr>
        <w:pStyle w:val="Sansinterligne"/>
        <w:spacing w:after="80"/>
        <w:ind w:left="-284"/>
        <w:jc w:val="both"/>
        <w:rPr>
          <w:rFonts w:ascii="Segoe UI" w:hAnsi="Segoe UI" w:cs="Segoe UI"/>
          <w:sz w:val="20"/>
          <w:szCs w:val="20"/>
        </w:rPr>
      </w:pPr>
    </w:p>
    <w:p w14:paraId="54D6BB21" w14:textId="0E492038" w:rsidR="00A46A38" w:rsidRDefault="00A46A38" w:rsidP="00AE61B7">
      <w:pPr>
        <w:pStyle w:val="Sansinterligne"/>
        <w:ind w:left="-284"/>
        <w:jc w:val="both"/>
        <w:rPr>
          <w:rFonts w:ascii="Segoe UI" w:hAnsi="Segoe UI" w:cs="Segoe UI"/>
          <w:noProof/>
          <w:color w:val="000091" w:themeColor="text1"/>
          <w:sz w:val="20"/>
          <w:szCs w:val="20"/>
          <w:lang w:val="es-419" w:eastAsia="fr-FR"/>
        </w:rPr>
      </w:pPr>
    </w:p>
    <w:tbl>
      <w:tblPr>
        <w:tblStyle w:val="Grilledutableau"/>
        <w:tblW w:w="9493" w:type="dxa"/>
        <w:tblInd w:w="-284" w:type="dxa"/>
        <w:tblLook w:val="04A0" w:firstRow="1" w:lastRow="0" w:firstColumn="1" w:lastColumn="0" w:noHBand="0" w:noVBand="1"/>
      </w:tblPr>
      <w:tblGrid>
        <w:gridCol w:w="9493"/>
      </w:tblGrid>
      <w:tr w:rsidR="0017582C" w14:paraId="60FD66B4" w14:textId="77777777" w:rsidTr="001C2832">
        <w:tc>
          <w:tcPr>
            <w:tcW w:w="9493" w:type="dxa"/>
            <w:tcBorders>
              <w:top w:val="single" w:sz="4" w:space="0" w:color="FCC63A" w:themeColor="accent2"/>
              <w:left w:val="single" w:sz="4" w:space="0" w:color="FCC63A" w:themeColor="accent2"/>
              <w:bottom w:val="single" w:sz="4" w:space="0" w:color="FCC63A" w:themeColor="accent2"/>
              <w:right w:val="single" w:sz="4" w:space="0" w:color="FCC63A" w:themeColor="accent2"/>
            </w:tcBorders>
            <w:shd w:val="clear" w:color="auto" w:fill="FEF8E8"/>
          </w:tcPr>
          <w:p w14:paraId="4138DC53" w14:textId="170CCB66" w:rsidR="001C2832" w:rsidRPr="001C2832" w:rsidRDefault="001C2832" w:rsidP="004300B3">
            <w:pPr>
              <w:pStyle w:val="Sansinterligne"/>
              <w:jc w:val="both"/>
              <w:rPr>
                <w:rFonts w:ascii="Segoe UI" w:hAnsi="Segoe UI" w:cs="Segoe UI"/>
                <w:b/>
                <w:bCs/>
                <w:noProof/>
                <w:color w:val="000091" w:themeColor="text1"/>
                <w:sz w:val="20"/>
                <w:szCs w:val="20"/>
                <w:u w:val="single"/>
                <w:lang w:val="es-419" w:eastAsia="fr-FR"/>
              </w:rPr>
            </w:pPr>
            <w:r w:rsidRPr="001C2832">
              <w:rPr>
                <w:rFonts w:ascii="Segoe UI" w:hAnsi="Segoe UI" w:cs="Segoe UI"/>
                <w:b/>
                <w:bCs/>
                <w:noProof/>
                <w:color w:val="000091" w:themeColor="text1"/>
                <w:sz w:val="20"/>
                <w:szCs w:val="20"/>
                <w:u w:val="single"/>
                <w:lang w:val="es-419" w:eastAsia="fr-FR"/>
              </w:rPr>
              <w:t>Ce qu’il faut retenir !</w:t>
            </w:r>
          </w:p>
          <w:p w14:paraId="07045190" w14:textId="77777777" w:rsidR="001C2832" w:rsidRDefault="001C2832" w:rsidP="004300B3">
            <w:pPr>
              <w:pStyle w:val="Sansinterligne"/>
              <w:jc w:val="both"/>
              <w:rPr>
                <w:rFonts w:ascii="Segoe UI" w:hAnsi="Segoe UI" w:cs="Segoe UI"/>
                <w:noProof/>
                <w:color w:val="000091" w:themeColor="text1"/>
                <w:sz w:val="20"/>
                <w:szCs w:val="20"/>
                <w:u w:val="single"/>
                <w:lang w:val="es-419" w:eastAsia="fr-FR"/>
              </w:rPr>
            </w:pPr>
          </w:p>
          <w:p w14:paraId="5729DF2C" w14:textId="3D692D86" w:rsidR="0017582C" w:rsidRPr="0025615A" w:rsidRDefault="0017582C" w:rsidP="004300B3">
            <w:pPr>
              <w:pStyle w:val="Sansinterligne"/>
              <w:jc w:val="both"/>
              <w:rPr>
                <w:rFonts w:ascii="Segoe UI" w:hAnsi="Segoe UI" w:cs="Segoe UI"/>
                <w:noProof/>
                <w:color w:val="000091" w:themeColor="text1"/>
                <w:sz w:val="20"/>
                <w:szCs w:val="20"/>
                <w:u w:val="single"/>
                <w:lang w:val="es-419" w:eastAsia="fr-FR"/>
              </w:rPr>
            </w:pPr>
            <w:r>
              <w:rPr>
                <w:rFonts w:ascii="Segoe UI" w:hAnsi="Segoe UI" w:cs="Segoe UI"/>
                <w:noProof/>
                <w:color w:val="000091" w:themeColor="text1"/>
                <w:sz w:val="20"/>
                <w:szCs w:val="20"/>
                <w:u w:val="single"/>
                <w:lang w:val="es-419" w:eastAsia="fr-FR"/>
              </w:rPr>
              <w:t xml:space="preserve">Trois </w:t>
            </w:r>
            <w:r w:rsidRPr="0025615A">
              <w:rPr>
                <w:rFonts w:ascii="Segoe UI" w:hAnsi="Segoe UI" w:cs="Segoe UI"/>
                <w:noProof/>
                <w:color w:val="000091" w:themeColor="text1"/>
                <w:sz w:val="20"/>
                <w:szCs w:val="20"/>
                <w:u w:val="single"/>
                <w:lang w:val="es-419" w:eastAsia="fr-FR"/>
              </w:rPr>
              <w:t>idées</w:t>
            </w:r>
          </w:p>
          <w:p w14:paraId="10605378" w14:textId="1E17C1E6" w:rsidR="004300B3" w:rsidRDefault="0017582C" w:rsidP="004300B3">
            <w:pPr>
              <w:pStyle w:val="Sansinterligne"/>
              <w:numPr>
                <w:ilvl w:val="0"/>
                <w:numId w:val="28"/>
              </w:numPr>
              <w:jc w:val="both"/>
              <w:rPr>
                <w:rFonts w:ascii="Segoe UI" w:hAnsi="Segoe UI" w:cs="Segoe UI"/>
                <w:noProof/>
                <w:color w:val="000091" w:themeColor="text1"/>
                <w:sz w:val="20"/>
                <w:szCs w:val="20"/>
                <w:lang w:val="es-419" w:eastAsia="fr-FR"/>
              </w:rPr>
            </w:pPr>
            <w:r>
              <w:rPr>
                <w:rFonts w:ascii="Segoe UI" w:hAnsi="Segoe UI" w:cs="Segoe UI"/>
                <w:noProof/>
                <w:color w:val="000091" w:themeColor="text1"/>
                <w:sz w:val="20"/>
                <w:szCs w:val="20"/>
                <w:lang w:val="es-419" w:eastAsia="fr-FR"/>
              </w:rPr>
              <w:t>Le secteur bancaire a souffert depuis de nombreuses années de problèmes de gouvernance exploités par l’élite politique et économique pour s’enrichir</w:t>
            </w:r>
            <w:r w:rsidR="00AB0644">
              <w:rPr>
                <w:rFonts w:ascii="Segoe UI" w:hAnsi="Segoe UI" w:cs="Segoe UI"/>
                <w:noProof/>
                <w:color w:val="000091" w:themeColor="text1"/>
                <w:sz w:val="20"/>
                <w:szCs w:val="20"/>
                <w:lang w:val="es-419" w:eastAsia="fr-FR"/>
              </w:rPr>
              <w:t xml:space="preserve"> </w:t>
            </w:r>
            <w:r w:rsidR="009F08F4">
              <w:rPr>
                <w:rFonts w:ascii="Segoe UI" w:hAnsi="Segoe UI" w:cs="Segoe UI"/>
                <w:noProof/>
                <w:color w:val="000091" w:themeColor="text1"/>
                <w:sz w:val="20"/>
                <w:szCs w:val="20"/>
                <w:lang w:val="es-419" w:eastAsia="fr-FR"/>
              </w:rPr>
              <w:t>;</w:t>
            </w:r>
            <w:r>
              <w:rPr>
                <w:rFonts w:ascii="Segoe UI" w:hAnsi="Segoe UI" w:cs="Segoe UI"/>
                <w:noProof/>
                <w:color w:val="000091" w:themeColor="text1"/>
                <w:sz w:val="20"/>
                <w:szCs w:val="20"/>
                <w:lang w:val="es-419" w:eastAsia="fr-FR"/>
              </w:rPr>
              <w:t xml:space="preserve"> </w:t>
            </w:r>
          </w:p>
          <w:p w14:paraId="6904AFAA" w14:textId="1B3402D8" w:rsidR="004300B3" w:rsidRDefault="0017582C" w:rsidP="004300B3">
            <w:pPr>
              <w:pStyle w:val="Sansinterligne"/>
              <w:numPr>
                <w:ilvl w:val="0"/>
                <w:numId w:val="28"/>
              </w:numPr>
              <w:jc w:val="both"/>
              <w:rPr>
                <w:rFonts w:ascii="Segoe UI" w:hAnsi="Segoe UI" w:cs="Segoe UI"/>
                <w:noProof/>
                <w:color w:val="000091" w:themeColor="text1"/>
                <w:sz w:val="20"/>
                <w:szCs w:val="20"/>
                <w:lang w:val="es-419" w:eastAsia="fr-FR"/>
              </w:rPr>
            </w:pPr>
            <w:r w:rsidRPr="004300B3">
              <w:rPr>
                <w:rFonts w:ascii="Segoe UI" w:hAnsi="Segoe UI" w:cs="Segoe UI"/>
                <w:noProof/>
                <w:color w:val="000091" w:themeColor="text1"/>
                <w:sz w:val="20"/>
                <w:szCs w:val="20"/>
                <w:lang w:val="es-419" w:eastAsia="fr-FR"/>
              </w:rPr>
              <w:t xml:space="preserve">L’état réel du secteur reste mal connu du fait de la faible transparence, et la publication d’un état des lieux honnête pourrait créer un choc de méfiance vis-à-vis d’une dizaine de banques faibles </w:t>
            </w:r>
            <w:r w:rsidR="00AB0644">
              <w:rPr>
                <w:rFonts w:ascii="Segoe UI" w:hAnsi="Segoe UI" w:cs="Segoe UI"/>
                <w:noProof/>
                <w:color w:val="000091" w:themeColor="text1"/>
                <w:sz w:val="20"/>
                <w:szCs w:val="20"/>
                <w:lang w:val="es-419" w:eastAsia="fr-FR"/>
              </w:rPr>
              <w:t xml:space="preserve">– à cet égard une revue de la qualité des actifs de chaque banque débutera en décembre avec l’appui du FMI; </w:t>
            </w:r>
          </w:p>
          <w:p w14:paraId="3578F083" w14:textId="4DC3D190" w:rsidR="0017582C" w:rsidRDefault="0017582C" w:rsidP="004300B3">
            <w:pPr>
              <w:pStyle w:val="Sansinterligne"/>
              <w:numPr>
                <w:ilvl w:val="0"/>
                <w:numId w:val="28"/>
              </w:numPr>
              <w:jc w:val="both"/>
              <w:rPr>
                <w:rFonts w:ascii="Segoe UI" w:hAnsi="Segoe UI" w:cs="Segoe UI"/>
                <w:noProof/>
                <w:color w:val="000091" w:themeColor="text1"/>
                <w:sz w:val="20"/>
                <w:szCs w:val="20"/>
                <w:lang w:val="es-419" w:eastAsia="fr-FR"/>
              </w:rPr>
            </w:pPr>
            <w:r w:rsidRPr="004300B3">
              <w:rPr>
                <w:rFonts w:ascii="Segoe UI" w:hAnsi="Segoe UI" w:cs="Segoe UI"/>
                <w:noProof/>
                <w:color w:val="000091" w:themeColor="text1"/>
                <w:sz w:val="20"/>
                <w:szCs w:val="20"/>
                <w:lang w:val="es-419" w:eastAsia="fr-FR"/>
              </w:rPr>
              <w:t xml:space="preserve">La Banque centrale a mis sur pied une </w:t>
            </w:r>
            <w:r w:rsidRPr="00AB0644">
              <w:rPr>
                <w:rFonts w:ascii="Segoe UI" w:hAnsi="Segoe UI" w:cs="Segoe UI"/>
                <w:i/>
                <w:iCs/>
                <w:noProof/>
                <w:color w:val="000091" w:themeColor="text1"/>
                <w:sz w:val="20"/>
                <w:szCs w:val="20"/>
                <w:lang w:val="es-419" w:eastAsia="fr-FR"/>
              </w:rPr>
              <w:t>task force</w:t>
            </w:r>
            <w:r w:rsidRPr="004300B3">
              <w:rPr>
                <w:rFonts w:ascii="Segoe UI" w:hAnsi="Segoe UI" w:cs="Segoe UI"/>
                <w:noProof/>
                <w:color w:val="000091" w:themeColor="text1"/>
                <w:sz w:val="20"/>
                <w:szCs w:val="20"/>
                <w:lang w:val="es-419" w:eastAsia="fr-FR"/>
              </w:rPr>
              <w:t xml:space="preserve"> en charge de faire des recommandations d’ici quelques mois</w:t>
            </w:r>
            <w:r w:rsidR="009F08F4">
              <w:rPr>
                <w:rFonts w:ascii="Segoe UI" w:hAnsi="Segoe UI" w:cs="Segoe UI"/>
                <w:noProof/>
                <w:color w:val="000091" w:themeColor="text1"/>
                <w:sz w:val="20"/>
                <w:szCs w:val="20"/>
                <w:lang w:val="es-419" w:eastAsia="fr-FR"/>
              </w:rPr>
              <w:t>.</w:t>
            </w:r>
          </w:p>
          <w:p w14:paraId="28611248" w14:textId="77777777" w:rsidR="004300B3" w:rsidRPr="004300B3" w:rsidRDefault="004300B3" w:rsidP="004300B3">
            <w:pPr>
              <w:pStyle w:val="Sansinterligne"/>
              <w:ind w:left="360"/>
              <w:jc w:val="both"/>
              <w:rPr>
                <w:rFonts w:ascii="Segoe UI" w:hAnsi="Segoe UI" w:cs="Segoe UI"/>
                <w:noProof/>
                <w:color w:val="000091" w:themeColor="text1"/>
                <w:sz w:val="20"/>
                <w:szCs w:val="20"/>
                <w:lang w:val="es-419" w:eastAsia="fr-FR"/>
              </w:rPr>
            </w:pPr>
          </w:p>
          <w:p w14:paraId="7BAF98C5" w14:textId="77777777" w:rsidR="0017582C" w:rsidRPr="0025615A" w:rsidRDefault="0017582C" w:rsidP="004300B3">
            <w:pPr>
              <w:pStyle w:val="Sansinterligne"/>
              <w:jc w:val="both"/>
              <w:rPr>
                <w:rFonts w:ascii="Segoe UI" w:hAnsi="Segoe UI" w:cs="Segoe UI"/>
                <w:noProof/>
                <w:color w:val="000091" w:themeColor="text1"/>
                <w:sz w:val="20"/>
                <w:szCs w:val="20"/>
                <w:u w:val="single"/>
                <w:lang w:val="es-419" w:eastAsia="fr-FR"/>
              </w:rPr>
            </w:pPr>
            <w:r w:rsidRPr="0025615A">
              <w:rPr>
                <w:rFonts w:ascii="Segoe UI" w:hAnsi="Segoe UI" w:cs="Segoe UI"/>
                <w:noProof/>
                <w:color w:val="000091" w:themeColor="text1"/>
                <w:sz w:val="20"/>
                <w:szCs w:val="20"/>
                <w:u w:val="single"/>
                <w:lang w:val="es-419" w:eastAsia="fr-FR"/>
              </w:rPr>
              <w:t>Trois chiffres</w:t>
            </w:r>
          </w:p>
          <w:p w14:paraId="20736B99" w14:textId="64F7FCBF" w:rsidR="004300B3" w:rsidRDefault="0017582C" w:rsidP="004300B3">
            <w:pPr>
              <w:pStyle w:val="Sansinterligne"/>
              <w:numPr>
                <w:ilvl w:val="0"/>
                <w:numId w:val="31"/>
              </w:numPr>
              <w:jc w:val="both"/>
              <w:rPr>
                <w:rFonts w:ascii="Segoe UI" w:hAnsi="Segoe UI" w:cs="Segoe UI"/>
                <w:noProof/>
                <w:color w:val="000091" w:themeColor="text1"/>
                <w:sz w:val="20"/>
                <w:szCs w:val="20"/>
                <w:lang w:val="es-419" w:eastAsia="fr-FR"/>
              </w:rPr>
            </w:pPr>
            <w:r>
              <w:rPr>
                <w:rFonts w:ascii="Segoe UI" w:hAnsi="Segoe UI" w:cs="Segoe UI"/>
                <w:noProof/>
                <w:color w:val="000091" w:themeColor="text1"/>
                <w:sz w:val="20"/>
                <w:szCs w:val="20"/>
                <w:lang w:val="es-419" w:eastAsia="fr-FR"/>
              </w:rPr>
              <w:t xml:space="preserve">La part des créances douteuses, incluant les prêts restructurés, a atteint </w:t>
            </w:r>
            <w:r w:rsidRPr="0025615A">
              <w:rPr>
                <w:rFonts w:ascii="Segoe UI" w:hAnsi="Segoe UI" w:cs="Segoe UI"/>
                <w:b/>
                <w:bCs/>
                <w:noProof/>
                <w:color w:val="000091" w:themeColor="text1"/>
                <w:sz w:val="20"/>
                <w:szCs w:val="20"/>
                <w:lang w:val="es-419" w:eastAsia="fr-FR"/>
              </w:rPr>
              <w:t>32%</w:t>
            </w:r>
            <w:r>
              <w:rPr>
                <w:rFonts w:ascii="Segoe UI" w:hAnsi="Segoe UI" w:cs="Segoe UI"/>
                <w:noProof/>
                <w:color w:val="000091" w:themeColor="text1"/>
                <w:sz w:val="20"/>
                <w:szCs w:val="20"/>
                <w:lang w:val="es-419" w:eastAsia="fr-FR"/>
              </w:rPr>
              <w:t xml:space="preserve"> des encours en 202</w:t>
            </w:r>
            <w:r w:rsidR="00DB0D97">
              <w:rPr>
                <w:rFonts w:ascii="Segoe UI" w:hAnsi="Segoe UI" w:cs="Segoe UI"/>
                <w:noProof/>
                <w:color w:val="000091" w:themeColor="text1"/>
                <w:sz w:val="20"/>
                <w:szCs w:val="20"/>
                <w:lang w:val="es-419" w:eastAsia="fr-FR"/>
              </w:rPr>
              <w:t>3</w:t>
            </w:r>
          </w:p>
          <w:p w14:paraId="18A81650" w14:textId="1CE4C393" w:rsidR="00DB0D97" w:rsidRDefault="00DB0D97" w:rsidP="004300B3">
            <w:pPr>
              <w:pStyle w:val="Sansinterligne"/>
              <w:numPr>
                <w:ilvl w:val="0"/>
                <w:numId w:val="31"/>
              </w:numPr>
              <w:jc w:val="both"/>
              <w:rPr>
                <w:rFonts w:ascii="Segoe UI" w:hAnsi="Segoe UI" w:cs="Segoe UI"/>
                <w:noProof/>
                <w:color w:val="000091" w:themeColor="text1"/>
                <w:sz w:val="20"/>
                <w:szCs w:val="20"/>
                <w:lang w:val="es-419" w:eastAsia="fr-FR"/>
              </w:rPr>
            </w:pPr>
            <w:r w:rsidRPr="00DB0D97">
              <w:rPr>
                <w:rFonts w:ascii="Segoe UI" w:hAnsi="Segoe UI" w:cs="Segoe UI"/>
                <w:noProof/>
                <w:color w:val="000091" w:themeColor="text1"/>
                <w:sz w:val="20"/>
                <w:szCs w:val="20"/>
                <w:lang w:val="es-419" w:eastAsia="fr-FR"/>
              </w:rPr>
              <w:t xml:space="preserve">La Banque centrale estime qu’environ </w:t>
            </w:r>
            <w:r w:rsidRPr="00DB0D97">
              <w:rPr>
                <w:rFonts w:ascii="Segoe UI" w:hAnsi="Segoe UI" w:cs="Segoe UI"/>
                <w:b/>
                <w:bCs/>
                <w:noProof/>
                <w:color w:val="000091" w:themeColor="text1"/>
                <w:sz w:val="20"/>
                <w:szCs w:val="20"/>
                <w:lang w:val="es-419" w:eastAsia="fr-FR"/>
              </w:rPr>
              <w:t>17 Mds USD</w:t>
            </w:r>
            <w:r w:rsidRPr="00DB0D97">
              <w:rPr>
                <w:rFonts w:ascii="Segoe UI" w:hAnsi="Segoe UI" w:cs="Segoe UI"/>
                <w:noProof/>
                <w:color w:val="000091" w:themeColor="text1"/>
                <w:sz w:val="20"/>
                <w:szCs w:val="20"/>
                <w:lang w:val="es-419" w:eastAsia="fr-FR"/>
              </w:rPr>
              <w:t xml:space="preserve"> ont été transférés hors du Bangladesh après </w:t>
            </w:r>
            <w:r>
              <w:rPr>
                <w:rFonts w:ascii="Segoe UI" w:hAnsi="Segoe UI" w:cs="Segoe UI"/>
                <w:noProof/>
                <w:color w:val="000091" w:themeColor="text1"/>
                <w:sz w:val="20"/>
                <w:szCs w:val="20"/>
                <w:lang w:val="es-419" w:eastAsia="fr-FR"/>
              </w:rPr>
              <w:t>d</w:t>
            </w:r>
            <w:r w:rsidRPr="00DB0D97">
              <w:rPr>
                <w:rFonts w:ascii="Segoe UI" w:hAnsi="Segoe UI" w:cs="Segoe UI"/>
                <w:noProof/>
                <w:color w:val="000091" w:themeColor="text1"/>
                <w:sz w:val="20"/>
                <w:szCs w:val="20"/>
                <w:lang w:val="es-419" w:eastAsia="fr-FR"/>
              </w:rPr>
              <w:t>es acquisitions</w:t>
            </w:r>
            <w:r>
              <w:rPr>
                <w:rFonts w:ascii="Segoe UI" w:hAnsi="Segoe UI" w:cs="Segoe UI"/>
                <w:noProof/>
                <w:color w:val="000091" w:themeColor="text1"/>
                <w:sz w:val="20"/>
                <w:szCs w:val="20"/>
                <w:lang w:val="es-419" w:eastAsia="fr-FR"/>
              </w:rPr>
              <w:t xml:space="preserve"> bancaires frauduleuses, principalement par le biais de prêts.</w:t>
            </w:r>
          </w:p>
          <w:p w14:paraId="3CFC6222" w14:textId="6421C635" w:rsidR="0017582C" w:rsidRPr="004300B3" w:rsidRDefault="00AB0644" w:rsidP="004300B3">
            <w:pPr>
              <w:pStyle w:val="Sansinterligne"/>
              <w:numPr>
                <w:ilvl w:val="0"/>
                <w:numId w:val="31"/>
              </w:numPr>
              <w:jc w:val="both"/>
              <w:rPr>
                <w:rFonts w:ascii="Segoe UI" w:hAnsi="Segoe UI" w:cs="Segoe UI"/>
                <w:noProof/>
                <w:color w:val="000091" w:themeColor="text1"/>
                <w:sz w:val="20"/>
                <w:szCs w:val="20"/>
                <w:lang w:val="es-419" w:eastAsia="fr-FR"/>
              </w:rPr>
            </w:pPr>
            <w:r>
              <w:rPr>
                <w:rFonts w:ascii="Segoe UI" w:hAnsi="Segoe UI" w:cs="Segoe UI"/>
                <w:noProof/>
                <w:color w:val="000091" w:themeColor="text1"/>
                <w:sz w:val="20"/>
                <w:szCs w:val="20"/>
                <w:lang w:val="es-419" w:eastAsia="fr-FR"/>
              </w:rPr>
              <w:t xml:space="preserve">Un taux de prêts non performants très inégal entre banques, qui atteint </w:t>
            </w:r>
            <w:r w:rsidRPr="00AB0644">
              <w:rPr>
                <w:rFonts w:ascii="Segoe UI" w:hAnsi="Segoe UI" w:cs="Segoe UI"/>
                <w:b/>
                <w:bCs/>
                <w:noProof/>
                <w:color w:val="000091" w:themeColor="text1"/>
                <w:sz w:val="20"/>
                <w:szCs w:val="20"/>
                <w:lang w:val="es-419" w:eastAsia="fr-FR"/>
              </w:rPr>
              <w:t>plus de 40%</w:t>
            </w:r>
            <w:r>
              <w:rPr>
                <w:rFonts w:ascii="Segoe UI" w:hAnsi="Segoe UI" w:cs="Segoe UI"/>
                <w:noProof/>
                <w:color w:val="000091" w:themeColor="text1"/>
                <w:sz w:val="20"/>
                <w:szCs w:val="20"/>
                <w:lang w:val="es-419" w:eastAsia="fr-FR"/>
              </w:rPr>
              <w:t xml:space="preserve"> pour les banques publiques. </w:t>
            </w:r>
          </w:p>
          <w:p w14:paraId="7F7FB2DB" w14:textId="77777777" w:rsidR="0017582C" w:rsidRDefault="0017582C" w:rsidP="00AE61B7">
            <w:pPr>
              <w:pStyle w:val="Sansinterligne"/>
              <w:jc w:val="both"/>
              <w:rPr>
                <w:rFonts w:ascii="Segoe UI" w:hAnsi="Segoe UI" w:cs="Segoe UI"/>
                <w:noProof/>
                <w:color w:val="000091" w:themeColor="text1"/>
                <w:sz w:val="20"/>
                <w:szCs w:val="20"/>
                <w:lang w:val="es-419" w:eastAsia="fr-FR"/>
              </w:rPr>
            </w:pPr>
          </w:p>
        </w:tc>
      </w:tr>
    </w:tbl>
    <w:p w14:paraId="52A9C990" w14:textId="6FBE6B74" w:rsidR="00A91E03" w:rsidRDefault="00A91E03" w:rsidP="00AE61B7">
      <w:pPr>
        <w:pStyle w:val="Sansinterligne"/>
        <w:ind w:left="-284"/>
        <w:jc w:val="both"/>
        <w:rPr>
          <w:rFonts w:ascii="Segoe UI" w:hAnsi="Segoe UI" w:cs="Segoe UI"/>
          <w:noProof/>
          <w:color w:val="000091" w:themeColor="text1"/>
          <w:sz w:val="20"/>
          <w:szCs w:val="20"/>
          <w:lang w:val="es-419" w:eastAsia="fr-FR"/>
        </w:rPr>
      </w:pPr>
      <w:r>
        <w:rPr>
          <w:rFonts w:ascii="Segoe UI" w:hAnsi="Segoe UI" w:cs="Segoe UI"/>
          <w:noProof/>
          <w:color w:val="000091" w:themeColor="text1"/>
          <w:sz w:val="20"/>
          <w:szCs w:val="20"/>
          <w:lang w:val="es-419" w:eastAsia="fr-FR"/>
        </w:rPr>
        <w:br w:type="page"/>
      </w:r>
    </w:p>
    <w:p w14:paraId="554FF1DE" w14:textId="466EFCC5" w:rsidR="009854A7" w:rsidRDefault="00A91E03" w:rsidP="00A91E03">
      <w:pPr>
        <w:pStyle w:val="Sansinterligne"/>
        <w:ind w:left="-284"/>
        <w:jc w:val="both"/>
        <w:rPr>
          <w:rFonts w:ascii="Segoe UI" w:hAnsi="Segoe UI" w:cs="Segoe UI"/>
          <w:bCs/>
          <w:color w:val="000091" w:themeColor="text1"/>
          <w:sz w:val="24"/>
          <w:szCs w:val="28"/>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55165" behindDoc="1" locked="0" layoutInCell="1" allowOverlap="1" wp14:anchorId="5F263577" wp14:editId="1CA9C6FF">
                <wp:simplePos x="0" y="0"/>
                <wp:positionH relativeFrom="page">
                  <wp:posOffset>-9525</wp:posOffset>
                </wp:positionH>
                <wp:positionV relativeFrom="page">
                  <wp:posOffset>-7353300</wp:posOffset>
                </wp:positionV>
                <wp:extent cx="7543800" cy="18230850"/>
                <wp:effectExtent l="0" t="0" r="0" b="0"/>
                <wp:wrapNone/>
                <wp:docPr id="10" name="Rectangle 10"/>
                <wp:cNvGraphicFramePr/>
                <a:graphic xmlns:a="http://schemas.openxmlformats.org/drawingml/2006/main">
                  <a:graphicData uri="http://schemas.microsoft.com/office/word/2010/wordprocessingShape">
                    <wps:wsp>
                      <wps:cNvSpPr/>
                      <wps:spPr>
                        <a:xfrm>
                          <a:off x="0" y="0"/>
                          <a:ext cx="7543800" cy="182308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EF17C7" id="Rectangle 10" o:spid="_x0000_s1026" style="position:absolute;margin-left:-.75pt;margin-top:-579pt;width:594pt;height:1435.5pt;z-index:-251661315;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" fillcolor="#fef8e8" stroked="f" strokeweight="1pt">
                <w10:wrap anchorx="page" anchory="page"/>
              </v:rect>
            </w:pict>
          </mc:Fallback>
        </mc:AlternateContent>
      </w:r>
      <w:r w:rsidR="009854A7" w:rsidRPr="009854A7">
        <w:rPr>
          <w:rFonts w:ascii="Segoe UI" w:hAnsi="Segoe UI" w:cs="Segoe UI"/>
          <w:bCs/>
          <w:color w:val="000091" w:themeColor="text1"/>
          <w:sz w:val="24"/>
          <w:szCs w:val="28"/>
        </w:rPr>
        <w:t>ANNEXE</w:t>
      </w:r>
      <w:r w:rsidR="004C719C">
        <w:rPr>
          <w:rFonts w:ascii="Segoe UI" w:hAnsi="Segoe UI" w:cs="Segoe UI"/>
          <w:bCs/>
          <w:color w:val="000091" w:themeColor="text1"/>
          <w:sz w:val="24"/>
          <w:szCs w:val="28"/>
        </w:rPr>
        <w:t> </w:t>
      </w:r>
      <w:r w:rsidR="006732F0">
        <w:rPr>
          <w:rFonts w:ascii="Segoe UI" w:hAnsi="Segoe UI" w:cs="Segoe UI"/>
          <w:bCs/>
          <w:color w:val="000091" w:themeColor="text1"/>
          <w:sz w:val="24"/>
          <w:szCs w:val="28"/>
        </w:rPr>
        <w:t xml:space="preserve">1 </w:t>
      </w:r>
      <w:r w:rsidR="004C719C">
        <w:rPr>
          <w:rFonts w:ascii="Segoe UI" w:hAnsi="Segoe UI" w:cs="Segoe UI"/>
          <w:bCs/>
          <w:color w:val="000091" w:themeColor="text1"/>
          <w:sz w:val="24"/>
          <w:szCs w:val="28"/>
        </w:rPr>
        <w:t xml:space="preserve">: statistiques </w:t>
      </w:r>
    </w:p>
    <w:p w14:paraId="18F4C241" w14:textId="00CCE9BF" w:rsidR="00250474" w:rsidRDefault="00250474" w:rsidP="00936635">
      <w:pPr>
        <w:rPr>
          <w:rFonts w:ascii="Segoe UI" w:hAnsi="Segoe UI" w:cs="Segoe UI"/>
          <w:bCs/>
          <w:color w:val="000091" w:themeColor="text1"/>
          <w:sz w:val="24"/>
          <w:szCs w:val="28"/>
        </w:rPr>
      </w:pPr>
    </w:p>
    <w:p w14:paraId="502FFC5C" w14:textId="6870C455" w:rsidR="00250474" w:rsidRDefault="00250474" w:rsidP="00250474">
      <w:pPr>
        <w:jc w:val="center"/>
        <w:rPr>
          <w:rFonts w:ascii="Segoe UI" w:hAnsi="Segoe UI" w:cs="Segoe UI"/>
          <w:bCs/>
          <w:color w:val="000091" w:themeColor="text1"/>
          <w:sz w:val="24"/>
          <w:szCs w:val="28"/>
        </w:rPr>
      </w:pPr>
      <w:r>
        <w:rPr>
          <w:noProof/>
        </w:rPr>
        <w:drawing>
          <wp:inline distT="0" distB="0" distL="0" distR="0" wp14:anchorId="2AB48DA1" wp14:editId="0EEB0022">
            <wp:extent cx="4572000" cy="2743200"/>
            <wp:effectExtent l="0" t="0" r="0" b="0"/>
            <wp:docPr id="5" name="Graphique 5">
              <a:extLst xmlns:a="http://schemas.openxmlformats.org/drawingml/2006/main">
                <a:ext uri="{FF2B5EF4-FFF2-40B4-BE49-F238E27FC236}">
                  <a16:creationId xmlns:a16="http://schemas.microsoft.com/office/drawing/2014/main" id="{056F508E-882E-4498-9147-6E1A6D058C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75E9AC" w14:textId="77777777" w:rsidR="007405AB" w:rsidRDefault="00352D91" w:rsidP="00250474">
      <w:pPr>
        <w:jc w:val="center"/>
        <w:rPr>
          <w:rFonts w:ascii="Segoe UI" w:hAnsi="Segoe UI" w:cs="Segoe UI"/>
          <w:bCs/>
          <w:color w:val="000091" w:themeColor="text1"/>
          <w:sz w:val="20"/>
          <w:u w:val="single"/>
        </w:rPr>
      </w:pPr>
      <w:r w:rsidRPr="004C719C">
        <w:rPr>
          <w:rFonts w:ascii="Segoe UI" w:hAnsi="Segoe UI" w:cs="Segoe UI"/>
          <w:bCs/>
          <w:color w:val="000091" w:themeColor="text1"/>
          <w:sz w:val="20"/>
          <w:u w:val="single"/>
        </w:rPr>
        <w:t>Evolution des dépôts par type de banque. Source : rapport annuel de la BB</w:t>
      </w:r>
    </w:p>
    <w:p w14:paraId="337AA9D8" w14:textId="77777777" w:rsidR="0065404D" w:rsidRDefault="0065404D" w:rsidP="00250474">
      <w:pPr>
        <w:jc w:val="center"/>
        <w:rPr>
          <w:rFonts w:ascii="Segoe UI" w:hAnsi="Segoe UI" w:cs="Segoe UI"/>
          <w:bCs/>
          <w:color w:val="000091" w:themeColor="text1"/>
          <w:sz w:val="20"/>
          <w:u w:val="single"/>
        </w:rPr>
      </w:pPr>
    </w:p>
    <w:p w14:paraId="2AC02C7A" w14:textId="77777777" w:rsidR="0065404D" w:rsidRDefault="00B43751" w:rsidP="00250474">
      <w:pPr>
        <w:jc w:val="center"/>
        <w:rPr>
          <w:rFonts w:ascii="Segoe UI" w:hAnsi="Segoe UI" w:cs="Segoe UI"/>
          <w:bCs/>
          <w:color w:val="000091" w:themeColor="text1"/>
          <w:sz w:val="20"/>
          <w:u w:val="single"/>
        </w:rPr>
      </w:pPr>
      <w:bookmarkStart w:id="0" w:name="_Hlk182846157"/>
      <w:r>
        <w:rPr>
          <w:noProof/>
        </w:rPr>
        <w:drawing>
          <wp:inline distT="0" distB="0" distL="0" distR="0" wp14:anchorId="1263B9F5" wp14:editId="31AED8F9">
            <wp:extent cx="4572000" cy="2743200"/>
            <wp:effectExtent l="0" t="0" r="0" b="0"/>
            <wp:docPr id="1" name="Graphique 1">
              <a:extLst xmlns:a="http://schemas.openxmlformats.org/drawingml/2006/main">
                <a:ext uri="{FF2B5EF4-FFF2-40B4-BE49-F238E27FC236}">
                  <a16:creationId xmlns:a16="http://schemas.microsoft.com/office/drawing/2014/main" id="{D1F42881-F49D-43C0-A999-E9686CA6AB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C3F8F3" w14:textId="0A6395FB" w:rsidR="00B43751" w:rsidRDefault="00B43751" w:rsidP="00B43751">
      <w:pPr>
        <w:jc w:val="center"/>
        <w:rPr>
          <w:rFonts w:ascii="Segoe UI" w:hAnsi="Segoe UI" w:cs="Segoe UI"/>
          <w:bCs/>
          <w:color w:val="000091" w:themeColor="text1"/>
          <w:sz w:val="20"/>
          <w:u w:val="single"/>
        </w:rPr>
        <w:sectPr w:rsidR="00B43751" w:rsidSect="00C10B01">
          <w:footerReference w:type="default" r:id="rId15"/>
          <w:endnotePr>
            <w:numFmt w:val="decimal"/>
          </w:endnotePr>
          <w:pgSz w:w="11906" w:h="16838"/>
          <w:pgMar w:top="709" w:right="1274" w:bottom="709" w:left="1417" w:header="708" w:footer="454" w:gutter="0"/>
          <w:cols w:space="708"/>
          <w:docGrid w:linePitch="360"/>
        </w:sectPr>
      </w:pPr>
      <w:r>
        <w:rPr>
          <w:rFonts w:ascii="Segoe UI" w:hAnsi="Segoe UI" w:cs="Segoe UI"/>
          <w:bCs/>
          <w:color w:val="000091" w:themeColor="text1"/>
          <w:sz w:val="20"/>
          <w:u w:val="single"/>
        </w:rPr>
        <w:t>Evolution des PNP par type de banque. Source : rapport annuel de la BB et média</w:t>
      </w:r>
      <w:r>
        <w:rPr>
          <w:rFonts w:ascii="Segoe UI" w:hAnsi="Segoe UI" w:cs="Segoe UI"/>
          <w:bCs/>
          <w:color w:val="000091" w:themeColor="text1"/>
          <w:sz w:val="20"/>
          <w:u w:val="single"/>
        </w:rPr>
        <w:br/>
        <w:t>* septembre 2024</w:t>
      </w:r>
    </w:p>
    <w:bookmarkEnd w:id="0"/>
    <w:p w14:paraId="4928E29F" w14:textId="5943A011" w:rsidR="003735AF" w:rsidRDefault="00F47F29" w:rsidP="00F47F29">
      <w:pPr>
        <w:tabs>
          <w:tab w:val="left" w:pos="3700"/>
        </w:tabs>
        <w:spacing w:before="120" w:after="0"/>
        <w:ind w:left="-284"/>
        <w:jc w:val="both"/>
        <w:rPr>
          <w:rFonts w:ascii="Segoe UI" w:hAnsi="Segoe UI" w:cs="Segoe UI"/>
          <w:bCs/>
          <w:color w:val="000091" w:themeColor="text1"/>
          <w:sz w:val="24"/>
          <w:szCs w:val="28"/>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74624" behindDoc="1" locked="0" layoutInCell="1" allowOverlap="1" wp14:anchorId="15EF8666" wp14:editId="7D6B6C76">
                <wp:simplePos x="0" y="0"/>
                <wp:positionH relativeFrom="page">
                  <wp:align>right</wp:align>
                </wp:positionH>
                <wp:positionV relativeFrom="page">
                  <wp:posOffset>11430</wp:posOffset>
                </wp:positionV>
                <wp:extent cx="7543800" cy="10677525"/>
                <wp:effectExtent l="0" t="0" r="0" b="9525"/>
                <wp:wrapNone/>
                <wp:docPr id="18" name="Rectangle 18"/>
                <wp:cNvGraphicFramePr/>
                <a:graphic xmlns:a="http://schemas.openxmlformats.org/drawingml/2006/main">
                  <a:graphicData uri="http://schemas.microsoft.com/office/word/2010/wordprocessingShape">
                    <wps:wsp>
                      <wps:cNvSpPr/>
                      <wps:spPr>
                        <a:xfrm>
                          <a:off x="0" y="0"/>
                          <a:ext cx="7543800" cy="10677525"/>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EC3E6" id="Rectangle 18" o:spid="_x0000_s1026" style="position:absolute;margin-left:542.8pt;margin-top:.9pt;width:594pt;height:840.75pt;z-index:-251641856;visibility:visible;mso-wrap-style:square;mso-height-percent:0;mso-wrap-distance-left:9pt;mso-wrap-distance-top:0;mso-wrap-distance-right:9pt;mso-wrap-distance-bottom:0;mso-position-horizontal:right;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" fillcolor="#fef8e8" stroked="f" strokeweight="1pt">
                <w10:wrap anchorx="page" anchory="page"/>
              </v:rect>
            </w:pict>
          </mc:Fallback>
        </mc:AlternateContent>
      </w:r>
      <w:r w:rsidR="007405AB" w:rsidRPr="00F47F29">
        <w:rPr>
          <w:rFonts w:ascii="Segoe UI" w:hAnsi="Segoe UI" w:cs="Segoe UI"/>
          <w:bCs/>
          <w:color w:val="000091" w:themeColor="text1"/>
          <w:sz w:val="24"/>
          <w:szCs w:val="28"/>
        </w:rPr>
        <w:t>A</w:t>
      </w:r>
      <w:r>
        <w:rPr>
          <w:rFonts w:ascii="Segoe UI" w:hAnsi="Segoe UI" w:cs="Segoe UI"/>
          <w:bCs/>
          <w:color w:val="000091" w:themeColor="text1"/>
          <w:sz w:val="24"/>
          <w:szCs w:val="28"/>
        </w:rPr>
        <w:t>NNEXE </w:t>
      </w:r>
      <w:r w:rsidR="006732F0">
        <w:rPr>
          <w:rFonts w:ascii="Segoe UI" w:hAnsi="Segoe UI" w:cs="Segoe UI"/>
          <w:bCs/>
          <w:color w:val="000091" w:themeColor="text1"/>
          <w:sz w:val="24"/>
          <w:szCs w:val="28"/>
        </w:rPr>
        <w:t xml:space="preserve">2 </w:t>
      </w:r>
      <w:r>
        <w:rPr>
          <w:rFonts w:ascii="Segoe UI" w:hAnsi="Segoe UI" w:cs="Segoe UI"/>
          <w:bCs/>
          <w:color w:val="000091" w:themeColor="text1"/>
          <w:sz w:val="24"/>
          <w:szCs w:val="28"/>
        </w:rPr>
        <w:t>: santé des banques</w:t>
      </w:r>
    </w:p>
    <w:p w14:paraId="58984CF3" w14:textId="77777777" w:rsidR="00F47F29" w:rsidRPr="00F47F29" w:rsidRDefault="00F47F29" w:rsidP="00F47F29">
      <w:pPr>
        <w:tabs>
          <w:tab w:val="left" w:pos="3700"/>
        </w:tabs>
        <w:spacing w:before="120" w:after="0"/>
        <w:ind w:left="-284"/>
        <w:jc w:val="both"/>
        <w:rPr>
          <w:rFonts w:ascii="Segoe UI" w:hAnsi="Segoe UI" w:cs="Segoe UI"/>
          <w:bCs/>
          <w:color w:val="000091" w:themeColor="text1"/>
          <w:sz w:val="24"/>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752"/>
        <w:gridCol w:w="1134"/>
        <w:gridCol w:w="993"/>
        <w:gridCol w:w="1940"/>
        <w:gridCol w:w="709"/>
        <w:gridCol w:w="1134"/>
        <w:gridCol w:w="992"/>
      </w:tblGrid>
      <w:tr w:rsidR="007405AB" w:rsidRPr="007405AB" w14:paraId="2CF25A3C" w14:textId="6608608D" w:rsidTr="00F47F29">
        <w:trPr>
          <w:trHeight w:val="300"/>
          <w:jc w:val="center"/>
        </w:trPr>
        <w:tc>
          <w:tcPr>
            <w:tcW w:w="1980" w:type="dxa"/>
            <w:shd w:val="clear" w:color="auto" w:fill="auto"/>
            <w:noWrap/>
            <w:vAlign w:val="center"/>
            <w:hideMark/>
          </w:tcPr>
          <w:p w14:paraId="0E052FB9" w14:textId="77777777" w:rsidR="007405AB" w:rsidRPr="007405AB" w:rsidRDefault="007405AB" w:rsidP="007405AB">
            <w:pPr>
              <w:spacing w:after="0" w:line="240" w:lineRule="auto"/>
              <w:jc w:val="center"/>
              <w:rPr>
                <w:rFonts w:ascii="Calibri" w:eastAsia="Times New Roman" w:hAnsi="Calibri" w:cs="Calibri"/>
                <w:color w:val="000000"/>
                <w:lang w:eastAsia="fr-FR"/>
              </w:rPr>
            </w:pPr>
            <w:r w:rsidRPr="007405AB">
              <w:rPr>
                <w:rFonts w:ascii="Calibri" w:eastAsia="Times New Roman" w:hAnsi="Calibri" w:cs="Calibri"/>
                <w:color w:val="000000"/>
                <w:lang w:eastAsia="fr-FR"/>
              </w:rPr>
              <w:t>Nom</w:t>
            </w:r>
          </w:p>
        </w:tc>
        <w:tc>
          <w:tcPr>
            <w:tcW w:w="752" w:type="dxa"/>
            <w:shd w:val="clear" w:color="auto" w:fill="auto"/>
            <w:noWrap/>
            <w:vAlign w:val="center"/>
          </w:tcPr>
          <w:p w14:paraId="6312C6AC" w14:textId="025C7594" w:rsidR="007405AB" w:rsidRPr="007405AB" w:rsidRDefault="007405AB" w:rsidP="007405AB">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BHI</w:t>
            </w:r>
          </w:p>
        </w:tc>
        <w:tc>
          <w:tcPr>
            <w:tcW w:w="1134" w:type="dxa"/>
            <w:shd w:val="clear" w:color="auto" w:fill="auto"/>
            <w:noWrap/>
            <w:vAlign w:val="center"/>
          </w:tcPr>
          <w:p w14:paraId="625C92D1" w14:textId="22C91D6A" w:rsidR="007405AB" w:rsidRPr="007405AB" w:rsidRDefault="007405AB" w:rsidP="007405AB">
            <w:pPr>
              <w:spacing w:after="0" w:line="240" w:lineRule="auto"/>
              <w:jc w:val="center"/>
              <w:rPr>
                <w:rFonts w:ascii="Calibri" w:eastAsia="Times New Roman" w:hAnsi="Calibri" w:cs="Calibri"/>
                <w:color w:val="000000"/>
                <w:lang w:eastAsia="fr-FR"/>
              </w:rPr>
            </w:pPr>
            <w:r w:rsidRPr="007405AB">
              <w:rPr>
                <w:rFonts w:ascii="Calibri" w:eastAsia="Times New Roman" w:hAnsi="Calibri" w:cs="Calibri"/>
                <w:color w:val="000000"/>
                <w:lang w:eastAsia="fr-FR"/>
              </w:rPr>
              <w:t>PNP (</w:t>
            </w:r>
            <w:proofErr w:type="spellStart"/>
            <w:r w:rsidRPr="007405AB">
              <w:rPr>
                <w:rFonts w:ascii="Calibri" w:eastAsia="Times New Roman" w:hAnsi="Calibri" w:cs="Calibri"/>
                <w:color w:val="000000"/>
                <w:lang w:eastAsia="fr-FR"/>
              </w:rPr>
              <w:t>crore</w:t>
            </w:r>
            <w:proofErr w:type="spellEnd"/>
            <w:r w:rsidRPr="007405AB">
              <w:rPr>
                <w:rFonts w:ascii="Calibri" w:eastAsia="Times New Roman" w:hAnsi="Calibri" w:cs="Calibri"/>
                <w:color w:val="000000"/>
                <w:lang w:eastAsia="fr-FR"/>
              </w:rPr>
              <w:t xml:space="preserve"> BDT)</w:t>
            </w:r>
          </w:p>
        </w:tc>
        <w:tc>
          <w:tcPr>
            <w:tcW w:w="993" w:type="dxa"/>
            <w:shd w:val="clear" w:color="auto" w:fill="auto"/>
            <w:noWrap/>
            <w:vAlign w:val="center"/>
          </w:tcPr>
          <w:p w14:paraId="14795011" w14:textId="40BFAF05" w:rsidR="007405AB" w:rsidRPr="007405AB" w:rsidRDefault="007405AB" w:rsidP="007405AB">
            <w:pPr>
              <w:spacing w:after="0" w:line="240" w:lineRule="auto"/>
              <w:jc w:val="center"/>
              <w:rPr>
                <w:rFonts w:ascii="Calibri" w:eastAsia="Times New Roman" w:hAnsi="Calibri" w:cs="Calibri"/>
                <w:color w:val="000000"/>
                <w:lang w:eastAsia="fr-FR"/>
              </w:rPr>
            </w:pPr>
            <w:r w:rsidRPr="007405AB">
              <w:rPr>
                <w:rFonts w:ascii="Calibri" w:eastAsia="Times New Roman" w:hAnsi="Calibri" w:cs="Calibri"/>
                <w:color w:val="000000"/>
                <w:lang w:eastAsia="fr-FR"/>
              </w:rPr>
              <w:t>PNP (%)</w:t>
            </w:r>
          </w:p>
        </w:tc>
        <w:tc>
          <w:tcPr>
            <w:tcW w:w="2649" w:type="dxa"/>
            <w:gridSpan w:val="2"/>
            <w:shd w:val="clear" w:color="auto" w:fill="auto"/>
            <w:noWrap/>
            <w:vAlign w:val="center"/>
          </w:tcPr>
          <w:p w14:paraId="0D01647C" w14:textId="14AA2FA8" w:rsidR="007405AB" w:rsidRPr="007405AB" w:rsidRDefault="007405AB" w:rsidP="007405AB">
            <w:pPr>
              <w:spacing w:after="0" w:line="240" w:lineRule="auto"/>
              <w:jc w:val="center"/>
              <w:rPr>
                <w:rFonts w:ascii="Calibri" w:eastAsia="Times New Roman" w:hAnsi="Calibri" w:cs="Calibri"/>
                <w:color w:val="000000"/>
                <w:lang w:eastAsia="fr-FR"/>
              </w:rPr>
            </w:pPr>
            <w:r w:rsidRPr="007405AB">
              <w:rPr>
                <w:rFonts w:ascii="Calibri" w:eastAsia="Times New Roman" w:hAnsi="Calibri" w:cs="Calibri"/>
                <w:color w:val="000000"/>
                <w:lang w:eastAsia="fr-FR"/>
              </w:rPr>
              <w:t>Nom</w:t>
            </w:r>
          </w:p>
        </w:tc>
        <w:tc>
          <w:tcPr>
            <w:tcW w:w="1134" w:type="dxa"/>
            <w:shd w:val="clear" w:color="auto" w:fill="auto"/>
            <w:noWrap/>
            <w:vAlign w:val="center"/>
          </w:tcPr>
          <w:p w14:paraId="74BA5F99" w14:textId="06C23069" w:rsidR="007405AB" w:rsidRPr="007405AB" w:rsidRDefault="007405AB" w:rsidP="007405AB">
            <w:pPr>
              <w:spacing w:after="0" w:line="240" w:lineRule="auto"/>
              <w:jc w:val="center"/>
              <w:rPr>
                <w:rFonts w:ascii="Calibri" w:eastAsia="Times New Roman" w:hAnsi="Calibri" w:cs="Calibri"/>
                <w:color w:val="000000"/>
                <w:lang w:eastAsia="fr-FR"/>
              </w:rPr>
            </w:pPr>
            <w:r w:rsidRPr="007405AB">
              <w:rPr>
                <w:rFonts w:ascii="Calibri" w:eastAsia="Times New Roman" w:hAnsi="Calibri" w:cs="Calibri"/>
                <w:color w:val="000000"/>
                <w:lang w:eastAsia="fr-FR"/>
              </w:rPr>
              <w:t>PNP (</w:t>
            </w:r>
            <w:proofErr w:type="spellStart"/>
            <w:r w:rsidRPr="007405AB">
              <w:rPr>
                <w:rFonts w:ascii="Calibri" w:eastAsia="Times New Roman" w:hAnsi="Calibri" w:cs="Calibri"/>
                <w:color w:val="000000"/>
                <w:lang w:eastAsia="fr-FR"/>
              </w:rPr>
              <w:t>crore</w:t>
            </w:r>
            <w:proofErr w:type="spellEnd"/>
            <w:r w:rsidRPr="007405AB">
              <w:rPr>
                <w:rFonts w:ascii="Calibri" w:eastAsia="Times New Roman" w:hAnsi="Calibri" w:cs="Calibri"/>
                <w:color w:val="000000"/>
                <w:lang w:eastAsia="fr-FR"/>
              </w:rPr>
              <w:t xml:space="preserve"> BDT)</w:t>
            </w:r>
          </w:p>
        </w:tc>
        <w:tc>
          <w:tcPr>
            <w:tcW w:w="992" w:type="dxa"/>
            <w:vAlign w:val="center"/>
          </w:tcPr>
          <w:p w14:paraId="6A6CE5A0" w14:textId="62C7E2FE" w:rsidR="007405AB" w:rsidRPr="007405AB" w:rsidRDefault="007405AB" w:rsidP="007405AB">
            <w:pPr>
              <w:jc w:val="center"/>
              <w:rPr>
                <w:rFonts w:ascii="Times New Roman" w:eastAsia="Times New Roman" w:hAnsi="Times New Roman" w:cs="Times New Roman"/>
                <w:sz w:val="20"/>
                <w:szCs w:val="20"/>
                <w:lang w:eastAsia="fr-FR"/>
              </w:rPr>
            </w:pPr>
            <w:r w:rsidRPr="007405AB">
              <w:rPr>
                <w:rFonts w:ascii="Calibri" w:eastAsia="Times New Roman" w:hAnsi="Calibri" w:cs="Calibri"/>
                <w:color w:val="000000"/>
                <w:lang w:eastAsia="fr-FR"/>
              </w:rPr>
              <w:t>PNP (%)</w:t>
            </w:r>
          </w:p>
        </w:tc>
      </w:tr>
      <w:tr w:rsidR="007405AB" w:rsidRPr="007405AB" w14:paraId="3DE293D3" w14:textId="77777777" w:rsidTr="00F47F29">
        <w:trPr>
          <w:trHeight w:val="419"/>
          <w:jc w:val="center"/>
        </w:trPr>
        <w:tc>
          <w:tcPr>
            <w:tcW w:w="1980" w:type="dxa"/>
            <w:shd w:val="clear" w:color="auto" w:fill="auto"/>
            <w:vAlign w:val="center"/>
            <w:hideMark/>
          </w:tcPr>
          <w:p w14:paraId="687C67C4"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Bangladesh Commerce Bank Ltd</w:t>
            </w:r>
          </w:p>
        </w:tc>
        <w:tc>
          <w:tcPr>
            <w:tcW w:w="752" w:type="dxa"/>
            <w:shd w:val="clear" w:color="auto" w:fill="EE493A"/>
            <w:vAlign w:val="center"/>
            <w:hideMark/>
          </w:tcPr>
          <w:p w14:paraId="07A5BE59"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−12.10</w:t>
            </w:r>
          </w:p>
        </w:tc>
        <w:tc>
          <w:tcPr>
            <w:tcW w:w="1134" w:type="dxa"/>
            <w:shd w:val="clear" w:color="auto" w:fill="auto"/>
            <w:vAlign w:val="center"/>
            <w:hideMark/>
          </w:tcPr>
          <w:p w14:paraId="6EBEA821"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1,208</w:t>
            </w:r>
          </w:p>
        </w:tc>
        <w:tc>
          <w:tcPr>
            <w:tcW w:w="993" w:type="dxa"/>
            <w:shd w:val="clear" w:color="auto" w:fill="auto"/>
            <w:vAlign w:val="center"/>
            <w:hideMark/>
          </w:tcPr>
          <w:p w14:paraId="2344FEFD"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51.65%</w:t>
            </w:r>
          </w:p>
        </w:tc>
        <w:tc>
          <w:tcPr>
            <w:tcW w:w="1940" w:type="dxa"/>
            <w:shd w:val="clear" w:color="auto" w:fill="auto"/>
            <w:vAlign w:val="center"/>
            <w:hideMark/>
          </w:tcPr>
          <w:p w14:paraId="28F6F346"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Global Islami Bank PLC</w:t>
            </w:r>
          </w:p>
        </w:tc>
        <w:tc>
          <w:tcPr>
            <w:tcW w:w="709" w:type="dxa"/>
            <w:shd w:val="clear" w:color="auto" w:fill="FFCA76"/>
            <w:vAlign w:val="center"/>
            <w:hideMark/>
          </w:tcPr>
          <w:p w14:paraId="24DF8339"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−0.61</w:t>
            </w:r>
          </w:p>
        </w:tc>
        <w:tc>
          <w:tcPr>
            <w:tcW w:w="1134" w:type="dxa"/>
            <w:shd w:val="clear" w:color="auto" w:fill="auto"/>
            <w:vAlign w:val="center"/>
            <w:hideMark/>
          </w:tcPr>
          <w:p w14:paraId="4E706F85"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226</w:t>
            </w:r>
          </w:p>
        </w:tc>
        <w:tc>
          <w:tcPr>
            <w:tcW w:w="992" w:type="dxa"/>
            <w:shd w:val="clear" w:color="auto" w:fill="auto"/>
            <w:vAlign w:val="center"/>
            <w:hideMark/>
          </w:tcPr>
          <w:p w14:paraId="4A7321C0"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1.72%</w:t>
            </w:r>
          </w:p>
        </w:tc>
      </w:tr>
      <w:tr w:rsidR="007405AB" w:rsidRPr="007405AB" w14:paraId="32CBD00E" w14:textId="77777777" w:rsidTr="00F47F29">
        <w:trPr>
          <w:trHeight w:val="143"/>
          <w:jc w:val="center"/>
        </w:trPr>
        <w:tc>
          <w:tcPr>
            <w:tcW w:w="1980" w:type="dxa"/>
            <w:shd w:val="clear" w:color="auto" w:fill="auto"/>
            <w:vAlign w:val="center"/>
            <w:hideMark/>
          </w:tcPr>
          <w:p w14:paraId="384DCDA9"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Padma Bank Ltd</w:t>
            </w:r>
          </w:p>
        </w:tc>
        <w:tc>
          <w:tcPr>
            <w:tcW w:w="752" w:type="dxa"/>
            <w:shd w:val="clear" w:color="auto" w:fill="EE493A"/>
            <w:vAlign w:val="center"/>
            <w:hideMark/>
          </w:tcPr>
          <w:p w14:paraId="1BD7953A"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−11.21</w:t>
            </w:r>
          </w:p>
        </w:tc>
        <w:tc>
          <w:tcPr>
            <w:tcW w:w="1134" w:type="dxa"/>
            <w:shd w:val="clear" w:color="auto" w:fill="auto"/>
            <w:vAlign w:val="center"/>
            <w:hideMark/>
          </w:tcPr>
          <w:p w14:paraId="523478CD"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1,881</w:t>
            </w:r>
          </w:p>
        </w:tc>
        <w:tc>
          <w:tcPr>
            <w:tcW w:w="993" w:type="dxa"/>
            <w:shd w:val="clear" w:color="auto" w:fill="auto"/>
            <w:vAlign w:val="center"/>
            <w:hideMark/>
          </w:tcPr>
          <w:p w14:paraId="420B3CBF"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46.39%</w:t>
            </w:r>
          </w:p>
        </w:tc>
        <w:tc>
          <w:tcPr>
            <w:tcW w:w="1940" w:type="dxa"/>
            <w:shd w:val="clear" w:color="auto" w:fill="auto"/>
            <w:vAlign w:val="center"/>
            <w:hideMark/>
          </w:tcPr>
          <w:p w14:paraId="442630EC"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Premier Bank PLC</w:t>
            </w:r>
          </w:p>
        </w:tc>
        <w:tc>
          <w:tcPr>
            <w:tcW w:w="709" w:type="dxa"/>
            <w:shd w:val="clear" w:color="auto" w:fill="FFCA76"/>
            <w:vAlign w:val="center"/>
            <w:hideMark/>
          </w:tcPr>
          <w:p w14:paraId="082F96C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−0.58</w:t>
            </w:r>
          </w:p>
        </w:tc>
        <w:tc>
          <w:tcPr>
            <w:tcW w:w="1134" w:type="dxa"/>
            <w:shd w:val="clear" w:color="auto" w:fill="auto"/>
            <w:vAlign w:val="center"/>
            <w:hideMark/>
          </w:tcPr>
          <w:p w14:paraId="5A06FEC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1,121</w:t>
            </w:r>
          </w:p>
        </w:tc>
        <w:tc>
          <w:tcPr>
            <w:tcW w:w="992" w:type="dxa"/>
            <w:shd w:val="clear" w:color="auto" w:fill="auto"/>
            <w:vAlign w:val="center"/>
            <w:hideMark/>
          </w:tcPr>
          <w:p w14:paraId="59692C0D"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3.88%</w:t>
            </w:r>
          </w:p>
        </w:tc>
      </w:tr>
      <w:tr w:rsidR="007405AB" w:rsidRPr="007405AB" w14:paraId="54FB03A1" w14:textId="77777777" w:rsidTr="00F47F29">
        <w:trPr>
          <w:trHeight w:val="70"/>
          <w:jc w:val="center"/>
        </w:trPr>
        <w:tc>
          <w:tcPr>
            <w:tcW w:w="1980" w:type="dxa"/>
            <w:shd w:val="clear" w:color="auto" w:fill="auto"/>
            <w:vAlign w:val="center"/>
            <w:hideMark/>
          </w:tcPr>
          <w:p w14:paraId="4FF9810D"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BASIC Bank Ltd</w:t>
            </w:r>
          </w:p>
        </w:tc>
        <w:tc>
          <w:tcPr>
            <w:tcW w:w="752" w:type="dxa"/>
            <w:shd w:val="clear" w:color="auto" w:fill="EE493A"/>
            <w:vAlign w:val="center"/>
            <w:hideMark/>
          </w:tcPr>
          <w:p w14:paraId="31D8B301"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−8.76</w:t>
            </w:r>
          </w:p>
        </w:tc>
        <w:tc>
          <w:tcPr>
            <w:tcW w:w="1134" w:type="dxa"/>
            <w:shd w:val="clear" w:color="auto" w:fill="auto"/>
            <w:vAlign w:val="center"/>
            <w:hideMark/>
          </w:tcPr>
          <w:p w14:paraId="07391D2A"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8,204</w:t>
            </w:r>
          </w:p>
        </w:tc>
        <w:tc>
          <w:tcPr>
            <w:tcW w:w="993" w:type="dxa"/>
            <w:shd w:val="clear" w:color="auto" w:fill="auto"/>
            <w:vAlign w:val="center"/>
            <w:hideMark/>
          </w:tcPr>
          <w:p w14:paraId="352084F6"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63.76%</w:t>
            </w:r>
          </w:p>
        </w:tc>
        <w:tc>
          <w:tcPr>
            <w:tcW w:w="1940" w:type="dxa"/>
            <w:shd w:val="clear" w:color="auto" w:fill="auto"/>
            <w:vAlign w:val="center"/>
            <w:hideMark/>
          </w:tcPr>
          <w:p w14:paraId="3B99ADC1"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BRAC Bank PLC</w:t>
            </w:r>
          </w:p>
        </w:tc>
        <w:tc>
          <w:tcPr>
            <w:tcW w:w="709" w:type="dxa"/>
            <w:shd w:val="clear" w:color="auto" w:fill="FFCA76"/>
            <w:vAlign w:val="center"/>
            <w:hideMark/>
          </w:tcPr>
          <w:p w14:paraId="11AB9D88"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−0.56</w:t>
            </w:r>
          </w:p>
        </w:tc>
        <w:tc>
          <w:tcPr>
            <w:tcW w:w="1134" w:type="dxa"/>
            <w:shd w:val="clear" w:color="auto" w:fill="auto"/>
            <w:vAlign w:val="center"/>
            <w:hideMark/>
          </w:tcPr>
          <w:p w14:paraId="16C0A28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1,75</w:t>
            </w:r>
          </w:p>
        </w:tc>
        <w:tc>
          <w:tcPr>
            <w:tcW w:w="992" w:type="dxa"/>
            <w:shd w:val="clear" w:color="auto" w:fill="auto"/>
            <w:vAlign w:val="center"/>
            <w:hideMark/>
          </w:tcPr>
          <w:p w14:paraId="772802A9"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3.38%</w:t>
            </w:r>
          </w:p>
        </w:tc>
      </w:tr>
      <w:tr w:rsidR="007405AB" w:rsidRPr="007405AB" w14:paraId="019FE28F" w14:textId="77777777" w:rsidTr="00F47F29">
        <w:trPr>
          <w:trHeight w:val="165"/>
          <w:jc w:val="center"/>
        </w:trPr>
        <w:tc>
          <w:tcPr>
            <w:tcW w:w="1980" w:type="dxa"/>
            <w:shd w:val="clear" w:color="auto" w:fill="auto"/>
            <w:vAlign w:val="center"/>
            <w:hideMark/>
          </w:tcPr>
          <w:p w14:paraId="3CC7299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National Bank of Pakistan</w:t>
            </w:r>
          </w:p>
        </w:tc>
        <w:tc>
          <w:tcPr>
            <w:tcW w:w="752" w:type="dxa"/>
            <w:shd w:val="clear" w:color="auto" w:fill="EE493A"/>
            <w:vAlign w:val="center"/>
            <w:hideMark/>
          </w:tcPr>
          <w:p w14:paraId="3F93EB49"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−6.30</w:t>
            </w:r>
          </w:p>
        </w:tc>
        <w:tc>
          <w:tcPr>
            <w:tcW w:w="1134" w:type="dxa"/>
            <w:shd w:val="clear" w:color="auto" w:fill="auto"/>
            <w:vAlign w:val="center"/>
            <w:hideMark/>
          </w:tcPr>
          <w:p w14:paraId="706BB3EF"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1,354</w:t>
            </w:r>
          </w:p>
        </w:tc>
        <w:tc>
          <w:tcPr>
            <w:tcW w:w="993" w:type="dxa"/>
            <w:shd w:val="clear" w:color="auto" w:fill="auto"/>
            <w:vAlign w:val="center"/>
            <w:hideMark/>
          </w:tcPr>
          <w:p w14:paraId="6EE2D3D4"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98.22%</w:t>
            </w:r>
          </w:p>
        </w:tc>
        <w:tc>
          <w:tcPr>
            <w:tcW w:w="1940" w:type="dxa"/>
            <w:shd w:val="clear" w:color="auto" w:fill="auto"/>
            <w:vAlign w:val="center"/>
            <w:hideMark/>
          </w:tcPr>
          <w:p w14:paraId="0EE55D89"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Southeast</w:t>
            </w:r>
            <w:proofErr w:type="spellEnd"/>
            <w:r w:rsidRPr="007405AB">
              <w:rPr>
                <w:rFonts w:ascii="Calibri" w:eastAsia="Times New Roman" w:hAnsi="Calibri" w:cs="Calibri"/>
                <w:color w:val="000000"/>
                <w:lang w:eastAsia="fr-FR"/>
              </w:rPr>
              <w:t xml:space="preserve"> Bank PLC</w:t>
            </w:r>
          </w:p>
        </w:tc>
        <w:tc>
          <w:tcPr>
            <w:tcW w:w="709" w:type="dxa"/>
            <w:shd w:val="clear" w:color="auto" w:fill="FFCA76"/>
            <w:vAlign w:val="center"/>
            <w:hideMark/>
          </w:tcPr>
          <w:p w14:paraId="10420B71"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−0.50</w:t>
            </w:r>
          </w:p>
        </w:tc>
        <w:tc>
          <w:tcPr>
            <w:tcW w:w="1134" w:type="dxa"/>
            <w:shd w:val="clear" w:color="auto" w:fill="auto"/>
            <w:vAlign w:val="center"/>
            <w:hideMark/>
          </w:tcPr>
          <w:p w14:paraId="17351AD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1,965</w:t>
            </w:r>
          </w:p>
        </w:tc>
        <w:tc>
          <w:tcPr>
            <w:tcW w:w="992" w:type="dxa"/>
            <w:shd w:val="clear" w:color="auto" w:fill="auto"/>
            <w:vAlign w:val="center"/>
            <w:hideMark/>
          </w:tcPr>
          <w:p w14:paraId="6B539C4B"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5.61%</w:t>
            </w:r>
          </w:p>
        </w:tc>
      </w:tr>
      <w:tr w:rsidR="007405AB" w:rsidRPr="007405AB" w14:paraId="68155D77" w14:textId="77777777" w:rsidTr="00F47F29">
        <w:trPr>
          <w:trHeight w:val="70"/>
          <w:jc w:val="center"/>
        </w:trPr>
        <w:tc>
          <w:tcPr>
            <w:tcW w:w="1980" w:type="dxa"/>
            <w:shd w:val="clear" w:color="auto" w:fill="auto"/>
            <w:vAlign w:val="center"/>
            <w:hideMark/>
          </w:tcPr>
          <w:p w14:paraId="6DC33E6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National Bank Ltd</w:t>
            </w:r>
          </w:p>
        </w:tc>
        <w:tc>
          <w:tcPr>
            <w:tcW w:w="752" w:type="dxa"/>
            <w:shd w:val="clear" w:color="auto" w:fill="EE493A"/>
            <w:vAlign w:val="center"/>
            <w:hideMark/>
          </w:tcPr>
          <w:p w14:paraId="763E9118"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−5.48</w:t>
            </w:r>
          </w:p>
        </w:tc>
        <w:tc>
          <w:tcPr>
            <w:tcW w:w="1134" w:type="dxa"/>
            <w:shd w:val="clear" w:color="auto" w:fill="auto"/>
            <w:vAlign w:val="center"/>
            <w:hideMark/>
          </w:tcPr>
          <w:p w14:paraId="1DE8C100"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12,368</w:t>
            </w:r>
          </w:p>
        </w:tc>
        <w:tc>
          <w:tcPr>
            <w:tcW w:w="993" w:type="dxa"/>
            <w:shd w:val="clear" w:color="auto" w:fill="auto"/>
            <w:vAlign w:val="center"/>
            <w:hideMark/>
          </w:tcPr>
          <w:p w14:paraId="0540E77C"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28.92%</w:t>
            </w:r>
          </w:p>
        </w:tc>
        <w:tc>
          <w:tcPr>
            <w:tcW w:w="1940" w:type="dxa"/>
            <w:shd w:val="clear" w:color="auto" w:fill="auto"/>
            <w:vAlign w:val="center"/>
            <w:hideMark/>
          </w:tcPr>
          <w:p w14:paraId="25FD224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The City Bank Ltd</w:t>
            </w:r>
          </w:p>
        </w:tc>
        <w:tc>
          <w:tcPr>
            <w:tcW w:w="709" w:type="dxa"/>
            <w:shd w:val="clear" w:color="auto" w:fill="FFCA76"/>
            <w:vAlign w:val="center"/>
            <w:hideMark/>
          </w:tcPr>
          <w:p w14:paraId="7B194B18"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−0.48</w:t>
            </w:r>
          </w:p>
        </w:tc>
        <w:tc>
          <w:tcPr>
            <w:tcW w:w="1134" w:type="dxa"/>
            <w:shd w:val="clear" w:color="auto" w:fill="auto"/>
            <w:vAlign w:val="center"/>
            <w:hideMark/>
          </w:tcPr>
          <w:p w14:paraId="2D41DEA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1,383</w:t>
            </w:r>
          </w:p>
        </w:tc>
        <w:tc>
          <w:tcPr>
            <w:tcW w:w="992" w:type="dxa"/>
            <w:shd w:val="clear" w:color="auto" w:fill="auto"/>
            <w:vAlign w:val="center"/>
            <w:hideMark/>
          </w:tcPr>
          <w:p w14:paraId="5307AA19"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3.52%</w:t>
            </w:r>
          </w:p>
        </w:tc>
      </w:tr>
      <w:tr w:rsidR="007405AB" w:rsidRPr="007405AB" w14:paraId="5B3BC866" w14:textId="77777777" w:rsidTr="00F47F29">
        <w:trPr>
          <w:trHeight w:val="70"/>
          <w:jc w:val="center"/>
        </w:trPr>
        <w:tc>
          <w:tcPr>
            <w:tcW w:w="1980" w:type="dxa"/>
            <w:shd w:val="clear" w:color="auto" w:fill="auto"/>
            <w:vAlign w:val="center"/>
            <w:hideMark/>
          </w:tcPr>
          <w:p w14:paraId="16AF9D03"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Janata</w:t>
            </w:r>
            <w:proofErr w:type="spellEnd"/>
            <w:r w:rsidRPr="007405AB">
              <w:rPr>
                <w:rFonts w:ascii="Calibri" w:eastAsia="Times New Roman" w:hAnsi="Calibri" w:cs="Calibri"/>
                <w:color w:val="000000"/>
                <w:lang w:eastAsia="fr-FR"/>
              </w:rPr>
              <w:t xml:space="preserve"> Bank PLC</w:t>
            </w:r>
          </w:p>
        </w:tc>
        <w:tc>
          <w:tcPr>
            <w:tcW w:w="752" w:type="dxa"/>
            <w:shd w:val="clear" w:color="auto" w:fill="EE493A"/>
            <w:vAlign w:val="center"/>
            <w:hideMark/>
          </w:tcPr>
          <w:p w14:paraId="6A273C73"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−3.49</w:t>
            </w:r>
          </w:p>
        </w:tc>
        <w:tc>
          <w:tcPr>
            <w:tcW w:w="1134" w:type="dxa"/>
            <w:shd w:val="clear" w:color="auto" w:fill="auto"/>
            <w:vAlign w:val="center"/>
            <w:hideMark/>
          </w:tcPr>
          <w:p w14:paraId="063517EB"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17,501</w:t>
            </w:r>
          </w:p>
        </w:tc>
        <w:tc>
          <w:tcPr>
            <w:tcW w:w="993" w:type="dxa"/>
            <w:shd w:val="clear" w:color="auto" w:fill="auto"/>
            <w:vAlign w:val="center"/>
            <w:hideMark/>
          </w:tcPr>
          <w:p w14:paraId="3DE35462"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19.20%</w:t>
            </w:r>
          </w:p>
        </w:tc>
        <w:tc>
          <w:tcPr>
            <w:tcW w:w="1940" w:type="dxa"/>
            <w:shd w:val="clear" w:color="auto" w:fill="auto"/>
            <w:vAlign w:val="center"/>
            <w:hideMark/>
          </w:tcPr>
          <w:p w14:paraId="55290E6A"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Trust Bank Ltd</w:t>
            </w:r>
          </w:p>
        </w:tc>
        <w:tc>
          <w:tcPr>
            <w:tcW w:w="709" w:type="dxa"/>
            <w:shd w:val="clear" w:color="auto" w:fill="FFCA76"/>
            <w:vAlign w:val="center"/>
            <w:hideMark/>
          </w:tcPr>
          <w:p w14:paraId="231AD80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−0.47</w:t>
            </w:r>
          </w:p>
        </w:tc>
        <w:tc>
          <w:tcPr>
            <w:tcW w:w="1134" w:type="dxa"/>
            <w:shd w:val="clear" w:color="auto" w:fill="auto"/>
            <w:vAlign w:val="center"/>
            <w:hideMark/>
          </w:tcPr>
          <w:p w14:paraId="1D7DD972"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1,713</w:t>
            </w:r>
          </w:p>
        </w:tc>
        <w:tc>
          <w:tcPr>
            <w:tcW w:w="992" w:type="dxa"/>
            <w:shd w:val="clear" w:color="auto" w:fill="auto"/>
            <w:vAlign w:val="center"/>
            <w:hideMark/>
          </w:tcPr>
          <w:p w14:paraId="000BAEC1"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5.18%</w:t>
            </w:r>
          </w:p>
        </w:tc>
      </w:tr>
      <w:tr w:rsidR="007405AB" w:rsidRPr="007405AB" w14:paraId="358EEDF0" w14:textId="77777777" w:rsidTr="00F47F29">
        <w:trPr>
          <w:trHeight w:val="70"/>
          <w:jc w:val="center"/>
        </w:trPr>
        <w:tc>
          <w:tcPr>
            <w:tcW w:w="1980" w:type="dxa"/>
            <w:shd w:val="clear" w:color="auto" w:fill="auto"/>
            <w:vAlign w:val="center"/>
            <w:hideMark/>
          </w:tcPr>
          <w:p w14:paraId="1F83EA4B"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Agrani</w:t>
            </w:r>
            <w:proofErr w:type="spellEnd"/>
            <w:r w:rsidRPr="007405AB">
              <w:rPr>
                <w:rFonts w:ascii="Calibri" w:eastAsia="Times New Roman" w:hAnsi="Calibri" w:cs="Calibri"/>
                <w:color w:val="000000"/>
                <w:lang w:eastAsia="fr-FR"/>
              </w:rPr>
              <w:t xml:space="preserve"> Bank PLC</w:t>
            </w:r>
          </w:p>
        </w:tc>
        <w:tc>
          <w:tcPr>
            <w:tcW w:w="752" w:type="dxa"/>
            <w:shd w:val="clear" w:color="auto" w:fill="EE493A"/>
            <w:vAlign w:val="center"/>
            <w:hideMark/>
          </w:tcPr>
          <w:p w14:paraId="22BFFC51"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−2.76</w:t>
            </w:r>
          </w:p>
        </w:tc>
        <w:tc>
          <w:tcPr>
            <w:tcW w:w="1134" w:type="dxa"/>
            <w:shd w:val="clear" w:color="auto" w:fill="auto"/>
            <w:vAlign w:val="center"/>
            <w:hideMark/>
          </w:tcPr>
          <w:p w14:paraId="2CF8A722"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18,096</w:t>
            </w:r>
          </w:p>
        </w:tc>
        <w:tc>
          <w:tcPr>
            <w:tcW w:w="993" w:type="dxa"/>
            <w:shd w:val="clear" w:color="auto" w:fill="auto"/>
            <w:vAlign w:val="center"/>
            <w:hideMark/>
          </w:tcPr>
          <w:p w14:paraId="5A309B2B"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25.89%</w:t>
            </w:r>
          </w:p>
        </w:tc>
        <w:tc>
          <w:tcPr>
            <w:tcW w:w="1940" w:type="dxa"/>
            <w:shd w:val="clear" w:color="auto" w:fill="auto"/>
            <w:vAlign w:val="center"/>
            <w:hideMark/>
          </w:tcPr>
          <w:p w14:paraId="15BD95F8"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val="en-US" w:eastAsia="fr-FR"/>
              </w:rPr>
              <w:t xml:space="preserve">South Bangla Agri. and Com. </w:t>
            </w:r>
            <w:r w:rsidRPr="007405AB">
              <w:rPr>
                <w:rFonts w:ascii="Calibri" w:eastAsia="Times New Roman" w:hAnsi="Calibri" w:cs="Calibri"/>
                <w:color w:val="000000"/>
                <w:lang w:eastAsia="fr-FR"/>
              </w:rPr>
              <w:t>Bank Ltd</w:t>
            </w:r>
          </w:p>
        </w:tc>
        <w:tc>
          <w:tcPr>
            <w:tcW w:w="709" w:type="dxa"/>
            <w:shd w:val="clear" w:color="auto" w:fill="FFCA76"/>
            <w:vAlign w:val="center"/>
            <w:hideMark/>
          </w:tcPr>
          <w:p w14:paraId="252EFA4D"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−0.42</w:t>
            </w:r>
          </w:p>
        </w:tc>
        <w:tc>
          <w:tcPr>
            <w:tcW w:w="1134" w:type="dxa"/>
            <w:shd w:val="clear" w:color="auto" w:fill="auto"/>
            <w:vAlign w:val="center"/>
            <w:hideMark/>
          </w:tcPr>
          <w:p w14:paraId="74ECA3BC"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421</w:t>
            </w:r>
          </w:p>
        </w:tc>
        <w:tc>
          <w:tcPr>
            <w:tcW w:w="992" w:type="dxa"/>
            <w:shd w:val="clear" w:color="auto" w:fill="auto"/>
            <w:vAlign w:val="center"/>
            <w:hideMark/>
          </w:tcPr>
          <w:p w14:paraId="355268E5"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4.88%</w:t>
            </w:r>
          </w:p>
        </w:tc>
      </w:tr>
      <w:tr w:rsidR="007405AB" w:rsidRPr="007405AB" w14:paraId="6AB271EE" w14:textId="77777777" w:rsidTr="00F47F29">
        <w:trPr>
          <w:trHeight w:val="70"/>
          <w:jc w:val="center"/>
        </w:trPr>
        <w:tc>
          <w:tcPr>
            <w:tcW w:w="1980" w:type="dxa"/>
            <w:shd w:val="clear" w:color="auto" w:fill="auto"/>
            <w:vAlign w:val="center"/>
            <w:hideMark/>
          </w:tcPr>
          <w:p w14:paraId="474AD45F"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Rupali</w:t>
            </w:r>
            <w:proofErr w:type="spellEnd"/>
            <w:r w:rsidRPr="007405AB">
              <w:rPr>
                <w:rFonts w:ascii="Calibri" w:eastAsia="Times New Roman" w:hAnsi="Calibri" w:cs="Calibri"/>
                <w:color w:val="000000"/>
                <w:lang w:eastAsia="fr-FR"/>
              </w:rPr>
              <w:t xml:space="preserve"> Bank Ltd</w:t>
            </w:r>
          </w:p>
        </w:tc>
        <w:tc>
          <w:tcPr>
            <w:tcW w:w="752" w:type="dxa"/>
            <w:shd w:val="clear" w:color="auto" w:fill="EE493A"/>
            <w:vAlign w:val="center"/>
            <w:hideMark/>
          </w:tcPr>
          <w:p w14:paraId="1CC22598"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−2.67</w:t>
            </w:r>
          </w:p>
        </w:tc>
        <w:tc>
          <w:tcPr>
            <w:tcW w:w="1134" w:type="dxa"/>
            <w:shd w:val="clear" w:color="auto" w:fill="auto"/>
            <w:vAlign w:val="center"/>
            <w:hideMark/>
          </w:tcPr>
          <w:p w14:paraId="4017BB23"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7,847</w:t>
            </w:r>
          </w:p>
        </w:tc>
        <w:tc>
          <w:tcPr>
            <w:tcW w:w="993" w:type="dxa"/>
            <w:shd w:val="clear" w:color="auto" w:fill="auto"/>
            <w:vAlign w:val="center"/>
            <w:hideMark/>
          </w:tcPr>
          <w:p w14:paraId="69730DC5"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17.81%</w:t>
            </w:r>
          </w:p>
        </w:tc>
        <w:tc>
          <w:tcPr>
            <w:tcW w:w="1940" w:type="dxa"/>
            <w:shd w:val="clear" w:color="auto" w:fill="auto"/>
            <w:vAlign w:val="center"/>
            <w:hideMark/>
          </w:tcPr>
          <w:p w14:paraId="7DE43985"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Modhumati</w:t>
            </w:r>
            <w:proofErr w:type="spellEnd"/>
            <w:r w:rsidRPr="007405AB">
              <w:rPr>
                <w:rFonts w:ascii="Calibri" w:eastAsia="Times New Roman" w:hAnsi="Calibri" w:cs="Calibri"/>
                <w:color w:val="000000"/>
                <w:lang w:eastAsia="fr-FR"/>
              </w:rPr>
              <w:t xml:space="preserve"> Bank Ltd</w:t>
            </w:r>
          </w:p>
        </w:tc>
        <w:tc>
          <w:tcPr>
            <w:tcW w:w="709" w:type="dxa"/>
            <w:shd w:val="clear" w:color="auto" w:fill="FFCA76"/>
            <w:vAlign w:val="center"/>
            <w:hideMark/>
          </w:tcPr>
          <w:p w14:paraId="377FA64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−0.39</w:t>
            </w:r>
          </w:p>
        </w:tc>
        <w:tc>
          <w:tcPr>
            <w:tcW w:w="1134" w:type="dxa"/>
            <w:shd w:val="clear" w:color="auto" w:fill="auto"/>
            <w:vAlign w:val="center"/>
            <w:hideMark/>
          </w:tcPr>
          <w:p w14:paraId="2E2D6F41"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105</w:t>
            </w:r>
          </w:p>
        </w:tc>
        <w:tc>
          <w:tcPr>
            <w:tcW w:w="992" w:type="dxa"/>
            <w:shd w:val="clear" w:color="auto" w:fill="auto"/>
            <w:vAlign w:val="center"/>
            <w:hideMark/>
          </w:tcPr>
          <w:p w14:paraId="2011ECB4"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1.66%</w:t>
            </w:r>
          </w:p>
        </w:tc>
      </w:tr>
      <w:tr w:rsidR="007405AB" w:rsidRPr="007405AB" w14:paraId="3F09B7C6" w14:textId="77777777" w:rsidTr="00F47F29">
        <w:trPr>
          <w:trHeight w:val="70"/>
          <w:jc w:val="center"/>
        </w:trPr>
        <w:tc>
          <w:tcPr>
            <w:tcW w:w="1980" w:type="dxa"/>
            <w:shd w:val="clear" w:color="auto" w:fill="auto"/>
            <w:vAlign w:val="center"/>
            <w:hideMark/>
          </w:tcPr>
          <w:p w14:paraId="5AC9AEAC"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AB Bank Ltd</w:t>
            </w:r>
          </w:p>
        </w:tc>
        <w:tc>
          <w:tcPr>
            <w:tcW w:w="752" w:type="dxa"/>
            <w:shd w:val="clear" w:color="auto" w:fill="EE493A"/>
            <w:vAlign w:val="center"/>
            <w:hideMark/>
          </w:tcPr>
          <w:p w14:paraId="063ED5F4"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−2.36</w:t>
            </w:r>
          </w:p>
        </w:tc>
        <w:tc>
          <w:tcPr>
            <w:tcW w:w="1134" w:type="dxa"/>
            <w:shd w:val="clear" w:color="auto" w:fill="auto"/>
            <w:vAlign w:val="center"/>
            <w:hideMark/>
          </w:tcPr>
          <w:p w14:paraId="00F3099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5,273</w:t>
            </w:r>
          </w:p>
        </w:tc>
        <w:tc>
          <w:tcPr>
            <w:tcW w:w="993" w:type="dxa"/>
            <w:shd w:val="clear" w:color="auto" w:fill="auto"/>
            <w:vAlign w:val="center"/>
            <w:hideMark/>
          </w:tcPr>
          <w:p w14:paraId="06C3B236"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16.72%</w:t>
            </w:r>
          </w:p>
        </w:tc>
        <w:tc>
          <w:tcPr>
            <w:tcW w:w="1940" w:type="dxa"/>
            <w:shd w:val="clear" w:color="auto" w:fill="auto"/>
            <w:vAlign w:val="center"/>
            <w:hideMark/>
          </w:tcPr>
          <w:p w14:paraId="1C98789E"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Dhaka Bank Ltd</w:t>
            </w:r>
          </w:p>
        </w:tc>
        <w:tc>
          <w:tcPr>
            <w:tcW w:w="709" w:type="dxa"/>
            <w:shd w:val="clear" w:color="auto" w:fill="FFCA76"/>
            <w:vAlign w:val="center"/>
            <w:hideMark/>
          </w:tcPr>
          <w:p w14:paraId="205810D1"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−0.37</w:t>
            </w:r>
          </w:p>
        </w:tc>
        <w:tc>
          <w:tcPr>
            <w:tcW w:w="1134" w:type="dxa"/>
            <w:shd w:val="clear" w:color="auto" w:fill="auto"/>
            <w:vAlign w:val="center"/>
            <w:hideMark/>
          </w:tcPr>
          <w:p w14:paraId="5DA57CD0"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912</w:t>
            </w:r>
          </w:p>
        </w:tc>
        <w:tc>
          <w:tcPr>
            <w:tcW w:w="992" w:type="dxa"/>
            <w:shd w:val="clear" w:color="auto" w:fill="auto"/>
            <w:vAlign w:val="center"/>
            <w:hideMark/>
          </w:tcPr>
          <w:p w14:paraId="30B230DF"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3.58%</w:t>
            </w:r>
          </w:p>
        </w:tc>
      </w:tr>
      <w:tr w:rsidR="007405AB" w:rsidRPr="007405AB" w14:paraId="08E0584B" w14:textId="77777777" w:rsidTr="00F47F29">
        <w:trPr>
          <w:trHeight w:val="243"/>
          <w:jc w:val="center"/>
        </w:trPr>
        <w:tc>
          <w:tcPr>
            <w:tcW w:w="1980" w:type="dxa"/>
            <w:shd w:val="clear" w:color="auto" w:fill="auto"/>
            <w:vAlign w:val="center"/>
            <w:hideMark/>
          </w:tcPr>
          <w:p w14:paraId="72DBFBD2"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 xml:space="preserve">Bangladesh </w:t>
            </w:r>
            <w:proofErr w:type="spellStart"/>
            <w:r w:rsidRPr="007405AB">
              <w:rPr>
                <w:rFonts w:ascii="Calibri" w:eastAsia="Times New Roman" w:hAnsi="Calibri" w:cs="Calibri"/>
                <w:color w:val="000000"/>
                <w:lang w:eastAsia="fr-FR"/>
              </w:rPr>
              <w:t>Development</w:t>
            </w:r>
            <w:proofErr w:type="spellEnd"/>
            <w:r w:rsidRPr="007405AB">
              <w:rPr>
                <w:rFonts w:ascii="Calibri" w:eastAsia="Times New Roman" w:hAnsi="Calibri" w:cs="Calibri"/>
                <w:color w:val="000000"/>
                <w:lang w:eastAsia="fr-FR"/>
              </w:rPr>
              <w:t xml:space="preserve"> Bank Ltd</w:t>
            </w:r>
          </w:p>
        </w:tc>
        <w:tc>
          <w:tcPr>
            <w:tcW w:w="752" w:type="dxa"/>
            <w:shd w:val="clear" w:color="auto" w:fill="FFCA76"/>
            <w:vAlign w:val="center"/>
            <w:hideMark/>
          </w:tcPr>
          <w:p w14:paraId="7C589FC5"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−2.04</w:t>
            </w:r>
          </w:p>
        </w:tc>
        <w:tc>
          <w:tcPr>
            <w:tcW w:w="1134" w:type="dxa"/>
            <w:shd w:val="clear" w:color="auto" w:fill="auto"/>
            <w:vAlign w:val="center"/>
            <w:hideMark/>
          </w:tcPr>
          <w:p w14:paraId="79C57A23"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982</w:t>
            </w:r>
          </w:p>
        </w:tc>
        <w:tc>
          <w:tcPr>
            <w:tcW w:w="993" w:type="dxa"/>
            <w:shd w:val="clear" w:color="auto" w:fill="auto"/>
            <w:vAlign w:val="center"/>
            <w:hideMark/>
          </w:tcPr>
          <w:p w14:paraId="27EB8C20"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42.46%</w:t>
            </w:r>
          </w:p>
        </w:tc>
        <w:tc>
          <w:tcPr>
            <w:tcW w:w="1940" w:type="dxa"/>
            <w:shd w:val="clear" w:color="auto" w:fill="auto"/>
            <w:vAlign w:val="center"/>
            <w:hideMark/>
          </w:tcPr>
          <w:p w14:paraId="126B6166"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Uttara</w:t>
            </w:r>
            <w:proofErr w:type="spellEnd"/>
            <w:r w:rsidRPr="007405AB">
              <w:rPr>
                <w:rFonts w:ascii="Calibri" w:eastAsia="Times New Roman" w:hAnsi="Calibri" w:cs="Calibri"/>
                <w:color w:val="000000"/>
                <w:lang w:eastAsia="fr-FR"/>
              </w:rPr>
              <w:t xml:space="preserve"> Bank PLC</w:t>
            </w:r>
          </w:p>
        </w:tc>
        <w:tc>
          <w:tcPr>
            <w:tcW w:w="709" w:type="dxa"/>
            <w:shd w:val="clear" w:color="auto" w:fill="FFCA76"/>
            <w:vAlign w:val="center"/>
            <w:hideMark/>
          </w:tcPr>
          <w:p w14:paraId="3C843B41"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−0.30</w:t>
            </w:r>
          </w:p>
        </w:tc>
        <w:tc>
          <w:tcPr>
            <w:tcW w:w="1134" w:type="dxa"/>
            <w:shd w:val="clear" w:color="auto" w:fill="auto"/>
            <w:vAlign w:val="center"/>
            <w:hideMark/>
          </w:tcPr>
          <w:p w14:paraId="74EAA423"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985</w:t>
            </w:r>
          </w:p>
        </w:tc>
        <w:tc>
          <w:tcPr>
            <w:tcW w:w="992" w:type="dxa"/>
            <w:shd w:val="clear" w:color="auto" w:fill="auto"/>
            <w:vAlign w:val="center"/>
            <w:hideMark/>
          </w:tcPr>
          <w:p w14:paraId="68A7CFEB"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5.49%</w:t>
            </w:r>
          </w:p>
        </w:tc>
      </w:tr>
      <w:tr w:rsidR="007405AB" w:rsidRPr="007405AB" w14:paraId="0D464958" w14:textId="77777777" w:rsidTr="00F47F29">
        <w:trPr>
          <w:trHeight w:val="70"/>
          <w:jc w:val="center"/>
        </w:trPr>
        <w:tc>
          <w:tcPr>
            <w:tcW w:w="1980" w:type="dxa"/>
            <w:shd w:val="clear" w:color="auto" w:fill="auto"/>
            <w:vAlign w:val="center"/>
            <w:hideMark/>
          </w:tcPr>
          <w:p w14:paraId="21A7FAA2"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Sonali</w:t>
            </w:r>
            <w:proofErr w:type="spellEnd"/>
            <w:r w:rsidRPr="007405AB">
              <w:rPr>
                <w:rFonts w:ascii="Calibri" w:eastAsia="Times New Roman" w:hAnsi="Calibri" w:cs="Calibri"/>
                <w:color w:val="000000"/>
                <w:lang w:eastAsia="fr-FR"/>
              </w:rPr>
              <w:t xml:space="preserve"> Bank PLC</w:t>
            </w:r>
          </w:p>
        </w:tc>
        <w:tc>
          <w:tcPr>
            <w:tcW w:w="752" w:type="dxa"/>
            <w:shd w:val="clear" w:color="auto" w:fill="FFCA76"/>
            <w:vAlign w:val="center"/>
            <w:hideMark/>
          </w:tcPr>
          <w:p w14:paraId="4446D3F8"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−1.83</w:t>
            </w:r>
          </w:p>
        </w:tc>
        <w:tc>
          <w:tcPr>
            <w:tcW w:w="1134" w:type="dxa"/>
            <w:shd w:val="clear" w:color="auto" w:fill="auto"/>
            <w:vAlign w:val="center"/>
            <w:hideMark/>
          </w:tcPr>
          <w:p w14:paraId="3CFF2FAD"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13,15</w:t>
            </w:r>
          </w:p>
        </w:tc>
        <w:tc>
          <w:tcPr>
            <w:tcW w:w="993" w:type="dxa"/>
            <w:shd w:val="clear" w:color="auto" w:fill="auto"/>
            <w:vAlign w:val="center"/>
            <w:hideMark/>
          </w:tcPr>
          <w:p w14:paraId="24D4CE00"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14.13%</w:t>
            </w:r>
          </w:p>
        </w:tc>
        <w:tc>
          <w:tcPr>
            <w:tcW w:w="1940" w:type="dxa"/>
            <w:shd w:val="clear" w:color="auto" w:fill="auto"/>
            <w:vAlign w:val="center"/>
            <w:hideMark/>
          </w:tcPr>
          <w:p w14:paraId="12EF9ACA"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Pubali</w:t>
            </w:r>
            <w:proofErr w:type="spellEnd"/>
            <w:r w:rsidRPr="007405AB">
              <w:rPr>
                <w:rFonts w:ascii="Calibri" w:eastAsia="Times New Roman" w:hAnsi="Calibri" w:cs="Calibri"/>
                <w:color w:val="000000"/>
                <w:lang w:eastAsia="fr-FR"/>
              </w:rPr>
              <w:t xml:space="preserve"> Bank PLC</w:t>
            </w:r>
          </w:p>
        </w:tc>
        <w:tc>
          <w:tcPr>
            <w:tcW w:w="709" w:type="dxa"/>
            <w:shd w:val="clear" w:color="auto" w:fill="FFCA76"/>
            <w:vAlign w:val="center"/>
            <w:hideMark/>
          </w:tcPr>
          <w:p w14:paraId="0D11E11F"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−0.26</w:t>
            </w:r>
          </w:p>
        </w:tc>
        <w:tc>
          <w:tcPr>
            <w:tcW w:w="1134" w:type="dxa"/>
            <w:shd w:val="clear" w:color="auto" w:fill="auto"/>
            <w:vAlign w:val="center"/>
            <w:hideMark/>
          </w:tcPr>
          <w:p w14:paraId="59AC99D2"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1,393</w:t>
            </w:r>
          </w:p>
        </w:tc>
        <w:tc>
          <w:tcPr>
            <w:tcW w:w="992" w:type="dxa"/>
            <w:shd w:val="clear" w:color="auto" w:fill="auto"/>
            <w:vAlign w:val="center"/>
            <w:hideMark/>
          </w:tcPr>
          <w:p w14:paraId="4D95F78A"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2.54%</w:t>
            </w:r>
          </w:p>
        </w:tc>
      </w:tr>
      <w:tr w:rsidR="007405AB" w:rsidRPr="007405AB" w14:paraId="5A1EAC4E" w14:textId="77777777" w:rsidTr="00F47F29">
        <w:trPr>
          <w:trHeight w:val="70"/>
          <w:jc w:val="center"/>
        </w:trPr>
        <w:tc>
          <w:tcPr>
            <w:tcW w:w="1980" w:type="dxa"/>
            <w:shd w:val="clear" w:color="auto" w:fill="auto"/>
            <w:vAlign w:val="center"/>
            <w:hideMark/>
          </w:tcPr>
          <w:p w14:paraId="5C787122" w14:textId="77777777" w:rsidR="007405AB" w:rsidRPr="007405AB" w:rsidRDefault="007405AB" w:rsidP="00F47F29">
            <w:pPr>
              <w:spacing w:after="0" w:line="240" w:lineRule="auto"/>
              <w:rPr>
                <w:rFonts w:ascii="Calibri" w:eastAsia="Times New Roman" w:hAnsi="Calibri" w:cs="Calibri"/>
                <w:color w:val="000000"/>
                <w:lang w:val="en-US" w:eastAsia="fr-FR"/>
              </w:rPr>
            </w:pPr>
            <w:r w:rsidRPr="007405AB">
              <w:rPr>
                <w:rFonts w:ascii="Calibri" w:eastAsia="Times New Roman" w:hAnsi="Calibri" w:cs="Calibri"/>
                <w:color w:val="000000"/>
                <w:lang w:val="en-US" w:eastAsia="fr-FR"/>
              </w:rPr>
              <w:t xml:space="preserve">First Security </w:t>
            </w:r>
            <w:proofErr w:type="spellStart"/>
            <w:r w:rsidRPr="007405AB">
              <w:rPr>
                <w:rFonts w:ascii="Calibri" w:eastAsia="Times New Roman" w:hAnsi="Calibri" w:cs="Calibri"/>
                <w:color w:val="000000"/>
                <w:lang w:val="en-US" w:eastAsia="fr-FR"/>
              </w:rPr>
              <w:t>Islami</w:t>
            </w:r>
            <w:proofErr w:type="spellEnd"/>
            <w:r w:rsidRPr="007405AB">
              <w:rPr>
                <w:rFonts w:ascii="Calibri" w:eastAsia="Times New Roman" w:hAnsi="Calibri" w:cs="Calibri"/>
                <w:color w:val="000000"/>
                <w:lang w:val="en-US" w:eastAsia="fr-FR"/>
              </w:rPr>
              <w:t xml:space="preserve"> Bank PLC</w:t>
            </w:r>
          </w:p>
        </w:tc>
        <w:tc>
          <w:tcPr>
            <w:tcW w:w="752" w:type="dxa"/>
            <w:shd w:val="clear" w:color="auto" w:fill="FFCA76"/>
            <w:vAlign w:val="center"/>
            <w:hideMark/>
          </w:tcPr>
          <w:p w14:paraId="13992016"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−1.74</w:t>
            </w:r>
          </w:p>
        </w:tc>
        <w:tc>
          <w:tcPr>
            <w:tcW w:w="1134" w:type="dxa"/>
            <w:shd w:val="clear" w:color="auto" w:fill="auto"/>
            <w:vAlign w:val="center"/>
            <w:hideMark/>
          </w:tcPr>
          <w:p w14:paraId="22AAAD5A"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2,142</w:t>
            </w:r>
          </w:p>
        </w:tc>
        <w:tc>
          <w:tcPr>
            <w:tcW w:w="993" w:type="dxa"/>
            <w:shd w:val="clear" w:color="auto" w:fill="auto"/>
            <w:vAlign w:val="center"/>
            <w:hideMark/>
          </w:tcPr>
          <w:p w14:paraId="08C90893"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3.76%</w:t>
            </w:r>
          </w:p>
        </w:tc>
        <w:tc>
          <w:tcPr>
            <w:tcW w:w="1940" w:type="dxa"/>
            <w:shd w:val="clear" w:color="auto" w:fill="auto"/>
            <w:vAlign w:val="center"/>
            <w:hideMark/>
          </w:tcPr>
          <w:p w14:paraId="235AAFB1"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Prime Bank Ltd</w:t>
            </w:r>
          </w:p>
        </w:tc>
        <w:tc>
          <w:tcPr>
            <w:tcW w:w="709" w:type="dxa"/>
            <w:shd w:val="clear" w:color="auto" w:fill="009076"/>
            <w:vAlign w:val="center"/>
            <w:hideMark/>
          </w:tcPr>
          <w:p w14:paraId="6912ED4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0.02</w:t>
            </w:r>
          </w:p>
        </w:tc>
        <w:tc>
          <w:tcPr>
            <w:tcW w:w="1134" w:type="dxa"/>
            <w:shd w:val="clear" w:color="auto" w:fill="auto"/>
            <w:vAlign w:val="center"/>
            <w:hideMark/>
          </w:tcPr>
          <w:p w14:paraId="559EC4AB"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1,05</w:t>
            </w:r>
          </w:p>
        </w:tc>
        <w:tc>
          <w:tcPr>
            <w:tcW w:w="992" w:type="dxa"/>
            <w:shd w:val="clear" w:color="auto" w:fill="auto"/>
            <w:vAlign w:val="center"/>
            <w:hideMark/>
          </w:tcPr>
          <w:p w14:paraId="46EBAB7D"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3.35%</w:t>
            </w:r>
          </w:p>
        </w:tc>
      </w:tr>
      <w:tr w:rsidR="007405AB" w:rsidRPr="007405AB" w14:paraId="42C974F8" w14:textId="77777777" w:rsidTr="00F47F29">
        <w:trPr>
          <w:trHeight w:val="70"/>
          <w:jc w:val="center"/>
        </w:trPr>
        <w:tc>
          <w:tcPr>
            <w:tcW w:w="1980" w:type="dxa"/>
            <w:shd w:val="clear" w:color="auto" w:fill="auto"/>
            <w:vAlign w:val="center"/>
            <w:hideMark/>
          </w:tcPr>
          <w:p w14:paraId="65C51AA1"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IFIC Bank PLC</w:t>
            </w:r>
          </w:p>
        </w:tc>
        <w:tc>
          <w:tcPr>
            <w:tcW w:w="752" w:type="dxa"/>
            <w:shd w:val="clear" w:color="auto" w:fill="FFCA76"/>
            <w:vAlign w:val="center"/>
            <w:hideMark/>
          </w:tcPr>
          <w:p w14:paraId="559B7AB6"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−1.72</w:t>
            </w:r>
          </w:p>
        </w:tc>
        <w:tc>
          <w:tcPr>
            <w:tcW w:w="1134" w:type="dxa"/>
            <w:shd w:val="clear" w:color="auto" w:fill="auto"/>
            <w:vAlign w:val="center"/>
            <w:hideMark/>
          </w:tcPr>
          <w:p w14:paraId="775209D5"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2,589</w:t>
            </w:r>
          </w:p>
        </w:tc>
        <w:tc>
          <w:tcPr>
            <w:tcW w:w="993" w:type="dxa"/>
            <w:shd w:val="clear" w:color="auto" w:fill="auto"/>
            <w:vAlign w:val="center"/>
            <w:hideMark/>
          </w:tcPr>
          <w:p w14:paraId="2150202D"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6.28%</w:t>
            </w:r>
          </w:p>
        </w:tc>
        <w:tc>
          <w:tcPr>
            <w:tcW w:w="1940" w:type="dxa"/>
            <w:shd w:val="clear" w:color="auto" w:fill="auto"/>
            <w:vAlign w:val="center"/>
            <w:hideMark/>
          </w:tcPr>
          <w:p w14:paraId="19EF1220"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Eastern</w:t>
            </w:r>
            <w:proofErr w:type="spellEnd"/>
            <w:r w:rsidRPr="007405AB">
              <w:rPr>
                <w:rFonts w:ascii="Calibri" w:eastAsia="Times New Roman" w:hAnsi="Calibri" w:cs="Calibri"/>
                <w:color w:val="000000"/>
                <w:lang w:eastAsia="fr-FR"/>
              </w:rPr>
              <w:t xml:space="preserve"> Bank PLC</w:t>
            </w:r>
          </w:p>
        </w:tc>
        <w:tc>
          <w:tcPr>
            <w:tcW w:w="709" w:type="dxa"/>
            <w:shd w:val="clear" w:color="auto" w:fill="009076"/>
            <w:vAlign w:val="center"/>
            <w:hideMark/>
          </w:tcPr>
          <w:p w14:paraId="03971CD0"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0.12</w:t>
            </w:r>
          </w:p>
        </w:tc>
        <w:tc>
          <w:tcPr>
            <w:tcW w:w="1134" w:type="dxa"/>
            <w:shd w:val="clear" w:color="auto" w:fill="auto"/>
            <w:vAlign w:val="center"/>
            <w:hideMark/>
          </w:tcPr>
          <w:p w14:paraId="3FDFAD8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1,085</w:t>
            </w:r>
          </w:p>
        </w:tc>
        <w:tc>
          <w:tcPr>
            <w:tcW w:w="992" w:type="dxa"/>
            <w:shd w:val="clear" w:color="auto" w:fill="auto"/>
            <w:vAlign w:val="center"/>
            <w:hideMark/>
          </w:tcPr>
          <w:p w14:paraId="03111E71"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3.09%</w:t>
            </w:r>
          </w:p>
        </w:tc>
      </w:tr>
      <w:tr w:rsidR="007405AB" w:rsidRPr="007405AB" w14:paraId="0DC43202" w14:textId="77777777" w:rsidTr="00F47F29">
        <w:trPr>
          <w:trHeight w:val="70"/>
          <w:jc w:val="center"/>
        </w:trPr>
        <w:tc>
          <w:tcPr>
            <w:tcW w:w="1980" w:type="dxa"/>
            <w:shd w:val="clear" w:color="auto" w:fill="auto"/>
            <w:vAlign w:val="center"/>
            <w:hideMark/>
          </w:tcPr>
          <w:p w14:paraId="45993679"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Meghna Bank Ltd</w:t>
            </w:r>
          </w:p>
        </w:tc>
        <w:tc>
          <w:tcPr>
            <w:tcW w:w="752" w:type="dxa"/>
            <w:shd w:val="clear" w:color="auto" w:fill="FFCA76"/>
            <w:vAlign w:val="center"/>
            <w:hideMark/>
          </w:tcPr>
          <w:p w14:paraId="21CB8B69"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−1.68</w:t>
            </w:r>
          </w:p>
        </w:tc>
        <w:tc>
          <w:tcPr>
            <w:tcW w:w="1134" w:type="dxa"/>
            <w:shd w:val="clear" w:color="auto" w:fill="auto"/>
            <w:vAlign w:val="center"/>
            <w:hideMark/>
          </w:tcPr>
          <w:p w14:paraId="35A07F0A"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228</w:t>
            </w:r>
          </w:p>
        </w:tc>
        <w:tc>
          <w:tcPr>
            <w:tcW w:w="993" w:type="dxa"/>
            <w:shd w:val="clear" w:color="auto" w:fill="auto"/>
            <w:vAlign w:val="center"/>
            <w:hideMark/>
          </w:tcPr>
          <w:p w14:paraId="693675A7"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4.58%</w:t>
            </w:r>
          </w:p>
        </w:tc>
        <w:tc>
          <w:tcPr>
            <w:tcW w:w="1940" w:type="dxa"/>
            <w:shd w:val="clear" w:color="auto" w:fill="auto"/>
            <w:vAlign w:val="center"/>
            <w:hideMark/>
          </w:tcPr>
          <w:p w14:paraId="694C6B65"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HABIB Bank Ltd</w:t>
            </w:r>
          </w:p>
        </w:tc>
        <w:tc>
          <w:tcPr>
            <w:tcW w:w="709" w:type="dxa"/>
            <w:shd w:val="clear" w:color="auto" w:fill="009076"/>
            <w:vAlign w:val="center"/>
            <w:hideMark/>
          </w:tcPr>
          <w:p w14:paraId="33C0F8D4"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0.29</w:t>
            </w:r>
          </w:p>
        </w:tc>
        <w:tc>
          <w:tcPr>
            <w:tcW w:w="1134" w:type="dxa"/>
            <w:shd w:val="clear" w:color="auto" w:fill="auto"/>
            <w:vAlign w:val="center"/>
            <w:hideMark/>
          </w:tcPr>
          <w:p w14:paraId="3A580DE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35</w:t>
            </w:r>
          </w:p>
        </w:tc>
        <w:tc>
          <w:tcPr>
            <w:tcW w:w="992" w:type="dxa"/>
            <w:shd w:val="clear" w:color="auto" w:fill="auto"/>
            <w:vAlign w:val="center"/>
            <w:hideMark/>
          </w:tcPr>
          <w:p w14:paraId="5F1A4489"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6.69%</w:t>
            </w:r>
          </w:p>
        </w:tc>
      </w:tr>
      <w:tr w:rsidR="007405AB" w:rsidRPr="007405AB" w14:paraId="7390F59A" w14:textId="77777777" w:rsidTr="00F47F29">
        <w:trPr>
          <w:trHeight w:val="161"/>
          <w:jc w:val="center"/>
        </w:trPr>
        <w:tc>
          <w:tcPr>
            <w:tcW w:w="1980" w:type="dxa"/>
            <w:shd w:val="clear" w:color="auto" w:fill="auto"/>
            <w:vAlign w:val="center"/>
            <w:hideMark/>
          </w:tcPr>
          <w:p w14:paraId="3ABF4254"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Social Islam Bank Ltd</w:t>
            </w:r>
          </w:p>
        </w:tc>
        <w:tc>
          <w:tcPr>
            <w:tcW w:w="752" w:type="dxa"/>
            <w:shd w:val="clear" w:color="auto" w:fill="FFCA76"/>
            <w:vAlign w:val="center"/>
            <w:hideMark/>
          </w:tcPr>
          <w:p w14:paraId="566074E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−1.67</w:t>
            </w:r>
          </w:p>
        </w:tc>
        <w:tc>
          <w:tcPr>
            <w:tcW w:w="1134" w:type="dxa"/>
            <w:shd w:val="clear" w:color="auto" w:fill="auto"/>
            <w:vAlign w:val="center"/>
            <w:hideMark/>
          </w:tcPr>
          <w:p w14:paraId="33BA8FE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1,645</w:t>
            </w:r>
          </w:p>
        </w:tc>
        <w:tc>
          <w:tcPr>
            <w:tcW w:w="993" w:type="dxa"/>
            <w:shd w:val="clear" w:color="auto" w:fill="auto"/>
            <w:vAlign w:val="center"/>
            <w:hideMark/>
          </w:tcPr>
          <w:p w14:paraId="172F93F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4.58%</w:t>
            </w:r>
          </w:p>
        </w:tc>
        <w:tc>
          <w:tcPr>
            <w:tcW w:w="1940" w:type="dxa"/>
            <w:shd w:val="clear" w:color="auto" w:fill="auto"/>
            <w:vAlign w:val="center"/>
            <w:hideMark/>
          </w:tcPr>
          <w:p w14:paraId="174C5F06"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NCC Bank Ltd</w:t>
            </w:r>
          </w:p>
        </w:tc>
        <w:tc>
          <w:tcPr>
            <w:tcW w:w="709" w:type="dxa"/>
            <w:shd w:val="clear" w:color="auto" w:fill="009076"/>
            <w:vAlign w:val="center"/>
            <w:hideMark/>
          </w:tcPr>
          <w:p w14:paraId="67E6190F"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0.31</w:t>
            </w:r>
          </w:p>
        </w:tc>
        <w:tc>
          <w:tcPr>
            <w:tcW w:w="1134" w:type="dxa"/>
            <w:shd w:val="clear" w:color="auto" w:fill="auto"/>
            <w:vAlign w:val="center"/>
            <w:hideMark/>
          </w:tcPr>
          <w:p w14:paraId="48CD3A07"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1,094</w:t>
            </w:r>
          </w:p>
        </w:tc>
        <w:tc>
          <w:tcPr>
            <w:tcW w:w="992" w:type="dxa"/>
            <w:shd w:val="clear" w:color="auto" w:fill="auto"/>
            <w:vAlign w:val="center"/>
            <w:hideMark/>
          </w:tcPr>
          <w:p w14:paraId="04380127"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4.81%</w:t>
            </w:r>
          </w:p>
        </w:tc>
      </w:tr>
      <w:tr w:rsidR="007405AB" w:rsidRPr="007405AB" w14:paraId="4C776290" w14:textId="77777777" w:rsidTr="00F47F29">
        <w:trPr>
          <w:trHeight w:val="183"/>
          <w:jc w:val="center"/>
        </w:trPr>
        <w:tc>
          <w:tcPr>
            <w:tcW w:w="1980" w:type="dxa"/>
            <w:shd w:val="clear" w:color="auto" w:fill="auto"/>
            <w:vAlign w:val="center"/>
            <w:hideMark/>
          </w:tcPr>
          <w:p w14:paraId="1B2B1D3E"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Islami Bank Bangladesh Ltd</w:t>
            </w:r>
          </w:p>
        </w:tc>
        <w:tc>
          <w:tcPr>
            <w:tcW w:w="752" w:type="dxa"/>
            <w:shd w:val="clear" w:color="auto" w:fill="FFCA76"/>
            <w:vAlign w:val="center"/>
            <w:hideMark/>
          </w:tcPr>
          <w:p w14:paraId="600D9695"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−1.56</w:t>
            </w:r>
          </w:p>
        </w:tc>
        <w:tc>
          <w:tcPr>
            <w:tcW w:w="1134" w:type="dxa"/>
            <w:shd w:val="clear" w:color="auto" w:fill="auto"/>
            <w:vAlign w:val="center"/>
            <w:hideMark/>
          </w:tcPr>
          <w:p w14:paraId="0F549523"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6,919</w:t>
            </w:r>
          </w:p>
        </w:tc>
        <w:tc>
          <w:tcPr>
            <w:tcW w:w="993" w:type="dxa"/>
            <w:shd w:val="clear" w:color="auto" w:fill="auto"/>
            <w:vAlign w:val="center"/>
            <w:hideMark/>
          </w:tcPr>
          <w:p w14:paraId="3AEA08C7"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4.28%</w:t>
            </w:r>
          </w:p>
        </w:tc>
        <w:tc>
          <w:tcPr>
            <w:tcW w:w="1940" w:type="dxa"/>
            <w:shd w:val="clear" w:color="auto" w:fill="auto"/>
            <w:vAlign w:val="center"/>
            <w:hideMark/>
          </w:tcPr>
          <w:p w14:paraId="3F5F8273"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Midland Bank Ltd</w:t>
            </w:r>
          </w:p>
        </w:tc>
        <w:tc>
          <w:tcPr>
            <w:tcW w:w="709" w:type="dxa"/>
            <w:shd w:val="clear" w:color="auto" w:fill="009076"/>
            <w:vAlign w:val="center"/>
            <w:hideMark/>
          </w:tcPr>
          <w:p w14:paraId="4E1C4C8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0.35</w:t>
            </w:r>
          </w:p>
        </w:tc>
        <w:tc>
          <w:tcPr>
            <w:tcW w:w="1134" w:type="dxa"/>
            <w:shd w:val="clear" w:color="auto" w:fill="auto"/>
            <w:vAlign w:val="center"/>
            <w:hideMark/>
          </w:tcPr>
          <w:p w14:paraId="6471C069"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209</w:t>
            </w:r>
          </w:p>
        </w:tc>
        <w:tc>
          <w:tcPr>
            <w:tcW w:w="992" w:type="dxa"/>
            <w:shd w:val="clear" w:color="auto" w:fill="auto"/>
            <w:vAlign w:val="center"/>
            <w:hideMark/>
          </w:tcPr>
          <w:p w14:paraId="7AEF615F"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3.82%</w:t>
            </w:r>
          </w:p>
        </w:tc>
      </w:tr>
      <w:tr w:rsidR="007405AB" w:rsidRPr="007405AB" w14:paraId="3563BAA6" w14:textId="77777777" w:rsidTr="00F47F29">
        <w:trPr>
          <w:trHeight w:val="70"/>
          <w:jc w:val="center"/>
        </w:trPr>
        <w:tc>
          <w:tcPr>
            <w:tcW w:w="1980" w:type="dxa"/>
            <w:shd w:val="clear" w:color="auto" w:fill="auto"/>
            <w:vAlign w:val="center"/>
            <w:hideMark/>
          </w:tcPr>
          <w:p w14:paraId="1B0CFB44"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ONE Bank PLC</w:t>
            </w:r>
          </w:p>
        </w:tc>
        <w:tc>
          <w:tcPr>
            <w:tcW w:w="752" w:type="dxa"/>
            <w:shd w:val="clear" w:color="auto" w:fill="FFCA76"/>
            <w:vAlign w:val="center"/>
            <w:hideMark/>
          </w:tcPr>
          <w:p w14:paraId="5C102815"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−1.49</w:t>
            </w:r>
          </w:p>
        </w:tc>
        <w:tc>
          <w:tcPr>
            <w:tcW w:w="1134" w:type="dxa"/>
            <w:shd w:val="clear" w:color="auto" w:fill="auto"/>
            <w:vAlign w:val="center"/>
            <w:hideMark/>
          </w:tcPr>
          <w:p w14:paraId="60ABF97C"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2,438</w:t>
            </w:r>
          </w:p>
        </w:tc>
        <w:tc>
          <w:tcPr>
            <w:tcW w:w="993" w:type="dxa"/>
            <w:shd w:val="clear" w:color="auto" w:fill="auto"/>
            <w:vAlign w:val="center"/>
            <w:hideMark/>
          </w:tcPr>
          <w:p w14:paraId="408EF412" w14:textId="77777777" w:rsidR="007405AB" w:rsidRPr="007405AB" w:rsidRDefault="007405AB" w:rsidP="00F47F29">
            <w:pPr>
              <w:spacing w:after="0" w:line="240" w:lineRule="auto"/>
              <w:jc w:val="right"/>
              <w:rPr>
                <w:rFonts w:ascii="Calibri" w:eastAsia="Times New Roman" w:hAnsi="Calibri" w:cs="Calibri"/>
                <w:b/>
                <w:bCs/>
                <w:color w:val="000000"/>
                <w:lang w:eastAsia="fr-FR"/>
              </w:rPr>
            </w:pPr>
            <w:r w:rsidRPr="007405AB">
              <w:rPr>
                <w:rFonts w:ascii="Calibri" w:eastAsia="Times New Roman" w:hAnsi="Calibri" w:cs="Calibri"/>
                <w:b/>
                <w:bCs/>
                <w:color w:val="000000"/>
                <w:lang w:eastAsia="fr-FR"/>
              </w:rPr>
              <w:t>10.91%</w:t>
            </w:r>
          </w:p>
        </w:tc>
        <w:tc>
          <w:tcPr>
            <w:tcW w:w="1940" w:type="dxa"/>
            <w:shd w:val="clear" w:color="auto" w:fill="auto"/>
            <w:vAlign w:val="center"/>
            <w:hideMark/>
          </w:tcPr>
          <w:p w14:paraId="47363134"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 xml:space="preserve">Bank </w:t>
            </w:r>
            <w:proofErr w:type="spellStart"/>
            <w:r w:rsidRPr="007405AB">
              <w:rPr>
                <w:rFonts w:ascii="Calibri" w:eastAsia="Times New Roman" w:hAnsi="Calibri" w:cs="Calibri"/>
                <w:color w:val="000000"/>
                <w:lang w:eastAsia="fr-FR"/>
              </w:rPr>
              <w:t>Alfalah</w:t>
            </w:r>
            <w:proofErr w:type="spellEnd"/>
            <w:r w:rsidRPr="007405AB">
              <w:rPr>
                <w:rFonts w:ascii="Calibri" w:eastAsia="Times New Roman" w:hAnsi="Calibri" w:cs="Calibri"/>
                <w:color w:val="000000"/>
                <w:lang w:eastAsia="fr-FR"/>
              </w:rPr>
              <w:t xml:space="preserve"> Ltd</w:t>
            </w:r>
          </w:p>
        </w:tc>
        <w:tc>
          <w:tcPr>
            <w:tcW w:w="709" w:type="dxa"/>
            <w:shd w:val="clear" w:color="auto" w:fill="009076"/>
            <w:vAlign w:val="center"/>
            <w:hideMark/>
          </w:tcPr>
          <w:p w14:paraId="050A697E"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0.44</w:t>
            </w:r>
          </w:p>
        </w:tc>
        <w:tc>
          <w:tcPr>
            <w:tcW w:w="1134" w:type="dxa"/>
            <w:shd w:val="clear" w:color="auto" w:fill="auto"/>
            <w:vAlign w:val="center"/>
            <w:hideMark/>
          </w:tcPr>
          <w:p w14:paraId="204267BA"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30</w:t>
            </w:r>
          </w:p>
        </w:tc>
        <w:tc>
          <w:tcPr>
            <w:tcW w:w="992" w:type="dxa"/>
            <w:shd w:val="clear" w:color="auto" w:fill="auto"/>
            <w:vAlign w:val="center"/>
            <w:hideMark/>
          </w:tcPr>
          <w:p w14:paraId="2E921606"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1.87%</w:t>
            </w:r>
          </w:p>
        </w:tc>
      </w:tr>
      <w:tr w:rsidR="007405AB" w:rsidRPr="007405AB" w14:paraId="2FF31E13" w14:textId="77777777" w:rsidTr="00F47F29">
        <w:trPr>
          <w:trHeight w:val="70"/>
          <w:jc w:val="center"/>
        </w:trPr>
        <w:tc>
          <w:tcPr>
            <w:tcW w:w="1980" w:type="dxa"/>
            <w:shd w:val="clear" w:color="auto" w:fill="auto"/>
            <w:vAlign w:val="center"/>
            <w:hideMark/>
          </w:tcPr>
          <w:p w14:paraId="4DFC3D4F"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United Commercial Bank PLC</w:t>
            </w:r>
          </w:p>
        </w:tc>
        <w:tc>
          <w:tcPr>
            <w:tcW w:w="752" w:type="dxa"/>
            <w:shd w:val="clear" w:color="auto" w:fill="FFCA76"/>
            <w:vAlign w:val="center"/>
            <w:hideMark/>
          </w:tcPr>
          <w:p w14:paraId="60C8D2B8"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−1.44</w:t>
            </w:r>
          </w:p>
        </w:tc>
        <w:tc>
          <w:tcPr>
            <w:tcW w:w="1134" w:type="dxa"/>
            <w:shd w:val="clear" w:color="auto" w:fill="auto"/>
            <w:vAlign w:val="center"/>
            <w:hideMark/>
          </w:tcPr>
          <w:p w14:paraId="6910982C"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2,501</w:t>
            </w:r>
          </w:p>
        </w:tc>
        <w:tc>
          <w:tcPr>
            <w:tcW w:w="993" w:type="dxa"/>
            <w:shd w:val="clear" w:color="auto" w:fill="auto"/>
            <w:vAlign w:val="center"/>
            <w:hideMark/>
          </w:tcPr>
          <w:p w14:paraId="3CAAC8D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5.01%</w:t>
            </w:r>
          </w:p>
        </w:tc>
        <w:tc>
          <w:tcPr>
            <w:tcW w:w="1940" w:type="dxa"/>
            <w:shd w:val="clear" w:color="auto" w:fill="auto"/>
            <w:vAlign w:val="center"/>
            <w:hideMark/>
          </w:tcPr>
          <w:p w14:paraId="7EE7DFC8"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Bank Asia Ltd</w:t>
            </w:r>
          </w:p>
        </w:tc>
        <w:tc>
          <w:tcPr>
            <w:tcW w:w="709" w:type="dxa"/>
            <w:shd w:val="clear" w:color="auto" w:fill="009076"/>
            <w:vAlign w:val="center"/>
            <w:hideMark/>
          </w:tcPr>
          <w:p w14:paraId="2080E947"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0.46</w:t>
            </w:r>
          </w:p>
        </w:tc>
        <w:tc>
          <w:tcPr>
            <w:tcW w:w="1134" w:type="dxa"/>
            <w:shd w:val="clear" w:color="auto" w:fill="auto"/>
            <w:vAlign w:val="center"/>
            <w:hideMark/>
          </w:tcPr>
          <w:p w14:paraId="75FC0397"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1,597</w:t>
            </w:r>
          </w:p>
        </w:tc>
        <w:tc>
          <w:tcPr>
            <w:tcW w:w="992" w:type="dxa"/>
            <w:shd w:val="clear" w:color="auto" w:fill="auto"/>
            <w:vAlign w:val="center"/>
            <w:hideMark/>
          </w:tcPr>
          <w:p w14:paraId="6022BE80"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5.51%</w:t>
            </w:r>
          </w:p>
        </w:tc>
      </w:tr>
      <w:tr w:rsidR="007405AB" w:rsidRPr="007405AB" w14:paraId="7A33CAD9" w14:textId="77777777" w:rsidTr="00F47F29">
        <w:trPr>
          <w:trHeight w:val="70"/>
          <w:jc w:val="center"/>
        </w:trPr>
        <w:tc>
          <w:tcPr>
            <w:tcW w:w="1980" w:type="dxa"/>
            <w:shd w:val="clear" w:color="auto" w:fill="auto"/>
            <w:vAlign w:val="center"/>
            <w:hideMark/>
          </w:tcPr>
          <w:p w14:paraId="1CD5961F"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NRB Bank Ltd</w:t>
            </w:r>
          </w:p>
        </w:tc>
        <w:tc>
          <w:tcPr>
            <w:tcW w:w="752" w:type="dxa"/>
            <w:shd w:val="clear" w:color="auto" w:fill="FFCA76"/>
            <w:vAlign w:val="center"/>
            <w:hideMark/>
          </w:tcPr>
          <w:p w14:paraId="48ECE739"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−1.36</w:t>
            </w:r>
          </w:p>
        </w:tc>
        <w:tc>
          <w:tcPr>
            <w:tcW w:w="1134" w:type="dxa"/>
            <w:shd w:val="clear" w:color="auto" w:fill="auto"/>
            <w:vAlign w:val="center"/>
            <w:hideMark/>
          </w:tcPr>
          <w:p w14:paraId="1ED8B037"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299</w:t>
            </w:r>
          </w:p>
        </w:tc>
        <w:tc>
          <w:tcPr>
            <w:tcW w:w="993" w:type="dxa"/>
            <w:shd w:val="clear" w:color="auto" w:fill="auto"/>
            <w:vAlign w:val="center"/>
            <w:hideMark/>
          </w:tcPr>
          <w:p w14:paraId="79ED01E6"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5.00%</w:t>
            </w:r>
          </w:p>
        </w:tc>
        <w:tc>
          <w:tcPr>
            <w:tcW w:w="1940" w:type="dxa"/>
            <w:shd w:val="clear" w:color="auto" w:fill="auto"/>
            <w:vAlign w:val="center"/>
            <w:hideMark/>
          </w:tcPr>
          <w:p w14:paraId="146EBF2E"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Shimanto</w:t>
            </w:r>
            <w:proofErr w:type="spellEnd"/>
            <w:r w:rsidRPr="007405AB">
              <w:rPr>
                <w:rFonts w:ascii="Calibri" w:eastAsia="Times New Roman" w:hAnsi="Calibri" w:cs="Calibri"/>
                <w:color w:val="000000"/>
                <w:lang w:eastAsia="fr-FR"/>
              </w:rPr>
              <w:t xml:space="preserve"> Bank Ltd</w:t>
            </w:r>
          </w:p>
        </w:tc>
        <w:tc>
          <w:tcPr>
            <w:tcW w:w="709" w:type="dxa"/>
            <w:shd w:val="clear" w:color="auto" w:fill="009076"/>
            <w:vAlign w:val="center"/>
            <w:hideMark/>
          </w:tcPr>
          <w:p w14:paraId="77A90D77"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0.55</w:t>
            </w:r>
          </w:p>
        </w:tc>
        <w:tc>
          <w:tcPr>
            <w:tcW w:w="1134" w:type="dxa"/>
            <w:shd w:val="clear" w:color="auto" w:fill="auto"/>
            <w:vAlign w:val="center"/>
            <w:hideMark/>
          </w:tcPr>
          <w:p w14:paraId="7EE1230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18</w:t>
            </w:r>
          </w:p>
        </w:tc>
        <w:tc>
          <w:tcPr>
            <w:tcW w:w="992" w:type="dxa"/>
            <w:shd w:val="clear" w:color="auto" w:fill="auto"/>
            <w:vAlign w:val="center"/>
            <w:hideMark/>
          </w:tcPr>
          <w:p w14:paraId="1E09D4C2"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1.11%</w:t>
            </w:r>
          </w:p>
        </w:tc>
      </w:tr>
      <w:tr w:rsidR="007405AB" w:rsidRPr="007405AB" w14:paraId="785DB243" w14:textId="77777777" w:rsidTr="00F47F29">
        <w:trPr>
          <w:trHeight w:val="235"/>
          <w:jc w:val="center"/>
        </w:trPr>
        <w:tc>
          <w:tcPr>
            <w:tcW w:w="1980" w:type="dxa"/>
            <w:shd w:val="clear" w:color="auto" w:fill="auto"/>
            <w:vAlign w:val="center"/>
            <w:hideMark/>
          </w:tcPr>
          <w:p w14:paraId="2FF9E5C3" w14:textId="77777777" w:rsidR="007405AB" w:rsidRPr="007405AB" w:rsidRDefault="007405AB" w:rsidP="00F47F29">
            <w:pPr>
              <w:spacing w:after="0" w:line="240" w:lineRule="auto"/>
              <w:rPr>
                <w:rFonts w:ascii="Calibri" w:eastAsia="Times New Roman" w:hAnsi="Calibri" w:cs="Calibri"/>
                <w:color w:val="000000"/>
                <w:lang w:val="en-US" w:eastAsia="fr-FR"/>
              </w:rPr>
            </w:pPr>
            <w:r w:rsidRPr="007405AB">
              <w:rPr>
                <w:rFonts w:ascii="Calibri" w:eastAsia="Times New Roman" w:hAnsi="Calibri" w:cs="Calibri"/>
                <w:color w:val="000000"/>
                <w:lang w:val="en-US" w:eastAsia="fr-FR"/>
              </w:rPr>
              <w:t>Al-</w:t>
            </w:r>
            <w:proofErr w:type="spellStart"/>
            <w:r w:rsidRPr="007405AB">
              <w:rPr>
                <w:rFonts w:ascii="Calibri" w:eastAsia="Times New Roman" w:hAnsi="Calibri" w:cs="Calibri"/>
                <w:color w:val="000000"/>
                <w:lang w:val="en-US" w:eastAsia="fr-FR"/>
              </w:rPr>
              <w:t>Arafah</w:t>
            </w:r>
            <w:proofErr w:type="spellEnd"/>
            <w:r w:rsidRPr="007405AB">
              <w:rPr>
                <w:rFonts w:ascii="Calibri" w:eastAsia="Times New Roman" w:hAnsi="Calibri" w:cs="Calibri"/>
                <w:color w:val="000000"/>
                <w:lang w:val="en-US" w:eastAsia="fr-FR"/>
              </w:rPr>
              <w:t xml:space="preserve"> </w:t>
            </w:r>
            <w:proofErr w:type="spellStart"/>
            <w:r w:rsidRPr="007405AB">
              <w:rPr>
                <w:rFonts w:ascii="Calibri" w:eastAsia="Times New Roman" w:hAnsi="Calibri" w:cs="Calibri"/>
                <w:color w:val="000000"/>
                <w:lang w:val="en-US" w:eastAsia="fr-FR"/>
              </w:rPr>
              <w:t>Islami</w:t>
            </w:r>
            <w:proofErr w:type="spellEnd"/>
            <w:r w:rsidRPr="007405AB">
              <w:rPr>
                <w:rFonts w:ascii="Calibri" w:eastAsia="Times New Roman" w:hAnsi="Calibri" w:cs="Calibri"/>
                <w:color w:val="000000"/>
                <w:lang w:val="en-US" w:eastAsia="fr-FR"/>
              </w:rPr>
              <w:t xml:space="preserve"> Bank Ltd</w:t>
            </w:r>
          </w:p>
        </w:tc>
        <w:tc>
          <w:tcPr>
            <w:tcW w:w="752" w:type="dxa"/>
            <w:shd w:val="clear" w:color="auto" w:fill="FFCA76"/>
            <w:vAlign w:val="center"/>
            <w:hideMark/>
          </w:tcPr>
          <w:p w14:paraId="20F0384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−1.34</w:t>
            </w:r>
          </w:p>
        </w:tc>
        <w:tc>
          <w:tcPr>
            <w:tcW w:w="1134" w:type="dxa"/>
            <w:shd w:val="clear" w:color="auto" w:fill="auto"/>
            <w:vAlign w:val="center"/>
            <w:hideMark/>
          </w:tcPr>
          <w:p w14:paraId="7F74471B"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3,087</w:t>
            </w:r>
          </w:p>
        </w:tc>
        <w:tc>
          <w:tcPr>
            <w:tcW w:w="993" w:type="dxa"/>
            <w:shd w:val="clear" w:color="auto" w:fill="auto"/>
            <w:vAlign w:val="center"/>
            <w:hideMark/>
          </w:tcPr>
          <w:p w14:paraId="2AD8DF2E"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6.67%</w:t>
            </w:r>
          </w:p>
        </w:tc>
        <w:tc>
          <w:tcPr>
            <w:tcW w:w="1940" w:type="dxa"/>
            <w:shd w:val="clear" w:color="auto" w:fill="auto"/>
            <w:vAlign w:val="center"/>
            <w:hideMark/>
          </w:tcPr>
          <w:p w14:paraId="5CF6B1AA"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Jamuna Bank PLC</w:t>
            </w:r>
          </w:p>
        </w:tc>
        <w:tc>
          <w:tcPr>
            <w:tcW w:w="709" w:type="dxa"/>
            <w:shd w:val="clear" w:color="auto" w:fill="009076"/>
            <w:vAlign w:val="center"/>
            <w:hideMark/>
          </w:tcPr>
          <w:p w14:paraId="7F0AAB4F"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0.66</w:t>
            </w:r>
          </w:p>
        </w:tc>
        <w:tc>
          <w:tcPr>
            <w:tcW w:w="1134" w:type="dxa"/>
            <w:shd w:val="clear" w:color="auto" w:fill="auto"/>
            <w:vAlign w:val="center"/>
            <w:hideMark/>
          </w:tcPr>
          <w:p w14:paraId="5639C071"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629</w:t>
            </w:r>
          </w:p>
        </w:tc>
        <w:tc>
          <w:tcPr>
            <w:tcW w:w="992" w:type="dxa"/>
            <w:shd w:val="clear" w:color="auto" w:fill="auto"/>
            <w:vAlign w:val="center"/>
            <w:hideMark/>
          </w:tcPr>
          <w:p w14:paraId="00989375"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3.39%</w:t>
            </w:r>
          </w:p>
        </w:tc>
      </w:tr>
      <w:tr w:rsidR="007405AB" w:rsidRPr="007405AB" w14:paraId="653B2090" w14:textId="77777777" w:rsidTr="00F47F29">
        <w:trPr>
          <w:trHeight w:val="70"/>
          <w:jc w:val="center"/>
        </w:trPr>
        <w:tc>
          <w:tcPr>
            <w:tcW w:w="1980" w:type="dxa"/>
            <w:shd w:val="clear" w:color="auto" w:fill="auto"/>
            <w:vAlign w:val="center"/>
            <w:hideMark/>
          </w:tcPr>
          <w:p w14:paraId="3D8CAE79"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Standard Bank Ltd</w:t>
            </w:r>
          </w:p>
        </w:tc>
        <w:tc>
          <w:tcPr>
            <w:tcW w:w="752" w:type="dxa"/>
            <w:shd w:val="clear" w:color="auto" w:fill="FFCA76"/>
            <w:vAlign w:val="center"/>
            <w:hideMark/>
          </w:tcPr>
          <w:p w14:paraId="590E402E"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−1.21</w:t>
            </w:r>
          </w:p>
        </w:tc>
        <w:tc>
          <w:tcPr>
            <w:tcW w:w="1134" w:type="dxa"/>
            <w:shd w:val="clear" w:color="auto" w:fill="auto"/>
            <w:vAlign w:val="center"/>
            <w:hideMark/>
          </w:tcPr>
          <w:p w14:paraId="14C0AD0E"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1,358</w:t>
            </w:r>
          </w:p>
        </w:tc>
        <w:tc>
          <w:tcPr>
            <w:tcW w:w="993" w:type="dxa"/>
            <w:shd w:val="clear" w:color="auto" w:fill="auto"/>
            <w:vAlign w:val="center"/>
            <w:hideMark/>
          </w:tcPr>
          <w:p w14:paraId="3EBBBB84"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7.20%</w:t>
            </w:r>
          </w:p>
        </w:tc>
        <w:tc>
          <w:tcPr>
            <w:tcW w:w="1940" w:type="dxa"/>
            <w:shd w:val="clear" w:color="auto" w:fill="auto"/>
            <w:vAlign w:val="center"/>
            <w:hideMark/>
          </w:tcPr>
          <w:p w14:paraId="43159118"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Shahajalal</w:t>
            </w:r>
            <w:proofErr w:type="spellEnd"/>
            <w:r w:rsidRPr="007405AB">
              <w:rPr>
                <w:rFonts w:ascii="Calibri" w:eastAsia="Times New Roman" w:hAnsi="Calibri" w:cs="Calibri"/>
                <w:color w:val="000000"/>
                <w:lang w:eastAsia="fr-FR"/>
              </w:rPr>
              <w:t xml:space="preserve"> Islami Bank PLC</w:t>
            </w:r>
          </w:p>
        </w:tc>
        <w:tc>
          <w:tcPr>
            <w:tcW w:w="709" w:type="dxa"/>
            <w:shd w:val="clear" w:color="auto" w:fill="009076"/>
            <w:vAlign w:val="center"/>
            <w:hideMark/>
          </w:tcPr>
          <w:p w14:paraId="2D6C0CE7"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0.94</w:t>
            </w:r>
          </w:p>
        </w:tc>
        <w:tc>
          <w:tcPr>
            <w:tcW w:w="1134" w:type="dxa"/>
            <w:shd w:val="clear" w:color="auto" w:fill="auto"/>
            <w:vAlign w:val="center"/>
            <w:hideMark/>
          </w:tcPr>
          <w:p w14:paraId="6739E860"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933</w:t>
            </w:r>
          </w:p>
        </w:tc>
        <w:tc>
          <w:tcPr>
            <w:tcW w:w="992" w:type="dxa"/>
            <w:shd w:val="clear" w:color="auto" w:fill="auto"/>
            <w:vAlign w:val="center"/>
            <w:hideMark/>
          </w:tcPr>
          <w:p w14:paraId="33948EE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3.89%</w:t>
            </w:r>
          </w:p>
        </w:tc>
      </w:tr>
      <w:tr w:rsidR="007405AB" w:rsidRPr="007405AB" w14:paraId="2DE14B45" w14:textId="77777777" w:rsidTr="00F47F29">
        <w:trPr>
          <w:trHeight w:val="70"/>
          <w:jc w:val="center"/>
        </w:trPr>
        <w:tc>
          <w:tcPr>
            <w:tcW w:w="1980" w:type="dxa"/>
            <w:shd w:val="clear" w:color="auto" w:fill="auto"/>
            <w:vAlign w:val="center"/>
            <w:hideMark/>
          </w:tcPr>
          <w:p w14:paraId="285D1CB0"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Union Bank Ltd</w:t>
            </w:r>
          </w:p>
        </w:tc>
        <w:tc>
          <w:tcPr>
            <w:tcW w:w="752" w:type="dxa"/>
            <w:shd w:val="clear" w:color="auto" w:fill="FFCA76"/>
            <w:vAlign w:val="center"/>
            <w:hideMark/>
          </w:tcPr>
          <w:p w14:paraId="172266C1"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−1.21</w:t>
            </w:r>
          </w:p>
        </w:tc>
        <w:tc>
          <w:tcPr>
            <w:tcW w:w="1134" w:type="dxa"/>
            <w:shd w:val="clear" w:color="auto" w:fill="auto"/>
            <w:vAlign w:val="center"/>
            <w:hideMark/>
          </w:tcPr>
          <w:p w14:paraId="5106C1B3"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843</w:t>
            </w:r>
          </w:p>
        </w:tc>
        <w:tc>
          <w:tcPr>
            <w:tcW w:w="993" w:type="dxa"/>
            <w:shd w:val="clear" w:color="auto" w:fill="auto"/>
            <w:vAlign w:val="center"/>
            <w:hideMark/>
          </w:tcPr>
          <w:p w14:paraId="0B41C320"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3.31%</w:t>
            </w:r>
          </w:p>
        </w:tc>
        <w:tc>
          <w:tcPr>
            <w:tcW w:w="1940" w:type="dxa"/>
            <w:shd w:val="clear" w:color="auto" w:fill="auto"/>
            <w:vAlign w:val="center"/>
            <w:hideMark/>
          </w:tcPr>
          <w:p w14:paraId="74E766F5"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Woori</w:t>
            </w:r>
            <w:proofErr w:type="spellEnd"/>
            <w:r w:rsidRPr="007405AB">
              <w:rPr>
                <w:rFonts w:ascii="Calibri" w:eastAsia="Times New Roman" w:hAnsi="Calibri" w:cs="Calibri"/>
                <w:color w:val="000000"/>
                <w:lang w:eastAsia="fr-FR"/>
              </w:rPr>
              <w:t xml:space="preserve"> Bank</w:t>
            </w:r>
          </w:p>
        </w:tc>
        <w:tc>
          <w:tcPr>
            <w:tcW w:w="709" w:type="dxa"/>
            <w:shd w:val="clear" w:color="auto" w:fill="009076"/>
            <w:vAlign w:val="center"/>
            <w:hideMark/>
          </w:tcPr>
          <w:p w14:paraId="6C65B804"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1.99</w:t>
            </w:r>
          </w:p>
        </w:tc>
        <w:tc>
          <w:tcPr>
            <w:tcW w:w="1134" w:type="dxa"/>
            <w:shd w:val="clear" w:color="auto" w:fill="auto"/>
            <w:vAlign w:val="center"/>
            <w:hideMark/>
          </w:tcPr>
          <w:p w14:paraId="6F7997AC"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58</w:t>
            </w:r>
          </w:p>
        </w:tc>
        <w:tc>
          <w:tcPr>
            <w:tcW w:w="992" w:type="dxa"/>
            <w:shd w:val="clear" w:color="auto" w:fill="auto"/>
            <w:vAlign w:val="center"/>
            <w:hideMark/>
          </w:tcPr>
          <w:p w14:paraId="26BCA3B6"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3.48%</w:t>
            </w:r>
          </w:p>
        </w:tc>
      </w:tr>
      <w:tr w:rsidR="007405AB" w:rsidRPr="007405AB" w14:paraId="3D7E564B" w14:textId="77777777" w:rsidTr="00F47F29">
        <w:trPr>
          <w:trHeight w:val="70"/>
          <w:jc w:val="center"/>
        </w:trPr>
        <w:tc>
          <w:tcPr>
            <w:tcW w:w="1980" w:type="dxa"/>
            <w:shd w:val="clear" w:color="auto" w:fill="auto"/>
            <w:vAlign w:val="center"/>
            <w:hideMark/>
          </w:tcPr>
          <w:p w14:paraId="37115ADA"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NRB Commercial Bank Ltd</w:t>
            </w:r>
          </w:p>
        </w:tc>
        <w:tc>
          <w:tcPr>
            <w:tcW w:w="752" w:type="dxa"/>
            <w:shd w:val="clear" w:color="auto" w:fill="FFCA76"/>
            <w:vAlign w:val="center"/>
            <w:hideMark/>
          </w:tcPr>
          <w:p w14:paraId="2FD72D4C"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−0.94</w:t>
            </w:r>
          </w:p>
        </w:tc>
        <w:tc>
          <w:tcPr>
            <w:tcW w:w="1134" w:type="dxa"/>
            <w:shd w:val="clear" w:color="auto" w:fill="auto"/>
            <w:vAlign w:val="center"/>
            <w:hideMark/>
          </w:tcPr>
          <w:p w14:paraId="0665A22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666</w:t>
            </w:r>
          </w:p>
        </w:tc>
        <w:tc>
          <w:tcPr>
            <w:tcW w:w="993" w:type="dxa"/>
            <w:shd w:val="clear" w:color="auto" w:fill="auto"/>
            <w:vAlign w:val="center"/>
            <w:hideMark/>
          </w:tcPr>
          <w:p w14:paraId="040A9C7F"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4.62%</w:t>
            </w:r>
          </w:p>
        </w:tc>
        <w:tc>
          <w:tcPr>
            <w:tcW w:w="1940" w:type="dxa"/>
            <w:shd w:val="clear" w:color="auto" w:fill="auto"/>
            <w:vAlign w:val="center"/>
            <w:hideMark/>
          </w:tcPr>
          <w:p w14:paraId="26225DF3"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The HSBC Ltd</w:t>
            </w:r>
          </w:p>
        </w:tc>
        <w:tc>
          <w:tcPr>
            <w:tcW w:w="709" w:type="dxa"/>
            <w:shd w:val="clear" w:color="auto" w:fill="009076"/>
            <w:vAlign w:val="center"/>
            <w:hideMark/>
          </w:tcPr>
          <w:p w14:paraId="0F7AF465"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2.09</w:t>
            </w:r>
          </w:p>
        </w:tc>
        <w:tc>
          <w:tcPr>
            <w:tcW w:w="1134" w:type="dxa"/>
            <w:shd w:val="clear" w:color="auto" w:fill="auto"/>
            <w:vAlign w:val="center"/>
            <w:hideMark/>
          </w:tcPr>
          <w:p w14:paraId="0EBE7F83"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700</w:t>
            </w:r>
          </w:p>
        </w:tc>
        <w:tc>
          <w:tcPr>
            <w:tcW w:w="992" w:type="dxa"/>
            <w:shd w:val="clear" w:color="auto" w:fill="auto"/>
            <w:vAlign w:val="center"/>
            <w:hideMark/>
          </w:tcPr>
          <w:p w14:paraId="3D2E8A59"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3.24%</w:t>
            </w:r>
          </w:p>
        </w:tc>
      </w:tr>
      <w:tr w:rsidR="007405AB" w:rsidRPr="007405AB" w14:paraId="3A566C98" w14:textId="77777777" w:rsidTr="00F47F29">
        <w:trPr>
          <w:trHeight w:val="70"/>
          <w:jc w:val="center"/>
        </w:trPr>
        <w:tc>
          <w:tcPr>
            <w:tcW w:w="1980" w:type="dxa"/>
            <w:shd w:val="clear" w:color="auto" w:fill="auto"/>
            <w:vAlign w:val="center"/>
            <w:hideMark/>
          </w:tcPr>
          <w:p w14:paraId="32C14C8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Mercantile Bank PLC</w:t>
            </w:r>
          </w:p>
        </w:tc>
        <w:tc>
          <w:tcPr>
            <w:tcW w:w="752" w:type="dxa"/>
            <w:shd w:val="clear" w:color="auto" w:fill="FFCA76"/>
            <w:vAlign w:val="center"/>
            <w:hideMark/>
          </w:tcPr>
          <w:p w14:paraId="3CA24D68"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−0.80</w:t>
            </w:r>
          </w:p>
        </w:tc>
        <w:tc>
          <w:tcPr>
            <w:tcW w:w="1134" w:type="dxa"/>
            <w:shd w:val="clear" w:color="auto" w:fill="auto"/>
            <w:vAlign w:val="center"/>
            <w:hideMark/>
          </w:tcPr>
          <w:p w14:paraId="0F935DEB"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1,249</w:t>
            </w:r>
          </w:p>
        </w:tc>
        <w:tc>
          <w:tcPr>
            <w:tcW w:w="993" w:type="dxa"/>
            <w:shd w:val="clear" w:color="auto" w:fill="auto"/>
            <w:vAlign w:val="center"/>
            <w:hideMark/>
          </w:tcPr>
          <w:p w14:paraId="2386B79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4.41%</w:t>
            </w:r>
          </w:p>
        </w:tc>
        <w:tc>
          <w:tcPr>
            <w:tcW w:w="1940" w:type="dxa"/>
            <w:shd w:val="clear" w:color="auto" w:fill="auto"/>
            <w:vAlign w:val="center"/>
            <w:hideMark/>
          </w:tcPr>
          <w:p w14:paraId="023E170B"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 xml:space="preserve">Commercial Bank of </w:t>
            </w:r>
            <w:proofErr w:type="spellStart"/>
            <w:r w:rsidRPr="007405AB">
              <w:rPr>
                <w:rFonts w:ascii="Calibri" w:eastAsia="Times New Roman" w:hAnsi="Calibri" w:cs="Calibri"/>
                <w:color w:val="000000"/>
                <w:lang w:eastAsia="fr-FR"/>
              </w:rPr>
              <w:t>Ceylon</w:t>
            </w:r>
            <w:proofErr w:type="spellEnd"/>
          </w:p>
        </w:tc>
        <w:tc>
          <w:tcPr>
            <w:tcW w:w="709" w:type="dxa"/>
            <w:shd w:val="clear" w:color="auto" w:fill="009076"/>
            <w:vAlign w:val="center"/>
            <w:hideMark/>
          </w:tcPr>
          <w:p w14:paraId="2306A5CA"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3.36</w:t>
            </w:r>
          </w:p>
        </w:tc>
        <w:tc>
          <w:tcPr>
            <w:tcW w:w="1134" w:type="dxa"/>
            <w:shd w:val="clear" w:color="auto" w:fill="auto"/>
            <w:vAlign w:val="center"/>
            <w:hideMark/>
          </w:tcPr>
          <w:p w14:paraId="5EB3994F"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45</w:t>
            </w:r>
          </w:p>
        </w:tc>
        <w:tc>
          <w:tcPr>
            <w:tcW w:w="992" w:type="dxa"/>
            <w:shd w:val="clear" w:color="auto" w:fill="auto"/>
            <w:vAlign w:val="center"/>
            <w:hideMark/>
          </w:tcPr>
          <w:p w14:paraId="2B0D5A85"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0.70%</w:t>
            </w:r>
          </w:p>
        </w:tc>
      </w:tr>
      <w:tr w:rsidR="007405AB" w:rsidRPr="007405AB" w14:paraId="046D6772" w14:textId="77777777" w:rsidTr="00F47F29">
        <w:trPr>
          <w:trHeight w:val="70"/>
          <w:jc w:val="center"/>
        </w:trPr>
        <w:tc>
          <w:tcPr>
            <w:tcW w:w="1980" w:type="dxa"/>
            <w:shd w:val="clear" w:color="auto" w:fill="auto"/>
            <w:vAlign w:val="center"/>
            <w:hideMark/>
          </w:tcPr>
          <w:p w14:paraId="2090D99D" w14:textId="77777777" w:rsidR="007405AB" w:rsidRPr="007405AB" w:rsidRDefault="007405AB" w:rsidP="00F47F29">
            <w:pPr>
              <w:spacing w:after="0" w:line="240" w:lineRule="auto"/>
              <w:rPr>
                <w:rFonts w:ascii="Calibri" w:eastAsia="Times New Roman" w:hAnsi="Calibri" w:cs="Calibri"/>
                <w:color w:val="000000"/>
                <w:lang w:eastAsia="fr-FR"/>
              </w:rPr>
            </w:pPr>
            <w:proofErr w:type="spellStart"/>
            <w:r w:rsidRPr="007405AB">
              <w:rPr>
                <w:rFonts w:ascii="Calibri" w:eastAsia="Times New Roman" w:hAnsi="Calibri" w:cs="Calibri"/>
                <w:color w:val="000000"/>
                <w:lang w:eastAsia="fr-FR"/>
              </w:rPr>
              <w:t>Mutual</w:t>
            </w:r>
            <w:proofErr w:type="spellEnd"/>
            <w:r w:rsidRPr="007405AB">
              <w:rPr>
                <w:rFonts w:ascii="Calibri" w:eastAsia="Times New Roman" w:hAnsi="Calibri" w:cs="Calibri"/>
                <w:color w:val="000000"/>
                <w:lang w:eastAsia="fr-FR"/>
              </w:rPr>
              <w:t xml:space="preserve"> Trust Bank Ltd</w:t>
            </w:r>
          </w:p>
        </w:tc>
        <w:tc>
          <w:tcPr>
            <w:tcW w:w="752" w:type="dxa"/>
            <w:shd w:val="clear" w:color="auto" w:fill="FFCA76"/>
            <w:vAlign w:val="center"/>
            <w:hideMark/>
          </w:tcPr>
          <w:p w14:paraId="6FF92011"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−0.78</w:t>
            </w:r>
          </w:p>
        </w:tc>
        <w:tc>
          <w:tcPr>
            <w:tcW w:w="1134" w:type="dxa"/>
            <w:shd w:val="clear" w:color="auto" w:fill="auto"/>
            <w:vAlign w:val="center"/>
            <w:hideMark/>
          </w:tcPr>
          <w:p w14:paraId="755BDBA3"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1,676</w:t>
            </w:r>
          </w:p>
        </w:tc>
        <w:tc>
          <w:tcPr>
            <w:tcW w:w="993" w:type="dxa"/>
            <w:shd w:val="clear" w:color="auto" w:fill="auto"/>
            <w:vAlign w:val="center"/>
            <w:hideMark/>
          </w:tcPr>
          <w:p w14:paraId="6005FDD7"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6.53%</w:t>
            </w:r>
          </w:p>
        </w:tc>
        <w:tc>
          <w:tcPr>
            <w:tcW w:w="1940" w:type="dxa"/>
            <w:shd w:val="clear" w:color="auto" w:fill="auto"/>
            <w:vAlign w:val="center"/>
            <w:hideMark/>
          </w:tcPr>
          <w:p w14:paraId="60E8043C"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Citi Bank N.A.</w:t>
            </w:r>
          </w:p>
        </w:tc>
        <w:tc>
          <w:tcPr>
            <w:tcW w:w="709" w:type="dxa"/>
            <w:shd w:val="clear" w:color="auto" w:fill="009076"/>
            <w:vAlign w:val="center"/>
            <w:hideMark/>
          </w:tcPr>
          <w:p w14:paraId="3FF7578D"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3.75</w:t>
            </w:r>
          </w:p>
        </w:tc>
        <w:tc>
          <w:tcPr>
            <w:tcW w:w="1134" w:type="dxa"/>
            <w:shd w:val="clear" w:color="auto" w:fill="auto"/>
            <w:vAlign w:val="center"/>
            <w:hideMark/>
          </w:tcPr>
          <w:p w14:paraId="3D2F0B78"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w:t>
            </w:r>
          </w:p>
        </w:tc>
        <w:tc>
          <w:tcPr>
            <w:tcW w:w="992" w:type="dxa"/>
            <w:shd w:val="clear" w:color="auto" w:fill="auto"/>
            <w:vAlign w:val="center"/>
            <w:hideMark/>
          </w:tcPr>
          <w:p w14:paraId="50D7DE06"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0.03%</w:t>
            </w:r>
          </w:p>
        </w:tc>
      </w:tr>
      <w:tr w:rsidR="007405AB" w:rsidRPr="007405AB" w14:paraId="4BF31A16" w14:textId="77777777" w:rsidTr="00F47F29">
        <w:trPr>
          <w:trHeight w:val="70"/>
          <w:jc w:val="center"/>
        </w:trPr>
        <w:tc>
          <w:tcPr>
            <w:tcW w:w="1980" w:type="dxa"/>
            <w:shd w:val="clear" w:color="auto" w:fill="auto"/>
            <w:vAlign w:val="center"/>
            <w:hideMark/>
          </w:tcPr>
          <w:p w14:paraId="74263D07"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EXIM Bank Ltd</w:t>
            </w:r>
          </w:p>
        </w:tc>
        <w:tc>
          <w:tcPr>
            <w:tcW w:w="752" w:type="dxa"/>
            <w:shd w:val="clear" w:color="auto" w:fill="FFCA76"/>
            <w:vAlign w:val="center"/>
            <w:hideMark/>
          </w:tcPr>
          <w:p w14:paraId="7A0033B8"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−0.76</w:t>
            </w:r>
          </w:p>
        </w:tc>
        <w:tc>
          <w:tcPr>
            <w:tcW w:w="1134" w:type="dxa"/>
            <w:shd w:val="clear" w:color="auto" w:fill="auto"/>
            <w:vAlign w:val="center"/>
            <w:hideMark/>
          </w:tcPr>
          <w:p w14:paraId="7AC097DD"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1,629</w:t>
            </w:r>
          </w:p>
        </w:tc>
        <w:tc>
          <w:tcPr>
            <w:tcW w:w="993" w:type="dxa"/>
            <w:shd w:val="clear" w:color="auto" w:fill="auto"/>
            <w:vAlign w:val="center"/>
            <w:hideMark/>
          </w:tcPr>
          <w:p w14:paraId="498EEACD"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3.47%</w:t>
            </w:r>
          </w:p>
        </w:tc>
        <w:tc>
          <w:tcPr>
            <w:tcW w:w="1940" w:type="dxa"/>
            <w:shd w:val="clear" w:color="auto" w:fill="auto"/>
            <w:vAlign w:val="center"/>
            <w:hideMark/>
          </w:tcPr>
          <w:p w14:paraId="0AD29B82"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 xml:space="preserve">Standard </w:t>
            </w:r>
            <w:proofErr w:type="spellStart"/>
            <w:r w:rsidRPr="007405AB">
              <w:rPr>
                <w:rFonts w:ascii="Calibri" w:eastAsia="Times New Roman" w:hAnsi="Calibri" w:cs="Calibri"/>
                <w:color w:val="000000"/>
                <w:lang w:eastAsia="fr-FR"/>
              </w:rPr>
              <w:t>Chartered</w:t>
            </w:r>
            <w:proofErr w:type="spellEnd"/>
            <w:r w:rsidRPr="007405AB">
              <w:rPr>
                <w:rFonts w:ascii="Calibri" w:eastAsia="Times New Roman" w:hAnsi="Calibri" w:cs="Calibri"/>
                <w:color w:val="000000"/>
                <w:lang w:eastAsia="fr-FR"/>
              </w:rPr>
              <w:t xml:space="preserve"> Bank</w:t>
            </w:r>
          </w:p>
        </w:tc>
        <w:tc>
          <w:tcPr>
            <w:tcW w:w="709" w:type="dxa"/>
            <w:shd w:val="clear" w:color="auto" w:fill="009076"/>
            <w:vAlign w:val="center"/>
            <w:hideMark/>
          </w:tcPr>
          <w:p w14:paraId="4CA48652"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3.80</w:t>
            </w:r>
          </w:p>
        </w:tc>
        <w:tc>
          <w:tcPr>
            <w:tcW w:w="1134" w:type="dxa"/>
            <w:shd w:val="clear" w:color="auto" w:fill="auto"/>
            <w:vAlign w:val="center"/>
            <w:hideMark/>
          </w:tcPr>
          <w:p w14:paraId="4AB6B4A1"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964</w:t>
            </w:r>
          </w:p>
        </w:tc>
        <w:tc>
          <w:tcPr>
            <w:tcW w:w="992" w:type="dxa"/>
            <w:shd w:val="clear" w:color="auto" w:fill="auto"/>
            <w:vAlign w:val="center"/>
            <w:hideMark/>
          </w:tcPr>
          <w:p w14:paraId="5E3C576F"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3.27%</w:t>
            </w:r>
          </w:p>
        </w:tc>
      </w:tr>
      <w:tr w:rsidR="007405AB" w:rsidRPr="007405AB" w14:paraId="4FD7CDCB" w14:textId="77777777" w:rsidTr="00F47F29">
        <w:trPr>
          <w:trHeight w:val="70"/>
          <w:jc w:val="center"/>
        </w:trPr>
        <w:tc>
          <w:tcPr>
            <w:tcW w:w="1980" w:type="dxa"/>
            <w:shd w:val="clear" w:color="auto" w:fill="auto"/>
            <w:vAlign w:val="center"/>
            <w:hideMark/>
          </w:tcPr>
          <w:p w14:paraId="483C92E3"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 xml:space="preserve">Dutch </w:t>
            </w:r>
            <w:proofErr w:type="spellStart"/>
            <w:r w:rsidRPr="007405AB">
              <w:rPr>
                <w:rFonts w:ascii="Calibri" w:eastAsia="Times New Roman" w:hAnsi="Calibri" w:cs="Calibri"/>
                <w:color w:val="000000"/>
                <w:lang w:eastAsia="fr-FR"/>
              </w:rPr>
              <w:t>Bangla</w:t>
            </w:r>
            <w:proofErr w:type="spellEnd"/>
            <w:r w:rsidRPr="007405AB">
              <w:rPr>
                <w:rFonts w:ascii="Calibri" w:eastAsia="Times New Roman" w:hAnsi="Calibri" w:cs="Calibri"/>
                <w:color w:val="000000"/>
                <w:lang w:eastAsia="fr-FR"/>
              </w:rPr>
              <w:t xml:space="preserve"> Bank Ltd</w:t>
            </w:r>
          </w:p>
        </w:tc>
        <w:tc>
          <w:tcPr>
            <w:tcW w:w="752" w:type="dxa"/>
            <w:shd w:val="clear" w:color="auto" w:fill="FFCA76"/>
            <w:vAlign w:val="center"/>
            <w:hideMark/>
          </w:tcPr>
          <w:p w14:paraId="56DBE096"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−0.66</w:t>
            </w:r>
          </w:p>
        </w:tc>
        <w:tc>
          <w:tcPr>
            <w:tcW w:w="1134" w:type="dxa"/>
            <w:shd w:val="clear" w:color="auto" w:fill="auto"/>
            <w:vAlign w:val="center"/>
            <w:hideMark/>
          </w:tcPr>
          <w:p w14:paraId="5CDCED60"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1,689</w:t>
            </w:r>
          </w:p>
        </w:tc>
        <w:tc>
          <w:tcPr>
            <w:tcW w:w="993" w:type="dxa"/>
            <w:shd w:val="clear" w:color="auto" w:fill="auto"/>
            <w:vAlign w:val="center"/>
            <w:hideMark/>
          </w:tcPr>
          <w:p w14:paraId="228B703E"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4.11%</w:t>
            </w:r>
          </w:p>
        </w:tc>
        <w:tc>
          <w:tcPr>
            <w:tcW w:w="1940" w:type="dxa"/>
            <w:shd w:val="clear" w:color="auto" w:fill="auto"/>
            <w:vAlign w:val="center"/>
            <w:hideMark/>
          </w:tcPr>
          <w:p w14:paraId="5A5DB15F"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 xml:space="preserve">State Bank of </w:t>
            </w:r>
            <w:proofErr w:type="spellStart"/>
            <w:r w:rsidRPr="007405AB">
              <w:rPr>
                <w:rFonts w:ascii="Calibri" w:eastAsia="Times New Roman" w:hAnsi="Calibri" w:cs="Calibri"/>
                <w:color w:val="000000"/>
                <w:lang w:eastAsia="fr-FR"/>
              </w:rPr>
              <w:t>India</w:t>
            </w:r>
            <w:proofErr w:type="spellEnd"/>
          </w:p>
        </w:tc>
        <w:tc>
          <w:tcPr>
            <w:tcW w:w="709" w:type="dxa"/>
            <w:shd w:val="clear" w:color="auto" w:fill="009076"/>
            <w:vAlign w:val="center"/>
            <w:hideMark/>
          </w:tcPr>
          <w:p w14:paraId="576A61DA" w14:textId="77777777" w:rsidR="007405AB" w:rsidRPr="007405AB" w:rsidRDefault="007405AB" w:rsidP="00F47F29">
            <w:pPr>
              <w:spacing w:after="0" w:line="240" w:lineRule="auto"/>
              <w:rPr>
                <w:rFonts w:ascii="Calibri" w:eastAsia="Times New Roman" w:hAnsi="Calibri" w:cs="Calibri"/>
                <w:color w:val="000000"/>
                <w:lang w:eastAsia="fr-FR"/>
              </w:rPr>
            </w:pPr>
            <w:r w:rsidRPr="007405AB">
              <w:rPr>
                <w:rFonts w:ascii="Calibri" w:eastAsia="Times New Roman" w:hAnsi="Calibri" w:cs="Calibri"/>
                <w:color w:val="000000"/>
                <w:lang w:eastAsia="fr-FR"/>
              </w:rPr>
              <w:t>7.15</w:t>
            </w:r>
          </w:p>
        </w:tc>
        <w:tc>
          <w:tcPr>
            <w:tcW w:w="1134" w:type="dxa"/>
            <w:shd w:val="clear" w:color="auto" w:fill="auto"/>
            <w:vAlign w:val="center"/>
            <w:hideMark/>
          </w:tcPr>
          <w:p w14:paraId="485BBAB9"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14</w:t>
            </w:r>
          </w:p>
        </w:tc>
        <w:tc>
          <w:tcPr>
            <w:tcW w:w="992" w:type="dxa"/>
            <w:shd w:val="clear" w:color="auto" w:fill="auto"/>
            <w:noWrap/>
            <w:vAlign w:val="center"/>
            <w:hideMark/>
          </w:tcPr>
          <w:p w14:paraId="0217384F" w14:textId="77777777" w:rsidR="007405AB" w:rsidRPr="007405AB" w:rsidRDefault="007405AB" w:rsidP="00F47F29">
            <w:pPr>
              <w:spacing w:after="0" w:line="240" w:lineRule="auto"/>
              <w:jc w:val="right"/>
              <w:rPr>
                <w:rFonts w:ascii="Calibri" w:eastAsia="Times New Roman" w:hAnsi="Calibri" w:cs="Calibri"/>
                <w:color w:val="000000"/>
                <w:lang w:eastAsia="fr-FR"/>
              </w:rPr>
            </w:pPr>
            <w:r w:rsidRPr="007405AB">
              <w:rPr>
                <w:rFonts w:ascii="Calibri" w:eastAsia="Times New Roman" w:hAnsi="Calibri" w:cs="Calibri"/>
                <w:color w:val="000000"/>
                <w:lang w:eastAsia="fr-FR"/>
              </w:rPr>
              <w:t>1.12%</w:t>
            </w:r>
          </w:p>
        </w:tc>
      </w:tr>
    </w:tbl>
    <w:p w14:paraId="43B8991E" w14:textId="7B18CC34" w:rsidR="004836EB" w:rsidRDefault="00F47F29" w:rsidP="004836EB">
      <w:pPr>
        <w:jc w:val="center"/>
        <w:rPr>
          <w:rFonts w:ascii="Segoe UI" w:hAnsi="Segoe UI" w:cs="Segoe UI"/>
          <w:bCs/>
          <w:color w:val="000091" w:themeColor="text1"/>
          <w:sz w:val="20"/>
          <w:u w:val="single"/>
        </w:rPr>
      </w:pPr>
      <w:r>
        <w:rPr>
          <w:rFonts w:ascii="Segoe UI" w:hAnsi="Segoe UI" w:cs="Segoe UI"/>
          <w:bCs/>
          <w:color w:val="000091" w:themeColor="text1"/>
          <w:sz w:val="20"/>
          <w:u w:val="single"/>
        </w:rPr>
        <w:t xml:space="preserve">Classement des banques d’après le Bank </w:t>
      </w:r>
      <w:proofErr w:type="spellStart"/>
      <w:r>
        <w:rPr>
          <w:rFonts w:ascii="Segoe UI" w:hAnsi="Segoe UI" w:cs="Segoe UI"/>
          <w:bCs/>
          <w:color w:val="000091" w:themeColor="text1"/>
          <w:sz w:val="20"/>
          <w:u w:val="single"/>
        </w:rPr>
        <w:t>Health</w:t>
      </w:r>
      <w:proofErr w:type="spellEnd"/>
      <w:r>
        <w:rPr>
          <w:rFonts w:ascii="Segoe UI" w:hAnsi="Segoe UI" w:cs="Segoe UI"/>
          <w:bCs/>
          <w:color w:val="000091" w:themeColor="text1"/>
          <w:sz w:val="20"/>
          <w:u w:val="single"/>
        </w:rPr>
        <w:t xml:space="preserve"> Index (BHI) de juin 2023. Source : Banque centrale</w:t>
      </w:r>
      <w:r w:rsidR="004836EB">
        <w:rPr>
          <w:rStyle w:val="Appeldenotedefin"/>
          <w:rFonts w:ascii="Segoe UI" w:hAnsi="Segoe UI" w:cs="Segoe UI"/>
          <w:bCs/>
          <w:color w:val="000091" w:themeColor="text1"/>
          <w:sz w:val="20"/>
          <w:u w:val="single"/>
        </w:rPr>
        <w:endnoteReference w:id="8"/>
      </w:r>
      <w:r w:rsidR="004836EB">
        <w:rPr>
          <w:rFonts w:ascii="Segoe UI" w:hAnsi="Segoe UI" w:cs="Segoe UI"/>
          <w:bCs/>
          <w:color w:val="000091" w:themeColor="text1"/>
          <w:sz w:val="20"/>
          <w:u w:val="single"/>
        </w:rPr>
        <w:br/>
        <w:t>(Rouge : « </w:t>
      </w:r>
      <w:proofErr w:type="spellStart"/>
      <w:r w:rsidR="004836EB">
        <w:rPr>
          <w:rFonts w:ascii="Segoe UI" w:hAnsi="Segoe UI" w:cs="Segoe UI"/>
          <w:bCs/>
          <w:color w:val="000091" w:themeColor="text1"/>
          <w:sz w:val="20"/>
          <w:u w:val="single"/>
        </w:rPr>
        <w:t>poor</w:t>
      </w:r>
      <w:proofErr w:type="spellEnd"/>
      <w:r w:rsidR="004836EB">
        <w:rPr>
          <w:rFonts w:ascii="Segoe UI" w:hAnsi="Segoe UI" w:cs="Segoe UI"/>
          <w:bCs/>
          <w:color w:val="000091" w:themeColor="text1"/>
          <w:sz w:val="20"/>
          <w:u w:val="single"/>
        </w:rPr>
        <w:t> », jaune : « </w:t>
      </w:r>
      <w:proofErr w:type="spellStart"/>
      <w:r w:rsidR="004836EB">
        <w:rPr>
          <w:rFonts w:ascii="Segoe UI" w:hAnsi="Segoe UI" w:cs="Segoe UI"/>
          <w:bCs/>
          <w:color w:val="000091" w:themeColor="text1"/>
          <w:sz w:val="20"/>
          <w:u w:val="single"/>
        </w:rPr>
        <w:t>weak</w:t>
      </w:r>
      <w:proofErr w:type="spellEnd"/>
      <w:r w:rsidR="004836EB">
        <w:rPr>
          <w:rFonts w:ascii="Segoe UI" w:hAnsi="Segoe UI" w:cs="Segoe UI"/>
          <w:bCs/>
          <w:color w:val="000091" w:themeColor="text1"/>
          <w:sz w:val="20"/>
          <w:u w:val="single"/>
        </w:rPr>
        <w:t xml:space="preserve"> », vert : « good ») </w:t>
      </w:r>
    </w:p>
    <w:p w14:paraId="114FAB68" w14:textId="386F5D9E" w:rsidR="007405AB" w:rsidRDefault="007405AB" w:rsidP="007405AB">
      <w:pPr>
        <w:rPr>
          <w:rFonts w:ascii="Segoe UI" w:hAnsi="Segoe UI" w:cs="Segoe UI"/>
          <w:bCs/>
          <w:color w:val="000091" w:themeColor="text1"/>
          <w:sz w:val="20"/>
          <w:u w:val="single"/>
        </w:rPr>
      </w:pPr>
    </w:p>
    <w:p w14:paraId="23675004" w14:textId="4D756638" w:rsidR="007405AB" w:rsidRDefault="007405AB" w:rsidP="007405AB">
      <w:pPr>
        <w:rPr>
          <w:rFonts w:ascii="Segoe UI" w:hAnsi="Segoe UI" w:cs="Segoe UI"/>
          <w:bCs/>
          <w:color w:val="000091" w:themeColor="text1"/>
          <w:sz w:val="20"/>
          <w:u w:val="single"/>
        </w:rPr>
      </w:pPr>
    </w:p>
    <w:p w14:paraId="6332D564" w14:textId="77777777" w:rsidR="007405AB" w:rsidRDefault="007405AB" w:rsidP="007405AB">
      <w:pPr>
        <w:rPr>
          <w:rFonts w:ascii="Segoe UI" w:hAnsi="Segoe UI" w:cs="Segoe UI"/>
          <w:bCs/>
          <w:color w:val="000091" w:themeColor="text1"/>
          <w:sz w:val="20"/>
          <w:u w:val="single"/>
        </w:rPr>
        <w:sectPr w:rsidR="007405AB" w:rsidSect="007405AB">
          <w:endnotePr>
            <w:numFmt w:val="decimal"/>
          </w:endnotePr>
          <w:pgSz w:w="11906" w:h="16838"/>
          <w:pgMar w:top="709" w:right="1274" w:bottom="709" w:left="1417" w:header="708" w:footer="454" w:gutter="0"/>
          <w:cols w:space="708"/>
          <w:docGrid w:linePitch="360"/>
        </w:sectPr>
      </w:pPr>
    </w:p>
    <w:p w14:paraId="27E37FC5" w14:textId="7C897D4C" w:rsidR="00CE132F" w:rsidRPr="001B13AD" w:rsidRDefault="0033440C" w:rsidP="001B13AD">
      <w:pPr>
        <w:jc w:val="center"/>
        <w:rPr>
          <w:rFonts w:ascii="Arial" w:hAnsi="Arial" w:cs="Arial"/>
          <w:bCs/>
          <w:color w:val="000091" w:themeColor="text1"/>
          <w:sz w:val="24"/>
          <w:szCs w:val="28"/>
        </w:rPr>
      </w:pPr>
      <w:r>
        <w:rPr>
          <w:rFonts w:ascii="Segoe UI" w:hAnsi="Segoe UI" w:cs="Segoe UI"/>
          <w:bCs/>
          <w:noProof/>
          <w:color w:val="000091" w:themeColor="text1"/>
          <w:sz w:val="24"/>
          <w:szCs w:val="28"/>
        </w:rPr>
        <w:lastRenderedPageBreak/>
        <mc:AlternateContent>
          <mc:Choice Requires="wps">
            <w:drawing>
              <wp:anchor distT="0" distB="0" distL="114300" distR="114300" simplePos="0" relativeHeight="251671552" behindDoc="1" locked="0" layoutInCell="1" allowOverlap="1" wp14:anchorId="2BDCE18D" wp14:editId="079EA22E">
                <wp:simplePos x="0" y="0"/>
                <wp:positionH relativeFrom="page">
                  <wp:align>left</wp:align>
                </wp:positionH>
                <wp:positionV relativeFrom="paragraph">
                  <wp:posOffset>-448310</wp:posOffset>
                </wp:positionV>
                <wp:extent cx="7677150" cy="13087350"/>
                <wp:effectExtent l="0" t="0" r="0" b="0"/>
                <wp:wrapNone/>
                <wp:docPr id="14" name="Rectangle 14"/>
                <wp:cNvGraphicFramePr/>
                <a:graphic xmlns:a="http://schemas.openxmlformats.org/drawingml/2006/main">
                  <a:graphicData uri="http://schemas.microsoft.com/office/word/2010/wordprocessingShape">
                    <wps:wsp>
                      <wps:cNvSpPr/>
                      <wps:spPr>
                        <a:xfrm>
                          <a:off x="0" y="0"/>
                          <a:ext cx="7677150" cy="13087350"/>
                        </a:xfrm>
                        <a:prstGeom prst="rect">
                          <a:avLst/>
                        </a:prstGeom>
                        <a:solidFill>
                          <a:srgbClr val="FEF8E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8FCE4" id="Rectangle 14" o:spid="_x0000_s1026" style="position:absolute;margin-left:0;margin-top:-35.3pt;width:604.5pt;height:1030.5pt;z-index:-2516449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" fillcolor="#fef8e8" stroked="f" strokeweight="1pt">
                <w10:wrap anchorx="page"/>
              </v:rect>
            </w:pict>
          </mc:Fallback>
        </mc:AlternateContent>
      </w:r>
      <w:r w:rsidR="00AA020A" w:rsidRPr="00924A74">
        <w:rPr>
          <w:rFonts w:ascii="Arial" w:hAnsi="Arial" w:cs="Arial"/>
          <w:bCs/>
          <w:color w:val="000091" w:themeColor="text1"/>
          <w:sz w:val="24"/>
          <w:szCs w:val="28"/>
        </w:rPr>
        <w:t>NOTES DE FIN</w:t>
      </w:r>
    </w:p>
    <w:sectPr w:rsidR="00CE132F" w:rsidRPr="001B13AD" w:rsidSect="00C10B01">
      <w:endnotePr>
        <w:numFmt w:val="decimal"/>
      </w:endnotePr>
      <w:pgSz w:w="11906" w:h="16838"/>
      <w:pgMar w:top="709" w:right="1274" w:bottom="709"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29F5" w14:textId="77777777" w:rsidR="004010A3" w:rsidRDefault="004010A3" w:rsidP="001C2361">
      <w:pPr>
        <w:spacing w:after="0" w:line="240" w:lineRule="auto"/>
      </w:pPr>
      <w:r>
        <w:separator/>
      </w:r>
    </w:p>
  </w:endnote>
  <w:endnote w:type="continuationSeparator" w:id="0">
    <w:p w14:paraId="5BCF8CD1" w14:textId="77777777" w:rsidR="004010A3" w:rsidRDefault="004010A3" w:rsidP="001C2361">
      <w:pPr>
        <w:spacing w:after="0" w:line="240" w:lineRule="auto"/>
      </w:pPr>
      <w:r>
        <w:continuationSeparator/>
      </w:r>
    </w:p>
  </w:endnote>
  <w:endnote w:id="1">
    <w:p w14:paraId="0B32475F" w14:textId="6D129BF5" w:rsidR="00C736A5" w:rsidRDefault="00C736A5" w:rsidP="000F465E">
      <w:pPr>
        <w:pStyle w:val="Notedefin"/>
        <w:spacing w:after="80"/>
        <w:jc w:val="both"/>
      </w:pPr>
      <w:r>
        <w:rPr>
          <w:rStyle w:val="Appeldenotedefin"/>
        </w:rPr>
        <w:endnoteRef/>
      </w:r>
      <w:r>
        <w:t xml:space="preserve"> </w:t>
      </w:r>
      <w:r w:rsidRPr="00C736A5">
        <w:t>La situation varie selon le secteur bancaire. Elle est particulièrement préoccupante pour les banques publiques, où 33 % des prêts accordés sont considérés comme des prêts non performants, contre seulement 8 % pour les banques privées. Pour les banques spécialisées, ce taux s'élève à 13 %.</w:t>
      </w:r>
    </w:p>
  </w:endnote>
  <w:endnote w:id="2">
    <w:p w14:paraId="7BB792A1" w14:textId="78D0C071" w:rsidR="00A11C7D" w:rsidRPr="00EA2021" w:rsidRDefault="00A11C7D" w:rsidP="000F465E">
      <w:pPr>
        <w:pStyle w:val="Notedefin"/>
        <w:spacing w:after="80"/>
      </w:pPr>
      <w:r>
        <w:rPr>
          <w:rStyle w:val="Appeldenotedefin"/>
        </w:rPr>
        <w:endnoteRef/>
      </w:r>
      <w:r w:rsidRPr="00EA2021">
        <w:t xml:space="preserve"> Les principales banques affectées sont : First Security Islami Bank (73 Mds </w:t>
      </w:r>
      <w:proofErr w:type="spellStart"/>
      <w:r w:rsidRPr="00EA2021">
        <w:t>Tk</w:t>
      </w:r>
      <w:proofErr w:type="spellEnd"/>
      <w:r w:rsidRPr="00EA2021">
        <w:t xml:space="preserve">), Social Islami Bank (34 Mds </w:t>
      </w:r>
      <w:proofErr w:type="spellStart"/>
      <w:r w:rsidRPr="00EA2021">
        <w:t>Tk</w:t>
      </w:r>
      <w:proofErr w:type="spellEnd"/>
      <w:r w:rsidRPr="00EA2021">
        <w:t>)</w:t>
      </w:r>
      <w:r w:rsidR="00F13C2C" w:rsidRPr="00EA2021">
        <w:t xml:space="preserve"> et National Bank (23 Mds </w:t>
      </w:r>
      <w:proofErr w:type="spellStart"/>
      <w:r w:rsidR="00F13C2C" w:rsidRPr="00EA2021">
        <w:t>Tk</w:t>
      </w:r>
      <w:proofErr w:type="spellEnd"/>
      <w:r w:rsidR="00F13C2C" w:rsidRPr="00EA2021">
        <w:t xml:space="preserve">). </w:t>
      </w:r>
    </w:p>
    <w:p w14:paraId="47998032" w14:textId="51531774" w:rsidR="00A11C7D" w:rsidRPr="004A53B7" w:rsidRDefault="003B4B3E" w:rsidP="000F465E">
      <w:pPr>
        <w:pStyle w:val="Notedefin"/>
        <w:spacing w:after="80"/>
        <w:rPr>
          <w:lang w:val="en-GB"/>
        </w:rPr>
      </w:pPr>
      <w:hyperlink r:id="rId1" w:history="1">
        <w:r w:rsidR="00A11C7D" w:rsidRPr="004A53B7">
          <w:rPr>
            <w:rStyle w:val="Lienhypertexte"/>
            <w:lang w:val="en-GB"/>
          </w:rPr>
          <w:t>The Business Standard – Nine banks face over Tk18,000cr in liquidity crisis</w:t>
        </w:r>
      </w:hyperlink>
    </w:p>
  </w:endnote>
  <w:endnote w:id="3">
    <w:p w14:paraId="594760C9" w14:textId="45F96F69" w:rsidR="002A7C8A" w:rsidRDefault="002A7C8A" w:rsidP="006404BC">
      <w:pPr>
        <w:pStyle w:val="Notedefin"/>
        <w:spacing w:after="80"/>
      </w:pPr>
      <w:r>
        <w:rPr>
          <w:rStyle w:val="Appeldenotedefin"/>
        </w:rPr>
        <w:endnoteRef/>
      </w:r>
      <w:r>
        <w:t xml:space="preserve"> Il s’agit en d’autres termes d</w:t>
      </w:r>
      <w:r w:rsidRPr="002A7C8A">
        <w:t>es concours nets des banques à l’administration publique, l’une des principales contreparties de l’agrégat cible</w:t>
      </w:r>
      <w:r>
        <w:t xml:space="preserve">. A titre de comparaison, les banques ont financé à hauteur de </w:t>
      </w:r>
      <w:r w:rsidR="00D136AA">
        <w:t>près de 1</w:t>
      </w:r>
      <w:r w:rsidR="006404BC">
        <w:t>47</w:t>
      </w:r>
      <w:r w:rsidR="00D136AA">
        <w:t xml:space="preserve">0 Mds </w:t>
      </w:r>
      <w:proofErr w:type="spellStart"/>
      <w:r w:rsidR="00D136AA">
        <w:t>Tk</w:t>
      </w:r>
      <w:proofErr w:type="spellEnd"/>
      <w:r w:rsidR="00D136AA">
        <w:t xml:space="preserve"> net le secteur privé. </w:t>
      </w:r>
    </w:p>
  </w:endnote>
  <w:endnote w:id="4">
    <w:p w14:paraId="22162C25" w14:textId="77777777" w:rsidR="006D288E" w:rsidRPr="00F87884" w:rsidRDefault="006D288E" w:rsidP="000F465E">
      <w:pPr>
        <w:pStyle w:val="Notedefin"/>
        <w:spacing w:after="80"/>
        <w:rPr>
          <w:lang w:val="en-GB"/>
        </w:rPr>
      </w:pPr>
      <w:r>
        <w:rPr>
          <w:rStyle w:val="Appeldenotedefin"/>
        </w:rPr>
        <w:endnoteRef/>
      </w:r>
      <w:r w:rsidRPr="00F87884">
        <w:rPr>
          <w:lang w:val="en-GB"/>
        </w:rPr>
        <w:t xml:space="preserve"> </w:t>
      </w:r>
      <w:hyperlink r:id="rId2" w:history="1">
        <w:r w:rsidRPr="00F87884">
          <w:rPr>
            <w:rStyle w:val="Lienhypertexte"/>
            <w:lang w:val="en-GB"/>
          </w:rPr>
          <w:t>Transparency International Bangladesh</w:t>
        </w:r>
      </w:hyperlink>
    </w:p>
  </w:endnote>
  <w:endnote w:id="5">
    <w:p w14:paraId="07BAF019" w14:textId="77777777" w:rsidR="006D288E" w:rsidRDefault="006D288E" w:rsidP="000F465E">
      <w:pPr>
        <w:pStyle w:val="Notedefin"/>
        <w:spacing w:after="80"/>
        <w:rPr>
          <w:lang w:val="en-GB"/>
        </w:rPr>
      </w:pPr>
      <w:r>
        <w:rPr>
          <w:rStyle w:val="Appeldenotedefin"/>
        </w:rPr>
        <w:endnoteRef/>
      </w:r>
      <w:r>
        <w:rPr>
          <w:lang w:val="en-GB"/>
        </w:rPr>
        <w:t xml:space="preserve"> </w:t>
      </w:r>
      <w:hyperlink r:id="rId3" w:history="1">
        <w:r>
          <w:rPr>
            <w:rStyle w:val="Lienhypertexte"/>
            <w:lang w:val="en-GB"/>
          </w:rPr>
          <w:t>Bangladesh Bank Governor rules out printing money to bail out troubled banks | The Financial Express</w:t>
        </w:r>
      </w:hyperlink>
    </w:p>
  </w:endnote>
  <w:endnote w:id="6">
    <w:p w14:paraId="493DBCF8" w14:textId="55A84AE8" w:rsidR="00165668" w:rsidRPr="00165668" w:rsidRDefault="00165668" w:rsidP="000F465E">
      <w:pPr>
        <w:pStyle w:val="Notedefin"/>
        <w:spacing w:after="80"/>
        <w:rPr>
          <w:lang w:val="en-US"/>
        </w:rPr>
      </w:pPr>
      <w:r>
        <w:rPr>
          <w:rStyle w:val="Appeldenotedefin"/>
        </w:rPr>
        <w:endnoteRef/>
      </w:r>
      <w:r w:rsidRPr="00165668">
        <w:rPr>
          <w:lang w:val="en-US"/>
        </w:rPr>
        <w:t xml:space="preserve"> </w:t>
      </w:r>
      <w:proofErr w:type="spellStart"/>
      <w:r w:rsidRPr="00165668">
        <w:rPr>
          <w:lang w:val="en-US"/>
        </w:rPr>
        <w:t>C’est</w:t>
      </w:r>
      <w:proofErr w:type="spellEnd"/>
      <w:r w:rsidRPr="00165668">
        <w:rPr>
          <w:lang w:val="en-US"/>
        </w:rPr>
        <w:t xml:space="preserve"> le </w:t>
      </w:r>
      <w:proofErr w:type="spellStart"/>
      <w:r w:rsidRPr="00165668">
        <w:rPr>
          <w:lang w:val="en-US"/>
        </w:rPr>
        <w:t>cas</w:t>
      </w:r>
      <w:proofErr w:type="spellEnd"/>
      <w:r w:rsidRPr="00165668">
        <w:rPr>
          <w:lang w:val="en-US"/>
        </w:rPr>
        <w:t xml:space="preserve"> de National Bank, Union, Global </w:t>
      </w:r>
      <w:proofErr w:type="spellStart"/>
      <w:r w:rsidRPr="00165668">
        <w:rPr>
          <w:lang w:val="en-US"/>
        </w:rPr>
        <w:t>Islami</w:t>
      </w:r>
      <w:proofErr w:type="spellEnd"/>
      <w:r w:rsidRPr="00165668">
        <w:rPr>
          <w:lang w:val="en-US"/>
        </w:rPr>
        <w:t xml:space="preserve">, UCB, Social </w:t>
      </w:r>
      <w:proofErr w:type="spellStart"/>
      <w:r w:rsidRPr="00165668">
        <w:rPr>
          <w:lang w:val="en-US"/>
        </w:rPr>
        <w:t>Islami</w:t>
      </w:r>
      <w:proofErr w:type="spellEnd"/>
      <w:r w:rsidRPr="00165668">
        <w:rPr>
          <w:lang w:val="en-US"/>
        </w:rPr>
        <w:t xml:space="preserve">, </w:t>
      </w:r>
      <w:proofErr w:type="spellStart"/>
      <w:r w:rsidRPr="00165668">
        <w:rPr>
          <w:lang w:val="en-US"/>
        </w:rPr>
        <w:t>Islami</w:t>
      </w:r>
      <w:proofErr w:type="spellEnd"/>
      <w:r w:rsidRPr="00165668">
        <w:rPr>
          <w:lang w:val="en-US"/>
        </w:rPr>
        <w:t xml:space="preserve"> Bank, First </w:t>
      </w:r>
      <w:proofErr w:type="spellStart"/>
      <w:r w:rsidRPr="00165668">
        <w:rPr>
          <w:lang w:val="en-US"/>
        </w:rPr>
        <w:t>Secu</w:t>
      </w:r>
      <w:r>
        <w:rPr>
          <w:lang w:val="en-US"/>
        </w:rPr>
        <w:t>tiy</w:t>
      </w:r>
      <w:proofErr w:type="spellEnd"/>
      <w:r>
        <w:rPr>
          <w:lang w:val="en-US"/>
        </w:rPr>
        <w:t xml:space="preserve"> </w:t>
      </w:r>
      <w:proofErr w:type="spellStart"/>
      <w:r>
        <w:rPr>
          <w:lang w:val="en-US"/>
        </w:rPr>
        <w:t>Islami</w:t>
      </w:r>
      <w:proofErr w:type="spellEnd"/>
      <w:r w:rsidR="00696F1A">
        <w:rPr>
          <w:lang w:val="en-US"/>
        </w:rPr>
        <w:t xml:space="preserve">, EXIM Bank </w:t>
      </w:r>
    </w:p>
  </w:endnote>
  <w:endnote w:id="7">
    <w:p w14:paraId="0AA51D0F" w14:textId="69F26327" w:rsidR="000F465E" w:rsidRPr="000F465E" w:rsidRDefault="000F465E" w:rsidP="000F465E">
      <w:pPr>
        <w:pStyle w:val="Notedefin"/>
        <w:spacing w:after="80"/>
        <w:rPr>
          <w:lang w:val="en-US"/>
        </w:rPr>
      </w:pPr>
      <w:r>
        <w:rPr>
          <w:rStyle w:val="Appeldenotedefin"/>
        </w:rPr>
        <w:endnoteRef/>
      </w:r>
      <w:r w:rsidRPr="000F465E">
        <w:rPr>
          <w:lang w:val="en-US"/>
        </w:rPr>
        <w:t xml:space="preserve"> </w:t>
      </w:r>
      <w:hyperlink r:id="rId4" w:history="1">
        <w:r w:rsidRPr="00F06408">
          <w:rPr>
            <w:rStyle w:val="Lienhypertexte"/>
            <w:lang w:val="en-US"/>
          </w:rPr>
          <w:t>https://www.thedailystar.net/news/bangladesh/news/no-bank-will-be-closed-3756961</w:t>
        </w:r>
      </w:hyperlink>
      <w:r>
        <w:rPr>
          <w:lang w:val="en-US"/>
        </w:rPr>
        <w:t xml:space="preserve"> </w:t>
      </w:r>
    </w:p>
  </w:endnote>
  <w:endnote w:id="8">
    <w:p w14:paraId="015EF209" w14:textId="4247DA8E" w:rsidR="004836EB" w:rsidRPr="004836EB" w:rsidRDefault="004836EB" w:rsidP="000F465E">
      <w:pPr>
        <w:pStyle w:val="Notedefin"/>
        <w:spacing w:after="80"/>
        <w:rPr>
          <w:lang w:val="en-US"/>
        </w:rPr>
      </w:pPr>
      <w:r>
        <w:rPr>
          <w:rStyle w:val="Appeldenotedefin"/>
        </w:rPr>
        <w:endnoteRef/>
      </w:r>
      <w:r w:rsidRPr="004836EB">
        <w:rPr>
          <w:lang w:val="en-US"/>
        </w:rPr>
        <w:t xml:space="preserve"> </w:t>
      </w:r>
      <w:hyperlink r:id="rId5" w:history="1">
        <w:r w:rsidRPr="00F42925">
          <w:rPr>
            <w:rStyle w:val="Lienhypertexte"/>
            <w:lang w:val="en-US"/>
          </w:rPr>
          <w:t>https://www.tbsnews.net/economy/banking/which-banks-in-bangladesh-have-been-declared-weak-central-bank-which-are-good-807522</w:t>
        </w:r>
      </w:hyperlink>
      <w:r>
        <w:rPr>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07077"/>
      <w:docPartObj>
        <w:docPartGallery w:val="Page Numbers (Bottom of Page)"/>
        <w:docPartUnique/>
      </w:docPartObj>
    </w:sdtPr>
    <w:sdtEndPr/>
    <w:sdtContent>
      <w:sdt>
        <w:sdtPr>
          <w:id w:val="-1705238520"/>
          <w:docPartObj>
            <w:docPartGallery w:val="Page Numbers (Top of Page)"/>
            <w:docPartUnique/>
          </w:docPartObj>
        </w:sdtPr>
        <w:sdtEndPr/>
        <w:sdtContent>
          <w:p w14:paraId="0AEF2C12" w14:textId="317553B9" w:rsidR="00C10B01" w:rsidRDefault="00C10B01" w:rsidP="00C10B01">
            <w:pPr>
              <w:pStyle w:val="Pieddepage"/>
              <w:jc w:val="center"/>
            </w:pPr>
            <w:r w:rsidRPr="00C10B01">
              <w:rPr>
                <w:rFonts w:ascii="Segoe UI" w:hAnsi="Segoe UI" w:cs="Segoe UI"/>
                <w:sz w:val="18"/>
                <w:szCs w:val="18"/>
              </w:rPr>
              <w:fldChar w:fldCharType="begin"/>
            </w:r>
            <w:r w:rsidRPr="00C10B01">
              <w:rPr>
                <w:rFonts w:ascii="Segoe UI" w:hAnsi="Segoe UI" w:cs="Segoe UI"/>
                <w:sz w:val="18"/>
                <w:szCs w:val="18"/>
              </w:rPr>
              <w:instrText>PAGE</w:instrText>
            </w:r>
            <w:r w:rsidRPr="00C10B01">
              <w:rPr>
                <w:rFonts w:ascii="Segoe UI" w:hAnsi="Segoe UI" w:cs="Segoe UI"/>
                <w:sz w:val="18"/>
                <w:szCs w:val="18"/>
              </w:rPr>
              <w:fldChar w:fldCharType="separate"/>
            </w:r>
            <w:r w:rsidRPr="00C10B01">
              <w:rPr>
                <w:rFonts w:ascii="Segoe UI" w:hAnsi="Segoe UI" w:cs="Segoe UI"/>
                <w:sz w:val="18"/>
                <w:szCs w:val="18"/>
              </w:rPr>
              <w:t>2</w:t>
            </w:r>
            <w:r w:rsidRPr="00C10B01">
              <w:rPr>
                <w:rFonts w:ascii="Segoe UI" w:hAnsi="Segoe UI" w:cs="Segoe UI"/>
                <w:sz w:val="18"/>
                <w:szCs w:val="18"/>
              </w:rPr>
              <w:fldChar w:fldCharType="end"/>
            </w:r>
            <w:r w:rsidRPr="00C10B01">
              <w:rPr>
                <w:rFonts w:ascii="Segoe UI" w:hAnsi="Segoe UI" w:cs="Segoe UI"/>
                <w:sz w:val="18"/>
                <w:szCs w:val="18"/>
              </w:rPr>
              <w:t>/</w:t>
            </w:r>
            <w:r w:rsidRPr="00C10B01">
              <w:rPr>
                <w:rFonts w:ascii="Segoe UI" w:hAnsi="Segoe UI" w:cs="Segoe UI"/>
                <w:sz w:val="18"/>
                <w:szCs w:val="18"/>
              </w:rPr>
              <w:fldChar w:fldCharType="begin"/>
            </w:r>
            <w:r w:rsidRPr="00C10B01">
              <w:rPr>
                <w:rFonts w:ascii="Segoe UI" w:hAnsi="Segoe UI" w:cs="Segoe UI"/>
                <w:sz w:val="18"/>
                <w:szCs w:val="18"/>
              </w:rPr>
              <w:instrText>NUMPAGES</w:instrText>
            </w:r>
            <w:r w:rsidRPr="00C10B01">
              <w:rPr>
                <w:rFonts w:ascii="Segoe UI" w:hAnsi="Segoe UI" w:cs="Segoe UI"/>
                <w:sz w:val="18"/>
                <w:szCs w:val="18"/>
              </w:rPr>
              <w:fldChar w:fldCharType="separate"/>
            </w:r>
            <w:r w:rsidRPr="00C10B01">
              <w:rPr>
                <w:rFonts w:ascii="Segoe UI" w:hAnsi="Segoe UI" w:cs="Segoe UI"/>
                <w:sz w:val="18"/>
                <w:szCs w:val="18"/>
              </w:rPr>
              <w:t>2</w:t>
            </w:r>
            <w:r w:rsidRPr="00C10B01">
              <w:rPr>
                <w:rFonts w:ascii="Segoe UI" w:hAnsi="Segoe UI" w:cs="Segoe UI"/>
                <w:sz w:val="18"/>
                <w:szCs w:val="18"/>
              </w:rPr>
              <w:fldChar w:fldCharType="end"/>
            </w:r>
          </w:p>
        </w:sdtContent>
      </w:sdt>
    </w:sdtContent>
  </w:sdt>
  <w:p w14:paraId="6A6198BA" w14:textId="77777777" w:rsidR="00C10B01" w:rsidRDefault="00C10B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2988" w14:textId="77777777" w:rsidR="004010A3" w:rsidRDefault="004010A3" w:rsidP="001C2361">
      <w:pPr>
        <w:spacing w:after="0" w:line="240" w:lineRule="auto"/>
      </w:pPr>
      <w:r>
        <w:separator/>
      </w:r>
    </w:p>
  </w:footnote>
  <w:footnote w:type="continuationSeparator" w:id="0">
    <w:p w14:paraId="0C7000AE" w14:textId="77777777" w:rsidR="004010A3" w:rsidRDefault="004010A3"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337"/>
    <w:multiLevelType w:val="hybridMultilevel"/>
    <w:tmpl w:val="49222B72"/>
    <w:lvl w:ilvl="0" w:tplc="4F7A7D8E">
      <w:numFmt w:val="bullet"/>
      <w:lvlText w:val=""/>
      <w:lvlJc w:val="left"/>
      <w:pPr>
        <w:ind w:left="1440" w:hanging="360"/>
      </w:pPr>
      <w:rPr>
        <w:rFonts w:ascii="Symbol" w:eastAsiaTheme="minorHAnsi" w:hAnsi="Symbol"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DF0AC3"/>
    <w:multiLevelType w:val="hybridMultilevel"/>
    <w:tmpl w:val="F9A24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0C640DF0"/>
    <w:multiLevelType w:val="hybridMultilevel"/>
    <w:tmpl w:val="F29C0D7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0FE73C43"/>
    <w:multiLevelType w:val="hybridMultilevel"/>
    <w:tmpl w:val="A8CC13C8"/>
    <w:lvl w:ilvl="0" w:tplc="3C16A42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17262DE"/>
    <w:multiLevelType w:val="hybridMultilevel"/>
    <w:tmpl w:val="4C7CA4B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A9550B3"/>
    <w:multiLevelType w:val="hybridMultilevel"/>
    <w:tmpl w:val="A0EE6F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3"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221319F"/>
    <w:multiLevelType w:val="hybridMultilevel"/>
    <w:tmpl w:val="1D66518E"/>
    <w:lvl w:ilvl="0" w:tplc="E140F8D2">
      <w:start w:val="2"/>
      <w:numFmt w:val="bullet"/>
      <w:lvlText w:val="-"/>
      <w:lvlJc w:val="left"/>
      <w:pPr>
        <w:ind w:left="720" w:hanging="360"/>
      </w:pPr>
      <w:rPr>
        <w:rFonts w:ascii="Segoe UI" w:eastAsia="Times New Roman" w:hAnsi="Segoe UI" w:cs="Segoe U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FA1051"/>
    <w:multiLevelType w:val="hybridMultilevel"/>
    <w:tmpl w:val="CE80A3B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783E49B2">
      <w:start w:val="2"/>
      <w:numFmt w:val="decimal"/>
      <w:lvlText w:val="%3)"/>
      <w:lvlJc w:val="left"/>
      <w:pPr>
        <w:ind w:left="2340" w:hanging="360"/>
      </w:pPr>
      <w:rPr>
        <w:rFonts w:hint="default"/>
        <w:b w:val="0"/>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F0F10DC"/>
    <w:multiLevelType w:val="hybridMultilevel"/>
    <w:tmpl w:val="A3AA411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430F5E"/>
    <w:multiLevelType w:val="hybridMultilevel"/>
    <w:tmpl w:val="2B12CECE"/>
    <w:lvl w:ilvl="0" w:tplc="2AB24902">
      <w:start w:val="3"/>
      <w:numFmt w:val="bullet"/>
      <w:lvlText w:val="-"/>
      <w:lvlJc w:val="left"/>
      <w:pPr>
        <w:ind w:left="76" w:hanging="360"/>
      </w:pPr>
      <w:rPr>
        <w:rFonts w:ascii="Segoe UI" w:eastAsiaTheme="minorHAnsi" w:hAnsi="Segoe UI" w:cs="Segoe U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21"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9291142"/>
    <w:multiLevelType w:val="hybridMultilevel"/>
    <w:tmpl w:val="F29C0D7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EA86C3C"/>
    <w:multiLevelType w:val="hybridMultilevel"/>
    <w:tmpl w:val="992A77BA"/>
    <w:lvl w:ilvl="0" w:tplc="19A648BA">
      <w:numFmt w:val="bullet"/>
      <w:lvlText w:val=""/>
      <w:lvlJc w:val="left"/>
      <w:pPr>
        <w:ind w:left="720" w:hanging="360"/>
      </w:pPr>
      <w:rPr>
        <w:rFonts w:ascii="Symbol" w:eastAsiaTheme="minorHAnsi" w:hAnsi="Symbol"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6" w15:restartNumberingAfterBreak="0">
    <w:nsid w:val="76ED386E"/>
    <w:multiLevelType w:val="hybridMultilevel"/>
    <w:tmpl w:val="800CC40A"/>
    <w:lvl w:ilvl="0" w:tplc="21D2EA92">
      <w:start w:val="1"/>
      <w:numFmt w:val="decimal"/>
      <w:lvlText w:val="%1."/>
      <w:lvlJc w:val="left"/>
      <w:pPr>
        <w:ind w:left="76" w:hanging="360"/>
      </w:pPr>
      <w:rPr>
        <w:rFonts w:ascii="Segoe UI" w:hAnsi="Segoe UI" w:cs="Segoe UI" w:hint="default"/>
        <w:color w:val="000091" w:themeColor="text1"/>
        <w:sz w:val="22"/>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27"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AFE3B30"/>
    <w:multiLevelType w:val="hybridMultilevel"/>
    <w:tmpl w:val="3D2C0CD6"/>
    <w:lvl w:ilvl="0" w:tplc="5F42D0B4">
      <w:start w:val="1"/>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7"/>
  </w:num>
  <w:num w:numId="6">
    <w:abstractNumId w:val="23"/>
  </w:num>
  <w:num w:numId="7">
    <w:abstractNumId w:val="9"/>
  </w:num>
  <w:num w:numId="8">
    <w:abstractNumId w:val="8"/>
  </w:num>
  <w:num w:numId="9">
    <w:abstractNumId w:val="2"/>
  </w:num>
  <w:num w:numId="10">
    <w:abstractNumId w:val="15"/>
  </w:num>
  <w:num w:numId="11">
    <w:abstractNumId w:val="11"/>
  </w:num>
  <w:num w:numId="12">
    <w:abstractNumId w:val="1"/>
  </w:num>
  <w:num w:numId="13">
    <w:abstractNumId w:val="4"/>
  </w:num>
  <w:num w:numId="14">
    <w:abstractNumId w:val="19"/>
  </w:num>
  <w:num w:numId="15">
    <w:abstractNumId w:val="12"/>
  </w:num>
  <w:num w:numId="16">
    <w:abstractNumId w:val="26"/>
  </w:num>
  <w:num w:numId="17">
    <w:abstractNumId w:val="3"/>
  </w:num>
  <w:num w:numId="18">
    <w:abstractNumId w:val="24"/>
  </w:num>
  <w:num w:numId="19">
    <w:abstractNumId w:val="6"/>
  </w:num>
  <w:num w:numId="20">
    <w:abstractNumId w:val="16"/>
  </w:num>
  <w:num w:numId="21">
    <w:abstractNumId w:val="18"/>
  </w:num>
  <w:num w:numId="22">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4"/>
  </w:num>
  <w:num w:numId="26">
    <w:abstractNumId w:val="20"/>
  </w:num>
  <w:num w:numId="27">
    <w:abstractNumId w:val="28"/>
  </w:num>
  <w:num w:numId="28">
    <w:abstractNumId w:val="22"/>
  </w:num>
  <w:num w:numId="29">
    <w:abstractNumId w:val="10"/>
  </w:num>
  <w:num w:numId="30">
    <w:abstractNumId w:val="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118E"/>
    <w:rsid w:val="00002BD8"/>
    <w:rsid w:val="000064C1"/>
    <w:rsid w:val="00006D9E"/>
    <w:rsid w:val="00006E50"/>
    <w:rsid w:val="00020EE2"/>
    <w:rsid w:val="00022880"/>
    <w:rsid w:val="00022F44"/>
    <w:rsid w:val="00023FC2"/>
    <w:rsid w:val="00024AA4"/>
    <w:rsid w:val="00031533"/>
    <w:rsid w:val="00034D38"/>
    <w:rsid w:val="00037965"/>
    <w:rsid w:val="00043569"/>
    <w:rsid w:val="00045CF8"/>
    <w:rsid w:val="000463E0"/>
    <w:rsid w:val="000473E4"/>
    <w:rsid w:val="00050225"/>
    <w:rsid w:val="000524C6"/>
    <w:rsid w:val="000534EC"/>
    <w:rsid w:val="00054BE4"/>
    <w:rsid w:val="00055F8A"/>
    <w:rsid w:val="00057BCB"/>
    <w:rsid w:val="0006271C"/>
    <w:rsid w:val="00064115"/>
    <w:rsid w:val="00064399"/>
    <w:rsid w:val="000676F2"/>
    <w:rsid w:val="00071F97"/>
    <w:rsid w:val="00074525"/>
    <w:rsid w:val="000763B3"/>
    <w:rsid w:val="00080037"/>
    <w:rsid w:val="000829FF"/>
    <w:rsid w:val="00092B72"/>
    <w:rsid w:val="00097777"/>
    <w:rsid w:val="000A033F"/>
    <w:rsid w:val="000A1918"/>
    <w:rsid w:val="000C3C2E"/>
    <w:rsid w:val="000C3F16"/>
    <w:rsid w:val="000C5622"/>
    <w:rsid w:val="000D6013"/>
    <w:rsid w:val="000E1E2F"/>
    <w:rsid w:val="000E7793"/>
    <w:rsid w:val="000F157B"/>
    <w:rsid w:val="000F2C4E"/>
    <w:rsid w:val="000F465E"/>
    <w:rsid w:val="00100569"/>
    <w:rsid w:val="00100C95"/>
    <w:rsid w:val="001074CF"/>
    <w:rsid w:val="001105E1"/>
    <w:rsid w:val="001109EF"/>
    <w:rsid w:val="0011136E"/>
    <w:rsid w:val="00111C32"/>
    <w:rsid w:val="00121A16"/>
    <w:rsid w:val="0012430D"/>
    <w:rsid w:val="00131FA9"/>
    <w:rsid w:val="001339ED"/>
    <w:rsid w:val="00134DE8"/>
    <w:rsid w:val="001360A8"/>
    <w:rsid w:val="0014738C"/>
    <w:rsid w:val="00147754"/>
    <w:rsid w:val="001504FD"/>
    <w:rsid w:val="001505C0"/>
    <w:rsid w:val="00152C27"/>
    <w:rsid w:val="00164B00"/>
    <w:rsid w:val="00165668"/>
    <w:rsid w:val="001659C5"/>
    <w:rsid w:val="0017582C"/>
    <w:rsid w:val="00175E92"/>
    <w:rsid w:val="0017604B"/>
    <w:rsid w:val="00181FCF"/>
    <w:rsid w:val="00182119"/>
    <w:rsid w:val="00183D5C"/>
    <w:rsid w:val="00184135"/>
    <w:rsid w:val="00187EBF"/>
    <w:rsid w:val="0019173B"/>
    <w:rsid w:val="0019280B"/>
    <w:rsid w:val="001A1A43"/>
    <w:rsid w:val="001A1CD5"/>
    <w:rsid w:val="001A20EC"/>
    <w:rsid w:val="001A528E"/>
    <w:rsid w:val="001A5A37"/>
    <w:rsid w:val="001B13AD"/>
    <w:rsid w:val="001B1CF0"/>
    <w:rsid w:val="001B490B"/>
    <w:rsid w:val="001B748B"/>
    <w:rsid w:val="001C100F"/>
    <w:rsid w:val="001C2361"/>
    <w:rsid w:val="001C2832"/>
    <w:rsid w:val="001C2995"/>
    <w:rsid w:val="001D1F3C"/>
    <w:rsid w:val="001D6517"/>
    <w:rsid w:val="001E4D67"/>
    <w:rsid w:val="001E519F"/>
    <w:rsid w:val="001F1823"/>
    <w:rsid w:val="001F235A"/>
    <w:rsid w:val="001F2D7C"/>
    <w:rsid w:val="0020116A"/>
    <w:rsid w:val="00203A48"/>
    <w:rsid w:val="00206A4B"/>
    <w:rsid w:val="002074E1"/>
    <w:rsid w:val="002145B2"/>
    <w:rsid w:val="002208E2"/>
    <w:rsid w:val="00223554"/>
    <w:rsid w:val="00224CE0"/>
    <w:rsid w:val="00225798"/>
    <w:rsid w:val="002261E3"/>
    <w:rsid w:val="002415C7"/>
    <w:rsid w:val="00246C65"/>
    <w:rsid w:val="002503C5"/>
    <w:rsid w:val="00250474"/>
    <w:rsid w:val="00250F27"/>
    <w:rsid w:val="002550BB"/>
    <w:rsid w:val="00255F30"/>
    <w:rsid w:val="0025615A"/>
    <w:rsid w:val="00257E48"/>
    <w:rsid w:val="00267188"/>
    <w:rsid w:val="002762C9"/>
    <w:rsid w:val="00281BCD"/>
    <w:rsid w:val="00282978"/>
    <w:rsid w:val="00285045"/>
    <w:rsid w:val="00293507"/>
    <w:rsid w:val="00293A29"/>
    <w:rsid w:val="002A1E8C"/>
    <w:rsid w:val="002A3E5E"/>
    <w:rsid w:val="002A7C8A"/>
    <w:rsid w:val="002B0099"/>
    <w:rsid w:val="002D13A2"/>
    <w:rsid w:val="002D4C04"/>
    <w:rsid w:val="002E4A60"/>
    <w:rsid w:val="002E6890"/>
    <w:rsid w:val="002E68A6"/>
    <w:rsid w:val="002E7383"/>
    <w:rsid w:val="002F210F"/>
    <w:rsid w:val="002F2945"/>
    <w:rsid w:val="0030017B"/>
    <w:rsid w:val="00301021"/>
    <w:rsid w:val="0030148A"/>
    <w:rsid w:val="0031767C"/>
    <w:rsid w:val="00317870"/>
    <w:rsid w:val="00322174"/>
    <w:rsid w:val="003221FE"/>
    <w:rsid w:val="003232BE"/>
    <w:rsid w:val="00323A4A"/>
    <w:rsid w:val="0032485B"/>
    <w:rsid w:val="003257BD"/>
    <w:rsid w:val="00327C91"/>
    <w:rsid w:val="0033036F"/>
    <w:rsid w:val="00330428"/>
    <w:rsid w:val="00332310"/>
    <w:rsid w:val="003339CE"/>
    <w:rsid w:val="0033440C"/>
    <w:rsid w:val="0033550C"/>
    <w:rsid w:val="003407BF"/>
    <w:rsid w:val="00341E94"/>
    <w:rsid w:val="00341EC1"/>
    <w:rsid w:val="00344131"/>
    <w:rsid w:val="00347F9E"/>
    <w:rsid w:val="00351E1C"/>
    <w:rsid w:val="00352D91"/>
    <w:rsid w:val="00353F5B"/>
    <w:rsid w:val="00357DC3"/>
    <w:rsid w:val="00363FBC"/>
    <w:rsid w:val="00371090"/>
    <w:rsid w:val="003735AF"/>
    <w:rsid w:val="00373E44"/>
    <w:rsid w:val="00374D7B"/>
    <w:rsid w:val="00377143"/>
    <w:rsid w:val="00377431"/>
    <w:rsid w:val="00381E56"/>
    <w:rsid w:val="003847EC"/>
    <w:rsid w:val="00387D79"/>
    <w:rsid w:val="003900A7"/>
    <w:rsid w:val="00390ECD"/>
    <w:rsid w:val="003955A9"/>
    <w:rsid w:val="003969BC"/>
    <w:rsid w:val="003972FD"/>
    <w:rsid w:val="003A1D94"/>
    <w:rsid w:val="003A37CC"/>
    <w:rsid w:val="003A38F8"/>
    <w:rsid w:val="003A7611"/>
    <w:rsid w:val="003A7EB8"/>
    <w:rsid w:val="003B1A22"/>
    <w:rsid w:val="003B23F3"/>
    <w:rsid w:val="003B25E6"/>
    <w:rsid w:val="003B33D3"/>
    <w:rsid w:val="003B4B3E"/>
    <w:rsid w:val="003B519C"/>
    <w:rsid w:val="003B67F0"/>
    <w:rsid w:val="003C5AE7"/>
    <w:rsid w:val="003D2467"/>
    <w:rsid w:val="003D2AD3"/>
    <w:rsid w:val="003D516A"/>
    <w:rsid w:val="003D5550"/>
    <w:rsid w:val="003D6537"/>
    <w:rsid w:val="003E3511"/>
    <w:rsid w:val="003E4CE0"/>
    <w:rsid w:val="003F2188"/>
    <w:rsid w:val="003F7DA7"/>
    <w:rsid w:val="004010A3"/>
    <w:rsid w:val="00401AC6"/>
    <w:rsid w:val="00401E2D"/>
    <w:rsid w:val="004028A2"/>
    <w:rsid w:val="0040330E"/>
    <w:rsid w:val="00406D60"/>
    <w:rsid w:val="00415F39"/>
    <w:rsid w:val="004300B3"/>
    <w:rsid w:val="004311AF"/>
    <w:rsid w:val="00431292"/>
    <w:rsid w:val="004372C1"/>
    <w:rsid w:val="00445C93"/>
    <w:rsid w:val="00446B84"/>
    <w:rsid w:val="00450D73"/>
    <w:rsid w:val="00452C51"/>
    <w:rsid w:val="00457B18"/>
    <w:rsid w:val="00463378"/>
    <w:rsid w:val="00463682"/>
    <w:rsid w:val="00464B50"/>
    <w:rsid w:val="00470848"/>
    <w:rsid w:val="0047114B"/>
    <w:rsid w:val="004711FA"/>
    <w:rsid w:val="004716CD"/>
    <w:rsid w:val="00471702"/>
    <w:rsid w:val="00472C6F"/>
    <w:rsid w:val="00477E66"/>
    <w:rsid w:val="00480473"/>
    <w:rsid w:val="00481E43"/>
    <w:rsid w:val="004836EB"/>
    <w:rsid w:val="00487182"/>
    <w:rsid w:val="004908E5"/>
    <w:rsid w:val="00490B3C"/>
    <w:rsid w:val="00496D10"/>
    <w:rsid w:val="004A28DB"/>
    <w:rsid w:val="004B4205"/>
    <w:rsid w:val="004B7410"/>
    <w:rsid w:val="004C2111"/>
    <w:rsid w:val="004C3273"/>
    <w:rsid w:val="004C3EB9"/>
    <w:rsid w:val="004C47A3"/>
    <w:rsid w:val="004C5B26"/>
    <w:rsid w:val="004C719C"/>
    <w:rsid w:val="004D3F3C"/>
    <w:rsid w:val="004D444C"/>
    <w:rsid w:val="004D52A8"/>
    <w:rsid w:val="004D735C"/>
    <w:rsid w:val="004D7C76"/>
    <w:rsid w:val="004E6384"/>
    <w:rsid w:val="004E6C1A"/>
    <w:rsid w:val="004E6DB3"/>
    <w:rsid w:val="004E7972"/>
    <w:rsid w:val="004E7C2E"/>
    <w:rsid w:val="004F20A5"/>
    <w:rsid w:val="004F211B"/>
    <w:rsid w:val="00501448"/>
    <w:rsid w:val="00505178"/>
    <w:rsid w:val="005077FB"/>
    <w:rsid w:val="00523BAF"/>
    <w:rsid w:val="005253D0"/>
    <w:rsid w:val="00526AD6"/>
    <w:rsid w:val="00532CDF"/>
    <w:rsid w:val="00532CE3"/>
    <w:rsid w:val="00533C10"/>
    <w:rsid w:val="00541AB4"/>
    <w:rsid w:val="00543CA9"/>
    <w:rsid w:val="00545FE6"/>
    <w:rsid w:val="00557E89"/>
    <w:rsid w:val="00560C7F"/>
    <w:rsid w:val="00561CC4"/>
    <w:rsid w:val="0056238B"/>
    <w:rsid w:val="00564C50"/>
    <w:rsid w:val="005667E0"/>
    <w:rsid w:val="00570D3F"/>
    <w:rsid w:val="00574615"/>
    <w:rsid w:val="00575F99"/>
    <w:rsid w:val="00576E60"/>
    <w:rsid w:val="005806A2"/>
    <w:rsid w:val="00582370"/>
    <w:rsid w:val="00584799"/>
    <w:rsid w:val="005850B7"/>
    <w:rsid w:val="005875AC"/>
    <w:rsid w:val="00590894"/>
    <w:rsid w:val="00591EEF"/>
    <w:rsid w:val="0059242E"/>
    <w:rsid w:val="00595003"/>
    <w:rsid w:val="005A1ECF"/>
    <w:rsid w:val="005A5D69"/>
    <w:rsid w:val="005B073C"/>
    <w:rsid w:val="005B11C7"/>
    <w:rsid w:val="005B1612"/>
    <w:rsid w:val="005B28D9"/>
    <w:rsid w:val="005B2A11"/>
    <w:rsid w:val="005B3D03"/>
    <w:rsid w:val="005B3D40"/>
    <w:rsid w:val="005B7008"/>
    <w:rsid w:val="005B7471"/>
    <w:rsid w:val="005C04CE"/>
    <w:rsid w:val="005C55F0"/>
    <w:rsid w:val="005C5BA2"/>
    <w:rsid w:val="005E3D58"/>
    <w:rsid w:val="005E5D58"/>
    <w:rsid w:val="005E6892"/>
    <w:rsid w:val="005E6FED"/>
    <w:rsid w:val="005F3966"/>
    <w:rsid w:val="005F49B9"/>
    <w:rsid w:val="005F6235"/>
    <w:rsid w:val="00605D7F"/>
    <w:rsid w:val="00610942"/>
    <w:rsid w:val="00611882"/>
    <w:rsid w:val="006151C8"/>
    <w:rsid w:val="00616EE2"/>
    <w:rsid w:val="0062250E"/>
    <w:rsid w:val="00624A94"/>
    <w:rsid w:val="00627753"/>
    <w:rsid w:val="00632692"/>
    <w:rsid w:val="006333CB"/>
    <w:rsid w:val="006404BC"/>
    <w:rsid w:val="0064054C"/>
    <w:rsid w:val="00641868"/>
    <w:rsid w:val="00641FEC"/>
    <w:rsid w:val="00643BA1"/>
    <w:rsid w:val="006458AE"/>
    <w:rsid w:val="006477A2"/>
    <w:rsid w:val="00650618"/>
    <w:rsid w:val="0065404D"/>
    <w:rsid w:val="006600F3"/>
    <w:rsid w:val="00664740"/>
    <w:rsid w:val="00671D1C"/>
    <w:rsid w:val="006732F0"/>
    <w:rsid w:val="006744F5"/>
    <w:rsid w:val="006769ED"/>
    <w:rsid w:val="00677717"/>
    <w:rsid w:val="006867E5"/>
    <w:rsid w:val="00692AEB"/>
    <w:rsid w:val="00693393"/>
    <w:rsid w:val="0069359F"/>
    <w:rsid w:val="006939EB"/>
    <w:rsid w:val="0069618E"/>
    <w:rsid w:val="00696F1A"/>
    <w:rsid w:val="0069778F"/>
    <w:rsid w:val="006A0293"/>
    <w:rsid w:val="006A3795"/>
    <w:rsid w:val="006A4DB4"/>
    <w:rsid w:val="006B1F98"/>
    <w:rsid w:val="006B2816"/>
    <w:rsid w:val="006B347C"/>
    <w:rsid w:val="006B3731"/>
    <w:rsid w:val="006B4318"/>
    <w:rsid w:val="006B4AE0"/>
    <w:rsid w:val="006B5511"/>
    <w:rsid w:val="006C0B53"/>
    <w:rsid w:val="006C1A1F"/>
    <w:rsid w:val="006D1A25"/>
    <w:rsid w:val="006D209E"/>
    <w:rsid w:val="006D288E"/>
    <w:rsid w:val="006D4D83"/>
    <w:rsid w:val="006D4F77"/>
    <w:rsid w:val="006E3496"/>
    <w:rsid w:val="006E40BB"/>
    <w:rsid w:val="006E5935"/>
    <w:rsid w:val="006E6805"/>
    <w:rsid w:val="006E6B65"/>
    <w:rsid w:val="006E6FA7"/>
    <w:rsid w:val="006F0341"/>
    <w:rsid w:val="006F19A3"/>
    <w:rsid w:val="006F4CCE"/>
    <w:rsid w:val="006F5AFF"/>
    <w:rsid w:val="006F6043"/>
    <w:rsid w:val="006F715A"/>
    <w:rsid w:val="007005CC"/>
    <w:rsid w:val="00705735"/>
    <w:rsid w:val="00706479"/>
    <w:rsid w:val="00706D2B"/>
    <w:rsid w:val="0071248F"/>
    <w:rsid w:val="007124D3"/>
    <w:rsid w:val="00712553"/>
    <w:rsid w:val="00713D95"/>
    <w:rsid w:val="007209E2"/>
    <w:rsid w:val="00722912"/>
    <w:rsid w:val="007241D4"/>
    <w:rsid w:val="00727D83"/>
    <w:rsid w:val="0073377D"/>
    <w:rsid w:val="00733B08"/>
    <w:rsid w:val="00733CCE"/>
    <w:rsid w:val="007370C9"/>
    <w:rsid w:val="007405AB"/>
    <w:rsid w:val="00743DD2"/>
    <w:rsid w:val="00745853"/>
    <w:rsid w:val="0074748D"/>
    <w:rsid w:val="00754E7E"/>
    <w:rsid w:val="00756A18"/>
    <w:rsid w:val="007703DA"/>
    <w:rsid w:val="0077520D"/>
    <w:rsid w:val="00776A66"/>
    <w:rsid w:val="00776C9A"/>
    <w:rsid w:val="00777884"/>
    <w:rsid w:val="0078049F"/>
    <w:rsid w:val="00781BFC"/>
    <w:rsid w:val="0078229D"/>
    <w:rsid w:val="007855F6"/>
    <w:rsid w:val="00786241"/>
    <w:rsid w:val="00787921"/>
    <w:rsid w:val="00791423"/>
    <w:rsid w:val="00793612"/>
    <w:rsid w:val="00793FF4"/>
    <w:rsid w:val="00794301"/>
    <w:rsid w:val="007952D4"/>
    <w:rsid w:val="00795B05"/>
    <w:rsid w:val="00797604"/>
    <w:rsid w:val="007A352F"/>
    <w:rsid w:val="007B0159"/>
    <w:rsid w:val="007B1BFC"/>
    <w:rsid w:val="007B3B54"/>
    <w:rsid w:val="007B4BC5"/>
    <w:rsid w:val="007B6855"/>
    <w:rsid w:val="007B74A6"/>
    <w:rsid w:val="007C1290"/>
    <w:rsid w:val="007C3111"/>
    <w:rsid w:val="007C5E88"/>
    <w:rsid w:val="007D4E5B"/>
    <w:rsid w:val="007D6617"/>
    <w:rsid w:val="007E0C27"/>
    <w:rsid w:val="007E456F"/>
    <w:rsid w:val="007E6D56"/>
    <w:rsid w:val="007F4001"/>
    <w:rsid w:val="007F464E"/>
    <w:rsid w:val="007F55EB"/>
    <w:rsid w:val="007F6278"/>
    <w:rsid w:val="007F632E"/>
    <w:rsid w:val="007F70A3"/>
    <w:rsid w:val="007F7F11"/>
    <w:rsid w:val="008029D3"/>
    <w:rsid w:val="00802FA2"/>
    <w:rsid w:val="00816CD2"/>
    <w:rsid w:val="00820B3F"/>
    <w:rsid w:val="00824129"/>
    <w:rsid w:val="008247CF"/>
    <w:rsid w:val="0083017F"/>
    <w:rsid w:val="008306F8"/>
    <w:rsid w:val="00833CA5"/>
    <w:rsid w:val="008423C1"/>
    <w:rsid w:val="00842EE0"/>
    <w:rsid w:val="00843E78"/>
    <w:rsid w:val="008470F6"/>
    <w:rsid w:val="00847CE8"/>
    <w:rsid w:val="00851A0E"/>
    <w:rsid w:val="00855070"/>
    <w:rsid w:val="00856F35"/>
    <w:rsid w:val="00860CC3"/>
    <w:rsid w:val="00863991"/>
    <w:rsid w:val="00866990"/>
    <w:rsid w:val="00872358"/>
    <w:rsid w:val="00872719"/>
    <w:rsid w:val="008727CE"/>
    <w:rsid w:val="0087465B"/>
    <w:rsid w:val="0088232B"/>
    <w:rsid w:val="00884617"/>
    <w:rsid w:val="00885B6B"/>
    <w:rsid w:val="00886ED7"/>
    <w:rsid w:val="00890E59"/>
    <w:rsid w:val="008918AF"/>
    <w:rsid w:val="008924BF"/>
    <w:rsid w:val="00893B0F"/>
    <w:rsid w:val="008A299F"/>
    <w:rsid w:val="008A3AD5"/>
    <w:rsid w:val="008A44B8"/>
    <w:rsid w:val="008B29A8"/>
    <w:rsid w:val="008B697B"/>
    <w:rsid w:val="008E048F"/>
    <w:rsid w:val="008E1707"/>
    <w:rsid w:val="008E3942"/>
    <w:rsid w:val="008E7848"/>
    <w:rsid w:val="008F2C92"/>
    <w:rsid w:val="008F7A1E"/>
    <w:rsid w:val="00900D9F"/>
    <w:rsid w:val="009015FD"/>
    <w:rsid w:val="00903182"/>
    <w:rsid w:val="00920915"/>
    <w:rsid w:val="0092091B"/>
    <w:rsid w:val="00920CBD"/>
    <w:rsid w:val="009210BC"/>
    <w:rsid w:val="00922A0E"/>
    <w:rsid w:val="009233E1"/>
    <w:rsid w:val="00924A74"/>
    <w:rsid w:val="00924ECB"/>
    <w:rsid w:val="00925BD8"/>
    <w:rsid w:val="0092634F"/>
    <w:rsid w:val="0092780B"/>
    <w:rsid w:val="0093253B"/>
    <w:rsid w:val="00936635"/>
    <w:rsid w:val="00952A36"/>
    <w:rsid w:val="00957E6E"/>
    <w:rsid w:val="00962898"/>
    <w:rsid w:val="00965108"/>
    <w:rsid w:val="00965841"/>
    <w:rsid w:val="0096625D"/>
    <w:rsid w:val="00966E3A"/>
    <w:rsid w:val="009707A7"/>
    <w:rsid w:val="00971B84"/>
    <w:rsid w:val="009770F2"/>
    <w:rsid w:val="00980B0C"/>
    <w:rsid w:val="00981726"/>
    <w:rsid w:val="00984F0B"/>
    <w:rsid w:val="00985384"/>
    <w:rsid w:val="009854A7"/>
    <w:rsid w:val="00985A53"/>
    <w:rsid w:val="009876DF"/>
    <w:rsid w:val="0099711A"/>
    <w:rsid w:val="00997D7E"/>
    <w:rsid w:val="009A3360"/>
    <w:rsid w:val="009A5CB7"/>
    <w:rsid w:val="009A6601"/>
    <w:rsid w:val="009A7988"/>
    <w:rsid w:val="009B0D2C"/>
    <w:rsid w:val="009B5B01"/>
    <w:rsid w:val="009B6A38"/>
    <w:rsid w:val="009B7F35"/>
    <w:rsid w:val="009C5E37"/>
    <w:rsid w:val="009D01A6"/>
    <w:rsid w:val="009D205F"/>
    <w:rsid w:val="009D2D85"/>
    <w:rsid w:val="009D65B6"/>
    <w:rsid w:val="009E0BF6"/>
    <w:rsid w:val="009E0C2C"/>
    <w:rsid w:val="009E19F1"/>
    <w:rsid w:val="009E29E0"/>
    <w:rsid w:val="009E3B0F"/>
    <w:rsid w:val="009E457F"/>
    <w:rsid w:val="009E652B"/>
    <w:rsid w:val="009F08F4"/>
    <w:rsid w:val="009F118B"/>
    <w:rsid w:val="009F4B99"/>
    <w:rsid w:val="00A0197D"/>
    <w:rsid w:val="00A05837"/>
    <w:rsid w:val="00A069F3"/>
    <w:rsid w:val="00A073CB"/>
    <w:rsid w:val="00A0743B"/>
    <w:rsid w:val="00A101A9"/>
    <w:rsid w:val="00A11715"/>
    <w:rsid w:val="00A11C7D"/>
    <w:rsid w:val="00A164E0"/>
    <w:rsid w:val="00A16E6F"/>
    <w:rsid w:val="00A1730E"/>
    <w:rsid w:val="00A2007D"/>
    <w:rsid w:val="00A2125C"/>
    <w:rsid w:val="00A233D7"/>
    <w:rsid w:val="00A25598"/>
    <w:rsid w:val="00A25FC7"/>
    <w:rsid w:val="00A27EA0"/>
    <w:rsid w:val="00A3134D"/>
    <w:rsid w:val="00A320DB"/>
    <w:rsid w:val="00A35142"/>
    <w:rsid w:val="00A413F3"/>
    <w:rsid w:val="00A46A38"/>
    <w:rsid w:val="00A46D57"/>
    <w:rsid w:val="00A4730D"/>
    <w:rsid w:val="00A477E4"/>
    <w:rsid w:val="00A514E6"/>
    <w:rsid w:val="00A63A7B"/>
    <w:rsid w:val="00A6682D"/>
    <w:rsid w:val="00A66E02"/>
    <w:rsid w:val="00A73061"/>
    <w:rsid w:val="00A734CD"/>
    <w:rsid w:val="00A91E03"/>
    <w:rsid w:val="00A92617"/>
    <w:rsid w:val="00A9406D"/>
    <w:rsid w:val="00A97907"/>
    <w:rsid w:val="00AA020A"/>
    <w:rsid w:val="00AA5DA2"/>
    <w:rsid w:val="00AA626B"/>
    <w:rsid w:val="00AA684E"/>
    <w:rsid w:val="00AA7748"/>
    <w:rsid w:val="00AB0644"/>
    <w:rsid w:val="00AB2A57"/>
    <w:rsid w:val="00AB3252"/>
    <w:rsid w:val="00AB48A8"/>
    <w:rsid w:val="00AB5A5A"/>
    <w:rsid w:val="00AC11FF"/>
    <w:rsid w:val="00AC17E1"/>
    <w:rsid w:val="00AC35FB"/>
    <w:rsid w:val="00AD04FC"/>
    <w:rsid w:val="00AD0767"/>
    <w:rsid w:val="00AD07AB"/>
    <w:rsid w:val="00AD3E33"/>
    <w:rsid w:val="00AE00C8"/>
    <w:rsid w:val="00AE61B7"/>
    <w:rsid w:val="00AF04C3"/>
    <w:rsid w:val="00AF058A"/>
    <w:rsid w:val="00AF1202"/>
    <w:rsid w:val="00AF5691"/>
    <w:rsid w:val="00B02AE3"/>
    <w:rsid w:val="00B06945"/>
    <w:rsid w:val="00B12F39"/>
    <w:rsid w:val="00B16C2B"/>
    <w:rsid w:val="00B17292"/>
    <w:rsid w:val="00B2300F"/>
    <w:rsid w:val="00B23720"/>
    <w:rsid w:val="00B23D21"/>
    <w:rsid w:val="00B23F47"/>
    <w:rsid w:val="00B253F9"/>
    <w:rsid w:val="00B30489"/>
    <w:rsid w:val="00B343C4"/>
    <w:rsid w:val="00B37088"/>
    <w:rsid w:val="00B42984"/>
    <w:rsid w:val="00B43751"/>
    <w:rsid w:val="00B43DAA"/>
    <w:rsid w:val="00B454D0"/>
    <w:rsid w:val="00B60FD4"/>
    <w:rsid w:val="00B6441A"/>
    <w:rsid w:val="00B6555F"/>
    <w:rsid w:val="00B67557"/>
    <w:rsid w:val="00B745FA"/>
    <w:rsid w:val="00B8013C"/>
    <w:rsid w:val="00B851BC"/>
    <w:rsid w:val="00B9089C"/>
    <w:rsid w:val="00B95CDB"/>
    <w:rsid w:val="00B96B10"/>
    <w:rsid w:val="00BA5EF8"/>
    <w:rsid w:val="00BA7283"/>
    <w:rsid w:val="00BA751B"/>
    <w:rsid w:val="00BB069D"/>
    <w:rsid w:val="00BB12C7"/>
    <w:rsid w:val="00BD3201"/>
    <w:rsid w:val="00BE1357"/>
    <w:rsid w:val="00BE738A"/>
    <w:rsid w:val="00BE7B7D"/>
    <w:rsid w:val="00BE7CCA"/>
    <w:rsid w:val="00BF4E9B"/>
    <w:rsid w:val="00C011D5"/>
    <w:rsid w:val="00C02732"/>
    <w:rsid w:val="00C02D9C"/>
    <w:rsid w:val="00C04677"/>
    <w:rsid w:val="00C0690B"/>
    <w:rsid w:val="00C07354"/>
    <w:rsid w:val="00C10B01"/>
    <w:rsid w:val="00C17508"/>
    <w:rsid w:val="00C23789"/>
    <w:rsid w:val="00C264C8"/>
    <w:rsid w:val="00C26A1B"/>
    <w:rsid w:val="00C34A5E"/>
    <w:rsid w:val="00C3555F"/>
    <w:rsid w:val="00C41E6D"/>
    <w:rsid w:val="00C42AD3"/>
    <w:rsid w:val="00C43C8B"/>
    <w:rsid w:val="00C467DC"/>
    <w:rsid w:val="00C52078"/>
    <w:rsid w:val="00C52374"/>
    <w:rsid w:val="00C528AF"/>
    <w:rsid w:val="00C55E94"/>
    <w:rsid w:val="00C61E8B"/>
    <w:rsid w:val="00C6207F"/>
    <w:rsid w:val="00C725F5"/>
    <w:rsid w:val="00C736A5"/>
    <w:rsid w:val="00C80744"/>
    <w:rsid w:val="00C8084E"/>
    <w:rsid w:val="00C811A8"/>
    <w:rsid w:val="00C81E0A"/>
    <w:rsid w:val="00C90EBA"/>
    <w:rsid w:val="00C92F00"/>
    <w:rsid w:val="00C9503E"/>
    <w:rsid w:val="00CA0084"/>
    <w:rsid w:val="00CA03B2"/>
    <w:rsid w:val="00CA0BF9"/>
    <w:rsid w:val="00CA2B75"/>
    <w:rsid w:val="00CA3C99"/>
    <w:rsid w:val="00CA50BD"/>
    <w:rsid w:val="00CA5F26"/>
    <w:rsid w:val="00CB51F4"/>
    <w:rsid w:val="00CC0C59"/>
    <w:rsid w:val="00CC1270"/>
    <w:rsid w:val="00CC3768"/>
    <w:rsid w:val="00CC37AF"/>
    <w:rsid w:val="00CD1F5E"/>
    <w:rsid w:val="00CD27FA"/>
    <w:rsid w:val="00CD64AF"/>
    <w:rsid w:val="00CD7019"/>
    <w:rsid w:val="00CE132F"/>
    <w:rsid w:val="00CE34FA"/>
    <w:rsid w:val="00CE7A1D"/>
    <w:rsid w:val="00CF2A11"/>
    <w:rsid w:val="00CF49B9"/>
    <w:rsid w:val="00D00EE5"/>
    <w:rsid w:val="00D047A7"/>
    <w:rsid w:val="00D0510A"/>
    <w:rsid w:val="00D05CB3"/>
    <w:rsid w:val="00D11E72"/>
    <w:rsid w:val="00D13547"/>
    <w:rsid w:val="00D136AA"/>
    <w:rsid w:val="00D15CE0"/>
    <w:rsid w:val="00D21565"/>
    <w:rsid w:val="00D23113"/>
    <w:rsid w:val="00D24E82"/>
    <w:rsid w:val="00D309B8"/>
    <w:rsid w:val="00D31469"/>
    <w:rsid w:val="00D3393F"/>
    <w:rsid w:val="00D35A32"/>
    <w:rsid w:val="00D414C6"/>
    <w:rsid w:val="00D42DD3"/>
    <w:rsid w:val="00D52FCA"/>
    <w:rsid w:val="00D53847"/>
    <w:rsid w:val="00D55E52"/>
    <w:rsid w:val="00D573CB"/>
    <w:rsid w:val="00D6187C"/>
    <w:rsid w:val="00D647F8"/>
    <w:rsid w:val="00D71A04"/>
    <w:rsid w:val="00D75547"/>
    <w:rsid w:val="00D778E1"/>
    <w:rsid w:val="00D7794E"/>
    <w:rsid w:val="00D82E2E"/>
    <w:rsid w:val="00D8590D"/>
    <w:rsid w:val="00D87302"/>
    <w:rsid w:val="00D87853"/>
    <w:rsid w:val="00D87E17"/>
    <w:rsid w:val="00D9177E"/>
    <w:rsid w:val="00D91814"/>
    <w:rsid w:val="00D93511"/>
    <w:rsid w:val="00D93BC5"/>
    <w:rsid w:val="00D9438C"/>
    <w:rsid w:val="00DA04DA"/>
    <w:rsid w:val="00DA16DD"/>
    <w:rsid w:val="00DA218D"/>
    <w:rsid w:val="00DA64D6"/>
    <w:rsid w:val="00DA66E2"/>
    <w:rsid w:val="00DB0D97"/>
    <w:rsid w:val="00DB1F5C"/>
    <w:rsid w:val="00DB3A59"/>
    <w:rsid w:val="00DB3E4A"/>
    <w:rsid w:val="00DB4B5B"/>
    <w:rsid w:val="00DC22C9"/>
    <w:rsid w:val="00DC364D"/>
    <w:rsid w:val="00DD3F0A"/>
    <w:rsid w:val="00DD4AE1"/>
    <w:rsid w:val="00DD73A4"/>
    <w:rsid w:val="00DE5AE7"/>
    <w:rsid w:val="00DE64EA"/>
    <w:rsid w:val="00E01524"/>
    <w:rsid w:val="00E07DE5"/>
    <w:rsid w:val="00E12B17"/>
    <w:rsid w:val="00E12D9E"/>
    <w:rsid w:val="00E14D10"/>
    <w:rsid w:val="00E17D80"/>
    <w:rsid w:val="00E2222E"/>
    <w:rsid w:val="00E22EA1"/>
    <w:rsid w:val="00E23C6C"/>
    <w:rsid w:val="00E273AF"/>
    <w:rsid w:val="00E33873"/>
    <w:rsid w:val="00E34A7C"/>
    <w:rsid w:val="00E36E0B"/>
    <w:rsid w:val="00E40122"/>
    <w:rsid w:val="00E40931"/>
    <w:rsid w:val="00E55039"/>
    <w:rsid w:val="00E5570D"/>
    <w:rsid w:val="00E56D80"/>
    <w:rsid w:val="00E6243A"/>
    <w:rsid w:val="00E6556C"/>
    <w:rsid w:val="00E70EC6"/>
    <w:rsid w:val="00E73D15"/>
    <w:rsid w:val="00E81403"/>
    <w:rsid w:val="00E83BBC"/>
    <w:rsid w:val="00E84A1F"/>
    <w:rsid w:val="00E87592"/>
    <w:rsid w:val="00E909BE"/>
    <w:rsid w:val="00E90CC7"/>
    <w:rsid w:val="00E95F3D"/>
    <w:rsid w:val="00E96C9F"/>
    <w:rsid w:val="00EA2021"/>
    <w:rsid w:val="00EA295D"/>
    <w:rsid w:val="00EA31C5"/>
    <w:rsid w:val="00EA5E2A"/>
    <w:rsid w:val="00EB1739"/>
    <w:rsid w:val="00EB1FBA"/>
    <w:rsid w:val="00EB6BBC"/>
    <w:rsid w:val="00EC113A"/>
    <w:rsid w:val="00EC3104"/>
    <w:rsid w:val="00EC6882"/>
    <w:rsid w:val="00EC769F"/>
    <w:rsid w:val="00ED0C69"/>
    <w:rsid w:val="00ED7BA8"/>
    <w:rsid w:val="00EE7C74"/>
    <w:rsid w:val="00F05AE8"/>
    <w:rsid w:val="00F063F5"/>
    <w:rsid w:val="00F13C2C"/>
    <w:rsid w:val="00F15ADF"/>
    <w:rsid w:val="00F26F9A"/>
    <w:rsid w:val="00F277EB"/>
    <w:rsid w:val="00F3008D"/>
    <w:rsid w:val="00F32FC3"/>
    <w:rsid w:val="00F4255E"/>
    <w:rsid w:val="00F43D4E"/>
    <w:rsid w:val="00F44858"/>
    <w:rsid w:val="00F47F29"/>
    <w:rsid w:val="00F50EBF"/>
    <w:rsid w:val="00F61170"/>
    <w:rsid w:val="00F676DD"/>
    <w:rsid w:val="00F67DEC"/>
    <w:rsid w:val="00F761E7"/>
    <w:rsid w:val="00F87884"/>
    <w:rsid w:val="00F90A47"/>
    <w:rsid w:val="00F92379"/>
    <w:rsid w:val="00F92766"/>
    <w:rsid w:val="00F93864"/>
    <w:rsid w:val="00FA3D11"/>
    <w:rsid w:val="00FB3378"/>
    <w:rsid w:val="00FB338E"/>
    <w:rsid w:val="00FB3718"/>
    <w:rsid w:val="00FB4E24"/>
    <w:rsid w:val="00FC0A92"/>
    <w:rsid w:val="00FC21CD"/>
    <w:rsid w:val="00FC402D"/>
    <w:rsid w:val="00FD06D8"/>
    <w:rsid w:val="00FD6573"/>
    <w:rsid w:val="00FD713B"/>
    <w:rsid w:val="00FD7798"/>
    <w:rsid w:val="00FE0055"/>
    <w:rsid w:val="00FE0C91"/>
    <w:rsid w:val="00FE1761"/>
    <w:rsid w:val="00FE490C"/>
    <w:rsid w:val="00FE4BF0"/>
    <w:rsid w:val="00FE507C"/>
    <w:rsid w:val="00FF5869"/>
    <w:rsid w:val="00FF6802"/>
    <w:rsid w:val="00FF6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qFormat/>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99"/>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457B18"/>
    <w:pPr>
      <w:spacing w:before="240" w:after="80" w:line="240" w:lineRule="auto"/>
      <w:ind w:left="-284"/>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457B18"/>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qFormat/>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 w:type="table" w:styleId="Tableausimple3">
    <w:name w:val="Plain Table 3"/>
    <w:basedOn w:val="TableauNormal"/>
    <w:uiPriority w:val="43"/>
    <w:rsid w:val="00A3134D"/>
    <w:pPr>
      <w:spacing w:after="0" w:line="240" w:lineRule="auto"/>
    </w:pPr>
    <w:tblPr>
      <w:tblStyleRowBandSize w:val="1"/>
      <w:tblStyleColBandSize w:val="1"/>
    </w:tblPr>
    <w:tblStylePr w:type="firstRow">
      <w:rPr>
        <w:b/>
        <w:bCs/>
        <w:caps/>
      </w:rPr>
      <w:tblPr/>
      <w:tcPr>
        <w:tcBorders>
          <w:bottom w:val="single" w:sz="4" w:space="0" w:color="4747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747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tionnonrsolue">
    <w:name w:val="Unresolved Mention"/>
    <w:basedOn w:val="Policepardfaut"/>
    <w:uiPriority w:val="99"/>
    <w:semiHidden/>
    <w:unhideWhenUsed/>
    <w:rsid w:val="002E68A6"/>
    <w:rPr>
      <w:color w:val="605E5C"/>
      <w:shd w:val="clear" w:color="auto" w:fill="E1DFDD"/>
    </w:rPr>
  </w:style>
  <w:style w:type="paragraph" w:styleId="NormalWeb">
    <w:name w:val="Normal (Web)"/>
    <w:basedOn w:val="Normal"/>
    <w:uiPriority w:val="99"/>
    <w:semiHidden/>
    <w:unhideWhenUsed/>
    <w:rsid w:val="00E70EC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776A66"/>
    <w:pPr>
      <w:spacing w:after="120"/>
    </w:pPr>
  </w:style>
  <w:style w:type="character" w:customStyle="1" w:styleId="CorpsdetexteCar">
    <w:name w:val="Corps de texte Car"/>
    <w:basedOn w:val="Policepardfaut"/>
    <w:link w:val="Corpsdetexte"/>
    <w:uiPriority w:val="99"/>
    <w:rsid w:val="00776A66"/>
  </w:style>
  <w:style w:type="table" w:styleId="Tableausimple5">
    <w:name w:val="Plain Table 5"/>
    <w:basedOn w:val="TableauNormal"/>
    <w:uiPriority w:val="45"/>
    <w:rsid w:val="00776A6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747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747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747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747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tejustify">
    <w:name w:val="rtejustify"/>
    <w:basedOn w:val="Normal"/>
    <w:rsid w:val="006D288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FC40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4195">
      <w:bodyDiv w:val="1"/>
      <w:marLeft w:val="0"/>
      <w:marRight w:val="0"/>
      <w:marTop w:val="0"/>
      <w:marBottom w:val="0"/>
      <w:divBdr>
        <w:top w:val="none" w:sz="0" w:space="0" w:color="auto"/>
        <w:left w:val="none" w:sz="0" w:space="0" w:color="auto"/>
        <w:bottom w:val="none" w:sz="0" w:space="0" w:color="auto"/>
        <w:right w:val="none" w:sz="0" w:space="0" w:color="auto"/>
      </w:divBdr>
    </w:div>
    <w:div w:id="199323566">
      <w:bodyDiv w:val="1"/>
      <w:marLeft w:val="0"/>
      <w:marRight w:val="0"/>
      <w:marTop w:val="0"/>
      <w:marBottom w:val="0"/>
      <w:divBdr>
        <w:top w:val="none" w:sz="0" w:space="0" w:color="auto"/>
        <w:left w:val="none" w:sz="0" w:space="0" w:color="auto"/>
        <w:bottom w:val="none" w:sz="0" w:space="0" w:color="auto"/>
        <w:right w:val="none" w:sz="0" w:space="0" w:color="auto"/>
      </w:divBdr>
    </w:div>
    <w:div w:id="226888278">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03064070">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476530149">
      <w:bodyDiv w:val="1"/>
      <w:marLeft w:val="0"/>
      <w:marRight w:val="0"/>
      <w:marTop w:val="0"/>
      <w:marBottom w:val="0"/>
      <w:divBdr>
        <w:top w:val="none" w:sz="0" w:space="0" w:color="auto"/>
        <w:left w:val="none" w:sz="0" w:space="0" w:color="auto"/>
        <w:bottom w:val="none" w:sz="0" w:space="0" w:color="auto"/>
        <w:right w:val="none" w:sz="0" w:space="0" w:color="auto"/>
      </w:divBdr>
    </w:div>
    <w:div w:id="538930239">
      <w:bodyDiv w:val="1"/>
      <w:marLeft w:val="0"/>
      <w:marRight w:val="0"/>
      <w:marTop w:val="0"/>
      <w:marBottom w:val="0"/>
      <w:divBdr>
        <w:top w:val="none" w:sz="0" w:space="0" w:color="auto"/>
        <w:left w:val="none" w:sz="0" w:space="0" w:color="auto"/>
        <w:bottom w:val="none" w:sz="0" w:space="0" w:color="auto"/>
        <w:right w:val="none" w:sz="0" w:space="0" w:color="auto"/>
      </w:divBdr>
      <w:divsChild>
        <w:div w:id="288751857">
          <w:marLeft w:val="0"/>
          <w:marRight w:val="0"/>
          <w:marTop w:val="0"/>
          <w:marBottom w:val="0"/>
          <w:divBdr>
            <w:top w:val="none" w:sz="0" w:space="0" w:color="auto"/>
            <w:left w:val="none" w:sz="0" w:space="0" w:color="auto"/>
            <w:bottom w:val="none" w:sz="0" w:space="0" w:color="auto"/>
            <w:right w:val="none" w:sz="0" w:space="0" w:color="auto"/>
          </w:divBdr>
          <w:divsChild>
            <w:div w:id="1473057667">
              <w:marLeft w:val="0"/>
              <w:marRight w:val="0"/>
              <w:marTop w:val="0"/>
              <w:marBottom w:val="0"/>
              <w:divBdr>
                <w:top w:val="none" w:sz="0" w:space="0" w:color="auto"/>
                <w:left w:val="none" w:sz="0" w:space="0" w:color="auto"/>
                <w:bottom w:val="none" w:sz="0" w:space="0" w:color="auto"/>
                <w:right w:val="none" w:sz="0" w:space="0" w:color="auto"/>
              </w:divBdr>
              <w:divsChild>
                <w:div w:id="969749016">
                  <w:marLeft w:val="0"/>
                  <w:marRight w:val="0"/>
                  <w:marTop w:val="0"/>
                  <w:marBottom w:val="0"/>
                  <w:divBdr>
                    <w:top w:val="none" w:sz="0" w:space="0" w:color="auto"/>
                    <w:left w:val="none" w:sz="0" w:space="0" w:color="auto"/>
                    <w:bottom w:val="none" w:sz="0" w:space="0" w:color="auto"/>
                    <w:right w:val="none" w:sz="0" w:space="0" w:color="auto"/>
                  </w:divBdr>
                  <w:divsChild>
                    <w:div w:id="1745954633">
                      <w:marLeft w:val="0"/>
                      <w:marRight w:val="0"/>
                      <w:marTop w:val="0"/>
                      <w:marBottom w:val="0"/>
                      <w:divBdr>
                        <w:top w:val="none" w:sz="0" w:space="0" w:color="auto"/>
                        <w:left w:val="none" w:sz="0" w:space="0" w:color="auto"/>
                        <w:bottom w:val="none" w:sz="0" w:space="0" w:color="auto"/>
                        <w:right w:val="none" w:sz="0" w:space="0" w:color="auto"/>
                      </w:divBdr>
                      <w:divsChild>
                        <w:div w:id="875386191">
                          <w:marLeft w:val="0"/>
                          <w:marRight w:val="0"/>
                          <w:marTop w:val="0"/>
                          <w:marBottom w:val="0"/>
                          <w:divBdr>
                            <w:top w:val="none" w:sz="0" w:space="0" w:color="auto"/>
                            <w:left w:val="none" w:sz="0" w:space="0" w:color="auto"/>
                            <w:bottom w:val="none" w:sz="0" w:space="0" w:color="auto"/>
                            <w:right w:val="none" w:sz="0" w:space="0" w:color="auto"/>
                          </w:divBdr>
                          <w:divsChild>
                            <w:div w:id="4505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150095183">
      <w:bodyDiv w:val="1"/>
      <w:marLeft w:val="0"/>
      <w:marRight w:val="0"/>
      <w:marTop w:val="0"/>
      <w:marBottom w:val="0"/>
      <w:divBdr>
        <w:top w:val="none" w:sz="0" w:space="0" w:color="auto"/>
        <w:left w:val="none" w:sz="0" w:space="0" w:color="auto"/>
        <w:bottom w:val="none" w:sz="0" w:space="0" w:color="auto"/>
        <w:right w:val="none" w:sz="0" w:space="0" w:color="auto"/>
      </w:divBdr>
    </w:div>
    <w:div w:id="1361324842">
      <w:bodyDiv w:val="1"/>
      <w:marLeft w:val="0"/>
      <w:marRight w:val="0"/>
      <w:marTop w:val="0"/>
      <w:marBottom w:val="0"/>
      <w:divBdr>
        <w:top w:val="none" w:sz="0" w:space="0" w:color="auto"/>
        <w:left w:val="none" w:sz="0" w:space="0" w:color="auto"/>
        <w:bottom w:val="none" w:sz="0" w:space="0" w:color="auto"/>
        <w:right w:val="none" w:sz="0" w:space="0" w:color="auto"/>
      </w:divBdr>
    </w:div>
    <w:div w:id="1377849022">
      <w:bodyDiv w:val="1"/>
      <w:marLeft w:val="0"/>
      <w:marRight w:val="0"/>
      <w:marTop w:val="0"/>
      <w:marBottom w:val="0"/>
      <w:divBdr>
        <w:top w:val="none" w:sz="0" w:space="0" w:color="auto"/>
        <w:left w:val="none" w:sz="0" w:space="0" w:color="auto"/>
        <w:bottom w:val="none" w:sz="0" w:space="0" w:color="auto"/>
        <w:right w:val="none" w:sz="0" w:space="0" w:color="auto"/>
      </w:divBdr>
    </w:div>
    <w:div w:id="1606425444">
      <w:bodyDiv w:val="1"/>
      <w:marLeft w:val="0"/>
      <w:marRight w:val="0"/>
      <w:marTop w:val="0"/>
      <w:marBottom w:val="0"/>
      <w:divBdr>
        <w:top w:val="none" w:sz="0" w:space="0" w:color="auto"/>
        <w:left w:val="none" w:sz="0" w:space="0" w:color="auto"/>
        <w:bottom w:val="none" w:sz="0" w:space="0" w:color="auto"/>
        <w:right w:val="none" w:sz="0" w:space="0" w:color="auto"/>
      </w:divBdr>
    </w:div>
    <w:div w:id="1645505489">
      <w:bodyDiv w:val="1"/>
      <w:marLeft w:val="0"/>
      <w:marRight w:val="0"/>
      <w:marTop w:val="0"/>
      <w:marBottom w:val="0"/>
      <w:divBdr>
        <w:top w:val="none" w:sz="0" w:space="0" w:color="auto"/>
        <w:left w:val="none" w:sz="0" w:space="0" w:color="auto"/>
        <w:bottom w:val="none" w:sz="0" w:space="0" w:color="auto"/>
        <w:right w:val="none" w:sz="0" w:space="0" w:color="auto"/>
      </w:divBdr>
    </w:div>
    <w:div w:id="1830751998">
      <w:bodyDiv w:val="1"/>
      <w:marLeft w:val="0"/>
      <w:marRight w:val="0"/>
      <w:marTop w:val="0"/>
      <w:marBottom w:val="0"/>
      <w:divBdr>
        <w:top w:val="none" w:sz="0" w:space="0" w:color="auto"/>
        <w:left w:val="none" w:sz="0" w:space="0" w:color="auto"/>
        <w:bottom w:val="none" w:sz="0" w:space="0" w:color="auto"/>
        <w:right w:val="none" w:sz="0" w:space="0" w:color="auto"/>
      </w:divBdr>
    </w:div>
    <w:div w:id="1882857263">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 w:id="20606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_rels/endnotes.xml.rels><?xml version="1.0" encoding="UTF-8" standalone="yes"?>
<Relationships xmlns="http://schemas.openxmlformats.org/package/2006/relationships"><Relationship Id="rId3" Type="http://schemas.openxmlformats.org/officeDocument/2006/relationships/hyperlink" Target="https://thefinancialexpress.com.bd/national/bangladesh-bank-governor-rules-out-printing-money-to-bail-out-troubled-banks" TargetMode="External"/><Relationship Id="rId2" Type="http://schemas.openxmlformats.org/officeDocument/2006/relationships/hyperlink" Target="https://ti-bangladesh.org/articles/story/6629" TargetMode="External"/><Relationship Id="rId1" Type="http://schemas.openxmlformats.org/officeDocument/2006/relationships/hyperlink" Target="https://www.tbsnews.net/economy/banking/nine-banks-face-over-tk18000cr-liquidity-crisis-948876" TargetMode="External"/><Relationship Id="rId5" Type="http://schemas.openxmlformats.org/officeDocument/2006/relationships/hyperlink" Target="https://www.tbsnews.net/economy/banking/which-banks-in-bangladesh-have-been-declared-weak-central-bank-which-are-good-807522" TargetMode="External"/><Relationship Id="rId4" Type="http://schemas.openxmlformats.org/officeDocument/2006/relationships/hyperlink" Target="https://www.thedailystar.net/news/bangladesh/news/no-bank-will-be-closed-375696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FS19-DEL.si.local\DAC$\Travail\06%20-%20Donn&#233;es%20et%20documents\Donn&#233;es\Donn&#233;es%20macro&#233;conomiqu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FS19-DEL.si.local\DAC$\Travail\06%20-%20Donn&#233;es%20et%20documents\Donn&#233;es\Donn&#233;es%20macro&#233;conomiqu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FS19-DEL.si.local\DAC$\Travail\06%20-%20Donn&#233;es%20et%20documents\Donn&#233;es\Donn&#233;es%20macro&#233;conomiqu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399537744349117E-2"/>
          <c:y val="6.1624649859943981E-2"/>
          <c:w val="0.77290241704861518"/>
          <c:h val="0.67614371732945144"/>
        </c:manualLayout>
      </c:layout>
      <c:barChart>
        <c:barDir val="col"/>
        <c:grouping val="clustered"/>
        <c:varyColors val="0"/>
        <c:ser>
          <c:idx val="1"/>
          <c:order val="1"/>
          <c:tx>
            <c:strRef>
              <c:f>Bancaire!$C$1</c:f>
              <c:strCache>
                <c:ptCount val="1"/>
                <c:pt idx="0">
                  <c:v>PNP (bn BDT) </c:v>
                </c:pt>
              </c:strCache>
            </c:strRef>
          </c:tx>
          <c:spPr>
            <a:solidFill>
              <a:schemeClr val="tx1"/>
            </a:solidFill>
            <a:ln>
              <a:noFill/>
            </a:ln>
            <a:effectLst/>
          </c:spPr>
          <c:invertIfNegative val="0"/>
          <c:cat>
            <c:strRef>
              <c:f>Bancaire!$A$2:$A$28</c:f>
              <c:strCach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strCache>
            </c:strRef>
          </c:cat>
          <c:val>
            <c:numRef>
              <c:f>Bancaire!$C$2:$C$28</c:f>
              <c:numCache>
                <c:formatCode>General</c:formatCode>
                <c:ptCount val="27"/>
                <c:pt idx="0">
                  <c:v>214</c:v>
                </c:pt>
                <c:pt idx="1">
                  <c:v>239</c:v>
                </c:pt>
                <c:pt idx="2">
                  <c:v>228</c:v>
                </c:pt>
                <c:pt idx="3">
                  <c:v>236</c:v>
                </c:pt>
                <c:pt idx="4">
                  <c:v>239</c:v>
                </c:pt>
                <c:pt idx="5">
                  <c:v>203</c:v>
                </c:pt>
                <c:pt idx="6">
                  <c:v>187</c:v>
                </c:pt>
                <c:pt idx="7">
                  <c:v>175</c:v>
                </c:pt>
                <c:pt idx="8">
                  <c:v>200</c:v>
                </c:pt>
                <c:pt idx="9">
                  <c:v>226</c:v>
                </c:pt>
                <c:pt idx="10">
                  <c:v>225</c:v>
                </c:pt>
                <c:pt idx="11">
                  <c:v>225</c:v>
                </c:pt>
                <c:pt idx="12">
                  <c:v>227</c:v>
                </c:pt>
                <c:pt idx="13">
                  <c:v>226</c:v>
                </c:pt>
                <c:pt idx="14">
                  <c:v>427</c:v>
                </c:pt>
                <c:pt idx="15">
                  <c:v>405</c:v>
                </c:pt>
                <c:pt idx="16">
                  <c:v>501</c:v>
                </c:pt>
                <c:pt idx="17">
                  <c:v>594</c:v>
                </c:pt>
                <c:pt idx="18">
                  <c:v>622</c:v>
                </c:pt>
                <c:pt idx="19">
                  <c:v>743</c:v>
                </c:pt>
                <c:pt idx="20">
                  <c:v>939</c:v>
                </c:pt>
                <c:pt idx="21">
                  <c:v>943</c:v>
                </c:pt>
                <c:pt idx="22">
                  <c:v>887</c:v>
                </c:pt>
                <c:pt idx="23">
                  <c:v>1033</c:v>
                </c:pt>
                <c:pt idx="24">
                  <c:v>1206</c:v>
                </c:pt>
                <c:pt idx="25">
                  <c:v>1456</c:v>
                </c:pt>
                <c:pt idx="26">
                  <c:v>2849</c:v>
                </c:pt>
              </c:numCache>
            </c:numRef>
          </c:val>
          <c:extLst>
            <c:ext xmlns:c16="http://schemas.microsoft.com/office/drawing/2014/chart" uri="{C3380CC4-5D6E-409C-BE32-E72D297353CC}">
              <c16:uniqueId val="{00000000-EB7B-4A68-B128-7164F50F2095}"/>
            </c:ext>
          </c:extLst>
        </c:ser>
        <c:dLbls>
          <c:showLegendKey val="0"/>
          <c:showVal val="0"/>
          <c:showCatName val="0"/>
          <c:showSerName val="0"/>
          <c:showPercent val="0"/>
          <c:showBubbleSize val="0"/>
        </c:dLbls>
        <c:gapWidth val="150"/>
        <c:axId val="776901631"/>
        <c:axId val="776887903"/>
      </c:barChart>
      <c:lineChart>
        <c:grouping val="standard"/>
        <c:varyColors val="0"/>
        <c:ser>
          <c:idx val="0"/>
          <c:order val="0"/>
          <c:tx>
            <c:strRef>
              <c:f>Bancaire!$B$1</c:f>
              <c:strCache>
                <c:ptCount val="1"/>
                <c:pt idx="0">
                  <c:v>PNP (%)</c:v>
                </c:pt>
              </c:strCache>
            </c:strRef>
          </c:tx>
          <c:spPr>
            <a:ln w="28575" cap="rnd">
              <a:solidFill>
                <a:schemeClr val="accent2"/>
              </a:solidFill>
              <a:round/>
            </a:ln>
            <a:effectLst/>
          </c:spPr>
          <c:marker>
            <c:symbol val="none"/>
          </c:marker>
          <c:cat>
            <c:strRef>
              <c:f>Bancaire!$A$2:$A$28</c:f>
              <c:strCach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strCache>
            </c:strRef>
          </c:cat>
          <c:val>
            <c:numRef>
              <c:f>Bancaire!$B$2:$B$28</c:f>
              <c:numCache>
                <c:formatCode>General</c:formatCode>
                <c:ptCount val="27"/>
                <c:pt idx="0">
                  <c:v>40.700000000000003</c:v>
                </c:pt>
                <c:pt idx="1">
                  <c:v>41.1</c:v>
                </c:pt>
                <c:pt idx="2">
                  <c:v>34.9</c:v>
                </c:pt>
                <c:pt idx="3">
                  <c:v>31.5</c:v>
                </c:pt>
                <c:pt idx="4">
                  <c:v>28</c:v>
                </c:pt>
                <c:pt idx="5">
                  <c:v>22.1</c:v>
                </c:pt>
                <c:pt idx="6">
                  <c:v>17.600000000000001</c:v>
                </c:pt>
                <c:pt idx="7">
                  <c:v>13.6</c:v>
                </c:pt>
                <c:pt idx="8">
                  <c:v>13.2</c:v>
                </c:pt>
                <c:pt idx="9">
                  <c:v>13.2</c:v>
                </c:pt>
                <c:pt idx="10">
                  <c:v>10.8</c:v>
                </c:pt>
                <c:pt idx="11">
                  <c:v>9.1999999999999993</c:v>
                </c:pt>
                <c:pt idx="12">
                  <c:v>7.3</c:v>
                </c:pt>
                <c:pt idx="13">
                  <c:v>6.1</c:v>
                </c:pt>
                <c:pt idx="14">
                  <c:v>10</c:v>
                </c:pt>
                <c:pt idx="15">
                  <c:v>8.9</c:v>
                </c:pt>
                <c:pt idx="16">
                  <c:v>9.6999999999999993</c:v>
                </c:pt>
                <c:pt idx="17">
                  <c:v>8.8000000000000007</c:v>
                </c:pt>
                <c:pt idx="18">
                  <c:v>9.1999999999999993</c:v>
                </c:pt>
                <c:pt idx="19">
                  <c:v>9.3000000000000007</c:v>
                </c:pt>
                <c:pt idx="20">
                  <c:v>10.3</c:v>
                </c:pt>
                <c:pt idx="21">
                  <c:v>9.3000000000000007</c:v>
                </c:pt>
                <c:pt idx="22">
                  <c:v>7.7</c:v>
                </c:pt>
                <c:pt idx="23">
                  <c:v>7.9</c:v>
                </c:pt>
                <c:pt idx="24">
                  <c:v>8.1999999999999993</c:v>
                </c:pt>
                <c:pt idx="25">
                  <c:v>10.1</c:v>
                </c:pt>
                <c:pt idx="26">
                  <c:v>16.899999999999999</c:v>
                </c:pt>
              </c:numCache>
            </c:numRef>
          </c:val>
          <c:smooth val="0"/>
          <c:extLst>
            <c:ext xmlns:c16="http://schemas.microsoft.com/office/drawing/2014/chart" uri="{C3380CC4-5D6E-409C-BE32-E72D297353CC}">
              <c16:uniqueId val="{00000001-EB7B-4A68-B128-7164F50F2095}"/>
            </c:ext>
          </c:extLst>
        </c:ser>
        <c:dLbls>
          <c:showLegendKey val="0"/>
          <c:showVal val="0"/>
          <c:showCatName val="0"/>
          <c:showSerName val="0"/>
          <c:showPercent val="0"/>
          <c:showBubbleSize val="0"/>
        </c:dLbls>
        <c:marker val="1"/>
        <c:smooth val="0"/>
        <c:axId val="776884159"/>
        <c:axId val="776891231"/>
      </c:lineChart>
      <c:catAx>
        <c:axId val="776884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76891231"/>
        <c:crosses val="autoZero"/>
        <c:auto val="1"/>
        <c:lblAlgn val="ctr"/>
        <c:lblOffset val="100"/>
        <c:noMultiLvlLbl val="0"/>
      </c:catAx>
      <c:valAx>
        <c:axId val="776891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76884159"/>
        <c:crosses val="autoZero"/>
        <c:crossBetween val="between"/>
      </c:valAx>
      <c:valAx>
        <c:axId val="776887903"/>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776901631"/>
        <c:crosses val="max"/>
        <c:crossBetween val="between"/>
      </c:valAx>
      <c:catAx>
        <c:axId val="776901631"/>
        <c:scaling>
          <c:orientation val="minMax"/>
        </c:scaling>
        <c:delete val="1"/>
        <c:axPos val="b"/>
        <c:numFmt formatCode="General" sourceLinked="1"/>
        <c:majorTickMark val="out"/>
        <c:minorTickMark val="none"/>
        <c:tickLblPos val="nextTo"/>
        <c:crossAx val="776887903"/>
        <c:crosses val="autoZero"/>
        <c:auto val="1"/>
        <c:lblAlgn val="ctr"/>
        <c:lblOffset val="100"/>
        <c:noMultiLvlLbl val="0"/>
      </c:catAx>
      <c:spPr>
        <a:noFill/>
        <a:ln>
          <a:noFill/>
        </a:ln>
        <a:effectLst/>
      </c:spPr>
    </c:plotArea>
    <c:legend>
      <c:legendPos val="b"/>
      <c:layout>
        <c:manualLayout>
          <c:xMode val="edge"/>
          <c:yMode val="edge"/>
          <c:x val="0.19435139264308379"/>
          <c:y val="0.8942570413992369"/>
          <c:w val="0.61129690132017078"/>
          <c:h val="9.453847680804605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Bancaire!$K$1</c:f>
              <c:strCache>
                <c:ptCount val="1"/>
                <c:pt idx="0">
                  <c:v>Banques Publiques</c:v>
                </c:pt>
              </c:strCache>
            </c:strRef>
          </c:tx>
          <c:spPr>
            <a:solidFill>
              <a:schemeClr val="tx1"/>
            </a:solidFill>
            <a:ln>
              <a:noFill/>
            </a:ln>
            <a:effectLst/>
          </c:spPr>
          <c:invertIfNegative val="0"/>
          <c:cat>
            <c:numRef>
              <c:f>Bancaire!$J$2:$J$20</c:f>
              <c:numCache>
                <c:formatCode>General</c:formatCode>
                <c:ptCount val="19"/>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pt idx="13">
                  <c:v>2009</c:v>
                </c:pt>
                <c:pt idx="14">
                  <c:v>2008</c:v>
                </c:pt>
                <c:pt idx="15">
                  <c:v>2007</c:v>
                </c:pt>
                <c:pt idx="16">
                  <c:v>2006</c:v>
                </c:pt>
                <c:pt idx="17">
                  <c:v>2005</c:v>
                </c:pt>
                <c:pt idx="18">
                  <c:v>2004</c:v>
                </c:pt>
              </c:numCache>
            </c:numRef>
          </c:cat>
          <c:val>
            <c:numRef>
              <c:f>Bancaire!$K$2:$K$20</c:f>
              <c:numCache>
                <c:formatCode>General</c:formatCode>
                <c:ptCount val="19"/>
                <c:pt idx="0">
                  <c:v>4324</c:v>
                </c:pt>
                <c:pt idx="1">
                  <c:v>3991</c:v>
                </c:pt>
                <c:pt idx="2">
                  <c:v>3570</c:v>
                </c:pt>
                <c:pt idx="3">
                  <c:v>3038</c:v>
                </c:pt>
                <c:pt idx="4">
                  <c:v>2868</c:v>
                </c:pt>
                <c:pt idx="5">
                  <c:v>2700</c:v>
                </c:pt>
                <c:pt idx="6">
                  <c:v>2535</c:v>
                </c:pt>
                <c:pt idx="7">
                  <c:v>2254</c:v>
                </c:pt>
                <c:pt idx="8">
                  <c:v>1952</c:v>
                </c:pt>
                <c:pt idx="9">
                  <c:v>1631</c:v>
                </c:pt>
                <c:pt idx="10">
                  <c:v>1377</c:v>
                </c:pt>
                <c:pt idx="11">
                  <c:v>1235</c:v>
                </c:pt>
                <c:pt idx="12">
                  <c:v>1044</c:v>
                </c:pt>
                <c:pt idx="13">
                  <c:v>869</c:v>
                </c:pt>
                <c:pt idx="14">
                  <c:v>759</c:v>
                </c:pt>
                <c:pt idx="15">
                  <c:v>699</c:v>
                </c:pt>
                <c:pt idx="16">
                  <c:v>654</c:v>
                </c:pt>
                <c:pt idx="17">
                  <c:v>621</c:v>
                </c:pt>
                <c:pt idx="18">
                  <c:v>567</c:v>
                </c:pt>
              </c:numCache>
            </c:numRef>
          </c:val>
          <c:extLst>
            <c:ext xmlns:c16="http://schemas.microsoft.com/office/drawing/2014/chart" uri="{C3380CC4-5D6E-409C-BE32-E72D297353CC}">
              <c16:uniqueId val="{00000000-B0C9-4F49-A6A1-48C383F42E03}"/>
            </c:ext>
          </c:extLst>
        </c:ser>
        <c:ser>
          <c:idx val="1"/>
          <c:order val="1"/>
          <c:tx>
            <c:strRef>
              <c:f>Bancaire!$L$1</c:f>
              <c:strCache>
                <c:ptCount val="1"/>
                <c:pt idx="0">
                  <c:v>Banques Privées</c:v>
                </c:pt>
              </c:strCache>
            </c:strRef>
          </c:tx>
          <c:spPr>
            <a:solidFill>
              <a:schemeClr val="accent2"/>
            </a:solidFill>
            <a:ln>
              <a:noFill/>
            </a:ln>
            <a:effectLst/>
          </c:spPr>
          <c:invertIfNegative val="0"/>
          <c:cat>
            <c:numRef>
              <c:f>Bancaire!$J$2:$J$20</c:f>
              <c:numCache>
                <c:formatCode>General</c:formatCode>
                <c:ptCount val="19"/>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pt idx="13">
                  <c:v>2009</c:v>
                </c:pt>
                <c:pt idx="14">
                  <c:v>2008</c:v>
                </c:pt>
                <c:pt idx="15">
                  <c:v>2007</c:v>
                </c:pt>
                <c:pt idx="16">
                  <c:v>2006</c:v>
                </c:pt>
                <c:pt idx="17">
                  <c:v>2005</c:v>
                </c:pt>
                <c:pt idx="18">
                  <c:v>2004</c:v>
                </c:pt>
              </c:numCache>
            </c:numRef>
          </c:cat>
          <c:val>
            <c:numRef>
              <c:f>Bancaire!$L$2:$L$20</c:f>
              <c:numCache>
                <c:formatCode>General</c:formatCode>
                <c:ptCount val="19"/>
                <c:pt idx="0">
                  <c:v>11385</c:v>
                </c:pt>
                <c:pt idx="1">
                  <c:v>10136</c:v>
                </c:pt>
                <c:pt idx="2">
                  <c:v>9287</c:v>
                </c:pt>
                <c:pt idx="3">
                  <c:v>8269</c:v>
                </c:pt>
                <c:pt idx="4">
                  <c:v>7127</c:v>
                </c:pt>
                <c:pt idx="5">
                  <c:v>6508</c:v>
                </c:pt>
                <c:pt idx="6">
                  <c:v>5788</c:v>
                </c:pt>
                <c:pt idx="7">
                  <c:v>5110</c:v>
                </c:pt>
                <c:pt idx="8">
                  <c:v>4449</c:v>
                </c:pt>
                <c:pt idx="9">
                  <c:v>3939</c:v>
                </c:pt>
                <c:pt idx="10">
                  <c:v>3430</c:v>
                </c:pt>
                <c:pt idx="11">
                  <c:v>2787</c:v>
                </c:pt>
                <c:pt idx="12">
                  <c:v>2266</c:v>
                </c:pt>
                <c:pt idx="13">
                  <c:v>1792</c:v>
                </c:pt>
                <c:pt idx="14">
                  <c:v>1450</c:v>
                </c:pt>
                <c:pt idx="15">
                  <c:v>1150</c:v>
                </c:pt>
                <c:pt idx="16">
                  <c:v>955</c:v>
                </c:pt>
                <c:pt idx="17">
                  <c:v>731</c:v>
                </c:pt>
                <c:pt idx="18">
                  <c:v>588</c:v>
                </c:pt>
              </c:numCache>
            </c:numRef>
          </c:val>
          <c:extLst>
            <c:ext xmlns:c16="http://schemas.microsoft.com/office/drawing/2014/chart" uri="{C3380CC4-5D6E-409C-BE32-E72D297353CC}">
              <c16:uniqueId val="{00000001-B0C9-4F49-A6A1-48C383F42E03}"/>
            </c:ext>
          </c:extLst>
        </c:ser>
        <c:ser>
          <c:idx val="2"/>
          <c:order val="2"/>
          <c:tx>
            <c:strRef>
              <c:f>Bancaire!$M$1</c:f>
              <c:strCache>
                <c:ptCount val="1"/>
                <c:pt idx="0">
                  <c:v>Banques Spécialisées</c:v>
                </c:pt>
              </c:strCache>
            </c:strRef>
          </c:tx>
          <c:spPr>
            <a:solidFill>
              <a:schemeClr val="accent3"/>
            </a:solidFill>
            <a:ln>
              <a:noFill/>
            </a:ln>
            <a:effectLst/>
          </c:spPr>
          <c:invertIfNegative val="0"/>
          <c:cat>
            <c:numRef>
              <c:f>Bancaire!$J$2:$J$20</c:f>
              <c:numCache>
                <c:formatCode>General</c:formatCode>
                <c:ptCount val="19"/>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pt idx="13">
                  <c:v>2009</c:v>
                </c:pt>
                <c:pt idx="14">
                  <c:v>2008</c:v>
                </c:pt>
                <c:pt idx="15">
                  <c:v>2007</c:v>
                </c:pt>
                <c:pt idx="16">
                  <c:v>2006</c:v>
                </c:pt>
                <c:pt idx="17">
                  <c:v>2005</c:v>
                </c:pt>
                <c:pt idx="18">
                  <c:v>2004</c:v>
                </c:pt>
              </c:numCache>
            </c:numRef>
          </c:cat>
          <c:val>
            <c:numRef>
              <c:f>Bancaire!$M$2:$M$20</c:f>
              <c:numCache>
                <c:formatCode>General</c:formatCode>
                <c:ptCount val="19"/>
                <c:pt idx="0">
                  <c:v>467</c:v>
                </c:pt>
                <c:pt idx="1">
                  <c:v>412</c:v>
                </c:pt>
                <c:pt idx="2">
                  <c:v>350</c:v>
                </c:pt>
                <c:pt idx="3">
                  <c:v>313</c:v>
                </c:pt>
                <c:pt idx="4">
                  <c:v>286</c:v>
                </c:pt>
                <c:pt idx="5">
                  <c:v>273</c:v>
                </c:pt>
                <c:pt idx="6">
                  <c:v>249</c:v>
                </c:pt>
                <c:pt idx="7">
                  <c:v>226</c:v>
                </c:pt>
                <c:pt idx="8">
                  <c:v>237</c:v>
                </c:pt>
                <c:pt idx="9">
                  <c:v>343</c:v>
                </c:pt>
                <c:pt idx="10">
                  <c:v>260</c:v>
                </c:pt>
                <c:pt idx="11">
                  <c:v>214</c:v>
                </c:pt>
                <c:pt idx="12">
                  <c:v>183</c:v>
                </c:pt>
                <c:pt idx="13">
                  <c:v>161</c:v>
                </c:pt>
                <c:pt idx="14">
                  <c:v>137</c:v>
                </c:pt>
                <c:pt idx="15">
                  <c:v>115</c:v>
                </c:pt>
                <c:pt idx="16">
                  <c:v>100</c:v>
                </c:pt>
                <c:pt idx="17">
                  <c:v>89</c:v>
                </c:pt>
                <c:pt idx="18">
                  <c:v>75</c:v>
                </c:pt>
              </c:numCache>
            </c:numRef>
          </c:val>
          <c:extLst>
            <c:ext xmlns:c16="http://schemas.microsoft.com/office/drawing/2014/chart" uri="{C3380CC4-5D6E-409C-BE32-E72D297353CC}">
              <c16:uniqueId val="{00000002-B0C9-4F49-A6A1-48C383F42E03}"/>
            </c:ext>
          </c:extLst>
        </c:ser>
        <c:ser>
          <c:idx val="3"/>
          <c:order val="3"/>
          <c:tx>
            <c:strRef>
              <c:f>Bancaire!$N$1</c:f>
              <c:strCache>
                <c:ptCount val="1"/>
                <c:pt idx="0">
                  <c:v>Banques Etrangères</c:v>
                </c:pt>
              </c:strCache>
            </c:strRef>
          </c:tx>
          <c:spPr>
            <a:solidFill>
              <a:schemeClr val="accent4"/>
            </a:solidFill>
            <a:ln>
              <a:noFill/>
            </a:ln>
            <a:effectLst/>
          </c:spPr>
          <c:invertIfNegative val="0"/>
          <c:cat>
            <c:numRef>
              <c:f>Bancaire!$J$2:$J$20</c:f>
              <c:numCache>
                <c:formatCode>General</c:formatCode>
                <c:ptCount val="19"/>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pt idx="13">
                  <c:v>2009</c:v>
                </c:pt>
                <c:pt idx="14">
                  <c:v>2008</c:v>
                </c:pt>
                <c:pt idx="15">
                  <c:v>2007</c:v>
                </c:pt>
                <c:pt idx="16">
                  <c:v>2006</c:v>
                </c:pt>
                <c:pt idx="17">
                  <c:v>2005</c:v>
                </c:pt>
                <c:pt idx="18">
                  <c:v>2004</c:v>
                </c:pt>
              </c:numCache>
            </c:numRef>
          </c:cat>
          <c:val>
            <c:numRef>
              <c:f>Bancaire!$N$2:$N$20</c:f>
              <c:numCache>
                <c:formatCode>General</c:formatCode>
                <c:ptCount val="19"/>
                <c:pt idx="0">
                  <c:v>803</c:v>
                </c:pt>
                <c:pt idx="1">
                  <c:v>642</c:v>
                </c:pt>
                <c:pt idx="2">
                  <c:v>590</c:v>
                </c:pt>
                <c:pt idx="3">
                  <c:v>524</c:v>
                </c:pt>
                <c:pt idx="4">
                  <c:v>517</c:v>
                </c:pt>
                <c:pt idx="5">
                  <c:v>393</c:v>
                </c:pt>
                <c:pt idx="6">
                  <c:v>361</c:v>
                </c:pt>
                <c:pt idx="7">
                  <c:v>337</c:v>
                </c:pt>
                <c:pt idx="8">
                  <c:v>326</c:v>
                </c:pt>
                <c:pt idx="9">
                  <c:v>359</c:v>
                </c:pt>
                <c:pt idx="10">
                  <c:v>327</c:v>
                </c:pt>
                <c:pt idx="11">
                  <c:v>272</c:v>
                </c:pt>
                <c:pt idx="12">
                  <c:v>227</c:v>
                </c:pt>
                <c:pt idx="13">
                  <c:v>215</c:v>
                </c:pt>
                <c:pt idx="14">
                  <c:v>214</c:v>
                </c:pt>
                <c:pt idx="15">
                  <c:v>183</c:v>
                </c:pt>
                <c:pt idx="16">
                  <c:v>150</c:v>
                </c:pt>
                <c:pt idx="17">
                  <c:v>112</c:v>
                </c:pt>
                <c:pt idx="18">
                  <c:v>95</c:v>
                </c:pt>
              </c:numCache>
            </c:numRef>
          </c:val>
          <c:extLst>
            <c:ext xmlns:c16="http://schemas.microsoft.com/office/drawing/2014/chart" uri="{C3380CC4-5D6E-409C-BE32-E72D297353CC}">
              <c16:uniqueId val="{00000003-B0C9-4F49-A6A1-48C383F42E03}"/>
            </c:ext>
          </c:extLst>
        </c:ser>
        <c:dLbls>
          <c:showLegendKey val="0"/>
          <c:showVal val="0"/>
          <c:showCatName val="0"/>
          <c:showSerName val="0"/>
          <c:showPercent val="0"/>
          <c:showBubbleSize val="0"/>
        </c:dLbls>
        <c:gapWidth val="150"/>
        <c:overlap val="100"/>
        <c:axId val="207720176"/>
        <c:axId val="207720592"/>
      </c:barChart>
      <c:dateAx>
        <c:axId val="207720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207720592"/>
        <c:crosses val="autoZero"/>
        <c:auto val="0"/>
        <c:lblOffset val="100"/>
        <c:baseTimeUnit val="days"/>
      </c:dateAx>
      <c:valAx>
        <c:axId val="20772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207720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Bancaire!$F$1</c:f>
              <c:strCache>
                <c:ptCount val="1"/>
                <c:pt idx="0">
                  <c:v>Publiques</c:v>
                </c:pt>
              </c:strCache>
            </c:strRef>
          </c:tx>
          <c:spPr>
            <a:solidFill>
              <a:schemeClr val="tx1"/>
            </a:solidFill>
            <a:ln>
              <a:noFill/>
            </a:ln>
            <a:effectLst/>
          </c:spPr>
          <c:invertIfNegative val="0"/>
          <c:cat>
            <c:strRef>
              <c:f>Bancaire!$E$2:$E$28</c:f>
              <c:strCach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strCache>
            </c:strRef>
          </c:cat>
          <c:val>
            <c:numRef>
              <c:f>Bancaire!$F$2:$F$28</c:f>
              <c:numCache>
                <c:formatCode>General</c:formatCode>
                <c:ptCount val="27"/>
                <c:pt idx="0">
                  <c:v>108</c:v>
                </c:pt>
                <c:pt idx="1">
                  <c:v>129</c:v>
                </c:pt>
                <c:pt idx="2">
                  <c:v>117</c:v>
                </c:pt>
                <c:pt idx="3">
                  <c:v>122</c:v>
                </c:pt>
                <c:pt idx="4">
                  <c:v>122</c:v>
                </c:pt>
                <c:pt idx="5">
                  <c:v>106</c:v>
                </c:pt>
                <c:pt idx="6">
                  <c:v>100</c:v>
                </c:pt>
                <c:pt idx="7">
                  <c:v>100</c:v>
                </c:pt>
                <c:pt idx="8">
                  <c:v>115</c:v>
                </c:pt>
                <c:pt idx="9">
                  <c:v>138</c:v>
                </c:pt>
                <c:pt idx="10">
                  <c:v>128</c:v>
                </c:pt>
                <c:pt idx="11">
                  <c:v>117</c:v>
                </c:pt>
                <c:pt idx="12">
                  <c:v>108</c:v>
                </c:pt>
                <c:pt idx="13">
                  <c:v>92</c:v>
                </c:pt>
                <c:pt idx="14">
                  <c:v>215</c:v>
                </c:pt>
                <c:pt idx="15">
                  <c:v>166</c:v>
                </c:pt>
                <c:pt idx="16">
                  <c:v>228</c:v>
                </c:pt>
                <c:pt idx="17">
                  <c:v>273</c:v>
                </c:pt>
                <c:pt idx="18">
                  <c:v>310</c:v>
                </c:pt>
                <c:pt idx="19">
                  <c:v>373</c:v>
                </c:pt>
                <c:pt idx="20">
                  <c:v>487</c:v>
                </c:pt>
                <c:pt idx="21">
                  <c:v>440</c:v>
                </c:pt>
                <c:pt idx="22">
                  <c:v>423</c:v>
                </c:pt>
                <c:pt idx="23">
                  <c:v>449</c:v>
                </c:pt>
                <c:pt idx="24">
                  <c:v>565</c:v>
                </c:pt>
                <c:pt idx="25">
                  <c:v>658</c:v>
                </c:pt>
                <c:pt idx="26">
                  <c:v>1260</c:v>
                </c:pt>
              </c:numCache>
            </c:numRef>
          </c:val>
          <c:extLst>
            <c:ext xmlns:c16="http://schemas.microsoft.com/office/drawing/2014/chart" uri="{C3380CC4-5D6E-409C-BE32-E72D297353CC}">
              <c16:uniqueId val="{00000000-029E-4585-B4CD-FC126F6DA87D}"/>
            </c:ext>
          </c:extLst>
        </c:ser>
        <c:ser>
          <c:idx val="1"/>
          <c:order val="1"/>
          <c:tx>
            <c:strRef>
              <c:f>Bancaire!$G$1</c:f>
              <c:strCache>
                <c:ptCount val="1"/>
                <c:pt idx="0">
                  <c:v>Privées</c:v>
                </c:pt>
              </c:strCache>
            </c:strRef>
          </c:tx>
          <c:spPr>
            <a:solidFill>
              <a:schemeClr val="accent2"/>
            </a:solidFill>
            <a:ln>
              <a:noFill/>
            </a:ln>
            <a:effectLst/>
          </c:spPr>
          <c:invertIfNegative val="0"/>
          <c:cat>
            <c:strRef>
              <c:f>Bancaire!$E$2:$E$28</c:f>
              <c:strCach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strCache>
            </c:strRef>
          </c:cat>
          <c:val>
            <c:numRef>
              <c:f>Bancaire!$G$2:$G$28</c:f>
              <c:numCache>
                <c:formatCode>General</c:formatCode>
                <c:ptCount val="27"/>
                <c:pt idx="0">
                  <c:v>46</c:v>
                </c:pt>
                <c:pt idx="1">
                  <c:v>45</c:v>
                </c:pt>
                <c:pt idx="2">
                  <c:v>46</c:v>
                </c:pt>
                <c:pt idx="3">
                  <c:v>46</c:v>
                </c:pt>
                <c:pt idx="4">
                  <c:v>55</c:v>
                </c:pt>
                <c:pt idx="5">
                  <c:v>47</c:v>
                </c:pt>
                <c:pt idx="6">
                  <c:v>42</c:v>
                </c:pt>
                <c:pt idx="7">
                  <c:v>35</c:v>
                </c:pt>
                <c:pt idx="8">
                  <c:v>44</c:v>
                </c:pt>
                <c:pt idx="9">
                  <c:v>49</c:v>
                </c:pt>
                <c:pt idx="10">
                  <c:v>57</c:v>
                </c:pt>
                <c:pt idx="11">
                  <c:v>62</c:v>
                </c:pt>
                <c:pt idx="12">
                  <c:v>64</c:v>
                </c:pt>
                <c:pt idx="13">
                  <c:v>72</c:v>
                </c:pt>
                <c:pt idx="14">
                  <c:v>130</c:v>
                </c:pt>
                <c:pt idx="15">
                  <c:v>143</c:v>
                </c:pt>
                <c:pt idx="16">
                  <c:v>184</c:v>
                </c:pt>
                <c:pt idx="17">
                  <c:v>253</c:v>
                </c:pt>
                <c:pt idx="18">
                  <c:v>231</c:v>
                </c:pt>
                <c:pt idx="19">
                  <c:v>294</c:v>
                </c:pt>
                <c:pt idx="20">
                  <c:v>381</c:v>
                </c:pt>
                <c:pt idx="21">
                  <c:v>442</c:v>
                </c:pt>
                <c:pt idx="22">
                  <c:v>404</c:v>
                </c:pt>
                <c:pt idx="23">
                  <c:v>515</c:v>
                </c:pt>
                <c:pt idx="24">
                  <c:v>564</c:v>
                </c:pt>
                <c:pt idx="25">
                  <c:v>710</c:v>
                </c:pt>
                <c:pt idx="26">
                  <c:v>1490</c:v>
                </c:pt>
              </c:numCache>
            </c:numRef>
          </c:val>
          <c:extLst>
            <c:ext xmlns:c16="http://schemas.microsoft.com/office/drawing/2014/chart" uri="{C3380CC4-5D6E-409C-BE32-E72D297353CC}">
              <c16:uniqueId val="{00000001-029E-4585-B4CD-FC126F6DA87D}"/>
            </c:ext>
          </c:extLst>
        </c:ser>
        <c:ser>
          <c:idx val="2"/>
          <c:order val="2"/>
          <c:tx>
            <c:strRef>
              <c:f>Bancaire!$H$1</c:f>
              <c:strCache>
                <c:ptCount val="1"/>
                <c:pt idx="0">
                  <c:v>Etrangères</c:v>
                </c:pt>
              </c:strCache>
            </c:strRef>
          </c:tx>
          <c:spPr>
            <a:solidFill>
              <a:schemeClr val="accent3"/>
            </a:solidFill>
            <a:ln>
              <a:noFill/>
            </a:ln>
            <a:effectLst/>
          </c:spPr>
          <c:invertIfNegative val="0"/>
          <c:cat>
            <c:strRef>
              <c:f>Bancaire!$E$2:$E$28</c:f>
              <c:strCach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strCache>
            </c:strRef>
          </c:cat>
          <c:val>
            <c:numRef>
              <c:f>Bancaire!$H$2:$H$28</c:f>
              <c:numCache>
                <c:formatCode>General</c:formatCode>
                <c:ptCount val="27"/>
                <c:pt idx="0">
                  <c:v>1</c:v>
                </c:pt>
                <c:pt idx="1">
                  <c:v>1</c:v>
                </c:pt>
                <c:pt idx="2">
                  <c:v>1</c:v>
                </c:pt>
                <c:pt idx="3">
                  <c:v>1</c:v>
                </c:pt>
                <c:pt idx="4">
                  <c:v>1</c:v>
                </c:pt>
                <c:pt idx="5">
                  <c:v>2</c:v>
                </c:pt>
                <c:pt idx="6">
                  <c:v>1</c:v>
                </c:pt>
                <c:pt idx="7">
                  <c:v>1</c:v>
                </c:pt>
                <c:pt idx="8">
                  <c:v>1</c:v>
                </c:pt>
                <c:pt idx="9">
                  <c:v>2</c:v>
                </c:pt>
                <c:pt idx="10">
                  <c:v>3</c:v>
                </c:pt>
                <c:pt idx="11">
                  <c:v>3</c:v>
                </c:pt>
                <c:pt idx="12">
                  <c:v>5</c:v>
                </c:pt>
                <c:pt idx="13">
                  <c:v>6</c:v>
                </c:pt>
                <c:pt idx="14">
                  <c:v>9</c:v>
                </c:pt>
                <c:pt idx="15">
                  <c:v>13</c:v>
                </c:pt>
                <c:pt idx="16">
                  <c:v>17</c:v>
                </c:pt>
                <c:pt idx="17">
                  <c:v>18</c:v>
                </c:pt>
                <c:pt idx="18">
                  <c:v>24</c:v>
                </c:pt>
                <c:pt idx="19">
                  <c:v>21</c:v>
                </c:pt>
                <c:pt idx="20">
                  <c:v>23</c:v>
                </c:pt>
                <c:pt idx="21">
                  <c:v>21</c:v>
                </c:pt>
                <c:pt idx="22">
                  <c:v>20</c:v>
                </c:pt>
                <c:pt idx="23">
                  <c:v>28</c:v>
                </c:pt>
                <c:pt idx="24">
                  <c:v>30</c:v>
                </c:pt>
                <c:pt idx="25">
                  <c:v>32</c:v>
                </c:pt>
                <c:pt idx="26">
                  <c:v>32</c:v>
                </c:pt>
              </c:numCache>
            </c:numRef>
          </c:val>
          <c:extLst>
            <c:ext xmlns:c16="http://schemas.microsoft.com/office/drawing/2014/chart" uri="{C3380CC4-5D6E-409C-BE32-E72D297353CC}">
              <c16:uniqueId val="{00000002-029E-4585-B4CD-FC126F6DA87D}"/>
            </c:ext>
          </c:extLst>
        </c:ser>
        <c:ser>
          <c:idx val="3"/>
          <c:order val="3"/>
          <c:tx>
            <c:strRef>
              <c:f>Bancaire!$I$1</c:f>
              <c:strCache>
                <c:ptCount val="1"/>
                <c:pt idx="0">
                  <c:v>Spécialisées</c:v>
                </c:pt>
              </c:strCache>
            </c:strRef>
          </c:tx>
          <c:spPr>
            <a:solidFill>
              <a:schemeClr val="accent4"/>
            </a:solidFill>
            <a:ln>
              <a:noFill/>
            </a:ln>
            <a:effectLst/>
          </c:spPr>
          <c:invertIfNegative val="0"/>
          <c:cat>
            <c:strRef>
              <c:f>Bancaire!$E$2:$E$28</c:f>
              <c:strCache>
                <c:ptCount val="2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pt idx="20">
                  <c:v>2018</c:v>
                </c:pt>
                <c:pt idx="21">
                  <c:v>2019</c:v>
                </c:pt>
                <c:pt idx="22">
                  <c:v>2020</c:v>
                </c:pt>
                <c:pt idx="23">
                  <c:v>2021</c:v>
                </c:pt>
                <c:pt idx="24">
                  <c:v>2022</c:v>
                </c:pt>
                <c:pt idx="25">
                  <c:v>2023</c:v>
                </c:pt>
                <c:pt idx="26">
                  <c:v>2024*</c:v>
                </c:pt>
              </c:strCache>
            </c:strRef>
          </c:cat>
          <c:val>
            <c:numRef>
              <c:f>Bancaire!$I$2:$I$28</c:f>
              <c:numCache>
                <c:formatCode>General</c:formatCode>
                <c:ptCount val="27"/>
                <c:pt idx="0">
                  <c:v>59</c:v>
                </c:pt>
                <c:pt idx="1">
                  <c:v>63</c:v>
                </c:pt>
                <c:pt idx="2">
                  <c:v>64</c:v>
                </c:pt>
                <c:pt idx="3">
                  <c:v>67</c:v>
                </c:pt>
                <c:pt idx="4">
                  <c:v>62</c:v>
                </c:pt>
                <c:pt idx="5">
                  <c:v>48</c:v>
                </c:pt>
                <c:pt idx="6">
                  <c:v>45</c:v>
                </c:pt>
                <c:pt idx="7">
                  <c:v>38</c:v>
                </c:pt>
                <c:pt idx="8">
                  <c:v>41</c:v>
                </c:pt>
                <c:pt idx="9">
                  <c:v>37</c:v>
                </c:pt>
                <c:pt idx="10">
                  <c:v>37</c:v>
                </c:pt>
                <c:pt idx="11">
                  <c:v>42</c:v>
                </c:pt>
                <c:pt idx="12">
                  <c:v>50</c:v>
                </c:pt>
                <c:pt idx="13">
                  <c:v>56</c:v>
                </c:pt>
                <c:pt idx="14">
                  <c:v>73</c:v>
                </c:pt>
                <c:pt idx="15">
                  <c:v>84</c:v>
                </c:pt>
                <c:pt idx="16">
                  <c:v>73</c:v>
                </c:pt>
                <c:pt idx="17">
                  <c:v>50</c:v>
                </c:pt>
                <c:pt idx="18">
                  <c:v>57</c:v>
                </c:pt>
                <c:pt idx="19">
                  <c:v>54</c:v>
                </c:pt>
                <c:pt idx="20">
                  <c:v>48</c:v>
                </c:pt>
                <c:pt idx="21">
                  <c:v>41</c:v>
                </c:pt>
                <c:pt idx="22">
                  <c:v>41</c:v>
                </c:pt>
                <c:pt idx="23">
                  <c:v>40</c:v>
                </c:pt>
                <c:pt idx="24">
                  <c:v>47</c:v>
                </c:pt>
                <c:pt idx="25">
                  <c:v>57</c:v>
                </c:pt>
                <c:pt idx="26">
                  <c:v>58</c:v>
                </c:pt>
              </c:numCache>
            </c:numRef>
          </c:val>
          <c:extLst>
            <c:ext xmlns:c16="http://schemas.microsoft.com/office/drawing/2014/chart" uri="{C3380CC4-5D6E-409C-BE32-E72D297353CC}">
              <c16:uniqueId val="{00000003-029E-4585-B4CD-FC126F6DA87D}"/>
            </c:ext>
          </c:extLst>
        </c:ser>
        <c:dLbls>
          <c:showLegendKey val="0"/>
          <c:showVal val="0"/>
          <c:showCatName val="0"/>
          <c:showSerName val="0"/>
          <c:showPercent val="0"/>
          <c:showBubbleSize val="0"/>
        </c:dLbls>
        <c:gapWidth val="150"/>
        <c:overlap val="100"/>
        <c:axId val="1561002576"/>
        <c:axId val="1561001744"/>
      </c:barChart>
      <c:catAx>
        <c:axId val="156100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561001744"/>
        <c:crosses val="autoZero"/>
        <c:auto val="1"/>
        <c:lblAlgn val="ctr"/>
        <c:lblOffset val="100"/>
        <c:noMultiLvlLbl val="0"/>
      </c:catAx>
      <c:valAx>
        <c:axId val="156100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56100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CAB5A97558B742A2DB673CBDF82631" ma:contentTypeVersion="5" ma:contentTypeDescription="Crée un document." ma:contentTypeScope="" ma:versionID="c31b6c800821cb253460375248cf1a46">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89C39-B73A-4C06-BD6A-F911CC7058AB}">
  <ds:schemaRefs>
    <ds:schemaRef ds:uri="http://schemas.microsoft.com/sharepoint/v3/contenttype/forms"/>
  </ds:schemaRefs>
</ds:datastoreItem>
</file>

<file path=customXml/itemProps2.xml><?xml version="1.0" encoding="utf-8"?>
<ds:datastoreItem xmlns:ds="http://schemas.openxmlformats.org/officeDocument/2006/customXml" ds:itemID="{984E70A4-4068-4A2A-B461-0F496D4F37F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4.xml><?xml version="1.0" encoding="utf-8"?>
<ds:datastoreItem xmlns:ds="http://schemas.openxmlformats.org/officeDocument/2006/customXml" ds:itemID="{EB247683-4EEA-48B5-BAEB-ED72EA5D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2285</Words>
  <Characters>12572</Characters>
  <Application>Microsoft Office Word</Application>
  <DocSecurity>4</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Deur</dc:creator>
  <cp:keywords>template</cp:keywords>
  <dc:description/>
  <cp:lastModifiedBy>RIEGEL Yann</cp:lastModifiedBy>
  <cp:revision>2</cp:revision>
  <cp:lastPrinted>2024-11-24T07:37:00Z</cp:lastPrinted>
  <dcterms:created xsi:type="dcterms:W3CDTF">2024-11-25T08:42:00Z</dcterms:created>
  <dcterms:modified xsi:type="dcterms:W3CDTF">2024-11-25T08:42:00Z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0x010100D8CAB5A97558B742A2DB673CBDF82631</vt:lpwstr>
  </property>
</Properties>
</file>