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F8B2" w14:textId="3E147151" w:rsidR="000F7190" w:rsidRDefault="0020353A" w:rsidP="000039FC">
      <w:pPr>
        <w:spacing w:line="240" w:lineRule="auto"/>
        <w:contextualSpacing/>
        <w:jc w:val="both"/>
        <w:rPr>
          <w:rFonts w:ascii="Segoe UI" w:hAnsi="Segoe UI" w:cs="Segoe UI"/>
          <w:sz w:val="44"/>
          <w:szCs w:val="28"/>
        </w:rPr>
      </w:pPr>
      <w:r w:rsidRPr="008F35B2">
        <w:rPr>
          <w:rFonts w:ascii="Segoe UI" w:hAnsi="Segoe UI" w:cs="Segoe UI"/>
          <w:noProof/>
        </w:rPr>
        <mc:AlternateContent>
          <mc:Choice Requires="wps">
            <w:drawing>
              <wp:anchor distT="0" distB="0" distL="114300" distR="114300" simplePos="0" relativeHeight="251657215" behindDoc="0" locked="0" layoutInCell="1" allowOverlap="1" wp14:anchorId="71112931" wp14:editId="49700B1D">
                <wp:simplePos x="0" y="0"/>
                <wp:positionH relativeFrom="column">
                  <wp:posOffset>-532130</wp:posOffset>
                </wp:positionH>
                <wp:positionV relativeFrom="paragraph">
                  <wp:posOffset>934085</wp:posOffset>
                </wp:positionV>
                <wp:extent cx="6800850" cy="5397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5397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713620" w:rsidRDefault="00490B3C" w:rsidP="00490B3C">
                            <w:pPr>
                              <w:spacing w:after="0"/>
                              <w:ind w:left="57" w:right="614"/>
                              <w:jc w:val="both"/>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Service économique </w:t>
                            </w:r>
                            <w:r w:rsidR="00546356" w:rsidRPr="00713620">
                              <w:rPr>
                                <w:rFonts w:ascii="Segoe UI" w:hAnsi="Segoe UI" w:cs="Segoe UI"/>
                                <w:bCs/>
                                <w:color w:val="000091" w:themeColor="text1"/>
                                <w:sz w:val="16"/>
                                <w:szCs w:val="16"/>
                                <w:lang w:eastAsia="ja-JP"/>
                              </w:rPr>
                              <w:t>Régional de New Delhi</w:t>
                            </w:r>
                          </w:p>
                          <w:p w14:paraId="123D8D7E" w14:textId="5A8C9607"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25-102</w:t>
                            </w:r>
                            <w:r w:rsidR="0020353A" w:rsidRPr="00713620">
                              <w:rPr>
                                <w:rFonts w:ascii="Segoe UI" w:hAnsi="Segoe UI" w:cs="Segoe UI"/>
                                <w:bCs/>
                                <w:color w:val="000091" w:themeColor="text1"/>
                                <w:sz w:val="16"/>
                                <w:szCs w:val="16"/>
                                <w:lang w:eastAsia="ja-JP"/>
                              </w:rPr>
                              <w:t xml:space="preserve"> </w:t>
                            </w:r>
                          </w:p>
                          <w:p w14:paraId="69170377" w14:textId="7F52A4F8" w:rsidR="0020353A" w:rsidRDefault="0020353A" w:rsidP="00490B3C">
                            <w:pPr>
                              <w:spacing w:after="0"/>
                              <w:ind w:left="57" w:right="614"/>
                              <w:jc w:val="both"/>
                              <w:rPr>
                                <w:rFonts w:ascii="Arial" w:hAnsi="Arial" w:cs="Arial"/>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6" style="position:absolute;left:0;text-align:left;margin-left:-41.9pt;margin-top:73.55pt;width:535.5pt;height:4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" fillcolor="#fde8b0 [1301]" stroked="f" strokeweight="1pt">
                <v:textbo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713620" w:rsidRDefault="00490B3C" w:rsidP="00490B3C">
                      <w:pPr>
                        <w:spacing w:after="0"/>
                        <w:ind w:left="57" w:right="614"/>
                        <w:jc w:val="both"/>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Service économique </w:t>
                      </w:r>
                      <w:r w:rsidR="00546356" w:rsidRPr="00713620">
                        <w:rPr>
                          <w:rFonts w:ascii="Segoe UI" w:hAnsi="Segoe UI" w:cs="Segoe UI"/>
                          <w:bCs/>
                          <w:color w:val="000091" w:themeColor="text1"/>
                          <w:sz w:val="16"/>
                          <w:szCs w:val="16"/>
                          <w:lang w:eastAsia="ja-JP"/>
                        </w:rPr>
                        <w:t>Régional de New Delhi</w:t>
                      </w:r>
                    </w:p>
                    <w:p w14:paraId="123D8D7E" w14:textId="5A8C9607"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25-102</w:t>
                      </w:r>
                      <w:r w:rsidR="0020353A" w:rsidRPr="00713620">
                        <w:rPr>
                          <w:rFonts w:ascii="Segoe UI" w:hAnsi="Segoe UI" w:cs="Segoe UI"/>
                          <w:bCs/>
                          <w:color w:val="000091" w:themeColor="text1"/>
                          <w:sz w:val="16"/>
                          <w:szCs w:val="16"/>
                          <w:lang w:eastAsia="ja-JP"/>
                        </w:rPr>
                        <w:t xml:space="preserve"> </w:t>
                      </w:r>
                    </w:p>
                    <w:p w14:paraId="69170377" w14:textId="7F52A4F8" w:rsidR="0020353A" w:rsidRDefault="0020353A" w:rsidP="00490B3C">
                      <w:pPr>
                        <w:spacing w:after="0"/>
                        <w:ind w:left="57" w:right="614"/>
                        <w:jc w:val="both"/>
                        <w:rPr>
                          <w:rFonts w:ascii="Arial" w:hAnsi="Arial" w:cs="Arial"/>
                          <w:bCs/>
                        </w:rPr>
                      </w:pPr>
                    </w:p>
                  </w:txbxContent>
                </v:textbox>
                <w10:wrap type="topAndBottom"/>
              </v:rect>
            </w:pict>
          </mc:Fallback>
        </mc:AlternateContent>
      </w:r>
      <w:r w:rsidR="00546356" w:rsidRPr="008F35B2">
        <w:rPr>
          <w:rFonts w:ascii="Segoe UI" w:hAnsi="Segoe UI" w:cs="Segoe UI"/>
          <w:noProof/>
        </w:rPr>
        <mc:AlternateContent>
          <mc:Choice Requires="wps">
            <w:drawing>
              <wp:anchor distT="0" distB="0" distL="114300" distR="114300" simplePos="0" relativeHeight="251659264" behindDoc="0" locked="0" layoutInCell="1" allowOverlap="1" wp14:anchorId="585DE714" wp14:editId="717672EF">
                <wp:simplePos x="0" y="0"/>
                <wp:positionH relativeFrom="margin">
                  <wp:posOffset>3761105</wp:posOffset>
                </wp:positionH>
                <wp:positionV relativeFrom="paragraph">
                  <wp:posOffset>912495</wp:posOffset>
                </wp:positionV>
                <wp:extent cx="2508250" cy="5334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508250" cy="533400"/>
                        </a:xfrm>
                        <a:prstGeom prst="rect">
                          <a:avLst/>
                        </a:prstGeom>
                        <a:noFill/>
                        <a:ln w="6350">
                          <a:noFill/>
                        </a:ln>
                      </wps:spPr>
                      <wps:txbx>
                        <w:txbxContent>
                          <w:p w14:paraId="07E31681" w14:textId="67C03C14"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9C67FA">
                              <w:rPr>
                                <w:rFonts w:ascii="Segoe UI" w:hAnsi="Segoe UI" w:cs="Segoe UI"/>
                                <w:color w:val="000091" w:themeColor="text1"/>
                                <w:sz w:val="17"/>
                                <w:szCs w:val="17"/>
                                <w:lang w:eastAsia="ja-JP"/>
                              </w:rPr>
                              <w:t>D. Brahimi</w:t>
                            </w:r>
                            <w:r w:rsidR="00137081">
                              <w:rPr>
                                <w:rFonts w:ascii="Segoe UI" w:hAnsi="Segoe UI" w:cs="Segoe UI"/>
                                <w:color w:val="000091" w:themeColor="text1"/>
                                <w:sz w:val="17"/>
                                <w:szCs w:val="17"/>
                                <w:lang w:eastAsia="ja-JP"/>
                              </w:rPr>
                              <w:t xml:space="preserve"> </w:t>
                            </w:r>
                          </w:p>
                          <w:p w14:paraId="001E787F" w14:textId="54CDB297"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Revue par D. </w:t>
                            </w:r>
                            <w:proofErr w:type="spellStart"/>
                            <w:r>
                              <w:rPr>
                                <w:rFonts w:ascii="Segoe UI" w:hAnsi="Segoe UI" w:cs="Segoe UI"/>
                                <w:color w:val="000091" w:themeColor="text1"/>
                                <w:sz w:val="17"/>
                                <w:szCs w:val="17"/>
                                <w:lang w:eastAsia="ja-JP"/>
                              </w:rPr>
                              <w:t>Karmouni</w:t>
                            </w:r>
                            <w:proofErr w:type="spellEnd"/>
                            <w:r w:rsidR="001A1719">
                              <w:rPr>
                                <w:rFonts w:ascii="Segoe UI" w:hAnsi="Segoe UI" w:cs="Segoe UI"/>
                                <w:color w:val="000091" w:themeColor="text1"/>
                                <w:sz w:val="17"/>
                                <w:szCs w:val="17"/>
                                <w:lang w:eastAsia="ja-JP"/>
                              </w:rPr>
                              <w:t xml:space="preserve"> et B. Gauthier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6.15pt;margin-top:71.85pt;width:19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" filled="f" stroked="f" strokeweight=".5pt">
                <v:textbox>
                  <w:txbxContent>
                    <w:p w14:paraId="07E31681" w14:textId="67C03C14"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9C67FA">
                        <w:rPr>
                          <w:rFonts w:ascii="Segoe UI" w:hAnsi="Segoe UI" w:cs="Segoe UI"/>
                          <w:color w:val="000091" w:themeColor="text1"/>
                          <w:sz w:val="17"/>
                          <w:szCs w:val="17"/>
                          <w:lang w:eastAsia="ja-JP"/>
                        </w:rPr>
                        <w:t>D. Brahimi</w:t>
                      </w:r>
                      <w:r w:rsidR="00137081">
                        <w:rPr>
                          <w:rFonts w:ascii="Segoe UI" w:hAnsi="Segoe UI" w:cs="Segoe UI"/>
                          <w:color w:val="000091" w:themeColor="text1"/>
                          <w:sz w:val="17"/>
                          <w:szCs w:val="17"/>
                          <w:lang w:eastAsia="ja-JP"/>
                        </w:rPr>
                        <w:t xml:space="preserve"> </w:t>
                      </w:r>
                    </w:p>
                    <w:p w14:paraId="001E787F" w14:textId="54CDB297"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Revue par D. </w:t>
                      </w:r>
                      <w:proofErr w:type="spellStart"/>
                      <w:r>
                        <w:rPr>
                          <w:rFonts w:ascii="Segoe UI" w:hAnsi="Segoe UI" w:cs="Segoe UI"/>
                          <w:color w:val="000091" w:themeColor="text1"/>
                          <w:sz w:val="17"/>
                          <w:szCs w:val="17"/>
                          <w:lang w:eastAsia="ja-JP"/>
                        </w:rPr>
                        <w:t>Karmouni</w:t>
                      </w:r>
                      <w:proofErr w:type="spellEnd"/>
                      <w:r w:rsidR="001A1719">
                        <w:rPr>
                          <w:rFonts w:ascii="Segoe UI" w:hAnsi="Segoe UI" w:cs="Segoe UI"/>
                          <w:color w:val="000091" w:themeColor="text1"/>
                          <w:sz w:val="17"/>
                          <w:szCs w:val="17"/>
                          <w:lang w:eastAsia="ja-JP"/>
                        </w:rPr>
                        <w:t xml:space="preserve"> et B. Gauthier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type="square" anchorx="margin"/>
              </v:shape>
            </w:pict>
          </mc:Fallback>
        </mc:AlternateContent>
      </w:r>
      <w:r w:rsidR="00FD7798" w:rsidRPr="008F35B2">
        <w:rPr>
          <w:rFonts w:ascii="Segoe UI" w:hAnsi="Segoe UI" w:cs="Segoe UI"/>
          <w:noProof/>
        </w:rPr>
        <mc:AlternateContent>
          <mc:Choice Requires="wps">
            <w:drawing>
              <wp:anchor distT="0" distB="0" distL="114300" distR="114300" simplePos="0" relativeHeight="251656190" behindDoc="0" locked="0" layoutInCell="1" allowOverlap="1" wp14:anchorId="16D250F6" wp14:editId="57D28F80">
                <wp:simplePos x="0" y="0"/>
                <wp:positionH relativeFrom="column">
                  <wp:posOffset>-529547</wp:posOffset>
                </wp:positionH>
                <wp:positionV relativeFrom="paragraph">
                  <wp:posOffset>1406634</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8" style="position:absolute;left:0;text-align:left;margin-left:-41.7pt;margin-top:110.7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" fillcolor="#fcc63a" stroked="f" strokeweight="1pt">
                <v:textbo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v:textbox>
              </v:rect>
            </w:pict>
          </mc:Fallback>
        </mc:AlternateContent>
      </w:r>
      <w:r w:rsidR="00FD7798" w:rsidRPr="008F35B2">
        <w:rPr>
          <w:rFonts w:ascii="Segoe UI" w:hAnsi="Segoe UI" w:cs="Segoe UI"/>
          <w:noProof/>
        </w:rPr>
        <mc:AlternateContent>
          <mc:Choice Requires="wps">
            <w:drawing>
              <wp:anchor distT="45720" distB="45720" distL="114300" distR="114300" simplePos="0" relativeHeight="251661312" behindDoc="0" locked="0" layoutInCell="1" allowOverlap="1" wp14:anchorId="5987A5E4" wp14:editId="2B25A752">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5B3A1E3E"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970BE4">
                              <w:rPr>
                                <w:rFonts w:ascii="Segoe UI" w:hAnsi="Segoe UI" w:cs="Segoe UI"/>
                                <w:color w:val="986E02" w:themeColor="accent2" w:themeShade="80"/>
                                <w:sz w:val="17"/>
                                <w:szCs w:val="17"/>
                                <w:lang w:eastAsia="ja-JP"/>
                              </w:rPr>
                              <w:t xml:space="preserve"> </w:t>
                            </w:r>
                            <w:r w:rsidR="00B41956">
                              <w:rPr>
                                <w:rFonts w:ascii="Segoe UI" w:hAnsi="Segoe UI" w:cs="Segoe UI"/>
                                <w:color w:val="986E02" w:themeColor="accent2" w:themeShade="80"/>
                                <w:sz w:val="17"/>
                                <w:szCs w:val="17"/>
                                <w:lang w:eastAsia="ja-JP"/>
                              </w:rPr>
                              <w:t>1</w:t>
                            </w:r>
                            <w:r w:rsidR="00B41956" w:rsidRPr="00B41956">
                              <w:rPr>
                                <w:rFonts w:ascii="Segoe UI" w:hAnsi="Segoe UI" w:cs="Segoe UI"/>
                                <w:color w:val="986E02" w:themeColor="accent2" w:themeShade="80"/>
                                <w:sz w:val="17"/>
                                <w:szCs w:val="17"/>
                                <w:vertAlign w:val="superscript"/>
                                <w:lang w:eastAsia="ja-JP"/>
                              </w:rPr>
                              <w:t>er</w:t>
                            </w:r>
                            <w:r w:rsidR="00B41956">
                              <w:rPr>
                                <w:rFonts w:ascii="Segoe UI" w:hAnsi="Segoe UI" w:cs="Segoe UI"/>
                                <w:color w:val="986E02" w:themeColor="accent2" w:themeShade="80"/>
                                <w:sz w:val="17"/>
                                <w:szCs w:val="17"/>
                                <w:lang w:eastAsia="ja-JP"/>
                              </w:rPr>
                              <w:t xml:space="preserve"> août</w:t>
                            </w:r>
                            <w:r w:rsidR="00C50609">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9"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" filled="f" stroked="f">
                <v:textbox>
                  <w:txbxContent>
                    <w:p w14:paraId="44111769" w14:textId="5B3A1E3E"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970BE4">
                        <w:rPr>
                          <w:rFonts w:ascii="Segoe UI" w:hAnsi="Segoe UI" w:cs="Segoe UI"/>
                          <w:color w:val="986E02" w:themeColor="accent2" w:themeShade="80"/>
                          <w:sz w:val="17"/>
                          <w:szCs w:val="17"/>
                          <w:lang w:eastAsia="ja-JP"/>
                        </w:rPr>
                        <w:t xml:space="preserve"> </w:t>
                      </w:r>
                      <w:r w:rsidR="00B41956">
                        <w:rPr>
                          <w:rFonts w:ascii="Segoe UI" w:hAnsi="Segoe UI" w:cs="Segoe UI"/>
                          <w:color w:val="986E02" w:themeColor="accent2" w:themeShade="80"/>
                          <w:sz w:val="17"/>
                          <w:szCs w:val="17"/>
                          <w:lang w:eastAsia="ja-JP"/>
                        </w:rPr>
                        <w:t>1</w:t>
                      </w:r>
                      <w:r w:rsidR="00B41956" w:rsidRPr="00B41956">
                        <w:rPr>
                          <w:rFonts w:ascii="Segoe UI" w:hAnsi="Segoe UI" w:cs="Segoe UI"/>
                          <w:color w:val="986E02" w:themeColor="accent2" w:themeShade="80"/>
                          <w:sz w:val="17"/>
                          <w:szCs w:val="17"/>
                          <w:vertAlign w:val="superscript"/>
                          <w:lang w:eastAsia="ja-JP"/>
                        </w:rPr>
                        <w:t>er</w:t>
                      </w:r>
                      <w:r w:rsidR="00B41956">
                        <w:rPr>
                          <w:rFonts w:ascii="Segoe UI" w:hAnsi="Segoe UI" w:cs="Segoe UI"/>
                          <w:color w:val="986E02" w:themeColor="accent2" w:themeShade="80"/>
                          <w:sz w:val="17"/>
                          <w:szCs w:val="17"/>
                          <w:lang w:eastAsia="ja-JP"/>
                        </w:rPr>
                        <w:t xml:space="preserve"> août</w:t>
                      </w:r>
                      <w:r w:rsidR="00C50609">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8F35B2">
        <w:rPr>
          <w:rFonts w:ascii="Segoe UI" w:hAnsi="Segoe UI" w:cs="Segoe UI"/>
          <w:noProof/>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r w:rsidR="00532CE3" w:rsidRPr="008F35B2">
        <w:rPr>
          <w:rFonts w:ascii="Segoe UI" w:hAnsi="Segoe UI" w:cs="Segoe UI"/>
          <w:sz w:val="44"/>
          <w:szCs w:val="28"/>
        </w:rPr>
        <w:t xml:space="preserve"> </w:t>
      </w:r>
    </w:p>
    <w:p w14:paraId="314C11FC" w14:textId="77777777" w:rsidR="003251AD" w:rsidRPr="0020353A" w:rsidRDefault="003251AD" w:rsidP="000039FC">
      <w:pPr>
        <w:spacing w:line="240" w:lineRule="auto"/>
        <w:contextualSpacing/>
        <w:jc w:val="both"/>
        <w:rPr>
          <w:rFonts w:ascii="Segoe UI" w:hAnsi="Segoe UI" w:cs="Segoe UI"/>
          <w:sz w:val="16"/>
        </w:rPr>
      </w:pPr>
    </w:p>
    <w:tbl>
      <w:tblPr>
        <w:tblStyle w:val="Grilledutableau"/>
        <w:tblW w:w="10415" w:type="dxa"/>
        <w:tblInd w:w="-284" w:type="dxa"/>
        <w:tblLook w:val="04A0" w:firstRow="1" w:lastRow="0" w:firstColumn="1" w:lastColumn="0" w:noHBand="0" w:noVBand="1"/>
      </w:tblPr>
      <w:tblGrid>
        <w:gridCol w:w="10415"/>
      </w:tblGrid>
      <w:tr w:rsidR="00E1075B" w:rsidRPr="002D06F0" w14:paraId="6AF8F134" w14:textId="77777777" w:rsidTr="00D00925">
        <w:trPr>
          <w:trHeight w:val="138"/>
        </w:trPr>
        <w:tc>
          <w:tcPr>
            <w:tcW w:w="10415" w:type="dxa"/>
            <w:tcBorders>
              <w:top w:val="nil"/>
              <w:left w:val="nil"/>
              <w:bottom w:val="nil"/>
              <w:right w:val="nil"/>
            </w:tcBorders>
          </w:tcPr>
          <w:p w14:paraId="2C37926C" w14:textId="09F9412B" w:rsidR="00E1075B" w:rsidRPr="00A40A71" w:rsidRDefault="00C50609" w:rsidP="0070783B">
            <w:pPr>
              <w:tabs>
                <w:tab w:val="left" w:pos="3969"/>
              </w:tabs>
              <w:ind w:left="-112"/>
              <w:contextualSpacing/>
              <w:jc w:val="both"/>
              <w:rPr>
                <w:rFonts w:eastAsia="Calibri" w:cstheme="minorHAnsi"/>
                <w:b/>
                <w:bCs/>
                <w:color w:val="000091" w:themeColor="text1"/>
                <w:sz w:val="20"/>
                <w:szCs w:val="20"/>
                <w:lang w:eastAsia="fr-FR"/>
              </w:rPr>
            </w:pPr>
            <w:r w:rsidRPr="00A40A71">
              <w:rPr>
                <w:rFonts w:eastAsia="Calibri" w:cstheme="minorHAnsi"/>
                <w:b/>
                <w:bCs/>
                <w:color w:val="000091" w:themeColor="text1"/>
                <w:sz w:val="20"/>
                <w:szCs w:val="20"/>
                <w:lang w:eastAsia="fr-FR"/>
              </w:rPr>
              <w:t xml:space="preserve">Le déficit commercial </w:t>
            </w:r>
            <w:r w:rsidR="00D00925" w:rsidRPr="00A40A71">
              <w:rPr>
                <w:rFonts w:eastAsia="Calibri" w:cstheme="minorHAnsi"/>
                <w:b/>
                <w:bCs/>
                <w:color w:val="000091" w:themeColor="text1"/>
                <w:sz w:val="20"/>
                <w:szCs w:val="20"/>
                <w:lang w:eastAsia="fr-FR"/>
              </w:rPr>
              <w:t>de l’Inde avec le reste du monde se creuse à l’issue de l’exercice 2024/</w:t>
            </w:r>
            <w:r w:rsidR="003A713D" w:rsidRPr="00A40A71">
              <w:rPr>
                <w:rFonts w:eastAsia="Calibri" w:cstheme="minorHAnsi"/>
                <w:b/>
                <w:bCs/>
                <w:color w:val="000091" w:themeColor="text1"/>
                <w:sz w:val="20"/>
                <w:szCs w:val="20"/>
                <w:lang w:eastAsia="fr-FR"/>
              </w:rPr>
              <w:t>25</w:t>
            </w:r>
          </w:p>
        </w:tc>
      </w:tr>
    </w:tbl>
    <w:p w14:paraId="3498182E" w14:textId="77777777" w:rsidR="000F7190" w:rsidRPr="002D06F0" w:rsidRDefault="000F7190" w:rsidP="00D05751">
      <w:pPr>
        <w:pStyle w:val="Briefinglist1"/>
        <w:numPr>
          <w:ilvl w:val="0"/>
          <w:numId w:val="0"/>
        </w:numPr>
        <w:spacing w:after="0"/>
        <w:contextualSpacing/>
        <w:rPr>
          <w:rFonts w:ascii="Segoe UI" w:eastAsia="Times New Roman" w:hAnsi="Segoe UI" w:cs="Segoe UI"/>
          <w:i/>
          <w:sz w:val="8"/>
          <w:szCs w:val="8"/>
          <w:lang w:val="fr-FR" w:eastAsia="fr-FR"/>
        </w:rPr>
      </w:pPr>
      <w:bookmarkStart w:id="0" w:name="_Hlk181623191"/>
    </w:p>
    <w:p w14:paraId="014DAAD2" w14:textId="0A326E2A" w:rsidR="00A42997" w:rsidRPr="002D06F0" w:rsidRDefault="00D04A9E" w:rsidP="00D32924">
      <w:pPr>
        <w:pStyle w:val="Briefinglist1"/>
        <w:numPr>
          <w:ilvl w:val="0"/>
          <w:numId w:val="0"/>
        </w:numPr>
        <w:spacing w:after="0"/>
        <w:ind w:left="-284"/>
        <w:contextualSpacing/>
        <w:rPr>
          <w:rFonts w:asciiTheme="minorHAnsi" w:eastAsia="Times New Roman" w:hAnsiTheme="minorHAnsi" w:cstheme="minorHAnsi"/>
          <w:i/>
          <w:color w:val="000091" w:themeColor="text1"/>
          <w:szCs w:val="22"/>
          <w:lang w:val="fr-FR" w:eastAsia="fr-FR"/>
        </w:rPr>
      </w:pPr>
      <w:bookmarkStart w:id="1" w:name="_Hlk195024581"/>
      <w:bookmarkEnd w:id="0"/>
      <w:r w:rsidRPr="002D06F0">
        <w:rPr>
          <w:rFonts w:asciiTheme="minorHAnsi" w:eastAsia="Times New Roman" w:hAnsiTheme="minorHAnsi" w:cstheme="minorHAnsi"/>
          <w:i/>
          <w:color w:val="000091" w:themeColor="text1"/>
          <w:szCs w:val="22"/>
          <w:lang w:val="fr-FR" w:eastAsia="fr-FR"/>
        </w:rPr>
        <w:t>Au cours de l’exercice budgétaire 2024-25</w:t>
      </w:r>
      <w:r w:rsidRPr="002D06F0">
        <w:rPr>
          <w:rFonts w:asciiTheme="minorHAnsi" w:eastAsiaTheme="minorHAnsi" w:hAnsiTheme="minorHAnsi" w:cstheme="minorHAnsi"/>
          <w:sz w:val="24"/>
          <w:lang w:val="fr-FR"/>
        </w:rPr>
        <w:t xml:space="preserve"> (</w:t>
      </w:r>
      <w:r w:rsidRPr="002D06F0">
        <w:rPr>
          <w:rFonts w:asciiTheme="minorHAnsi" w:eastAsia="Times New Roman" w:hAnsiTheme="minorHAnsi" w:cstheme="minorHAnsi"/>
          <w:i/>
          <w:color w:val="000091" w:themeColor="text1"/>
          <w:szCs w:val="22"/>
          <w:lang w:val="fr-FR" w:eastAsia="fr-FR"/>
        </w:rPr>
        <w:t xml:space="preserve">avril 2024 – mars 2025), les échanges </w:t>
      </w:r>
      <w:r w:rsidR="008C0290" w:rsidRPr="002D06F0">
        <w:rPr>
          <w:rFonts w:asciiTheme="minorHAnsi" w:eastAsia="Times New Roman" w:hAnsiTheme="minorHAnsi" w:cstheme="minorHAnsi"/>
          <w:i/>
          <w:color w:val="000091" w:themeColor="text1"/>
          <w:szCs w:val="22"/>
          <w:lang w:val="fr-FR" w:eastAsia="fr-FR"/>
        </w:rPr>
        <w:t xml:space="preserve">de biens et services </w:t>
      </w:r>
      <w:r w:rsidRPr="002D06F0">
        <w:rPr>
          <w:rFonts w:asciiTheme="minorHAnsi" w:eastAsia="Times New Roman" w:hAnsiTheme="minorHAnsi" w:cstheme="minorHAnsi"/>
          <w:i/>
          <w:color w:val="000091" w:themeColor="text1"/>
          <w:szCs w:val="22"/>
          <w:lang w:val="fr-FR" w:eastAsia="fr-FR"/>
        </w:rPr>
        <w:t>de l’Inde avec le reste du monde ont atteint 1 458,3 Mds USD, en progression modérée</w:t>
      </w:r>
      <w:r w:rsidR="00E91B0E" w:rsidRPr="002D06F0">
        <w:rPr>
          <w:rFonts w:asciiTheme="minorHAnsi" w:eastAsia="Times New Roman" w:hAnsiTheme="minorHAnsi" w:cstheme="minorHAnsi"/>
          <w:i/>
          <w:color w:val="000091" w:themeColor="text1"/>
          <w:szCs w:val="22"/>
          <w:lang w:val="fr-FR" w:eastAsia="fr-FR"/>
        </w:rPr>
        <w:t xml:space="preserve"> de 2,6%</w:t>
      </w:r>
      <w:r w:rsidRPr="002D06F0">
        <w:rPr>
          <w:rFonts w:asciiTheme="minorHAnsi" w:eastAsia="Times New Roman" w:hAnsiTheme="minorHAnsi" w:cstheme="minorHAnsi"/>
          <w:i/>
          <w:color w:val="000091" w:themeColor="text1"/>
          <w:szCs w:val="22"/>
          <w:lang w:val="fr-FR" w:eastAsia="fr-FR"/>
        </w:rPr>
        <w:t xml:space="preserve"> par rapport à l’année précédente (1 456 Mds USD), malgré un contexte international toujours marqué par la décélération du commerce mondial, les effets persistants d</w:t>
      </w:r>
      <w:r w:rsidR="008C0290" w:rsidRPr="002D06F0">
        <w:rPr>
          <w:rFonts w:asciiTheme="minorHAnsi" w:eastAsia="Times New Roman" w:hAnsiTheme="minorHAnsi" w:cstheme="minorHAnsi"/>
          <w:i/>
          <w:color w:val="000091" w:themeColor="text1"/>
          <w:szCs w:val="22"/>
          <w:lang w:val="fr-FR" w:eastAsia="fr-FR"/>
        </w:rPr>
        <w:t xml:space="preserve">e politiques monétaires restrictives, notamment de la FED, </w:t>
      </w:r>
      <w:r w:rsidRPr="002D06F0">
        <w:rPr>
          <w:rFonts w:asciiTheme="minorHAnsi" w:eastAsia="Times New Roman" w:hAnsiTheme="minorHAnsi" w:cstheme="minorHAnsi"/>
          <w:i/>
          <w:color w:val="000091" w:themeColor="text1"/>
          <w:szCs w:val="22"/>
          <w:lang w:val="fr-FR" w:eastAsia="fr-FR"/>
        </w:rPr>
        <w:t xml:space="preserve">et la volatilité des cours des matières premières. Cette évolution résulte d’une croissance différenciée entre les composantes des échanges : les exportations de biens ont stagné à 437,5 </w:t>
      </w:r>
      <w:r w:rsidR="00D32924" w:rsidRPr="002D06F0">
        <w:rPr>
          <w:rFonts w:asciiTheme="minorHAnsi" w:eastAsia="Times New Roman" w:hAnsiTheme="minorHAnsi" w:cstheme="minorHAnsi"/>
          <w:i/>
          <w:color w:val="000091" w:themeColor="text1"/>
          <w:szCs w:val="22"/>
          <w:lang w:val="fr-FR" w:eastAsia="fr-FR"/>
        </w:rPr>
        <w:t xml:space="preserve">Mds </w:t>
      </w:r>
      <w:r w:rsidRPr="002D06F0">
        <w:rPr>
          <w:rFonts w:asciiTheme="minorHAnsi" w:eastAsia="Times New Roman" w:hAnsiTheme="minorHAnsi" w:cstheme="minorHAnsi"/>
          <w:i/>
          <w:color w:val="000091" w:themeColor="text1"/>
          <w:szCs w:val="22"/>
          <w:lang w:val="fr-FR" w:eastAsia="fr-FR"/>
        </w:rPr>
        <w:t xml:space="preserve">USD (+0,1%), tandis que les importations ont progressé à 721,3 </w:t>
      </w:r>
      <w:r w:rsidR="00D32924" w:rsidRPr="002D06F0">
        <w:rPr>
          <w:rFonts w:asciiTheme="minorHAnsi" w:eastAsia="Times New Roman" w:hAnsiTheme="minorHAnsi" w:cstheme="minorHAnsi"/>
          <w:i/>
          <w:color w:val="000091" w:themeColor="text1"/>
          <w:szCs w:val="22"/>
          <w:lang w:val="fr-FR" w:eastAsia="fr-FR"/>
        </w:rPr>
        <w:t xml:space="preserve">Mds </w:t>
      </w:r>
      <w:r w:rsidRPr="002D06F0">
        <w:rPr>
          <w:rFonts w:asciiTheme="minorHAnsi" w:eastAsia="Times New Roman" w:hAnsiTheme="minorHAnsi" w:cstheme="minorHAnsi"/>
          <w:i/>
          <w:color w:val="000091" w:themeColor="text1"/>
          <w:szCs w:val="22"/>
          <w:lang w:val="fr-FR" w:eastAsia="fr-FR"/>
        </w:rPr>
        <w:t xml:space="preserve">USD (+6,4%), portant le déficit commercial des marchandises à 283,8 </w:t>
      </w:r>
      <w:r w:rsidR="00D32924" w:rsidRPr="002D06F0">
        <w:rPr>
          <w:rFonts w:asciiTheme="minorHAnsi" w:eastAsia="Times New Roman" w:hAnsiTheme="minorHAnsi" w:cstheme="minorHAnsi"/>
          <w:i/>
          <w:color w:val="000091" w:themeColor="text1"/>
          <w:szCs w:val="22"/>
          <w:lang w:val="fr-FR" w:eastAsia="fr-FR"/>
        </w:rPr>
        <w:t xml:space="preserve">Mds </w:t>
      </w:r>
      <w:r w:rsidRPr="002D06F0">
        <w:rPr>
          <w:rFonts w:asciiTheme="minorHAnsi" w:eastAsia="Times New Roman" w:hAnsiTheme="minorHAnsi" w:cstheme="minorHAnsi"/>
          <w:i/>
          <w:color w:val="000091" w:themeColor="text1"/>
          <w:szCs w:val="22"/>
          <w:lang w:val="fr-FR" w:eastAsia="fr-FR"/>
        </w:rPr>
        <w:t xml:space="preserve">USD, en hausse de 17,6% sur un an. </w:t>
      </w:r>
      <w:r w:rsidR="00D32924" w:rsidRPr="002D06F0">
        <w:rPr>
          <w:rFonts w:asciiTheme="minorHAnsi" w:eastAsia="Times New Roman" w:hAnsiTheme="minorHAnsi" w:cstheme="minorHAnsi"/>
          <w:i/>
          <w:color w:val="000091" w:themeColor="text1"/>
          <w:szCs w:val="22"/>
          <w:lang w:val="fr-FR" w:eastAsia="fr-FR"/>
        </w:rPr>
        <w:t xml:space="preserve">Le recul des prix des hydrocarbures, conjugué à une demande mondiale moins dynamique, a pesé sur les recettes d’exportation dans plusieurs segments traditionnels (raffinage, textiles, joaillerie), tandis que les importations ont été tirées à la hausse par la vigueur de la demande intérieure, les importations d’électronique et de biens intermédiaires, ainsi que la reprise des achats d’or et de métaux précieux. </w:t>
      </w:r>
    </w:p>
    <w:bookmarkEnd w:id="1"/>
    <w:p w14:paraId="1C53975D" w14:textId="6B00A620" w:rsidR="00E1075B" w:rsidRPr="002D06F0" w:rsidRDefault="00E1075B" w:rsidP="000039FC">
      <w:pPr>
        <w:pStyle w:val="Briefinglist1"/>
        <w:numPr>
          <w:ilvl w:val="0"/>
          <w:numId w:val="0"/>
        </w:numPr>
        <w:spacing w:after="0"/>
        <w:contextualSpacing/>
        <w:rPr>
          <w:rFonts w:asciiTheme="minorHAnsi" w:eastAsia="Times New Roman" w:hAnsiTheme="minorHAnsi" w:cstheme="minorHAnsi"/>
          <w:i/>
          <w:szCs w:val="22"/>
          <w:lang w:val="fr-FR" w:eastAsia="fr-FR"/>
        </w:rPr>
      </w:pPr>
    </w:p>
    <w:p w14:paraId="6D303722" w14:textId="77777777" w:rsidR="002D06F0" w:rsidRDefault="00AD7FB7" w:rsidP="002D06F0">
      <w:pPr>
        <w:pStyle w:val="Paragraphedeliste"/>
        <w:numPr>
          <w:ilvl w:val="0"/>
          <w:numId w:val="26"/>
        </w:numPr>
        <w:spacing w:line="240" w:lineRule="auto"/>
        <w:jc w:val="both"/>
        <w:rPr>
          <w:rFonts w:cstheme="minorHAnsi"/>
          <w:b/>
          <w:bCs/>
          <w:color w:val="000091" w:themeColor="text1"/>
          <w:szCs w:val="24"/>
        </w:rPr>
      </w:pPr>
      <w:r w:rsidRPr="002D06F0">
        <w:rPr>
          <w:rFonts w:cstheme="minorHAnsi"/>
          <w:b/>
          <w:bCs/>
          <w:color w:val="000091" w:themeColor="text1"/>
          <w:szCs w:val="24"/>
        </w:rPr>
        <w:t>Les exportations de marchandises s</w:t>
      </w:r>
      <w:r w:rsidR="0001120A" w:rsidRPr="002D06F0">
        <w:rPr>
          <w:rFonts w:cstheme="minorHAnsi"/>
          <w:b/>
          <w:bCs/>
          <w:color w:val="000091" w:themeColor="text1"/>
          <w:szCs w:val="24"/>
        </w:rPr>
        <w:t>tagnent</w:t>
      </w:r>
      <w:r w:rsidRPr="002D06F0">
        <w:rPr>
          <w:rFonts w:cstheme="minorHAnsi"/>
          <w:b/>
          <w:bCs/>
          <w:color w:val="000091" w:themeColor="text1"/>
          <w:szCs w:val="24"/>
        </w:rPr>
        <w:t xml:space="preserve"> au cours de l’exercice budgétaire 2024/25</w:t>
      </w:r>
    </w:p>
    <w:p w14:paraId="0E54A151" w14:textId="53EE8940" w:rsidR="00E91B0E" w:rsidRPr="002D06F0" w:rsidRDefault="00AD7FB7" w:rsidP="002D06F0">
      <w:pPr>
        <w:spacing w:line="240" w:lineRule="auto"/>
        <w:ind w:left="-284"/>
        <w:jc w:val="both"/>
        <w:rPr>
          <w:rFonts w:cstheme="minorHAnsi"/>
          <w:b/>
          <w:bCs/>
          <w:color w:val="000091" w:themeColor="text1"/>
          <w:szCs w:val="24"/>
        </w:rPr>
      </w:pPr>
      <w:r w:rsidRPr="002D06F0">
        <w:rPr>
          <w:rFonts w:cstheme="minorHAnsi"/>
        </w:rPr>
        <w:t>Au cours de l’exercice budgétaire 2024-25 (avril 2024 à mars 2025), les exportations totales de marchandises de l’Inde se sont établies à 437,5</w:t>
      </w:r>
      <w:r w:rsidR="0001120A" w:rsidRPr="002D06F0">
        <w:rPr>
          <w:rFonts w:cstheme="minorHAnsi"/>
        </w:rPr>
        <w:t xml:space="preserve"> Mds</w:t>
      </w:r>
      <w:r w:rsidRPr="002D06F0">
        <w:rPr>
          <w:rFonts w:cstheme="minorHAnsi"/>
        </w:rPr>
        <w:t xml:space="preserve"> USD, en quasi-stagnation par rapport à l’exercice précédent (+0,1% en glissement annuel).</w:t>
      </w:r>
      <w:r w:rsidR="004664F4" w:rsidRPr="002D06F0">
        <w:rPr>
          <w:rFonts w:cstheme="minorHAnsi"/>
          <w:sz w:val="24"/>
          <w:szCs w:val="24"/>
        </w:rPr>
        <w:t xml:space="preserve"> </w:t>
      </w:r>
      <w:r w:rsidR="004664F4" w:rsidRPr="002D06F0">
        <w:rPr>
          <w:rFonts w:cstheme="minorHAnsi"/>
        </w:rPr>
        <w:t>Cette performance e</w:t>
      </w:r>
      <w:r w:rsidR="008C0290" w:rsidRPr="002D06F0">
        <w:rPr>
          <w:rFonts w:cstheme="minorHAnsi"/>
        </w:rPr>
        <w:t>n demi-teinte</w:t>
      </w:r>
      <w:r w:rsidR="004664F4" w:rsidRPr="002D06F0">
        <w:rPr>
          <w:rFonts w:cstheme="minorHAnsi"/>
        </w:rPr>
        <w:t xml:space="preserve"> s’explique par le repli des prix internationaux (notamment pétroliers et métalliques), la contraction de la demande en Europe et une intensification de la concurrence asiatique.</w:t>
      </w:r>
      <w:r w:rsidRPr="002D06F0">
        <w:rPr>
          <w:rFonts w:cstheme="minorHAnsi"/>
        </w:rPr>
        <w:t xml:space="preserve"> Cette stabilisation en valeur masque toutefois d</w:t>
      </w:r>
      <w:r w:rsidR="0001120A" w:rsidRPr="002D06F0">
        <w:rPr>
          <w:rFonts w:cstheme="minorHAnsi"/>
        </w:rPr>
        <w:t xml:space="preserve">es </w:t>
      </w:r>
      <w:r w:rsidRPr="002D06F0">
        <w:rPr>
          <w:rFonts w:cstheme="minorHAnsi"/>
        </w:rPr>
        <w:t>évolutions sectorielles</w:t>
      </w:r>
      <w:r w:rsidR="004E2322" w:rsidRPr="002D06F0">
        <w:rPr>
          <w:rFonts w:cstheme="minorHAnsi"/>
        </w:rPr>
        <w:t xml:space="preserve"> conjuguées à des effets prix. </w:t>
      </w:r>
    </w:p>
    <w:p w14:paraId="4A941C90" w14:textId="7C0A7391" w:rsidR="00E91B0E" w:rsidRPr="002D06F0" w:rsidRDefault="004E2322" w:rsidP="002D06F0">
      <w:pPr>
        <w:spacing w:after="60" w:line="240" w:lineRule="auto"/>
        <w:ind w:left="-284"/>
        <w:contextualSpacing/>
        <w:jc w:val="both"/>
        <w:rPr>
          <w:rFonts w:cstheme="minorHAnsi"/>
        </w:rPr>
      </w:pPr>
      <w:r w:rsidRPr="002D06F0">
        <w:rPr>
          <w:rFonts w:cstheme="minorHAnsi"/>
        </w:rPr>
        <w:t xml:space="preserve">En ce sens, les exportations hors hydrocarbures ont atteint un record en 2024/25, s’établissant à 374,1 Mds USD, soit une hausse de 6% (en </w:t>
      </w:r>
      <w:proofErr w:type="spellStart"/>
      <w:r w:rsidRPr="002D06F0">
        <w:rPr>
          <w:rFonts w:cstheme="minorHAnsi"/>
        </w:rPr>
        <w:t>g.a</w:t>
      </w:r>
      <w:proofErr w:type="spellEnd"/>
      <w:r w:rsidRPr="002D06F0">
        <w:rPr>
          <w:rFonts w:cstheme="minorHAnsi"/>
        </w:rPr>
        <w:t xml:space="preserve">.). </w:t>
      </w:r>
      <w:r w:rsidR="00E91B0E" w:rsidRPr="002D06F0">
        <w:rPr>
          <w:rFonts w:cstheme="minorHAnsi"/>
        </w:rPr>
        <w:t xml:space="preserve">Plusieurs secteurs manufacturiers affichent des performances solides. Les exportations de machines et équipement électriques progressent de 28%, atteignant 44,1 Mds USD, se classant comme le deuxième poste, sous l’effet de l’expansion de l’assemblage d’appareils électroniques et aux politiques industrielles telle que le </w:t>
      </w:r>
      <w:proofErr w:type="spellStart"/>
      <w:r w:rsidR="00E91B0E" w:rsidRPr="002D06F0">
        <w:rPr>
          <w:rFonts w:cstheme="minorHAnsi"/>
          <w:i/>
          <w:iCs/>
        </w:rPr>
        <w:t>Make</w:t>
      </w:r>
      <w:proofErr w:type="spellEnd"/>
      <w:r w:rsidR="00E91B0E" w:rsidRPr="002D06F0">
        <w:rPr>
          <w:rFonts w:cstheme="minorHAnsi"/>
          <w:i/>
          <w:iCs/>
        </w:rPr>
        <w:t xml:space="preserve"> in </w:t>
      </w:r>
      <w:proofErr w:type="spellStart"/>
      <w:r w:rsidR="00E91B0E" w:rsidRPr="002D06F0">
        <w:rPr>
          <w:rFonts w:cstheme="minorHAnsi"/>
          <w:i/>
          <w:iCs/>
        </w:rPr>
        <w:t>India</w:t>
      </w:r>
      <w:proofErr w:type="spellEnd"/>
      <w:r w:rsidR="00E91B0E" w:rsidRPr="002D06F0">
        <w:rPr>
          <w:rFonts w:cstheme="minorHAnsi"/>
        </w:rPr>
        <w:t>. De même, les exportations de machines industrielles progressent de 11,4%, pour s’établir à 33,5 Mds USD. Les exportations de produits pharmaceutiques affichent également de bon</w:t>
      </w:r>
      <w:r w:rsidR="008C0290" w:rsidRPr="002D06F0">
        <w:rPr>
          <w:rFonts w:cstheme="minorHAnsi"/>
        </w:rPr>
        <w:t>s</w:t>
      </w:r>
      <w:r w:rsidR="00E91B0E" w:rsidRPr="002D06F0">
        <w:rPr>
          <w:rFonts w:cstheme="minorHAnsi"/>
        </w:rPr>
        <w:t xml:space="preserve"> </w:t>
      </w:r>
      <w:r w:rsidR="008C0290" w:rsidRPr="002D06F0">
        <w:rPr>
          <w:rFonts w:cstheme="minorHAnsi"/>
        </w:rPr>
        <w:t>résultats</w:t>
      </w:r>
      <w:r w:rsidR="00E91B0E" w:rsidRPr="002D06F0">
        <w:rPr>
          <w:rFonts w:cstheme="minorHAnsi"/>
        </w:rPr>
        <w:t xml:space="preserve">, progressant de 11,2% en </w:t>
      </w:r>
      <w:proofErr w:type="spellStart"/>
      <w:r w:rsidR="00E91B0E" w:rsidRPr="002D06F0">
        <w:rPr>
          <w:rFonts w:cstheme="minorHAnsi"/>
        </w:rPr>
        <w:t>g.a</w:t>
      </w:r>
      <w:proofErr w:type="spellEnd"/>
      <w:r w:rsidR="00E91B0E" w:rsidRPr="002D06F0">
        <w:rPr>
          <w:rFonts w:cstheme="minorHAnsi"/>
        </w:rPr>
        <w:t>., s’inscrivant à 26,6 Mds USD, soutenues par la demande émanant du continent nord-américain</w:t>
      </w:r>
      <w:r w:rsidR="002B7249">
        <w:rPr>
          <w:rFonts w:cstheme="minorHAnsi"/>
        </w:rPr>
        <w:t xml:space="preserve"> (+21% vers les US en </w:t>
      </w:r>
      <w:proofErr w:type="spellStart"/>
      <w:r w:rsidR="002B7249">
        <w:rPr>
          <w:rFonts w:cstheme="minorHAnsi"/>
        </w:rPr>
        <w:t>g.a</w:t>
      </w:r>
      <w:proofErr w:type="spellEnd"/>
      <w:r w:rsidR="002B7249">
        <w:rPr>
          <w:rFonts w:cstheme="minorHAnsi"/>
        </w:rPr>
        <w:t>.)</w:t>
      </w:r>
      <w:r w:rsidR="00E91B0E" w:rsidRPr="002D06F0">
        <w:rPr>
          <w:rFonts w:cstheme="minorHAnsi"/>
        </w:rPr>
        <w:t xml:space="preserve"> et européen</w:t>
      </w:r>
      <w:r w:rsidR="001543E7" w:rsidRPr="002D06F0">
        <w:rPr>
          <w:rFonts w:cstheme="minorHAnsi"/>
        </w:rPr>
        <w:t>, notamment en génériques</w:t>
      </w:r>
      <w:r w:rsidR="00E91B0E" w:rsidRPr="002D06F0">
        <w:rPr>
          <w:rFonts w:cstheme="minorHAnsi"/>
        </w:rPr>
        <w:t xml:space="preserve">. </w:t>
      </w:r>
      <w:r w:rsidR="001543E7" w:rsidRPr="002D06F0">
        <w:rPr>
          <w:rFonts w:cstheme="minorHAnsi"/>
        </w:rPr>
        <w:t>Les exportations de céréales ont également progressé, malgré un encadrement administratif sur certaines variétés, notamment le riz non-basmati, dont les flux ont été redirigés vers l’Afrique de l’Ouest et le Proche-Orient.</w:t>
      </w:r>
    </w:p>
    <w:p w14:paraId="5A5F09A3" w14:textId="5DC9760F" w:rsidR="00313EB7" w:rsidRPr="002D06F0" w:rsidRDefault="00E91B0E" w:rsidP="002D06F0">
      <w:pPr>
        <w:spacing w:after="60" w:line="240" w:lineRule="auto"/>
        <w:ind w:left="-284"/>
        <w:contextualSpacing/>
        <w:jc w:val="both"/>
        <w:rPr>
          <w:rFonts w:cstheme="minorHAnsi"/>
        </w:rPr>
      </w:pPr>
      <w:r w:rsidRPr="002D06F0">
        <w:rPr>
          <w:rFonts w:cstheme="minorHAnsi"/>
        </w:rPr>
        <w:t>A l’inverse</w:t>
      </w:r>
      <w:r w:rsidR="004E2322" w:rsidRPr="002D06F0">
        <w:rPr>
          <w:rFonts w:cstheme="minorHAnsi"/>
        </w:rPr>
        <w:t xml:space="preserve">, </w:t>
      </w:r>
      <w:r w:rsidR="00E80A5D" w:rsidRPr="002D06F0">
        <w:rPr>
          <w:rFonts w:cstheme="minorHAnsi"/>
        </w:rPr>
        <w:t>les exportations de produits pétroliers raffinés, premier poste en valeur, ont chuté de 23,5%, à 67 Mds USD</w:t>
      </w:r>
      <w:r w:rsidR="0001120A" w:rsidRPr="002D06F0">
        <w:rPr>
          <w:rFonts w:cstheme="minorHAnsi"/>
        </w:rPr>
        <w:t xml:space="preserve">. </w:t>
      </w:r>
      <w:r w:rsidR="00785F09" w:rsidRPr="002D06F0">
        <w:rPr>
          <w:rFonts w:cstheme="minorHAnsi"/>
        </w:rPr>
        <w:t xml:space="preserve">Cette évolution résulte principalement d’une correction des prix internationaux du pétrole brut, le Brent s’établissant en moyenne à 77 USD sur l’exercice, contre 92 USD au cours de l’exercice précédent. </w:t>
      </w:r>
      <w:r w:rsidR="00E80A5D" w:rsidRPr="002D06F0">
        <w:rPr>
          <w:rFonts w:cstheme="minorHAnsi"/>
        </w:rPr>
        <w:t xml:space="preserve">Les exportations de pierres précieuses et d’acier ont également connu un net recul ; de 8,8% et 32,2% respectivement, l’acier ayant été impacté par les surcapacités régionales, notamment en Chine et au Vietnam, et une baisse des prix à l’export. </w:t>
      </w:r>
    </w:p>
    <w:p w14:paraId="14C3024E" w14:textId="77777777" w:rsidR="002D06F0" w:rsidRPr="002D06F0" w:rsidRDefault="002D06F0" w:rsidP="002D06F0">
      <w:pPr>
        <w:spacing w:after="60" w:line="240" w:lineRule="auto"/>
        <w:ind w:left="-284"/>
        <w:contextualSpacing/>
        <w:jc w:val="both"/>
        <w:rPr>
          <w:rFonts w:cstheme="minorHAnsi"/>
        </w:rPr>
      </w:pPr>
    </w:p>
    <w:p w14:paraId="1F1B6EF7" w14:textId="7EB6CA2C" w:rsidR="004C283E" w:rsidRPr="002D06F0" w:rsidRDefault="00AB1362" w:rsidP="002D06F0">
      <w:pPr>
        <w:spacing w:after="60" w:line="240" w:lineRule="auto"/>
        <w:ind w:left="-284"/>
        <w:contextualSpacing/>
        <w:jc w:val="both"/>
        <w:rPr>
          <w:rFonts w:cstheme="minorHAnsi"/>
        </w:rPr>
      </w:pPr>
      <w:r w:rsidRPr="002D06F0">
        <w:rPr>
          <w:rFonts w:cstheme="minorHAnsi"/>
        </w:rPr>
        <w:t xml:space="preserve">La structure géographique des exportations demeure concentrée. Les États-Unis restent le premier </w:t>
      </w:r>
      <w:r w:rsidR="001720F8" w:rsidRPr="002D06F0">
        <w:rPr>
          <w:rFonts w:cstheme="minorHAnsi"/>
        </w:rPr>
        <w:t>marché avec</w:t>
      </w:r>
      <w:r w:rsidRPr="002D06F0">
        <w:rPr>
          <w:rFonts w:cstheme="minorHAnsi"/>
        </w:rPr>
        <w:t xml:space="preserve"> 20% du total exporté (près de 87 Mds USD), suivis des Émirats arabes unis (8 %), des Pays-Bas (5%), du Royaume-Uni (3%) et de la Chine (2,7%). L’exposition bilatérale à certains marchés sensibles – </w:t>
      </w:r>
      <w:r w:rsidRPr="002D06F0">
        <w:rPr>
          <w:rFonts w:cstheme="minorHAnsi"/>
        </w:rPr>
        <w:lastRenderedPageBreak/>
        <w:t>notamment les États-Unis dans le contexte d’un durcissement protectionniste – constitue un risque identifié pour la trajectoire exportatrice à</w:t>
      </w:r>
      <w:r w:rsidR="00512AD3" w:rsidRPr="002D06F0">
        <w:rPr>
          <w:rFonts w:cstheme="minorHAnsi"/>
        </w:rPr>
        <w:t xml:space="preserve"> court et moyen terme</w:t>
      </w:r>
      <w:r w:rsidR="008A17CA" w:rsidRPr="002D06F0">
        <w:rPr>
          <w:rFonts w:cstheme="minorHAnsi"/>
        </w:rPr>
        <w:t>s</w:t>
      </w:r>
      <w:r w:rsidR="00512AD3" w:rsidRPr="002D06F0">
        <w:rPr>
          <w:rFonts w:cstheme="minorHAnsi"/>
        </w:rPr>
        <w:t xml:space="preserve">, notamment en raison de l’incertitude entourant </w:t>
      </w:r>
      <w:r w:rsidR="00D00925" w:rsidRPr="002D06F0">
        <w:rPr>
          <w:rFonts w:cstheme="minorHAnsi"/>
        </w:rPr>
        <w:t>les négociations commerciales</w:t>
      </w:r>
      <w:r w:rsidR="00512AD3" w:rsidRPr="002D06F0">
        <w:rPr>
          <w:rFonts w:cstheme="minorHAnsi"/>
        </w:rPr>
        <w:t xml:space="preserve"> entre l’Inde et les Etats Unis</w:t>
      </w:r>
      <w:r w:rsidR="008A17CA" w:rsidRPr="002D06F0">
        <w:rPr>
          <w:rFonts w:cstheme="minorHAnsi"/>
        </w:rPr>
        <w:t xml:space="preserve"> et la menace d’une hausse des droits de douane portés à 50%, contre 26 % en avril, ce qui fait de l’Inde l’un des pays les plus affectés par le nouveau régime des droits dits « réciproques », si le 6</w:t>
      </w:r>
      <w:r w:rsidR="008A17CA" w:rsidRPr="002D06F0">
        <w:rPr>
          <w:rFonts w:cstheme="minorHAnsi"/>
          <w:vertAlign w:val="superscript"/>
        </w:rPr>
        <w:t>ème</w:t>
      </w:r>
      <w:r w:rsidR="008A17CA" w:rsidRPr="002D06F0">
        <w:rPr>
          <w:rFonts w:cstheme="minorHAnsi"/>
        </w:rPr>
        <w:t xml:space="preserve"> round de négociation avec les Américains prévu fin août devait échouer</w:t>
      </w:r>
      <w:r w:rsidRPr="002D06F0">
        <w:rPr>
          <w:rFonts w:cstheme="minorHAnsi"/>
        </w:rPr>
        <w:t>.</w:t>
      </w:r>
      <w:r w:rsidR="00E80A5D" w:rsidRPr="002D06F0">
        <w:rPr>
          <w:rFonts w:cstheme="minorHAnsi"/>
        </w:rPr>
        <w:t xml:space="preserve"> Toutefois, les négociations en cours avec l’Union européenne sur un accord de libre-échange, incluant des clauses sur les indications géographiques, le développement durable et la protection des données, pourraient créer des débouchés alternatifs pour les exportateurs indiens à moyen terme.</w:t>
      </w:r>
    </w:p>
    <w:p w14:paraId="101B2A3C" w14:textId="3AC46068" w:rsidR="004C283E" w:rsidRPr="002D06F0" w:rsidRDefault="004C283E" w:rsidP="00F207C0">
      <w:pPr>
        <w:pStyle w:val="Paragraphedeliste"/>
        <w:numPr>
          <w:ilvl w:val="0"/>
          <w:numId w:val="26"/>
        </w:numPr>
        <w:spacing w:after="60" w:line="240" w:lineRule="auto"/>
        <w:jc w:val="both"/>
        <w:rPr>
          <w:rFonts w:cstheme="minorHAnsi"/>
          <w:b/>
          <w:bCs/>
          <w:color w:val="000091" w:themeColor="text1"/>
          <w:szCs w:val="24"/>
        </w:rPr>
      </w:pPr>
      <w:r w:rsidRPr="002D06F0">
        <w:rPr>
          <w:rFonts w:cstheme="minorHAnsi"/>
          <w:b/>
          <w:bCs/>
          <w:color w:val="000091" w:themeColor="text1"/>
          <w:szCs w:val="24"/>
        </w:rPr>
        <w:t>Les importations sont en croissance au cours de l’exercice 2024/25</w:t>
      </w:r>
    </w:p>
    <w:p w14:paraId="52CDFFEF" w14:textId="1F607100" w:rsidR="00B9564D" w:rsidRPr="002D06F0" w:rsidRDefault="004C283E" w:rsidP="004C283E">
      <w:pPr>
        <w:spacing w:after="60" w:line="240" w:lineRule="auto"/>
        <w:ind w:left="-284"/>
        <w:contextualSpacing/>
        <w:jc w:val="both"/>
        <w:rPr>
          <w:rFonts w:cstheme="minorHAnsi"/>
        </w:rPr>
      </w:pPr>
      <w:r w:rsidRPr="002D06F0">
        <w:rPr>
          <w:rFonts w:cstheme="minorHAnsi"/>
        </w:rPr>
        <w:t xml:space="preserve">L’Inde a enregistré une progression de ses importations de marchandises de 6,4%, </w:t>
      </w:r>
      <w:r w:rsidR="008A17CA" w:rsidRPr="002D06F0">
        <w:rPr>
          <w:rFonts w:cstheme="minorHAnsi"/>
        </w:rPr>
        <w:t>à</w:t>
      </w:r>
      <w:r w:rsidRPr="002D06F0">
        <w:rPr>
          <w:rFonts w:cstheme="minorHAnsi"/>
        </w:rPr>
        <w:t xml:space="preserve"> 721,3 Mds USD, contre 678,2 Mds USD au cours de l’exercice précédent.</w:t>
      </w:r>
      <w:r w:rsidR="00D133F9" w:rsidRPr="002D06F0">
        <w:rPr>
          <w:rFonts w:cstheme="minorHAnsi"/>
        </w:rPr>
        <w:t xml:space="preserve"> </w:t>
      </w:r>
      <w:r w:rsidR="00B9564D" w:rsidRPr="002D06F0">
        <w:rPr>
          <w:rFonts w:cstheme="minorHAnsi"/>
        </w:rPr>
        <w:t>La structure des importations demeure néanmoins marquée par une forte dépendance à l’égard des produits énergétiques, des composants technologiques et des biens intermédiaires, dont les effets sur le déficit courant se font toujours sentir.</w:t>
      </w:r>
    </w:p>
    <w:p w14:paraId="121B4163" w14:textId="77777777" w:rsidR="00B9564D" w:rsidRPr="002D06F0" w:rsidRDefault="00B9564D" w:rsidP="004C283E">
      <w:pPr>
        <w:spacing w:after="60" w:line="240" w:lineRule="auto"/>
        <w:ind w:left="-284"/>
        <w:contextualSpacing/>
        <w:jc w:val="both"/>
        <w:rPr>
          <w:rFonts w:cstheme="minorHAnsi"/>
        </w:rPr>
      </w:pPr>
    </w:p>
    <w:p w14:paraId="58F32491" w14:textId="3065AFAD" w:rsidR="001F1053" w:rsidRPr="002D06F0" w:rsidRDefault="00B9564D" w:rsidP="004C283E">
      <w:pPr>
        <w:spacing w:after="60" w:line="240" w:lineRule="auto"/>
        <w:ind w:left="-284"/>
        <w:contextualSpacing/>
        <w:jc w:val="both"/>
        <w:rPr>
          <w:rFonts w:cstheme="minorHAnsi"/>
        </w:rPr>
      </w:pPr>
      <w:r w:rsidRPr="002D06F0">
        <w:rPr>
          <w:rFonts w:cstheme="minorHAnsi"/>
        </w:rPr>
        <w:t xml:space="preserve">Les produits pétroliers (brut et raffinés) constituent, comme les années précédentes, le premier poste d’importation avec une valeur cumulée de 218,2 Mds USD, représentant 30,3% du total. Bien que la facture énergétique soit restée stable en valeur (-0,4% en </w:t>
      </w:r>
      <w:proofErr w:type="spellStart"/>
      <w:r w:rsidRPr="002D06F0">
        <w:rPr>
          <w:rFonts w:cstheme="minorHAnsi"/>
        </w:rPr>
        <w:t>g.a</w:t>
      </w:r>
      <w:proofErr w:type="spellEnd"/>
      <w:r w:rsidRPr="002D06F0">
        <w:rPr>
          <w:rFonts w:cstheme="minorHAnsi"/>
        </w:rPr>
        <w:t>.), cette stabilité résulte d’effets de compensation entre la baisse des cours internationaux (cf. supra) et l’augmentation significative des volumes importés, en particulier en provenance de la Russie</w:t>
      </w:r>
      <w:r w:rsidR="007759ED">
        <w:rPr>
          <w:rFonts w:cstheme="minorHAnsi"/>
        </w:rPr>
        <w:t xml:space="preserve"> (+5% en </w:t>
      </w:r>
      <w:proofErr w:type="spellStart"/>
      <w:r w:rsidR="007759ED">
        <w:rPr>
          <w:rFonts w:cstheme="minorHAnsi"/>
        </w:rPr>
        <w:t>g.a</w:t>
      </w:r>
      <w:proofErr w:type="spellEnd"/>
      <w:r w:rsidR="007759ED">
        <w:rPr>
          <w:rFonts w:cstheme="minorHAnsi"/>
        </w:rPr>
        <w:t>.)</w:t>
      </w:r>
      <w:r w:rsidRPr="002D06F0">
        <w:rPr>
          <w:rFonts w:cstheme="minorHAnsi"/>
        </w:rPr>
        <w:t>. Cette dernière capte désormais une part structurelle du marché pétrolier indien, conséquence directe de la réorientation géoéconomique engagée depuis 2022, à la faveur des rabais commerciaux accordés dans le sillage de l’embargo européen. La Russie s’impose ainsi comme un fournisseur privilégié, aux côtés des partenaires historiques que sont l’Irak, l’Arabie Saoudite et les Émirats arabes unis.</w:t>
      </w:r>
      <w:r w:rsidR="000528F0" w:rsidRPr="002D06F0">
        <w:rPr>
          <w:rFonts w:cstheme="minorHAnsi"/>
        </w:rPr>
        <w:t xml:space="preserve"> Cette tendance pourrait s’infléchir, en raison des pressions exercées par les Etats-Unis, qui ont imposé début août un taux de 25 % sur les importations indiennes, sanctionnant le fait que la Russie est devenue depuis le conflit russo-ukrainien le premier fournisseur de l’Inde en matière de pétrole. </w:t>
      </w:r>
    </w:p>
    <w:p w14:paraId="6E5629F4" w14:textId="7A945698" w:rsidR="001551CB" w:rsidRPr="002D06F0" w:rsidRDefault="001551CB" w:rsidP="004C283E">
      <w:pPr>
        <w:spacing w:after="60" w:line="240" w:lineRule="auto"/>
        <w:ind w:left="-284"/>
        <w:contextualSpacing/>
        <w:jc w:val="both"/>
        <w:rPr>
          <w:rFonts w:cstheme="minorHAnsi"/>
        </w:rPr>
      </w:pPr>
    </w:p>
    <w:p w14:paraId="27CB0739" w14:textId="23D8EF32" w:rsidR="001551CB" w:rsidRPr="002D06F0" w:rsidRDefault="001551CB" w:rsidP="004C283E">
      <w:pPr>
        <w:spacing w:after="60" w:line="240" w:lineRule="auto"/>
        <w:ind w:left="-284"/>
        <w:contextualSpacing/>
        <w:jc w:val="both"/>
        <w:rPr>
          <w:rFonts w:cstheme="minorHAnsi"/>
        </w:rPr>
      </w:pPr>
      <w:r w:rsidRPr="002D06F0">
        <w:rPr>
          <w:rFonts w:cstheme="minorHAnsi"/>
        </w:rPr>
        <w:t>Les importations indiennes de biens d’équipement ont fortement progressé en 2024/25, portées par la demande industrielle. Les équipements électriques (+11,8%) et les machines-outils (+12,1%) traduisent l’intensification du cycle d’investissement, mais confirment la dépendance technologique persistante dans les segments critiques de production. Parallèlement, les achats de métaux précieux (+13,4%) restent soutenus par la consommation domestique.</w:t>
      </w:r>
    </w:p>
    <w:p w14:paraId="428D2643" w14:textId="77777777" w:rsidR="00B9564D" w:rsidRPr="002D06F0" w:rsidRDefault="00B9564D" w:rsidP="004C283E">
      <w:pPr>
        <w:spacing w:after="60" w:line="240" w:lineRule="auto"/>
        <w:ind w:left="-284"/>
        <w:contextualSpacing/>
        <w:jc w:val="both"/>
        <w:rPr>
          <w:rFonts w:cstheme="minorHAnsi"/>
        </w:rPr>
      </w:pPr>
    </w:p>
    <w:p w14:paraId="3B42C02F" w14:textId="7E066DB9" w:rsidR="004C283E" w:rsidRPr="002D06F0" w:rsidRDefault="001551CB" w:rsidP="004C283E">
      <w:pPr>
        <w:spacing w:after="60" w:line="240" w:lineRule="auto"/>
        <w:ind w:left="-284"/>
        <w:contextualSpacing/>
        <w:jc w:val="both"/>
        <w:rPr>
          <w:rFonts w:cstheme="minorHAnsi"/>
        </w:rPr>
      </w:pPr>
      <w:r w:rsidRPr="002D06F0">
        <w:rPr>
          <w:rFonts w:cstheme="minorHAnsi"/>
        </w:rPr>
        <w:t xml:space="preserve">Du point de vue géographique, la Chine demeure le premier fournisseur de l’Inde, représentant à elle seule 20% des importations totales, soit un montant supérieur à 140 Mds USD. Le déficit commercial bilatéral avec la Chine dépasse désormais 96 Mds USD. Cette asymétrie persistante reflète une dépendance stratégique aux approvisionnements chinois dans les segments à forte intensité technologique, notamment les équipements électriques, les machines industrielles et les produits chimiques organiques, pour lesquels l’Inde ne dispose pas encore de capacités de substitution crédibles à court terme. Malgré les objectifs de substitution affichés par la doctrine </w:t>
      </w:r>
      <w:proofErr w:type="spellStart"/>
      <w:r w:rsidRPr="002D06F0">
        <w:rPr>
          <w:rFonts w:cstheme="minorHAnsi"/>
          <w:i/>
          <w:iCs/>
        </w:rPr>
        <w:t>Atmanirbhar</w:t>
      </w:r>
      <w:proofErr w:type="spellEnd"/>
      <w:r w:rsidRPr="002D06F0">
        <w:rPr>
          <w:rFonts w:cstheme="minorHAnsi"/>
          <w:i/>
          <w:iCs/>
        </w:rPr>
        <w:t xml:space="preserve"> Bharat</w:t>
      </w:r>
      <w:r w:rsidRPr="002D06F0">
        <w:rPr>
          <w:rFonts w:cstheme="minorHAnsi"/>
        </w:rPr>
        <w:t>, la réalité productive demeure dominée par une spécialisation chinoise plus fine et plus compétitive sur l’ensemble de ces gammes</w:t>
      </w:r>
      <w:r w:rsidR="000528F0" w:rsidRPr="002D06F0">
        <w:rPr>
          <w:rFonts w:cstheme="minorHAnsi"/>
        </w:rPr>
        <w:t xml:space="preserve">, qui risque de se prolonger en raison du rôle incompressible de la Chine sur certains secteurs d’activité et du fait que l’Inde souhaite limiter les IDE d’origine chinoise. </w:t>
      </w:r>
    </w:p>
    <w:p w14:paraId="4A8E9AAB" w14:textId="5BD05C60" w:rsidR="00DC1D97" w:rsidRPr="002D06F0" w:rsidRDefault="00DC1D97" w:rsidP="004C283E">
      <w:pPr>
        <w:spacing w:after="60" w:line="240" w:lineRule="auto"/>
        <w:ind w:left="-284"/>
        <w:contextualSpacing/>
        <w:jc w:val="both"/>
        <w:rPr>
          <w:rFonts w:cstheme="minorHAnsi"/>
        </w:rPr>
      </w:pPr>
    </w:p>
    <w:p w14:paraId="7A1D644F" w14:textId="60384733" w:rsidR="002D06F0" w:rsidRPr="002D06F0" w:rsidRDefault="008B495B" w:rsidP="00A40A71">
      <w:pPr>
        <w:spacing w:after="60" w:line="240" w:lineRule="auto"/>
        <w:ind w:left="-284"/>
        <w:contextualSpacing/>
        <w:jc w:val="both"/>
        <w:rPr>
          <w:rFonts w:cstheme="minorHAnsi"/>
        </w:rPr>
      </w:pPr>
      <w:r w:rsidRPr="002D06F0">
        <w:rPr>
          <w:rFonts w:cstheme="minorHAnsi"/>
        </w:rPr>
        <w:t>En 2024/25, les principaux partenaires commerciaux de l’Inde au sein de l’Union européenne sont les Pays-Bas, en tête avec 5,2%, malgré un recul par rapport à l’année précédente, suivis de l’Allemagne (2,4%), de la France (1,8%), de l’Italie (1,77%), de la Belgique (1,44 %) et de l’Espagne (1,09%). Le Royaume-Uni représente, pour sa part, 3,33% des importations indiennes.</w:t>
      </w:r>
    </w:p>
    <w:p w14:paraId="4B610CFF" w14:textId="77777777" w:rsidR="002D06F0" w:rsidRDefault="00E91B0E" w:rsidP="002D06F0">
      <w:pPr>
        <w:pStyle w:val="Paragraphedeliste"/>
        <w:numPr>
          <w:ilvl w:val="0"/>
          <w:numId w:val="26"/>
        </w:numPr>
        <w:spacing w:after="60" w:line="240" w:lineRule="auto"/>
        <w:jc w:val="both"/>
        <w:rPr>
          <w:rFonts w:cstheme="minorHAnsi"/>
          <w:b/>
          <w:bCs/>
          <w:color w:val="000091" w:themeColor="text1"/>
          <w:szCs w:val="24"/>
        </w:rPr>
      </w:pPr>
      <w:r w:rsidRPr="002D06F0">
        <w:rPr>
          <w:rFonts w:cstheme="minorHAnsi"/>
          <w:b/>
          <w:bCs/>
          <w:color w:val="000091" w:themeColor="text1"/>
          <w:szCs w:val="24"/>
        </w:rPr>
        <w:t xml:space="preserve">La balance commerciale en détérioration, compensée par les services </w:t>
      </w:r>
    </w:p>
    <w:p w14:paraId="59607E88" w14:textId="47BAFA2F" w:rsidR="00E91B0E" w:rsidRPr="002D06F0" w:rsidRDefault="00E91B0E" w:rsidP="002D06F0">
      <w:pPr>
        <w:spacing w:after="60" w:line="240" w:lineRule="auto"/>
        <w:ind w:left="-284"/>
        <w:jc w:val="both"/>
        <w:rPr>
          <w:rFonts w:cstheme="minorHAnsi"/>
          <w:b/>
          <w:bCs/>
          <w:color w:val="000091" w:themeColor="text1"/>
          <w:szCs w:val="24"/>
        </w:rPr>
      </w:pPr>
      <w:r w:rsidRPr="002D06F0">
        <w:rPr>
          <w:rFonts w:cstheme="minorHAnsi"/>
        </w:rPr>
        <w:t xml:space="preserve">Le déficit commercial global en biens s’élève à 282,83 Mds USD, en hausse de 17,3% sur un an. Ce creusement s’explique par la faible élasticité-prix des importations, la dépendance énergétique persistante, et la stagnation des recettes à l’export hors services. Le taux de couverture des importations se replie à 60,7%, contre 65% un an plus tôt. Toutefois, le commerce de services vient significativement atténuer ce déséquilibre. Les exportations de services ont atteint 383,51 Mds USD, en hausse de 12,45%, grâce à la </w:t>
      </w:r>
      <w:r w:rsidRPr="002D06F0">
        <w:rPr>
          <w:rFonts w:cstheme="minorHAnsi"/>
        </w:rPr>
        <w:lastRenderedPageBreak/>
        <w:t>solidité des segments informatiques, du cloud, de la cybersécurité et des services de conseil, principalement à destination des États-Unis, du Royaume-Uni et de Singapour.</w:t>
      </w:r>
    </w:p>
    <w:p w14:paraId="02D2E56B" w14:textId="5E1ED759" w:rsidR="00F207C0" w:rsidRDefault="00E91B0E" w:rsidP="00A40A71">
      <w:pPr>
        <w:spacing w:after="60" w:line="240" w:lineRule="auto"/>
        <w:ind w:left="-284"/>
        <w:contextualSpacing/>
        <w:jc w:val="both"/>
        <w:rPr>
          <w:rFonts w:cstheme="minorHAnsi"/>
        </w:rPr>
      </w:pPr>
      <w:r w:rsidRPr="002D06F0">
        <w:rPr>
          <w:rFonts w:cstheme="minorHAnsi"/>
        </w:rPr>
        <w:t>La balance des services enregistre un excédent de 188,</w:t>
      </w:r>
      <w:r w:rsidR="007221EA" w:rsidRPr="002D06F0">
        <w:rPr>
          <w:rFonts w:cstheme="minorHAnsi"/>
        </w:rPr>
        <w:t>6</w:t>
      </w:r>
      <w:r w:rsidRPr="002D06F0">
        <w:rPr>
          <w:rFonts w:cstheme="minorHAnsi"/>
        </w:rPr>
        <w:t xml:space="preserve"> Mds</w:t>
      </w:r>
      <w:r w:rsidR="00F207C0" w:rsidRPr="002D06F0">
        <w:rPr>
          <w:rFonts w:cstheme="minorHAnsi"/>
        </w:rPr>
        <w:t xml:space="preserve"> </w:t>
      </w:r>
      <w:r w:rsidRPr="002D06F0">
        <w:rPr>
          <w:rFonts w:cstheme="minorHAnsi"/>
        </w:rPr>
        <w:t xml:space="preserve">USD, contre 162,8 Mds USD au cours de l’exercice précédent. Cette dynamique contribue à limiter le déficit courant, attendu autour de 1,2% du PIB selon les projections de la RBI. </w:t>
      </w:r>
    </w:p>
    <w:p w14:paraId="5E7F8BB0" w14:textId="77777777" w:rsidR="00A40A71" w:rsidRPr="002D06F0" w:rsidRDefault="00A40A71" w:rsidP="00A40A71">
      <w:pPr>
        <w:spacing w:after="60" w:line="240" w:lineRule="auto"/>
        <w:ind w:left="-284"/>
        <w:contextualSpacing/>
        <w:jc w:val="both"/>
        <w:rPr>
          <w:rFonts w:cstheme="minorHAnsi"/>
        </w:rPr>
      </w:pPr>
    </w:p>
    <w:p w14:paraId="32A69597" w14:textId="0A8541AC" w:rsidR="00A40A71" w:rsidRPr="00A40A71" w:rsidRDefault="00F207C0" w:rsidP="00B00996">
      <w:pPr>
        <w:spacing w:after="60" w:line="240" w:lineRule="auto"/>
        <w:ind w:left="-284"/>
        <w:contextualSpacing/>
        <w:jc w:val="both"/>
        <w:rPr>
          <w:rFonts w:eastAsia="Times New Roman" w:cstheme="minorHAnsi"/>
          <w:i/>
          <w:color w:val="000091" w:themeColor="text1"/>
          <w:lang w:eastAsia="fr-FR"/>
        </w:rPr>
      </w:pPr>
      <w:r w:rsidRPr="002D06F0">
        <w:rPr>
          <w:rFonts w:eastAsia="Times New Roman" w:cstheme="minorHAnsi"/>
          <w:i/>
          <w:color w:val="000091" w:themeColor="text1"/>
          <w:lang w:eastAsia="fr-FR"/>
        </w:rPr>
        <w:t>Les annonces protectionnistes du président Donald Trump le 1</w:t>
      </w:r>
      <w:r w:rsidRPr="002D06F0">
        <w:rPr>
          <w:rFonts w:eastAsia="Times New Roman" w:cstheme="minorHAnsi"/>
          <w:i/>
          <w:color w:val="000091" w:themeColor="text1"/>
          <w:vertAlign w:val="superscript"/>
          <w:lang w:eastAsia="fr-FR"/>
        </w:rPr>
        <w:t>er</w:t>
      </w:r>
      <w:r w:rsidRPr="002D06F0">
        <w:rPr>
          <w:rFonts w:eastAsia="Times New Roman" w:cstheme="minorHAnsi"/>
          <w:i/>
          <w:color w:val="000091" w:themeColor="text1"/>
          <w:lang w:eastAsia="fr-FR"/>
        </w:rPr>
        <w:t xml:space="preserve"> août 2025, notamment l’instauration de droits de douane additionnels sur certaines exportations indiennes, viennent réactiver les tensions commerciales bilatérales. Ces mesures, favorisant principalement les intérêts commerciaux américains, fragilisent la compétitivité des exportations indiennes sur leur premier marché, en particulier dans les secteurs technologiques, pharmaceutiques et textiles. </w:t>
      </w:r>
      <w:r w:rsidR="003C21D8" w:rsidRPr="002D06F0">
        <w:rPr>
          <w:rFonts w:eastAsia="Times New Roman" w:cstheme="minorHAnsi"/>
          <w:i/>
          <w:color w:val="000091" w:themeColor="text1"/>
          <w:lang w:eastAsia="fr-FR"/>
        </w:rPr>
        <w:t xml:space="preserve">On peut même craindre que ces tensions ne diffusent vers les exportations indiennes de services vers les Etats-Unis. </w:t>
      </w:r>
      <w:r w:rsidRPr="002D06F0">
        <w:rPr>
          <w:rFonts w:eastAsia="Times New Roman" w:cstheme="minorHAnsi"/>
          <w:i/>
          <w:color w:val="000091" w:themeColor="text1"/>
          <w:lang w:eastAsia="fr-FR"/>
        </w:rPr>
        <w:t>Dans ce cadre, la poursuite des négociations en vue d’un accord de libre-échange avec l’Union européenne apparaît nécessaire pour l’Inde</w:t>
      </w:r>
      <w:r w:rsidR="00A23AAE">
        <w:rPr>
          <w:rFonts w:eastAsia="Times New Roman" w:cstheme="minorHAnsi"/>
          <w:i/>
          <w:color w:val="000091" w:themeColor="text1"/>
          <w:lang w:eastAsia="fr-FR"/>
        </w:rPr>
        <w:t xml:space="preserve">, </w:t>
      </w:r>
      <w:r w:rsidR="00A23AAE" w:rsidRPr="00A23AAE">
        <w:rPr>
          <w:rFonts w:eastAsia="Times New Roman" w:cstheme="minorHAnsi"/>
          <w:i/>
          <w:color w:val="000091" w:themeColor="text1"/>
          <w:lang w:eastAsia="fr-FR"/>
        </w:rPr>
        <w:t xml:space="preserve">bien qu’il soit peu probable que cet accord compense pleinement les pertes liées aux tensions commerciales avec les </w:t>
      </w:r>
      <w:r w:rsidR="00A23AAE">
        <w:rPr>
          <w:rFonts w:eastAsia="Times New Roman" w:cstheme="minorHAnsi"/>
          <w:i/>
          <w:color w:val="000091" w:themeColor="text1"/>
          <w:lang w:eastAsia="fr-FR"/>
        </w:rPr>
        <w:t>E</w:t>
      </w:r>
      <w:r w:rsidR="00A23AAE" w:rsidRPr="00A23AAE">
        <w:rPr>
          <w:rFonts w:eastAsia="Times New Roman" w:cstheme="minorHAnsi"/>
          <w:i/>
          <w:color w:val="000091" w:themeColor="text1"/>
          <w:lang w:eastAsia="fr-FR"/>
        </w:rPr>
        <w:t>tats-Unis</w:t>
      </w:r>
      <w:r w:rsidRPr="002D06F0">
        <w:rPr>
          <w:rFonts w:eastAsia="Times New Roman" w:cstheme="minorHAnsi"/>
          <w:i/>
          <w:color w:val="000091" w:themeColor="text1"/>
          <w:lang w:eastAsia="fr-FR"/>
        </w:rPr>
        <w:t xml:space="preserve">. Si les discussions restent complexes sur les volets non tarifaires (propriété intellectuelle, durabilité, normes sanitaires), la consolidation d’un cadre préférentiel avec un partenaire de poids (10% des exportations indiennes) offrirait une diversification géographique. </w:t>
      </w:r>
    </w:p>
    <w:p w14:paraId="3EB2AB11" w14:textId="7823CD58" w:rsidR="00A62883" w:rsidRDefault="003E56E8" w:rsidP="00B00996">
      <w:pPr>
        <w:spacing w:after="60" w:line="240" w:lineRule="auto"/>
        <w:ind w:left="-284"/>
        <w:contextualSpacing/>
        <w:jc w:val="center"/>
        <w:rPr>
          <w:rFonts w:ascii="Segoe UI" w:eastAsia="Times New Roman" w:hAnsi="Segoe UI" w:cs="Segoe UI"/>
          <w:b/>
          <w:bCs/>
          <w:iCs/>
          <w:color w:val="000091" w:themeColor="text1"/>
          <w:sz w:val="18"/>
          <w:szCs w:val="18"/>
          <w:lang w:eastAsia="fr-FR"/>
        </w:rPr>
      </w:pPr>
      <w:r w:rsidRPr="003C3140">
        <w:rPr>
          <w:rFonts w:ascii="Segoe UI" w:eastAsia="Times New Roman" w:hAnsi="Segoe UI" w:cs="Segoe UI"/>
          <w:b/>
          <w:bCs/>
          <w:iCs/>
          <w:color w:val="000091" w:themeColor="text1"/>
          <w:sz w:val="18"/>
          <w:szCs w:val="18"/>
          <w:lang w:eastAsia="fr-FR"/>
        </w:rPr>
        <w:t>Annexe</w:t>
      </w:r>
    </w:p>
    <w:p w14:paraId="10899E29" w14:textId="77777777" w:rsidR="00B00996" w:rsidRPr="002D06F0" w:rsidRDefault="00B00996" w:rsidP="00B00996">
      <w:pPr>
        <w:spacing w:after="60" w:line="240" w:lineRule="auto"/>
        <w:ind w:left="-284"/>
        <w:contextualSpacing/>
        <w:jc w:val="center"/>
        <w:rPr>
          <w:rFonts w:ascii="Segoe UI" w:eastAsia="Times New Roman" w:hAnsi="Segoe UI" w:cs="Segoe UI"/>
          <w:b/>
          <w:bCs/>
          <w:iCs/>
          <w:color w:val="000091" w:themeColor="text1"/>
          <w:sz w:val="18"/>
          <w:szCs w:val="18"/>
          <w:lang w:eastAsia="fr-FR"/>
        </w:rPr>
      </w:pPr>
    </w:p>
    <w:p w14:paraId="091F6DAE" w14:textId="579860C6" w:rsidR="003E56E8" w:rsidRPr="002D06F0" w:rsidRDefault="00A62883" w:rsidP="00A62883">
      <w:pPr>
        <w:spacing w:after="60" w:line="240" w:lineRule="auto"/>
        <w:ind w:left="-284"/>
        <w:contextualSpacing/>
        <w:jc w:val="center"/>
        <w:rPr>
          <w:rFonts w:eastAsia="Times New Roman" w:cstheme="minorHAnsi"/>
          <w:b/>
          <w:bCs/>
          <w:iCs/>
          <w:color w:val="000091" w:themeColor="text1"/>
          <w:sz w:val="20"/>
          <w:szCs w:val="20"/>
          <w:lang w:eastAsia="fr-FR"/>
        </w:rPr>
      </w:pPr>
      <w:r w:rsidRPr="002D06F0">
        <w:rPr>
          <w:rFonts w:eastAsia="Times New Roman" w:cstheme="minorHAnsi"/>
          <w:b/>
          <w:bCs/>
          <w:iCs/>
          <w:color w:val="000091" w:themeColor="text1"/>
          <w:sz w:val="20"/>
          <w:szCs w:val="20"/>
          <w:lang w:eastAsia="fr-FR"/>
        </w:rPr>
        <w:t>Princi</w:t>
      </w:r>
      <w:r w:rsidR="003849D9" w:rsidRPr="002D06F0">
        <w:rPr>
          <w:rFonts w:eastAsia="Times New Roman" w:cstheme="minorHAnsi"/>
          <w:b/>
          <w:bCs/>
          <w:iCs/>
          <w:color w:val="000091" w:themeColor="text1"/>
          <w:sz w:val="20"/>
          <w:szCs w:val="20"/>
          <w:lang w:eastAsia="fr-FR"/>
        </w:rPr>
        <w:t xml:space="preserve">pales marchandises </w:t>
      </w:r>
      <w:r w:rsidR="001D5AB4" w:rsidRPr="002D06F0">
        <w:rPr>
          <w:rFonts w:eastAsia="Times New Roman" w:cstheme="minorHAnsi"/>
          <w:b/>
          <w:bCs/>
          <w:iCs/>
          <w:color w:val="000091" w:themeColor="text1"/>
          <w:sz w:val="20"/>
          <w:szCs w:val="20"/>
          <w:lang w:eastAsia="fr-FR"/>
        </w:rPr>
        <w:t>exportées</w:t>
      </w:r>
      <w:r w:rsidR="003849D9" w:rsidRPr="002D06F0">
        <w:rPr>
          <w:rFonts w:eastAsia="Times New Roman" w:cstheme="minorHAnsi"/>
          <w:b/>
          <w:bCs/>
          <w:iCs/>
          <w:color w:val="000091" w:themeColor="text1"/>
          <w:sz w:val="20"/>
          <w:szCs w:val="20"/>
          <w:lang w:eastAsia="fr-FR"/>
        </w:rPr>
        <w:t xml:space="preserve"> – Exercice budgétaire 2024/25</w:t>
      </w:r>
    </w:p>
    <w:p w14:paraId="4CE732C3" w14:textId="77777777" w:rsidR="00482064" w:rsidRPr="002D06F0" w:rsidRDefault="00482064" w:rsidP="001D5AB4">
      <w:pPr>
        <w:spacing w:after="60" w:line="240" w:lineRule="auto"/>
        <w:contextualSpacing/>
        <w:rPr>
          <w:rFonts w:eastAsia="Times New Roman" w:cstheme="minorHAnsi"/>
          <w:iCs/>
          <w:sz w:val="20"/>
          <w:szCs w:val="20"/>
          <w:lang w:eastAsia="fr-FR"/>
        </w:rPr>
      </w:pPr>
    </w:p>
    <w:tbl>
      <w:tblPr>
        <w:tblStyle w:val="Grilledutableau"/>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263"/>
        <w:gridCol w:w="2937"/>
        <w:gridCol w:w="1316"/>
        <w:gridCol w:w="2688"/>
      </w:tblGrid>
      <w:tr w:rsidR="00482064" w:rsidRPr="002D06F0" w14:paraId="390CC110" w14:textId="77777777" w:rsidTr="00A40A71">
        <w:trPr>
          <w:trHeight w:val="627"/>
        </w:trPr>
        <w:tc>
          <w:tcPr>
            <w:tcW w:w="2263" w:type="dxa"/>
            <w:tcBorders>
              <w:top w:val="single" w:sz="4" w:space="0" w:color="auto"/>
              <w:left w:val="single" w:sz="4" w:space="0" w:color="auto"/>
              <w:bottom w:val="single" w:sz="4" w:space="0" w:color="auto"/>
              <w:right w:val="single" w:sz="4" w:space="0" w:color="auto"/>
            </w:tcBorders>
            <w:noWrap/>
            <w:hideMark/>
          </w:tcPr>
          <w:p w14:paraId="0CF15E5D" w14:textId="35D9A904" w:rsidR="00482064" w:rsidRPr="002D06F0" w:rsidRDefault="000F7E4A" w:rsidP="00482064">
            <w:pPr>
              <w:spacing w:after="60"/>
              <w:contextualSpacing/>
              <w:jc w:val="center"/>
              <w:rPr>
                <w:rFonts w:eastAsia="Times New Roman" w:cstheme="minorHAnsi"/>
                <w:b/>
                <w:bCs/>
                <w:iCs/>
                <w:sz w:val="20"/>
                <w:szCs w:val="20"/>
                <w:lang w:eastAsia="fr-FR"/>
              </w:rPr>
            </w:pPr>
            <w:r>
              <w:rPr>
                <w:rFonts w:eastAsia="Times New Roman" w:cstheme="minorHAnsi"/>
                <w:b/>
                <w:bCs/>
                <w:iCs/>
                <w:sz w:val="20"/>
                <w:szCs w:val="20"/>
                <w:lang w:eastAsia="fr-FR"/>
              </w:rPr>
              <w:t>[</w:t>
            </w:r>
            <w:r w:rsidR="00482064" w:rsidRPr="002D06F0">
              <w:rPr>
                <w:rFonts w:eastAsia="Times New Roman" w:cstheme="minorHAnsi"/>
                <w:b/>
                <w:bCs/>
                <w:iCs/>
                <w:sz w:val="20"/>
                <w:szCs w:val="20"/>
                <w:lang w:eastAsia="fr-FR"/>
              </w:rPr>
              <w:t>Code SH</w:t>
            </w:r>
            <w:r>
              <w:rPr>
                <w:rFonts w:eastAsia="Times New Roman" w:cstheme="minorHAnsi"/>
                <w:b/>
                <w:bCs/>
                <w:iCs/>
                <w:sz w:val="20"/>
                <w:szCs w:val="20"/>
                <w:lang w:eastAsia="fr-FR"/>
              </w:rPr>
              <w:t>]</w:t>
            </w:r>
            <w:r w:rsidR="00482064" w:rsidRPr="002D06F0">
              <w:rPr>
                <w:rFonts w:eastAsia="Times New Roman" w:cstheme="minorHAnsi"/>
                <w:b/>
                <w:bCs/>
                <w:iCs/>
                <w:sz w:val="20"/>
                <w:szCs w:val="20"/>
                <w:lang w:eastAsia="fr-FR"/>
              </w:rPr>
              <w:t xml:space="preserve"> - Produits</w:t>
            </w:r>
          </w:p>
        </w:tc>
        <w:tc>
          <w:tcPr>
            <w:tcW w:w="2937" w:type="dxa"/>
            <w:tcBorders>
              <w:top w:val="single" w:sz="4" w:space="0" w:color="auto"/>
              <w:left w:val="single" w:sz="4" w:space="0" w:color="auto"/>
              <w:bottom w:val="single" w:sz="4" w:space="0" w:color="auto"/>
              <w:right w:val="single" w:sz="4" w:space="0" w:color="auto"/>
            </w:tcBorders>
            <w:noWrap/>
            <w:hideMark/>
          </w:tcPr>
          <w:p w14:paraId="22BDBD20" w14:textId="4D546FB0" w:rsidR="00482064" w:rsidRPr="002D06F0" w:rsidRDefault="00482064" w:rsidP="0048206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En MUSD</w:t>
            </w:r>
            <w:r w:rsidR="00831588">
              <w:rPr>
                <w:rFonts w:eastAsia="Times New Roman" w:cstheme="minorHAnsi"/>
                <w:b/>
                <w:bCs/>
                <w:iCs/>
                <w:sz w:val="20"/>
                <w:szCs w:val="20"/>
                <w:lang w:eastAsia="fr-FR"/>
              </w:rPr>
              <w:t xml:space="preserve"> (</w:t>
            </w:r>
            <w:r w:rsidR="00714644">
              <w:rPr>
                <w:rFonts w:eastAsia="Times New Roman" w:cstheme="minorHAnsi"/>
                <w:b/>
                <w:bCs/>
                <w:iCs/>
                <w:sz w:val="20"/>
                <w:szCs w:val="20"/>
                <w:lang w:eastAsia="fr-FR"/>
              </w:rPr>
              <w:t xml:space="preserve">variation </w:t>
            </w:r>
            <w:r w:rsidR="00831588">
              <w:rPr>
                <w:rFonts w:eastAsia="Times New Roman" w:cstheme="minorHAnsi"/>
                <w:b/>
                <w:bCs/>
                <w:iCs/>
                <w:sz w:val="20"/>
                <w:szCs w:val="20"/>
                <w:lang w:eastAsia="fr-FR"/>
              </w:rPr>
              <w:t>par rapport à l’année précédente)</w:t>
            </w:r>
          </w:p>
        </w:tc>
        <w:tc>
          <w:tcPr>
            <w:tcW w:w="1316" w:type="dxa"/>
            <w:tcBorders>
              <w:top w:val="single" w:sz="4" w:space="0" w:color="auto"/>
              <w:left w:val="single" w:sz="4" w:space="0" w:color="auto"/>
              <w:bottom w:val="single" w:sz="4" w:space="0" w:color="auto"/>
              <w:right w:val="single" w:sz="4" w:space="0" w:color="auto"/>
            </w:tcBorders>
            <w:noWrap/>
            <w:hideMark/>
          </w:tcPr>
          <w:p w14:paraId="640D35F6" w14:textId="77777777" w:rsidR="00482064" w:rsidRPr="002D06F0" w:rsidRDefault="00482064" w:rsidP="0048206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 exportations</w:t>
            </w:r>
          </w:p>
        </w:tc>
        <w:tc>
          <w:tcPr>
            <w:tcW w:w="2688" w:type="dxa"/>
            <w:tcBorders>
              <w:top w:val="single" w:sz="4" w:space="0" w:color="auto"/>
              <w:left w:val="single" w:sz="4" w:space="0" w:color="auto"/>
              <w:bottom w:val="single" w:sz="4" w:space="0" w:color="auto"/>
              <w:right w:val="single" w:sz="4" w:space="0" w:color="auto"/>
            </w:tcBorders>
            <w:noWrap/>
            <w:hideMark/>
          </w:tcPr>
          <w:p w14:paraId="69DC0731" w14:textId="20F2E748" w:rsidR="00482064" w:rsidRPr="002D06F0" w:rsidRDefault="00482064" w:rsidP="0048206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Principales destinations</w:t>
            </w:r>
            <w:r w:rsidR="00F76247">
              <w:rPr>
                <w:rFonts w:eastAsia="Times New Roman" w:cstheme="minorHAnsi"/>
                <w:b/>
                <w:bCs/>
                <w:iCs/>
                <w:sz w:val="20"/>
                <w:szCs w:val="20"/>
                <w:lang w:eastAsia="fr-FR"/>
              </w:rPr>
              <w:t xml:space="preserve"> (% dans le total des exports)</w:t>
            </w:r>
          </w:p>
        </w:tc>
      </w:tr>
      <w:tr w:rsidR="00482064" w:rsidRPr="002D06F0" w14:paraId="13B87451"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3957499F" w14:textId="3AD9CCA8"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27</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Pétrole raffiné</w:t>
            </w:r>
          </w:p>
        </w:tc>
        <w:tc>
          <w:tcPr>
            <w:tcW w:w="2937" w:type="dxa"/>
            <w:tcBorders>
              <w:top w:val="single" w:sz="4" w:space="0" w:color="auto"/>
              <w:left w:val="single" w:sz="4" w:space="0" w:color="auto"/>
              <w:bottom w:val="single" w:sz="4" w:space="0" w:color="auto"/>
              <w:right w:val="single" w:sz="4" w:space="0" w:color="auto"/>
            </w:tcBorders>
            <w:noWrap/>
            <w:hideMark/>
          </w:tcPr>
          <w:p w14:paraId="64B02530" w14:textId="6D1123C2"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67 002</w:t>
            </w:r>
            <w:r w:rsidR="006351F3">
              <w:rPr>
                <w:rFonts w:eastAsia="Times New Roman" w:cstheme="minorHAnsi"/>
                <w:iCs/>
                <w:sz w:val="20"/>
                <w:szCs w:val="20"/>
                <w:lang w:eastAsia="fr-FR"/>
              </w:rPr>
              <w:t xml:space="preserve"> </w:t>
            </w:r>
            <w:r w:rsidR="006351F3" w:rsidRPr="004C4D75">
              <w:rPr>
                <w:rFonts w:eastAsia="Times New Roman" w:cstheme="minorHAnsi"/>
                <w:iCs/>
                <w:color w:val="FF0000"/>
                <w:sz w:val="20"/>
                <w:szCs w:val="20"/>
                <w:lang w:eastAsia="fr-FR"/>
              </w:rPr>
              <w:t>(-23,5%)</w:t>
            </w:r>
          </w:p>
        </w:tc>
        <w:tc>
          <w:tcPr>
            <w:tcW w:w="1316" w:type="dxa"/>
            <w:tcBorders>
              <w:top w:val="single" w:sz="4" w:space="0" w:color="auto"/>
              <w:left w:val="single" w:sz="4" w:space="0" w:color="auto"/>
              <w:bottom w:val="single" w:sz="4" w:space="0" w:color="auto"/>
              <w:right w:val="single" w:sz="4" w:space="0" w:color="auto"/>
            </w:tcBorders>
            <w:noWrap/>
            <w:hideMark/>
          </w:tcPr>
          <w:p w14:paraId="548F86C4" w14:textId="7777777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15,31%</w:t>
            </w:r>
          </w:p>
        </w:tc>
        <w:tc>
          <w:tcPr>
            <w:tcW w:w="2688" w:type="dxa"/>
            <w:tcBorders>
              <w:top w:val="single" w:sz="4" w:space="0" w:color="auto"/>
              <w:left w:val="single" w:sz="4" w:space="0" w:color="auto"/>
              <w:bottom w:val="single" w:sz="4" w:space="0" w:color="auto"/>
              <w:right w:val="single" w:sz="4" w:space="0" w:color="auto"/>
            </w:tcBorders>
            <w:noWrap/>
            <w:hideMark/>
          </w:tcPr>
          <w:p w14:paraId="2131EF5D" w14:textId="0BDE6AF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Pays Bas</w:t>
            </w:r>
            <w:r w:rsidR="003C3140">
              <w:rPr>
                <w:rFonts w:eastAsia="Times New Roman" w:cstheme="minorHAnsi"/>
                <w:iCs/>
                <w:sz w:val="20"/>
                <w:szCs w:val="20"/>
                <w:lang w:eastAsia="fr-FR"/>
              </w:rPr>
              <w:t xml:space="preserve"> (20%)</w:t>
            </w:r>
            <w:r w:rsidRPr="002D06F0">
              <w:rPr>
                <w:rFonts w:eastAsia="Times New Roman" w:cstheme="minorHAnsi"/>
                <w:iCs/>
                <w:sz w:val="20"/>
                <w:szCs w:val="20"/>
                <w:lang w:eastAsia="fr-FR"/>
              </w:rPr>
              <w:t>, EAU</w:t>
            </w:r>
            <w:r w:rsidR="003C3140">
              <w:rPr>
                <w:rFonts w:eastAsia="Times New Roman" w:cstheme="minorHAnsi"/>
                <w:iCs/>
                <w:sz w:val="20"/>
                <w:szCs w:val="20"/>
                <w:lang w:eastAsia="fr-FR"/>
              </w:rPr>
              <w:t xml:space="preserve"> (11%)</w:t>
            </w:r>
            <w:r w:rsidRPr="002D06F0">
              <w:rPr>
                <w:rFonts w:eastAsia="Times New Roman" w:cstheme="minorHAnsi"/>
                <w:iCs/>
                <w:sz w:val="20"/>
                <w:szCs w:val="20"/>
                <w:lang w:eastAsia="fr-FR"/>
              </w:rPr>
              <w:t>, Singapour</w:t>
            </w:r>
            <w:r w:rsidR="003C3140">
              <w:rPr>
                <w:rFonts w:eastAsia="Times New Roman" w:cstheme="minorHAnsi"/>
                <w:iCs/>
                <w:sz w:val="20"/>
                <w:szCs w:val="20"/>
                <w:lang w:eastAsia="fr-FR"/>
              </w:rPr>
              <w:t xml:space="preserve"> (8%)</w:t>
            </w:r>
            <w:r w:rsidRPr="002D06F0">
              <w:rPr>
                <w:rFonts w:eastAsia="Times New Roman" w:cstheme="minorHAnsi"/>
                <w:iCs/>
                <w:sz w:val="20"/>
                <w:szCs w:val="20"/>
                <w:lang w:eastAsia="fr-FR"/>
              </w:rPr>
              <w:t xml:space="preserve">, </w:t>
            </w:r>
          </w:p>
        </w:tc>
      </w:tr>
      <w:tr w:rsidR="00482064" w:rsidRPr="002D06F0" w14:paraId="2021D977"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2652FD60" w14:textId="5082A210"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85</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Machines et équipement électriques</w:t>
            </w:r>
          </w:p>
        </w:tc>
        <w:tc>
          <w:tcPr>
            <w:tcW w:w="2937" w:type="dxa"/>
            <w:tcBorders>
              <w:top w:val="single" w:sz="4" w:space="0" w:color="auto"/>
              <w:left w:val="single" w:sz="4" w:space="0" w:color="auto"/>
              <w:bottom w:val="single" w:sz="4" w:space="0" w:color="auto"/>
              <w:right w:val="single" w:sz="4" w:space="0" w:color="auto"/>
            </w:tcBorders>
            <w:noWrap/>
            <w:hideMark/>
          </w:tcPr>
          <w:p w14:paraId="58CF1D52" w14:textId="195F23E6"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44 050</w:t>
            </w:r>
            <w:r w:rsidR="006F302F">
              <w:rPr>
                <w:rFonts w:eastAsia="Times New Roman" w:cstheme="minorHAnsi"/>
                <w:iCs/>
                <w:sz w:val="20"/>
                <w:szCs w:val="20"/>
                <w:lang w:eastAsia="fr-FR"/>
              </w:rPr>
              <w:t xml:space="preserve"> (+28%)</w:t>
            </w:r>
          </w:p>
        </w:tc>
        <w:tc>
          <w:tcPr>
            <w:tcW w:w="1316" w:type="dxa"/>
            <w:tcBorders>
              <w:top w:val="single" w:sz="4" w:space="0" w:color="auto"/>
              <w:left w:val="single" w:sz="4" w:space="0" w:color="auto"/>
              <w:bottom w:val="single" w:sz="4" w:space="0" w:color="auto"/>
              <w:right w:val="single" w:sz="4" w:space="0" w:color="auto"/>
            </w:tcBorders>
            <w:noWrap/>
            <w:hideMark/>
          </w:tcPr>
          <w:p w14:paraId="1CA4BDA4" w14:textId="243AD178"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10,</w:t>
            </w:r>
            <w:r w:rsidR="0047732C">
              <w:rPr>
                <w:rFonts w:eastAsia="Times New Roman" w:cstheme="minorHAnsi"/>
                <w:iCs/>
                <w:sz w:val="20"/>
                <w:szCs w:val="20"/>
                <w:lang w:eastAsia="fr-FR"/>
              </w:rPr>
              <w:t>1</w:t>
            </w:r>
            <w:r w:rsidRPr="002D06F0">
              <w:rPr>
                <w:rFonts w:eastAsia="Times New Roman" w:cstheme="minorHAnsi"/>
                <w:iCs/>
                <w:sz w:val="20"/>
                <w:szCs w:val="20"/>
                <w:lang w:eastAsia="fr-FR"/>
              </w:rPr>
              <w:t>%</w:t>
            </w:r>
          </w:p>
        </w:tc>
        <w:tc>
          <w:tcPr>
            <w:tcW w:w="2688" w:type="dxa"/>
            <w:tcBorders>
              <w:top w:val="single" w:sz="4" w:space="0" w:color="auto"/>
              <w:left w:val="single" w:sz="4" w:space="0" w:color="auto"/>
              <w:bottom w:val="single" w:sz="4" w:space="0" w:color="auto"/>
              <w:right w:val="single" w:sz="4" w:space="0" w:color="auto"/>
            </w:tcBorders>
            <w:noWrap/>
            <w:hideMark/>
          </w:tcPr>
          <w:p w14:paraId="770BF0CD" w14:textId="05E3023B"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USA</w:t>
            </w:r>
            <w:r w:rsidR="003C3140">
              <w:rPr>
                <w:rFonts w:eastAsia="Times New Roman" w:cstheme="minorHAnsi"/>
                <w:iCs/>
                <w:sz w:val="20"/>
                <w:szCs w:val="20"/>
                <w:lang w:eastAsia="fr-FR"/>
              </w:rPr>
              <w:t xml:space="preserve"> (36%)</w:t>
            </w:r>
            <w:r w:rsidRPr="002D06F0">
              <w:rPr>
                <w:rFonts w:eastAsia="Times New Roman" w:cstheme="minorHAnsi"/>
                <w:iCs/>
                <w:sz w:val="20"/>
                <w:szCs w:val="20"/>
                <w:lang w:eastAsia="fr-FR"/>
              </w:rPr>
              <w:t>, EAU</w:t>
            </w:r>
            <w:r w:rsidR="00BD0B74">
              <w:rPr>
                <w:rFonts w:eastAsia="Times New Roman" w:cstheme="minorHAnsi"/>
                <w:iCs/>
                <w:sz w:val="20"/>
                <w:szCs w:val="20"/>
                <w:lang w:eastAsia="fr-FR"/>
              </w:rPr>
              <w:t xml:space="preserve"> (9%)</w:t>
            </w:r>
            <w:r w:rsidRPr="002D06F0">
              <w:rPr>
                <w:rFonts w:eastAsia="Times New Roman" w:cstheme="minorHAnsi"/>
                <w:iCs/>
                <w:sz w:val="20"/>
                <w:szCs w:val="20"/>
                <w:lang w:eastAsia="fr-FR"/>
              </w:rPr>
              <w:t>, Pays Bas</w:t>
            </w:r>
            <w:r w:rsidR="00BD0B74">
              <w:rPr>
                <w:rFonts w:eastAsia="Times New Roman" w:cstheme="minorHAnsi"/>
                <w:iCs/>
                <w:sz w:val="20"/>
                <w:szCs w:val="20"/>
                <w:lang w:eastAsia="fr-FR"/>
              </w:rPr>
              <w:t xml:space="preserve"> (6,5%)</w:t>
            </w:r>
            <w:r w:rsidRPr="002D06F0">
              <w:rPr>
                <w:rFonts w:eastAsia="Times New Roman" w:cstheme="minorHAnsi"/>
                <w:iCs/>
                <w:sz w:val="20"/>
                <w:szCs w:val="20"/>
                <w:lang w:eastAsia="fr-FR"/>
              </w:rPr>
              <w:t>, R-U</w:t>
            </w:r>
            <w:r w:rsidR="00BD0B74">
              <w:rPr>
                <w:rFonts w:eastAsia="Times New Roman" w:cstheme="minorHAnsi"/>
                <w:iCs/>
                <w:sz w:val="20"/>
                <w:szCs w:val="20"/>
                <w:lang w:eastAsia="fr-FR"/>
              </w:rPr>
              <w:t xml:space="preserve"> (5%)</w:t>
            </w:r>
          </w:p>
        </w:tc>
      </w:tr>
      <w:tr w:rsidR="00482064" w:rsidRPr="002D06F0" w14:paraId="2D1E5B29"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4DA080C6" w14:textId="1DC414E5"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84</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w:t>
            </w:r>
            <w:r w:rsidR="00620BD6" w:rsidRPr="002D06F0">
              <w:rPr>
                <w:rFonts w:eastAsia="Times New Roman" w:cstheme="minorHAnsi"/>
                <w:iCs/>
                <w:sz w:val="20"/>
                <w:szCs w:val="20"/>
                <w:lang w:eastAsia="fr-FR"/>
              </w:rPr>
              <w:t>Turboréacteurs</w:t>
            </w:r>
            <w:r w:rsidR="00482064" w:rsidRPr="002D06F0">
              <w:rPr>
                <w:rFonts w:eastAsia="Times New Roman" w:cstheme="minorHAnsi"/>
                <w:iCs/>
                <w:sz w:val="20"/>
                <w:szCs w:val="20"/>
                <w:lang w:eastAsia="fr-FR"/>
              </w:rPr>
              <w:t>, parties de machines</w:t>
            </w:r>
          </w:p>
        </w:tc>
        <w:tc>
          <w:tcPr>
            <w:tcW w:w="2937" w:type="dxa"/>
            <w:tcBorders>
              <w:top w:val="single" w:sz="4" w:space="0" w:color="auto"/>
              <w:left w:val="single" w:sz="4" w:space="0" w:color="auto"/>
              <w:bottom w:val="single" w:sz="4" w:space="0" w:color="auto"/>
              <w:right w:val="single" w:sz="4" w:space="0" w:color="auto"/>
            </w:tcBorders>
            <w:noWrap/>
            <w:hideMark/>
          </w:tcPr>
          <w:p w14:paraId="2178FDE7" w14:textId="0AEDE62B"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33 472,</w:t>
            </w:r>
            <w:r w:rsidR="00707800">
              <w:rPr>
                <w:rFonts w:eastAsia="Times New Roman" w:cstheme="minorHAnsi"/>
                <w:iCs/>
                <w:sz w:val="20"/>
                <w:szCs w:val="20"/>
                <w:lang w:eastAsia="fr-FR"/>
              </w:rPr>
              <w:t>6</w:t>
            </w:r>
            <w:r w:rsidR="00831588">
              <w:rPr>
                <w:rFonts w:eastAsia="Times New Roman" w:cstheme="minorHAnsi"/>
                <w:iCs/>
                <w:sz w:val="20"/>
                <w:szCs w:val="20"/>
                <w:lang w:eastAsia="fr-FR"/>
              </w:rPr>
              <w:t xml:space="preserve"> (+</w:t>
            </w:r>
            <w:r w:rsidR="006F302F">
              <w:rPr>
                <w:rFonts w:eastAsia="Times New Roman" w:cstheme="minorHAnsi"/>
                <w:iCs/>
                <w:sz w:val="20"/>
                <w:szCs w:val="20"/>
                <w:lang w:eastAsia="fr-FR"/>
              </w:rPr>
              <w:t>11,4</w:t>
            </w:r>
            <w:r w:rsidR="00831588">
              <w:rPr>
                <w:rFonts w:eastAsia="Times New Roman" w:cstheme="minorHAnsi"/>
                <w:iCs/>
                <w:sz w:val="20"/>
                <w:szCs w:val="20"/>
                <w:lang w:eastAsia="fr-FR"/>
              </w:rPr>
              <w:t>%)</w:t>
            </w:r>
          </w:p>
        </w:tc>
        <w:tc>
          <w:tcPr>
            <w:tcW w:w="1316" w:type="dxa"/>
            <w:tcBorders>
              <w:top w:val="single" w:sz="4" w:space="0" w:color="auto"/>
              <w:left w:val="single" w:sz="4" w:space="0" w:color="auto"/>
              <w:bottom w:val="single" w:sz="4" w:space="0" w:color="auto"/>
              <w:right w:val="single" w:sz="4" w:space="0" w:color="auto"/>
            </w:tcBorders>
            <w:noWrap/>
            <w:hideMark/>
          </w:tcPr>
          <w:p w14:paraId="39B155D1" w14:textId="7777777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7,65%</w:t>
            </w:r>
          </w:p>
        </w:tc>
        <w:tc>
          <w:tcPr>
            <w:tcW w:w="2688" w:type="dxa"/>
            <w:tcBorders>
              <w:top w:val="single" w:sz="4" w:space="0" w:color="auto"/>
              <w:left w:val="single" w:sz="4" w:space="0" w:color="auto"/>
              <w:bottom w:val="single" w:sz="4" w:space="0" w:color="auto"/>
              <w:right w:val="single" w:sz="4" w:space="0" w:color="auto"/>
            </w:tcBorders>
            <w:noWrap/>
            <w:hideMark/>
          </w:tcPr>
          <w:p w14:paraId="63361707" w14:textId="307D1AF5"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USA</w:t>
            </w:r>
            <w:r w:rsidR="00831588">
              <w:rPr>
                <w:rFonts w:eastAsia="Times New Roman" w:cstheme="minorHAnsi"/>
                <w:iCs/>
                <w:sz w:val="20"/>
                <w:szCs w:val="20"/>
                <w:lang w:eastAsia="fr-FR"/>
              </w:rPr>
              <w:t xml:space="preserve"> (20%)</w:t>
            </w:r>
            <w:r w:rsidRPr="002D06F0">
              <w:rPr>
                <w:rFonts w:eastAsia="Times New Roman" w:cstheme="minorHAnsi"/>
                <w:iCs/>
                <w:sz w:val="20"/>
                <w:szCs w:val="20"/>
                <w:lang w:eastAsia="fr-FR"/>
              </w:rPr>
              <w:t>, Singapour</w:t>
            </w:r>
            <w:r w:rsidR="00831588">
              <w:rPr>
                <w:rFonts w:eastAsia="Times New Roman" w:cstheme="minorHAnsi"/>
                <w:iCs/>
                <w:sz w:val="20"/>
                <w:szCs w:val="20"/>
                <w:lang w:eastAsia="fr-FR"/>
              </w:rPr>
              <w:t xml:space="preserve"> (6%)</w:t>
            </w:r>
            <w:r w:rsidRPr="002D06F0">
              <w:rPr>
                <w:rFonts w:eastAsia="Times New Roman" w:cstheme="minorHAnsi"/>
                <w:iCs/>
                <w:sz w:val="20"/>
                <w:szCs w:val="20"/>
                <w:lang w:eastAsia="fr-FR"/>
              </w:rPr>
              <w:t>, EAU</w:t>
            </w:r>
            <w:r w:rsidR="00831588">
              <w:rPr>
                <w:rFonts w:eastAsia="Times New Roman" w:cstheme="minorHAnsi"/>
                <w:iCs/>
                <w:sz w:val="20"/>
                <w:szCs w:val="20"/>
                <w:lang w:eastAsia="fr-FR"/>
              </w:rPr>
              <w:t xml:space="preserve"> (5%)</w:t>
            </w:r>
            <w:r w:rsidRPr="002D06F0">
              <w:rPr>
                <w:rFonts w:eastAsia="Times New Roman" w:cstheme="minorHAnsi"/>
                <w:iCs/>
                <w:sz w:val="20"/>
                <w:szCs w:val="20"/>
                <w:lang w:eastAsia="fr-FR"/>
              </w:rPr>
              <w:t>, UK</w:t>
            </w:r>
            <w:r w:rsidR="00831588">
              <w:rPr>
                <w:rFonts w:eastAsia="Times New Roman" w:cstheme="minorHAnsi"/>
                <w:iCs/>
                <w:sz w:val="20"/>
                <w:szCs w:val="20"/>
                <w:lang w:eastAsia="fr-FR"/>
              </w:rPr>
              <w:t xml:space="preserve"> (5%)</w:t>
            </w:r>
          </w:p>
        </w:tc>
      </w:tr>
      <w:tr w:rsidR="00482064" w:rsidRPr="002D06F0" w14:paraId="782308A1"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009BF1CA" w14:textId="050C01B1"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71</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Pierres précieuses</w:t>
            </w:r>
          </w:p>
        </w:tc>
        <w:tc>
          <w:tcPr>
            <w:tcW w:w="2937" w:type="dxa"/>
            <w:tcBorders>
              <w:top w:val="single" w:sz="4" w:space="0" w:color="auto"/>
              <w:left w:val="single" w:sz="4" w:space="0" w:color="auto"/>
              <w:bottom w:val="single" w:sz="4" w:space="0" w:color="auto"/>
              <w:right w:val="single" w:sz="4" w:space="0" w:color="auto"/>
            </w:tcBorders>
            <w:noWrap/>
            <w:hideMark/>
          </w:tcPr>
          <w:p w14:paraId="79978734" w14:textId="793204B4"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29 954,</w:t>
            </w:r>
            <w:r w:rsidR="00707800">
              <w:rPr>
                <w:rFonts w:eastAsia="Times New Roman" w:cstheme="minorHAnsi"/>
                <w:iCs/>
                <w:sz w:val="20"/>
                <w:szCs w:val="20"/>
                <w:lang w:eastAsia="fr-FR"/>
              </w:rPr>
              <w:t>4</w:t>
            </w:r>
            <w:r w:rsidR="00C11220">
              <w:rPr>
                <w:rFonts w:eastAsia="Times New Roman" w:cstheme="minorHAnsi"/>
                <w:iCs/>
                <w:sz w:val="20"/>
                <w:szCs w:val="20"/>
                <w:lang w:eastAsia="fr-FR"/>
              </w:rPr>
              <w:t xml:space="preserve"> </w:t>
            </w:r>
            <w:r w:rsidR="00C11220" w:rsidRPr="004C4D75">
              <w:rPr>
                <w:rFonts w:eastAsia="Times New Roman" w:cstheme="minorHAnsi"/>
                <w:iCs/>
                <w:color w:val="FF0000"/>
                <w:sz w:val="20"/>
                <w:szCs w:val="20"/>
                <w:lang w:eastAsia="fr-FR"/>
              </w:rPr>
              <w:t>(-8,8%)</w:t>
            </w:r>
          </w:p>
        </w:tc>
        <w:tc>
          <w:tcPr>
            <w:tcW w:w="1316" w:type="dxa"/>
            <w:tcBorders>
              <w:top w:val="single" w:sz="4" w:space="0" w:color="auto"/>
              <w:left w:val="single" w:sz="4" w:space="0" w:color="auto"/>
              <w:bottom w:val="single" w:sz="4" w:space="0" w:color="auto"/>
              <w:right w:val="single" w:sz="4" w:space="0" w:color="auto"/>
            </w:tcBorders>
            <w:noWrap/>
            <w:hideMark/>
          </w:tcPr>
          <w:p w14:paraId="452AD844" w14:textId="7777777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6,85%</w:t>
            </w:r>
          </w:p>
        </w:tc>
        <w:tc>
          <w:tcPr>
            <w:tcW w:w="2688" w:type="dxa"/>
            <w:tcBorders>
              <w:top w:val="single" w:sz="4" w:space="0" w:color="auto"/>
              <w:left w:val="single" w:sz="4" w:space="0" w:color="auto"/>
              <w:bottom w:val="single" w:sz="4" w:space="0" w:color="auto"/>
              <w:right w:val="single" w:sz="4" w:space="0" w:color="auto"/>
            </w:tcBorders>
            <w:noWrap/>
            <w:hideMark/>
          </w:tcPr>
          <w:p w14:paraId="17B7902F" w14:textId="675724A4"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USA</w:t>
            </w:r>
            <w:r w:rsidR="00F76247">
              <w:rPr>
                <w:rFonts w:eastAsia="Times New Roman" w:cstheme="minorHAnsi"/>
                <w:iCs/>
                <w:sz w:val="20"/>
                <w:szCs w:val="20"/>
                <w:lang w:eastAsia="fr-FR"/>
              </w:rPr>
              <w:t xml:space="preserve"> (33%)</w:t>
            </w:r>
            <w:r w:rsidRPr="002D06F0">
              <w:rPr>
                <w:rFonts w:eastAsia="Times New Roman" w:cstheme="minorHAnsi"/>
                <w:iCs/>
                <w:sz w:val="20"/>
                <w:szCs w:val="20"/>
                <w:lang w:eastAsia="fr-FR"/>
              </w:rPr>
              <w:t>, EAU</w:t>
            </w:r>
            <w:r w:rsidR="004C4D75">
              <w:rPr>
                <w:rFonts w:eastAsia="Times New Roman" w:cstheme="minorHAnsi"/>
                <w:iCs/>
                <w:sz w:val="20"/>
                <w:szCs w:val="20"/>
                <w:lang w:eastAsia="fr-FR"/>
              </w:rPr>
              <w:t xml:space="preserve"> (26%)</w:t>
            </w:r>
            <w:r w:rsidRPr="002D06F0">
              <w:rPr>
                <w:rFonts w:eastAsia="Times New Roman" w:cstheme="minorHAnsi"/>
                <w:iCs/>
                <w:sz w:val="20"/>
                <w:szCs w:val="20"/>
                <w:lang w:eastAsia="fr-FR"/>
              </w:rPr>
              <w:t>, Hong Kong</w:t>
            </w:r>
            <w:r w:rsidR="004C4D75">
              <w:rPr>
                <w:rFonts w:eastAsia="Times New Roman" w:cstheme="minorHAnsi"/>
                <w:iCs/>
                <w:sz w:val="20"/>
                <w:szCs w:val="20"/>
                <w:lang w:eastAsia="fr-FR"/>
              </w:rPr>
              <w:t xml:space="preserve"> (15%)</w:t>
            </w:r>
            <w:r w:rsidRPr="002D06F0">
              <w:rPr>
                <w:rFonts w:eastAsia="Times New Roman" w:cstheme="minorHAnsi"/>
                <w:iCs/>
                <w:sz w:val="20"/>
                <w:szCs w:val="20"/>
                <w:lang w:eastAsia="fr-FR"/>
              </w:rPr>
              <w:t xml:space="preserve">, </w:t>
            </w:r>
            <w:r w:rsidR="004C4D75">
              <w:rPr>
                <w:rFonts w:eastAsia="Times New Roman" w:cstheme="minorHAnsi"/>
                <w:iCs/>
                <w:sz w:val="20"/>
                <w:szCs w:val="20"/>
                <w:lang w:eastAsia="fr-FR"/>
              </w:rPr>
              <w:t>Belgique (5%)</w:t>
            </w:r>
          </w:p>
        </w:tc>
      </w:tr>
      <w:tr w:rsidR="00482064" w:rsidRPr="002D06F0" w14:paraId="1F5A0E07"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730EF31C" w14:textId="5C636977"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30</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Produits pharmaceutiques</w:t>
            </w:r>
          </w:p>
        </w:tc>
        <w:tc>
          <w:tcPr>
            <w:tcW w:w="2937" w:type="dxa"/>
            <w:tcBorders>
              <w:top w:val="single" w:sz="4" w:space="0" w:color="auto"/>
              <w:left w:val="single" w:sz="4" w:space="0" w:color="auto"/>
              <w:bottom w:val="single" w:sz="4" w:space="0" w:color="auto"/>
              <w:right w:val="single" w:sz="4" w:space="0" w:color="auto"/>
            </w:tcBorders>
            <w:noWrap/>
            <w:hideMark/>
          </w:tcPr>
          <w:p w14:paraId="1F91654C" w14:textId="6BE4F5EF"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24 577,</w:t>
            </w:r>
            <w:r w:rsidR="00707800">
              <w:rPr>
                <w:rFonts w:eastAsia="Times New Roman" w:cstheme="minorHAnsi"/>
                <w:iCs/>
                <w:sz w:val="20"/>
                <w:szCs w:val="20"/>
                <w:lang w:eastAsia="fr-FR"/>
              </w:rPr>
              <w:t>4</w:t>
            </w:r>
            <w:r w:rsidR="00C11220">
              <w:rPr>
                <w:rFonts w:eastAsia="Times New Roman" w:cstheme="minorHAnsi"/>
                <w:iCs/>
                <w:sz w:val="20"/>
                <w:szCs w:val="20"/>
                <w:lang w:eastAsia="fr-FR"/>
              </w:rPr>
              <w:t xml:space="preserve"> (+11,2%)</w:t>
            </w:r>
          </w:p>
        </w:tc>
        <w:tc>
          <w:tcPr>
            <w:tcW w:w="1316" w:type="dxa"/>
            <w:tcBorders>
              <w:top w:val="single" w:sz="4" w:space="0" w:color="auto"/>
              <w:left w:val="single" w:sz="4" w:space="0" w:color="auto"/>
              <w:bottom w:val="single" w:sz="4" w:space="0" w:color="auto"/>
              <w:right w:val="single" w:sz="4" w:space="0" w:color="auto"/>
            </w:tcBorders>
            <w:noWrap/>
            <w:hideMark/>
          </w:tcPr>
          <w:p w14:paraId="27E7CC48" w14:textId="7777777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5,62%</w:t>
            </w:r>
          </w:p>
        </w:tc>
        <w:tc>
          <w:tcPr>
            <w:tcW w:w="2688" w:type="dxa"/>
            <w:tcBorders>
              <w:top w:val="single" w:sz="4" w:space="0" w:color="auto"/>
              <w:left w:val="single" w:sz="4" w:space="0" w:color="auto"/>
              <w:bottom w:val="single" w:sz="4" w:space="0" w:color="auto"/>
              <w:right w:val="single" w:sz="4" w:space="0" w:color="auto"/>
            </w:tcBorders>
            <w:noWrap/>
            <w:hideMark/>
          </w:tcPr>
          <w:p w14:paraId="0294BE6D" w14:textId="29C18A1B"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USA</w:t>
            </w:r>
            <w:r w:rsidR="002B7249">
              <w:rPr>
                <w:rFonts w:eastAsia="Times New Roman" w:cstheme="minorHAnsi"/>
                <w:iCs/>
                <w:sz w:val="20"/>
                <w:szCs w:val="20"/>
                <w:lang w:eastAsia="fr-FR"/>
              </w:rPr>
              <w:t xml:space="preserve"> (40%)</w:t>
            </w:r>
            <w:r w:rsidRPr="002D06F0">
              <w:rPr>
                <w:rFonts w:eastAsia="Times New Roman" w:cstheme="minorHAnsi"/>
                <w:iCs/>
                <w:sz w:val="20"/>
                <w:szCs w:val="20"/>
                <w:lang w:eastAsia="fr-FR"/>
              </w:rPr>
              <w:t>, R-U</w:t>
            </w:r>
            <w:r w:rsidR="00AC320A">
              <w:rPr>
                <w:rFonts w:eastAsia="Times New Roman" w:cstheme="minorHAnsi"/>
                <w:iCs/>
                <w:sz w:val="20"/>
                <w:szCs w:val="20"/>
                <w:lang w:eastAsia="fr-FR"/>
              </w:rPr>
              <w:t xml:space="preserve"> (3%)</w:t>
            </w:r>
            <w:r w:rsidRPr="002D06F0">
              <w:rPr>
                <w:rFonts w:eastAsia="Times New Roman" w:cstheme="minorHAnsi"/>
                <w:iCs/>
                <w:sz w:val="20"/>
                <w:szCs w:val="20"/>
                <w:lang w:eastAsia="fr-FR"/>
              </w:rPr>
              <w:t>, Afrique du Sud</w:t>
            </w:r>
            <w:r w:rsidR="00AC320A">
              <w:rPr>
                <w:rFonts w:eastAsia="Times New Roman" w:cstheme="minorHAnsi"/>
                <w:iCs/>
                <w:sz w:val="20"/>
                <w:szCs w:val="20"/>
                <w:lang w:eastAsia="fr-FR"/>
              </w:rPr>
              <w:t xml:space="preserve"> (3%)</w:t>
            </w:r>
            <w:r w:rsidRPr="002D06F0">
              <w:rPr>
                <w:rFonts w:eastAsia="Times New Roman" w:cstheme="minorHAnsi"/>
                <w:iCs/>
                <w:sz w:val="20"/>
                <w:szCs w:val="20"/>
                <w:lang w:eastAsia="fr-FR"/>
              </w:rPr>
              <w:t xml:space="preserve">, </w:t>
            </w:r>
            <w:r w:rsidR="00AC320A">
              <w:rPr>
                <w:rFonts w:eastAsia="Times New Roman" w:cstheme="minorHAnsi"/>
                <w:iCs/>
                <w:sz w:val="20"/>
                <w:szCs w:val="20"/>
                <w:lang w:eastAsia="fr-FR"/>
              </w:rPr>
              <w:t>France (2%)</w:t>
            </w:r>
          </w:p>
        </w:tc>
      </w:tr>
      <w:tr w:rsidR="00482064" w:rsidRPr="002D06F0" w14:paraId="17A46328" w14:textId="77777777" w:rsidTr="004C4D75">
        <w:trPr>
          <w:trHeight w:val="300"/>
        </w:trPr>
        <w:tc>
          <w:tcPr>
            <w:tcW w:w="2263" w:type="dxa"/>
            <w:tcBorders>
              <w:top w:val="single" w:sz="4" w:space="0" w:color="auto"/>
              <w:left w:val="single" w:sz="4" w:space="0" w:color="auto"/>
              <w:bottom w:val="single" w:sz="4" w:space="0" w:color="auto"/>
              <w:right w:val="single" w:sz="4" w:space="0" w:color="auto"/>
            </w:tcBorders>
            <w:noWrap/>
            <w:hideMark/>
          </w:tcPr>
          <w:p w14:paraId="5CD8DF63" w14:textId="4A0379BA" w:rsidR="00482064" w:rsidRPr="002D06F0" w:rsidRDefault="001D5AB4" w:rsidP="0048206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87</w:t>
            </w:r>
            <w:r w:rsidRPr="002D06F0">
              <w:rPr>
                <w:rFonts w:eastAsia="Times New Roman" w:cstheme="minorHAnsi"/>
                <w:iCs/>
                <w:sz w:val="20"/>
                <w:szCs w:val="20"/>
                <w:lang w:eastAsia="fr-FR"/>
              </w:rPr>
              <w:t>]</w:t>
            </w:r>
            <w:r w:rsidR="00482064" w:rsidRPr="002D06F0">
              <w:rPr>
                <w:rFonts w:eastAsia="Times New Roman" w:cstheme="minorHAnsi"/>
                <w:iCs/>
                <w:sz w:val="20"/>
                <w:szCs w:val="20"/>
                <w:lang w:eastAsia="fr-FR"/>
              </w:rPr>
              <w:t xml:space="preserve"> Voitures, cyclomoteurs</w:t>
            </w:r>
          </w:p>
        </w:tc>
        <w:tc>
          <w:tcPr>
            <w:tcW w:w="2937" w:type="dxa"/>
            <w:tcBorders>
              <w:top w:val="single" w:sz="4" w:space="0" w:color="auto"/>
              <w:left w:val="single" w:sz="4" w:space="0" w:color="auto"/>
              <w:bottom w:val="single" w:sz="4" w:space="0" w:color="auto"/>
              <w:right w:val="single" w:sz="4" w:space="0" w:color="auto"/>
            </w:tcBorders>
            <w:noWrap/>
            <w:hideMark/>
          </w:tcPr>
          <w:p w14:paraId="06FEB654" w14:textId="71457B76"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22 64</w:t>
            </w:r>
            <w:r w:rsidR="00707800">
              <w:rPr>
                <w:rFonts w:eastAsia="Times New Roman" w:cstheme="minorHAnsi"/>
                <w:iCs/>
                <w:sz w:val="20"/>
                <w:szCs w:val="20"/>
                <w:lang w:eastAsia="fr-FR"/>
              </w:rPr>
              <w:t>8</w:t>
            </w:r>
            <w:r w:rsidR="00443A19">
              <w:rPr>
                <w:rFonts w:eastAsia="Times New Roman" w:cstheme="minorHAnsi"/>
                <w:iCs/>
                <w:sz w:val="20"/>
                <w:szCs w:val="20"/>
                <w:lang w:eastAsia="fr-FR"/>
              </w:rPr>
              <w:t xml:space="preserve"> (+8,4%)</w:t>
            </w:r>
          </w:p>
        </w:tc>
        <w:tc>
          <w:tcPr>
            <w:tcW w:w="1316" w:type="dxa"/>
            <w:tcBorders>
              <w:top w:val="single" w:sz="4" w:space="0" w:color="auto"/>
              <w:left w:val="single" w:sz="4" w:space="0" w:color="auto"/>
              <w:bottom w:val="single" w:sz="4" w:space="0" w:color="auto"/>
              <w:right w:val="single" w:sz="4" w:space="0" w:color="auto"/>
            </w:tcBorders>
            <w:noWrap/>
            <w:hideMark/>
          </w:tcPr>
          <w:p w14:paraId="74A5746D" w14:textId="77777777"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5,18%</w:t>
            </w:r>
          </w:p>
        </w:tc>
        <w:tc>
          <w:tcPr>
            <w:tcW w:w="2688" w:type="dxa"/>
            <w:tcBorders>
              <w:top w:val="single" w:sz="4" w:space="0" w:color="auto"/>
              <w:left w:val="single" w:sz="4" w:space="0" w:color="auto"/>
              <w:bottom w:val="single" w:sz="4" w:space="0" w:color="auto"/>
              <w:right w:val="single" w:sz="4" w:space="0" w:color="auto"/>
            </w:tcBorders>
            <w:noWrap/>
            <w:hideMark/>
          </w:tcPr>
          <w:p w14:paraId="0A70777B" w14:textId="3FE3A942" w:rsidR="00482064" w:rsidRPr="002D06F0" w:rsidRDefault="00482064" w:rsidP="0048206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USA</w:t>
            </w:r>
            <w:r w:rsidR="00A40A71">
              <w:rPr>
                <w:rFonts w:eastAsia="Times New Roman" w:cstheme="minorHAnsi"/>
                <w:iCs/>
                <w:sz w:val="20"/>
                <w:szCs w:val="20"/>
                <w:lang w:eastAsia="fr-FR"/>
              </w:rPr>
              <w:t xml:space="preserve"> </w:t>
            </w:r>
            <w:r w:rsidR="002A07E0">
              <w:rPr>
                <w:rFonts w:eastAsia="Times New Roman" w:cstheme="minorHAnsi"/>
                <w:iCs/>
                <w:sz w:val="20"/>
                <w:szCs w:val="20"/>
                <w:lang w:eastAsia="fr-FR"/>
              </w:rPr>
              <w:t>(11%)</w:t>
            </w:r>
            <w:r w:rsidRPr="002D06F0">
              <w:rPr>
                <w:rFonts w:eastAsia="Times New Roman" w:cstheme="minorHAnsi"/>
                <w:iCs/>
                <w:sz w:val="20"/>
                <w:szCs w:val="20"/>
                <w:lang w:eastAsia="fr-FR"/>
              </w:rPr>
              <w:t xml:space="preserve">, </w:t>
            </w:r>
            <w:r w:rsidR="002A07E0">
              <w:rPr>
                <w:rFonts w:eastAsia="Times New Roman" w:cstheme="minorHAnsi"/>
                <w:iCs/>
                <w:sz w:val="20"/>
                <w:szCs w:val="20"/>
                <w:lang w:eastAsia="fr-FR"/>
              </w:rPr>
              <w:t>Mexique (9%)</w:t>
            </w:r>
            <w:r w:rsidRPr="002D06F0">
              <w:rPr>
                <w:rFonts w:eastAsia="Times New Roman" w:cstheme="minorHAnsi"/>
                <w:iCs/>
                <w:sz w:val="20"/>
                <w:szCs w:val="20"/>
                <w:lang w:eastAsia="fr-FR"/>
              </w:rPr>
              <w:t>, Afrique du Sud</w:t>
            </w:r>
            <w:r w:rsidR="002A07E0">
              <w:rPr>
                <w:rFonts w:eastAsia="Times New Roman" w:cstheme="minorHAnsi"/>
                <w:iCs/>
                <w:sz w:val="20"/>
                <w:szCs w:val="20"/>
                <w:lang w:eastAsia="fr-FR"/>
              </w:rPr>
              <w:t xml:space="preserve"> (7%)</w:t>
            </w:r>
          </w:p>
        </w:tc>
      </w:tr>
      <w:tr w:rsidR="00482064" w:rsidRPr="002D06F0" w14:paraId="4FC34F7B" w14:textId="77777777" w:rsidTr="001D5AB4">
        <w:trPr>
          <w:trHeight w:val="300"/>
        </w:trPr>
        <w:tc>
          <w:tcPr>
            <w:tcW w:w="9204" w:type="dxa"/>
            <w:gridSpan w:val="4"/>
            <w:tcBorders>
              <w:top w:val="single" w:sz="4" w:space="0" w:color="auto"/>
              <w:left w:val="single" w:sz="4" w:space="0" w:color="auto"/>
              <w:bottom w:val="single" w:sz="4" w:space="0" w:color="auto"/>
              <w:right w:val="single" w:sz="4" w:space="0" w:color="auto"/>
            </w:tcBorders>
            <w:noWrap/>
            <w:hideMark/>
          </w:tcPr>
          <w:p w14:paraId="32E329B2" w14:textId="21E033AB" w:rsidR="00482064" w:rsidRPr="002D06F0" w:rsidRDefault="00482064" w:rsidP="0048206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Principaux pays : USA (20%), EAU (8%), Pays Bas (5%), R-U (3%)</w:t>
            </w:r>
          </w:p>
        </w:tc>
      </w:tr>
    </w:tbl>
    <w:p w14:paraId="121BF86C" w14:textId="5875A546" w:rsidR="003E56E8" w:rsidRPr="00B00996" w:rsidRDefault="00B00996" w:rsidP="00482064">
      <w:pPr>
        <w:spacing w:after="60"/>
        <w:contextualSpacing/>
        <w:jc w:val="center"/>
        <w:rPr>
          <w:rFonts w:eastAsia="Times New Roman" w:cstheme="minorHAnsi"/>
          <w:i/>
          <w:color w:val="000091" w:themeColor="text1"/>
          <w:sz w:val="18"/>
          <w:szCs w:val="18"/>
          <w:lang w:val="en-GB" w:eastAsia="fr-FR"/>
        </w:rPr>
      </w:pPr>
      <w:proofErr w:type="gramStart"/>
      <w:r w:rsidRPr="00B00996">
        <w:rPr>
          <w:rFonts w:eastAsia="Times New Roman" w:cstheme="minorHAnsi"/>
          <w:i/>
          <w:color w:val="000091" w:themeColor="text1"/>
          <w:sz w:val="18"/>
          <w:szCs w:val="18"/>
          <w:lang w:val="en-GB" w:eastAsia="fr-FR"/>
        </w:rPr>
        <w:t>Source :</w:t>
      </w:r>
      <w:proofErr w:type="gramEnd"/>
      <w:r w:rsidRPr="00B00996">
        <w:rPr>
          <w:rFonts w:eastAsia="Times New Roman" w:cstheme="minorHAnsi"/>
          <w:i/>
          <w:color w:val="000091" w:themeColor="text1"/>
          <w:sz w:val="18"/>
          <w:szCs w:val="18"/>
          <w:lang w:val="en-GB" w:eastAsia="fr-FR"/>
        </w:rPr>
        <w:t xml:space="preserve"> </w:t>
      </w:r>
      <w:hyperlink r:id="rId13" w:history="1">
        <w:r w:rsidRPr="00B00996">
          <w:rPr>
            <w:rStyle w:val="Lienhypertexte"/>
            <w:rFonts w:eastAsia="Times New Roman" w:cstheme="minorHAnsi"/>
            <w:i/>
            <w:sz w:val="18"/>
            <w:szCs w:val="18"/>
            <w:lang w:val="en-GB" w:eastAsia="fr-FR"/>
          </w:rPr>
          <w:t>Ministry of Commerce and Industry – Department of Commerce</w:t>
        </w:r>
      </w:hyperlink>
      <w:r w:rsidRPr="00B00996">
        <w:rPr>
          <w:rFonts w:eastAsia="Times New Roman" w:cstheme="minorHAnsi"/>
          <w:i/>
          <w:color w:val="000091" w:themeColor="text1"/>
          <w:sz w:val="18"/>
          <w:szCs w:val="18"/>
          <w:lang w:val="en-GB" w:eastAsia="fr-FR"/>
        </w:rPr>
        <w:t xml:space="preserve"> </w:t>
      </w:r>
    </w:p>
    <w:p w14:paraId="254B70E3" w14:textId="77777777" w:rsidR="00B00996" w:rsidRPr="00B00996" w:rsidRDefault="00B00996" w:rsidP="00482064">
      <w:pPr>
        <w:spacing w:after="60"/>
        <w:contextualSpacing/>
        <w:jc w:val="center"/>
        <w:rPr>
          <w:rFonts w:eastAsia="Times New Roman" w:cstheme="minorHAnsi"/>
          <w:i/>
          <w:color w:val="000091" w:themeColor="text1"/>
          <w:sz w:val="18"/>
          <w:szCs w:val="18"/>
          <w:lang w:val="en-GB" w:eastAsia="fr-FR"/>
        </w:rPr>
      </w:pPr>
    </w:p>
    <w:p w14:paraId="76609CB4" w14:textId="7CC49E2A" w:rsidR="001D5AB4" w:rsidRPr="002D06F0" w:rsidRDefault="003251AD" w:rsidP="003251AD">
      <w:pPr>
        <w:spacing w:after="60" w:line="240" w:lineRule="auto"/>
        <w:ind w:left="-284"/>
        <w:contextualSpacing/>
        <w:jc w:val="center"/>
        <w:rPr>
          <w:rFonts w:eastAsia="Times New Roman" w:cstheme="minorHAnsi"/>
          <w:b/>
          <w:bCs/>
          <w:iCs/>
          <w:color w:val="000091" w:themeColor="text1"/>
          <w:sz w:val="20"/>
          <w:szCs w:val="20"/>
          <w:lang w:eastAsia="fr-FR"/>
        </w:rPr>
      </w:pPr>
      <w:r w:rsidRPr="002D06F0">
        <w:rPr>
          <w:rFonts w:eastAsia="Times New Roman" w:cstheme="minorHAnsi"/>
          <w:b/>
          <w:bCs/>
          <w:iCs/>
          <w:color w:val="000091" w:themeColor="text1"/>
          <w:sz w:val="20"/>
          <w:szCs w:val="20"/>
          <w:lang w:eastAsia="fr-FR"/>
        </w:rPr>
        <w:t xml:space="preserve">Principales marchandises importées – Exercice budgétaire 2024/25 </w:t>
      </w:r>
    </w:p>
    <w:p w14:paraId="1DF4B6A2" w14:textId="77777777" w:rsidR="003251AD" w:rsidRPr="002D06F0" w:rsidRDefault="003251AD" w:rsidP="003251AD">
      <w:pPr>
        <w:spacing w:after="60" w:line="240" w:lineRule="auto"/>
        <w:ind w:left="-284"/>
        <w:contextualSpacing/>
        <w:jc w:val="center"/>
        <w:rPr>
          <w:rFonts w:eastAsia="Times New Roman" w:cstheme="minorHAnsi"/>
          <w:b/>
          <w:bCs/>
          <w:iCs/>
          <w:color w:val="000091" w:themeColor="text1"/>
          <w:sz w:val="20"/>
          <w:szCs w:val="20"/>
          <w:lang w:eastAsia="fr-FR"/>
        </w:rPr>
      </w:pPr>
    </w:p>
    <w:tbl>
      <w:tblPr>
        <w:tblStyle w:val="Grilledutableau"/>
        <w:tblW w:w="0" w:type="auto"/>
        <w:tblLook w:val="04A0" w:firstRow="1" w:lastRow="0" w:firstColumn="1" w:lastColumn="0" w:noHBand="0" w:noVBand="1"/>
      </w:tblPr>
      <w:tblGrid>
        <w:gridCol w:w="1935"/>
        <w:gridCol w:w="2738"/>
        <w:gridCol w:w="1425"/>
        <w:gridCol w:w="3106"/>
      </w:tblGrid>
      <w:tr w:rsidR="001D5AB4" w:rsidRPr="002D06F0" w14:paraId="790F822F" w14:textId="77777777" w:rsidTr="00A40A71">
        <w:trPr>
          <w:trHeight w:val="311"/>
        </w:trPr>
        <w:tc>
          <w:tcPr>
            <w:tcW w:w="1935" w:type="dxa"/>
            <w:noWrap/>
            <w:hideMark/>
          </w:tcPr>
          <w:p w14:paraId="77E8749D" w14:textId="7DF12FD7" w:rsidR="001D5AB4" w:rsidRPr="002D06F0" w:rsidRDefault="000F7E4A" w:rsidP="001D5AB4">
            <w:pPr>
              <w:spacing w:after="60"/>
              <w:contextualSpacing/>
              <w:jc w:val="center"/>
              <w:rPr>
                <w:rFonts w:eastAsia="Times New Roman" w:cstheme="minorHAnsi"/>
                <w:b/>
                <w:bCs/>
                <w:iCs/>
                <w:sz w:val="20"/>
                <w:szCs w:val="20"/>
                <w:lang w:eastAsia="fr-FR"/>
              </w:rPr>
            </w:pPr>
            <w:r>
              <w:rPr>
                <w:rFonts w:eastAsia="Times New Roman" w:cstheme="minorHAnsi"/>
                <w:b/>
                <w:bCs/>
                <w:iCs/>
                <w:sz w:val="20"/>
                <w:szCs w:val="20"/>
                <w:lang w:eastAsia="fr-FR"/>
              </w:rPr>
              <w:t>[</w:t>
            </w:r>
            <w:r w:rsidR="001D5AB4" w:rsidRPr="002D06F0">
              <w:rPr>
                <w:rFonts w:eastAsia="Times New Roman" w:cstheme="minorHAnsi"/>
                <w:b/>
                <w:bCs/>
                <w:iCs/>
                <w:sz w:val="20"/>
                <w:szCs w:val="20"/>
                <w:lang w:eastAsia="fr-FR"/>
              </w:rPr>
              <w:t>Code SH</w:t>
            </w:r>
            <w:r>
              <w:rPr>
                <w:rFonts w:eastAsia="Times New Roman" w:cstheme="minorHAnsi"/>
                <w:b/>
                <w:bCs/>
                <w:iCs/>
                <w:sz w:val="20"/>
                <w:szCs w:val="20"/>
                <w:lang w:eastAsia="fr-FR"/>
              </w:rPr>
              <w:t>]</w:t>
            </w:r>
            <w:r w:rsidR="001D5AB4" w:rsidRPr="002D06F0">
              <w:rPr>
                <w:rFonts w:eastAsia="Times New Roman" w:cstheme="minorHAnsi"/>
                <w:b/>
                <w:bCs/>
                <w:iCs/>
                <w:sz w:val="20"/>
                <w:szCs w:val="20"/>
                <w:lang w:eastAsia="fr-FR"/>
              </w:rPr>
              <w:t xml:space="preserve"> - Produits</w:t>
            </w:r>
          </w:p>
        </w:tc>
        <w:tc>
          <w:tcPr>
            <w:tcW w:w="2738" w:type="dxa"/>
            <w:noWrap/>
            <w:hideMark/>
          </w:tcPr>
          <w:p w14:paraId="2BCE900A" w14:textId="165A549A" w:rsidR="001D5AB4" w:rsidRPr="002D06F0" w:rsidRDefault="00A40A71" w:rsidP="001D5AB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En MUSD</w:t>
            </w:r>
            <w:r>
              <w:rPr>
                <w:rFonts w:eastAsia="Times New Roman" w:cstheme="minorHAnsi"/>
                <w:b/>
                <w:bCs/>
                <w:iCs/>
                <w:sz w:val="20"/>
                <w:szCs w:val="20"/>
                <w:lang w:eastAsia="fr-FR"/>
              </w:rPr>
              <w:t xml:space="preserve"> (variation par rapport à l’année précédente)</w:t>
            </w:r>
          </w:p>
        </w:tc>
        <w:tc>
          <w:tcPr>
            <w:tcW w:w="1425" w:type="dxa"/>
            <w:noWrap/>
            <w:hideMark/>
          </w:tcPr>
          <w:p w14:paraId="2E78A3C7" w14:textId="395CA0C7" w:rsidR="001D5AB4" w:rsidRPr="002D06F0" w:rsidRDefault="001D5AB4" w:rsidP="001D5AB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 importations</w:t>
            </w:r>
          </w:p>
        </w:tc>
        <w:tc>
          <w:tcPr>
            <w:tcW w:w="3106" w:type="dxa"/>
            <w:noWrap/>
            <w:hideMark/>
          </w:tcPr>
          <w:p w14:paraId="652FE275" w14:textId="77777777" w:rsidR="001D5AB4" w:rsidRPr="002D06F0" w:rsidRDefault="001D5AB4" w:rsidP="001D5AB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Principales destinations</w:t>
            </w:r>
          </w:p>
        </w:tc>
      </w:tr>
      <w:tr w:rsidR="00A40A71" w:rsidRPr="002D06F0" w14:paraId="3AFB152D" w14:textId="77777777" w:rsidTr="00A40A71">
        <w:trPr>
          <w:trHeight w:val="300"/>
        </w:trPr>
        <w:tc>
          <w:tcPr>
            <w:tcW w:w="1935" w:type="dxa"/>
            <w:noWrap/>
            <w:hideMark/>
          </w:tcPr>
          <w:p w14:paraId="6302438D" w14:textId="5BF7C1C6" w:rsidR="001D5AB4" w:rsidRPr="002D06F0" w:rsidRDefault="001D5AB4"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[27] Pétrole raffiné</w:t>
            </w:r>
          </w:p>
        </w:tc>
        <w:tc>
          <w:tcPr>
            <w:tcW w:w="2738" w:type="dxa"/>
            <w:noWrap/>
            <w:hideMark/>
          </w:tcPr>
          <w:p w14:paraId="68E66970" w14:textId="599BCE7E"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218 240</w:t>
            </w:r>
            <w:r w:rsidR="00A40A71">
              <w:rPr>
                <w:rFonts w:eastAsia="Times New Roman" w:cstheme="minorHAnsi"/>
                <w:iCs/>
                <w:sz w:val="20"/>
                <w:szCs w:val="20"/>
                <w:lang w:eastAsia="fr-FR"/>
              </w:rPr>
              <w:t xml:space="preserve"> </w:t>
            </w:r>
            <w:r w:rsidR="00A40A71" w:rsidRPr="00A40A71">
              <w:rPr>
                <w:rFonts w:eastAsia="Times New Roman" w:cstheme="minorHAnsi"/>
                <w:iCs/>
                <w:color w:val="FF0000"/>
                <w:sz w:val="20"/>
                <w:szCs w:val="20"/>
                <w:lang w:eastAsia="fr-FR"/>
              </w:rPr>
              <w:t>(-0,4%)</w:t>
            </w:r>
          </w:p>
        </w:tc>
        <w:tc>
          <w:tcPr>
            <w:tcW w:w="1425" w:type="dxa"/>
            <w:noWrap/>
            <w:hideMark/>
          </w:tcPr>
          <w:p w14:paraId="6A67D922" w14:textId="7777777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30,26%</w:t>
            </w:r>
          </w:p>
        </w:tc>
        <w:tc>
          <w:tcPr>
            <w:tcW w:w="3106" w:type="dxa"/>
            <w:noWrap/>
            <w:hideMark/>
          </w:tcPr>
          <w:p w14:paraId="2D01D953" w14:textId="4098853F"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Russie</w:t>
            </w:r>
            <w:r w:rsidR="00F92D30">
              <w:rPr>
                <w:rFonts w:eastAsia="Times New Roman" w:cstheme="minorHAnsi"/>
                <w:iCs/>
                <w:sz w:val="20"/>
                <w:szCs w:val="20"/>
                <w:lang w:eastAsia="fr-FR"/>
              </w:rPr>
              <w:t xml:space="preserve"> (26%)</w:t>
            </w:r>
            <w:r w:rsidRPr="002D06F0">
              <w:rPr>
                <w:rFonts w:eastAsia="Times New Roman" w:cstheme="minorHAnsi"/>
                <w:iCs/>
                <w:sz w:val="20"/>
                <w:szCs w:val="20"/>
                <w:lang w:eastAsia="fr-FR"/>
              </w:rPr>
              <w:t>, Irak</w:t>
            </w:r>
            <w:r w:rsidR="00F92D30">
              <w:rPr>
                <w:rFonts w:eastAsia="Times New Roman" w:cstheme="minorHAnsi"/>
                <w:iCs/>
                <w:sz w:val="20"/>
                <w:szCs w:val="20"/>
                <w:lang w:eastAsia="fr-FR"/>
              </w:rPr>
              <w:t xml:space="preserve"> (13%)</w:t>
            </w:r>
            <w:r w:rsidRPr="002D06F0">
              <w:rPr>
                <w:rFonts w:eastAsia="Times New Roman" w:cstheme="minorHAnsi"/>
                <w:iCs/>
                <w:sz w:val="20"/>
                <w:szCs w:val="20"/>
                <w:lang w:eastAsia="fr-FR"/>
              </w:rPr>
              <w:t>, Arabie Saoudite</w:t>
            </w:r>
            <w:r w:rsidR="00F92D30">
              <w:rPr>
                <w:rFonts w:eastAsia="Times New Roman" w:cstheme="minorHAnsi"/>
                <w:iCs/>
                <w:sz w:val="20"/>
                <w:szCs w:val="20"/>
                <w:lang w:eastAsia="fr-FR"/>
              </w:rPr>
              <w:t xml:space="preserve"> (11%)</w:t>
            </w:r>
            <w:r w:rsidRPr="002D06F0">
              <w:rPr>
                <w:rFonts w:eastAsia="Times New Roman" w:cstheme="minorHAnsi"/>
                <w:iCs/>
                <w:sz w:val="20"/>
                <w:szCs w:val="20"/>
                <w:lang w:eastAsia="fr-FR"/>
              </w:rPr>
              <w:t>, EAU</w:t>
            </w:r>
            <w:r w:rsidR="00F92D30">
              <w:rPr>
                <w:rFonts w:eastAsia="Times New Roman" w:cstheme="minorHAnsi"/>
                <w:iCs/>
                <w:sz w:val="20"/>
                <w:szCs w:val="20"/>
                <w:lang w:eastAsia="fr-FR"/>
              </w:rPr>
              <w:t xml:space="preserve"> (10%)</w:t>
            </w:r>
          </w:p>
        </w:tc>
      </w:tr>
      <w:tr w:rsidR="00A40A71" w:rsidRPr="002D06F0" w14:paraId="64E9F168" w14:textId="77777777" w:rsidTr="00A40A71">
        <w:trPr>
          <w:trHeight w:val="300"/>
        </w:trPr>
        <w:tc>
          <w:tcPr>
            <w:tcW w:w="1935" w:type="dxa"/>
            <w:noWrap/>
            <w:hideMark/>
          </w:tcPr>
          <w:p w14:paraId="4D6838E3" w14:textId="6AA58B79" w:rsidR="001D5AB4" w:rsidRPr="002D06F0" w:rsidRDefault="001D5AB4"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[71] Pierres précieuses</w:t>
            </w:r>
          </w:p>
        </w:tc>
        <w:tc>
          <w:tcPr>
            <w:tcW w:w="2738" w:type="dxa"/>
            <w:noWrap/>
            <w:hideMark/>
          </w:tcPr>
          <w:p w14:paraId="325B38A1" w14:textId="6E6474A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89 026</w:t>
            </w:r>
            <w:r w:rsidR="00A40A71">
              <w:rPr>
                <w:rFonts w:eastAsia="Times New Roman" w:cstheme="minorHAnsi"/>
                <w:iCs/>
                <w:sz w:val="20"/>
                <w:szCs w:val="20"/>
                <w:lang w:eastAsia="fr-FR"/>
              </w:rPr>
              <w:t xml:space="preserve"> (+13,4%)</w:t>
            </w:r>
          </w:p>
        </w:tc>
        <w:tc>
          <w:tcPr>
            <w:tcW w:w="1425" w:type="dxa"/>
            <w:noWrap/>
            <w:hideMark/>
          </w:tcPr>
          <w:p w14:paraId="70983BFF" w14:textId="7777777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12,34%</w:t>
            </w:r>
          </w:p>
        </w:tc>
        <w:tc>
          <w:tcPr>
            <w:tcW w:w="3106" w:type="dxa"/>
            <w:noWrap/>
            <w:hideMark/>
          </w:tcPr>
          <w:p w14:paraId="1B4298BB" w14:textId="06A0EAC1"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EAU</w:t>
            </w:r>
            <w:r w:rsidR="00D5376E">
              <w:rPr>
                <w:rFonts w:eastAsia="Times New Roman" w:cstheme="minorHAnsi"/>
                <w:iCs/>
                <w:sz w:val="20"/>
                <w:szCs w:val="20"/>
                <w:lang w:eastAsia="fr-FR"/>
              </w:rPr>
              <w:t xml:space="preserve"> (30%)</w:t>
            </w:r>
            <w:r w:rsidRPr="002D06F0">
              <w:rPr>
                <w:rFonts w:eastAsia="Times New Roman" w:cstheme="minorHAnsi"/>
                <w:iCs/>
                <w:sz w:val="20"/>
                <w:szCs w:val="20"/>
                <w:lang w:eastAsia="fr-FR"/>
              </w:rPr>
              <w:t>, Suisse</w:t>
            </w:r>
            <w:r w:rsidR="00D5376E">
              <w:rPr>
                <w:rFonts w:eastAsia="Times New Roman" w:cstheme="minorHAnsi"/>
                <w:iCs/>
                <w:sz w:val="20"/>
                <w:szCs w:val="20"/>
                <w:lang w:eastAsia="fr-FR"/>
              </w:rPr>
              <w:t xml:space="preserve"> (21%)</w:t>
            </w:r>
            <w:r w:rsidRPr="002D06F0">
              <w:rPr>
                <w:rFonts w:eastAsia="Times New Roman" w:cstheme="minorHAnsi"/>
                <w:iCs/>
                <w:sz w:val="20"/>
                <w:szCs w:val="20"/>
                <w:lang w:eastAsia="fr-FR"/>
              </w:rPr>
              <w:t>, Hong Kong</w:t>
            </w:r>
            <w:r w:rsidR="00D5376E">
              <w:rPr>
                <w:rFonts w:eastAsia="Times New Roman" w:cstheme="minorHAnsi"/>
                <w:iCs/>
                <w:sz w:val="20"/>
                <w:szCs w:val="20"/>
                <w:lang w:eastAsia="fr-FR"/>
              </w:rPr>
              <w:t xml:space="preserve"> (8%)</w:t>
            </w:r>
            <w:r w:rsidRPr="002D06F0">
              <w:rPr>
                <w:rFonts w:eastAsia="Times New Roman" w:cstheme="minorHAnsi"/>
                <w:iCs/>
                <w:sz w:val="20"/>
                <w:szCs w:val="20"/>
                <w:lang w:eastAsia="fr-FR"/>
              </w:rPr>
              <w:t>, USA</w:t>
            </w:r>
            <w:r w:rsidR="00D5376E">
              <w:rPr>
                <w:rFonts w:eastAsia="Times New Roman" w:cstheme="minorHAnsi"/>
                <w:iCs/>
                <w:sz w:val="20"/>
                <w:szCs w:val="20"/>
                <w:lang w:eastAsia="fr-FR"/>
              </w:rPr>
              <w:t xml:space="preserve"> (6%)</w:t>
            </w:r>
          </w:p>
        </w:tc>
      </w:tr>
      <w:tr w:rsidR="00A40A71" w:rsidRPr="002D06F0" w14:paraId="43E0D90C" w14:textId="77777777" w:rsidTr="00A40A71">
        <w:trPr>
          <w:trHeight w:val="300"/>
        </w:trPr>
        <w:tc>
          <w:tcPr>
            <w:tcW w:w="1935" w:type="dxa"/>
            <w:noWrap/>
            <w:hideMark/>
          </w:tcPr>
          <w:p w14:paraId="7DDF1AD0" w14:textId="50658D2E" w:rsidR="001D5AB4" w:rsidRPr="002D06F0" w:rsidRDefault="003251AD"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85</w:t>
            </w: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 xml:space="preserve"> Machines et équipement électriques</w:t>
            </w:r>
          </w:p>
        </w:tc>
        <w:tc>
          <w:tcPr>
            <w:tcW w:w="2738" w:type="dxa"/>
            <w:noWrap/>
            <w:hideMark/>
          </w:tcPr>
          <w:p w14:paraId="73149D50" w14:textId="085B78A3"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88 64</w:t>
            </w:r>
            <w:r w:rsidR="00A40A71">
              <w:rPr>
                <w:rFonts w:eastAsia="Times New Roman" w:cstheme="minorHAnsi"/>
                <w:iCs/>
                <w:sz w:val="20"/>
                <w:szCs w:val="20"/>
                <w:lang w:eastAsia="fr-FR"/>
              </w:rPr>
              <w:t>5 (+12%)</w:t>
            </w:r>
          </w:p>
        </w:tc>
        <w:tc>
          <w:tcPr>
            <w:tcW w:w="1425" w:type="dxa"/>
            <w:noWrap/>
            <w:hideMark/>
          </w:tcPr>
          <w:p w14:paraId="78E3FAB9" w14:textId="082826D1"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12,</w:t>
            </w:r>
            <w:r w:rsidR="00A77581">
              <w:rPr>
                <w:rFonts w:eastAsia="Times New Roman" w:cstheme="minorHAnsi"/>
                <w:iCs/>
                <w:sz w:val="20"/>
                <w:szCs w:val="20"/>
                <w:lang w:eastAsia="fr-FR"/>
              </w:rPr>
              <w:t>3</w:t>
            </w:r>
            <w:r w:rsidRPr="002D06F0">
              <w:rPr>
                <w:rFonts w:eastAsia="Times New Roman" w:cstheme="minorHAnsi"/>
                <w:iCs/>
                <w:sz w:val="20"/>
                <w:szCs w:val="20"/>
                <w:lang w:eastAsia="fr-FR"/>
              </w:rPr>
              <w:t>%</w:t>
            </w:r>
          </w:p>
        </w:tc>
        <w:tc>
          <w:tcPr>
            <w:tcW w:w="3106" w:type="dxa"/>
            <w:noWrap/>
            <w:hideMark/>
          </w:tcPr>
          <w:p w14:paraId="5D16845D" w14:textId="7B496A63"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Chine</w:t>
            </w:r>
            <w:r w:rsidR="00B805DA">
              <w:rPr>
                <w:rFonts w:eastAsia="Times New Roman" w:cstheme="minorHAnsi"/>
                <w:iCs/>
                <w:sz w:val="20"/>
                <w:szCs w:val="20"/>
                <w:lang w:eastAsia="fr-FR"/>
              </w:rPr>
              <w:t xml:space="preserve"> (43%)</w:t>
            </w:r>
            <w:r w:rsidRPr="002D06F0">
              <w:rPr>
                <w:rFonts w:eastAsia="Times New Roman" w:cstheme="minorHAnsi"/>
                <w:iCs/>
                <w:sz w:val="20"/>
                <w:szCs w:val="20"/>
                <w:lang w:eastAsia="fr-FR"/>
              </w:rPr>
              <w:t>, Hong Kong</w:t>
            </w:r>
            <w:r w:rsidR="00B805DA">
              <w:rPr>
                <w:rFonts w:eastAsia="Times New Roman" w:cstheme="minorHAnsi"/>
                <w:iCs/>
                <w:sz w:val="20"/>
                <w:szCs w:val="20"/>
                <w:lang w:eastAsia="fr-FR"/>
              </w:rPr>
              <w:t xml:space="preserve"> (10,5%)</w:t>
            </w:r>
            <w:r w:rsidRPr="002D06F0">
              <w:rPr>
                <w:rFonts w:eastAsia="Times New Roman" w:cstheme="minorHAnsi"/>
                <w:iCs/>
                <w:sz w:val="20"/>
                <w:szCs w:val="20"/>
                <w:lang w:eastAsia="fr-FR"/>
              </w:rPr>
              <w:t>, Taiwan</w:t>
            </w:r>
            <w:r w:rsidR="00B805DA">
              <w:rPr>
                <w:rFonts w:eastAsia="Times New Roman" w:cstheme="minorHAnsi"/>
                <w:iCs/>
                <w:sz w:val="20"/>
                <w:szCs w:val="20"/>
                <w:lang w:eastAsia="fr-FR"/>
              </w:rPr>
              <w:t xml:space="preserve"> (6%)</w:t>
            </w:r>
            <w:r w:rsidRPr="002D06F0">
              <w:rPr>
                <w:rFonts w:eastAsia="Times New Roman" w:cstheme="minorHAnsi"/>
                <w:iCs/>
                <w:sz w:val="20"/>
                <w:szCs w:val="20"/>
                <w:lang w:eastAsia="fr-FR"/>
              </w:rPr>
              <w:t>, Singapour</w:t>
            </w:r>
            <w:r w:rsidR="00B805DA">
              <w:rPr>
                <w:rFonts w:eastAsia="Times New Roman" w:cstheme="minorHAnsi"/>
                <w:iCs/>
                <w:sz w:val="20"/>
                <w:szCs w:val="20"/>
                <w:lang w:eastAsia="fr-FR"/>
              </w:rPr>
              <w:t xml:space="preserve"> (6%)</w:t>
            </w:r>
          </w:p>
        </w:tc>
      </w:tr>
      <w:tr w:rsidR="00A40A71" w:rsidRPr="002D06F0" w14:paraId="44A0A9E3" w14:textId="77777777" w:rsidTr="00A40A71">
        <w:trPr>
          <w:trHeight w:val="300"/>
        </w:trPr>
        <w:tc>
          <w:tcPr>
            <w:tcW w:w="1935" w:type="dxa"/>
            <w:noWrap/>
            <w:hideMark/>
          </w:tcPr>
          <w:p w14:paraId="23F38577" w14:textId="2C643529" w:rsidR="001D5AB4" w:rsidRPr="002D06F0" w:rsidRDefault="003251AD"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84</w:t>
            </w: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 xml:space="preserve"> </w:t>
            </w:r>
            <w:r w:rsidR="00B805DA" w:rsidRPr="002D06F0">
              <w:rPr>
                <w:rFonts w:eastAsia="Times New Roman" w:cstheme="minorHAnsi"/>
                <w:iCs/>
                <w:sz w:val="20"/>
                <w:szCs w:val="20"/>
                <w:lang w:eastAsia="fr-FR"/>
              </w:rPr>
              <w:t>Turboréacteurs</w:t>
            </w:r>
            <w:r w:rsidR="001D5AB4" w:rsidRPr="002D06F0">
              <w:rPr>
                <w:rFonts w:eastAsia="Times New Roman" w:cstheme="minorHAnsi"/>
                <w:iCs/>
                <w:sz w:val="20"/>
                <w:szCs w:val="20"/>
                <w:lang w:eastAsia="fr-FR"/>
              </w:rPr>
              <w:t>, parties de machines</w:t>
            </w:r>
          </w:p>
        </w:tc>
        <w:tc>
          <w:tcPr>
            <w:tcW w:w="2738" w:type="dxa"/>
            <w:noWrap/>
            <w:hideMark/>
          </w:tcPr>
          <w:p w14:paraId="5053F37B" w14:textId="27D4ECFF"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64 347,</w:t>
            </w:r>
            <w:r w:rsidR="00A40A71">
              <w:rPr>
                <w:rFonts w:eastAsia="Times New Roman" w:cstheme="minorHAnsi"/>
                <w:iCs/>
                <w:sz w:val="20"/>
                <w:szCs w:val="20"/>
                <w:lang w:eastAsia="fr-FR"/>
              </w:rPr>
              <w:t>6 (+12%)</w:t>
            </w:r>
          </w:p>
        </w:tc>
        <w:tc>
          <w:tcPr>
            <w:tcW w:w="1425" w:type="dxa"/>
            <w:noWrap/>
            <w:hideMark/>
          </w:tcPr>
          <w:p w14:paraId="3FB099F0" w14:textId="7777777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8,92%</w:t>
            </w:r>
          </w:p>
        </w:tc>
        <w:tc>
          <w:tcPr>
            <w:tcW w:w="3106" w:type="dxa"/>
            <w:noWrap/>
            <w:hideMark/>
          </w:tcPr>
          <w:p w14:paraId="750E675F" w14:textId="03CDD2ED"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Chine</w:t>
            </w:r>
            <w:r w:rsidR="00BA0F8B">
              <w:rPr>
                <w:rFonts w:eastAsia="Times New Roman" w:cstheme="minorHAnsi"/>
                <w:iCs/>
                <w:sz w:val="20"/>
                <w:szCs w:val="20"/>
                <w:lang w:eastAsia="fr-FR"/>
              </w:rPr>
              <w:t xml:space="preserve"> (40%)</w:t>
            </w:r>
            <w:r w:rsidRPr="002D06F0">
              <w:rPr>
                <w:rFonts w:eastAsia="Times New Roman" w:cstheme="minorHAnsi"/>
                <w:iCs/>
                <w:sz w:val="20"/>
                <w:szCs w:val="20"/>
                <w:lang w:eastAsia="fr-FR"/>
              </w:rPr>
              <w:t xml:space="preserve">, </w:t>
            </w:r>
            <w:r w:rsidR="00BA0F8B">
              <w:rPr>
                <w:rFonts w:eastAsia="Times New Roman" w:cstheme="minorHAnsi"/>
                <w:iCs/>
                <w:sz w:val="20"/>
                <w:szCs w:val="20"/>
                <w:lang w:eastAsia="fr-FR"/>
              </w:rPr>
              <w:t>Allemagne (8%)</w:t>
            </w:r>
            <w:r w:rsidRPr="002D06F0">
              <w:rPr>
                <w:rFonts w:eastAsia="Times New Roman" w:cstheme="minorHAnsi"/>
                <w:iCs/>
                <w:sz w:val="20"/>
                <w:szCs w:val="20"/>
                <w:lang w:eastAsia="fr-FR"/>
              </w:rPr>
              <w:t>, USA</w:t>
            </w:r>
            <w:r w:rsidR="00BA0F8B">
              <w:rPr>
                <w:rFonts w:eastAsia="Times New Roman" w:cstheme="minorHAnsi"/>
                <w:iCs/>
                <w:sz w:val="20"/>
                <w:szCs w:val="20"/>
                <w:lang w:eastAsia="fr-FR"/>
              </w:rPr>
              <w:t xml:space="preserve"> (7%)</w:t>
            </w:r>
            <w:r w:rsidRPr="002D06F0">
              <w:rPr>
                <w:rFonts w:eastAsia="Times New Roman" w:cstheme="minorHAnsi"/>
                <w:iCs/>
                <w:sz w:val="20"/>
                <w:szCs w:val="20"/>
                <w:lang w:eastAsia="fr-FR"/>
              </w:rPr>
              <w:t>, Japon</w:t>
            </w:r>
            <w:r w:rsidR="00BA0F8B">
              <w:rPr>
                <w:rFonts w:eastAsia="Times New Roman" w:cstheme="minorHAnsi"/>
                <w:iCs/>
                <w:sz w:val="20"/>
                <w:szCs w:val="20"/>
                <w:lang w:eastAsia="fr-FR"/>
              </w:rPr>
              <w:t xml:space="preserve"> (5%)</w:t>
            </w:r>
          </w:p>
        </w:tc>
      </w:tr>
      <w:tr w:rsidR="00A40A71" w:rsidRPr="002D06F0" w14:paraId="0A3931B7" w14:textId="77777777" w:rsidTr="00A40A71">
        <w:trPr>
          <w:trHeight w:val="300"/>
        </w:trPr>
        <w:tc>
          <w:tcPr>
            <w:tcW w:w="1935" w:type="dxa"/>
            <w:noWrap/>
            <w:hideMark/>
          </w:tcPr>
          <w:p w14:paraId="62A24566" w14:textId="4D656D30" w:rsidR="001D5AB4" w:rsidRPr="002D06F0" w:rsidRDefault="003251AD"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29</w:t>
            </w: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 xml:space="preserve"> Produits organiques</w:t>
            </w:r>
          </w:p>
        </w:tc>
        <w:tc>
          <w:tcPr>
            <w:tcW w:w="2738" w:type="dxa"/>
            <w:noWrap/>
            <w:hideMark/>
          </w:tcPr>
          <w:p w14:paraId="064D5564" w14:textId="24C42062"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26 590,56</w:t>
            </w:r>
            <w:r w:rsidR="00A40A71">
              <w:rPr>
                <w:rFonts w:eastAsia="Times New Roman" w:cstheme="minorHAnsi"/>
                <w:iCs/>
                <w:sz w:val="20"/>
                <w:szCs w:val="20"/>
                <w:lang w:eastAsia="fr-FR"/>
              </w:rPr>
              <w:t xml:space="preserve"> </w:t>
            </w:r>
            <w:r w:rsidR="00A40A71" w:rsidRPr="00A40A71">
              <w:rPr>
                <w:rFonts w:eastAsia="Times New Roman" w:cstheme="minorHAnsi"/>
                <w:iCs/>
                <w:color w:val="FF0000"/>
                <w:sz w:val="20"/>
                <w:szCs w:val="20"/>
                <w:lang w:eastAsia="fr-FR"/>
              </w:rPr>
              <w:t>(-0,6%)</w:t>
            </w:r>
          </w:p>
        </w:tc>
        <w:tc>
          <w:tcPr>
            <w:tcW w:w="1425" w:type="dxa"/>
            <w:noWrap/>
            <w:hideMark/>
          </w:tcPr>
          <w:p w14:paraId="5FD1900E" w14:textId="7777777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3,69%</w:t>
            </w:r>
          </w:p>
        </w:tc>
        <w:tc>
          <w:tcPr>
            <w:tcW w:w="3106" w:type="dxa"/>
            <w:noWrap/>
            <w:hideMark/>
          </w:tcPr>
          <w:p w14:paraId="059041CE" w14:textId="54F52716"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Chine</w:t>
            </w:r>
            <w:r w:rsidR="004D589A">
              <w:rPr>
                <w:rFonts w:eastAsia="Times New Roman" w:cstheme="minorHAnsi"/>
                <w:iCs/>
                <w:sz w:val="20"/>
                <w:szCs w:val="20"/>
                <w:lang w:eastAsia="fr-FR"/>
              </w:rPr>
              <w:t xml:space="preserve"> (43%)</w:t>
            </w:r>
            <w:r w:rsidRPr="002D06F0">
              <w:rPr>
                <w:rFonts w:eastAsia="Times New Roman" w:cstheme="minorHAnsi"/>
                <w:iCs/>
                <w:sz w:val="20"/>
                <w:szCs w:val="20"/>
                <w:lang w:eastAsia="fr-FR"/>
              </w:rPr>
              <w:t>, USA</w:t>
            </w:r>
            <w:r w:rsidR="004D589A">
              <w:rPr>
                <w:rFonts w:eastAsia="Times New Roman" w:cstheme="minorHAnsi"/>
                <w:iCs/>
                <w:sz w:val="20"/>
                <w:szCs w:val="20"/>
                <w:lang w:eastAsia="fr-FR"/>
              </w:rPr>
              <w:t xml:space="preserve"> (5%)</w:t>
            </w:r>
            <w:r w:rsidRPr="002D06F0">
              <w:rPr>
                <w:rFonts w:eastAsia="Times New Roman" w:cstheme="minorHAnsi"/>
                <w:iCs/>
                <w:sz w:val="20"/>
                <w:szCs w:val="20"/>
                <w:lang w:eastAsia="fr-FR"/>
              </w:rPr>
              <w:t>, EAU</w:t>
            </w:r>
            <w:r w:rsidR="004D589A">
              <w:rPr>
                <w:rFonts w:eastAsia="Times New Roman" w:cstheme="minorHAnsi"/>
                <w:iCs/>
                <w:sz w:val="20"/>
                <w:szCs w:val="20"/>
                <w:lang w:eastAsia="fr-FR"/>
              </w:rPr>
              <w:t xml:space="preserve"> (5%)</w:t>
            </w:r>
            <w:r w:rsidRPr="002D06F0">
              <w:rPr>
                <w:rFonts w:eastAsia="Times New Roman" w:cstheme="minorHAnsi"/>
                <w:iCs/>
                <w:sz w:val="20"/>
                <w:szCs w:val="20"/>
                <w:lang w:eastAsia="fr-FR"/>
              </w:rPr>
              <w:t>, Corée du Sud</w:t>
            </w:r>
            <w:r w:rsidR="004D589A">
              <w:rPr>
                <w:rFonts w:eastAsia="Times New Roman" w:cstheme="minorHAnsi"/>
                <w:iCs/>
                <w:sz w:val="20"/>
                <w:szCs w:val="20"/>
                <w:lang w:eastAsia="fr-FR"/>
              </w:rPr>
              <w:t xml:space="preserve"> (5%)</w:t>
            </w:r>
          </w:p>
        </w:tc>
      </w:tr>
      <w:tr w:rsidR="00A40A71" w:rsidRPr="002D06F0" w14:paraId="5833DF12" w14:textId="77777777" w:rsidTr="00A40A71">
        <w:trPr>
          <w:trHeight w:val="300"/>
        </w:trPr>
        <w:tc>
          <w:tcPr>
            <w:tcW w:w="1935" w:type="dxa"/>
            <w:noWrap/>
            <w:hideMark/>
          </w:tcPr>
          <w:p w14:paraId="4F34DD98" w14:textId="64EC0027" w:rsidR="001D5AB4" w:rsidRPr="002D06F0" w:rsidRDefault="003251AD" w:rsidP="001D5AB4">
            <w:pPr>
              <w:spacing w:after="60"/>
              <w:contextualSpacing/>
              <w:rPr>
                <w:rFonts w:eastAsia="Times New Roman" w:cstheme="minorHAnsi"/>
                <w:iCs/>
                <w:sz w:val="20"/>
                <w:szCs w:val="20"/>
                <w:lang w:eastAsia="fr-FR"/>
              </w:rPr>
            </w:pP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39</w:t>
            </w:r>
            <w:r w:rsidRPr="002D06F0">
              <w:rPr>
                <w:rFonts w:eastAsia="Times New Roman" w:cstheme="minorHAnsi"/>
                <w:iCs/>
                <w:sz w:val="20"/>
                <w:szCs w:val="20"/>
                <w:lang w:eastAsia="fr-FR"/>
              </w:rPr>
              <w:t>]</w:t>
            </w:r>
            <w:r w:rsidR="001D5AB4" w:rsidRPr="002D06F0">
              <w:rPr>
                <w:rFonts w:eastAsia="Times New Roman" w:cstheme="minorHAnsi"/>
                <w:iCs/>
                <w:sz w:val="20"/>
                <w:szCs w:val="20"/>
                <w:lang w:eastAsia="fr-FR"/>
              </w:rPr>
              <w:t xml:space="preserve"> Produits plastiques</w:t>
            </w:r>
          </w:p>
        </w:tc>
        <w:tc>
          <w:tcPr>
            <w:tcW w:w="2738" w:type="dxa"/>
            <w:noWrap/>
            <w:hideMark/>
          </w:tcPr>
          <w:p w14:paraId="3A25FF30" w14:textId="54BA98F0"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22 118,6</w:t>
            </w:r>
            <w:r w:rsidR="00A40A71">
              <w:rPr>
                <w:rFonts w:eastAsia="Times New Roman" w:cstheme="minorHAnsi"/>
                <w:iCs/>
                <w:sz w:val="20"/>
                <w:szCs w:val="20"/>
                <w:lang w:eastAsia="fr-FR"/>
              </w:rPr>
              <w:t xml:space="preserve"> (+1%)</w:t>
            </w:r>
          </w:p>
        </w:tc>
        <w:tc>
          <w:tcPr>
            <w:tcW w:w="1425" w:type="dxa"/>
            <w:noWrap/>
            <w:hideMark/>
          </w:tcPr>
          <w:p w14:paraId="5EBBAEA6" w14:textId="77777777"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3,07%</w:t>
            </w:r>
          </w:p>
        </w:tc>
        <w:tc>
          <w:tcPr>
            <w:tcW w:w="3106" w:type="dxa"/>
            <w:noWrap/>
            <w:hideMark/>
          </w:tcPr>
          <w:p w14:paraId="61280AD1" w14:textId="147809A1" w:rsidR="001D5AB4" w:rsidRPr="002D06F0" w:rsidRDefault="001D5AB4" w:rsidP="001D5AB4">
            <w:pPr>
              <w:spacing w:after="60"/>
              <w:contextualSpacing/>
              <w:jc w:val="center"/>
              <w:rPr>
                <w:rFonts w:eastAsia="Times New Roman" w:cstheme="minorHAnsi"/>
                <w:iCs/>
                <w:sz w:val="20"/>
                <w:szCs w:val="20"/>
                <w:lang w:eastAsia="fr-FR"/>
              </w:rPr>
            </w:pPr>
            <w:r w:rsidRPr="002D06F0">
              <w:rPr>
                <w:rFonts w:eastAsia="Times New Roman" w:cstheme="minorHAnsi"/>
                <w:iCs/>
                <w:sz w:val="20"/>
                <w:szCs w:val="20"/>
                <w:lang w:eastAsia="fr-FR"/>
              </w:rPr>
              <w:t>Chine</w:t>
            </w:r>
            <w:r w:rsidR="00A23AAE">
              <w:rPr>
                <w:rFonts w:eastAsia="Times New Roman" w:cstheme="minorHAnsi"/>
                <w:iCs/>
                <w:sz w:val="20"/>
                <w:szCs w:val="20"/>
                <w:lang w:eastAsia="fr-FR"/>
              </w:rPr>
              <w:t xml:space="preserve"> (29%)</w:t>
            </w:r>
            <w:r w:rsidRPr="002D06F0">
              <w:rPr>
                <w:rFonts w:eastAsia="Times New Roman" w:cstheme="minorHAnsi"/>
                <w:iCs/>
                <w:sz w:val="20"/>
                <w:szCs w:val="20"/>
                <w:lang w:eastAsia="fr-FR"/>
              </w:rPr>
              <w:t>, Corée du Sud</w:t>
            </w:r>
            <w:r w:rsidR="00A23AAE">
              <w:rPr>
                <w:rFonts w:eastAsia="Times New Roman" w:cstheme="minorHAnsi"/>
                <w:iCs/>
                <w:sz w:val="20"/>
                <w:szCs w:val="20"/>
                <w:lang w:eastAsia="fr-FR"/>
              </w:rPr>
              <w:t xml:space="preserve"> (10%)</w:t>
            </w:r>
            <w:r w:rsidRPr="002D06F0">
              <w:rPr>
                <w:rFonts w:eastAsia="Times New Roman" w:cstheme="minorHAnsi"/>
                <w:iCs/>
                <w:sz w:val="20"/>
                <w:szCs w:val="20"/>
                <w:lang w:eastAsia="fr-FR"/>
              </w:rPr>
              <w:t>, USA</w:t>
            </w:r>
            <w:r w:rsidR="00A23AAE">
              <w:rPr>
                <w:rFonts w:eastAsia="Times New Roman" w:cstheme="minorHAnsi"/>
                <w:iCs/>
                <w:sz w:val="20"/>
                <w:szCs w:val="20"/>
                <w:lang w:eastAsia="fr-FR"/>
              </w:rPr>
              <w:t xml:space="preserve"> (7%)</w:t>
            </w:r>
            <w:r w:rsidRPr="002D06F0">
              <w:rPr>
                <w:rFonts w:eastAsia="Times New Roman" w:cstheme="minorHAnsi"/>
                <w:iCs/>
                <w:sz w:val="20"/>
                <w:szCs w:val="20"/>
                <w:lang w:eastAsia="fr-FR"/>
              </w:rPr>
              <w:t>, Singapour</w:t>
            </w:r>
            <w:r w:rsidR="00A23AAE">
              <w:rPr>
                <w:rFonts w:eastAsia="Times New Roman" w:cstheme="minorHAnsi"/>
                <w:iCs/>
                <w:sz w:val="20"/>
                <w:szCs w:val="20"/>
                <w:lang w:eastAsia="fr-FR"/>
              </w:rPr>
              <w:t xml:space="preserve"> (7%)</w:t>
            </w:r>
          </w:p>
        </w:tc>
      </w:tr>
      <w:tr w:rsidR="001D5AB4" w:rsidRPr="002D06F0" w14:paraId="03EBC2D9" w14:textId="77777777" w:rsidTr="00934C77">
        <w:trPr>
          <w:trHeight w:val="300"/>
        </w:trPr>
        <w:tc>
          <w:tcPr>
            <w:tcW w:w="9204" w:type="dxa"/>
            <w:gridSpan w:val="4"/>
            <w:noWrap/>
            <w:hideMark/>
          </w:tcPr>
          <w:p w14:paraId="700B7DF3" w14:textId="45EA0C87" w:rsidR="001D5AB4" w:rsidRPr="002D06F0" w:rsidRDefault="001D5AB4" w:rsidP="001D5AB4">
            <w:pPr>
              <w:spacing w:after="60"/>
              <w:contextualSpacing/>
              <w:jc w:val="center"/>
              <w:rPr>
                <w:rFonts w:eastAsia="Times New Roman" w:cstheme="minorHAnsi"/>
                <w:b/>
                <w:bCs/>
                <w:iCs/>
                <w:sz w:val="20"/>
                <w:szCs w:val="20"/>
                <w:lang w:eastAsia="fr-FR"/>
              </w:rPr>
            </w:pPr>
            <w:r w:rsidRPr="002D06F0">
              <w:rPr>
                <w:rFonts w:eastAsia="Times New Roman" w:cstheme="minorHAnsi"/>
                <w:b/>
                <w:bCs/>
                <w:iCs/>
                <w:sz w:val="20"/>
                <w:szCs w:val="20"/>
                <w:lang w:eastAsia="fr-FR"/>
              </w:rPr>
              <w:t>Principaux pays : Chine (20%), Russie, (9%), EAU (9%), USA (6%)</w:t>
            </w:r>
          </w:p>
        </w:tc>
      </w:tr>
    </w:tbl>
    <w:p w14:paraId="4A462F02" w14:textId="77777777" w:rsidR="001D5AB4" w:rsidRPr="002D06F0" w:rsidRDefault="001D5AB4" w:rsidP="003C3140">
      <w:pPr>
        <w:spacing w:after="60" w:line="240" w:lineRule="auto"/>
        <w:contextualSpacing/>
        <w:rPr>
          <w:rFonts w:eastAsia="Times New Roman" w:cstheme="minorHAnsi"/>
          <w:b/>
          <w:bCs/>
          <w:iCs/>
          <w:sz w:val="18"/>
          <w:szCs w:val="18"/>
          <w:lang w:eastAsia="fr-FR"/>
        </w:rPr>
      </w:pPr>
    </w:p>
    <w:sectPr w:rsidR="001D5AB4" w:rsidRPr="002D06F0" w:rsidSect="005F36AB">
      <w:footerReference w:type="default" r:id="rId14"/>
      <w:endnotePr>
        <w:numFmt w:val="decimal"/>
      </w:endnotePr>
      <w:pgSz w:w="11906" w:h="16838"/>
      <w:pgMar w:top="709"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CE77" w14:textId="77777777" w:rsidR="000E36A3" w:rsidRDefault="000E36A3" w:rsidP="001C2361">
      <w:pPr>
        <w:spacing w:after="0" w:line="240" w:lineRule="auto"/>
      </w:pPr>
      <w:r>
        <w:separator/>
      </w:r>
    </w:p>
  </w:endnote>
  <w:endnote w:type="continuationSeparator" w:id="0">
    <w:p w14:paraId="12821AC2" w14:textId="77777777" w:rsidR="000E36A3" w:rsidRDefault="000E36A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69470"/>
      <w:docPartObj>
        <w:docPartGallery w:val="Page Numbers (Bottom of Page)"/>
        <w:docPartUnique/>
      </w:docPartObj>
    </w:sdtPr>
    <w:sdtEndPr/>
    <w:sdtContent>
      <w:p w14:paraId="676859E8" w14:textId="2F40D4C1" w:rsidR="004642DE" w:rsidRDefault="004642DE">
        <w:pPr>
          <w:pStyle w:val="Pieddepage"/>
          <w:jc w:val="right"/>
        </w:pPr>
        <w:r>
          <w:fldChar w:fldCharType="begin"/>
        </w:r>
        <w:r>
          <w:instrText>PAGE   \* MERGEFORMAT</w:instrText>
        </w:r>
        <w:r>
          <w:fldChar w:fldCharType="separate"/>
        </w:r>
        <w:r>
          <w:t>2</w:t>
        </w:r>
        <w:r>
          <w:fldChar w:fldCharType="end"/>
        </w:r>
      </w:p>
    </w:sdtContent>
  </w:sdt>
  <w:p w14:paraId="0EDDC50B" w14:textId="77777777" w:rsidR="004642DE" w:rsidRDefault="004642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DA95" w14:textId="77777777" w:rsidR="000E36A3" w:rsidRDefault="000E36A3" w:rsidP="001C2361">
      <w:pPr>
        <w:spacing w:after="0" w:line="240" w:lineRule="auto"/>
      </w:pPr>
      <w:r>
        <w:separator/>
      </w:r>
    </w:p>
  </w:footnote>
  <w:footnote w:type="continuationSeparator" w:id="0">
    <w:p w14:paraId="0022870C" w14:textId="77777777" w:rsidR="000E36A3" w:rsidRDefault="000E36A3"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7D"/>
    <w:multiLevelType w:val="hybridMultilevel"/>
    <w:tmpl w:val="7EE81D50"/>
    <w:lvl w:ilvl="0" w:tplc="9BFA2CD0">
      <w:start w:val="2"/>
      <w:numFmt w:val="upp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CE72D27"/>
    <w:multiLevelType w:val="multilevel"/>
    <w:tmpl w:val="D07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613DE"/>
    <w:multiLevelType w:val="multilevel"/>
    <w:tmpl w:val="E5A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77EFE"/>
    <w:multiLevelType w:val="hybridMultilevel"/>
    <w:tmpl w:val="5DC49E58"/>
    <w:lvl w:ilvl="0" w:tplc="BA0E28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27B0D9A"/>
    <w:multiLevelType w:val="multilevel"/>
    <w:tmpl w:val="00F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CF73CCC"/>
    <w:multiLevelType w:val="multilevel"/>
    <w:tmpl w:val="31C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32F41"/>
    <w:multiLevelType w:val="hybridMultilevel"/>
    <w:tmpl w:val="A05C60C4"/>
    <w:lvl w:ilvl="0" w:tplc="06F64A1C">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3" w15:restartNumberingAfterBreak="0">
    <w:nsid w:val="33C70EF6"/>
    <w:multiLevelType w:val="hybridMultilevel"/>
    <w:tmpl w:val="44746A80"/>
    <w:lvl w:ilvl="0" w:tplc="61A0C488">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39105FFA"/>
    <w:multiLevelType w:val="multilevel"/>
    <w:tmpl w:val="806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2678C"/>
    <w:multiLevelType w:val="hybridMultilevel"/>
    <w:tmpl w:val="05E09F1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D577D5F"/>
    <w:multiLevelType w:val="multilevel"/>
    <w:tmpl w:val="13D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4050CF"/>
    <w:multiLevelType w:val="hybridMultilevel"/>
    <w:tmpl w:val="3056A740"/>
    <w:lvl w:ilvl="0" w:tplc="7214DECE">
      <w:start w:val="3"/>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226F7B"/>
    <w:multiLevelType w:val="multilevel"/>
    <w:tmpl w:val="33E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60254"/>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4" w15:restartNumberingAfterBreak="0">
    <w:nsid w:val="535D68F1"/>
    <w:multiLevelType w:val="multilevel"/>
    <w:tmpl w:val="73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52061F8"/>
    <w:multiLevelType w:val="hybridMultilevel"/>
    <w:tmpl w:val="E92C052A"/>
    <w:lvl w:ilvl="0" w:tplc="E6D877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D861E7"/>
    <w:multiLevelType w:val="hybridMultilevel"/>
    <w:tmpl w:val="1304E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324FE1"/>
    <w:multiLevelType w:val="multilevel"/>
    <w:tmpl w:val="613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92EF2"/>
    <w:multiLevelType w:val="multilevel"/>
    <w:tmpl w:val="5EA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E5443"/>
    <w:multiLevelType w:val="hybridMultilevel"/>
    <w:tmpl w:val="44AE34B0"/>
    <w:lvl w:ilvl="0" w:tplc="2EC0C74C">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1" w15:restartNumberingAfterBreak="0">
    <w:nsid w:val="5C4E61A5"/>
    <w:multiLevelType w:val="multilevel"/>
    <w:tmpl w:val="99B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24FC0"/>
    <w:multiLevelType w:val="multilevel"/>
    <w:tmpl w:val="5E7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61093C"/>
    <w:multiLevelType w:val="hybridMultilevel"/>
    <w:tmpl w:val="56DED5D0"/>
    <w:lvl w:ilvl="0" w:tplc="A1745A6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7E1AD5"/>
    <w:multiLevelType w:val="hybridMultilevel"/>
    <w:tmpl w:val="97F283B2"/>
    <w:lvl w:ilvl="0" w:tplc="A64650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8741F0"/>
    <w:multiLevelType w:val="hybridMultilevel"/>
    <w:tmpl w:val="90E4E2B4"/>
    <w:lvl w:ilvl="0" w:tplc="9ABA39E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0" w15:restartNumberingAfterBreak="0">
    <w:nsid w:val="78DC67ED"/>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4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821641"/>
    <w:multiLevelType w:val="multilevel"/>
    <w:tmpl w:val="C18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8A41AB"/>
    <w:multiLevelType w:val="multilevel"/>
    <w:tmpl w:val="0E6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97B12"/>
    <w:multiLevelType w:val="multilevel"/>
    <w:tmpl w:val="497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A0819"/>
    <w:multiLevelType w:val="hybridMultilevel"/>
    <w:tmpl w:val="5D6C6110"/>
    <w:lvl w:ilvl="0" w:tplc="1B9EEED8">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num w:numId="1">
    <w:abstractNumId w:val="19"/>
  </w:num>
  <w:num w:numId="2">
    <w:abstractNumId w:val="3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1"/>
  </w:num>
  <w:num w:numId="6">
    <w:abstractNumId w:val="38"/>
  </w:num>
  <w:num w:numId="7">
    <w:abstractNumId w:val="10"/>
  </w:num>
  <w:num w:numId="8">
    <w:abstractNumId w:val="9"/>
  </w:num>
  <w:num w:numId="9">
    <w:abstractNumId w:val="2"/>
  </w:num>
  <w:num w:numId="10">
    <w:abstractNumId w:val="22"/>
  </w:num>
  <w:num w:numId="11">
    <w:abstractNumId w:val="14"/>
  </w:num>
  <w:num w:numId="12">
    <w:abstractNumId w:val="1"/>
  </w:num>
  <w:num w:numId="13">
    <w:abstractNumId w:val="3"/>
  </w:num>
  <w:num w:numId="14">
    <w:abstractNumId w:val="33"/>
  </w:num>
  <w:num w:numId="15">
    <w:abstractNumId w:val="15"/>
  </w:num>
  <w:num w:numId="16">
    <w:abstractNumId w:val="17"/>
  </w:num>
  <w:num w:numId="17">
    <w:abstractNumId w:val="20"/>
  </w:num>
  <w:num w:numId="18">
    <w:abstractNumId w:val="36"/>
  </w:num>
  <w:num w:numId="19">
    <w:abstractNumId w:val="27"/>
  </w:num>
  <w:num w:numId="20">
    <w:abstractNumId w:val="26"/>
  </w:num>
  <w:num w:numId="21">
    <w:abstractNumId w:val="13"/>
  </w:num>
  <w:num w:numId="22">
    <w:abstractNumId w:val="7"/>
  </w:num>
  <w:num w:numId="23">
    <w:abstractNumId w:val="37"/>
  </w:num>
  <w:num w:numId="24">
    <w:abstractNumId w:val="35"/>
  </w:num>
  <w:num w:numId="25">
    <w:abstractNumId w:val="6"/>
  </w:num>
  <w:num w:numId="26">
    <w:abstractNumId w:val="12"/>
  </w:num>
  <w:num w:numId="27">
    <w:abstractNumId w:val="42"/>
  </w:num>
  <w:num w:numId="28">
    <w:abstractNumId w:val="43"/>
  </w:num>
  <w:num w:numId="29">
    <w:abstractNumId w:val="4"/>
  </w:num>
  <w:num w:numId="30">
    <w:abstractNumId w:val="29"/>
  </w:num>
  <w:num w:numId="31">
    <w:abstractNumId w:val="21"/>
  </w:num>
  <w:num w:numId="32">
    <w:abstractNumId w:val="32"/>
  </w:num>
  <w:num w:numId="33">
    <w:abstractNumId w:val="16"/>
  </w:num>
  <w:num w:numId="34">
    <w:abstractNumId w:val="24"/>
  </w:num>
  <w:num w:numId="35">
    <w:abstractNumId w:val="23"/>
  </w:num>
  <w:num w:numId="36">
    <w:abstractNumId w:val="30"/>
  </w:num>
  <w:num w:numId="37">
    <w:abstractNumId w:val="40"/>
  </w:num>
  <w:num w:numId="38">
    <w:abstractNumId w:val="0"/>
  </w:num>
  <w:num w:numId="39">
    <w:abstractNumId w:val="45"/>
  </w:num>
  <w:num w:numId="40">
    <w:abstractNumId w:val="8"/>
  </w:num>
  <w:num w:numId="41">
    <w:abstractNumId w:val="18"/>
  </w:num>
  <w:num w:numId="42">
    <w:abstractNumId w:val="28"/>
  </w:num>
  <w:num w:numId="43">
    <w:abstractNumId w:val="5"/>
  </w:num>
  <w:num w:numId="44">
    <w:abstractNumId w:val="11"/>
  </w:num>
  <w:num w:numId="45">
    <w:abstractNumId w:val="3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250"/>
    <w:rsid w:val="000039FC"/>
    <w:rsid w:val="000064C1"/>
    <w:rsid w:val="00006D9E"/>
    <w:rsid w:val="00006E50"/>
    <w:rsid w:val="0001120A"/>
    <w:rsid w:val="000128E1"/>
    <w:rsid w:val="000154D8"/>
    <w:rsid w:val="00020EE2"/>
    <w:rsid w:val="0002183B"/>
    <w:rsid w:val="00021F0F"/>
    <w:rsid w:val="00022880"/>
    <w:rsid w:val="00022F44"/>
    <w:rsid w:val="00031533"/>
    <w:rsid w:val="000355FC"/>
    <w:rsid w:val="00045CF8"/>
    <w:rsid w:val="00050225"/>
    <w:rsid w:val="00051E58"/>
    <w:rsid w:val="000528F0"/>
    <w:rsid w:val="00052A46"/>
    <w:rsid w:val="000534EC"/>
    <w:rsid w:val="00055B39"/>
    <w:rsid w:val="00064115"/>
    <w:rsid w:val="00064632"/>
    <w:rsid w:val="000676F2"/>
    <w:rsid w:val="00071F97"/>
    <w:rsid w:val="00074453"/>
    <w:rsid w:val="000763B3"/>
    <w:rsid w:val="00080037"/>
    <w:rsid w:val="0009024B"/>
    <w:rsid w:val="00092DF5"/>
    <w:rsid w:val="00094DB5"/>
    <w:rsid w:val="00097777"/>
    <w:rsid w:val="000A1918"/>
    <w:rsid w:val="000A2662"/>
    <w:rsid w:val="000A60CA"/>
    <w:rsid w:val="000B021C"/>
    <w:rsid w:val="000B4DF1"/>
    <w:rsid w:val="000C0326"/>
    <w:rsid w:val="000C108D"/>
    <w:rsid w:val="000C7257"/>
    <w:rsid w:val="000D001A"/>
    <w:rsid w:val="000D0BC4"/>
    <w:rsid w:val="000D721F"/>
    <w:rsid w:val="000D72BD"/>
    <w:rsid w:val="000E1E2F"/>
    <w:rsid w:val="000E288F"/>
    <w:rsid w:val="000E36A3"/>
    <w:rsid w:val="000E390B"/>
    <w:rsid w:val="000E744D"/>
    <w:rsid w:val="000E7793"/>
    <w:rsid w:val="000F2C4E"/>
    <w:rsid w:val="000F6048"/>
    <w:rsid w:val="000F7190"/>
    <w:rsid w:val="000F7ACA"/>
    <w:rsid w:val="000F7E4A"/>
    <w:rsid w:val="00100569"/>
    <w:rsid w:val="00100C95"/>
    <w:rsid w:val="00102564"/>
    <w:rsid w:val="001105E1"/>
    <w:rsid w:val="001109EF"/>
    <w:rsid w:val="00111C32"/>
    <w:rsid w:val="00115B20"/>
    <w:rsid w:val="001170A2"/>
    <w:rsid w:val="00117DF8"/>
    <w:rsid w:val="00120DB6"/>
    <w:rsid w:val="00123DCB"/>
    <w:rsid w:val="0012430D"/>
    <w:rsid w:val="0012637B"/>
    <w:rsid w:val="001276D3"/>
    <w:rsid w:val="0013180B"/>
    <w:rsid w:val="001346C7"/>
    <w:rsid w:val="00134AD4"/>
    <w:rsid w:val="00134DE8"/>
    <w:rsid w:val="00135B91"/>
    <w:rsid w:val="001360A8"/>
    <w:rsid w:val="00137081"/>
    <w:rsid w:val="0014211B"/>
    <w:rsid w:val="00143130"/>
    <w:rsid w:val="00147754"/>
    <w:rsid w:val="001505C0"/>
    <w:rsid w:val="00152C27"/>
    <w:rsid w:val="001543E7"/>
    <w:rsid w:val="001551CB"/>
    <w:rsid w:val="00162513"/>
    <w:rsid w:val="00163AEE"/>
    <w:rsid w:val="00171B4E"/>
    <w:rsid w:val="001720F8"/>
    <w:rsid w:val="00172EFF"/>
    <w:rsid w:val="001747D5"/>
    <w:rsid w:val="00174BE4"/>
    <w:rsid w:val="0017544F"/>
    <w:rsid w:val="00175E92"/>
    <w:rsid w:val="00176D10"/>
    <w:rsid w:val="00177888"/>
    <w:rsid w:val="00181A98"/>
    <w:rsid w:val="00182D54"/>
    <w:rsid w:val="00184135"/>
    <w:rsid w:val="00190166"/>
    <w:rsid w:val="0019173B"/>
    <w:rsid w:val="0019280B"/>
    <w:rsid w:val="001A1719"/>
    <w:rsid w:val="001A1A43"/>
    <w:rsid w:val="001A1CD5"/>
    <w:rsid w:val="001A5A37"/>
    <w:rsid w:val="001B1CF0"/>
    <w:rsid w:val="001B1D99"/>
    <w:rsid w:val="001B772F"/>
    <w:rsid w:val="001C100F"/>
    <w:rsid w:val="001C2361"/>
    <w:rsid w:val="001C3774"/>
    <w:rsid w:val="001D5AB4"/>
    <w:rsid w:val="001D6D73"/>
    <w:rsid w:val="001E3759"/>
    <w:rsid w:val="001E4D67"/>
    <w:rsid w:val="001F1053"/>
    <w:rsid w:val="001F235A"/>
    <w:rsid w:val="001F2D7C"/>
    <w:rsid w:val="001F741C"/>
    <w:rsid w:val="00201264"/>
    <w:rsid w:val="00201837"/>
    <w:rsid w:val="00201C83"/>
    <w:rsid w:val="00202DEB"/>
    <w:rsid w:val="0020353A"/>
    <w:rsid w:val="00223554"/>
    <w:rsid w:val="00225798"/>
    <w:rsid w:val="00230DDE"/>
    <w:rsid w:val="00236CEC"/>
    <w:rsid w:val="00237824"/>
    <w:rsid w:val="002419CA"/>
    <w:rsid w:val="00242CCE"/>
    <w:rsid w:val="00246C65"/>
    <w:rsid w:val="00250F27"/>
    <w:rsid w:val="00252AE8"/>
    <w:rsid w:val="002550BB"/>
    <w:rsid w:val="00255F30"/>
    <w:rsid w:val="00256FFD"/>
    <w:rsid w:val="00257E48"/>
    <w:rsid w:val="00260CEC"/>
    <w:rsid w:val="00266324"/>
    <w:rsid w:val="002671F5"/>
    <w:rsid w:val="002762C9"/>
    <w:rsid w:val="00276870"/>
    <w:rsid w:val="002818E1"/>
    <w:rsid w:val="00281BCD"/>
    <w:rsid w:val="00283B11"/>
    <w:rsid w:val="0029566D"/>
    <w:rsid w:val="00297AC0"/>
    <w:rsid w:val="002A07E0"/>
    <w:rsid w:val="002A3CAD"/>
    <w:rsid w:val="002A5243"/>
    <w:rsid w:val="002B0853"/>
    <w:rsid w:val="002B4A41"/>
    <w:rsid w:val="002B7249"/>
    <w:rsid w:val="002C0121"/>
    <w:rsid w:val="002C47E7"/>
    <w:rsid w:val="002C7DFA"/>
    <w:rsid w:val="002D06F0"/>
    <w:rsid w:val="002D13A2"/>
    <w:rsid w:val="002D4C04"/>
    <w:rsid w:val="002D5C3C"/>
    <w:rsid w:val="002D5C4A"/>
    <w:rsid w:val="002D60A4"/>
    <w:rsid w:val="002E37BB"/>
    <w:rsid w:val="002E6890"/>
    <w:rsid w:val="002E7383"/>
    <w:rsid w:val="002F210F"/>
    <w:rsid w:val="002F5299"/>
    <w:rsid w:val="002F7BC8"/>
    <w:rsid w:val="0030017B"/>
    <w:rsid w:val="00301021"/>
    <w:rsid w:val="0030139C"/>
    <w:rsid w:val="0030148A"/>
    <w:rsid w:val="00302A59"/>
    <w:rsid w:val="00303F75"/>
    <w:rsid w:val="00306DB9"/>
    <w:rsid w:val="003073FD"/>
    <w:rsid w:val="0030773E"/>
    <w:rsid w:val="00311071"/>
    <w:rsid w:val="00313DDA"/>
    <w:rsid w:val="00313EB7"/>
    <w:rsid w:val="00317870"/>
    <w:rsid w:val="00323A4A"/>
    <w:rsid w:val="00324EAA"/>
    <w:rsid w:val="003251AD"/>
    <w:rsid w:val="003257BD"/>
    <w:rsid w:val="00327683"/>
    <w:rsid w:val="0033036F"/>
    <w:rsid w:val="00330428"/>
    <w:rsid w:val="00332310"/>
    <w:rsid w:val="003339CE"/>
    <w:rsid w:val="003407BF"/>
    <w:rsid w:val="00341E94"/>
    <w:rsid w:val="00341EC1"/>
    <w:rsid w:val="00344131"/>
    <w:rsid w:val="003458F7"/>
    <w:rsid w:val="00347F9E"/>
    <w:rsid w:val="00351E1C"/>
    <w:rsid w:val="00352269"/>
    <w:rsid w:val="00353B9D"/>
    <w:rsid w:val="003566D0"/>
    <w:rsid w:val="00364C55"/>
    <w:rsid w:val="00365384"/>
    <w:rsid w:val="00367335"/>
    <w:rsid w:val="0036736D"/>
    <w:rsid w:val="003762BD"/>
    <w:rsid w:val="00377143"/>
    <w:rsid w:val="00377431"/>
    <w:rsid w:val="00377E86"/>
    <w:rsid w:val="00380A81"/>
    <w:rsid w:val="00380B8A"/>
    <w:rsid w:val="003847EC"/>
    <w:rsid w:val="003849D9"/>
    <w:rsid w:val="003857AF"/>
    <w:rsid w:val="003874DB"/>
    <w:rsid w:val="00387FCC"/>
    <w:rsid w:val="003954C6"/>
    <w:rsid w:val="003959DE"/>
    <w:rsid w:val="003A0174"/>
    <w:rsid w:val="003A1D94"/>
    <w:rsid w:val="003A713D"/>
    <w:rsid w:val="003A7EB8"/>
    <w:rsid w:val="003B0C07"/>
    <w:rsid w:val="003B1A22"/>
    <w:rsid w:val="003B33D3"/>
    <w:rsid w:val="003B6551"/>
    <w:rsid w:val="003C21D8"/>
    <w:rsid w:val="003C3140"/>
    <w:rsid w:val="003C3C6E"/>
    <w:rsid w:val="003D17F4"/>
    <w:rsid w:val="003D2AD3"/>
    <w:rsid w:val="003D5550"/>
    <w:rsid w:val="003D6537"/>
    <w:rsid w:val="003D69ED"/>
    <w:rsid w:val="003D7280"/>
    <w:rsid w:val="003E0D22"/>
    <w:rsid w:val="003E34CE"/>
    <w:rsid w:val="003E442D"/>
    <w:rsid w:val="003E56E8"/>
    <w:rsid w:val="003E7D9D"/>
    <w:rsid w:val="003F4682"/>
    <w:rsid w:val="003F48EF"/>
    <w:rsid w:val="003F78BD"/>
    <w:rsid w:val="0040330E"/>
    <w:rsid w:val="0040500F"/>
    <w:rsid w:val="00406D60"/>
    <w:rsid w:val="00411356"/>
    <w:rsid w:val="004128F4"/>
    <w:rsid w:val="00414952"/>
    <w:rsid w:val="00415199"/>
    <w:rsid w:val="00415F39"/>
    <w:rsid w:val="0042195C"/>
    <w:rsid w:val="004247A9"/>
    <w:rsid w:val="00427FC2"/>
    <w:rsid w:val="00430845"/>
    <w:rsid w:val="00430906"/>
    <w:rsid w:val="00430A4F"/>
    <w:rsid w:val="004311AF"/>
    <w:rsid w:val="00433FC6"/>
    <w:rsid w:val="00435184"/>
    <w:rsid w:val="004372C1"/>
    <w:rsid w:val="00441827"/>
    <w:rsid w:val="004437D6"/>
    <w:rsid w:val="00443A19"/>
    <w:rsid w:val="00445D79"/>
    <w:rsid w:val="00450D73"/>
    <w:rsid w:val="004513D1"/>
    <w:rsid w:val="00452C51"/>
    <w:rsid w:val="0045466C"/>
    <w:rsid w:val="00457B18"/>
    <w:rsid w:val="00462456"/>
    <w:rsid w:val="00462FE2"/>
    <w:rsid w:val="00463378"/>
    <w:rsid w:val="004642DE"/>
    <w:rsid w:val="004664F4"/>
    <w:rsid w:val="004716CD"/>
    <w:rsid w:val="00471702"/>
    <w:rsid w:val="00472C6F"/>
    <w:rsid w:val="0047732C"/>
    <w:rsid w:val="00480654"/>
    <w:rsid w:val="00482064"/>
    <w:rsid w:val="00485E65"/>
    <w:rsid w:val="004908E5"/>
    <w:rsid w:val="00490B3C"/>
    <w:rsid w:val="00493969"/>
    <w:rsid w:val="00493DCA"/>
    <w:rsid w:val="00496D10"/>
    <w:rsid w:val="00496F9C"/>
    <w:rsid w:val="00497893"/>
    <w:rsid w:val="004A0106"/>
    <w:rsid w:val="004A2003"/>
    <w:rsid w:val="004A28DB"/>
    <w:rsid w:val="004A585F"/>
    <w:rsid w:val="004C011C"/>
    <w:rsid w:val="004C17C4"/>
    <w:rsid w:val="004C283E"/>
    <w:rsid w:val="004C3273"/>
    <w:rsid w:val="004C4D75"/>
    <w:rsid w:val="004D444C"/>
    <w:rsid w:val="004D4950"/>
    <w:rsid w:val="004D589A"/>
    <w:rsid w:val="004D625C"/>
    <w:rsid w:val="004D7C76"/>
    <w:rsid w:val="004E2322"/>
    <w:rsid w:val="004E6C1A"/>
    <w:rsid w:val="004E6DB3"/>
    <w:rsid w:val="004E7972"/>
    <w:rsid w:val="004F211B"/>
    <w:rsid w:val="004F4F58"/>
    <w:rsid w:val="004F5781"/>
    <w:rsid w:val="004F5B56"/>
    <w:rsid w:val="004F7074"/>
    <w:rsid w:val="005025FE"/>
    <w:rsid w:val="005077FB"/>
    <w:rsid w:val="00510365"/>
    <w:rsid w:val="00512AD3"/>
    <w:rsid w:val="0051342E"/>
    <w:rsid w:val="00521E88"/>
    <w:rsid w:val="005246AF"/>
    <w:rsid w:val="0052502D"/>
    <w:rsid w:val="00532CDF"/>
    <w:rsid w:val="00532CE3"/>
    <w:rsid w:val="00533C10"/>
    <w:rsid w:val="00533D55"/>
    <w:rsid w:val="0053519B"/>
    <w:rsid w:val="005417A6"/>
    <w:rsid w:val="00541AB4"/>
    <w:rsid w:val="00543CA9"/>
    <w:rsid w:val="00545340"/>
    <w:rsid w:val="00545FE6"/>
    <w:rsid w:val="00546356"/>
    <w:rsid w:val="00551F53"/>
    <w:rsid w:val="005541C8"/>
    <w:rsid w:val="00556F73"/>
    <w:rsid w:val="00557E89"/>
    <w:rsid w:val="00561CC4"/>
    <w:rsid w:val="005629C2"/>
    <w:rsid w:val="00563D2B"/>
    <w:rsid w:val="00570D3F"/>
    <w:rsid w:val="00575F99"/>
    <w:rsid w:val="00577210"/>
    <w:rsid w:val="005806A2"/>
    <w:rsid w:val="00584799"/>
    <w:rsid w:val="00585D2B"/>
    <w:rsid w:val="00590894"/>
    <w:rsid w:val="00591EEF"/>
    <w:rsid w:val="0059242E"/>
    <w:rsid w:val="0059329B"/>
    <w:rsid w:val="00594BC3"/>
    <w:rsid w:val="00595003"/>
    <w:rsid w:val="005965B5"/>
    <w:rsid w:val="005A1ECF"/>
    <w:rsid w:val="005A1F35"/>
    <w:rsid w:val="005A2BB6"/>
    <w:rsid w:val="005A3DAE"/>
    <w:rsid w:val="005A5D69"/>
    <w:rsid w:val="005A6B4A"/>
    <w:rsid w:val="005B0A86"/>
    <w:rsid w:val="005B28D9"/>
    <w:rsid w:val="005B3D40"/>
    <w:rsid w:val="005B64A1"/>
    <w:rsid w:val="005B68FE"/>
    <w:rsid w:val="005C2786"/>
    <w:rsid w:val="005C5D49"/>
    <w:rsid w:val="005D11FA"/>
    <w:rsid w:val="005D625F"/>
    <w:rsid w:val="005E0695"/>
    <w:rsid w:val="005E2FD5"/>
    <w:rsid w:val="005E4B58"/>
    <w:rsid w:val="005E60C4"/>
    <w:rsid w:val="005E6FED"/>
    <w:rsid w:val="005F36AB"/>
    <w:rsid w:val="005F3966"/>
    <w:rsid w:val="005F6235"/>
    <w:rsid w:val="00602ABA"/>
    <w:rsid w:val="00606EC9"/>
    <w:rsid w:val="00607443"/>
    <w:rsid w:val="00610942"/>
    <w:rsid w:val="00611A71"/>
    <w:rsid w:val="00616173"/>
    <w:rsid w:val="00616EE2"/>
    <w:rsid w:val="00620BD6"/>
    <w:rsid w:val="00622911"/>
    <w:rsid w:val="00624A26"/>
    <w:rsid w:val="00625905"/>
    <w:rsid w:val="00627753"/>
    <w:rsid w:val="00632692"/>
    <w:rsid w:val="00632E51"/>
    <w:rsid w:val="00633C9B"/>
    <w:rsid w:val="00633DEB"/>
    <w:rsid w:val="006351F3"/>
    <w:rsid w:val="00636DF9"/>
    <w:rsid w:val="006410BC"/>
    <w:rsid w:val="006417E5"/>
    <w:rsid w:val="00641868"/>
    <w:rsid w:val="006477A2"/>
    <w:rsid w:val="00654F3D"/>
    <w:rsid w:val="00655048"/>
    <w:rsid w:val="006600F3"/>
    <w:rsid w:val="0066465B"/>
    <w:rsid w:val="00667912"/>
    <w:rsid w:val="0067425C"/>
    <w:rsid w:val="00683D30"/>
    <w:rsid w:val="00690152"/>
    <w:rsid w:val="00690B13"/>
    <w:rsid w:val="00691D57"/>
    <w:rsid w:val="006A0293"/>
    <w:rsid w:val="006A3795"/>
    <w:rsid w:val="006A67A4"/>
    <w:rsid w:val="006B4AE0"/>
    <w:rsid w:val="006B5511"/>
    <w:rsid w:val="006C1559"/>
    <w:rsid w:val="006C3A94"/>
    <w:rsid w:val="006C4193"/>
    <w:rsid w:val="006C6B75"/>
    <w:rsid w:val="006D209E"/>
    <w:rsid w:val="006D4D83"/>
    <w:rsid w:val="006D6AE7"/>
    <w:rsid w:val="006E3241"/>
    <w:rsid w:val="006E40BB"/>
    <w:rsid w:val="006E5CBE"/>
    <w:rsid w:val="006E6805"/>
    <w:rsid w:val="006E6FA7"/>
    <w:rsid w:val="006F08DB"/>
    <w:rsid w:val="006F302F"/>
    <w:rsid w:val="006F4CCE"/>
    <w:rsid w:val="006F6043"/>
    <w:rsid w:val="007044B5"/>
    <w:rsid w:val="00706D2B"/>
    <w:rsid w:val="00707800"/>
    <w:rsid w:val="0070783B"/>
    <w:rsid w:val="007114DA"/>
    <w:rsid w:val="00713620"/>
    <w:rsid w:val="00713D95"/>
    <w:rsid w:val="00714644"/>
    <w:rsid w:val="00715C2C"/>
    <w:rsid w:val="007209E2"/>
    <w:rsid w:val="007221EA"/>
    <w:rsid w:val="007241D4"/>
    <w:rsid w:val="007243A8"/>
    <w:rsid w:val="00727D83"/>
    <w:rsid w:val="00730945"/>
    <w:rsid w:val="0073377D"/>
    <w:rsid w:val="00733B08"/>
    <w:rsid w:val="00733CCE"/>
    <w:rsid w:val="00735A16"/>
    <w:rsid w:val="00735B0E"/>
    <w:rsid w:val="00736387"/>
    <w:rsid w:val="00736F8B"/>
    <w:rsid w:val="00737E87"/>
    <w:rsid w:val="00741137"/>
    <w:rsid w:val="007430C1"/>
    <w:rsid w:val="00743DD2"/>
    <w:rsid w:val="00745853"/>
    <w:rsid w:val="00751E35"/>
    <w:rsid w:val="00752C17"/>
    <w:rsid w:val="00753B19"/>
    <w:rsid w:val="00754A0C"/>
    <w:rsid w:val="00754E7E"/>
    <w:rsid w:val="00756A18"/>
    <w:rsid w:val="007618C8"/>
    <w:rsid w:val="00761DE4"/>
    <w:rsid w:val="00762B07"/>
    <w:rsid w:val="00764282"/>
    <w:rsid w:val="007673F8"/>
    <w:rsid w:val="00767C52"/>
    <w:rsid w:val="00771121"/>
    <w:rsid w:val="0077141E"/>
    <w:rsid w:val="0077483A"/>
    <w:rsid w:val="0077520D"/>
    <w:rsid w:val="007759ED"/>
    <w:rsid w:val="007761A7"/>
    <w:rsid w:val="007761DD"/>
    <w:rsid w:val="00776C9A"/>
    <w:rsid w:val="00777884"/>
    <w:rsid w:val="00780E3E"/>
    <w:rsid w:val="00781BFC"/>
    <w:rsid w:val="0078229D"/>
    <w:rsid w:val="007842D2"/>
    <w:rsid w:val="007855F6"/>
    <w:rsid w:val="00785F09"/>
    <w:rsid w:val="00786241"/>
    <w:rsid w:val="00787921"/>
    <w:rsid w:val="00791423"/>
    <w:rsid w:val="007952D4"/>
    <w:rsid w:val="00795F56"/>
    <w:rsid w:val="007973A9"/>
    <w:rsid w:val="00797604"/>
    <w:rsid w:val="007A352F"/>
    <w:rsid w:val="007A47E4"/>
    <w:rsid w:val="007B0159"/>
    <w:rsid w:val="007B4BC5"/>
    <w:rsid w:val="007B74A6"/>
    <w:rsid w:val="007B7F70"/>
    <w:rsid w:val="007C0F6F"/>
    <w:rsid w:val="007C3111"/>
    <w:rsid w:val="007C60D0"/>
    <w:rsid w:val="007C69B1"/>
    <w:rsid w:val="007C7491"/>
    <w:rsid w:val="007E0655"/>
    <w:rsid w:val="007E0777"/>
    <w:rsid w:val="007E456F"/>
    <w:rsid w:val="007E6D56"/>
    <w:rsid w:val="007F0AE5"/>
    <w:rsid w:val="007F4001"/>
    <w:rsid w:val="007F55EB"/>
    <w:rsid w:val="007F6278"/>
    <w:rsid w:val="007F632E"/>
    <w:rsid w:val="007F7CCA"/>
    <w:rsid w:val="00800D8A"/>
    <w:rsid w:val="008029D3"/>
    <w:rsid w:val="00804CC7"/>
    <w:rsid w:val="00812EA5"/>
    <w:rsid w:val="00816CD2"/>
    <w:rsid w:val="00817C05"/>
    <w:rsid w:val="008267C2"/>
    <w:rsid w:val="00827486"/>
    <w:rsid w:val="00831588"/>
    <w:rsid w:val="00847CE8"/>
    <w:rsid w:val="00850C64"/>
    <w:rsid w:val="00851DB5"/>
    <w:rsid w:val="00852151"/>
    <w:rsid w:val="00856805"/>
    <w:rsid w:val="00857694"/>
    <w:rsid w:val="00860BF2"/>
    <w:rsid w:val="00872358"/>
    <w:rsid w:val="00877C80"/>
    <w:rsid w:val="00881C1D"/>
    <w:rsid w:val="0088232B"/>
    <w:rsid w:val="00890E59"/>
    <w:rsid w:val="008918AF"/>
    <w:rsid w:val="008924BF"/>
    <w:rsid w:val="008A0F9B"/>
    <w:rsid w:val="008A1507"/>
    <w:rsid w:val="008A17CA"/>
    <w:rsid w:val="008A299F"/>
    <w:rsid w:val="008A3AD5"/>
    <w:rsid w:val="008A53A6"/>
    <w:rsid w:val="008B3695"/>
    <w:rsid w:val="008B495B"/>
    <w:rsid w:val="008B697B"/>
    <w:rsid w:val="008B7180"/>
    <w:rsid w:val="008C0290"/>
    <w:rsid w:val="008C1375"/>
    <w:rsid w:val="008C5873"/>
    <w:rsid w:val="008D1B54"/>
    <w:rsid w:val="008D7C1E"/>
    <w:rsid w:val="008E048F"/>
    <w:rsid w:val="008E1707"/>
    <w:rsid w:val="008E2808"/>
    <w:rsid w:val="008E3942"/>
    <w:rsid w:val="008F1B56"/>
    <w:rsid w:val="008F35B2"/>
    <w:rsid w:val="008F48D6"/>
    <w:rsid w:val="008F7A1E"/>
    <w:rsid w:val="0090794D"/>
    <w:rsid w:val="00910E48"/>
    <w:rsid w:val="0091192C"/>
    <w:rsid w:val="0091428C"/>
    <w:rsid w:val="00920915"/>
    <w:rsid w:val="009210BC"/>
    <w:rsid w:val="009233E1"/>
    <w:rsid w:val="00923993"/>
    <w:rsid w:val="00924ECB"/>
    <w:rsid w:val="0092634F"/>
    <w:rsid w:val="00930305"/>
    <w:rsid w:val="0093582B"/>
    <w:rsid w:val="00937C6B"/>
    <w:rsid w:val="00941528"/>
    <w:rsid w:val="00942D00"/>
    <w:rsid w:val="0094537D"/>
    <w:rsid w:val="00950B44"/>
    <w:rsid w:val="00952A36"/>
    <w:rsid w:val="00952A47"/>
    <w:rsid w:val="00957E6E"/>
    <w:rsid w:val="00961B96"/>
    <w:rsid w:val="00965841"/>
    <w:rsid w:val="0096625D"/>
    <w:rsid w:val="009664E8"/>
    <w:rsid w:val="00967AF4"/>
    <w:rsid w:val="009702AD"/>
    <w:rsid w:val="00970BE4"/>
    <w:rsid w:val="00970FD2"/>
    <w:rsid w:val="00971B84"/>
    <w:rsid w:val="00973EE5"/>
    <w:rsid w:val="009770F2"/>
    <w:rsid w:val="009801D4"/>
    <w:rsid w:val="00981726"/>
    <w:rsid w:val="00985384"/>
    <w:rsid w:val="009854A7"/>
    <w:rsid w:val="00985A53"/>
    <w:rsid w:val="009869B4"/>
    <w:rsid w:val="00990EA6"/>
    <w:rsid w:val="009A1E15"/>
    <w:rsid w:val="009A5CB7"/>
    <w:rsid w:val="009A6702"/>
    <w:rsid w:val="009B4431"/>
    <w:rsid w:val="009B7F35"/>
    <w:rsid w:val="009C0DDC"/>
    <w:rsid w:val="009C300D"/>
    <w:rsid w:val="009C3C07"/>
    <w:rsid w:val="009C551D"/>
    <w:rsid w:val="009C67FA"/>
    <w:rsid w:val="009D1261"/>
    <w:rsid w:val="009D2ED0"/>
    <w:rsid w:val="009D3794"/>
    <w:rsid w:val="009D65B6"/>
    <w:rsid w:val="009D7AB8"/>
    <w:rsid w:val="009F118B"/>
    <w:rsid w:val="009F2A69"/>
    <w:rsid w:val="009F4175"/>
    <w:rsid w:val="00A0197D"/>
    <w:rsid w:val="00A073CB"/>
    <w:rsid w:val="00A0743B"/>
    <w:rsid w:val="00A134C4"/>
    <w:rsid w:val="00A1460C"/>
    <w:rsid w:val="00A164E0"/>
    <w:rsid w:val="00A16600"/>
    <w:rsid w:val="00A16E6F"/>
    <w:rsid w:val="00A2007D"/>
    <w:rsid w:val="00A233D7"/>
    <w:rsid w:val="00A23AAE"/>
    <w:rsid w:val="00A27EA0"/>
    <w:rsid w:val="00A32592"/>
    <w:rsid w:val="00A33DC3"/>
    <w:rsid w:val="00A35142"/>
    <w:rsid w:val="00A40A71"/>
    <w:rsid w:val="00A413F3"/>
    <w:rsid w:val="00A41E72"/>
    <w:rsid w:val="00A42997"/>
    <w:rsid w:val="00A46269"/>
    <w:rsid w:val="00A54172"/>
    <w:rsid w:val="00A603EA"/>
    <w:rsid w:val="00A62883"/>
    <w:rsid w:val="00A62F5F"/>
    <w:rsid w:val="00A6437E"/>
    <w:rsid w:val="00A665DD"/>
    <w:rsid w:val="00A7311F"/>
    <w:rsid w:val="00A73A50"/>
    <w:rsid w:val="00A77581"/>
    <w:rsid w:val="00A8530F"/>
    <w:rsid w:val="00A864F9"/>
    <w:rsid w:val="00A92281"/>
    <w:rsid w:val="00A92617"/>
    <w:rsid w:val="00A95957"/>
    <w:rsid w:val="00A95AB3"/>
    <w:rsid w:val="00AA020A"/>
    <w:rsid w:val="00AA34DD"/>
    <w:rsid w:val="00AA4332"/>
    <w:rsid w:val="00AA5DA2"/>
    <w:rsid w:val="00AA684E"/>
    <w:rsid w:val="00AB1362"/>
    <w:rsid w:val="00AB3252"/>
    <w:rsid w:val="00AB48A8"/>
    <w:rsid w:val="00AC17E1"/>
    <w:rsid w:val="00AC1B52"/>
    <w:rsid w:val="00AC320A"/>
    <w:rsid w:val="00AC4676"/>
    <w:rsid w:val="00AD406C"/>
    <w:rsid w:val="00AD7FB7"/>
    <w:rsid w:val="00AE00C8"/>
    <w:rsid w:val="00AE0A23"/>
    <w:rsid w:val="00AE11BC"/>
    <w:rsid w:val="00AE1D0C"/>
    <w:rsid w:val="00AF0E03"/>
    <w:rsid w:val="00AF159B"/>
    <w:rsid w:val="00AF24A0"/>
    <w:rsid w:val="00AF62F5"/>
    <w:rsid w:val="00B00996"/>
    <w:rsid w:val="00B02138"/>
    <w:rsid w:val="00B02A76"/>
    <w:rsid w:val="00B02AE3"/>
    <w:rsid w:val="00B04613"/>
    <w:rsid w:val="00B04951"/>
    <w:rsid w:val="00B07F73"/>
    <w:rsid w:val="00B113A9"/>
    <w:rsid w:val="00B13B8A"/>
    <w:rsid w:val="00B14C4B"/>
    <w:rsid w:val="00B16C2B"/>
    <w:rsid w:val="00B26261"/>
    <w:rsid w:val="00B26ECE"/>
    <w:rsid w:val="00B30489"/>
    <w:rsid w:val="00B31F8E"/>
    <w:rsid w:val="00B343C4"/>
    <w:rsid w:val="00B371BF"/>
    <w:rsid w:val="00B41956"/>
    <w:rsid w:val="00B428B2"/>
    <w:rsid w:val="00B454D0"/>
    <w:rsid w:val="00B56543"/>
    <w:rsid w:val="00B64CAE"/>
    <w:rsid w:val="00B6555F"/>
    <w:rsid w:val="00B6720E"/>
    <w:rsid w:val="00B678B8"/>
    <w:rsid w:val="00B72690"/>
    <w:rsid w:val="00B751E1"/>
    <w:rsid w:val="00B805DA"/>
    <w:rsid w:val="00B8386D"/>
    <w:rsid w:val="00B85912"/>
    <w:rsid w:val="00B85DFB"/>
    <w:rsid w:val="00B93592"/>
    <w:rsid w:val="00B9418B"/>
    <w:rsid w:val="00B94B65"/>
    <w:rsid w:val="00B9564D"/>
    <w:rsid w:val="00B95AD7"/>
    <w:rsid w:val="00B95CDB"/>
    <w:rsid w:val="00B95D13"/>
    <w:rsid w:val="00BA0F8B"/>
    <w:rsid w:val="00BA31BC"/>
    <w:rsid w:val="00BA5EF8"/>
    <w:rsid w:val="00BA7283"/>
    <w:rsid w:val="00BB069D"/>
    <w:rsid w:val="00BB12C7"/>
    <w:rsid w:val="00BB2CEE"/>
    <w:rsid w:val="00BC5A4C"/>
    <w:rsid w:val="00BC65BF"/>
    <w:rsid w:val="00BD0B74"/>
    <w:rsid w:val="00BD387A"/>
    <w:rsid w:val="00BD4764"/>
    <w:rsid w:val="00BD4921"/>
    <w:rsid w:val="00BD772B"/>
    <w:rsid w:val="00BE6F56"/>
    <w:rsid w:val="00BE7CCA"/>
    <w:rsid w:val="00BF2676"/>
    <w:rsid w:val="00BF4CBF"/>
    <w:rsid w:val="00BF4E9B"/>
    <w:rsid w:val="00C03C98"/>
    <w:rsid w:val="00C03F1A"/>
    <w:rsid w:val="00C07A62"/>
    <w:rsid w:val="00C11220"/>
    <w:rsid w:val="00C17508"/>
    <w:rsid w:val="00C22828"/>
    <w:rsid w:val="00C2614D"/>
    <w:rsid w:val="00C264C8"/>
    <w:rsid w:val="00C26A1B"/>
    <w:rsid w:val="00C30E06"/>
    <w:rsid w:val="00C3105B"/>
    <w:rsid w:val="00C34021"/>
    <w:rsid w:val="00C34A5E"/>
    <w:rsid w:val="00C35193"/>
    <w:rsid w:val="00C3555F"/>
    <w:rsid w:val="00C41086"/>
    <w:rsid w:val="00C41E6D"/>
    <w:rsid w:val="00C42AD3"/>
    <w:rsid w:val="00C5017F"/>
    <w:rsid w:val="00C50609"/>
    <w:rsid w:val="00C52FA6"/>
    <w:rsid w:val="00C60981"/>
    <w:rsid w:val="00C61E08"/>
    <w:rsid w:val="00C84FBC"/>
    <w:rsid w:val="00C94BFE"/>
    <w:rsid w:val="00C9503E"/>
    <w:rsid w:val="00C97CBC"/>
    <w:rsid w:val="00CA0084"/>
    <w:rsid w:val="00CA04FB"/>
    <w:rsid w:val="00CA0BF9"/>
    <w:rsid w:val="00CA2341"/>
    <w:rsid w:val="00CA50BD"/>
    <w:rsid w:val="00CA5F26"/>
    <w:rsid w:val="00CB17AA"/>
    <w:rsid w:val="00CB24B8"/>
    <w:rsid w:val="00CB51F4"/>
    <w:rsid w:val="00CB6BB2"/>
    <w:rsid w:val="00CC1270"/>
    <w:rsid w:val="00CC3768"/>
    <w:rsid w:val="00CC37AF"/>
    <w:rsid w:val="00CC3E57"/>
    <w:rsid w:val="00CC7245"/>
    <w:rsid w:val="00CD1C6D"/>
    <w:rsid w:val="00CD1F5E"/>
    <w:rsid w:val="00CD2631"/>
    <w:rsid w:val="00CD3608"/>
    <w:rsid w:val="00CD3BF2"/>
    <w:rsid w:val="00CD4441"/>
    <w:rsid w:val="00CD54D9"/>
    <w:rsid w:val="00CD6F14"/>
    <w:rsid w:val="00CD7985"/>
    <w:rsid w:val="00CE5AB6"/>
    <w:rsid w:val="00CE7A93"/>
    <w:rsid w:val="00CF2A11"/>
    <w:rsid w:val="00CF2CC4"/>
    <w:rsid w:val="00CF344B"/>
    <w:rsid w:val="00CF36A4"/>
    <w:rsid w:val="00CF49B9"/>
    <w:rsid w:val="00D00925"/>
    <w:rsid w:val="00D047A7"/>
    <w:rsid w:val="00D04A9E"/>
    <w:rsid w:val="00D05751"/>
    <w:rsid w:val="00D0637E"/>
    <w:rsid w:val="00D11E72"/>
    <w:rsid w:val="00D133F9"/>
    <w:rsid w:val="00D13547"/>
    <w:rsid w:val="00D14376"/>
    <w:rsid w:val="00D1616A"/>
    <w:rsid w:val="00D17D42"/>
    <w:rsid w:val="00D21565"/>
    <w:rsid w:val="00D22302"/>
    <w:rsid w:val="00D232E4"/>
    <w:rsid w:val="00D26585"/>
    <w:rsid w:val="00D309B8"/>
    <w:rsid w:val="00D32924"/>
    <w:rsid w:val="00D43700"/>
    <w:rsid w:val="00D44A8A"/>
    <w:rsid w:val="00D4519C"/>
    <w:rsid w:val="00D47EC8"/>
    <w:rsid w:val="00D5376E"/>
    <w:rsid w:val="00D57E0E"/>
    <w:rsid w:val="00D6187C"/>
    <w:rsid w:val="00D647F8"/>
    <w:rsid w:val="00D72A8E"/>
    <w:rsid w:val="00D75547"/>
    <w:rsid w:val="00D7794E"/>
    <w:rsid w:val="00D80D3C"/>
    <w:rsid w:val="00D82E2E"/>
    <w:rsid w:val="00D8590D"/>
    <w:rsid w:val="00D86B9E"/>
    <w:rsid w:val="00D87853"/>
    <w:rsid w:val="00D91814"/>
    <w:rsid w:val="00D9438C"/>
    <w:rsid w:val="00D9479A"/>
    <w:rsid w:val="00D95540"/>
    <w:rsid w:val="00D97D04"/>
    <w:rsid w:val="00DA218D"/>
    <w:rsid w:val="00DB24EE"/>
    <w:rsid w:val="00DB334A"/>
    <w:rsid w:val="00DB3A59"/>
    <w:rsid w:val="00DB3E4A"/>
    <w:rsid w:val="00DB3F30"/>
    <w:rsid w:val="00DB4B5B"/>
    <w:rsid w:val="00DC1D97"/>
    <w:rsid w:val="00DE3DFB"/>
    <w:rsid w:val="00DE5AE7"/>
    <w:rsid w:val="00DF2F02"/>
    <w:rsid w:val="00DF4CC8"/>
    <w:rsid w:val="00E01524"/>
    <w:rsid w:val="00E04650"/>
    <w:rsid w:val="00E05554"/>
    <w:rsid w:val="00E0786B"/>
    <w:rsid w:val="00E07DE5"/>
    <w:rsid w:val="00E1075B"/>
    <w:rsid w:val="00E118AD"/>
    <w:rsid w:val="00E12D9E"/>
    <w:rsid w:val="00E14072"/>
    <w:rsid w:val="00E17D80"/>
    <w:rsid w:val="00E2222E"/>
    <w:rsid w:val="00E23C6C"/>
    <w:rsid w:val="00E273AF"/>
    <w:rsid w:val="00E40931"/>
    <w:rsid w:val="00E45916"/>
    <w:rsid w:val="00E464F1"/>
    <w:rsid w:val="00E53D21"/>
    <w:rsid w:val="00E55039"/>
    <w:rsid w:val="00E567AA"/>
    <w:rsid w:val="00E61924"/>
    <w:rsid w:val="00E73D15"/>
    <w:rsid w:val="00E77CBB"/>
    <w:rsid w:val="00E80A5D"/>
    <w:rsid w:val="00E81403"/>
    <w:rsid w:val="00E871E2"/>
    <w:rsid w:val="00E901B6"/>
    <w:rsid w:val="00E909BE"/>
    <w:rsid w:val="00E90D3C"/>
    <w:rsid w:val="00E91B0E"/>
    <w:rsid w:val="00E93EC7"/>
    <w:rsid w:val="00E94F32"/>
    <w:rsid w:val="00E95F3D"/>
    <w:rsid w:val="00EA1D46"/>
    <w:rsid w:val="00EA31C5"/>
    <w:rsid w:val="00EB0081"/>
    <w:rsid w:val="00EB1FBA"/>
    <w:rsid w:val="00EB48B7"/>
    <w:rsid w:val="00EB664E"/>
    <w:rsid w:val="00EC3104"/>
    <w:rsid w:val="00EC6882"/>
    <w:rsid w:val="00EC68A8"/>
    <w:rsid w:val="00EC769F"/>
    <w:rsid w:val="00EC784E"/>
    <w:rsid w:val="00ED2A98"/>
    <w:rsid w:val="00ED3F7C"/>
    <w:rsid w:val="00ED59B2"/>
    <w:rsid w:val="00ED7BA8"/>
    <w:rsid w:val="00EE1DDE"/>
    <w:rsid w:val="00EF498D"/>
    <w:rsid w:val="00EF591F"/>
    <w:rsid w:val="00EF5BF0"/>
    <w:rsid w:val="00F01033"/>
    <w:rsid w:val="00F01413"/>
    <w:rsid w:val="00F03FFA"/>
    <w:rsid w:val="00F05AE8"/>
    <w:rsid w:val="00F063F5"/>
    <w:rsid w:val="00F15ADF"/>
    <w:rsid w:val="00F207C0"/>
    <w:rsid w:val="00F26F9A"/>
    <w:rsid w:val="00F27EF2"/>
    <w:rsid w:val="00F32FC3"/>
    <w:rsid w:val="00F330DA"/>
    <w:rsid w:val="00F350F1"/>
    <w:rsid w:val="00F367A8"/>
    <w:rsid w:val="00F4255E"/>
    <w:rsid w:val="00F43D4E"/>
    <w:rsid w:val="00F44858"/>
    <w:rsid w:val="00F52103"/>
    <w:rsid w:val="00F5228D"/>
    <w:rsid w:val="00F55061"/>
    <w:rsid w:val="00F57CF1"/>
    <w:rsid w:val="00F61170"/>
    <w:rsid w:val="00F63211"/>
    <w:rsid w:val="00F65027"/>
    <w:rsid w:val="00F676DD"/>
    <w:rsid w:val="00F724B9"/>
    <w:rsid w:val="00F760B1"/>
    <w:rsid w:val="00F76247"/>
    <w:rsid w:val="00F77238"/>
    <w:rsid w:val="00F865D3"/>
    <w:rsid w:val="00F90A47"/>
    <w:rsid w:val="00F92D30"/>
    <w:rsid w:val="00F93864"/>
    <w:rsid w:val="00FA3760"/>
    <w:rsid w:val="00FB3378"/>
    <w:rsid w:val="00FC0190"/>
    <w:rsid w:val="00FC524E"/>
    <w:rsid w:val="00FD05E0"/>
    <w:rsid w:val="00FD06D8"/>
    <w:rsid w:val="00FD2C80"/>
    <w:rsid w:val="00FD2C9E"/>
    <w:rsid w:val="00FD3F54"/>
    <w:rsid w:val="00FD6348"/>
    <w:rsid w:val="00FD6573"/>
    <w:rsid w:val="00FD7798"/>
    <w:rsid w:val="00FE0055"/>
    <w:rsid w:val="00FE0C91"/>
    <w:rsid w:val="00FE3B3B"/>
    <w:rsid w:val="00FF0C0E"/>
    <w:rsid w:val="00FF6802"/>
    <w:rsid w:val="00FF70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5">
    <w:name w:val="heading 5"/>
    <w:basedOn w:val="Normal"/>
    <w:next w:val="Normal"/>
    <w:link w:val="Titre5Car"/>
    <w:uiPriority w:val="9"/>
    <w:semiHidden/>
    <w:unhideWhenUsed/>
    <w:rsid w:val="00CD6F14"/>
    <w:pPr>
      <w:keepNext/>
      <w:keepLines/>
      <w:spacing w:before="40" w:after="0"/>
      <w:outlineLvl w:val="4"/>
    </w:pPr>
    <w:rPr>
      <w:rFonts w:asciiTheme="majorHAnsi" w:eastAsiaTheme="majorEastAsia" w:hAnsiTheme="majorHAnsi" w:cstheme="majorBidi"/>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aliases w:val="fn,footnote text,Footnotes,Footnote ak,Reference,Footnote,Fußnote,FSR footnote,lábléc,Footnote Text Char Char,Note de bas de page Car1 Car,Note de bas de page Car Car Car,Note de bas de page Car Car Car Car Car,Footnote Text Cha"/>
    <w:basedOn w:val="Normal"/>
    <w:link w:val="NotedebasdepageCar"/>
    <w:uiPriority w:val="99"/>
    <w:unhideWhenUsed/>
    <w:qFormat/>
    <w:rsid w:val="00745853"/>
    <w:pPr>
      <w:spacing w:after="0" w:line="240" w:lineRule="auto"/>
    </w:pPr>
    <w:rPr>
      <w:sz w:val="20"/>
      <w:szCs w:val="20"/>
    </w:rPr>
  </w:style>
  <w:style w:type="character" w:customStyle="1" w:styleId="NotedebasdepageCar">
    <w:name w:val="Note de bas de page Car"/>
    <w:aliases w:val="fn Car,footnote text Car,Footnotes Car,Footnote ak Car,Reference Car,Footnote Car,Fußnote Car,FSR footnote Car,lábléc Car,Footnote Text Char Char Car,Note de bas de page Car1 Car Car,Note de bas de page Car Car Car Car"/>
    <w:basedOn w:val="Policepardfaut"/>
    <w:link w:val="Notedebasdepage"/>
    <w:uiPriority w:val="99"/>
    <w:rsid w:val="00745853"/>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BVI fnr"/>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E61924"/>
    <w:rPr>
      <w:color w:val="605E5C"/>
      <w:shd w:val="clear" w:color="auto" w:fill="E1DFDD"/>
    </w:rPr>
  </w:style>
  <w:style w:type="paragraph" w:customStyle="1" w:styleId="Briefinglist1">
    <w:name w:val="Briefing list 1"/>
    <w:basedOn w:val="Normal"/>
    <w:rsid w:val="00E1075B"/>
    <w:pPr>
      <w:keepLines/>
      <w:numPr>
        <w:numId w:val="25"/>
      </w:numPr>
      <w:spacing w:after="120" w:line="240" w:lineRule="auto"/>
      <w:jc w:val="both"/>
    </w:pPr>
    <w:rPr>
      <w:rFonts w:ascii="Arial" w:eastAsia="SimSun" w:hAnsi="Arial" w:cs="Arial"/>
      <w:szCs w:val="24"/>
      <w:lang w:val="en-GB"/>
    </w:rPr>
  </w:style>
  <w:style w:type="paragraph" w:styleId="NormalWeb">
    <w:name w:val="Normal (Web)"/>
    <w:basedOn w:val="Normal"/>
    <w:uiPriority w:val="99"/>
    <w:semiHidden/>
    <w:unhideWhenUsed/>
    <w:rsid w:val="00EC78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CD6F14"/>
    <w:rPr>
      <w:rFonts w:asciiTheme="majorHAnsi" w:eastAsiaTheme="majorEastAsia" w:hAnsiTheme="majorHAnsi" w:cstheme="majorBidi"/>
      <w:color w:val="006B60" w:themeColor="accent1" w:themeShade="BF"/>
    </w:rPr>
  </w:style>
  <w:style w:type="paragraph" w:customStyle="1" w:styleId="DecimalAligned">
    <w:name w:val="Decimal Aligned"/>
    <w:basedOn w:val="Normal"/>
    <w:uiPriority w:val="40"/>
    <w:rsid w:val="008267C2"/>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8267C2"/>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1367">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32091925">
      <w:bodyDiv w:val="1"/>
      <w:marLeft w:val="0"/>
      <w:marRight w:val="0"/>
      <w:marTop w:val="0"/>
      <w:marBottom w:val="0"/>
      <w:divBdr>
        <w:top w:val="none" w:sz="0" w:space="0" w:color="auto"/>
        <w:left w:val="none" w:sz="0" w:space="0" w:color="auto"/>
        <w:bottom w:val="none" w:sz="0" w:space="0" w:color="auto"/>
        <w:right w:val="none" w:sz="0" w:space="0" w:color="auto"/>
      </w:divBdr>
      <w:divsChild>
        <w:div w:id="588198279">
          <w:marLeft w:val="0"/>
          <w:marRight w:val="0"/>
          <w:marTop w:val="0"/>
          <w:marBottom w:val="0"/>
          <w:divBdr>
            <w:top w:val="none" w:sz="0" w:space="0" w:color="auto"/>
            <w:left w:val="none" w:sz="0" w:space="0" w:color="auto"/>
            <w:bottom w:val="none" w:sz="0" w:space="0" w:color="auto"/>
            <w:right w:val="none" w:sz="0" w:space="0" w:color="auto"/>
          </w:divBdr>
          <w:divsChild>
            <w:div w:id="1673948552">
              <w:marLeft w:val="0"/>
              <w:marRight w:val="0"/>
              <w:marTop w:val="0"/>
              <w:marBottom w:val="0"/>
              <w:divBdr>
                <w:top w:val="none" w:sz="0" w:space="0" w:color="auto"/>
                <w:left w:val="none" w:sz="0" w:space="0" w:color="auto"/>
                <w:bottom w:val="none" w:sz="0" w:space="0" w:color="auto"/>
                <w:right w:val="none" w:sz="0" w:space="0" w:color="auto"/>
              </w:divBdr>
              <w:divsChild>
                <w:div w:id="2123186480">
                  <w:marLeft w:val="0"/>
                  <w:marRight w:val="0"/>
                  <w:marTop w:val="0"/>
                  <w:marBottom w:val="0"/>
                  <w:divBdr>
                    <w:top w:val="none" w:sz="0" w:space="0" w:color="auto"/>
                    <w:left w:val="none" w:sz="0" w:space="0" w:color="auto"/>
                    <w:bottom w:val="none" w:sz="0" w:space="0" w:color="auto"/>
                    <w:right w:val="none" w:sz="0" w:space="0" w:color="auto"/>
                  </w:divBdr>
                  <w:divsChild>
                    <w:div w:id="9255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048870">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6504341">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65113750">
      <w:bodyDiv w:val="1"/>
      <w:marLeft w:val="0"/>
      <w:marRight w:val="0"/>
      <w:marTop w:val="0"/>
      <w:marBottom w:val="0"/>
      <w:divBdr>
        <w:top w:val="none" w:sz="0" w:space="0" w:color="auto"/>
        <w:left w:val="none" w:sz="0" w:space="0" w:color="auto"/>
        <w:bottom w:val="none" w:sz="0" w:space="0" w:color="auto"/>
        <w:right w:val="none" w:sz="0" w:space="0" w:color="auto"/>
      </w:divBdr>
    </w:div>
    <w:div w:id="1073697384">
      <w:bodyDiv w:val="1"/>
      <w:marLeft w:val="0"/>
      <w:marRight w:val="0"/>
      <w:marTop w:val="0"/>
      <w:marBottom w:val="0"/>
      <w:divBdr>
        <w:top w:val="none" w:sz="0" w:space="0" w:color="auto"/>
        <w:left w:val="none" w:sz="0" w:space="0" w:color="auto"/>
        <w:bottom w:val="none" w:sz="0" w:space="0" w:color="auto"/>
        <w:right w:val="none" w:sz="0" w:space="0" w:color="auto"/>
      </w:divBdr>
      <w:divsChild>
        <w:div w:id="1637644848">
          <w:marLeft w:val="0"/>
          <w:marRight w:val="0"/>
          <w:marTop w:val="0"/>
          <w:marBottom w:val="0"/>
          <w:divBdr>
            <w:top w:val="none" w:sz="0" w:space="0" w:color="auto"/>
            <w:left w:val="none" w:sz="0" w:space="0" w:color="auto"/>
            <w:bottom w:val="none" w:sz="0" w:space="0" w:color="auto"/>
            <w:right w:val="none" w:sz="0" w:space="0" w:color="auto"/>
          </w:divBdr>
          <w:divsChild>
            <w:div w:id="1846481246">
              <w:marLeft w:val="0"/>
              <w:marRight w:val="0"/>
              <w:marTop w:val="0"/>
              <w:marBottom w:val="0"/>
              <w:divBdr>
                <w:top w:val="none" w:sz="0" w:space="0" w:color="auto"/>
                <w:left w:val="none" w:sz="0" w:space="0" w:color="auto"/>
                <w:bottom w:val="none" w:sz="0" w:space="0" w:color="auto"/>
                <w:right w:val="none" w:sz="0" w:space="0" w:color="auto"/>
              </w:divBdr>
              <w:divsChild>
                <w:div w:id="1456946560">
                  <w:marLeft w:val="0"/>
                  <w:marRight w:val="0"/>
                  <w:marTop w:val="0"/>
                  <w:marBottom w:val="0"/>
                  <w:divBdr>
                    <w:top w:val="none" w:sz="0" w:space="0" w:color="auto"/>
                    <w:left w:val="none" w:sz="0" w:space="0" w:color="auto"/>
                    <w:bottom w:val="none" w:sz="0" w:space="0" w:color="auto"/>
                    <w:right w:val="none" w:sz="0" w:space="0" w:color="auto"/>
                  </w:divBdr>
                  <w:divsChild>
                    <w:div w:id="47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6411">
      <w:bodyDiv w:val="1"/>
      <w:marLeft w:val="0"/>
      <w:marRight w:val="0"/>
      <w:marTop w:val="0"/>
      <w:marBottom w:val="0"/>
      <w:divBdr>
        <w:top w:val="none" w:sz="0" w:space="0" w:color="auto"/>
        <w:left w:val="none" w:sz="0" w:space="0" w:color="auto"/>
        <w:bottom w:val="none" w:sz="0" w:space="0" w:color="auto"/>
        <w:right w:val="none" w:sz="0" w:space="0" w:color="auto"/>
      </w:divBdr>
      <w:divsChild>
        <w:div w:id="1677343940">
          <w:marLeft w:val="0"/>
          <w:marRight w:val="0"/>
          <w:marTop w:val="0"/>
          <w:marBottom w:val="0"/>
          <w:divBdr>
            <w:top w:val="none" w:sz="0" w:space="0" w:color="auto"/>
            <w:left w:val="none" w:sz="0" w:space="0" w:color="auto"/>
            <w:bottom w:val="none" w:sz="0" w:space="0" w:color="auto"/>
            <w:right w:val="none" w:sz="0" w:space="0" w:color="auto"/>
          </w:divBdr>
          <w:divsChild>
            <w:div w:id="846821383">
              <w:marLeft w:val="0"/>
              <w:marRight w:val="0"/>
              <w:marTop w:val="0"/>
              <w:marBottom w:val="0"/>
              <w:divBdr>
                <w:top w:val="none" w:sz="0" w:space="0" w:color="auto"/>
                <w:left w:val="none" w:sz="0" w:space="0" w:color="auto"/>
                <w:bottom w:val="none" w:sz="0" w:space="0" w:color="auto"/>
                <w:right w:val="none" w:sz="0" w:space="0" w:color="auto"/>
              </w:divBdr>
            </w:div>
            <w:div w:id="652832923">
              <w:marLeft w:val="0"/>
              <w:marRight w:val="0"/>
              <w:marTop w:val="0"/>
              <w:marBottom w:val="0"/>
              <w:divBdr>
                <w:top w:val="none" w:sz="0" w:space="0" w:color="auto"/>
                <w:left w:val="none" w:sz="0" w:space="0" w:color="auto"/>
                <w:bottom w:val="none" w:sz="0" w:space="0" w:color="auto"/>
                <w:right w:val="none" w:sz="0" w:space="0" w:color="auto"/>
              </w:divBdr>
              <w:divsChild>
                <w:div w:id="968170739">
                  <w:marLeft w:val="0"/>
                  <w:marRight w:val="0"/>
                  <w:marTop w:val="0"/>
                  <w:marBottom w:val="0"/>
                  <w:divBdr>
                    <w:top w:val="none" w:sz="0" w:space="0" w:color="auto"/>
                    <w:left w:val="none" w:sz="0" w:space="0" w:color="auto"/>
                    <w:bottom w:val="none" w:sz="0" w:space="0" w:color="auto"/>
                    <w:right w:val="none" w:sz="0" w:space="0" w:color="auto"/>
                  </w:divBdr>
                  <w:divsChild>
                    <w:div w:id="16416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627">
              <w:marLeft w:val="0"/>
              <w:marRight w:val="0"/>
              <w:marTop w:val="0"/>
              <w:marBottom w:val="0"/>
              <w:divBdr>
                <w:top w:val="none" w:sz="0" w:space="0" w:color="auto"/>
                <w:left w:val="none" w:sz="0" w:space="0" w:color="auto"/>
                <w:bottom w:val="none" w:sz="0" w:space="0" w:color="auto"/>
                <w:right w:val="none" w:sz="0" w:space="0" w:color="auto"/>
              </w:divBdr>
              <w:divsChild>
                <w:div w:id="1971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0949">
          <w:marLeft w:val="0"/>
          <w:marRight w:val="0"/>
          <w:marTop w:val="0"/>
          <w:marBottom w:val="0"/>
          <w:divBdr>
            <w:top w:val="none" w:sz="0" w:space="0" w:color="auto"/>
            <w:left w:val="none" w:sz="0" w:space="0" w:color="auto"/>
            <w:bottom w:val="none" w:sz="0" w:space="0" w:color="auto"/>
            <w:right w:val="none" w:sz="0" w:space="0" w:color="auto"/>
          </w:divBdr>
          <w:divsChild>
            <w:div w:id="859969499">
              <w:marLeft w:val="0"/>
              <w:marRight w:val="0"/>
              <w:marTop w:val="0"/>
              <w:marBottom w:val="0"/>
              <w:divBdr>
                <w:top w:val="none" w:sz="0" w:space="0" w:color="auto"/>
                <w:left w:val="none" w:sz="0" w:space="0" w:color="auto"/>
                <w:bottom w:val="none" w:sz="0" w:space="0" w:color="auto"/>
                <w:right w:val="none" w:sz="0" w:space="0" w:color="auto"/>
              </w:divBdr>
              <w:divsChild>
                <w:div w:id="1088890951">
                  <w:marLeft w:val="0"/>
                  <w:marRight w:val="0"/>
                  <w:marTop w:val="0"/>
                  <w:marBottom w:val="0"/>
                  <w:divBdr>
                    <w:top w:val="none" w:sz="0" w:space="0" w:color="auto"/>
                    <w:left w:val="none" w:sz="0" w:space="0" w:color="auto"/>
                    <w:bottom w:val="none" w:sz="0" w:space="0" w:color="auto"/>
                    <w:right w:val="none" w:sz="0" w:space="0" w:color="auto"/>
                  </w:divBdr>
                  <w:divsChild>
                    <w:div w:id="894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245">
      <w:bodyDiv w:val="1"/>
      <w:marLeft w:val="0"/>
      <w:marRight w:val="0"/>
      <w:marTop w:val="0"/>
      <w:marBottom w:val="0"/>
      <w:divBdr>
        <w:top w:val="none" w:sz="0" w:space="0" w:color="auto"/>
        <w:left w:val="none" w:sz="0" w:space="0" w:color="auto"/>
        <w:bottom w:val="none" w:sz="0" w:space="0" w:color="auto"/>
        <w:right w:val="none" w:sz="0" w:space="0" w:color="auto"/>
      </w:divBdr>
    </w:div>
    <w:div w:id="1207451303">
      <w:bodyDiv w:val="1"/>
      <w:marLeft w:val="0"/>
      <w:marRight w:val="0"/>
      <w:marTop w:val="0"/>
      <w:marBottom w:val="0"/>
      <w:divBdr>
        <w:top w:val="none" w:sz="0" w:space="0" w:color="auto"/>
        <w:left w:val="none" w:sz="0" w:space="0" w:color="auto"/>
        <w:bottom w:val="none" w:sz="0" w:space="0" w:color="auto"/>
        <w:right w:val="none" w:sz="0" w:space="0" w:color="auto"/>
      </w:divBdr>
    </w:div>
    <w:div w:id="1231887899">
      <w:bodyDiv w:val="1"/>
      <w:marLeft w:val="0"/>
      <w:marRight w:val="0"/>
      <w:marTop w:val="0"/>
      <w:marBottom w:val="0"/>
      <w:divBdr>
        <w:top w:val="none" w:sz="0" w:space="0" w:color="auto"/>
        <w:left w:val="none" w:sz="0" w:space="0" w:color="auto"/>
        <w:bottom w:val="none" w:sz="0" w:space="0" w:color="auto"/>
        <w:right w:val="none" w:sz="0" w:space="0" w:color="auto"/>
      </w:divBdr>
    </w:div>
    <w:div w:id="1615474844">
      <w:bodyDiv w:val="1"/>
      <w:marLeft w:val="0"/>
      <w:marRight w:val="0"/>
      <w:marTop w:val="0"/>
      <w:marBottom w:val="0"/>
      <w:divBdr>
        <w:top w:val="none" w:sz="0" w:space="0" w:color="auto"/>
        <w:left w:val="none" w:sz="0" w:space="0" w:color="auto"/>
        <w:bottom w:val="none" w:sz="0" w:space="0" w:color="auto"/>
        <w:right w:val="none" w:sz="0" w:space="0" w:color="auto"/>
      </w:divBdr>
    </w:div>
    <w:div w:id="1678776465">
      <w:bodyDiv w:val="1"/>
      <w:marLeft w:val="0"/>
      <w:marRight w:val="0"/>
      <w:marTop w:val="0"/>
      <w:marBottom w:val="0"/>
      <w:divBdr>
        <w:top w:val="none" w:sz="0" w:space="0" w:color="auto"/>
        <w:left w:val="none" w:sz="0" w:space="0" w:color="auto"/>
        <w:bottom w:val="none" w:sz="0" w:space="0" w:color="auto"/>
        <w:right w:val="none" w:sz="0" w:space="0" w:color="auto"/>
      </w:divBdr>
    </w:div>
    <w:div w:id="1820031601">
      <w:bodyDiv w:val="1"/>
      <w:marLeft w:val="0"/>
      <w:marRight w:val="0"/>
      <w:marTop w:val="0"/>
      <w:marBottom w:val="0"/>
      <w:divBdr>
        <w:top w:val="none" w:sz="0" w:space="0" w:color="auto"/>
        <w:left w:val="none" w:sz="0" w:space="0" w:color="auto"/>
        <w:bottom w:val="none" w:sz="0" w:space="0" w:color="auto"/>
        <w:right w:val="none" w:sz="0" w:space="0" w:color="auto"/>
      </w:divBdr>
    </w:div>
    <w:div w:id="1925411130">
      <w:bodyDiv w:val="1"/>
      <w:marLeft w:val="0"/>
      <w:marRight w:val="0"/>
      <w:marTop w:val="0"/>
      <w:marBottom w:val="0"/>
      <w:divBdr>
        <w:top w:val="none" w:sz="0" w:space="0" w:color="auto"/>
        <w:left w:val="none" w:sz="0" w:space="0" w:color="auto"/>
        <w:bottom w:val="none" w:sz="0" w:space="0" w:color="auto"/>
        <w:right w:val="none" w:sz="0" w:space="0" w:color="auto"/>
      </w:divBdr>
    </w:div>
    <w:div w:id="194684464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erce.gov.in/trade-statist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1883</Words>
  <Characters>10358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BRAHIMI Dana</cp:lastModifiedBy>
  <cp:revision>15</cp:revision>
  <cp:lastPrinted>2025-08-13T04:03:00Z</cp:lastPrinted>
  <dcterms:created xsi:type="dcterms:W3CDTF">2025-08-26T06:52:00Z</dcterms:created>
  <dcterms:modified xsi:type="dcterms:W3CDTF">2025-09-05T04:10:00Z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