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C11FC" w14:textId="0E32B623" w:rsidR="003251AD" w:rsidRPr="00150667" w:rsidRDefault="0020353A" w:rsidP="000039FC">
      <w:pPr>
        <w:spacing w:line="240" w:lineRule="auto"/>
        <w:contextualSpacing/>
        <w:jc w:val="both"/>
        <w:rPr>
          <w:rFonts w:ascii="Segoe UI" w:hAnsi="Segoe UI" w:cs="Segoe UI"/>
          <w:sz w:val="44"/>
          <w:szCs w:val="28"/>
        </w:rPr>
      </w:pPr>
      <w:r w:rsidRPr="008F35B2">
        <w:rPr>
          <w:rFonts w:ascii="Segoe UI" w:hAnsi="Segoe UI" w:cs="Segoe UI"/>
          <w:noProof/>
        </w:rPr>
        <mc:AlternateContent>
          <mc:Choice Requires="wps">
            <w:drawing>
              <wp:anchor distT="0" distB="0" distL="114300" distR="114300" simplePos="0" relativeHeight="251657215" behindDoc="0" locked="0" layoutInCell="1" allowOverlap="1" wp14:anchorId="71112931" wp14:editId="49700B1D">
                <wp:simplePos x="0" y="0"/>
                <wp:positionH relativeFrom="column">
                  <wp:posOffset>-532130</wp:posOffset>
                </wp:positionH>
                <wp:positionV relativeFrom="paragraph">
                  <wp:posOffset>934085</wp:posOffset>
                </wp:positionV>
                <wp:extent cx="6800850" cy="539750"/>
                <wp:effectExtent l="0" t="0" r="0" b="0"/>
                <wp:wrapTopAndBottom/>
                <wp:docPr id="2" name="Rectangle 2"/>
                <wp:cNvGraphicFramePr/>
                <a:graphic xmlns:a="http://schemas.openxmlformats.org/drawingml/2006/main">
                  <a:graphicData uri="http://schemas.microsoft.com/office/word/2010/wordprocessingShape">
                    <wps:wsp>
                      <wps:cNvSpPr/>
                      <wps:spPr>
                        <a:xfrm>
                          <a:off x="0" y="0"/>
                          <a:ext cx="6800850" cy="53975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65B737" w14:textId="2E63D749" w:rsidR="00490B3C" w:rsidRPr="00713620" w:rsidRDefault="00490B3C" w:rsidP="00490B3C">
                            <w:pPr>
                              <w:tabs>
                                <w:tab w:val="left" w:pos="3969"/>
                              </w:tabs>
                              <w:spacing w:after="0"/>
                              <w:ind w:left="57"/>
                              <w:rPr>
                                <w:rFonts w:ascii="Segoe UI" w:hAnsi="Segoe UI" w:cs="Segoe UI"/>
                                <w:bCs/>
                                <w:color w:val="000091" w:themeColor="text1"/>
                                <w:sz w:val="16"/>
                                <w:szCs w:val="16"/>
                                <w:lang w:eastAsia="ja-JP"/>
                              </w:rPr>
                            </w:pPr>
                            <w:r w:rsidRPr="00713620">
                              <w:rPr>
                                <w:rFonts w:ascii="Segoe UI" w:hAnsi="Segoe UI" w:cs="Segoe UI"/>
                                <w:bCs/>
                                <w:color w:val="000091" w:themeColor="text1"/>
                                <w:sz w:val="16"/>
                                <w:szCs w:val="16"/>
                                <w:lang w:eastAsia="ja-JP"/>
                              </w:rPr>
                              <w:t xml:space="preserve">Ambassade de </w:t>
                            </w:r>
                            <w:r w:rsidR="00546356" w:rsidRPr="00713620">
                              <w:rPr>
                                <w:rFonts w:ascii="Segoe UI" w:hAnsi="Segoe UI" w:cs="Segoe UI"/>
                                <w:bCs/>
                                <w:color w:val="000091" w:themeColor="text1"/>
                                <w:sz w:val="16"/>
                                <w:szCs w:val="16"/>
                                <w:lang w:eastAsia="ja-JP"/>
                              </w:rPr>
                              <w:t>France en Inde</w:t>
                            </w:r>
                          </w:p>
                          <w:p w14:paraId="0598E9AE" w14:textId="77777777" w:rsidR="00713620" w:rsidRPr="00282876" w:rsidRDefault="00490B3C" w:rsidP="00490B3C">
                            <w:pPr>
                              <w:spacing w:after="0"/>
                              <w:ind w:left="57" w:right="614"/>
                              <w:jc w:val="both"/>
                              <w:rPr>
                                <w:rFonts w:ascii="Segoe UI" w:hAnsi="Segoe UI" w:cs="Segoe UI"/>
                                <w:bCs/>
                                <w:color w:val="000091" w:themeColor="text1"/>
                                <w:sz w:val="16"/>
                                <w:szCs w:val="16"/>
                                <w:lang w:eastAsia="ja-JP"/>
                              </w:rPr>
                            </w:pPr>
                            <w:r w:rsidRPr="00282876">
                              <w:rPr>
                                <w:rFonts w:ascii="Segoe UI" w:hAnsi="Segoe UI" w:cs="Segoe UI"/>
                                <w:bCs/>
                                <w:color w:val="000091" w:themeColor="text1"/>
                                <w:sz w:val="16"/>
                                <w:szCs w:val="16"/>
                                <w:lang w:eastAsia="ja-JP"/>
                              </w:rPr>
                              <w:t xml:space="preserve">Service économique </w:t>
                            </w:r>
                            <w:r w:rsidR="00546356" w:rsidRPr="00282876">
                              <w:rPr>
                                <w:rFonts w:ascii="Segoe UI" w:hAnsi="Segoe UI" w:cs="Segoe UI"/>
                                <w:bCs/>
                                <w:color w:val="000091" w:themeColor="text1"/>
                                <w:sz w:val="16"/>
                                <w:szCs w:val="16"/>
                                <w:lang w:eastAsia="ja-JP"/>
                              </w:rPr>
                              <w:t>Régional de New Delhi</w:t>
                            </w:r>
                          </w:p>
                          <w:p w14:paraId="123D8D7E" w14:textId="7DBCA2B9" w:rsidR="0020353A" w:rsidRPr="00713620" w:rsidRDefault="00713620" w:rsidP="00490B3C">
                            <w:pPr>
                              <w:spacing w:after="0"/>
                              <w:ind w:left="57" w:right="614"/>
                              <w:jc w:val="both"/>
                              <w:rPr>
                                <w:rFonts w:ascii="Segoe UI" w:hAnsi="Segoe UI" w:cs="Segoe UI"/>
                                <w:bCs/>
                                <w:color w:val="000091" w:themeColor="text1"/>
                                <w:sz w:val="16"/>
                                <w:szCs w:val="16"/>
                                <w:lang w:eastAsia="ja-JP"/>
                              </w:rPr>
                            </w:pPr>
                            <w:r w:rsidRPr="00F358E8">
                              <w:rPr>
                                <w:rFonts w:ascii="Segoe UI" w:hAnsi="Segoe UI" w:cs="Segoe UI"/>
                                <w:bCs/>
                                <w:color w:val="000091" w:themeColor="text1"/>
                                <w:sz w:val="16"/>
                                <w:szCs w:val="16"/>
                                <w:lang w:eastAsia="ja-JP"/>
                              </w:rPr>
                              <w:t>25-</w:t>
                            </w:r>
                            <w:r w:rsidR="00B733AE">
                              <w:rPr>
                                <w:rFonts w:ascii="Segoe UI" w:hAnsi="Segoe UI" w:cs="Segoe UI"/>
                                <w:bCs/>
                                <w:color w:val="000091" w:themeColor="text1"/>
                                <w:sz w:val="16"/>
                                <w:szCs w:val="16"/>
                                <w:lang w:eastAsia="ja-JP"/>
                              </w:rPr>
                              <w:t>119</w:t>
                            </w:r>
                          </w:p>
                          <w:p w14:paraId="69170377" w14:textId="7F52A4F8" w:rsidR="0020353A" w:rsidRDefault="0020353A" w:rsidP="00490B3C">
                            <w:pPr>
                              <w:spacing w:after="0"/>
                              <w:ind w:left="57" w:right="614"/>
                              <w:jc w:val="both"/>
                              <w:rPr>
                                <w:rFonts w:ascii="Arial" w:hAnsi="Arial" w:cs="Arial"/>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112931" id="Rectangle 2" o:spid="_x0000_s1026" style="position:absolute;left:0;text-align:left;margin-left:-41.9pt;margin-top:73.55pt;width:535.5pt;height:42.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" fillcolor="#fde8b0 [1301]" stroked="f" strokeweight="1pt">
                <v:textbox>
                  <w:txbxContent>
                    <w:p w14:paraId="7465B737" w14:textId="2E63D749" w:rsidR="00490B3C" w:rsidRPr="00713620" w:rsidRDefault="00490B3C" w:rsidP="00490B3C">
                      <w:pPr>
                        <w:tabs>
                          <w:tab w:val="left" w:pos="3969"/>
                        </w:tabs>
                        <w:spacing w:after="0"/>
                        <w:ind w:left="57"/>
                        <w:rPr>
                          <w:rFonts w:ascii="Segoe UI" w:hAnsi="Segoe UI" w:cs="Segoe UI"/>
                          <w:bCs/>
                          <w:color w:val="000091" w:themeColor="text1"/>
                          <w:sz w:val="16"/>
                          <w:szCs w:val="16"/>
                          <w:lang w:eastAsia="ja-JP"/>
                        </w:rPr>
                      </w:pPr>
                      <w:r w:rsidRPr="00713620">
                        <w:rPr>
                          <w:rFonts w:ascii="Segoe UI" w:hAnsi="Segoe UI" w:cs="Segoe UI"/>
                          <w:bCs/>
                          <w:color w:val="000091" w:themeColor="text1"/>
                          <w:sz w:val="16"/>
                          <w:szCs w:val="16"/>
                          <w:lang w:eastAsia="ja-JP"/>
                        </w:rPr>
                        <w:t xml:space="preserve">Ambassade de </w:t>
                      </w:r>
                      <w:r w:rsidR="00546356" w:rsidRPr="00713620">
                        <w:rPr>
                          <w:rFonts w:ascii="Segoe UI" w:hAnsi="Segoe UI" w:cs="Segoe UI"/>
                          <w:bCs/>
                          <w:color w:val="000091" w:themeColor="text1"/>
                          <w:sz w:val="16"/>
                          <w:szCs w:val="16"/>
                          <w:lang w:eastAsia="ja-JP"/>
                        </w:rPr>
                        <w:t>France en Inde</w:t>
                      </w:r>
                    </w:p>
                    <w:p w14:paraId="0598E9AE" w14:textId="77777777" w:rsidR="00713620" w:rsidRPr="00282876" w:rsidRDefault="00490B3C" w:rsidP="00490B3C">
                      <w:pPr>
                        <w:spacing w:after="0"/>
                        <w:ind w:left="57" w:right="614"/>
                        <w:jc w:val="both"/>
                        <w:rPr>
                          <w:rFonts w:ascii="Segoe UI" w:hAnsi="Segoe UI" w:cs="Segoe UI"/>
                          <w:bCs/>
                          <w:color w:val="000091" w:themeColor="text1"/>
                          <w:sz w:val="16"/>
                          <w:szCs w:val="16"/>
                          <w:lang w:eastAsia="ja-JP"/>
                        </w:rPr>
                      </w:pPr>
                      <w:r w:rsidRPr="00282876">
                        <w:rPr>
                          <w:rFonts w:ascii="Segoe UI" w:hAnsi="Segoe UI" w:cs="Segoe UI"/>
                          <w:bCs/>
                          <w:color w:val="000091" w:themeColor="text1"/>
                          <w:sz w:val="16"/>
                          <w:szCs w:val="16"/>
                          <w:lang w:eastAsia="ja-JP"/>
                        </w:rPr>
                        <w:t xml:space="preserve">Service économique </w:t>
                      </w:r>
                      <w:r w:rsidR="00546356" w:rsidRPr="00282876">
                        <w:rPr>
                          <w:rFonts w:ascii="Segoe UI" w:hAnsi="Segoe UI" w:cs="Segoe UI"/>
                          <w:bCs/>
                          <w:color w:val="000091" w:themeColor="text1"/>
                          <w:sz w:val="16"/>
                          <w:szCs w:val="16"/>
                          <w:lang w:eastAsia="ja-JP"/>
                        </w:rPr>
                        <w:t>Régional de New Delhi</w:t>
                      </w:r>
                    </w:p>
                    <w:p w14:paraId="123D8D7E" w14:textId="7DBCA2B9" w:rsidR="0020353A" w:rsidRPr="00713620" w:rsidRDefault="00713620" w:rsidP="00490B3C">
                      <w:pPr>
                        <w:spacing w:after="0"/>
                        <w:ind w:left="57" w:right="614"/>
                        <w:jc w:val="both"/>
                        <w:rPr>
                          <w:rFonts w:ascii="Segoe UI" w:hAnsi="Segoe UI" w:cs="Segoe UI"/>
                          <w:bCs/>
                          <w:color w:val="000091" w:themeColor="text1"/>
                          <w:sz w:val="16"/>
                          <w:szCs w:val="16"/>
                          <w:lang w:eastAsia="ja-JP"/>
                        </w:rPr>
                      </w:pPr>
                      <w:r w:rsidRPr="00F358E8">
                        <w:rPr>
                          <w:rFonts w:ascii="Segoe UI" w:hAnsi="Segoe UI" w:cs="Segoe UI"/>
                          <w:bCs/>
                          <w:color w:val="000091" w:themeColor="text1"/>
                          <w:sz w:val="16"/>
                          <w:szCs w:val="16"/>
                          <w:lang w:eastAsia="ja-JP"/>
                        </w:rPr>
                        <w:t>25-</w:t>
                      </w:r>
                      <w:r w:rsidR="00B733AE">
                        <w:rPr>
                          <w:rFonts w:ascii="Segoe UI" w:hAnsi="Segoe UI" w:cs="Segoe UI"/>
                          <w:bCs/>
                          <w:color w:val="000091" w:themeColor="text1"/>
                          <w:sz w:val="16"/>
                          <w:szCs w:val="16"/>
                          <w:lang w:eastAsia="ja-JP"/>
                        </w:rPr>
                        <w:t>119</w:t>
                      </w:r>
                    </w:p>
                    <w:p w14:paraId="69170377" w14:textId="7F52A4F8" w:rsidR="0020353A" w:rsidRDefault="0020353A" w:rsidP="00490B3C">
                      <w:pPr>
                        <w:spacing w:after="0"/>
                        <w:ind w:left="57" w:right="614"/>
                        <w:jc w:val="both"/>
                        <w:rPr>
                          <w:rFonts w:ascii="Arial" w:hAnsi="Arial" w:cs="Arial"/>
                          <w:bCs/>
                        </w:rPr>
                      </w:pPr>
                    </w:p>
                  </w:txbxContent>
                </v:textbox>
                <w10:wrap type="topAndBottom"/>
              </v:rect>
            </w:pict>
          </mc:Fallback>
        </mc:AlternateContent>
      </w:r>
      <w:r w:rsidR="00546356" w:rsidRPr="008F35B2">
        <w:rPr>
          <w:rFonts w:ascii="Segoe UI" w:hAnsi="Segoe UI" w:cs="Segoe UI"/>
          <w:noProof/>
        </w:rPr>
        <mc:AlternateContent>
          <mc:Choice Requires="wps">
            <w:drawing>
              <wp:anchor distT="0" distB="0" distL="114300" distR="114300" simplePos="0" relativeHeight="251659264" behindDoc="0" locked="0" layoutInCell="1" allowOverlap="1" wp14:anchorId="585DE714" wp14:editId="717672EF">
                <wp:simplePos x="0" y="0"/>
                <wp:positionH relativeFrom="margin">
                  <wp:posOffset>3761105</wp:posOffset>
                </wp:positionH>
                <wp:positionV relativeFrom="paragraph">
                  <wp:posOffset>912495</wp:posOffset>
                </wp:positionV>
                <wp:extent cx="2508250" cy="53340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2508250" cy="533400"/>
                        </a:xfrm>
                        <a:prstGeom prst="rect">
                          <a:avLst/>
                        </a:prstGeom>
                        <a:noFill/>
                        <a:ln w="6350">
                          <a:noFill/>
                        </a:ln>
                      </wps:spPr>
                      <wps:txbx>
                        <w:txbxContent>
                          <w:p w14:paraId="07E31681" w14:textId="5F9B7483" w:rsidR="00490B3C" w:rsidRDefault="00490B3C" w:rsidP="003959DE">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 xml:space="preserve">Affaire suivie </w:t>
                            </w:r>
                            <w:r w:rsidR="005F198E" w:rsidRPr="00A7004D">
                              <w:rPr>
                                <w:rFonts w:ascii="Segoe UI" w:hAnsi="Segoe UI" w:cs="Segoe UI"/>
                                <w:color w:val="000091" w:themeColor="text1"/>
                                <w:sz w:val="17"/>
                                <w:szCs w:val="17"/>
                                <w:lang w:eastAsia="ja-JP"/>
                              </w:rPr>
                              <w:t>par D.</w:t>
                            </w:r>
                            <w:r w:rsidR="009D5D21">
                              <w:rPr>
                                <w:rFonts w:ascii="Segoe UI" w:hAnsi="Segoe UI" w:cs="Segoe UI"/>
                                <w:color w:val="000091" w:themeColor="text1"/>
                                <w:sz w:val="17"/>
                                <w:szCs w:val="17"/>
                                <w:lang w:eastAsia="ja-JP"/>
                              </w:rPr>
                              <w:t xml:space="preserve"> Brahimi</w:t>
                            </w:r>
                            <w:r w:rsidR="00137081">
                              <w:rPr>
                                <w:rFonts w:ascii="Segoe UI" w:hAnsi="Segoe UI" w:cs="Segoe UI"/>
                                <w:color w:val="000091" w:themeColor="text1"/>
                                <w:sz w:val="17"/>
                                <w:szCs w:val="17"/>
                                <w:lang w:eastAsia="ja-JP"/>
                              </w:rPr>
                              <w:t xml:space="preserve"> </w:t>
                            </w:r>
                          </w:p>
                          <w:p w14:paraId="001E787F" w14:textId="7290B5C8" w:rsidR="00137081" w:rsidRPr="00A7004D" w:rsidRDefault="00137081" w:rsidP="003959DE">
                            <w:pPr>
                              <w:tabs>
                                <w:tab w:val="left" w:pos="3969"/>
                              </w:tabs>
                              <w:spacing w:after="0"/>
                              <w:jc w:val="right"/>
                              <w:rPr>
                                <w:rFonts w:ascii="Segoe UI" w:hAnsi="Segoe UI" w:cs="Segoe UI"/>
                                <w:color w:val="000091" w:themeColor="text1"/>
                                <w:sz w:val="17"/>
                                <w:szCs w:val="17"/>
                                <w:lang w:eastAsia="ja-JP"/>
                              </w:rPr>
                            </w:pPr>
                            <w:r w:rsidRPr="00E33935">
                              <w:rPr>
                                <w:rFonts w:ascii="Segoe UI" w:hAnsi="Segoe UI" w:cs="Segoe UI"/>
                                <w:color w:val="000091" w:themeColor="text1"/>
                                <w:sz w:val="17"/>
                                <w:szCs w:val="17"/>
                                <w:lang w:eastAsia="ja-JP"/>
                              </w:rPr>
                              <w:t>Revue par</w:t>
                            </w:r>
                            <w:r w:rsidR="00E33935">
                              <w:rPr>
                                <w:rFonts w:ascii="Segoe UI" w:hAnsi="Segoe UI" w:cs="Segoe UI"/>
                                <w:color w:val="000091" w:themeColor="text1"/>
                                <w:sz w:val="17"/>
                                <w:szCs w:val="17"/>
                                <w:lang w:eastAsia="ja-JP"/>
                              </w:rPr>
                              <w:t xml:space="preserve"> E. </w:t>
                            </w:r>
                            <w:proofErr w:type="spellStart"/>
                            <w:r w:rsidR="00E33935">
                              <w:rPr>
                                <w:rFonts w:ascii="Segoe UI" w:hAnsi="Segoe UI" w:cs="Segoe UI"/>
                                <w:color w:val="000091" w:themeColor="text1"/>
                                <w:sz w:val="17"/>
                                <w:szCs w:val="17"/>
                                <w:lang w:eastAsia="ja-JP"/>
                              </w:rPr>
                              <w:t>Andaloussi</w:t>
                            </w:r>
                            <w:proofErr w:type="spellEnd"/>
                            <w:r>
                              <w:rPr>
                                <w:rFonts w:ascii="Segoe UI" w:hAnsi="Segoe UI" w:cs="Segoe UI"/>
                                <w:color w:val="000091" w:themeColor="text1"/>
                                <w:sz w:val="17"/>
                                <w:szCs w:val="17"/>
                                <w:lang w:eastAsia="ja-JP"/>
                              </w:rPr>
                              <w:t xml:space="preserve"> </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DE714" id="_x0000_t202" coordsize="21600,21600" o:spt="202" path="m,l,21600r21600,l21600,xe">
                <v:stroke joinstyle="miter"/>
                <v:path gradientshapeok="t" o:connecttype="rect"/>
              </v:shapetype>
              <v:shape id="Zone de texte 3" o:spid="_x0000_s1027" type="#_x0000_t202" style="position:absolute;left:0;text-align:left;margin-left:296.15pt;margin-top:71.85pt;width:197.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" filled="f" stroked="f" strokeweight=".5pt">
                <v:textbox>
                  <w:txbxContent>
                    <w:p w14:paraId="07E31681" w14:textId="5F9B7483" w:rsidR="00490B3C" w:rsidRDefault="00490B3C" w:rsidP="003959DE">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 xml:space="preserve">Affaire suivie </w:t>
                      </w:r>
                      <w:r w:rsidR="005F198E" w:rsidRPr="00A7004D">
                        <w:rPr>
                          <w:rFonts w:ascii="Segoe UI" w:hAnsi="Segoe UI" w:cs="Segoe UI"/>
                          <w:color w:val="000091" w:themeColor="text1"/>
                          <w:sz w:val="17"/>
                          <w:szCs w:val="17"/>
                          <w:lang w:eastAsia="ja-JP"/>
                        </w:rPr>
                        <w:t>par D.</w:t>
                      </w:r>
                      <w:r w:rsidR="009D5D21">
                        <w:rPr>
                          <w:rFonts w:ascii="Segoe UI" w:hAnsi="Segoe UI" w:cs="Segoe UI"/>
                          <w:color w:val="000091" w:themeColor="text1"/>
                          <w:sz w:val="17"/>
                          <w:szCs w:val="17"/>
                          <w:lang w:eastAsia="ja-JP"/>
                        </w:rPr>
                        <w:t xml:space="preserve"> Brahimi</w:t>
                      </w:r>
                      <w:r w:rsidR="00137081">
                        <w:rPr>
                          <w:rFonts w:ascii="Segoe UI" w:hAnsi="Segoe UI" w:cs="Segoe UI"/>
                          <w:color w:val="000091" w:themeColor="text1"/>
                          <w:sz w:val="17"/>
                          <w:szCs w:val="17"/>
                          <w:lang w:eastAsia="ja-JP"/>
                        </w:rPr>
                        <w:t xml:space="preserve"> </w:t>
                      </w:r>
                    </w:p>
                    <w:p w14:paraId="001E787F" w14:textId="7290B5C8" w:rsidR="00137081" w:rsidRPr="00A7004D" w:rsidRDefault="00137081" w:rsidP="003959DE">
                      <w:pPr>
                        <w:tabs>
                          <w:tab w:val="left" w:pos="3969"/>
                        </w:tabs>
                        <w:spacing w:after="0"/>
                        <w:jc w:val="right"/>
                        <w:rPr>
                          <w:rFonts w:ascii="Segoe UI" w:hAnsi="Segoe UI" w:cs="Segoe UI"/>
                          <w:color w:val="000091" w:themeColor="text1"/>
                          <w:sz w:val="17"/>
                          <w:szCs w:val="17"/>
                          <w:lang w:eastAsia="ja-JP"/>
                        </w:rPr>
                      </w:pPr>
                      <w:r w:rsidRPr="00E33935">
                        <w:rPr>
                          <w:rFonts w:ascii="Segoe UI" w:hAnsi="Segoe UI" w:cs="Segoe UI"/>
                          <w:color w:val="000091" w:themeColor="text1"/>
                          <w:sz w:val="17"/>
                          <w:szCs w:val="17"/>
                          <w:lang w:eastAsia="ja-JP"/>
                        </w:rPr>
                        <w:t>Revue par</w:t>
                      </w:r>
                      <w:r w:rsidR="00E33935">
                        <w:rPr>
                          <w:rFonts w:ascii="Segoe UI" w:hAnsi="Segoe UI" w:cs="Segoe UI"/>
                          <w:color w:val="000091" w:themeColor="text1"/>
                          <w:sz w:val="17"/>
                          <w:szCs w:val="17"/>
                          <w:lang w:eastAsia="ja-JP"/>
                        </w:rPr>
                        <w:t xml:space="preserve"> E. </w:t>
                      </w:r>
                      <w:proofErr w:type="spellStart"/>
                      <w:r w:rsidR="00E33935">
                        <w:rPr>
                          <w:rFonts w:ascii="Segoe UI" w:hAnsi="Segoe UI" w:cs="Segoe UI"/>
                          <w:color w:val="000091" w:themeColor="text1"/>
                          <w:sz w:val="17"/>
                          <w:szCs w:val="17"/>
                          <w:lang w:eastAsia="ja-JP"/>
                        </w:rPr>
                        <w:t>Andaloussi</w:t>
                      </w:r>
                      <w:proofErr w:type="spellEnd"/>
                      <w:r>
                        <w:rPr>
                          <w:rFonts w:ascii="Segoe UI" w:hAnsi="Segoe UI" w:cs="Segoe UI"/>
                          <w:color w:val="000091" w:themeColor="text1"/>
                          <w:sz w:val="17"/>
                          <w:szCs w:val="17"/>
                          <w:lang w:eastAsia="ja-JP"/>
                        </w:rPr>
                        <w:t xml:space="preserve"> </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v:textbox>
                <w10:wrap type="square" anchorx="margin"/>
              </v:shape>
            </w:pict>
          </mc:Fallback>
        </mc:AlternateContent>
      </w:r>
      <w:r w:rsidR="00FD7798" w:rsidRPr="008F35B2">
        <w:rPr>
          <w:rFonts w:ascii="Segoe UI" w:hAnsi="Segoe UI" w:cs="Segoe UI"/>
          <w:noProof/>
        </w:rPr>
        <mc:AlternateContent>
          <mc:Choice Requires="wps">
            <w:drawing>
              <wp:anchor distT="0" distB="0" distL="114300" distR="114300" simplePos="0" relativeHeight="251656190" behindDoc="0" locked="0" layoutInCell="1" allowOverlap="1" wp14:anchorId="16D250F6" wp14:editId="57D28F80">
                <wp:simplePos x="0" y="0"/>
                <wp:positionH relativeFrom="column">
                  <wp:posOffset>-529547</wp:posOffset>
                </wp:positionH>
                <wp:positionV relativeFrom="paragraph">
                  <wp:posOffset>1406634</wp:posOffset>
                </wp:positionV>
                <wp:extent cx="6800850" cy="361950"/>
                <wp:effectExtent l="0" t="0" r="0" b="0"/>
                <wp:wrapNone/>
                <wp:docPr id="4" name="Rectangle 4"/>
                <wp:cNvGraphicFramePr/>
                <a:graphic xmlns:a="http://schemas.openxmlformats.org/drawingml/2006/main">
                  <a:graphicData uri="http://schemas.microsoft.com/office/word/2010/wordprocessingShape">
                    <wps:wsp>
                      <wps:cNvSpPr/>
                      <wps:spPr>
                        <a:xfrm>
                          <a:off x="0" y="0"/>
                          <a:ext cx="6800850" cy="361950"/>
                        </a:xfrm>
                        <a:prstGeom prst="rect">
                          <a:avLst/>
                        </a:prstGeom>
                        <a:solidFill>
                          <a:srgbClr val="FCC6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3FE0E" w14:textId="4F8C0CFF" w:rsidR="00532CE3" w:rsidRDefault="00FD3F54" w:rsidP="00532CE3">
                            <w:pPr>
                              <w:jc w:val="center"/>
                            </w:pPr>
                            <w:r>
                              <w:rPr>
                                <w:rFonts w:ascii="Segoe UI" w:hAnsi="Segoe UI" w:cs="Segoe UI"/>
                                <w:b/>
                                <w:bCs/>
                                <w:color w:val="000091" w:themeColor="text1"/>
                                <w:sz w:val="32"/>
                                <w:szCs w:val="20"/>
                              </w:rPr>
                              <w:t>INDE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250F6" id="Rectangle 4" o:spid="_x0000_s1028" style="position:absolute;left:0;text-align:left;margin-left:-41.7pt;margin-top:110.75pt;width:535.5pt;height:28.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" fillcolor="#fcc63a" stroked="f" strokeweight="1pt">
                <v:textbox>
                  <w:txbxContent>
                    <w:p w14:paraId="2ED3FE0E" w14:textId="4F8C0CFF" w:rsidR="00532CE3" w:rsidRDefault="00FD3F54" w:rsidP="00532CE3">
                      <w:pPr>
                        <w:jc w:val="center"/>
                      </w:pPr>
                      <w:r>
                        <w:rPr>
                          <w:rFonts w:ascii="Segoe UI" w:hAnsi="Segoe UI" w:cs="Segoe UI"/>
                          <w:b/>
                          <w:bCs/>
                          <w:color w:val="000091" w:themeColor="text1"/>
                          <w:sz w:val="32"/>
                          <w:szCs w:val="20"/>
                        </w:rPr>
                        <w:t>INDE</w:t>
                      </w:r>
                    </w:p>
                  </w:txbxContent>
                </v:textbox>
              </v:rect>
            </w:pict>
          </mc:Fallback>
        </mc:AlternateContent>
      </w:r>
      <w:r w:rsidR="00FD7798" w:rsidRPr="008F35B2">
        <w:rPr>
          <w:rFonts w:ascii="Segoe UI" w:hAnsi="Segoe UI" w:cs="Segoe UI"/>
          <w:noProof/>
        </w:rPr>
        <mc:AlternateContent>
          <mc:Choice Requires="wps">
            <w:drawing>
              <wp:anchor distT="45720" distB="45720" distL="114300" distR="114300" simplePos="0" relativeHeight="251661312" behindDoc="0" locked="0" layoutInCell="1" allowOverlap="1" wp14:anchorId="5987A5E4" wp14:editId="2B25A752">
                <wp:simplePos x="0" y="0"/>
                <wp:positionH relativeFrom="margin">
                  <wp:posOffset>3844290</wp:posOffset>
                </wp:positionH>
                <wp:positionV relativeFrom="paragraph">
                  <wp:posOffset>605155</wp:posOffset>
                </wp:positionV>
                <wp:extent cx="2524125" cy="3524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52425"/>
                        </a:xfrm>
                        <a:prstGeom prst="rect">
                          <a:avLst/>
                        </a:prstGeom>
                        <a:noFill/>
                        <a:ln w="9525">
                          <a:noFill/>
                          <a:miter lim="800000"/>
                          <a:headEnd/>
                          <a:tailEnd/>
                        </a:ln>
                      </wps:spPr>
                      <wps:txbx>
                        <w:txbxContent>
                          <w:p w14:paraId="44111769" w14:textId="5A009FE6" w:rsidR="00490B3C" w:rsidRPr="00532CE3" w:rsidRDefault="00FD3F54"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New Delhi</w:t>
                            </w:r>
                            <w:r w:rsidR="00490B3C" w:rsidRPr="00532CE3">
                              <w:rPr>
                                <w:rFonts w:ascii="Segoe UI" w:hAnsi="Segoe UI" w:cs="Segoe UI"/>
                                <w:color w:val="986E02" w:themeColor="accent2" w:themeShade="80"/>
                                <w:sz w:val="17"/>
                                <w:szCs w:val="17"/>
                                <w:lang w:eastAsia="ja-JP"/>
                              </w:rPr>
                              <w:t xml:space="preserve">, </w:t>
                            </w:r>
                            <w:r>
                              <w:rPr>
                                <w:rFonts w:ascii="Segoe UI" w:hAnsi="Segoe UI" w:cs="Segoe UI"/>
                                <w:color w:val="986E02" w:themeColor="accent2" w:themeShade="80"/>
                                <w:sz w:val="17"/>
                                <w:szCs w:val="17"/>
                                <w:lang w:eastAsia="ja-JP"/>
                              </w:rPr>
                              <w:t>le</w:t>
                            </w:r>
                            <w:r w:rsidR="00C50609">
                              <w:rPr>
                                <w:rFonts w:ascii="Segoe UI" w:hAnsi="Segoe UI" w:cs="Segoe UI"/>
                                <w:color w:val="986E02" w:themeColor="accent2" w:themeShade="80"/>
                                <w:sz w:val="17"/>
                                <w:szCs w:val="17"/>
                                <w:lang w:eastAsia="ja-JP"/>
                              </w:rPr>
                              <w:t xml:space="preserve"> </w:t>
                            </w:r>
                            <w:r w:rsidR="005E4A4F">
                              <w:rPr>
                                <w:rFonts w:ascii="Segoe UI" w:hAnsi="Segoe UI" w:cs="Segoe UI"/>
                                <w:color w:val="986E02" w:themeColor="accent2" w:themeShade="80"/>
                                <w:sz w:val="17"/>
                                <w:szCs w:val="17"/>
                                <w:lang w:eastAsia="ja-JP"/>
                              </w:rPr>
                              <w:t>1</w:t>
                            </w:r>
                            <w:r w:rsidR="005E4A4F" w:rsidRPr="005E4A4F">
                              <w:rPr>
                                <w:rFonts w:ascii="Segoe UI" w:hAnsi="Segoe UI" w:cs="Segoe UI"/>
                                <w:color w:val="986E02" w:themeColor="accent2" w:themeShade="80"/>
                                <w:sz w:val="17"/>
                                <w:szCs w:val="17"/>
                                <w:vertAlign w:val="superscript"/>
                                <w:lang w:eastAsia="ja-JP"/>
                              </w:rPr>
                              <w:t>er</w:t>
                            </w:r>
                            <w:r w:rsidR="005E4A4F">
                              <w:rPr>
                                <w:rFonts w:ascii="Segoe UI" w:hAnsi="Segoe UI" w:cs="Segoe UI"/>
                                <w:color w:val="986E02" w:themeColor="accent2" w:themeShade="80"/>
                                <w:sz w:val="17"/>
                                <w:szCs w:val="17"/>
                                <w:lang w:eastAsia="ja-JP"/>
                              </w:rPr>
                              <w:t xml:space="preserve"> octobre </w:t>
                            </w:r>
                            <w:r w:rsidR="00C50609">
                              <w:rPr>
                                <w:rFonts w:ascii="Segoe UI" w:hAnsi="Segoe UI" w:cs="Segoe UI"/>
                                <w:color w:val="986E02" w:themeColor="accent2" w:themeShade="80"/>
                                <w:sz w:val="17"/>
                                <w:szCs w:val="17"/>
                                <w:lang w:eastAsia="ja-JP"/>
                              </w:rPr>
                              <w:t>2025</w:t>
                            </w:r>
                          </w:p>
                          <w:p w14:paraId="36A3B918" w14:textId="266F4991" w:rsidR="00490B3C" w:rsidRPr="00490B3C" w:rsidRDefault="00490B3C">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7A5E4" id="_x0000_t202" coordsize="21600,21600" o:spt="202" path="m,l,21600r21600,l21600,xe">
                <v:stroke joinstyle="miter"/>
                <v:path gradientshapeok="t" o:connecttype="rect"/>
              </v:shapetype>
              <v:shape id="Zone de texte 2" o:spid="_x0000_s1029" type="#_x0000_t202" style="position:absolute;left:0;text-align:left;margin-left:302.7pt;margin-top:47.65pt;width:198.75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" filled="f" stroked="f">
                <v:textbox>
                  <w:txbxContent>
                    <w:p w14:paraId="44111769" w14:textId="5A009FE6" w:rsidR="00490B3C" w:rsidRPr="00532CE3" w:rsidRDefault="00FD3F54"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New Delhi</w:t>
                      </w:r>
                      <w:r w:rsidR="00490B3C" w:rsidRPr="00532CE3">
                        <w:rPr>
                          <w:rFonts w:ascii="Segoe UI" w:hAnsi="Segoe UI" w:cs="Segoe UI"/>
                          <w:color w:val="986E02" w:themeColor="accent2" w:themeShade="80"/>
                          <w:sz w:val="17"/>
                          <w:szCs w:val="17"/>
                          <w:lang w:eastAsia="ja-JP"/>
                        </w:rPr>
                        <w:t xml:space="preserve">, </w:t>
                      </w:r>
                      <w:r>
                        <w:rPr>
                          <w:rFonts w:ascii="Segoe UI" w:hAnsi="Segoe UI" w:cs="Segoe UI"/>
                          <w:color w:val="986E02" w:themeColor="accent2" w:themeShade="80"/>
                          <w:sz w:val="17"/>
                          <w:szCs w:val="17"/>
                          <w:lang w:eastAsia="ja-JP"/>
                        </w:rPr>
                        <w:t>le</w:t>
                      </w:r>
                      <w:r w:rsidR="00C50609">
                        <w:rPr>
                          <w:rFonts w:ascii="Segoe UI" w:hAnsi="Segoe UI" w:cs="Segoe UI"/>
                          <w:color w:val="986E02" w:themeColor="accent2" w:themeShade="80"/>
                          <w:sz w:val="17"/>
                          <w:szCs w:val="17"/>
                          <w:lang w:eastAsia="ja-JP"/>
                        </w:rPr>
                        <w:t xml:space="preserve"> </w:t>
                      </w:r>
                      <w:r w:rsidR="005E4A4F">
                        <w:rPr>
                          <w:rFonts w:ascii="Segoe UI" w:hAnsi="Segoe UI" w:cs="Segoe UI"/>
                          <w:color w:val="986E02" w:themeColor="accent2" w:themeShade="80"/>
                          <w:sz w:val="17"/>
                          <w:szCs w:val="17"/>
                          <w:lang w:eastAsia="ja-JP"/>
                        </w:rPr>
                        <w:t>1</w:t>
                      </w:r>
                      <w:r w:rsidR="005E4A4F" w:rsidRPr="005E4A4F">
                        <w:rPr>
                          <w:rFonts w:ascii="Segoe UI" w:hAnsi="Segoe UI" w:cs="Segoe UI"/>
                          <w:color w:val="986E02" w:themeColor="accent2" w:themeShade="80"/>
                          <w:sz w:val="17"/>
                          <w:szCs w:val="17"/>
                          <w:vertAlign w:val="superscript"/>
                          <w:lang w:eastAsia="ja-JP"/>
                        </w:rPr>
                        <w:t>er</w:t>
                      </w:r>
                      <w:r w:rsidR="005E4A4F">
                        <w:rPr>
                          <w:rFonts w:ascii="Segoe UI" w:hAnsi="Segoe UI" w:cs="Segoe UI"/>
                          <w:color w:val="986E02" w:themeColor="accent2" w:themeShade="80"/>
                          <w:sz w:val="17"/>
                          <w:szCs w:val="17"/>
                          <w:lang w:eastAsia="ja-JP"/>
                        </w:rPr>
                        <w:t xml:space="preserve"> octobre </w:t>
                      </w:r>
                      <w:r w:rsidR="00C50609">
                        <w:rPr>
                          <w:rFonts w:ascii="Segoe UI" w:hAnsi="Segoe UI" w:cs="Segoe UI"/>
                          <w:color w:val="986E02" w:themeColor="accent2" w:themeShade="80"/>
                          <w:sz w:val="17"/>
                          <w:szCs w:val="17"/>
                          <w:lang w:eastAsia="ja-JP"/>
                        </w:rPr>
                        <w:t>2025</w:t>
                      </w:r>
                    </w:p>
                    <w:p w14:paraId="36A3B918" w14:textId="266F4991" w:rsidR="00490B3C" w:rsidRPr="00490B3C" w:rsidRDefault="00490B3C">
                      <w:pPr>
                        <w:rPr>
                          <w:sz w:val="28"/>
                          <w:szCs w:val="28"/>
                        </w:rPr>
                      </w:pPr>
                    </w:p>
                  </w:txbxContent>
                </v:textbox>
                <w10:wrap type="square" anchorx="margin"/>
              </v:shape>
            </w:pict>
          </mc:Fallback>
        </mc:AlternateContent>
      </w:r>
      <w:r w:rsidR="00FD7798" w:rsidRPr="008F35B2">
        <w:rPr>
          <w:rFonts w:ascii="Segoe UI" w:hAnsi="Segoe UI" w:cs="Segoe UI"/>
          <w:noProof/>
        </w:rPr>
        <w:drawing>
          <wp:anchor distT="0" distB="0" distL="114300" distR="114300" simplePos="0" relativeHeight="251658240" behindDoc="1" locked="0" layoutInCell="1" allowOverlap="1" wp14:anchorId="56177B8F" wp14:editId="009CA1BF">
            <wp:simplePos x="0" y="0"/>
            <wp:positionH relativeFrom="column">
              <wp:posOffset>-633095</wp:posOffset>
            </wp:positionH>
            <wp:positionV relativeFrom="page">
              <wp:posOffset>159905</wp:posOffset>
            </wp:positionV>
            <wp:extent cx="3124200" cy="1092835"/>
            <wp:effectExtent l="0" t="0" r="0" b="0"/>
            <wp:wrapTopAndBottom/>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124200" cy="1092835"/>
                    </a:xfrm>
                    <a:prstGeom prst="rect">
                      <a:avLst/>
                    </a:prstGeom>
                  </pic:spPr>
                </pic:pic>
              </a:graphicData>
            </a:graphic>
            <wp14:sizeRelH relativeFrom="margin">
              <wp14:pctWidth>0</wp14:pctWidth>
            </wp14:sizeRelH>
            <wp14:sizeRelV relativeFrom="margin">
              <wp14:pctHeight>0</wp14:pctHeight>
            </wp14:sizeRelV>
          </wp:anchor>
        </w:drawing>
      </w:r>
    </w:p>
    <w:tbl>
      <w:tblPr>
        <w:tblStyle w:val="Grilledutableau"/>
        <w:tblW w:w="10415" w:type="dxa"/>
        <w:tblInd w:w="-284" w:type="dxa"/>
        <w:tblLook w:val="04A0" w:firstRow="1" w:lastRow="0" w:firstColumn="1" w:lastColumn="0" w:noHBand="0" w:noVBand="1"/>
      </w:tblPr>
      <w:tblGrid>
        <w:gridCol w:w="10415"/>
      </w:tblGrid>
      <w:tr w:rsidR="00E1075B" w:rsidRPr="00FD0788" w14:paraId="6AF8F134" w14:textId="77777777" w:rsidTr="00D00925">
        <w:trPr>
          <w:trHeight w:val="138"/>
        </w:trPr>
        <w:tc>
          <w:tcPr>
            <w:tcW w:w="10415" w:type="dxa"/>
            <w:tcBorders>
              <w:top w:val="nil"/>
              <w:left w:val="nil"/>
              <w:bottom w:val="nil"/>
              <w:right w:val="nil"/>
            </w:tcBorders>
          </w:tcPr>
          <w:p w14:paraId="2C37926C" w14:textId="37E37CF0" w:rsidR="00E1075B" w:rsidRPr="0045429E" w:rsidRDefault="00F8395D" w:rsidP="0070783B">
            <w:pPr>
              <w:tabs>
                <w:tab w:val="left" w:pos="3969"/>
              </w:tabs>
              <w:ind w:left="-112"/>
              <w:contextualSpacing/>
              <w:jc w:val="both"/>
              <w:rPr>
                <w:rFonts w:ascii="Segoe UI" w:eastAsia="Calibri" w:hAnsi="Segoe UI" w:cs="Segoe UI"/>
                <w:b/>
                <w:bCs/>
                <w:caps/>
                <w:color w:val="000091" w:themeColor="text1"/>
                <w:lang w:eastAsia="fr-FR"/>
              </w:rPr>
            </w:pPr>
            <w:r w:rsidRPr="0045429E">
              <w:rPr>
                <w:rFonts w:ascii="Segoe UI" w:eastAsia="Calibri" w:hAnsi="Segoe UI" w:cs="Segoe UI"/>
                <w:b/>
                <w:bCs/>
                <w:caps/>
                <w:color w:val="000091" w:themeColor="text1"/>
                <w:sz w:val="20"/>
                <w:szCs w:val="20"/>
                <w:lang w:eastAsia="fr-FR"/>
              </w:rPr>
              <w:t>Le stock d’investissement français en Inde</w:t>
            </w:r>
            <w:r w:rsidR="00AB1121" w:rsidRPr="0045429E">
              <w:rPr>
                <w:rFonts w:ascii="Segoe UI" w:eastAsia="Calibri" w:hAnsi="Segoe UI" w:cs="Segoe UI"/>
                <w:b/>
                <w:bCs/>
                <w:caps/>
                <w:color w:val="000091" w:themeColor="text1"/>
                <w:sz w:val="20"/>
                <w:szCs w:val="20"/>
                <w:lang w:eastAsia="fr-FR"/>
              </w:rPr>
              <w:t xml:space="preserve"> demeure quasi-stable au cours de l’année 2024</w:t>
            </w:r>
          </w:p>
        </w:tc>
      </w:tr>
    </w:tbl>
    <w:p w14:paraId="3498182E" w14:textId="77777777" w:rsidR="000F7190" w:rsidRPr="00FD0788" w:rsidRDefault="000F7190" w:rsidP="00D05751">
      <w:pPr>
        <w:pStyle w:val="Briefinglist1"/>
        <w:numPr>
          <w:ilvl w:val="0"/>
          <w:numId w:val="0"/>
        </w:numPr>
        <w:spacing w:after="0"/>
        <w:contextualSpacing/>
        <w:rPr>
          <w:rFonts w:asciiTheme="minorHAnsi" w:eastAsia="Times New Roman" w:hAnsiTheme="minorHAnsi" w:cstheme="minorHAnsi"/>
          <w:i/>
          <w:sz w:val="8"/>
          <w:szCs w:val="8"/>
          <w:lang w:val="fr-FR" w:eastAsia="fr-FR"/>
        </w:rPr>
      </w:pPr>
      <w:bookmarkStart w:id="0" w:name="_Hlk181623191"/>
    </w:p>
    <w:bookmarkEnd w:id="0"/>
    <w:p w14:paraId="3A27FDC4" w14:textId="6028A1FA" w:rsidR="00187F02" w:rsidRPr="0045429E" w:rsidRDefault="00844072" w:rsidP="00631D45">
      <w:pPr>
        <w:pStyle w:val="Briefinglist1"/>
        <w:numPr>
          <w:ilvl w:val="0"/>
          <w:numId w:val="0"/>
        </w:numPr>
        <w:spacing w:after="0"/>
        <w:ind w:left="-284"/>
        <w:contextualSpacing/>
        <w:rPr>
          <w:rFonts w:ascii="Segoe UI" w:eastAsia="Times New Roman" w:hAnsi="Segoe UI" w:cs="Segoe UI"/>
          <w:i/>
          <w:iCs/>
          <w:color w:val="000091" w:themeColor="text1"/>
          <w:szCs w:val="22"/>
          <w:lang w:val="fr-FR" w:eastAsia="fr-FR"/>
        </w:rPr>
      </w:pPr>
      <w:r w:rsidRPr="0045429E">
        <w:rPr>
          <w:rFonts w:ascii="Segoe UI" w:eastAsia="Times New Roman" w:hAnsi="Segoe UI" w:cs="Segoe UI"/>
          <w:i/>
          <w:iCs/>
          <w:color w:val="000091" w:themeColor="text1"/>
          <w:szCs w:val="22"/>
          <w:lang w:val="fr-FR" w:eastAsia="fr-FR"/>
        </w:rPr>
        <w:t xml:space="preserve">En 2024, le stock d’investissements français en Inde enregistre un léger repli, passant de 13,5 Mds EUR à 12,8 Mds EUR à la suite des révisions des données de 2023. La part de l’Inde dans le stock mondial d’IDE français demeure stable à 0,9%, traduisant une présence française globalement constante sur le marché indien. Cette évolution s’inscrit dans la </w:t>
      </w:r>
      <w:r w:rsidR="00631D45">
        <w:rPr>
          <w:rFonts w:ascii="Segoe UI" w:eastAsia="Times New Roman" w:hAnsi="Segoe UI" w:cs="Segoe UI"/>
          <w:i/>
          <w:iCs/>
          <w:color w:val="000091" w:themeColor="text1"/>
          <w:szCs w:val="22"/>
          <w:lang w:val="fr-FR" w:eastAsia="fr-FR"/>
        </w:rPr>
        <w:t>tendance baissière du stock d’IDE français en Inde observée depuis 2021</w:t>
      </w:r>
      <w:r w:rsidR="005F1EEE" w:rsidRPr="0045429E">
        <w:rPr>
          <w:rFonts w:ascii="Segoe UI" w:eastAsia="Times New Roman" w:hAnsi="Segoe UI" w:cs="Segoe UI"/>
          <w:i/>
          <w:iCs/>
          <w:color w:val="000091" w:themeColor="text1"/>
          <w:szCs w:val="22"/>
          <w:lang w:val="fr-FR" w:eastAsia="fr-FR"/>
        </w:rPr>
        <w:t>.</w:t>
      </w:r>
      <w:r w:rsidR="009166A5" w:rsidRPr="0045429E">
        <w:rPr>
          <w:rFonts w:ascii="Segoe UI" w:eastAsia="Times New Roman" w:hAnsi="Segoe UI" w:cs="Segoe UI"/>
          <w:i/>
          <w:iCs/>
          <w:color w:val="000091" w:themeColor="text1"/>
          <w:szCs w:val="22"/>
          <w:lang w:val="fr-FR" w:eastAsia="fr-FR"/>
        </w:rPr>
        <w:t xml:space="preserve"> </w:t>
      </w:r>
      <w:r w:rsidR="00631D45">
        <w:rPr>
          <w:rFonts w:ascii="Segoe UI" w:eastAsia="Times New Roman" w:hAnsi="Segoe UI" w:cs="Segoe UI"/>
          <w:i/>
          <w:iCs/>
          <w:color w:val="000091" w:themeColor="text1"/>
          <w:szCs w:val="22"/>
          <w:lang w:val="fr-FR" w:eastAsia="fr-FR"/>
        </w:rPr>
        <w:t>De même, l</w:t>
      </w:r>
      <w:r w:rsidR="004B1377" w:rsidRPr="0045429E">
        <w:rPr>
          <w:rFonts w:ascii="Segoe UI" w:eastAsia="Times New Roman" w:hAnsi="Segoe UI" w:cs="Segoe UI"/>
          <w:i/>
          <w:iCs/>
          <w:color w:val="000091" w:themeColor="text1"/>
          <w:szCs w:val="22"/>
          <w:lang w:val="fr-FR" w:eastAsia="fr-FR"/>
        </w:rPr>
        <w:t xml:space="preserve">es flux d’IDE français en Inde </w:t>
      </w:r>
      <w:r w:rsidR="00D85B85" w:rsidRPr="0045429E">
        <w:rPr>
          <w:rFonts w:ascii="Segoe UI" w:eastAsia="Times New Roman" w:hAnsi="Segoe UI" w:cs="Segoe UI"/>
          <w:i/>
          <w:iCs/>
          <w:color w:val="000091" w:themeColor="text1"/>
          <w:szCs w:val="22"/>
          <w:lang w:val="fr-FR" w:eastAsia="fr-FR"/>
        </w:rPr>
        <w:t>ralentissent</w:t>
      </w:r>
      <w:r w:rsidR="004B1377" w:rsidRPr="0045429E">
        <w:rPr>
          <w:rFonts w:ascii="Segoe UI" w:eastAsia="Times New Roman" w:hAnsi="Segoe UI" w:cs="Segoe UI"/>
          <w:i/>
          <w:iCs/>
          <w:color w:val="000091" w:themeColor="text1"/>
          <w:szCs w:val="22"/>
          <w:lang w:val="fr-FR" w:eastAsia="fr-FR"/>
        </w:rPr>
        <w:t xml:space="preserve">, </w:t>
      </w:r>
      <w:r w:rsidR="00D85B85" w:rsidRPr="0045429E">
        <w:rPr>
          <w:rFonts w:ascii="Segoe UI" w:eastAsia="Times New Roman" w:hAnsi="Segoe UI" w:cs="Segoe UI"/>
          <w:i/>
          <w:iCs/>
          <w:color w:val="000091" w:themeColor="text1"/>
          <w:szCs w:val="22"/>
          <w:lang w:val="fr-FR" w:eastAsia="fr-FR"/>
        </w:rPr>
        <w:t xml:space="preserve">s’inscrivant à 300 MEUR en 2024, contre </w:t>
      </w:r>
      <w:r w:rsidR="00855FC6">
        <w:rPr>
          <w:rFonts w:ascii="Segoe UI" w:eastAsia="Times New Roman" w:hAnsi="Segoe UI" w:cs="Segoe UI"/>
          <w:i/>
          <w:iCs/>
          <w:color w:val="000091" w:themeColor="text1"/>
          <w:szCs w:val="22"/>
          <w:lang w:val="fr-FR" w:eastAsia="fr-FR"/>
        </w:rPr>
        <w:t>5</w:t>
      </w:r>
      <w:r w:rsidR="00D85B85" w:rsidRPr="0045429E">
        <w:rPr>
          <w:rFonts w:ascii="Segoe UI" w:eastAsia="Times New Roman" w:hAnsi="Segoe UI" w:cs="Segoe UI"/>
          <w:i/>
          <w:iCs/>
          <w:color w:val="000091" w:themeColor="text1"/>
          <w:szCs w:val="22"/>
          <w:lang w:val="fr-FR" w:eastAsia="fr-FR"/>
        </w:rPr>
        <w:t>00 MEUR en 2023</w:t>
      </w:r>
      <w:r w:rsidR="00F8395D" w:rsidRPr="0045429E">
        <w:rPr>
          <w:rFonts w:ascii="Segoe UI" w:eastAsia="Times New Roman" w:hAnsi="Segoe UI" w:cs="Segoe UI"/>
          <w:i/>
          <w:iCs/>
          <w:color w:val="000091" w:themeColor="text1"/>
          <w:szCs w:val="22"/>
          <w:lang w:val="fr-FR" w:eastAsia="fr-FR"/>
        </w:rPr>
        <w:t xml:space="preserve">. Parallèlement, la présence indienne en France demeure modeste, avec </w:t>
      </w:r>
      <w:r w:rsidRPr="0045429E">
        <w:rPr>
          <w:rFonts w:ascii="Segoe UI" w:eastAsia="Times New Roman" w:hAnsi="Segoe UI" w:cs="Segoe UI"/>
          <w:i/>
          <w:iCs/>
          <w:color w:val="000091" w:themeColor="text1"/>
          <w:szCs w:val="22"/>
          <w:lang w:val="fr-FR" w:eastAsia="fr-FR"/>
        </w:rPr>
        <w:t>un stock d’IDE</w:t>
      </w:r>
      <w:r w:rsidR="00F8395D" w:rsidRPr="0045429E">
        <w:rPr>
          <w:rFonts w:ascii="Segoe UI" w:eastAsia="Times New Roman" w:hAnsi="Segoe UI" w:cs="Segoe UI"/>
          <w:i/>
          <w:iCs/>
          <w:color w:val="000091" w:themeColor="text1"/>
          <w:szCs w:val="22"/>
          <w:lang w:val="fr-FR" w:eastAsia="fr-FR"/>
        </w:rPr>
        <w:t xml:space="preserve"> </w:t>
      </w:r>
      <w:r w:rsidR="00114B9A">
        <w:rPr>
          <w:rFonts w:ascii="Segoe UI" w:eastAsia="Times New Roman" w:hAnsi="Segoe UI" w:cs="Segoe UI"/>
          <w:i/>
          <w:iCs/>
          <w:color w:val="000091" w:themeColor="text1"/>
          <w:szCs w:val="22"/>
          <w:lang w:val="fr-FR" w:eastAsia="fr-FR"/>
        </w:rPr>
        <w:t>s’inscrivant</w:t>
      </w:r>
      <w:r w:rsidR="00F8395D" w:rsidRPr="0045429E">
        <w:rPr>
          <w:rFonts w:ascii="Segoe UI" w:eastAsia="Times New Roman" w:hAnsi="Segoe UI" w:cs="Segoe UI"/>
          <w:i/>
          <w:iCs/>
          <w:color w:val="000091" w:themeColor="text1"/>
          <w:szCs w:val="22"/>
          <w:lang w:val="fr-FR" w:eastAsia="fr-FR"/>
        </w:rPr>
        <w:t xml:space="preserve"> à 2</w:t>
      </w:r>
      <w:r w:rsidR="009166A5" w:rsidRPr="0045429E">
        <w:rPr>
          <w:rFonts w:ascii="Segoe UI" w:eastAsia="Times New Roman" w:hAnsi="Segoe UI" w:cs="Segoe UI"/>
          <w:i/>
          <w:iCs/>
          <w:color w:val="000091" w:themeColor="text1"/>
          <w:szCs w:val="22"/>
          <w:lang w:val="fr-FR" w:eastAsia="fr-FR"/>
        </w:rPr>
        <w:t>08</w:t>
      </w:r>
      <w:r w:rsidR="00F8395D" w:rsidRPr="0045429E">
        <w:rPr>
          <w:rFonts w:ascii="Segoe UI" w:eastAsia="Times New Roman" w:hAnsi="Segoe UI" w:cs="Segoe UI"/>
          <w:i/>
          <w:iCs/>
          <w:color w:val="000091" w:themeColor="text1"/>
          <w:szCs w:val="22"/>
          <w:lang w:val="fr-FR" w:eastAsia="fr-FR"/>
        </w:rPr>
        <w:t xml:space="preserve"> MEUR en 202</w:t>
      </w:r>
      <w:r w:rsidR="009166A5" w:rsidRPr="0045429E">
        <w:rPr>
          <w:rFonts w:ascii="Segoe UI" w:eastAsia="Times New Roman" w:hAnsi="Segoe UI" w:cs="Segoe UI"/>
          <w:i/>
          <w:iCs/>
          <w:color w:val="000091" w:themeColor="text1"/>
          <w:szCs w:val="22"/>
          <w:lang w:val="fr-FR" w:eastAsia="fr-FR"/>
        </w:rPr>
        <w:t>4</w:t>
      </w:r>
      <w:r w:rsidR="00F8395D" w:rsidRPr="0045429E">
        <w:rPr>
          <w:rFonts w:ascii="Segoe UI" w:eastAsia="Times New Roman" w:hAnsi="Segoe UI" w:cs="Segoe UI"/>
          <w:i/>
          <w:iCs/>
          <w:color w:val="000091" w:themeColor="text1"/>
          <w:szCs w:val="22"/>
          <w:lang w:val="fr-FR" w:eastAsia="fr-FR"/>
        </w:rPr>
        <w:t>.</w:t>
      </w:r>
    </w:p>
    <w:p w14:paraId="353F39EB" w14:textId="77777777" w:rsidR="00F8395D" w:rsidRPr="0045429E" w:rsidRDefault="00F8395D" w:rsidP="00187F02">
      <w:pPr>
        <w:pStyle w:val="Briefinglist1"/>
        <w:numPr>
          <w:ilvl w:val="0"/>
          <w:numId w:val="0"/>
        </w:numPr>
        <w:spacing w:after="0"/>
        <w:ind w:left="-284"/>
        <w:contextualSpacing/>
        <w:rPr>
          <w:rFonts w:ascii="Segoe UI" w:eastAsia="Times New Roman" w:hAnsi="Segoe UI" w:cs="Segoe UI"/>
          <w:i/>
          <w:iCs/>
          <w:color w:val="000091" w:themeColor="text1"/>
          <w:szCs w:val="22"/>
          <w:lang w:val="fr-FR" w:eastAsia="fr-FR"/>
        </w:rPr>
      </w:pPr>
    </w:p>
    <w:p w14:paraId="6D303722" w14:textId="61069077" w:rsidR="002D06F0" w:rsidRPr="0045429E" w:rsidRDefault="00E33935" w:rsidP="002D06F0">
      <w:pPr>
        <w:pStyle w:val="Paragraphedeliste"/>
        <w:numPr>
          <w:ilvl w:val="0"/>
          <w:numId w:val="26"/>
        </w:numPr>
        <w:spacing w:line="240" w:lineRule="auto"/>
        <w:jc w:val="both"/>
        <w:rPr>
          <w:rFonts w:ascii="Segoe UI" w:hAnsi="Segoe UI" w:cs="Segoe UI"/>
          <w:b/>
          <w:bCs/>
          <w:color w:val="000091" w:themeColor="text1"/>
          <w:szCs w:val="24"/>
        </w:rPr>
      </w:pPr>
      <w:r w:rsidRPr="0045429E">
        <w:rPr>
          <w:rFonts w:ascii="Segoe UI" w:hAnsi="Segoe UI" w:cs="Segoe UI"/>
          <w:b/>
          <w:bCs/>
          <w:color w:val="000091" w:themeColor="text1"/>
          <w:szCs w:val="24"/>
        </w:rPr>
        <w:t>La présence française en Inde demeure stable au cours de l’année 2024, avec un stock d’IDE s’inscrivant à 12,8 Mds EUR</w:t>
      </w:r>
    </w:p>
    <w:p w14:paraId="67906616" w14:textId="2E7D3F3F" w:rsidR="00003DEF" w:rsidRPr="0045429E" w:rsidRDefault="00F8395D" w:rsidP="00046334">
      <w:pPr>
        <w:spacing w:after="60" w:line="240" w:lineRule="auto"/>
        <w:ind w:left="-284"/>
        <w:jc w:val="both"/>
        <w:rPr>
          <w:rFonts w:ascii="Segoe UI" w:hAnsi="Segoe UI" w:cs="Segoe UI"/>
        </w:rPr>
      </w:pPr>
      <w:r w:rsidRPr="0045429E">
        <w:rPr>
          <w:rFonts w:ascii="Segoe UI" w:hAnsi="Segoe UI" w:cs="Segoe UI"/>
        </w:rPr>
        <w:t>Selon les données de la Banque de France</w:t>
      </w:r>
      <w:r w:rsidR="005C75AD" w:rsidRPr="0045429E">
        <w:rPr>
          <w:rStyle w:val="Appeldenotedefin"/>
          <w:rFonts w:ascii="Segoe UI" w:hAnsi="Segoe UI" w:cs="Segoe UI"/>
        </w:rPr>
        <w:endnoteReference w:id="1"/>
      </w:r>
      <w:r w:rsidR="005C75AD" w:rsidRPr="0045429E">
        <w:rPr>
          <w:rFonts w:ascii="Segoe UI" w:hAnsi="Segoe UI" w:cs="Segoe UI"/>
        </w:rPr>
        <w:t>,</w:t>
      </w:r>
      <w:r w:rsidRPr="0045429E">
        <w:rPr>
          <w:rFonts w:ascii="Segoe UI" w:hAnsi="Segoe UI" w:cs="Segoe UI"/>
        </w:rPr>
        <w:t xml:space="preserve"> </w:t>
      </w:r>
      <w:r w:rsidR="00594F28" w:rsidRPr="0045429E">
        <w:rPr>
          <w:rFonts w:ascii="Segoe UI" w:hAnsi="Segoe UI" w:cs="Segoe UI"/>
        </w:rPr>
        <w:t>le stock d’investissements français en Inde recule légèrement en 2024, passant de 13,5 Mds EUR à 12,8 Mds EUR, soit une baisse de 5,2%. Sa part dans le total mondial d’IDE français reste toutefois stable, à 0,9%. Cette contraction, exprimée en euros, s’explique en partie par la dépréciation de l’euro face à la roupie indienne, le taux de change étant passé de 92,4 INR/EUR fin 2023 à 88,9 INR/EUR fin 2024</w:t>
      </w:r>
      <w:r w:rsidR="00057204" w:rsidRPr="0045429E">
        <w:rPr>
          <w:rStyle w:val="Appeldenotedefin"/>
          <w:rFonts w:ascii="Segoe UI" w:hAnsi="Segoe UI" w:cs="Segoe UI"/>
        </w:rPr>
        <w:endnoteReference w:id="2"/>
      </w:r>
      <w:r w:rsidR="00057204" w:rsidRPr="0045429E">
        <w:rPr>
          <w:rFonts w:ascii="Segoe UI" w:hAnsi="Segoe UI" w:cs="Segoe UI"/>
        </w:rPr>
        <w:t>.</w:t>
      </w:r>
      <w:r w:rsidR="00594F28" w:rsidRPr="0045429E">
        <w:rPr>
          <w:rFonts w:ascii="Segoe UI" w:hAnsi="Segoe UI" w:cs="Segoe UI"/>
        </w:rPr>
        <w:t xml:space="preserve"> Le niveau observé demeure inférieur à celui de 2021, où il s’établissait à 16,6 Mds EUR, avant l’envolée de 2022 à 26 Mds EUR portée par les effets de valorisation boursière. Sur les dix dernières années, la tendance reste néanmoins haussière, le stock ayant plus que triplé entre 2014, à 4,1 Mds EUR, et 2024, à 12,8 Mds EUR.</w:t>
      </w:r>
      <w:r w:rsidR="00003DEF">
        <w:rPr>
          <w:rFonts w:ascii="Segoe UI" w:hAnsi="Segoe UI" w:cs="Segoe UI"/>
        </w:rPr>
        <w:t xml:space="preserve"> </w:t>
      </w:r>
      <w:r w:rsidR="00003DEF" w:rsidRPr="00046334">
        <w:rPr>
          <w:rFonts w:ascii="Segoe UI" w:hAnsi="Segoe UI" w:cs="Segoe UI"/>
        </w:rPr>
        <w:t>Les revenus d’investissements directs générés par ces stocks sont</w:t>
      </w:r>
      <w:r w:rsidR="00046334">
        <w:rPr>
          <w:rFonts w:ascii="Segoe UI" w:hAnsi="Segoe UI" w:cs="Segoe UI"/>
        </w:rPr>
        <w:t xml:space="preserve"> également en</w:t>
      </w:r>
      <w:r w:rsidR="00003DEF" w:rsidRPr="00046334">
        <w:rPr>
          <w:rFonts w:ascii="Segoe UI" w:hAnsi="Segoe UI" w:cs="Segoe UI"/>
        </w:rPr>
        <w:t xml:space="preserve"> </w:t>
      </w:r>
      <w:r w:rsidR="00003EBB">
        <w:rPr>
          <w:rFonts w:ascii="Segoe UI" w:hAnsi="Segoe UI" w:cs="Segoe UI"/>
        </w:rPr>
        <w:t>progression</w:t>
      </w:r>
      <w:r w:rsidR="00046334" w:rsidRPr="00046334">
        <w:rPr>
          <w:rFonts w:ascii="Segoe UI" w:hAnsi="Segoe UI" w:cs="Segoe UI"/>
        </w:rPr>
        <w:t xml:space="preserve">, </w:t>
      </w:r>
      <w:r w:rsidR="00003DEF" w:rsidRPr="00046334">
        <w:rPr>
          <w:rFonts w:ascii="Segoe UI" w:hAnsi="Segoe UI" w:cs="Segoe UI"/>
        </w:rPr>
        <w:t xml:space="preserve">puisqu’ils s’élevaient à </w:t>
      </w:r>
      <w:r w:rsidR="00003EBB">
        <w:rPr>
          <w:rFonts w:ascii="Segoe UI" w:hAnsi="Segoe UI" w:cs="Segoe UI"/>
        </w:rPr>
        <w:t>500</w:t>
      </w:r>
      <w:r w:rsidR="00003DEF" w:rsidRPr="00046334">
        <w:rPr>
          <w:rFonts w:ascii="Segoe UI" w:hAnsi="Segoe UI" w:cs="Segoe UI"/>
        </w:rPr>
        <w:t xml:space="preserve"> EUR en 2023, contre </w:t>
      </w:r>
      <w:r w:rsidR="00046334">
        <w:rPr>
          <w:rFonts w:ascii="Segoe UI" w:hAnsi="Segoe UI" w:cs="Segoe UI"/>
        </w:rPr>
        <w:t>1,2 Md EUR en 2024.</w:t>
      </w:r>
      <w:r w:rsidR="00003DEF" w:rsidRPr="0045429E">
        <w:rPr>
          <w:rFonts w:ascii="Segoe UI" w:hAnsi="Segoe UI" w:cs="Segoe UI"/>
        </w:rPr>
        <w:t xml:space="preserve">  </w:t>
      </w:r>
    </w:p>
    <w:p w14:paraId="14BB1139" w14:textId="126C99EE" w:rsidR="00003DEF" w:rsidRDefault="00003DEF" w:rsidP="00003DEF">
      <w:pPr>
        <w:spacing w:after="60" w:line="240" w:lineRule="auto"/>
        <w:ind w:left="-284"/>
        <w:jc w:val="both"/>
        <w:rPr>
          <w:rFonts w:ascii="Segoe UI" w:hAnsi="Segoe UI" w:cs="Segoe UI"/>
        </w:rPr>
      </w:pPr>
      <w:r w:rsidRPr="0045429E">
        <w:rPr>
          <w:rFonts w:ascii="Segoe UI" w:hAnsi="Segoe UI" w:cs="Segoe UI"/>
        </w:rPr>
        <w:t>S’agissant des flux d’investissements français en Inde, ceux-ci s’établissent à 300 MEUR sur la période sous revue, contre 400 MEUR l’année précédente. Ces derniers se concentrent principalement sur les activités des services financiers, hors assurance et caisse de retrai</w:t>
      </w:r>
      <w:r w:rsidR="00855FC6">
        <w:rPr>
          <w:rFonts w:ascii="Segoe UI" w:hAnsi="Segoe UI" w:cs="Segoe UI"/>
        </w:rPr>
        <w:t>t</w:t>
      </w:r>
      <w:r w:rsidRPr="0045429E">
        <w:rPr>
          <w:rFonts w:ascii="Segoe UI" w:hAnsi="Segoe UI" w:cs="Segoe UI"/>
        </w:rPr>
        <w:t xml:space="preserve">e, à hauteur de 90%. Après un solde négatif de -223 M EUR en 2016, bien en deçà de la moyenne annuelle de 645 M EUR depuis 2014, les flux d’IDE ont atteint 2 Mds EUR en 2020 selon la Banque de France. Les flux d’IDE s’inscrivent dans la moyenne des flux observés après le pic de 2020, à 275 MEUR sur les quatre dernières années. </w:t>
      </w:r>
    </w:p>
    <w:p w14:paraId="712E5455" w14:textId="4C4BB3C6" w:rsidR="00003DEF" w:rsidRPr="0045429E" w:rsidRDefault="00003DEF" w:rsidP="00003DEF">
      <w:pPr>
        <w:spacing w:after="60" w:line="240" w:lineRule="auto"/>
        <w:ind w:left="-284"/>
        <w:jc w:val="both"/>
        <w:rPr>
          <w:rFonts w:ascii="Segoe UI" w:hAnsi="Segoe UI" w:cs="Segoe UI"/>
        </w:rPr>
      </w:pPr>
      <w:r w:rsidRPr="0045429E">
        <w:rPr>
          <w:rFonts w:ascii="Segoe UI" w:hAnsi="Segoe UI" w:cs="Segoe UI"/>
        </w:rPr>
        <w:t>La France se place au 11</w:t>
      </w:r>
      <w:r w:rsidRPr="0045429E">
        <w:rPr>
          <w:rFonts w:ascii="Segoe UI" w:hAnsi="Segoe UI" w:cs="Segoe UI"/>
          <w:vertAlign w:val="superscript"/>
        </w:rPr>
        <w:t>ème</w:t>
      </w:r>
      <w:r w:rsidRPr="0045429E">
        <w:rPr>
          <w:rFonts w:ascii="Segoe UI" w:hAnsi="Segoe UI" w:cs="Segoe UI"/>
        </w:rPr>
        <w:t xml:space="preserve"> rang des investisseurs étrangers en Inde en matière de flux cumulés d’IDE entre avril 2000 et décembre 2024, qui se seraient élevés à 11,7 Mds USD, soit 1,63% du stock total cumulés indien sur la période, selon les statistiques publiées par le DPIIT</w:t>
      </w:r>
      <w:bookmarkStart w:id="1" w:name="_Ref210137607"/>
      <w:r w:rsidRPr="0045429E">
        <w:rPr>
          <w:rStyle w:val="Appeldenotedefin"/>
          <w:rFonts w:ascii="Segoe UI" w:hAnsi="Segoe UI" w:cs="Segoe UI"/>
        </w:rPr>
        <w:endnoteReference w:id="3"/>
      </w:r>
      <w:bookmarkEnd w:id="1"/>
      <w:r w:rsidRPr="0045429E">
        <w:rPr>
          <w:rFonts w:ascii="Segoe UI" w:hAnsi="Segoe UI" w:cs="Segoe UI"/>
        </w:rPr>
        <w:t>. Les données de la RBI recensent quant à elles 16,8 Mds EUR (1 523 Mds INR) d’IDE français en Inde à la fin mars 2024, faisant de la France le neuvième pays générateur d’IDE en Inde</w:t>
      </w:r>
      <w:r w:rsidRPr="0045429E">
        <w:rPr>
          <w:rStyle w:val="Appeldenotedefin"/>
          <w:rFonts w:ascii="Segoe UI" w:hAnsi="Segoe UI" w:cs="Segoe UI"/>
        </w:rPr>
        <w:endnoteReference w:id="4"/>
      </w:r>
      <w:r w:rsidR="005E4A4F">
        <w:rPr>
          <w:rFonts w:ascii="Segoe UI" w:hAnsi="Segoe UI" w:cs="Segoe UI"/>
        </w:rPr>
        <w:t xml:space="preserve">, </w:t>
      </w:r>
      <w:r w:rsidR="005E4A4F" w:rsidRPr="005E4A4F">
        <w:rPr>
          <w:rFonts w:ascii="Segoe UI" w:hAnsi="Segoe UI" w:cs="Segoe UI"/>
        </w:rPr>
        <w:t>bien que le volume d’investissements français demeure sous-évalué du fait du transit d’une partie des flux par des juridictions tierces. L’île Maurice et Singapour ont ainsi concentré à eux seuls p</w:t>
      </w:r>
      <w:r w:rsidR="00C04E3A">
        <w:rPr>
          <w:rFonts w:ascii="Segoe UI" w:hAnsi="Segoe UI" w:cs="Segoe UI"/>
        </w:rPr>
        <w:t>rès</w:t>
      </w:r>
      <w:r w:rsidR="005E4A4F" w:rsidRPr="005E4A4F">
        <w:rPr>
          <w:rFonts w:ascii="Segoe UI" w:hAnsi="Segoe UI" w:cs="Segoe UI"/>
        </w:rPr>
        <w:t xml:space="preserve"> de 50% des flux d’IDE reçus par l’Inde depuis 2000</w:t>
      </w:r>
      <w:r w:rsidR="00200910">
        <w:rPr>
          <w:rFonts w:ascii="Segoe UI" w:hAnsi="Segoe UI" w:cs="Segoe UI"/>
        </w:rPr>
        <w:t>.</w:t>
      </w:r>
      <w:r w:rsidRPr="0045429E">
        <w:rPr>
          <w:rFonts w:ascii="Segoe UI" w:hAnsi="Segoe UI" w:cs="Segoe UI"/>
        </w:rPr>
        <w:t xml:space="preserve"> </w:t>
      </w:r>
    </w:p>
    <w:p w14:paraId="54891670" w14:textId="3EE5C9CA" w:rsidR="00F8395D" w:rsidRPr="0045429E" w:rsidRDefault="0091472E" w:rsidP="00003DEF">
      <w:pPr>
        <w:spacing w:after="60" w:line="240" w:lineRule="auto"/>
        <w:ind w:left="-284"/>
        <w:jc w:val="both"/>
        <w:rPr>
          <w:rFonts w:ascii="Segoe UI" w:hAnsi="Segoe UI" w:cs="Segoe UI"/>
        </w:rPr>
      </w:pPr>
      <w:r w:rsidRPr="0045429E">
        <w:rPr>
          <w:rFonts w:ascii="Segoe UI" w:hAnsi="Segoe UI" w:cs="Segoe UI"/>
        </w:rPr>
        <w:t>Les investissements français en Inde se concentrent principalement dans l’industrie manufacturière, qui représente</w:t>
      </w:r>
      <w:r w:rsidR="00D83580" w:rsidRPr="0045429E">
        <w:rPr>
          <w:rFonts w:ascii="Segoe UI" w:hAnsi="Segoe UI" w:cs="Segoe UI"/>
        </w:rPr>
        <w:t xml:space="preserve"> une part stable de</w:t>
      </w:r>
      <w:r w:rsidRPr="0045429E">
        <w:rPr>
          <w:rFonts w:ascii="Segoe UI" w:hAnsi="Segoe UI" w:cs="Segoe UI"/>
        </w:rPr>
        <w:t xml:space="preserve"> 2</w:t>
      </w:r>
      <w:r w:rsidR="00D83580" w:rsidRPr="0045429E">
        <w:rPr>
          <w:rFonts w:ascii="Segoe UI" w:hAnsi="Segoe UI" w:cs="Segoe UI"/>
        </w:rPr>
        <w:t>7</w:t>
      </w:r>
      <w:r w:rsidRPr="0045429E">
        <w:rPr>
          <w:rFonts w:ascii="Segoe UI" w:hAnsi="Segoe UI" w:cs="Segoe UI"/>
        </w:rPr>
        <w:t>% du stock d’IDE, ainsi que dans les activités financières et d’assurance, qui totalisent 2</w:t>
      </w:r>
      <w:r w:rsidR="00D83580" w:rsidRPr="0045429E">
        <w:rPr>
          <w:rFonts w:ascii="Segoe UI" w:hAnsi="Segoe UI" w:cs="Segoe UI"/>
        </w:rPr>
        <w:t>5</w:t>
      </w:r>
      <w:r w:rsidRPr="0045429E">
        <w:rPr>
          <w:rFonts w:ascii="Segoe UI" w:hAnsi="Segoe UI" w:cs="Segoe UI"/>
        </w:rPr>
        <w:t>% du stock total</w:t>
      </w:r>
      <w:r w:rsidR="00D83580" w:rsidRPr="0045429E">
        <w:rPr>
          <w:rFonts w:ascii="Segoe UI" w:hAnsi="Segoe UI" w:cs="Segoe UI"/>
        </w:rPr>
        <w:t>, contre 20% l’année précédente</w:t>
      </w:r>
      <w:r w:rsidRPr="0045429E">
        <w:rPr>
          <w:rFonts w:ascii="Segoe UI" w:hAnsi="Segoe UI" w:cs="Segoe UI"/>
        </w:rPr>
        <w:t xml:space="preserve">. </w:t>
      </w:r>
      <w:r w:rsidR="00907CBA" w:rsidRPr="0045429E">
        <w:rPr>
          <w:rFonts w:ascii="Segoe UI" w:hAnsi="Segoe UI" w:cs="Segoe UI"/>
        </w:rPr>
        <w:t xml:space="preserve">Les perspectives </w:t>
      </w:r>
      <w:r w:rsidR="00907CBA" w:rsidRPr="0045429E">
        <w:rPr>
          <w:rFonts w:ascii="Segoe UI" w:hAnsi="Segoe UI" w:cs="Segoe UI"/>
        </w:rPr>
        <w:lastRenderedPageBreak/>
        <w:t xml:space="preserve">d’investissement des entreprises françaises en Inde apparaissent prometteuses, tant dans des secteurs historiquement dynamiques de la relation bilatérale, tels que la défense et l’aéronautique, que dans des domaines émergents, notamment le numérique. A cet égard, Capgemini a annoncé en juillet 2024 un investissement de 120 MUSD pour la construction d’un campus technologique durable à Chennai. </w:t>
      </w:r>
    </w:p>
    <w:p w14:paraId="2E09D236" w14:textId="19950EA8" w:rsidR="00F8395D" w:rsidRPr="0045429E" w:rsidRDefault="00F8395D" w:rsidP="00F8395D">
      <w:pPr>
        <w:spacing w:after="60" w:line="240" w:lineRule="auto"/>
        <w:ind w:left="-284"/>
        <w:jc w:val="both"/>
        <w:rPr>
          <w:rFonts w:ascii="Segoe UI" w:hAnsi="Segoe UI" w:cs="Segoe UI"/>
        </w:rPr>
      </w:pPr>
      <w:r w:rsidRPr="0045429E">
        <w:rPr>
          <w:rFonts w:ascii="Segoe UI" w:hAnsi="Segoe UI" w:cs="Segoe UI"/>
        </w:rPr>
        <w:t>Par ailleurs, l’enquête INSEE/OFATS de 2020 recense officiellement près de 716 filiales françaises en Inde, et plus de 1051 implantations, qui représentaient 450 000 emplois pour un chiffre d’affaires de 15,2 Mds EUR. Par ailleurs, la plupart des grands groupes français cotés au CAC40 sont désormais implantés en Inde (dont Airbus, Cap Gemini, Safran, Alstom, Schneider, Saint-Gobain</w:t>
      </w:r>
      <w:r w:rsidR="00200910">
        <w:rPr>
          <w:rStyle w:val="Appeldenotedefin"/>
          <w:rFonts w:ascii="Segoe UI" w:hAnsi="Segoe UI" w:cs="Segoe UI"/>
        </w:rPr>
        <w:endnoteReference w:id="5"/>
      </w:r>
      <w:r w:rsidRPr="0045429E">
        <w:rPr>
          <w:rFonts w:ascii="Segoe UI" w:hAnsi="Segoe UI" w:cs="Segoe UI"/>
        </w:rPr>
        <w:t xml:space="preserve">).    </w:t>
      </w:r>
    </w:p>
    <w:p w14:paraId="0EB3532F" w14:textId="77777777" w:rsidR="00F8395D" w:rsidRPr="0045429E" w:rsidRDefault="00F8395D" w:rsidP="00F8395D">
      <w:pPr>
        <w:spacing w:after="60" w:line="240" w:lineRule="auto"/>
        <w:ind w:left="-284"/>
        <w:jc w:val="both"/>
        <w:rPr>
          <w:rFonts w:ascii="Segoe UI" w:hAnsi="Segoe UI" w:cs="Segoe UI"/>
        </w:rPr>
      </w:pPr>
    </w:p>
    <w:p w14:paraId="0214BEDC" w14:textId="3421D33F" w:rsidR="00133FE1" w:rsidRPr="00133FE1" w:rsidRDefault="00221F94" w:rsidP="00133FE1">
      <w:pPr>
        <w:pStyle w:val="Paragraphedeliste"/>
        <w:numPr>
          <w:ilvl w:val="0"/>
          <w:numId w:val="26"/>
        </w:numPr>
        <w:spacing w:after="60" w:line="240" w:lineRule="auto"/>
        <w:jc w:val="both"/>
        <w:rPr>
          <w:rFonts w:ascii="Segoe UI" w:hAnsi="Segoe UI" w:cs="Segoe UI"/>
        </w:rPr>
      </w:pPr>
      <w:r w:rsidRPr="0045429E">
        <w:rPr>
          <w:rFonts w:ascii="Segoe UI" w:hAnsi="Segoe UI" w:cs="Segoe UI"/>
          <w:b/>
          <w:bCs/>
          <w:color w:val="000091" w:themeColor="text1"/>
          <w:szCs w:val="24"/>
        </w:rPr>
        <w:t xml:space="preserve">La présence indienne en France reste stable bien que marginale </w:t>
      </w:r>
    </w:p>
    <w:p w14:paraId="74F50E10" w14:textId="4F5FCA7B" w:rsidR="00133FE1" w:rsidRDefault="00133FE1" w:rsidP="00133FE1">
      <w:pPr>
        <w:spacing w:after="60" w:line="240" w:lineRule="auto"/>
        <w:ind w:left="-284"/>
        <w:jc w:val="both"/>
        <w:rPr>
          <w:rFonts w:ascii="Segoe UI" w:hAnsi="Segoe UI" w:cs="Segoe UI"/>
        </w:rPr>
      </w:pPr>
      <w:r w:rsidRPr="00133FE1">
        <w:rPr>
          <w:rFonts w:ascii="Segoe UI" w:hAnsi="Segoe UI" w:cs="Segoe UI"/>
        </w:rPr>
        <w:t xml:space="preserve">En 2024, le stock d’IDE indiens en France </w:t>
      </w:r>
      <w:r w:rsidR="00C04E3A">
        <w:rPr>
          <w:rFonts w:ascii="Segoe UI" w:hAnsi="Segoe UI" w:cs="Segoe UI"/>
        </w:rPr>
        <w:t>demeure stable,</w:t>
      </w:r>
      <w:r w:rsidRPr="00133FE1">
        <w:rPr>
          <w:rFonts w:ascii="Segoe UI" w:hAnsi="Segoe UI" w:cs="Segoe UI"/>
        </w:rPr>
        <w:t xml:space="preserve"> </w:t>
      </w:r>
      <w:r w:rsidR="00C04E3A">
        <w:rPr>
          <w:rFonts w:ascii="Segoe UI" w:hAnsi="Segoe UI" w:cs="Segoe UI"/>
        </w:rPr>
        <w:t>stagnant à</w:t>
      </w:r>
      <w:r w:rsidRPr="00133FE1">
        <w:rPr>
          <w:rFonts w:ascii="Segoe UI" w:hAnsi="Segoe UI" w:cs="Segoe UI"/>
        </w:rPr>
        <w:t xml:space="preserve"> 200 MEUR, ce qui ne représente qu’une part marginale du stock total d’IDE indiens dans le monde, estimé à </w:t>
      </w:r>
      <w:r w:rsidR="00212AF0">
        <w:rPr>
          <w:rFonts w:ascii="Segoe UI" w:hAnsi="Segoe UI" w:cs="Segoe UI"/>
        </w:rPr>
        <w:t>41,6</w:t>
      </w:r>
      <w:r w:rsidR="00974FC6">
        <w:rPr>
          <w:rFonts w:ascii="Segoe UI" w:hAnsi="Segoe UI" w:cs="Segoe UI"/>
        </w:rPr>
        <w:t xml:space="preserve"> </w:t>
      </w:r>
      <w:r w:rsidRPr="00133FE1">
        <w:rPr>
          <w:rFonts w:ascii="Segoe UI" w:hAnsi="Segoe UI" w:cs="Segoe UI"/>
        </w:rPr>
        <w:t>Mds USD</w:t>
      </w:r>
      <w:r w:rsidR="00974FC6">
        <w:rPr>
          <w:rStyle w:val="Appeldenotedefin"/>
          <w:rFonts w:ascii="Segoe UI" w:hAnsi="Segoe UI" w:cs="Segoe UI"/>
        </w:rPr>
        <w:endnoteReference w:id="6"/>
      </w:r>
      <w:r w:rsidR="00974FC6">
        <w:rPr>
          <w:rFonts w:ascii="Segoe UI" w:hAnsi="Segoe UI" w:cs="Segoe UI"/>
        </w:rPr>
        <w:t xml:space="preserve"> au cours de l’exercice budgétaire 2024/25</w:t>
      </w:r>
      <w:r w:rsidRPr="00133FE1">
        <w:rPr>
          <w:rFonts w:ascii="Segoe UI" w:hAnsi="Segoe UI" w:cs="Segoe UI"/>
        </w:rPr>
        <w:t>. Comparativement aux autres pays des BRICS, ce stock est proche de celui du Brésil (275 MEUR), mais demeure inférieur à celui de l’Afrique du Sud (700 MEUR), de la Russie (550 MEUR) et surtout de la Chine (3,6 Mds EUR pour la Chine continentale et 4,4 Mds EUR pour Hong Kong).</w:t>
      </w:r>
    </w:p>
    <w:p w14:paraId="1B8E3068" w14:textId="782960F6" w:rsidR="00F8395D" w:rsidRDefault="00133FE1" w:rsidP="00133FE1">
      <w:pPr>
        <w:spacing w:after="60" w:line="240" w:lineRule="auto"/>
        <w:ind w:left="-284"/>
        <w:jc w:val="both"/>
        <w:rPr>
          <w:rFonts w:ascii="Segoe UI" w:hAnsi="Segoe UI" w:cs="Segoe UI"/>
        </w:rPr>
      </w:pPr>
      <w:r w:rsidRPr="00133FE1">
        <w:rPr>
          <w:rFonts w:ascii="Segoe UI" w:hAnsi="Segoe UI" w:cs="Segoe UI"/>
        </w:rPr>
        <w:t xml:space="preserve">Les IDE indiens en France se concentrent essentiellement dans les services. Plus de 150 entreprises indiennes y opèrent actuellement, avec une forte présence dans les transports (automobile et aéronautique), les équipements hydrauliques, la pharmacie, les biotechnologies et l’informatique. Parmi elles, </w:t>
      </w:r>
      <w:proofErr w:type="spellStart"/>
      <w:r w:rsidRPr="00133FE1">
        <w:rPr>
          <w:rFonts w:ascii="Segoe UI" w:hAnsi="Segoe UI" w:cs="Segoe UI"/>
        </w:rPr>
        <w:t>Motherson</w:t>
      </w:r>
      <w:proofErr w:type="spellEnd"/>
      <w:r w:rsidRPr="00133FE1">
        <w:rPr>
          <w:rFonts w:ascii="Segoe UI" w:hAnsi="Segoe UI" w:cs="Segoe UI"/>
        </w:rPr>
        <w:t xml:space="preserve">, acteur majeur du secteur des transports, détient huit sites en France et a annoncé, lors du sommet </w:t>
      </w:r>
      <w:proofErr w:type="spellStart"/>
      <w:r w:rsidRPr="00133FE1">
        <w:rPr>
          <w:rFonts w:ascii="Segoe UI" w:hAnsi="Segoe UI" w:cs="Segoe UI"/>
        </w:rPr>
        <w:t>Choose</w:t>
      </w:r>
      <w:proofErr w:type="spellEnd"/>
      <w:r w:rsidRPr="00133FE1">
        <w:rPr>
          <w:rFonts w:ascii="Segoe UI" w:hAnsi="Segoe UI" w:cs="Segoe UI"/>
        </w:rPr>
        <w:t xml:space="preserve"> France de mai 2024, la reprise de la société AD Industrie, devenant ainsi le premier employeur indien en France.</w:t>
      </w:r>
    </w:p>
    <w:p w14:paraId="6679C5F6" w14:textId="77777777" w:rsidR="00133FE1" w:rsidRPr="0045429E" w:rsidRDefault="00133FE1" w:rsidP="00133FE1">
      <w:pPr>
        <w:spacing w:after="60" w:line="240" w:lineRule="auto"/>
        <w:ind w:left="-284"/>
        <w:jc w:val="both"/>
        <w:rPr>
          <w:rFonts w:ascii="Segoe UI" w:hAnsi="Segoe UI" w:cs="Segoe UI"/>
        </w:rPr>
      </w:pPr>
    </w:p>
    <w:p w14:paraId="32A69597" w14:textId="4782DFD5" w:rsidR="005C75AD" w:rsidRPr="0053633F" w:rsidRDefault="00003DEF" w:rsidP="0053633F">
      <w:pPr>
        <w:spacing w:after="60" w:line="240" w:lineRule="auto"/>
        <w:ind w:left="-284"/>
        <w:contextualSpacing/>
        <w:jc w:val="both"/>
        <w:rPr>
          <w:rFonts w:ascii="Segoe UI" w:eastAsia="Times New Roman" w:hAnsi="Segoe UI" w:cs="Segoe UI"/>
          <w:i/>
          <w:iCs/>
          <w:color w:val="000091" w:themeColor="text1"/>
          <w:lang w:eastAsia="fr-FR"/>
        </w:rPr>
      </w:pPr>
      <w:r w:rsidRPr="00003DEF">
        <w:rPr>
          <w:rFonts w:ascii="Segoe UI" w:eastAsia="Times New Roman" w:hAnsi="Segoe UI" w:cs="Segoe UI"/>
          <w:i/>
          <w:iCs/>
          <w:color w:val="000091" w:themeColor="text1"/>
          <w:lang w:eastAsia="fr-FR"/>
        </w:rPr>
        <w:t xml:space="preserve">Les investissements indiens dans l’économie française apparaissent </w:t>
      </w:r>
      <w:r w:rsidR="0053633F">
        <w:rPr>
          <w:rFonts w:ascii="Segoe UI" w:eastAsia="Times New Roman" w:hAnsi="Segoe UI" w:cs="Segoe UI"/>
          <w:i/>
          <w:iCs/>
          <w:color w:val="000091" w:themeColor="text1"/>
          <w:lang w:eastAsia="fr-FR"/>
        </w:rPr>
        <w:t>relativement</w:t>
      </w:r>
      <w:r w:rsidRPr="00003DEF">
        <w:rPr>
          <w:rFonts w:ascii="Segoe UI" w:eastAsia="Times New Roman" w:hAnsi="Segoe UI" w:cs="Segoe UI"/>
          <w:i/>
          <w:iCs/>
          <w:color w:val="000091" w:themeColor="text1"/>
          <w:lang w:eastAsia="fr-FR"/>
        </w:rPr>
        <w:t xml:space="preserve"> faibles au regard de l’importance des stocks d’IDE détenus vis-à-vis du reste du monde</w:t>
      </w:r>
      <w:r w:rsidR="0053633F">
        <w:rPr>
          <w:rFonts w:ascii="Segoe UI" w:eastAsia="Times New Roman" w:hAnsi="Segoe UI" w:cs="Segoe UI"/>
          <w:i/>
          <w:iCs/>
          <w:color w:val="000091" w:themeColor="text1"/>
          <w:lang w:eastAsia="fr-FR"/>
        </w:rPr>
        <w:t xml:space="preserve">. Des initiatives bilatérales ouvrent toutefois des perspectives pour les investisseurs indiens. </w:t>
      </w:r>
      <w:r w:rsidR="000F3118" w:rsidRPr="0045429E">
        <w:rPr>
          <w:rFonts w:ascii="Segoe UI" w:eastAsia="Times New Roman" w:hAnsi="Segoe UI" w:cs="Segoe UI"/>
          <w:i/>
          <w:iCs/>
          <w:color w:val="000091" w:themeColor="text1"/>
          <w:lang w:eastAsia="fr-FR"/>
        </w:rPr>
        <w:t>Parmi elles, la coopération franco-indienne au sein de l’IMEC, mise en avant lors du Raisina Dialogue de Marseille (12 et 13 juin 2025), qui ambitionne de connecter le port de Marseille à celui de Mumbai. De même, l’Année de l’innovation 2026 constitue une plateforme destinée à renforcer la coopération bilatérale dans le domaine de l’intelligence artificielle.</w:t>
      </w:r>
      <w:r w:rsidR="005C75AD" w:rsidRPr="0045429E">
        <w:rPr>
          <w:rFonts w:ascii="Segoe UI" w:eastAsia="Times New Roman" w:hAnsi="Segoe UI" w:cs="Segoe UI"/>
          <w:i/>
          <w:color w:val="000091" w:themeColor="text1"/>
          <w:sz w:val="20"/>
          <w:szCs w:val="20"/>
          <w:lang w:eastAsia="fr-FR"/>
        </w:rPr>
        <w:br w:type="page"/>
      </w:r>
    </w:p>
    <w:p w14:paraId="4130BA96" w14:textId="5FDC7188" w:rsidR="00A40A71" w:rsidRPr="005C75AD" w:rsidRDefault="0053633F" w:rsidP="005C75AD">
      <w:pPr>
        <w:spacing w:after="60" w:line="240" w:lineRule="auto"/>
        <w:ind w:left="-284"/>
        <w:contextualSpacing/>
        <w:jc w:val="center"/>
        <w:rPr>
          <w:rFonts w:eastAsia="Calibri" w:cstheme="minorHAnsi"/>
          <w:b/>
          <w:bCs/>
          <w:caps/>
          <w:color w:val="000091" w:themeColor="text1"/>
          <w:sz w:val="20"/>
          <w:szCs w:val="20"/>
          <w:lang w:eastAsia="fr-FR"/>
        </w:rPr>
      </w:pPr>
      <w:r w:rsidRPr="005C75AD">
        <w:rPr>
          <w:rFonts w:eastAsia="Calibri" w:cstheme="minorHAnsi"/>
          <w:b/>
          <w:bCs/>
          <w:caps/>
          <w:noProof/>
          <w:color w:val="000091" w:themeColor="text1"/>
          <w:sz w:val="20"/>
          <w:szCs w:val="20"/>
          <w:lang w:eastAsia="fr-FR"/>
        </w:rPr>
        <w:lastRenderedPageBreak/>
        <mc:AlternateContent>
          <mc:Choice Requires="wps">
            <w:drawing>
              <wp:anchor distT="0" distB="0" distL="114300" distR="114300" simplePos="0" relativeHeight="251663360" behindDoc="1" locked="0" layoutInCell="1" allowOverlap="1" wp14:anchorId="1A5043D1" wp14:editId="78679FFD">
                <wp:simplePos x="0" y="0"/>
                <wp:positionH relativeFrom="page">
                  <wp:align>left</wp:align>
                </wp:positionH>
                <wp:positionV relativeFrom="paragraph">
                  <wp:posOffset>-447890</wp:posOffset>
                </wp:positionV>
                <wp:extent cx="7677150" cy="10687050"/>
                <wp:effectExtent l="0" t="0" r="0" b="0"/>
                <wp:wrapNone/>
                <wp:docPr id="12" name="Rectangle 12"/>
                <wp:cNvGraphicFramePr/>
                <a:graphic xmlns:a="http://schemas.openxmlformats.org/drawingml/2006/main">
                  <a:graphicData uri="http://schemas.microsoft.com/office/word/2010/wordprocessingShape">
                    <wps:wsp>
                      <wps:cNvSpPr/>
                      <wps:spPr>
                        <a:xfrm>
                          <a:off x="0" y="0"/>
                          <a:ext cx="7677150" cy="10687050"/>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2FB17" id="Rectangle 12" o:spid="_x0000_s1026" style="position:absolute;margin-left:0;margin-top:-35.25pt;width:604.5pt;height:84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" fillcolor="#fef8e8" stroked="f" strokeweight="1pt">
                <w10:wrap anchorx="page"/>
              </v:rect>
            </w:pict>
          </mc:Fallback>
        </mc:AlternateContent>
      </w:r>
      <w:r w:rsidR="005C75AD" w:rsidRPr="005C75AD">
        <w:rPr>
          <w:rFonts w:eastAsia="Calibri" w:cstheme="minorHAnsi"/>
          <w:b/>
          <w:bCs/>
          <w:caps/>
          <w:color w:val="000091" w:themeColor="text1"/>
          <w:sz w:val="20"/>
          <w:szCs w:val="20"/>
          <w:lang w:eastAsia="fr-FR"/>
        </w:rPr>
        <w:t>NOTE DE FIN</w:t>
      </w:r>
    </w:p>
    <w:sectPr w:rsidR="00A40A71" w:rsidRPr="005C75AD" w:rsidSect="005F36AB">
      <w:footerReference w:type="default" r:id="rId13"/>
      <w:endnotePr>
        <w:numFmt w:val="decimal"/>
      </w:endnotePr>
      <w:pgSz w:w="11906" w:h="16838"/>
      <w:pgMar w:top="709" w:right="1274"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DBFD" w14:textId="77777777" w:rsidR="00E10E11" w:rsidRDefault="00E10E11" w:rsidP="001C2361">
      <w:pPr>
        <w:spacing w:after="0" w:line="240" w:lineRule="auto"/>
      </w:pPr>
      <w:r>
        <w:separator/>
      </w:r>
    </w:p>
  </w:endnote>
  <w:endnote w:type="continuationSeparator" w:id="0">
    <w:p w14:paraId="3207FAF1" w14:textId="77777777" w:rsidR="00E10E11" w:rsidRDefault="00E10E11" w:rsidP="001C2361">
      <w:pPr>
        <w:spacing w:after="0" w:line="240" w:lineRule="auto"/>
      </w:pPr>
      <w:r>
        <w:continuationSeparator/>
      </w:r>
    </w:p>
  </w:endnote>
  <w:endnote w:id="1">
    <w:p w14:paraId="286E3201" w14:textId="096AB3E0" w:rsidR="005C75AD" w:rsidRPr="00FD7996" w:rsidRDefault="005C75AD" w:rsidP="00183526">
      <w:pPr>
        <w:pStyle w:val="Notedefin"/>
        <w:jc w:val="both"/>
        <w:rPr>
          <w:sz w:val="18"/>
          <w:szCs w:val="18"/>
        </w:rPr>
      </w:pPr>
      <w:r w:rsidRPr="00FD7996">
        <w:rPr>
          <w:rStyle w:val="Appeldenotedefin"/>
          <w:sz w:val="18"/>
          <w:szCs w:val="18"/>
        </w:rPr>
        <w:endnoteRef/>
      </w:r>
      <w:r w:rsidRPr="00FD7996">
        <w:rPr>
          <w:sz w:val="18"/>
          <w:szCs w:val="18"/>
        </w:rPr>
        <w:t xml:space="preserve"> </w:t>
      </w:r>
      <w:hyperlink r:id="rId1" w:history="1">
        <w:r w:rsidRPr="00FD7996">
          <w:rPr>
            <w:rStyle w:val="Lienhypertexte"/>
            <w:sz w:val="18"/>
            <w:szCs w:val="18"/>
          </w:rPr>
          <w:t>Rapport de la balance des paiements et de la position extérieure de la France en 2024</w:t>
        </w:r>
      </w:hyperlink>
      <w:r w:rsidRPr="00FD7996">
        <w:rPr>
          <w:sz w:val="18"/>
          <w:szCs w:val="18"/>
        </w:rPr>
        <w:t xml:space="preserve">, Banque de France </w:t>
      </w:r>
    </w:p>
  </w:endnote>
  <w:endnote w:id="2">
    <w:p w14:paraId="4C18B71D" w14:textId="444D5834" w:rsidR="00057204" w:rsidRPr="00057204" w:rsidRDefault="00057204" w:rsidP="00183526">
      <w:pPr>
        <w:pStyle w:val="Notedefin"/>
        <w:jc w:val="both"/>
        <w:rPr>
          <w:sz w:val="18"/>
          <w:szCs w:val="18"/>
        </w:rPr>
      </w:pPr>
      <w:r w:rsidRPr="00057204">
        <w:rPr>
          <w:rStyle w:val="Appeldenotedefin"/>
          <w:sz w:val="18"/>
          <w:szCs w:val="18"/>
        </w:rPr>
        <w:endnoteRef/>
      </w:r>
      <w:r w:rsidRPr="00057204">
        <w:rPr>
          <w:sz w:val="18"/>
          <w:szCs w:val="18"/>
        </w:rPr>
        <w:t xml:space="preserve"> </w:t>
      </w:r>
      <w:hyperlink r:id="rId2" w:history="1">
        <w:r w:rsidRPr="00057204">
          <w:rPr>
            <w:rStyle w:val="Lienhypertexte"/>
            <w:sz w:val="18"/>
            <w:szCs w:val="18"/>
          </w:rPr>
          <w:t xml:space="preserve">Taux de </w:t>
        </w:r>
        <w:r w:rsidR="00183526" w:rsidRPr="00057204">
          <w:rPr>
            <w:rStyle w:val="Lienhypertexte"/>
            <w:sz w:val="18"/>
            <w:szCs w:val="18"/>
          </w:rPr>
          <w:t>référence –</w:t>
        </w:r>
        <w:r w:rsidRPr="00057204">
          <w:rPr>
            <w:rStyle w:val="Lienhypertexte"/>
            <w:sz w:val="18"/>
            <w:szCs w:val="18"/>
          </w:rPr>
          <w:t xml:space="preserve"> roupie indienne</w:t>
        </w:r>
      </w:hyperlink>
      <w:r>
        <w:rPr>
          <w:sz w:val="18"/>
          <w:szCs w:val="18"/>
        </w:rPr>
        <w:t xml:space="preserve">, Banque centrale européenne </w:t>
      </w:r>
      <w:r w:rsidRPr="00057204">
        <w:rPr>
          <w:sz w:val="18"/>
          <w:szCs w:val="18"/>
        </w:rPr>
        <w:t xml:space="preserve"> </w:t>
      </w:r>
    </w:p>
  </w:endnote>
  <w:endnote w:id="3">
    <w:p w14:paraId="02D2F4B1" w14:textId="77777777" w:rsidR="00003DEF" w:rsidRPr="00183526" w:rsidRDefault="00003DEF" w:rsidP="00003DEF">
      <w:pPr>
        <w:pStyle w:val="Notedefin"/>
        <w:jc w:val="both"/>
        <w:rPr>
          <w:lang w:val="en-GB"/>
        </w:rPr>
      </w:pPr>
      <w:r w:rsidRPr="00183526">
        <w:rPr>
          <w:rStyle w:val="Appeldenotedefin"/>
          <w:sz w:val="18"/>
          <w:szCs w:val="18"/>
        </w:rPr>
        <w:endnoteRef/>
      </w:r>
      <w:r w:rsidRPr="00183526">
        <w:rPr>
          <w:sz w:val="18"/>
          <w:szCs w:val="18"/>
          <w:lang w:val="en-GB"/>
        </w:rPr>
        <w:t xml:space="preserve"> </w:t>
      </w:r>
      <w:r w:rsidR="00003EBB">
        <w:fldChar w:fldCharType="begin"/>
      </w:r>
      <w:r w:rsidR="00003EBB" w:rsidRPr="00003EBB">
        <w:rPr>
          <w:lang w:val="en-GB"/>
        </w:rPr>
        <w:instrText xml:space="preserve"> HYPERLINK "https://dpiit.gov.in/publications/fdi-statistics" </w:instrText>
      </w:r>
      <w:r w:rsidR="00003EBB">
        <w:fldChar w:fldCharType="separate"/>
      </w:r>
      <w:r w:rsidRPr="00183526">
        <w:rPr>
          <w:rStyle w:val="Lienhypertexte"/>
          <w:sz w:val="18"/>
          <w:szCs w:val="18"/>
          <w:lang w:val="en-GB"/>
        </w:rPr>
        <w:t>Country-wise FDI equity inflow from April 2000 to December 2024</w:t>
      </w:r>
      <w:r w:rsidR="00003EBB">
        <w:rPr>
          <w:rStyle w:val="Lienhypertexte"/>
          <w:sz w:val="18"/>
          <w:szCs w:val="18"/>
          <w:lang w:val="en-GB"/>
        </w:rPr>
        <w:fldChar w:fldCharType="end"/>
      </w:r>
      <w:r w:rsidRPr="00183526">
        <w:rPr>
          <w:sz w:val="18"/>
          <w:szCs w:val="18"/>
          <w:lang w:val="en-GB"/>
        </w:rPr>
        <w:t xml:space="preserve"> – Department for </w:t>
      </w:r>
      <w:r>
        <w:rPr>
          <w:sz w:val="18"/>
          <w:szCs w:val="18"/>
          <w:lang w:val="en-GB"/>
        </w:rPr>
        <w:t>P</w:t>
      </w:r>
      <w:r w:rsidRPr="00183526">
        <w:rPr>
          <w:sz w:val="18"/>
          <w:szCs w:val="18"/>
          <w:lang w:val="en-GB"/>
        </w:rPr>
        <w:t>romotion of Industry and International Trade (DPIIT)</w:t>
      </w:r>
    </w:p>
  </w:endnote>
  <w:endnote w:id="4">
    <w:p w14:paraId="7201E9B0" w14:textId="77777777" w:rsidR="00003DEF" w:rsidRPr="00FD55B5" w:rsidRDefault="00003DEF" w:rsidP="00003DEF">
      <w:pPr>
        <w:pStyle w:val="Notedefin"/>
        <w:rPr>
          <w:lang w:val="en-GB"/>
        </w:rPr>
      </w:pPr>
      <w:r>
        <w:rPr>
          <w:rStyle w:val="Appeldenotedefin"/>
        </w:rPr>
        <w:endnoteRef/>
      </w:r>
      <w:r w:rsidRPr="00FD55B5">
        <w:rPr>
          <w:lang w:val="en-GB"/>
        </w:rPr>
        <w:t xml:space="preserve"> </w:t>
      </w:r>
      <w:r w:rsidR="00003EBB">
        <w:fldChar w:fldCharType="begin"/>
      </w:r>
      <w:r w:rsidR="00003EBB" w:rsidRPr="00003EBB">
        <w:rPr>
          <w:lang w:val="en-GB"/>
        </w:rPr>
        <w:instrText xml:space="preserve"> HYPERLINK "https://www.rbi.org.in/Scripts/Publication</w:instrText>
      </w:r>
      <w:r w:rsidR="00003EBB" w:rsidRPr="00003EBB">
        <w:rPr>
          <w:lang w:val="en-GB"/>
        </w:rPr>
        <w:instrText xml:space="preserve">sView.aspx?id=22733" </w:instrText>
      </w:r>
      <w:r w:rsidR="00003EBB">
        <w:fldChar w:fldCharType="separate"/>
      </w:r>
      <w:r w:rsidRPr="004B5EB0">
        <w:rPr>
          <w:rStyle w:val="Lienhypertexte"/>
          <w:sz w:val="18"/>
          <w:szCs w:val="18"/>
          <w:lang w:val="en-GB"/>
        </w:rPr>
        <w:t>Census on Foreign Liabilities and Assets of Indian Direct Investment Entities for 2023-24</w:t>
      </w:r>
      <w:r w:rsidR="00003EBB">
        <w:rPr>
          <w:rStyle w:val="Lienhypertexte"/>
          <w:sz w:val="18"/>
          <w:szCs w:val="18"/>
          <w:lang w:val="en-GB"/>
        </w:rPr>
        <w:fldChar w:fldCharType="end"/>
      </w:r>
      <w:r w:rsidRPr="004B5EB0">
        <w:rPr>
          <w:sz w:val="18"/>
          <w:szCs w:val="18"/>
          <w:lang w:val="en-GB"/>
        </w:rPr>
        <w:t>, Reserve Bank of India</w:t>
      </w:r>
      <w:r>
        <w:rPr>
          <w:lang w:val="en-GB"/>
        </w:rPr>
        <w:t xml:space="preserve"> </w:t>
      </w:r>
    </w:p>
  </w:endnote>
  <w:endnote w:id="5">
    <w:p w14:paraId="065FF1B7" w14:textId="3C2F7EAC" w:rsidR="00200910" w:rsidRDefault="00200910">
      <w:pPr>
        <w:pStyle w:val="Notedefin"/>
      </w:pPr>
      <w:r>
        <w:rPr>
          <w:rStyle w:val="Appeldenotedefin"/>
        </w:rPr>
        <w:endnoteRef/>
      </w:r>
      <w:r>
        <w:t xml:space="preserve"> </w:t>
      </w:r>
      <w:hyperlink r:id="rId3" w:history="1">
        <w:r w:rsidRPr="00200910">
          <w:rPr>
            <w:rStyle w:val="Lienhypertexte"/>
            <w:sz w:val="18"/>
            <w:szCs w:val="18"/>
          </w:rPr>
          <w:t>Enquête européenne sur l’activité des filiales étrangères des groupes français</w:t>
        </w:r>
      </w:hyperlink>
      <w:r w:rsidRPr="00200910">
        <w:rPr>
          <w:sz w:val="18"/>
          <w:szCs w:val="18"/>
        </w:rPr>
        <w:t xml:space="preserve"> – INSEE, </w:t>
      </w:r>
      <w:r w:rsidRPr="00200910">
        <w:rPr>
          <w:sz w:val="18"/>
          <w:szCs w:val="18"/>
        </w:rPr>
        <w:t xml:space="preserve">Ofats </w:t>
      </w:r>
    </w:p>
  </w:endnote>
  <w:endnote w:id="6">
    <w:p w14:paraId="63D531CA" w14:textId="7323541E" w:rsidR="00974FC6" w:rsidRPr="00974FC6" w:rsidRDefault="00974FC6">
      <w:pPr>
        <w:pStyle w:val="Notedefin"/>
        <w:rPr>
          <w:lang w:val="en-GB"/>
        </w:rPr>
      </w:pPr>
      <w:r>
        <w:rPr>
          <w:rStyle w:val="Appeldenotedefin"/>
        </w:rPr>
        <w:endnoteRef/>
      </w:r>
      <w:r w:rsidRPr="00974FC6">
        <w:rPr>
          <w:lang w:val="en-GB"/>
        </w:rPr>
        <w:t xml:space="preserve"> </w:t>
      </w:r>
      <w:hyperlink r:id="rId4" w:history="1">
        <w:r w:rsidR="00212AF0" w:rsidRPr="00212AF0">
          <w:rPr>
            <w:rStyle w:val="Lienhypertexte"/>
            <w:sz w:val="18"/>
            <w:szCs w:val="18"/>
          </w:rPr>
          <w:t>Press release</w:t>
        </w:r>
      </w:hyperlink>
      <w:r w:rsidR="00212AF0" w:rsidRPr="00212AF0">
        <w:rPr>
          <w:sz w:val="18"/>
          <w:szCs w:val="18"/>
        </w:rPr>
        <w:t xml:space="preserve"> – EY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Times New Roman (Corp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269470"/>
      <w:docPartObj>
        <w:docPartGallery w:val="Page Numbers (Bottom of Page)"/>
        <w:docPartUnique/>
      </w:docPartObj>
    </w:sdtPr>
    <w:sdtEndPr/>
    <w:sdtContent>
      <w:p w14:paraId="676859E8" w14:textId="2F40D4C1" w:rsidR="004642DE" w:rsidRDefault="004642DE">
        <w:pPr>
          <w:pStyle w:val="Pieddepage"/>
          <w:jc w:val="right"/>
        </w:pPr>
        <w:r>
          <w:fldChar w:fldCharType="begin"/>
        </w:r>
        <w:r>
          <w:instrText>PAGE   \* MERGEFORMAT</w:instrText>
        </w:r>
        <w:r>
          <w:fldChar w:fldCharType="separate"/>
        </w:r>
        <w:r>
          <w:t>2</w:t>
        </w:r>
        <w:r>
          <w:fldChar w:fldCharType="end"/>
        </w:r>
      </w:p>
    </w:sdtContent>
  </w:sdt>
  <w:p w14:paraId="0EDDC50B" w14:textId="77777777" w:rsidR="004642DE" w:rsidRDefault="004642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D2FEC" w14:textId="77777777" w:rsidR="00E10E11" w:rsidRDefault="00E10E11" w:rsidP="001C2361">
      <w:pPr>
        <w:spacing w:after="0" w:line="240" w:lineRule="auto"/>
      </w:pPr>
      <w:r>
        <w:separator/>
      </w:r>
    </w:p>
  </w:footnote>
  <w:footnote w:type="continuationSeparator" w:id="0">
    <w:p w14:paraId="1D6AF003" w14:textId="77777777" w:rsidR="00E10E11" w:rsidRDefault="00E10E11"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27D"/>
    <w:multiLevelType w:val="hybridMultilevel"/>
    <w:tmpl w:val="7EE81D50"/>
    <w:lvl w:ilvl="0" w:tplc="9BFA2CD0">
      <w:start w:val="2"/>
      <w:numFmt w:val="upperLetter"/>
      <w:lvlText w:val="%1)"/>
      <w:lvlJc w:val="left"/>
      <w:pPr>
        <w:ind w:left="436" w:hanging="36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2"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 w15:restartNumberingAfterBreak="0">
    <w:nsid w:val="0CE72D27"/>
    <w:multiLevelType w:val="multilevel"/>
    <w:tmpl w:val="D074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0613DE"/>
    <w:multiLevelType w:val="multilevel"/>
    <w:tmpl w:val="E5A6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977EFE"/>
    <w:multiLevelType w:val="hybridMultilevel"/>
    <w:tmpl w:val="5DC49E58"/>
    <w:lvl w:ilvl="0" w:tplc="BA0E28C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27B0D9A"/>
    <w:multiLevelType w:val="multilevel"/>
    <w:tmpl w:val="00F2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2CF73CCC"/>
    <w:multiLevelType w:val="multilevel"/>
    <w:tmpl w:val="31C6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632F41"/>
    <w:multiLevelType w:val="hybridMultilevel"/>
    <w:tmpl w:val="97A402B4"/>
    <w:lvl w:ilvl="0" w:tplc="2C2627C6">
      <w:start w:val="1"/>
      <w:numFmt w:val="decimal"/>
      <w:lvlText w:val="%1."/>
      <w:lvlJc w:val="left"/>
      <w:pPr>
        <w:ind w:left="76" w:hanging="360"/>
      </w:pPr>
      <w:rPr>
        <w:rFonts w:hint="default"/>
        <w:b/>
        <w:bCs/>
        <w:color w:val="000091" w:themeColor="text1"/>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3" w15:restartNumberingAfterBreak="0">
    <w:nsid w:val="33C70EF6"/>
    <w:multiLevelType w:val="hybridMultilevel"/>
    <w:tmpl w:val="44746A80"/>
    <w:lvl w:ilvl="0" w:tplc="61A0C488">
      <w:numFmt w:val="bullet"/>
      <w:lvlText w:val="-"/>
      <w:lvlJc w:val="left"/>
      <w:pPr>
        <w:ind w:left="720" w:hanging="360"/>
      </w:pPr>
      <w:rPr>
        <w:rFonts w:ascii="Segoe UI" w:eastAsia="SimSu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6" w15:restartNumberingAfterBreak="0">
    <w:nsid w:val="39105FFA"/>
    <w:multiLevelType w:val="multilevel"/>
    <w:tmpl w:val="806C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32678C"/>
    <w:multiLevelType w:val="hybridMultilevel"/>
    <w:tmpl w:val="05E09F1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3D577D5F"/>
    <w:multiLevelType w:val="multilevel"/>
    <w:tmpl w:val="13DE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E4050CF"/>
    <w:multiLevelType w:val="hybridMultilevel"/>
    <w:tmpl w:val="3056A740"/>
    <w:lvl w:ilvl="0" w:tplc="7214DECE">
      <w:start w:val="3"/>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226F7B"/>
    <w:multiLevelType w:val="multilevel"/>
    <w:tmpl w:val="33E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F60254"/>
    <w:multiLevelType w:val="hybridMultilevel"/>
    <w:tmpl w:val="CF6263D4"/>
    <w:lvl w:ilvl="0" w:tplc="EDDC94B0">
      <w:start w:val="1"/>
      <w:numFmt w:val="lowerLetter"/>
      <w:lvlText w:val="%1)"/>
      <w:lvlJc w:val="left"/>
      <w:pPr>
        <w:ind w:left="436" w:hanging="36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24" w15:restartNumberingAfterBreak="0">
    <w:nsid w:val="535D68F1"/>
    <w:multiLevelType w:val="multilevel"/>
    <w:tmpl w:val="735C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52061F8"/>
    <w:multiLevelType w:val="hybridMultilevel"/>
    <w:tmpl w:val="E92C052A"/>
    <w:lvl w:ilvl="0" w:tplc="E6D8778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6D861E7"/>
    <w:multiLevelType w:val="hybridMultilevel"/>
    <w:tmpl w:val="1304E4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7324FE1"/>
    <w:multiLevelType w:val="multilevel"/>
    <w:tmpl w:val="6134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392EF2"/>
    <w:multiLevelType w:val="multilevel"/>
    <w:tmpl w:val="5EA2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EE5443"/>
    <w:multiLevelType w:val="hybridMultilevel"/>
    <w:tmpl w:val="44AE34B0"/>
    <w:lvl w:ilvl="0" w:tplc="2EC0C74C">
      <w:start w:val="1"/>
      <w:numFmt w:val="lowerLetter"/>
      <w:lvlText w:val="%1)"/>
      <w:lvlJc w:val="left"/>
      <w:pPr>
        <w:ind w:left="436" w:hanging="36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31" w15:restartNumberingAfterBreak="0">
    <w:nsid w:val="5C4E61A5"/>
    <w:multiLevelType w:val="multilevel"/>
    <w:tmpl w:val="99BE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C24FC0"/>
    <w:multiLevelType w:val="multilevel"/>
    <w:tmpl w:val="5E76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561093C"/>
    <w:multiLevelType w:val="hybridMultilevel"/>
    <w:tmpl w:val="56DED5D0"/>
    <w:lvl w:ilvl="0" w:tplc="A1745A66">
      <w:numFmt w:val="bullet"/>
      <w:lvlText w:val="-"/>
      <w:lvlJc w:val="left"/>
      <w:pPr>
        <w:ind w:left="720" w:hanging="360"/>
      </w:pPr>
      <w:rPr>
        <w:rFonts w:ascii="Segoe UI" w:eastAsia="SimSu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77E1AD5"/>
    <w:multiLevelType w:val="hybridMultilevel"/>
    <w:tmpl w:val="97F283B2"/>
    <w:lvl w:ilvl="0" w:tplc="A646506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88741F0"/>
    <w:multiLevelType w:val="hybridMultilevel"/>
    <w:tmpl w:val="90E4E2B4"/>
    <w:lvl w:ilvl="0" w:tplc="9ABA39E6">
      <w:numFmt w:val="bullet"/>
      <w:lvlText w:val="-"/>
      <w:lvlJc w:val="left"/>
      <w:pPr>
        <w:ind w:left="720" w:hanging="360"/>
      </w:pPr>
      <w:rPr>
        <w:rFonts w:ascii="Segoe UI" w:eastAsia="SimSu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40" w15:restartNumberingAfterBreak="0">
    <w:nsid w:val="78DC67ED"/>
    <w:multiLevelType w:val="hybridMultilevel"/>
    <w:tmpl w:val="CF6263D4"/>
    <w:lvl w:ilvl="0" w:tplc="EDDC94B0">
      <w:start w:val="1"/>
      <w:numFmt w:val="lowerLetter"/>
      <w:lvlText w:val="%1)"/>
      <w:lvlJc w:val="left"/>
      <w:pPr>
        <w:ind w:left="436" w:hanging="36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41"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A821641"/>
    <w:multiLevelType w:val="multilevel"/>
    <w:tmpl w:val="C18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8A41AB"/>
    <w:multiLevelType w:val="multilevel"/>
    <w:tmpl w:val="0E6A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697B12"/>
    <w:multiLevelType w:val="multilevel"/>
    <w:tmpl w:val="4970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7A0819"/>
    <w:multiLevelType w:val="hybridMultilevel"/>
    <w:tmpl w:val="5D6C6110"/>
    <w:lvl w:ilvl="0" w:tplc="1B9EEED8">
      <w:start w:val="1"/>
      <w:numFmt w:val="lowerLetter"/>
      <w:lvlText w:val="%1)"/>
      <w:lvlJc w:val="left"/>
      <w:pPr>
        <w:ind w:left="436" w:hanging="36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num w:numId="1">
    <w:abstractNumId w:val="19"/>
  </w:num>
  <w:num w:numId="2">
    <w:abstractNumId w:val="39"/>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41"/>
  </w:num>
  <w:num w:numId="6">
    <w:abstractNumId w:val="38"/>
  </w:num>
  <w:num w:numId="7">
    <w:abstractNumId w:val="10"/>
  </w:num>
  <w:num w:numId="8">
    <w:abstractNumId w:val="9"/>
  </w:num>
  <w:num w:numId="9">
    <w:abstractNumId w:val="2"/>
  </w:num>
  <w:num w:numId="10">
    <w:abstractNumId w:val="22"/>
  </w:num>
  <w:num w:numId="11">
    <w:abstractNumId w:val="14"/>
  </w:num>
  <w:num w:numId="12">
    <w:abstractNumId w:val="1"/>
  </w:num>
  <w:num w:numId="13">
    <w:abstractNumId w:val="3"/>
  </w:num>
  <w:num w:numId="14">
    <w:abstractNumId w:val="33"/>
  </w:num>
  <w:num w:numId="15">
    <w:abstractNumId w:val="15"/>
  </w:num>
  <w:num w:numId="16">
    <w:abstractNumId w:val="17"/>
  </w:num>
  <w:num w:numId="17">
    <w:abstractNumId w:val="20"/>
  </w:num>
  <w:num w:numId="18">
    <w:abstractNumId w:val="36"/>
  </w:num>
  <w:num w:numId="19">
    <w:abstractNumId w:val="27"/>
  </w:num>
  <w:num w:numId="20">
    <w:abstractNumId w:val="26"/>
  </w:num>
  <w:num w:numId="21">
    <w:abstractNumId w:val="13"/>
  </w:num>
  <w:num w:numId="22">
    <w:abstractNumId w:val="7"/>
  </w:num>
  <w:num w:numId="23">
    <w:abstractNumId w:val="37"/>
  </w:num>
  <w:num w:numId="24">
    <w:abstractNumId w:val="35"/>
  </w:num>
  <w:num w:numId="25">
    <w:abstractNumId w:val="6"/>
  </w:num>
  <w:num w:numId="26">
    <w:abstractNumId w:val="12"/>
  </w:num>
  <w:num w:numId="27">
    <w:abstractNumId w:val="42"/>
  </w:num>
  <w:num w:numId="28">
    <w:abstractNumId w:val="43"/>
  </w:num>
  <w:num w:numId="29">
    <w:abstractNumId w:val="4"/>
  </w:num>
  <w:num w:numId="30">
    <w:abstractNumId w:val="29"/>
  </w:num>
  <w:num w:numId="31">
    <w:abstractNumId w:val="21"/>
  </w:num>
  <w:num w:numId="32">
    <w:abstractNumId w:val="32"/>
  </w:num>
  <w:num w:numId="33">
    <w:abstractNumId w:val="16"/>
  </w:num>
  <w:num w:numId="34">
    <w:abstractNumId w:val="24"/>
  </w:num>
  <w:num w:numId="35">
    <w:abstractNumId w:val="23"/>
  </w:num>
  <w:num w:numId="36">
    <w:abstractNumId w:val="30"/>
  </w:num>
  <w:num w:numId="37">
    <w:abstractNumId w:val="40"/>
  </w:num>
  <w:num w:numId="38">
    <w:abstractNumId w:val="0"/>
  </w:num>
  <w:num w:numId="39">
    <w:abstractNumId w:val="45"/>
  </w:num>
  <w:num w:numId="40">
    <w:abstractNumId w:val="8"/>
  </w:num>
  <w:num w:numId="41">
    <w:abstractNumId w:val="18"/>
  </w:num>
  <w:num w:numId="42">
    <w:abstractNumId w:val="28"/>
  </w:num>
  <w:num w:numId="43">
    <w:abstractNumId w:val="5"/>
  </w:num>
  <w:num w:numId="44">
    <w:abstractNumId w:val="11"/>
  </w:num>
  <w:num w:numId="45">
    <w:abstractNumId w:val="31"/>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2250"/>
    <w:rsid w:val="000039FC"/>
    <w:rsid w:val="00003DEF"/>
    <w:rsid w:val="00003EBB"/>
    <w:rsid w:val="000064C1"/>
    <w:rsid w:val="00006D9E"/>
    <w:rsid w:val="00006E50"/>
    <w:rsid w:val="0001120A"/>
    <w:rsid w:val="000128E1"/>
    <w:rsid w:val="000154D8"/>
    <w:rsid w:val="00020EE2"/>
    <w:rsid w:val="0002183B"/>
    <w:rsid w:val="00021F0F"/>
    <w:rsid w:val="00022880"/>
    <w:rsid w:val="00022F44"/>
    <w:rsid w:val="0002564B"/>
    <w:rsid w:val="00031533"/>
    <w:rsid w:val="000355FC"/>
    <w:rsid w:val="00045CF8"/>
    <w:rsid w:val="00046334"/>
    <w:rsid w:val="00050225"/>
    <w:rsid w:val="00051E58"/>
    <w:rsid w:val="000528F0"/>
    <w:rsid w:val="00052A46"/>
    <w:rsid w:val="000534EC"/>
    <w:rsid w:val="00055B39"/>
    <w:rsid w:val="00057204"/>
    <w:rsid w:val="000635B4"/>
    <w:rsid w:val="00064115"/>
    <w:rsid w:val="00064632"/>
    <w:rsid w:val="000676F2"/>
    <w:rsid w:val="00071F97"/>
    <w:rsid w:val="00074453"/>
    <w:rsid w:val="000763B3"/>
    <w:rsid w:val="00080037"/>
    <w:rsid w:val="00084644"/>
    <w:rsid w:val="000850EB"/>
    <w:rsid w:val="0009024B"/>
    <w:rsid w:val="00092DF5"/>
    <w:rsid w:val="00094DB5"/>
    <w:rsid w:val="00097777"/>
    <w:rsid w:val="000A1918"/>
    <w:rsid w:val="000A2662"/>
    <w:rsid w:val="000A60CA"/>
    <w:rsid w:val="000B021C"/>
    <w:rsid w:val="000B4DF1"/>
    <w:rsid w:val="000C0326"/>
    <w:rsid w:val="000C108D"/>
    <w:rsid w:val="000C7257"/>
    <w:rsid w:val="000D001A"/>
    <w:rsid w:val="000D0BC4"/>
    <w:rsid w:val="000D721F"/>
    <w:rsid w:val="000D72BD"/>
    <w:rsid w:val="000E1E2F"/>
    <w:rsid w:val="000E288F"/>
    <w:rsid w:val="000E36A3"/>
    <w:rsid w:val="000E390B"/>
    <w:rsid w:val="000E744D"/>
    <w:rsid w:val="000E7793"/>
    <w:rsid w:val="000F1638"/>
    <w:rsid w:val="000F2C4E"/>
    <w:rsid w:val="000F3118"/>
    <w:rsid w:val="000F6048"/>
    <w:rsid w:val="000F7190"/>
    <w:rsid w:val="000F7ACA"/>
    <w:rsid w:val="000F7E4A"/>
    <w:rsid w:val="00100569"/>
    <w:rsid w:val="00100C95"/>
    <w:rsid w:val="00102564"/>
    <w:rsid w:val="001105E1"/>
    <w:rsid w:val="001109EF"/>
    <w:rsid w:val="00111C32"/>
    <w:rsid w:val="00114B9A"/>
    <w:rsid w:val="00115B20"/>
    <w:rsid w:val="001170A2"/>
    <w:rsid w:val="00117DF8"/>
    <w:rsid w:val="00120DB6"/>
    <w:rsid w:val="00123DCB"/>
    <w:rsid w:val="0012430D"/>
    <w:rsid w:val="0012637B"/>
    <w:rsid w:val="001276D3"/>
    <w:rsid w:val="0013180B"/>
    <w:rsid w:val="00133FE1"/>
    <w:rsid w:val="001346C7"/>
    <w:rsid w:val="00134AD4"/>
    <w:rsid w:val="00134DE8"/>
    <w:rsid w:val="00135B91"/>
    <w:rsid w:val="001360A8"/>
    <w:rsid w:val="00137081"/>
    <w:rsid w:val="0014211B"/>
    <w:rsid w:val="00143130"/>
    <w:rsid w:val="00147754"/>
    <w:rsid w:val="001505C0"/>
    <w:rsid w:val="00150667"/>
    <w:rsid w:val="00152C27"/>
    <w:rsid w:val="001543E7"/>
    <w:rsid w:val="00154557"/>
    <w:rsid w:val="001551CB"/>
    <w:rsid w:val="00162513"/>
    <w:rsid w:val="00163AEE"/>
    <w:rsid w:val="00171B4E"/>
    <w:rsid w:val="001720F8"/>
    <w:rsid w:val="00172EFF"/>
    <w:rsid w:val="001747D5"/>
    <w:rsid w:val="00174BE4"/>
    <w:rsid w:val="0017544F"/>
    <w:rsid w:val="00175E92"/>
    <w:rsid w:val="00176D10"/>
    <w:rsid w:val="00177888"/>
    <w:rsid w:val="001811AC"/>
    <w:rsid w:val="00181A98"/>
    <w:rsid w:val="00182D54"/>
    <w:rsid w:val="00183526"/>
    <w:rsid w:val="00184135"/>
    <w:rsid w:val="00187F02"/>
    <w:rsid w:val="00190166"/>
    <w:rsid w:val="0019173B"/>
    <w:rsid w:val="0019280B"/>
    <w:rsid w:val="001A1719"/>
    <w:rsid w:val="001A1A43"/>
    <w:rsid w:val="001A1CD5"/>
    <w:rsid w:val="001A3509"/>
    <w:rsid w:val="001A4DFB"/>
    <w:rsid w:val="001A5A37"/>
    <w:rsid w:val="001A7621"/>
    <w:rsid w:val="001B1CF0"/>
    <w:rsid w:val="001B1D99"/>
    <w:rsid w:val="001B5C42"/>
    <w:rsid w:val="001B772F"/>
    <w:rsid w:val="001C027A"/>
    <w:rsid w:val="001C100F"/>
    <w:rsid w:val="001C2361"/>
    <w:rsid w:val="001C3774"/>
    <w:rsid w:val="001D5AB4"/>
    <w:rsid w:val="001D6D73"/>
    <w:rsid w:val="001E3759"/>
    <w:rsid w:val="001E4D67"/>
    <w:rsid w:val="001F1053"/>
    <w:rsid w:val="001F235A"/>
    <w:rsid w:val="001F2D7C"/>
    <w:rsid w:val="001F741C"/>
    <w:rsid w:val="00200910"/>
    <w:rsid w:val="00201264"/>
    <w:rsid w:val="00201837"/>
    <w:rsid w:val="00201C83"/>
    <w:rsid w:val="00202DEB"/>
    <w:rsid w:val="0020353A"/>
    <w:rsid w:val="00212AF0"/>
    <w:rsid w:val="00221F94"/>
    <w:rsid w:val="00223554"/>
    <w:rsid w:val="00225798"/>
    <w:rsid w:val="00230DDE"/>
    <w:rsid w:val="00236CEC"/>
    <w:rsid w:val="00237824"/>
    <w:rsid w:val="002419CA"/>
    <w:rsid w:val="00242CCE"/>
    <w:rsid w:val="00246C65"/>
    <w:rsid w:val="00250F27"/>
    <w:rsid w:val="00252AE8"/>
    <w:rsid w:val="002550BB"/>
    <w:rsid w:val="00255F30"/>
    <w:rsid w:val="00256FFD"/>
    <w:rsid w:val="00257E48"/>
    <w:rsid w:val="00260CEC"/>
    <w:rsid w:val="00266324"/>
    <w:rsid w:val="002671F5"/>
    <w:rsid w:val="002762C9"/>
    <w:rsid w:val="00276870"/>
    <w:rsid w:val="002818E1"/>
    <w:rsid w:val="00281BCD"/>
    <w:rsid w:val="00282876"/>
    <w:rsid w:val="00283B11"/>
    <w:rsid w:val="0029566D"/>
    <w:rsid w:val="00297AC0"/>
    <w:rsid w:val="002A07E0"/>
    <w:rsid w:val="002A3CAD"/>
    <w:rsid w:val="002A5243"/>
    <w:rsid w:val="002B0853"/>
    <w:rsid w:val="002B3D7E"/>
    <w:rsid w:val="002B4A41"/>
    <w:rsid w:val="002B5F91"/>
    <w:rsid w:val="002B7249"/>
    <w:rsid w:val="002C0121"/>
    <w:rsid w:val="002C47E7"/>
    <w:rsid w:val="002C7DFA"/>
    <w:rsid w:val="002D06F0"/>
    <w:rsid w:val="002D0CCD"/>
    <w:rsid w:val="002D13A2"/>
    <w:rsid w:val="002D4C04"/>
    <w:rsid w:val="002D5C3C"/>
    <w:rsid w:val="002D5C4A"/>
    <w:rsid w:val="002D60A4"/>
    <w:rsid w:val="002E37BB"/>
    <w:rsid w:val="002E6890"/>
    <w:rsid w:val="002E7383"/>
    <w:rsid w:val="002F210F"/>
    <w:rsid w:val="002F5299"/>
    <w:rsid w:val="002F7BC8"/>
    <w:rsid w:val="002F7E7A"/>
    <w:rsid w:val="0030017B"/>
    <w:rsid w:val="00301021"/>
    <w:rsid w:val="0030139C"/>
    <w:rsid w:val="0030148A"/>
    <w:rsid w:val="00302A59"/>
    <w:rsid w:val="00303F75"/>
    <w:rsid w:val="00306DB9"/>
    <w:rsid w:val="003073FD"/>
    <w:rsid w:val="0030773E"/>
    <w:rsid w:val="00311071"/>
    <w:rsid w:val="00313DDA"/>
    <w:rsid w:val="00313EB7"/>
    <w:rsid w:val="00315BEF"/>
    <w:rsid w:val="00317870"/>
    <w:rsid w:val="00323A4A"/>
    <w:rsid w:val="00324EAA"/>
    <w:rsid w:val="003251AD"/>
    <w:rsid w:val="003257BD"/>
    <w:rsid w:val="00327683"/>
    <w:rsid w:val="0033036F"/>
    <w:rsid w:val="00330428"/>
    <w:rsid w:val="00332310"/>
    <w:rsid w:val="003339CE"/>
    <w:rsid w:val="003407BF"/>
    <w:rsid w:val="00341E94"/>
    <w:rsid w:val="00341EC1"/>
    <w:rsid w:val="00344131"/>
    <w:rsid w:val="003458F7"/>
    <w:rsid w:val="0034612A"/>
    <w:rsid w:val="00347F9E"/>
    <w:rsid w:val="00351E1C"/>
    <w:rsid w:val="00352269"/>
    <w:rsid w:val="003531E4"/>
    <w:rsid w:val="00353B9D"/>
    <w:rsid w:val="003566D0"/>
    <w:rsid w:val="00364C55"/>
    <w:rsid w:val="00365384"/>
    <w:rsid w:val="00367335"/>
    <w:rsid w:val="0036736D"/>
    <w:rsid w:val="003762BD"/>
    <w:rsid w:val="00377143"/>
    <w:rsid w:val="00377431"/>
    <w:rsid w:val="00377E86"/>
    <w:rsid w:val="00380A81"/>
    <w:rsid w:val="00380B8A"/>
    <w:rsid w:val="003847EC"/>
    <w:rsid w:val="003849D9"/>
    <w:rsid w:val="003857AF"/>
    <w:rsid w:val="003874DB"/>
    <w:rsid w:val="00387BBA"/>
    <w:rsid w:val="00387FCC"/>
    <w:rsid w:val="003954C6"/>
    <w:rsid w:val="003959DE"/>
    <w:rsid w:val="003A0174"/>
    <w:rsid w:val="003A1D94"/>
    <w:rsid w:val="003A713D"/>
    <w:rsid w:val="003A7321"/>
    <w:rsid w:val="003A7EB8"/>
    <w:rsid w:val="003B0C07"/>
    <w:rsid w:val="003B1A22"/>
    <w:rsid w:val="003B33D3"/>
    <w:rsid w:val="003B6551"/>
    <w:rsid w:val="003C12E4"/>
    <w:rsid w:val="003C21D8"/>
    <w:rsid w:val="003C3140"/>
    <w:rsid w:val="003C3C6E"/>
    <w:rsid w:val="003C4DBE"/>
    <w:rsid w:val="003C6BA4"/>
    <w:rsid w:val="003C75A5"/>
    <w:rsid w:val="003D17F4"/>
    <w:rsid w:val="003D2AD3"/>
    <w:rsid w:val="003D5550"/>
    <w:rsid w:val="003D6537"/>
    <w:rsid w:val="003D69ED"/>
    <w:rsid w:val="003D7280"/>
    <w:rsid w:val="003E0D22"/>
    <w:rsid w:val="003E34CE"/>
    <w:rsid w:val="003E442D"/>
    <w:rsid w:val="003E56E8"/>
    <w:rsid w:val="003E7D9D"/>
    <w:rsid w:val="003F4682"/>
    <w:rsid w:val="003F48EF"/>
    <w:rsid w:val="003F78BD"/>
    <w:rsid w:val="0040330E"/>
    <w:rsid w:val="00403BFA"/>
    <w:rsid w:val="0040500F"/>
    <w:rsid w:val="00406D60"/>
    <w:rsid w:val="00411356"/>
    <w:rsid w:val="004128F4"/>
    <w:rsid w:val="00413C4C"/>
    <w:rsid w:val="00414952"/>
    <w:rsid w:val="00415199"/>
    <w:rsid w:val="00415F39"/>
    <w:rsid w:val="0042195C"/>
    <w:rsid w:val="004247A9"/>
    <w:rsid w:val="00427FC2"/>
    <w:rsid w:val="00430845"/>
    <w:rsid w:val="00430906"/>
    <w:rsid w:val="00430A4F"/>
    <w:rsid w:val="004311AF"/>
    <w:rsid w:val="00433FC6"/>
    <w:rsid w:val="00435184"/>
    <w:rsid w:val="004372C1"/>
    <w:rsid w:val="00441827"/>
    <w:rsid w:val="0044237D"/>
    <w:rsid w:val="004427B6"/>
    <w:rsid w:val="004437D6"/>
    <w:rsid w:val="00443A19"/>
    <w:rsid w:val="00444BA0"/>
    <w:rsid w:val="00445D79"/>
    <w:rsid w:val="00450D73"/>
    <w:rsid w:val="004513D1"/>
    <w:rsid w:val="00452C51"/>
    <w:rsid w:val="0045429E"/>
    <w:rsid w:val="0045466C"/>
    <w:rsid w:val="00454EC5"/>
    <w:rsid w:val="00457B18"/>
    <w:rsid w:val="00462456"/>
    <w:rsid w:val="00462FE2"/>
    <w:rsid w:val="00463378"/>
    <w:rsid w:val="004642DE"/>
    <w:rsid w:val="004664F4"/>
    <w:rsid w:val="004716CD"/>
    <w:rsid w:val="00471702"/>
    <w:rsid w:val="00472C6F"/>
    <w:rsid w:val="0047732C"/>
    <w:rsid w:val="00480654"/>
    <w:rsid w:val="00482064"/>
    <w:rsid w:val="00485E65"/>
    <w:rsid w:val="004908E5"/>
    <w:rsid w:val="00490B3C"/>
    <w:rsid w:val="00493969"/>
    <w:rsid w:val="00493DCA"/>
    <w:rsid w:val="00496D10"/>
    <w:rsid w:val="00496F9C"/>
    <w:rsid w:val="00497893"/>
    <w:rsid w:val="004A0106"/>
    <w:rsid w:val="004A2003"/>
    <w:rsid w:val="004A28DB"/>
    <w:rsid w:val="004A585F"/>
    <w:rsid w:val="004B1377"/>
    <w:rsid w:val="004B5EB0"/>
    <w:rsid w:val="004C011C"/>
    <w:rsid w:val="004C17C4"/>
    <w:rsid w:val="004C283E"/>
    <w:rsid w:val="004C3273"/>
    <w:rsid w:val="004C4D75"/>
    <w:rsid w:val="004D444C"/>
    <w:rsid w:val="004D4950"/>
    <w:rsid w:val="004D625C"/>
    <w:rsid w:val="004D7C76"/>
    <w:rsid w:val="004E2322"/>
    <w:rsid w:val="004E6C1A"/>
    <w:rsid w:val="004E6DB3"/>
    <w:rsid w:val="004E7972"/>
    <w:rsid w:val="004F211B"/>
    <w:rsid w:val="004F4F58"/>
    <w:rsid w:val="004F5781"/>
    <w:rsid w:val="004F5B56"/>
    <w:rsid w:val="004F7074"/>
    <w:rsid w:val="005025FE"/>
    <w:rsid w:val="005077FB"/>
    <w:rsid w:val="00510365"/>
    <w:rsid w:val="00512AD3"/>
    <w:rsid w:val="0051342E"/>
    <w:rsid w:val="00521E88"/>
    <w:rsid w:val="005246AF"/>
    <w:rsid w:val="0052502D"/>
    <w:rsid w:val="00532CDF"/>
    <w:rsid w:val="00532CE3"/>
    <w:rsid w:val="00533C10"/>
    <w:rsid w:val="00533D55"/>
    <w:rsid w:val="0053519B"/>
    <w:rsid w:val="0053633F"/>
    <w:rsid w:val="005417A6"/>
    <w:rsid w:val="00541AB4"/>
    <w:rsid w:val="005428AC"/>
    <w:rsid w:val="00543CA9"/>
    <w:rsid w:val="00545340"/>
    <w:rsid w:val="00545FE6"/>
    <w:rsid w:val="00546356"/>
    <w:rsid w:val="00551F53"/>
    <w:rsid w:val="005541C8"/>
    <w:rsid w:val="00556F73"/>
    <w:rsid w:val="00557E89"/>
    <w:rsid w:val="00561CC4"/>
    <w:rsid w:val="00562225"/>
    <w:rsid w:val="005629C2"/>
    <w:rsid w:val="00563D2B"/>
    <w:rsid w:val="00565326"/>
    <w:rsid w:val="00570D3F"/>
    <w:rsid w:val="00575F99"/>
    <w:rsid w:val="00577210"/>
    <w:rsid w:val="005806A2"/>
    <w:rsid w:val="00584799"/>
    <w:rsid w:val="00585D2B"/>
    <w:rsid w:val="00590894"/>
    <w:rsid w:val="00591EEF"/>
    <w:rsid w:val="0059242E"/>
    <w:rsid w:val="0059329B"/>
    <w:rsid w:val="00594BC3"/>
    <w:rsid w:val="00594F28"/>
    <w:rsid w:val="00595003"/>
    <w:rsid w:val="005965B5"/>
    <w:rsid w:val="005A1ECF"/>
    <w:rsid w:val="005A1F35"/>
    <w:rsid w:val="005A2BB6"/>
    <w:rsid w:val="005A3DAE"/>
    <w:rsid w:val="005A5D69"/>
    <w:rsid w:val="005A6B4A"/>
    <w:rsid w:val="005B0A86"/>
    <w:rsid w:val="005B28D9"/>
    <w:rsid w:val="005B3D40"/>
    <w:rsid w:val="005B64A1"/>
    <w:rsid w:val="005B68FE"/>
    <w:rsid w:val="005C2786"/>
    <w:rsid w:val="005C5D49"/>
    <w:rsid w:val="005C75AD"/>
    <w:rsid w:val="005D11FA"/>
    <w:rsid w:val="005D625F"/>
    <w:rsid w:val="005E0695"/>
    <w:rsid w:val="005E2FD5"/>
    <w:rsid w:val="005E4A4F"/>
    <w:rsid w:val="005E4B58"/>
    <w:rsid w:val="005E60C4"/>
    <w:rsid w:val="005E6FED"/>
    <w:rsid w:val="005F198E"/>
    <w:rsid w:val="005F1EEE"/>
    <w:rsid w:val="005F36AB"/>
    <w:rsid w:val="005F3966"/>
    <w:rsid w:val="005F6235"/>
    <w:rsid w:val="00602ABA"/>
    <w:rsid w:val="00606EC9"/>
    <w:rsid w:val="00607443"/>
    <w:rsid w:val="00610942"/>
    <w:rsid w:val="00611A71"/>
    <w:rsid w:val="00616173"/>
    <w:rsid w:val="00616EE2"/>
    <w:rsid w:val="00620BD6"/>
    <w:rsid w:val="00622911"/>
    <w:rsid w:val="00624A26"/>
    <w:rsid w:val="00625905"/>
    <w:rsid w:val="00627753"/>
    <w:rsid w:val="00631D45"/>
    <w:rsid w:val="00632692"/>
    <w:rsid w:val="0063271A"/>
    <w:rsid w:val="00632E51"/>
    <w:rsid w:val="00633C9B"/>
    <w:rsid w:val="00633DEB"/>
    <w:rsid w:val="006351F3"/>
    <w:rsid w:val="00636DF9"/>
    <w:rsid w:val="006410BC"/>
    <w:rsid w:val="006417E5"/>
    <w:rsid w:val="00641868"/>
    <w:rsid w:val="006477A2"/>
    <w:rsid w:val="00652A7E"/>
    <w:rsid w:val="00654F3D"/>
    <w:rsid w:val="00655048"/>
    <w:rsid w:val="006600F3"/>
    <w:rsid w:val="0066465B"/>
    <w:rsid w:val="00667912"/>
    <w:rsid w:val="0067425C"/>
    <w:rsid w:val="00683D30"/>
    <w:rsid w:val="00690152"/>
    <w:rsid w:val="00690B13"/>
    <w:rsid w:val="00691D57"/>
    <w:rsid w:val="006A0293"/>
    <w:rsid w:val="006A3795"/>
    <w:rsid w:val="006A67A4"/>
    <w:rsid w:val="006B4AE0"/>
    <w:rsid w:val="006B5511"/>
    <w:rsid w:val="006C1559"/>
    <w:rsid w:val="006C2522"/>
    <w:rsid w:val="006C3A94"/>
    <w:rsid w:val="006C4193"/>
    <w:rsid w:val="006C6B75"/>
    <w:rsid w:val="006D209E"/>
    <w:rsid w:val="006D2C35"/>
    <w:rsid w:val="006D4D83"/>
    <w:rsid w:val="006D6AE7"/>
    <w:rsid w:val="006E3241"/>
    <w:rsid w:val="006E40BB"/>
    <w:rsid w:val="006E5CBE"/>
    <w:rsid w:val="006E6805"/>
    <w:rsid w:val="006E6FA7"/>
    <w:rsid w:val="006F08DB"/>
    <w:rsid w:val="006F302F"/>
    <w:rsid w:val="006F4CCE"/>
    <w:rsid w:val="006F6043"/>
    <w:rsid w:val="006F62F9"/>
    <w:rsid w:val="007044B5"/>
    <w:rsid w:val="00706D2B"/>
    <w:rsid w:val="00707800"/>
    <w:rsid w:val="0070783B"/>
    <w:rsid w:val="007114DA"/>
    <w:rsid w:val="00713620"/>
    <w:rsid w:val="00713D95"/>
    <w:rsid w:val="00714644"/>
    <w:rsid w:val="00715C2C"/>
    <w:rsid w:val="007209E2"/>
    <w:rsid w:val="007221EA"/>
    <w:rsid w:val="007241D4"/>
    <w:rsid w:val="007243A8"/>
    <w:rsid w:val="00727D83"/>
    <w:rsid w:val="00730945"/>
    <w:rsid w:val="0073377D"/>
    <w:rsid w:val="00733B08"/>
    <w:rsid w:val="00733CCE"/>
    <w:rsid w:val="00735A16"/>
    <w:rsid w:val="00735B0E"/>
    <w:rsid w:val="00736387"/>
    <w:rsid w:val="00736F8B"/>
    <w:rsid w:val="00737E87"/>
    <w:rsid w:val="00740D21"/>
    <w:rsid w:val="00741137"/>
    <w:rsid w:val="007430C1"/>
    <w:rsid w:val="00743DD2"/>
    <w:rsid w:val="00745853"/>
    <w:rsid w:val="00751E35"/>
    <w:rsid w:val="00752C17"/>
    <w:rsid w:val="00753B19"/>
    <w:rsid w:val="00754A0C"/>
    <w:rsid w:val="00754E7E"/>
    <w:rsid w:val="00756A18"/>
    <w:rsid w:val="007618C8"/>
    <w:rsid w:val="00761DE4"/>
    <w:rsid w:val="00762B07"/>
    <w:rsid w:val="00764282"/>
    <w:rsid w:val="007673F8"/>
    <w:rsid w:val="00767C52"/>
    <w:rsid w:val="00771121"/>
    <w:rsid w:val="0077141E"/>
    <w:rsid w:val="00772861"/>
    <w:rsid w:val="0077483A"/>
    <w:rsid w:val="0077520D"/>
    <w:rsid w:val="007761A7"/>
    <w:rsid w:val="007761DD"/>
    <w:rsid w:val="00776C9A"/>
    <w:rsid w:val="00777884"/>
    <w:rsid w:val="00780E3E"/>
    <w:rsid w:val="00781BFC"/>
    <w:rsid w:val="0078229D"/>
    <w:rsid w:val="007842D2"/>
    <w:rsid w:val="007855F6"/>
    <w:rsid w:val="00785F09"/>
    <w:rsid w:val="00786241"/>
    <w:rsid w:val="00787921"/>
    <w:rsid w:val="00791423"/>
    <w:rsid w:val="007952D4"/>
    <w:rsid w:val="00795F56"/>
    <w:rsid w:val="007973A9"/>
    <w:rsid w:val="00797604"/>
    <w:rsid w:val="007A352F"/>
    <w:rsid w:val="007A47E4"/>
    <w:rsid w:val="007B0159"/>
    <w:rsid w:val="007B4BC5"/>
    <w:rsid w:val="007B74A6"/>
    <w:rsid w:val="007B7F70"/>
    <w:rsid w:val="007C0F6F"/>
    <w:rsid w:val="007C3111"/>
    <w:rsid w:val="007C60D0"/>
    <w:rsid w:val="007C69B1"/>
    <w:rsid w:val="007C7491"/>
    <w:rsid w:val="007E0655"/>
    <w:rsid w:val="007E0777"/>
    <w:rsid w:val="007E456F"/>
    <w:rsid w:val="007E6D56"/>
    <w:rsid w:val="007F0AE5"/>
    <w:rsid w:val="007F14AD"/>
    <w:rsid w:val="007F4001"/>
    <w:rsid w:val="007F55EB"/>
    <w:rsid w:val="007F6278"/>
    <w:rsid w:val="007F632E"/>
    <w:rsid w:val="007F63CC"/>
    <w:rsid w:val="007F7CCA"/>
    <w:rsid w:val="00800D8A"/>
    <w:rsid w:val="008029D3"/>
    <w:rsid w:val="00804CC7"/>
    <w:rsid w:val="00812EA5"/>
    <w:rsid w:val="00816CD2"/>
    <w:rsid w:val="00817C05"/>
    <w:rsid w:val="00820BCA"/>
    <w:rsid w:val="00822BF6"/>
    <w:rsid w:val="008267C2"/>
    <w:rsid w:val="00827486"/>
    <w:rsid w:val="00831588"/>
    <w:rsid w:val="00844072"/>
    <w:rsid w:val="00847CE8"/>
    <w:rsid w:val="00850C64"/>
    <w:rsid w:val="00851DB5"/>
    <w:rsid w:val="00852151"/>
    <w:rsid w:val="00855FC6"/>
    <w:rsid w:val="00856805"/>
    <w:rsid w:val="00857694"/>
    <w:rsid w:val="00857CE5"/>
    <w:rsid w:val="00860BF2"/>
    <w:rsid w:val="00872358"/>
    <w:rsid w:val="00877C80"/>
    <w:rsid w:val="00881C1D"/>
    <w:rsid w:val="0088232B"/>
    <w:rsid w:val="00890E59"/>
    <w:rsid w:val="008918AF"/>
    <w:rsid w:val="008924BF"/>
    <w:rsid w:val="008A0F9B"/>
    <w:rsid w:val="008A1507"/>
    <w:rsid w:val="008A17CA"/>
    <w:rsid w:val="008A299F"/>
    <w:rsid w:val="008A3AD5"/>
    <w:rsid w:val="008A53A6"/>
    <w:rsid w:val="008B3695"/>
    <w:rsid w:val="008B495B"/>
    <w:rsid w:val="008B697B"/>
    <w:rsid w:val="008B7180"/>
    <w:rsid w:val="008C0290"/>
    <w:rsid w:val="008C1375"/>
    <w:rsid w:val="008C5873"/>
    <w:rsid w:val="008D1B54"/>
    <w:rsid w:val="008D7C1E"/>
    <w:rsid w:val="008E048F"/>
    <w:rsid w:val="008E1707"/>
    <w:rsid w:val="008E2808"/>
    <w:rsid w:val="008E3942"/>
    <w:rsid w:val="008F1B56"/>
    <w:rsid w:val="008F35B2"/>
    <w:rsid w:val="008F48D6"/>
    <w:rsid w:val="008F7A1E"/>
    <w:rsid w:val="0090794D"/>
    <w:rsid w:val="00907CBA"/>
    <w:rsid w:val="0091070E"/>
    <w:rsid w:val="00910E48"/>
    <w:rsid w:val="0091192C"/>
    <w:rsid w:val="0091428C"/>
    <w:rsid w:val="0091472E"/>
    <w:rsid w:val="009166A5"/>
    <w:rsid w:val="00920915"/>
    <w:rsid w:val="009210BC"/>
    <w:rsid w:val="009233E1"/>
    <w:rsid w:val="00923993"/>
    <w:rsid w:val="00924ECB"/>
    <w:rsid w:val="0092634F"/>
    <w:rsid w:val="00930305"/>
    <w:rsid w:val="0093582B"/>
    <w:rsid w:val="00937C6B"/>
    <w:rsid w:val="00941528"/>
    <w:rsid w:val="00942D00"/>
    <w:rsid w:val="00944A1B"/>
    <w:rsid w:val="0094537D"/>
    <w:rsid w:val="00950B44"/>
    <w:rsid w:val="00952541"/>
    <w:rsid w:val="00952A36"/>
    <w:rsid w:val="00952A47"/>
    <w:rsid w:val="009544EE"/>
    <w:rsid w:val="00956C84"/>
    <w:rsid w:val="00957E6E"/>
    <w:rsid w:val="00961B96"/>
    <w:rsid w:val="00965841"/>
    <w:rsid w:val="0096625D"/>
    <w:rsid w:val="009664E8"/>
    <w:rsid w:val="00967AF4"/>
    <w:rsid w:val="009702AD"/>
    <w:rsid w:val="00970BE4"/>
    <w:rsid w:val="00970FD2"/>
    <w:rsid w:val="00971B84"/>
    <w:rsid w:val="00973EE5"/>
    <w:rsid w:val="00974FC6"/>
    <w:rsid w:val="009770F2"/>
    <w:rsid w:val="009801D4"/>
    <w:rsid w:val="00981726"/>
    <w:rsid w:val="00985384"/>
    <w:rsid w:val="009854A7"/>
    <w:rsid w:val="00985A53"/>
    <w:rsid w:val="00986157"/>
    <w:rsid w:val="009869B4"/>
    <w:rsid w:val="00990EA6"/>
    <w:rsid w:val="009A1E15"/>
    <w:rsid w:val="009A20E8"/>
    <w:rsid w:val="009A5CB7"/>
    <w:rsid w:val="009A6702"/>
    <w:rsid w:val="009B4431"/>
    <w:rsid w:val="009B7F35"/>
    <w:rsid w:val="009C0DDC"/>
    <w:rsid w:val="009C300D"/>
    <w:rsid w:val="009C3C07"/>
    <w:rsid w:val="009C551D"/>
    <w:rsid w:val="009C67FA"/>
    <w:rsid w:val="009D1261"/>
    <w:rsid w:val="009D2ED0"/>
    <w:rsid w:val="009D3794"/>
    <w:rsid w:val="009D5D21"/>
    <w:rsid w:val="009D65B6"/>
    <w:rsid w:val="009D7AB8"/>
    <w:rsid w:val="009E59A2"/>
    <w:rsid w:val="009F118B"/>
    <w:rsid w:val="009F2A69"/>
    <w:rsid w:val="009F4175"/>
    <w:rsid w:val="00A0197D"/>
    <w:rsid w:val="00A073CB"/>
    <w:rsid w:val="00A0743B"/>
    <w:rsid w:val="00A07865"/>
    <w:rsid w:val="00A134C4"/>
    <w:rsid w:val="00A1460C"/>
    <w:rsid w:val="00A164E0"/>
    <w:rsid w:val="00A16600"/>
    <w:rsid w:val="00A16E6F"/>
    <w:rsid w:val="00A2007D"/>
    <w:rsid w:val="00A229D9"/>
    <w:rsid w:val="00A233D7"/>
    <w:rsid w:val="00A27EA0"/>
    <w:rsid w:val="00A32592"/>
    <w:rsid w:val="00A33DC3"/>
    <w:rsid w:val="00A35142"/>
    <w:rsid w:val="00A40A71"/>
    <w:rsid w:val="00A413F3"/>
    <w:rsid w:val="00A41E72"/>
    <w:rsid w:val="00A42997"/>
    <w:rsid w:val="00A46269"/>
    <w:rsid w:val="00A54172"/>
    <w:rsid w:val="00A5466B"/>
    <w:rsid w:val="00A603EA"/>
    <w:rsid w:val="00A62883"/>
    <w:rsid w:val="00A62F5F"/>
    <w:rsid w:val="00A6437E"/>
    <w:rsid w:val="00A665DD"/>
    <w:rsid w:val="00A7311F"/>
    <w:rsid w:val="00A73A50"/>
    <w:rsid w:val="00A8530F"/>
    <w:rsid w:val="00A864F9"/>
    <w:rsid w:val="00A92281"/>
    <w:rsid w:val="00A92617"/>
    <w:rsid w:val="00A95957"/>
    <w:rsid w:val="00A95AB3"/>
    <w:rsid w:val="00AA020A"/>
    <w:rsid w:val="00AA222C"/>
    <w:rsid w:val="00AA34DD"/>
    <w:rsid w:val="00AA4332"/>
    <w:rsid w:val="00AA5DA2"/>
    <w:rsid w:val="00AA684E"/>
    <w:rsid w:val="00AB1121"/>
    <w:rsid w:val="00AB1362"/>
    <w:rsid w:val="00AB3252"/>
    <w:rsid w:val="00AB48A8"/>
    <w:rsid w:val="00AC17E1"/>
    <w:rsid w:val="00AC1B52"/>
    <w:rsid w:val="00AC320A"/>
    <w:rsid w:val="00AC4676"/>
    <w:rsid w:val="00AD406C"/>
    <w:rsid w:val="00AD7FB7"/>
    <w:rsid w:val="00AE00C8"/>
    <w:rsid w:val="00AE0A23"/>
    <w:rsid w:val="00AE11BC"/>
    <w:rsid w:val="00AE1D0C"/>
    <w:rsid w:val="00AF0E03"/>
    <w:rsid w:val="00AF159B"/>
    <w:rsid w:val="00AF24A0"/>
    <w:rsid w:val="00AF62F5"/>
    <w:rsid w:val="00B02138"/>
    <w:rsid w:val="00B02A76"/>
    <w:rsid w:val="00B02AE3"/>
    <w:rsid w:val="00B04613"/>
    <w:rsid w:val="00B04951"/>
    <w:rsid w:val="00B07F73"/>
    <w:rsid w:val="00B113A9"/>
    <w:rsid w:val="00B13B8A"/>
    <w:rsid w:val="00B14C4B"/>
    <w:rsid w:val="00B16C2B"/>
    <w:rsid w:val="00B26261"/>
    <w:rsid w:val="00B26584"/>
    <w:rsid w:val="00B26ECE"/>
    <w:rsid w:val="00B30489"/>
    <w:rsid w:val="00B31F8E"/>
    <w:rsid w:val="00B343C4"/>
    <w:rsid w:val="00B371BF"/>
    <w:rsid w:val="00B41956"/>
    <w:rsid w:val="00B428B2"/>
    <w:rsid w:val="00B454D0"/>
    <w:rsid w:val="00B56543"/>
    <w:rsid w:val="00B64CAE"/>
    <w:rsid w:val="00B6555F"/>
    <w:rsid w:val="00B6720E"/>
    <w:rsid w:val="00B678B8"/>
    <w:rsid w:val="00B72690"/>
    <w:rsid w:val="00B733AE"/>
    <w:rsid w:val="00B751E1"/>
    <w:rsid w:val="00B8386D"/>
    <w:rsid w:val="00B85912"/>
    <w:rsid w:val="00B85DFB"/>
    <w:rsid w:val="00B93592"/>
    <w:rsid w:val="00B9418B"/>
    <w:rsid w:val="00B94B65"/>
    <w:rsid w:val="00B9564D"/>
    <w:rsid w:val="00B95AD7"/>
    <w:rsid w:val="00B95CDB"/>
    <w:rsid w:val="00B95D13"/>
    <w:rsid w:val="00BA31BC"/>
    <w:rsid w:val="00BA5EF8"/>
    <w:rsid w:val="00BA7283"/>
    <w:rsid w:val="00BB069D"/>
    <w:rsid w:val="00BB12C7"/>
    <w:rsid w:val="00BB2CEE"/>
    <w:rsid w:val="00BC5A4C"/>
    <w:rsid w:val="00BC65BF"/>
    <w:rsid w:val="00BD0B74"/>
    <w:rsid w:val="00BD387A"/>
    <w:rsid w:val="00BD4764"/>
    <w:rsid w:val="00BD4921"/>
    <w:rsid w:val="00BD772B"/>
    <w:rsid w:val="00BE6F56"/>
    <w:rsid w:val="00BE7CCA"/>
    <w:rsid w:val="00BF2676"/>
    <w:rsid w:val="00BF4CBF"/>
    <w:rsid w:val="00BF4E9B"/>
    <w:rsid w:val="00C012C8"/>
    <w:rsid w:val="00C03C98"/>
    <w:rsid w:val="00C03F1A"/>
    <w:rsid w:val="00C04E3A"/>
    <w:rsid w:val="00C07A62"/>
    <w:rsid w:val="00C11220"/>
    <w:rsid w:val="00C17508"/>
    <w:rsid w:val="00C22828"/>
    <w:rsid w:val="00C2614D"/>
    <w:rsid w:val="00C264C8"/>
    <w:rsid w:val="00C26A1B"/>
    <w:rsid w:val="00C30E06"/>
    <w:rsid w:val="00C3105B"/>
    <w:rsid w:val="00C34021"/>
    <w:rsid w:val="00C34A5E"/>
    <w:rsid w:val="00C35193"/>
    <w:rsid w:val="00C3555F"/>
    <w:rsid w:val="00C41086"/>
    <w:rsid w:val="00C41E6D"/>
    <w:rsid w:val="00C42AD3"/>
    <w:rsid w:val="00C5017F"/>
    <w:rsid w:val="00C50609"/>
    <w:rsid w:val="00C52FA6"/>
    <w:rsid w:val="00C60981"/>
    <w:rsid w:val="00C61E08"/>
    <w:rsid w:val="00C84FBC"/>
    <w:rsid w:val="00C94BFE"/>
    <w:rsid w:val="00C9503E"/>
    <w:rsid w:val="00C95AFB"/>
    <w:rsid w:val="00C97CBC"/>
    <w:rsid w:val="00CA0084"/>
    <w:rsid w:val="00CA04FB"/>
    <w:rsid w:val="00CA0BF9"/>
    <w:rsid w:val="00CA2341"/>
    <w:rsid w:val="00CA50BD"/>
    <w:rsid w:val="00CA5F26"/>
    <w:rsid w:val="00CB17AA"/>
    <w:rsid w:val="00CB24B8"/>
    <w:rsid w:val="00CB51F4"/>
    <w:rsid w:val="00CB6BB2"/>
    <w:rsid w:val="00CC1270"/>
    <w:rsid w:val="00CC3768"/>
    <w:rsid w:val="00CC37AF"/>
    <w:rsid w:val="00CC3E57"/>
    <w:rsid w:val="00CC7245"/>
    <w:rsid w:val="00CD1C6D"/>
    <w:rsid w:val="00CD1F5E"/>
    <w:rsid w:val="00CD2631"/>
    <w:rsid w:val="00CD3608"/>
    <w:rsid w:val="00CD3BF2"/>
    <w:rsid w:val="00CD4441"/>
    <w:rsid w:val="00CD54D9"/>
    <w:rsid w:val="00CD6F14"/>
    <w:rsid w:val="00CD7985"/>
    <w:rsid w:val="00CE0FE5"/>
    <w:rsid w:val="00CE5AB6"/>
    <w:rsid w:val="00CE7A93"/>
    <w:rsid w:val="00CF2A11"/>
    <w:rsid w:val="00CF2CC4"/>
    <w:rsid w:val="00CF344B"/>
    <w:rsid w:val="00CF36A4"/>
    <w:rsid w:val="00CF49B9"/>
    <w:rsid w:val="00CF6FAD"/>
    <w:rsid w:val="00D00925"/>
    <w:rsid w:val="00D01168"/>
    <w:rsid w:val="00D047A7"/>
    <w:rsid w:val="00D04A9E"/>
    <w:rsid w:val="00D05751"/>
    <w:rsid w:val="00D0637E"/>
    <w:rsid w:val="00D11E72"/>
    <w:rsid w:val="00D133F9"/>
    <w:rsid w:val="00D13547"/>
    <w:rsid w:val="00D14376"/>
    <w:rsid w:val="00D1616A"/>
    <w:rsid w:val="00D17D42"/>
    <w:rsid w:val="00D21565"/>
    <w:rsid w:val="00D22302"/>
    <w:rsid w:val="00D232E4"/>
    <w:rsid w:val="00D26585"/>
    <w:rsid w:val="00D309B8"/>
    <w:rsid w:val="00D32924"/>
    <w:rsid w:val="00D33D38"/>
    <w:rsid w:val="00D43700"/>
    <w:rsid w:val="00D44A8A"/>
    <w:rsid w:val="00D4519C"/>
    <w:rsid w:val="00D47EC8"/>
    <w:rsid w:val="00D57E0E"/>
    <w:rsid w:val="00D6187C"/>
    <w:rsid w:val="00D647F8"/>
    <w:rsid w:val="00D72A8E"/>
    <w:rsid w:val="00D75547"/>
    <w:rsid w:val="00D7794E"/>
    <w:rsid w:val="00D80D3C"/>
    <w:rsid w:val="00D82E2E"/>
    <w:rsid w:val="00D83580"/>
    <w:rsid w:val="00D8590D"/>
    <w:rsid w:val="00D85B85"/>
    <w:rsid w:val="00D85C07"/>
    <w:rsid w:val="00D86B9E"/>
    <w:rsid w:val="00D87853"/>
    <w:rsid w:val="00D91814"/>
    <w:rsid w:val="00D9438C"/>
    <w:rsid w:val="00D9479A"/>
    <w:rsid w:val="00D95540"/>
    <w:rsid w:val="00D97D04"/>
    <w:rsid w:val="00DA218D"/>
    <w:rsid w:val="00DB24EE"/>
    <w:rsid w:val="00DB334A"/>
    <w:rsid w:val="00DB3A59"/>
    <w:rsid w:val="00DB3E4A"/>
    <w:rsid w:val="00DB3F30"/>
    <w:rsid w:val="00DB4B5B"/>
    <w:rsid w:val="00DB525C"/>
    <w:rsid w:val="00DC1D97"/>
    <w:rsid w:val="00DD310F"/>
    <w:rsid w:val="00DE3DFB"/>
    <w:rsid w:val="00DE4FDF"/>
    <w:rsid w:val="00DE5AE7"/>
    <w:rsid w:val="00DF2F02"/>
    <w:rsid w:val="00DF4CC8"/>
    <w:rsid w:val="00E01524"/>
    <w:rsid w:val="00E04650"/>
    <w:rsid w:val="00E05554"/>
    <w:rsid w:val="00E0786B"/>
    <w:rsid w:val="00E07DE5"/>
    <w:rsid w:val="00E1075B"/>
    <w:rsid w:val="00E10E11"/>
    <w:rsid w:val="00E118AD"/>
    <w:rsid w:val="00E12D9E"/>
    <w:rsid w:val="00E14072"/>
    <w:rsid w:val="00E17D80"/>
    <w:rsid w:val="00E2222E"/>
    <w:rsid w:val="00E23C6C"/>
    <w:rsid w:val="00E273AF"/>
    <w:rsid w:val="00E33935"/>
    <w:rsid w:val="00E40931"/>
    <w:rsid w:val="00E4332B"/>
    <w:rsid w:val="00E45916"/>
    <w:rsid w:val="00E464F1"/>
    <w:rsid w:val="00E53D21"/>
    <w:rsid w:val="00E55039"/>
    <w:rsid w:val="00E567AA"/>
    <w:rsid w:val="00E61924"/>
    <w:rsid w:val="00E73D15"/>
    <w:rsid w:val="00E77CBB"/>
    <w:rsid w:val="00E80A5D"/>
    <w:rsid w:val="00E81403"/>
    <w:rsid w:val="00E871E2"/>
    <w:rsid w:val="00E901B6"/>
    <w:rsid w:val="00E909BE"/>
    <w:rsid w:val="00E90D3C"/>
    <w:rsid w:val="00E91B0E"/>
    <w:rsid w:val="00E93EC7"/>
    <w:rsid w:val="00E94F32"/>
    <w:rsid w:val="00E95F3D"/>
    <w:rsid w:val="00EA1D46"/>
    <w:rsid w:val="00EA31C5"/>
    <w:rsid w:val="00EB0081"/>
    <w:rsid w:val="00EB1FBA"/>
    <w:rsid w:val="00EB48B7"/>
    <w:rsid w:val="00EB664E"/>
    <w:rsid w:val="00EC3104"/>
    <w:rsid w:val="00EC6882"/>
    <w:rsid w:val="00EC68A8"/>
    <w:rsid w:val="00EC769F"/>
    <w:rsid w:val="00EC784E"/>
    <w:rsid w:val="00ED2A98"/>
    <w:rsid w:val="00ED3F7C"/>
    <w:rsid w:val="00ED59B2"/>
    <w:rsid w:val="00ED7BA8"/>
    <w:rsid w:val="00EE1DDE"/>
    <w:rsid w:val="00EF4776"/>
    <w:rsid w:val="00EF498D"/>
    <w:rsid w:val="00EF591F"/>
    <w:rsid w:val="00EF5BF0"/>
    <w:rsid w:val="00F01033"/>
    <w:rsid w:val="00F01413"/>
    <w:rsid w:val="00F03FFA"/>
    <w:rsid w:val="00F05AE8"/>
    <w:rsid w:val="00F063F5"/>
    <w:rsid w:val="00F15ADF"/>
    <w:rsid w:val="00F207C0"/>
    <w:rsid w:val="00F26F9A"/>
    <w:rsid w:val="00F27EF2"/>
    <w:rsid w:val="00F32FC3"/>
    <w:rsid w:val="00F33386"/>
    <w:rsid w:val="00F350F1"/>
    <w:rsid w:val="00F358E8"/>
    <w:rsid w:val="00F367A8"/>
    <w:rsid w:val="00F4255E"/>
    <w:rsid w:val="00F43D4E"/>
    <w:rsid w:val="00F44858"/>
    <w:rsid w:val="00F46023"/>
    <w:rsid w:val="00F52103"/>
    <w:rsid w:val="00F5228D"/>
    <w:rsid w:val="00F53F47"/>
    <w:rsid w:val="00F55061"/>
    <w:rsid w:val="00F57CF1"/>
    <w:rsid w:val="00F61170"/>
    <w:rsid w:val="00F63211"/>
    <w:rsid w:val="00F65027"/>
    <w:rsid w:val="00F676DD"/>
    <w:rsid w:val="00F70972"/>
    <w:rsid w:val="00F724B9"/>
    <w:rsid w:val="00F760B1"/>
    <w:rsid w:val="00F76247"/>
    <w:rsid w:val="00F77238"/>
    <w:rsid w:val="00F8395D"/>
    <w:rsid w:val="00F865D3"/>
    <w:rsid w:val="00F90A47"/>
    <w:rsid w:val="00F93864"/>
    <w:rsid w:val="00F94973"/>
    <w:rsid w:val="00FA3760"/>
    <w:rsid w:val="00FB0325"/>
    <w:rsid w:val="00FB3378"/>
    <w:rsid w:val="00FC0190"/>
    <w:rsid w:val="00FC524E"/>
    <w:rsid w:val="00FD05E0"/>
    <w:rsid w:val="00FD06D8"/>
    <w:rsid w:val="00FD0788"/>
    <w:rsid w:val="00FD2C80"/>
    <w:rsid w:val="00FD2C9E"/>
    <w:rsid w:val="00FD3F54"/>
    <w:rsid w:val="00FD55B5"/>
    <w:rsid w:val="00FD6348"/>
    <w:rsid w:val="00FD6573"/>
    <w:rsid w:val="00FD7798"/>
    <w:rsid w:val="00FD7996"/>
    <w:rsid w:val="00FE0055"/>
    <w:rsid w:val="00FE0C91"/>
    <w:rsid w:val="00FE3B3B"/>
    <w:rsid w:val="00FF0C0E"/>
    <w:rsid w:val="00FF6802"/>
    <w:rsid w:val="00FF70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EE2"/>
  </w:style>
  <w:style w:type="paragraph" w:styleId="Titre1">
    <w:name w:val="heading 1"/>
    <w:basedOn w:val="Normal"/>
    <w:next w:val="Normal"/>
    <w:link w:val="Titre1Car"/>
    <w:autoRedefine/>
    <w:uiPriority w:val="9"/>
    <w:rsid w:val="00490B3C"/>
    <w:pPr>
      <w:keepNext/>
      <w:keepLines/>
      <w:spacing w:after="360"/>
      <w:ind w:left="-851"/>
      <w:jc w:val="center"/>
      <w:outlineLvl w:val="0"/>
    </w:pPr>
    <w:rPr>
      <w:rFonts w:ascii="Segoe UI" w:eastAsiaTheme="majorEastAsia" w:hAnsi="Segoe UI" w:cs="Segoe UI"/>
      <w:b/>
      <w:bCs/>
      <w:color w:val="000091" w:themeColor="text1"/>
      <w:sz w:val="36"/>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paragraph" w:styleId="Titre5">
    <w:name w:val="heading 5"/>
    <w:basedOn w:val="Normal"/>
    <w:next w:val="Normal"/>
    <w:link w:val="Titre5Car"/>
    <w:uiPriority w:val="9"/>
    <w:semiHidden/>
    <w:unhideWhenUsed/>
    <w:rsid w:val="00CD6F14"/>
    <w:pPr>
      <w:keepNext/>
      <w:keepLines/>
      <w:spacing w:before="40" w:after="0"/>
      <w:outlineLvl w:val="4"/>
    </w:pPr>
    <w:rPr>
      <w:rFonts w:asciiTheme="majorHAnsi" w:eastAsiaTheme="majorEastAsia" w:hAnsiTheme="majorHAnsi" w:cstheme="majorBidi"/>
      <w:color w:val="006B6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qFormat/>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aliases w:val="fn,footnote text,Footnotes,Footnote ak,Reference,Footnote,Fußnote,FSR footnote,lábléc,Footnote Text Char Char,Note de bas de page Car1 Car,Note de bas de page Car Car Car,Note de bas de page Car Car Car Car Car,Footnote Text Cha"/>
    <w:basedOn w:val="Normal"/>
    <w:link w:val="NotedebasdepageCar"/>
    <w:uiPriority w:val="99"/>
    <w:unhideWhenUsed/>
    <w:qFormat/>
    <w:rsid w:val="00745853"/>
    <w:pPr>
      <w:spacing w:after="0" w:line="240" w:lineRule="auto"/>
    </w:pPr>
    <w:rPr>
      <w:sz w:val="20"/>
      <w:szCs w:val="20"/>
    </w:rPr>
  </w:style>
  <w:style w:type="character" w:customStyle="1" w:styleId="NotedebasdepageCar">
    <w:name w:val="Note de bas de page Car"/>
    <w:aliases w:val="fn Car,footnote text Car,Footnotes Car,Footnote ak Car,Reference Car,Footnote Car,Fußnote Car,FSR footnote Car,lábléc Car,Footnote Text Char Char Car,Note de bas de page Car1 Car Car,Note de bas de page Car Car Car Car"/>
    <w:basedOn w:val="Policepardfaut"/>
    <w:link w:val="Notedebasdepage"/>
    <w:uiPriority w:val="99"/>
    <w:rsid w:val="00745853"/>
    <w:rPr>
      <w:sz w:val="20"/>
      <w:szCs w:val="20"/>
    </w:rPr>
  </w:style>
  <w:style w:type="character" w:styleId="Appelnotedebasdep">
    <w:name w:val="footnote reference"/>
    <w:aliases w:val="Footnote Reference Number,Footnote Reference_LVL6,Footnote Reference_LVL61,Footnote Reference_LVL62,Footnote Reference_LVL63,Footnote Reference_LVL64,HAppel note de bas de p.,SUPERS,Ref,de nota al pie,BVI fnr"/>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457B18"/>
    <w:pPr>
      <w:spacing w:before="240" w:after="80" w:line="240" w:lineRule="auto"/>
      <w:ind w:left="-284"/>
    </w:pPr>
    <w:rPr>
      <w:rFonts w:ascii="Segoe UI" w:hAnsi="Segoe UI" w:cs="Segoe UI"/>
      <w:b/>
      <w:color w:val="000091" w:themeColor="text1"/>
      <w:szCs w:val="20"/>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457B18"/>
    <w:rPr>
      <w:rFonts w:ascii="Segoe UI" w:hAnsi="Segoe UI" w:cs="Segoe UI"/>
      <w:b/>
      <w:color w:val="000091" w:themeColor="text1"/>
      <w:szCs w:val="20"/>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spacing w:after="0" w:line="240" w:lineRule="auto"/>
      <w:ind w:left="-284"/>
      <w:jc w:val="both"/>
    </w:pPr>
    <w:rPr>
      <w:rFonts w:ascii="Segoe UI" w:hAnsi="Segoe UI" w:cs="Segoe UI"/>
      <w:sz w:val="20"/>
      <w:szCs w:val="20"/>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311AF"/>
    <w:pPr>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locked/>
    <w:rsid w:val="004311AF"/>
  </w:style>
  <w:style w:type="paragraph" w:customStyle="1" w:styleId="Titrenote">
    <w:name w:val="Titre note"/>
    <w:basedOn w:val="Normal"/>
    <w:link w:val="TitrenoteCar"/>
    <w:rsid w:val="00706D2B"/>
    <w:pPr>
      <w:ind w:right="-1417" w:hanging="709"/>
      <w:jc w:val="center"/>
    </w:pPr>
    <w:rPr>
      <w:rFonts w:ascii="Marianne" w:hAnsi="Marianne" w:cs="Segoe UI"/>
      <w:b/>
      <w:bCs/>
      <w:color w:val="E4A503" w:themeColor="accent2" w:themeShade="BF"/>
      <w:sz w:val="28"/>
      <w:szCs w:val="28"/>
    </w:rPr>
  </w:style>
  <w:style w:type="paragraph" w:customStyle="1" w:styleId="Commentairenote">
    <w:name w:val="Commentaire note"/>
    <w:basedOn w:val="Normal"/>
    <w:rsid w:val="00706D2B"/>
    <w:pPr>
      <w:ind w:right="-708"/>
    </w:pPr>
    <w:rPr>
      <w:rFonts w:ascii="Marianne" w:hAnsi="Marianne" w:cs="Segoe UI"/>
      <w:i/>
      <w:iCs/>
      <w:color w:val="6A6AF4" w:themeColor="text2"/>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pPr>
      <w:spacing w:after="0" w:line="240" w:lineRule="auto"/>
    </w:pPr>
    <w:rPr>
      <w:rFonts w:eastAsia="SimSun"/>
      <w:sz w:val="20"/>
      <w:szCs w:val="20"/>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unhideWhenUsed/>
    <w:rsid w:val="007209E2"/>
    <w:rPr>
      <w:vertAlign w:val="superscript"/>
    </w:rPr>
  </w:style>
  <w:style w:type="paragraph" w:customStyle="1" w:styleId="Brvesco-Normal">
    <w:name w:val="BrèvesÉco - Normal"/>
    <w:basedOn w:val="Normal"/>
    <w:rsid w:val="007209E2"/>
    <w:pPr>
      <w:spacing w:after="0" w:line="260" w:lineRule="exact"/>
      <w:jc w:val="both"/>
    </w:pPr>
    <w:rPr>
      <w:rFonts w:ascii="Marianne" w:hAnsi="Marianne" w:cs="Times New Roman (Corps CS)"/>
      <w:color w:val="1A171B"/>
      <w:sz w:val="20"/>
      <w:szCs w:val="24"/>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after="0" w:line="260" w:lineRule="exact"/>
      <w:jc w:val="both"/>
    </w:pPr>
    <w:rPr>
      <w:rFonts w:ascii="Segoe UI" w:hAnsi="Segoe UI" w:cs="Times New Roman (Corps CS)"/>
      <w:color w:val="1A171B"/>
      <w:sz w:val="20"/>
      <w:szCs w:val="24"/>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 w:type="character" w:styleId="Mentionnonrsolue">
    <w:name w:val="Unresolved Mention"/>
    <w:basedOn w:val="Policepardfaut"/>
    <w:uiPriority w:val="99"/>
    <w:semiHidden/>
    <w:unhideWhenUsed/>
    <w:rsid w:val="00E61924"/>
    <w:rPr>
      <w:color w:val="605E5C"/>
      <w:shd w:val="clear" w:color="auto" w:fill="E1DFDD"/>
    </w:rPr>
  </w:style>
  <w:style w:type="paragraph" w:customStyle="1" w:styleId="Briefinglist1">
    <w:name w:val="Briefing list 1"/>
    <w:basedOn w:val="Normal"/>
    <w:rsid w:val="00E1075B"/>
    <w:pPr>
      <w:keepLines/>
      <w:numPr>
        <w:numId w:val="25"/>
      </w:numPr>
      <w:spacing w:after="120" w:line="240" w:lineRule="auto"/>
      <w:jc w:val="both"/>
    </w:pPr>
    <w:rPr>
      <w:rFonts w:ascii="Arial" w:eastAsia="SimSun" w:hAnsi="Arial" w:cs="Arial"/>
      <w:szCs w:val="24"/>
      <w:lang w:val="en-GB"/>
    </w:rPr>
  </w:style>
  <w:style w:type="paragraph" w:styleId="NormalWeb">
    <w:name w:val="Normal (Web)"/>
    <w:basedOn w:val="Normal"/>
    <w:uiPriority w:val="99"/>
    <w:semiHidden/>
    <w:unhideWhenUsed/>
    <w:rsid w:val="00EC784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5Car">
    <w:name w:val="Titre 5 Car"/>
    <w:basedOn w:val="Policepardfaut"/>
    <w:link w:val="Titre5"/>
    <w:uiPriority w:val="9"/>
    <w:semiHidden/>
    <w:rsid w:val="00CD6F14"/>
    <w:rPr>
      <w:rFonts w:asciiTheme="majorHAnsi" w:eastAsiaTheme="majorEastAsia" w:hAnsiTheme="majorHAnsi" w:cstheme="majorBidi"/>
      <w:color w:val="006B60" w:themeColor="accent1" w:themeShade="BF"/>
    </w:rPr>
  </w:style>
  <w:style w:type="paragraph" w:customStyle="1" w:styleId="DecimalAligned">
    <w:name w:val="Decimal Aligned"/>
    <w:basedOn w:val="Normal"/>
    <w:uiPriority w:val="40"/>
    <w:rsid w:val="008267C2"/>
    <w:pPr>
      <w:tabs>
        <w:tab w:val="decimal" w:pos="360"/>
      </w:tabs>
      <w:spacing w:after="200" w:line="276" w:lineRule="auto"/>
    </w:pPr>
    <w:rPr>
      <w:rFonts w:eastAsiaTheme="minorEastAsia" w:cs="Times New Roman"/>
      <w:lang w:eastAsia="fr-FR"/>
    </w:rPr>
  </w:style>
  <w:style w:type="table" w:styleId="Trameclaire-Accent1">
    <w:name w:val="Light Shading Accent 1"/>
    <w:basedOn w:val="TableauNormal"/>
    <w:uiPriority w:val="60"/>
    <w:rsid w:val="008267C2"/>
    <w:pPr>
      <w:spacing w:after="0" w:line="240" w:lineRule="auto"/>
    </w:pPr>
    <w:rPr>
      <w:rFonts w:eastAsiaTheme="minorEastAsia"/>
      <w:color w:val="006B60" w:themeColor="accent1" w:themeShade="BF"/>
      <w:lang w:eastAsia="fr-FR"/>
    </w:rPr>
    <w:tblPr>
      <w:tblStyleRowBandSize w:val="1"/>
      <w:tblStyleColBandSize w:val="1"/>
      <w:tblBorders>
        <w:top w:val="single" w:sz="8" w:space="0" w:color="009081" w:themeColor="accent1"/>
        <w:bottom w:val="single" w:sz="8" w:space="0" w:color="009081" w:themeColor="accent1"/>
      </w:tblBorders>
    </w:tblPr>
    <w:tblStylePr w:type="fir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lastRow">
      <w:pPr>
        <w:spacing w:before="0" w:after="0" w:line="240" w:lineRule="auto"/>
      </w:pPr>
      <w:rPr>
        <w:b/>
        <w:bCs/>
      </w:rPr>
      <w:tblPr/>
      <w:tcPr>
        <w:tcBorders>
          <w:top w:val="single" w:sz="8" w:space="0" w:color="009081" w:themeColor="accent1"/>
          <w:left w:val="nil"/>
          <w:bottom w:val="single" w:sz="8" w:space="0" w:color="0090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FF5" w:themeFill="accent1" w:themeFillTint="3F"/>
      </w:tcPr>
    </w:tblStylePr>
    <w:tblStylePr w:type="band1Horz">
      <w:tblPr/>
      <w:tcPr>
        <w:tcBorders>
          <w:left w:val="nil"/>
          <w:right w:val="nil"/>
          <w:insideH w:val="nil"/>
          <w:insideV w:val="nil"/>
        </w:tcBorders>
        <w:shd w:val="clear" w:color="auto" w:fill="A4FFF5"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31367">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432091925">
      <w:bodyDiv w:val="1"/>
      <w:marLeft w:val="0"/>
      <w:marRight w:val="0"/>
      <w:marTop w:val="0"/>
      <w:marBottom w:val="0"/>
      <w:divBdr>
        <w:top w:val="none" w:sz="0" w:space="0" w:color="auto"/>
        <w:left w:val="none" w:sz="0" w:space="0" w:color="auto"/>
        <w:bottom w:val="none" w:sz="0" w:space="0" w:color="auto"/>
        <w:right w:val="none" w:sz="0" w:space="0" w:color="auto"/>
      </w:divBdr>
      <w:divsChild>
        <w:div w:id="588198279">
          <w:marLeft w:val="0"/>
          <w:marRight w:val="0"/>
          <w:marTop w:val="0"/>
          <w:marBottom w:val="0"/>
          <w:divBdr>
            <w:top w:val="none" w:sz="0" w:space="0" w:color="auto"/>
            <w:left w:val="none" w:sz="0" w:space="0" w:color="auto"/>
            <w:bottom w:val="none" w:sz="0" w:space="0" w:color="auto"/>
            <w:right w:val="none" w:sz="0" w:space="0" w:color="auto"/>
          </w:divBdr>
          <w:divsChild>
            <w:div w:id="1673948552">
              <w:marLeft w:val="0"/>
              <w:marRight w:val="0"/>
              <w:marTop w:val="0"/>
              <w:marBottom w:val="0"/>
              <w:divBdr>
                <w:top w:val="none" w:sz="0" w:space="0" w:color="auto"/>
                <w:left w:val="none" w:sz="0" w:space="0" w:color="auto"/>
                <w:bottom w:val="none" w:sz="0" w:space="0" w:color="auto"/>
                <w:right w:val="none" w:sz="0" w:space="0" w:color="auto"/>
              </w:divBdr>
              <w:divsChild>
                <w:div w:id="2123186480">
                  <w:marLeft w:val="0"/>
                  <w:marRight w:val="0"/>
                  <w:marTop w:val="0"/>
                  <w:marBottom w:val="0"/>
                  <w:divBdr>
                    <w:top w:val="none" w:sz="0" w:space="0" w:color="auto"/>
                    <w:left w:val="none" w:sz="0" w:space="0" w:color="auto"/>
                    <w:bottom w:val="none" w:sz="0" w:space="0" w:color="auto"/>
                    <w:right w:val="none" w:sz="0" w:space="0" w:color="auto"/>
                  </w:divBdr>
                  <w:divsChild>
                    <w:div w:id="92557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048870">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586504341">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965113750">
      <w:bodyDiv w:val="1"/>
      <w:marLeft w:val="0"/>
      <w:marRight w:val="0"/>
      <w:marTop w:val="0"/>
      <w:marBottom w:val="0"/>
      <w:divBdr>
        <w:top w:val="none" w:sz="0" w:space="0" w:color="auto"/>
        <w:left w:val="none" w:sz="0" w:space="0" w:color="auto"/>
        <w:bottom w:val="none" w:sz="0" w:space="0" w:color="auto"/>
        <w:right w:val="none" w:sz="0" w:space="0" w:color="auto"/>
      </w:divBdr>
    </w:div>
    <w:div w:id="1073697384">
      <w:bodyDiv w:val="1"/>
      <w:marLeft w:val="0"/>
      <w:marRight w:val="0"/>
      <w:marTop w:val="0"/>
      <w:marBottom w:val="0"/>
      <w:divBdr>
        <w:top w:val="none" w:sz="0" w:space="0" w:color="auto"/>
        <w:left w:val="none" w:sz="0" w:space="0" w:color="auto"/>
        <w:bottom w:val="none" w:sz="0" w:space="0" w:color="auto"/>
        <w:right w:val="none" w:sz="0" w:space="0" w:color="auto"/>
      </w:divBdr>
      <w:divsChild>
        <w:div w:id="1637644848">
          <w:marLeft w:val="0"/>
          <w:marRight w:val="0"/>
          <w:marTop w:val="0"/>
          <w:marBottom w:val="0"/>
          <w:divBdr>
            <w:top w:val="none" w:sz="0" w:space="0" w:color="auto"/>
            <w:left w:val="none" w:sz="0" w:space="0" w:color="auto"/>
            <w:bottom w:val="none" w:sz="0" w:space="0" w:color="auto"/>
            <w:right w:val="none" w:sz="0" w:space="0" w:color="auto"/>
          </w:divBdr>
          <w:divsChild>
            <w:div w:id="1846481246">
              <w:marLeft w:val="0"/>
              <w:marRight w:val="0"/>
              <w:marTop w:val="0"/>
              <w:marBottom w:val="0"/>
              <w:divBdr>
                <w:top w:val="none" w:sz="0" w:space="0" w:color="auto"/>
                <w:left w:val="none" w:sz="0" w:space="0" w:color="auto"/>
                <w:bottom w:val="none" w:sz="0" w:space="0" w:color="auto"/>
                <w:right w:val="none" w:sz="0" w:space="0" w:color="auto"/>
              </w:divBdr>
              <w:divsChild>
                <w:div w:id="1456946560">
                  <w:marLeft w:val="0"/>
                  <w:marRight w:val="0"/>
                  <w:marTop w:val="0"/>
                  <w:marBottom w:val="0"/>
                  <w:divBdr>
                    <w:top w:val="none" w:sz="0" w:space="0" w:color="auto"/>
                    <w:left w:val="none" w:sz="0" w:space="0" w:color="auto"/>
                    <w:bottom w:val="none" w:sz="0" w:space="0" w:color="auto"/>
                    <w:right w:val="none" w:sz="0" w:space="0" w:color="auto"/>
                  </w:divBdr>
                  <w:divsChild>
                    <w:div w:id="4734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396411">
      <w:bodyDiv w:val="1"/>
      <w:marLeft w:val="0"/>
      <w:marRight w:val="0"/>
      <w:marTop w:val="0"/>
      <w:marBottom w:val="0"/>
      <w:divBdr>
        <w:top w:val="none" w:sz="0" w:space="0" w:color="auto"/>
        <w:left w:val="none" w:sz="0" w:space="0" w:color="auto"/>
        <w:bottom w:val="none" w:sz="0" w:space="0" w:color="auto"/>
        <w:right w:val="none" w:sz="0" w:space="0" w:color="auto"/>
      </w:divBdr>
      <w:divsChild>
        <w:div w:id="1677343940">
          <w:marLeft w:val="0"/>
          <w:marRight w:val="0"/>
          <w:marTop w:val="0"/>
          <w:marBottom w:val="0"/>
          <w:divBdr>
            <w:top w:val="none" w:sz="0" w:space="0" w:color="auto"/>
            <w:left w:val="none" w:sz="0" w:space="0" w:color="auto"/>
            <w:bottom w:val="none" w:sz="0" w:space="0" w:color="auto"/>
            <w:right w:val="none" w:sz="0" w:space="0" w:color="auto"/>
          </w:divBdr>
          <w:divsChild>
            <w:div w:id="846821383">
              <w:marLeft w:val="0"/>
              <w:marRight w:val="0"/>
              <w:marTop w:val="0"/>
              <w:marBottom w:val="0"/>
              <w:divBdr>
                <w:top w:val="none" w:sz="0" w:space="0" w:color="auto"/>
                <w:left w:val="none" w:sz="0" w:space="0" w:color="auto"/>
                <w:bottom w:val="none" w:sz="0" w:space="0" w:color="auto"/>
                <w:right w:val="none" w:sz="0" w:space="0" w:color="auto"/>
              </w:divBdr>
            </w:div>
            <w:div w:id="652832923">
              <w:marLeft w:val="0"/>
              <w:marRight w:val="0"/>
              <w:marTop w:val="0"/>
              <w:marBottom w:val="0"/>
              <w:divBdr>
                <w:top w:val="none" w:sz="0" w:space="0" w:color="auto"/>
                <w:left w:val="none" w:sz="0" w:space="0" w:color="auto"/>
                <w:bottom w:val="none" w:sz="0" w:space="0" w:color="auto"/>
                <w:right w:val="none" w:sz="0" w:space="0" w:color="auto"/>
              </w:divBdr>
              <w:divsChild>
                <w:div w:id="968170739">
                  <w:marLeft w:val="0"/>
                  <w:marRight w:val="0"/>
                  <w:marTop w:val="0"/>
                  <w:marBottom w:val="0"/>
                  <w:divBdr>
                    <w:top w:val="none" w:sz="0" w:space="0" w:color="auto"/>
                    <w:left w:val="none" w:sz="0" w:space="0" w:color="auto"/>
                    <w:bottom w:val="none" w:sz="0" w:space="0" w:color="auto"/>
                    <w:right w:val="none" w:sz="0" w:space="0" w:color="auto"/>
                  </w:divBdr>
                  <w:divsChild>
                    <w:div w:id="164164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56627">
              <w:marLeft w:val="0"/>
              <w:marRight w:val="0"/>
              <w:marTop w:val="0"/>
              <w:marBottom w:val="0"/>
              <w:divBdr>
                <w:top w:val="none" w:sz="0" w:space="0" w:color="auto"/>
                <w:left w:val="none" w:sz="0" w:space="0" w:color="auto"/>
                <w:bottom w:val="none" w:sz="0" w:space="0" w:color="auto"/>
                <w:right w:val="none" w:sz="0" w:space="0" w:color="auto"/>
              </w:divBdr>
              <w:divsChild>
                <w:div w:id="1971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30949">
          <w:marLeft w:val="0"/>
          <w:marRight w:val="0"/>
          <w:marTop w:val="0"/>
          <w:marBottom w:val="0"/>
          <w:divBdr>
            <w:top w:val="none" w:sz="0" w:space="0" w:color="auto"/>
            <w:left w:val="none" w:sz="0" w:space="0" w:color="auto"/>
            <w:bottom w:val="none" w:sz="0" w:space="0" w:color="auto"/>
            <w:right w:val="none" w:sz="0" w:space="0" w:color="auto"/>
          </w:divBdr>
          <w:divsChild>
            <w:div w:id="859969499">
              <w:marLeft w:val="0"/>
              <w:marRight w:val="0"/>
              <w:marTop w:val="0"/>
              <w:marBottom w:val="0"/>
              <w:divBdr>
                <w:top w:val="none" w:sz="0" w:space="0" w:color="auto"/>
                <w:left w:val="none" w:sz="0" w:space="0" w:color="auto"/>
                <w:bottom w:val="none" w:sz="0" w:space="0" w:color="auto"/>
                <w:right w:val="none" w:sz="0" w:space="0" w:color="auto"/>
              </w:divBdr>
              <w:divsChild>
                <w:div w:id="1088890951">
                  <w:marLeft w:val="0"/>
                  <w:marRight w:val="0"/>
                  <w:marTop w:val="0"/>
                  <w:marBottom w:val="0"/>
                  <w:divBdr>
                    <w:top w:val="none" w:sz="0" w:space="0" w:color="auto"/>
                    <w:left w:val="none" w:sz="0" w:space="0" w:color="auto"/>
                    <w:bottom w:val="none" w:sz="0" w:space="0" w:color="auto"/>
                    <w:right w:val="none" w:sz="0" w:space="0" w:color="auto"/>
                  </w:divBdr>
                  <w:divsChild>
                    <w:div w:id="8943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8245">
      <w:bodyDiv w:val="1"/>
      <w:marLeft w:val="0"/>
      <w:marRight w:val="0"/>
      <w:marTop w:val="0"/>
      <w:marBottom w:val="0"/>
      <w:divBdr>
        <w:top w:val="none" w:sz="0" w:space="0" w:color="auto"/>
        <w:left w:val="none" w:sz="0" w:space="0" w:color="auto"/>
        <w:bottom w:val="none" w:sz="0" w:space="0" w:color="auto"/>
        <w:right w:val="none" w:sz="0" w:space="0" w:color="auto"/>
      </w:divBdr>
    </w:div>
    <w:div w:id="1207451303">
      <w:bodyDiv w:val="1"/>
      <w:marLeft w:val="0"/>
      <w:marRight w:val="0"/>
      <w:marTop w:val="0"/>
      <w:marBottom w:val="0"/>
      <w:divBdr>
        <w:top w:val="none" w:sz="0" w:space="0" w:color="auto"/>
        <w:left w:val="none" w:sz="0" w:space="0" w:color="auto"/>
        <w:bottom w:val="none" w:sz="0" w:space="0" w:color="auto"/>
        <w:right w:val="none" w:sz="0" w:space="0" w:color="auto"/>
      </w:divBdr>
    </w:div>
    <w:div w:id="1231887899">
      <w:bodyDiv w:val="1"/>
      <w:marLeft w:val="0"/>
      <w:marRight w:val="0"/>
      <w:marTop w:val="0"/>
      <w:marBottom w:val="0"/>
      <w:divBdr>
        <w:top w:val="none" w:sz="0" w:space="0" w:color="auto"/>
        <w:left w:val="none" w:sz="0" w:space="0" w:color="auto"/>
        <w:bottom w:val="none" w:sz="0" w:space="0" w:color="auto"/>
        <w:right w:val="none" w:sz="0" w:space="0" w:color="auto"/>
      </w:divBdr>
    </w:div>
    <w:div w:id="1615474844">
      <w:bodyDiv w:val="1"/>
      <w:marLeft w:val="0"/>
      <w:marRight w:val="0"/>
      <w:marTop w:val="0"/>
      <w:marBottom w:val="0"/>
      <w:divBdr>
        <w:top w:val="none" w:sz="0" w:space="0" w:color="auto"/>
        <w:left w:val="none" w:sz="0" w:space="0" w:color="auto"/>
        <w:bottom w:val="none" w:sz="0" w:space="0" w:color="auto"/>
        <w:right w:val="none" w:sz="0" w:space="0" w:color="auto"/>
      </w:divBdr>
    </w:div>
    <w:div w:id="1678776465">
      <w:bodyDiv w:val="1"/>
      <w:marLeft w:val="0"/>
      <w:marRight w:val="0"/>
      <w:marTop w:val="0"/>
      <w:marBottom w:val="0"/>
      <w:divBdr>
        <w:top w:val="none" w:sz="0" w:space="0" w:color="auto"/>
        <w:left w:val="none" w:sz="0" w:space="0" w:color="auto"/>
        <w:bottom w:val="none" w:sz="0" w:space="0" w:color="auto"/>
        <w:right w:val="none" w:sz="0" w:space="0" w:color="auto"/>
      </w:divBdr>
    </w:div>
    <w:div w:id="1820031601">
      <w:bodyDiv w:val="1"/>
      <w:marLeft w:val="0"/>
      <w:marRight w:val="0"/>
      <w:marTop w:val="0"/>
      <w:marBottom w:val="0"/>
      <w:divBdr>
        <w:top w:val="none" w:sz="0" w:space="0" w:color="auto"/>
        <w:left w:val="none" w:sz="0" w:space="0" w:color="auto"/>
        <w:bottom w:val="none" w:sz="0" w:space="0" w:color="auto"/>
        <w:right w:val="none" w:sz="0" w:space="0" w:color="auto"/>
      </w:divBdr>
    </w:div>
    <w:div w:id="1925411130">
      <w:bodyDiv w:val="1"/>
      <w:marLeft w:val="0"/>
      <w:marRight w:val="0"/>
      <w:marTop w:val="0"/>
      <w:marBottom w:val="0"/>
      <w:divBdr>
        <w:top w:val="none" w:sz="0" w:space="0" w:color="auto"/>
        <w:left w:val="none" w:sz="0" w:space="0" w:color="auto"/>
        <w:bottom w:val="none" w:sz="0" w:space="0" w:color="auto"/>
        <w:right w:val="none" w:sz="0" w:space="0" w:color="auto"/>
      </w:divBdr>
    </w:div>
    <w:div w:id="1946844644">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insee.fr/fr/metadonnees/source/serie/s1190" TargetMode="External"/><Relationship Id="rId2" Type="http://schemas.openxmlformats.org/officeDocument/2006/relationships/hyperlink" Target="https://www.ecb.europa.eu/stats/policy_and_exchange_rates/euro_reference_exchange_rates/html/eurofxref-graph-inr.fr.html" TargetMode="External"/><Relationship Id="rId1" Type="http://schemas.openxmlformats.org/officeDocument/2006/relationships/hyperlink" Target="https://www.banque-france.fr/fr/publications-et-statistiques/publications/la-balance-des-paiements-et-la-position-exterieure-de-la-france-2024" TargetMode="External"/><Relationship Id="rId4" Type="http://schemas.openxmlformats.org/officeDocument/2006/relationships/hyperlink" Target="https://www.ey.com/en_in/newsroom/2025/08/india-s-outbound-investments-surge-67-percent-in-fy-25-driven-by-esg-gift-city-and-global-tax-reforms" TargetMode="External"/></Relationship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47683-4EEA-48B5-BAEB-ED72EA5D7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89C39-B73A-4C06-BD6A-F911CC7058AB}">
  <ds:schemaRefs>
    <ds:schemaRef ds:uri="http://schemas.microsoft.com/sharepoint/v3/contenttype/forms"/>
  </ds:schemaRefs>
</ds:datastoreItem>
</file>

<file path=customXml/itemProps3.xml><?xml version="1.0" encoding="utf-8"?>
<ds:datastoreItem xmlns:ds="http://schemas.openxmlformats.org/officeDocument/2006/customXml" ds:itemID="{984E70A4-4068-4A2A-B461-0F496D4F37F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3073</TotalTime>
  <Pages>3</Pages>
  <Words>918</Words>
  <Characters>5050</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Assouad</dc:creator>
  <cp:keywords>template</cp:keywords>
  <dc:description/>
  <cp:lastModifiedBy>BRAHIMI Dana</cp:lastModifiedBy>
  <cp:revision>270</cp:revision>
  <cp:lastPrinted>2025-08-13T04:03:00Z</cp:lastPrinted>
  <dcterms:created xsi:type="dcterms:W3CDTF">2025-08-13T05:21:00Z</dcterms:created>
  <dcterms:modified xsi:type="dcterms:W3CDTF">2025-10-07T04:33:00Z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