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F5F1" w14:textId="128E8501" w:rsidR="009C7008" w:rsidRDefault="004D4C08" w:rsidP="009C7008">
      <w:pPr>
        <w:spacing w:after="240" w:line="240" w:lineRule="auto"/>
        <w:contextualSpacing/>
        <w:rPr>
          <w:rFonts w:ascii="Segoe UI" w:hAnsi="Segoe UI" w:cs="Segoe UI"/>
          <w:color w:val="000091" w:themeColor="text1"/>
          <w:sz w:val="32"/>
          <w:szCs w:val="20"/>
          <w:lang w:eastAsia="fr-FR"/>
        </w:rPr>
      </w:pPr>
      <w:r w:rsidRPr="007C5DE7">
        <w:rPr>
          <w:rFonts w:ascii="Segoe UI" w:hAnsi="Segoe UI" w:cs="Segoe UI"/>
          <w:noProof/>
          <w:color w:val="000091" w:themeColor="text1"/>
        </w:rPr>
        <w:drawing>
          <wp:anchor distT="0" distB="0" distL="114300" distR="114300" simplePos="0" relativeHeight="251658240" behindDoc="1" locked="0" layoutInCell="1" allowOverlap="1" wp14:anchorId="56177B8F" wp14:editId="00913D93">
            <wp:simplePos x="0" y="0"/>
            <wp:positionH relativeFrom="column">
              <wp:posOffset>-632460</wp:posOffset>
            </wp:positionH>
            <wp:positionV relativeFrom="page">
              <wp:posOffset>154305</wp:posOffset>
            </wp:positionV>
            <wp:extent cx="2817495" cy="985520"/>
            <wp:effectExtent l="0" t="0" r="1905" b="508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17495" cy="985520"/>
                    </a:xfrm>
                    <a:prstGeom prst="rect">
                      <a:avLst/>
                    </a:prstGeom>
                  </pic:spPr>
                </pic:pic>
              </a:graphicData>
            </a:graphic>
            <wp14:sizeRelH relativeFrom="margin">
              <wp14:pctWidth>0</wp14:pctWidth>
            </wp14:sizeRelH>
            <wp14:sizeRelV relativeFrom="margin">
              <wp14:pctHeight>0</wp14:pctHeight>
            </wp14:sizeRelV>
          </wp:anchor>
        </w:drawing>
      </w:r>
      <w:r w:rsidR="00FD7798" w:rsidRPr="007C5DE7">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2B58D9A8">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1612DB7C" w:rsidR="00532CE3" w:rsidRPr="008066A0" w:rsidRDefault="00F55ED0" w:rsidP="00532CE3">
                            <w:pPr>
                              <w:jc w:val="center"/>
                              <w:rPr>
                                <w:sz w:val="28"/>
                                <w:szCs w:val="28"/>
                              </w:rPr>
                            </w:pPr>
                            <w:r>
                              <w:rPr>
                                <w:rFonts w:ascii="Segoe UI" w:hAnsi="Segoe UI" w:cs="Segoe UI"/>
                                <w:b/>
                                <w:bCs/>
                                <w:color w:val="000091" w:themeColor="text1"/>
                                <w:sz w:val="28"/>
                                <w:szCs w:val="28"/>
                              </w:rPr>
                              <w:t>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1612DB7C" w:rsidR="00532CE3" w:rsidRPr="008066A0" w:rsidRDefault="00F55ED0" w:rsidP="00532CE3">
                      <w:pPr>
                        <w:jc w:val="center"/>
                        <w:rPr>
                          <w:sz w:val="28"/>
                          <w:szCs w:val="28"/>
                        </w:rPr>
                      </w:pPr>
                      <w:r>
                        <w:rPr>
                          <w:rFonts w:ascii="Segoe UI" w:hAnsi="Segoe UI" w:cs="Segoe UI"/>
                          <w:b/>
                          <w:bCs/>
                          <w:color w:val="000091" w:themeColor="text1"/>
                          <w:sz w:val="28"/>
                          <w:szCs w:val="28"/>
                        </w:rPr>
                        <w:t>Chine</w:t>
                      </w:r>
                    </w:p>
                  </w:txbxContent>
                </v:textbox>
              </v:rect>
            </w:pict>
          </mc:Fallback>
        </mc:AlternateContent>
      </w:r>
      <w:r w:rsidR="00FD7798" w:rsidRPr="007C5DE7">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2A6EDAA3">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5B4E099B" w:rsidR="00490B3C" w:rsidRPr="00532CE3" w:rsidRDefault="00AD5D6B"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Pékin</w:t>
                            </w:r>
                            <w:r w:rsidR="00490B3C" w:rsidRPr="00532CE3">
                              <w:rPr>
                                <w:rFonts w:ascii="Segoe UI" w:hAnsi="Segoe UI" w:cs="Segoe UI"/>
                                <w:color w:val="986E02" w:themeColor="accent2" w:themeShade="80"/>
                                <w:sz w:val="17"/>
                                <w:szCs w:val="17"/>
                                <w:lang w:eastAsia="ja-JP"/>
                              </w:rPr>
                              <w:t>,</w:t>
                            </w:r>
                            <w:r w:rsidR="005A027E">
                              <w:rPr>
                                <w:rFonts w:ascii="Segoe UI" w:hAnsi="Segoe UI" w:cs="Segoe UI"/>
                                <w:color w:val="986E02" w:themeColor="accent2" w:themeShade="80"/>
                                <w:sz w:val="17"/>
                                <w:szCs w:val="17"/>
                                <w:lang w:eastAsia="ja-JP"/>
                              </w:rPr>
                              <w:t xml:space="preserve"> </w:t>
                            </w:r>
                            <w:r w:rsidR="00DD0977">
                              <w:rPr>
                                <w:rFonts w:ascii="Segoe UI" w:hAnsi="Segoe UI" w:cs="Segoe UI"/>
                                <w:color w:val="986E02" w:themeColor="accent2" w:themeShade="80"/>
                                <w:sz w:val="17"/>
                                <w:szCs w:val="17"/>
                                <w:lang w:eastAsia="ja-JP"/>
                              </w:rPr>
                              <w:t xml:space="preserve">le </w:t>
                            </w:r>
                            <w:r w:rsidR="00294B29">
                              <w:rPr>
                                <w:rFonts w:ascii="Segoe UI" w:hAnsi="Segoe UI" w:cs="Segoe UI"/>
                                <w:color w:val="986E02" w:themeColor="accent2" w:themeShade="80"/>
                                <w:sz w:val="17"/>
                                <w:szCs w:val="17"/>
                                <w:lang w:eastAsia="ja-JP"/>
                              </w:rPr>
                              <w:t>22</w:t>
                            </w:r>
                            <w:r w:rsidR="00DD0977">
                              <w:rPr>
                                <w:rFonts w:ascii="Segoe UI" w:hAnsi="Segoe UI" w:cs="Segoe UI"/>
                                <w:color w:val="986E02" w:themeColor="accent2" w:themeShade="80"/>
                                <w:sz w:val="17"/>
                                <w:szCs w:val="17"/>
                                <w:lang w:eastAsia="ja-JP"/>
                              </w:rPr>
                              <w:t xml:space="preserve"> </w:t>
                            </w:r>
                            <w:r w:rsidR="00C86F32">
                              <w:rPr>
                                <w:rFonts w:ascii="Segoe UI" w:hAnsi="Segoe UI" w:cs="Segoe UI"/>
                                <w:color w:val="986E02" w:themeColor="accent2" w:themeShade="80"/>
                                <w:sz w:val="17"/>
                                <w:szCs w:val="17"/>
                                <w:lang w:eastAsia="ja-JP"/>
                              </w:rPr>
                              <w:t>mai</w:t>
                            </w:r>
                            <w:r>
                              <w:rPr>
                                <w:rFonts w:ascii="Segoe UI" w:hAnsi="Segoe UI" w:cs="Segoe UI"/>
                                <w:color w:val="986E02" w:themeColor="accent2" w:themeShade="80"/>
                                <w:sz w:val="17"/>
                                <w:szCs w:val="17"/>
                                <w:lang w:eastAsia="ja-JP"/>
                              </w:rPr>
                              <w:t xml:space="preserve"> 202</w:t>
                            </w:r>
                            <w:r w:rsidR="00A51A00">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7A5E4" id="_x0000_t202" coordsize="21600,21600" o:spt="202" path="m,l,21600r21600,l21600,xe">
                <v:stroke joinstyle="miter"/>
                <v:path gradientshapeok="t" o:connecttype="rect"/>
              </v:shapetype>
              <v:shape id="Zone de texte 2" o:spid="_x0000_s1027" type="#_x0000_t202" style="position:absolute;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fyYPE&#10;DwIAAAAEAAAOAAAAAAAAAAAAAAAAAC4CAABkcnMvZTJvRG9jLnhtbFBLAQItABQABgAIAAAAIQAc&#10;Offk3wAAAAsBAAAPAAAAAAAAAAAAAAAAAGkEAABkcnMvZG93bnJldi54bWxQSwUGAAAAAAQABADz&#10;AAAAdQUAAAAA&#10;" filled="f" stroked="f">
                <v:textbox>
                  <w:txbxContent>
                    <w:p w14:paraId="44111769" w14:textId="5B4E099B" w:rsidR="00490B3C" w:rsidRPr="00532CE3" w:rsidRDefault="00AD5D6B"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Pékin</w:t>
                      </w:r>
                      <w:r w:rsidR="00490B3C" w:rsidRPr="00532CE3">
                        <w:rPr>
                          <w:rFonts w:ascii="Segoe UI" w:hAnsi="Segoe UI" w:cs="Segoe UI"/>
                          <w:color w:val="986E02" w:themeColor="accent2" w:themeShade="80"/>
                          <w:sz w:val="17"/>
                          <w:szCs w:val="17"/>
                          <w:lang w:eastAsia="ja-JP"/>
                        </w:rPr>
                        <w:t>,</w:t>
                      </w:r>
                      <w:r w:rsidR="005A027E">
                        <w:rPr>
                          <w:rFonts w:ascii="Segoe UI" w:hAnsi="Segoe UI" w:cs="Segoe UI"/>
                          <w:color w:val="986E02" w:themeColor="accent2" w:themeShade="80"/>
                          <w:sz w:val="17"/>
                          <w:szCs w:val="17"/>
                          <w:lang w:eastAsia="ja-JP"/>
                        </w:rPr>
                        <w:t xml:space="preserve"> </w:t>
                      </w:r>
                      <w:r w:rsidR="00DD0977">
                        <w:rPr>
                          <w:rFonts w:ascii="Segoe UI" w:hAnsi="Segoe UI" w:cs="Segoe UI"/>
                          <w:color w:val="986E02" w:themeColor="accent2" w:themeShade="80"/>
                          <w:sz w:val="17"/>
                          <w:szCs w:val="17"/>
                          <w:lang w:eastAsia="ja-JP"/>
                        </w:rPr>
                        <w:t xml:space="preserve">le </w:t>
                      </w:r>
                      <w:r w:rsidR="00294B29">
                        <w:rPr>
                          <w:rFonts w:ascii="Segoe UI" w:hAnsi="Segoe UI" w:cs="Segoe UI"/>
                          <w:color w:val="986E02" w:themeColor="accent2" w:themeShade="80"/>
                          <w:sz w:val="17"/>
                          <w:szCs w:val="17"/>
                          <w:lang w:eastAsia="ja-JP"/>
                        </w:rPr>
                        <w:t>22</w:t>
                      </w:r>
                      <w:r w:rsidR="00DD0977">
                        <w:rPr>
                          <w:rFonts w:ascii="Segoe UI" w:hAnsi="Segoe UI" w:cs="Segoe UI"/>
                          <w:color w:val="986E02" w:themeColor="accent2" w:themeShade="80"/>
                          <w:sz w:val="17"/>
                          <w:szCs w:val="17"/>
                          <w:lang w:eastAsia="ja-JP"/>
                        </w:rPr>
                        <w:t xml:space="preserve"> </w:t>
                      </w:r>
                      <w:r w:rsidR="00C86F32">
                        <w:rPr>
                          <w:rFonts w:ascii="Segoe UI" w:hAnsi="Segoe UI" w:cs="Segoe UI"/>
                          <w:color w:val="986E02" w:themeColor="accent2" w:themeShade="80"/>
                          <w:sz w:val="17"/>
                          <w:szCs w:val="17"/>
                          <w:lang w:eastAsia="ja-JP"/>
                        </w:rPr>
                        <w:t>mai</w:t>
                      </w:r>
                      <w:r>
                        <w:rPr>
                          <w:rFonts w:ascii="Segoe UI" w:hAnsi="Segoe UI" w:cs="Segoe UI"/>
                          <w:color w:val="986E02" w:themeColor="accent2" w:themeShade="80"/>
                          <w:sz w:val="17"/>
                          <w:szCs w:val="17"/>
                          <w:lang w:eastAsia="ja-JP"/>
                        </w:rPr>
                        <w:t xml:space="preserve"> 202</w:t>
                      </w:r>
                      <w:r w:rsidR="00A51A00">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7C5DE7">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4F5AE60A">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169E519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AD5D6B">
                              <w:rPr>
                                <w:rFonts w:ascii="Segoe UI" w:hAnsi="Segoe UI" w:cs="Segoe UI"/>
                                <w:bCs/>
                                <w:color w:val="000091" w:themeColor="text1"/>
                                <w:sz w:val="18"/>
                                <w:szCs w:val="18"/>
                                <w:lang w:eastAsia="ja-JP"/>
                              </w:rPr>
                              <w:t>en Chine</w:t>
                            </w:r>
                          </w:p>
                          <w:p w14:paraId="3D62CBBB" w14:textId="163013B9"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AD5D6B">
                              <w:rPr>
                                <w:rFonts w:ascii="Segoe UI" w:hAnsi="Segoe UI" w:cs="Segoe UI"/>
                                <w:bCs/>
                                <w:color w:val="000091" w:themeColor="text1"/>
                                <w:sz w:val="18"/>
                                <w:szCs w:val="18"/>
                                <w:lang w:eastAsia="ja-JP"/>
                              </w:rPr>
                              <w:t xml:space="preserve"> régional de Pékin</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8" style="position:absolute;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" fillcolor="#fde8b0 [1301]" stroked="f" strokeweight="1pt">
                <v:textbox>
                  <w:txbxContent>
                    <w:p w14:paraId="7465B737" w14:textId="169E519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AD5D6B">
                        <w:rPr>
                          <w:rFonts w:ascii="Segoe UI" w:hAnsi="Segoe UI" w:cs="Segoe UI"/>
                          <w:bCs/>
                          <w:color w:val="000091" w:themeColor="text1"/>
                          <w:sz w:val="18"/>
                          <w:szCs w:val="18"/>
                          <w:lang w:eastAsia="ja-JP"/>
                        </w:rPr>
                        <w:t>en Chine</w:t>
                      </w:r>
                    </w:p>
                    <w:p w14:paraId="3D62CBBB" w14:textId="163013B9"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AD5D6B">
                        <w:rPr>
                          <w:rFonts w:ascii="Segoe UI" w:hAnsi="Segoe UI" w:cs="Segoe UI"/>
                          <w:bCs/>
                          <w:color w:val="000091" w:themeColor="text1"/>
                          <w:sz w:val="18"/>
                          <w:szCs w:val="18"/>
                          <w:lang w:eastAsia="ja-JP"/>
                        </w:rPr>
                        <w:t xml:space="preserve"> régional de Pékin</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p>
    <w:p w14:paraId="737C92F6" w14:textId="579A3126" w:rsidR="00BD7118" w:rsidRPr="007B0E03" w:rsidRDefault="00187366" w:rsidP="00AE6B4B">
      <w:pPr>
        <w:spacing w:before="480" w:after="120"/>
        <w:jc w:val="center"/>
        <w:rPr>
          <w:rFonts w:ascii="Segoe UI" w:hAnsi="Segoe UI" w:cs="Segoe UI"/>
          <w:b/>
          <w:bCs/>
          <w:color w:val="000091" w:themeColor="text1"/>
          <w:sz w:val="28"/>
          <w:szCs w:val="28"/>
          <w:lang w:eastAsia="fr-FR"/>
        </w:rPr>
      </w:pPr>
      <w:r>
        <w:rPr>
          <w:rFonts w:ascii="Segoe UI" w:hAnsi="Segoe UI" w:cs="Segoe UI"/>
          <w:b/>
          <w:bCs/>
          <w:color w:val="000091" w:themeColor="text1"/>
          <w:sz w:val="28"/>
          <w:szCs w:val="28"/>
          <w:lang w:eastAsia="fr-FR"/>
        </w:rPr>
        <w:t xml:space="preserve">Une hausse dynamique de la consommation d’énergie en 2024, qui surpasse </w:t>
      </w:r>
      <w:r w:rsidR="0083417B">
        <w:rPr>
          <w:rFonts w:ascii="Segoe UI" w:hAnsi="Segoe UI" w:cs="Segoe UI"/>
          <w:b/>
          <w:bCs/>
          <w:color w:val="000091" w:themeColor="text1"/>
          <w:sz w:val="28"/>
          <w:szCs w:val="28"/>
          <w:lang w:eastAsia="fr-FR"/>
        </w:rPr>
        <w:t xml:space="preserve">nettement </w:t>
      </w:r>
      <w:r>
        <w:rPr>
          <w:rFonts w:ascii="Segoe UI" w:hAnsi="Segoe UI" w:cs="Segoe UI"/>
          <w:b/>
          <w:bCs/>
          <w:color w:val="000091" w:themeColor="text1"/>
          <w:sz w:val="28"/>
          <w:szCs w:val="28"/>
          <w:lang w:eastAsia="fr-FR"/>
        </w:rPr>
        <w:t>le</w:t>
      </w:r>
      <w:r w:rsidR="004E7E16">
        <w:rPr>
          <w:rFonts w:ascii="Segoe UI" w:hAnsi="Segoe UI" w:cs="Segoe UI"/>
          <w:b/>
          <w:bCs/>
          <w:color w:val="000091" w:themeColor="text1"/>
          <w:sz w:val="28"/>
          <w:szCs w:val="28"/>
          <w:lang w:eastAsia="fr-FR"/>
        </w:rPr>
        <w:t xml:space="preserve"> surcroît </w:t>
      </w:r>
      <w:r w:rsidR="007674CF">
        <w:rPr>
          <w:rFonts w:ascii="Segoe UI" w:hAnsi="Segoe UI" w:cs="Segoe UI"/>
          <w:b/>
          <w:bCs/>
          <w:color w:val="000091" w:themeColor="text1"/>
          <w:sz w:val="28"/>
          <w:szCs w:val="28"/>
          <w:lang w:eastAsia="fr-FR"/>
        </w:rPr>
        <w:t>-</w:t>
      </w:r>
      <w:r w:rsidR="0083417B">
        <w:rPr>
          <w:rFonts w:ascii="Segoe UI" w:hAnsi="Segoe UI" w:cs="Segoe UI"/>
          <w:b/>
          <w:bCs/>
          <w:color w:val="000091" w:themeColor="text1"/>
          <w:sz w:val="28"/>
          <w:szCs w:val="28"/>
          <w:lang w:eastAsia="fr-FR"/>
        </w:rPr>
        <w:t xml:space="preserve">certes </w:t>
      </w:r>
      <w:r w:rsidR="004E7E16">
        <w:rPr>
          <w:rFonts w:ascii="Segoe UI" w:hAnsi="Segoe UI" w:cs="Segoe UI"/>
          <w:b/>
          <w:bCs/>
          <w:color w:val="000091" w:themeColor="text1"/>
          <w:sz w:val="28"/>
          <w:szCs w:val="28"/>
          <w:lang w:eastAsia="fr-FR"/>
        </w:rPr>
        <w:t>record</w:t>
      </w:r>
      <w:r w:rsidR="007674CF">
        <w:rPr>
          <w:rFonts w:ascii="Segoe UI" w:hAnsi="Segoe UI" w:cs="Segoe UI"/>
          <w:b/>
          <w:bCs/>
          <w:color w:val="000091" w:themeColor="text1"/>
          <w:sz w:val="28"/>
          <w:szCs w:val="28"/>
          <w:lang w:eastAsia="fr-FR"/>
        </w:rPr>
        <w:t>-</w:t>
      </w:r>
      <w:r w:rsidR="004E7E16">
        <w:rPr>
          <w:rFonts w:ascii="Segoe UI" w:hAnsi="Segoe UI" w:cs="Segoe UI"/>
          <w:b/>
          <w:bCs/>
          <w:color w:val="000091" w:themeColor="text1"/>
          <w:sz w:val="28"/>
          <w:szCs w:val="28"/>
          <w:lang w:eastAsia="fr-FR"/>
        </w:rPr>
        <w:t xml:space="preserve"> de production d’ENR</w:t>
      </w:r>
      <w:r w:rsidR="00A7515D">
        <w:rPr>
          <w:rFonts w:ascii="Segoe UI" w:hAnsi="Segoe UI" w:cs="Segoe UI"/>
          <w:b/>
          <w:bCs/>
          <w:color w:val="000091" w:themeColor="text1"/>
          <w:sz w:val="28"/>
          <w:szCs w:val="28"/>
          <w:lang w:eastAsia="fr-FR"/>
        </w:rPr>
        <w:t xml:space="preserve"> </w:t>
      </w:r>
      <w:r w:rsidR="007432F1">
        <w:rPr>
          <w:rFonts w:ascii="Segoe UI" w:hAnsi="Segoe UI" w:cs="Segoe UI"/>
          <w:b/>
          <w:bCs/>
          <w:color w:val="000091" w:themeColor="text1"/>
          <w:sz w:val="28"/>
          <w:szCs w:val="28"/>
          <w:lang w:eastAsia="fr-FR"/>
        </w:rPr>
        <w:t xml:space="preserve"> </w:t>
      </w:r>
    </w:p>
    <w:p w14:paraId="09D500DD" w14:textId="00FAA1AA" w:rsidR="00AC57D2" w:rsidRDefault="003941EE" w:rsidP="000B35CA">
      <w:pPr>
        <w:pStyle w:val="Introconclusion"/>
        <w:spacing w:after="120"/>
      </w:pPr>
      <w:r>
        <w:rPr>
          <w:noProof/>
        </w:rPr>
        <w:t>Représentant</w:t>
      </w:r>
      <w:r w:rsidR="003D4D65">
        <w:rPr>
          <w:noProof/>
        </w:rPr>
        <w:t xml:space="preserve"> </w:t>
      </w:r>
      <w:r w:rsidR="003D4D65">
        <w:t>26</w:t>
      </w:r>
      <w:r w:rsidR="009E6941">
        <w:t> %</w:t>
      </w:r>
      <w:r w:rsidR="003D4D65">
        <w:t xml:space="preserve"> de la consommation d’énergie primaire</w:t>
      </w:r>
      <w:r w:rsidR="0005279D">
        <w:t xml:space="preserve"> </w:t>
      </w:r>
      <w:r>
        <w:t>en 2024</w:t>
      </w:r>
      <w:r w:rsidR="004158FA">
        <w:rPr>
          <w:rStyle w:val="Appeldenotedefin"/>
        </w:rPr>
        <w:endnoteReference w:id="1"/>
      </w:r>
      <w:r w:rsidR="00294B29">
        <w:t xml:space="preserve"> (+4,3 %)</w:t>
      </w:r>
      <w:r w:rsidR="003D4D65">
        <w:t xml:space="preserve"> et </w:t>
      </w:r>
      <w:r w:rsidR="00CD439B">
        <w:t>32</w:t>
      </w:r>
      <w:r w:rsidR="009E6941">
        <w:t> %</w:t>
      </w:r>
      <w:r w:rsidR="003D4D65">
        <w:t xml:space="preserve"> de la </w:t>
      </w:r>
      <w:r w:rsidR="00CD439B">
        <w:t>production</w:t>
      </w:r>
      <w:r w:rsidR="003D4D65">
        <w:t xml:space="preserve"> d’électricité</w:t>
      </w:r>
      <w:r w:rsidR="00A64578">
        <w:t xml:space="preserve"> </w:t>
      </w:r>
      <w:r w:rsidR="00707082">
        <w:t xml:space="preserve">mondiale </w:t>
      </w:r>
      <w:r w:rsidR="003D4D65">
        <w:t>(</w:t>
      </w:r>
      <w:bookmarkStart w:id="0" w:name="_Hlk197362765"/>
      <w:r w:rsidR="008072A7">
        <w:t>10 205</w:t>
      </w:r>
      <w:r w:rsidR="003D4D65">
        <w:t xml:space="preserve"> TWh</w:t>
      </w:r>
      <w:bookmarkEnd w:id="0"/>
      <w:r w:rsidR="003D4D65">
        <w:t>, +6,8</w:t>
      </w:r>
      <w:r w:rsidR="009E6941">
        <w:t> %</w:t>
      </w:r>
      <w:r w:rsidR="003D4D65">
        <w:t>), la Chine est plus que jamais un acteur incontournable de la transition énergétique.</w:t>
      </w:r>
      <w:r w:rsidR="00A45DE1">
        <w:t xml:space="preserve"> </w:t>
      </w:r>
      <w:r w:rsidR="00503F55">
        <w:t xml:space="preserve">La demande énergétique </w:t>
      </w:r>
      <w:r>
        <w:t xml:space="preserve">continue de croître et la Chine, soucieuse d’assurer sa sécurité </w:t>
      </w:r>
      <w:r w:rsidRPr="0083417B">
        <w:t>énergétique</w:t>
      </w:r>
      <w:r w:rsidR="00F63600" w:rsidRPr="0083417B">
        <w:t>,</w:t>
      </w:r>
      <w:r w:rsidRPr="0083417B">
        <w:t xml:space="preserve"> augmente sa production domestique sur tous les fronts :</w:t>
      </w:r>
      <w:r w:rsidR="00D92BB6" w:rsidRPr="0083417B">
        <w:rPr>
          <w:noProof/>
        </w:rPr>
        <w:t xml:space="preserve"> charbon, pétrole, gaz naturel et </w:t>
      </w:r>
      <w:r w:rsidR="0005279D" w:rsidRPr="0083417B">
        <w:rPr>
          <w:noProof/>
        </w:rPr>
        <w:t>E</w:t>
      </w:r>
      <w:r w:rsidR="006A057F" w:rsidRPr="0083417B">
        <w:rPr>
          <w:noProof/>
        </w:rPr>
        <w:t>n</w:t>
      </w:r>
      <w:r w:rsidR="0005279D" w:rsidRPr="0083417B">
        <w:rPr>
          <w:noProof/>
        </w:rPr>
        <w:t>R</w:t>
      </w:r>
      <w:r w:rsidR="00D92BB6" w:rsidRPr="0083417B">
        <w:rPr>
          <w:noProof/>
        </w:rPr>
        <w:t>.</w:t>
      </w:r>
      <w:r w:rsidR="00A45DE1" w:rsidRPr="0083417B">
        <w:rPr>
          <w:noProof/>
        </w:rPr>
        <w:t xml:space="preserve"> </w:t>
      </w:r>
      <w:r w:rsidR="00DF42F2" w:rsidRPr="0083417B">
        <w:t xml:space="preserve">La production record d’électricité bas carbone </w:t>
      </w:r>
      <w:r w:rsidR="00DF42F2" w:rsidRPr="0083417B">
        <w:rPr>
          <w:noProof/>
        </w:rPr>
        <w:t>(</w:t>
      </w:r>
      <w:r w:rsidR="00DF42F2" w:rsidRPr="0083417B">
        <w:t xml:space="preserve">+558 TWh en TWh) </w:t>
      </w:r>
      <w:r w:rsidR="00CC0B9E" w:rsidRPr="0083417B">
        <w:t>n’a pas été en mesure de combler la hausse de la demande en électricité (624 TWh) et n’a couvert qu’un</w:t>
      </w:r>
      <w:r w:rsidR="0083417B">
        <w:t xml:space="preserve"> peu plus du</w:t>
      </w:r>
      <w:r w:rsidR="00CC0B9E" w:rsidRPr="0083417B">
        <w:t xml:space="preserve"> quart de la hausse de la consommation d’énergie primaire (2000 TWh). </w:t>
      </w:r>
      <w:r w:rsidR="00E66373" w:rsidRPr="0083417B">
        <w:t>2024</w:t>
      </w:r>
      <w:r w:rsidR="00E66373">
        <w:t xml:space="preserve"> fut enfin </w:t>
      </w:r>
      <w:r w:rsidR="00A64578">
        <w:t xml:space="preserve">clé </w:t>
      </w:r>
      <w:r w:rsidR="0005279D">
        <w:t>d’un point de vue</w:t>
      </w:r>
      <w:r w:rsidR="00E66373">
        <w:t xml:space="preserve"> législatif</w:t>
      </w:r>
      <w:r w:rsidR="0005279D">
        <w:t>, fixant les grandes lignes de l</w:t>
      </w:r>
      <w:r w:rsidR="00E66373">
        <w:t xml:space="preserve">’intégration </w:t>
      </w:r>
      <w:r w:rsidR="0005279D">
        <w:t xml:space="preserve">des </w:t>
      </w:r>
      <w:proofErr w:type="spellStart"/>
      <w:r w:rsidR="0005279D">
        <w:t>E</w:t>
      </w:r>
      <w:r w:rsidR="006A057F">
        <w:t>n</w:t>
      </w:r>
      <w:r w:rsidR="0005279D">
        <w:t>R</w:t>
      </w:r>
      <w:proofErr w:type="spellEnd"/>
      <w:r w:rsidR="0005279D">
        <w:t xml:space="preserve"> mais réaffirmant</w:t>
      </w:r>
      <w:r w:rsidR="00E66373">
        <w:t xml:space="preserve"> le rôle du charbon à court et moyen terme. </w:t>
      </w:r>
    </w:p>
    <w:p w14:paraId="55A9C112" w14:textId="1D66510E" w:rsidR="00954363" w:rsidRPr="00BE3EF0" w:rsidRDefault="002839D4" w:rsidP="000C184D">
      <w:pPr>
        <w:pStyle w:val="listeTitre"/>
        <w:ind w:left="357" w:hanging="357"/>
        <w:contextualSpacing w:val="0"/>
      </w:pPr>
      <w:r w:rsidRPr="00BE3EF0">
        <w:t>L</w:t>
      </w:r>
      <w:r w:rsidR="0080077D">
        <w:t>’activité et l</w:t>
      </w:r>
      <w:r w:rsidRPr="00BE3EF0">
        <w:t xml:space="preserve">a </w:t>
      </w:r>
      <w:r w:rsidR="0080077D" w:rsidRPr="00BE3EF0">
        <w:t>croissance en Chine demeure</w:t>
      </w:r>
      <w:r w:rsidR="0080077D">
        <w:t>nt</w:t>
      </w:r>
      <w:r w:rsidR="0080077D" w:rsidRPr="00BE3EF0">
        <w:t xml:space="preserve"> intensive</w:t>
      </w:r>
      <w:r w:rsidR="007674CF">
        <w:t>s</w:t>
      </w:r>
      <w:r w:rsidR="0080077D" w:rsidRPr="00BE3EF0">
        <w:t xml:space="preserve"> en énergie</w:t>
      </w:r>
    </w:p>
    <w:p w14:paraId="6C10378A" w14:textId="02CAC6AE" w:rsidR="002A3CAB" w:rsidRDefault="00D27BBC" w:rsidP="000C184D">
      <w:pPr>
        <w:pStyle w:val="Textecourant"/>
        <w:spacing w:after="120"/>
      </w:pPr>
      <w:r w:rsidRPr="00F30A40">
        <w:t>En dépit d’</w:t>
      </w:r>
      <w:r w:rsidR="00D56B2E">
        <w:t xml:space="preserve">une </w:t>
      </w:r>
      <w:r w:rsidRPr="00F30A40">
        <w:t xml:space="preserve">ambition affichée de réduction de l’intensité énergétique de son PIB (objectif de baisse de 13,5 % sur la période 2021-2025), la </w:t>
      </w:r>
      <w:r w:rsidR="00EA3D3D" w:rsidRPr="00F30A40">
        <w:t xml:space="preserve">consommation d’énergie primaire continue en Chine d’évoluer de concert avec la croissance. </w:t>
      </w:r>
      <w:r w:rsidR="00EA3D3D" w:rsidRPr="00F30A40">
        <w:rPr>
          <w:b/>
          <w:bCs/>
        </w:rPr>
        <w:t>En 2024, la consommation d’énergie primaire</w:t>
      </w:r>
      <w:r w:rsidR="004A74F0">
        <w:rPr>
          <w:b/>
          <w:bCs/>
        </w:rPr>
        <w:t xml:space="preserve"> s’est établie à </w:t>
      </w:r>
      <w:r w:rsidR="004A74F0" w:rsidRPr="0092638C">
        <w:rPr>
          <w:b/>
          <w:bCs/>
        </w:rPr>
        <w:t>48</w:t>
      </w:r>
      <w:r w:rsidR="005E66E4">
        <w:rPr>
          <w:b/>
          <w:bCs/>
        </w:rPr>
        <w:t>520</w:t>
      </w:r>
      <w:r w:rsidR="004A74F0" w:rsidRPr="0092638C">
        <w:rPr>
          <w:b/>
          <w:bCs/>
        </w:rPr>
        <w:t> TWh</w:t>
      </w:r>
      <w:r w:rsidR="00EA3D3D" w:rsidRPr="0092638C">
        <w:rPr>
          <w:b/>
          <w:bCs/>
        </w:rPr>
        <w:t xml:space="preserve"> a </w:t>
      </w:r>
      <w:r w:rsidR="00EA3D3D" w:rsidRPr="00F30A40">
        <w:rPr>
          <w:b/>
          <w:bCs/>
        </w:rPr>
        <w:t>ainsi cru de 4,3%</w:t>
      </w:r>
      <w:r w:rsidR="0035309D">
        <w:rPr>
          <w:rStyle w:val="Appeldenotedefin"/>
          <w:b/>
          <w:bCs/>
        </w:rPr>
        <w:endnoteReference w:id="2"/>
      </w:r>
      <w:r w:rsidR="00EA3D3D" w:rsidRPr="00F30A40">
        <w:rPr>
          <w:b/>
          <w:bCs/>
        </w:rPr>
        <w:t>, pour une hausse du PIB de 5%</w:t>
      </w:r>
      <w:r w:rsidR="00EA3D3D" w:rsidRPr="00F30A40">
        <w:t>. L’intensité énergétique du PIB n’a baissé en moyenne que de 0,6 % par an entre 2020 et 2023</w:t>
      </w:r>
      <w:r w:rsidR="00187529">
        <w:t xml:space="preserve"> avec une hausse </w:t>
      </w:r>
      <w:r w:rsidR="004E7E16">
        <w:t xml:space="preserve">annuelle </w:t>
      </w:r>
      <w:r w:rsidR="00187529">
        <w:t xml:space="preserve">de la demande énergétique de 4,1 % </w:t>
      </w:r>
      <w:r w:rsidR="00187529">
        <w:rPr>
          <w:rStyle w:val="Appeldenotedefin"/>
        </w:rPr>
        <w:endnoteReference w:id="3"/>
      </w:r>
      <w:r w:rsidR="00A124D9">
        <w:t>.</w:t>
      </w:r>
      <w:r w:rsidR="00187529">
        <w:t xml:space="preserve"> L</w:t>
      </w:r>
      <w:r w:rsidR="00973DF4">
        <w:t>es</w:t>
      </w:r>
      <w:r w:rsidR="00EA3D3D" w:rsidRPr="00F30A40">
        <w:t xml:space="preserve"> autorités chinoises ont </w:t>
      </w:r>
      <w:r w:rsidR="006A53B6" w:rsidRPr="00F30A40">
        <w:t>annoncé en mars que la Chine n’atteindra un tel objectif</w:t>
      </w:r>
      <w:r w:rsidR="001A6399">
        <w:rPr>
          <w:rStyle w:val="Appeldenotedefin"/>
        </w:rPr>
        <w:endnoteReference w:id="4"/>
      </w:r>
      <w:r w:rsidR="001A6399">
        <w:t xml:space="preserve"> tout en </w:t>
      </w:r>
      <w:r w:rsidR="00D314D3">
        <w:t>rendant moins contraignant</w:t>
      </w:r>
      <w:r w:rsidR="001A6399">
        <w:t xml:space="preserve"> le système de comptabilité pour les années suivantes</w:t>
      </w:r>
      <w:r w:rsidR="006A53B6" w:rsidRPr="00D95CAF">
        <w:rPr>
          <w:rStyle w:val="Appeldenotedefin"/>
        </w:rPr>
        <w:endnoteReference w:id="5"/>
      </w:r>
      <w:r w:rsidR="006A53B6" w:rsidRPr="000241A7">
        <w:t>.</w:t>
      </w:r>
    </w:p>
    <w:p w14:paraId="10DF55E9" w14:textId="5000A046" w:rsidR="00AC57D2" w:rsidRPr="000C184D" w:rsidRDefault="000C6598" w:rsidP="000C184D">
      <w:pPr>
        <w:pStyle w:val="Textecourant"/>
        <w:contextualSpacing/>
        <w:rPr>
          <w:highlight w:val="yellow"/>
        </w:rPr>
      </w:pPr>
      <w:r w:rsidRPr="00BE3EF0">
        <w:rPr>
          <w:b/>
          <w:bCs/>
        </w:rPr>
        <w:t xml:space="preserve">Avec un mix encore largement </w:t>
      </w:r>
      <w:r w:rsidR="005D1B38" w:rsidRPr="00BE3EF0">
        <w:rPr>
          <w:b/>
          <w:bCs/>
        </w:rPr>
        <w:t>fossile</w:t>
      </w:r>
      <w:r w:rsidRPr="00BE3EF0">
        <w:rPr>
          <w:b/>
          <w:bCs/>
        </w:rPr>
        <w:t xml:space="preserve"> (80 % du mix) </w:t>
      </w:r>
      <w:r w:rsidR="005D1B38" w:rsidRPr="00BE3EF0">
        <w:rPr>
          <w:b/>
          <w:bCs/>
        </w:rPr>
        <w:t xml:space="preserve">et </w:t>
      </w:r>
      <w:r w:rsidR="003507FD">
        <w:rPr>
          <w:b/>
          <w:bCs/>
        </w:rPr>
        <w:t>le besoin de recourir</w:t>
      </w:r>
      <w:r w:rsidR="005D1B38" w:rsidRPr="00BE3EF0">
        <w:rPr>
          <w:b/>
          <w:bCs/>
        </w:rPr>
        <w:t xml:space="preserve"> au charbon et au gaz naturel </w:t>
      </w:r>
      <w:r w:rsidR="003507FD">
        <w:rPr>
          <w:b/>
          <w:bCs/>
        </w:rPr>
        <w:t xml:space="preserve">pour </w:t>
      </w:r>
      <w:r w:rsidR="005D1B38" w:rsidRPr="00BE3EF0">
        <w:rPr>
          <w:b/>
          <w:bCs/>
        </w:rPr>
        <w:t>couvrir l</w:t>
      </w:r>
      <w:r w:rsidR="00CF1033" w:rsidRPr="00BE3EF0">
        <w:rPr>
          <w:b/>
          <w:bCs/>
        </w:rPr>
        <w:t>e surcroit de</w:t>
      </w:r>
      <w:r w:rsidR="005D1B38" w:rsidRPr="00BE3EF0">
        <w:rPr>
          <w:b/>
          <w:bCs/>
        </w:rPr>
        <w:t xml:space="preserve"> demande</w:t>
      </w:r>
      <w:r w:rsidR="005D1B38">
        <w:t xml:space="preserve">, </w:t>
      </w:r>
      <w:r w:rsidR="00DC310F">
        <w:t xml:space="preserve">les émissions de CO2 du secteur énergétique continuent de croître en 2024. </w:t>
      </w:r>
      <w:r w:rsidR="00CF1033">
        <w:t xml:space="preserve">La consommation de charbon a </w:t>
      </w:r>
      <w:r w:rsidR="00DC310F">
        <w:t>en effet</w:t>
      </w:r>
      <w:r w:rsidR="00C52001">
        <w:t xml:space="preserve"> </w:t>
      </w:r>
      <w:r w:rsidR="00CF1033">
        <w:t xml:space="preserve">augmenté </w:t>
      </w:r>
      <w:r w:rsidR="00C52001">
        <w:t xml:space="preserve">de </w:t>
      </w:r>
      <w:r w:rsidR="00CF1033" w:rsidRPr="00CF1033">
        <w:t xml:space="preserve">+1,7 % en </w:t>
      </w:r>
      <w:r w:rsidR="00C52001">
        <w:t xml:space="preserve">en 2024 </w:t>
      </w:r>
      <w:r w:rsidR="00CF1033" w:rsidRPr="00CF1033">
        <w:t>pour s’établir à 4,78 Mds tonnes</w:t>
      </w:r>
      <w:r w:rsidR="00DC310F">
        <w:t xml:space="preserve"> (</w:t>
      </w:r>
      <w:r w:rsidR="00CF1033" w:rsidRPr="00CF1033">
        <w:t>58 % de la consommation mondial</w:t>
      </w:r>
      <w:r w:rsidR="00CF1033">
        <w:t xml:space="preserve">e) tout comme la consommation de gaz naturel </w:t>
      </w:r>
      <w:r w:rsidR="00CF1033" w:rsidRPr="00CF1033">
        <w:t xml:space="preserve">(+7,3 % </w:t>
      </w:r>
      <w:r w:rsidR="000C184D">
        <w:t xml:space="preserve">et </w:t>
      </w:r>
      <w:r w:rsidR="00CF1033">
        <w:t>10 % de la consommation mondiale</w:t>
      </w:r>
      <w:r w:rsidR="00C52001">
        <w:t>)</w:t>
      </w:r>
      <w:r w:rsidR="00CF1033">
        <w:t>. La consommation de pétrole</w:t>
      </w:r>
      <w:r w:rsidR="002661B5">
        <w:t xml:space="preserve"> (-1,2 %)</w:t>
      </w:r>
      <w:r w:rsidR="00CF1033">
        <w:t xml:space="preserve"> </w:t>
      </w:r>
      <w:r w:rsidR="00DC310F">
        <w:t xml:space="preserve">a elle probablement </w:t>
      </w:r>
      <w:r w:rsidR="00CF1033">
        <w:t>atteint un pic</w:t>
      </w:r>
      <w:r w:rsidR="003507FD">
        <w:t xml:space="preserve"> grâce à</w:t>
      </w:r>
      <w:r w:rsidR="00CF1033">
        <w:t xml:space="preserve"> </w:t>
      </w:r>
      <w:r w:rsidR="00C52001">
        <w:t>l’électrification des transports</w:t>
      </w:r>
      <w:r w:rsidR="002661B5">
        <w:rPr>
          <w:rStyle w:val="Appeldenotedefin"/>
        </w:rPr>
        <w:endnoteReference w:id="6"/>
      </w:r>
      <w:r w:rsidR="00C52001">
        <w:t xml:space="preserve">. </w:t>
      </w:r>
      <w:r w:rsidR="00C52001" w:rsidRPr="00BE3EF0">
        <w:rPr>
          <w:b/>
          <w:bCs/>
        </w:rPr>
        <w:t xml:space="preserve">En 2024, la consommation </w:t>
      </w:r>
      <w:r w:rsidR="00DC310F">
        <w:rPr>
          <w:b/>
          <w:bCs/>
        </w:rPr>
        <w:t xml:space="preserve">d’énergie </w:t>
      </w:r>
      <w:r w:rsidR="003507FD">
        <w:rPr>
          <w:b/>
          <w:bCs/>
        </w:rPr>
        <w:t>renouvelable</w:t>
      </w:r>
      <w:r w:rsidR="00DC310F">
        <w:rPr>
          <w:b/>
          <w:bCs/>
        </w:rPr>
        <w:t xml:space="preserve"> </w:t>
      </w:r>
      <w:r w:rsidR="00C52001" w:rsidRPr="00BE3EF0">
        <w:rPr>
          <w:b/>
          <w:bCs/>
        </w:rPr>
        <w:t xml:space="preserve">ne </w:t>
      </w:r>
      <w:r w:rsidR="00DC310F">
        <w:rPr>
          <w:b/>
          <w:bCs/>
        </w:rPr>
        <w:t>vient encore</w:t>
      </w:r>
      <w:r w:rsidR="00C52001" w:rsidRPr="00BE3EF0">
        <w:rPr>
          <w:b/>
          <w:bCs/>
        </w:rPr>
        <w:t xml:space="preserve"> </w:t>
      </w:r>
      <w:r w:rsidR="00F43754" w:rsidRPr="00BE3EF0">
        <w:rPr>
          <w:b/>
          <w:bCs/>
        </w:rPr>
        <w:t>que s’ajouter à celle du charbon</w:t>
      </w:r>
      <w:r w:rsidR="00DC310F">
        <w:rPr>
          <w:b/>
          <w:bCs/>
        </w:rPr>
        <w:t xml:space="preserve"> et du gaz naturel</w:t>
      </w:r>
      <w:r w:rsidR="003507FD">
        <w:rPr>
          <w:b/>
          <w:bCs/>
        </w:rPr>
        <w:t xml:space="preserve">. </w:t>
      </w:r>
      <w:r w:rsidR="003507FD">
        <w:t xml:space="preserve">Sa part progresse néanmoins dans le mix </w:t>
      </w:r>
      <w:r w:rsidR="00F43754">
        <w:t xml:space="preserve">: </w:t>
      </w:r>
      <w:r w:rsidR="00C52001">
        <w:t xml:space="preserve"> </w:t>
      </w:r>
      <w:r w:rsidR="00C52001" w:rsidRPr="00464E97">
        <w:t>53,2</w:t>
      </w:r>
      <w:r w:rsidR="00C52001">
        <w:t> %</w:t>
      </w:r>
      <w:r w:rsidR="00C52001" w:rsidRPr="00464E97">
        <w:t xml:space="preserve"> de charbon, 18,2</w:t>
      </w:r>
      <w:r w:rsidR="00C52001">
        <w:t> %</w:t>
      </w:r>
      <w:r w:rsidR="00C52001" w:rsidRPr="00464E97">
        <w:t xml:space="preserve"> de pétrole brut, 9,4</w:t>
      </w:r>
      <w:r w:rsidR="00C52001">
        <w:t> %</w:t>
      </w:r>
      <w:r w:rsidR="00C52001" w:rsidRPr="00464E97">
        <w:t xml:space="preserve"> de gaz naturel et 19,7</w:t>
      </w:r>
      <w:r w:rsidR="00C52001">
        <w:t> %</w:t>
      </w:r>
      <w:r w:rsidR="00C52001" w:rsidRPr="00464E97">
        <w:t xml:space="preserve"> d'énergies non fossiles</w:t>
      </w:r>
      <w:r w:rsidR="00F43754">
        <w:t>.</w:t>
      </w:r>
      <w:r w:rsidR="00C52001">
        <w:t xml:space="preserve">  </w:t>
      </w:r>
    </w:p>
    <w:p w14:paraId="021C294C" w14:textId="4A4484D0" w:rsidR="00BE1EF1" w:rsidRDefault="00CA6D00" w:rsidP="000C184D">
      <w:pPr>
        <w:pStyle w:val="listeTitre"/>
        <w:spacing w:before="120"/>
        <w:ind w:left="357" w:hanging="357"/>
        <w:contextualSpacing w:val="0"/>
      </w:pPr>
      <w:bookmarkStart w:id="1" w:name="_Hlk198728883"/>
      <w:r>
        <w:t xml:space="preserve">En dépit </w:t>
      </w:r>
      <w:bookmarkEnd w:id="1"/>
      <w:r w:rsidR="00B639CA">
        <w:t>d’</w:t>
      </w:r>
      <w:r>
        <w:t xml:space="preserve">une très forte hausse des capacités </w:t>
      </w:r>
      <w:r w:rsidR="00B639CA">
        <w:t>install</w:t>
      </w:r>
      <w:r>
        <w:t>ées d’</w:t>
      </w:r>
      <w:proofErr w:type="spellStart"/>
      <w:r w:rsidR="00B639CA">
        <w:t>EnR</w:t>
      </w:r>
      <w:proofErr w:type="spellEnd"/>
      <w:r>
        <w:t xml:space="preserve">, leur production incrémentale ne </w:t>
      </w:r>
      <w:r w:rsidR="00B639CA">
        <w:t>couvre pas</w:t>
      </w:r>
      <w:r>
        <w:t xml:space="preserve"> en totalité</w:t>
      </w:r>
      <w:r w:rsidR="00B639CA">
        <w:t xml:space="preserve"> l</w:t>
      </w:r>
      <w:r>
        <w:t>’augmentation de</w:t>
      </w:r>
      <w:r w:rsidR="00B639CA">
        <w:t xml:space="preserve"> la demande en électricité</w:t>
      </w:r>
    </w:p>
    <w:p w14:paraId="3252A61D" w14:textId="6642DD97" w:rsidR="002935DD" w:rsidRDefault="00BE1EF1" w:rsidP="002935DD">
      <w:pPr>
        <w:pStyle w:val="Textecourant"/>
        <w:spacing w:after="120"/>
      </w:pPr>
      <w:r w:rsidRPr="000241A7">
        <w:rPr>
          <w:b/>
          <w:bCs/>
        </w:rPr>
        <w:t xml:space="preserve">La consommation d’électricité a atteint 9 852 TWh </w:t>
      </w:r>
      <w:r w:rsidR="001E046D">
        <w:rPr>
          <w:b/>
          <w:bCs/>
        </w:rPr>
        <w:t xml:space="preserve">et augmenté de </w:t>
      </w:r>
      <w:r w:rsidRPr="0092638C">
        <w:rPr>
          <w:b/>
          <w:bCs/>
        </w:rPr>
        <w:t>6</w:t>
      </w:r>
      <w:r w:rsidR="00792009" w:rsidRPr="0092638C">
        <w:rPr>
          <w:b/>
          <w:bCs/>
        </w:rPr>
        <w:t>24</w:t>
      </w:r>
      <w:r w:rsidRPr="0092638C">
        <w:rPr>
          <w:b/>
          <w:bCs/>
        </w:rPr>
        <w:t xml:space="preserve"> TWh</w:t>
      </w:r>
      <w:r w:rsidR="00294B29" w:rsidRPr="0092638C">
        <w:rPr>
          <w:rStyle w:val="Appeldenotedefin"/>
          <w:b/>
          <w:bCs/>
        </w:rPr>
        <w:endnoteReference w:id="7"/>
      </w:r>
      <w:r w:rsidRPr="0092638C">
        <w:rPr>
          <w:b/>
          <w:bCs/>
        </w:rPr>
        <w:t xml:space="preserve"> en 2024 (+6,8 %)</w:t>
      </w:r>
      <w:r w:rsidR="003446A1" w:rsidRPr="0092638C">
        <w:rPr>
          <w:b/>
          <w:bCs/>
        </w:rPr>
        <w:t>,</w:t>
      </w:r>
      <w:r w:rsidR="003446A1">
        <w:rPr>
          <w:b/>
          <w:bCs/>
        </w:rPr>
        <w:t xml:space="preserve"> hausse </w:t>
      </w:r>
      <w:proofErr w:type="gramStart"/>
      <w:r w:rsidR="003446A1">
        <w:rPr>
          <w:b/>
          <w:bCs/>
        </w:rPr>
        <w:t>portée</w:t>
      </w:r>
      <w:proofErr w:type="gramEnd"/>
      <w:r w:rsidR="003446A1">
        <w:rPr>
          <w:b/>
          <w:bCs/>
        </w:rPr>
        <w:t xml:space="preserve"> </w:t>
      </w:r>
      <w:r w:rsidRPr="000241A7">
        <w:rPr>
          <w:b/>
          <w:bCs/>
        </w:rPr>
        <w:t xml:space="preserve">par l’électrification des usages mais </w:t>
      </w:r>
      <w:r w:rsidR="00B639CA">
        <w:rPr>
          <w:b/>
          <w:bCs/>
        </w:rPr>
        <w:t xml:space="preserve">également </w:t>
      </w:r>
      <w:r w:rsidR="003446A1">
        <w:rPr>
          <w:b/>
          <w:bCs/>
        </w:rPr>
        <w:t>aux épisodes caniculaires</w:t>
      </w:r>
      <w:r w:rsidR="00BE3EF0">
        <w:rPr>
          <w:rStyle w:val="Appeldenotedefin"/>
          <w:b/>
          <w:bCs/>
        </w:rPr>
        <w:endnoteReference w:id="8"/>
      </w:r>
      <w:r w:rsidRPr="007046C0">
        <w:t>.</w:t>
      </w:r>
      <w:r w:rsidR="00250584" w:rsidRPr="007046C0">
        <w:t xml:space="preserve"> </w:t>
      </w:r>
      <w:r w:rsidR="007046C0">
        <w:t>L</w:t>
      </w:r>
      <w:r w:rsidR="006A0A26">
        <w:t>a consommation d’électricité pour l</w:t>
      </w:r>
      <w:r w:rsidR="007046C0">
        <w:t xml:space="preserve">’industrie </w:t>
      </w:r>
      <w:r w:rsidR="003446A1">
        <w:t>(</w:t>
      </w:r>
      <w:r w:rsidR="007046C0">
        <w:t>deux tiers de la consommation</w:t>
      </w:r>
      <w:r w:rsidR="000241A7">
        <w:t xml:space="preserve"> </w:t>
      </w:r>
      <w:r w:rsidR="00C22418">
        <w:t>totale</w:t>
      </w:r>
      <w:r w:rsidR="000241A7">
        <w:t>)</w:t>
      </w:r>
      <w:r w:rsidR="007046C0">
        <w:t xml:space="preserve"> </w:t>
      </w:r>
      <w:r w:rsidR="00C22418">
        <w:t xml:space="preserve">a cru de 5,1% et a été </w:t>
      </w:r>
      <w:r w:rsidR="003446A1">
        <w:t>à l’origine de</w:t>
      </w:r>
      <w:r w:rsidR="007046C0">
        <w:t xml:space="preserve"> la moitié de la consommation incrémentale</w:t>
      </w:r>
      <w:r w:rsidR="00C22418">
        <w:t>. La hausse de la demande a été particulièrement stimulée par l</w:t>
      </w:r>
      <w:r w:rsidR="006138FF">
        <w:t>a recharge</w:t>
      </w:r>
      <w:r w:rsidR="000241A7">
        <w:t xml:space="preserve"> des véhicules</w:t>
      </w:r>
      <w:r w:rsidR="006138FF">
        <w:t xml:space="preserve"> </w:t>
      </w:r>
      <w:r w:rsidR="000241A7">
        <w:t>électriques</w:t>
      </w:r>
      <w:r w:rsidR="006138FF">
        <w:t xml:space="preserve"> (à la part de marché en fort essor)</w:t>
      </w:r>
      <w:r w:rsidR="000241A7">
        <w:t xml:space="preserve">, les </w:t>
      </w:r>
      <w:r w:rsidR="00C22418">
        <w:t xml:space="preserve">besoins des </w:t>
      </w:r>
      <w:r w:rsidR="00C22418" w:rsidRPr="008766E2">
        <w:t>data centers</w:t>
      </w:r>
      <w:r w:rsidR="000241A7">
        <w:t xml:space="preserve"> et de manière plus conjoncturelle </w:t>
      </w:r>
      <w:r w:rsidR="00C22418">
        <w:t xml:space="preserve">par </w:t>
      </w:r>
      <w:r w:rsidR="00087963">
        <w:t>le</w:t>
      </w:r>
      <w:r w:rsidR="006138FF">
        <w:t xml:space="preserve"> recours à la </w:t>
      </w:r>
      <w:r w:rsidR="00087963">
        <w:t xml:space="preserve">climatisation </w:t>
      </w:r>
      <w:r w:rsidR="006138FF">
        <w:t>lors des</w:t>
      </w:r>
      <w:r w:rsidR="00087963">
        <w:t xml:space="preserve"> épisodes </w:t>
      </w:r>
      <w:r w:rsidR="00C22418">
        <w:t>de chaleur</w:t>
      </w:r>
      <w:r w:rsidR="000241A7">
        <w:t xml:space="preserve">. </w:t>
      </w:r>
    </w:p>
    <w:p w14:paraId="5CF12ECC" w14:textId="499AE9A0" w:rsidR="002935DD" w:rsidRPr="00BE3EF0" w:rsidRDefault="00B639CA" w:rsidP="002935DD">
      <w:pPr>
        <w:pStyle w:val="Textecourant"/>
        <w:spacing w:after="120"/>
        <w:rPr>
          <w:b/>
          <w:bCs/>
        </w:rPr>
      </w:pPr>
      <w:r>
        <w:rPr>
          <w:b/>
          <w:bCs/>
        </w:rPr>
        <w:t xml:space="preserve">Pour </w:t>
      </w:r>
      <w:r w:rsidR="006138FF">
        <w:rPr>
          <w:b/>
          <w:bCs/>
        </w:rPr>
        <w:t>accompagner</w:t>
      </w:r>
      <w:r w:rsidR="00011733">
        <w:rPr>
          <w:b/>
          <w:bCs/>
        </w:rPr>
        <w:t xml:space="preserve"> l’électrification de son économie</w:t>
      </w:r>
      <w:r>
        <w:rPr>
          <w:b/>
          <w:bCs/>
        </w:rPr>
        <w:t xml:space="preserve">, la Chine bat des records d’installations de solaire et d’éolien. </w:t>
      </w:r>
      <w:r>
        <w:t>La capacité PV a augmenté de 277 GW (+28 %) portant la capacité solaire totale à 887 GW et la capacité éolienne a augmenté de 79 GW (+5 %</w:t>
      </w:r>
      <w:r w:rsidR="0085254F">
        <w:t>)</w:t>
      </w:r>
      <w:r>
        <w:t>, pour 521 GW cumulés. Les capacités bas carbones représenten</w:t>
      </w:r>
      <w:r w:rsidR="003174C6">
        <w:t xml:space="preserve">t 55 % de la capacité installée chinoise, </w:t>
      </w:r>
      <w:r w:rsidR="00FC0D1D">
        <w:t>alors que le mix électrique est encore</w:t>
      </w:r>
      <w:r w:rsidR="003174C6">
        <w:t xml:space="preserve"> dominé par le charbon </w:t>
      </w:r>
      <w:r w:rsidR="00FC0D1D">
        <w:t>à hauteur de</w:t>
      </w:r>
      <w:r w:rsidR="003174C6">
        <w:t xml:space="preserve"> 54,8 %</w:t>
      </w:r>
      <w:r w:rsidR="003174C6" w:rsidRPr="00FC0D1D">
        <w:t>.</w:t>
      </w:r>
      <w:r w:rsidR="003174C6">
        <w:t xml:space="preserve"> </w:t>
      </w:r>
    </w:p>
    <w:p w14:paraId="3D7020C4" w14:textId="29D7AECB" w:rsidR="00300A7E" w:rsidRDefault="006138FF" w:rsidP="000C184D">
      <w:pPr>
        <w:pStyle w:val="Textecourant"/>
      </w:pPr>
      <w:r>
        <w:rPr>
          <w:b/>
          <w:bCs/>
        </w:rPr>
        <w:t>En dépit</w:t>
      </w:r>
      <w:r w:rsidR="003174C6" w:rsidRPr="00BE3EF0">
        <w:rPr>
          <w:b/>
          <w:bCs/>
        </w:rPr>
        <w:t xml:space="preserve"> des records de production d’électricité </w:t>
      </w:r>
      <w:r w:rsidR="00C40E75">
        <w:rPr>
          <w:b/>
          <w:bCs/>
        </w:rPr>
        <w:t>renouvelable</w:t>
      </w:r>
      <w:r w:rsidR="00011733">
        <w:rPr>
          <w:b/>
          <w:bCs/>
        </w:rPr>
        <w:t xml:space="preserve"> en 2024</w:t>
      </w:r>
      <w:r w:rsidR="003174C6" w:rsidRPr="001E046D">
        <w:rPr>
          <w:b/>
          <w:bCs/>
        </w:rPr>
        <w:t>, la Chine a toujours recours</w:t>
      </w:r>
      <w:r>
        <w:rPr>
          <w:b/>
          <w:bCs/>
        </w:rPr>
        <w:t xml:space="preserve">, en partie, </w:t>
      </w:r>
      <w:r w:rsidR="003174C6" w:rsidRPr="00BE3EF0">
        <w:rPr>
          <w:b/>
          <w:bCs/>
        </w:rPr>
        <w:t xml:space="preserve">aux centrales thermiques pour répondre à </w:t>
      </w:r>
      <w:r w:rsidR="00C40E75" w:rsidRPr="00C40E75">
        <w:rPr>
          <w:b/>
          <w:bCs/>
        </w:rPr>
        <w:t xml:space="preserve">la demande </w:t>
      </w:r>
      <w:r w:rsidR="00011733">
        <w:rPr>
          <w:b/>
          <w:bCs/>
        </w:rPr>
        <w:t>incrémentale</w:t>
      </w:r>
      <w:r w:rsidR="00C40E75" w:rsidRPr="00C40E75">
        <w:rPr>
          <w:b/>
          <w:bCs/>
        </w:rPr>
        <w:t xml:space="preserve"> en électricité</w:t>
      </w:r>
      <w:r w:rsidR="00AD1987" w:rsidRPr="00C40E75">
        <w:t xml:space="preserve">. </w:t>
      </w:r>
      <w:r w:rsidR="00A124D9" w:rsidRPr="00C40E75">
        <w:t>Les sources bas carbones</w:t>
      </w:r>
      <w:r w:rsidR="000241A7" w:rsidRPr="00C40E75">
        <w:t xml:space="preserve"> ont en effet produit +558 TWh</w:t>
      </w:r>
      <w:r w:rsidR="00C62A55">
        <w:t xml:space="preserve"> (dont +392 TWh pour le PV et l’éolien)</w:t>
      </w:r>
      <w:r w:rsidR="000241A7" w:rsidRPr="00C40E75">
        <w:t xml:space="preserve"> alors que la demande a augmenté de +6</w:t>
      </w:r>
      <w:r w:rsidR="00792009">
        <w:t>24</w:t>
      </w:r>
      <w:r w:rsidR="000241A7" w:rsidRPr="00C40E75">
        <w:t xml:space="preserve"> TWh, </w:t>
      </w:r>
      <w:r>
        <w:t>la demande restante étant couverte par</w:t>
      </w:r>
      <w:r w:rsidR="000241A7" w:rsidRPr="00C40E75">
        <w:t xml:space="preserve"> les centrales thermiques</w:t>
      </w:r>
      <w:r w:rsidR="00C40E75">
        <w:t xml:space="preserve">. </w:t>
      </w:r>
    </w:p>
    <w:p w14:paraId="5D136B77" w14:textId="7DB8F67A" w:rsidR="00EF751D" w:rsidRDefault="00F6751F" w:rsidP="000C184D">
      <w:pPr>
        <w:pStyle w:val="listeTitre"/>
        <w:spacing w:before="120"/>
        <w:ind w:left="357" w:hanging="357"/>
      </w:pPr>
      <w:r>
        <w:lastRenderedPageBreak/>
        <w:t xml:space="preserve">La priorité donnée à la </w:t>
      </w:r>
      <w:r w:rsidR="00EF751D">
        <w:t>sécurité énergétique</w:t>
      </w:r>
      <w:r>
        <w:t xml:space="preserve"> conduit également la Chine à accroître la production domestique </w:t>
      </w:r>
      <w:r w:rsidR="00D56B2E">
        <w:t xml:space="preserve">d’énergies fossiles </w:t>
      </w:r>
    </w:p>
    <w:p w14:paraId="5F3B6301" w14:textId="07B7CFD7" w:rsidR="003646B7" w:rsidRDefault="009678E8" w:rsidP="003646B7">
      <w:pPr>
        <w:pStyle w:val="Textecourant"/>
        <w:spacing w:after="120"/>
      </w:pPr>
      <w:r w:rsidRPr="00270429">
        <w:rPr>
          <w:b/>
          <w:bCs/>
        </w:rPr>
        <w:t>La Ch</w:t>
      </w:r>
      <w:r w:rsidR="006232C7" w:rsidRPr="00270429">
        <w:rPr>
          <w:b/>
          <w:bCs/>
        </w:rPr>
        <w:t>ine</w:t>
      </w:r>
      <w:r w:rsidR="003A6918">
        <w:rPr>
          <w:b/>
          <w:bCs/>
        </w:rPr>
        <w:t xml:space="preserve"> a</w:t>
      </w:r>
      <w:r w:rsidR="006232C7" w:rsidRPr="00270429">
        <w:rPr>
          <w:b/>
          <w:bCs/>
        </w:rPr>
        <w:t xml:space="preserve"> mis</w:t>
      </w:r>
      <w:r w:rsidR="00F6751F">
        <w:rPr>
          <w:b/>
          <w:bCs/>
        </w:rPr>
        <w:t>, plus que précédemment,</w:t>
      </w:r>
      <w:r w:rsidR="006232C7" w:rsidRPr="00270429">
        <w:rPr>
          <w:b/>
          <w:bCs/>
        </w:rPr>
        <w:t xml:space="preserve"> l’accent sur la sécurité énergétique dans son 14</w:t>
      </w:r>
      <w:r w:rsidR="006232C7" w:rsidRPr="00270429">
        <w:rPr>
          <w:b/>
          <w:bCs/>
          <w:vertAlign w:val="superscript"/>
        </w:rPr>
        <w:t>ème</w:t>
      </w:r>
      <w:r w:rsidR="006232C7" w:rsidRPr="00270429">
        <w:rPr>
          <w:b/>
          <w:bCs/>
        </w:rPr>
        <w:t xml:space="preserve"> plan quinquennal </w:t>
      </w:r>
      <w:r w:rsidR="006232C7" w:rsidRPr="00FC0D1D">
        <w:t>(2021-2025</w:t>
      </w:r>
      <w:r w:rsidR="000F7D82" w:rsidRPr="00FC0D1D">
        <w:t>)</w:t>
      </w:r>
      <w:r w:rsidR="000F7D82">
        <w:t xml:space="preserve"> qui vise à « </w:t>
      </w:r>
      <w:r w:rsidR="009F7B3A">
        <w:t xml:space="preserve">garantir </w:t>
      </w:r>
      <w:r w:rsidR="00F127A5">
        <w:t>une production</w:t>
      </w:r>
      <w:r w:rsidR="009F7B3A">
        <w:t xml:space="preserve"> de base de charbon, augmenter la production domestique de pétrole et de gaz, sécuriser </w:t>
      </w:r>
      <w:r w:rsidR="00C62A55">
        <w:t xml:space="preserve">un </w:t>
      </w:r>
      <w:r w:rsidR="00205379">
        <w:t>approvisionnement de pétrole et de gaz diversifié</w:t>
      </w:r>
      <w:r w:rsidR="009F7B3A">
        <w:t>, assurer une production d’électricité fiable</w:t>
      </w:r>
      <w:r w:rsidR="00205379">
        <w:t>…</w:t>
      </w:r>
      <w:r w:rsidR="000F7D82">
        <w:t> » </w:t>
      </w:r>
      <w:r w:rsidR="00270429">
        <w:rPr>
          <w:rStyle w:val="Appeldenotedefin"/>
        </w:rPr>
        <w:endnoteReference w:id="9"/>
      </w:r>
      <w:r w:rsidR="00C67AFF">
        <w:t xml:space="preserve">. </w:t>
      </w:r>
    </w:p>
    <w:p w14:paraId="3A825227" w14:textId="7A552AFB" w:rsidR="00FC0D1D" w:rsidRDefault="00402776" w:rsidP="003646B7">
      <w:pPr>
        <w:pStyle w:val="Textecourant"/>
        <w:spacing w:after="120"/>
      </w:pPr>
      <w:r w:rsidRPr="001C3FFE">
        <w:rPr>
          <w:rStyle w:val="Lienhypertexte"/>
          <w:b/>
          <w:bCs/>
          <w:noProof/>
          <w:color w:val="auto"/>
          <w:u w:val="none"/>
        </w:rPr>
        <w:t xml:space="preserve">La </w:t>
      </w:r>
      <w:r w:rsidR="003A6918">
        <w:rPr>
          <w:rStyle w:val="Lienhypertexte"/>
          <w:b/>
          <w:bCs/>
          <w:noProof/>
          <w:color w:val="auto"/>
          <w:u w:val="none"/>
        </w:rPr>
        <w:t>pays</w:t>
      </w:r>
      <w:r w:rsidRPr="001C3FFE">
        <w:rPr>
          <w:rStyle w:val="Lienhypertexte"/>
          <w:b/>
          <w:bCs/>
          <w:noProof/>
          <w:color w:val="auto"/>
          <w:u w:val="none"/>
        </w:rPr>
        <w:t xml:space="preserve"> a</w:t>
      </w:r>
      <w:r w:rsidR="00AF45F4">
        <w:rPr>
          <w:rStyle w:val="Lienhypertexte"/>
          <w:b/>
          <w:bCs/>
          <w:noProof/>
          <w:color w:val="auto"/>
          <w:u w:val="none"/>
        </w:rPr>
        <w:t xml:space="preserve"> ainsi</w:t>
      </w:r>
      <w:r w:rsidRPr="001C3FFE">
        <w:rPr>
          <w:rStyle w:val="Lienhypertexte"/>
          <w:b/>
          <w:bCs/>
          <w:noProof/>
          <w:color w:val="auto"/>
          <w:u w:val="none"/>
        </w:rPr>
        <w:t xml:space="preserve"> produit 4,8 Mds</w:t>
      </w:r>
      <w:r w:rsidRPr="00402776">
        <w:rPr>
          <w:rStyle w:val="Lienhypertexte"/>
          <w:b/>
          <w:bCs/>
          <w:noProof/>
          <w:color w:val="auto"/>
          <w:u w:val="none"/>
        </w:rPr>
        <w:t xml:space="preserve"> de tonnes de charbon</w:t>
      </w:r>
      <w:r w:rsidR="008A2694">
        <w:rPr>
          <w:rStyle w:val="Lienhypertexte"/>
          <w:b/>
          <w:bCs/>
          <w:noProof/>
          <w:color w:val="auto"/>
          <w:u w:val="none"/>
        </w:rPr>
        <w:t xml:space="preserve"> en 2024</w:t>
      </w:r>
      <w:r w:rsidR="00011733">
        <w:rPr>
          <w:rStyle w:val="Lienhypertexte"/>
          <w:b/>
          <w:bCs/>
          <w:noProof/>
          <w:color w:val="auto"/>
          <w:u w:val="none"/>
        </w:rPr>
        <w:t xml:space="preserve"> (+3,8 %)</w:t>
      </w:r>
      <w:r w:rsidR="008C1BC5">
        <w:rPr>
          <w:rStyle w:val="Lienhypertexte"/>
          <w:b/>
          <w:bCs/>
          <w:noProof/>
          <w:color w:val="auto"/>
          <w:u w:val="none"/>
        </w:rPr>
        <w:t xml:space="preserve"> </w:t>
      </w:r>
      <w:r w:rsidR="008C1BC5" w:rsidRPr="00FC0D1D">
        <w:rPr>
          <w:rStyle w:val="Lienhypertexte"/>
          <w:noProof/>
          <w:color w:val="auto"/>
          <w:u w:val="none"/>
        </w:rPr>
        <w:t xml:space="preserve">soit </w:t>
      </w:r>
      <w:r w:rsidR="008A2694" w:rsidRPr="00FC0D1D">
        <w:rPr>
          <w:rStyle w:val="Lienhypertexte"/>
          <w:noProof/>
          <w:color w:val="auto"/>
          <w:u w:val="none"/>
        </w:rPr>
        <w:t>53</w:t>
      </w:r>
      <w:r w:rsidR="009E6941" w:rsidRPr="00FC0D1D">
        <w:rPr>
          <w:rStyle w:val="Lienhypertexte"/>
          <w:noProof/>
          <w:color w:val="auto"/>
          <w:u w:val="none"/>
        </w:rPr>
        <w:t> %</w:t>
      </w:r>
      <w:r w:rsidR="008A2694" w:rsidRPr="00FC0D1D">
        <w:rPr>
          <w:rStyle w:val="Lienhypertexte"/>
          <w:noProof/>
          <w:color w:val="auto"/>
          <w:u w:val="none"/>
        </w:rPr>
        <w:t xml:space="preserve"> de la production mondiale</w:t>
      </w:r>
      <w:r w:rsidR="008C1BC5" w:rsidRPr="00DD7BC7">
        <w:rPr>
          <w:rStyle w:val="Marquedecommentaire"/>
          <w:rFonts w:asciiTheme="minorHAnsi" w:hAnsiTheme="minorHAnsi" w:cstheme="minorBidi"/>
        </w:rPr>
        <w:t>.</w:t>
      </w:r>
      <w:r w:rsidR="008C1BC5">
        <w:rPr>
          <w:rStyle w:val="Marquedecommentaire"/>
          <w:rFonts w:asciiTheme="minorHAnsi" w:hAnsiTheme="minorHAnsi" w:cstheme="minorBidi"/>
        </w:rPr>
        <w:t xml:space="preserve"> </w:t>
      </w:r>
      <w:r w:rsidRPr="00402776">
        <w:t>Malgré sa quasi</w:t>
      </w:r>
      <w:r w:rsidR="001C3FFE">
        <w:t>-</w:t>
      </w:r>
      <w:r w:rsidRPr="00402776">
        <w:t>indépendance, les importations de charbon se sont établies à 543 millions de tonnes (+14,4</w:t>
      </w:r>
      <w:r w:rsidR="009E6941">
        <w:t> %</w:t>
      </w:r>
      <w:r w:rsidRPr="00402776">
        <w:t xml:space="preserve">) </w:t>
      </w:r>
      <w:r w:rsidR="001C3FFE">
        <w:t>soit 11</w:t>
      </w:r>
      <w:r w:rsidR="009E6941">
        <w:t> %</w:t>
      </w:r>
      <w:r w:rsidR="001C3FFE">
        <w:t xml:space="preserve"> de la consommation</w:t>
      </w:r>
      <w:r w:rsidR="001C3FFE" w:rsidRPr="004A71C5">
        <w:t>.</w:t>
      </w:r>
      <w:r w:rsidR="001C3FFE">
        <w:t xml:space="preserve"> </w:t>
      </w:r>
    </w:p>
    <w:p w14:paraId="6BCEBA94" w14:textId="1E3D260A" w:rsidR="00011733" w:rsidRDefault="00850D89" w:rsidP="003646B7">
      <w:pPr>
        <w:pStyle w:val="Textecourant"/>
        <w:spacing w:after="120"/>
      </w:pPr>
      <w:r w:rsidRPr="00402776">
        <w:rPr>
          <w:b/>
          <w:bCs/>
        </w:rPr>
        <w:t>La production de pétrole brut</w:t>
      </w:r>
      <w:r w:rsidR="00402776" w:rsidRPr="00402776">
        <w:rPr>
          <w:b/>
          <w:bCs/>
        </w:rPr>
        <w:t xml:space="preserve"> </w:t>
      </w:r>
      <w:r w:rsidRPr="00402776">
        <w:rPr>
          <w:b/>
          <w:bCs/>
        </w:rPr>
        <w:t>et de gaz naturel</w:t>
      </w:r>
      <w:r w:rsidR="001339EB">
        <w:rPr>
          <w:b/>
          <w:bCs/>
        </w:rPr>
        <w:t>, dont la Chine est dépendante respectivement à 7</w:t>
      </w:r>
      <w:r w:rsidR="00C62A55">
        <w:rPr>
          <w:b/>
          <w:bCs/>
        </w:rPr>
        <w:t>2</w:t>
      </w:r>
      <w:r w:rsidR="00A43D36">
        <w:rPr>
          <w:b/>
          <w:bCs/>
        </w:rPr>
        <w:t>%</w:t>
      </w:r>
      <w:r w:rsidR="001339EB">
        <w:rPr>
          <w:b/>
          <w:bCs/>
        </w:rPr>
        <w:t xml:space="preserve"> et </w:t>
      </w:r>
      <w:r w:rsidR="00C62A55">
        <w:rPr>
          <w:b/>
          <w:bCs/>
        </w:rPr>
        <w:t>43</w:t>
      </w:r>
      <w:r w:rsidR="009E6941">
        <w:rPr>
          <w:b/>
          <w:bCs/>
        </w:rPr>
        <w:t> %</w:t>
      </w:r>
      <w:r w:rsidR="001339EB">
        <w:rPr>
          <w:b/>
          <w:bCs/>
        </w:rPr>
        <w:t xml:space="preserve"> aux importations</w:t>
      </w:r>
      <w:r w:rsidR="001339EB" w:rsidRPr="00DD7BC7">
        <w:t>,</w:t>
      </w:r>
      <w:r w:rsidR="001339EB">
        <w:rPr>
          <w:b/>
          <w:bCs/>
        </w:rPr>
        <w:t xml:space="preserve"> </w:t>
      </w:r>
      <w:r w:rsidRPr="00402776">
        <w:rPr>
          <w:b/>
          <w:bCs/>
        </w:rPr>
        <w:t xml:space="preserve">a dépassé pour la première fois 400 </w:t>
      </w:r>
      <w:r w:rsidR="001339EB">
        <w:rPr>
          <w:b/>
          <w:bCs/>
        </w:rPr>
        <w:t>Mtep</w:t>
      </w:r>
      <w:r w:rsidRPr="00402776">
        <w:rPr>
          <w:b/>
          <w:bCs/>
        </w:rPr>
        <w:t xml:space="preserve"> en 2024</w:t>
      </w:r>
      <w:r>
        <w:rPr>
          <w:rStyle w:val="Appeldenotedefin"/>
        </w:rPr>
        <w:endnoteReference w:id="10"/>
      </w:r>
      <w:r>
        <w:t xml:space="preserve">. </w:t>
      </w:r>
      <w:r w:rsidR="004F73AC">
        <w:t>La</w:t>
      </w:r>
      <w:r w:rsidRPr="00850D89">
        <w:t xml:space="preserve"> production de pétrole brut a atteint 213 Mt </w:t>
      </w:r>
      <w:r w:rsidR="00101EB7">
        <w:t>(</w:t>
      </w:r>
      <w:r w:rsidR="000C184D">
        <w:t>+</w:t>
      </w:r>
      <w:r w:rsidRPr="00850D89">
        <w:t xml:space="preserve"> 24 Mt par rapport à 2018</w:t>
      </w:r>
      <w:r w:rsidR="00101EB7">
        <w:t>)</w:t>
      </w:r>
      <w:r w:rsidRPr="00850D89">
        <w:t xml:space="preserve">, tandis que la production de gaz naturel a atteint 246,4 </w:t>
      </w:r>
      <w:r w:rsidR="004F73AC">
        <w:t>Mds</w:t>
      </w:r>
      <w:r w:rsidRPr="00850D89">
        <w:t xml:space="preserve"> de m3</w:t>
      </w:r>
      <w:r w:rsidR="009E6941">
        <w:t xml:space="preserve"> (</w:t>
      </w:r>
      <w:r w:rsidR="004F73AC">
        <w:t>+</w:t>
      </w:r>
      <w:r w:rsidRPr="00850D89">
        <w:t>13</w:t>
      </w:r>
      <w:r w:rsidR="009E6941">
        <w:t> </w:t>
      </w:r>
      <w:r w:rsidR="004F73AC">
        <w:t>Mds</w:t>
      </w:r>
      <w:r w:rsidRPr="00850D89">
        <w:t xml:space="preserve"> m3 </w:t>
      </w:r>
      <w:r w:rsidR="000C184D">
        <w:t xml:space="preserve">en moyenne </w:t>
      </w:r>
      <w:r w:rsidR="009E6941">
        <w:t xml:space="preserve">sur les </w:t>
      </w:r>
      <w:r w:rsidRPr="00850D89">
        <w:t>six dernières années</w:t>
      </w:r>
      <w:r w:rsidR="009E6941">
        <w:t>)</w:t>
      </w:r>
      <w:r w:rsidRPr="00850D89">
        <w:t xml:space="preserve">. </w:t>
      </w:r>
      <w:r w:rsidR="00BE3EF0" w:rsidRPr="00850D89">
        <w:t xml:space="preserve">Les </w:t>
      </w:r>
      <w:r w:rsidR="00BE3EF0">
        <w:t>exploitations offshores</w:t>
      </w:r>
      <w:r w:rsidRPr="00850D89">
        <w:t xml:space="preserve"> et non conventionnelles</w:t>
      </w:r>
      <w:r w:rsidR="00AF45F4">
        <w:t xml:space="preserve"> portent </w:t>
      </w:r>
      <w:r w:rsidR="009E6941">
        <w:t>la croissance de la production</w:t>
      </w:r>
      <w:r w:rsidR="004616B9">
        <w:rPr>
          <w:rStyle w:val="Appeldenotedefin"/>
        </w:rPr>
        <w:endnoteReference w:id="11"/>
      </w:r>
      <w:r w:rsidR="006C4862">
        <w:rPr>
          <w:rStyle w:val="Appeldenotedefin"/>
        </w:rPr>
        <w:endnoteReference w:id="12"/>
      </w:r>
      <w:r w:rsidR="006C4862">
        <w:t xml:space="preserve">. </w:t>
      </w:r>
      <w:r w:rsidR="007674CF">
        <w:t xml:space="preserve">Cet effort d’augmentation de la production domestique a permis de stabiliser la part des importations d’hydrocarbures </w:t>
      </w:r>
      <w:r w:rsidR="007674CF">
        <w:rPr>
          <w:b/>
          <w:bCs/>
        </w:rPr>
        <w:t xml:space="preserve">au cours des </w:t>
      </w:r>
      <w:r w:rsidR="00011733" w:rsidRPr="00FC0D1D">
        <w:rPr>
          <w:b/>
          <w:bCs/>
        </w:rPr>
        <w:t xml:space="preserve">5 </w:t>
      </w:r>
      <w:r w:rsidR="007674CF">
        <w:rPr>
          <w:b/>
          <w:bCs/>
        </w:rPr>
        <w:t>dernières années</w:t>
      </w:r>
      <w:r w:rsidR="00011733" w:rsidRPr="00FC0D1D">
        <w:t xml:space="preserve">. </w:t>
      </w:r>
    </w:p>
    <w:p w14:paraId="7CECC985" w14:textId="2AE91D0F" w:rsidR="009634F3" w:rsidRPr="005F0293" w:rsidRDefault="00FB6935" w:rsidP="003646B7">
      <w:pPr>
        <w:pStyle w:val="Textecourant"/>
        <w:spacing w:after="120"/>
      </w:pPr>
      <w:r>
        <w:rPr>
          <w:b/>
          <w:bCs/>
        </w:rPr>
        <w:t xml:space="preserve">Les importations </w:t>
      </w:r>
      <w:r w:rsidR="009E6941">
        <w:rPr>
          <w:b/>
          <w:bCs/>
        </w:rPr>
        <w:t xml:space="preserve">sont </w:t>
      </w:r>
      <w:r w:rsidR="007674CF">
        <w:rPr>
          <w:b/>
          <w:bCs/>
        </w:rPr>
        <w:t xml:space="preserve">par ailleurs </w:t>
      </w:r>
      <w:r w:rsidR="009E6941">
        <w:rPr>
          <w:b/>
          <w:bCs/>
        </w:rPr>
        <w:t>relativement</w:t>
      </w:r>
      <w:r>
        <w:rPr>
          <w:b/>
          <w:bCs/>
        </w:rPr>
        <w:t xml:space="preserve"> diversifiées</w:t>
      </w:r>
      <w:r w:rsidR="0089597B" w:rsidRPr="000130C8">
        <w:rPr>
          <w:b/>
          <w:bCs/>
        </w:rPr>
        <w:t xml:space="preserve"> </w:t>
      </w:r>
      <w:r w:rsidR="0089597B" w:rsidRPr="00011733">
        <w:t>pour le pétrole</w:t>
      </w:r>
      <w:r w:rsidR="000130C8" w:rsidRPr="00011733">
        <w:t xml:space="preserve"> (Russie</w:t>
      </w:r>
      <w:r w:rsidR="000130C8" w:rsidRPr="00011733">
        <w:rPr>
          <w:rFonts w:eastAsia="Times New Roman"/>
          <w:lang w:eastAsia="fr-FR"/>
        </w:rPr>
        <w:t xml:space="preserve"> (19,6</w:t>
      </w:r>
      <w:r w:rsidR="009E6941" w:rsidRPr="00011733">
        <w:rPr>
          <w:rFonts w:eastAsia="Times New Roman"/>
          <w:lang w:eastAsia="fr-FR"/>
        </w:rPr>
        <w:t> %</w:t>
      </w:r>
      <w:r w:rsidR="000130C8" w:rsidRPr="00011733">
        <w:rPr>
          <w:rFonts w:eastAsia="Times New Roman"/>
          <w:lang w:eastAsia="fr-FR"/>
        </w:rPr>
        <w:t>), Arabie Saoudite (14,2</w:t>
      </w:r>
      <w:r w:rsidR="009E6941" w:rsidRPr="00011733">
        <w:rPr>
          <w:rFonts w:eastAsia="Times New Roman"/>
          <w:lang w:eastAsia="fr-FR"/>
        </w:rPr>
        <w:t> %</w:t>
      </w:r>
      <w:r w:rsidR="000130C8" w:rsidRPr="00011733">
        <w:rPr>
          <w:rFonts w:eastAsia="Times New Roman"/>
          <w:lang w:eastAsia="fr-FR"/>
        </w:rPr>
        <w:t>), Malaisie (12,7</w:t>
      </w:r>
      <w:r w:rsidR="009E6941" w:rsidRPr="00011733">
        <w:rPr>
          <w:rFonts w:eastAsia="Times New Roman"/>
          <w:lang w:eastAsia="fr-FR"/>
        </w:rPr>
        <w:t> %</w:t>
      </w:r>
      <w:r w:rsidR="000130C8" w:rsidRPr="00011733">
        <w:rPr>
          <w:rFonts w:eastAsia="Times New Roman"/>
          <w:lang w:eastAsia="fr-FR"/>
        </w:rPr>
        <w:t>)</w:t>
      </w:r>
      <w:r w:rsidR="000911DA" w:rsidRPr="00011733">
        <w:rPr>
          <w:rFonts w:eastAsia="Times New Roman"/>
          <w:lang w:eastAsia="fr-FR"/>
        </w:rPr>
        <w:t xml:space="preserve">, </w:t>
      </w:r>
      <w:proofErr w:type="spellStart"/>
      <w:r w:rsidR="000130C8" w:rsidRPr="00011733">
        <w:rPr>
          <w:rFonts w:eastAsia="Times New Roman"/>
          <w:lang w:eastAsia="fr-FR"/>
        </w:rPr>
        <w:t>lrak</w:t>
      </w:r>
      <w:proofErr w:type="spellEnd"/>
      <w:r w:rsidR="000130C8" w:rsidRPr="00011733">
        <w:rPr>
          <w:rFonts w:eastAsia="Times New Roman"/>
          <w:lang w:eastAsia="fr-FR"/>
        </w:rPr>
        <w:t xml:space="preserve"> (11,5</w:t>
      </w:r>
      <w:r w:rsidR="009E6941" w:rsidRPr="00011733">
        <w:rPr>
          <w:rFonts w:eastAsia="Times New Roman"/>
          <w:lang w:eastAsia="fr-FR"/>
        </w:rPr>
        <w:t> %</w:t>
      </w:r>
      <w:r w:rsidR="000130C8" w:rsidRPr="00011733">
        <w:rPr>
          <w:rFonts w:eastAsia="Times New Roman"/>
          <w:lang w:eastAsia="fr-FR"/>
        </w:rPr>
        <w:t>)</w:t>
      </w:r>
      <w:r w:rsidR="00004DC7">
        <w:rPr>
          <w:rFonts w:eastAsia="Times New Roman"/>
          <w:lang w:eastAsia="fr-FR"/>
        </w:rPr>
        <w:t>)</w:t>
      </w:r>
      <w:r w:rsidR="000130C8" w:rsidRPr="00011733">
        <w:rPr>
          <w:rFonts w:eastAsia="Times New Roman"/>
          <w:lang w:eastAsia="fr-FR"/>
        </w:rPr>
        <w:t xml:space="preserve"> </w:t>
      </w:r>
      <w:r w:rsidR="009E6941" w:rsidRPr="00011733">
        <w:rPr>
          <w:rFonts w:eastAsia="Times New Roman"/>
          <w:lang w:eastAsia="fr-FR"/>
        </w:rPr>
        <w:t>mais également le</w:t>
      </w:r>
      <w:r w:rsidR="000130C8" w:rsidRPr="00011733">
        <w:rPr>
          <w:rFonts w:eastAsia="Times New Roman"/>
          <w:lang w:eastAsia="fr-FR"/>
        </w:rPr>
        <w:t xml:space="preserve"> gaz naturel (Russie</w:t>
      </w:r>
      <w:r w:rsidR="000130C8" w:rsidRPr="00B934C3">
        <w:rPr>
          <w:rFonts w:eastAsia="Times New Roman"/>
          <w:lang w:eastAsia="fr-FR"/>
        </w:rPr>
        <w:t xml:space="preserve"> (22</w:t>
      </w:r>
      <w:r w:rsidR="009E6941">
        <w:rPr>
          <w:rFonts w:eastAsia="Times New Roman"/>
          <w:lang w:eastAsia="fr-FR"/>
        </w:rPr>
        <w:t> %</w:t>
      </w:r>
      <w:r w:rsidR="000130C8" w:rsidRPr="00B934C3">
        <w:rPr>
          <w:rFonts w:eastAsia="Times New Roman"/>
          <w:lang w:eastAsia="fr-FR"/>
        </w:rPr>
        <w:t>), Turkménistan (18,5</w:t>
      </w:r>
      <w:r w:rsidR="009E6941" w:rsidRPr="00B934C3">
        <w:rPr>
          <w:rFonts w:eastAsia="Times New Roman"/>
          <w:lang w:eastAsia="fr-FR"/>
        </w:rPr>
        <w:t>%) Qatar</w:t>
      </w:r>
      <w:r w:rsidR="000130C8" w:rsidRPr="00B934C3">
        <w:rPr>
          <w:rFonts w:eastAsia="Times New Roman"/>
          <w:lang w:eastAsia="fr-FR"/>
        </w:rPr>
        <w:t xml:space="preserve"> (14</w:t>
      </w:r>
      <w:r w:rsidR="009E6941" w:rsidRPr="00B934C3">
        <w:rPr>
          <w:rFonts w:eastAsia="Times New Roman"/>
          <w:lang w:eastAsia="fr-FR"/>
        </w:rPr>
        <w:t>%)</w:t>
      </w:r>
      <w:r w:rsidR="00004DC7">
        <w:rPr>
          <w:rFonts w:eastAsia="Times New Roman"/>
          <w:lang w:eastAsia="fr-FR"/>
        </w:rPr>
        <w:t>)</w:t>
      </w:r>
      <w:r w:rsidR="009E6941">
        <w:rPr>
          <w:rFonts w:eastAsia="Times New Roman"/>
          <w:lang w:eastAsia="fr-FR"/>
        </w:rPr>
        <w:t xml:space="preserve"> …</w:t>
      </w:r>
      <w:r>
        <w:rPr>
          <w:rFonts w:eastAsia="Times New Roman"/>
          <w:lang w:eastAsia="fr-FR"/>
        </w:rPr>
        <w:t xml:space="preserve"> </w:t>
      </w:r>
    </w:p>
    <w:p w14:paraId="3DC3BE82" w14:textId="115FBBDF" w:rsidR="00A00E12" w:rsidRDefault="00592822" w:rsidP="000C184D">
      <w:pPr>
        <w:pStyle w:val="listeTitre"/>
        <w:ind w:left="357" w:hanging="357"/>
        <w:contextualSpacing w:val="0"/>
      </w:pPr>
      <w:r>
        <w:t xml:space="preserve">La Chine </w:t>
      </w:r>
      <w:r w:rsidR="006A6255">
        <w:t>a publié en 2024 des législations clés pour l’intégration des renouvelables dans son système énergétique tout en réaffirmant le rôle du charbon à court et moyens terme</w:t>
      </w:r>
    </w:p>
    <w:p w14:paraId="5BD8CB81" w14:textId="23584E8E" w:rsidR="00503F55" w:rsidRDefault="00675A31" w:rsidP="00503F55">
      <w:pPr>
        <w:pStyle w:val="Textecourant"/>
        <w:spacing w:after="120"/>
        <w:rPr>
          <w:b/>
          <w:bCs/>
          <w:color w:val="18181B"/>
          <w:shd w:val="clear" w:color="auto" w:fill="FFFFFF"/>
        </w:rPr>
      </w:pPr>
      <w:r>
        <w:rPr>
          <w:b/>
          <w:bCs/>
        </w:rPr>
        <w:t xml:space="preserve">La Chine a réaffirmé </w:t>
      </w:r>
      <w:r w:rsidR="00A9773A">
        <w:rPr>
          <w:b/>
          <w:bCs/>
        </w:rPr>
        <w:t>la création</w:t>
      </w:r>
      <w:r>
        <w:rPr>
          <w:b/>
          <w:bCs/>
        </w:rPr>
        <w:t xml:space="preserve"> </w:t>
      </w:r>
      <w:r w:rsidR="00730C41" w:rsidRPr="00730C41">
        <w:rPr>
          <w:b/>
          <w:bCs/>
        </w:rPr>
        <w:t xml:space="preserve">d’un marché national </w:t>
      </w:r>
      <w:r w:rsidR="00A9773A">
        <w:rPr>
          <w:b/>
          <w:bCs/>
        </w:rPr>
        <w:t>de l’électricité unifié</w:t>
      </w:r>
      <w:r w:rsidR="00730C41" w:rsidRPr="00730C41">
        <w:rPr>
          <w:b/>
          <w:bCs/>
        </w:rPr>
        <w:t>,</w:t>
      </w:r>
      <w:r w:rsidR="006A3E81">
        <w:rPr>
          <w:b/>
          <w:bCs/>
        </w:rPr>
        <w:t xml:space="preserve"> qui devrait être opérationnel d’ici 2029 et avoir un fonctionnement mature d’ici 2035</w:t>
      </w:r>
      <w:r w:rsidR="006A3E81" w:rsidRPr="00FE0B26">
        <w:rPr>
          <w:rStyle w:val="Appeldenotedefin"/>
          <w:i/>
          <w:iCs/>
        </w:rPr>
        <w:endnoteReference w:id="13"/>
      </w:r>
      <w:r w:rsidR="006A3E81">
        <w:rPr>
          <w:b/>
          <w:bCs/>
        </w:rPr>
        <w:t>.</w:t>
      </w:r>
      <w:r w:rsidR="009E4C76">
        <w:rPr>
          <w:b/>
          <w:bCs/>
        </w:rPr>
        <w:t xml:space="preserve"> </w:t>
      </w:r>
      <w:r w:rsidR="009E4C76">
        <w:t xml:space="preserve">Ce plan est indispensable pour </w:t>
      </w:r>
      <w:r w:rsidR="00C67AFF">
        <w:t>l’</w:t>
      </w:r>
      <w:r w:rsidR="009E4C76">
        <w:t xml:space="preserve">intégration des </w:t>
      </w:r>
      <w:proofErr w:type="spellStart"/>
      <w:r w:rsidR="009E4C76">
        <w:t>EnR</w:t>
      </w:r>
      <w:proofErr w:type="spellEnd"/>
      <w:r w:rsidR="009E4C76">
        <w:t>, qui nécessitent la</w:t>
      </w:r>
      <w:r w:rsidR="009E4C76" w:rsidRPr="00382D37">
        <w:t xml:space="preserve"> mise en place d’échanges d’électricité au plus proche du temps réel et sur de larges espaces géographiques.</w:t>
      </w:r>
      <w:r w:rsidR="006A3E81">
        <w:rPr>
          <w:b/>
          <w:bCs/>
        </w:rPr>
        <w:t xml:space="preserve"> </w:t>
      </w:r>
      <w:r w:rsidR="006A3E81" w:rsidRPr="006A3E81">
        <w:t>Historiquement, la production et la vente d’électricité étaient largement planifiées, avec des quotas de production alloués aux générateurs et un rachat garanti de l’électricité</w:t>
      </w:r>
      <w:r w:rsidR="00B5257D">
        <w:t>, majoritairement produite à partir du charbon,</w:t>
      </w:r>
      <w:r w:rsidR="006A3E81" w:rsidRPr="006A3E81">
        <w:t xml:space="preserve"> à des prix fixés par le gouvernement</w:t>
      </w:r>
      <w:r w:rsidR="00503F55">
        <w:t xml:space="preserve">. </w:t>
      </w:r>
      <w:r w:rsidR="009E4C76">
        <w:t xml:space="preserve">La libéralisation du secteur s’est faite au niveau provincial et les marchés spots chinois établis dans 23 provinces sont à des stades d’avancement très différents. Les échanges interprovinciaux représentaient en 2023 1770 TWh soit </w:t>
      </w:r>
      <w:r w:rsidR="00B5257D">
        <w:t>seulement</w:t>
      </w:r>
      <w:r w:rsidR="009E4C76">
        <w:t xml:space="preserve"> un cinquième de la consommation nationale, </w:t>
      </w:r>
      <w:r w:rsidR="00B5257D">
        <w:t>tout en étant pour</w:t>
      </w:r>
      <w:r w:rsidR="009E4C76">
        <w:t xml:space="preserve"> 97</w:t>
      </w:r>
      <w:r w:rsidR="00B5257D">
        <w:t> </w:t>
      </w:r>
      <w:r w:rsidR="009E4C76">
        <w:t>%</w:t>
      </w:r>
      <w:r w:rsidR="00B5257D">
        <w:t xml:space="preserve"> d’entre eux</w:t>
      </w:r>
      <w:r w:rsidR="009E4C76">
        <w:t xml:space="preserve"> des échanges à moyen</w:t>
      </w:r>
      <w:r w:rsidR="00E2075D">
        <w:t>s</w:t>
      </w:r>
      <w:r w:rsidR="009E4C76">
        <w:t xml:space="preserve"> et </w:t>
      </w:r>
      <w:r w:rsidR="00E2075D">
        <w:t>longs termes</w:t>
      </w:r>
      <w:r w:rsidR="009E4C76">
        <w:t xml:space="preserve"> </w:t>
      </w:r>
      <w:r w:rsidR="00503F55">
        <w:t xml:space="preserve">non-adaptés aux </w:t>
      </w:r>
      <w:proofErr w:type="spellStart"/>
      <w:r w:rsidR="00503F55">
        <w:t>EnR</w:t>
      </w:r>
      <w:proofErr w:type="spellEnd"/>
      <w:r w:rsidR="009E4C76">
        <w:t>.</w:t>
      </w:r>
      <w:r w:rsidR="00F127A5">
        <w:t xml:space="preserve"> </w:t>
      </w:r>
      <w:r w:rsidR="00F15EAB" w:rsidRPr="00503F55">
        <w:t>L</w:t>
      </w:r>
      <w:r w:rsidR="00F15EAB" w:rsidRPr="00503F55">
        <w:rPr>
          <w:color w:val="18181B"/>
          <w:shd w:val="clear" w:color="auto" w:fill="FFFFFF"/>
        </w:rPr>
        <w:t>a NDRC et la NEA ont par ailleurs rendu en février 2025</w:t>
      </w:r>
      <w:r w:rsidR="007C1129">
        <w:rPr>
          <w:color w:val="18181B"/>
          <w:shd w:val="clear" w:color="auto" w:fill="FFFFFF"/>
        </w:rPr>
        <w:t xml:space="preserve"> un</w:t>
      </w:r>
      <w:r w:rsidR="00F15EAB" w:rsidRPr="00503F55">
        <w:rPr>
          <w:color w:val="18181B"/>
          <w:shd w:val="clear" w:color="auto" w:fill="FFFFFF"/>
        </w:rPr>
        <w:t xml:space="preserve"> </w:t>
      </w:r>
      <w:r w:rsidR="00F15EAB" w:rsidRPr="007C1129">
        <w:rPr>
          <w:shd w:val="clear" w:color="auto" w:fill="FFFFFF"/>
        </w:rPr>
        <w:t>avis</w:t>
      </w:r>
      <w:r w:rsidR="007C1129">
        <w:rPr>
          <w:rStyle w:val="Appeldenotedefin"/>
          <w:shd w:val="clear" w:color="auto" w:fill="FFFFFF"/>
        </w:rPr>
        <w:endnoteReference w:id="14"/>
      </w:r>
      <w:r w:rsidR="00F15EAB" w:rsidRPr="00503F55">
        <w:rPr>
          <w:color w:val="18181B"/>
          <w:shd w:val="clear" w:color="auto" w:fill="FFFFFF"/>
        </w:rPr>
        <w:t xml:space="preserve"> annonçant le passage des </w:t>
      </w:r>
      <w:proofErr w:type="spellStart"/>
      <w:r w:rsidR="00F15EAB" w:rsidRPr="00503F55">
        <w:rPr>
          <w:color w:val="18181B"/>
          <w:shd w:val="clear" w:color="auto" w:fill="FFFFFF"/>
        </w:rPr>
        <w:t>EnR</w:t>
      </w:r>
      <w:proofErr w:type="spellEnd"/>
      <w:r w:rsidR="00F15EAB" w:rsidRPr="00503F55">
        <w:rPr>
          <w:color w:val="18181B"/>
          <w:shd w:val="clear" w:color="auto" w:fill="FFFFFF"/>
        </w:rPr>
        <w:t xml:space="preserve"> vers des Contrats pour Différence (</w:t>
      </w:r>
      <w:proofErr w:type="spellStart"/>
      <w:r w:rsidR="00F15EAB" w:rsidRPr="00503F55">
        <w:rPr>
          <w:color w:val="18181B"/>
          <w:shd w:val="clear" w:color="auto" w:fill="FFFFFF"/>
        </w:rPr>
        <w:t>CfD</w:t>
      </w:r>
      <w:proofErr w:type="spellEnd"/>
      <w:r w:rsidR="00F15EAB" w:rsidRPr="00503F55">
        <w:rPr>
          <w:color w:val="18181B"/>
          <w:shd w:val="clear" w:color="auto" w:fill="FFFFFF"/>
        </w:rPr>
        <w:t>)</w:t>
      </w:r>
      <w:r w:rsidR="00503F55" w:rsidRPr="00503F55">
        <w:rPr>
          <w:color w:val="18181B"/>
          <w:shd w:val="clear" w:color="auto" w:fill="FFFFFF"/>
        </w:rPr>
        <w:t xml:space="preserve"> ou encore l’assouplissement des taux d’effacement</w:t>
      </w:r>
      <w:r w:rsidR="00503F55" w:rsidRPr="00503F55">
        <w:rPr>
          <w:rStyle w:val="Appeldenotedefin"/>
          <w:color w:val="18181B"/>
          <w:shd w:val="clear" w:color="auto" w:fill="FFFFFF"/>
        </w:rPr>
        <w:endnoteReference w:id="15"/>
      </w:r>
      <w:r w:rsidR="00503F55" w:rsidRPr="00503F55">
        <w:rPr>
          <w:color w:val="18181B"/>
          <w:shd w:val="clear" w:color="auto" w:fill="FFFFFF"/>
        </w:rPr>
        <w:t>.</w:t>
      </w:r>
      <w:r w:rsidR="00503F55">
        <w:rPr>
          <w:b/>
          <w:bCs/>
          <w:color w:val="18181B"/>
          <w:shd w:val="clear" w:color="auto" w:fill="FFFFFF"/>
        </w:rPr>
        <w:t xml:space="preserve"> </w:t>
      </w:r>
    </w:p>
    <w:p w14:paraId="783915E7" w14:textId="411BA5DE" w:rsidR="001B45A2" w:rsidRDefault="007A76F3" w:rsidP="00592822">
      <w:pPr>
        <w:pStyle w:val="Textecourant"/>
      </w:pPr>
      <w:r w:rsidRPr="007A76F3">
        <w:rPr>
          <w:b/>
          <w:bCs/>
        </w:rPr>
        <w:t xml:space="preserve">Dans le même temps, la Chine a réaffirmé le rôle du charbon comme pilier du système énergétique à </w:t>
      </w:r>
      <w:r w:rsidR="005C4B61" w:rsidRPr="007A76F3">
        <w:rPr>
          <w:b/>
          <w:bCs/>
        </w:rPr>
        <w:t>court et moyen terme dans sa loi sur l’énergie</w:t>
      </w:r>
      <w:r w:rsidR="00B0727A" w:rsidRPr="007A76F3">
        <w:rPr>
          <w:rStyle w:val="Appeldenotedefin"/>
          <w:b/>
          <w:bCs/>
        </w:rPr>
        <w:endnoteReference w:id="16"/>
      </w:r>
      <w:r w:rsidR="005C4B61" w:rsidRPr="007A76F3">
        <w:rPr>
          <w:b/>
          <w:bCs/>
        </w:rPr>
        <w:t xml:space="preserve"> publiée en 2</w:t>
      </w:r>
      <w:r w:rsidR="005C4B61" w:rsidRPr="00154AF8">
        <w:rPr>
          <w:b/>
          <w:bCs/>
        </w:rPr>
        <w:t>024</w:t>
      </w:r>
      <w:r w:rsidR="00154AF8">
        <w:rPr>
          <w:b/>
          <w:bCs/>
        </w:rPr>
        <w:t xml:space="preserve">. </w:t>
      </w:r>
      <w:r w:rsidR="00F15EAB">
        <w:t>Elle comprend l’appel à</w:t>
      </w:r>
      <w:r w:rsidR="004A70C7" w:rsidRPr="004A70C7">
        <w:t xml:space="preserve"> </w:t>
      </w:r>
      <w:r w:rsidR="00F15EAB">
        <w:t>« </w:t>
      </w:r>
      <w:r w:rsidR="004A70C7" w:rsidRPr="004A70C7">
        <w:t>l'utilisation propre et efficace des énergies fossiles</w:t>
      </w:r>
      <w:r w:rsidR="00B0727A">
        <w:t xml:space="preserve"> ou encore </w:t>
      </w:r>
      <w:r w:rsidR="004A70C7">
        <w:t>la volonté</w:t>
      </w:r>
      <w:r w:rsidR="004A70C7" w:rsidRPr="004A70C7">
        <w:t xml:space="preserve"> d’optimiser l’industrie du secteur du charbon, d’encourager le développement d'une économie circulaire dans les zones d'extraction du charbon et de promouvoir une utilisation propre et efficace du charbon</w:t>
      </w:r>
      <w:r w:rsidR="00F15EAB">
        <w:t> »</w:t>
      </w:r>
      <w:r w:rsidR="001339EB">
        <w:t xml:space="preserve">. Dans un narratif de transformation du secteur charbonnier plutôt que de sortie, </w:t>
      </w:r>
      <w:r w:rsidR="001339EB" w:rsidRPr="001339EB">
        <w:rPr>
          <w:b/>
          <w:bCs/>
        </w:rPr>
        <w:t xml:space="preserve">les avis </w:t>
      </w:r>
      <w:r w:rsidR="004A70C7" w:rsidRPr="001339EB">
        <w:rPr>
          <w:b/>
          <w:bCs/>
        </w:rPr>
        <w:t xml:space="preserve">se sont </w:t>
      </w:r>
      <w:r w:rsidR="001339EB" w:rsidRPr="001339EB">
        <w:rPr>
          <w:b/>
          <w:bCs/>
        </w:rPr>
        <w:t>multipliés</w:t>
      </w:r>
      <w:r w:rsidR="004A70C7" w:rsidRPr="001339EB">
        <w:rPr>
          <w:rStyle w:val="Appeldenotedefin"/>
          <w:b/>
          <w:bCs/>
        </w:rPr>
        <w:endnoteReference w:id="17"/>
      </w:r>
      <w:r w:rsidR="004A70C7" w:rsidRPr="001339EB">
        <w:rPr>
          <w:b/>
          <w:bCs/>
        </w:rPr>
        <w:t xml:space="preserve"> début 2025 sur la construction de centrales à charbon de nouvelle génération jusqu</w:t>
      </w:r>
      <w:r w:rsidR="00F127A5">
        <w:rPr>
          <w:b/>
          <w:bCs/>
        </w:rPr>
        <w:t>’en</w:t>
      </w:r>
      <w:r w:rsidR="004A70C7" w:rsidRPr="001339EB">
        <w:rPr>
          <w:b/>
          <w:bCs/>
        </w:rPr>
        <w:t xml:space="preserve"> 2027</w:t>
      </w:r>
      <w:r w:rsidR="004A70C7">
        <w:t>.</w:t>
      </w:r>
      <w:r w:rsidR="007251A4">
        <w:t xml:space="preserve"> </w:t>
      </w:r>
      <w:r w:rsidR="00730C41" w:rsidRPr="00730C41">
        <w:t>Les contrats à moyen et long terme qui obligent les opérateurs réseau à acheter aux centrales</w:t>
      </w:r>
      <w:r w:rsidR="00202CA8">
        <w:t xml:space="preserve"> à charbon</w:t>
      </w:r>
      <w:r w:rsidR="00730C41" w:rsidRPr="00730C41">
        <w:t xml:space="preserve"> indépendamment de la production renouvelable constituent également un </w:t>
      </w:r>
      <w:r w:rsidR="00DD5C8C">
        <w:t>point</w:t>
      </w:r>
      <w:r w:rsidR="00730C41" w:rsidRPr="00730C41">
        <w:t xml:space="preserve"> bloquant</w:t>
      </w:r>
      <w:r w:rsidR="0060531A">
        <w:t xml:space="preserve"> et l</w:t>
      </w:r>
      <w:r w:rsidR="00922CCA">
        <w:t xml:space="preserve">es obstacles </w:t>
      </w:r>
      <w:r w:rsidR="0060531A">
        <w:t>à</w:t>
      </w:r>
      <w:r w:rsidR="00922CCA">
        <w:t xml:space="preserve"> la sortie du charbon </w:t>
      </w:r>
      <w:r w:rsidR="00DD5C8C">
        <w:t>demeurent</w:t>
      </w:r>
      <w:r w:rsidR="00922CCA">
        <w:t xml:space="preserve"> nombreux</w:t>
      </w:r>
      <w:r w:rsidR="0060531A">
        <w:t xml:space="preserve">. </w:t>
      </w:r>
    </w:p>
    <w:p w14:paraId="5CB71E61" w14:textId="77777777" w:rsidR="000F41AB" w:rsidRPr="00351448" w:rsidRDefault="000F41AB" w:rsidP="00592822">
      <w:pPr>
        <w:pStyle w:val="Textecourant"/>
      </w:pPr>
    </w:p>
    <w:p w14:paraId="3B115E4C" w14:textId="61060C61" w:rsidR="00D87431" w:rsidRDefault="00D87431" w:rsidP="008766E2">
      <w:pPr>
        <w:spacing w:after="0"/>
        <w:ind w:left="-284" w:right="425"/>
        <w:jc w:val="center"/>
        <w:rPr>
          <w:rFonts w:ascii="Arial" w:hAnsi="Arial" w:cs="Arial"/>
          <w:b/>
          <w:bCs/>
          <w:color w:val="E4A503" w:themeColor="accent2" w:themeShade="BF"/>
          <w:sz w:val="28"/>
          <w:szCs w:val="28"/>
        </w:rPr>
      </w:pPr>
      <w:r w:rsidRPr="00A0743B">
        <w:rPr>
          <w:rFonts w:ascii="Arial" w:hAnsi="Arial" w:cs="Arial"/>
          <w:b/>
          <w:bCs/>
          <w:color w:val="E4A503" w:themeColor="accent2" w:themeShade="BF"/>
          <w:sz w:val="28"/>
          <w:szCs w:val="28"/>
        </w:rPr>
        <w:t>* * *</w:t>
      </w:r>
    </w:p>
    <w:p w14:paraId="6683EC3F" w14:textId="2EE7844A" w:rsidR="00A543A4" w:rsidRDefault="00256083" w:rsidP="00A543A4">
      <w:pPr>
        <w:pStyle w:val="Introconclusion"/>
        <w:spacing w:after="120"/>
      </w:pPr>
      <w:r>
        <w:t xml:space="preserve">En </w:t>
      </w:r>
      <w:r w:rsidR="00314248" w:rsidRPr="006A6255">
        <w:t>2024</w:t>
      </w:r>
      <w:r>
        <w:t>,</w:t>
      </w:r>
      <w:r w:rsidR="00314248" w:rsidRPr="006A6255">
        <w:t xml:space="preserve"> la politique énergétique chinoise </w:t>
      </w:r>
      <w:r>
        <w:t xml:space="preserve">a été en phase avec les objectifs </w:t>
      </w:r>
      <w:r w:rsidR="00314248" w:rsidRPr="006A6255">
        <w:t>du dernier plan quinquennal</w:t>
      </w:r>
      <w:r>
        <w:t>. Ce dernier est</w:t>
      </w:r>
      <w:r w:rsidR="00314248" w:rsidRPr="006A6255">
        <w:t xml:space="preserve"> axé sur la sécurité énergétique, avec une </w:t>
      </w:r>
      <w:r>
        <w:t>cible d’</w:t>
      </w:r>
      <w:r w:rsidR="00314248" w:rsidRPr="006A6255">
        <w:t>augmentation significative de la production domestique de charbon, pétrole, gaz naturel et de renouvelables. Si la Chine est encore fortement dépendante des importations de pétrole</w:t>
      </w:r>
      <w:r w:rsidR="00012730">
        <w:t xml:space="preserve"> </w:t>
      </w:r>
      <w:r w:rsidR="00314248" w:rsidRPr="006A6255">
        <w:t>(72</w:t>
      </w:r>
      <w:r w:rsidR="009E6941" w:rsidRPr="006A6255">
        <w:t> %</w:t>
      </w:r>
      <w:r w:rsidR="00314248" w:rsidRPr="006A6255">
        <w:t>) et de gaz (4</w:t>
      </w:r>
      <w:r w:rsidR="00DD5C8C">
        <w:t>3</w:t>
      </w:r>
      <w:r w:rsidR="009E6941" w:rsidRPr="006A6255">
        <w:t> %</w:t>
      </w:r>
      <w:r w:rsidR="00314248" w:rsidRPr="006A6255">
        <w:t>), elle veille à diversifier ses sources et aucun pays ne dépasse les 2</w:t>
      </w:r>
      <w:r w:rsidR="00004DC7">
        <w:t>5</w:t>
      </w:r>
      <w:r w:rsidR="009E6941" w:rsidRPr="006A6255">
        <w:t> %</w:t>
      </w:r>
      <w:r w:rsidR="00314248" w:rsidRPr="006A6255">
        <w:t xml:space="preserve"> d’approvisionnement. </w:t>
      </w:r>
      <w:r w:rsidR="00101EB7">
        <w:t>Elle</w:t>
      </w:r>
      <w:r w:rsidR="004A3A14" w:rsidRPr="006A6255">
        <w:t xml:space="preserve"> affirme plus que jamais son statut de leader des </w:t>
      </w:r>
      <w:proofErr w:type="spellStart"/>
      <w:r w:rsidR="009424BC" w:rsidRPr="006A6255">
        <w:t>EnR</w:t>
      </w:r>
      <w:proofErr w:type="spellEnd"/>
      <w:r w:rsidR="004A3A14" w:rsidRPr="006A6255">
        <w:t xml:space="preserve"> avec +</w:t>
      </w:r>
      <w:r w:rsidR="008277B7" w:rsidRPr="006A6255">
        <w:t>356</w:t>
      </w:r>
      <w:r w:rsidR="006A6255" w:rsidRPr="006A6255">
        <w:t> GW</w:t>
      </w:r>
      <w:r w:rsidR="008277B7" w:rsidRPr="006A6255">
        <w:t xml:space="preserve"> installés en 2024 </w:t>
      </w:r>
      <w:r w:rsidR="002345BF">
        <w:t>(</w:t>
      </w:r>
      <w:r w:rsidR="008277B7" w:rsidRPr="006A6255">
        <w:t>60</w:t>
      </w:r>
      <w:r w:rsidR="009E6941" w:rsidRPr="006A6255">
        <w:t> %</w:t>
      </w:r>
      <w:r w:rsidR="008277B7" w:rsidRPr="006A6255">
        <w:t xml:space="preserve"> des nouvelles capacités mondiales</w:t>
      </w:r>
      <w:r w:rsidR="002345BF">
        <w:t>), qui ne font toutefois que s’additionner au charbon dans le système énergétique</w:t>
      </w:r>
      <w:r w:rsidR="004A3A14" w:rsidRPr="006A6255">
        <w:t>.</w:t>
      </w:r>
      <w:r w:rsidR="009424BC" w:rsidRPr="006A6255">
        <w:t xml:space="preserve"> </w:t>
      </w:r>
      <w:r w:rsidR="00101EB7">
        <w:t>En dépit d’</w:t>
      </w:r>
      <w:r w:rsidR="009424BC" w:rsidRPr="006A6255">
        <w:t xml:space="preserve">annonces importantes pour la bonne intégration des </w:t>
      </w:r>
      <w:proofErr w:type="spellStart"/>
      <w:r w:rsidR="009424BC" w:rsidRPr="006A6255">
        <w:t>EnR</w:t>
      </w:r>
      <w:proofErr w:type="spellEnd"/>
      <w:r w:rsidR="009424BC" w:rsidRPr="006A6255">
        <w:t xml:space="preserve">, </w:t>
      </w:r>
      <w:r w:rsidR="003A6D83">
        <w:t xml:space="preserve">la décarbonation chinoise passera </w:t>
      </w:r>
      <w:r>
        <w:t xml:space="preserve">aussi </w:t>
      </w:r>
      <w:r w:rsidR="009424BC" w:rsidRPr="006A6255">
        <w:t>par un</w:t>
      </w:r>
      <w:r w:rsidR="002345BF">
        <w:t xml:space="preserve">e </w:t>
      </w:r>
      <w:r w:rsidR="00083804">
        <w:t xml:space="preserve">inflexion </w:t>
      </w:r>
      <w:r w:rsidR="002345BF">
        <w:t xml:space="preserve">plus </w:t>
      </w:r>
      <w:r w:rsidR="00083804">
        <w:t>marquée de l’</w:t>
      </w:r>
      <w:r w:rsidR="002345BF">
        <w:t xml:space="preserve">intensité </w:t>
      </w:r>
      <w:r w:rsidR="004610BA">
        <w:t>énergétique de son économie</w:t>
      </w:r>
      <w:r w:rsidR="009424BC" w:rsidRPr="006A6255">
        <w:t xml:space="preserve">, </w:t>
      </w:r>
      <w:r w:rsidR="002E5710">
        <w:t xml:space="preserve">objectif </w:t>
      </w:r>
      <w:r w:rsidR="009424BC" w:rsidRPr="006A6255">
        <w:t xml:space="preserve">annoncé et non atteint dans </w:t>
      </w:r>
      <w:r w:rsidR="00D27889">
        <w:t>son</w:t>
      </w:r>
      <w:r w:rsidR="00D27889" w:rsidRPr="006A6255">
        <w:t xml:space="preserve"> </w:t>
      </w:r>
      <w:r w:rsidR="009424BC" w:rsidRPr="006A6255">
        <w:t xml:space="preserve">14ème plan quinquennal. </w:t>
      </w:r>
    </w:p>
    <w:p w14:paraId="4ECAC014" w14:textId="77777777" w:rsidR="005745EC" w:rsidRDefault="005745EC" w:rsidP="00454849">
      <w:pPr>
        <w:rPr>
          <w:rFonts w:ascii="Marianne Light" w:hAnsi="Marianne Light"/>
          <w:color w:val="1212FF"/>
          <w:u w:val="single"/>
        </w:rPr>
      </w:pPr>
    </w:p>
    <w:p w14:paraId="6B2ED261" w14:textId="77777777" w:rsidR="00355B1C" w:rsidRDefault="00355B1C">
      <w:pPr>
        <w:rPr>
          <w:rFonts w:ascii="Marianne Light" w:hAnsi="Marianne Light"/>
          <w:color w:val="1212FF"/>
          <w:u w:val="single"/>
        </w:rPr>
      </w:pPr>
      <w:r>
        <w:rPr>
          <w:rFonts w:ascii="Marianne Light" w:hAnsi="Marianne Light"/>
          <w:color w:val="1212FF"/>
          <w:u w:val="single"/>
        </w:rPr>
        <w:br w:type="page"/>
      </w:r>
    </w:p>
    <w:p w14:paraId="53BDDE45" w14:textId="0A0B364D" w:rsidR="004A70C7" w:rsidRPr="004616B9" w:rsidRDefault="00C1188C" w:rsidP="00454849">
      <w:pPr>
        <w:rPr>
          <w:rFonts w:ascii="Segoe UI" w:hAnsi="Segoe UI" w:cs="Segoe UI"/>
          <w:b/>
          <w:color w:val="000091" w:themeColor="text1"/>
          <w:sz w:val="20"/>
          <w:szCs w:val="20"/>
        </w:rPr>
      </w:pPr>
      <w:r>
        <w:rPr>
          <w:rFonts w:ascii="Marianne Light" w:hAnsi="Marianne Light"/>
          <w:color w:val="1212FF"/>
          <w:u w:val="single"/>
        </w:rPr>
        <w:lastRenderedPageBreak/>
        <w:t>Notes de fin</w:t>
      </w:r>
    </w:p>
    <w:sectPr w:rsidR="004A70C7" w:rsidRPr="004616B9" w:rsidSect="0005036C">
      <w:endnotePr>
        <w:numFmt w:val="decimal"/>
      </w:endnotePr>
      <w:pgSz w:w="11906" w:h="16838"/>
      <w:pgMar w:top="709" w:right="1276"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2241" w14:textId="77777777" w:rsidR="00A326B3" w:rsidRDefault="00A326B3" w:rsidP="001C2361">
      <w:pPr>
        <w:spacing w:after="0" w:line="240" w:lineRule="auto"/>
      </w:pPr>
      <w:r>
        <w:separator/>
      </w:r>
    </w:p>
  </w:endnote>
  <w:endnote w:type="continuationSeparator" w:id="0">
    <w:p w14:paraId="782833D2" w14:textId="77777777" w:rsidR="00A326B3" w:rsidRDefault="00A326B3" w:rsidP="001C2361">
      <w:pPr>
        <w:spacing w:after="0" w:line="240" w:lineRule="auto"/>
      </w:pPr>
      <w:r>
        <w:continuationSeparator/>
      </w:r>
    </w:p>
  </w:endnote>
  <w:endnote w:id="1">
    <w:p w14:paraId="6AF7028F" w14:textId="200CF5EF" w:rsidR="00CD439B" w:rsidRPr="00543683" w:rsidRDefault="004158FA" w:rsidP="00543683">
      <w:pPr>
        <w:pStyle w:val="Notedefin"/>
        <w:spacing w:after="120"/>
        <w:jc w:val="both"/>
        <w:rPr>
          <w:rFonts w:asciiTheme="majorHAnsi" w:hAnsiTheme="majorHAnsi" w:cstheme="majorHAnsi"/>
        </w:rPr>
      </w:pPr>
      <w:r w:rsidRPr="00A03AA5">
        <w:rPr>
          <w:rStyle w:val="Appeldenotedefin"/>
          <w:rFonts w:ascii="Calibri" w:hAnsi="Calibri" w:cs="Calibri"/>
        </w:rPr>
        <w:endnoteRef/>
      </w:r>
      <w:r w:rsidRPr="00A03AA5">
        <w:rPr>
          <w:rFonts w:ascii="Calibri" w:hAnsi="Calibri" w:cs="Calibri"/>
        </w:rPr>
        <w:t xml:space="preserve"> </w:t>
      </w:r>
      <w:r w:rsidR="00B7639C" w:rsidRPr="00543683">
        <w:rPr>
          <w:rFonts w:asciiTheme="majorHAnsi" w:hAnsiTheme="majorHAnsi" w:cstheme="majorHAnsi"/>
        </w:rPr>
        <w:t xml:space="preserve">Consommation </w:t>
      </w:r>
      <w:r w:rsidR="005E66E4">
        <w:rPr>
          <w:rFonts w:asciiTheme="majorHAnsi" w:hAnsiTheme="majorHAnsi" w:cstheme="majorHAnsi"/>
        </w:rPr>
        <w:t xml:space="preserve">chinoise </w:t>
      </w:r>
      <w:r w:rsidR="00B7639C" w:rsidRPr="00543683">
        <w:rPr>
          <w:rFonts w:asciiTheme="majorHAnsi" w:hAnsiTheme="majorHAnsi" w:cstheme="majorHAnsi"/>
        </w:rPr>
        <w:t xml:space="preserve">d’énergie primaire totale de </w:t>
      </w:r>
      <w:r w:rsidRPr="00543683">
        <w:rPr>
          <w:rFonts w:asciiTheme="majorHAnsi" w:hAnsiTheme="majorHAnsi" w:cstheme="majorHAnsi"/>
        </w:rPr>
        <w:t>174 E</w:t>
      </w:r>
      <w:r w:rsidR="007D5168" w:rsidRPr="00543683">
        <w:rPr>
          <w:rFonts w:asciiTheme="majorHAnsi" w:hAnsiTheme="majorHAnsi" w:cstheme="majorHAnsi"/>
        </w:rPr>
        <w:t>xajoules (E</w:t>
      </w:r>
      <w:r w:rsidRPr="00543683">
        <w:rPr>
          <w:rFonts w:asciiTheme="majorHAnsi" w:hAnsiTheme="majorHAnsi" w:cstheme="majorHAnsi"/>
        </w:rPr>
        <w:t>J</w:t>
      </w:r>
      <w:r w:rsidR="007D5168" w:rsidRPr="00543683">
        <w:rPr>
          <w:rFonts w:asciiTheme="majorHAnsi" w:hAnsiTheme="majorHAnsi" w:cstheme="majorHAnsi"/>
        </w:rPr>
        <w:t>)</w:t>
      </w:r>
      <w:r w:rsidR="004A74F0" w:rsidRPr="00543683">
        <w:rPr>
          <w:rFonts w:asciiTheme="majorHAnsi" w:hAnsiTheme="majorHAnsi" w:cstheme="majorHAnsi"/>
        </w:rPr>
        <w:t xml:space="preserve"> soit </w:t>
      </w:r>
      <w:r w:rsidR="005E66E4" w:rsidRPr="005E66E4">
        <w:rPr>
          <w:rFonts w:asciiTheme="majorHAnsi" w:hAnsiTheme="majorHAnsi" w:cstheme="majorHAnsi"/>
        </w:rPr>
        <w:t>48</w:t>
      </w:r>
      <w:r w:rsidR="005E66E4">
        <w:rPr>
          <w:rFonts w:asciiTheme="majorHAnsi" w:hAnsiTheme="majorHAnsi" w:cstheme="majorHAnsi"/>
        </w:rPr>
        <w:t xml:space="preserve"> </w:t>
      </w:r>
      <w:r w:rsidR="005E66E4" w:rsidRPr="005E66E4">
        <w:rPr>
          <w:rFonts w:asciiTheme="majorHAnsi" w:hAnsiTheme="majorHAnsi" w:cstheme="majorHAnsi"/>
        </w:rPr>
        <w:t>520 TWh</w:t>
      </w:r>
      <w:r w:rsidR="004A74F0" w:rsidRPr="00543683">
        <w:rPr>
          <w:rFonts w:asciiTheme="majorHAnsi" w:hAnsiTheme="majorHAnsi" w:cstheme="majorHAnsi"/>
        </w:rPr>
        <w:t xml:space="preserve"> </w:t>
      </w:r>
      <w:r w:rsidR="00B7639C" w:rsidRPr="00543683">
        <w:rPr>
          <w:rFonts w:asciiTheme="majorHAnsi" w:hAnsiTheme="majorHAnsi" w:cstheme="majorHAnsi"/>
        </w:rPr>
        <w:t xml:space="preserve">en Chine </w:t>
      </w:r>
      <w:r w:rsidR="005E66E4">
        <w:rPr>
          <w:rFonts w:asciiTheme="majorHAnsi" w:hAnsiTheme="majorHAnsi" w:cstheme="majorHAnsi"/>
        </w:rPr>
        <w:t>sur une</w:t>
      </w:r>
      <w:r w:rsidR="00FE0B26" w:rsidRPr="00543683">
        <w:rPr>
          <w:rFonts w:asciiTheme="majorHAnsi" w:hAnsiTheme="majorHAnsi" w:cstheme="majorHAnsi"/>
        </w:rPr>
        <w:t xml:space="preserve"> consommation d’énergie primaire mondiale </w:t>
      </w:r>
      <w:r w:rsidR="005E66E4">
        <w:rPr>
          <w:rFonts w:asciiTheme="majorHAnsi" w:hAnsiTheme="majorHAnsi" w:cstheme="majorHAnsi"/>
        </w:rPr>
        <w:t xml:space="preserve">de 18 000 TWh </w:t>
      </w:r>
      <w:r w:rsidRPr="00543683">
        <w:rPr>
          <w:rFonts w:asciiTheme="majorHAnsi" w:hAnsiTheme="majorHAnsi" w:cstheme="majorHAnsi"/>
        </w:rPr>
        <w:t>selon l’</w:t>
      </w:r>
      <w:hyperlink r:id="rId1" w:history="1">
        <w:r w:rsidRPr="00543683">
          <w:rPr>
            <w:rStyle w:val="Lienhypertexte"/>
            <w:rFonts w:asciiTheme="majorHAnsi" w:hAnsiTheme="majorHAnsi" w:cstheme="majorHAnsi"/>
          </w:rPr>
          <w:t>AIE</w:t>
        </w:r>
      </w:hyperlink>
    </w:p>
  </w:endnote>
  <w:endnote w:id="2">
    <w:p w14:paraId="2798DEF1" w14:textId="3024BA7C" w:rsidR="0035309D" w:rsidRPr="00543683" w:rsidRDefault="0035309D"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lang w:val="en-US"/>
        </w:rPr>
        <w:t xml:space="preserve"> China Energy Transition (CET) </w:t>
      </w:r>
      <w:proofErr w:type="spellStart"/>
      <w:r w:rsidRPr="00543683">
        <w:rPr>
          <w:rFonts w:asciiTheme="majorHAnsi" w:hAnsiTheme="majorHAnsi" w:cstheme="majorHAnsi"/>
          <w:lang w:val="en-US"/>
        </w:rPr>
        <w:t>programme</w:t>
      </w:r>
      <w:proofErr w:type="spellEnd"/>
      <w:r w:rsidRPr="00543683">
        <w:rPr>
          <w:rFonts w:asciiTheme="majorHAnsi" w:hAnsiTheme="majorHAnsi" w:cstheme="majorHAnsi"/>
          <w:lang w:val="en-US"/>
        </w:rPr>
        <w:t xml:space="preserve">. (2025, March 13). Summary of China's energy and power sector statistics in 2024. </w:t>
      </w:r>
      <w:hyperlink r:id="rId2" w:history="1">
        <w:r w:rsidRPr="00543683">
          <w:rPr>
            <w:rStyle w:val="Lienhypertexte"/>
            <w:rFonts w:asciiTheme="majorHAnsi" w:hAnsiTheme="majorHAnsi" w:cstheme="majorHAnsi"/>
          </w:rPr>
          <w:t>https://www.cet.energy/2025/03/13/summary-of-chinas-energy-and-power-sector-statistics-in-2024/</w:t>
        </w:r>
      </w:hyperlink>
    </w:p>
  </w:endnote>
  <w:endnote w:id="3">
    <w:p w14:paraId="14B7AABF" w14:textId="4623CEFC" w:rsidR="00187529" w:rsidRPr="00543683" w:rsidRDefault="00187529" w:rsidP="00543683">
      <w:pPr>
        <w:pStyle w:val="Notedefin"/>
        <w:spacing w:after="120"/>
        <w:jc w:val="both"/>
        <w:rPr>
          <w:rFonts w:asciiTheme="majorHAnsi" w:hAnsiTheme="majorHAnsi" w:cstheme="majorHAnsi"/>
          <w:lang w:val="en-US"/>
        </w:rPr>
      </w:pPr>
      <w:r w:rsidRPr="00543683">
        <w:rPr>
          <w:rStyle w:val="Appeldenotedefin"/>
          <w:rFonts w:asciiTheme="majorHAnsi" w:hAnsiTheme="majorHAnsi" w:cstheme="majorHAnsi"/>
        </w:rPr>
        <w:endnoteRef/>
      </w:r>
      <w:r w:rsidRPr="00543683">
        <w:rPr>
          <w:rFonts w:asciiTheme="majorHAnsi" w:hAnsiTheme="majorHAnsi" w:cstheme="majorHAnsi"/>
          <w:lang w:val="en-US"/>
        </w:rPr>
        <w:t xml:space="preserve"> </w:t>
      </w:r>
      <w:hyperlink r:id="rId3" w:history="1">
        <w:r w:rsidRPr="00543683">
          <w:rPr>
            <w:rStyle w:val="Lienhypertexte"/>
            <w:rFonts w:asciiTheme="majorHAnsi" w:hAnsiTheme="majorHAnsi" w:cstheme="majorHAnsi"/>
            <w:lang w:val="en-US"/>
          </w:rPr>
          <w:t>How China completely redefined a key energy target | Dialogue Earth</w:t>
        </w:r>
      </w:hyperlink>
      <w:r w:rsidRPr="00543683">
        <w:rPr>
          <w:rFonts w:asciiTheme="majorHAnsi" w:hAnsiTheme="majorHAnsi" w:cstheme="majorHAnsi"/>
          <w:lang w:val="en-US"/>
        </w:rPr>
        <w:t xml:space="preserve"> </w:t>
      </w:r>
    </w:p>
  </w:endnote>
  <w:endnote w:id="4">
    <w:p w14:paraId="151FE966" w14:textId="240BD888" w:rsidR="001A6399" w:rsidRPr="00543683" w:rsidRDefault="001A6399" w:rsidP="00543683">
      <w:pPr>
        <w:pStyle w:val="Notedefin"/>
        <w:spacing w:after="120"/>
        <w:jc w:val="both"/>
        <w:rPr>
          <w:rFonts w:asciiTheme="majorHAnsi" w:hAnsiTheme="majorHAnsi" w:cstheme="majorHAnsi"/>
        </w:rPr>
      </w:pPr>
      <w:r w:rsidRPr="00543683">
        <w:rPr>
          <w:rStyle w:val="Appelnotedebasdep"/>
        </w:rPr>
        <w:endnoteRef/>
      </w:r>
      <w:r w:rsidRPr="00543683">
        <w:rPr>
          <w:rFonts w:asciiTheme="majorHAnsi" w:hAnsiTheme="majorHAnsi" w:cstheme="majorHAnsi"/>
        </w:rPr>
        <w:t xml:space="preserve">  Les autorités ont expliqué cet échec lors des </w:t>
      </w:r>
      <w:proofErr w:type="spellStart"/>
      <w:r w:rsidRPr="00543683">
        <w:rPr>
          <w:rFonts w:asciiTheme="majorHAnsi" w:hAnsiTheme="majorHAnsi" w:cstheme="majorHAnsi"/>
        </w:rPr>
        <w:t>lianghui</w:t>
      </w:r>
      <w:proofErr w:type="spellEnd"/>
      <w:r w:rsidRPr="00543683">
        <w:rPr>
          <w:rFonts w:asciiTheme="majorHAnsi" w:hAnsiTheme="majorHAnsi" w:cstheme="majorHAnsi"/>
        </w:rPr>
        <w:t xml:space="preserve"> par « une croissance rapide de la consommation d’énergie des secteurs industriels et civils dans un contexte de reprise économique post-covid et par des évènements météorologiques extrêmes fréquents »</w:t>
      </w:r>
    </w:p>
  </w:endnote>
  <w:endnote w:id="5">
    <w:p w14:paraId="3370797F" w14:textId="78102482" w:rsidR="006A53B6" w:rsidRPr="00543683" w:rsidRDefault="006A53B6" w:rsidP="00543683">
      <w:pPr>
        <w:pStyle w:val="Notedefin"/>
        <w:spacing w:after="120"/>
        <w:jc w:val="both"/>
        <w:rPr>
          <w:rFonts w:asciiTheme="majorHAnsi" w:hAnsiTheme="majorHAnsi" w:cstheme="majorHAnsi"/>
          <w:lang w:val="en-US"/>
        </w:rPr>
      </w:pPr>
      <w:r w:rsidRPr="00543683">
        <w:rPr>
          <w:rStyle w:val="Appeldenotedefin"/>
          <w:rFonts w:asciiTheme="majorHAnsi" w:hAnsiTheme="majorHAnsi" w:cstheme="majorHAnsi"/>
        </w:rPr>
        <w:endnoteRef/>
      </w:r>
      <w:r w:rsidRPr="00543683">
        <w:rPr>
          <w:rFonts w:asciiTheme="majorHAnsi" w:hAnsiTheme="majorHAnsi" w:cstheme="majorHAnsi"/>
        </w:rPr>
        <w:t xml:space="preserve">La Chine a </w:t>
      </w:r>
      <w:r w:rsidRPr="00543683">
        <w:rPr>
          <w:rFonts w:asciiTheme="majorHAnsi" w:hAnsiTheme="majorHAnsi" w:cstheme="majorHAnsi"/>
          <w:i/>
          <w:iCs/>
        </w:rPr>
        <w:t xml:space="preserve">annoncé </w:t>
      </w:r>
      <w:r w:rsidR="001A6399" w:rsidRPr="00543683">
        <w:rPr>
          <w:rFonts w:asciiTheme="majorHAnsi" w:hAnsiTheme="majorHAnsi" w:cstheme="majorHAnsi"/>
          <w:i/>
          <w:iCs/>
        </w:rPr>
        <w:t>un</w:t>
      </w:r>
      <w:r w:rsidRPr="00543683">
        <w:rPr>
          <w:rFonts w:asciiTheme="majorHAnsi" w:hAnsiTheme="majorHAnsi" w:cstheme="majorHAnsi"/>
          <w:i/>
          <w:iCs/>
        </w:rPr>
        <w:t xml:space="preserve"> objectif de baisse d’intensité énergétique du PIB à -3 % en 2025 tout en le rendant moins contraignant : </w:t>
      </w:r>
      <w:r w:rsidRPr="00543683">
        <w:rPr>
          <w:rStyle w:val="Appeldenotedefin"/>
          <w:rFonts w:asciiTheme="majorHAnsi" w:hAnsiTheme="majorHAnsi" w:cstheme="majorHAnsi"/>
        </w:rPr>
        <w:endnoteRef/>
      </w:r>
      <w:r w:rsidRPr="00543683">
        <w:rPr>
          <w:rFonts w:asciiTheme="majorHAnsi" w:hAnsiTheme="majorHAnsi" w:cstheme="majorHAnsi"/>
        </w:rPr>
        <w:t xml:space="preserve"> « En fixant cet objectif, nous avons exclu les combustibles non fossiles ainsi que le charbon, le pétrole et le gaz naturel utilisés comme matières premières. »  </w:t>
      </w:r>
      <w:r w:rsidRPr="00543683">
        <w:rPr>
          <w:rFonts w:asciiTheme="majorHAnsi" w:hAnsiTheme="majorHAnsi" w:cstheme="majorHAnsi"/>
          <w:lang w:val="en-US"/>
        </w:rPr>
        <w:t xml:space="preserve">National Development and Reform Commission. (2025, March). Report on the implementation of the 2024 plan for national economic and social development and on the 2025 draft plan for national economic and social development. Third Session of the 14th National People’s Congress of the People’s Republic of China. </w:t>
      </w:r>
    </w:p>
  </w:endnote>
  <w:endnote w:id="6">
    <w:p w14:paraId="3F62A553" w14:textId="616DB443" w:rsidR="002661B5" w:rsidRPr="00543683" w:rsidRDefault="002661B5" w:rsidP="00543683">
      <w:pPr>
        <w:pStyle w:val="Notedefin"/>
        <w:spacing w:after="120"/>
        <w:jc w:val="both"/>
        <w:rPr>
          <w:rFonts w:asciiTheme="majorHAnsi" w:hAnsiTheme="majorHAnsi" w:cstheme="majorHAnsi"/>
          <w:lang w:eastAsia="zh-CN"/>
        </w:rPr>
      </w:pPr>
      <w:r w:rsidRPr="00543683">
        <w:rPr>
          <w:rStyle w:val="Appeldenotedefin"/>
          <w:rFonts w:asciiTheme="majorHAnsi" w:hAnsiTheme="majorHAnsi" w:cstheme="majorHAnsi"/>
        </w:rPr>
        <w:endnoteRef/>
      </w:r>
      <w:r w:rsidRPr="00543683">
        <w:rPr>
          <w:rFonts w:asciiTheme="majorHAnsi" w:hAnsiTheme="majorHAnsi" w:cstheme="majorHAnsi"/>
          <w:lang w:eastAsia="zh-CN"/>
        </w:rPr>
        <w:t xml:space="preserve"> La Chine a consommé 750 Mt de pétrole en 2024, (-1,2 %) et un consensus se dégage sur le pic de la consommation pour le transport expliqué par le développement des véhicules à énergies nouvelles ou encore l’expansion du réseau ferré. Cette baisse pour les transports est néanmoins compensée par la consommation croissante de pétrole pour l’industrie pétrochimique (+5 %).</w:t>
      </w:r>
      <w:r w:rsidR="00543683" w:rsidRPr="00543683">
        <w:rPr>
          <w:rFonts w:asciiTheme="majorHAnsi" w:hAnsiTheme="majorHAnsi" w:cstheme="majorHAnsi"/>
          <w:lang w:eastAsia="zh-CN"/>
        </w:rPr>
        <w:t xml:space="preserve"> La demande de pétrole pour une utilisation comme matière première pétrochimique en Chine a augmenté de plus de 1,5 mb/j entre 2019 et 2023, soit 20 % de plus que la croissance mondiale totale de la demande de pétrole au cours de la même période. À elle seule, le secteur des pétrochimiques en Chine utilise désormais plus de pétrole que l'ensemble du Japon, qui est le cinquième plus grand consommateur de pétrole au monde.</w:t>
      </w:r>
    </w:p>
  </w:endnote>
  <w:endnote w:id="7">
    <w:p w14:paraId="70B7BF11" w14:textId="761E99ED" w:rsidR="00294B29" w:rsidRPr="00543683" w:rsidRDefault="00294B29" w:rsidP="00543683">
      <w:pPr>
        <w:pStyle w:val="Notedefin"/>
        <w:spacing w:after="120"/>
        <w:jc w:val="both"/>
        <w:rPr>
          <w:rFonts w:asciiTheme="majorHAnsi" w:hAnsiTheme="majorHAnsi" w:cstheme="majorHAnsi"/>
          <w:lang w:val="en-US"/>
        </w:rPr>
      </w:pPr>
      <w:r w:rsidRPr="00543683">
        <w:rPr>
          <w:rStyle w:val="Appeldenotedefin"/>
          <w:rFonts w:asciiTheme="majorHAnsi" w:hAnsiTheme="majorHAnsi" w:cstheme="majorHAnsi"/>
        </w:rPr>
        <w:endnoteRef/>
      </w:r>
      <w:r w:rsidRPr="00543683">
        <w:rPr>
          <w:rFonts w:asciiTheme="majorHAnsi" w:hAnsiTheme="majorHAnsi" w:cstheme="majorHAnsi"/>
          <w:lang w:val="en-US"/>
        </w:rPr>
        <w:t xml:space="preserve"> </w:t>
      </w:r>
      <w:hyperlink r:id="rId4" w:history="1">
        <w:r w:rsidRPr="00543683">
          <w:rPr>
            <w:rStyle w:val="Lienhypertexte"/>
            <w:rFonts w:asciiTheme="majorHAnsi" w:hAnsiTheme="majorHAnsi" w:cstheme="majorHAnsi"/>
            <w:lang w:val="en-US"/>
          </w:rPr>
          <w:t>In 2024, the electricity consumption of the whole society will increase by 6.8% year-on-year, --- the National Energy Administration</w:t>
        </w:r>
      </w:hyperlink>
      <w:r w:rsidRPr="00543683">
        <w:rPr>
          <w:rFonts w:asciiTheme="majorHAnsi" w:hAnsiTheme="majorHAnsi" w:cstheme="majorHAnsi"/>
          <w:lang w:val="en-US"/>
        </w:rPr>
        <w:t xml:space="preserve"> </w:t>
      </w:r>
    </w:p>
  </w:endnote>
  <w:endnote w:id="8">
    <w:p w14:paraId="6ED96F16" w14:textId="7F156F2F" w:rsidR="00BE3EF0" w:rsidRPr="00543683" w:rsidRDefault="00BE3EF0"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L’industrie (64,8 % du mix de consommation) a consommé +325,7 TWh en 2024 (+5,1 %), malgré des baisses pour la sidérurgie (-1,0 % </w:t>
      </w:r>
      <w:proofErr w:type="spellStart"/>
      <w:r w:rsidRPr="00543683">
        <w:rPr>
          <w:rFonts w:asciiTheme="majorHAnsi" w:hAnsiTheme="majorHAnsi" w:cstheme="majorHAnsi"/>
        </w:rPr>
        <w:t>g.a</w:t>
      </w:r>
      <w:proofErr w:type="spellEnd"/>
      <w:r w:rsidRPr="00543683">
        <w:rPr>
          <w:rFonts w:asciiTheme="majorHAnsi" w:hAnsiTheme="majorHAnsi" w:cstheme="majorHAnsi"/>
        </w:rPr>
        <w:t>.) et les matériaux de construction (-2,4 %). Le secteur résidentiel (15 % de la consommation) a connu une hausse importante (+10,6 %, +158,3 TWh) portée par les besoins en climatisation lors des périodes de canicules. Enfin, le secteur tertiaire (19 % du mix) a vu sa consommation augmenter de 10 % soit +181,7 TWh, notamment via les services de recharge (+50,9 %) et l’industrie des nouvelles technologies avec +10,3</w:t>
      </w:r>
      <w:r w:rsidR="00F85E0B">
        <w:rPr>
          <w:rFonts w:asciiTheme="majorHAnsi" w:hAnsiTheme="majorHAnsi" w:cstheme="majorHAnsi"/>
        </w:rPr>
        <w:t> </w:t>
      </w:r>
      <w:r w:rsidRPr="00543683">
        <w:rPr>
          <w:rFonts w:asciiTheme="majorHAnsi" w:hAnsiTheme="majorHAnsi" w:cstheme="majorHAnsi"/>
        </w:rPr>
        <w:t>%.</w:t>
      </w:r>
    </w:p>
  </w:endnote>
  <w:endnote w:id="9">
    <w:p w14:paraId="3D0A846B" w14:textId="31111A19" w:rsidR="00270429" w:rsidRPr="00543683" w:rsidRDefault="00270429" w:rsidP="00543683">
      <w:pPr>
        <w:pStyle w:val="Notedefin"/>
        <w:spacing w:after="120"/>
        <w:jc w:val="both"/>
        <w:rPr>
          <w:rFonts w:asciiTheme="majorHAnsi" w:hAnsiTheme="majorHAnsi" w:cstheme="majorHAnsi"/>
          <w:lang w:val="en-US"/>
        </w:rPr>
      </w:pPr>
      <w:r w:rsidRPr="00543683">
        <w:rPr>
          <w:rStyle w:val="Appeldenotedefin"/>
          <w:rFonts w:asciiTheme="majorHAnsi" w:hAnsiTheme="majorHAnsi" w:cstheme="majorHAnsi"/>
        </w:rPr>
        <w:endnoteRef/>
      </w:r>
      <w:r w:rsidRPr="00543683">
        <w:rPr>
          <w:rFonts w:asciiTheme="majorHAnsi" w:hAnsiTheme="majorHAnsi" w:cstheme="majorHAnsi"/>
          <w:lang w:val="en-US"/>
        </w:rPr>
        <w:t xml:space="preserve"> </w:t>
      </w:r>
      <w:hyperlink r:id="rId5" w:history="1">
        <w:r w:rsidRPr="00543683">
          <w:rPr>
            <w:rStyle w:val="Lienhypertexte"/>
            <w:rFonts w:asciiTheme="majorHAnsi" w:hAnsiTheme="majorHAnsi" w:cstheme="majorHAnsi"/>
            <w:lang w:val="en-US"/>
          </w:rPr>
          <w:t>Outline of the 14th Five-Year Plan (2021-2025) for National Economic and Social Development and Vision 2035 of the People's Republic of China_ News_ Fujian Provincial People's Government</w:t>
        </w:r>
      </w:hyperlink>
    </w:p>
  </w:endnote>
  <w:endnote w:id="10">
    <w:p w14:paraId="4E374E9D" w14:textId="6F3070D3" w:rsidR="00850D89" w:rsidRPr="00543683" w:rsidRDefault="00850D89" w:rsidP="00543683">
      <w:pPr>
        <w:pStyle w:val="Notedefin"/>
        <w:spacing w:after="120"/>
        <w:jc w:val="both"/>
        <w:rPr>
          <w:rFonts w:asciiTheme="majorHAnsi" w:hAnsiTheme="majorHAnsi" w:cstheme="majorHAnsi"/>
          <w:lang w:val="en-US"/>
        </w:rPr>
      </w:pPr>
      <w:r w:rsidRPr="00543683">
        <w:rPr>
          <w:rStyle w:val="Appeldenotedefin"/>
          <w:rFonts w:asciiTheme="majorHAnsi" w:hAnsiTheme="majorHAnsi" w:cstheme="majorHAnsi"/>
        </w:rPr>
        <w:endnoteRef/>
      </w:r>
      <w:r w:rsidRPr="00543683">
        <w:rPr>
          <w:rFonts w:asciiTheme="majorHAnsi" w:hAnsiTheme="majorHAnsi" w:cstheme="majorHAnsi"/>
          <w:lang w:val="en-US"/>
        </w:rPr>
        <w:t xml:space="preserve"> </w:t>
      </w:r>
      <w:hyperlink r:id="rId6" w:history="1">
        <w:r w:rsidRPr="00543683">
          <w:rPr>
            <w:rStyle w:val="Lienhypertexte"/>
            <w:rFonts w:asciiTheme="majorHAnsi" w:hAnsiTheme="majorHAnsi" w:cstheme="majorHAnsi"/>
            <w:lang w:val="en-US"/>
          </w:rPr>
          <w:t xml:space="preserve">China's oil, gas output exceeds 400 million </w:t>
        </w:r>
        <w:proofErr w:type="spellStart"/>
        <w:r w:rsidRPr="00543683">
          <w:rPr>
            <w:rStyle w:val="Lienhypertexte"/>
            <w:rFonts w:asciiTheme="majorHAnsi" w:hAnsiTheme="majorHAnsi" w:cstheme="majorHAnsi"/>
            <w:lang w:val="en-US"/>
          </w:rPr>
          <w:t>tonnes</w:t>
        </w:r>
        <w:proofErr w:type="spellEnd"/>
        <w:r w:rsidRPr="00543683">
          <w:rPr>
            <w:rStyle w:val="Lienhypertexte"/>
            <w:rFonts w:asciiTheme="majorHAnsi" w:hAnsiTheme="majorHAnsi" w:cstheme="majorHAnsi"/>
            <w:lang w:val="en-US"/>
          </w:rPr>
          <w:t xml:space="preserve"> for first time</w:t>
        </w:r>
      </w:hyperlink>
      <w:r w:rsidRPr="00543683">
        <w:rPr>
          <w:rFonts w:asciiTheme="majorHAnsi" w:hAnsiTheme="majorHAnsi" w:cstheme="majorHAnsi"/>
          <w:lang w:val="en-US"/>
        </w:rPr>
        <w:t xml:space="preserve"> </w:t>
      </w:r>
    </w:p>
  </w:endnote>
  <w:endnote w:id="11">
    <w:p w14:paraId="69832967" w14:textId="48FD7ADE" w:rsidR="004616B9" w:rsidRPr="00543683" w:rsidRDefault="004616B9"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w:t>
      </w:r>
      <w:r w:rsidR="005667D7" w:rsidRPr="00543683">
        <w:rPr>
          <w:rFonts w:asciiTheme="majorHAnsi" w:hAnsiTheme="majorHAnsi" w:cstheme="majorHAnsi"/>
        </w:rPr>
        <w:t>L</w:t>
      </w:r>
      <w:r w:rsidRPr="00543683">
        <w:rPr>
          <w:rFonts w:asciiTheme="majorHAnsi" w:hAnsiTheme="majorHAnsi" w:cstheme="majorHAnsi"/>
        </w:rPr>
        <w:t>a production chinoise de pétrole de schiste qui a bondi à 6 Mt en 2024, marquant une augmentation de plus de 30</w:t>
      </w:r>
      <w:r w:rsidR="009E6941" w:rsidRPr="00543683">
        <w:rPr>
          <w:rFonts w:asciiTheme="majorHAnsi" w:hAnsiTheme="majorHAnsi" w:cstheme="majorHAnsi"/>
        </w:rPr>
        <w:t> %</w:t>
      </w:r>
      <w:r w:rsidRPr="00543683">
        <w:rPr>
          <w:rFonts w:asciiTheme="majorHAnsi" w:hAnsiTheme="majorHAnsi" w:cstheme="majorHAnsi"/>
        </w:rPr>
        <w:t xml:space="preserve"> et la production de gaz de schiste </w:t>
      </w:r>
      <w:r w:rsidR="00F85E0B">
        <w:rPr>
          <w:rFonts w:asciiTheme="majorHAnsi" w:hAnsiTheme="majorHAnsi" w:cstheme="majorHAnsi"/>
        </w:rPr>
        <w:t>a dépassé</w:t>
      </w:r>
      <w:r w:rsidRPr="00543683">
        <w:rPr>
          <w:rFonts w:asciiTheme="majorHAnsi" w:hAnsiTheme="majorHAnsi" w:cstheme="majorHAnsi"/>
        </w:rPr>
        <w:t xml:space="preserve"> 25 </w:t>
      </w:r>
      <w:r w:rsidR="007D5168" w:rsidRPr="00543683">
        <w:rPr>
          <w:rFonts w:asciiTheme="majorHAnsi" w:hAnsiTheme="majorHAnsi" w:cstheme="majorHAnsi"/>
        </w:rPr>
        <w:t>Mds</w:t>
      </w:r>
      <w:r w:rsidRPr="00543683">
        <w:rPr>
          <w:rFonts w:asciiTheme="majorHAnsi" w:hAnsiTheme="majorHAnsi" w:cstheme="majorHAnsi"/>
        </w:rPr>
        <w:t xml:space="preserve"> de m3</w:t>
      </w:r>
    </w:p>
  </w:endnote>
  <w:endnote w:id="12">
    <w:p w14:paraId="4DA14E04" w14:textId="17125963" w:rsidR="006C4862" w:rsidRPr="00543683" w:rsidRDefault="006C4862"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w:t>
      </w:r>
      <w:r w:rsidR="005667D7" w:rsidRPr="00543683">
        <w:rPr>
          <w:rFonts w:asciiTheme="majorHAnsi" w:hAnsiTheme="majorHAnsi" w:cstheme="majorHAnsi"/>
        </w:rPr>
        <w:t xml:space="preserve">La société nationale chinoise du pétrole offshore (CNOOC, </w:t>
      </w:r>
      <w:r w:rsidR="005667D7" w:rsidRPr="00543683">
        <w:rPr>
          <w:rFonts w:asciiTheme="majorHAnsi" w:hAnsiTheme="majorHAnsi" w:cstheme="majorHAnsi"/>
          <w:i/>
          <w:iCs/>
        </w:rPr>
        <w:t xml:space="preserve">China National Offshore </w:t>
      </w:r>
      <w:proofErr w:type="spellStart"/>
      <w:r w:rsidR="005667D7" w:rsidRPr="00543683">
        <w:rPr>
          <w:rFonts w:asciiTheme="majorHAnsi" w:hAnsiTheme="majorHAnsi" w:cstheme="majorHAnsi"/>
          <w:i/>
          <w:iCs/>
        </w:rPr>
        <w:t>Oil</w:t>
      </w:r>
      <w:proofErr w:type="spellEnd"/>
      <w:r w:rsidR="005667D7" w:rsidRPr="00543683">
        <w:rPr>
          <w:rFonts w:asciiTheme="majorHAnsi" w:hAnsiTheme="majorHAnsi" w:cstheme="majorHAnsi"/>
          <w:i/>
          <w:iCs/>
        </w:rPr>
        <w:t xml:space="preserve"> Corporation</w:t>
      </w:r>
      <w:r w:rsidR="005667D7" w:rsidRPr="00543683">
        <w:rPr>
          <w:rFonts w:asciiTheme="majorHAnsi" w:hAnsiTheme="majorHAnsi" w:cstheme="majorHAnsi"/>
        </w:rPr>
        <w:t xml:space="preserve">) a </w:t>
      </w:r>
      <w:hyperlink r:id="rId7" w:history="1">
        <w:r w:rsidR="005667D7" w:rsidRPr="00543683">
          <w:rPr>
            <w:rStyle w:val="Lienhypertexte"/>
            <w:rFonts w:asciiTheme="majorHAnsi" w:hAnsiTheme="majorHAnsi" w:cstheme="majorHAnsi"/>
          </w:rPr>
          <w:t>annoncé</w:t>
        </w:r>
      </w:hyperlink>
      <w:r w:rsidR="005667D7" w:rsidRPr="00543683">
        <w:rPr>
          <w:rFonts w:asciiTheme="majorHAnsi" w:hAnsiTheme="majorHAnsi" w:cstheme="majorHAnsi"/>
        </w:rPr>
        <w:t xml:space="preserve"> le 31 mars 2025 la découverte d’une réserve de plus de 100 millions de tonnes de pétrole en mer, marquant « une avancée considérable dans l’exploration offshore chinoise ». Le site d’Huizhou 19-6, où se situe cette réserve, se situerait à 170 km au sud de la province du Guangdong. </w:t>
      </w:r>
    </w:p>
  </w:endnote>
  <w:endnote w:id="13">
    <w:p w14:paraId="61C7BD54" w14:textId="77777777" w:rsidR="006A3E81" w:rsidRPr="00543683" w:rsidRDefault="006A3E81"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Service économique régional de Pékin. (2025, février). Le secteur de l’électricité en Chine : vers une libéralisation encadrée d’un pilier de la compétitivité chinoise.</w:t>
      </w:r>
    </w:p>
  </w:endnote>
  <w:endnote w:id="14">
    <w:p w14:paraId="6148878C" w14:textId="3684FF2B" w:rsidR="007C1129" w:rsidRPr="00543683" w:rsidRDefault="007C1129" w:rsidP="00543683">
      <w:pPr>
        <w:pStyle w:val="Notedefin"/>
        <w:spacing w:after="120"/>
        <w:jc w:val="both"/>
        <w:rPr>
          <w:rFonts w:asciiTheme="majorHAnsi" w:hAnsiTheme="majorHAnsi" w:cstheme="majorHAnsi"/>
          <w:lang w:eastAsia="zh-CN"/>
        </w:rPr>
      </w:pPr>
      <w:r w:rsidRPr="00543683">
        <w:rPr>
          <w:rStyle w:val="Appeldenotedefin"/>
          <w:rFonts w:asciiTheme="majorHAnsi" w:hAnsiTheme="majorHAnsi" w:cstheme="majorHAnsi"/>
        </w:rPr>
        <w:endnoteRef/>
      </w:r>
      <w:r w:rsidRPr="00543683">
        <w:rPr>
          <w:rFonts w:asciiTheme="majorHAnsi" w:hAnsiTheme="majorHAnsi" w:cstheme="majorHAnsi"/>
          <w:lang w:eastAsia="zh-CN"/>
        </w:rPr>
        <w:t xml:space="preserve"> </w:t>
      </w:r>
      <w:hyperlink r:id="rId8" w:history="1">
        <w:r w:rsidRPr="00543683">
          <w:rPr>
            <w:rStyle w:val="Lienhypertexte"/>
            <w:rFonts w:asciiTheme="majorHAnsi" w:hAnsiTheme="majorHAnsi" w:cstheme="majorHAnsi"/>
            <w:lang w:eastAsia="zh-CN"/>
          </w:rPr>
          <w:t>【关于深化新能源上网电价市场化改革</w:t>
        </w:r>
        <w:r w:rsidRPr="00543683">
          <w:rPr>
            <w:rStyle w:val="Lienhypertexte"/>
            <w:rFonts w:asciiTheme="majorHAnsi" w:hAnsiTheme="majorHAnsi" w:cstheme="majorHAnsi"/>
            <w:lang w:eastAsia="zh-CN"/>
          </w:rPr>
          <w:t xml:space="preserve"> </w:t>
        </w:r>
        <w:r w:rsidRPr="00543683">
          <w:rPr>
            <w:rStyle w:val="Lienhypertexte"/>
            <w:rFonts w:asciiTheme="majorHAnsi" w:hAnsiTheme="majorHAnsi" w:cstheme="majorHAnsi"/>
            <w:lang w:eastAsia="zh-CN"/>
          </w:rPr>
          <w:t>促进新能源高质量发展的通知】</w:t>
        </w:r>
        <w:r w:rsidRPr="00543683">
          <w:rPr>
            <w:rStyle w:val="Lienhypertexte"/>
            <w:rFonts w:asciiTheme="majorHAnsi" w:hAnsiTheme="majorHAnsi" w:cstheme="majorHAnsi"/>
            <w:lang w:eastAsia="zh-CN"/>
          </w:rPr>
          <w:t>-</w:t>
        </w:r>
        <w:r w:rsidRPr="00543683">
          <w:rPr>
            <w:rStyle w:val="Lienhypertexte"/>
            <w:rFonts w:asciiTheme="majorHAnsi" w:hAnsiTheme="majorHAnsi" w:cstheme="majorHAnsi"/>
            <w:lang w:eastAsia="zh-CN"/>
          </w:rPr>
          <w:t>国家发展和改革委员会</w:t>
        </w:r>
      </w:hyperlink>
      <w:r w:rsidRPr="00543683">
        <w:rPr>
          <w:rFonts w:asciiTheme="majorHAnsi" w:hAnsiTheme="majorHAnsi" w:cstheme="majorHAnsi"/>
          <w:lang w:eastAsia="zh-CN"/>
        </w:rPr>
        <w:t xml:space="preserve"> </w:t>
      </w:r>
    </w:p>
  </w:endnote>
  <w:endnote w:id="15">
    <w:p w14:paraId="1598125F" w14:textId="14AB618C" w:rsidR="00503F55" w:rsidRPr="00543683" w:rsidRDefault="00503F55" w:rsidP="00543683">
      <w:pPr>
        <w:pStyle w:val="Notedefin"/>
        <w:spacing w:after="120"/>
        <w:jc w:val="both"/>
        <w:rPr>
          <w:rFonts w:asciiTheme="majorHAnsi" w:hAnsiTheme="majorHAnsi" w:cstheme="majorHAnsi"/>
          <w:b/>
          <w:bCs/>
        </w:rPr>
      </w:pPr>
      <w:r w:rsidRPr="00543683">
        <w:rPr>
          <w:rStyle w:val="Appeldenotedefin"/>
          <w:rFonts w:asciiTheme="majorHAnsi" w:hAnsiTheme="majorHAnsi" w:cstheme="majorHAnsi"/>
        </w:rPr>
        <w:endnoteRef/>
      </w:r>
      <w:r w:rsidRPr="00543683">
        <w:rPr>
          <w:rFonts w:asciiTheme="majorHAnsi" w:hAnsiTheme="majorHAnsi" w:cstheme="majorHAnsi"/>
        </w:rPr>
        <w:t xml:space="preserve"> La NEA a également assoupli ses autorisations d’effacement au niveau provincial qui peuvent aujourd’hui atteindre 10</w:t>
      </w:r>
      <w:r w:rsidR="009E6941" w:rsidRPr="00543683">
        <w:rPr>
          <w:rFonts w:asciiTheme="majorHAnsi" w:hAnsiTheme="majorHAnsi" w:cstheme="majorHAnsi"/>
        </w:rPr>
        <w:t> %</w:t>
      </w:r>
      <w:r w:rsidRPr="00543683">
        <w:rPr>
          <w:rFonts w:asciiTheme="majorHAnsi" w:hAnsiTheme="majorHAnsi" w:cstheme="majorHAnsi"/>
        </w:rPr>
        <w:t xml:space="preserve"> contre 5</w:t>
      </w:r>
      <w:r w:rsidR="009E6941" w:rsidRPr="00543683">
        <w:rPr>
          <w:rFonts w:asciiTheme="majorHAnsi" w:hAnsiTheme="majorHAnsi" w:cstheme="majorHAnsi"/>
        </w:rPr>
        <w:t> %</w:t>
      </w:r>
      <w:r w:rsidRPr="00543683">
        <w:rPr>
          <w:rFonts w:asciiTheme="majorHAnsi" w:hAnsiTheme="majorHAnsi" w:cstheme="majorHAnsi"/>
        </w:rPr>
        <w:t xml:space="preserve"> auparavant, pour éviter que les capacités de réseau ne limitent les nouveaux projets d’</w:t>
      </w:r>
      <w:proofErr w:type="spellStart"/>
      <w:r w:rsidRPr="00543683">
        <w:rPr>
          <w:rFonts w:asciiTheme="majorHAnsi" w:hAnsiTheme="majorHAnsi" w:cstheme="majorHAnsi"/>
        </w:rPr>
        <w:t>EnR</w:t>
      </w:r>
      <w:proofErr w:type="spellEnd"/>
      <w:r w:rsidRPr="00543683">
        <w:rPr>
          <w:rFonts w:asciiTheme="majorHAnsi" w:hAnsiTheme="majorHAnsi" w:cstheme="majorHAnsi"/>
        </w:rPr>
        <w:t xml:space="preserve">. </w:t>
      </w:r>
    </w:p>
  </w:endnote>
  <w:endnote w:id="16">
    <w:p w14:paraId="392C320A" w14:textId="750FCB88" w:rsidR="00444513" w:rsidRPr="00543683" w:rsidRDefault="00B0727A"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w:t>
      </w:r>
      <w:r w:rsidR="00750A2D" w:rsidRPr="00543683">
        <w:rPr>
          <w:rFonts w:asciiTheme="majorHAnsi" w:hAnsiTheme="majorHAnsi" w:cstheme="majorHAnsi"/>
        </w:rPr>
        <w:t xml:space="preserve">Le 8 novembre, la 12e session du Comité permanent de la 14e Assemblée nationale populaire (ANP) a adopté la </w:t>
      </w:r>
      <w:hyperlink r:id="rId9" w:history="1">
        <w:r w:rsidR="00750A2D" w:rsidRPr="00543683">
          <w:rPr>
            <w:rStyle w:val="Lienhypertexte"/>
            <w:rFonts w:asciiTheme="majorHAnsi" w:hAnsiTheme="majorHAnsi" w:cstheme="majorHAnsi"/>
          </w:rPr>
          <w:t>loi sur l'énergie</w:t>
        </w:r>
      </w:hyperlink>
      <w:r w:rsidR="00750A2D" w:rsidRPr="00543683">
        <w:rPr>
          <w:rFonts w:asciiTheme="majorHAnsi" w:hAnsiTheme="majorHAnsi" w:cstheme="majorHAnsi"/>
        </w:rPr>
        <w:t xml:space="preserve">, censée permettre l’atteinte des objectifs « double-carbone » chinois. Elle vient formaliser et consolider les orientations prises depuis quelques années, entre </w:t>
      </w:r>
      <w:r w:rsidR="00444513" w:rsidRPr="00543683">
        <w:rPr>
          <w:rFonts w:asciiTheme="majorHAnsi" w:hAnsiTheme="majorHAnsi" w:cstheme="majorHAnsi"/>
        </w:rPr>
        <w:t>autres :</w:t>
      </w:r>
      <w:r w:rsidR="00750A2D" w:rsidRPr="00543683">
        <w:rPr>
          <w:rFonts w:asciiTheme="majorHAnsi" w:hAnsiTheme="majorHAnsi" w:cstheme="majorHAnsi"/>
        </w:rPr>
        <w:t xml:space="preserve"> </w:t>
      </w:r>
    </w:p>
    <w:p w14:paraId="7BB77566" w14:textId="481FB3C7" w:rsidR="00750A2D" w:rsidRPr="00543683" w:rsidRDefault="00750A2D" w:rsidP="00543683">
      <w:pPr>
        <w:pStyle w:val="Notedefin"/>
        <w:numPr>
          <w:ilvl w:val="0"/>
          <w:numId w:val="49"/>
        </w:numPr>
        <w:spacing w:after="120"/>
        <w:jc w:val="both"/>
        <w:rPr>
          <w:rFonts w:asciiTheme="majorHAnsi" w:hAnsiTheme="majorHAnsi" w:cstheme="majorHAnsi"/>
        </w:rPr>
      </w:pPr>
      <w:r w:rsidRPr="00543683">
        <w:rPr>
          <w:rFonts w:asciiTheme="majorHAnsi" w:hAnsiTheme="majorHAnsi" w:cstheme="majorHAnsi"/>
        </w:rPr>
        <w:t xml:space="preserve">Elle affirme la transition d’une comptabilité de double contrôle de la consommation énergétique totale et de l'intensité énergétique vers un double contrôle des émissions totales de carbone et de l'intensité carbone. (Art. 5). </w:t>
      </w:r>
    </w:p>
    <w:p w14:paraId="41ABD9CD" w14:textId="77777777" w:rsidR="00750A2D" w:rsidRPr="00543683" w:rsidRDefault="00750A2D" w:rsidP="00543683">
      <w:pPr>
        <w:pStyle w:val="Notedefin"/>
        <w:numPr>
          <w:ilvl w:val="0"/>
          <w:numId w:val="49"/>
        </w:numPr>
        <w:spacing w:after="120"/>
        <w:jc w:val="both"/>
        <w:rPr>
          <w:rFonts w:asciiTheme="majorHAnsi" w:hAnsiTheme="majorHAnsi" w:cstheme="majorHAnsi"/>
        </w:rPr>
      </w:pPr>
      <w:r w:rsidRPr="00543683">
        <w:rPr>
          <w:rFonts w:asciiTheme="majorHAnsi" w:hAnsiTheme="majorHAnsi" w:cstheme="majorHAnsi"/>
        </w:rPr>
        <w:t xml:space="preserve">ii) Elle affirme le soutien de l’Etat au développement et à l'utilisation prioritaire des énergies renouvelables, au développement rationnel et à l'utilisation propre et efficace des énergies fossiles, ainsi qu’à la promotion d'une substitution sûre, fiable et ordonnée des énergies fossiles par des sources d'énergie non fossiles. (Art. 22). L'État promeut le développement et l'utilisation de l'énergie éolienne et solaire, à la fois centralisée et distribuée (Art. 25). </w:t>
      </w:r>
    </w:p>
    <w:p w14:paraId="7F131526" w14:textId="17A8AC0C" w:rsidR="00B0727A" w:rsidRPr="00543683" w:rsidRDefault="00750A2D" w:rsidP="00543683">
      <w:pPr>
        <w:pStyle w:val="Notedefin"/>
        <w:numPr>
          <w:ilvl w:val="0"/>
          <w:numId w:val="49"/>
        </w:numPr>
        <w:spacing w:after="120"/>
        <w:jc w:val="both"/>
        <w:rPr>
          <w:rFonts w:asciiTheme="majorHAnsi" w:hAnsiTheme="majorHAnsi" w:cstheme="majorHAnsi"/>
        </w:rPr>
      </w:pPr>
      <w:r w:rsidRPr="00543683">
        <w:rPr>
          <w:rFonts w:asciiTheme="majorHAnsi" w:hAnsiTheme="majorHAnsi" w:cstheme="majorHAnsi"/>
        </w:rPr>
        <w:t>iii) Elle affirme le souhait de l’Etat d’optimiser l’industrie du secteur du charbon, d’encourager le développement d'une économie circulaire dans les zones d'extraction du charbon et de promouvoir une utilisation propre et efficace du charbon. La loi réaffirme pleinement le rôle du charbon en tant que garant de la sécurité énergétique chinoise (Art. 28, 30). iv) Elle promeut la construction d'un marché national unifié pour le charbon, l'électricité, le pétrole, le gaz naturel et d'autres sources d'énergie (Article 42).</w:t>
      </w:r>
    </w:p>
  </w:endnote>
  <w:endnote w:id="17">
    <w:p w14:paraId="55290BB8" w14:textId="1CAFF22F" w:rsidR="004A70C7" w:rsidRPr="00543683" w:rsidRDefault="004A70C7" w:rsidP="00543683">
      <w:pPr>
        <w:pStyle w:val="Notedefin"/>
        <w:spacing w:after="120"/>
        <w:jc w:val="both"/>
        <w:rPr>
          <w:rFonts w:asciiTheme="majorHAnsi" w:hAnsiTheme="majorHAnsi" w:cstheme="majorHAnsi"/>
        </w:rPr>
      </w:pPr>
      <w:r w:rsidRPr="00543683">
        <w:rPr>
          <w:rStyle w:val="Appeldenotedefin"/>
          <w:rFonts w:asciiTheme="majorHAnsi" w:hAnsiTheme="majorHAnsi" w:cstheme="majorHAnsi"/>
        </w:rPr>
        <w:endnoteRef/>
      </w:r>
      <w:r w:rsidRPr="00543683">
        <w:rPr>
          <w:rFonts w:asciiTheme="majorHAnsi" w:hAnsiTheme="majorHAnsi" w:cstheme="majorHAnsi"/>
        </w:rPr>
        <w:t xml:space="preserve">  "</w:t>
      </w:r>
      <w:hyperlink r:id="rId10" w:history="1">
        <w:r w:rsidRPr="00543683">
          <w:rPr>
            <w:rStyle w:val="Lienhypertexte"/>
            <w:rFonts w:asciiTheme="majorHAnsi" w:hAnsiTheme="majorHAnsi" w:cstheme="majorHAnsi"/>
          </w:rPr>
          <w:t>plan d'action</w:t>
        </w:r>
      </w:hyperlink>
      <w:r w:rsidRPr="00543683">
        <w:rPr>
          <w:rFonts w:asciiTheme="majorHAnsi" w:hAnsiTheme="majorHAnsi" w:cstheme="majorHAnsi"/>
        </w:rPr>
        <w:t xml:space="preserve"> pour la modernisation des centrales à charbon de nouvelle génération (2025-2027)", incluant le soutien à la planification et à la construction de la nouvelle génération de centrales à charbon.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AB34" w14:textId="77777777" w:rsidR="00A326B3" w:rsidRDefault="00A326B3" w:rsidP="001C2361">
      <w:pPr>
        <w:spacing w:after="0" w:line="240" w:lineRule="auto"/>
      </w:pPr>
      <w:r>
        <w:separator/>
      </w:r>
    </w:p>
  </w:footnote>
  <w:footnote w:type="continuationSeparator" w:id="0">
    <w:p w14:paraId="2E92728B" w14:textId="77777777" w:rsidR="00A326B3" w:rsidRDefault="00A326B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E9"/>
    <w:multiLevelType w:val="hybridMultilevel"/>
    <w:tmpl w:val="7F706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065D9"/>
    <w:multiLevelType w:val="hybridMultilevel"/>
    <w:tmpl w:val="5CEC4006"/>
    <w:lvl w:ilvl="0" w:tplc="D0D4042C">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3"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804F3A"/>
    <w:multiLevelType w:val="hybridMultilevel"/>
    <w:tmpl w:val="ED02EDEC"/>
    <w:lvl w:ilvl="0" w:tplc="1F6A70D8">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D7B86"/>
    <w:multiLevelType w:val="hybridMultilevel"/>
    <w:tmpl w:val="10B414E6"/>
    <w:lvl w:ilvl="0" w:tplc="4876387E">
      <w:start w:val="1"/>
      <w:numFmt w:val="decimal"/>
      <w:pStyle w:val="listeTitre"/>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DB722A"/>
    <w:multiLevelType w:val="hybridMultilevel"/>
    <w:tmpl w:val="8FE00738"/>
    <w:lvl w:ilvl="0" w:tplc="040C001B">
      <w:start w:val="1"/>
      <w:numFmt w:val="lowerRoman"/>
      <w:lvlText w:val="%1."/>
      <w:lvlJc w:val="righ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7"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3415DEB"/>
    <w:multiLevelType w:val="hybridMultilevel"/>
    <w:tmpl w:val="A23AF9D2"/>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138D3C70"/>
    <w:multiLevelType w:val="hybridMultilevel"/>
    <w:tmpl w:val="AB789700"/>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17B64377"/>
    <w:multiLevelType w:val="hybridMultilevel"/>
    <w:tmpl w:val="D43222A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185C3F7F"/>
    <w:multiLevelType w:val="hybridMultilevel"/>
    <w:tmpl w:val="367A44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C4E1571"/>
    <w:multiLevelType w:val="hybridMultilevel"/>
    <w:tmpl w:val="87983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F29FB"/>
    <w:multiLevelType w:val="hybridMultilevel"/>
    <w:tmpl w:val="9BA2408C"/>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4" w15:restartNumberingAfterBreak="0">
    <w:nsid w:val="257C3423"/>
    <w:multiLevelType w:val="hybridMultilevel"/>
    <w:tmpl w:val="426470D8"/>
    <w:lvl w:ilvl="0" w:tplc="8AB4B0EE">
      <w:start w:val="1"/>
      <w:numFmt w:val="decimal"/>
      <w:lvlText w:val="%1."/>
      <w:lvlJc w:val="left"/>
      <w:pPr>
        <w:ind w:left="360" w:hanging="360"/>
      </w:pPr>
      <w:rPr>
        <w:rFonts w:hint="default"/>
        <w:b/>
        <w:bCs/>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7E95091"/>
    <w:multiLevelType w:val="hybridMultilevel"/>
    <w:tmpl w:val="324883B2"/>
    <w:lvl w:ilvl="0" w:tplc="AADE97F4">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96008DE"/>
    <w:multiLevelType w:val="hybridMultilevel"/>
    <w:tmpl w:val="F7F646AE"/>
    <w:lvl w:ilvl="0" w:tplc="040C000F">
      <w:start w:val="1"/>
      <w:numFmt w:val="decimal"/>
      <w:lvlText w:val="%1."/>
      <w:lvlJc w:val="left"/>
      <w:pPr>
        <w:ind w:left="495" w:hanging="360"/>
      </w:p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19" w15:restartNumberingAfterBreak="0">
    <w:nsid w:val="2ABE77C3"/>
    <w:multiLevelType w:val="hybridMultilevel"/>
    <w:tmpl w:val="80CA6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1A2455"/>
    <w:multiLevelType w:val="hybridMultilevel"/>
    <w:tmpl w:val="F8489962"/>
    <w:lvl w:ilvl="0" w:tplc="B4C223A0">
      <w:numFmt w:val="bullet"/>
      <w:lvlText w:val="-"/>
      <w:lvlJc w:val="left"/>
      <w:pPr>
        <w:ind w:left="436" w:hanging="360"/>
      </w:pPr>
      <w:rPr>
        <w:rFonts w:ascii="Calibri" w:eastAsiaTheme="minorHAnsi"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1" w15:restartNumberingAfterBreak="0">
    <w:nsid w:val="2C712F70"/>
    <w:multiLevelType w:val="hybridMultilevel"/>
    <w:tmpl w:val="9762333C"/>
    <w:lvl w:ilvl="0" w:tplc="E99A7E58">
      <w:start w:val="1"/>
      <w:numFmt w:val="lowerRoman"/>
      <w:lvlText w:val="%1)"/>
      <w:lvlJc w:val="left"/>
      <w:pPr>
        <w:ind w:left="436" w:hanging="72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2" w15:restartNumberingAfterBreak="0">
    <w:nsid w:val="2D153768"/>
    <w:multiLevelType w:val="hybridMultilevel"/>
    <w:tmpl w:val="64C2DA16"/>
    <w:lvl w:ilvl="0" w:tplc="90A6957C">
      <w:start w:val="66"/>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6711BC"/>
    <w:multiLevelType w:val="hybridMultilevel"/>
    <w:tmpl w:val="6D1A1790"/>
    <w:lvl w:ilvl="0" w:tplc="7548B4DC">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25868B5"/>
    <w:multiLevelType w:val="hybridMultilevel"/>
    <w:tmpl w:val="064E31D8"/>
    <w:lvl w:ilvl="0" w:tplc="4900E4AA">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8156199"/>
    <w:multiLevelType w:val="hybridMultilevel"/>
    <w:tmpl w:val="8B02604A"/>
    <w:lvl w:ilvl="0" w:tplc="8D707652">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E0283A"/>
    <w:multiLevelType w:val="hybridMultilevel"/>
    <w:tmpl w:val="A872D13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470A55"/>
    <w:multiLevelType w:val="hybridMultilevel"/>
    <w:tmpl w:val="320A22EA"/>
    <w:lvl w:ilvl="0" w:tplc="D14CF590">
      <w:start w:val="1"/>
      <w:numFmt w:val="decimal"/>
      <w:lvlText w:val="%1."/>
      <w:lvlJc w:val="left"/>
      <w:pPr>
        <w:ind w:left="360" w:hanging="360"/>
      </w:pPr>
      <w:rPr>
        <w:rFonts w:hint="default"/>
        <w:b/>
        <w:color w:val="000091" w:themeColor="text1"/>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8A667EB"/>
    <w:multiLevelType w:val="hybridMultilevel"/>
    <w:tmpl w:val="BFF22922"/>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15:restartNumberingAfterBreak="0">
    <w:nsid w:val="6A4A60BC"/>
    <w:multiLevelType w:val="hybridMultilevel"/>
    <w:tmpl w:val="61D232C4"/>
    <w:lvl w:ilvl="0" w:tplc="E938A724">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DD00BD7"/>
    <w:multiLevelType w:val="hybridMultilevel"/>
    <w:tmpl w:val="8434686A"/>
    <w:lvl w:ilvl="0" w:tplc="CA722D2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7438B6"/>
    <w:multiLevelType w:val="hybridMultilevel"/>
    <w:tmpl w:val="FF1A2096"/>
    <w:lvl w:ilvl="0" w:tplc="76A4F0AE">
      <w:start w:val="7"/>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DD5422"/>
    <w:multiLevelType w:val="hybridMultilevel"/>
    <w:tmpl w:val="E7149C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42"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FC3952"/>
    <w:multiLevelType w:val="hybridMultilevel"/>
    <w:tmpl w:val="97F65B2A"/>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26"/>
  </w:num>
  <w:num w:numId="2">
    <w:abstractNumId w:val="4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2"/>
  </w:num>
  <w:num w:numId="6">
    <w:abstractNumId w:val="38"/>
  </w:num>
  <w:num w:numId="7">
    <w:abstractNumId w:val="16"/>
  </w:num>
  <w:num w:numId="8">
    <w:abstractNumId w:val="15"/>
  </w:num>
  <w:num w:numId="9">
    <w:abstractNumId w:val="3"/>
  </w:num>
  <w:num w:numId="10">
    <w:abstractNumId w:val="28"/>
  </w:num>
  <w:num w:numId="11">
    <w:abstractNumId w:val="24"/>
  </w:num>
  <w:num w:numId="12">
    <w:abstractNumId w:val="2"/>
  </w:num>
  <w:num w:numId="13">
    <w:abstractNumId w:val="7"/>
  </w:num>
  <w:num w:numId="14">
    <w:abstractNumId w:val="32"/>
  </w:num>
  <w:num w:numId="15">
    <w:abstractNumId w:val="25"/>
  </w:num>
  <w:num w:numId="16">
    <w:abstractNumId w:val="10"/>
  </w:num>
  <w:num w:numId="17">
    <w:abstractNumId w:val="37"/>
  </w:num>
  <w:num w:numId="18">
    <w:abstractNumId w:val="31"/>
  </w:num>
  <w:num w:numId="19">
    <w:abstractNumId w:val="33"/>
  </w:num>
  <w:num w:numId="20">
    <w:abstractNumId w:val="12"/>
  </w:num>
  <w:num w:numId="21">
    <w:abstractNumId w:val="39"/>
  </w:num>
  <w:num w:numId="22">
    <w:abstractNumId w:val="23"/>
  </w:num>
  <w:num w:numId="23">
    <w:abstractNumId w:val="14"/>
  </w:num>
  <w:num w:numId="24">
    <w:abstractNumId w:val="40"/>
  </w:num>
  <w:num w:numId="25">
    <w:abstractNumId w:val="19"/>
  </w:num>
  <w:num w:numId="26">
    <w:abstractNumId w:val="11"/>
  </w:num>
  <w:num w:numId="27">
    <w:abstractNumId w:val="30"/>
  </w:num>
  <w:num w:numId="28">
    <w:abstractNumId w:val="27"/>
  </w:num>
  <w:num w:numId="29">
    <w:abstractNumId w:val="22"/>
  </w:num>
  <w:num w:numId="30">
    <w:abstractNumId w:val="36"/>
  </w:num>
  <w:num w:numId="31">
    <w:abstractNumId w:val="6"/>
  </w:num>
  <w:num w:numId="32">
    <w:abstractNumId w:val="4"/>
  </w:num>
  <w:num w:numId="33">
    <w:abstractNumId w:val="17"/>
  </w:num>
  <w:num w:numId="34">
    <w:abstractNumId w:val="13"/>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43"/>
  </w:num>
  <w:num w:numId="39">
    <w:abstractNumId w:val="5"/>
  </w:num>
  <w:num w:numId="40">
    <w:abstractNumId w:val="8"/>
  </w:num>
  <w:num w:numId="41">
    <w:abstractNumId w:val="35"/>
  </w:num>
  <w:num w:numId="42">
    <w:abstractNumId w:val="20"/>
  </w:num>
  <w:num w:numId="43">
    <w:abstractNumId w:val="5"/>
    <w:lvlOverride w:ilvl="0">
      <w:startOverride w:val="1"/>
    </w:lvlOverride>
  </w:num>
  <w:num w:numId="44">
    <w:abstractNumId w:val="18"/>
  </w:num>
  <w:num w:numId="45">
    <w:abstractNumId w:val="0"/>
  </w:num>
  <w:num w:numId="46">
    <w:abstractNumId w:val="5"/>
    <w:lvlOverride w:ilvl="0">
      <w:startOverride w:val="1"/>
    </w:lvlOverride>
  </w:num>
  <w:num w:numId="47">
    <w:abstractNumId w:val="5"/>
    <w:lvlOverride w:ilvl="0">
      <w:startOverride w:val="1"/>
    </w:lvlOverride>
  </w:num>
  <w:num w:numId="48">
    <w:abstractNumId w:val="21"/>
  </w:num>
  <w:num w:numId="49">
    <w:abstractNumId w:val="1"/>
  </w:num>
  <w:num w:numId="50">
    <w:abstractNumId w:val="9"/>
  </w:num>
  <w:num w:numId="51">
    <w:abstractNumId w:val="5"/>
  </w:num>
  <w:num w:numId="52">
    <w:abstractNumId w:val="5"/>
    <w:lvlOverride w:ilvl="0">
      <w:startOverride w:val="1"/>
    </w:lvlOverride>
  </w:num>
  <w:num w:numId="53">
    <w:abstractNumId w:val="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235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0467"/>
    <w:rsid w:val="000034EC"/>
    <w:rsid w:val="00003C28"/>
    <w:rsid w:val="000048E4"/>
    <w:rsid w:val="00004DC7"/>
    <w:rsid w:val="0000540B"/>
    <w:rsid w:val="000064C1"/>
    <w:rsid w:val="00006A2F"/>
    <w:rsid w:val="00006D9E"/>
    <w:rsid w:val="00006E50"/>
    <w:rsid w:val="000103B4"/>
    <w:rsid w:val="00011733"/>
    <w:rsid w:val="00012730"/>
    <w:rsid w:val="00012C11"/>
    <w:rsid w:val="000130C8"/>
    <w:rsid w:val="000147DA"/>
    <w:rsid w:val="00015D34"/>
    <w:rsid w:val="0001750C"/>
    <w:rsid w:val="00020EE2"/>
    <w:rsid w:val="00022880"/>
    <w:rsid w:val="00022F44"/>
    <w:rsid w:val="000237AA"/>
    <w:rsid w:val="000241A7"/>
    <w:rsid w:val="00025CF1"/>
    <w:rsid w:val="0002621C"/>
    <w:rsid w:val="000267C7"/>
    <w:rsid w:val="00027680"/>
    <w:rsid w:val="00031533"/>
    <w:rsid w:val="00032FFF"/>
    <w:rsid w:val="00033D25"/>
    <w:rsid w:val="000344A2"/>
    <w:rsid w:val="00034997"/>
    <w:rsid w:val="00035AD1"/>
    <w:rsid w:val="000363B8"/>
    <w:rsid w:val="00041785"/>
    <w:rsid w:val="0004213A"/>
    <w:rsid w:val="00043EB4"/>
    <w:rsid w:val="00044ABE"/>
    <w:rsid w:val="00045855"/>
    <w:rsid w:val="00045CF8"/>
    <w:rsid w:val="00050121"/>
    <w:rsid w:val="00050225"/>
    <w:rsid w:val="0005036C"/>
    <w:rsid w:val="00051944"/>
    <w:rsid w:val="0005279D"/>
    <w:rsid w:val="00052AB5"/>
    <w:rsid w:val="000534EC"/>
    <w:rsid w:val="00061070"/>
    <w:rsid w:val="00062235"/>
    <w:rsid w:val="000640F3"/>
    <w:rsid w:val="00064115"/>
    <w:rsid w:val="000676F2"/>
    <w:rsid w:val="000704D4"/>
    <w:rsid w:val="000705F9"/>
    <w:rsid w:val="00071F97"/>
    <w:rsid w:val="0007240D"/>
    <w:rsid w:val="00072F68"/>
    <w:rsid w:val="0007432D"/>
    <w:rsid w:val="00074A74"/>
    <w:rsid w:val="000750C8"/>
    <w:rsid w:val="000762A3"/>
    <w:rsid w:val="000763B3"/>
    <w:rsid w:val="00076D7B"/>
    <w:rsid w:val="00080037"/>
    <w:rsid w:val="000809EF"/>
    <w:rsid w:val="00080B9E"/>
    <w:rsid w:val="0008261C"/>
    <w:rsid w:val="000826D4"/>
    <w:rsid w:val="0008315C"/>
    <w:rsid w:val="00083804"/>
    <w:rsid w:val="00083EA9"/>
    <w:rsid w:val="00083FAB"/>
    <w:rsid w:val="00084836"/>
    <w:rsid w:val="0008622C"/>
    <w:rsid w:val="00087963"/>
    <w:rsid w:val="00087E08"/>
    <w:rsid w:val="00090072"/>
    <w:rsid w:val="000911DA"/>
    <w:rsid w:val="000934BF"/>
    <w:rsid w:val="00094A44"/>
    <w:rsid w:val="00096E10"/>
    <w:rsid w:val="00097777"/>
    <w:rsid w:val="000A093D"/>
    <w:rsid w:val="000A1384"/>
    <w:rsid w:val="000A1614"/>
    <w:rsid w:val="000A1918"/>
    <w:rsid w:val="000A1BA1"/>
    <w:rsid w:val="000A4188"/>
    <w:rsid w:val="000A419A"/>
    <w:rsid w:val="000A6614"/>
    <w:rsid w:val="000A6CA6"/>
    <w:rsid w:val="000A7225"/>
    <w:rsid w:val="000B06D7"/>
    <w:rsid w:val="000B17C1"/>
    <w:rsid w:val="000B1FC9"/>
    <w:rsid w:val="000B28BA"/>
    <w:rsid w:val="000B345C"/>
    <w:rsid w:val="000B34AF"/>
    <w:rsid w:val="000B35CA"/>
    <w:rsid w:val="000B44EF"/>
    <w:rsid w:val="000B649D"/>
    <w:rsid w:val="000B6E49"/>
    <w:rsid w:val="000B7137"/>
    <w:rsid w:val="000B72AF"/>
    <w:rsid w:val="000C0AD8"/>
    <w:rsid w:val="000C184D"/>
    <w:rsid w:val="000C18CF"/>
    <w:rsid w:val="000C32FC"/>
    <w:rsid w:val="000C346D"/>
    <w:rsid w:val="000C3ADB"/>
    <w:rsid w:val="000C5433"/>
    <w:rsid w:val="000C578D"/>
    <w:rsid w:val="000C5A75"/>
    <w:rsid w:val="000C5E14"/>
    <w:rsid w:val="000C6598"/>
    <w:rsid w:val="000C6881"/>
    <w:rsid w:val="000D05ED"/>
    <w:rsid w:val="000D1EB5"/>
    <w:rsid w:val="000D41BE"/>
    <w:rsid w:val="000D4EC0"/>
    <w:rsid w:val="000D5116"/>
    <w:rsid w:val="000D51CC"/>
    <w:rsid w:val="000D61FC"/>
    <w:rsid w:val="000D66F4"/>
    <w:rsid w:val="000D7A6C"/>
    <w:rsid w:val="000E0E65"/>
    <w:rsid w:val="000E1E2F"/>
    <w:rsid w:val="000E1EEB"/>
    <w:rsid w:val="000E335A"/>
    <w:rsid w:val="000E398F"/>
    <w:rsid w:val="000E3B37"/>
    <w:rsid w:val="000E4455"/>
    <w:rsid w:val="000E62B4"/>
    <w:rsid w:val="000E6612"/>
    <w:rsid w:val="000E76DC"/>
    <w:rsid w:val="000E7793"/>
    <w:rsid w:val="000F06C4"/>
    <w:rsid w:val="000F2C4E"/>
    <w:rsid w:val="000F3D61"/>
    <w:rsid w:val="000F41AB"/>
    <w:rsid w:val="000F451B"/>
    <w:rsid w:val="000F4F45"/>
    <w:rsid w:val="000F5BCC"/>
    <w:rsid w:val="000F6B77"/>
    <w:rsid w:val="000F71EB"/>
    <w:rsid w:val="000F7D82"/>
    <w:rsid w:val="00100569"/>
    <w:rsid w:val="00100C95"/>
    <w:rsid w:val="00101EB7"/>
    <w:rsid w:val="001055D2"/>
    <w:rsid w:val="00105802"/>
    <w:rsid w:val="00106002"/>
    <w:rsid w:val="001077D5"/>
    <w:rsid w:val="001105E1"/>
    <w:rsid w:val="00110616"/>
    <w:rsid w:val="001109EF"/>
    <w:rsid w:val="00110FBA"/>
    <w:rsid w:val="00111C32"/>
    <w:rsid w:val="0011413B"/>
    <w:rsid w:val="00115674"/>
    <w:rsid w:val="00115927"/>
    <w:rsid w:val="00115D43"/>
    <w:rsid w:val="00116B15"/>
    <w:rsid w:val="00117C80"/>
    <w:rsid w:val="0012048A"/>
    <w:rsid w:val="001214EC"/>
    <w:rsid w:val="00121F26"/>
    <w:rsid w:val="00122D3A"/>
    <w:rsid w:val="00122DD5"/>
    <w:rsid w:val="00123C14"/>
    <w:rsid w:val="00123EF9"/>
    <w:rsid w:val="0012430D"/>
    <w:rsid w:val="00124851"/>
    <w:rsid w:val="00124F92"/>
    <w:rsid w:val="001255F9"/>
    <w:rsid w:val="00126510"/>
    <w:rsid w:val="001271F4"/>
    <w:rsid w:val="00131684"/>
    <w:rsid w:val="001327FC"/>
    <w:rsid w:val="001339EB"/>
    <w:rsid w:val="00133CA3"/>
    <w:rsid w:val="00133CDA"/>
    <w:rsid w:val="00134307"/>
    <w:rsid w:val="00134C01"/>
    <w:rsid w:val="00134CA8"/>
    <w:rsid w:val="00134DE8"/>
    <w:rsid w:val="0013557B"/>
    <w:rsid w:val="001360A8"/>
    <w:rsid w:val="00137382"/>
    <w:rsid w:val="0013758E"/>
    <w:rsid w:val="00140016"/>
    <w:rsid w:val="00140C37"/>
    <w:rsid w:val="001412AB"/>
    <w:rsid w:val="001425A0"/>
    <w:rsid w:val="001446D5"/>
    <w:rsid w:val="0014688E"/>
    <w:rsid w:val="00146BEC"/>
    <w:rsid w:val="00147754"/>
    <w:rsid w:val="001505C0"/>
    <w:rsid w:val="00150C4F"/>
    <w:rsid w:val="001524F0"/>
    <w:rsid w:val="00152C27"/>
    <w:rsid w:val="0015353C"/>
    <w:rsid w:val="001539E4"/>
    <w:rsid w:val="00154AF8"/>
    <w:rsid w:val="00155E43"/>
    <w:rsid w:val="00157BAA"/>
    <w:rsid w:val="00157DB7"/>
    <w:rsid w:val="00157F87"/>
    <w:rsid w:val="00160F84"/>
    <w:rsid w:val="001612F9"/>
    <w:rsid w:val="001613DF"/>
    <w:rsid w:val="00163C44"/>
    <w:rsid w:val="00163FD5"/>
    <w:rsid w:val="00164E65"/>
    <w:rsid w:val="00165EBB"/>
    <w:rsid w:val="00170984"/>
    <w:rsid w:val="001715CA"/>
    <w:rsid w:val="0017307F"/>
    <w:rsid w:val="0017439A"/>
    <w:rsid w:val="00175E92"/>
    <w:rsid w:val="00176A1F"/>
    <w:rsid w:val="00176D65"/>
    <w:rsid w:val="00177ED0"/>
    <w:rsid w:val="00177F40"/>
    <w:rsid w:val="001819FC"/>
    <w:rsid w:val="001820E4"/>
    <w:rsid w:val="0018383F"/>
    <w:rsid w:val="00183B89"/>
    <w:rsid w:val="00184135"/>
    <w:rsid w:val="00185E2B"/>
    <w:rsid w:val="00186B7B"/>
    <w:rsid w:val="00187269"/>
    <w:rsid w:val="00187366"/>
    <w:rsid w:val="00187529"/>
    <w:rsid w:val="0019173B"/>
    <w:rsid w:val="0019192A"/>
    <w:rsid w:val="00191EFD"/>
    <w:rsid w:val="0019280B"/>
    <w:rsid w:val="00193854"/>
    <w:rsid w:val="00194499"/>
    <w:rsid w:val="0019689C"/>
    <w:rsid w:val="0019799E"/>
    <w:rsid w:val="00197AC9"/>
    <w:rsid w:val="001A1A43"/>
    <w:rsid w:val="001A1CCD"/>
    <w:rsid w:val="001A1CD5"/>
    <w:rsid w:val="001A22FB"/>
    <w:rsid w:val="001A25FF"/>
    <w:rsid w:val="001A52A7"/>
    <w:rsid w:val="001A55D9"/>
    <w:rsid w:val="001A5A37"/>
    <w:rsid w:val="001A6399"/>
    <w:rsid w:val="001A6823"/>
    <w:rsid w:val="001A6944"/>
    <w:rsid w:val="001A7D74"/>
    <w:rsid w:val="001B15C6"/>
    <w:rsid w:val="001B19A8"/>
    <w:rsid w:val="001B1CF0"/>
    <w:rsid w:val="001B359F"/>
    <w:rsid w:val="001B45A2"/>
    <w:rsid w:val="001B67DC"/>
    <w:rsid w:val="001B6E44"/>
    <w:rsid w:val="001B6FBF"/>
    <w:rsid w:val="001C0523"/>
    <w:rsid w:val="001C0819"/>
    <w:rsid w:val="001C100F"/>
    <w:rsid w:val="001C1529"/>
    <w:rsid w:val="001C2241"/>
    <w:rsid w:val="001C2361"/>
    <w:rsid w:val="001C3FFE"/>
    <w:rsid w:val="001C503D"/>
    <w:rsid w:val="001C5121"/>
    <w:rsid w:val="001C59B9"/>
    <w:rsid w:val="001C5B45"/>
    <w:rsid w:val="001C692E"/>
    <w:rsid w:val="001C6F90"/>
    <w:rsid w:val="001D28B7"/>
    <w:rsid w:val="001D377C"/>
    <w:rsid w:val="001D3EB5"/>
    <w:rsid w:val="001D598D"/>
    <w:rsid w:val="001D6A64"/>
    <w:rsid w:val="001D76E3"/>
    <w:rsid w:val="001D77DC"/>
    <w:rsid w:val="001E046D"/>
    <w:rsid w:val="001E1540"/>
    <w:rsid w:val="001E4A49"/>
    <w:rsid w:val="001E4D67"/>
    <w:rsid w:val="001E7D1C"/>
    <w:rsid w:val="001E7FB4"/>
    <w:rsid w:val="001F0D38"/>
    <w:rsid w:val="001F185B"/>
    <w:rsid w:val="001F1FA3"/>
    <w:rsid w:val="001F235A"/>
    <w:rsid w:val="001F28FE"/>
    <w:rsid w:val="001F2D7C"/>
    <w:rsid w:val="001F3503"/>
    <w:rsid w:val="001F3B03"/>
    <w:rsid w:val="001F41AF"/>
    <w:rsid w:val="001F4261"/>
    <w:rsid w:val="001F4EA1"/>
    <w:rsid w:val="001F5EDE"/>
    <w:rsid w:val="001F64DD"/>
    <w:rsid w:val="001F7799"/>
    <w:rsid w:val="001F78C0"/>
    <w:rsid w:val="00200CDC"/>
    <w:rsid w:val="00202838"/>
    <w:rsid w:val="00202CA8"/>
    <w:rsid w:val="002032E6"/>
    <w:rsid w:val="0020348C"/>
    <w:rsid w:val="00204045"/>
    <w:rsid w:val="00205379"/>
    <w:rsid w:val="002054C5"/>
    <w:rsid w:val="0020551F"/>
    <w:rsid w:val="002063F8"/>
    <w:rsid w:val="002065EA"/>
    <w:rsid w:val="00206845"/>
    <w:rsid w:val="0021163D"/>
    <w:rsid w:val="00212A11"/>
    <w:rsid w:val="00212EBC"/>
    <w:rsid w:val="00213288"/>
    <w:rsid w:val="002133A4"/>
    <w:rsid w:val="0021396D"/>
    <w:rsid w:val="002148D3"/>
    <w:rsid w:val="00216353"/>
    <w:rsid w:val="002174D0"/>
    <w:rsid w:val="002212F1"/>
    <w:rsid w:val="00221A64"/>
    <w:rsid w:val="00223554"/>
    <w:rsid w:val="002236A4"/>
    <w:rsid w:val="002245DC"/>
    <w:rsid w:val="00224A25"/>
    <w:rsid w:val="00224FD9"/>
    <w:rsid w:val="00225798"/>
    <w:rsid w:val="002262A6"/>
    <w:rsid w:val="00226CA5"/>
    <w:rsid w:val="0022742E"/>
    <w:rsid w:val="002306D7"/>
    <w:rsid w:val="00231212"/>
    <w:rsid w:val="002345BF"/>
    <w:rsid w:val="00234C88"/>
    <w:rsid w:val="0024219B"/>
    <w:rsid w:val="0024229E"/>
    <w:rsid w:val="00242633"/>
    <w:rsid w:val="00242F41"/>
    <w:rsid w:val="0024510F"/>
    <w:rsid w:val="00246759"/>
    <w:rsid w:val="00246C65"/>
    <w:rsid w:val="00250584"/>
    <w:rsid w:val="00250F27"/>
    <w:rsid w:val="002512ED"/>
    <w:rsid w:val="0025263E"/>
    <w:rsid w:val="002529D3"/>
    <w:rsid w:val="002537DC"/>
    <w:rsid w:val="00253B39"/>
    <w:rsid w:val="002550BB"/>
    <w:rsid w:val="00255F30"/>
    <w:rsid w:val="00255F76"/>
    <w:rsid w:val="00256083"/>
    <w:rsid w:val="00257E48"/>
    <w:rsid w:val="002608E6"/>
    <w:rsid w:val="00262E94"/>
    <w:rsid w:val="002641A6"/>
    <w:rsid w:val="00264645"/>
    <w:rsid w:val="0026592B"/>
    <w:rsid w:val="00265ABD"/>
    <w:rsid w:val="002661B5"/>
    <w:rsid w:val="00267144"/>
    <w:rsid w:val="00270429"/>
    <w:rsid w:val="002710AE"/>
    <w:rsid w:val="002718C8"/>
    <w:rsid w:val="002727A2"/>
    <w:rsid w:val="002734B6"/>
    <w:rsid w:val="00275E30"/>
    <w:rsid w:val="002762C9"/>
    <w:rsid w:val="00276578"/>
    <w:rsid w:val="00276ACD"/>
    <w:rsid w:val="00277F01"/>
    <w:rsid w:val="0028010A"/>
    <w:rsid w:val="00281BCD"/>
    <w:rsid w:val="002826CD"/>
    <w:rsid w:val="0028362D"/>
    <w:rsid w:val="0028388A"/>
    <w:rsid w:val="002839D4"/>
    <w:rsid w:val="00284113"/>
    <w:rsid w:val="00286D77"/>
    <w:rsid w:val="002873F1"/>
    <w:rsid w:val="00291415"/>
    <w:rsid w:val="002917DD"/>
    <w:rsid w:val="00292779"/>
    <w:rsid w:val="0029283F"/>
    <w:rsid w:val="00292E27"/>
    <w:rsid w:val="002935DD"/>
    <w:rsid w:val="002940B2"/>
    <w:rsid w:val="002947BE"/>
    <w:rsid w:val="00294B29"/>
    <w:rsid w:val="00294F97"/>
    <w:rsid w:val="00295239"/>
    <w:rsid w:val="0029607D"/>
    <w:rsid w:val="002965B5"/>
    <w:rsid w:val="0029781E"/>
    <w:rsid w:val="002A080B"/>
    <w:rsid w:val="002A1679"/>
    <w:rsid w:val="002A263B"/>
    <w:rsid w:val="002A27BA"/>
    <w:rsid w:val="002A3CAB"/>
    <w:rsid w:val="002A3EFE"/>
    <w:rsid w:val="002A440F"/>
    <w:rsid w:val="002A492A"/>
    <w:rsid w:val="002A54A2"/>
    <w:rsid w:val="002A5986"/>
    <w:rsid w:val="002A6122"/>
    <w:rsid w:val="002A6607"/>
    <w:rsid w:val="002A7ABC"/>
    <w:rsid w:val="002A7BEB"/>
    <w:rsid w:val="002B0EA6"/>
    <w:rsid w:val="002B1042"/>
    <w:rsid w:val="002B16EA"/>
    <w:rsid w:val="002B23CC"/>
    <w:rsid w:val="002B2F4E"/>
    <w:rsid w:val="002B2F52"/>
    <w:rsid w:val="002B40EC"/>
    <w:rsid w:val="002B5CF2"/>
    <w:rsid w:val="002C057B"/>
    <w:rsid w:val="002C190A"/>
    <w:rsid w:val="002C1985"/>
    <w:rsid w:val="002C1A9F"/>
    <w:rsid w:val="002C3AB6"/>
    <w:rsid w:val="002C51A8"/>
    <w:rsid w:val="002D0D2B"/>
    <w:rsid w:val="002D0D82"/>
    <w:rsid w:val="002D13A2"/>
    <w:rsid w:val="002D255B"/>
    <w:rsid w:val="002D4057"/>
    <w:rsid w:val="002D4C04"/>
    <w:rsid w:val="002D5958"/>
    <w:rsid w:val="002E08F9"/>
    <w:rsid w:val="002E23D6"/>
    <w:rsid w:val="002E27E3"/>
    <w:rsid w:val="002E2B4C"/>
    <w:rsid w:val="002E5710"/>
    <w:rsid w:val="002E5716"/>
    <w:rsid w:val="002E5A6B"/>
    <w:rsid w:val="002E6890"/>
    <w:rsid w:val="002E6A71"/>
    <w:rsid w:val="002E7383"/>
    <w:rsid w:val="002F024C"/>
    <w:rsid w:val="002F1612"/>
    <w:rsid w:val="002F1F7C"/>
    <w:rsid w:val="002F210F"/>
    <w:rsid w:val="002F25FF"/>
    <w:rsid w:val="002F2D7B"/>
    <w:rsid w:val="002F501C"/>
    <w:rsid w:val="002F51E1"/>
    <w:rsid w:val="002F5953"/>
    <w:rsid w:val="002F5968"/>
    <w:rsid w:val="002F683C"/>
    <w:rsid w:val="002F7643"/>
    <w:rsid w:val="00300076"/>
    <w:rsid w:val="0030017B"/>
    <w:rsid w:val="003009FC"/>
    <w:rsid w:val="00300A7E"/>
    <w:rsid w:val="00301021"/>
    <w:rsid w:val="0030144B"/>
    <w:rsid w:val="0030148A"/>
    <w:rsid w:val="0030440A"/>
    <w:rsid w:val="00304D94"/>
    <w:rsid w:val="00305320"/>
    <w:rsid w:val="00306E4F"/>
    <w:rsid w:val="003079E6"/>
    <w:rsid w:val="0031290C"/>
    <w:rsid w:val="0031293F"/>
    <w:rsid w:val="00312E1E"/>
    <w:rsid w:val="00314248"/>
    <w:rsid w:val="00316306"/>
    <w:rsid w:val="00316E2E"/>
    <w:rsid w:val="003174C6"/>
    <w:rsid w:val="00317557"/>
    <w:rsid w:val="00317870"/>
    <w:rsid w:val="003217E2"/>
    <w:rsid w:val="00321A00"/>
    <w:rsid w:val="003221C7"/>
    <w:rsid w:val="00322B02"/>
    <w:rsid w:val="0032300C"/>
    <w:rsid w:val="003232C2"/>
    <w:rsid w:val="00323873"/>
    <w:rsid w:val="00323A4A"/>
    <w:rsid w:val="0032497E"/>
    <w:rsid w:val="003257BD"/>
    <w:rsid w:val="003261A1"/>
    <w:rsid w:val="0032686D"/>
    <w:rsid w:val="00327573"/>
    <w:rsid w:val="0033036F"/>
    <w:rsid w:val="00330428"/>
    <w:rsid w:val="003312E5"/>
    <w:rsid w:val="00331481"/>
    <w:rsid w:val="00332310"/>
    <w:rsid w:val="00332CE9"/>
    <w:rsid w:val="00332D03"/>
    <w:rsid w:val="003339CE"/>
    <w:rsid w:val="00334860"/>
    <w:rsid w:val="003372C9"/>
    <w:rsid w:val="003402CD"/>
    <w:rsid w:val="003407BF"/>
    <w:rsid w:val="00341B8F"/>
    <w:rsid w:val="00341E94"/>
    <w:rsid w:val="00341EC1"/>
    <w:rsid w:val="00342505"/>
    <w:rsid w:val="0034385E"/>
    <w:rsid w:val="0034385F"/>
    <w:rsid w:val="00344131"/>
    <w:rsid w:val="00344438"/>
    <w:rsid w:val="003446A1"/>
    <w:rsid w:val="00345914"/>
    <w:rsid w:val="00346253"/>
    <w:rsid w:val="00346662"/>
    <w:rsid w:val="00347462"/>
    <w:rsid w:val="00347F9E"/>
    <w:rsid w:val="003507FD"/>
    <w:rsid w:val="00350C5B"/>
    <w:rsid w:val="00351169"/>
    <w:rsid w:val="00351448"/>
    <w:rsid w:val="00351A73"/>
    <w:rsid w:val="00351E1C"/>
    <w:rsid w:val="00352825"/>
    <w:rsid w:val="003529A3"/>
    <w:rsid w:val="0035309D"/>
    <w:rsid w:val="00353D10"/>
    <w:rsid w:val="00354A04"/>
    <w:rsid w:val="00355B1C"/>
    <w:rsid w:val="00356FB4"/>
    <w:rsid w:val="00357F9D"/>
    <w:rsid w:val="003613F2"/>
    <w:rsid w:val="00362534"/>
    <w:rsid w:val="00362870"/>
    <w:rsid w:val="00362FED"/>
    <w:rsid w:val="00363B7A"/>
    <w:rsid w:val="00363E38"/>
    <w:rsid w:val="003646B7"/>
    <w:rsid w:val="00364BEA"/>
    <w:rsid w:val="003660F4"/>
    <w:rsid w:val="00367940"/>
    <w:rsid w:val="00367D87"/>
    <w:rsid w:val="00371A23"/>
    <w:rsid w:val="003729D1"/>
    <w:rsid w:val="00374DFF"/>
    <w:rsid w:val="00374F0D"/>
    <w:rsid w:val="00375419"/>
    <w:rsid w:val="00377143"/>
    <w:rsid w:val="00377431"/>
    <w:rsid w:val="003777B0"/>
    <w:rsid w:val="00377BC4"/>
    <w:rsid w:val="00382BCE"/>
    <w:rsid w:val="00382D37"/>
    <w:rsid w:val="00383511"/>
    <w:rsid w:val="003847EC"/>
    <w:rsid w:val="003849A6"/>
    <w:rsid w:val="003855E8"/>
    <w:rsid w:val="00386C42"/>
    <w:rsid w:val="00391E41"/>
    <w:rsid w:val="00392151"/>
    <w:rsid w:val="003924D6"/>
    <w:rsid w:val="00393936"/>
    <w:rsid w:val="003941EE"/>
    <w:rsid w:val="00394337"/>
    <w:rsid w:val="00394B46"/>
    <w:rsid w:val="0039612C"/>
    <w:rsid w:val="00397875"/>
    <w:rsid w:val="00397CE9"/>
    <w:rsid w:val="00397F53"/>
    <w:rsid w:val="003A04C4"/>
    <w:rsid w:val="003A0BE0"/>
    <w:rsid w:val="003A1D94"/>
    <w:rsid w:val="003A234D"/>
    <w:rsid w:val="003A315A"/>
    <w:rsid w:val="003A3991"/>
    <w:rsid w:val="003A6918"/>
    <w:rsid w:val="003A6CE1"/>
    <w:rsid w:val="003A6D83"/>
    <w:rsid w:val="003A7EB8"/>
    <w:rsid w:val="003B02C8"/>
    <w:rsid w:val="003B1A22"/>
    <w:rsid w:val="003B33D3"/>
    <w:rsid w:val="003B43AE"/>
    <w:rsid w:val="003B5608"/>
    <w:rsid w:val="003B690F"/>
    <w:rsid w:val="003C1D4A"/>
    <w:rsid w:val="003C2307"/>
    <w:rsid w:val="003C2567"/>
    <w:rsid w:val="003C532C"/>
    <w:rsid w:val="003C5C68"/>
    <w:rsid w:val="003C646C"/>
    <w:rsid w:val="003C74CB"/>
    <w:rsid w:val="003C7539"/>
    <w:rsid w:val="003D2807"/>
    <w:rsid w:val="003D2AD3"/>
    <w:rsid w:val="003D3CE1"/>
    <w:rsid w:val="003D4663"/>
    <w:rsid w:val="003D4D65"/>
    <w:rsid w:val="003D4E81"/>
    <w:rsid w:val="003D5550"/>
    <w:rsid w:val="003D5632"/>
    <w:rsid w:val="003D5ED4"/>
    <w:rsid w:val="003D62EB"/>
    <w:rsid w:val="003D6537"/>
    <w:rsid w:val="003D79BB"/>
    <w:rsid w:val="003E0D02"/>
    <w:rsid w:val="003E1264"/>
    <w:rsid w:val="003E256F"/>
    <w:rsid w:val="003E26F6"/>
    <w:rsid w:val="003E3A8C"/>
    <w:rsid w:val="003E3B50"/>
    <w:rsid w:val="003E7756"/>
    <w:rsid w:val="003F0518"/>
    <w:rsid w:val="003F07D0"/>
    <w:rsid w:val="003F0EB0"/>
    <w:rsid w:val="003F128E"/>
    <w:rsid w:val="003F3144"/>
    <w:rsid w:val="003F352E"/>
    <w:rsid w:val="003F357C"/>
    <w:rsid w:val="003F3EEF"/>
    <w:rsid w:val="003F3F55"/>
    <w:rsid w:val="003F5EC2"/>
    <w:rsid w:val="003F6012"/>
    <w:rsid w:val="003F6780"/>
    <w:rsid w:val="003F6982"/>
    <w:rsid w:val="003F6F1F"/>
    <w:rsid w:val="003F708A"/>
    <w:rsid w:val="003F7796"/>
    <w:rsid w:val="0040051F"/>
    <w:rsid w:val="0040135C"/>
    <w:rsid w:val="00402776"/>
    <w:rsid w:val="00402B0C"/>
    <w:rsid w:val="0040330E"/>
    <w:rsid w:val="004035DC"/>
    <w:rsid w:val="0040366A"/>
    <w:rsid w:val="004043B9"/>
    <w:rsid w:val="0040582D"/>
    <w:rsid w:val="00406D60"/>
    <w:rsid w:val="004076EE"/>
    <w:rsid w:val="00407A42"/>
    <w:rsid w:val="00407D0E"/>
    <w:rsid w:val="004109C4"/>
    <w:rsid w:val="00411140"/>
    <w:rsid w:val="0041186F"/>
    <w:rsid w:val="00412A63"/>
    <w:rsid w:val="00412FE8"/>
    <w:rsid w:val="00413F23"/>
    <w:rsid w:val="004158FA"/>
    <w:rsid w:val="00415C9B"/>
    <w:rsid w:val="00415F39"/>
    <w:rsid w:val="00415F3E"/>
    <w:rsid w:val="00416169"/>
    <w:rsid w:val="0041640A"/>
    <w:rsid w:val="00416498"/>
    <w:rsid w:val="00416CFD"/>
    <w:rsid w:val="00420C3C"/>
    <w:rsid w:val="00423C55"/>
    <w:rsid w:val="00425189"/>
    <w:rsid w:val="00425D59"/>
    <w:rsid w:val="00425DDD"/>
    <w:rsid w:val="0042692E"/>
    <w:rsid w:val="0042739D"/>
    <w:rsid w:val="004311AF"/>
    <w:rsid w:val="00431487"/>
    <w:rsid w:val="00431F70"/>
    <w:rsid w:val="00433FA6"/>
    <w:rsid w:val="004340E5"/>
    <w:rsid w:val="00435EAA"/>
    <w:rsid w:val="00435F38"/>
    <w:rsid w:val="004372C1"/>
    <w:rsid w:val="00440877"/>
    <w:rsid w:val="00441869"/>
    <w:rsid w:val="00441E4E"/>
    <w:rsid w:val="00442411"/>
    <w:rsid w:val="0044380C"/>
    <w:rsid w:val="00444513"/>
    <w:rsid w:val="00444D1E"/>
    <w:rsid w:val="004458EF"/>
    <w:rsid w:val="00445D9D"/>
    <w:rsid w:val="00446D1A"/>
    <w:rsid w:val="00447BD4"/>
    <w:rsid w:val="00450D73"/>
    <w:rsid w:val="00451A2C"/>
    <w:rsid w:val="00452C51"/>
    <w:rsid w:val="0045462D"/>
    <w:rsid w:val="00454849"/>
    <w:rsid w:val="004548C7"/>
    <w:rsid w:val="00454E73"/>
    <w:rsid w:val="004551D0"/>
    <w:rsid w:val="00457B18"/>
    <w:rsid w:val="00457E89"/>
    <w:rsid w:val="004610BA"/>
    <w:rsid w:val="004613B8"/>
    <w:rsid w:val="004616B9"/>
    <w:rsid w:val="00462D90"/>
    <w:rsid w:val="00462EA7"/>
    <w:rsid w:val="00463378"/>
    <w:rsid w:val="00464E97"/>
    <w:rsid w:val="0046559A"/>
    <w:rsid w:val="00467D91"/>
    <w:rsid w:val="004707DC"/>
    <w:rsid w:val="004716CD"/>
    <w:rsid w:val="00471702"/>
    <w:rsid w:val="00471A2C"/>
    <w:rsid w:val="00471F61"/>
    <w:rsid w:val="00472C6F"/>
    <w:rsid w:val="004738C9"/>
    <w:rsid w:val="00475273"/>
    <w:rsid w:val="00476F68"/>
    <w:rsid w:val="004779A5"/>
    <w:rsid w:val="00480848"/>
    <w:rsid w:val="00482BA9"/>
    <w:rsid w:val="00483788"/>
    <w:rsid w:val="00483A7E"/>
    <w:rsid w:val="00483C5B"/>
    <w:rsid w:val="00484273"/>
    <w:rsid w:val="00485801"/>
    <w:rsid w:val="00486C8E"/>
    <w:rsid w:val="00487003"/>
    <w:rsid w:val="00490270"/>
    <w:rsid w:val="0049067A"/>
    <w:rsid w:val="004908E5"/>
    <w:rsid w:val="00490B3C"/>
    <w:rsid w:val="00490F7F"/>
    <w:rsid w:val="004931B5"/>
    <w:rsid w:val="00493BD3"/>
    <w:rsid w:val="0049454A"/>
    <w:rsid w:val="0049557C"/>
    <w:rsid w:val="00496D10"/>
    <w:rsid w:val="004A2696"/>
    <w:rsid w:val="004A28DB"/>
    <w:rsid w:val="004A329C"/>
    <w:rsid w:val="004A3A14"/>
    <w:rsid w:val="004A450C"/>
    <w:rsid w:val="004A4CF8"/>
    <w:rsid w:val="004A5C0C"/>
    <w:rsid w:val="004A6A24"/>
    <w:rsid w:val="004A70C7"/>
    <w:rsid w:val="004A71C5"/>
    <w:rsid w:val="004A74F0"/>
    <w:rsid w:val="004A7BBC"/>
    <w:rsid w:val="004A7DCC"/>
    <w:rsid w:val="004B0278"/>
    <w:rsid w:val="004B079F"/>
    <w:rsid w:val="004B1594"/>
    <w:rsid w:val="004B4A0F"/>
    <w:rsid w:val="004B5255"/>
    <w:rsid w:val="004B754D"/>
    <w:rsid w:val="004C0EC6"/>
    <w:rsid w:val="004C3273"/>
    <w:rsid w:val="004C43A4"/>
    <w:rsid w:val="004C43C6"/>
    <w:rsid w:val="004C56BE"/>
    <w:rsid w:val="004C5C5F"/>
    <w:rsid w:val="004C5D9C"/>
    <w:rsid w:val="004C6446"/>
    <w:rsid w:val="004C650C"/>
    <w:rsid w:val="004C69D7"/>
    <w:rsid w:val="004D3CFA"/>
    <w:rsid w:val="004D444C"/>
    <w:rsid w:val="004D4C08"/>
    <w:rsid w:val="004D53F9"/>
    <w:rsid w:val="004D6514"/>
    <w:rsid w:val="004D6698"/>
    <w:rsid w:val="004D78D1"/>
    <w:rsid w:val="004D7C76"/>
    <w:rsid w:val="004E12CC"/>
    <w:rsid w:val="004E20FE"/>
    <w:rsid w:val="004E44BC"/>
    <w:rsid w:val="004E463D"/>
    <w:rsid w:val="004E4AE0"/>
    <w:rsid w:val="004E56EA"/>
    <w:rsid w:val="004E6C1A"/>
    <w:rsid w:val="004E6DB3"/>
    <w:rsid w:val="004E7825"/>
    <w:rsid w:val="004E7972"/>
    <w:rsid w:val="004E79A8"/>
    <w:rsid w:val="004E7E16"/>
    <w:rsid w:val="004F211B"/>
    <w:rsid w:val="004F51BB"/>
    <w:rsid w:val="004F5E0B"/>
    <w:rsid w:val="004F67B5"/>
    <w:rsid w:val="004F73AC"/>
    <w:rsid w:val="0050064D"/>
    <w:rsid w:val="0050390F"/>
    <w:rsid w:val="00503E87"/>
    <w:rsid w:val="00503F55"/>
    <w:rsid w:val="00505A03"/>
    <w:rsid w:val="00506D8A"/>
    <w:rsid w:val="00507675"/>
    <w:rsid w:val="005077FB"/>
    <w:rsid w:val="0051157C"/>
    <w:rsid w:val="00512735"/>
    <w:rsid w:val="005128C4"/>
    <w:rsid w:val="0051481C"/>
    <w:rsid w:val="0051520B"/>
    <w:rsid w:val="0051612E"/>
    <w:rsid w:val="00516988"/>
    <w:rsid w:val="00517115"/>
    <w:rsid w:val="00521509"/>
    <w:rsid w:val="00521FBA"/>
    <w:rsid w:val="00523745"/>
    <w:rsid w:val="005240A3"/>
    <w:rsid w:val="00524B1D"/>
    <w:rsid w:val="00524ECD"/>
    <w:rsid w:val="00526B4A"/>
    <w:rsid w:val="00531246"/>
    <w:rsid w:val="0053147D"/>
    <w:rsid w:val="00532CDF"/>
    <w:rsid w:val="00532CE3"/>
    <w:rsid w:val="00533C10"/>
    <w:rsid w:val="005357FC"/>
    <w:rsid w:val="00536762"/>
    <w:rsid w:val="0054091A"/>
    <w:rsid w:val="00541AB4"/>
    <w:rsid w:val="00541C81"/>
    <w:rsid w:val="00542B79"/>
    <w:rsid w:val="0054305B"/>
    <w:rsid w:val="00543683"/>
    <w:rsid w:val="005438F7"/>
    <w:rsid w:val="00543CA9"/>
    <w:rsid w:val="00545607"/>
    <w:rsid w:val="005457D9"/>
    <w:rsid w:val="00545FE6"/>
    <w:rsid w:val="005475D8"/>
    <w:rsid w:val="00550B10"/>
    <w:rsid w:val="00551E97"/>
    <w:rsid w:val="005534F3"/>
    <w:rsid w:val="005550A6"/>
    <w:rsid w:val="00557E89"/>
    <w:rsid w:val="00557FDB"/>
    <w:rsid w:val="00561CC4"/>
    <w:rsid w:val="005625B5"/>
    <w:rsid w:val="00562DFF"/>
    <w:rsid w:val="00564DA4"/>
    <w:rsid w:val="00565ABF"/>
    <w:rsid w:val="005667D7"/>
    <w:rsid w:val="00567EDB"/>
    <w:rsid w:val="00570D3F"/>
    <w:rsid w:val="00572ECF"/>
    <w:rsid w:val="00573C56"/>
    <w:rsid w:val="005745EC"/>
    <w:rsid w:val="00574BF1"/>
    <w:rsid w:val="0057570B"/>
    <w:rsid w:val="00575F99"/>
    <w:rsid w:val="005770C3"/>
    <w:rsid w:val="00577EFE"/>
    <w:rsid w:val="005806A2"/>
    <w:rsid w:val="005815B0"/>
    <w:rsid w:val="00584799"/>
    <w:rsid w:val="00584F1E"/>
    <w:rsid w:val="00590894"/>
    <w:rsid w:val="00591EEF"/>
    <w:rsid w:val="0059242E"/>
    <w:rsid w:val="00592822"/>
    <w:rsid w:val="005941E9"/>
    <w:rsid w:val="005943FD"/>
    <w:rsid w:val="005947B0"/>
    <w:rsid w:val="00594C76"/>
    <w:rsid w:val="00595003"/>
    <w:rsid w:val="0059616F"/>
    <w:rsid w:val="00596EF0"/>
    <w:rsid w:val="00597ABC"/>
    <w:rsid w:val="005A027E"/>
    <w:rsid w:val="005A0E8B"/>
    <w:rsid w:val="005A1ECF"/>
    <w:rsid w:val="005A36F7"/>
    <w:rsid w:val="005A5D69"/>
    <w:rsid w:val="005B0F4E"/>
    <w:rsid w:val="005B167E"/>
    <w:rsid w:val="005B1CB5"/>
    <w:rsid w:val="005B28D9"/>
    <w:rsid w:val="005B2ABE"/>
    <w:rsid w:val="005B3D40"/>
    <w:rsid w:val="005B49A0"/>
    <w:rsid w:val="005B5287"/>
    <w:rsid w:val="005B60CC"/>
    <w:rsid w:val="005B6D94"/>
    <w:rsid w:val="005B7E71"/>
    <w:rsid w:val="005C00F8"/>
    <w:rsid w:val="005C13B8"/>
    <w:rsid w:val="005C3F3C"/>
    <w:rsid w:val="005C4728"/>
    <w:rsid w:val="005C4B24"/>
    <w:rsid w:val="005C4B61"/>
    <w:rsid w:val="005C4DF2"/>
    <w:rsid w:val="005D0BDF"/>
    <w:rsid w:val="005D1B38"/>
    <w:rsid w:val="005D6347"/>
    <w:rsid w:val="005D714C"/>
    <w:rsid w:val="005D7B5D"/>
    <w:rsid w:val="005E0463"/>
    <w:rsid w:val="005E0755"/>
    <w:rsid w:val="005E36CA"/>
    <w:rsid w:val="005E3996"/>
    <w:rsid w:val="005E437F"/>
    <w:rsid w:val="005E4ABE"/>
    <w:rsid w:val="005E66E4"/>
    <w:rsid w:val="005E6FED"/>
    <w:rsid w:val="005E7F8B"/>
    <w:rsid w:val="005F0293"/>
    <w:rsid w:val="005F0B8E"/>
    <w:rsid w:val="005F3307"/>
    <w:rsid w:val="005F3966"/>
    <w:rsid w:val="005F3CD2"/>
    <w:rsid w:val="005F5E19"/>
    <w:rsid w:val="005F6235"/>
    <w:rsid w:val="005F7451"/>
    <w:rsid w:val="00600067"/>
    <w:rsid w:val="00603575"/>
    <w:rsid w:val="00604054"/>
    <w:rsid w:val="00604452"/>
    <w:rsid w:val="006045B2"/>
    <w:rsid w:val="0060531A"/>
    <w:rsid w:val="006079F0"/>
    <w:rsid w:val="00607D37"/>
    <w:rsid w:val="006105B6"/>
    <w:rsid w:val="00610942"/>
    <w:rsid w:val="006138FF"/>
    <w:rsid w:val="00613DAA"/>
    <w:rsid w:val="00614CF4"/>
    <w:rsid w:val="00615A4C"/>
    <w:rsid w:val="00616EE2"/>
    <w:rsid w:val="00617826"/>
    <w:rsid w:val="006206BC"/>
    <w:rsid w:val="00620D90"/>
    <w:rsid w:val="00622A6A"/>
    <w:rsid w:val="006230B6"/>
    <w:rsid w:val="006232C7"/>
    <w:rsid w:val="00624E21"/>
    <w:rsid w:val="00625524"/>
    <w:rsid w:val="00625AAE"/>
    <w:rsid w:val="00625DE0"/>
    <w:rsid w:val="00625EE5"/>
    <w:rsid w:val="00626660"/>
    <w:rsid w:val="00626D1A"/>
    <w:rsid w:val="00627753"/>
    <w:rsid w:val="0063170B"/>
    <w:rsid w:val="00631FCF"/>
    <w:rsid w:val="00632692"/>
    <w:rsid w:val="00633609"/>
    <w:rsid w:val="00633FA9"/>
    <w:rsid w:val="00633FDB"/>
    <w:rsid w:val="006343CD"/>
    <w:rsid w:val="0063610A"/>
    <w:rsid w:val="006362DF"/>
    <w:rsid w:val="00636E54"/>
    <w:rsid w:val="0064025C"/>
    <w:rsid w:val="00641843"/>
    <w:rsid w:val="00641868"/>
    <w:rsid w:val="00641F4F"/>
    <w:rsid w:val="0064273D"/>
    <w:rsid w:val="006451F7"/>
    <w:rsid w:val="00645A0E"/>
    <w:rsid w:val="0064663F"/>
    <w:rsid w:val="006477A2"/>
    <w:rsid w:val="0064788E"/>
    <w:rsid w:val="00650230"/>
    <w:rsid w:val="0065122C"/>
    <w:rsid w:val="00651AA5"/>
    <w:rsid w:val="00652E26"/>
    <w:rsid w:val="0065516D"/>
    <w:rsid w:val="00655196"/>
    <w:rsid w:val="00657C3E"/>
    <w:rsid w:val="006600F3"/>
    <w:rsid w:val="0066014B"/>
    <w:rsid w:val="0066058F"/>
    <w:rsid w:val="00661575"/>
    <w:rsid w:val="006619AB"/>
    <w:rsid w:val="00661E91"/>
    <w:rsid w:val="0066229F"/>
    <w:rsid w:val="0066421A"/>
    <w:rsid w:val="00665EBB"/>
    <w:rsid w:val="0066623B"/>
    <w:rsid w:val="00666756"/>
    <w:rsid w:val="00670766"/>
    <w:rsid w:val="00670A8B"/>
    <w:rsid w:val="00670B31"/>
    <w:rsid w:val="00674539"/>
    <w:rsid w:val="00674EFA"/>
    <w:rsid w:val="006755AA"/>
    <w:rsid w:val="006755E9"/>
    <w:rsid w:val="00675A31"/>
    <w:rsid w:val="006767D2"/>
    <w:rsid w:val="00677BEE"/>
    <w:rsid w:val="00677C2C"/>
    <w:rsid w:val="0068084B"/>
    <w:rsid w:val="00681A3B"/>
    <w:rsid w:val="00681E3A"/>
    <w:rsid w:val="006822CE"/>
    <w:rsid w:val="00684C54"/>
    <w:rsid w:val="00685C34"/>
    <w:rsid w:val="00691DE2"/>
    <w:rsid w:val="0069213A"/>
    <w:rsid w:val="00692599"/>
    <w:rsid w:val="00693205"/>
    <w:rsid w:val="006937B7"/>
    <w:rsid w:val="00696272"/>
    <w:rsid w:val="0069743F"/>
    <w:rsid w:val="006A0293"/>
    <w:rsid w:val="006A057F"/>
    <w:rsid w:val="006A0A26"/>
    <w:rsid w:val="006A0AB2"/>
    <w:rsid w:val="006A1E5E"/>
    <w:rsid w:val="006A2C81"/>
    <w:rsid w:val="006A3795"/>
    <w:rsid w:val="006A3E81"/>
    <w:rsid w:val="006A45B5"/>
    <w:rsid w:val="006A53B6"/>
    <w:rsid w:val="006A6255"/>
    <w:rsid w:val="006B00E4"/>
    <w:rsid w:val="006B11D4"/>
    <w:rsid w:val="006B1CE1"/>
    <w:rsid w:val="006B3C15"/>
    <w:rsid w:val="006B4517"/>
    <w:rsid w:val="006B4AE0"/>
    <w:rsid w:val="006B5511"/>
    <w:rsid w:val="006B6297"/>
    <w:rsid w:val="006B7578"/>
    <w:rsid w:val="006B7CA8"/>
    <w:rsid w:val="006C05B7"/>
    <w:rsid w:val="006C454B"/>
    <w:rsid w:val="006C4862"/>
    <w:rsid w:val="006C487A"/>
    <w:rsid w:val="006C650A"/>
    <w:rsid w:val="006C654F"/>
    <w:rsid w:val="006D209E"/>
    <w:rsid w:val="006D32B7"/>
    <w:rsid w:val="006D33DF"/>
    <w:rsid w:val="006D3DF3"/>
    <w:rsid w:val="006D4D83"/>
    <w:rsid w:val="006D4F90"/>
    <w:rsid w:val="006E0BF4"/>
    <w:rsid w:val="006E35D0"/>
    <w:rsid w:val="006E405B"/>
    <w:rsid w:val="006E40BB"/>
    <w:rsid w:val="006E6805"/>
    <w:rsid w:val="006E6FA7"/>
    <w:rsid w:val="006E7EE2"/>
    <w:rsid w:val="006F0628"/>
    <w:rsid w:val="006F0A5F"/>
    <w:rsid w:val="006F0B17"/>
    <w:rsid w:val="006F0EA2"/>
    <w:rsid w:val="006F2101"/>
    <w:rsid w:val="006F3D17"/>
    <w:rsid w:val="006F4A29"/>
    <w:rsid w:val="006F4BEB"/>
    <w:rsid w:val="006F4CCE"/>
    <w:rsid w:val="006F554B"/>
    <w:rsid w:val="006F5C52"/>
    <w:rsid w:val="006F6043"/>
    <w:rsid w:val="0070065F"/>
    <w:rsid w:val="00701359"/>
    <w:rsid w:val="00701D06"/>
    <w:rsid w:val="00701E80"/>
    <w:rsid w:val="007025A8"/>
    <w:rsid w:val="007033B4"/>
    <w:rsid w:val="007046C0"/>
    <w:rsid w:val="00704FFE"/>
    <w:rsid w:val="0070513B"/>
    <w:rsid w:val="007051FA"/>
    <w:rsid w:val="007058AE"/>
    <w:rsid w:val="00706D2B"/>
    <w:rsid w:val="00707082"/>
    <w:rsid w:val="00707138"/>
    <w:rsid w:val="00710A9D"/>
    <w:rsid w:val="007127C9"/>
    <w:rsid w:val="00712927"/>
    <w:rsid w:val="00713D95"/>
    <w:rsid w:val="00716DF4"/>
    <w:rsid w:val="007174D8"/>
    <w:rsid w:val="007204F4"/>
    <w:rsid w:val="007209E2"/>
    <w:rsid w:val="00721123"/>
    <w:rsid w:val="00721F59"/>
    <w:rsid w:val="0072242A"/>
    <w:rsid w:val="007241D4"/>
    <w:rsid w:val="0072469B"/>
    <w:rsid w:val="00724CDD"/>
    <w:rsid w:val="007251A4"/>
    <w:rsid w:val="00726BF4"/>
    <w:rsid w:val="00726D25"/>
    <w:rsid w:val="00727D83"/>
    <w:rsid w:val="0073035C"/>
    <w:rsid w:val="00730C41"/>
    <w:rsid w:val="0073377D"/>
    <w:rsid w:val="00733B08"/>
    <w:rsid w:val="00733C5F"/>
    <w:rsid w:val="00733C7A"/>
    <w:rsid w:val="00733CCE"/>
    <w:rsid w:val="00734543"/>
    <w:rsid w:val="00734616"/>
    <w:rsid w:val="007377E9"/>
    <w:rsid w:val="00737D88"/>
    <w:rsid w:val="007402C1"/>
    <w:rsid w:val="00740445"/>
    <w:rsid w:val="007432F1"/>
    <w:rsid w:val="00743DD2"/>
    <w:rsid w:val="00743EA5"/>
    <w:rsid w:val="0074486F"/>
    <w:rsid w:val="00744AF0"/>
    <w:rsid w:val="00745853"/>
    <w:rsid w:val="00747848"/>
    <w:rsid w:val="0074792E"/>
    <w:rsid w:val="00747F5C"/>
    <w:rsid w:val="00750113"/>
    <w:rsid w:val="00750A2D"/>
    <w:rsid w:val="0075253D"/>
    <w:rsid w:val="0075265D"/>
    <w:rsid w:val="007527C8"/>
    <w:rsid w:val="0075374D"/>
    <w:rsid w:val="007544FE"/>
    <w:rsid w:val="00754E7E"/>
    <w:rsid w:val="007557ED"/>
    <w:rsid w:val="00756A18"/>
    <w:rsid w:val="0076206D"/>
    <w:rsid w:val="007627CB"/>
    <w:rsid w:val="0076356D"/>
    <w:rsid w:val="00763A2E"/>
    <w:rsid w:val="00763C8C"/>
    <w:rsid w:val="00764374"/>
    <w:rsid w:val="00765BEC"/>
    <w:rsid w:val="0076737E"/>
    <w:rsid w:val="007674CF"/>
    <w:rsid w:val="00767960"/>
    <w:rsid w:val="00770C80"/>
    <w:rsid w:val="0077520D"/>
    <w:rsid w:val="00775A53"/>
    <w:rsid w:val="0077660E"/>
    <w:rsid w:val="00776AA9"/>
    <w:rsid w:val="00776C9A"/>
    <w:rsid w:val="00776CDB"/>
    <w:rsid w:val="00777884"/>
    <w:rsid w:val="00777F0F"/>
    <w:rsid w:val="00781239"/>
    <w:rsid w:val="00781BFC"/>
    <w:rsid w:val="0078229D"/>
    <w:rsid w:val="00782C12"/>
    <w:rsid w:val="00782F18"/>
    <w:rsid w:val="007830BC"/>
    <w:rsid w:val="0078314E"/>
    <w:rsid w:val="0078321E"/>
    <w:rsid w:val="00783C6E"/>
    <w:rsid w:val="00784391"/>
    <w:rsid w:val="00784A1B"/>
    <w:rsid w:val="007855F6"/>
    <w:rsid w:val="007861FE"/>
    <w:rsid w:val="00786241"/>
    <w:rsid w:val="00786283"/>
    <w:rsid w:val="00786509"/>
    <w:rsid w:val="00786DDF"/>
    <w:rsid w:val="00786E4E"/>
    <w:rsid w:val="00787921"/>
    <w:rsid w:val="0079128B"/>
    <w:rsid w:val="00791423"/>
    <w:rsid w:val="00792009"/>
    <w:rsid w:val="0079289D"/>
    <w:rsid w:val="00795144"/>
    <w:rsid w:val="00795258"/>
    <w:rsid w:val="007952D4"/>
    <w:rsid w:val="0079568D"/>
    <w:rsid w:val="00795C46"/>
    <w:rsid w:val="007965AF"/>
    <w:rsid w:val="007971E1"/>
    <w:rsid w:val="00797604"/>
    <w:rsid w:val="007A0232"/>
    <w:rsid w:val="007A052C"/>
    <w:rsid w:val="007A05DE"/>
    <w:rsid w:val="007A0886"/>
    <w:rsid w:val="007A09FD"/>
    <w:rsid w:val="007A3294"/>
    <w:rsid w:val="007A352F"/>
    <w:rsid w:val="007A3F43"/>
    <w:rsid w:val="007A597F"/>
    <w:rsid w:val="007A76F3"/>
    <w:rsid w:val="007B0159"/>
    <w:rsid w:val="007B039F"/>
    <w:rsid w:val="007B0734"/>
    <w:rsid w:val="007B0E03"/>
    <w:rsid w:val="007B1969"/>
    <w:rsid w:val="007B1BF0"/>
    <w:rsid w:val="007B1D5E"/>
    <w:rsid w:val="007B2197"/>
    <w:rsid w:val="007B289F"/>
    <w:rsid w:val="007B3B9C"/>
    <w:rsid w:val="007B4BC5"/>
    <w:rsid w:val="007B5B75"/>
    <w:rsid w:val="007B7204"/>
    <w:rsid w:val="007B74A6"/>
    <w:rsid w:val="007B79E0"/>
    <w:rsid w:val="007C1105"/>
    <w:rsid w:val="007C1129"/>
    <w:rsid w:val="007C26AF"/>
    <w:rsid w:val="007C3111"/>
    <w:rsid w:val="007C42D9"/>
    <w:rsid w:val="007C4B43"/>
    <w:rsid w:val="007C5089"/>
    <w:rsid w:val="007C510F"/>
    <w:rsid w:val="007C56D8"/>
    <w:rsid w:val="007C5C4D"/>
    <w:rsid w:val="007C5DE7"/>
    <w:rsid w:val="007C7500"/>
    <w:rsid w:val="007D0067"/>
    <w:rsid w:val="007D1B45"/>
    <w:rsid w:val="007D1E34"/>
    <w:rsid w:val="007D3BC8"/>
    <w:rsid w:val="007D3C46"/>
    <w:rsid w:val="007D427F"/>
    <w:rsid w:val="007D4A44"/>
    <w:rsid w:val="007D4DA0"/>
    <w:rsid w:val="007D5168"/>
    <w:rsid w:val="007D57DA"/>
    <w:rsid w:val="007D738D"/>
    <w:rsid w:val="007E0947"/>
    <w:rsid w:val="007E11BB"/>
    <w:rsid w:val="007E1505"/>
    <w:rsid w:val="007E453E"/>
    <w:rsid w:val="007E456F"/>
    <w:rsid w:val="007E4ED4"/>
    <w:rsid w:val="007E5C3D"/>
    <w:rsid w:val="007E61F5"/>
    <w:rsid w:val="007E6925"/>
    <w:rsid w:val="007E6A1C"/>
    <w:rsid w:val="007E6D56"/>
    <w:rsid w:val="007F4001"/>
    <w:rsid w:val="007F50F9"/>
    <w:rsid w:val="007F55EB"/>
    <w:rsid w:val="007F607E"/>
    <w:rsid w:val="007F6278"/>
    <w:rsid w:val="007F632E"/>
    <w:rsid w:val="007F66B1"/>
    <w:rsid w:val="0080049B"/>
    <w:rsid w:val="0080077D"/>
    <w:rsid w:val="00802097"/>
    <w:rsid w:val="00802474"/>
    <w:rsid w:val="008029D3"/>
    <w:rsid w:val="00802A04"/>
    <w:rsid w:val="008035BE"/>
    <w:rsid w:val="00804A0A"/>
    <w:rsid w:val="00805277"/>
    <w:rsid w:val="008066A0"/>
    <w:rsid w:val="008072A7"/>
    <w:rsid w:val="008076A8"/>
    <w:rsid w:val="00807D40"/>
    <w:rsid w:val="00810666"/>
    <w:rsid w:val="0081105B"/>
    <w:rsid w:val="008116C7"/>
    <w:rsid w:val="00811A1E"/>
    <w:rsid w:val="00811AD2"/>
    <w:rsid w:val="00812E85"/>
    <w:rsid w:val="008133B5"/>
    <w:rsid w:val="0081419E"/>
    <w:rsid w:val="00814683"/>
    <w:rsid w:val="00814729"/>
    <w:rsid w:val="00814990"/>
    <w:rsid w:val="008154C6"/>
    <w:rsid w:val="008158D8"/>
    <w:rsid w:val="00816718"/>
    <w:rsid w:val="00816CD2"/>
    <w:rsid w:val="0081709B"/>
    <w:rsid w:val="00820762"/>
    <w:rsid w:val="0082329A"/>
    <w:rsid w:val="0082445B"/>
    <w:rsid w:val="00824A62"/>
    <w:rsid w:val="00824D61"/>
    <w:rsid w:val="008277B7"/>
    <w:rsid w:val="00827A68"/>
    <w:rsid w:val="00830234"/>
    <w:rsid w:val="0083071E"/>
    <w:rsid w:val="008329D7"/>
    <w:rsid w:val="00832C08"/>
    <w:rsid w:val="00833C41"/>
    <w:rsid w:val="00833D43"/>
    <w:rsid w:val="0083417B"/>
    <w:rsid w:val="00835708"/>
    <w:rsid w:val="00836ABE"/>
    <w:rsid w:val="0083719E"/>
    <w:rsid w:val="008376E7"/>
    <w:rsid w:val="00840033"/>
    <w:rsid w:val="00840574"/>
    <w:rsid w:val="0084221F"/>
    <w:rsid w:val="0084685F"/>
    <w:rsid w:val="00847CE8"/>
    <w:rsid w:val="0085027E"/>
    <w:rsid w:val="008502E9"/>
    <w:rsid w:val="008503B9"/>
    <w:rsid w:val="00850539"/>
    <w:rsid w:val="00850D89"/>
    <w:rsid w:val="00851654"/>
    <w:rsid w:val="0085254F"/>
    <w:rsid w:val="008528A6"/>
    <w:rsid w:val="0085302C"/>
    <w:rsid w:val="00853D24"/>
    <w:rsid w:val="008572A8"/>
    <w:rsid w:val="008644E5"/>
    <w:rsid w:val="00864781"/>
    <w:rsid w:val="00870079"/>
    <w:rsid w:val="00870222"/>
    <w:rsid w:val="00872358"/>
    <w:rsid w:val="00874416"/>
    <w:rsid w:val="008744AD"/>
    <w:rsid w:val="008765CA"/>
    <w:rsid w:val="008766E2"/>
    <w:rsid w:val="00876E42"/>
    <w:rsid w:val="008778C6"/>
    <w:rsid w:val="008814AF"/>
    <w:rsid w:val="0088232B"/>
    <w:rsid w:val="008841D8"/>
    <w:rsid w:val="00886353"/>
    <w:rsid w:val="00886CE2"/>
    <w:rsid w:val="00886EB4"/>
    <w:rsid w:val="00887A75"/>
    <w:rsid w:val="00890E59"/>
    <w:rsid w:val="008911CF"/>
    <w:rsid w:val="008918AF"/>
    <w:rsid w:val="008924BF"/>
    <w:rsid w:val="00893444"/>
    <w:rsid w:val="008952F3"/>
    <w:rsid w:val="0089597B"/>
    <w:rsid w:val="008A088C"/>
    <w:rsid w:val="008A15BD"/>
    <w:rsid w:val="008A2694"/>
    <w:rsid w:val="008A299F"/>
    <w:rsid w:val="008A3AD5"/>
    <w:rsid w:val="008A5B23"/>
    <w:rsid w:val="008A5C30"/>
    <w:rsid w:val="008A5DC3"/>
    <w:rsid w:val="008A65B7"/>
    <w:rsid w:val="008A75F3"/>
    <w:rsid w:val="008B086E"/>
    <w:rsid w:val="008B1890"/>
    <w:rsid w:val="008B3B43"/>
    <w:rsid w:val="008B477A"/>
    <w:rsid w:val="008B4BBD"/>
    <w:rsid w:val="008B51FA"/>
    <w:rsid w:val="008B545B"/>
    <w:rsid w:val="008B697B"/>
    <w:rsid w:val="008C06A5"/>
    <w:rsid w:val="008C0B5E"/>
    <w:rsid w:val="008C1BC5"/>
    <w:rsid w:val="008C1C91"/>
    <w:rsid w:val="008C2301"/>
    <w:rsid w:val="008C316E"/>
    <w:rsid w:val="008C34DC"/>
    <w:rsid w:val="008C3AFA"/>
    <w:rsid w:val="008C4F01"/>
    <w:rsid w:val="008C556E"/>
    <w:rsid w:val="008C6448"/>
    <w:rsid w:val="008C6B82"/>
    <w:rsid w:val="008C7544"/>
    <w:rsid w:val="008C7A00"/>
    <w:rsid w:val="008D0AE1"/>
    <w:rsid w:val="008D0B14"/>
    <w:rsid w:val="008D1D4E"/>
    <w:rsid w:val="008D1E66"/>
    <w:rsid w:val="008D1EB7"/>
    <w:rsid w:val="008D2B15"/>
    <w:rsid w:val="008D3C8E"/>
    <w:rsid w:val="008D534C"/>
    <w:rsid w:val="008D74FC"/>
    <w:rsid w:val="008E048F"/>
    <w:rsid w:val="008E1707"/>
    <w:rsid w:val="008E2944"/>
    <w:rsid w:val="008E3764"/>
    <w:rsid w:val="008E3942"/>
    <w:rsid w:val="008E4277"/>
    <w:rsid w:val="008E4B7F"/>
    <w:rsid w:val="008E5EEE"/>
    <w:rsid w:val="008E657E"/>
    <w:rsid w:val="008E6E48"/>
    <w:rsid w:val="008F0A02"/>
    <w:rsid w:val="008F0BE9"/>
    <w:rsid w:val="008F2A63"/>
    <w:rsid w:val="008F3E6F"/>
    <w:rsid w:val="008F43BA"/>
    <w:rsid w:val="008F6143"/>
    <w:rsid w:val="008F656E"/>
    <w:rsid w:val="008F7A1E"/>
    <w:rsid w:val="00901D19"/>
    <w:rsid w:val="00902603"/>
    <w:rsid w:val="00904537"/>
    <w:rsid w:val="009052B7"/>
    <w:rsid w:val="009055FF"/>
    <w:rsid w:val="009102FB"/>
    <w:rsid w:val="0091040D"/>
    <w:rsid w:val="00912429"/>
    <w:rsid w:val="00913A2A"/>
    <w:rsid w:val="0091407D"/>
    <w:rsid w:val="00915511"/>
    <w:rsid w:val="00915609"/>
    <w:rsid w:val="00915A9B"/>
    <w:rsid w:val="00916622"/>
    <w:rsid w:val="00917389"/>
    <w:rsid w:val="00917BEC"/>
    <w:rsid w:val="009207B4"/>
    <w:rsid w:val="00920915"/>
    <w:rsid w:val="009209ED"/>
    <w:rsid w:val="009210BC"/>
    <w:rsid w:val="0092150B"/>
    <w:rsid w:val="00922CCA"/>
    <w:rsid w:val="009233E1"/>
    <w:rsid w:val="009236CC"/>
    <w:rsid w:val="00923C18"/>
    <w:rsid w:val="00924144"/>
    <w:rsid w:val="0092466A"/>
    <w:rsid w:val="00924A4F"/>
    <w:rsid w:val="00924ECB"/>
    <w:rsid w:val="009256DA"/>
    <w:rsid w:val="0092634F"/>
    <w:rsid w:val="0092638C"/>
    <w:rsid w:val="0092645B"/>
    <w:rsid w:val="009312B8"/>
    <w:rsid w:val="00931420"/>
    <w:rsid w:val="00932079"/>
    <w:rsid w:val="009325EE"/>
    <w:rsid w:val="00933D93"/>
    <w:rsid w:val="00933EF0"/>
    <w:rsid w:val="009343B2"/>
    <w:rsid w:val="00941245"/>
    <w:rsid w:val="009424BC"/>
    <w:rsid w:val="009444C1"/>
    <w:rsid w:val="00945FC8"/>
    <w:rsid w:val="00947243"/>
    <w:rsid w:val="0094775F"/>
    <w:rsid w:val="00951EAC"/>
    <w:rsid w:val="00952A36"/>
    <w:rsid w:val="009534A9"/>
    <w:rsid w:val="00953B48"/>
    <w:rsid w:val="00953D4A"/>
    <w:rsid w:val="00954363"/>
    <w:rsid w:val="009560C6"/>
    <w:rsid w:val="009575FB"/>
    <w:rsid w:val="00957E6E"/>
    <w:rsid w:val="00960A51"/>
    <w:rsid w:val="00960EF9"/>
    <w:rsid w:val="00961E69"/>
    <w:rsid w:val="009633D1"/>
    <w:rsid w:val="009634F3"/>
    <w:rsid w:val="00963D97"/>
    <w:rsid w:val="00965841"/>
    <w:rsid w:val="0096616C"/>
    <w:rsid w:val="0096625D"/>
    <w:rsid w:val="009674D4"/>
    <w:rsid w:val="009678E8"/>
    <w:rsid w:val="00967CCC"/>
    <w:rsid w:val="00971B84"/>
    <w:rsid w:val="0097203F"/>
    <w:rsid w:val="009724DF"/>
    <w:rsid w:val="009735C6"/>
    <w:rsid w:val="00973DF4"/>
    <w:rsid w:val="009770F2"/>
    <w:rsid w:val="0097724B"/>
    <w:rsid w:val="00980BB1"/>
    <w:rsid w:val="00980C6F"/>
    <w:rsid w:val="00980D56"/>
    <w:rsid w:val="0098139D"/>
    <w:rsid w:val="00981726"/>
    <w:rsid w:val="00983CBA"/>
    <w:rsid w:val="009843C5"/>
    <w:rsid w:val="00984847"/>
    <w:rsid w:val="009851EE"/>
    <w:rsid w:val="00985384"/>
    <w:rsid w:val="009854A7"/>
    <w:rsid w:val="00985659"/>
    <w:rsid w:val="00985A53"/>
    <w:rsid w:val="009862C2"/>
    <w:rsid w:val="009865F2"/>
    <w:rsid w:val="00986603"/>
    <w:rsid w:val="0098683E"/>
    <w:rsid w:val="00987EC6"/>
    <w:rsid w:val="0099092D"/>
    <w:rsid w:val="0099209E"/>
    <w:rsid w:val="00993F44"/>
    <w:rsid w:val="009942C2"/>
    <w:rsid w:val="009943D2"/>
    <w:rsid w:val="00994CAB"/>
    <w:rsid w:val="00995960"/>
    <w:rsid w:val="009965CB"/>
    <w:rsid w:val="009A01F4"/>
    <w:rsid w:val="009A0FEC"/>
    <w:rsid w:val="009A1E2F"/>
    <w:rsid w:val="009A2A37"/>
    <w:rsid w:val="009A3AAC"/>
    <w:rsid w:val="009A45BE"/>
    <w:rsid w:val="009A4C4F"/>
    <w:rsid w:val="009A4E54"/>
    <w:rsid w:val="009A51CE"/>
    <w:rsid w:val="009A5CB7"/>
    <w:rsid w:val="009B0220"/>
    <w:rsid w:val="009B042E"/>
    <w:rsid w:val="009B138A"/>
    <w:rsid w:val="009B15D5"/>
    <w:rsid w:val="009B1673"/>
    <w:rsid w:val="009B16C5"/>
    <w:rsid w:val="009B2882"/>
    <w:rsid w:val="009B3152"/>
    <w:rsid w:val="009B3FCC"/>
    <w:rsid w:val="009B4048"/>
    <w:rsid w:val="009B473C"/>
    <w:rsid w:val="009B6223"/>
    <w:rsid w:val="009B66FA"/>
    <w:rsid w:val="009B72FB"/>
    <w:rsid w:val="009B7F35"/>
    <w:rsid w:val="009C2DE2"/>
    <w:rsid w:val="009C39F7"/>
    <w:rsid w:val="009C3CFF"/>
    <w:rsid w:val="009C605A"/>
    <w:rsid w:val="009C7008"/>
    <w:rsid w:val="009D1161"/>
    <w:rsid w:val="009D2B94"/>
    <w:rsid w:val="009D3E83"/>
    <w:rsid w:val="009D44C9"/>
    <w:rsid w:val="009D5630"/>
    <w:rsid w:val="009D65B6"/>
    <w:rsid w:val="009E0177"/>
    <w:rsid w:val="009E0C27"/>
    <w:rsid w:val="009E1DF3"/>
    <w:rsid w:val="009E1FED"/>
    <w:rsid w:val="009E28F3"/>
    <w:rsid w:val="009E3533"/>
    <w:rsid w:val="009E40A1"/>
    <w:rsid w:val="009E4A65"/>
    <w:rsid w:val="009E4C76"/>
    <w:rsid w:val="009E5F87"/>
    <w:rsid w:val="009E6941"/>
    <w:rsid w:val="009E75B7"/>
    <w:rsid w:val="009F0D0B"/>
    <w:rsid w:val="009F0D28"/>
    <w:rsid w:val="009F118B"/>
    <w:rsid w:val="009F25C2"/>
    <w:rsid w:val="009F25C3"/>
    <w:rsid w:val="009F2D79"/>
    <w:rsid w:val="009F2F4B"/>
    <w:rsid w:val="009F3898"/>
    <w:rsid w:val="009F432F"/>
    <w:rsid w:val="009F4529"/>
    <w:rsid w:val="009F490D"/>
    <w:rsid w:val="009F4986"/>
    <w:rsid w:val="009F4C63"/>
    <w:rsid w:val="009F7B3A"/>
    <w:rsid w:val="00A00366"/>
    <w:rsid w:val="00A004EC"/>
    <w:rsid w:val="00A00E12"/>
    <w:rsid w:val="00A0197D"/>
    <w:rsid w:val="00A01A20"/>
    <w:rsid w:val="00A01BA5"/>
    <w:rsid w:val="00A03AA5"/>
    <w:rsid w:val="00A03D59"/>
    <w:rsid w:val="00A03F31"/>
    <w:rsid w:val="00A0445A"/>
    <w:rsid w:val="00A04655"/>
    <w:rsid w:val="00A05F90"/>
    <w:rsid w:val="00A061A1"/>
    <w:rsid w:val="00A06292"/>
    <w:rsid w:val="00A06C2B"/>
    <w:rsid w:val="00A06D2E"/>
    <w:rsid w:val="00A073CB"/>
    <w:rsid w:val="00A0743B"/>
    <w:rsid w:val="00A124D9"/>
    <w:rsid w:val="00A12F52"/>
    <w:rsid w:val="00A142D3"/>
    <w:rsid w:val="00A14836"/>
    <w:rsid w:val="00A164E0"/>
    <w:rsid w:val="00A16E6F"/>
    <w:rsid w:val="00A2007D"/>
    <w:rsid w:val="00A20CFC"/>
    <w:rsid w:val="00A213E0"/>
    <w:rsid w:val="00A21CC1"/>
    <w:rsid w:val="00A21D5F"/>
    <w:rsid w:val="00A233D7"/>
    <w:rsid w:val="00A233DF"/>
    <w:rsid w:val="00A23AE3"/>
    <w:rsid w:val="00A23C04"/>
    <w:rsid w:val="00A242C1"/>
    <w:rsid w:val="00A24FD4"/>
    <w:rsid w:val="00A250E5"/>
    <w:rsid w:val="00A2745C"/>
    <w:rsid w:val="00A27EA0"/>
    <w:rsid w:val="00A304F8"/>
    <w:rsid w:val="00A323E4"/>
    <w:rsid w:val="00A324DF"/>
    <w:rsid w:val="00A326B3"/>
    <w:rsid w:val="00A32D8D"/>
    <w:rsid w:val="00A34248"/>
    <w:rsid w:val="00A35142"/>
    <w:rsid w:val="00A351E7"/>
    <w:rsid w:val="00A3524C"/>
    <w:rsid w:val="00A35438"/>
    <w:rsid w:val="00A3598C"/>
    <w:rsid w:val="00A36E1B"/>
    <w:rsid w:val="00A36FAA"/>
    <w:rsid w:val="00A37EC9"/>
    <w:rsid w:val="00A413F3"/>
    <w:rsid w:val="00A42520"/>
    <w:rsid w:val="00A437E6"/>
    <w:rsid w:val="00A43AAD"/>
    <w:rsid w:val="00A43D36"/>
    <w:rsid w:val="00A44A97"/>
    <w:rsid w:val="00A44BB5"/>
    <w:rsid w:val="00A453EB"/>
    <w:rsid w:val="00A4553A"/>
    <w:rsid w:val="00A45DE1"/>
    <w:rsid w:val="00A45EB7"/>
    <w:rsid w:val="00A45F8B"/>
    <w:rsid w:val="00A50511"/>
    <w:rsid w:val="00A51949"/>
    <w:rsid w:val="00A519E7"/>
    <w:rsid w:val="00A51A00"/>
    <w:rsid w:val="00A52624"/>
    <w:rsid w:val="00A52BB4"/>
    <w:rsid w:val="00A53A1C"/>
    <w:rsid w:val="00A53F31"/>
    <w:rsid w:val="00A543A4"/>
    <w:rsid w:val="00A57633"/>
    <w:rsid w:val="00A57D43"/>
    <w:rsid w:val="00A604AF"/>
    <w:rsid w:val="00A61CAD"/>
    <w:rsid w:val="00A620D5"/>
    <w:rsid w:val="00A6251C"/>
    <w:rsid w:val="00A6251D"/>
    <w:rsid w:val="00A62DF4"/>
    <w:rsid w:val="00A633FD"/>
    <w:rsid w:val="00A64578"/>
    <w:rsid w:val="00A663A6"/>
    <w:rsid w:val="00A67602"/>
    <w:rsid w:val="00A705FA"/>
    <w:rsid w:val="00A71385"/>
    <w:rsid w:val="00A728E1"/>
    <w:rsid w:val="00A73477"/>
    <w:rsid w:val="00A74C7D"/>
    <w:rsid w:val="00A74E8E"/>
    <w:rsid w:val="00A7515D"/>
    <w:rsid w:val="00A77259"/>
    <w:rsid w:val="00A775C0"/>
    <w:rsid w:val="00A77A1C"/>
    <w:rsid w:val="00A811C1"/>
    <w:rsid w:val="00A8261A"/>
    <w:rsid w:val="00A837F6"/>
    <w:rsid w:val="00A838F9"/>
    <w:rsid w:val="00A83A15"/>
    <w:rsid w:val="00A83D20"/>
    <w:rsid w:val="00A851B0"/>
    <w:rsid w:val="00A85DB0"/>
    <w:rsid w:val="00A8674D"/>
    <w:rsid w:val="00A901CD"/>
    <w:rsid w:val="00A90F40"/>
    <w:rsid w:val="00A9100E"/>
    <w:rsid w:val="00A91A3D"/>
    <w:rsid w:val="00A92617"/>
    <w:rsid w:val="00A929CF"/>
    <w:rsid w:val="00A92D85"/>
    <w:rsid w:val="00A93B39"/>
    <w:rsid w:val="00A93EA0"/>
    <w:rsid w:val="00A948FB"/>
    <w:rsid w:val="00A94BE4"/>
    <w:rsid w:val="00A95822"/>
    <w:rsid w:val="00A959EC"/>
    <w:rsid w:val="00A95CA1"/>
    <w:rsid w:val="00A966B0"/>
    <w:rsid w:val="00A96D3E"/>
    <w:rsid w:val="00A96EFB"/>
    <w:rsid w:val="00A9773A"/>
    <w:rsid w:val="00A9774F"/>
    <w:rsid w:val="00A97993"/>
    <w:rsid w:val="00AA0090"/>
    <w:rsid w:val="00AA020A"/>
    <w:rsid w:val="00AA02A4"/>
    <w:rsid w:val="00AA224B"/>
    <w:rsid w:val="00AA3966"/>
    <w:rsid w:val="00AA518D"/>
    <w:rsid w:val="00AA533D"/>
    <w:rsid w:val="00AA547C"/>
    <w:rsid w:val="00AA5DA2"/>
    <w:rsid w:val="00AA684E"/>
    <w:rsid w:val="00AA7696"/>
    <w:rsid w:val="00AA7E51"/>
    <w:rsid w:val="00AB1006"/>
    <w:rsid w:val="00AB2947"/>
    <w:rsid w:val="00AB3252"/>
    <w:rsid w:val="00AB48A8"/>
    <w:rsid w:val="00AB5544"/>
    <w:rsid w:val="00AB675D"/>
    <w:rsid w:val="00AB7999"/>
    <w:rsid w:val="00AB7EB6"/>
    <w:rsid w:val="00AC0106"/>
    <w:rsid w:val="00AC17E1"/>
    <w:rsid w:val="00AC2543"/>
    <w:rsid w:val="00AC2FB1"/>
    <w:rsid w:val="00AC4D14"/>
    <w:rsid w:val="00AC511A"/>
    <w:rsid w:val="00AC57D2"/>
    <w:rsid w:val="00AC5BCA"/>
    <w:rsid w:val="00AC7758"/>
    <w:rsid w:val="00AC7D9E"/>
    <w:rsid w:val="00AC7F61"/>
    <w:rsid w:val="00AD00A2"/>
    <w:rsid w:val="00AD08E4"/>
    <w:rsid w:val="00AD1987"/>
    <w:rsid w:val="00AD263C"/>
    <w:rsid w:val="00AD42EB"/>
    <w:rsid w:val="00AD4C74"/>
    <w:rsid w:val="00AD5B1C"/>
    <w:rsid w:val="00AD5D6B"/>
    <w:rsid w:val="00AD66D6"/>
    <w:rsid w:val="00AD66DE"/>
    <w:rsid w:val="00AD6C28"/>
    <w:rsid w:val="00AD6DD6"/>
    <w:rsid w:val="00AD7015"/>
    <w:rsid w:val="00AD75DB"/>
    <w:rsid w:val="00AE00C8"/>
    <w:rsid w:val="00AE0FA7"/>
    <w:rsid w:val="00AE17C9"/>
    <w:rsid w:val="00AE2674"/>
    <w:rsid w:val="00AE293B"/>
    <w:rsid w:val="00AE3427"/>
    <w:rsid w:val="00AE5283"/>
    <w:rsid w:val="00AE6715"/>
    <w:rsid w:val="00AE69C7"/>
    <w:rsid w:val="00AE6B4B"/>
    <w:rsid w:val="00AF2359"/>
    <w:rsid w:val="00AF2B38"/>
    <w:rsid w:val="00AF2B95"/>
    <w:rsid w:val="00AF3FFF"/>
    <w:rsid w:val="00AF45F4"/>
    <w:rsid w:val="00AF4A20"/>
    <w:rsid w:val="00AF542D"/>
    <w:rsid w:val="00AF76C4"/>
    <w:rsid w:val="00B01060"/>
    <w:rsid w:val="00B02AE3"/>
    <w:rsid w:val="00B04F16"/>
    <w:rsid w:val="00B053AC"/>
    <w:rsid w:val="00B0699C"/>
    <w:rsid w:val="00B06C7E"/>
    <w:rsid w:val="00B0727A"/>
    <w:rsid w:val="00B100D9"/>
    <w:rsid w:val="00B1026C"/>
    <w:rsid w:val="00B111A4"/>
    <w:rsid w:val="00B12FBE"/>
    <w:rsid w:val="00B130F7"/>
    <w:rsid w:val="00B13E9A"/>
    <w:rsid w:val="00B14605"/>
    <w:rsid w:val="00B15AE3"/>
    <w:rsid w:val="00B15E00"/>
    <w:rsid w:val="00B16C2B"/>
    <w:rsid w:val="00B16D57"/>
    <w:rsid w:val="00B17CF0"/>
    <w:rsid w:val="00B17EBD"/>
    <w:rsid w:val="00B17FEB"/>
    <w:rsid w:val="00B21440"/>
    <w:rsid w:val="00B22CC8"/>
    <w:rsid w:val="00B24380"/>
    <w:rsid w:val="00B30489"/>
    <w:rsid w:val="00B3188E"/>
    <w:rsid w:val="00B32DBB"/>
    <w:rsid w:val="00B333A9"/>
    <w:rsid w:val="00B336F3"/>
    <w:rsid w:val="00B33CD7"/>
    <w:rsid w:val="00B34130"/>
    <w:rsid w:val="00B343C4"/>
    <w:rsid w:val="00B34492"/>
    <w:rsid w:val="00B35878"/>
    <w:rsid w:val="00B36616"/>
    <w:rsid w:val="00B41666"/>
    <w:rsid w:val="00B4213E"/>
    <w:rsid w:val="00B44895"/>
    <w:rsid w:val="00B454D0"/>
    <w:rsid w:val="00B46250"/>
    <w:rsid w:val="00B471C5"/>
    <w:rsid w:val="00B47BDB"/>
    <w:rsid w:val="00B503BC"/>
    <w:rsid w:val="00B50A48"/>
    <w:rsid w:val="00B50E95"/>
    <w:rsid w:val="00B5114C"/>
    <w:rsid w:val="00B5257D"/>
    <w:rsid w:val="00B53221"/>
    <w:rsid w:val="00B54AF2"/>
    <w:rsid w:val="00B55186"/>
    <w:rsid w:val="00B55363"/>
    <w:rsid w:val="00B56337"/>
    <w:rsid w:val="00B56D85"/>
    <w:rsid w:val="00B608FD"/>
    <w:rsid w:val="00B613C7"/>
    <w:rsid w:val="00B61DC3"/>
    <w:rsid w:val="00B639CA"/>
    <w:rsid w:val="00B643FE"/>
    <w:rsid w:val="00B647F3"/>
    <w:rsid w:val="00B6555F"/>
    <w:rsid w:val="00B65792"/>
    <w:rsid w:val="00B66960"/>
    <w:rsid w:val="00B66BB1"/>
    <w:rsid w:val="00B67169"/>
    <w:rsid w:val="00B71455"/>
    <w:rsid w:val="00B71EFA"/>
    <w:rsid w:val="00B724CA"/>
    <w:rsid w:val="00B72B19"/>
    <w:rsid w:val="00B733BD"/>
    <w:rsid w:val="00B7639C"/>
    <w:rsid w:val="00B801D1"/>
    <w:rsid w:val="00B81401"/>
    <w:rsid w:val="00B81C74"/>
    <w:rsid w:val="00B8333B"/>
    <w:rsid w:val="00B84EB0"/>
    <w:rsid w:val="00B86537"/>
    <w:rsid w:val="00B869CB"/>
    <w:rsid w:val="00B908AB"/>
    <w:rsid w:val="00B90F5B"/>
    <w:rsid w:val="00B91BCD"/>
    <w:rsid w:val="00B92315"/>
    <w:rsid w:val="00B934C3"/>
    <w:rsid w:val="00B936C5"/>
    <w:rsid w:val="00B94F1D"/>
    <w:rsid w:val="00B95691"/>
    <w:rsid w:val="00B95CDB"/>
    <w:rsid w:val="00B9686D"/>
    <w:rsid w:val="00B96C94"/>
    <w:rsid w:val="00BA02F5"/>
    <w:rsid w:val="00BA1B39"/>
    <w:rsid w:val="00BA234E"/>
    <w:rsid w:val="00BA2D3A"/>
    <w:rsid w:val="00BA397A"/>
    <w:rsid w:val="00BA4DD9"/>
    <w:rsid w:val="00BA5758"/>
    <w:rsid w:val="00BA5C4E"/>
    <w:rsid w:val="00BA5EF8"/>
    <w:rsid w:val="00BA7283"/>
    <w:rsid w:val="00BB00EC"/>
    <w:rsid w:val="00BB069D"/>
    <w:rsid w:val="00BB0FD1"/>
    <w:rsid w:val="00BB12C7"/>
    <w:rsid w:val="00BB3A35"/>
    <w:rsid w:val="00BB3AEF"/>
    <w:rsid w:val="00BB4C05"/>
    <w:rsid w:val="00BC0D54"/>
    <w:rsid w:val="00BC0DEF"/>
    <w:rsid w:val="00BC3450"/>
    <w:rsid w:val="00BC58FF"/>
    <w:rsid w:val="00BC78C7"/>
    <w:rsid w:val="00BC7CCD"/>
    <w:rsid w:val="00BD29E1"/>
    <w:rsid w:val="00BD5174"/>
    <w:rsid w:val="00BD52DB"/>
    <w:rsid w:val="00BD5CC4"/>
    <w:rsid w:val="00BD6C90"/>
    <w:rsid w:val="00BD7118"/>
    <w:rsid w:val="00BD7A5F"/>
    <w:rsid w:val="00BD7BEB"/>
    <w:rsid w:val="00BE0991"/>
    <w:rsid w:val="00BE168E"/>
    <w:rsid w:val="00BE1EF1"/>
    <w:rsid w:val="00BE3EF0"/>
    <w:rsid w:val="00BE5587"/>
    <w:rsid w:val="00BE58C7"/>
    <w:rsid w:val="00BE7CAD"/>
    <w:rsid w:val="00BE7CCA"/>
    <w:rsid w:val="00BF037A"/>
    <w:rsid w:val="00BF082F"/>
    <w:rsid w:val="00BF16BC"/>
    <w:rsid w:val="00BF21F7"/>
    <w:rsid w:val="00BF2F3A"/>
    <w:rsid w:val="00BF3177"/>
    <w:rsid w:val="00BF317E"/>
    <w:rsid w:val="00BF348C"/>
    <w:rsid w:val="00BF4E9B"/>
    <w:rsid w:val="00BF5B38"/>
    <w:rsid w:val="00BF62E3"/>
    <w:rsid w:val="00BF6B49"/>
    <w:rsid w:val="00BF73D5"/>
    <w:rsid w:val="00BF77A5"/>
    <w:rsid w:val="00BF7F66"/>
    <w:rsid w:val="00C00363"/>
    <w:rsid w:val="00C003FF"/>
    <w:rsid w:val="00C00AD3"/>
    <w:rsid w:val="00C0194F"/>
    <w:rsid w:val="00C01B63"/>
    <w:rsid w:val="00C01DB9"/>
    <w:rsid w:val="00C06708"/>
    <w:rsid w:val="00C074BD"/>
    <w:rsid w:val="00C0784B"/>
    <w:rsid w:val="00C10F5D"/>
    <w:rsid w:val="00C1188C"/>
    <w:rsid w:val="00C1269C"/>
    <w:rsid w:val="00C14AEC"/>
    <w:rsid w:val="00C17508"/>
    <w:rsid w:val="00C210B2"/>
    <w:rsid w:val="00C211C8"/>
    <w:rsid w:val="00C21C37"/>
    <w:rsid w:val="00C21C5E"/>
    <w:rsid w:val="00C22418"/>
    <w:rsid w:val="00C22FF4"/>
    <w:rsid w:val="00C230E6"/>
    <w:rsid w:val="00C24B23"/>
    <w:rsid w:val="00C255B6"/>
    <w:rsid w:val="00C25C3F"/>
    <w:rsid w:val="00C264C8"/>
    <w:rsid w:val="00C26A1B"/>
    <w:rsid w:val="00C30B44"/>
    <w:rsid w:val="00C30ED4"/>
    <w:rsid w:val="00C32B90"/>
    <w:rsid w:val="00C3311E"/>
    <w:rsid w:val="00C337E3"/>
    <w:rsid w:val="00C34A5E"/>
    <w:rsid w:val="00C3555F"/>
    <w:rsid w:val="00C377A1"/>
    <w:rsid w:val="00C37846"/>
    <w:rsid w:val="00C403B6"/>
    <w:rsid w:val="00C4083F"/>
    <w:rsid w:val="00C40C3D"/>
    <w:rsid w:val="00C40E75"/>
    <w:rsid w:val="00C414D7"/>
    <w:rsid w:val="00C41E6D"/>
    <w:rsid w:val="00C42AD3"/>
    <w:rsid w:val="00C4380A"/>
    <w:rsid w:val="00C43D4A"/>
    <w:rsid w:val="00C43D5B"/>
    <w:rsid w:val="00C4548D"/>
    <w:rsid w:val="00C45565"/>
    <w:rsid w:val="00C4579A"/>
    <w:rsid w:val="00C46581"/>
    <w:rsid w:val="00C46ACB"/>
    <w:rsid w:val="00C46EA2"/>
    <w:rsid w:val="00C507E3"/>
    <w:rsid w:val="00C51048"/>
    <w:rsid w:val="00C51E89"/>
    <w:rsid w:val="00C52001"/>
    <w:rsid w:val="00C5373E"/>
    <w:rsid w:val="00C53D35"/>
    <w:rsid w:val="00C5425C"/>
    <w:rsid w:val="00C55A2A"/>
    <w:rsid w:val="00C57CF5"/>
    <w:rsid w:val="00C6048F"/>
    <w:rsid w:val="00C60597"/>
    <w:rsid w:val="00C62A55"/>
    <w:rsid w:val="00C62C56"/>
    <w:rsid w:val="00C64736"/>
    <w:rsid w:val="00C647A2"/>
    <w:rsid w:val="00C66D6B"/>
    <w:rsid w:val="00C67AFF"/>
    <w:rsid w:val="00C67CDD"/>
    <w:rsid w:val="00C67DB7"/>
    <w:rsid w:val="00C70B25"/>
    <w:rsid w:val="00C72D17"/>
    <w:rsid w:val="00C74CAD"/>
    <w:rsid w:val="00C824C3"/>
    <w:rsid w:val="00C82EE1"/>
    <w:rsid w:val="00C84396"/>
    <w:rsid w:val="00C8439B"/>
    <w:rsid w:val="00C844C7"/>
    <w:rsid w:val="00C84B60"/>
    <w:rsid w:val="00C85400"/>
    <w:rsid w:val="00C8555C"/>
    <w:rsid w:val="00C85F88"/>
    <w:rsid w:val="00C86AEC"/>
    <w:rsid w:val="00C86F32"/>
    <w:rsid w:val="00C870D4"/>
    <w:rsid w:val="00C9503E"/>
    <w:rsid w:val="00C95101"/>
    <w:rsid w:val="00C9533B"/>
    <w:rsid w:val="00C95EE8"/>
    <w:rsid w:val="00C96968"/>
    <w:rsid w:val="00CA0084"/>
    <w:rsid w:val="00CA0480"/>
    <w:rsid w:val="00CA0BF9"/>
    <w:rsid w:val="00CA1B70"/>
    <w:rsid w:val="00CA1BA4"/>
    <w:rsid w:val="00CA23ED"/>
    <w:rsid w:val="00CA2D29"/>
    <w:rsid w:val="00CA3DD9"/>
    <w:rsid w:val="00CA50BD"/>
    <w:rsid w:val="00CA5F26"/>
    <w:rsid w:val="00CA622F"/>
    <w:rsid w:val="00CA6475"/>
    <w:rsid w:val="00CA6D00"/>
    <w:rsid w:val="00CB3FAE"/>
    <w:rsid w:val="00CB44D2"/>
    <w:rsid w:val="00CB4A64"/>
    <w:rsid w:val="00CB4C12"/>
    <w:rsid w:val="00CB51F4"/>
    <w:rsid w:val="00CB675E"/>
    <w:rsid w:val="00CB6C5A"/>
    <w:rsid w:val="00CC0B9E"/>
    <w:rsid w:val="00CC1270"/>
    <w:rsid w:val="00CC1EE0"/>
    <w:rsid w:val="00CC2402"/>
    <w:rsid w:val="00CC3768"/>
    <w:rsid w:val="00CC37AF"/>
    <w:rsid w:val="00CC63CF"/>
    <w:rsid w:val="00CC68C3"/>
    <w:rsid w:val="00CD02A6"/>
    <w:rsid w:val="00CD1364"/>
    <w:rsid w:val="00CD1F5E"/>
    <w:rsid w:val="00CD439B"/>
    <w:rsid w:val="00CD590F"/>
    <w:rsid w:val="00CD5F16"/>
    <w:rsid w:val="00CD6CCE"/>
    <w:rsid w:val="00CD7089"/>
    <w:rsid w:val="00CE022F"/>
    <w:rsid w:val="00CE0C01"/>
    <w:rsid w:val="00CE1202"/>
    <w:rsid w:val="00CE548C"/>
    <w:rsid w:val="00CE5B7F"/>
    <w:rsid w:val="00CE6B9A"/>
    <w:rsid w:val="00CE7204"/>
    <w:rsid w:val="00CF1033"/>
    <w:rsid w:val="00CF1216"/>
    <w:rsid w:val="00CF2873"/>
    <w:rsid w:val="00CF2A11"/>
    <w:rsid w:val="00CF35E1"/>
    <w:rsid w:val="00CF49B9"/>
    <w:rsid w:val="00CF4B58"/>
    <w:rsid w:val="00CF52FA"/>
    <w:rsid w:val="00CF5393"/>
    <w:rsid w:val="00CF7F37"/>
    <w:rsid w:val="00D0096A"/>
    <w:rsid w:val="00D01183"/>
    <w:rsid w:val="00D047A7"/>
    <w:rsid w:val="00D05718"/>
    <w:rsid w:val="00D05E62"/>
    <w:rsid w:val="00D10968"/>
    <w:rsid w:val="00D11E72"/>
    <w:rsid w:val="00D12ACC"/>
    <w:rsid w:val="00D13547"/>
    <w:rsid w:val="00D136E5"/>
    <w:rsid w:val="00D1387F"/>
    <w:rsid w:val="00D13A8E"/>
    <w:rsid w:val="00D144C1"/>
    <w:rsid w:val="00D1643D"/>
    <w:rsid w:val="00D17A0D"/>
    <w:rsid w:val="00D20864"/>
    <w:rsid w:val="00D21565"/>
    <w:rsid w:val="00D22250"/>
    <w:rsid w:val="00D22AB9"/>
    <w:rsid w:val="00D24B7A"/>
    <w:rsid w:val="00D260DB"/>
    <w:rsid w:val="00D2654C"/>
    <w:rsid w:val="00D26DC8"/>
    <w:rsid w:val="00D27074"/>
    <w:rsid w:val="00D271C0"/>
    <w:rsid w:val="00D27889"/>
    <w:rsid w:val="00D27BBC"/>
    <w:rsid w:val="00D3051D"/>
    <w:rsid w:val="00D305A0"/>
    <w:rsid w:val="00D3076E"/>
    <w:rsid w:val="00D309B8"/>
    <w:rsid w:val="00D314D3"/>
    <w:rsid w:val="00D31517"/>
    <w:rsid w:val="00D3248A"/>
    <w:rsid w:val="00D328E9"/>
    <w:rsid w:val="00D33B99"/>
    <w:rsid w:val="00D35340"/>
    <w:rsid w:val="00D370BF"/>
    <w:rsid w:val="00D371D8"/>
    <w:rsid w:val="00D37E5C"/>
    <w:rsid w:val="00D400A3"/>
    <w:rsid w:val="00D41E9E"/>
    <w:rsid w:val="00D4244C"/>
    <w:rsid w:val="00D43AB1"/>
    <w:rsid w:val="00D43F7D"/>
    <w:rsid w:val="00D45072"/>
    <w:rsid w:val="00D457E3"/>
    <w:rsid w:val="00D45EC4"/>
    <w:rsid w:val="00D46A03"/>
    <w:rsid w:val="00D47867"/>
    <w:rsid w:val="00D47B9F"/>
    <w:rsid w:val="00D50411"/>
    <w:rsid w:val="00D50491"/>
    <w:rsid w:val="00D504B6"/>
    <w:rsid w:val="00D50FE6"/>
    <w:rsid w:val="00D515E3"/>
    <w:rsid w:val="00D536B0"/>
    <w:rsid w:val="00D546E3"/>
    <w:rsid w:val="00D54DAF"/>
    <w:rsid w:val="00D5512A"/>
    <w:rsid w:val="00D5539B"/>
    <w:rsid w:val="00D56761"/>
    <w:rsid w:val="00D567B0"/>
    <w:rsid w:val="00D56B2E"/>
    <w:rsid w:val="00D57806"/>
    <w:rsid w:val="00D57ACE"/>
    <w:rsid w:val="00D60135"/>
    <w:rsid w:val="00D6187C"/>
    <w:rsid w:val="00D61C58"/>
    <w:rsid w:val="00D647F8"/>
    <w:rsid w:val="00D64E2A"/>
    <w:rsid w:val="00D65F2C"/>
    <w:rsid w:val="00D67F4C"/>
    <w:rsid w:val="00D707CE"/>
    <w:rsid w:val="00D7087E"/>
    <w:rsid w:val="00D70D18"/>
    <w:rsid w:val="00D71458"/>
    <w:rsid w:val="00D7327A"/>
    <w:rsid w:val="00D73684"/>
    <w:rsid w:val="00D73725"/>
    <w:rsid w:val="00D73A51"/>
    <w:rsid w:val="00D75082"/>
    <w:rsid w:val="00D7526F"/>
    <w:rsid w:val="00D75547"/>
    <w:rsid w:val="00D75A0F"/>
    <w:rsid w:val="00D76C79"/>
    <w:rsid w:val="00D7794E"/>
    <w:rsid w:val="00D80A28"/>
    <w:rsid w:val="00D82315"/>
    <w:rsid w:val="00D82767"/>
    <w:rsid w:val="00D82A09"/>
    <w:rsid w:val="00D82E2E"/>
    <w:rsid w:val="00D837A8"/>
    <w:rsid w:val="00D84177"/>
    <w:rsid w:val="00D841AD"/>
    <w:rsid w:val="00D8590D"/>
    <w:rsid w:val="00D87431"/>
    <w:rsid w:val="00D87853"/>
    <w:rsid w:val="00D905BD"/>
    <w:rsid w:val="00D91385"/>
    <w:rsid w:val="00D91814"/>
    <w:rsid w:val="00D91C50"/>
    <w:rsid w:val="00D92BB6"/>
    <w:rsid w:val="00D93D64"/>
    <w:rsid w:val="00D9438C"/>
    <w:rsid w:val="00D95CAF"/>
    <w:rsid w:val="00D967A8"/>
    <w:rsid w:val="00D9702D"/>
    <w:rsid w:val="00DA0A2B"/>
    <w:rsid w:val="00DA218D"/>
    <w:rsid w:val="00DA29BA"/>
    <w:rsid w:val="00DA4147"/>
    <w:rsid w:val="00DA4C27"/>
    <w:rsid w:val="00DA603F"/>
    <w:rsid w:val="00DB082D"/>
    <w:rsid w:val="00DB158F"/>
    <w:rsid w:val="00DB1BCE"/>
    <w:rsid w:val="00DB2B5F"/>
    <w:rsid w:val="00DB3A59"/>
    <w:rsid w:val="00DB3E4A"/>
    <w:rsid w:val="00DB4B5B"/>
    <w:rsid w:val="00DB6EDF"/>
    <w:rsid w:val="00DB7209"/>
    <w:rsid w:val="00DC2A29"/>
    <w:rsid w:val="00DC310F"/>
    <w:rsid w:val="00DC350D"/>
    <w:rsid w:val="00DC4493"/>
    <w:rsid w:val="00DC57C1"/>
    <w:rsid w:val="00DC5D0B"/>
    <w:rsid w:val="00DC6415"/>
    <w:rsid w:val="00DC6AC2"/>
    <w:rsid w:val="00DC7627"/>
    <w:rsid w:val="00DD06EF"/>
    <w:rsid w:val="00DD0977"/>
    <w:rsid w:val="00DD0B48"/>
    <w:rsid w:val="00DD3C03"/>
    <w:rsid w:val="00DD4CD1"/>
    <w:rsid w:val="00DD5BF0"/>
    <w:rsid w:val="00DD5C8C"/>
    <w:rsid w:val="00DD61AE"/>
    <w:rsid w:val="00DD6DE5"/>
    <w:rsid w:val="00DD7BC7"/>
    <w:rsid w:val="00DE5AE7"/>
    <w:rsid w:val="00DE6349"/>
    <w:rsid w:val="00DF1351"/>
    <w:rsid w:val="00DF3267"/>
    <w:rsid w:val="00DF3CED"/>
    <w:rsid w:val="00DF42F2"/>
    <w:rsid w:val="00DF457F"/>
    <w:rsid w:val="00DF4580"/>
    <w:rsid w:val="00DF5F57"/>
    <w:rsid w:val="00DF69D8"/>
    <w:rsid w:val="00DF78A0"/>
    <w:rsid w:val="00E00E55"/>
    <w:rsid w:val="00E01524"/>
    <w:rsid w:val="00E01963"/>
    <w:rsid w:val="00E0271A"/>
    <w:rsid w:val="00E04A17"/>
    <w:rsid w:val="00E06060"/>
    <w:rsid w:val="00E07131"/>
    <w:rsid w:val="00E077C2"/>
    <w:rsid w:val="00E07DE5"/>
    <w:rsid w:val="00E10894"/>
    <w:rsid w:val="00E11040"/>
    <w:rsid w:val="00E118C1"/>
    <w:rsid w:val="00E12423"/>
    <w:rsid w:val="00E12465"/>
    <w:rsid w:val="00E12D9E"/>
    <w:rsid w:val="00E13C27"/>
    <w:rsid w:val="00E14124"/>
    <w:rsid w:val="00E1496C"/>
    <w:rsid w:val="00E14AF2"/>
    <w:rsid w:val="00E152A2"/>
    <w:rsid w:val="00E15AD6"/>
    <w:rsid w:val="00E1670C"/>
    <w:rsid w:val="00E17800"/>
    <w:rsid w:val="00E17D80"/>
    <w:rsid w:val="00E2075D"/>
    <w:rsid w:val="00E21BDF"/>
    <w:rsid w:val="00E2222E"/>
    <w:rsid w:val="00E23C6C"/>
    <w:rsid w:val="00E24463"/>
    <w:rsid w:val="00E253AE"/>
    <w:rsid w:val="00E259C6"/>
    <w:rsid w:val="00E273AF"/>
    <w:rsid w:val="00E27862"/>
    <w:rsid w:val="00E3096C"/>
    <w:rsid w:val="00E31710"/>
    <w:rsid w:val="00E31C5A"/>
    <w:rsid w:val="00E31E90"/>
    <w:rsid w:val="00E339B4"/>
    <w:rsid w:val="00E357AD"/>
    <w:rsid w:val="00E37720"/>
    <w:rsid w:val="00E40931"/>
    <w:rsid w:val="00E424AD"/>
    <w:rsid w:val="00E4293C"/>
    <w:rsid w:val="00E42F12"/>
    <w:rsid w:val="00E43B0D"/>
    <w:rsid w:val="00E448E0"/>
    <w:rsid w:val="00E467DF"/>
    <w:rsid w:val="00E55039"/>
    <w:rsid w:val="00E55C71"/>
    <w:rsid w:val="00E5608F"/>
    <w:rsid w:val="00E56D86"/>
    <w:rsid w:val="00E62021"/>
    <w:rsid w:val="00E62BF2"/>
    <w:rsid w:val="00E64538"/>
    <w:rsid w:val="00E64606"/>
    <w:rsid w:val="00E64926"/>
    <w:rsid w:val="00E649D0"/>
    <w:rsid w:val="00E64BC9"/>
    <w:rsid w:val="00E64DDC"/>
    <w:rsid w:val="00E65AF7"/>
    <w:rsid w:val="00E65DBA"/>
    <w:rsid w:val="00E66373"/>
    <w:rsid w:val="00E66608"/>
    <w:rsid w:val="00E6669D"/>
    <w:rsid w:val="00E669BE"/>
    <w:rsid w:val="00E703F1"/>
    <w:rsid w:val="00E71A57"/>
    <w:rsid w:val="00E72346"/>
    <w:rsid w:val="00E72BE6"/>
    <w:rsid w:val="00E72F66"/>
    <w:rsid w:val="00E73D15"/>
    <w:rsid w:val="00E755C5"/>
    <w:rsid w:val="00E7660F"/>
    <w:rsid w:val="00E76A2E"/>
    <w:rsid w:val="00E7754F"/>
    <w:rsid w:val="00E80068"/>
    <w:rsid w:val="00E80E5B"/>
    <w:rsid w:val="00E81403"/>
    <w:rsid w:val="00E81AA0"/>
    <w:rsid w:val="00E84C03"/>
    <w:rsid w:val="00E856DB"/>
    <w:rsid w:val="00E8710E"/>
    <w:rsid w:val="00E87B79"/>
    <w:rsid w:val="00E903EB"/>
    <w:rsid w:val="00E909BE"/>
    <w:rsid w:val="00E95003"/>
    <w:rsid w:val="00E95F3D"/>
    <w:rsid w:val="00E965FE"/>
    <w:rsid w:val="00E96940"/>
    <w:rsid w:val="00EA05D7"/>
    <w:rsid w:val="00EA1E52"/>
    <w:rsid w:val="00EA25F4"/>
    <w:rsid w:val="00EA31C5"/>
    <w:rsid w:val="00EA33D6"/>
    <w:rsid w:val="00EA3D3D"/>
    <w:rsid w:val="00EA62BB"/>
    <w:rsid w:val="00EA6592"/>
    <w:rsid w:val="00EB1BB7"/>
    <w:rsid w:val="00EB1D99"/>
    <w:rsid w:val="00EB1FBA"/>
    <w:rsid w:val="00EB210E"/>
    <w:rsid w:val="00EB24CA"/>
    <w:rsid w:val="00EB3DE2"/>
    <w:rsid w:val="00EB40A9"/>
    <w:rsid w:val="00EB5074"/>
    <w:rsid w:val="00EB5D17"/>
    <w:rsid w:val="00EB631F"/>
    <w:rsid w:val="00EB6534"/>
    <w:rsid w:val="00EC0398"/>
    <w:rsid w:val="00EC06D4"/>
    <w:rsid w:val="00EC0977"/>
    <w:rsid w:val="00EC3104"/>
    <w:rsid w:val="00EC35F3"/>
    <w:rsid w:val="00EC4ED4"/>
    <w:rsid w:val="00EC6882"/>
    <w:rsid w:val="00EC75F5"/>
    <w:rsid w:val="00EC769F"/>
    <w:rsid w:val="00ED0752"/>
    <w:rsid w:val="00ED2FFE"/>
    <w:rsid w:val="00ED4B24"/>
    <w:rsid w:val="00ED4BA5"/>
    <w:rsid w:val="00ED5285"/>
    <w:rsid w:val="00ED5410"/>
    <w:rsid w:val="00ED667D"/>
    <w:rsid w:val="00ED689F"/>
    <w:rsid w:val="00ED7BA8"/>
    <w:rsid w:val="00EE0307"/>
    <w:rsid w:val="00EE3007"/>
    <w:rsid w:val="00EE3EEC"/>
    <w:rsid w:val="00EE4061"/>
    <w:rsid w:val="00EE4177"/>
    <w:rsid w:val="00EE57FE"/>
    <w:rsid w:val="00EE7E05"/>
    <w:rsid w:val="00EF0DA6"/>
    <w:rsid w:val="00EF1356"/>
    <w:rsid w:val="00EF252C"/>
    <w:rsid w:val="00EF3B6D"/>
    <w:rsid w:val="00EF3EDB"/>
    <w:rsid w:val="00EF46FD"/>
    <w:rsid w:val="00EF751D"/>
    <w:rsid w:val="00EF793E"/>
    <w:rsid w:val="00F00674"/>
    <w:rsid w:val="00F016B0"/>
    <w:rsid w:val="00F03B56"/>
    <w:rsid w:val="00F04A94"/>
    <w:rsid w:val="00F05AE8"/>
    <w:rsid w:val="00F063F5"/>
    <w:rsid w:val="00F1056B"/>
    <w:rsid w:val="00F11904"/>
    <w:rsid w:val="00F127A5"/>
    <w:rsid w:val="00F131EA"/>
    <w:rsid w:val="00F15ADF"/>
    <w:rsid w:val="00F15EAB"/>
    <w:rsid w:val="00F17FD1"/>
    <w:rsid w:val="00F20C1A"/>
    <w:rsid w:val="00F214C4"/>
    <w:rsid w:val="00F232E0"/>
    <w:rsid w:val="00F2445F"/>
    <w:rsid w:val="00F25244"/>
    <w:rsid w:val="00F25ACE"/>
    <w:rsid w:val="00F265F0"/>
    <w:rsid w:val="00F26F9A"/>
    <w:rsid w:val="00F2755B"/>
    <w:rsid w:val="00F27570"/>
    <w:rsid w:val="00F27CFC"/>
    <w:rsid w:val="00F30A40"/>
    <w:rsid w:val="00F30C8C"/>
    <w:rsid w:val="00F31B9B"/>
    <w:rsid w:val="00F31BCB"/>
    <w:rsid w:val="00F32FC3"/>
    <w:rsid w:val="00F33012"/>
    <w:rsid w:val="00F33889"/>
    <w:rsid w:val="00F33B2F"/>
    <w:rsid w:val="00F34496"/>
    <w:rsid w:val="00F35519"/>
    <w:rsid w:val="00F35832"/>
    <w:rsid w:val="00F363AE"/>
    <w:rsid w:val="00F36A5A"/>
    <w:rsid w:val="00F37924"/>
    <w:rsid w:val="00F4255E"/>
    <w:rsid w:val="00F43754"/>
    <w:rsid w:val="00F43D4E"/>
    <w:rsid w:val="00F44858"/>
    <w:rsid w:val="00F45C35"/>
    <w:rsid w:val="00F46066"/>
    <w:rsid w:val="00F469B9"/>
    <w:rsid w:val="00F46AC6"/>
    <w:rsid w:val="00F5022A"/>
    <w:rsid w:val="00F50593"/>
    <w:rsid w:val="00F519EB"/>
    <w:rsid w:val="00F51D8F"/>
    <w:rsid w:val="00F52DB5"/>
    <w:rsid w:val="00F52F1B"/>
    <w:rsid w:val="00F549F6"/>
    <w:rsid w:val="00F54FAA"/>
    <w:rsid w:val="00F558C4"/>
    <w:rsid w:val="00F55ED0"/>
    <w:rsid w:val="00F56207"/>
    <w:rsid w:val="00F57248"/>
    <w:rsid w:val="00F578B8"/>
    <w:rsid w:val="00F61170"/>
    <w:rsid w:val="00F6287F"/>
    <w:rsid w:val="00F62DAE"/>
    <w:rsid w:val="00F63600"/>
    <w:rsid w:val="00F64121"/>
    <w:rsid w:val="00F6751F"/>
    <w:rsid w:val="00F676DD"/>
    <w:rsid w:val="00F71A80"/>
    <w:rsid w:val="00F73074"/>
    <w:rsid w:val="00F7370C"/>
    <w:rsid w:val="00F73AF7"/>
    <w:rsid w:val="00F73D77"/>
    <w:rsid w:val="00F73FA6"/>
    <w:rsid w:val="00F7623D"/>
    <w:rsid w:val="00F763A0"/>
    <w:rsid w:val="00F770D7"/>
    <w:rsid w:val="00F777E1"/>
    <w:rsid w:val="00F77EE1"/>
    <w:rsid w:val="00F80916"/>
    <w:rsid w:val="00F8240C"/>
    <w:rsid w:val="00F8265F"/>
    <w:rsid w:val="00F8504D"/>
    <w:rsid w:val="00F85E0B"/>
    <w:rsid w:val="00F874B4"/>
    <w:rsid w:val="00F90A0D"/>
    <w:rsid w:val="00F90A47"/>
    <w:rsid w:val="00F93864"/>
    <w:rsid w:val="00F94763"/>
    <w:rsid w:val="00F94C85"/>
    <w:rsid w:val="00F958E0"/>
    <w:rsid w:val="00F96BBC"/>
    <w:rsid w:val="00F96BDA"/>
    <w:rsid w:val="00FA23C4"/>
    <w:rsid w:val="00FA33A5"/>
    <w:rsid w:val="00FA3C8D"/>
    <w:rsid w:val="00FA636E"/>
    <w:rsid w:val="00FB115D"/>
    <w:rsid w:val="00FB1979"/>
    <w:rsid w:val="00FB1B73"/>
    <w:rsid w:val="00FB3378"/>
    <w:rsid w:val="00FB6825"/>
    <w:rsid w:val="00FB6935"/>
    <w:rsid w:val="00FB6AF9"/>
    <w:rsid w:val="00FB70A5"/>
    <w:rsid w:val="00FB74FD"/>
    <w:rsid w:val="00FB776B"/>
    <w:rsid w:val="00FC0397"/>
    <w:rsid w:val="00FC0D1D"/>
    <w:rsid w:val="00FC1D4D"/>
    <w:rsid w:val="00FC48C2"/>
    <w:rsid w:val="00FC4E36"/>
    <w:rsid w:val="00FC5B32"/>
    <w:rsid w:val="00FD014C"/>
    <w:rsid w:val="00FD06D8"/>
    <w:rsid w:val="00FD1C38"/>
    <w:rsid w:val="00FD2402"/>
    <w:rsid w:val="00FD3214"/>
    <w:rsid w:val="00FD3EBE"/>
    <w:rsid w:val="00FD4155"/>
    <w:rsid w:val="00FD5C03"/>
    <w:rsid w:val="00FD6573"/>
    <w:rsid w:val="00FD747B"/>
    <w:rsid w:val="00FD7798"/>
    <w:rsid w:val="00FE0055"/>
    <w:rsid w:val="00FE0B26"/>
    <w:rsid w:val="00FE0C91"/>
    <w:rsid w:val="00FE0EF2"/>
    <w:rsid w:val="00FE1072"/>
    <w:rsid w:val="00FE1C6F"/>
    <w:rsid w:val="00FE1FDA"/>
    <w:rsid w:val="00FE3EDF"/>
    <w:rsid w:val="00FE4596"/>
    <w:rsid w:val="00FE4D2B"/>
    <w:rsid w:val="00FE797A"/>
    <w:rsid w:val="00FF2B12"/>
    <w:rsid w:val="00FF3FB0"/>
    <w:rsid w:val="00FF495A"/>
    <w:rsid w:val="00FF68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aliases w:val="Reference,fn,Footnotes,Footnote ak,footnote text,Footnote,Fußnote,FSR footnote,lábléc,Footnote Text Char Char,Note de bas de page Car1 Car,Note de bas de page Car Car Car,Note de bas de page Car Car Car Car Car,fn1,footnote text1,fn2"/>
    <w:basedOn w:val="Normal"/>
    <w:link w:val="NotedebasdepageCar"/>
    <w:uiPriority w:val="99"/>
    <w:unhideWhenUsed/>
    <w:qFormat/>
    <w:rsid w:val="00745853"/>
    <w:pPr>
      <w:spacing w:after="0" w:line="240" w:lineRule="auto"/>
    </w:pPr>
    <w:rPr>
      <w:sz w:val="20"/>
      <w:szCs w:val="20"/>
    </w:rPr>
  </w:style>
  <w:style w:type="character" w:customStyle="1" w:styleId="NotedebasdepageCar">
    <w:name w:val="Note de bas de page Car"/>
    <w:aliases w:val="Reference Car,fn Car,Footnotes Car,Footnote ak Car,footnote text Car,Footnote Car,Fußnote Car,FSR footnote Car,lábléc Car,Footnote Text Char Char Car,Note de bas de page Car1 Car Car,Note de bas de page Car Car Car Car,fn1 Car"/>
    <w:basedOn w:val="Policepardfaut"/>
    <w:link w:val="Notedebasdepage"/>
    <w:uiPriority w:val="99"/>
    <w:qFormat/>
    <w:rsid w:val="00745853"/>
    <w:rPr>
      <w:sz w:val="20"/>
      <w:szCs w:val="20"/>
    </w:rPr>
  </w:style>
  <w:style w:type="character" w:styleId="Appelnotedebasdep">
    <w:name w:val="footnote reference"/>
    <w:aliases w:val="Footnote Reference Number,Footnote Reference_LVL6,Footnote Reference_LVL61,Footnote Reference_LVL62,Footnote Reference_LVL63,Footnote Reference_LVL64,HAppel note de bas de p.,SUPERS,de nota al pie,titre,-E Fußnotenzeichen,Ref,fr"/>
    <w:basedOn w:val="Policepardfaut"/>
    <w:uiPriority w:val="99"/>
    <w:unhideWhenUsed/>
    <w:qFormat/>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Paragraphedeliste"/>
    <w:link w:val="Titre02Car"/>
    <w:autoRedefine/>
    <w:qFormat/>
    <w:rsid w:val="009F2F4B"/>
    <w:pPr>
      <w:spacing w:after="120"/>
      <w:ind w:left="357" w:hanging="357"/>
    </w:pPr>
    <w:rPr>
      <w:rFonts w:ascii="Segoe UI" w:hAnsi="Segoe UI" w:cs="Segoe UI"/>
      <w:bCs/>
      <w:sz w:val="20"/>
      <w:szCs w:val="2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F2F4B"/>
    <w:rPr>
      <w:rFonts w:ascii="Segoe UI" w:hAnsi="Segoe UI" w:cs="Segoe UI"/>
      <w:bCs/>
      <w:sz w:val="20"/>
      <w:szCs w:val="20"/>
      <w:lang w:eastAsia="fr-FR"/>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Paragraphedeliste"/>
    <w:link w:val="listeTitreCar"/>
    <w:qFormat/>
    <w:rsid w:val="009F25C2"/>
    <w:pPr>
      <w:numPr>
        <w:numId w:val="39"/>
      </w:numPr>
      <w:spacing w:after="120"/>
      <w:jc w:val="both"/>
    </w:pPr>
    <w:rPr>
      <w:rFonts w:ascii="Segoe UI" w:hAnsi="Segoe UI" w:cs="Segoe UI"/>
      <w:b/>
      <w:color w:val="000091" w:themeColor="text1"/>
      <w:sz w:val="20"/>
      <w:szCs w:val="20"/>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F25C2"/>
    <w:rPr>
      <w:rFonts w:ascii="Segoe UI" w:hAnsi="Segoe UI" w:cs="Segoe UI"/>
      <w:b/>
      <w:color w:val="000091" w:themeColor="text1"/>
      <w:sz w:val="20"/>
      <w:szCs w:val="20"/>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qFormat/>
    <w:rsid w:val="007209E2"/>
    <w:pPr>
      <w:spacing w:after="0" w:line="240" w:lineRule="auto"/>
    </w:pPr>
    <w:rPr>
      <w:sz w:val="20"/>
      <w:szCs w:val="20"/>
    </w:rPr>
  </w:style>
  <w:style w:type="character" w:customStyle="1" w:styleId="NotedefinCar">
    <w:name w:val="Note de fin Car"/>
    <w:basedOn w:val="Policepardfaut"/>
    <w:link w:val="Notedefin"/>
    <w:uiPriority w:val="99"/>
    <w:qFormat/>
    <w:rsid w:val="007209E2"/>
    <w:rPr>
      <w:rFonts w:eastAsia="SimSun"/>
      <w:sz w:val="20"/>
      <w:szCs w:val="20"/>
    </w:rPr>
  </w:style>
  <w:style w:type="character" w:styleId="Appeldenotedefin">
    <w:name w:val="endnote reference"/>
    <w:basedOn w:val="Policepardfaut"/>
    <w:uiPriority w:val="99"/>
    <w:unhideWhenUsed/>
    <w:qFormat/>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customStyle="1" w:styleId="Notetableau">
    <w:name w:val="Note (tableau)"/>
    <w:uiPriority w:val="99"/>
    <w:rsid w:val="00A71385"/>
    <w:pPr>
      <w:widowControl w:val="0"/>
      <w:tabs>
        <w:tab w:val="left" w:pos="560"/>
      </w:tabs>
      <w:autoSpaceDE w:val="0"/>
      <w:autoSpaceDN w:val="0"/>
      <w:adjustRightInd w:val="0"/>
      <w:spacing w:after="0" w:line="240" w:lineRule="atLeast"/>
      <w:ind w:left="560" w:right="280" w:hanging="280"/>
    </w:pPr>
    <w:rPr>
      <w:rFonts w:ascii="Times New Roman" w:eastAsiaTheme="minorEastAsia" w:hAnsi="Times New Roman" w:cs="Times New Roman"/>
      <w:color w:val="000000"/>
      <w:w w:val="0"/>
      <w:sz w:val="20"/>
      <w:szCs w:val="20"/>
      <w:lang w:eastAsia="zh-CN"/>
    </w:rPr>
  </w:style>
  <w:style w:type="paragraph" w:customStyle="1" w:styleId="CelluleIntitul">
    <w:name w:val="Cellule Intitulé"/>
    <w:rsid w:val="00A71385"/>
    <w:pPr>
      <w:widowControl w:val="0"/>
      <w:suppressAutoHyphens/>
      <w:autoSpaceDE w:val="0"/>
      <w:autoSpaceDN w:val="0"/>
      <w:adjustRightInd w:val="0"/>
      <w:spacing w:after="0" w:line="280" w:lineRule="atLeast"/>
      <w:jc w:val="center"/>
    </w:pPr>
    <w:rPr>
      <w:rFonts w:ascii="Times New Roman" w:eastAsiaTheme="minorEastAsia" w:hAnsi="Times New Roman" w:cs="Times New Roman"/>
      <w:color w:val="000000"/>
      <w:w w:val="0"/>
      <w:sz w:val="24"/>
      <w:szCs w:val="24"/>
      <w:lang w:eastAsia="zh-CN"/>
    </w:rPr>
  </w:style>
  <w:style w:type="paragraph" w:customStyle="1" w:styleId="Default">
    <w:name w:val="Default"/>
    <w:basedOn w:val="Normal"/>
    <w:rsid w:val="001819FC"/>
    <w:pPr>
      <w:autoSpaceDE w:val="0"/>
      <w:autoSpaceDN w:val="0"/>
      <w:spacing w:after="0" w:line="240" w:lineRule="auto"/>
    </w:pPr>
    <w:rPr>
      <w:rFonts w:ascii="Arial" w:eastAsiaTheme="minorEastAsia" w:hAnsi="Arial" w:cs="Arial"/>
      <w:color w:val="000000"/>
      <w:sz w:val="24"/>
      <w:szCs w:val="24"/>
      <w:lang w:eastAsia="zh-CN"/>
    </w:rPr>
  </w:style>
  <w:style w:type="character" w:customStyle="1" w:styleId="publication-datepublished">
    <w:name w:val="publication-date__published"/>
    <w:basedOn w:val="Policepardfaut"/>
    <w:rsid w:val="001819FC"/>
  </w:style>
  <w:style w:type="character" w:styleId="Mentionnonrsolue">
    <w:name w:val="Unresolved Mention"/>
    <w:basedOn w:val="Policepardfaut"/>
    <w:uiPriority w:val="99"/>
    <w:semiHidden/>
    <w:unhideWhenUsed/>
    <w:rsid w:val="00915609"/>
    <w:rPr>
      <w:color w:val="605E5C"/>
      <w:shd w:val="clear" w:color="auto" w:fill="E1DFDD"/>
    </w:rPr>
  </w:style>
  <w:style w:type="paragraph" w:styleId="Lgende">
    <w:name w:val="caption"/>
    <w:basedOn w:val="Normal"/>
    <w:next w:val="Normal"/>
    <w:uiPriority w:val="35"/>
    <w:unhideWhenUsed/>
    <w:qFormat/>
    <w:rsid w:val="006F0B17"/>
    <w:pPr>
      <w:spacing w:after="200" w:line="240" w:lineRule="auto"/>
    </w:pPr>
    <w:rPr>
      <w:i/>
      <w:iCs/>
      <w:color w:val="6A6AF4" w:themeColor="text2"/>
      <w:sz w:val="18"/>
      <w:szCs w:val="18"/>
    </w:rPr>
  </w:style>
  <w:style w:type="paragraph" w:styleId="NormalWeb">
    <w:name w:val="Normal (Web)"/>
    <w:basedOn w:val="Normal"/>
    <w:uiPriority w:val="99"/>
    <w:unhideWhenUsed/>
    <w:rsid w:val="000344A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730">
      <w:bodyDiv w:val="1"/>
      <w:marLeft w:val="0"/>
      <w:marRight w:val="0"/>
      <w:marTop w:val="0"/>
      <w:marBottom w:val="0"/>
      <w:divBdr>
        <w:top w:val="none" w:sz="0" w:space="0" w:color="auto"/>
        <w:left w:val="none" w:sz="0" w:space="0" w:color="auto"/>
        <w:bottom w:val="none" w:sz="0" w:space="0" w:color="auto"/>
        <w:right w:val="none" w:sz="0" w:space="0" w:color="auto"/>
      </w:divBdr>
    </w:div>
    <w:div w:id="67075161">
      <w:bodyDiv w:val="1"/>
      <w:marLeft w:val="0"/>
      <w:marRight w:val="0"/>
      <w:marTop w:val="0"/>
      <w:marBottom w:val="0"/>
      <w:divBdr>
        <w:top w:val="none" w:sz="0" w:space="0" w:color="auto"/>
        <w:left w:val="none" w:sz="0" w:space="0" w:color="auto"/>
        <w:bottom w:val="none" w:sz="0" w:space="0" w:color="auto"/>
        <w:right w:val="none" w:sz="0" w:space="0" w:color="auto"/>
      </w:divBdr>
    </w:div>
    <w:div w:id="75975924">
      <w:bodyDiv w:val="1"/>
      <w:marLeft w:val="0"/>
      <w:marRight w:val="0"/>
      <w:marTop w:val="0"/>
      <w:marBottom w:val="0"/>
      <w:divBdr>
        <w:top w:val="none" w:sz="0" w:space="0" w:color="auto"/>
        <w:left w:val="none" w:sz="0" w:space="0" w:color="auto"/>
        <w:bottom w:val="none" w:sz="0" w:space="0" w:color="auto"/>
        <w:right w:val="none" w:sz="0" w:space="0" w:color="auto"/>
      </w:divBdr>
    </w:div>
    <w:div w:id="93937789">
      <w:bodyDiv w:val="1"/>
      <w:marLeft w:val="0"/>
      <w:marRight w:val="0"/>
      <w:marTop w:val="0"/>
      <w:marBottom w:val="0"/>
      <w:divBdr>
        <w:top w:val="none" w:sz="0" w:space="0" w:color="auto"/>
        <w:left w:val="none" w:sz="0" w:space="0" w:color="auto"/>
        <w:bottom w:val="none" w:sz="0" w:space="0" w:color="auto"/>
        <w:right w:val="none" w:sz="0" w:space="0" w:color="auto"/>
      </w:divBdr>
    </w:div>
    <w:div w:id="117846429">
      <w:bodyDiv w:val="1"/>
      <w:marLeft w:val="0"/>
      <w:marRight w:val="0"/>
      <w:marTop w:val="0"/>
      <w:marBottom w:val="0"/>
      <w:divBdr>
        <w:top w:val="none" w:sz="0" w:space="0" w:color="auto"/>
        <w:left w:val="none" w:sz="0" w:space="0" w:color="auto"/>
        <w:bottom w:val="none" w:sz="0" w:space="0" w:color="auto"/>
        <w:right w:val="none" w:sz="0" w:space="0" w:color="auto"/>
      </w:divBdr>
    </w:div>
    <w:div w:id="128741182">
      <w:bodyDiv w:val="1"/>
      <w:marLeft w:val="0"/>
      <w:marRight w:val="0"/>
      <w:marTop w:val="0"/>
      <w:marBottom w:val="0"/>
      <w:divBdr>
        <w:top w:val="none" w:sz="0" w:space="0" w:color="auto"/>
        <w:left w:val="none" w:sz="0" w:space="0" w:color="auto"/>
        <w:bottom w:val="none" w:sz="0" w:space="0" w:color="auto"/>
        <w:right w:val="none" w:sz="0" w:space="0" w:color="auto"/>
      </w:divBdr>
    </w:div>
    <w:div w:id="202794967">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46715023">
      <w:bodyDiv w:val="1"/>
      <w:marLeft w:val="0"/>
      <w:marRight w:val="0"/>
      <w:marTop w:val="0"/>
      <w:marBottom w:val="0"/>
      <w:divBdr>
        <w:top w:val="none" w:sz="0" w:space="0" w:color="auto"/>
        <w:left w:val="none" w:sz="0" w:space="0" w:color="auto"/>
        <w:bottom w:val="none" w:sz="0" w:space="0" w:color="auto"/>
        <w:right w:val="none" w:sz="0" w:space="0" w:color="auto"/>
      </w:divBdr>
    </w:div>
    <w:div w:id="363798932">
      <w:bodyDiv w:val="1"/>
      <w:marLeft w:val="0"/>
      <w:marRight w:val="0"/>
      <w:marTop w:val="0"/>
      <w:marBottom w:val="0"/>
      <w:divBdr>
        <w:top w:val="none" w:sz="0" w:space="0" w:color="auto"/>
        <w:left w:val="none" w:sz="0" w:space="0" w:color="auto"/>
        <w:bottom w:val="none" w:sz="0" w:space="0" w:color="auto"/>
        <w:right w:val="none" w:sz="0" w:space="0" w:color="auto"/>
      </w:divBdr>
    </w:div>
    <w:div w:id="374039897">
      <w:bodyDiv w:val="1"/>
      <w:marLeft w:val="0"/>
      <w:marRight w:val="0"/>
      <w:marTop w:val="0"/>
      <w:marBottom w:val="0"/>
      <w:divBdr>
        <w:top w:val="none" w:sz="0" w:space="0" w:color="auto"/>
        <w:left w:val="none" w:sz="0" w:space="0" w:color="auto"/>
        <w:bottom w:val="none" w:sz="0" w:space="0" w:color="auto"/>
        <w:right w:val="none" w:sz="0" w:space="0" w:color="auto"/>
      </w:divBdr>
    </w:div>
    <w:div w:id="374428703">
      <w:bodyDiv w:val="1"/>
      <w:marLeft w:val="0"/>
      <w:marRight w:val="0"/>
      <w:marTop w:val="0"/>
      <w:marBottom w:val="0"/>
      <w:divBdr>
        <w:top w:val="none" w:sz="0" w:space="0" w:color="auto"/>
        <w:left w:val="none" w:sz="0" w:space="0" w:color="auto"/>
        <w:bottom w:val="none" w:sz="0" w:space="0" w:color="auto"/>
        <w:right w:val="none" w:sz="0" w:space="0" w:color="auto"/>
      </w:divBdr>
    </w:div>
    <w:div w:id="425880811">
      <w:bodyDiv w:val="1"/>
      <w:marLeft w:val="0"/>
      <w:marRight w:val="0"/>
      <w:marTop w:val="0"/>
      <w:marBottom w:val="0"/>
      <w:divBdr>
        <w:top w:val="none" w:sz="0" w:space="0" w:color="auto"/>
        <w:left w:val="none" w:sz="0" w:space="0" w:color="auto"/>
        <w:bottom w:val="none" w:sz="0" w:space="0" w:color="auto"/>
        <w:right w:val="none" w:sz="0" w:space="0" w:color="auto"/>
      </w:divBdr>
    </w:div>
    <w:div w:id="426929364">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01089528">
      <w:bodyDiv w:val="1"/>
      <w:marLeft w:val="0"/>
      <w:marRight w:val="0"/>
      <w:marTop w:val="0"/>
      <w:marBottom w:val="0"/>
      <w:divBdr>
        <w:top w:val="none" w:sz="0" w:space="0" w:color="auto"/>
        <w:left w:val="none" w:sz="0" w:space="0" w:color="auto"/>
        <w:bottom w:val="none" w:sz="0" w:space="0" w:color="auto"/>
        <w:right w:val="none" w:sz="0" w:space="0" w:color="auto"/>
      </w:divBdr>
    </w:div>
    <w:div w:id="542179469">
      <w:bodyDiv w:val="1"/>
      <w:marLeft w:val="0"/>
      <w:marRight w:val="0"/>
      <w:marTop w:val="0"/>
      <w:marBottom w:val="0"/>
      <w:divBdr>
        <w:top w:val="none" w:sz="0" w:space="0" w:color="auto"/>
        <w:left w:val="none" w:sz="0" w:space="0" w:color="auto"/>
        <w:bottom w:val="none" w:sz="0" w:space="0" w:color="auto"/>
        <w:right w:val="none" w:sz="0" w:space="0" w:color="auto"/>
      </w:divBdr>
    </w:div>
    <w:div w:id="551232166">
      <w:bodyDiv w:val="1"/>
      <w:marLeft w:val="0"/>
      <w:marRight w:val="0"/>
      <w:marTop w:val="0"/>
      <w:marBottom w:val="0"/>
      <w:divBdr>
        <w:top w:val="none" w:sz="0" w:space="0" w:color="auto"/>
        <w:left w:val="none" w:sz="0" w:space="0" w:color="auto"/>
        <w:bottom w:val="none" w:sz="0" w:space="0" w:color="auto"/>
        <w:right w:val="none" w:sz="0" w:space="0" w:color="auto"/>
      </w:divBdr>
    </w:div>
    <w:div w:id="554514660">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588546033">
      <w:bodyDiv w:val="1"/>
      <w:marLeft w:val="0"/>
      <w:marRight w:val="0"/>
      <w:marTop w:val="0"/>
      <w:marBottom w:val="0"/>
      <w:divBdr>
        <w:top w:val="none" w:sz="0" w:space="0" w:color="auto"/>
        <w:left w:val="none" w:sz="0" w:space="0" w:color="auto"/>
        <w:bottom w:val="none" w:sz="0" w:space="0" w:color="auto"/>
        <w:right w:val="none" w:sz="0" w:space="0" w:color="auto"/>
      </w:divBdr>
    </w:div>
    <w:div w:id="624506619">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42027808">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754712612">
      <w:bodyDiv w:val="1"/>
      <w:marLeft w:val="0"/>
      <w:marRight w:val="0"/>
      <w:marTop w:val="0"/>
      <w:marBottom w:val="0"/>
      <w:divBdr>
        <w:top w:val="none" w:sz="0" w:space="0" w:color="auto"/>
        <w:left w:val="none" w:sz="0" w:space="0" w:color="auto"/>
        <w:bottom w:val="none" w:sz="0" w:space="0" w:color="auto"/>
        <w:right w:val="none" w:sz="0" w:space="0" w:color="auto"/>
      </w:divBdr>
    </w:div>
    <w:div w:id="761754596">
      <w:bodyDiv w:val="1"/>
      <w:marLeft w:val="0"/>
      <w:marRight w:val="0"/>
      <w:marTop w:val="0"/>
      <w:marBottom w:val="0"/>
      <w:divBdr>
        <w:top w:val="none" w:sz="0" w:space="0" w:color="auto"/>
        <w:left w:val="none" w:sz="0" w:space="0" w:color="auto"/>
        <w:bottom w:val="none" w:sz="0" w:space="0" w:color="auto"/>
        <w:right w:val="none" w:sz="0" w:space="0" w:color="auto"/>
      </w:divBdr>
    </w:div>
    <w:div w:id="789710026">
      <w:bodyDiv w:val="1"/>
      <w:marLeft w:val="0"/>
      <w:marRight w:val="0"/>
      <w:marTop w:val="0"/>
      <w:marBottom w:val="0"/>
      <w:divBdr>
        <w:top w:val="none" w:sz="0" w:space="0" w:color="auto"/>
        <w:left w:val="none" w:sz="0" w:space="0" w:color="auto"/>
        <w:bottom w:val="none" w:sz="0" w:space="0" w:color="auto"/>
        <w:right w:val="none" w:sz="0" w:space="0" w:color="auto"/>
      </w:divBdr>
      <w:divsChild>
        <w:div w:id="597760800">
          <w:marLeft w:val="0"/>
          <w:marRight w:val="0"/>
          <w:marTop w:val="0"/>
          <w:marBottom w:val="0"/>
          <w:divBdr>
            <w:top w:val="single" w:sz="2" w:space="0" w:color="auto"/>
            <w:left w:val="single" w:sz="2" w:space="0" w:color="auto"/>
            <w:bottom w:val="single" w:sz="2" w:space="0" w:color="auto"/>
            <w:right w:val="single" w:sz="2" w:space="0" w:color="auto"/>
          </w:divBdr>
          <w:divsChild>
            <w:div w:id="1717508289">
              <w:marLeft w:val="0"/>
              <w:marRight w:val="0"/>
              <w:marTop w:val="120"/>
              <w:marBottom w:val="120"/>
              <w:divBdr>
                <w:top w:val="single" w:sz="2" w:space="12" w:color="auto"/>
                <w:left w:val="single" w:sz="2" w:space="12" w:color="auto"/>
                <w:bottom w:val="single" w:sz="2" w:space="12" w:color="auto"/>
                <w:right w:val="single" w:sz="2" w:space="12" w:color="auto"/>
              </w:divBdr>
            </w:div>
          </w:divsChild>
        </w:div>
      </w:divsChild>
    </w:div>
    <w:div w:id="91686722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76908419">
      <w:bodyDiv w:val="1"/>
      <w:marLeft w:val="0"/>
      <w:marRight w:val="0"/>
      <w:marTop w:val="0"/>
      <w:marBottom w:val="0"/>
      <w:divBdr>
        <w:top w:val="none" w:sz="0" w:space="0" w:color="auto"/>
        <w:left w:val="none" w:sz="0" w:space="0" w:color="auto"/>
        <w:bottom w:val="none" w:sz="0" w:space="0" w:color="auto"/>
        <w:right w:val="none" w:sz="0" w:space="0" w:color="auto"/>
      </w:divBdr>
    </w:div>
    <w:div w:id="1066995474">
      <w:bodyDiv w:val="1"/>
      <w:marLeft w:val="0"/>
      <w:marRight w:val="0"/>
      <w:marTop w:val="0"/>
      <w:marBottom w:val="0"/>
      <w:divBdr>
        <w:top w:val="none" w:sz="0" w:space="0" w:color="auto"/>
        <w:left w:val="none" w:sz="0" w:space="0" w:color="auto"/>
        <w:bottom w:val="none" w:sz="0" w:space="0" w:color="auto"/>
        <w:right w:val="none" w:sz="0" w:space="0" w:color="auto"/>
      </w:divBdr>
    </w:div>
    <w:div w:id="1104502061">
      <w:bodyDiv w:val="1"/>
      <w:marLeft w:val="0"/>
      <w:marRight w:val="0"/>
      <w:marTop w:val="0"/>
      <w:marBottom w:val="0"/>
      <w:divBdr>
        <w:top w:val="none" w:sz="0" w:space="0" w:color="auto"/>
        <w:left w:val="none" w:sz="0" w:space="0" w:color="auto"/>
        <w:bottom w:val="none" w:sz="0" w:space="0" w:color="auto"/>
        <w:right w:val="none" w:sz="0" w:space="0" w:color="auto"/>
      </w:divBdr>
    </w:div>
    <w:div w:id="1192762754">
      <w:bodyDiv w:val="1"/>
      <w:marLeft w:val="0"/>
      <w:marRight w:val="0"/>
      <w:marTop w:val="0"/>
      <w:marBottom w:val="0"/>
      <w:divBdr>
        <w:top w:val="none" w:sz="0" w:space="0" w:color="auto"/>
        <w:left w:val="none" w:sz="0" w:space="0" w:color="auto"/>
        <w:bottom w:val="none" w:sz="0" w:space="0" w:color="auto"/>
        <w:right w:val="none" w:sz="0" w:space="0" w:color="auto"/>
      </w:divBdr>
    </w:div>
    <w:div w:id="1214658918">
      <w:bodyDiv w:val="1"/>
      <w:marLeft w:val="0"/>
      <w:marRight w:val="0"/>
      <w:marTop w:val="0"/>
      <w:marBottom w:val="0"/>
      <w:divBdr>
        <w:top w:val="none" w:sz="0" w:space="0" w:color="auto"/>
        <w:left w:val="none" w:sz="0" w:space="0" w:color="auto"/>
        <w:bottom w:val="none" w:sz="0" w:space="0" w:color="auto"/>
        <w:right w:val="none" w:sz="0" w:space="0" w:color="auto"/>
      </w:divBdr>
    </w:div>
    <w:div w:id="1242562833">
      <w:bodyDiv w:val="1"/>
      <w:marLeft w:val="0"/>
      <w:marRight w:val="0"/>
      <w:marTop w:val="0"/>
      <w:marBottom w:val="0"/>
      <w:divBdr>
        <w:top w:val="none" w:sz="0" w:space="0" w:color="auto"/>
        <w:left w:val="none" w:sz="0" w:space="0" w:color="auto"/>
        <w:bottom w:val="none" w:sz="0" w:space="0" w:color="auto"/>
        <w:right w:val="none" w:sz="0" w:space="0" w:color="auto"/>
      </w:divBdr>
    </w:div>
    <w:div w:id="1265116230">
      <w:bodyDiv w:val="1"/>
      <w:marLeft w:val="0"/>
      <w:marRight w:val="0"/>
      <w:marTop w:val="0"/>
      <w:marBottom w:val="0"/>
      <w:divBdr>
        <w:top w:val="none" w:sz="0" w:space="0" w:color="auto"/>
        <w:left w:val="none" w:sz="0" w:space="0" w:color="auto"/>
        <w:bottom w:val="none" w:sz="0" w:space="0" w:color="auto"/>
        <w:right w:val="none" w:sz="0" w:space="0" w:color="auto"/>
      </w:divBdr>
    </w:div>
    <w:div w:id="1295139895">
      <w:bodyDiv w:val="1"/>
      <w:marLeft w:val="0"/>
      <w:marRight w:val="0"/>
      <w:marTop w:val="0"/>
      <w:marBottom w:val="0"/>
      <w:divBdr>
        <w:top w:val="none" w:sz="0" w:space="0" w:color="auto"/>
        <w:left w:val="none" w:sz="0" w:space="0" w:color="auto"/>
        <w:bottom w:val="none" w:sz="0" w:space="0" w:color="auto"/>
        <w:right w:val="none" w:sz="0" w:space="0" w:color="auto"/>
      </w:divBdr>
    </w:div>
    <w:div w:id="1372530702">
      <w:bodyDiv w:val="1"/>
      <w:marLeft w:val="0"/>
      <w:marRight w:val="0"/>
      <w:marTop w:val="0"/>
      <w:marBottom w:val="0"/>
      <w:divBdr>
        <w:top w:val="none" w:sz="0" w:space="0" w:color="auto"/>
        <w:left w:val="none" w:sz="0" w:space="0" w:color="auto"/>
        <w:bottom w:val="none" w:sz="0" w:space="0" w:color="auto"/>
        <w:right w:val="none" w:sz="0" w:space="0" w:color="auto"/>
      </w:divBdr>
    </w:div>
    <w:div w:id="1393845773">
      <w:bodyDiv w:val="1"/>
      <w:marLeft w:val="0"/>
      <w:marRight w:val="0"/>
      <w:marTop w:val="0"/>
      <w:marBottom w:val="0"/>
      <w:divBdr>
        <w:top w:val="none" w:sz="0" w:space="0" w:color="auto"/>
        <w:left w:val="none" w:sz="0" w:space="0" w:color="auto"/>
        <w:bottom w:val="none" w:sz="0" w:space="0" w:color="auto"/>
        <w:right w:val="none" w:sz="0" w:space="0" w:color="auto"/>
      </w:divBdr>
    </w:div>
    <w:div w:id="1401051747">
      <w:bodyDiv w:val="1"/>
      <w:marLeft w:val="0"/>
      <w:marRight w:val="0"/>
      <w:marTop w:val="0"/>
      <w:marBottom w:val="0"/>
      <w:divBdr>
        <w:top w:val="none" w:sz="0" w:space="0" w:color="auto"/>
        <w:left w:val="none" w:sz="0" w:space="0" w:color="auto"/>
        <w:bottom w:val="none" w:sz="0" w:space="0" w:color="auto"/>
        <w:right w:val="none" w:sz="0" w:space="0" w:color="auto"/>
      </w:divBdr>
    </w:div>
    <w:div w:id="1473330710">
      <w:bodyDiv w:val="1"/>
      <w:marLeft w:val="0"/>
      <w:marRight w:val="0"/>
      <w:marTop w:val="0"/>
      <w:marBottom w:val="0"/>
      <w:divBdr>
        <w:top w:val="none" w:sz="0" w:space="0" w:color="auto"/>
        <w:left w:val="none" w:sz="0" w:space="0" w:color="auto"/>
        <w:bottom w:val="none" w:sz="0" w:space="0" w:color="auto"/>
        <w:right w:val="none" w:sz="0" w:space="0" w:color="auto"/>
      </w:divBdr>
    </w:div>
    <w:div w:id="1579708821">
      <w:bodyDiv w:val="1"/>
      <w:marLeft w:val="0"/>
      <w:marRight w:val="0"/>
      <w:marTop w:val="0"/>
      <w:marBottom w:val="0"/>
      <w:divBdr>
        <w:top w:val="none" w:sz="0" w:space="0" w:color="auto"/>
        <w:left w:val="none" w:sz="0" w:space="0" w:color="auto"/>
        <w:bottom w:val="none" w:sz="0" w:space="0" w:color="auto"/>
        <w:right w:val="none" w:sz="0" w:space="0" w:color="auto"/>
      </w:divBdr>
    </w:div>
    <w:div w:id="1621106058">
      <w:bodyDiv w:val="1"/>
      <w:marLeft w:val="0"/>
      <w:marRight w:val="0"/>
      <w:marTop w:val="0"/>
      <w:marBottom w:val="0"/>
      <w:divBdr>
        <w:top w:val="none" w:sz="0" w:space="0" w:color="auto"/>
        <w:left w:val="none" w:sz="0" w:space="0" w:color="auto"/>
        <w:bottom w:val="none" w:sz="0" w:space="0" w:color="auto"/>
        <w:right w:val="none" w:sz="0" w:space="0" w:color="auto"/>
      </w:divBdr>
    </w:div>
    <w:div w:id="1623458328">
      <w:bodyDiv w:val="1"/>
      <w:marLeft w:val="0"/>
      <w:marRight w:val="0"/>
      <w:marTop w:val="0"/>
      <w:marBottom w:val="0"/>
      <w:divBdr>
        <w:top w:val="none" w:sz="0" w:space="0" w:color="auto"/>
        <w:left w:val="none" w:sz="0" w:space="0" w:color="auto"/>
        <w:bottom w:val="none" w:sz="0" w:space="0" w:color="auto"/>
        <w:right w:val="none" w:sz="0" w:space="0" w:color="auto"/>
      </w:divBdr>
    </w:div>
    <w:div w:id="1634556527">
      <w:bodyDiv w:val="1"/>
      <w:marLeft w:val="0"/>
      <w:marRight w:val="0"/>
      <w:marTop w:val="0"/>
      <w:marBottom w:val="0"/>
      <w:divBdr>
        <w:top w:val="none" w:sz="0" w:space="0" w:color="auto"/>
        <w:left w:val="none" w:sz="0" w:space="0" w:color="auto"/>
        <w:bottom w:val="none" w:sz="0" w:space="0" w:color="auto"/>
        <w:right w:val="none" w:sz="0" w:space="0" w:color="auto"/>
      </w:divBdr>
    </w:div>
    <w:div w:id="1729183548">
      <w:bodyDiv w:val="1"/>
      <w:marLeft w:val="0"/>
      <w:marRight w:val="0"/>
      <w:marTop w:val="0"/>
      <w:marBottom w:val="0"/>
      <w:divBdr>
        <w:top w:val="none" w:sz="0" w:space="0" w:color="auto"/>
        <w:left w:val="none" w:sz="0" w:space="0" w:color="auto"/>
        <w:bottom w:val="none" w:sz="0" w:space="0" w:color="auto"/>
        <w:right w:val="none" w:sz="0" w:space="0" w:color="auto"/>
      </w:divBdr>
    </w:div>
    <w:div w:id="1753815460">
      <w:bodyDiv w:val="1"/>
      <w:marLeft w:val="0"/>
      <w:marRight w:val="0"/>
      <w:marTop w:val="0"/>
      <w:marBottom w:val="0"/>
      <w:divBdr>
        <w:top w:val="none" w:sz="0" w:space="0" w:color="auto"/>
        <w:left w:val="none" w:sz="0" w:space="0" w:color="auto"/>
        <w:bottom w:val="none" w:sz="0" w:space="0" w:color="auto"/>
        <w:right w:val="none" w:sz="0" w:space="0" w:color="auto"/>
      </w:divBdr>
    </w:div>
    <w:div w:id="1760515083">
      <w:bodyDiv w:val="1"/>
      <w:marLeft w:val="0"/>
      <w:marRight w:val="0"/>
      <w:marTop w:val="0"/>
      <w:marBottom w:val="0"/>
      <w:divBdr>
        <w:top w:val="none" w:sz="0" w:space="0" w:color="auto"/>
        <w:left w:val="none" w:sz="0" w:space="0" w:color="auto"/>
        <w:bottom w:val="none" w:sz="0" w:space="0" w:color="auto"/>
        <w:right w:val="none" w:sz="0" w:space="0" w:color="auto"/>
      </w:divBdr>
    </w:div>
    <w:div w:id="1769697929">
      <w:bodyDiv w:val="1"/>
      <w:marLeft w:val="0"/>
      <w:marRight w:val="0"/>
      <w:marTop w:val="0"/>
      <w:marBottom w:val="0"/>
      <w:divBdr>
        <w:top w:val="none" w:sz="0" w:space="0" w:color="auto"/>
        <w:left w:val="none" w:sz="0" w:space="0" w:color="auto"/>
        <w:bottom w:val="none" w:sz="0" w:space="0" w:color="auto"/>
        <w:right w:val="none" w:sz="0" w:space="0" w:color="auto"/>
      </w:divBdr>
    </w:div>
    <w:div w:id="1770545502">
      <w:bodyDiv w:val="1"/>
      <w:marLeft w:val="0"/>
      <w:marRight w:val="0"/>
      <w:marTop w:val="0"/>
      <w:marBottom w:val="0"/>
      <w:divBdr>
        <w:top w:val="none" w:sz="0" w:space="0" w:color="auto"/>
        <w:left w:val="none" w:sz="0" w:space="0" w:color="auto"/>
        <w:bottom w:val="none" w:sz="0" w:space="0" w:color="auto"/>
        <w:right w:val="none" w:sz="0" w:space="0" w:color="auto"/>
      </w:divBdr>
    </w:div>
    <w:div w:id="1832789283">
      <w:bodyDiv w:val="1"/>
      <w:marLeft w:val="0"/>
      <w:marRight w:val="0"/>
      <w:marTop w:val="0"/>
      <w:marBottom w:val="0"/>
      <w:divBdr>
        <w:top w:val="none" w:sz="0" w:space="0" w:color="auto"/>
        <w:left w:val="none" w:sz="0" w:space="0" w:color="auto"/>
        <w:bottom w:val="none" w:sz="0" w:space="0" w:color="auto"/>
        <w:right w:val="none" w:sz="0" w:space="0" w:color="auto"/>
      </w:divBdr>
    </w:div>
    <w:div w:id="1890192403">
      <w:bodyDiv w:val="1"/>
      <w:marLeft w:val="0"/>
      <w:marRight w:val="0"/>
      <w:marTop w:val="0"/>
      <w:marBottom w:val="0"/>
      <w:divBdr>
        <w:top w:val="none" w:sz="0" w:space="0" w:color="auto"/>
        <w:left w:val="none" w:sz="0" w:space="0" w:color="auto"/>
        <w:bottom w:val="none" w:sz="0" w:space="0" w:color="auto"/>
        <w:right w:val="none" w:sz="0" w:space="0" w:color="auto"/>
      </w:divBdr>
    </w:div>
    <w:div w:id="1894612407">
      <w:bodyDiv w:val="1"/>
      <w:marLeft w:val="0"/>
      <w:marRight w:val="0"/>
      <w:marTop w:val="0"/>
      <w:marBottom w:val="0"/>
      <w:divBdr>
        <w:top w:val="none" w:sz="0" w:space="0" w:color="auto"/>
        <w:left w:val="none" w:sz="0" w:space="0" w:color="auto"/>
        <w:bottom w:val="none" w:sz="0" w:space="0" w:color="auto"/>
        <w:right w:val="none" w:sz="0" w:space="0" w:color="auto"/>
      </w:divBdr>
    </w:div>
    <w:div w:id="1911187834">
      <w:bodyDiv w:val="1"/>
      <w:marLeft w:val="0"/>
      <w:marRight w:val="0"/>
      <w:marTop w:val="0"/>
      <w:marBottom w:val="0"/>
      <w:divBdr>
        <w:top w:val="none" w:sz="0" w:space="0" w:color="auto"/>
        <w:left w:val="none" w:sz="0" w:space="0" w:color="auto"/>
        <w:bottom w:val="none" w:sz="0" w:space="0" w:color="auto"/>
        <w:right w:val="none" w:sz="0" w:space="0" w:color="auto"/>
      </w:divBdr>
    </w:div>
    <w:div w:id="1934849340">
      <w:bodyDiv w:val="1"/>
      <w:marLeft w:val="0"/>
      <w:marRight w:val="0"/>
      <w:marTop w:val="0"/>
      <w:marBottom w:val="0"/>
      <w:divBdr>
        <w:top w:val="none" w:sz="0" w:space="0" w:color="auto"/>
        <w:left w:val="none" w:sz="0" w:space="0" w:color="auto"/>
        <w:bottom w:val="none" w:sz="0" w:space="0" w:color="auto"/>
        <w:right w:val="none" w:sz="0" w:space="0" w:color="auto"/>
      </w:divBdr>
    </w:div>
    <w:div w:id="1946957659">
      <w:bodyDiv w:val="1"/>
      <w:marLeft w:val="0"/>
      <w:marRight w:val="0"/>
      <w:marTop w:val="0"/>
      <w:marBottom w:val="0"/>
      <w:divBdr>
        <w:top w:val="none" w:sz="0" w:space="0" w:color="auto"/>
        <w:left w:val="none" w:sz="0" w:space="0" w:color="auto"/>
        <w:bottom w:val="none" w:sz="0" w:space="0" w:color="auto"/>
        <w:right w:val="none" w:sz="0" w:space="0" w:color="auto"/>
      </w:divBdr>
    </w:div>
    <w:div w:id="1954089872">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 w:id="1993022069">
      <w:bodyDiv w:val="1"/>
      <w:marLeft w:val="0"/>
      <w:marRight w:val="0"/>
      <w:marTop w:val="0"/>
      <w:marBottom w:val="0"/>
      <w:divBdr>
        <w:top w:val="none" w:sz="0" w:space="0" w:color="auto"/>
        <w:left w:val="none" w:sz="0" w:space="0" w:color="auto"/>
        <w:bottom w:val="none" w:sz="0" w:space="0" w:color="auto"/>
        <w:right w:val="none" w:sz="0" w:space="0" w:color="auto"/>
      </w:divBdr>
    </w:div>
    <w:div w:id="2052878369">
      <w:bodyDiv w:val="1"/>
      <w:marLeft w:val="0"/>
      <w:marRight w:val="0"/>
      <w:marTop w:val="0"/>
      <w:marBottom w:val="0"/>
      <w:divBdr>
        <w:top w:val="none" w:sz="0" w:space="0" w:color="auto"/>
        <w:left w:val="none" w:sz="0" w:space="0" w:color="auto"/>
        <w:bottom w:val="none" w:sz="0" w:space="0" w:color="auto"/>
        <w:right w:val="none" w:sz="0" w:space="0" w:color="auto"/>
      </w:divBdr>
    </w:div>
    <w:div w:id="2079357694">
      <w:bodyDiv w:val="1"/>
      <w:marLeft w:val="0"/>
      <w:marRight w:val="0"/>
      <w:marTop w:val="0"/>
      <w:marBottom w:val="0"/>
      <w:divBdr>
        <w:top w:val="none" w:sz="0" w:space="0" w:color="auto"/>
        <w:left w:val="none" w:sz="0" w:space="0" w:color="auto"/>
        <w:bottom w:val="none" w:sz="0" w:space="0" w:color="auto"/>
        <w:right w:val="none" w:sz="0" w:space="0" w:color="auto"/>
      </w:divBdr>
    </w:div>
    <w:div w:id="2088764551">
      <w:bodyDiv w:val="1"/>
      <w:marLeft w:val="0"/>
      <w:marRight w:val="0"/>
      <w:marTop w:val="0"/>
      <w:marBottom w:val="0"/>
      <w:divBdr>
        <w:top w:val="none" w:sz="0" w:space="0" w:color="auto"/>
        <w:left w:val="none" w:sz="0" w:space="0" w:color="auto"/>
        <w:bottom w:val="none" w:sz="0" w:space="0" w:color="auto"/>
        <w:right w:val="none" w:sz="0" w:space="0" w:color="auto"/>
      </w:divBdr>
    </w:div>
    <w:div w:id="21455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_rels/endnotes.xml.rels><?xml version="1.0" encoding="UTF-8" standalone="yes"?>
<Relationships xmlns="http://schemas.openxmlformats.org/package/2006/relationships"><Relationship Id="rId8" Type="http://schemas.openxmlformats.org/officeDocument/2006/relationships/hyperlink" Target="https://www.ndrc.gov.cn/xwdt/tzgg/202502/t20250209_1396067_ext.html" TargetMode="External"/><Relationship Id="rId3" Type="http://schemas.openxmlformats.org/officeDocument/2006/relationships/hyperlink" Target="https://dialogue.earth/en/energy/how-china-completely-redefined-a-key-energy-target/" TargetMode="External"/><Relationship Id="rId7" Type="http://schemas.openxmlformats.org/officeDocument/2006/relationships/hyperlink" Target="https://english.news.cn/20250331/8bb6bf82240b4cd38cdba72c1d27e367/c.html?utm_source=cbnewsletter&amp;utm_medium=email&amp;utm_term=2025-04-01&amp;utm_campaign=Daily+Briefing+31+03+2025" TargetMode="External"/><Relationship Id="rId2" Type="http://schemas.openxmlformats.org/officeDocument/2006/relationships/hyperlink" Target="https://www.cet.energy/2025/03/13/summary-of-chinas-energy-and-power-sector-statistics-in-2024/" TargetMode="External"/><Relationship Id="rId1" Type="http://schemas.openxmlformats.org/officeDocument/2006/relationships/hyperlink" Target="https://iea.blob.core.windows.net/assets/5b169aa1-bc88-4c96-b828-aaa50406ba80/GlobalEnergyReview2025.pdf" TargetMode="External"/><Relationship Id="rId6" Type="http://schemas.openxmlformats.org/officeDocument/2006/relationships/hyperlink" Target="https://english.www.gov.cn/archive/statistics/202501/28/content_WS6798b145c6d0868f4e8ef3e6.html" TargetMode="External"/><Relationship Id="rId5" Type="http://schemas.openxmlformats.org/officeDocument/2006/relationships/hyperlink" Target="https://www.fujian.gov.cn/english/news/202108/t20210809_5665713.htm" TargetMode="External"/><Relationship Id="rId10" Type="http://schemas.openxmlformats.org/officeDocument/2006/relationships/hyperlink" Target="https://www.ndrc.gov.cn/xxgk/zcfb/tz/202504/P020250414408263597120.pdf" TargetMode="External"/><Relationship Id="rId4" Type="http://schemas.openxmlformats.org/officeDocument/2006/relationships/hyperlink" Target="https://www.nea.gov.cn/20250120/4f7f249bac714e7693adecac996d742f/c.html" TargetMode="External"/><Relationship Id="rId9" Type="http://schemas.openxmlformats.org/officeDocument/2006/relationships/hyperlink" Target="https://www.gov.cn/yaowen/liebiao/202411/content_6985761.htm"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1380</Words>
  <Characters>7592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STOS Louis</cp:lastModifiedBy>
  <cp:revision>62</cp:revision>
  <cp:lastPrinted>2025-04-29T11:21:00Z</cp:lastPrinted>
  <dcterms:created xsi:type="dcterms:W3CDTF">2025-05-20T07:28:00Z</dcterms:created>
  <dcterms:modified xsi:type="dcterms:W3CDTF">2025-06-17T07:43:00Z</dcterms:modified>
</cp:coreProperties>
</file>