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0C987" w14:textId="77777777" w:rsidR="00EB71C0" w:rsidRDefault="007939AE" w:rsidP="00EB71C0">
      <w:pPr>
        <w:spacing w:before="80" w:after="80"/>
        <w:ind w:right="1"/>
        <w:jc w:val="center"/>
        <w:rPr>
          <w:rFonts w:ascii="Segoe UI" w:hAnsi="Segoe UI" w:cs="Segoe UI"/>
          <w:color w:val="000091" w:themeColor="text1"/>
          <w:sz w:val="32"/>
          <w:szCs w:val="20"/>
          <w:lang w:eastAsia="fr-FR"/>
        </w:rPr>
      </w:pPr>
      <w:r w:rsidRPr="00490B3C">
        <w:rPr>
          <w:rFonts w:ascii="Segoe UI" w:hAnsi="Segoe UI" w:cs="Segoe UI"/>
          <w:noProof/>
          <w:color w:val="000091" w:themeColor="text1"/>
        </w:rPr>
        <w:drawing>
          <wp:anchor distT="0" distB="0" distL="114300" distR="114300" simplePos="0" relativeHeight="251658240" behindDoc="1" locked="0" layoutInCell="1" allowOverlap="1" wp14:anchorId="56177B8F" wp14:editId="34FB05B7">
            <wp:simplePos x="0" y="0"/>
            <wp:positionH relativeFrom="column">
              <wp:posOffset>-506095</wp:posOffset>
            </wp:positionH>
            <wp:positionV relativeFrom="page">
              <wp:posOffset>312420</wp:posOffset>
            </wp:positionV>
            <wp:extent cx="2638425" cy="936625"/>
            <wp:effectExtent l="0" t="0" r="9525" b="0"/>
            <wp:wrapTopAndBottom/>
            <wp:docPr id="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798">
        <w:rPr>
          <w:rFonts w:ascii="Segoe UI" w:hAnsi="Segoe UI" w:cs="Segoe UI"/>
          <w:noProof/>
          <w:color w:val="000091" w:themeColor="text1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16D250F6" wp14:editId="7176FFA3">
                <wp:simplePos x="0" y="0"/>
                <wp:positionH relativeFrom="column">
                  <wp:posOffset>-528320</wp:posOffset>
                </wp:positionH>
                <wp:positionV relativeFrom="paragraph">
                  <wp:posOffset>1405255</wp:posOffset>
                </wp:positionV>
                <wp:extent cx="6800850" cy="3619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361950"/>
                        </a:xfrm>
                        <a:prstGeom prst="rect">
                          <a:avLst/>
                        </a:prstGeom>
                        <a:solidFill>
                          <a:srgbClr val="FCC6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3FE0E" w14:textId="14F5F54C" w:rsidR="00532CE3" w:rsidRDefault="00EB71C0" w:rsidP="00532CE3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91" w:themeColor="text1"/>
                                <w:sz w:val="32"/>
                                <w:szCs w:val="20"/>
                              </w:rPr>
                              <w:t>BELGIQUE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250F6" id="Rectangle 4" o:spid="_x0000_s1026" style="position:absolute;left:0;text-align:left;margin-left:-41.6pt;margin-top:110.65pt;width:535.5pt;height:28.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" fillcolor="#fcc63a" stroked="f" strokeweight="1pt">
                <v:textbox>
                  <w:txbxContent>
                    <w:p w14:paraId="2ED3FE0E" w14:textId="14F5F54C" w:rsidR="00532CE3" w:rsidRDefault="00EB71C0" w:rsidP="00532CE3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0091" w:themeColor="text1"/>
                          <w:sz w:val="32"/>
                          <w:szCs w:val="20"/>
                        </w:rPr>
                        <w:t>BELGIQUE</w:t>
                      </w:r>
                    </w:p>
                  </w:txbxContent>
                </v:textbox>
              </v:rect>
            </w:pict>
          </mc:Fallback>
        </mc:AlternateContent>
      </w:r>
      <w:r w:rsidR="00FD7798" w:rsidRPr="00490B3C">
        <w:rPr>
          <w:rFonts w:ascii="Segoe UI" w:hAnsi="Segoe UI" w:cs="Segoe UI"/>
          <w:noProof/>
          <w:color w:val="000091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DE714" wp14:editId="4BE5B3E9">
                <wp:simplePos x="0" y="0"/>
                <wp:positionH relativeFrom="margin">
                  <wp:posOffset>3691255</wp:posOffset>
                </wp:positionH>
                <wp:positionV relativeFrom="paragraph">
                  <wp:posOffset>986774</wp:posOffset>
                </wp:positionV>
                <wp:extent cx="2508250" cy="4000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31003E" w14:textId="35D8EDAD" w:rsidR="00490B3C" w:rsidRPr="00A7004D" w:rsidRDefault="00490B3C" w:rsidP="00490B3C">
                            <w:pPr>
                              <w:tabs>
                                <w:tab w:val="left" w:pos="3969"/>
                              </w:tabs>
                              <w:spacing w:after="0"/>
                              <w:jc w:val="right"/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</w:pPr>
                            <w:r w:rsidRPr="00A7004D"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  <w:t>Affaire suivie par</w:t>
                            </w:r>
                            <w:r w:rsidR="00EB71C0"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  <w:t xml:space="preserve"> : Eva </w:t>
                            </w:r>
                            <w:proofErr w:type="spellStart"/>
                            <w:r w:rsidR="00EB71C0"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  <w:t>Salavera</w:t>
                            </w:r>
                            <w:proofErr w:type="spellEnd"/>
                          </w:p>
                          <w:p w14:paraId="07E31681" w14:textId="4B5C7F33" w:rsidR="00490B3C" w:rsidRPr="00A7004D" w:rsidRDefault="00490B3C" w:rsidP="00490B3C">
                            <w:pPr>
                              <w:tabs>
                                <w:tab w:val="left" w:pos="3969"/>
                              </w:tabs>
                              <w:spacing w:after="0"/>
                              <w:jc w:val="right"/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</w:pPr>
                            <w:r w:rsidRPr="00A7004D"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  <w:t xml:space="preserve">Visa : </w:t>
                            </w:r>
                            <w:r w:rsidR="00EB71C0"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  <w:t>Arnaud Boulanger</w:t>
                            </w:r>
                          </w:p>
                          <w:p w14:paraId="067872AE" w14:textId="7EEE9B92" w:rsidR="008A3AD5" w:rsidRPr="00A0743B" w:rsidRDefault="008A3AD5" w:rsidP="00490B3C">
                            <w:pPr>
                              <w:spacing w:after="0"/>
                              <w:ind w:left="142" w:right="-88"/>
                              <w:jc w:val="right"/>
                              <w:rPr>
                                <w:rFonts w:ascii="Arial" w:hAnsi="Arial" w:cs="Arial"/>
                                <w:color w:val="000091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DE71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left:0;text-align:left;margin-left:290.65pt;margin-top:77.7pt;width:197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" filled="f" stroked="f" strokeweight=".5pt">
                <v:textbox>
                  <w:txbxContent>
                    <w:p w14:paraId="1931003E" w14:textId="35D8EDAD" w:rsidR="00490B3C" w:rsidRPr="00A7004D" w:rsidRDefault="00490B3C" w:rsidP="00490B3C">
                      <w:pPr>
                        <w:tabs>
                          <w:tab w:val="left" w:pos="3969"/>
                        </w:tabs>
                        <w:spacing w:after="0"/>
                        <w:jc w:val="right"/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</w:pPr>
                      <w:r w:rsidRPr="00A7004D"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>Affaire suivie par</w:t>
                      </w:r>
                      <w:r w:rsidR="00EB71C0"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 xml:space="preserve"> : Eva </w:t>
                      </w:r>
                      <w:proofErr w:type="spellStart"/>
                      <w:r w:rsidR="00EB71C0"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>Salavera</w:t>
                      </w:r>
                      <w:proofErr w:type="spellEnd"/>
                    </w:p>
                    <w:p w14:paraId="07E31681" w14:textId="4B5C7F33" w:rsidR="00490B3C" w:rsidRPr="00A7004D" w:rsidRDefault="00490B3C" w:rsidP="00490B3C">
                      <w:pPr>
                        <w:tabs>
                          <w:tab w:val="left" w:pos="3969"/>
                        </w:tabs>
                        <w:spacing w:after="0"/>
                        <w:jc w:val="right"/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</w:pPr>
                      <w:r w:rsidRPr="00A7004D"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 xml:space="preserve">Visa : </w:t>
                      </w:r>
                      <w:r w:rsidR="00EB71C0"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>Arnaud Boulanger</w:t>
                      </w:r>
                    </w:p>
                    <w:p w14:paraId="067872AE" w14:textId="7EEE9B92" w:rsidR="008A3AD5" w:rsidRPr="00A0743B" w:rsidRDefault="008A3AD5" w:rsidP="00490B3C">
                      <w:pPr>
                        <w:spacing w:after="0"/>
                        <w:ind w:left="142" w:right="-88"/>
                        <w:jc w:val="right"/>
                        <w:rPr>
                          <w:rFonts w:ascii="Arial" w:hAnsi="Arial" w:cs="Arial"/>
                          <w:color w:val="000091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7798" w:rsidRPr="00490B3C">
        <w:rPr>
          <w:rFonts w:ascii="Segoe UI" w:hAnsi="Segoe UI" w:cs="Segoe UI"/>
          <w:noProof/>
          <w:color w:val="000091" w:themeColor="tex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87A5E4" wp14:editId="7E3795FC">
                <wp:simplePos x="0" y="0"/>
                <wp:positionH relativeFrom="margin">
                  <wp:posOffset>3844290</wp:posOffset>
                </wp:positionH>
                <wp:positionV relativeFrom="paragraph">
                  <wp:posOffset>605155</wp:posOffset>
                </wp:positionV>
                <wp:extent cx="2524125" cy="35242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11769" w14:textId="33274C0A" w:rsidR="00490B3C" w:rsidRPr="00532CE3" w:rsidRDefault="00EB71C0" w:rsidP="00490B3C">
                            <w:pPr>
                              <w:spacing w:before="120" w:after="120"/>
                              <w:ind w:right="284"/>
                              <w:jc w:val="right"/>
                              <w:rPr>
                                <w:color w:val="986E02" w:themeColor="accent2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986E02" w:themeColor="accent2" w:themeShade="80"/>
                                <w:sz w:val="17"/>
                                <w:szCs w:val="17"/>
                                <w:lang w:eastAsia="ja-JP"/>
                              </w:rPr>
                              <w:t xml:space="preserve">Bruxelles, le </w:t>
                            </w:r>
                            <w:r w:rsidR="00850E8D">
                              <w:rPr>
                                <w:rFonts w:ascii="Segoe UI" w:hAnsi="Segoe UI" w:cs="Segoe UI"/>
                                <w:color w:val="986E02" w:themeColor="accent2" w:themeShade="80"/>
                                <w:sz w:val="17"/>
                                <w:szCs w:val="17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Segoe UI" w:hAnsi="Segoe UI" w:cs="Segoe UI"/>
                                <w:color w:val="986E02" w:themeColor="accent2" w:themeShade="80"/>
                                <w:sz w:val="17"/>
                                <w:szCs w:val="17"/>
                                <w:lang w:eastAsia="ja-JP"/>
                              </w:rPr>
                              <w:t>2 juin 2025</w:t>
                            </w:r>
                          </w:p>
                          <w:p w14:paraId="36A3B918" w14:textId="266F4991" w:rsidR="00490B3C" w:rsidRPr="00490B3C" w:rsidRDefault="00490B3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A5E4" id="Zone de texte 2" o:spid="_x0000_s1028" type="#_x0000_t202" style="position:absolute;left:0;text-align:left;margin-left:302.7pt;margin-top:47.65pt;width:198.75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" filled="f" stroked="f">
                <v:textbox>
                  <w:txbxContent>
                    <w:p w14:paraId="44111769" w14:textId="33274C0A" w:rsidR="00490B3C" w:rsidRPr="00532CE3" w:rsidRDefault="00EB71C0" w:rsidP="00490B3C">
                      <w:pPr>
                        <w:spacing w:before="120" w:after="120"/>
                        <w:ind w:right="284"/>
                        <w:jc w:val="right"/>
                        <w:rPr>
                          <w:color w:val="986E02" w:themeColor="accent2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Segoe UI" w:hAnsi="Segoe UI" w:cs="Segoe UI"/>
                          <w:color w:val="986E02" w:themeColor="accent2" w:themeShade="80"/>
                          <w:sz w:val="17"/>
                          <w:szCs w:val="17"/>
                          <w:lang w:eastAsia="ja-JP"/>
                        </w:rPr>
                        <w:t xml:space="preserve">Bruxelles, le </w:t>
                      </w:r>
                      <w:r w:rsidR="00850E8D">
                        <w:rPr>
                          <w:rFonts w:ascii="Segoe UI" w:hAnsi="Segoe UI" w:cs="Segoe UI"/>
                          <w:color w:val="986E02" w:themeColor="accent2" w:themeShade="80"/>
                          <w:sz w:val="17"/>
                          <w:szCs w:val="17"/>
                          <w:lang w:eastAsia="ja-JP"/>
                        </w:rPr>
                        <w:t>1</w:t>
                      </w:r>
                      <w:r>
                        <w:rPr>
                          <w:rFonts w:ascii="Segoe UI" w:hAnsi="Segoe UI" w:cs="Segoe UI"/>
                          <w:color w:val="986E02" w:themeColor="accent2" w:themeShade="80"/>
                          <w:sz w:val="17"/>
                          <w:szCs w:val="17"/>
                          <w:lang w:eastAsia="ja-JP"/>
                        </w:rPr>
                        <w:t>2 juin 2025</w:t>
                      </w:r>
                    </w:p>
                    <w:p w14:paraId="36A3B918" w14:textId="266F4991" w:rsidR="00490B3C" w:rsidRPr="00490B3C" w:rsidRDefault="00490B3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7798" w:rsidRPr="00490B3C">
        <w:rPr>
          <w:rFonts w:ascii="Segoe UI" w:hAnsi="Segoe UI" w:cs="Segoe UI"/>
          <w:noProof/>
          <w:color w:val="000091" w:themeColor="text1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1112931" wp14:editId="169F4823">
                <wp:simplePos x="0" y="0"/>
                <wp:positionH relativeFrom="column">
                  <wp:posOffset>-528320</wp:posOffset>
                </wp:positionH>
                <wp:positionV relativeFrom="paragraph">
                  <wp:posOffset>935355</wp:posOffset>
                </wp:positionV>
                <wp:extent cx="6800850" cy="476250"/>
                <wp:effectExtent l="0" t="0" r="0" b="0"/>
                <wp:wrapTopAndBottom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4762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5B737" w14:textId="4E4C4FCB" w:rsidR="00490B3C" w:rsidRPr="00532CE3" w:rsidRDefault="00490B3C" w:rsidP="00490B3C">
                            <w:pPr>
                              <w:tabs>
                                <w:tab w:val="left" w:pos="3969"/>
                              </w:tabs>
                              <w:spacing w:after="0"/>
                              <w:ind w:left="57"/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532CE3"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  <w:t xml:space="preserve">Ambassade de </w:t>
                            </w:r>
                            <w:r w:rsidR="00EB71C0"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  <w:t>France en Belgique</w:t>
                            </w:r>
                          </w:p>
                          <w:p w14:paraId="3D62CBBB" w14:textId="354FAE97" w:rsidR="008A3AD5" w:rsidRPr="00A0743B" w:rsidRDefault="00490B3C" w:rsidP="00490B3C">
                            <w:pPr>
                              <w:spacing w:after="0"/>
                              <w:ind w:left="57" w:right="614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32CE3"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  <w:t>Service économiqu</w:t>
                            </w:r>
                            <w:r w:rsidR="00EB71C0"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  <w:t>e de Bruxelles</w:t>
                            </w:r>
                            <w:r w:rsidR="008A3AD5" w:rsidRPr="00532CE3"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  <w:r w:rsidR="008A3AD5" w:rsidRPr="00A0743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12931" id="Rectangle 2" o:spid="_x0000_s1029" style="position:absolute;left:0;text-align:left;margin-left:-41.6pt;margin-top:73.65pt;width:535.5pt;height:37.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" fillcolor="#fde8b0 [1301]" stroked="f" strokeweight="1pt">
                <v:textbox>
                  <w:txbxContent>
                    <w:p w14:paraId="7465B737" w14:textId="4E4C4FCB" w:rsidR="00490B3C" w:rsidRPr="00532CE3" w:rsidRDefault="00490B3C" w:rsidP="00490B3C">
                      <w:pPr>
                        <w:tabs>
                          <w:tab w:val="left" w:pos="3969"/>
                        </w:tabs>
                        <w:spacing w:after="0"/>
                        <w:ind w:left="57"/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</w:pPr>
                      <w:r w:rsidRPr="00532CE3"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  <w:t xml:space="preserve">Ambassade de </w:t>
                      </w:r>
                      <w:r w:rsidR="00EB71C0"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  <w:t>France en Belgique</w:t>
                      </w:r>
                    </w:p>
                    <w:p w14:paraId="3D62CBBB" w14:textId="354FAE97" w:rsidR="008A3AD5" w:rsidRPr="00A0743B" w:rsidRDefault="00490B3C" w:rsidP="00490B3C">
                      <w:pPr>
                        <w:spacing w:after="0"/>
                        <w:ind w:left="57" w:right="614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32CE3"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  <w:t>Service économiqu</w:t>
                      </w:r>
                      <w:r w:rsidR="00EB71C0"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  <w:t>e de Bruxelles</w:t>
                      </w:r>
                      <w:r w:rsidR="008A3AD5" w:rsidRPr="00532CE3">
                        <w:rPr>
                          <w:rFonts w:ascii="Arial" w:hAnsi="Arial" w:cs="Arial"/>
                          <w:bCs/>
                        </w:rPr>
                        <w:tab/>
                      </w:r>
                      <w:r w:rsidR="008A3AD5" w:rsidRPr="00A0743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32CE3" w:rsidRPr="00490B3C">
        <w:rPr>
          <w:rFonts w:ascii="Segoe UI" w:hAnsi="Segoe UI" w:cs="Segoe UI"/>
          <w:color w:val="000091" w:themeColor="text1"/>
          <w:sz w:val="44"/>
          <w:szCs w:val="28"/>
        </w:rPr>
        <w:t xml:space="preserve"> </w:t>
      </w:r>
      <w:r w:rsidR="00490B3C" w:rsidRPr="00490B3C">
        <w:rPr>
          <w:rFonts w:ascii="Segoe UI" w:hAnsi="Segoe UI" w:cs="Segoe UI"/>
          <w:color w:val="000091" w:themeColor="text1"/>
          <w:sz w:val="44"/>
          <w:szCs w:val="28"/>
        </w:rPr>
        <w:br/>
      </w:r>
      <w:r w:rsidR="00EB71C0">
        <w:rPr>
          <w:rFonts w:ascii="Segoe UI" w:hAnsi="Segoe UI" w:cs="Segoe UI"/>
          <w:color w:val="000091" w:themeColor="text1"/>
          <w:sz w:val="32"/>
          <w:szCs w:val="20"/>
          <w:lang w:eastAsia="fr-FR"/>
        </w:rPr>
        <w:t>Le commerce extérieur de la Belgique en 2024</w:t>
      </w:r>
    </w:p>
    <w:p w14:paraId="7D6C9CEE" w14:textId="3701C9C9" w:rsidR="005F3966" w:rsidRPr="0012234B" w:rsidRDefault="00EB71C0" w:rsidP="000C7B76">
      <w:pPr>
        <w:pStyle w:val="Introconclusion"/>
        <w:spacing w:after="120"/>
      </w:pPr>
      <w:r w:rsidRPr="001B2089">
        <w:t xml:space="preserve">Avec un taux d’ouverture de </w:t>
      </w:r>
      <w:r>
        <w:t>78,7</w:t>
      </w:r>
      <w:r w:rsidR="00BE4C6C">
        <w:t xml:space="preserve"> </w:t>
      </w:r>
      <w:r w:rsidRPr="0060197C">
        <w:t>%, la</w:t>
      </w:r>
      <w:r w:rsidRPr="001B2089">
        <w:t xml:space="preserve"> Belgique est l’une des économies les plus ouvertes de la zone euro. </w:t>
      </w:r>
      <w:r>
        <w:t>En 202</w:t>
      </w:r>
      <w:r w:rsidR="00E11459">
        <w:t>4</w:t>
      </w:r>
      <w:r>
        <w:t xml:space="preserve">, ses </w:t>
      </w:r>
      <w:r w:rsidRPr="00D708D8">
        <w:t>échange</w:t>
      </w:r>
      <w:r>
        <w:t>s</w:t>
      </w:r>
      <w:r w:rsidRPr="00D708D8">
        <w:t xml:space="preserve"> </w:t>
      </w:r>
      <w:r>
        <w:t xml:space="preserve">commerciaux se sont établis </w:t>
      </w:r>
      <w:r w:rsidRPr="00D708D8">
        <w:t xml:space="preserve">à </w:t>
      </w:r>
      <w:r w:rsidR="00571C27">
        <w:t>968,4</w:t>
      </w:r>
      <w:r>
        <w:t> </w:t>
      </w:r>
      <w:r w:rsidRPr="00D708D8">
        <w:t>Md€</w:t>
      </w:r>
      <w:r>
        <w:t xml:space="preserve"> selon l’agence du commerce extérieur, dont </w:t>
      </w:r>
      <w:r w:rsidR="00571C27">
        <w:t>493,8</w:t>
      </w:r>
      <w:r>
        <w:t> Md€ d’exportations (-</w:t>
      </w:r>
      <w:r w:rsidR="00571C27">
        <w:t>6,0</w:t>
      </w:r>
      <w:r w:rsidR="00BE4C6C">
        <w:t xml:space="preserve"> </w:t>
      </w:r>
      <w:r>
        <w:t xml:space="preserve">%) et </w:t>
      </w:r>
      <w:r w:rsidR="00571C27">
        <w:t>474</w:t>
      </w:r>
      <w:r>
        <w:t>,6 Md€ d’importations (-</w:t>
      </w:r>
      <w:r w:rsidR="00571C27">
        <w:t>7,7</w:t>
      </w:r>
      <w:r w:rsidR="00BE4C6C">
        <w:t xml:space="preserve"> </w:t>
      </w:r>
      <w:r>
        <w:t xml:space="preserve">%), </w:t>
      </w:r>
      <w:r w:rsidRPr="00C46251">
        <w:t>classant la Belgique au 1</w:t>
      </w:r>
      <w:r w:rsidR="00B72B9F">
        <w:t>6</w:t>
      </w:r>
      <w:r w:rsidRPr="00C46251">
        <w:rPr>
          <w:vertAlign w:val="superscript"/>
        </w:rPr>
        <w:t>ème</w:t>
      </w:r>
      <w:r w:rsidRPr="00C46251">
        <w:t xml:space="preserve"> rang mondial </w:t>
      </w:r>
      <w:r w:rsidRPr="00780E6D">
        <w:t>des pays exportateurs</w:t>
      </w:r>
      <w:r w:rsidR="00B72B9F" w:rsidRPr="00780E6D">
        <w:t xml:space="preserve"> </w:t>
      </w:r>
      <w:r w:rsidR="00E11459" w:rsidRPr="00780E6D">
        <w:t>(</w:t>
      </w:r>
      <w:r w:rsidR="00B72B9F" w:rsidRPr="00780E6D">
        <w:t>2023</w:t>
      </w:r>
      <w:r w:rsidR="00E11459" w:rsidRPr="00780E6D">
        <w:t>)</w:t>
      </w:r>
      <w:r w:rsidRPr="00780E6D">
        <w:t>. Etabli en excluant les flux de transit, qui représente</w:t>
      </w:r>
      <w:r w:rsidR="008B4323">
        <w:t>nt</w:t>
      </w:r>
      <w:r w:rsidRPr="00780E6D">
        <w:t xml:space="preserve"> en moyenne 40</w:t>
      </w:r>
      <w:r w:rsidR="00BE4C6C">
        <w:t xml:space="preserve"> </w:t>
      </w:r>
      <w:r w:rsidRPr="00780E6D">
        <w:t xml:space="preserve">% du commerce extérieur belge, ces échanges ressortent à </w:t>
      </w:r>
      <w:r w:rsidR="0020491B" w:rsidRPr="00780E6D">
        <w:t>687,9</w:t>
      </w:r>
      <w:r w:rsidRPr="00780E6D">
        <w:t> Md€, dont 3</w:t>
      </w:r>
      <w:r w:rsidR="0020491B" w:rsidRPr="00780E6D">
        <w:t>48,7</w:t>
      </w:r>
      <w:r w:rsidRPr="00780E6D">
        <w:t xml:space="preserve"> Md€ d’exportations et 3</w:t>
      </w:r>
      <w:r w:rsidR="0020491B" w:rsidRPr="00780E6D">
        <w:t>39,2</w:t>
      </w:r>
      <w:r w:rsidRPr="00780E6D">
        <w:t xml:space="preserve"> Md€ d’importations, en contraction de </w:t>
      </w:r>
      <w:r w:rsidR="0020491B" w:rsidRPr="00780E6D">
        <w:t>8,1</w:t>
      </w:r>
      <w:r w:rsidR="00BE4C6C">
        <w:t xml:space="preserve"> </w:t>
      </w:r>
      <w:r w:rsidRPr="00780E6D">
        <w:t>% par rapport à 202</w:t>
      </w:r>
      <w:r w:rsidR="0020491B" w:rsidRPr="00780E6D">
        <w:t>3</w:t>
      </w:r>
      <w:r w:rsidRPr="00780E6D">
        <w:t xml:space="preserve">, et dégagent un solde </w:t>
      </w:r>
      <w:r w:rsidR="0020491B" w:rsidRPr="00780E6D">
        <w:t>excédent</w:t>
      </w:r>
      <w:r w:rsidRPr="00780E6D">
        <w:t xml:space="preserve">aire de </w:t>
      </w:r>
      <w:r w:rsidR="0020491B" w:rsidRPr="00780E6D">
        <w:t>9,5</w:t>
      </w:r>
      <w:r w:rsidRPr="00780E6D">
        <w:t> Md€ en 202</w:t>
      </w:r>
      <w:r w:rsidR="0020491B" w:rsidRPr="00780E6D">
        <w:t>4</w:t>
      </w:r>
      <w:r w:rsidRPr="00780E6D">
        <w:t xml:space="preserve"> (contre </w:t>
      </w:r>
      <w:r w:rsidR="0020491B" w:rsidRPr="00780E6D">
        <w:t>-5,2</w:t>
      </w:r>
      <w:r w:rsidRPr="00780E6D">
        <w:t xml:space="preserve"> Md€ en 202</w:t>
      </w:r>
      <w:r w:rsidR="0020491B" w:rsidRPr="00780E6D">
        <w:t>3</w:t>
      </w:r>
      <w:r w:rsidRPr="00780E6D">
        <w:t>). Les échanges de biens de la Belgique sont dominés par les produits des industries chimiques et pharmaceutiques (2</w:t>
      </w:r>
      <w:r w:rsidR="00551D6A" w:rsidRPr="00780E6D">
        <w:t>3,3</w:t>
      </w:r>
      <w:r w:rsidR="00BE4C6C">
        <w:t xml:space="preserve"> </w:t>
      </w:r>
      <w:r w:rsidRPr="00780E6D">
        <w:t>% du volume total ; premier excédent sectoriel), les combustibles minéraux (1</w:t>
      </w:r>
      <w:r w:rsidR="00551D6A" w:rsidRPr="00780E6D">
        <w:t>4,6</w:t>
      </w:r>
      <w:r w:rsidR="00BE4C6C">
        <w:t xml:space="preserve"> </w:t>
      </w:r>
      <w:r w:rsidRPr="00780E6D">
        <w:t xml:space="preserve">%), </w:t>
      </w:r>
      <w:r w:rsidR="00780E6D" w:rsidRPr="00780E6D">
        <w:t>le matériel de transport (12,3</w:t>
      </w:r>
      <w:r w:rsidR="00BE4C6C">
        <w:t xml:space="preserve"> </w:t>
      </w:r>
      <w:r w:rsidR="00780E6D" w:rsidRPr="00780E6D">
        <w:t>%)</w:t>
      </w:r>
      <w:r w:rsidRPr="00780E6D">
        <w:t xml:space="preserve"> et </w:t>
      </w:r>
      <w:r w:rsidR="00FF77A0">
        <w:t>les machines, a</w:t>
      </w:r>
      <w:r w:rsidRPr="00780E6D">
        <w:t>ppareils électriques (1</w:t>
      </w:r>
      <w:r w:rsidR="00043B48" w:rsidRPr="00780E6D">
        <w:t>1,9</w:t>
      </w:r>
      <w:r w:rsidR="00BE4C6C">
        <w:t xml:space="preserve"> </w:t>
      </w:r>
      <w:r w:rsidRPr="00780E6D">
        <w:t>%)</w:t>
      </w:r>
      <w:r w:rsidR="00780E6D" w:rsidRPr="00780E6D">
        <w:t>.</w:t>
      </w:r>
      <w:r w:rsidR="001E0A91">
        <w:t xml:space="preserve"> Par ailleurs, le solde de la balance des services reste déficitaire en </w:t>
      </w:r>
      <w:r w:rsidR="00D2239F">
        <w:t>2023 (-6,4 Md€).</w:t>
      </w:r>
    </w:p>
    <w:p w14:paraId="7695B965" w14:textId="5778443C" w:rsidR="0012234B" w:rsidRDefault="00BD0D67" w:rsidP="0012234B">
      <w:pPr>
        <w:spacing w:after="0"/>
        <w:ind w:left="-284"/>
        <w:jc w:val="both"/>
        <w:rPr>
          <w:rFonts w:ascii="Segoe UI Historic" w:hAnsi="Segoe UI Historic" w:cs="Segoe UI Historic"/>
          <w:b/>
          <w:color w:val="FFFFFF" w:themeColor="background1"/>
          <w:sz w:val="24"/>
          <w:szCs w:val="24"/>
        </w:rPr>
      </w:pPr>
      <w:r>
        <w:rPr>
          <w:rFonts w:ascii="Segoe UI" w:hAnsi="Segoe UI" w:cs="Segoe UI"/>
          <w:b/>
          <w:color w:val="000091" w:themeColor="text1"/>
          <w:szCs w:val="20"/>
        </w:rPr>
        <w:t>Le solde de la balance des biens re</w:t>
      </w:r>
      <w:r w:rsidR="00A052B9">
        <w:rPr>
          <w:rFonts w:ascii="Segoe UI" w:hAnsi="Segoe UI" w:cs="Segoe UI"/>
          <w:b/>
          <w:color w:val="000091" w:themeColor="text1"/>
          <w:szCs w:val="20"/>
        </w:rPr>
        <w:t xml:space="preserve">devient </w:t>
      </w:r>
      <w:r>
        <w:rPr>
          <w:rFonts w:ascii="Segoe UI" w:hAnsi="Segoe UI" w:cs="Segoe UI"/>
          <w:b/>
          <w:color w:val="000091" w:themeColor="text1"/>
          <w:szCs w:val="20"/>
        </w:rPr>
        <w:t>excédentaire en 2024.</w:t>
      </w:r>
      <w:r w:rsidR="00F4255E">
        <w:rPr>
          <w:rFonts w:ascii="Segoe UI" w:hAnsi="Segoe UI" w:cs="Segoe UI"/>
          <w:b/>
          <w:color w:val="000091" w:themeColor="text1"/>
          <w:szCs w:val="20"/>
        </w:rPr>
        <w:t xml:space="preserve"> </w:t>
      </w:r>
    </w:p>
    <w:p w14:paraId="217CBA87" w14:textId="70E2574A" w:rsidR="00EA7D87" w:rsidRPr="000C7B76" w:rsidRDefault="0012234B" w:rsidP="000C7B76">
      <w:pPr>
        <w:spacing w:after="120"/>
        <w:ind w:left="-284"/>
        <w:jc w:val="both"/>
        <w:rPr>
          <w:rStyle w:val="Accentuation"/>
          <w:rFonts w:ascii="Segoe UI" w:hAnsi="Segoe UI" w:cs="Segoe UI"/>
          <w:iCs w:val="0"/>
          <w:sz w:val="20"/>
          <w:szCs w:val="20"/>
        </w:rPr>
      </w:pPr>
      <w:r w:rsidRPr="004017BE">
        <w:rPr>
          <w:rStyle w:val="Lienhypertexte"/>
          <w:rFonts w:ascii="Segoe UI" w:hAnsi="Segoe UI" w:cs="Segoe UI"/>
          <w:b/>
          <w:bCs/>
          <w:noProof/>
          <w:color w:val="auto"/>
          <w:sz w:val="20"/>
          <w:szCs w:val="20"/>
          <w:u w:val="none"/>
        </w:rPr>
        <w:t>Les échanges commerciaux belges ont atteint</w:t>
      </w:r>
      <w:r w:rsidR="00B94380">
        <w:rPr>
          <w:rStyle w:val="Lienhypertexte"/>
          <w:rFonts w:ascii="Segoe UI" w:hAnsi="Segoe UI" w:cs="Segoe UI"/>
          <w:b/>
          <w:bCs/>
          <w:noProof/>
          <w:color w:val="auto"/>
          <w:sz w:val="20"/>
          <w:szCs w:val="20"/>
          <w:u w:val="none"/>
        </w:rPr>
        <w:t xml:space="preserve"> 687,9</w:t>
      </w:r>
      <w:r w:rsidRPr="004017BE">
        <w:rPr>
          <w:rStyle w:val="Lienhypertexte"/>
          <w:rFonts w:ascii="Segoe UI" w:hAnsi="Segoe UI" w:cs="Segoe UI"/>
          <w:b/>
          <w:bCs/>
          <w:noProof/>
          <w:color w:val="auto"/>
          <w:sz w:val="20"/>
          <w:szCs w:val="20"/>
          <w:u w:val="none"/>
        </w:rPr>
        <w:t xml:space="preserve"> </w:t>
      </w:r>
      <w:r w:rsidRPr="004017BE">
        <w:rPr>
          <w:rFonts w:ascii="Segoe UI" w:hAnsi="Segoe UI" w:cs="Segoe UI"/>
          <w:b/>
          <w:bCs/>
          <w:sz w:val="20"/>
          <w:szCs w:val="20"/>
        </w:rPr>
        <w:t>Md€</w:t>
      </w:r>
      <w:r w:rsidRPr="004017BE">
        <w:rPr>
          <w:rStyle w:val="Lienhypertexte"/>
          <w:rFonts w:ascii="Segoe UI" w:hAnsi="Segoe UI" w:cs="Segoe UI"/>
          <w:b/>
          <w:bCs/>
          <w:noProof/>
          <w:color w:val="auto"/>
          <w:sz w:val="20"/>
          <w:szCs w:val="20"/>
          <w:u w:val="none"/>
        </w:rPr>
        <w:t xml:space="preserve"> en 202</w:t>
      </w:r>
      <w:r w:rsidR="00B94380">
        <w:rPr>
          <w:rStyle w:val="Lienhypertexte"/>
          <w:rFonts w:ascii="Segoe UI" w:hAnsi="Segoe UI" w:cs="Segoe UI"/>
          <w:b/>
          <w:bCs/>
          <w:noProof/>
          <w:color w:val="auto"/>
          <w:sz w:val="20"/>
          <w:szCs w:val="20"/>
          <w:u w:val="none"/>
        </w:rPr>
        <w:t>4</w:t>
      </w:r>
      <w:r w:rsidRPr="00DE7E21">
        <w:rPr>
          <w:rStyle w:val="Lienhypertexte"/>
          <w:rFonts w:ascii="Segoe UI" w:hAnsi="Segoe UI" w:cs="Segoe UI"/>
          <w:b/>
          <w:bCs/>
          <w:noProof/>
          <w:color w:val="auto"/>
          <w:sz w:val="20"/>
          <w:szCs w:val="20"/>
          <w:u w:val="none"/>
        </w:rPr>
        <w:t>, dégageant un solde</w:t>
      </w:r>
      <w:r w:rsidR="001230C7">
        <w:rPr>
          <w:rStyle w:val="Lienhypertexte"/>
          <w:rFonts w:ascii="Segoe UI" w:hAnsi="Segoe UI" w:cs="Segoe UI"/>
          <w:b/>
          <w:bCs/>
          <w:noProof/>
          <w:color w:val="auto"/>
          <w:sz w:val="20"/>
          <w:szCs w:val="20"/>
          <w:u w:val="none"/>
        </w:rPr>
        <w:t xml:space="preserve"> </w:t>
      </w:r>
      <w:r w:rsidR="00B94380">
        <w:rPr>
          <w:rStyle w:val="Lienhypertexte"/>
          <w:rFonts w:ascii="Segoe UI" w:hAnsi="Segoe UI" w:cs="Segoe UI"/>
          <w:b/>
          <w:bCs/>
          <w:noProof/>
          <w:color w:val="auto"/>
          <w:sz w:val="20"/>
          <w:szCs w:val="20"/>
          <w:u w:val="none"/>
        </w:rPr>
        <w:t xml:space="preserve">exécdentaire de 9,5 </w:t>
      </w:r>
      <w:r w:rsidRPr="004017BE">
        <w:rPr>
          <w:rFonts w:ascii="Segoe UI" w:hAnsi="Segoe UI" w:cs="Segoe UI"/>
          <w:b/>
          <w:bCs/>
          <w:sz w:val="20"/>
          <w:szCs w:val="20"/>
        </w:rPr>
        <w:t>Md€.</w:t>
      </w:r>
      <w:r>
        <w:rPr>
          <w:rFonts w:ascii="Segoe UI Historic" w:hAnsi="Segoe UI Historic" w:cs="Segoe UI Historic"/>
          <w:b/>
          <w:color w:val="FFFFFF" w:themeColor="background1"/>
          <w:sz w:val="24"/>
          <w:szCs w:val="24"/>
        </w:rPr>
        <w:t xml:space="preserve"> </w:t>
      </w:r>
      <w:r w:rsidRPr="008614F2">
        <w:rPr>
          <w:rFonts w:ascii="Segoe UI" w:hAnsi="Segoe UI" w:cs="Segoe UI"/>
          <w:bCs/>
          <w:sz w:val="20"/>
          <w:szCs w:val="20"/>
        </w:rPr>
        <w:t xml:space="preserve">Selon la </w:t>
      </w:r>
      <w:r>
        <w:rPr>
          <w:rFonts w:ascii="Segoe UI" w:hAnsi="Segoe UI" w:cs="Segoe UI"/>
          <w:bCs/>
          <w:sz w:val="20"/>
          <w:szCs w:val="20"/>
        </w:rPr>
        <w:t xml:space="preserve">méthodologie du « concept national » de la </w:t>
      </w:r>
      <w:hyperlink r:id="rId9" w:history="1">
        <w:r w:rsidRPr="00EB504A">
          <w:rPr>
            <w:rStyle w:val="Lienhypertexte"/>
            <w:rFonts w:ascii="Segoe UI" w:hAnsi="Segoe UI" w:cs="Segoe UI"/>
            <w:bCs/>
            <w:sz w:val="20"/>
            <w:szCs w:val="20"/>
          </w:rPr>
          <w:t>Banque nationale de Belgique</w:t>
        </w:r>
      </w:hyperlink>
      <w:r w:rsidRPr="00DA7CE2">
        <w:rPr>
          <w:rFonts w:ascii="Segoe UI" w:hAnsi="Segoe UI" w:cs="Segoe UI"/>
          <w:bCs/>
          <w:sz w:val="20"/>
          <w:szCs w:val="20"/>
        </w:rPr>
        <w:t xml:space="preserve"> (BNB), qui neutralise l’impact des flux de transit </w:t>
      </w:r>
      <w:r w:rsidRPr="00DA7CE2">
        <w:rPr>
          <w:rFonts w:ascii="Segoe UI" w:hAnsi="Segoe UI" w:cs="Segoe UI"/>
          <w:sz w:val="20"/>
          <w:szCs w:val="20"/>
        </w:rPr>
        <w:t xml:space="preserve">des entreprises non-résidentes des Etats membres de l’Union européenne (UE) avec des pays </w:t>
      </w:r>
      <w:r w:rsidRPr="008A2801">
        <w:rPr>
          <w:rFonts w:ascii="Segoe UI" w:hAnsi="Segoe UI" w:cs="Segoe UI"/>
          <w:sz w:val="20"/>
          <w:szCs w:val="20"/>
        </w:rPr>
        <w:t>hors UE</w:t>
      </w:r>
      <w:r w:rsidRPr="008A2801">
        <w:rPr>
          <w:rFonts w:ascii="Segoe UI" w:hAnsi="Segoe UI" w:cs="Segoe UI"/>
          <w:bCs/>
          <w:sz w:val="20"/>
          <w:szCs w:val="20"/>
        </w:rPr>
        <w:t xml:space="preserve">, </w:t>
      </w:r>
      <w:r w:rsidRPr="008A2801">
        <w:rPr>
          <w:rStyle w:val="accentuation01Car"/>
        </w:rPr>
        <w:t xml:space="preserve">le montant total des échanges de biens de la Belgique a baissé de </w:t>
      </w:r>
      <w:r w:rsidR="00B94380">
        <w:rPr>
          <w:rStyle w:val="accentuation01Car"/>
        </w:rPr>
        <w:t>6,8</w:t>
      </w:r>
      <w:r w:rsidR="00BE4C6C">
        <w:rPr>
          <w:rStyle w:val="accentuation01Car"/>
        </w:rPr>
        <w:t xml:space="preserve"> </w:t>
      </w:r>
      <w:r w:rsidRPr="008A2801">
        <w:rPr>
          <w:rStyle w:val="accentuation01Car"/>
        </w:rPr>
        <w:t>% en 202</w:t>
      </w:r>
      <w:r w:rsidR="00B94380">
        <w:rPr>
          <w:rStyle w:val="accentuation01Car"/>
        </w:rPr>
        <w:t>4</w:t>
      </w:r>
      <w:r w:rsidRPr="008A2801">
        <w:rPr>
          <w:rStyle w:val="accentuation01Car"/>
        </w:rPr>
        <w:t xml:space="preserve"> pour s’établir à </w:t>
      </w:r>
      <w:r w:rsidR="00B94380">
        <w:rPr>
          <w:rStyle w:val="accentuation01Car"/>
          <w:b/>
          <w:bCs/>
        </w:rPr>
        <w:t>687,9</w:t>
      </w:r>
      <w:r w:rsidRPr="008A2801">
        <w:rPr>
          <w:rStyle w:val="accentuation01Car"/>
          <w:b/>
          <w:bCs/>
        </w:rPr>
        <w:t> Md€</w:t>
      </w:r>
      <w:r w:rsidRPr="008A2801">
        <w:rPr>
          <w:rFonts w:ascii="Segoe UI" w:hAnsi="Segoe UI" w:cs="Segoe UI"/>
          <w:sz w:val="20"/>
          <w:szCs w:val="20"/>
        </w:rPr>
        <w:t xml:space="preserve"> (contre</w:t>
      </w:r>
      <w:r w:rsidR="00FF77A0">
        <w:rPr>
          <w:rFonts w:ascii="Segoe UI" w:hAnsi="Segoe UI" w:cs="Segoe UI"/>
          <w:sz w:val="20"/>
          <w:szCs w:val="20"/>
        </w:rPr>
        <w:t xml:space="preserve"> </w:t>
      </w:r>
      <w:r w:rsidR="00B94380">
        <w:rPr>
          <w:rFonts w:ascii="Segoe UI" w:hAnsi="Segoe UI" w:cs="Segoe UI"/>
          <w:sz w:val="20"/>
          <w:szCs w:val="20"/>
        </w:rPr>
        <w:t>738,2</w:t>
      </w:r>
      <w:r w:rsidRPr="008A2801">
        <w:rPr>
          <w:rFonts w:ascii="Segoe UI" w:hAnsi="Segoe UI" w:cs="Segoe UI"/>
          <w:sz w:val="20"/>
          <w:szCs w:val="20"/>
        </w:rPr>
        <w:t> Md€ en 202</w:t>
      </w:r>
      <w:r w:rsidR="00B94380">
        <w:rPr>
          <w:rFonts w:ascii="Segoe UI" w:hAnsi="Segoe UI" w:cs="Segoe UI"/>
          <w:sz w:val="20"/>
          <w:szCs w:val="20"/>
        </w:rPr>
        <w:t>3</w:t>
      </w:r>
      <w:r w:rsidRPr="008A2801">
        <w:rPr>
          <w:rFonts w:ascii="Segoe UI" w:hAnsi="Segoe UI" w:cs="Segoe UI"/>
          <w:sz w:val="20"/>
          <w:szCs w:val="20"/>
        </w:rPr>
        <w:t xml:space="preserve">), dont </w:t>
      </w:r>
      <w:r w:rsidRPr="008A2801">
        <w:rPr>
          <w:rStyle w:val="accentuation01Car"/>
          <w:b/>
          <w:bCs/>
        </w:rPr>
        <w:t>3</w:t>
      </w:r>
      <w:r w:rsidR="00B94380">
        <w:rPr>
          <w:rStyle w:val="accentuation01Car"/>
          <w:b/>
          <w:bCs/>
        </w:rPr>
        <w:t>48,7</w:t>
      </w:r>
      <w:r w:rsidRPr="008A2801">
        <w:rPr>
          <w:rStyle w:val="accentuation01Car"/>
          <w:b/>
          <w:bCs/>
        </w:rPr>
        <w:t xml:space="preserve"> Md€</w:t>
      </w:r>
      <w:r w:rsidRPr="008A2801">
        <w:rPr>
          <w:rStyle w:val="accentuation01Car"/>
        </w:rPr>
        <w:t xml:space="preserve"> d’exportations</w:t>
      </w:r>
      <w:r w:rsidRPr="008A2801">
        <w:rPr>
          <w:rFonts w:ascii="Segoe UI" w:hAnsi="Segoe UI" w:cs="Segoe UI"/>
          <w:sz w:val="20"/>
          <w:szCs w:val="20"/>
        </w:rPr>
        <w:t xml:space="preserve"> (</w:t>
      </w:r>
      <w:r w:rsidR="00B94380">
        <w:rPr>
          <w:rFonts w:ascii="Segoe UI" w:hAnsi="Segoe UI" w:cs="Segoe UI"/>
          <w:sz w:val="20"/>
          <w:szCs w:val="20"/>
        </w:rPr>
        <w:t xml:space="preserve">366,5 </w:t>
      </w:r>
      <w:r w:rsidRPr="008A2801">
        <w:rPr>
          <w:rFonts w:ascii="Segoe UI" w:hAnsi="Segoe UI" w:cs="Segoe UI"/>
          <w:sz w:val="20"/>
          <w:szCs w:val="20"/>
        </w:rPr>
        <w:t>Md€ en 202</w:t>
      </w:r>
      <w:r w:rsidR="00B94380">
        <w:rPr>
          <w:rFonts w:ascii="Segoe UI" w:hAnsi="Segoe UI" w:cs="Segoe UI"/>
          <w:sz w:val="20"/>
          <w:szCs w:val="20"/>
        </w:rPr>
        <w:t>3</w:t>
      </w:r>
      <w:r w:rsidRPr="008A2801">
        <w:rPr>
          <w:rFonts w:ascii="Segoe UI" w:hAnsi="Segoe UI" w:cs="Segoe UI"/>
          <w:sz w:val="20"/>
          <w:szCs w:val="20"/>
        </w:rPr>
        <w:t xml:space="preserve">) et </w:t>
      </w:r>
      <w:r w:rsidRPr="008A2801">
        <w:rPr>
          <w:rStyle w:val="accentuation01Car"/>
          <w:b/>
          <w:bCs/>
        </w:rPr>
        <w:t>3</w:t>
      </w:r>
      <w:r w:rsidR="00B94380">
        <w:rPr>
          <w:rStyle w:val="accentuation01Car"/>
          <w:b/>
          <w:bCs/>
        </w:rPr>
        <w:t>39,2</w:t>
      </w:r>
      <w:r w:rsidRPr="008A2801">
        <w:rPr>
          <w:rStyle w:val="accentuation01Car"/>
          <w:b/>
          <w:bCs/>
        </w:rPr>
        <w:t xml:space="preserve"> Md€</w:t>
      </w:r>
      <w:r w:rsidRPr="008A2801">
        <w:rPr>
          <w:rStyle w:val="accentuation01Car"/>
        </w:rPr>
        <w:t xml:space="preserve"> d’importations</w:t>
      </w:r>
      <w:r w:rsidRPr="008A2801">
        <w:rPr>
          <w:rFonts w:ascii="Segoe UI" w:hAnsi="Segoe UI" w:cs="Segoe UI"/>
          <w:sz w:val="20"/>
          <w:szCs w:val="20"/>
        </w:rPr>
        <w:t xml:space="preserve"> (</w:t>
      </w:r>
      <w:r w:rsidR="00B94380">
        <w:rPr>
          <w:rFonts w:ascii="Segoe UI" w:hAnsi="Segoe UI" w:cs="Segoe UI"/>
          <w:sz w:val="20"/>
          <w:szCs w:val="20"/>
        </w:rPr>
        <w:t>371,7</w:t>
      </w:r>
      <w:r w:rsidRPr="008A2801">
        <w:rPr>
          <w:rFonts w:ascii="Segoe UI" w:hAnsi="Segoe UI" w:cs="Segoe UI"/>
          <w:sz w:val="20"/>
          <w:szCs w:val="20"/>
        </w:rPr>
        <w:t> Md€ en 202</w:t>
      </w:r>
      <w:r w:rsidR="00B94380">
        <w:rPr>
          <w:rFonts w:ascii="Segoe UI" w:hAnsi="Segoe UI" w:cs="Segoe UI"/>
          <w:sz w:val="20"/>
          <w:szCs w:val="20"/>
        </w:rPr>
        <w:t>3</w:t>
      </w:r>
      <w:r w:rsidRPr="008A2801">
        <w:rPr>
          <w:rFonts w:ascii="Segoe UI" w:hAnsi="Segoe UI" w:cs="Segoe UI"/>
          <w:sz w:val="20"/>
          <w:szCs w:val="20"/>
        </w:rPr>
        <w:t>)</w:t>
      </w:r>
      <w:r w:rsidR="00C7794A">
        <w:rPr>
          <w:rFonts w:ascii="Segoe UI" w:hAnsi="Segoe UI" w:cs="Segoe UI"/>
          <w:sz w:val="20"/>
          <w:szCs w:val="20"/>
        </w:rPr>
        <w:t xml:space="preserve">. </w:t>
      </w:r>
      <w:r w:rsidR="00576848">
        <w:rPr>
          <w:rFonts w:ascii="Segoe UI" w:hAnsi="Segoe UI" w:cs="Segoe UI"/>
          <w:sz w:val="20"/>
          <w:szCs w:val="20"/>
        </w:rPr>
        <w:t xml:space="preserve">Ainsi la BNB qualifie l’année 2024 comme « décevante » avec </w:t>
      </w:r>
      <w:r w:rsidR="00576848" w:rsidRPr="00C7794A">
        <w:rPr>
          <w:rFonts w:ascii="Segoe UI" w:hAnsi="Segoe UI" w:cs="Segoe UI"/>
          <w:sz w:val="20"/>
          <w:szCs w:val="20"/>
        </w:rPr>
        <w:t>une baisse des</w:t>
      </w:r>
      <w:r w:rsidR="00AF4BD6" w:rsidRPr="00C7794A">
        <w:rPr>
          <w:rFonts w:ascii="Segoe UI" w:hAnsi="Segoe UI" w:cs="Segoe UI"/>
          <w:sz w:val="20"/>
          <w:szCs w:val="20"/>
        </w:rPr>
        <w:t xml:space="preserve"> exportations (-4,9</w:t>
      </w:r>
      <w:r w:rsidR="00BE4C6C">
        <w:rPr>
          <w:rFonts w:ascii="Segoe UI" w:hAnsi="Segoe UI" w:cs="Segoe UI"/>
          <w:sz w:val="20"/>
          <w:szCs w:val="20"/>
        </w:rPr>
        <w:t xml:space="preserve"> </w:t>
      </w:r>
      <w:r w:rsidR="00AF4BD6" w:rsidRPr="00C7794A">
        <w:rPr>
          <w:rFonts w:ascii="Segoe UI" w:hAnsi="Segoe UI" w:cs="Segoe UI"/>
          <w:sz w:val="20"/>
          <w:szCs w:val="20"/>
        </w:rPr>
        <w:t xml:space="preserve">%) et des </w:t>
      </w:r>
      <w:r w:rsidR="00576848" w:rsidRPr="00C7794A">
        <w:rPr>
          <w:rFonts w:ascii="Segoe UI" w:hAnsi="Segoe UI" w:cs="Segoe UI"/>
          <w:sz w:val="20"/>
          <w:szCs w:val="20"/>
        </w:rPr>
        <w:t>importations</w:t>
      </w:r>
      <w:r w:rsidR="00AF4BD6" w:rsidRPr="00C7794A">
        <w:rPr>
          <w:rFonts w:ascii="Segoe UI" w:hAnsi="Segoe UI" w:cs="Segoe UI"/>
          <w:sz w:val="20"/>
          <w:szCs w:val="20"/>
        </w:rPr>
        <w:t xml:space="preserve"> (-8,7</w:t>
      </w:r>
      <w:r w:rsidR="00BE4C6C">
        <w:rPr>
          <w:rFonts w:ascii="Segoe UI" w:hAnsi="Segoe UI" w:cs="Segoe UI"/>
          <w:sz w:val="20"/>
          <w:szCs w:val="20"/>
        </w:rPr>
        <w:t xml:space="preserve"> </w:t>
      </w:r>
      <w:r w:rsidR="00AF4BD6" w:rsidRPr="00C7794A">
        <w:rPr>
          <w:rFonts w:ascii="Segoe UI" w:hAnsi="Segoe UI" w:cs="Segoe UI"/>
          <w:sz w:val="20"/>
          <w:szCs w:val="20"/>
        </w:rPr>
        <w:t xml:space="preserve">%). </w:t>
      </w:r>
      <w:r w:rsidR="009D324D" w:rsidRPr="00C7794A">
        <w:rPr>
          <w:rFonts w:ascii="Segoe UI" w:hAnsi="Segoe UI" w:cs="Segoe UI"/>
          <w:sz w:val="20"/>
          <w:szCs w:val="20"/>
        </w:rPr>
        <w:t xml:space="preserve">Après plusieurs années de déficit, </w:t>
      </w:r>
      <w:r w:rsidR="009D324D" w:rsidRPr="00C7794A">
        <w:rPr>
          <w:rStyle w:val="accentuation01Car"/>
        </w:rPr>
        <w:t>e</w:t>
      </w:r>
      <w:r w:rsidRPr="00C7794A">
        <w:rPr>
          <w:rStyle w:val="accentuation01Car"/>
        </w:rPr>
        <w:t>n 202</w:t>
      </w:r>
      <w:r w:rsidR="009D324D" w:rsidRPr="00C7794A">
        <w:rPr>
          <w:rStyle w:val="accentuation01Car"/>
        </w:rPr>
        <w:t>4</w:t>
      </w:r>
      <w:r w:rsidRPr="00C7794A">
        <w:rPr>
          <w:rStyle w:val="accentuation01Car"/>
        </w:rPr>
        <w:t xml:space="preserve">, le solde commercial belge est </w:t>
      </w:r>
      <w:r w:rsidR="009D324D" w:rsidRPr="00C7794A">
        <w:rPr>
          <w:rStyle w:val="accentuation01Car"/>
        </w:rPr>
        <w:t xml:space="preserve">excédentaire </w:t>
      </w:r>
      <w:r w:rsidRPr="00C7794A">
        <w:rPr>
          <w:rStyle w:val="accentuation01Car"/>
        </w:rPr>
        <w:t xml:space="preserve">à hauteur de </w:t>
      </w:r>
      <w:r w:rsidR="009D324D" w:rsidRPr="00C7794A">
        <w:rPr>
          <w:rStyle w:val="accentuation01Car"/>
        </w:rPr>
        <w:t>9,5</w:t>
      </w:r>
      <w:r w:rsidRPr="00C7794A">
        <w:rPr>
          <w:rStyle w:val="accentuation01Car"/>
        </w:rPr>
        <w:t> Md€</w:t>
      </w:r>
      <w:r w:rsidR="00757F66" w:rsidRPr="00C7794A">
        <w:rPr>
          <w:rFonts w:ascii="Segoe UI" w:hAnsi="Segoe UI" w:cs="Segoe UI"/>
          <w:bCs/>
          <w:sz w:val="20"/>
          <w:szCs w:val="20"/>
        </w:rPr>
        <w:t xml:space="preserve"> </w:t>
      </w:r>
      <w:r w:rsidRPr="00C7794A">
        <w:rPr>
          <w:rFonts w:ascii="Segoe UI" w:hAnsi="Segoe UI" w:cs="Segoe UI"/>
          <w:sz w:val="20"/>
          <w:szCs w:val="20"/>
        </w:rPr>
        <w:t xml:space="preserve">(cf. annexe </w:t>
      </w:r>
      <w:r w:rsidR="00C7794A" w:rsidRPr="00C7794A">
        <w:rPr>
          <w:rFonts w:ascii="Segoe UI" w:hAnsi="Segoe UI" w:cs="Segoe UI"/>
          <w:sz w:val="20"/>
          <w:szCs w:val="20"/>
        </w:rPr>
        <w:t>1</w:t>
      </w:r>
      <w:r w:rsidRPr="00C7794A">
        <w:rPr>
          <w:rFonts w:ascii="Segoe UI" w:hAnsi="Segoe UI" w:cs="Segoe UI"/>
          <w:sz w:val="20"/>
          <w:szCs w:val="20"/>
        </w:rPr>
        <w:t xml:space="preserve">). </w:t>
      </w:r>
      <w:r w:rsidR="00757F66" w:rsidRPr="00C7794A">
        <w:rPr>
          <w:rFonts w:ascii="Segoe UI" w:hAnsi="Segoe UI" w:cs="Segoe UI"/>
          <w:sz w:val="20"/>
          <w:szCs w:val="20"/>
        </w:rPr>
        <w:t>S</w:t>
      </w:r>
      <w:r w:rsidRPr="00C7794A">
        <w:rPr>
          <w:rFonts w:ascii="Segoe UI" w:hAnsi="Segoe UI" w:cs="Segoe UI"/>
          <w:sz w:val="20"/>
          <w:szCs w:val="20"/>
        </w:rPr>
        <w:t>elon la méthodologie d’Eurostat (« concept communautaire »), qui n’exclut pas les flux de transit</w:t>
      </w:r>
      <w:r w:rsidRPr="00C7794A">
        <w:rPr>
          <w:rStyle w:val="Appelnotedebasdep"/>
          <w:rFonts w:ascii="Segoe UI" w:hAnsi="Segoe UI" w:cs="Segoe UI"/>
          <w:sz w:val="20"/>
          <w:szCs w:val="20"/>
        </w:rPr>
        <w:footnoteReference w:id="1"/>
      </w:r>
      <w:r w:rsidRPr="00C7794A">
        <w:rPr>
          <w:rFonts w:ascii="Segoe UI" w:hAnsi="Segoe UI" w:cs="Segoe UI"/>
          <w:sz w:val="20"/>
          <w:szCs w:val="20"/>
        </w:rPr>
        <w:t xml:space="preserve"> (lesquels représentent en moyenne 40</w:t>
      </w:r>
      <w:r w:rsidR="00BE4C6C">
        <w:rPr>
          <w:rFonts w:ascii="Segoe UI" w:hAnsi="Segoe UI" w:cs="Segoe UI"/>
          <w:sz w:val="20"/>
          <w:szCs w:val="20"/>
        </w:rPr>
        <w:t xml:space="preserve"> </w:t>
      </w:r>
      <w:r w:rsidRPr="00C7794A">
        <w:rPr>
          <w:rFonts w:ascii="Segoe UI" w:hAnsi="Segoe UI" w:cs="Segoe UI"/>
          <w:sz w:val="20"/>
          <w:szCs w:val="20"/>
        </w:rPr>
        <w:t xml:space="preserve">% du total des échanges commerciaux belges), la Belgique affiche un excédent commercial de </w:t>
      </w:r>
      <w:r w:rsidR="00CA41C6" w:rsidRPr="00C7794A">
        <w:rPr>
          <w:rFonts w:ascii="Segoe UI" w:hAnsi="Segoe UI" w:cs="Segoe UI"/>
          <w:sz w:val="20"/>
          <w:szCs w:val="20"/>
        </w:rPr>
        <w:t>27,6</w:t>
      </w:r>
      <w:r w:rsidRPr="00C7794A">
        <w:rPr>
          <w:rFonts w:ascii="Segoe UI" w:hAnsi="Segoe UI" w:cs="Segoe UI"/>
          <w:sz w:val="20"/>
          <w:szCs w:val="20"/>
        </w:rPr>
        <w:t xml:space="preserve"> Md€ en 202</w:t>
      </w:r>
      <w:r w:rsidR="00CA41C6" w:rsidRPr="00C7794A">
        <w:rPr>
          <w:rFonts w:ascii="Segoe UI" w:hAnsi="Segoe UI" w:cs="Segoe UI"/>
          <w:sz w:val="20"/>
          <w:szCs w:val="20"/>
        </w:rPr>
        <w:t>4</w:t>
      </w:r>
      <w:r w:rsidRPr="00C7794A">
        <w:rPr>
          <w:rFonts w:ascii="Segoe UI" w:hAnsi="Segoe UI" w:cs="Segoe UI"/>
          <w:sz w:val="20"/>
          <w:szCs w:val="20"/>
        </w:rPr>
        <w:t xml:space="preserve"> (contre 1</w:t>
      </w:r>
      <w:r w:rsidR="00CA41C6" w:rsidRPr="00C7794A">
        <w:rPr>
          <w:rFonts w:ascii="Segoe UI" w:hAnsi="Segoe UI" w:cs="Segoe UI"/>
          <w:sz w:val="20"/>
          <w:szCs w:val="20"/>
        </w:rPr>
        <w:t>4,9</w:t>
      </w:r>
      <w:r w:rsidRPr="00C7794A">
        <w:rPr>
          <w:rFonts w:ascii="Segoe UI" w:hAnsi="Segoe UI" w:cs="Segoe UI"/>
          <w:sz w:val="20"/>
          <w:szCs w:val="20"/>
        </w:rPr>
        <w:t> Md€ en 202</w:t>
      </w:r>
      <w:r w:rsidR="00CA41C6" w:rsidRPr="00C7794A">
        <w:rPr>
          <w:rFonts w:ascii="Segoe UI" w:hAnsi="Segoe UI" w:cs="Segoe UI"/>
          <w:sz w:val="20"/>
          <w:szCs w:val="20"/>
        </w:rPr>
        <w:t>3</w:t>
      </w:r>
      <w:r w:rsidRPr="00C7794A">
        <w:rPr>
          <w:rFonts w:ascii="Segoe UI" w:hAnsi="Segoe UI" w:cs="Segoe UI"/>
          <w:sz w:val="20"/>
          <w:szCs w:val="20"/>
        </w:rPr>
        <w:t xml:space="preserve">), pour un montant total d’échanges de </w:t>
      </w:r>
      <w:r w:rsidR="00CA41C6" w:rsidRPr="00C7794A">
        <w:rPr>
          <w:rFonts w:ascii="Segoe UI" w:hAnsi="Segoe UI" w:cs="Segoe UI"/>
          <w:sz w:val="20"/>
          <w:szCs w:val="20"/>
        </w:rPr>
        <w:t>991,6</w:t>
      </w:r>
      <w:r w:rsidRPr="00C7794A">
        <w:rPr>
          <w:rFonts w:ascii="Segoe UI" w:hAnsi="Segoe UI" w:cs="Segoe UI"/>
          <w:sz w:val="20"/>
          <w:szCs w:val="20"/>
        </w:rPr>
        <w:t> Md€ (1</w:t>
      </w:r>
      <w:r w:rsidR="00CA41C6" w:rsidRPr="00C7794A">
        <w:rPr>
          <w:rFonts w:ascii="Segoe UI" w:hAnsi="Segoe UI" w:cs="Segoe UI"/>
          <w:sz w:val="20"/>
          <w:szCs w:val="20"/>
        </w:rPr>
        <w:t> 054,5</w:t>
      </w:r>
      <w:r w:rsidRPr="00C7794A">
        <w:rPr>
          <w:rFonts w:ascii="Segoe UI" w:hAnsi="Segoe UI" w:cs="Segoe UI"/>
          <w:sz w:val="20"/>
          <w:szCs w:val="20"/>
        </w:rPr>
        <w:t xml:space="preserve"> Md€ en 202</w:t>
      </w:r>
      <w:r w:rsidR="00CA41C6" w:rsidRPr="00C7794A">
        <w:rPr>
          <w:rFonts w:ascii="Segoe UI" w:hAnsi="Segoe UI" w:cs="Segoe UI"/>
          <w:sz w:val="20"/>
          <w:szCs w:val="20"/>
        </w:rPr>
        <w:t>3</w:t>
      </w:r>
      <w:r w:rsidRPr="00C7794A">
        <w:rPr>
          <w:rFonts w:ascii="Segoe UI" w:hAnsi="Segoe UI" w:cs="Segoe UI"/>
          <w:sz w:val="20"/>
          <w:szCs w:val="20"/>
        </w:rPr>
        <w:t xml:space="preserve">) - cf. annexe </w:t>
      </w:r>
      <w:r w:rsidR="00C7794A" w:rsidRPr="00C7794A">
        <w:rPr>
          <w:rFonts w:ascii="Segoe UI" w:hAnsi="Segoe UI" w:cs="Segoe UI"/>
          <w:sz w:val="20"/>
          <w:szCs w:val="20"/>
        </w:rPr>
        <w:t>2</w:t>
      </w:r>
      <w:r w:rsidRPr="00C7794A">
        <w:rPr>
          <w:rFonts w:ascii="Segoe UI" w:hAnsi="Segoe UI" w:cs="Segoe UI"/>
          <w:sz w:val="20"/>
          <w:szCs w:val="20"/>
        </w:rPr>
        <w:t>.</w:t>
      </w:r>
    </w:p>
    <w:p w14:paraId="7711A78D" w14:textId="0296B30C" w:rsidR="002565F9" w:rsidRPr="007E4E06" w:rsidRDefault="00EA7D87" w:rsidP="00EA7D87">
      <w:pPr>
        <w:spacing w:after="0"/>
        <w:ind w:left="-284"/>
        <w:jc w:val="both"/>
        <w:rPr>
          <w:rFonts w:ascii="Segoe UI" w:eastAsia="Times New Roman" w:hAnsi="Segoe UI" w:cs="Segoe UI"/>
          <w:bCs/>
          <w:sz w:val="20"/>
          <w:szCs w:val="20"/>
          <w:lang w:eastAsia="fr-FR"/>
        </w:rPr>
      </w:pPr>
      <w:r w:rsidRPr="00EA7D87">
        <w:rPr>
          <w:rStyle w:val="Accentuation"/>
          <w:rFonts w:ascii="Segoe UI" w:hAnsi="Segoe UI" w:cs="Segoe UI"/>
          <w:b/>
          <w:bCs/>
          <w:sz w:val="20"/>
          <w:szCs w:val="20"/>
        </w:rPr>
        <w:t>Le commerce extérieur de la Belgique est porté par les échanges de produits pharmaceutiques, de combustibles minéraux (pétrole et gaz) et de véhicules automobiles</w:t>
      </w:r>
      <w:r w:rsidRPr="00EA7D87">
        <w:rPr>
          <w:rStyle w:val="Accentuation"/>
          <w:rFonts w:ascii="Segoe UI" w:hAnsi="Segoe UI" w:cs="Segoe UI"/>
          <w:sz w:val="20"/>
          <w:szCs w:val="20"/>
        </w:rPr>
        <w:t xml:space="preserve">. </w:t>
      </w:r>
      <w:r w:rsidRPr="00EA7D87">
        <w:rPr>
          <w:rFonts w:ascii="Segoe UI" w:hAnsi="Segoe UI" w:cs="Segoe UI"/>
          <w:bCs/>
          <w:sz w:val="20"/>
          <w:szCs w:val="20"/>
        </w:rPr>
        <w:t>L</w:t>
      </w:r>
      <w:r w:rsidR="0035661C">
        <w:rPr>
          <w:rFonts w:ascii="Segoe UI" w:hAnsi="Segoe UI" w:cs="Segoe UI"/>
          <w:bCs/>
          <w:sz w:val="20"/>
          <w:szCs w:val="20"/>
        </w:rPr>
        <w:t xml:space="preserve">es </w:t>
      </w:r>
      <w:r w:rsidR="00356708">
        <w:rPr>
          <w:rFonts w:ascii="Segoe UI" w:hAnsi="Segoe UI" w:cs="Segoe UI"/>
          <w:bCs/>
          <w:sz w:val="20"/>
          <w:szCs w:val="20"/>
        </w:rPr>
        <w:t xml:space="preserve">(i) </w:t>
      </w:r>
      <w:r w:rsidRPr="00EA7D87">
        <w:rPr>
          <w:rStyle w:val="accentuation01Car"/>
        </w:rPr>
        <w:t>produits des industries chimiques et pharmaceutiques</w:t>
      </w:r>
      <w:r w:rsidR="0035661C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représentent le</w:t>
      </w:r>
      <w:r w:rsidRPr="00EA7D87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premier poste du commerce extérieur belge à hauteur de </w:t>
      </w:r>
      <w:r w:rsidR="0035661C">
        <w:rPr>
          <w:rStyle w:val="accentuation01Car"/>
        </w:rPr>
        <w:t>160,6</w:t>
      </w:r>
      <w:r w:rsidRPr="00EA7D87">
        <w:rPr>
          <w:rStyle w:val="accentuation01Car"/>
        </w:rPr>
        <w:t xml:space="preserve"> Md€</w:t>
      </w:r>
      <w:r w:rsidRPr="00EA7D87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(2</w:t>
      </w:r>
      <w:r w:rsidR="00E436E1">
        <w:rPr>
          <w:rFonts w:ascii="Segoe UI" w:eastAsia="Times New Roman" w:hAnsi="Segoe UI" w:cs="Segoe UI"/>
          <w:bCs/>
          <w:sz w:val="20"/>
          <w:szCs w:val="20"/>
          <w:lang w:eastAsia="fr-FR"/>
        </w:rPr>
        <w:t>3,3</w:t>
      </w:r>
      <w:r w:rsidR="00BE4C6C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</w:t>
      </w:r>
      <w:r w:rsidRPr="00EA7D87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% du total), dont </w:t>
      </w:r>
      <w:r w:rsidRPr="00850E8D">
        <w:rPr>
          <w:rStyle w:val="accentuation01Car"/>
        </w:rPr>
        <w:t>9</w:t>
      </w:r>
      <w:r w:rsidR="00E436E1" w:rsidRPr="00850E8D">
        <w:rPr>
          <w:rStyle w:val="accentuation01Car"/>
        </w:rPr>
        <w:t>0,6</w:t>
      </w:r>
      <w:r w:rsidRPr="00850E8D">
        <w:rPr>
          <w:rStyle w:val="accentuation01Car"/>
        </w:rPr>
        <w:t> Md€ d’exportations,</w:t>
      </w:r>
      <w:r w:rsidRPr="00EA7D87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en baisse toutefois de</w:t>
      </w:r>
      <w:r w:rsidR="00E436E1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6,0 </w:t>
      </w:r>
      <w:r w:rsidRPr="00EA7D87">
        <w:rPr>
          <w:rFonts w:ascii="Segoe UI" w:eastAsia="Times New Roman" w:hAnsi="Segoe UI" w:cs="Segoe UI"/>
          <w:bCs/>
          <w:sz w:val="20"/>
          <w:szCs w:val="20"/>
          <w:lang w:eastAsia="fr-FR"/>
        </w:rPr>
        <w:t>% par rapport à 202</w:t>
      </w:r>
      <w:r w:rsidR="00E436E1">
        <w:rPr>
          <w:rFonts w:ascii="Segoe UI" w:eastAsia="Times New Roman" w:hAnsi="Segoe UI" w:cs="Segoe UI"/>
          <w:bCs/>
          <w:sz w:val="20"/>
          <w:szCs w:val="20"/>
          <w:lang w:eastAsia="fr-FR"/>
        </w:rPr>
        <w:t>3</w:t>
      </w:r>
      <w:r w:rsidRPr="00EA7D87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. Les autres principaux produits commercés par la Belgique sont </w:t>
      </w:r>
      <w:r w:rsidR="00356708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(ii) </w:t>
      </w:r>
      <w:r w:rsidRPr="00EA7D87">
        <w:rPr>
          <w:rFonts w:ascii="Segoe UI" w:eastAsia="Times New Roman" w:hAnsi="Segoe UI" w:cs="Segoe UI"/>
          <w:bCs/>
          <w:sz w:val="20"/>
          <w:szCs w:val="20"/>
          <w:u w:val="single"/>
          <w:lang w:eastAsia="fr-FR"/>
        </w:rPr>
        <w:t xml:space="preserve">les </w:t>
      </w:r>
      <w:r w:rsidR="00356708">
        <w:rPr>
          <w:rFonts w:ascii="Segoe UI" w:eastAsia="Times New Roman" w:hAnsi="Segoe UI" w:cs="Segoe UI"/>
          <w:bCs/>
          <w:sz w:val="20"/>
          <w:szCs w:val="20"/>
          <w:u w:val="single"/>
          <w:lang w:eastAsia="fr-FR"/>
        </w:rPr>
        <w:t>produits minéraux</w:t>
      </w:r>
      <w:r w:rsidR="00356708" w:rsidRPr="00356708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</w:t>
      </w:r>
      <w:r w:rsidRPr="00EA7D87">
        <w:rPr>
          <w:rFonts w:ascii="Segoe UI" w:eastAsia="Times New Roman" w:hAnsi="Segoe UI" w:cs="Segoe UI"/>
          <w:bCs/>
          <w:sz w:val="20"/>
          <w:szCs w:val="20"/>
          <w:lang w:eastAsia="fr-FR"/>
        </w:rPr>
        <w:t>(</w:t>
      </w:r>
      <w:r w:rsidR="00356708">
        <w:rPr>
          <w:rFonts w:ascii="Segoe UI" w:eastAsia="Times New Roman" w:hAnsi="Segoe UI" w:cs="Segoe UI"/>
          <w:bCs/>
          <w:sz w:val="20"/>
          <w:szCs w:val="20"/>
          <w:lang w:eastAsia="fr-FR"/>
        </w:rPr>
        <w:t>100,2</w:t>
      </w:r>
      <w:r w:rsidRPr="00EA7D87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 Md€, </w:t>
      </w:r>
      <w:r w:rsidR="00356708">
        <w:rPr>
          <w:rFonts w:ascii="Segoe UI" w:eastAsia="Times New Roman" w:hAnsi="Segoe UI" w:cs="Segoe UI"/>
          <w:bCs/>
          <w:sz w:val="20"/>
          <w:szCs w:val="20"/>
          <w:lang w:eastAsia="fr-FR"/>
        </w:rPr>
        <w:t>-1</w:t>
      </w:r>
      <w:r w:rsidRPr="00EA7D87">
        <w:rPr>
          <w:rFonts w:ascii="Segoe UI" w:eastAsia="Times New Roman" w:hAnsi="Segoe UI" w:cs="Segoe UI"/>
          <w:bCs/>
          <w:sz w:val="20"/>
          <w:szCs w:val="20"/>
          <w:lang w:eastAsia="fr-FR"/>
        </w:rPr>
        <w:t>4,1</w:t>
      </w:r>
      <w:r w:rsidR="00BE4C6C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</w:t>
      </w:r>
      <w:r w:rsidRPr="00EA7D87">
        <w:rPr>
          <w:rFonts w:ascii="Segoe UI" w:eastAsia="Times New Roman" w:hAnsi="Segoe UI" w:cs="Segoe UI"/>
          <w:bCs/>
          <w:sz w:val="20"/>
          <w:szCs w:val="20"/>
          <w:lang w:eastAsia="fr-FR"/>
        </w:rPr>
        <w:t>% par rapport à 202</w:t>
      </w:r>
      <w:r w:rsidR="00356708">
        <w:rPr>
          <w:rFonts w:ascii="Segoe UI" w:eastAsia="Times New Roman" w:hAnsi="Segoe UI" w:cs="Segoe UI"/>
          <w:bCs/>
          <w:sz w:val="20"/>
          <w:szCs w:val="20"/>
          <w:lang w:eastAsia="fr-FR"/>
        </w:rPr>
        <w:t>3</w:t>
      </w:r>
      <w:r w:rsidRPr="00EA7D87">
        <w:rPr>
          <w:rFonts w:ascii="Segoe UI" w:eastAsia="Times New Roman" w:hAnsi="Segoe UI" w:cs="Segoe UI"/>
          <w:bCs/>
          <w:sz w:val="20"/>
          <w:szCs w:val="20"/>
          <w:lang w:eastAsia="fr-FR"/>
        </w:rPr>
        <w:t>, 1</w:t>
      </w:r>
      <w:r w:rsidR="00356708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4,6 </w:t>
      </w:r>
      <w:r w:rsidRPr="00EA7D87">
        <w:rPr>
          <w:rFonts w:ascii="Segoe UI" w:eastAsia="Times New Roman" w:hAnsi="Segoe UI" w:cs="Segoe UI"/>
          <w:bCs/>
          <w:sz w:val="20"/>
          <w:szCs w:val="20"/>
          <w:lang w:eastAsia="fr-FR"/>
        </w:rPr>
        <w:t>% du total), (ii</w:t>
      </w:r>
      <w:r w:rsidR="009226E3">
        <w:rPr>
          <w:rFonts w:ascii="Segoe UI" w:eastAsia="Times New Roman" w:hAnsi="Segoe UI" w:cs="Segoe UI"/>
          <w:bCs/>
          <w:sz w:val="20"/>
          <w:szCs w:val="20"/>
          <w:lang w:eastAsia="fr-FR"/>
        </w:rPr>
        <w:t>i</w:t>
      </w:r>
      <w:r w:rsidRPr="00EA7D87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) </w:t>
      </w:r>
      <w:r w:rsidRPr="00EA7D87">
        <w:rPr>
          <w:rFonts w:ascii="Segoe UI" w:eastAsia="Times New Roman" w:hAnsi="Segoe UI" w:cs="Segoe UI"/>
          <w:bCs/>
          <w:sz w:val="20"/>
          <w:szCs w:val="20"/>
          <w:u w:val="single"/>
          <w:lang w:eastAsia="fr-FR"/>
        </w:rPr>
        <w:t>le matériel de transport</w:t>
      </w:r>
      <w:r w:rsidRPr="00EA7D87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(8</w:t>
      </w:r>
      <w:r w:rsidR="009226E3">
        <w:rPr>
          <w:rFonts w:ascii="Segoe UI" w:eastAsia="Times New Roman" w:hAnsi="Segoe UI" w:cs="Segoe UI"/>
          <w:bCs/>
          <w:sz w:val="20"/>
          <w:szCs w:val="20"/>
          <w:lang w:eastAsia="fr-FR"/>
        </w:rPr>
        <w:t>4,7</w:t>
      </w:r>
      <w:r w:rsidRPr="00EA7D87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Md€, </w:t>
      </w:r>
      <w:r w:rsidR="009226E3">
        <w:rPr>
          <w:rFonts w:ascii="Segoe UI" w:eastAsia="Times New Roman" w:hAnsi="Segoe UI" w:cs="Segoe UI"/>
          <w:bCs/>
          <w:sz w:val="20"/>
          <w:szCs w:val="20"/>
          <w:lang w:eastAsia="fr-FR"/>
        </w:rPr>
        <w:t>-7,7</w:t>
      </w:r>
      <w:r w:rsidR="00BE4C6C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</w:t>
      </w:r>
      <w:r w:rsidRPr="00EA7D87">
        <w:rPr>
          <w:rFonts w:ascii="Segoe UI" w:eastAsia="Times New Roman" w:hAnsi="Segoe UI" w:cs="Segoe UI"/>
          <w:bCs/>
          <w:sz w:val="20"/>
          <w:szCs w:val="20"/>
          <w:lang w:eastAsia="fr-FR"/>
        </w:rPr>
        <w:t>%, 12,</w:t>
      </w:r>
      <w:r w:rsidR="009226E3">
        <w:rPr>
          <w:rFonts w:ascii="Segoe UI" w:eastAsia="Times New Roman" w:hAnsi="Segoe UI" w:cs="Segoe UI"/>
          <w:bCs/>
          <w:sz w:val="20"/>
          <w:szCs w:val="20"/>
          <w:lang w:eastAsia="fr-FR"/>
        </w:rPr>
        <w:t>3</w:t>
      </w:r>
      <w:r w:rsidR="00BE4C6C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</w:t>
      </w:r>
      <w:r w:rsidRPr="00EA7D87">
        <w:rPr>
          <w:rFonts w:ascii="Segoe UI" w:eastAsia="Times New Roman" w:hAnsi="Segoe UI" w:cs="Segoe UI"/>
          <w:bCs/>
          <w:sz w:val="20"/>
          <w:szCs w:val="20"/>
          <w:lang w:eastAsia="fr-FR"/>
        </w:rPr>
        <w:t>% du total), (i</w:t>
      </w:r>
      <w:r w:rsidR="009226E3">
        <w:rPr>
          <w:rFonts w:ascii="Segoe UI" w:eastAsia="Times New Roman" w:hAnsi="Segoe UI" w:cs="Segoe UI"/>
          <w:bCs/>
          <w:sz w:val="20"/>
          <w:szCs w:val="20"/>
          <w:lang w:eastAsia="fr-FR"/>
        </w:rPr>
        <w:t>v</w:t>
      </w:r>
      <w:r w:rsidRPr="00EA7D87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) </w:t>
      </w:r>
      <w:r w:rsidRPr="00EA7D87">
        <w:rPr>
          <w:rFonts w:ascii="Segoe UI" w:eastAsia="Times New Roman" w:hAnsi="Segoe UI" w:cs="Segoe UI"/>
          <w:bCs/>
          <w:sz w:val="20"/>
          <w:szCs w:val="20"/>
          <w:u w:val="single"/>
          <w:lang w:eastAsia="fr-FR"/>
        </w:rPr>
        <w:t>les m</w:t>
      </w:r>
      <w:r w:rsidR="00D034DA">
        <w:rPr>
          <w:rFonts w:ascii="Segoe UI" w:eastAsia="Times New Roman" w:hAnsi="Segoe UI" w:cs="Segoe UI"/>
          <w:bCs/>
          <w:sz w:val="20"/>
          <w:szCs w:val="20"/>
          <w:u w:val="single"/>
          <w:lang w:eastAsia="fr-FR"/>
        </w:rPr>
        <w:t xml:space="preserve">achines et appareils, matériel </w:t>
      </w:r>
      <w:r w:rsidR="00D034DA" w:rsidRPr="007E4E06">
        <w:rPr>
          <w:rFonts w:ascii="Segoe UI" w:eastAsia="Times New Roman" w:hAnsi="Segoe UI" w:cs="Segoe UI"/>
          <w:bCs/>
          <w:sz w:val="20"/>
          <w:szCs w:val="20"/>
          <w:u w:val="single"/>
          <w:lang w:eastAsia="fr-FR"/>
        </w:rPr>
        <w:t>électrique</w:t>
      </w:r>
      <w:r w:rsidRPr="007E4E06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(</w:t>
      </w:r>
      <w:r w:rsidR="00D034DA" w:rsidRPr="007E4E06">
        <w:rPr>
          <w:rFonts w:ascii="Segoe UI" w:eastAsia="Times New Roman" w:hAnsi="Segoe UI" w:cs="Segoe UI"/>
          <w:bCs/>
          <w:sz w:val="20"/>
          <w:szCs w:val="20"/>
          <w:lang w:eastAsia="fr-FR"/>
        </w:rPr>
        <w:t>82,</w:t>
      </w:r>
      <w:r w:rsidR="00DD72D2">
        <w:rPr>
          <w:rFonts w:ascii="Segoe UI" w:eastAsia="Times New Roman" w:hAnsi="Segoe UI" w:cs="Segoe UI"/>
          <w:bCs/>
          <w:sz w:val="20"/>
          <w:szCs w:val="20"/>
          <w:lang w:eastAsia="fr-FR"/>
        </w:rPr>
        <w:t>1</w:t>
      </w:r>
      <w:r w:rsidRPr="007E4E06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Md€, -</w:t>
      </w:r>
      <w:r w:rsidR="00D034DA" w:rsidRPr="007E4E06">
        <w:rPr>
          <w:rFonts w:ascii="Segoe UI" w:eastAsia="Times New Roman" w:hAnsi="Segoe UI" w:cs="Segoe UI"/>
          <w:bCs/>
          <w:sz w:val="20"/>
          <w:szCs w:val="20"/>
          <w:lang w:eastAsia="fr-FR"/>
        </w:rPr>
        <w:t>9,1</w:t>
      </w:r>
      <w:r w:rsidR="00BE4C6C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</w:t>
      </w:r>
      <w:r w:rsidRPr="007E4E06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%, </w:t>
      </w:r>
      <w:r w:rsidR="00D034DA" w:rsidRPr="007E4E06">
        <w:rPr>
          <w:rFonts w:ascii="Segoe UI" w:eastAsia="Times New Roman" w:hAnsi="Segoe UI" w:cs="Segoe UI"/>
          <w:bCs/>
          <w:sz w:val="20"/>
          <w:szCs w:val="20"/>
          <w:lang w:eastAsia="fr-FR"/>
        </w:rPr>
        <w:t>11</w:t>
      </w:r>
      <w:r w:rsidRPr="007E4E06">
        <w:rPr>
          <w:rFonts w:ascii="Segoe UI" w:eastAsia="Times New Roman" w:hAnsi="Segoe UI" w:cs="Segoe UI"/>
          <w:bCs/>
          <w:sz w:val="20"/>
          <w:szCs w:val="20"/>
          <w:lang w:eastAsia="fr-FR"/>
        </w:rPr>
        <w:t>,9</w:t>
      </w:r>
      <w:r w:rsidR="00BE4C6C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</w:t>
      </w:r>
      <w:r w:rsidRPr="007E4E06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% du total), (v) </w:t>
      </w:r>
      <w:r w:rsidRPr="007E4E06">
        <w:rPr>
          <w:rFonts w:ascii="Segoe UI" w:eastAsia="Times New Roman" w:hAnsi="Segoe UI" w:cs="Segoe UI"/>
          <w:bCs/>
          <w:sz w:val="20"/>
          <w:szCs w:val="20"/>
          <w:u w:val="single"/>
          <w:lang w:eastAsia="fr-FR"/>
        </w:rPr>
        <w:t xml:space="preserve">les </w:t>
      </w:r>
      <w:r w:rsidR="00D034DA" w:rsidRPr="007E4E06">
        <w:rPr>
          <w:rFonts w:ascii="Segoe UI" w:eastAsia="Times New Roman" w:hAnsi="Segoe UI" w:cs="Segoe UI"/>
          <w:bCs/>
          <w:sz w:val="20"/>
          <w:szCs w:val="20"/>
          <w:u w:val="single"/>
          <w:lang w:eastAsia="fr-FR"/>
        </w:rPr>
        <w:t xml:space="preserve">métaux communs </w:t>
      </w:r>
      <w:r w:rsidRPr="007E4E06">
        <w:rPr>
          <w:rFonts w:ascii="Segoe UI" w:eastAsia="Times New Roman" w:hAnsi="Segoe UI" w:cs="Segoe UI"/>
          <w:bCs/>
          <w:sz w:val="20"/>
          <w:szCs w:val="20"/>
          <w:lang w:eastAsia="fr-FR"/>
        </w:rPr>
        <w:t>(</w:t>
      </w:r>
      <w:r w:rsidR="00127631" w:rsidRPr="007E4E06">
        <w:rPr>
          <w:rFonts w:ascii="Segoe UI" w:eastAsia="Times New Roman" w:hAnsi="Segoe UI" w:cs="Segoe UI"/>
          <w:bCs/>
          <w:sz w:val="20"/>
          <w:szCs w:val="20"/>
          <w:lang w:eastAsia="fr-FR"/>
        </w:rPr>
        <w:t>49</w:t>
      </w:r>
      <w:r w:rsidRPr="007E4E06">
        <w:rPr>
          <w:rFonts w:ascii="Segoe UI" w:eastAsia="Times New Roman" w:hAnsi="Segoe UI" w:cs="Segoe UI"/>
          <w:bCs/>
          <w:sz w:val="20"/>
          <w:szCs w:val="20"/>
          <w:lang w:eastAsia="fr-FR"/>
        </w:rPr>
        <w:t>,4 Md€, -</w:t>
      </w:r>
      <w:r w:rsidR="00127631" w:rsidRPr="007E4E06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5,6 </w:t>
      </w:r>
      <w:r w:rsidRPr="007E4E06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%, </w:t>
      </w:r>
      <w:r w:rsidR="00127631" w:rsidRPr="007E4E06">
        <w:rPr>
          <w:rFonts w:ascii="Segoe UI" w:eastAsia="Times New Roman" w:hAnsi="Segoe UI" w:cs="Segoe UI"/>
          <w:bCs/>
          <w:sz w:val="20"/>
          <w:szCs w:val="20"/>
          <w:lang w:eastAsia="fr-FR"/>
        </w:rPr>
        <w:t>7,2</w:t>
      </w:r>
      <w:r w:rsidR="00BE4C6C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</w:t>
      </w:r>
      <w:r w:rsidRPr="007E4E06">
        <w:rPr>
          <w:rFonts w:ascii="Segoe UI" w:eastAsia="Times New Roman" w:hAnsi="Segoe UI" w:cs="Segoe UI"/>
          <w:bCs/>
          <w:sz w:val="20"/>
          <w:szCs w:val="20"/>
          <w:lang w:eastAsia="fr-FR"/>
        </w:rPr>
        <w:t>% du total)</w:t>
      </w:r>
      <w:r w:rsidR="00C7794A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(cf. annexe 3)</w:t>
      </w:r>
      <w:r w:rsidR="00452AC4" w:rsidRPr="007E4E06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. </w:t>
      </w:r>
      <w:r w:rsidRPr="007E4E06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L’ensemble des postes </w:t>
      </w:r>
      <w:r w:rsidRPr="007E4E06">
        <w:rPr>
          <w:rFonts w:ascii="Segoe UI" w:eastAsia="Times New Roman" w:hAnsi="Segoe UI" w:cs="Segoe UI"/>
          <w:bCs/>
          <w:i/>
          <w:iCs/>
          <w:sz w:val="20"/>
          <w:szCs w:val="20"/>
          <w:lang w:eastAsia="fr-FR"/>
        </w:rPr>
        <w:t>supra</w:t>
      </w:r>
      <w:r w:rsidRPr="007E4E06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a représenté </w:t>
      </w:r>
      <w:r w:rsidR="007E4E06" w:rsidRPr="007E4E06">
        <w:rPr>
          <w:rFonts w:ascii="Segoe UI" w:eastAsia="Times New Roman" w:hAnsi="Segoe UI" w:cs="Segoe UI"/>
          <w:bCs/>
          <w:sz w:val="20"/>
          <w:szCs w:val="20"/>
          <w:lang w:eastAsia="fr-FR"/>
        </w:rPr>
        <w:t>69,3</w:t>
      </w:r>
      <w:r w:rsidR="00BE4C6C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</w:t>
      </w:r>
      <w:r w:rsidRPr="007E4E06">
        <w:rPr>
          <w:rFonts w:ascii="Segoe UI" w:eastAsia="Times New Roman" w:hAnsi="Segoe UI" w:cs="Segoe UI"/>
          <w:bCs/>
          <w:sz w:val="20"/>
          <w:szCs w:val="20"/>
          <w:lang w:eastAsia="fr-FR"/>
        </w:rPr>
        <w:t>% des échanges de produits en 202</w:t>
      </w:r>
      <w:r w:rsidR="007E4E06" w:rsidRPr="007E4E06">
        <w:rPr>
          <w:rFonts w:ascii="Segoe UI" w:eastAsia="Times New Roman" w:hAnsi="Segoe UI" w:cs="Segoe UI"/>
          <w:bCs/>
          <w:sz w:val="20"/>
          <w:szCs w:val="20"/>
          <w:lang w:eastAsia="fr-FR"/>
        </w:rPr>
        <w:t>4.</w:t>
      </w:r>
      <w:r w:rsidR="00631056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D’après la BNB, tous les secteurs sont concernés par une baisse des échanges. Plus spécifiquement, les difficultés de</w:t>
      </w:r>
      <w:r w:rsidR="00AF4BD6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s </w:t>
      </w:r>
      <w:r w:rsidR="00631056">
        <w:rPr>
          <w:rFonts w:ascii="Segoe UI" w:eastAsia="Times New Roman" w:hAnsi="Segoe UI" w:cs="Segoe UI"/>
          <w:bCs/>
          <w:sz w:val="20"/>
          <w:szCs w:val="20"/>
          <w:lang w:eastAsia="fr-FR"/>
        </w:rPr>
        <w:t>produits minéraux sont liées à l’évolution des prix</w:t>
      </w:r>
      <w:r w:rsidR="00AF4BD6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, pour les produits chimiques, le déclin du commerce de vaccins a pesé et le commerce de véhicules a souffert de l’incertitude quant au traitement fiscal et tarifaire des voitures </w:t>
      </w:r>
      <w:r w:rsidR="00551D6A">
        <w:rPr>
          <w:rFonts w:ascii="Segoe UI" w:eastAsia="Times New Roman" w:hAnsi="Segoe UI" w:cs="Segoe UI"/>
          <w:bCs/>
          <w:sz w:val="20"/>
          <w:szCs w:val="20"/>
          <w:lang w:eastAsia="fr-FR"/>
        </w:rPr>
        <w:t>électriques</w:t>
      </w:r>
      <w:r w:rsidR="00631056">
        <w:rPr>
          <w:rFonts w:ascii="Segoe UI" w:eastAsia="Times New Roman" w:hAnsi="Segoe UI" w:cs="Segoe UI"/>
          <w:bCs/>
          <w:sz w:val="20"/>
          <w:szCs w:val="20"/>
          <w:lang w:eastAsia="fr-FR"/>
        </w:rPr>
        <w:t>.</w:t>
      </w:r>
      <w:r w:rsidR="007E4E06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</w:t>
      </w:r>
      <w:r w:rsidRPr="00360B53">
        <w:rPr>
          <w:rStyle w:val="accentuation01Car"/>
        </w:rPr>
        <w:t xml:space="preserve">Les produits des </w:t>
      </w:r>
      <w:r w:rsidR="00FD678B" w:rsidRPr="00360B53">
        <w:rPr>
          <w:rStyle w:val="accentuation01Car"/>
        </w:rPr>
        <w:t xml:space="preserve">industries chimiques </w:t>
      </w:r>
      <w:r w:rsidRPr="00360B53">
        <w:rPr>
          <w:rStyle w:val="accentuation01Car"/>
        </w:rPr>
        <w:t xml:space="preserve">dégagent le principal solde excédentaire de la Belgique à hauteur de </w:t>
      </w:r>
      <w:r w:rsidR="00FD678B" w:rsidRPr="00360B53">
        <w:rPr>
          <w:rStyle w:val="accentuation01Car"/>
        </w:rPr>
        <w:t>20,7</w:t>
      </w:r>
      <w:r w:rsidRPr="00360B53">
        <w:rPr>
          <w:rStyle w:val="accentuation01Car"/>
        </w:rPr>
        <w:t> Md€</w:t>
      </w:r>
      <w:r w:rsidRPr="00360B53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(+</w:t>
      </w:r>
      <w:r w:rsidR="00FD678B" w:rsidRPr="00360B53">
        <w:rPr>
          <w:rFonts w:ascii="Segoe UI" w:eastAsia="Times New Roman" w:hAnsi="Segoe UI" w:cs="Segoe UI"/>
          <w:bCs/>
          <w:sz w:val="20"/>
          <w:szCs w:val="20"/>
          <w:lang w:eastAsia="fr-FR"/>
        </w:rPr>
        <w:t>38,9</w:t>
      </w:r>
      <w:r w:rsidR="00BE4C6C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</w:t>
      </w:r>
      <w:r w:rsidRPr="00360B53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%), devant les </w:t>
      </w:r>
      <w:r w:rsidR="00FD678B" w:rsidRPr="00360B53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produits des industries alimentaires </w:t>
      </w:r>
      <w:r w:rsidRPr="00360B53">
        <w:rPr>
          <w:rFonts w:ascii="Segoe UI" w:eastAsia="Times New Roman" w:hAnsi="Segoe UI" w:cs="Segoe UI"/>
          <w:bCs/>
          <w:sz w:val="20"/>
          <w:szCs w:val="20"/>
          <w:lang w:eastAsia="fr-FR"/>
        </w:rPr>
        <w:t>(</w:t>
      </w:r>
      <w:r w:rsidR="00F27609" w:rsidRPr="00360B53">
        <w:rPr>
          <w:rFonts w:ascii="Segoe UI" w:eastAsia="Times New Roman" w:hAnsi="Segoe UI" w:cs="Segoe UI"/>
          <w:bCs/>
          <w:sz w:val="20"/>
          <w:szCs w:val="20"/>
          <w:lang w:eastAsia="fr-FR"/>
        </w:rPr>
        <w:t>9</w:t>
      </w:r>
      <w:r w:rsidRPr="00360B53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Md€, -</w:t>
      </w:r>
      <w:r w:rsidR="00F27609" w:rsidRPr="00360B53">
        <w:rPr>
          <w:rFonts w:ascii="Segoe UI" w:eastAsia="Times New Roman" w:hAnsi="Segoe UI" w:cs="Segoe UI"/>
          <w:bCs/>
          <w:sz w:val="20"/>
          <w:szCs w:val="20"/>
          <w:lang w:eastAsia="fr-FR"/>
        </w:rPr>
        <w:t>7,2</w:t>
      </w:r>
      <w:r w:rsidR="00BE4C6C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</w:t>
      </w:r>
      <w:r w:rsidRPr="00360B53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%), </w:t>
      </w:r>
      <w:r w:rsidR="00F27609" w:rsidRPr="00360B53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les matières plastiques </w:t>
      </w:r>
      <w:r w:rsidRPr="00360B53">
        <w:rPr>
          <w:rFonts w:ascii="Segoe UI" w:eastAsia="Times New Roman" w:hAnsi="Segoe UI" w:cs="Segoe UI"/>
          <w:bCs/>
          <w:sz w:val="20"/>
          <w:szCs w:val="20"/>
          <w:lang w:eastAsia="fr-FR"/>
        </w:rPr>
        <w:t>(</w:t>
      </w:r>
      <w:r w:rsidR="00F27609" w:rsidRPr="00360B53">
        <w:rPr>
          <w:rFonts w:ascii="Segoe UI" w:eastAsia="Times New Roman" w:hAnsi="Segoe UI" w:cs="Segoe UI"/>
          <w:bCs/>
          <w:sz w:val="20"/>
          <w:szCs w:val="20"/>
          <w:lang w:eastAsia="fr-FR"/>
        </w:rPr>
        <w:t>7,4</w:t>
      </w:r>
      <w:r w:rsidRPr="00360B53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Md€, </w:t>
      </w:r>
      <w:r w:rsidR="00F27609" w:rsidRPr="00360B53">
        <w:rPr>
          <w:rFonts w:ascii="Segoe UI" w:eastAsia="Times New Roman" w:hAnsi="Segoe UI" w:cs="Segoe UI"/>
          <w:bCs/>
          <w:sz w:val="20"/>
          <w:szCs w:val="20"/>
          <w:lang w:eastAsia="fr-FR"/>
        </w:rPr>
        <w:t>+17,5</w:t>
      </w:r>
      <w:r w:rsidR="00BE4C6C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</w:t>
      </w:r>
      <w:r w:rsidRPr="00360B53">
        <w:rPr>
          <w:rFonts w:ascii="Segoe UI" w:eastAsia="Times New Roman" w:hAnsi="Segoe UI" w:cs="Segoe UI"/>
          <w:bCs/>
          <w:sz w:val="20"/>
          <w:szCs w:val="20"/>
          <w:lang w:eastAsia="fr-FR"/>
        </w:rPr>
        <w:t>%)</w:t>
      </w:r>
      <w:r w:rsidR="00F27609" w:rsidRPr="00360B53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et les métaux (</w:t>
      </w:r>
      <w:r w:rsidR="008535E7" w:rsidRPr="00360B53">
        <w:rPr>
          <w:rFonts w:ascii="Segoe UI" w:eastAsia="Times New Roman" w:hAnsi="Segoe UI" w:cs="Segoe UI"/>
          <w:bCs/>
          <w:sz w:val="20"/>
          <w:szCs w:val="20"/>
          <w:lang w:eastAsia="fr-FR"/>
        </w:rPr>
        <w:t>3,8 Md€ ; -7,3</w:t>
      </w:r>
      <w:r w:rsidR="00BE4C6C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</w:t>
      </w:r>
      <w:r w:rsidR="008535E7" w:rsidRPr="00360B53">
        <w:rPr>
          <w:rFonts w:ascii="Segoe UI" w:eastAsia="Times New Roman" w:hAnsi="Segoe UI" w:cs="Segoe UI"/>
          <w:bCs/>
          <w:sz w:val="20"/>
          <w:szCs w:val="20"/>
          <w:lang w:eastAsia="fr-FR"/>
        </w:rPr>
        <w:t>%)</w:t>
      </w:r>
      <w:r w:rsidRPr="00360B53">
        <w:rPr>
          <w:rFonts w:ascii="Segoe UI" w:eastAsia="Times New Roman" w:hAnsi="Segoe UI" w:cs="Segoe UI"/>
          <w:bCs/>
          <w:sz w:val="20"/>
          <w:szCs w:val="20"/>
          <w:lang w:eastAsia="fr-FR"/>
        </w:rPr>
        <w:t>.</w:t>
      </w:r>
      <w:r w:rsidRPr="00360B53">
        <w:rPr>
          <w:rFonts w:ascii="Segoe UI" w:eastAsia="Times New Roman" w:hAnsi="Segoe UI" w:cs="Segoe UI"/>
          <w:sz w:val="20"/>
          <w:szCs w:val="20"/>
          <w:lang w:eastAsia="fr-FR"/>
        </w:rPr>
        <w:t xml:space="preserve"> Les principaux déficits sectoriels concernent les produits minéraux (-1</w:t>
      </w:r>
      <w:r w:rsidR="008535E7" w:rsidRPr="00360B53">
        <w:rPr>
          <w:rFonts w:ascii="Segoe UI" w:eastAsia="Times New Roman" w:hAnsi="Segoe UI" w:cs="Segoe UI"/>
          <w:sz w:val="20"/>
          <w:szCs w:val="20"/>
          <w:lang w:eastAsia="fr-FR"/>
        </w:rPr>
        <w:t>6,4</w:t>
      </w:r>
      <w:r w:rsidRPr="00360B53">
        <w:rPr>
          <w:rFonts w:ascii="Segoe UI" w:eastAsia="Times New Roman" w:hAnsi="Segoe UI" w:cs="Segoe UI"/>
          <w:sz w:val="20"/>
          <w:szCs w:val="20"/>
          <w:lang w:eastAsia="fr-FR"/>
        </w:rPr>
        <w:t> Md€) et les machines/matériels électriques</w:t>
      </w:r>
      <w:r w:rsidRPr="00360B53">
        <w:rPr>
          <w:rFonts w:ascii="Segoe UI" w:eastAsia="Times New Roman" w:hAnsi="Segoe UI" w:cs="Segoe UI"/>
          <w:b/>
          <w:sz w:val="20"/>
          <w:szCs w:val="20"/>
          <w:lang w:eastAsia="fr-FR"/>
        </w:rPr>
        <w:t xml:space="preserve"> </w:t>
      </w:r>
      <w:r w:rsidRPr="00360B53">
        <w:rPr>
          <w:rFonts w:ascii="Segoe UI" w:eastAsia="Times New Roman" w:hAnsi="Segoe UI" w:cs="Segoe UI"/>
          <w:sz w:val="20"/>
          <w:szCs w:val="20"/>
          <w:lang w:eastAsia="fr-FR"/>
        </w:rPr>
        <w:t>(-1</w:t>
      </w:r>
      <w:r w:rsidR="008535E7" w:rsidRPr="00360B53">
        <w:rPr>
          <w:rFonts w:ascii="Segoe UI" w:eastAsia="Times New Roman" w:hAnsi="Segoe UI" w:cs="Segoe UI"/>
          <w:sz w:val="20"/>
          <w:szCs w:val="20"/>
          <w:lang w:eastAsia="fr-FR"/>
        </w:rPr>
        <w:t>1</w:t>
      </w:r>
      <w:r w:rsidRPr="00360B53">
        <w:rPr>
          <w:rFonts w:ascii="Segoe UI" w:eastAsia="Times New Roman" w:hAnsi="Segoe UI" w:cs="Segoe UI"/>
          <w:sz w:val="20"/>
          <w:szCs w:val="20"/>
          <w:lang w:eastAsia="fr-FR"/>
        </w:rPr>
        <w:t xml:space="preserve"> Md€).</w:t>
      </w:r>
    </w:p>
    <w:p w14:paraId="09729C8F" w14:textId="5D3FAD12" w:rsidR="001230C7" w:rsidRDefault="001230C7" w:rsidP="000C7B76">
      <w:pPr>
        <w:pStyle w:val="Titre02"/>
        <w:spacing w:before="120" w:after="120"/>
      </w:pPr>
      <w:r w:rsidRPr="002D4AD6">
        <w:rPr>
          <w:b/>
          <w:bCs w:val="0"/>
        </w:rPr>
        <w:lastRenderedPageBreak/>
        <w:t xml:space="preserve">Les échanges de la Belgique demeurent principalement tournés vers ses pays frontaliers, tandis que la part des pays non européens se stabilise autour d’un tiers depuis 2000. </w:t>
      </w:r>
      <w:r w:rsidRPr="002D4AD6">
        <w:rPr>
          <w:rStyle w:val="Accentuation"/>
          <w:rFonts w:ascii="Segoe UI" w:hAnsi="Segoe UI"/>
          <w:sz w:val="20"/>
        </w:rPr>
        <w:t>En 2024, les Pays-Bas</w:t>
      </w:r>
      <w:r w:rsidR="00303C38" w:rsidRPr="002D4AD6">
        <w:rPr>
          <w:rStyle w:val="Accentuation"/>
          <w:rFonts w:ascii="Segoe UI" w:hAnsi="Segoe UI"/>
          <w:sz w:val="20"/>
        </w:rPr>
        <w:t xml:space="preserve"> (126 </w:t>
      </w:r>
      <w:r w:rsidR="00303C38" w:rsidRPr="002D4AD6">
        <w:rPr>
          <w:rStyle w:val="Lienhypertexte"/>
          <w:color w:val="auto"/>
          <w:u w:val="none"/>
        </w:rPr>
        <w:t xml:space="preserve">Md </w:t>
      </w:r>
      <w:r w:rsidR="00303C38" w:rsidRPr="002D4AD6">
        <w:t>€ ; 18,3</w:t>
      </w:r>
      <w:r w:rsidR="00BE4C6C">
        <w:t xml:space="preserve"> </w:t>
      </w:r>
      <w:r w:rsidR="00303C38" w:rsidRPr="002D4AD6">
        <w:t>% des échanges)</w:t>
      </w:r>
      <w:r w:rsidRPr="002D4AD6">
        <w:rPr>
          <w:rStyle w:val="Accentuation"/>
          <w:rFonts w:ascii="Segoe UI" w:hAnsi="Segoe UI"/>
          <w:sz w:val="20"/>
        </w:rPr>
        <w:t xml:space="preserve">, l’Allemagne </w:t>
      </w:r>
      <w:r w:rsidR="00303C38" w:rsidRPr="002D4AD6">
        <w:rPr>
          <w:rStyle w:val="Accentuation"/>
          <w:rFonts w:ascii="Segoe UI" w:hAnsi="Segoe UI"/>
          <w:sz w:val="20"/>
        </w:rPr>
        <w:t>(</w:t>
      </w:r>
      <w:r w:rsidR="0085397E" w:rsidRPr="002D4AD6">
        <w:rPr>
          <w:rStyle w:val="Accentuation"/>
          <w:rFonts w:ascii="Segoe UI" w:hAnsi="Segoe UI"/>
          <w:sz w:val="20"/>
        </w:rPr>
        <w:t xml:space="preserve">98,8 </w:t>
      </w:r>
      <w:r w:rsidR="0085397E" w:rsidRPr="002D4AD6">
        <w:rPr>
          <w:rStyle w:val="Lienhypertexte"/>
          <w:color w:val="auto"/>
          <w:u w:val="none"/>
        </w:rPr>
        <w:t xml:space="preserve">Md </w:t>
      </w:r>
      <w:r w:rsidR="0085397E" w:rsidRPr="002D4AD6">
        <w:t xml:space="preserve">€, 14,4 %) </w:t>
      </w:r>
      <w:r w:rsidRPr="002D4AD6">
        <w:rPr>
          <w:rStyle w:val="Accentuation"/>
          <w:rFonts w:ascii="Segoe UI" w:hAnsi="Segoe UI"/>
          <w:sz w:val="20"/>
        </w:rPr>
        <w:t xml:space="preserve">et la </w:t>
      </w:r>
      <w:r w:rsidR="0085397E" w:rsidRPr="002D4AD6">
        <w:rPr>
          <w:rStyle w:val="Accentuation"/>
          <w:rFonts w:ascii="Segoe UI" w:hAnsi="Segoe UI"/>
          <w:sz w:val="20"/>
        </w:rPr>
        <w:t xml:space="preserve">France (83,3 </w:t>
      </w:r>
      <w:r w:rsidR="0085397E" w:rsidRPr="002D4AD6">
        <w:rPr>
          <w:rStyle w:val="Lienhypertexte"/>
          <w:color w:val="auto"/>
          <w:u w:val="none"/>
        </w:rPr>
        <w:t xml:space="preserve">Md </w:t>
      </w:r>
      <w:r w:rsidR="0085397E" w:rsidRPr="002D4AD6">
        <w:t xml:space="preserve">€ ; </w:t>
      </w:r>
      <w:r w:rsidR="0085397E" w:rsidRPr="002D4AD6">
        <w:rPr>
          <w:rStyle w:val="Accentuation"/>
          <w:rFonts w:ascii="Segoe UI" w:hAnsi="Segoe UI"/>
          <w:sz w:val="20"/>
        </w:rPr>
        <w:t>12,1</w:t>
      </w:r>
      <w:r w:rsidR="00BE4C6C">
        <w:rPr>
          <w:rStyle w:val="Accentuation"/>
          <w:rFonts w:ascii="Segoe UI" w:hAnsi="Segoe UI"/>
          <w:sz w:val="20"/>
        </w:rPr>
        <w:t xml:space="preserve"> </w:t>
      </w:r>
      <w:r w:rsidR="0085397E" w:rsidRPr="002D4AD6">
        <w:rPr>
          <w:rStyle w:val="Accentuation"/>
          <w:rFonts w:ascii="Segoe UI" w:hAnsi="Segoe UI"/>
          <w:sz w:val="20"/>
        </w:rPr>
        <w:t>%)</w:t>
      </w:r>
      <w:r w:rsidRPr="002D4AD6">
        <w:rPr>
          <w:rStyle w:val="Accentuation"/>
          <w:rFonts w:ascii="Segoe UI" w:hAnsi="Segoe UI"/>
          <w:sz w:val="20"/>
        </w:rPr>
        <w:t xml:space="preserve"> étaient les trois </w:t>
      </w:r>
      <w:r w:rsidRPr="00BC5532">
        <w:rPr>
          <w:rStyle w:val="Accentuation"/>
          <w:rFonts w:ascii="Segoe UI" w:hAnsi="Segoe UI"/>
          <w:sz w:val="20"/>
        </w:rPr>
        <w:t xml:space="preserve">principaux partenaires commerciaux de la Belgique, </w:t>
      </w:r>
      <w:r w:rsidRPr="00850E8D">
        <w:rPr>
          <w:rStyle w:val="accentuation01Car"/>
        </w:rPr>
        <w:t>avec une part dans le volume total d’échange de 4</w:t>
      </w:r>
      <w:r w:rsidR="0085397E" w:rsidRPr="00850E8D">
        <w:rPr>
          <w:rStyle w:val="accentuation01Car"/>
        </w:rPr>
        <w:t>4,8</w:t>
      </w:r>
      <w:r w:rsidR="00BE4C6C">
        <w:rPr>
          <w:rStyle w:val="accentuation01Car"/>
        </w:rPr>
        <w:t xml:space="preserve"> </w:t>
      </w:r>
      <w:r w:rsidRPr="00850E8D">
        <w:rPr>
          <w:rStyle w:val="accentuation01Car"/>
        </w:rPr>
        <w:t>%</w:t>
      </w:r>
      <w:r w:rsidR="0085397E" w:rsidRPr="00BC5532">
        <w:rPr>
          <w:rStyle w:val="Accentuation"/>
          <w:rFonts w:ascii="Segoe UI" w:hAnsi="Segoe UI"/>
          <w:sz w:val="20"/>
        </w:rPr>
        <w:t xml:space="preserve"> </w:t>
      </w:r>
      <w:r w:rsidR="0085397E" w:rsidRPr="00BC5532">
        <w:rPr>
          <w:rStyle w:val="listeN-1Car"/>
          <w:rFonts w:ascii="Segoe UI" w:hAnsi="Segoe UI"/>
        </w:rPr>
        <w:t xml:space="preserve">(cf. annexe </w:t>
      </w:r>
      <w:r w:rsidR="00C7794A" w:rsidRPr="00BC5532">
        <w:rPr>
          <w:rStyle w:val="listeN-1Car"/>
          <w:rFonts w:ascii="Segoe UI" w:hAnsi="Segoe UI"/>
        </w:rPr>
        <w:t>4</w:t>
      </w:r>
      <w:r w:rsidR="0085397E" w:rsidRPr="00BC5532">
        <w:rPr>
          <w:rStyle w:val="listeN-1Car"/>
          <w:rFonts w:ascii="Segoe UI" w:hAnsi="Segoe UI"/>
        </w:rPr>
        <w:t xml:space="preserve">). </w:t>
      </w:r>
      <w:r w:rsidR="0085397E" w:rsidRPr="00850E8D">
        <w:rPr>
          <w:rStyle w:val="accentuation01Car"/>
        </w:rPr>
        <w:t>Les Etats-Unis (47,6 Md € ; 6,9</w:t>
      </w:r>
      <w:r w:rsidR="00BE4C6C">
        <w:rPr>
          <w:rStyle w:val="accentuation01Car"/>
        </w:rPr>
        <w:t xml:space="preserve"> </w:t>
      </w:r>
      <w:r w:rsidR="0085397E" w:rsidRPr="00850E8D">
        <w:rPr>
          <w:rStyle w:val="accentuation01Car"/>
        </w:rPr>
        <w:t>%) sont le 4ème partenaire commercial de la Belgique</w:t>
      </w:r>
      <w:r w:rsidR="0085397E" w:rsidRPr="002D4AD6">
        <w:rPr>
          <w:rStyle w:val="listeN-1Car"/>
          <w:rFonts w:ascii="Segoe UI" w:hAnsi="Segoe UI"/>
        </w:rPr>
        <w:t>, suivi par le Royaume-Uni (31,</w:t>
      </w:r>
      <w:r w:rsidR="00DD72D2">
        <w:rPr>
          <w:rStyle w:val="listeN-1Car"/>
          <w:rFonts w:ascii="Segoe UI" w:hAnsi="Segoe UI"/>
        </w:rPr>
        <w:t>9</w:t>
      </w:r>
      <w:r w:rsidR="0085397E" w:rsidRPr="002D4AD6">
        <w:rPr>
          <w:rStyle w:val="listeN-1Car"/>
          <w:rFonts w:ascii="Segoe UI" w:hAnsi="Segoe UI"/>
        </w:rPr>
        <w:t xml:space="preserve"> </w:t>
      </w:r>
      <w:r w:rsidR="0085397E" w:rsidRPr="002D4AD6">
        <w:rPr>
          <w:rStyle w:val="Lienhypertexte"/>
          <w:color w:val="auto"/>
          <w:u w:val="none"/>
        </w:rPr>
        <w:t xml:space="preserve">Md </w:t>
      </w:r>
      <w:r w:rsidR="0085397E" w:rsidRPr="002D4AD6">
        <w:t>€ ; 4,6</w:t>
      </w:r>
      <w:r w:rsidR="00BE4C6C">
        <w:t xml:space="preserve"> </w:t>
      </w:r>
      <w:r w:rsidR="0085397E" w:rsidRPr="002D4AD6">
        <w:t xml:space="preserve">%) et </w:t>
      </w:r>
      <w:r w:rsidR="0085397E" w:rsidRPr="002D4AD6">
        <w:rPr>
          <w:rStyle w:val="listeN-1Car"/>
          <w:rFonts w:ascii="Segoe UI" w:hAnsi="Segoe UI"/>
        </w:rPr>
        <w:t xml:space="preserve">l’Italie (31,5 </w:t>
      </w:r>
      <w:r w:rsidR="0085397E" w:rsidRPr="002D4AD6">
        <w:rPr>
          <w:rStyle w:val="Lienhypertexte"/>
          <w:color w:val="auto"/>
          <w:u w:val="none"/>
        </w:rPr>
        <w:t xml:space="preserve">Md </w:t>
      </w:r>
      <w:r w:rsidR="0085397E" w:rsidRPr="002D4AD6">
        <w:t>€ ; 4,6</w:t>
      </w:r>
      <w:r w:rsidR="00BE4C6C">
        <w:t xml:space="preserve"> </w:t>
      </w:r>
      <w:r w:rsidR="0085397E" w:rsidRPr="002D4AD6">
        <w:t>%)</w:t>
      </w:r>
      <w:r w:rsidR="0085397E" w:rsidRPr="002D4AD6">
        <w:rPr>
          <w:rStyle w:val="listeN-1Car"/>
          <w:rFonts w:ascii="Segoe UI" w:hAnsi="Segoe UI"/>
        </w:rPr>
        <w:t>. Du fait d’</w:t>
      </w:r>
      <w:r w:rsidR="00DE3FFA" w:rsidRPr="002D4AD6">
        <w:rPr>
          <w:rStyle w:val="listeN-1Car"/>
          <w:rFonts w:ascii="Segoe UI" w:hAnsi="Segoe UI"/>
        </w:rPr>
        <w:t>importations</w:t>
      </w:r>
      <w:r w:rsidR="0085397E" w:rsidRPr="002D4AD6">
        <w:rPr>
          <w:rStyle w:val="listeN-1Car"/>
          <w:rFonts w:ascii="Segoe UI" w:hAnsi="Segoe UI"/>
        </w:rPr>
        <w:t xml:space="preserve"> très supérieures aux </w:t>
      </w:r>
      <w:r w:rsidR="00DE3FFA" w:rsidRPr="002D4AD6">
        <w:rPr>
          <w:rStyle w:val="listeN-1Car"/>
          <w:rFonts w:ascii="Segoe UI" w:hAnsi="Segoe UI"/>
        </w:rPr>
        <w:t>exportations</w:t>
      </w:r>
      <w:r w:rsidR="00DE3FFA" w:rsidRPr="00850E8D">
        <w:rPr>
          <w:rStyle w:val="accentuation01Car"/>
        </w:rPr>
        <w:t xml:space="preserve">, la Belgique </w:t>
      </w:r>
      <w:r w:rsidR="0085397E" w:rsidRPr="00850E8D">
        <w:rPr>
          <w:rStyle w:val="accentuation01Car"/>
        </w:rPr>
        <w:t>entretien</w:t>
      </w:r>
      <w:r w:rsidR="00DE3FFA" w:rsidRPr="00850E8D">
        <w:rPr>
          <w:rStyle w:val="accentuation01Car"/>
        </w:rPr>
        <w:t>t</w:t>
      </w:r>
      <w:r w:rsidR="0085397E" w:rsidRPr="00850E8D">
        <w:rPr>
          <w:rStyle w:val="accentuation01Car"/>
        </w:rPr>
        <w:t xml:space="preserve"> un fort </w:t>
      </w:r>
      <w:r w:rsidR="00DE3FFA" w:rsidRPr="00850E8D">
        <w:rPr>
          <w:rStyle w:val="accentuation01Car"/>
        </w:rPr>
        <w:t xml:space="preserve">déficit du commerce des biens </w:t>
      </w:r>
      <w:r w:rsidR="0085397E" w:rsidRPr="00850E8D">
        <w:rPr>
          <w:rStyle w:val="accentuation01Car"/>
        </w:rPr>
        <w:t>vis-à-vis d</w:t>
      </w:r>
      <w:r w:rsidR="00ED4850" w:rsidRPr="00850E8D">
        <w:rPr>
          <w:rStyle w:val="accentuation01Car"/>
        </w:rPr>
        <w:t>es Pays-Bas</w:t>
      </w:r>
      <w:r w:rsidR="0085397E" w:rsidRPr="00850E8D">
        <w:rPr>
          <w:rStyle w:val="accentuation01Car"/>
        </w:rPr>
        <w:t> </w:t>
      </w:r>
      <w:r w:rsidR="00DE3FFA" w:rsidRPr="00850E8D">
        <w:rPr>
          <w:rStyle w:val="accentuation01Car"/>
        </w:rPr>
        <w:t>(-35,</w:t>
      </w:r>
      <w:r w:rsidR="00ED4850" w:rsidRPr="00850E8D">
        <w:rPr>
          <w:rStyle w:val="accentuation01Car"/>
        </w:rPr>
        <w:t>7</w:t>
      </w:r>
      <w:r w:rsidR="00DE3FFA" w:rsidRPr="00850E8D">
        <w:rPr>
          <w:rStyle w:val="accentuation01Car"/>
        </w:rPr>
        <w:t xml:space="preserve"> Md €)</w:t>
      </w:r>
      <w:r w:rsidR="00ED4850">
        <w:t xml:space="preserve"> (cf. annexe 5)</w:t>
      </w:r>
      <w:r w:rsidR="002D4AD6" w:rsidRPr="002D4AD6">
        <w:t xml:space="preserve">. </w:t>
      </w:r>
      <w:r w:rsidR="002D4AD6" w:rsidRPr="00850E8D">
        <w:rPr>
          <w:rStyle w:val="accentuation01Car"/>
        </w:rPr>
        <w:t>La Belgique enregistre des excédents avec ses autres principaux partenaires</w:t>
      </w:r>
      <w:r w:rsidR="002D4AD6" w:rsidRPr="002D4AD6">
        <w:rPr>
          <w:rStyle w:val="accentuation01Car"/>
          <w:color w:val="auto"/>
        </w:rPr>
        <w:t xml:space="preserve">, </w:t>
      </w:r>
      <w:r w:rsidR="00ED4850" w:rsidRPr="002D4AD6">
        <w:t xml:space="preserve">le Royaume-Uni (12,2 </w:t>
      </w:r>
      <w:r w:rsidR="00ED4850" w:rsidRPr="002D4AD6">
        <w:rPr>
          <w:rStyle w:val="Lienhypertexte"/>
          <w:color w:val="auto"/>
          <w:u w:val="none"/>
        </w:rPr>
        <w:t xml:space="preserve">Md </w:t>
      </w:r>
      <w:r w:rsidR="00ED4850" w:rsidRPr="002D4AD6">
        <w:t>€)</w:t>
      </w:r>
      <w:r w:rsidR="00ED4850">
        <w:t xml:space="preserve">, </w:t>
      </w:r>
      <w:r w:rsidR="002D4AD6" w:rsidRPr="002D4AD6">
        <w:rPr>
          <w:rStyle w:val="accentuation01Car"/>
          <w:color w:val="auto"/>
        </w:rPr>
        <w:t xml:space="preserve">l’Allemagne (7,4 </w:t>
      </w:r>
      <w:r w:rsidR="002D4AD6" w:rsidRPr="002D4AD6">
        <w:rPr>
          <w:rStyle w:val="Lienhypertexte"/>
          <w:color w:val="auto"/>
          <w:u w:val="none"/>
        </w:rPr>
        <w:t xml:space="preserve">Md </w:t>
      </w:r>
      <w:r w:rsidR="002D4AD6" w:rsidRPr="002D4AD6">
        <w:t>€),</w:t>
      </w:r>
      <w:r w:rsidR="00DD72D2">
        <w:t xml:space="preserve"> </w:t>
      </w:r>
      <w:r w:rsidR="00DD72D2" w:rsidRPr="002D4AD6">
        <w:t xml:space="preserve">les Etats-Unis (7,2 </w:t>
      </w:r>
      <w:r w:rsidR="00DD72D2" w:rsidRPr="002D4AD6">
        <w:rPr>
          <w:rStyle w:val="Lienhypertexte"/>
          <w:color w:val="auto"/>
          <w:u w:val="none"/>
        </w:rPr>
        <w:t xml:space="preserve">Md </w:t>
      </w:r>
      <w:r w:rsidR="00DD72D2" w:rsidRPr="002D4AD6">
        <w:t>€)</w:t>
      </w:r>
      <w:r w:rsidR="00DD72D2">
        <w:t>,</w:t>
      </w:r>
      <w:r w:rsidR="002D4AD6" w:rsidRPr="002D4AD6">
        <w:t xml:space="preserve"> la France (5,5 </w:t>
      </w:r>
      <w:r w:rsidR="002D4AD6" w:rsidRPr="002D4AD6">
        <w:rPr>
          <w:rStyle w:val="Lienhypertexte"/>
          <w:color w:val="auto"/>
          <w:u w:val="none"/>
        </w:rPr>
        <w:t xml:space="preserve">Md </w:t>
      </w:r>
      <w:r w:rsidR="002D4AD6" w:rsidRPr="002D4AD6">
        <w:t xml:space="preserve">€), et l’Italie (0,3 </w:t>
      </w:r>
      <w:r w:rsidR="002D4AD6" w:rsidRPr="002D4AD6">
        <w:rPr>
          <w:rStyle w:val="Lienhypertexte"/>
          <w:color w:val="auto"/>
          <w:u w:val="none"/>
        </w:rPr>
        <w:t xml:space="preserve">Md </w:t>
      </w:r>
      <w:r w:rsidR="002D4AD6" w:rsidRPr="002D4AD6">
        <w:t>€)</w:t>
      </w:r>
      <w:r w:rsidR="00ED4850">
        <w:t xml:space="preserve"> (cf. annexe 6)</w:t>
      </w:r>
      <w:r w:rsidR="002D4AD6" w:rsidRPr="002D4AD6">
        <w:t>.</w:t>
      </w:r>
      <w:r w:rsidR="00ED4850">
        <w:t xml:space="preserve"> </w:t>
      </w:r>
      <w:r w:rsidR="002D4AD6" w:rsidRPr="002D4AD6">
        <w:t>En outre, alors qu’elle représente 60</w:t>
      </w:r>
      <w:r w:rsidR="00BE4C6C">
        <w:t xml:space="preserve"> </w:t>
      </w:r>
      <w:r w:rsidR="002D4AD6" w:rsidRPr="002D4AD6">
        <w:t>% du PIB de la Belgique, la Région flamande est à l’origine de 81,</w:t>
      </w:r>
      <w:r w:rsidR="00DD279F">
        <w:t>3</w:t>
      </w:r>
      <w:r w:rsidR="00BE4C6C">
        <w:t xml:space="preserve"> </w:t>
      </w:r>
      <w:r w:rsidR="002D4AD6" w:rsidRPr="002D4AD6">
        <w:t>% du commerce de biens belges en 202</w:t>
      </w:r>
      <w:r w:rsidR="002D4AD6">
        <w:t>4</w:t>
      </w:r>
      <w:r w:rsidR="002D4AD6" w:rsidRPr="002D4AD6">
        <w:t xml:space="preserve"> (</w:t>
      </w:r>
      <w:r w:rsidR="00DD279F">
        <w:t xml:space="preserve">559,1 </w:t>
      </w:r>
      <w:r w:rsidR="002D4AD6" w:rsidRPr="002D4AD6">
        <w:t>Md€), devant la Wallonie (14,</w:t>
      </w:r>
      <w:r w:rsidR="00DD279F">
        <w:t>9</w:t>
      </w:r>
      <w:r w:rsidR="00BE4C6C">
        <w:t xml:space="preserve"> </w:t>
      </w:r>
      <w:r w:rsidR="002D4AD6" w:rsidRPr="002D4AD6">
        <w:t>%, soit 10</w:t>
      </w:r>
      <w:r w:rsidR="00DD279F">
        <w:t xml:space="preserve">2,4 </w:t>
      </w:r>
      <w:r w:rsidR="002D4AD6" w:rsidRPr="002D4AD6">
        <w:t>Md€) et Bruxelles-Capitale (</w:t>
      </w:r>
      <w:r w:rsidR="00DD279F">
        <w:t>3,</w:t>
      </w:r>
      <w:r w:rsidR="00B673ED">
        <w:t>9</w:t>
      </w:r>
      <w:r w:rsidR="00BE4C6C">
        <w:t xml:space="preserve"> </w:t>
      </w:r>
      <w:r w:rsidR="002D4AD6" w:rsidRPr="002D4AD6">
        <w:t>%, soit 26,</w:t>
      </w:r>
      <w:r w:rsidR="00DD279F">
        <w:t>5</w:t>
      </w:r>
      <w:r w:rsidR="002D4AD6" w:rsidRPr="002D4AD6">
        <w:t xml:space="preserve"> Md€)</w:t>
      </w:r>
      <w:r w:rsidR="00ED4850">
        <w:t xml:space="preserve"> (cf. annexe 7)</w:t>
      </w:r>
      <w:r w:rsidR="002D4AD6" w:rsidRPr="002D4AD6">
        <w:t>. Cette surreprésentation de la Flandre dans le commerce extérieur de la Belgique s’explique par le fait que les deux principales portes d’accès aux marchés étrangers (le port d’Anvers-Bruges et l’aéroport de Zaventem) se trouvent en Région flamande. Bien que minoritaire dans les échanges, la Wallonie est la seule région à présenter un excédent commercial (+2</w:t>
      </w:r>
      <w:r w:rsidR="00DD279F">
        <w:t>0,8</w:t>
      </w:r>
      <w:r w:rsidR="002D4AD6" w:rsidRPr="002D4AD6">
        <w:t xml:space="preserve"> Md€), alors que la Flandre et Bruxelles-Capitale enregistrent des déficits commerciaux de respectivement </w:t>
      </w:r>
      <w:r w:rsidR="00DD279F">
        <w:t>2</w:t>
      </w:r>
      <w:r w:rsidR="002D4AD6" w:rsidRPr="002D4AD6">
        <w:t>,5 et 8,</w:t>
      </w:r>
      <w:r w:rsidR="00DD279F">
        <w:t>7</w:t>
      </w:r>
      <w:r w:rsidR="002D4AD6" w:rsidRPr="002D4AD6">
        <w:t xml:space="preserve"> Md€.</w:t>
      </w:r>
      <w:r w:rsidR="00452AC4">
        <w:t xml:space="preserve"> </w:t>
      </w:r>
      <w:r w:rsidR="00733899" w:rsidRPr="00452AC4">
        <w:rPr>
          <w:rStyle w:val="Accentuation"/>
          <w:rFonts w:ascii="Segoe UI" w:hAnsi="Segoe UI"/>
          <w:bCs w:val="0"/>
          <w:sz w:val="20"/>
        </w:rPr>
        <w:t xml:space="preserve">Les pays non membres de l’UE </w:t>
      </w:r>
      <w:r w:rsidR="00733899" w:rsidRPr="00452AC4">
        <w:rPr>
          <w:bCs w:val="0"/>
        </w:rPr>
        <w:t>représentent plus du tiers du commerce extérieur belge de biens</w:t>
      </w:r>
      <w:r w:rsidR="00733899" w:rsidRPr="00BD021A">
        <w:rPr>
          <w:bCs w:val="0"/>
        </w:rPr>
        <w:t>.</w:t>
      </w:r>
      <w:r w:rsidR="00733899">
        <w:rPr>
          <w:b/>
        </w:rPr>
        <w:t xml:space="preserve"> </w:t>
      </w:r>
      <w:r w:rsidR="00733899" w:rsidRPr="00727B73">
        <w:rPr>
          <w:rStyle w:val="accentuation01Car"/>
        </w:rPr>
        <w:t>La part des échanges de biens de la Belgique avec ses partenaires non membres de l’Union européenne s’élève en 202</w:t>
      </w:r>
      <w:r w:rsidR="00BD6402">
        <w:rPr>
          <w:rStyle w:val="accentuation01Car"/>
        </w:rPr>
        <w:t>4</w:t>
      </w:r>
      <w:r w:rsidR="00733899" w:rsidRPr="00727B73">
        <w:rPr>
          <w:rStyle w:val="accentuation01Car"/>
        </w:rPr>
        <w:t xml:space="preserve"> à 34,</w:t>
      </w:r>
      <w:r w:rsidR="00BD6402">
        <w:rPr>
          <w:rStyle w:val="accentuation01Car"/>
        </w:rPr>
        <w:t>2</w:t>
      </w:r>
      <w:r w:rsidR="00BE4C6C">
        <w:rPr>
          <w:rStyle w:val="accentuation01Car"/>
        </w:rPr>
        <w:t xml:space="preserve"> </w:t>
      </w:r>
      <w:r w:rsidR="00733899" w:rsidRPr="00727B73">
        <w:rPr>
          <w:rStyle w:val="accentuation01Car"/>
        </w:rPr>
        <w:t>%</w:t>
      </w:r>
      <w:r w:rsidR="00733899" w:rsidRPr="001B2089">
        <w:t>.</w:t>
      </w:r>
      <w:r w:rsidR="00733899" w:rsidRPr="001B2089">
        <w:rPr>
          <w:b/>
        </w:rPr>
        <w:t xml:space="preserve"> </w:t>
      </w:r>
      <w:r w:rsidR="004D7F11" w:rsidRPr="00CD5CFF">
        <w:rPr>
          <w:bCs w:val="0"/>
        </w:rPr>
        <w:t>Dans cet ensemble, les Etats-Unis représentent 47,6 Md€</w:t>
      </w:r>
      <w:r w:rsidR="00CD5CFF">
        <w:t xml:space="preserve"> (20,2</w:t>
      </w:r>
      <w:r w:rsidR="00BE4C6C">
        <w:t xml:space="preserve"> </w:t>
      </w:r>
      <w:r w:rsidR="00CD5CFF">
        <w:t xml:space="preserve">%) et la Chine 18,1 </w:t>
      </w:r>
      <w:r w:rsidR="00CD5CFF" w:rsidRPr="005A5544">
        <w:t>Md€</w:t>
      </w:r>
      <w:r w:rsidR="00CD5CFF">
        <w:t xml:space="preserve"> (7,7</w:t>
      </w:r>
      <w:r w:rsidR="00BE4C6C">
        <w:t xml:space="preserve"> </w:t>
      </w:r>
      <w:r w:rsidR="00CD5CFF">
        <w:t xml:space="preserve">%). </w:t>
      </w:r>
      <w:r w:rsidR="00733899" w:rsidRPr="00727B73">
        <w:rPr>
          <w:rStyle w:val="accentuation01Car"/>
        </w:rPr>
        <w:t>Le poids des partenaires extra-européens a progressé entre 2009 et 2016, passant de 31,2</w:t>
      </w:r>
      <w:r w:rsidR="00BE4C6C">
        <w:rPr>
          <w:rStyle w:val="accentuation01Car"/>
        </w:rPr>
        <w:t xml:space="preserve"> </w:t>
      </w:r>
      <w:r w:rsidR="00733899" w:rsidRPr="00727B73">
        <w:rPr>
          <w:rStyle w:val="accentuation01Car"/>
        </w:rPr>
        <w:t>% à 36,3</w:t>
      </w:r>
      <w:r w:rsidR="00BE4C6C">
        <w:rPr>
          <w:rStyle w:val="accentuation01Car"/>
        </w:rPr>
        <w:t xml:space="preserve"> </w:t>
      </w:r>
      <w:r w:rsidR="00733899" w:rsidRPr="00727B73">
        <w:rPr>
          <w:rStyle w:val="accentuation01Car"/>
        </w:rPr>
        <w:t>%</w:t>
      </w:r>
      <w:r w:rsidR="00733899" w:rsidRPr="00EE36FC">
        <w:t xml:space="preserve">, mais s’est stabilisé depuis. </w:t>
      </w:r>
      <w:r w:rsidR="00BD021A">
        <w:t>A</w:t>
      </w:r>
      <w:r w:rsidR="00733899" w:rsidRPr="005A5544">
        <w:t>lors qu’il était déficitaire en 202</w:t>
      </w:r>
      <w:r w:rsidR="00733899">
        <w:t>3</w:t>
      </w:r>
      <w:r w:rsidR="00733899" w:rsidRPr="005A5544">
        <w:t xml:space="preserve"> à hauteur de -</w:t>
      </w:r>
      <w:r w:rsidR="00733899">
        <w:t xml:space="preserve">1,2 </w:t>
      </w:r>
      <w:r w:rsidR="00733899" w:rsidRPr="005A5544">
        <w:t>Md€</w:t>
      </w:r>
      <w:r w:rsidR="00BD021A">
        <w:t xml:space="preserve">, </w:t>
      </w:r>
      <w:r w:rsidR="00BD6402">
        <w:t xml:space="preserve">le solde commercial avec les pays hors – UE redevient largement </w:t>
      </w:r>
      <w:r w:rsidR="00BD6402" w:rsidRPr="00112CFC">
        <w:t>excédentaire</w:t>
      </w:r>
      <w:r w:rsidR="00BD021A">
        <w:t xml:space="preserve"> en 2024</w:t>
      </w:r>
      <w:r w:rsidR="00BD6402" w:rsidRPr="00112CFC">
        <w:t xml:space="preserve"> (21,6 Md€).</w:t>
      </w:r>
      <w:r w:rsidR="00BD6402" w:rsidRPr="00727B73">
        <w:t xml:space="preserve"> </w:t>
      </w:r>
    </w:p>
    <w:p w14:paraId="5376424E" w14:textId="6C2EADAB" w:rsidR="00EA7D87" w:rsidRPr="000C7B76" w:rsidRDefault="002565F9" w:rsidP="000C7B76">
      <w:pPr>
        <w:spacing w:after="0"/>
        <w:ind w:left="-284"/>
        <w:jc w:val="both"/>
        <w:rPr>
          <w:rFonts w:ascii="Segoe UI Historic" w:hAnsi="Segoe UI Historic" w:cs="Segoe UI Historic"/>
          <w:b/>
          <w:color w:val="FFFFFF" w:themeColor="background1"/>
          <w:sz w:val="24"/>
          <w:szCs w:val="24"/>
        </w:rPr>
      </w:pPr>
      <w:r>
        <w:rPr>
          <w:rFonts w:ascii="Segoe UI" w:hAnsi="Segoe UI" w:cs="Segoe UI"/>
          <w:b/>
          <w:color w:val="000091" w:themeColor="text1"/>
          <w:szCs w:val="20"/>
        </w:rPr>
        <w:t>Le solde de la balance des services reste fortement déficitaire en 2023.</w:t>
      </w:r>
    </w:p>
    <w:p w14:paraId="2E0B32BA" w14:textId="56D13054" w:rsidR="00112CFC" w:rsidRPr="00850E8D" w:rsidRDefault="00360B53" w:rsidP="000C7B76">
      <w:pPr>
        <w:pStyle w:val="Brvesco-Normal"/>
        <w:spacing w:before="120" w:after="120" w:line="240" w:lineRule="auto"/>
        <w:ind w:left="-284"/>
        <w:rPr>
          <w:rStyle w:val="accentuation01Car"/>
        </w:rPr>
      </w:pPr>
      <w:r w:rsidRPr="000C7B76">
        <w:rPr>
          <w:rStyle w:val="Lienhypertexte"/>
          <w:rFonts w:ascii="Segoe UI" w:hAnsi="Segoe UI" w:cs="Segoe UI"/>
          <w:b/>
          <w:bCs/>
          <w:color w:val="auto"/>
          <w:szCs w:val="20"/>
          <w:u w:val="none"/>
        </w:rPr>
        <w:t>Le tourisme</w:t>
      </w:r>
      <w:r w:rsidR="00B673ED">
        <w:rPr>
          <w:rStyle w:val="Lienhypertexte"/>
          <w:rFonts w:ascii="Segoe UI" w:hAnsi="Segoe UI" w:cs="Segoe UI"/>
          <w:b/>
          <w:bCs/>
          <w:color w:val="auto"/>
          <w:szCs w:val="20"/>
          <w:u w:val="none"/>
        </w:rPr>
        <w:t xml:space="preserve"> est</w:t>
      </w:r>
      <w:r w:rsidRPr="000C7B76">
        <w:rPr>
          <w:rStyle w:val="Lienhypertexte"/>
          <w:rFonts w:ascii="Segoe UI" w:hAnsi="Segoe UI" w:cs="Segoe UI"/>
          <w:b/>
          <w:bCs/>
          <w:color w:val="auto"/>
          <w:szCs w:val="20"/>
          <w:u w:val="none"/>
        </w:rPr>
        <w:t xml:space="preserve"> à l’origine</w:t>
      </w:r>
      <w:r w:rsidRPr="00C63A08">
        <w:rPr>
          <w:rStyle w:val="Lienhypertexte"/>
          <w:rFonts w:ascii="Segoe UI" w:hAnsi="Segoe UI" w:cs="Segoe UI"/>
          <w:b/>
          <w:bCs/>
          <w:color w:val="auto"/>
          <w:szCs w:val="20"/>
          <w:u w:val="none"/>
        </w:rPr>
        <w:t xml:space="preserve"> </w:t>
      </w:r>
      <w:r w:rsidR="00C63A08" w:rsidRPr="00C63A08">
        <w:rPr>
          <w:rStyle w:val="Lienhypertexte"/>
          <w:rFonts w:ascii="Segoe UI" w:hAnsi="Segoe UI" w:cs="Segoe UI"/>
          <w:b/>
          <w:bCs/>
          <w:color w:val="auto"/>
          <w:szCs w:val="20"/>
          <w:u w:val="none"/>
        </w:rPr>
        <w:t xml:space="preserve">du déficit </w:t>
      </w:r>
      <w:r w:rsidRPr="00C63A08">
        <w:rPr>
          <w:rStyle w:val="Lienhypertexte"/>
          <w:rFonts w:ascii="Segoe UI" w:hAnsi="Segoe UI" w:cs="Segoe UI"/>
          <w:b/>
          <w:bCs/>
          <w:color w:val="auto"/>
          <w:szCs w:val="20"/>
          <w:u w:val="none"/>
        </w:rPr>
        <w:t>de la balance des services</w:t>
      </w:r>
      <w:r w:rsidR="00C63A08" w:rsidRPr="00C63A08">
        <w:rPr>
          <w:rStyle w:val="Lienhypertexte"/>
          <w:rFonts w:ascii="Segoe UI" w:hAnsi="Segoe UI" w:cs="Segoe UI"/>
          <w:b/>
          <w:bCs/>
          <w:color w:val="auto"/>
          <w:szCs w:val="20"/>
          <w:u w:val="none"/>
        </w:rPr>
        <w:t>.</w:t>
      </w:r>
      <w:r w:rsidR="00C63A08">
        <w:rPr>
          <w:rStyle w:val="Lienhypertexte"/>
          <w:rFonts w:ascii="Segoe UI" w:hAnsi="Segoe UI" w:cs="Segoe UI"/>
          <w:color w:val="auto"/>
          <w:szCs w:val="20"/>
          <w:u w:val="none"/>
        </w:rPr>
        <w:t xml:space="preserve"> </w:t>
      </w:r>
      <w:r w:rsidR="00E35BF6">
        <w:rPr>
          <w:rStyle w:val="Lienhypertexte"/>
          <w:rFonts w:ascii="Segoe UI" w:hAnsi="Segoe UI" w:cs="Segoe UI"/>
          <w:color w:val="auto"/>
          <w:szCs w:val="20"/>
          <w:u w:val="none"/>
        </w:rPr>
        <w:t xml:space="preserve">En 2023, les exportations de service (141,1 Md </w:t>
      </w:r>
      <w:r w:rsidR="00E35BF6" w:rsidRPr="00360B53">
        <w:rPr>
          <w:rStyle w:val="Lienhypertexte"/>
          <w:rFonts w:ascii="Segoe UI" w:hAnsi="Segoe UI" w:cs="Segoe UI"/>
          <w:color w:val="auto"/>
          <w:szCs w:val="20"/>
          <w:u w:val="none"/>
        </w:rPr>
        <w:t>€</w:t>
      </w:r>
      <w:r w:rsidR="00E35BF6">
        <w:rPr>
          <w:rStyle w:val="Lienhypertexte"/>
          <w:rFonts w:ascii="Segoe UI" w:hAnsi="Segoe UI" w:cs="Segoe UI"/>
          <w:color w:val="auto"/>
          <w:szCs w:val="20"/>
          <w:u w:val="none"/>
        </w:rPr>
        <w:t>) ont augmenté (+6,7 %), de même que les importations</w:t>
      </w:r>
      <w:r w:rsidR="00A5075D">
        <w:rPr>
          <w:rStyle w:val="Lienhypertexte"/>
          <w:rFonts w:ascii="Segoe UI" w:hAnsi="Segoe UI" w:cs="Segoe UI"/>
          <w:color w:val="auto"/>
          <w:szCs w:val="20"/>
          <w:u w:val="none"/>
        </w:rPr>
        <w:t xml:space="preserve"> (147,5 Md </w:t>
      </w:r>
      <w:r w:rsidR="00A5075D" w:rsidRPr="00360B53">
        <w:rPr>
          <w:rStyle w:val="Lienhypertexte"/>
          <w:rFonts w:ascii="Segoe UI" w:hAnsi="Segoe UI" w:cs="Segoe UI"/>
          <w:color w:val="auto"/>
          <w:szCs w:val="20"/>
          <w:u w:val="none"/>
        </w:rPr>
        <w:t>€</w:t>
      </w:r>
      <w:r w:rsidR="00A5075D">
        <w:rPr>
          <w:rStyle w:val="Lienhypertexte"/>
          <w:rFonts w:ascii="Segoe UI" w:hAnsi="Segoe UI" w:cs="Segoe UI"/>
          <w:color w:val="auto"/>
          <w:szCs w:val="20"/>
          <w:u w:val="none"/>
        </w:rPr>
        <w:t> ; +6 %)</w:t>
      </w:r>
      <w:r w:rsidR="00E35BF6">
        <w:rPr>
          <w:rStyle w:val="Lienhypertexte"/>
          <w:rFonts w:ascii="Segoe UI" w:hAnsi="Segoe UI" w:cs="Segoe UI"/>
          <w:color w:val="auto"/>
          <w:szCs w:val="20"/>
          <w:u w:val="none"/>
        </w:rPr>
        <w:t xml:space="preserve">, </w:t>
      </w:r>
      <w:r w:rsidR="00E35BF6" w:rsidRPr="00850E8D">
        <w:rPr>
          <w:rStyle w:val="accentuation01Car"/>
        </w:rPr>
        <w:t>le déficit de la balance des services de la Belgique se maintient donc</w:t>
      </w:r>
      <w:r w:rsidR="00A5075D" w:rsidRPr="00850E8D">
        <w:rPr>
          <w:rStyle w:val="accentuation01Car"/>
        </w:rPr>
        <w:t xml:space="preserve"> (-6,4 Md€)</w:t>
      </w:r>
      <w:r w:rsidR="00ED4850" w:rsidRPr="00850E8D">
        <w:rPr>
          <w:rStyle w:val="accentuation01Car"/>
        </w:rPr>
        <w:t xml:space="preserve"> (cf. annexe 8).</w:t>
      </w:r>
      <w:r w:rsidR="000C7B76" w:rsidRPr="00850E8D">
        <w:rPr>
          <w:rStyle w:val="accentuation01Car"/>
        </w:rPr>
        <w:t xml:space="preserve"> Les voyages (-13,1 Md€) contribuent largement au déficit de la balance des services </w:t>
      </w:r>
    </w:p>
    <w:p w14:paraId="7DB2EAEE" w14:textId="3740B56C" w:rsidR="005769BE" w:rsidRPr="00850E8D" w:rsidRDefault="007727CD" w:rsidP="00850E8D">
      <w:pPr>
        <w:pStyle w:val="Brvesco-Normal"/>
        <w:spacing w:before="120" w:after="120" w:line="240" w:lineRule="auto"/>
        <w:ind w:left="-284"/>
        <w:rPr>
          <w:rStyle w:val="Lienhypertexte"/>
          <w:rFonts w:ascii="Segoe UI" w:hAnsi="Segoe UI" w:cs="Segoe UI"/>
          <w:color w:val="auto"/>
          <w:szCs w:val="20"/>
          <w:u w:val="none"/>
        </w:rPr>
      </w:pPr>
      <w:r w:rsidRPr="005769BE">
        <w:rPr>
          <w:rStyle w:val="Lienhypertexte"/>
          <w:rFonts w:ascii="Segoe UI" w:hAnsi="Segoe UI" w:cs="Segoe UI"/>
          <w:b/>
          <w:bCs/>
          <w:color w:val="auto"/>
          <w:szCs w:val="20"/>
          <w:u w:val="none"/>
        </w:rPr>
        <w:t>L’export belge</w:t>
      </w:r>
      <w:r w:rsidR="00360B53" w:rsidRPr="005769BE">
        <w:rPr>
          <w:rStyle w:val="Lienhypertexte"/>
          <w:rFonts w:ascii="Segoe UI" w:hAnsi="Segoe UI" w:cs="Segoe UI"/>
          <w:b/>
          <w:bCs/>
          <w:color w:val="auto"/>
          <w:szCs w:val="20"/>
          <w:u w:val="none"/>
        </w:rPr>
        <w:t xml:space="preserve"> de services </w:t>
      </w:r>
      <w:r w:rsidRPr="005769BE">
        <w:rPr>
          <w:rStyle w:val="Lienhypertexte"/>
          <w:rFonts w:ascii="Segoe UI" w:hAnsi="Segoe UI" w:cs="Segoe UI"/>
          <w:b/>
          <w:bCs/>
          <w:color w:val="auto"/>
          <w:szCs w:val="20"/>
          <w:u w:val="none"/>
        </w:rPr>
        <w:t xml:space="preserve">dépend </w:t>
      </w:r>
      <w:r w:rsidR="00360B53" w:rsidRPr="005769BE">
        <w:rPr>
          <w:rStyle w:val="Lienhypertexte"/>
          <w:rFonts w:ascii="Segoe UI" w:hAnsi="Segoe UI" w:cs="Segoe UI"/>
          <w:b/>
          <w:bCs/>
          <w:color w:val="auto"/>
          <w:szCs w:val="20"/>
          <w:u w:val="none"/>
        </w:rPr>
        <w:t xml:space="preserve">pour </w:t>
      </w:r>
      <w:r w:rsidRPr="005769BE">
        <w:rPr>
          <w:rStyle w:val="Lienhypertexte"/>
          <w:rFonts w:ascii="Segoe UI" w:hAnsi="Segoe UI" w:cs="Segoe UI"/>
          <w:b/>
          <w:bCs/>
          <w:color w:val="auto"/>
          <w:szCs w:val="20"/>
          <w:u w:val="none"/>
        </w:rPr>
        <w:t>un tiers des autres services aux entreprises</w:t>
      </w:r>
      <w:r>
        <w:rPr>
          <w:rStyle w:val="Lienhypertexte"/>
          <w:rFonts w:ascii="Segoe UI" w:hAnsi="Segoe UI" w:cs="Segoe UI"/>
          <w:color w:val="auto"/>
          <w:szCs w:val="20"/>
          <w:u w:val="none"/>
        </w:rPr>
        <w:t xml:space="preserve"> (52 Md</w:t>
      </w:r>
      <w:r w:rsidRPr="00360B53">
        <w:rPr>
          <w:rFonts w:ascii="Segoe UI" w:eastAsia="Times New Roman" w:hAnsi="Segoe UI" w:cs="Segoe UI"/>
          <w:szCs w:val="20"/>
          <w:lang w:eastAsia="fr-FR"/>
        </w:rPr>
        <w:t>€</w:t>
      </w:r>
      <w:r>
        <w:rPr>
          <w:rFonts w:ascii="Segoe UI" w:eastAsia="Times New Roman" w:hAnsi="Segoe UI" w:cs="Segoe UI"/>
          <w:szCs w:val="20"/>
          <w:lang w:eastAsia="fr-FR"/>
        </w:rPr>
        <w:t>)</w:t>
      </w:r>
      <w:r w:rsidR="00632439">
        <w:rPr>
          <w:rFonts w:ascii="Segoe UI" w:eastAsia="Times New Roman" w:hAnsi="Segoe UI" w:cs="Segoe UI"/>
          <w:szCs w:val="20"/>
          <w:lang w:eastAsia="fr-FR"/>
        </w:rPr>
        <w:t xml:space="preserve">. Ils </w:t>
      </w:r>
      <w:r w:rsidR="006E3BFE">
        <w:rPr>
          <w:rFonts w:ascii="Segoe UI" w:eastAsia="Times New Roman" w:hAnsi="Segoe UI" w:cs="Segoe UI"/>
          <w:szCs w:val="20"/>
          <w:lang w:eastAsia="fr-FR"/>
        </w:rPr>
        <w:t>comprennent les services de recherche et développement, les services professionnels et services de conseil et les services techniques. Le secteur des transports (</w:t>
      </w:r>
      <w:r w:rsidR="005769BE">
        <w:rPr>
          <w:rFonts w:ascii="Segoe UI" w:eastAsia="Times New Roman" w:hAnsi="Segoe UI" w:cs="Segoe UI"/>
          <w:szCs w:val="20"/>
          <w:lang w:eastAsia="fr-FR"/>
        </w:rPr>
        <w:t xml:space="preserve">31,2 </w:t>
      </w:r>
      <w:r w:rsidR="005769BE">
        <w:rPr>
          <w:rStyle w:val="Lienhypertexte"/>
          <w:rFonts w:ascii="Segoe UI" w:hAnsi="Segoe UI" w:cs="Segoe UI"/>
          <w:color w:val="auto"/>
          <w:szCs w:val="20"/>
          <w:u w:val="none"/>
        </w:rPr>
        <w:t>Md</w:t>
      </w:r>
      <w:r w:rsidR="005769BE" w:rsidRPr="00360B53">
        <w:rPr>
          <w:rFonts w:ascii="Segoe UI" w:eastAsia="Times New Roman" w:hAnsi="Segoe UI" w:cs="Segoe UI"/>
          <w:szCs w:val="20"/>
          <w:lang w:eastAsia="fr-FR"/>
        </w:rPr>
        <w:t>€</w:t>
      </w:r>
      <w:r w:rsidR="006E3BFE">
        <w:rPr>
          <w:rFonts w:ascii="Segoe UI" w:eastAsia="Times New Roman" w:hAnsi="Segoe UI" w:cs="Segoe UI"/>
          <w:szCs w:val="20"/>
          <w:lang w:eastAsia="fr-FR"/>
        </w:rPr>
        <w:t>), des services de télécommunications, informatiques et d’information</w:t>
      </w:r>
      <w:r w:rsidR="005769BE">
        <w:rPr>
          <w:rFonts w:ascii="Segoe UI" w:eastAsia="Times New Roman" w:hAnsi="Segoe UI" w:cs="Segoe UI"/>
          <w:szCs w:val="20"/>
          <w:lang w:eastAsia="fr-FR"/>
        </w:rPr>
        <w:t xml:space="preserve"> (20 </w:t>
      </w:r>
      <w:r w:rsidR="005769BE">
        <w:rPr>
          <w:rStyle w:val="Lienhypertexte"/>
          <w:rFonts w:ascii="Segoe UI" w:hAnsi="Segoe UI" w:cs="Segoe UI"/>
          <w:color w:val="auto"/>
          <w:szCs w:val="20"/>
          <w:u w:val="none"/>
        </w:rPr>
        <w:t>Md</w:t>
      </w:r>
      <w:r w:rsidR="005769BE" w:rsidRPr="00360B53">
        <w:rPr>
          <w:rFonts w:ascii="Segoe UI" w:eastAsia="Times New Roman" w:hAnsi="Segoe UI" w:cs="Segoe UI"/>
          <w:szCs w:val="20"/>
          <w:lang w:eastAsia="fr-FR"/>
        </w:rPr>
        <w:t>€</w:t>
      </w:r>
      <w:r w:rsidR="005769BE">
        <w:rPr>
          <w:rFonts w:ascii="Segoe UI" w:eastAsia="Times New Roman" w:hAnsi="Segoe UI" w:cs="Segoe UI"/>
          <w:szCs w:val="20"/>
          <w:lang w:eastAsia="fr-FR"/>
        </w:rPr>
        <w:t xml:space="preserve">), les services financiers (9,1 </w:t>
      </w:r>
      <w:r w:rsidR="005769BE">
        <w:rPr>
          <w:rStyle w:val="Lienhypertexte"/>
          <w:rFonts w:ascii="Segoe UI" w:hAnsi="Segoe UI" w:cs="Segoe UI"/>
          <w:color w:val="auto"/>
          <w:szCs w:val="20"/>
          <w:u w:val="none"/>
        </w:rPr>
        <w:t>Md</w:t>
      </w:r>
      <w:r w:rsidR="005769BE" w:rsidRPr="00360B53">
        <w:rPr>
          <w:rFonts w:ascii="Segoe UI" w:eastAsia="Times New Roman" w:hAnsi="Segoe UI" w:cs="Segoe UI"/>
          <w:szCs w:val="20"/>
          <w:lang w:eastAsia="fr-FR"/>
        </w:rPr>
        <w:t>€</w:t>
      </w:r>
      <w:r w:rsidR="005769BE">
        <w:rPr>
          <w:rFonts w:ascii="Segoe UI" w:eastAsia="Times New Roman" w:hAnsi="Segoe UI" w:cs="Segoe UI"/>
          <w:szCs w:val="20"/>
          <w:lang w:eastAsia="fr-FR"/>
        </w:rPr>
        <w:t xml:space="preserve">) et les voyages (8,2 </w:t>
      </w:r>
      <w:r w:rsidR="005769BE">
        <w:rPr>
          <w:rStyle w:val="Lienhypertexte"/>
          <w:rFonts w:ascii="Segoe UI" w:hAnsi="Segoe UI" w:cs="Segoe UI"/>
          <w:color w:val="auto"/>
          <w:szCs w:val="20"/>
          <w:u w:val="none"/>
        </w:rPr>
        <w:t>Md</w:t>
      </w:r>
      <w:r w:rsidR="005769BE" w:rsidRPr="00360B53">
        <w:rPr>
          <w:rFonts w:ascii="Segoe UI" w:eastAsia="Times New Roman" w:hAnsi="Segoe UI" w:cs="Segoe UI"/>
          <w:szCs w:val="20"/>
          <w:lang w:eastAsia="fr-FR"/>
        </w:rPr>
        <w:t>€</w:t>
      </w:r>
      <w:r w:rsidR="005769BE">
        <w:rPr>
          <w:rFonts w:ascii="Segoe UI" w:eastAsia="Times New Roman" w:hAnsi="Segoe UI" w:cs="Segoe UI"/>
          <w:szCs w:val="20"/>
          <w:lang w:eastAsia="fr-FR"/>
        </w:rPr>
        <w:t>)</w:t>
      </w:r>
      <w:r w:rsidR="006E3BFE">
        <w:rPr>
          <w:rFonts w:ascii="Segoe UI" w:eastAsia="Times New Roman" w:hAnsi="Segoe UI" w:cs="Segoe UI"/>
          <w:szCs w:val="20"/>
          <w:lang w:eastAsia="fr-FR"/>
        </w:rPr>
        <w:t xml:space="preserve"> viennent ensuit</w:t>
      </w:r>
      <w:r w:rsidR="005769BE">
        <w:rPr>
          <w:rFonts w:ascii="Segoe UI" w:eastAsia="Times New Roman" w:hAnsi="Segoe UI" w:cs="Segoe UI"/>
          <w:szCs w:val="20"/>
          <w:lang w:eastAsia="fr-FR"/>
        </w:rPr>
        <w:t xml:space="preserve">e. </w:t>
      </w:r>
    </w:p>
    <w:p w14:paraId="6F03A934" w14:textId="69E74526" w:rsidR="00360B53" w:rsidRPr="00E91CFF" w:rsidRDefault="00E91CFF" w:rsidP="00850E8D">
      <w:pPr>
        <w:pStyle w:val="Brvesco-Normal"/>
        <w:spacing w:before="120" w:after="120" w:line="240" w:lineRule="auto"/>
        <w:ind w:left="-284"/>
        <w:rPr>
          <w:rStyle w:val="Lienhypertexte"/>
          <w:rFonts w:ascii="Segoe UI" w:hAnsi="Segoe UI" w:cs="Segoe UI"/>
          <w:b/>
          <w:bCs/>
          <w:color w:val="auto"/>
          <w:szCs w:val="20"/>
          <w:u w:val="none"/>
        </w:rPr>
      </w:pPr>
      <w:r w:rsidRPr="00E91CFF">
        <w:rPr>
          <w:rStyle w:val="Lienhypertexte"/>
          <w:rFonts w:ascii="Segoe UI" w:hAnsi="Segoe UI" w:cs="Segoe UI"/>
          <w:b/>
          <w:bCs/>
          <w:color w:val="auto"/>
          <w:szCs w:val="20"/>
          <w:u w:val="none"/>
        </w:rPr>
        <w:t xml:space="preserve">Des échanges de service </w:t>
      </w:r>
      <w:r w:rsidR="00360B53" w:rsidRPr="00E91CFF">
        <w:rPr>
          <w:rStyle w:val="Lienhypertexte"/>
          <w:rFonts w:ascii="Segoe UI" w:hAnsi="Segoe UI" w:cs="Segoe UI"/>
          <w:b/>
          <w:bCs/>
          <w:color w:val="auto"/>
          <w:szCs w:val="20"/>
          <w:u w:val="none"/>
        </w:rPr>
        <w:t>avant tout européen</w:t>
      </w:r>
      <w:r w:rsidRPr="00E91CFF">
        <w:rPr>
          <w:rStyle w:val="Lienhypertexte"/>
          <w:rFonts w:ascii="Segoe UI" w:hAnsi="Segoe UI" w:cs="Segoe UI"/>
          <w:b/>
          <w:bCs/>
          <w:color w:val="auto"/>
          <w:szCs w:val="20"/>
          <w:u w:val="none"/>
        </w:rPr>
        <w:t>s</w:t>
      </w:r>
      <w:r w:rsidR="00360B53" w:rsidRPr="00E91CFF">
        <w:rPr>
          <w:rStyle w:val="Lienhypertexte"/>
          <w:rFonts w:ascii="Segoe UI" w:hAnsi="Segoe UI" w:cs="Segoe UI"/>
          <w:b/>
          <w:bCs/>
          <w:color w:val="auto"/>
          <w:szCs w:val="20"/>
          <w:u w:val="none"/>
        </w:rPr>
        <w:t xml:space="preserve">, malgré une </w:t>
      </w:r>
      <w:r w:rsidRPr="00E91CFF">
        <w:rPr>
          <w:rStyle w:val="Lienhypertexte"/>
          <w:rFonts w:ascii="Segoe UI" w:hAnsi="Segoe UI" w:cs="Segoe UI"/>
          <w:b/>
          <w:bCs/>
          <w:color w:val="auto"/>
          <w:szCs w:val="20"/>
          <w:u w:val="none"/>
        </w:rPr>
        <w:t xml:space="preserve">troisième place occupée par les Etats-Unis. </w:t>
      </w:r>
    </w:p>
    <w:p w14:paraId="659C3FFE" w14:textId="05462E31" w:rsidR="00756A18" w:rsidRPr="00850E8D" w:rsidRDefault="00881744" w:rsidP="00850E8D">
      <w:pPr>
        <w:pStyle w:val="Brvesco-Normal"/>
        <w:spacing w:before="120" w:after="120" w:line="240" w:lineRule="auto"/>
        <w:ind w:left="-284"/>
        <w:rPr>
          <w:rFonts w:ascii="Segoe UI" w:hAnsi="Segoe UI" w:cs="Segoe UI"/>
          <w:color w:val="auto"/>
          <w:szCs w:val="20"/>
        </w:rPr>
      </w:pPr>
      <w:r w:rsidRPr="00850E8D">
        <w:rPr>
          <w:rStyle w:val="accentuation01Car"/>
        </w:rPr>
        <w:t xml:space="preserve">Les Pays-Bas demeurent la </w:t>
      </w:r>
      <w:r w:rsidR="00360B53" w:rsidRPr="00850E8D">
        <w:rPr>
          <w:rStyle w:val="accentuation01Car"/>
        </w:rPr>
        <w:t>1ère destination d</w:t>
      </w:r>
      <w:r w:rsidRPr="00850E8D">
        <w:rPr>
          <w:rStyle w:val="accentuation01Car"/>
        </w:rPr>
        <w:t>u commerce belge de services</w:t>
      </w:r>
      <w:r>
        <w:rPr>
          <w:rStyle w:val="Lienhypertexte"/>
          <w:rFonts w:ascii="Segoe UI" w:hAnsi="Segoe UI" w:cs="Segoe UI"/>
          <w:color w:val="auto"/>
          <w:szCs w:val="20"/>
          <w:u w:val="none"/>
        </w:rPr>
        <w:t xml:space="preserve"> </w:t>
      </w:r>
      <w:r w:rsidR="00360B53" w:rsidRPr="00360B53">
        <w:rPr>
          <w:rStyle w:val="Lienhypertexte"/>
          <w:rFonts w:ascii="Segoe UI" w:hAnsi="Segoe UI" w:cs="Segoe UI"/>
          <w:color w:val="auto"/>
          <w:szCs w:val="20"/>
          <w:u w:val="none"/>
        </w:rPr>
        <w:t>(</w:t>
      </w:r>
      <w:r>
        <w:rPr>
          <w:rStyle w:val="Lienhypertexte"/>
          <w:rFonts w:ascii="Segoe UI" w:hAnsi="Segoe UI" w:cs="Segoe UI"/>
          <w:color w:val="auto"/>
          <w:szCs w:val="20"/>
          <w:u w:val="none"/>
        </w:rPr>
        <w:t>41,9 Md</w:t>
      </w:r>
      <w:r w:rsidRPr="00360B53">
        <w:rPr>
          <w:rFonts w:ascii="Segoe UI" w:eastAsia="Times New Roman" w:hAnsi="Segoe UI" w:cs="Segoe UI"/>
          <w:szCs w:val="20"/>
          <w:lang w:eastAsia="fr-FR"/>
        </w:rPr>
        <w:t>€</w:t>
      </w:r>
      <w:r w:rsidR="00D70328">
        <w:rPr>
          <w:rFonts w:ascii="Segoe UI" w:eastAsia="Times New Roman" w:hAnsi="Segoe UI" w:cs="Segoe UI"/>
          <w:szCs w:val="20"/>
          <w:lang w:eastAsia="fr-FR"/>
        </w:rPr>
        <w:t> ; 14,5</w:t>
      </w:r>
      <w:r w:rsidR="00BE4C6C">
        <w:rPr>
          <w:rFonts w:ascii="Segoe UI" w:eastAsia="Times New Roman" w:hAnsi="Segoe UI" w:cs="Segoe UI"/>
          <w:szCs w:val="20"/>
          <w:lang w:eastAsia="fr-FR"/>
        </w:rPr>
        <w:t xml:space="preserve"> </w:t>
      </w:r>
      <w:r w:rsidR="00D70328">
        <w:rPr>
          <w:rFonts w:ascii="Segoe UI" w:eastAsia="Times New Roman" w:hAnsi="Segoe UI" w:cs="Segoe UI"/>
          <w:szCs w:val="20"/>
          <w:lang w:eastAsia="fr-FR"/>
        </w:rPr>
        <w:t>%</w:t>
      </w:r>
      <w:r w:rsidR="00360B53" w:rsidRPr="00360B53">
        <w:rPr>
          <w:rStyle w:val="Lienhypertexte"/>
          <w:rFonts w:ascii="Segoe UI" w:hAnsi="Segoe UI" w:cs="Segoe UI"/>
          <w:color w:val="auto"/>
          <w:szCs w:val="20"/>
          <w:u w:val="none"/>
        </w:rPr>
        <w:t>),</w:t>
      </w:r>
      <w:r>
        <w:rPr>
          <w:rStyle w:val="Lienhypertexte"/>
          <w:rFonts w:ascii="Segoe UI" w:hAnsi="Segoe UI" w:cs="Segoe UI"/>
          <w:color w:val="auto"/>
          <w:szCs w:val="20"/>
          <w:u w:val="none"/>
        </w:rPr>
        <w:t xml:space="preserve"> suivi par la France (35,</w:t>
      </w:r>
      <w:r w:rsidRPr="00D70328">
        <w:rPr>
          <w:rStyle w:val="Lienhypertexte"/>
          <w:rFonts w:ascii="Segoe UI" w:hAnsi="Segoe UI" w:cs="Segoe UI"/>
          <w:color w:val="auto"/>
          <w:szCs w:val="20"/>
          <w:u w:val="none"/>
        </w:rPr>
        <w:t>2 Md</w:t>
      </w:r>
      <w:r w:rsidRPr="00D70328">
        <w:rPr>
          <w:rFonts w:ascii="Segoe UI" w:eastAsia="Times New Roman" w:hAnsi="Segoe UI" w:cs="Segoe UI"/>
          <w:szCs w:val="20"/>
          <w:lang w:eastAsia="fr-FR"/>
        </w:rPr>
        <w:t>€</w:t>
      </w:r>
      <w:r w:rsidR="00D70328" w:rsidRPr="00D70328">
        <w:rPr>
          <w:rFonts w:ascii="Segoe UI" w:eastAsia="Times New Roman" w:hAnsi="Segoe UI" w:cs="Segoe UI"/>
          <w:szCs w:val="20"/>
          <w:lang w:eastAsia="fr-FR"/>
        </w:rPr>
        <w:t> ; 12,2</w:t>
      </w:r>
      <w:r w:rsidR="00BE4C6C">
        <w:rPr>
          <w:rFonts w:ascii="Segoe UI" w:eastAsia="Times New Roman" w:hAnsi="Segoe UI" w:cs="Segoe UI"/>
          <w:szCs w:val="20"/>
          <w:lang w:eastAsia="fr-FR"/>
        </w:rPr>
        <w:t xml:space="preserve"> </w:t>
      </w:r>
      <w:r w:rsidR="00D70328" w:rsidRPr="00D70328">
        <w:rPr>
          <w:rFonts w:ascii="Segoe UI" w:eastAsia="Times New Roman" w:hAnsi="Segoe UI" w:cs="Segoe UI"/>
          <w:szCs w:val="20"/>
          <w:lang w:eastAsia="fr-FR"/>
        </w:rPr>
        <w:t>%</w:t>
      </w:r>
      <w:r w:rsidRPr="00D70328">
        <w:rPr>
          <w:rFonts w:ascii="Segoe UI" w:eastAsia="Times New Roman" w:hAnsi="Segoe UI" w:cs="Segoe UI"/>
          <w:szCs w:val="20"/>
          <w:lang w:eastAsia="fr-FR"/>
        </w:rPr>
        <w:t xml:space="preserve">), les Etats-Unis (33,1 </w:t>
      </w:r>
      <w:r w:rsidRPr="00D70328">
        <w:rPr>
          <w:rStyle w:val="Lienhypertexte"/>
          <w:rFonts w:ascii="Segoe UI" w:hAnsi="Segoe UI" w:cs="Segoe UI"/>
          <w:color w:val="auto"/>
          <w:szCs w:val="20"/>
          <w:u w:val="none"/>
        </w:rPr>
        <w:t>Md</w:t>
      </w:r>
      <w:r w:rsidRPr="00D70328">
        <w:rPr>
          <w:rFonts w:ascii="Segoe UI" w:eastAsia="Times New Roman" w:hAnsi="Segoe UI" w:cs="Segoe UI"/>
          <w:szCs w:val="20"/>
          <w:lang w:eastAsia="fr-FR"/>
        </w:rPr>
        <w:t>€</w:t>
      </w:r>
      <w:r w:rsidR="00D70328" w:rsidRPr="00D70328">
        <w:rPr>
          <w:rFonts w:ascii="Segoe UI" w:eastAsia="Times New Roman" w:hAnsi="Segoe UI" w:cs="Segoe UI"/>
          <w:szCs w:val="20"/>
          <w:lang w:eastAsia="fr-FR"/>
        </w:rPr>
        <w:t> ; 11,5</w:t>
      </w:r>
      <w:r w:rsidR="00BE4C6C">
        <w:rPr>
          <w:rFonts w:ascii="Segoe UI" w:eastAsia="Times New Roman" w:hAnsi="Segoe UI" w:cs="Segoe UI"/>
          <w:szCs w:val="20"/>
          <w:lang w:eastAsia="fr-FR"/>
        </w:rPr>
        <w:t xml:space="preserve"> </w:t>
      </w:r>
      <w:r w:rsidR="00D70328" w:rsidRPr="00D70328">
        <w:rPr>
          <w:rFonts w:ascii="Segoe UI" w:eastAsia="Times New Roman" w:hAnsi="Segoe UI" w:cs="Segoe UI"/>
          <w:szCs w:val="20"/>
          <w:lang w:eastAsia="fr-FR"/>
        </w:rPr>
        <w:t>%</w:t>
      </w:r>
      <w:r w:rsidRPr="00D70328">
        <w:rPr>
          <w:rFonts w:ascii="Segoe UI" w:eastAsia="Times New Roman" w:hAnsi="Segoe UI" w:cs="Segoe UI"/>
          <w:szCs w:val="20"/>
          <w:lang w:eastAsia="fr-FR"/>
        </w:rPr>
        <w:t xml:space="preserve">), l’Allemagne (24,4 </w:t>
      </w:r>
      <w:r w:rsidRPr="00D70328">
        <w:rPr>
          <w:rStyle w:val="Lienhypertexte"/>
          <w:rFonts w:ascii="Segoe UI" w:hAnsi="Segoe UI" w:cs="Segoe UI"/>
          <w:color w:val="auto"/>
          <w:szCs w:val="20"/>
          <w:u w:val="none"/>
        </w:rPr>
        <w:t>Md</w:t>
      </w:r>
      <w:r w:rsidRPr="00D70328">
        <w:rPr>
          <w:rFonts w:ascii="Segoe UI" w:eastAsia="Times New Roman" w:hAnsi="Segoe UI" w:cs="Segoe UI"/>
          <w:szCs w:val="20"/>
          <w:lang w:eastAsia="fr-FR"/>
        </w:rPr>
        <w:t>€</w:t>
      </w:r>
      <w:r w:rsidR="00D70328" w:rsidRPr="00D70328">
        <w:rPr>
          <w:rFonts w:ascii="Segoe UI" w:eastAsia="Times New Roman" w:hAnsi="Segoe UI" w:cs="Segoe UI"/>
          <w:szCs w:val="20"/>
          <w:lang w:eastAsia="fr-FR"/>
        </w:rPr>
        <w:t> ; 8,5</w:t>
      </w:r>
      <w:r w:rsidR="00BE4C6C">
        <w:rPr>
          <w:rFonts w:ascii="Segoe UI" w:eastAsia="Times New Roman" w:hAnsi="Segoe UI" w:cs="Segoe UI"/>
          <w:szCs w:val="20"/>
          <w:lang w:eastAsia="fr-FR"/>
        </w:rPr>
        <w:t xml:space="preserve"> </w:t>
      </w:r>
      <w:r w:rsidR="00D70328" w:rsidRPr="00D70328">
        <w:rPr>
          <w:rFonts w:ascii="Segoe UI" w:eastAsia="Times New Roman" w:hAnsi="Segoe UI" w:cs="Segoe UI"/>
          <w:szCs w:val="20"/>
          <w:lang w:eastAsia="fr-FR"/>
        </w:rPr>
        <w:t>%</w:t>
      </w:r>
      <w:r w:rsidRPr="00D70328">
        <w:rPr>
          <w:rFonts w:ascii="Segoe UI" w:eastAsia="Times New Roman" w:hAnsi="Segoe UI" w:cs="Segoe UI"/>
          <w:szCs w:val="20"/>
          <w:lang w:eastAsia="fr-FR"/>
        </w:rPr>
        <w:t xml:space="preserve">) et le Royaume-Uni (23,9 </w:t>
      </w:r>
      <w:r w:rsidRPr="00D70328">
        <w:rPr>
          <w:rStyle w:val="Lienhypertexte"/>
          <w:rFonts w:ascii="Segoe UI" w:hAnsi="Segoe UI" w:cs="Segoe UI"/>
          <w:color w:val="auto"/>
          <w:szCs w:val="20"/>
          <w:u w:val="none"/>
        </w:rPr>
        <w:t>Md</w:t>
      </w:r>
      <w:r w:rsidRPr="00D70328">
        <w:rPr>
          <w:rFonts w:ascii="Segoe UI" w:eastAsia="Times New Roman" w:hAnsi="Segoe UI" w:cs="Segoe UI"/>
          <w:szCs w:val="20"/>
          <w:lang w:eastAsia="fr-FR"/>
        </w:rPr>
        <w:t>€</w:t>
      </w:r>
      <w:r w:rsidR="00D70328" w:rsidRPr="00D70328">
        <w:rPr>
          <w:rFonts w:ascii="Segoe UI" w:eastAsia="Times New Roman" w:hAnsi="Segoe UI" w:cs="Segoe UI"/>
          <w:szCs w:val="20"/>
          <w:lang w:eastAsia="fr-FR"/>
        </w:rPr>
        <w:t> ; 8,3</w:t>
      </w:r>
      <w:r w:rsidR="00F74C23">
        <w:rPr>
          <w:rFonts w:ascii="Segoe UI" w:eastAsia="Times New Roman" w:hAnsi="Segoe UI" w:cs="Segoe UI"/>
          <w:szCs w:val="20"/>
          <w:lang w:eastAsia="fr-FR"/>
        </w:rPr>
        <w:t xml:space="preserve"> </w:t>
      </w:r>
      <w:r w:rsidRPr="00850E8D">
        <w:rPr>
          <w:rStyle w:val="accentuation01Car"/>
          <w:color w:val="auto"/>
        </w:rPr>
        <w:t xml:space="preserve">%). </w:t>
      </w:r>
      <w:r w:rsidR="00360B53" w:rsidRPr="00850E8D">
        <w:rPr>
          <w:rStyle w:val="accentuation01Car"/>
          <w:color w:val="auto"/>
        </w:rPr>
        <w:t xml:space="preserve">Concernant le solde, </w:t>
      </w:r>
      <w:r w:rsidR="00043A8B" w:rsidRPr="00850E8D">
        <w:rPr>
          <w:rStyle w:val="accentuation01Car"/>
          <w:color w:val="auto"/>
        </w:rPr>
        <w:t>le Royaume-Uni constitue le principal déficit de la Belgique</w:t>
      </w:r>
      <w:r w:rsidR="00043A8B" w:rsidRPr="00850E8D">
        <w:rPr>
          <w:rStyle w:val="Lienhypertexte"/>
          <w:rFonts w:ascii="Segoe UI" w:hAnsi="Segoe UI" w:cs="Segoe UI"/>
          <w:color w:val="auto"/>
          <w:szCs w:val="20"/>
          <w:u w:val="none"/>
        </w:rPr>
        <w:t xml:space="preserve"> </w:t>
      </w:r>
      <w:r w:rsidR="00043A8B">
        <w:rPr>
          <w:rStyle w:val="Lienhypertexte"/>
          <w:rFonts w:ascii="Segoe UI" w:hAnsi="Segoe UI" w:cs="Segoe UI"/>
          <w:color w:val="auto"/>
          <w:szCs w:val="20"/>
          <w:u w:val="none"/>
        </w:rPr>
        <w:t>(-3, 0 Md</w:t>
      </w:r>
      <w:r w:rsidR="00043A8B" w:rsidRPr="00360B53">
        <w:rPr>
          <w:rFonts w:ascii="Segoe UI" w:eastAsia="Times New Roman" w:hAnsi="Segoe UI" w:cs="Segoe UI"/>
          <w:szCs w:val="20"/>
          <w:lang w:eastAsia="fr-FR"/>
        </w:rPr>
        <w:t>€</w:t>
      </w:r>
      <w:r w:rsidR="00043A8B">
        <w:rPr>
          <w:rFonts w:ascii="Segoe UI" w:eastAsia="Times New Roman" w:hAnsi="Segoe UI" w:cs="Segoe UI"/>
          <w:szCs w:val="20"/>
          <w:lang w:eastAsia="fr-FR"/>
        </w:rPr>
        <w:t>)</w:t>
      </w:r>
      <w:r w:rsidR="002565F9">
        <w:rPr>
          <w:rFonts w:ascii="Segoe UI" w:eastAsia="Times New Roman" w:hAnsi="Segoe UI" w:cs="Segoe UI"/>
          <w:szCs w:val="20"/>
          <w:lang w:eastAsia="fr-FR"/>
        </w:rPr>
        <w:t xml:space="preserve">, suivi par la France (- 2,7 </w:t>
      </w:r>
      <w:r w:rsidR="002565F9">
        <w:rPr>
          <w:rStyle w:val="Lienhypertexte"/>
          <w:rFonts w:ascii="Segoe UI" w:hAnsi="Segoe UI" w:cs="Segoe UI"/>
          <w:color w:val="auto"/>
          <w:szCs w:val="20"/>
          <w:u w:val="none"/>
        </w:rPr>
        <w:t>Md</w:t>
      </w:r>
      <w:r w:rsidR="002565F9" w:rsidRPr="00360B53">
        <w:rPr>
          <w:rFonts w:ascii="Segoe UI" w:eastAsia="Times New Roman" w:hAnsi="Segoe UI" w:cs="Segoe UI"/>
          <w:szCs w:val="20"/>
          <w:lang w:eastAsia="fr-FR"/>
        </w:rPr>
        <w:t>€</w:t>
      </w:r>
      <w:r w:rsidR="002565F9">
        <w:rPr>
          <w:rFonts w:ascii="Segoe UI" w:eastAsia="Times New Roman" w:hAnsi="Segoe UI" w:cs="Segoe UI"/>
          <w:szCs w:val="20"/>
          <w:lang w:eastAsia="fr-FR"/>
        </w:rPr>
        <w:t xml:space="preserve">), l’Espagne (- 2,6 </w:t>
      </w:r>
      <w:r w:rsidR="002565F9">
        <w:rPr>
          <w:rStyle w:val="Lienhypertexte"/>
          <w:rFonts w:ascii="Segoe UI" w:hAnsi="Segoe UI" w:cs="Segoe UI"/>
          <w:color w:val="auto"/>
          <w:szCs w:val="20"/>
          <w:u w:val="none"/>
        </w:rPr>
        <w:t>Md</w:t>
      </w:r>
      <w:r w:rsidR="002565F9" w:rsidRPr="00360B53">
        <w:rPr>
          <w:rFonts w:ascii="Segoe UI" w:eastAsia="Times New Roman" w:hAnsi="Segoe UI" w:cs="Segoe UI"/>
          <w:szCs w:val="20"/>
          <w:lang w:eastAsia="fr-FR"/>
        </w:rPr>
        <w:t>€</w:t>
      </w:r>
      <w:r w:rsidR="002565F9">
        <w:rPr>
          <w:rFonts w:ascii="Segoe UI" w:eastAsia="Times New Roman" w:hAnsi="Segoe UI" w:cs="Segoe UI"/>
          <w:szCs w:val="20"/>
          <w:lang w:eastAsia="fr-FR"/>
        </w:rPr>
        <w:t xml:space="preserve">), l’Allemagne (-2,3 </w:t>
      </w:r>
      <w:r w:rsidR="002565F9">
        <w:rPr>
          <w:rStyle w:val="Lienhypertexte"/>
          <w:rFonts w:ascii="Segoe UI" w:hAnsi="Segoe UI" w:cs="Segoe UI"/>
          <w:color w:val="auto"/>
          <w:szCs w:val="20"/>
          <w:u w:val="none"/>
        </w:rPr>
        <w:t>Md</w:t>
      </w:r>
      <w:r w:rsidR="002565F9" w:rsidRPr="00360B53">
        <w:rPr>
          <w:rFonts w:ascii="Segoe UI" w:eastAsia="Times New Roman" w:hAnsi="Segoe UI" w:cs="Segoe UI"/>
          <w:szCs w:val="20"/>
          <w:lang w:eastAsia="fr-FR"/>
        </w:rPr>
        <w:t>€</w:t>
      </w:r>
      <w:r w:rsidR="002565F9">
        <w:rPr>
          <w:rFonts w:ascii="Segoe UI" w:eastAsia="Times New Roman" w:hAnsi="Segoe UI" w:cs="Segoe UI"/>
          <w:szCs w:val="20"/>
          <w:lang w:eastAsia="fr-FR"/>
        </w:rPr>
        <w:t xml:space="preserve">) et le Luxembourg (-2,0 </w:t>
      </w:r>
      <w:r w:rsidR="002565F9">
        <w:rPr>
          <w:rStyle w:val="Lienhypertexte"/>
          <w:rFonts w:ascii="Segoe UI" w:hAnsi="Segoe UI" w:cs="Segoe UI"/>
          <w:color w:val="auto"/>
          <w:szCs w:val="20"/>
          <w:u w:val="none"/>
        </w:rPr>
        <w:t>Md</w:t>
      </w:r>
      <w:r w:rsidR="002565F9" w:rsidRPr="00360B53">
        <w:rPr>
          <w:rFonts w:ascii="Segoe UI" w:eastAsia="Times New Roman" w:hAnsi="Segoe UI" w:cs="Segoe UI"/>
          <w:szCs w:val="20"/>
          <w:lang w:eastAsia="fr-FR"/>
        </w:rPr>
        <w:t>€</w:t>
      </w:r>
      <w:r w:rsidR="002565F9">
        <w:rPr>
          <w:rFonts w:ascii="Segoe UI" w:eastAsia="Times New Roman" w:hAnsi="Segoe UI" w:cs="Segoe UI"/>
          <w:szCs w:val="20"/>
          <w:lang w:eastAsia="fr-FR"/>
        </w:rPr>
        <w:t xml:space="preserve">). Le principal excédent de la Belgique est avec la Suisse (4,5 </w:t>
      </w:r>
      <w:r w:rsidR="002565F9">
        <w:rPr>
          <w:rStyle w:val="Lienhypertexte"/>
          <w:rFonts w:ascii="Segoe UI" w:hAnsi="Segoe UI" w:cs="Segoe UI"/>
          <w:color w:val="auto"/>
          <w:szCs w:val="20"/>
          <w:u w:val="none"/>
        </w:rPr>
        <w:t>Md</w:t>
      </w:r>
      <w:r w:rsidR="002565F9" w:rsidRPr="00360B53">
        <w:rPr>
          <w:rFonts w:ascii="Segoe UI" w:eastAsia="Times New Roman" w:hAnsi="Segoe UI" w:cs="Segoe UI"/>
          <w:szCs w:val="20"/>
          <w:lang w:eastAsia="fr-FR"/>
        </w:rPr>
        <w:t>€</w:t>
      </w:r>
      <w:r w:rsidR="002565F9">
        <w:rPr>
          <w:rFonts w:ascii="Segoe UI" w:eastAsia="Times New Roman" w:hAnsi="Segoe UI" w:cs="Segoe UI"/>
          <w:szCs w:val="20"/>
          <w:lang w:eastAsia="fr-FR"/>
        </w:rPr>
        <w:t>)</w:t>
      </w:r>
      <w:r w:rsidR="00BC53C9">
        <w:rPr>
          <w:rFonts w:ascii="Segoe UI" w:eastAsia="Times New Roman" w:hAnsi="Segoe UI" w:cs="Segoe UI"/>
          <w:szCs w:val="20"/>
          <w:lang w:eastAsia="fr-FR"/>
        </w:rPr>
        <w:t>.</w:t>
      </w:r>
    </w:p>
    <w:p w14:paraId="1E118F82" w14:textId="77777777" w:rsidR="00112CFC" w:rsidRDefault="00112CFC" w:rsidP="00112CFC">
      <w:pPr>
        <w:spacing w:after="0"/>
        <w:ind w:left="-284"/>
        <w:jc w:val="right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Arnaud BOULANGER, </w:t>
      </w:r>
    </w:p>
    <w:p w14:paraId="73CFB292" w14:textId="77777777" w:rsidR="00112CFC" w:rsidRDefault="00112CFC" w:rsidP="00112CFC">
      <w:pPr>
        <w:spacing w:after="0"/>
        <w:ind w:left="-284"/>
        <w:jc w:val="right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Chef du service économique</w:t>
      </w:r>
      <w:r w:rsidR="00756A18">
        <w:rPr>
          <w:rFonts w:ascii="Segoe UI" w:hAnsi="Segoe UI" w:cs="Segoe UI"/>
          <w:b/>
          <w:sz w:val="18"/>
          <w:szCs w:val="18"/>
        </w:rPr>
        <w:t xml:space="preserve"> </w:t>
      </w:r>
    </w:p>
    <w:p w14:paraId="34E2C9A8" w14:textId="0353C04C" w:rsidR="00FD7798" w:rsidRDefault="00756A18" w:rsidP="004F1398">
      <w:pPr>
        <w:spacing w:before="120" w:after="0"/>
        <w:ind w:left="-284"/>
        <w:jc w:val="right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br w:type="page"/>
      </w:r>
    </w:p>
    <w:p w14:paraId="554FF1DE" w14:textId="00C4BBE8" w:rsidR="009854A7" w:rsidRPr="004F1398" w:rsidRDefault="001239A4" w:rsidP="009854A7">
      <w:pPr>
        <w:jc w:val="center"/>
        <w:rPr>
          <w:rStyle w:val="IntroconclusionCar"/>
        </w:rPr>
      </w:pPr>
      <w:r w:rsidRPr="004F1398">
        <w:rPr>
          <w:rFonts w:ascii="Segoe UI" w:hAnsi="Segoe UI" w:cs="Segoe UI"/>
          <w:bCs/>
          <w:noProof/>
          <w:color w:val="000091" w:themeColor="text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3FF70B4" wp14:editId="70E5B65E">
                <wp:simplePos x="0" y="0"/>
                <wp:positionH relativeFrom="page">
                  <wp:posOffset>0</wp:posOffset>
                </wp:positionH>
                <wp:positionV relativeFrom="paragraph">
                  <wp:posOffset>-457835</wp:posOffset>
                </wp:positionV>
                <wp:extent cx="7543800" cy="10677525"/>
                <wp:effectExtent l="0" t="0" r="0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77525"/>
                        </a:xfrm>
                        <a:prstGeom prst="rect">
                          <a:avLst/>
                        </a:prstGeom>
                        <a:solidFill>
                          <a:srgbClr val="FEF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C9F0D" id="Rectangle 11" o:spid="_x0000_s1026" style="position:absolute;margin-left:0;margin-top:-36.05pt;width:594pt;height:840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" fillcolor="#fef8e8" stroked="f" strokeweight="1pt">
                <w10:wrap anchorx="page"/>
              </v:rect>
            </w:pict>
          </mc:Fallback>
        </mc:AlternateContent>
      </w:r>
      <w:r w:rsidR="004F1398" w:rsidRPr="004F1398">
        <w:rPr>
          <w:rFonts w:ascii="Segoe UI" w:hAnsi="Segoe UI" w:cs="Segoe UI"/>
          <w:bCs/>
          <w:noProof/>
          <w:color w:val="000091" w:themeColor="text1"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1F6280CF" wp14:editId="2CCD4901">
            <wp:simplePos x="0" y="0"/>
            <wp:positionH relativeFrom="column">
              <wp:posOffset>443230</wp:posOffset>
            </wp:positionH>
            <wp:positionV relativeFrom="paragraph">
              <wp:posOffset>257175</wp:posOffset>
            </wp:positionV>
            <wp:extent cx="4543425" cy="2714625"/>
            <wp:effectExtent l="0" t="0" r="9525" b="9525"/>
            <wp:wrapTight wrapText="bothSides">
              <wp:wrapPolygon edited="0">
                <wp:start x="0" y="0"/>
                <wp:lineTo x="0" y="21524"/>
                <wp:lineTo x="21555" y="21524"/>
                <wp:lineTo x="21555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4A7" w:rsidRPr="004F1398">
        <w:rPr>
          <w:rFonts w:ascii="Segoe UI" w:hAnsi="Segoe UI" w:cs="Segoe UI"/>
          <w:bCs/>
          <w:color w:val="000091" w:themeColor="text1"/>
          <w:sz w:val="20"/>
          <w:szCs w:val="20"/>
        </w:rPr>
        <w:t xml:space="preserve">ANNEXE </w:t>
      </w:r>
      <w:r w:rsidR="00323A4A" w:rsidRPr="004F1398">
        <w:rPr>
          <w:rFonts w:ascii="Segoe UI" w:hAnsi="Segoe UI" w:cs="Segoe UI"/>
          <w:bCs/>
          <w:color w:val="000091" w:themeColor="text1"/>
          <w:sz w:val="20"/>
          <w:szCs w:val="20"/>
        </w:rPr>
        <w:t>1</w:t>
      </w:r>
      <w:r w:rsidR="009854A7" w:rsidRPr="004F1398">
        <w:rPr>
          <w:rFonts w:ascii="Segoe UI" w:hAnsi="Segoe UI" w:cs="Segoe UI"/>
          <w:bCs/>
          <w:color w:val="000091" w:themeColor="text1"/>
          <w:sz w:val="20"/>
          <w:szCs w:val="20"/>
        </w:rPr>
        <w:t xml:space="preserve"> : </w:t>
      </w:r>
      <w:r w:rsidR="004F1398" w:rsidRPr="004F1398">
        <w:rPr>
          <w:rFonts w:ascii="Segoe UI" w:hAnsi="Segoe UI" w:cs="Segoe UI"/>
          <w:bCs/>
          <w:color w:val="000091" w:themeColor="text1"/>
          <w:sz w:val="20"/>
          <w:szCs w:val="20"/>
        </w:rPr>
        <w:t xml:space="preserve">Volume des échanges et soldes du commerce extérieur belge 2015-2024 (en </w:t>
      </w:r>
      <w:r w:rsidR="004F1398" w:rsidRPr="004F1398">
        <w:rPr>
          <w:rStyle w:val="IntroconclusionCar"/>
        </w:rPr>
        <w:t>Md€)</w:t>
      </w:r>
    </w:p>
    <w:p w14:paraId="20253E74" w14:textId="382B3378" w:rsidR="00756A18" w:rsidRDefault="00756A18" w:rsidP="00B02AE3">
      <w:pPr>
        <w:pStyle w:val="Textecourant"/>
      </w:pPr>
    </w:p>
    <w:p w14:paraId="6C624773" w14:textId="79D3B2C7" w:rsidR="004F1398" w:rsidRDefault="004F1398" w:rsidP="00B02AE3">
      <w:pPr>
        <w:pStyle w:val="Textecourant"/>
      </w:pPr>
    </w:p>
    <w:p w14:paraId="497E7E5E" w14:textId="14C2C294" w:rsidR="004F1398" w:rsidRDefault="004F1398" w:rsidP="00B02AE3">
      <w:pPr>
        <w:pStyle w:val="Textecourant"/>
      </w:pPr>
    </w:p>
    <w:p w14:paraId="0EAF66DC" w14:textId="7A09B726" w:rsidR="004F1398" w:rsidRDefault="004F1398" w:rsidP="00B02AE3">
      <w:pPr>
        <w:pStyle w:val="Textecourant"/>
      </w:pPr>
    </w:p>
    <w:p w14:paraId="61C4139B" w14:textId="3A31033E" w:rsidR="004F1398" w:rsidRDefault="004F1398" w:rsidP="00B02AE3">
      <w:pPr>
        <w:pStyle w:val="Textecourant"/>
      </w:pPr>
    </w:p>
    <w:p w14:paraId="05562483" w14:textId="54C377E7" w:rsidR="004F1398" w:rsidRDefault="004F1398" w:rsidP="00B02AE3">
      <w:pPr>
        <w:pStyle w:val="Textecourant"/>
      </w:pPr>
    </w:p>
    <w:p w14:paraId="69DBA93D" w14:textId="2AF87E93" w:rsidR="004F1398" w:rsidRDefault="004F1398" w:rsidP="00B02AE3">
      <w:pPr>
        <w:pStyle w:val="Textecourant"/>
      </w:pPr>
    </w:p>
    <w:p w14:paraId="1A1C9915" w14:textId="56297FA3" w:rsidR="004F1398" w:rsidRDefault="004F1398" w:rsidP="00B02AE3">
      <w:pPr>
        <w:pStyle w:val="Textecourant"/>
      </w:pPr>
    </w:p>
    <w:p w14:paraId="11127539" w14:textId="0C27B97E" w:rsidR="004F1398" w:rsidRDefault="004F1398" w:rsidP="00B02AE3">
      <w:pPr>
        <w:pStyle w:val="Textecourant"/>
      </w:pPr>
    </w:p>
    <w:p w14:paraId="6B03C993" w14:textId="0B58EC17" w:rsidR="004F1398" w:rsidRDefault="004F1398" w:rsidP="00B02AE3">
      <w:pPr>
        <w:pStyle w:val="Textecourant"/>
      </w:pPr>
    </w:p>
    <w:p w14:paraId="6D65E02E" w14:textId="78563CE5" w:rsidR="004F1398" w:rsidRDefault="004F1398" w:rsidP="00B02AE3">
      <w:pPr>
        <w:pStyle w:val="Textecourant"/>
      </w:pPr>
    </w:p>
    <w:p w14:paraId="1F6B0485" w14:textId="6799285F" w:rsidR="004F1398" w:rsidRDefault="004F1398" w:rsidP="00B02AE3">
      <w:pPr>
        <w:pStyle w:val="Textecourant"/>
      </w:pPr>
    </w:p>
    <w:p w14:paraId="79AEBE58" w14:textId="3FC91D25" w:rsidR="004F1398" w:rsidRDefault="004F1398" w:rsidP="00B02AE3">
      <w:pPr>
        <w:pStyle w:val="Textecourant"/>
      </w:pPr>
    </w:p>
    <w:p w14:paraId="216FF2EE" w14:textId="5EC749CF" w:rsidR="004F1398" w:rsidRDefault="004F1398" w:rsidP="00B02AE3">
      <w:pPr>
        <w:pStyle w:val="Textecourant"/>
      </w:pPr>
    </w:p>
    <w:p w14:paraId="1E6770A1" w14:textId="01588F95" w:rsidR="004F1398" w:rsidRDefault="004F1398" w:rsidP="00B02AE3">
      <w:pPr>
        <w:pStyle w:val="Textecourant"/>
      </w:pPr>
    </w:p>
    <w:p w14:paraId="3D88F85B" w14:textId="4AACA1DC" w:rsidR="004F1398" w:rsidRDefault="004F1398" w:rsidP="00A917D5">
      <w:pPr>
        <w:pStyle w:val="Textecourant"/>
        <w:jc w:val="center"/>
      </w:pPr>
    </w:p>
    <w:p w14:paraId="3A1063F2" w14:textId="48C77524" w:rsidR="004F1398" w:rsidRDefault="00A917D5" w:rsidP="00A917D5">
      <w:pPr>
        <w:pStyle w:val="Textecourant"/>
        <w:jc w:val="center"/>
      </w:pPr>
      <w:r>
        <w:t>Source : BNB ; Graphique : SE</w:t>
      </w:r>
    </w:p>
    <w:p w14:paraId="26E5D0BE" w14:textId="77248AD5" w:rsidR="00A917D5" w:rsidRDefault="00A917D5" w:rsidP="00A917D5">
      <w:pPr>
        <w:pStyle w:val="Textecourant"/>
        <w:jc w:val="center"/>
      </w:pPr>
    </w:p>
    <w:p w14:paraId="3693B3C4" w14:textId="16696AA8" w:rsidR="00A917D5" w:rsidRPr="00110D5F" w:rsidRDefault="00A917D5" w:rsidP="00A917D5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fr-FR"/>
        </w:rPr>
      </w:pPr>
      <w:r w:rsidRPr="00110D5F">
        <w:rPr>
          <w:rFonts w:ascii="Segoe UI" w:hAnsi="Segoe UI" w:cs="Segoe UI"/>
          <w:bCs/>
          <w:color w:val="000091" w:themeColor="text1"/>
          <w:sz w:val="20"/>
          <w:szCs w:val="20"/>
        </w:rPr>
        <w:t>ANNEXE 2 </w:t>
      </w:r>
      <w:r w:rsidRPr="00110D5F">
        <w:rPr>
          <w:rStyle w:val="Rfrenceintense"/>
          <w:sz w:val="20"/>
          <w:szCs w:val="20"/>
        </w:rPr>
        <w:t>: Evolution du solde commercial et du volume d'échange de biens de la Belgique entre 202</w:t>
      </w:r>
      <w:r w:rsidR="00110D5F" w:rsidRPr="00110D5F">
        <w:rPr>
          <w:rStyle w:val="Rfrenceintense"/>
          <w:sz w:val="20"/>
          <w:szCs w:val="20"/>
        </w:rPr>
        <w:t>3</w:t>
      </w:r>
      <w:r w:rsidRPr="00110D5F">
        <w:rPr>
          <w:rStyle w:val="Rfrenceintense"/>
          <w:sz w:val="20"/>
          <w:szCs w:val="20"/>
        </w:rPr>
        <w:t xml:space="preserve"> et 202</w:t>
      </w:r>
      <w:r w:rsidR="00110D5F" w:rsidRPr="00110D5F">
        <w:rPr>
          <w:rStyle w:val="Rfrenceintense"/>
          <w:sz w:val="20"/>
          <w:szCs w:val="20"/>
        </w:rPr>
        <w:t>4</w:t>
      </w:r>
      <w:r w:rsidRPr="00110D5F">
        <w:rPr>
          <w:rStyle w:val="Rfrenceintense"/>
          <w:sz w:val="20"/>
          <w:szCs w:val="20"/>
        </w:rPr>
        <w:t xml:space="preserve"> </w:t>
      </w:r>
      <w:r w:rsidR="00110D5F" w:rsidRPr="00110D5F">
        <w:rPr>
          <w:rStyle w:val="Rfrenceintense"/>
          <w:sz w:val="20"/>
          <w:szCs w:val="20"/>
        </w:rPr>
        <w:t>(Md</w:t>
      </w:r>
      <w:r w:rsidR="00110D5F" w:rsidRPr="00110D5F">
        <w:rPr>
          <w:rStyle w:val="IntroconclusionCar"/>
        </w:rPr>
        <w:t>€)</w:t>
      </w:r>
      <w:r w:rsidR="00110D5F" w:rsidRPr="00110D5F">
        <w:rPr>
          <w:rStyle w:val="Rfrenceintense"/>
          <w:sz w:val="20"/>
          <w:szCs w:val="20"/>
        </w:rPr>
        <w:t xml:space="preserve"> </w:t>
      </w:r>
      <w:r w:rsidRPr="00110D5F">
        <w:rPr>
          <w:rStyle w:val="Rfrenceintense"/>
          <w:sz w:val="20"/>
          <w:szCs w:val="20"/>
        </w:rPr>
        <w:t>- concept national et communautaire</w:t>
      </w:r>
    </w:p>
    <w:tbl>
      <w:tblPr>
        <w:tblW w:w="97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984"/>
        <w:gridCol w:w="1985"/>
        <w:gridCol w:w="2126"/>
        <w:gridCol w:w="1559"/>
      </w:tblGrid>
      <w:tr w:rsidR="00A917D5" w:rsidRPr="001734CB" w14:paraId="65CFD63F" w14:textId="77777777" w:rsidTr="00A917D5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40F1" w14:textId="77777777" w:rsidR="00A917D5" w:rsidRPr="001734CB" w:rsidRDefault="00A917D5" w:rsidP="00DC554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bookmarkStart w:id="0" w:name="_Hlk170230885"/>
            <w:r w:rsidRPr="001734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1C361E" w14:textId="77777777" w:rsidR="00A917D5" w:rsidRPr="001734CB" w:rsidRDefault="00A917D5" w:rsidP="00DC554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734CB">
              <w:rPr>
                <w:rFonts w:ascii="Calibri" w:eastAsia="Times New Roman" w:hAnsi="Calibri" w:cs="Calibri"/>
                <w:color w:val="000000"/>
                <w:lang w:eastAsia="fr-FR"/>
              </w:rPr>
              <w:t>Concept National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(BNB)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54EB33" w14:textId="58CD31DD" w:rsidR="00A917D5" w:rsidRPr="001734CB" w:rsidRDefault="00A917D5" w:rsidP="00DC554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734CB">
              <w:rPr>
                <w:rFonts w:ascii="Calibri" w:eastAsia="Times New Roman" w:hAnsi="Calibri" w:cs="Calibri"/>
                <w:color w:val="000000"/>
                <w:lang w:eastAsia="fr-FR"/>
              </w:rPr>
              <w:t>Concept communautaire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(BNB</w:t>
            </w:r>
          </w:p>
        </w:tc>
      </w:tr>
      <w:tr w:rsidR="00A917D5" w:rsidRPr="001734CB" w14:paraId="44B75828" w14:textId="77777777" w:rsidTr="00A917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5B1D1B" w14:textId="77777777" w:rsidR="00A917D5" w:rsidRPr="001734CB" w:rsidRDefault="00A917D5" w:rsidP="00DC554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734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7611" w14:textId="11EBB92A" w:rsidR="00A917D5" w:rsidRPr="001734CB" w:rsidRDefault="00A917D5" w:rsidP="00DC554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734C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3B52" w14:textId="637DC431" w:rsidR="00A917D5" w:rsidRPr="001734CB" w:rsidRDefault="00A917D5" w:rsidP="00DC554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734C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AE21" w14:textId="0DC72834" w:rsidR="00A917D5" w:rsidRPr="001734CB" w:rsidRDefault="00A917D5" w:rsidP="00F66EF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734C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202</w:t>
            </w:r>
            <w:r w:rsidR="001A1E8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ECB3" w14:textId="147CDB1B" w:rsidR="00A917D5" w:rsidRPr="001734CB" w:rsidRDefault="00A917D5" w:rsidP="00DC554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734C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202</w:t>
            </w:r>
            <w:r w:rsidR="00F66E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</w:tr>
      <w:tr w:rsidR="00A917D5" w:rsidRPr="001734CB" w14:paraId="1333437C" w14:textId="77777777" w:rsidTr="00A917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BDDB29" w14:textId="62F58823" w:rsidR="00A917D5" w:rsidRPr="001734CB" w:rsidRDefault="00A917D5" w:rsidP="00DC554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Export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8B90" w14:textId="584940DE" w:rsidR="00A917D5" w:rsidRPr="001734CB" w:rsidRDefault="00A917D5" w:rsidP="00A917D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366,5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DAB7" w14:textId="7BAFB534" w:rsidR="00A917D5" w:rsidRPr="001734CB" w:rsidRDefault="00A917D5" w:rsidP="00A917D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734CB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48,7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A2A8" w14:textId="39CAAE98" w:rsidR="00A917D5" w:rsidRPr="001734CB" w:rsidRDefault="00A917D5" w:rsidP="00F66E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734CB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  <w:r w:rsidR="00F66EFE">
              <w:rPr>
                <w:rFonts w:ascii="Calibri" w:eastAsia="Times New Roman" w:hAnsi="Calibri" w:cs="Calibri"/>
                <w:color w:val="000000"/>
                <w:lang w:eastAsia="fr-FR"/>
              </w:rPr>
              <w:t>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CA64" w14:textId="231902A3" w:rsidR="00A917D5" w:rsidRPr="001734CB" w:rsidRDefault="00A917D5" w:rsidP="00F66E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734CB">
              <w:rPr>
                <w:rFonts w:ascii="Calibri" w:eastAsia="Times New Roman" w:hAnsi="Calibri" w:cs="Calibri"/>
                <w:color w:val="000000"/>
                <w:lang w:eastAsia="fr-FR"/>
              </w:rPr>
              <w:t>509</w:t>
            </w:r>
            <w:r w:rsidR="00F66EFE">
              <w:rPr>
                <w:rFonts w:ascii="Calibri" w:eastAsia="Times New Roman" w:hAnsi="Calibri" w:cs="Calibri"/>
                <w:color w:val="000000"/>
                <w:lang w:eastAsia="fr-FR"/>
              </w:rPr>
              <w:t>,6</w:t>
            </w:r>
          </w:p>
        </w:tc>
      </w:tr>
      <w:tr w:rsidR="00A917D5" w:rsidRPr="001734CB" w14:paraId="35108B96" w14:textId="77777777" w:rsidTr="00A917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B0A7C4" w14:textId="56395499" w:rsidR="00A917D5" w:rsidRPr="001734CB" w:rsidRDefault="00A917D5" w:rsidP="00DC554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Import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DB21" w14:textId="05C13BDB" w:rsidR="00A917D5" w:rsidRPr="001734CB" w:rsidRDefault="00A917D5" w:rsidP="00A917D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371,7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3B0E" w14:textId="6121ECFD" w:rsidR="00A917D5" w:rsidRPr="001734CB" w:rsidRDefault="00A917D5" w:rsidP="00A917D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339,2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7F85" w14:textId="2F98D137" w:rsidR="00A917D5" w:rsidRPr="001734CB" w:rsidRDefault="00F66EFE" w:rsidP="00F66E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FFD7" w14:textId="1186EA21" w:rsidR="00A917D5" w:rsidRPr="001734CB" w:rsidRDefault="00F66EFE" w:rsidP="00F66E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482,0</w:t>
            </w:r>
          </w:p>
        </w:tc>
      </w:tr>
      <w:tr w:rsidR="00A917D5" w:rsidRPr="001734CB" w14:paraId="6274FE9E" w14:textId="77777777" w:rsidTr="00A917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C7C0F9" w14:textId="77777777" w:rsidR="00A917D5" w:rsidRPr="001734CB" w:rsidRDefault="00A917D5" w:rsidP="00DC554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734C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Balance commerciale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F53C" w14:textId="69D7F56D" w:rsidR="00A917D5" w:rsidRPr="001734CB" w:rsidRDefault="00A917D5" w:rsidP="00DC554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734CB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  <w:r w:rsidR="001A1E89">
              <w:rPr>
                <w:rFonts w:ascii="Calibri" w:eastAsia="Times New Roman" w:hAnsi="Calibri" w:cs="Calibri"/>
                <w:color w:val="000000"/>
                <w:lang w:eastAsia="fr-FR"/>
              </w:rPr>
              <w:t>-5,2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E466" w14:textId="5B200431" w:rsidR="00A917D5" w:rsidRPr="001734CB" w:rsidRDefault="00A917D5" w:rsidP="00DC554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734C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1A1E89">
              <w:rPr>
                <w:rFonts w:ascii="Calibri" w:eastAsia="Times New Roman" w:hAnsi="Calibri" w:cs="Calibri"/>
                <w:color w:val="000000"/>
                <w:lang w:eastAsia="fr-FR"/>
              </w:rPr>
              <w:t>9,5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0296" w14:textId="4AACE801" w:rsidR="00A917D5" w:rsidRPr="001734CB" w:rsidRDefault="00A917D5" w:rsidP="00F66E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734C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 w:rsidR="00F66EFE">
              <w:rPr>
                <w:rFonts w:ascii="Calibri" w:eastAsia="Times New Roman" w:hAnsi="Calibri" w:cs="Calibri"/>
                <w:color w:val="000000"/>
                <w:lang w:eastAsia="fr-FR"/>
              </w:rPr>
              <w:t>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ECB1" w14:textId="125604EE" w:rsidR="00A917D5" w:rsidRPr="001734CB" w:rsidRDefault="00F66EFE" w:rsidP="00F66E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27,6</w:t>
            </w:r>
          </w:p>
        </w:tc>
      </w:tr>
      <w:tr w:rsidR="00A917D5" w:rsidRPr="001734CB" w14:paraId="50E44AE8" w14:textId="77777777" w:rsidTr="00A917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58D5B4" w14:textId="77777777" w:rsidR="00A917D5" w:rsidRPr="001734CB" w:rsidRDefault="00A917D5" w:rsidP="00DC554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734C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Total des échanges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4039" w14:textId="0F6256C3" w:rsidR="00A917D5" w:rsidRPr="001734CB" w:rsidRDefault="001A1E89" w:rsidP="001A1E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738,2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786B" w14:textId="0ADB4DEB" w:rsidR="00A917D5" w:rsidRPr="001734CB" w:rsidRDefault="001A1E89" w:rsidP="001A1E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687,9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4CB4" w14:textId="3158372E" w:rsidR="00A917D5" w:rsidRPr="001734CB" w:rsidRDefault="00F66EFE" w:rsidP="00F66E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1054,5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7932" w14:textId="7FD0AF54" w:rsidR="00A917D5" w:rsidRPr="001734CB" w:rsidRDefault="00F66EFE" w:rsidP="00F66E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991,6</w:t>
            </w:r>
          </w:p>
        </w:tc>
      </w:tr>
      <w:tr w:rsidR="00A917D5" w:rsidRPr="001734CB" w14:paraId="04BB0530" w14:textId="77777777" w:rsidTr="00A917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1A74A8" w14:textId="77777777" w:rsidR="00A917D5" w:rsidRPr="001734CB" w:rsidRDefault="00A917D5" w:rsidP="00DC554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734C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Variation 2022-2023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A2AB8" w14:textId="3A66157E" w:rsidR="00A917D5" w:rsidRPr="001734CB" w:rsidRDefault="00A917D5" w:rsidP="00DC554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734CB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  <w:r w:rsidR="001A1E89">
              <w:rPr>
                <w:rFonts w:ascii="Calibri" w:eastAsia="Times New Roman" w:hAnsi="Calibri" w:cs="Calibri"/>
                <w:color w:val="000000"/>
                <w:lang w:eastAsia="fr-FR"/>
              </w:rPr>
              <w:t>6,8</w:t>
            </w:r>
            <w:r w:rsidRPr="001734CB">
              <w:rPr>
                <w:rFonts w:ascii="Calibri" w:eastAsia="Times New Roman" w:hAnsi="Calibri" w:cs="Calibri"/>
                <w:color w:val="000000"/>
                <w:lang w:eastAsia="fr-FR"/>
              </w:rPr>
              <w:t>%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5BEF1" w14:textId="65ACA77C" w:rsidR="00A917D5" w:rsidRPr="001734CB" w:rsidRDefault="00A917D5" w:rsidP="00DC554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734CB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  <w:r w:rsidR="00F66EFE">
              <w:rPr>
                <w:rFonts w:ascii="Calibri" w:eastAsia="Times New Roman" w:hAnsi="Calibri" w:cs="Calibri"/>
                <w:color w:val="000000"/>
                <w:lang w:eastAsia="fr-FR"/>
              </w:rPr>
              <w:t>6,0</w:t>
            </w:r>
            <w:r w:rsidRPr="001734CB">
              <w:rPr>
                <w:rFonts w:ascii="Calibri" w:eastAsia="Times New Roman" w:hAnsi="Calibri" w:cs="Calibri"/>
                <w:color w:val="000000"/>
                <w:lang w:eastAsia="fr-FR"/>
              </w:rPr>
              <w:t>%</w:t>
            </w:r>
          </w:p>
        </w:tc>
      </w:tr>
    </w:tbl>
    <w:bookmarkEnd w:id="0"/>
    <w:p w14:paraId="7AFC27E7" w14:textId="05B8BC42" w:rsidR="00A917D5" w:rsidRDefault="00110D5F" w:rsidP="00A917D5">
      <w:pPr>
        <w:pStyle w:val="Textecourant"/>
        <w:jc w:val="center"/>
      </w:pPr>
      <w:r>
        <w:t>Source : BNB ; Tableau : SE</w:t>
      </w:r>
    </w:p>
    <w:p w14:paraId="6ADEFA8E" w14:textId="7FE3DA6A" w:rsidR="00110D5F" w:rsidRPr="008407B1" w:rsidRDefault="00110D5F" w:rsidP="00A917D5">
      <w:pPr>
        <w:pStyle w:val="Textecourant"/>
        <w:jc w:val="center"/>
      </w:pPr>
    </w:p>
    <w:p w14:paraId="27D13EC0" w14:textId="77777777" w:rsidR="008407B1" w:rsidRDefault="008407B1" w:rsidP="009854A7">
      <w:pPr>
        <w:rPr>
          <w:rFonts w:ascii="Segoe UI" w:hAnsi="Segoe UI" w:cs="Segoe UI"/>
          <w:bCs/>
          <w:sz w:val="20"/>
        </w:rPr>
      </w:pPr>
    </w:p>
    <w:p w14:paraId="118F2129" w14:textId="4C3BA90D" w:rsidR="009854A7" w:rsidRPr="004F1398" w:rsidRDefault="009854A7" w:rsidP="009854A7">
      <w:pPr>
        <w:rPr>
          <w:rFonts w:ascii="Segoe UI" w:hAnsi="Segoe UI" w:cs="Segoe UI"/>
          <w:bCs/>
          <w:sz w:val="20"/>
        </w:rPr>
      </w:pPr>
      <w:r w:rsidRPr="004F1398">
        <w:rPr>
          <w:rFonts w:ascii="Segoe UI" w:hAnsi="Segoe UI" w:cs="Segoe UI"/>
          <w:bCs/>
          <w:sz w:val="20"/>
        </w:rPr>
        <w:br w:type="page"/>
      </w:r>
    </w:p>
    <w:p w14:paraId="36AF3A00" w14:textId="776D7287" w:rsidR="00532102" w:rsidRPr="00C61FAE" w:rsidRDefault="001239A4" w:rsidP="00C61FAE">
      <w:pPr>
        <w:spacing w:before="120" w:after="0"/>
        <w:ind w:left="-284"/>
        <w:rPr>
          <w:rFonts w:ascii="Segoe UI" w:hAnsi="Segoe UI" w:cs="Segoe UI"/>
          <w:iCs/>
          <w:color w:val="000091"/>
          <w:sz w:val="20"/>
          <w:szCs w:val="20"/>
          <w:lang w:eastAsia="fr-FR"/>
        </w:rPr>
      </w:pPr>
      <w:r w:rsidRPr="004F1398">
        <w:rPr>
          <w:rFonts w:ascii="Segoe UI" w:hAnsi="Segoe UI" w:cs="Segoe UI"/>
          <w:bCs/>
          <w:noProof/>
          <w:color w:val="000091" w:themeColor="text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0B211A0" wp14:editId="047A0D9E">
                <wp:simplePos x="0" y="0"/>
                <wp:positionH relativeFrom="page">
                  <wp:posOffset>-5080</wp:posOffset>
                </wp:positionH>
                <wp:positionV relativeFrom="paragraph">
                  <wp:posOffset>-448310</wp:posOffset>
                </wp:positionV>
                <wp:extent cx="7543800" cy="1067752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77525"/>
                        </a:xfrm>
                        <a:prstGeom prst="rect">
                          <a:avLst/>
                        </a:prstGeom>
                        <a:solidFill>
                          <a:srgbClr val="FEF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08A27" id="Rectangle 5" o:spid="_x0000_s1026" style="position:absolute;margin-left:-.4pt;margin-top:-35.3pt;width:594pt;height:840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" fillcolor="#fef8e8" stroked="f" strokeweight="1pt">
                <w10:wrap anchorx="page"/>
              </v:rect>
            </w:pict>
          </mc:Fallback>
        </mc:AlternateContent>
      </w:r>
      <w:r w:rsidR="00532102" w:rsidRPr="00C61FAE">
        <w:rPr>
          <w:rStyle w:val="Rfrenceintense"/>
          <w:sz w:val="20"/>
          <w:szCs w:val="20"/>
        </w:rPr>
        <w:t xml:space="preserve">ANNEXE </w:t>
      </w:r>
      <w:r w:rsidR="00ED4850">
        <w:rPr>
          <w:rStyle w:val="Rfrenceintense"/>
          <w:sz w:val="20"/>
          <w:szCs w:val="20"/>
        </w:rPr>
        <w:t>3</w:t>
      </w:r>
      <w:r w:rsidR="00532102" w:rsidRPr="00C61FAE">
        <w:rPr>
          <w:rStyle w:val="Rfrenceintense"/>
          <w:sz w:val="20"/>
          <w:szCs w:val="20"/>
        </w:rPr>
        <w:t> : Principaux secteurs pour les échanges de biens en Belgique en 202</w:t>
      </w:r>
      <w:r w:rsidR="00C61FAE">
        <w:rPr>
          <w:rStyle w:val="Rfrenceintense"/>
          <w:sz w:val="20"/>
          <w:szCs w:val="20"/>
        </w:rPr>
        <w:t>4</w:t>
      </w:r>
      <w:r w:rsidR="00532102" w:rsidRPr="00C61FAE">
        <w:rPr>
          <w:rStyle w:val="Rfrenceintense"/>
          <w:sz w:val="20"/>
          <w:szCs w:val="20"/>
        </w:rPr>
        <w:t xml:space="preserve"> et leur évolution par rapport à 202</w:t>
      </w:r>
      <w:r w:rsidR="00C61FAE">
        <w:rPr>
          <w:rStyle w:val="Rfrenceintense"/>
          <w:sz w:val="20"/>
          <w:szCs w:val="20"/>
        </w:rPr>
        <w:t>3</w:t>
      </w:r>
      <w:r w:rsidR="00532102" w:rsidRPr="00C61FAE">
        <w:rPr>
          <w:rStyle w:val="Rfrenceintense"/>
          <w:sz w:val="20"/>
          <w:szCs w:val="20"/>
        </w:rPr>
        <w:t>- concept national</w:t>
      </w:r>
    </w:p>
    <w:tbl>
      <w:tblPr>
        <w:tblW w:w="88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707"/>
        <w:gridCol w:w="2201"/>
        <w:gridCol w:w="2201"/>
      </w:tblGrid>
      <w:tr w:rsidR="00532102" w:rsidRPr="00F57835" w14:paraId="407B6AA1" w14:textId="77777777" w:rsidTr="001239A4">
        <w:trPr>
          <w:trHeight w:val="806"/>
          <w:jc w:val="center"/>
        </w:trPr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B50EA1D" w14:textId="77777777" w:rsidR="00532102" w:rsidRPr="00F57835" w:rsidRDefault="00532102" w:rsidP="00665C6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324BC0" w14:textId="77777777" w:rsidR="00532102" w:rsidRPr="00532102" w:rsidRDefault="00532102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532102">
              <w:rPr>
                <w:rFonts w:ascii="Calibri" w:eastAsia="Times New Roman" w:hAnsi="Calibri" w:cs="Calibri"/>
                <w:b/>
                <w:bCs/>
                <w:lang w:eastAsia="fr-FR"/>
              </w:rPr>
              <w:t>Volume total d’échanges (en Md€)</w:t>
            </w:r>
          </w:p>
        </w:tc>
        <w:tc>
          <w:tcPr>
            <w:tcW w:w="22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90F046" w14:textId="3148A305" w:rsidR="00532102" w:rsidRPr="00532102" w:rsidRDefault="00532102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532102">
              <w:rPr>
                <w:rFonts w:ascii="Calibri" w:eastAsia="Times New Roman" w:hAnsi="Calibri" w:cs="Calibri"/>
                <w:b/>
                <w:bCs/>
                <w:lang w:eastAsia="fr-FR"/>
              </w:rPr>
              <w:t>% volume total</w:t>
            </w:r>
          </w:p>
        </w:tc>
        <w:tc>
          <w:tcPr>
            <w:tcW w:w="22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15E7A02" w14:textId="77777777" w:rsidR="00532102" w:rsidRPr="00532102" w:rsidRDefault="00532102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532102">
              <w:rPr>
                <w:rFonts w:ascii="Calibri" w:eastAsia="Times New Roman" w:hAnsi="Calibri" w:cs="Calibri"/>
                <w:b/>
                <w:bCs/>
                <w:lang w:eastAsia="fr-FR"/>
              </w:rPr>
              <w:t>% variation /2022</w:t>
            </w:r>
          </w:p>
        </w:tc>
      </w:tr>
      <w:tr w:rsidR="00532102" w:rsidRPr="00F57835" w14:paraId="657672A5" w14:textId="77777777" w:rsidTr="001239A4">
        <w:trPr>
          <w:trHeight w:val="806"/>
          <w:jc w:val="center"/>
        </w:trPr>
        <w:tc>
          <w:tcPr>
            <w:tcW w:w="2694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59B67C67" w14:textId="77777777" w:rsidR="00532102" w:rsidRPr="00532102" w:rsidRDefault="00532102" w:rsidP="00C61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532102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Produits des industries chimiques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F540F" w14:textId="0021FC44" w:rsidR="00532102" w:rsidRPr="00040526" w:rsidRDefault="00532102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hAnsi="Calibri" w:cs="Calibri"/>
              </w:rPr>
              <w:t>160,6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98B7" w14:textId="6A69F801" w:rsidR="00532102" w:rsidRPr="00040526" w:rsidRDefault="00532102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040526">
              <w:rPr>
                <w:rFonts w:ascii="Calibri" w:hAnsi="Calibri" w:cs="Calibri"/>
              </w:rPr>
              <w:t>2</w:t>
            </w:r>
            <w:r w:rsidR="00B974B9">
              <w:rPr>
                <w:rFonts w:ascii="Calibri" w:hAnsi="Calibri" w:cs="Calibri"/>
              </w:rPr>
              <w:t>3,3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9972" w14:textId="652D6B6C" w:rsidR="00532102" w:rsidRPr="00040526" w:rsidRDefault="00B974B9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hAnsi="Calibri" w:cs="Calibri"/>
              </w:rPr>
              <w:t>-6,0</w:t>
            </w:r>
            <w:r w:rsidR="00F74C23">
              <w:rPr>
                <w:rFonts w:ascii="Calibri" w:hAnsi="Calibri" w:cs="Calibri"/>
              </w:rPr>
              <w:t xml:space="preserve"> </w:t>
            </w:r>
            <w:r w:rsidR="00532102">
              <w:rPr>
                <w:rFonts w:ascii="Calibri" w:hAnsi="Calibri" w:cs="Calibri"/>
              </w:rPr>
              <w:t>%</w:t>
            </w:r>
          </w:p>
        </w:tc>
      </w:tr>
      <w:tr w:rsidR="00532102" w:rsidRPr="00F57835" w14:paraId="4482B62B" w14:textId="77777777" w:rsidTr="001239A4">
        <w:trPr>
          <w:trHeight w:val="806"/>
          <w:jc w:val="center"/>
        </w:trPr>
        <w:tc>
          <w:tcPr>
            <w:tcW w:w="269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0C1901AE" w14:textId="77777777" w:rsidR="00532102" w:rsidRPr="00532102" w:rsidRDefault="00532102" w:rsidP="00C61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532102">
              <w:rPr>
                <w:rFonts w:ascii="Calibri" w:eastAsia="Times New Roman" w:hAnsi="Calibri" w:cs="Calibri"/>
                <w:b/>
                <w:bCs/>
                <w:lang w:eastAsia="fr-FR"/>
              </w:rPr>
              <w:t>Produits minéraux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22C9B" w14:textId="084AF35C" w:rsidR="00532102" w:rsidRPr="00040526" w:rsidRDefault="00532102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hAnsi="Calibri" w:cs="Calibri"/>
              </w:rPr>
              <w:t>1</w:t>
            </w:r>
            <w:r w:rsidR="00B974B9">
              <w:rPr>
                <w:rFonts w:ascii="Calibri" w:hAnsi="Calibri" w:cs="Calibri"/>
              </w:rPr>
              <w:t>00,2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F938" w14:textId="16AA4B0F" w:rsidR="00532102" w:rsidRPr="00040526" w:rsidRDefault="00532102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hAnsi="Calibri" w:cs="Calibri"/>
              </w:rPr>
              <w:t>1</w:t>
            </w:r>
            <w:r w:rsidR="00B974B9">
              <w:rPr>
                <w:rFonts w:ascii="Calibri" w:hAnsi="Calibri" w:cs="Calibri"/>
              </w:rPr>
              <w:t>4,6</w:t>
            </w: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BB0D" w14:textId="35DEEE6C" w:rsidR="00532102" w:rsidRPr="00040526" w:rsidRDefault="00B974B9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hAnsi="Calibri" w:cs="Calibri"/>
              </w:rPr>
              <w:t>-14,1</w:t>
            </w:r>
            <w:r w:rsidR="00F74C23">
              <w:rPr>
                <w:rFonts w:ascii="Calibri" w:hAnsi="Calibri" w:cs="Calibri"/>
              </w:rPr>
              <w:t xml:space="preserve"> </w:t>
            </w:r>
            <w:r w:rsidR="00532102">
              <w:rPr>
                <w:rFonts w:ascii="Calibri" w:hAnsi="Calibri" w:cs="Calibri"/>
              </w:rPr>
              <w:t>%</w:t>
            </w:r>
          </w:p>
        </w:tc>
      </w:tr>
      <w:tr w:rsidR="001239A4" w:rsidRPr="00F57835" w14:paraId="0C85D9E2" w14:textId="77777777" w:rsidTr="001239A4">
        <w:trPr>
          <w:trHeight w:val="806"/>
          <w:jc w:val="center"/>
        </w:trPr>
        <w:tc>
          <w:tcPr>
            <w:tcW w:w="269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</w:tcPr>
          <w:p w14:paraId="69D391B6" w14:textId="3786BAA8" w:rsidR="001239A4" w:rsidRPr="00532102" w:rsidRDefault="001239A4" w:rsidP="00C61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532102">
              <w:rPr>
                <w:rFonts w:ascii="Calibri" w:eastAsia="Times New Roman" w:hAnsi="Calibri" w:cs="Calibri"/>
                <w:b/>
                <w:bCs/>
                <w:lang w:eastAsia="fr-FR"/>
              </w:rPr>
              <w:t>Matériel de transport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9D4E5" w14:textId="46B38038" w:rsidR="001239A4" w:rsidRDefault="001239A4" w:rsidP="001239A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hAnsi="Calibri" w:cs="Calibri"/>
              </w:rPr>
              <w:t>84,7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956F7" w14:textId="22808AED" w:rsidR="001239A4" w:rsidRDefault="001239A4" w:rsidP="001239A4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12,3%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32A5" w14:textId="446D71D0" w:rsidR="001239A4" w:rsidRDefault="00AF51EA" w:rsidP="001239A4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-7,7</w:t>
            </w:r>
            <w:r w:rsidR="00F74C23">
              <w:rPr>
                <w:rFonts w:ascii="Calibri" w:hAnsi="Calibri" w:cs="Calibri"/>
              </w:rPr>
              <w:t xml:space="preserve"> </w:t>
            </w:r>
            <w:r w:rsidR="001239A4">
              <w:rPr>
                <w:rFonts w:ascii="Calibri" w:hAnsi="Calibri" w:cs="Calibri"/>
              </w:rPr>
              <w:t>%</w:t>
            </w:r>
          </w:p>
        </w:tc>
      </w:tr>
      <w:tr w:rsidR="001239A4" w:rsidRPr="00F57835" w14:paraId="7B3E880D" w14:textId="77777777" w:rsidTr="001239A4">
        <w:trPr>
          <w:trHeight w:val="806"/>
          <w:jc w:val="center"/>
        </w:trPr>
        <w:tc>
          <w:tcPr>
            <w:tcW w:w="269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65935E4B" w14:textId="77777777" w:rsidR="001239A4" w:rsidRPr="00532102" w:rsidRDefault="001239A4" w:rsidP="00C61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532102">
              <w:rPr>
                <w:rFonts w:ascii="Calibri" w:eastAsia="Times New Roman" w:hAnsi="Calibri" w:cs="Calibri"/>
                <w:b/>
                <w:bCs/>
                <w:lang w:eastAsia="fr-FR"/>
              </w:rPr>
              <w:t>Machines et appareils électriques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558CF" w14:textId="25A05780" w:rsidR="001239A4" w:rsidRPr="00040526" w:rsidRDefault="001239A4" w:rsidP="001239A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82,1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D6D0" w14:textId="0825EBF2" w:rsidR="001239A4" w:rsidRPr="00040526" w:rsidRDefault="001239A4" w:rsidP="001239A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</w:rPr>
              <w:t>11,9%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CCB2" w14:textId="35B40477" w:rsidR="001239A4" w:rsidRPr="00040526" w:rsidRDefault="001239A4" w:rsidP="001239A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hAnsi="Calibri" w:cs="Calibri"/>
              </w:rPr>
              <w:t>-9,0</w:t>
            </w:r>
            <w:r w:rsidR="00F74C2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%</w:t>
            </w:r>
          </w:p>
        </w:tc>
      </w:tr>
      <w:tr w:rsidR="001239A4" w:rsidRPr="00F57835" w14:paraId="1BBE6F40" w14:textId="77777777" w:rsidTr="001239A4">
        <w:trPr>
          <w:trHeight w:val="806"/>
          <w:jc w:val="center"/>
        </w:trPr>
        <w:tc>
          <w:tcPr>
            <w:tcW w:w="269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210297B1" w14:textId="77777777" w:rsidR="001239A4" w:rsidRPr="00532102" w:rsidRDefault="001239A4" w:rsidP="00C61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532102">
              <w:rPr>
                <w:rFonts w:ascii="Calibri" w:eastAsia="Times New Roman" w:hAnsi="Calibri" w:cs="Calibri"/>
                <w:b/>
                <w:bCs/>
                <w:lang w:eastAsia="fr-FR"/>
              </w:rPr>
              <w:t>Métaux communs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22209" w14:textId="027E938B" w:rsidR="001239A4" w:rsidRPr="00040526" w:rsidRDefault="00AF51EA" w:rsidP="001239A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49,4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B113" w14:textId="79B2F08D" w:rsidR="001239A4" w:rsidRPr="00040526" w:rsidRDefault="00AF51EA" w:rsidP="001239A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</w:rPr>
              <w:t>7,2</w:t>
            </w:r>
            <w:r w:rsidR="001239A4" w:rsidRPr="00040526">
              <w:rPr>
                <w:rFonts w:ascii="Calibri" w:hAnsi="Calibri" w:cs="Calibri"/>
              </w:rPr>
              <w:t>%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FED7" w14:textId="561C2325" w:rsidR="001239A4" w:rsidRPr="00040526" w:rsidRDefault="00AF51EA" w:rsidP="001239A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hAnsi="Calibri" w:cs="Calibri"/>
              </w:rPr>
              <w:t>-5,5</w:t>
            </w:r>
            <w:r w:rsidR="00F74C23">
              <w:rPr>
                <w:rFonts w:ascii="Calibri" w:hAnsi="Calibri" w:cs="Calibri"/>
              </w:rPr>
              <w:t xml:space="preserve"> </w:t>
            </w:r>
            <w:r w:rsidR="001239A4">
              <w:rPr>
                <w:rFonts w:ascii="Calibri" w:hAnsi="Calibri" w:cs="Calibri"/>
              </w:rPr>
              <w:t>%</w:t>
            </w:r>
          </w:p>
        </w:tc>
      </w:tr>
      <w:tr w:rsidR="00C61FAE" w:rsidRPr="00F57835" w14:paraId="1A6B5C64" w14:textId="77777777" w:rsidTr="001239A4">
        <w:trPr>
          <w:trHeight w:val="806"/>
          <w:jc w:val="center"/>
        </w:trPr>
        <w:tc>
          <w:tcPr>
            <w:tcW w:w="269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</w:tcPr>
          <w:p w14:paraId="4B8B9760" w14:textId="219AF311" w:rsidR="00C61FAE" w:rsidRPr="00532102" w:rsidRDefault="00C61FAE" w:rsidP="00C61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532102">
              <w:rPr>
                <w:rFonts w:ascii="Calibri" w:eastAsia="Times New Roman" w:hAnsi="Calibri" w:cs="Calibri"/>
                <w:b/>
                <w:bCs/>
                <w:lang w:eastAsia="fr-FR"/>
              </w:rPr>
              <w:t>Produits des industries alimentaires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129E" w14:textId="506B9D6E" w:rsidR="00C61FAE" w:rsidRDefault="00C61FAE" w:rsidP="00C61FAE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44,8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21F3" w14:textId="4B835F06" w:rsidR="00C61FAE" w:rsidRPr="00040526" w:rsidRDefault="00C61FAE" w:rsidP="00C61FAE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6,5</w:t>
            </w:r>
            <w:r w:rsidRPr="00040526">
              <w:rPr>
                <w:rFonts w:ascii="Calibri" w:hAnsi="Calibri" w:cs="Calibri"/>
              </w:rPr>
              <w:t>%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125FE" w14:textId="107D1B16" w:rsidR="00C61FAE" w:rsidRDefault="00C61FAE" w:rsidP="00C61FAE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+6,9</w:t>
            </w:r>
            <w:r w:rsidR="00F74C2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%</w:t>
            </w:r>
          </w:p>
        </w:tc>
      </w:tr>
      <w:tr w:rsidR="00C61FAE" w:rsidRPr="00F57835" w14:paraId="6BB1C256" w14:textId="77777777" w:rsidTr="001239A4">
        <w:trPr>
          <w:trHeight w:val="806"/>
          <w:jc w:val="center"/>
        </w:trPr>
        <w:tc>
          <w:tcPr>
            <w:tcW w:w="269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73BEA883" w14:textId="77777777" w:rsidR="00C61FAE" w:rsidRPr="00532102" w:rsidRDefault="00C61FAE" w:rsidP="00C61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532102">
              <w:rPr>
                <w:rFonts w:ascii="Calibri" w:eastAsia="Times New Roman" w:hAnsi="Calibri" w:cs="Calibri"/>
                <w:b/>
                <w:bCs/>
                <w:lang w:eastAsia="fr-FR"/>
              </w:rPr>
              <w:t>Matières plastiques et leurs dérivés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A79E" w14:textId="6498C0BF" w:rsidR="00C61FAE" w:rsidRPr="00040526" w:rsidRDefault="00C61FAE" w:rsidP="00C61FAE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hAnsi="Calibri" w:cs="Calibri"/>
              </w:rPr>
              <w:t>37,8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4651" w14:textId="01BB416F" w:rsidR="00C61FAE" w:rsidRPr="00040526" w:rsidRDefault="00C61FAE" w:rsidP="00C61F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0526">
              <w:rPr>
                <w:rFonts w:ascii="Calibri" w:hAnsi="Calibri" w:cs="Calibri"/>
              </w:rPr>
              <w:t>5,</w:t>
            </w:r>
            <w:r>
              <w:rPr>
                <w:rFonts w:ascii="Calibri" w:hAnsi="Calibri" w:cs="Calibri"/>
              </w:rPr>
              <w:t>5</w:t>
            </w:r>
            <w:r w:rsidRPr="00040526">
              <w:rPr>
                <w:rFonts w:ascii="Calibri" w:hAnsi="Calibri" w:cs="Calibri"/>
              </w:rPr>
              <w:t>%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7D40" w14:textId="2A84C9E6" w:rsidR="00C61FAE" w:rsidRPr="00040526" w:rsidRDefault="00C61FAE" w:rsidP="00C61FAE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hAnsi="Calibri" w:cs="Calibri"/>
              </w:rPr>
              <w:t>-1,3</w:t>
            </w:r>
            <w:r w:rsidR="00F74C2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%</w:t>
            </w:r>
          </w:p>
        </w:tc>
      </w:tr>
      <w:tr w:rsidR="00C61FAE" w:rsidRPr="00F57835" w14:paraId="23F38722" w14:textId="77777777" w:rsidTr="001239A4">
        <w:trPr>
          <w:trHeight w:val="806"/>
          <w:jc w:val="center"/>
        </w:trPr>
        <w:tc>
          <w:tcPr>
            <w:tcW w:w="269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2" w:themeFillShade="F2"/>
            <w:hideMark/>
          </w:tcPr>
          <w:p w14:paraId="1D793F07" w14:textId="77777777" w:rsidR="00C61FAE" w:rsidRPr="00532102" w:rsidRDefault="00C61FAE" w:rsidP="00C61FA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532102">
              <w:rPr>
                <w:rFonts w:ascii="Calibri" w:eastAsia="Times New Roman" w:hAnsi="Calibri" w:cs="Calibri"/>
                <w:b/>
                <w:bCs/>
                <w:lang w:eastAsia="fr-FR"/>
              </w:rPr>
              <w:t>Perles et articles de joaillerie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A4AB" w14:textId="77777777" w:rsidR="00C61FAE" w:rsidRDefault="00C61FAE" w:rsidP="00C61FAE">
            <w:pPr>
              <w:spacing w:line="240" w:lineRule="auto"/>
            </w:pPr>
          </w:p>
          <w:p w14:paraId="228105A5" w14:textId="6F1FB025" w:rsidR="00C61FAE" w:rsidRPr="00040526" w:rsidRDefault="00C61FAE" w:rsidP="00C61FAE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t>20,3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25665" w14:textId="77777777" w:rsidR="00C61FAE" w:rsidRDefault="00C61FAE" w:rsidP="00C61FAE">
            <w:pPr>
              <w:spacing w:line="240" w:lineRule="auto"/>
              <w:jc w:val="center"/>
            </w:pPr>
          </w:p>
          <w:p w14:paraId="1C793729" w14:textId="2660BA2C" w:rsidR="00C61FAE" w:rsidRPr="00040526" w:rsidRDefault="00C61FAE" w:rsidP="00C61F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t>3,0</w:t>
            </w:r>
            <w:r w:rsidRPr="006362ED">
              <w:t>%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5EAE5" w14:textId="77777777" w:rsidR="00C61FAE" w:rsidRDefault="00C61FAE" w:rsidP="00C61FAE">
            <w:pPr>
              <w:spacing w:line="240" w:lineRule="auto"/>
              <w:jc w:val="center"/>
            </w:pPr>
          </w:p>
          <w:p w14:paraId="22514C94" w14:textId="43424B28" w:rsidR="00C61FAE" w:rsidRPr="00040526" w:rsidRDefault="00C61FAE" w:rsidP="00C61FAE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t>-23,1</w:t>
            </w:r>
            <w:r w:rsidR="00F74C23">
              <w:t xml:space="preserve"> </w:t>
            </w:r>
            <w:r>
              <w:t>%</w:t>
            </w:r>
          </w:p>
        </w:tc>
      </w:tr>
    </w:tbl>
    <w:p w14:paraId="7445B7D6" w14:textId="60C903CE" w:rsidR="00532102" w:rsidRDefault="00C61FAE" w:rsidP="00532102">
      <w:pPr>
        <w:jc w:val="center"/>
        <w:rPr>
          <w:rFonts w:ascii="Segoe UI" w:hAnsi="Segoe UI" w:cs="Segoe UI"/>
          <w:bCs/>
          <w:sz w:val="20"/>
          <w:szCs w:val="20"/>
        </w:rPr>
      </w:pPr>
      <w:r w:rsidRPr="00C61FAE">
        <w:rPr>
          <w:rFonts w:ascii="Segoe UI" w:hAnsi="Segoe UI" w:cs="Segoe UI"/>
          <w:bCs/>
          <w:sz w:val="20"/>
          <w:szCs w:val="20"/>
        </w:rPr>
        <w:t xml:space="preserve">Source : BNB ; Tableau : SE </w:t>
      </w:r>
    </w:p>
    <w:p w14:paraId="32F31386" w14:textId="3240C303" w:rsidR="00C61FAE" w:rsidRPr="00C61FAE" w:rsidRDefault="00C61FAE" w:rsidP="00C61FAE">
      <w:pPr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br w:type="page"/>
      </w:r>
    </w:p>
    <w:p w14:paraId="341D62BC" w14:textId="37EC1C93" w:rsidR="00C61FAE" w:rsidRPr="00C57CCC" w:rsidRDefault="0068790F" w:rsidP="00C61FAE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fr-FR"/>
        </w:rPr>
      </w:pPr>
      <w:r w:rsidRPr="00C57CCC">
        <w:rPr>
          <w:rFonts w:ascii="Segoe UI" w:hAnsi="Segoe UI" w:cs="Segoe UI"/>
          <w:bCs/>
          <w:noProof/>
          <w:color w:val="000091" w:themeColor="text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A152146" wp14:editId="6B246C68">
                <wp:simplePos x="0" y="0"/>
                <wp:positionH relativeFrom="page">
                  <wp:posOffset>6350</wp:posOffset>
                </wp:positionH>
                <wp:positionV relativeFrom="paragraph">
                  <wp:posOffset>-453485</wp:posOffset>
                </wp:positionV>
                <wp:extent cx="7543800" cy="10677525"/>
                <wp:effectExtent l="0" t="0" r="0" b="95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77525"/>
                        </a:xfrm>
                        <a:prstGeom prst="rect">
                          <a:avLst/>
                        </a:prstGeom>
                        <a:solidFill>
                          <a:srgbClr val="FEF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4D67B" id="Rectangle 15" o:spid="_x0000_s1026" style="position:absolute;margin-left:.5pt;margin-top:-35.7pt;width:594pt;height:840.7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" fillcolor="#fef8e8" stroked="f" strokeweight="1pt">
                <w10:wrap anchorx="page"/>
              </v:rect>
            </w:pict>
          </mc:Fallback>
        </mc:AlternateContent>
      </w:r>
      <w:r w:rsidR="00C61FAE" w:rsidRPr="00C57CCC">
        <w:rPr>
          <w:rStyle w:val="Rfrenceintense"/>
          <w:sz w:val="20"/>
          <w:szCs w:val="20"/>
        </w:rPr>
        <w:t xml:space="preserve">ANNEXE </w:t>
      </w:r>
      <w:r w:rsidR="00ED4850">
        <w:rPr>
          <w:rStyle w:val="Rfrenceintense"/>
          <w:sz w:val="20"/>
          <w:szCs w:val="20"/>
        </w:rPr>
        <w:t>4</w:t>
      </w:r>
      <w:r w:rsidR="00C61FAE" w:rsidRPr="00C57CCC">
        <w:rPr>
          <w:rStyle w:val="Rfrenceintense"/>
          <w:sz w:val="20"/>
          <w:szCs w:val="20"/>
        </w:rPr>
        <w:t> : Principaux partenaires de la Belgique pour les échanges de biens en 202</w:t>
      </w:r>
      <w:r w:rsidR="00850E8D">
        <w:rPr>
          <w:rStyle w:val="Rfrenceintense"/>
          <w:sz w:val="20"/>
          <w:szCs w:val="20"/>
        </w:rPr>
        <w:t>4</w:t>
      </w:r>
      <w:r w:rsidR="00C61FAE" w:rsidRPr="00C57CCC">
        <w:rPr>
          <w:rStyle w:val="Rfrenceintense"/>
          <w:sz w:val="20"/>
          <w:szCs w:val="20"/>
        </w:rPr>
        <w:t xml:space="preserve"> (en Md€) - concept national</w:t>
      </w:r>
    </w:p>
    <w:tbl>
      <w:tblPr>
        <w:tblW w:w="97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6"/>
        <w:gridCol w:w="2059"/>
        <w:gridCol w:w="2220"/>
        <w:gridCol w:w="1646"/>
        <w:gridCol w:w="2392"/>
      </w:tblGrid>
      <w:tr w:rsidR="00C61FAE" w:rsidRPr="00AB03ED" w14:paraId="0DD4FE48" w14:textId="77777777" w:rsidTr="00315CA0">
        <w:trPr>
          <w:trHeight w:val="716"/>
          <w:jc w:val="center"/>
        </w:trPr>
        <w:tc>
          <w:tcPr>
            <w:tcW w:w="14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66191D3" w14:textId="77777777" w:rsidR="00C61FAE" w:rsidRPr="00AB03ED" w:rsidRDefault="00C61FAE" w:rsidP="00665C6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AB03ED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 </w:t>
            </w:r>
          </w:p>
        </w:tc>
        <w:tc>
          <w:tcPr>
            <w:tcW w:w="20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242916" w14:textId="77777777" w:rsidR="00C61FAE" w:rsidRPr="00315CA0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315CA0">
              <w:rPr>
                <w:rFonts w:ascii="Calibri" w:eastAsia="Times New Roman" w:hAnsi="Calibri" w:cs="Calibri"/>
                <w:b/>
                <w:bCs/>
                <w:lang w:eastAsia="fr-FR"/>
              </w:rPr>
              <w:t>Exportations</w:t>
            </w:r>
          </w:p>
        </w:tc>
        <w:tc>
          <w:tcPr>
            <w:tcW w:w="22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491E3D" w14:textId="77777777" w:rsidR="00C61FAE" w:rsidRPr="00315CA0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315CA0">
              <w:rPr>
                <w:rFonts w:ascii="Calibri" w:eastAsia="Times New Roman" w:hAnsi="Calibri" w:cs="Calibri"/>
                <w:b/>
                <w:bCs/>
                <w:lang w:eastAsia="fr-FR"/>
              </w:rPr>
              <w:t>Importations</w:t>
            </w:r>
          </w:p>
        </w:tc>
        <w:tc>
          <w:tcPr>
            <w:tcW w:w="164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19DD8E" w14:textId="77777777" w:rsidR="00C61FAE" w:rsidRPr="00315CA0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315CA0">
              <w:rPr>
                <w:rFonts w:ascii="Calibri" w:eastAsia="Times New Roman" w:hAnsi="Calibri" w:cs="Calibri"/>
                <w:b/>
                <w:bCs/>
                <w:lang w:eastAsia="fr-FR"/>
              </w:rPr>
              <w:t>Volume d'échange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5570CB" w14:textId="55165024" w:rsidR="00C61FAE" w:rsidRPr="00315CA0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315CA0">
              <w:rPr>
                <w:rFonts w:ascii="Calibri" w:eastAsia="Times New Roman" w:hAnsi="Calibri" w:cs="Calibri"/>
                <w:b/>
                <w:bCs/>
                <w:lang w:eastAsia="fr-FR"/>
              </w:rPr>
              <w:t>Part dans le volume d'échange total (en %)</w:t>
            </w:r>
          </w:p>
        </w:tc>
      </w:tr>
      <w:tr w:rsidR="00C61FAE" w:rsidRPr="00AB03ED" w14:paraId="7180D5AE" w14:textId="77777777" w:rsidTr="00315CA0">
        <w:trPr>
          <w:trHeight w:val="358"/>
          <w:jc w:val="center"/>
        </w:trPr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2BBE2A" w14:textId="77777777" w:rsidR="00C61FAE" w:rsidRPr="00315CA0" w:rsidRDefault="00C61FAE" w:rsidP="00665C64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315CA0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 Pays-Bas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18F8" w14:textId="196BCEC6" w:rsidR="00C61FAE" w:rsidRPr="00AB03ED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  <w:r w:rsidR="00C57CCC">
              <w:rPr>
                <w:rFonts w:ascii="Calibri" w:eastAsia="Times New Roman" w:hAnsi="Calibri" w:cs="Calibri"/>
                <w:color w:val="000000"/>
                <w:lang w:eastAsia="fr-FR"/>
              </w:rPr>
              <w:t>5,2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8F0C" w14:textId="682E7B51" w:rsidR="00C61FAE" w:rsidRPr="00AB03ED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  <w:r w:rsidR="00BD2C5D">
              <w:rPr>
                <w:rFonts w:ascii="Calibri" w:eastAsia="Times New Roman" w:hAnsi="Calibri" w:cs="Calibri"/>
                <w:color w:val="000000"/>
                <w:lang w:eastAsia="fr-FR"/>
              </w:rPr>
              <w:t>0,8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1BEF7" w14:textId="4E55F20A" w:rsidR="00C61FAE" w:rsidRPr="00AB03ED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 w:rsidR="00BD2C5D">
              <w:rPr>
                <w:rFonts w:ascii="Calibri" w:eastAsia="Times New Roman" w:hAnsi="Calibri" w:cs="Calibri"/>
                <w:color w:val="000000"/>
                <w:lang w:eastAsia="fr-FR"/>
              </w:rPr>
              <w:t>26,0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27CA18" w14:textId="7D1F463E" w:rsidR="00C61FAE" w:rsidRPr="0015525B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525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 w:rsidR="00977518" w:rsidRPr="0015525B">
              <w:rPr>
                <w:rFonts w:ascii="Calibri" w:eastAsia="Times New Roman" w:hAnsi="Calibri" w:cs="Calibri"/>
                <w:color w:val="000000"/>
                <w:lang w:eastAsia="fr-FR"/>
              </w:rPr>
              <w:t>8,3</w:t>
            </w:r>
          </w:p>
        </w:tc>
      </w:tr>
      <w:tr w:rsidR="00C61FAE" w:rsidRPr="00AB03ED" w14:paraId="108B641A" w14:textId="77777777" w:rsidTr="00315CA0">
        <w:trPr>
          <w:trHeight w:val="341"/>
          <w:jc w:val="center"/>
        </w:trPr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9261AE" w14:textId="77777777" w:rsidR="00C61FAE" w:rsidRPr="00315CA0" w:rsidRDefault="00C61FAE" w:rsidP="00665C64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315CA0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 Allemagne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3895" w14:textId="745A3F03" w:rsidR="00C61FAE" w:rsidRPr="00AB03ED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  <w:r w:rsidR="00BD2C5D">
              <w:rPr>
                <w:rFonts w:ascii="Calibri" w:eastAsia="Times New Roman" w:hAnsi="Calibri" w:cs="Calibri"/>
                <w:color w:val="000000"/>
                <w:lang w:eastAsia="fr-FR"/>
              </w:rPr>
              <w:t>3,1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AD61" w14:textId="35D3CF08" w:rsidR="00C61FAE" w:rsidRPr="00AB03ED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  <w:r w:rsidR="00BD2C5D">
              <w:rPr>
                <w:rFonts w:ascii="Calibri" w:eastAsia="Times New Roman" w:hAnsi="Calibri" w:cs="Calibri"/>
                <w:color w:val="000000"/>
                <w:lang w:eastAsia="fr-FR"/>
              </w:rPr>
              <w:t>5,7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D48BE" w14:textId="4EEC30C2" w:rsidR="00C61FAE" w:rsidRPr="00AB03ED" w:rsidRDefault="00BD2C5D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98,8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7C6716" w14:textId="1059989F" w:rsidR="00C61FAE" w:rsidRPr="0015525B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525B">
              <w:rPr>
                <w:rFonts w:ascii="Calibri" w:eastAsia="Times New Roman" w:hAnsi="Calibri" w:cs="Calibri"/>
                <w:color w:val="000000"/>
                <w:lang w:eastAsia="fr-FR"/>
              </w:rPr>
              <w:t>14,</w:t>
            </w:r>
            <w:r w:rsidR="00977518" w:rsidRPr="0015525B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C61FAE" w:rsidRPr="00AB03ED" w14:paraId="10AC8ABB" w14:textId="77777777" w:rsidTr="00315CA0">
        <w:trPr>
          <w:trHeight w:val="341"/>
          <w:jc w:val="center"/>
        </w:trPr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8BFA42" w14:textId="77777777" w:rsidR="00C61FAE" w:rsidRPr="00315CA0" w:rsidRDefault="00C61FAE" w:rsidP="00665C64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315CA0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 </w:t>
            </w:r>
            <w:r w:rsidRPr="00315CA0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France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9462" w14:textId="733F150F" w:rsidR="00C61FAE" w:rsidRPr="00AB03ED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>
              <w:rPr>
                <w:rFonts w:ascii="Calibri" w:eastAsia="Times New Roman" w:hAnsi="Calibri" w:cs="Calibri"/>
                <w:color w:val="C00000"/>
                <w:lang w:eastAsia="fr-FR"/>
              </w:rPr>
              <w:t>4</w:t>
            </w:r>
            <w:r w:rsidR="00BD2C5D">
              <w:rPr>
                <w:rFonts w:ascii="Calibri" w:eastAsia="Times New Roman" w:hAnsi="Calibri" w:cs="Calibri"/>
                <w:color w:val="C00000"/>
                <w:lang w:eastAsia="fr-FR"/>
              </w:rPr>
              <w:t>4,4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6EB5" w14:textId="696D6E12" w:rsidR="00C61FAE" w:rsidRPr="00AB03ED" w:rsidRDefault="00BD2C5D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>
              <w:rPr>
                <w:rFonts w:ascii="Calibri" w:eastAsia="Times New Roman" w:hAnsi="Calibri" w:cs="Calibri"/>
                <w:color w:val="C00000"/>
                <w:lang w:eastAsia="fr-FR"/>
              </w:rPr>
              <w:t>38,9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50060" w14:textId="0BA0904F" w:rsidR="00C61FAE" w:rsidRPr="00AB03ED" w:rsidRDefault="00BD2C5D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>
              <w:rPr>
                <w:rFonts w:ascii="Calibri" w:eastAsia="Times New Roman" w:hAnsi="Calibri" w:cs="Calibri"/>
                <w:color w:val="C00000"/>
                <w:lang w:eastAsia="fr-FR"/>
              </w:rPr>
              <w:t>83,3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3C4EEC" w14:textId="5840BB7D" w:rsidR="00C61FAE" w:rsidRPr="0015525B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15525B">
              <w:rPr>
                <w:rFonts w:ascii="Calibri" w:eastAsia="Times New Roman" w:hAnsi="Calibri" w:cs="Calibri"/>
                <w:color w:val="C00000"/>
                <w:lang w:eastAsia="fr-FR"/>
              </w:rPr>
              <w:t>12,1</w:t>
            </w:r>
          </w:p>
        </w:tc>
      </w:tr>
      <w:tr w:rsidR="00C61FAE" w:rsidRPr="00AB03ED" w14:paraId="488B99AA" w14:textId="77777777" w:rsidTr="00315CA0">
        <w:trPr>
          <w:trHeight w:val="682"/>
          <w:jc w:val="center"/>
        </w:trPr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52D6FD" w14:textId="77777777" w:rsidR="00C61FAE" w:rsidRPr="00315CA0" w:rsidRDefault="00C61FAE" w:rsidP="00665C64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315CA0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 Etats-Unis d'Amérique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8472" w14:textId="31E0EE6D" w:rsidR="00C61FAE" w:rsidRPr="00AB03ED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03ED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 w:rsidR="00BD2C5D">
              <w:rPr>
                <w:rFonts w:ascii="Calibri" w:eastAsia="Times New Roman" w:hAnsi="Calibri" w:cs="Calibri"/>
                <w:color w:val="000000"/>
                <w:lang w:eastAsia="fr-FR"/>
              </w:rPr>
              <w:t>7,4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EFC5" w14:textId="5A697B3D" w:rsidR="00C61FAE" w:rsidRPr="00AB03ED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 w:rsidR="00BD2C5D">
              <w:rPr>
                <w:rFonts w:ascii="Calibri" w:eastAsia="Times New Roman" w:hAnsi="Calibri" w:cs="Calibri"/>
                <w:color w:val="000000"/>
                <w:lang w:eastAsia="fr-FR"/>
              </w:rPr>
              <w:t>0,2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A10D6" w14:textId="682B5A34" w:rsidR="00C61FAE" w:rsidRPr="00AB03ED" w:rsidRDefault="00BD2C5D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47</w:t>
            </w:r>
            <w:r w:rsidR="00C61FAE">
              <w:rPr>
                <w:rFonts w:ascii="Calibri" w:eastAsia="Times New Roman" w:hAnsi="Calibri" w:cs="Calibri"/>
                <w:color w:val="000000"/>
                <w:lang w:eastAsia="fr-FR"/>
              </w:rPr>
              <w:t>,6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D4CB64" w14:textId="7B37F5A6" w:rsidR="00C61FAE" w:rsidRPr="0015525B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525B">
              <w:rPr>
                <w:rFonts w:ascii="Calibri" w:eastAsia="Times New Roman" w:hAnsi="Calibri" w:cs="Calibri"/>
                <w:color w:val="000000"/>
                <w:lang w:eastAsia="fr-FR"/>
              </w:rPr>
              <w:t>6,</w:t>
            </w:r>
            <w:r w:rsidR="00977518" w:rsidRPr="0015525B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</w:tr>
      <w:tr w:rsidR="00C61FAE" w:rsidRPr="00AB03ED" w14:paraId="46DB92B6" w14:textId="77777777" w:rsidTr="00315CA0">
        <w:trPr>
          <w:trHeight w:val="341"/>
          <w:jc w:val="center"/>
        </w:trPr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92DC89" w14:textId="77777777" w:rsidR="00C61FAE" w:rsidRPr="00315CA0" w:rsidRDefault="00C61FAE" w:rsidP="00665C64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315CA0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 Royaume-Uni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3C13" w14:textId="7F50D4F9" w:rsidR="00C61FAE" w:rsidRPr="00AB03ED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03ED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 w:rsidR="00BD2C5D">
              <w:rPr>
                <w:rFonts w:ascii="Calibri" w:eastAsia="Times New Roman" w:hAnsi="Calibri" w:cs="Calibri"/>
                <w:color w:val="000000"/>
                <w:lang w:eastAsia="fr-FR"/>
              </w:rPr>
              <w:t>2,0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899C" w14:textId="1283B51B" w:rsidR="00C61FAE" w:rsidRPr="00AB03ED" w:rsidRDefault="00BD2C5D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9,3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FDDF1" w14:textId="03F094E2" w:rsidR="00C61FAE" w:rsidRPr="00AB03ED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  <w:r w:rsidR="00BD2C5D">
              <w:rPr>
                <w:rFonts w:ascii="Calibri" w:eastAsia="Times New Roman" w:hAnsi="Calibri" w:cs="Calibri"/>
                <w:color w:val="000000"/>
                <w:lang w:eastAsia="fr-FR"/>
              </w:rPr>
              <w:t>1,9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525033" w14:textId="30096858" w:rsidR="00C61FAE" w:rsidRPr="0015525B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525B">
              <w:rPr>
                <w:rFonts w:ascii="Calibri" w:eastAsia="Times New Roman" w:hAnsi="Calibri" w:cs="Calibri"/>
                <w:color w:val="000000"/>
                <w:lang w:eastAsia="fr-FR"/>
              </w:rPr>
              <w:t>4,</w:t>
            </w:r>
            <w:r w:rsidR="0015525B" w:rsidRPr="0015525B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C61FAE" w:rsidRPr="00AB03ED" w14:paraId="3FC62896" w14:textId="77777777" w:rsidTr="00315CA0">
        <w:trPr>
          <w:trHeight w:val="682"/>
          <w:jc w:val="center"/>
        </w:trPr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983651" w14:textId="77777777" w:rsidR="00C61FAE" w:rsidRPr="00315CA0" w:rsidRDefault="00C61FAE" w:rsidP="00665C64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315CA0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 Italie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B857" w14:textId="2E6F9D06" w:rsidR="00C61FAE" w:rsidRPr="00AB03ED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 w:rsidR="00977518">
              <w:rPr>
                <w:rFonts w:ascii="Calibri" w:eastAsia="Times New Roman" w:hAnsi="Calibri" w:cs="Calibri"/>
                <w:color w:val="000000"/>
                <w:lang w:eastAsia="fr-FR"/>
              </w:rPr>
              <w:t>5,9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9F46" w14:textId="74B968CB" w:rsidR="00C61FAE" w:rsidRPr="00AB03ED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03ED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  <w:r w:rsidR="00977518">
              <w:rPr>
                <w:rFonts w:ascii="Calibri" w:eastAsia="Times New Roman" w:hAnsi="Calibri" w:cs="Calibri"/>
                <w:color w:val="000000"/>
                <w:lang w:eastAsia="fr-FR"/>
              </w:rPr>
              <w:t>,6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F06B7" w14:textId="09E931D3" w:rsidR="00C61FAE" w:rsidRPr="00AB03ED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03ED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1,</w:t>
            </w:r>
            <w:r w:rsidR="00977518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815C7E" w14:textId="7BA7CB3B" w:rsidR="00C61FAE" w:rsidRPr="0015525B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525B">
              <w:rPr>
                <w:rFonts w:ascii="Calibri" w:eastAsia="Times New Roman" w:hAnsi="Calibri" w:cs="Calibri"/>
                <w:color w:val="000000"/>
                <w:lang w:eastAsia="fr-FR"/>
              </w:rPr>
              <w:t>4,</w:t>
            </w:r>
            <w:r w:rsidR="0015525B" w:rsidRPr="0015525B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C61FAE" w:rsidRPr="00AB03ED" w14:paraId="4541A27A" w14:textId="77777777" w:rsidTr="00315CA0">
        <w:trPr>
          <w:trHeight w:val="341"/>
          <w:jc w:val="center"/>
        </w:trPr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0FE207" w14:textId="71D6DA78" w:rsidR="00C61FAE" w:rsidRPr="00315CA0" w:rsidRDefault="00977518" w:rsidP="00665C64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315CA0">
              <w:rPr>
                <w:rFonts w:ascii="Calibri" w:eastAsia="Times New Roman" w:hAnsi="Calibri" w:cs="Calibri"/>
                <w:b/>
                <w:bCs/>
                <w:lang w:eastAsia="fr-FR"/>
              </w:rPr>
              <w:t>Espagne</w:t>
            </w:r>
            <w:r w:rsidR="00C61FAE" w:rsidRPr="00315CA0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F0B8" w14:textId="1D84CF96" w:rsidR="00C61FAE" w:rsidRPr="00AB03ED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 w:rsidR="00977518">
              <w:rPr>
                <w:rFonts w:ascii="Calibri" w:eastAsia="Times New Roman" w:hAnsi="Calibri" w:cs="Calibri"/>
                <w:color w:val="000000"/>
                <w:lang w:eastAsia="fr-FR"/>
              </w:rPr>
              <w:t>1,2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BC4E" w14:textId="58295E05" w:rsidR="00C61FAE" w:rsidRPr="00AB03ED" w:rsidRDefault="00977518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8,5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5C0BF" w14:textId="59D7B80A" w:rsidR="00C61FAE" w:rsidRPr="00AB03ED" w:rsidRDefault="00977518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19,8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D03301" w14:textId="1C3CE14F" w:rsidR="00C61FAE" w:rsidRPr="0015525B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525B">
              <w:rPr>
                <w:rFonts w:ascii="Calibri" w:eastAsia="Times New Roman" w:hAnsi="Calibri" w:cs="Calibri"/>
                <w:color w:val="000000"/>
                <w:lang w:eastAsia="fr-FR"/>
              </w:rPr>
              <w:t>2,</w:t>
            </w:r>
            <w:r w:rsidR="0015525B" w:rsidRPr="0015525B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</w:tr>
      <w:tr w:rsidR="00C61FAE" w:rsidRPr="00AB03ED" w14:paraId="1B0F70B9" w14:textId="77777777" w:rsidTr="00315CA0">
        <w:trPr>
          <w:trHeight w:val="341"/>
          <w:jc w:val="center"/>
        </w:trPr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02F87E" w14:textId="728DAE7F" w:rsidR="00C61FAE" w:rsidRPr="00315CA0" w:rsidRDefault="00977518" w:rsidP="00665C64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315CA0">
              <w:rPr>
                <w:rFonts w:ascii="Calibri" w:eastAsia="Times New Roman" w:hAnsi="Calibri" w:cs="Calibri"/>
                <w:b/>
                <w:bCs/>
                <w:lang w:eastAsia="fr-FR"/>
              </w:rPr>
              <w:t>Chine</w:t>
            </w:r>
            <w:r w:rsidR="00C61FAE" w:rsidRPr="00315CA0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A8E7" w14:textId="48E1BAD0" w:rsidR="00C61FAE" w:rsidRPr="00AB03ED" w:rsidRDefault="00977518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6,2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896C" w14:textId="185FC00C" w:rsidR="00C61FAE" w:rsidRPr="00AB03ED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 w:rsidR="00977518">
              <w:rPr>
                <w:rFonts w:ascii="Calibri" w:eastAsia="Times New Roman" w:hAnsi="Calibri" w:cs="Calibri"/>
                <w:color w:val="000000"/>
                <w:lang w:eastAsia="fr-FR"/>
              </w:rPr>
              <w:t>1,9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BED78" w14:textId="544EBD33" w:rsidR="00C61FAE" w:rsidRPr="00AB03ED" w:rsidRDefault="00977518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18,1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81EA8A" w14:textId="0B09C719" w:rsidR="00C61FAE" w:rsidRPr="0015525B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525B">
              <w:rPr>
                <w:rFonts w:ascii="Calibri" w:eastAsia="Times New Roman" w:hAnsi="Calibri" w:cs="Calibri"/>
                <w:color w:val="000000"/>
                <w:lang w:eastAsia="fr-FR"/>
              </w:rPr>
              <w:t>2,6</w:t>
            </w:r>
          </w:p>
        </w:tc>
      </w:tr>
      <w:tr w:rsidR="00C61FAE" w:rsidRPr="00AB03ED" w14:paraId="047DDD84" w14:textId="77777777" w:rsidTr="00315CA0">
        <w:trPr>
          <w:trHeight w:val="1023"/>
          <w:jc w:val="center"/>
        </w:trPr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6432B6" w14:textId="7D8E366B" w:rsidR="00C61FAE" w:rsidRPr="00315CA0" w:rsidRDefault="00977518" w:rsidP="00665C64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315CA0">
              <w:rPr>
                <w:rFonts w:ascii="Calibri" w:eastAsia="Times New Roman" w:hAnsi="Calibri" w:cs="Calibri"/>
                <w:b/>
                <w:bCs/>
                <w:lang w:eastAsia="fr-FR"/>
              </w:rPr>
              <w:t>Irlande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513A" w14:textId="5DCC4CD9" w:rsidR="00C61FAE" w:rsidRPr="00AB03ED" w:rsidRDefault="00977518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E122" w14:textId="6386D0C0" w:rsidR="00C61FAE" w:rsidRPr="00AB03ED" w:rsidRDefault="00977518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  <w:r w:rsidR="00C61FAE">
              <w:rPr>
                <w:rFonts w:ascii="Calibri" w:eastAsia="Times New Roman" w:hAnsi="Calibri" w:cs="Calibri"/>
                <w:color w:val="000000"/>
                <w:lang w:eastAsia="fr-FR"/>
              </w:rPr>
              <w:t>,3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B9EA1" w14:textId="3F3EA4B8" w:rsidR="00C61FAE" w:rsidRPr="00AB03ED" w:rsidRDefault="00C61FAE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 w:rsidR="00977518">
              <w:rPr>
                <w:rFonts w:ascii="Calibri" w:eastAsia="Times New Roman" w:hAnsi="Calibri" w:cs="Calibri"/>
                <w:color w:val="000000"/>
                <w:lang w:eastAsia="fr-FR"/>
              </w:rPr>
              <w:t>2,3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B1790F" w14:textId="0114839D" w:rsidR="00C61FAE" w:rsidRPr="0015525B" w:rsidRDefault="0015525B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525B">
              <w:rPr>
                <w:rFonts w:ascii="Calibri" w:eastAsia="Times New Roman" w:hAnsi="Calibri" w:cs="Calibri"/>
                <w:color w:val="000000"/>
                <w:lang w:eastAsia="fr-FR"/>
              </w:rPr>
              <w:t>1,8</w:t>
            </w:r>
          </w:p>
        </w:tc>
      </w:tr>
    </w:tbl>
    <w:p w14:paraId="6D689790" w14:textId="5B4BB781" w:rsidR="00341EC1" w:rsidRDefault="0015525B" w:rsidP="009854A7">
      <w:pPr>
        <w:jc w:val="center"/>
        <w:rPr>
          <w:rFonts w:ascii="Segoe UI" w:hAnsi="Segoe UI" w:cs="Segoe UI"/>
          <w:bCs/>
          <w:sz w:val="20"/>
          <w:szCs w:val="20"/>
          <w:lang w:val="en-GB"/>
        </w:rPr>
      </w:pPr>
      <w:r w:rsidRPr="0015525B">
        <w:rPr>
          <w:rFonts w:ascii="Segoe UI" w:hAnsi="Segoe UI" w:cs="Segoe UI"/>
          <w:bCs/>
          <w:sz w:val="20"/>
          <w:szCs w:val="20"/>
          <w:lang w:val="en-GB"/>
        </w:rPr>
        <w:t>Source : BNB ; Tableau : SE</w:t>
      </w:r>
    </w:p>
    <w:p w14:paraId="5D94396B" w14:textId="11046980" w:rsidR="004D6449" w:rsidRPr="00ED4850" w:rsidRDefault="004D6449" w:rsidP="004D6449">
      <w:pPr>
        <w:spacing w:line="240" w:lineRule="auto"/>
        <w:jc w:val="center"/>
        <w:rPr>
          <w:rStyle w:val="Rfrenceintense"/>
          <w:sz w:val="20"/>
          <w:szCs w:val="20"/>
        </w:rPr>
      </w:pPr>
      <w:r w:rsidRPr="00ED4850">
        <w:rPr>
          <w:rStyle w:val="Rfrenceintense"/>
          <w:sz w:val="20"/>
          <w:szCs w:val="20"/>
        </w:rPr>
        <w:t xml:space="preserve">ANNEXE </w:t>
      </w:r>
      <w:r w:rsidR="00ED4850" w:rsidRPr="00ED4850">
        <w:rPr>
          <w:rStyle w:val="Rfrenceintense"/>
          <w:sz w:val="20"/>
          <w:szCs w:val="20"/>
        </w:rPr>
        <w:t>5</w:t>
      </w:r>
      <w:r w:rsidRPr="00ED4850">
        <w:rPr>
          <w:rStyle w:val="Rfrenceintense"/>
          <w:sz w:val="20"/>
          <w:szCs w:val="20"/>
        </w:rPr>
        <w:t> : Les trois premiers excédents commerciaux de la Belgique en 202</w:t>
      </w:r>
      <w:r w:rsidR="00850E8D">
        <w:rPr>
          <w:rStyle w:val="Rfrenceintense"/>
          <w:sz w:val="20"/>
          <w:szCs w:val="20"/>
        </w:rPr>
        <w:t xml:space="preserve">4 </w:t>
      </w:r>
      <w:r w:rsidRPr="00ED4850">
        <w:rPr>
          <w:rStyle w:val="Rfrenceintense"/>
          <w:sz w:val="20"/>
          <w:szCs w:val="20"/>
        </w:rPr>
        <w:t>(échanges de biens) - Concept national</w:t>
      </w:r>
    </w:p>
    <w:tbl>
      <w:tblPr>
        <w:tblW w:w="7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320"/>
        <w:gridCol w:w="2320"/>
        <w:gridCol w:w="2320"/>
      </w:tblGrid>
      <w:tr w:rsidR="004D6449" w:rsidRPr="008B38A9" w14:paraId="5A1FF5B9" w14:textId="77777777" w:rsidTr="000C06CD">
        <w:trPr>
          <w:trHeight w:val="63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BB7A2" w14:textId="77777777" w:rsidR="004D6449" w:rsidRPr="008B38A9" w:rsidRDefault="004D6449" w:rsidP="00665C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17092B3" w14:textId="77777777" w:rsidR="004D6449" w:rsidRPr="008B38A9" w:rsidRDefault="004D6449" w:rsidP="00665C6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8B38A9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 </w:t>
            </w:r>
          </w:p>
        </w:tc>
        <w:tc>
          <w:tcPr>
            <w:tcW w:w="232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B8B67E" w14:textId="4B593D35" w:rsidR="004D6449" w:rsidRPr="000C06CD" w:rsidRDefault="004D6449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0C06CD">
              <w:rPr>
                <w:rFonts w:ascii="Calibri" w:eastAsia="Times New Roman" w:hAnsi="Calibri" w:cs="Calibri"/>
                <w:b/>
                <w:bCs/>
                <w:lang w:eastAsia="fr-FR"/>
              </w:rPr>
              <w:t>Excédent commercial 202</w:t>
            </w:r>
            <w:r w:rsidR="00A236F3" w:rsidRPr="000C06CD">
              <w:rPr>
                <w:rFonts w:ascii="Calibri" w:eastAsia="Times New Roman" w:hAnsi="Calibri" w:cs="Calibri"/>
                <w:b/>
                <w:bCs/>
                <w:lang w:eastAsia="fr-FR"/>
              </w:rPr>
              <w:t>3</w:t>
            </w:r>
            <w:r w:rsidRPr="000C06CD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(en M€)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3DD4F8" w14:textId="56D85811" w:rsidR="004D6449" w:rsidRPr="000C06CD" w:rsidRDefault="004D6449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0C06CD">
              <w:rPr>
                <w:rFonts w:ascii="Calibri" w:eastAsia="Times New Roman" w:hAnsi="Calibri" w:cs="Calibri"/>
                <w:b/>
                <w:bCs/>
                <w:lang w:eastAsia="fr-FR"/>
              </w:rPr>
              <w:t>Excédent commercial 202</w:t>
            </w:r>
            <w:r w:rsidR="00A236F3" w:rsidRPr="000C06CD">
              <w:rPr>
                <w:rFonts w:ascii="Calibri" w:eastAsia="Times New Roman" w:hAnsi="Calibri" w:cs="Calibri"/>
                <w:b/>
                <w:bCs/>
                <w:lang w:eastAsia="fr-FR"/>
              </w:rPr>
              <w:t>4</w:t>
            </w:r>
            <w:r w:rsidRPr="000C06CD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(en M€)</w:t>
            </w:r>
          </w:p>
        </w:tc>
      </w:tr>
      <w:tr w:rsidR="004D6449" w:rsidRPr="008B38A9" w14:paraId="2D374F01" w14:textId="77777777" w:rsidTr="000C06CD">
        <w:trPr>
          <w:trHeight w:val="300"/>
          <w:jc w:val="center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22ACED" w14:textId="77777777" w:rsidR="004D6449" w:rsidRPr="000C06CD" w:rsidRDefault="004D6449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0C06CD">
              <w:rPr>
                <w:rFonts w:ascii="Calibri" w:eastAsia="Times New Roman" w:hAnsi="Calibri" w:cs="Calibri"/>
                <w:b/>
                <w:bCs/>
                <w:lang w:eastAsia="fr-FR"/>
              </w:rPr>
              <w:t>1.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50B719" w14:textId="35965979" w:rsidR="004D6449" w:rsidRPr="000C06CD" w:rsidRDefault="00A236F3" w:rsidP="00665C64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0C06CD">
              <w:rPr>
                <w:rFonts w:ascii="Calibri" w:eastAsia="Times New Roman" w:hAnsi="Calibri" w:cs="Calibri"/>
                <w:b/>
                <w:bCs/>
                <w:lang w:eastAsia="fr-FR"/>
              </w:rPr>
              <w:t>Royaume-Uni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F9FF" w14:textId="5AB49120" w:rsidR="004D6449" w:rsidRPr="00CC14D7" w:rsidRDefault="000C06CD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 w:rsidRPr="000C06CD">
              <w:rPr>
                <w:rFonts w:ascii="Calibri" w:eastAsia="Times New Roman" w:hAnsi="Calibri" w:cs="Calibri"/>
                <w:color w:val="000000"/>
                <w:lang w:eastAsia="fr-FR"/>
              </w:rPr>
              <w:t>8,7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F8328" w14:textId="6EBF8131" w:rsidR="004D6449" w:rsidRPr="00CC14D7" w:rsidRDefault="00A236F3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 w:rsidRPr="00A236F3">
              <w:rPr>
                <w:rFonts w:ascii="Calibri" w:eastAsia="Times New Roman" w:hAnsi="Calibri" w:cs="Calibri"/>
                <w:color w:val="000000"/>
                <w:lang w:eastAsia="fr-FR"/>
              </w:rPr>
              <w:t>12,2</w:t>
            </w:r>
          </w:p>
        </w:tc>
      </w:tr>
      <w:tr w:rsidR="004D6449" w:rsidRPr="008B38A9" w14:paraId="1478EC60" w14:textId="77777777" w:rsidTr="000C06CD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DE990E" w14:textId="77777777" w:rsidR="004D6449" w:rsidRPr="000C06CD" w:rsidRDefault="004D6449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0C06CD">
              <w:rPr>
                <w:rFonts w:ascii="Calibri" w:eastAsia="Times New Roman" w:hAnsi="Calibri" w:cs="Calibri"/>
                <w:b/>
                <w:bCs/>
                <w:lang w:eastAsia="fr-FR"/>
              </w:rPr>
              <w:t>2.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A270B3" w14:textId="361256A8" w:rsidR="004D6449" w:rsidRPr="000C06CD" w:rsidRDefault="00A236F3" w:rsidP="00665C64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0C06CD">
              <w:rPr>
                <w:rFonts w:ascii="Calibri" w:eastAsia="Times New Roman" w:hAnsi="Calibri" w:cs="Calibri"/>
                <w:b/>
                <w:bCs/>
                <w:lang w:eastAsia="fr-FR"/>
              </w:rPr>
              <w:t>Allemagne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48DD" w14:textId="376BFAE0" w:rsidR="004D6449" w:rsidRPr="00CC14D7" w:rsidRDefault="000C06CD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highlight w:val="yellow"/>
                <w:lang w:eastAsia="fr-FR"/>
              </w:rPr>
            </w:pPr>
            <w:r w:rsidRPr="000C06CD">
              <w:rPr>
                <w:rFonts w:ascii="Calibri" w:eastAsia="Times New Roman" w:hAnsi="Calibri" w:cs="Calibri"/>
                <w:lang w:eastAsia="fr-FR"/>
              </w:rPr>
              <w:t>10,1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A04DA" w14:textId="20030D25" w:rsidR="004D6449" w:rsidRPr="00CC14D7" w:rsidRDefault="00A236F3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C00000"/>
                <w:highlight w:val="yellow"/>
                <w:lang w:eastAsia="fr-FR"/>
              </w:rPr>
            </w:pPr>
            <w:r w:rsidRPr="00A236F3">
              <w:rPr>
                <w:rFonts w:ascii="Calibri" w:eastAsia="Times New Roman" w:hAnsi="Calibri" w:cs="Calibri"/>
                <w:lang w:eastAsia="fr-FR"/>
              </w:rPr>
              <w:t>9,5</w:t>
            </w:r>
          </w:p>
        </w:tc>
      </w:tr>
      <w:tr w:rsidR="004D6449" w:rsidRPr="008B38A9" w14:paraId="69D8F325" w14:textId="77777777" w:rsidTr="000C06CD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10D5CB" w14:textId="77777777" w:rsidR="004D6449" w:rsidRPr="000C06CD" w:rsidRDefault="004D6449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0C06CD">
              <w:rPr>
                <w:rFonts w:ascii="Calibri" w:eastAsia="Times New Roman" w:hAnsi="Calibri" w:cs="Calibri"/>
                <w:b/>
                <w:bCs/>
                <w:lang w:eastAsia="fr-FR"/>
              </w:rPr>
              <w:t>3.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E6D26B" w14:textId="08F151F4" w:rsidR="004D6449" w:rsidRPr="000C06CD" w:rsidRDefault="00A236F3" w:rsidP="00665C64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0C06CD">
              <w:rPr>
                <w:rFonts w:ascii="Calibri" w:eastAsia="Times New Roman" w:hAnsi="Calibri" w:cs="Calibri"/>
                <w:b/>
                <w:bCs/>
                <w:lang w:eastAsia="fr-FR"/>
              </w:rPr>
              <w:t>Etats-Unis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2E82" w14:textId="6B140FE7" w:rsidR="004D6449" w:rsidRPr="00CC14D7" w:rsidRDefault="000C06CD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 w:rsidRPr="000C06CD">
              <w:rPr>
                <w:rFonts w:ascii="Calibri" w:eastAsia="Times New Roman" w:hAnsi="Calibri" w:cs="Calibri"/>
                <w:color w:val="000000"/>
                <w:lang w:eastAsia="fr-FR"/>
              </w:rPr>
              <w:t>2,2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C10B0" w14:textId="30B0D777" w:rsidR="004D6449" w:rsidRPr="00CC14D7" w:rsidRDefault="00A236F3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 w:rsidRPr="00A236F3">
              <w:rPr>
                <w:rFonts w:ascii="Calibri" w:eastAsia="Times New Roman" w:hAnsi="Calibri" w:cs="Calibri"/>
                <w:color w:val="000000"/>
                <w:lang w:eastAsia="fr-FR"/>
              </w:rPr>
              <w:t>7,2</w:t>
            </w:r>
          </w:p>
        </w:tc>
      </w:tr>
    </w:tbl>
    <w:p w14:paraId="42F4D005" w14:textId="77777777" w:rsidR="004D6449" w:rsidRPr="001B2089" w:rsidRDefault="004D6449" w:rsidP="004D6449">
      <w:pPr>
        <w:rPr>
          <w:rFonts w:ascii="Segoe UI" w:hAnsi="Segoe UI" w:cs="Segoe UI"/>
          <w:b/>
          <w:szCs w:val="24"/>
        </w:rPr>
      </w:pPr>
    </w:p>
    <w:p w14:paraId="44DD3A24" w14:textId="6642E128" w:rsidR="004D6449" w:rsidRPr="000C06CD" w:rsidRDefault="004D6449" w:rsidP="004D6449">
      <w:pPr>
        <w:jc w:val="center"/>
        <w:rPr>
          <w:rStyle w:val="Rfrenceintense"/>
          <w:b/>
          <w:color w:val="auto"/>
          <w:sz w:val="20"/>
          <w:szCs w:val="20"/>
        </w:rPr>
      </w:pPr>
      <w:r w:rsidRPr="000C06CD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Source : </w:t>
      </w:r>
      <w:r w:rsidR="000C06CD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BNB ; Tableau</w:t>
      </w:r>
      <w:r w:rsidRPr="000C06CD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: SE</w:t>
      </w:r>
    </w:p>
    <w:p w14:paraId="760C4740" w14:textId="04467862" w:rsidR="004D6449" w:rsidRPr="00ED4850" w:rsidRDefault="004D6449" w:rsidP="004D6449">
      <w:pPr>
        <w:spacing w:line="240" w:lineRule="auto"/>
        <w:jc w:val="center"/>
        <w:rPr>
          <w:rStyle w:val="Rfrenceintense"/>
          <w:sz w:val="20"/>
          <w:szCs w:val="20"/>
        </w:rPr>
      </w:pPr>
      <w:r w:rsidRPr="00ED4850">
        <w:rPr>
          <w:rStyle w:val="Rfrenceintense"/>
          <w:sz w:val="20"/>
          <w:szCs w:val="20"/>
        </w:rPr>
        <w:t xml:space="preserve">ANNEXE </w:t>
      </w:r>
      <w:r w:rsidR="00ED4850" w:rsidRPr="00ED4850">
        <w:rPr>
          <w:rStyle w:val="Rfrenceintense"/>
          <w:sz w:val="20"/>
          <w:szCs w:val="20"/>
        </w:rPr>
        <w:t>6</w:t>
      </w:r>
      <w:r w:rsidRPr="00ED4850">
        <w:rPr>
          <w:rStyle w:val="Rfrenceintense"/>
          <w:sz w:val="20"/>
          <w:szCs w:val="20"/>
        </w:rPr>
        <w:t> : Les trois premiers déficits commerciaux de la Belgique en 202</w:t>
      </w:r>
      <w:r w:rsidR="00D81550" w:rsidRPr="00ED4850">
        <w:rPr>
          <w:rStyle w:val="Rfrenceintense"/>
          <w:sz w:val="20"/>
          <w:szCs w:val="20"/>
        </w:rPr>
        <w:t>3 et 2024</w:t>
      </w:r>
      <w:r w:rsidRPr="00ED4850">
        <w:rPr>
          <w:rStyle w:val="Rfrenceintense"/>
          <w:sz w:val="20"/>
          <w:szCs w:val="20"/>
        </w:rPr>
        <w:t xml:space="preserve"> (échanges de biens) - Concept national</w:t>
      </w:r>
    </w:p>
    <w:tbl>
      <w:tblPr>
        <w:tblW w:w="7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320"/>
        <w:gridCol w:w="2320"/>
        <w:gridCol w:w="2320"/>
      </w:tblGrid>
      <w:tr w:rsidR="004D6449" w:rsidRPr="008B38A9" w14:paraId="64AE22D6" w14:textId="77777777" w:rsidTr="000C06CD">
        <w:trPr>
          <w:trHeight w:val="6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649BA" w14:textId="77777777" w:rsidR="004D6449" w:rsidRPr="008B38A9" w:rsidRDefault="004D6449" w:rsidP="00665C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73892" w14:textId="77777777" w:rsidR="004D6449" w:rsidRPr="008B38A9" w:rsidRDefault="004D6449" w:rsidP="00665C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E1DDE7" w14:textId="243FF5E0" w:rsidR="004D6449" w:rsidRPr="000C06CD" w:rsidRDefault="004D6449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0C06CD">
              <w:rPr>
                <w:rFonts w:ascii="Calibri" w:eastAsia="Times New Roman" w:hAnsi="Calibri" w:cs="Calibri"/>
                <w:b/>
                <w:bCs/>
                <w:lang w:eastAsia="fr-FR"/>
              </w:rPr>
              <w:t>Déficit commercial 202</w:t>
            </w:r>
            <w:r w:rsidR="00A236F3" w:rsidRPr="000C06CD">
              <w:rPr>
                <w:rFonts w:ascii="Calibri" w:eastAsia="Times New Roman" w:hAnsi="Calibri" w:cs="Calibri"/>
                <w:b/>
                <w:bCs/>
                <w:lang w:eastAsia="fr-FR"/>
              </w:rPr>
              <w:t>3</w:t>
            </w:r>
            <w:r w:rsidRPr="000C06CD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(en M€)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0ACED9" w14:textId="4E748DBC" w:rsidR="004D6449" w:rsidRPr="000C06CD" w:rsidRDefault="004D6449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0C06CD">
              <w:rPr>
                <w:rFonts w:ascii="Calibri" w:eastAsia="Times New Roman" w:hAnsi="Calibri" w:cs="Calibri"/>
                <w:b/>
                <w:bCs/>
                <w:lang w:eastAsia="fr-FR"/>
              </w:rPr>
              <w:t>Déficit commercial 2024 (en M€)</w:t>
            </w:r>
          </w:p>
        </w:tc>
      </w:tr>
      <w:tr w:rsidR="004D6449" w:rsidRPr="008B38A9" w14:paraId="2B26D482" w14:textId="77777777" w:rsidTr="000C06CD">
        <w:trPr>
          <w:trHeight w:val="30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7B5AF1" w14:textId="77777777" w:rsidR="004D6449" w:rsidRPr="000C06CD" w:rsidRDefault="004D6449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0C06CD">
              <w:rPr>
                <w:rFonts w:ascii="Calibri" w:eastAsia="Times New Roman" w:hAnsi="Calibri" w:cs="Calibri"/>
                <w:b/>
                <w:bCs/>
                <w:lang w:eastAsia="fr-FR"/>
              </w:rPr>
              <w:t>1.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5C71F2" w14:textId="77777777" w:rsidR="004D6449" w:rsidRPr="000C06CD" w:rsidRDefault="004D6449" w:rsidP="00665C64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0C06CD">
              <w:rPr>
                <w:rFonts w:ascii="Calibri" w:eastAsia="Times New Roman" w:hAnsi="Calibri" w:cs="Calibri"/>
                <w:b/>
                <w:bCs/>
                <w:lang w:eastAsia="fr-FR"/>
              </w:rPr>
              <w:t>Pays-Bas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12B3" w14:textId="38827781" w:rsidR="004D6449" w:rsidRPr="004D6449" w:rsidRDefault="004D6449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 w:rsidRPr="000C06CD">
              <w:rPr>
                <w:rFonts w:ascii="Calibri" w:eastAsia="Times New Roman" w:hAnsi="Calibri" w:cs="Calibri"/>
                <w:color w:val="000000"/>
                <w:lang w:eastAsia="fr-FR"/>
              </w:rPr>
              <w:t>-3</w:t>
            </w:r>
            <w:r w:rsidR="000C06CD" w:rsidRPr="000C06CD">
              <w:rPr>
                <w:rFonts w:ascii="Calibri" w:eastAsia="Times New Roman" w:hAnsi="Calibri" w:cs="Calibri"/>
                <w:color w:val="000000"/>
                <w:lang w:eastAsia="fr-FR"/>
              </w:rPr>
              <w:t>1,8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494C" w14:textId="2436E5B2" w:rsidR="004D6449" w:rsidRPr="008B38A9" w:rsidRDefault="004D6449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38A9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35,7</w:t>
            </w:r>
          </w:p>
        </w:tc>
      </w:tr>
      <w:tr w:rsidR="004D6449" w:rsidRPr="008B38A9" w14:paraId="4C7C49CB" w14:textId="77777777" w:rsidTr="000C06CD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B34849" w14:textId="77777777" w:rsidR="004D6449" w:rsidRPr="000C06CD" w:rsidRDefault="004D6449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0C06CD">
              <w:rPr>
                <w:rFonts w:ascii="Calibri" w:eastAsia="Times New Roman" w:hAnsi="Calibri" w:cs="Calibri"/>
                <w:b/>
                <w:bCs/>
                <w:lang w:eastAsia="fr-FR"/>
              </w:rPr>
              <w:t>2.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E8CFD0" w14:textId="77777777" w:rsidR="004D6449" w:rsidRPr="000C06CD" w:rsidRDefault="004D6449" w:rsidP="00665C64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0C06CD">
              <w:rPr>
                <w:rFonts w:ascii="Calibri" w:eastAsia="Times New Roman" w:hAnsi="Calibri" w:cs="Calibri"/>
                <w:b/>
                <w:bCs/>
                <w:lang w:eastAsia="fr-FR"/>
              </w:rPr>
              <w:t>Irlande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60B7" w14:textId="27CD23C0" w:rsidR="004D6449" w:rsidRPr="000C06CD" w:rsidRDefault="000C06CD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CD">
              <w:rPr>
                <w:rFonts w:ascii="Calibri" w:eastAsia="Times New Roman" w:hAnsi="Calibri" w:cs="Calibri"/>
                <w:color w:val="000000"/>
                <w:lang w:eastAsia="fr-FR"/>
              </w:rPr>
              <w:t>-7,0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1397" w14:textId="64D6CB16" w:rsidR="004D6449" w:rsidRPr="008B38A9" w:rsidRDefault="004D6449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38A9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  <w:r w:rsidR="00CC14D7">
              <w:rPr>
                <w:rFonts w:ascii="Calibri" w:eastAsia="Times New Roman" w:hAnsi="Calibri" w:cs="Calibri"/>
                <w:color w:val="000000"/>
                <w:lang w:eastAsia="fr-FR"/>
              </w:rPr>
              <w:t>6,4</w:t>
            </w:r>
          </w:p>
        </w:tc>
      </w:tr>
      <w:tr w:rsidR="004D6449" w:rsidRPr="008B38A9" w14:paraId="5E6BAEA9" w14:textId="77777777" w:rsidTr="000C06CD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27C497" w14:textId="77777777" w:rsidR="004D6449" w:rsidRPr="000C06CD" w:rsidRDefault="004D6449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0C06CD">
              <w:rPr>
                <w:rFonts w:ascii="Calibri" w:eastAsia="Times New Roman" w:hAnsi="Calibri" w:cs="Calibri"/>
                <w:b/>
                <w:bCs/>
                <w:lang w:eastAsia="fr-FR"/>
              </w:rPr>
              <w:t>3.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ADC3FA" w14:textId="77777777" w:rsidR="004D6449" w:rsidRPr="000C06CD" w:rsidRDefault="004D6449" w:rsidP="00665C64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0C06CD">
              <w:rPr>
                <w:rFonts w:ascii="Calibri" w:eastAsia="Times New Roman" w:hAnsi="Calibri" w:cs="Calibri"/>
                <w:b/>
                <w:bCs/>
                <w:lang w:eastAsia="fr-FR"/>
              </w:rPr>
              <w:t>Chine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0F9B" w14:textId="7608D8EE" w:rsidR="004D6449" w:rsidRPr="000C06CD" w:rsidRDefault="004D6449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CD">
              <w:rPr>
                <w:rFonts w:ascii="Calibri" w:eastAsia="Times New Roman" w:hAnsi="Calibri" w:cs="Calibri"/>
                <w:color w:val="000000"/>
                <w:lang w:eastAsia="fr-FR"/>
              </w:rPr>
              <w:t>-6,</w:t>
            </w:r>
            <w:r w:rsidR="000C06CD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9996" w14:textId="7DDBD6C5" w:rsidR="004D6449" w:rsidRPr="008B38A9" w:rsidRDefault="004D6449" w:rsidP="00665C6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38A9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  <w:r w:rsidR="00CC14D7">
              <w:rPr>
                <w:rFonts w:ascii="Calibri" w:eastAsia="Times New Roman" w:hAnsi="Calibri" w:cs="Calibri"/>
                <w:color w:val="000000"/>
                <w:lang w:eastAsia="fr-FR"/>
              </w:rPr>
              <w:t>5,7</w:t>
            </w:r>
          </w:p>
        </w:tc>
      </w:tr>
    </w:tbl>
    <w:p w14:paraId="641878D0" w14:textId="77777777" w:rsidR="004D6449" w:rsidRPr="001B2089" w:rsidRDefault="004D6449" w:rsidP="004D6449">
      <w:pPr>
        <w:jc w:val="center"/>
        <w:rPr>
          <w:rFonts w:ascii="Segoe UI" w:hAnsi="Segoe UI" w:cs="Segoe UI"/>
          <w:b/>
          <w:szCs w:val="24"/>
        </w:rPr>
      </w:pPr>
    </w:p>
    <w:p w14:paraId="19DFB83A" w14:textId="663D5EFB" w:rsidR="004D6449" w:rsidRPr="000C06CD" w:rsidRDefault="000C06CD" w:rsidP="004D6449">
      <w:pPr>
        <w:jc w:val="center"/>
        <w:rPr>
          <w:rFonts w:ascii="Segoe UI" w:hAnsi="Segoe UI" w:cs="Segoe UI"/>
          <w:b/>
          <w:szCs w:val="24"/>
        </w:rPr>
      </w:pPr>
      <w:r w:rsidRPr="000C06CD">
        <w:rPr>
          <w:rFonts w:ascii="Calibri" w:eastAsia="Times New Roman" w:hAnsi="Calibri" w:cs="Calibri"/>
          <w:color w:val="000000"/>
          <w:lang w:eastAsia="fr-FR"/>
        </w:rPr>
        <w:t xml:space="preserve">Source : BNB </w:t>
      </w:r>
      <w:r w:rsidR="004D6449" w:rsidRPr="000C06CD">
        <w:rPr>
          <w:rFonts w:ascii="Calibri" w:eastAsia="Times New Roman" w:hAnsi="Calibri" w:cs="Calibri"/>
          <w:color w:val="000000"/>
          <w:lang w:eastAsia="fr-FR"/>
        </w:rPr>
        <w:t xml:space="preserve">; calculs : SE </w:t>
      </w:r>
    </w:p>
    <w:p w14:paraId="02CBC013" w14:textId="6011FCD2" w:rsidR="00FC4B2E" w:rsidRDefault="00FC4B2E">
      <w:pPr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br w:type="page"/>
      </w:r>
    </w:p>
    <w:p w14:paraId="4A008CF3" w14:textId="279E25AE" w:rsidR="00FC4B2E" w:rsidRPr="00ED4850" w:rsidRDefault="0068790F" w:rsidP="00FC4B2E">
      <w:pPr>
        <w:spacing w:line="240" w:lineRule="auto"/>
        <w:jc w:val="center"/>
        <w:rPr>
          <w:rStyle w:val="Rfrenceintense"/>
          <w:sz w:val="20"/>
          <w:szCs w:val="20"/>
        </w:rPr>
      </w:pPr>
      <w:r w:rsidRPr="00ED4850">
        <w:rPr>
          <w:rFonts w:ascii="Segoe UI" w:hAnsi="Segoe UI" w:cs="Segoe UI"/>
          <w:bCs/>
          <w:noProof/>
          <w:color w:val="000091" w:themeColor="text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5DD8538" wp14:editId="67167083">
                <wp:simplePos x="0" y="0"/>
                <wp:positionH relativeFrom="page">
                  <wp:posOffset>37543</wp:posOffset>
                </wp:positionH>
                <wp:positionV relativeFrom="paragraph">
                  <wp:posOffset>-447804</wp:posOffset>
                </wp:positionV>
                <wp:extent cx="7543800" cy="1067752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77525"/>
                        </a:xfrm>
                        <a:prstGeom prst="rect">
                          <a:avLst/>
                        </a:prstGeom>
                        <a:solidFill>
                          <a:srgbClr val="FEF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AE4E7F" w14:textId="77777777" w:rsidR="00C7794A" w:rsidRDefault="00C7794A" w:rsidP="00C77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D8538" id="Rectangle 8" o:spid="_x0000_s1030" style="position:absolute;left:0;text-align:left;margin-left:2.95pt;margin-top:-35.25pt;width:594pt;height:840.7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" fillcolor="#fef8e8" stroked="f" strokeweight="1pt">
                <v:textbox>
                  <w:txbxContent>
                    <w:p w14:paraId="67AE4E7F" w14:textId="77777777" w:rsidR="00C7794A" w:rsidRDefault="00C7794A" w:rsidP="00C7794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C4B2E" w:rsidRPr="00ED4850">
        <w:rPr>
          <w:rStyle w:val="Rfrenceintense"/>
          <w:sz w:val="20"/>
          <w:szCs w:val="20"/>
        </w:rPr>
        <w:t xml:space="preserve">ANNEXE </w:t>
      </w:r>
      <w:r w:rsidR="00ED4850" w:rsidRPr="00ED4850">
        <w:rPr>
          <w:rStyle w:val="Rfrenceintense"/>
          <w:sz w:val="20"/>
          <w:szCs w:val="20"/>
        </w:rPr>
        <w:t>7</w:t>
      </w:r>
      <w:r w:rsidR="00FC4B2E" w:rsidRPr="00ED4850">
        <w:rPr>
          <w:rStyle w:val="Rfrenceintense"/>
          <w:sz w:val="20"/>
          <w:szCs w:val="20"/>
        </w:rPr>
        <w:t> : Part des régions belges dans le commerce national en 202</w:t>
      </w:r>
      <w:r w:rsidR="00850E8D">
        <w:rPr>
          <w:rStyle w:val="Rfrenceintense"/>
          <w:sz w:val="20"/>
          <w:szCs w:val="20"/>
        </w:rPr>
        <w:t>4</w:t>
      </w:r>
      <w:r w:rsidR="00FC4B2E" w:rsidRPr="00ED4850">
        <w:rPr>
          <w:rStyle w:val="Rfrenceintense"/>
          <w:sz w:val="20"/>
          <w:szCs w:val="20"/>
        </w:rPr>
        <w:t xml:space="preserve"> - concept national</w:t>
      </w:r>
    </w:p>
    <w:tbl>
      <w:tblPr>
        <w:tblW w:w="9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320"/>
        <w:gridCol w:w="2320"/>
        <w:gridCol w:w="2500"/>
      </w:tblGrid>
      <w:tr w:rsidR="00FC4B2E" w:rsidRPr="008478FC" w14:paraId="06448898" w14:textId="77777777" w:rsidTr="002E7331">
        <w:trPr>
          <w:trHeight w:val="330"/>
          <w:jc w:val="center"/>
        </w:trPr>
        <w:tc>
          <w:tcPr>
            <w:tcW w:w="2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6F28A1D" w14:textId="77777777" w:rsidR="00FC4B2E" w:rsidRPr="008478FC" w:rsidRDefault="00FC4B2E" w:rsidP="00B746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8478FC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 </w:t>
            </w:r>
          </w:p>
        </w:tc>
        <w:tc>
          <w:tcPr>
            <w:tcW w:w="23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A9763F" w14:textId="77777777" w:rsidR="00FC4B2E" w:rsidRPr="002E7331" w:rsidRDefault="00FC4B2E" w:rsidP="00B746A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2E7331">
              <w:rPr>
                <w:rFonts w:ascii="Calibri" w:eastAsia="Times New Roman" w:hAnsi="Calibri" w:cs="Calibri"/>
                <w:b/>
                <w:bCs/>
                <w:lang w:eastAsia="fr-FR"/>
              </w:rPr>
              <w:t>Flandre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29FE17" w14:textId="77777777" w:rsidR="00FC4B2E" w:rsidRPr="002E7331" w:rsidRDefault="00FC4B2E" w:rsidP="00B746A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2E7331">
              <w:rPr>
                <w:rFonts w:ascii="Calibri" w:eastAsia="Times New Roman" w:hAnsi="Calibri" w:cs="Calibri"/>
                <w:b/>
                <w:bCs/>
                <w:lang w:eastAsia="fr-FR"/>
              </w:rPr>
              <w:t>Wallonie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05A2D5" w14:textId="77777777" w:rsidR="00FC4B2E" w:rsidRPr="002E7331" w:rsidRDefault="00FC4B2E" w:rsidP="00B746A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2E7331">
              <w:rPr>
                <w:rFonts w:ascii="Calibri" w:eastAsia="Times New Roman" w:hAnsi="Calibri" w:cs="Calibri"/>
                <w:b/>
                <w:bCs/>
                <w:lang w:eastAsia="fr-FR"/>
              </w:rPr>
              <w:t>Bruxelles-Capitale</w:t>
            </w:r>
          </w:p>
        </w:tc>
      </w:tr>
      <w:tr w:rsidR="00FC4B2E" w:rsidRPr="008478FC" w14:paraId="173D8E1B" w14:textId="77777777" w:rsidTr="002E7331">
        <w:trPr>
          <w:trHeight w:val="315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38E013" w14:textId="614A05C3" w:rsidR="00FC4B2E" w:rsidRPr="002E7331" w:rsidRDefault="00FC4B2E" w:rsidP="00B746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2E7331">
              <w:rPr>
                <w:rFonts w:ascii="Calibri" w:eastAsia="Times New Roman" w:hAnsi="Calibri" w:cs="Calibri"/>
                <w:b/>
                <w:bCs/>
                <w:lang w:eastAsia="fr-FR"/>
              </w:rPr>
              <w:t>Exportations (en Md€)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FCDD" w14:textId="3A6BB38C" w:rsidR="00FC4B2E" w:rsidRPr="008478FC" w:rsidRDefault="00FC4B2E" w:rsidP="00B746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 w:rsidR="003106EF">
              <w:rPr>
                <w:rFonts w:ascii="Calibri" w:eastAsia="Times New Roman" w:hAnsi="Calibri" w:cs="Calibri"/>
                <w:color w:val="000000"/>
                <w:lang w:eastAsia="fr-FR"/>
              </w:rPr>
              <w:t>78,3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7A76" w14:textId="0AF1C6B8" w:rsidR="00FC4B2E" w:rsidRPr="008478FC" w:rsidRDefault="00FC4B2E" w:rsidP="00B746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  <w:r w:rsidR="003106EF">
              <w:rPr>
                <w:rFonts w:ascii="Calibri" w:eastAsia="Times New Roman" w:hAnsi="Calibri" w:cs="Calibri"/>
                <w:color w:val="000000"/>
                <w:lang w:eastAsia="fr-FR"/>
              </w:rPr>
              <w:t>1,6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ABC1FB" w14:textId="4BD66A94" w:rsidR="00FC4B2E" w:rsidRPr="008478FC" w:rsidRDefault="0068790F" w:rsidP="00B746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8,9</w:t>
            </w:r>
          </w:p>
        </w:tc>
      </w:tr>
      <w:tr w:rsidR="00FC4B2E" w:rsidRPr="008478FC" w14:paraId="6497C0F3" w14:textId="77777777" w:rsidTr="002E733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816612" w14:textId="6FCBE793" w:rsidR="00FC4B2E" w:rsidRPr="002E7331" w:rsidRDefault="00FC4B2E" w:rsidP="00B746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2E7331">
              <w:rPr>
                <w:rFonts w:ascii="Calibri" w:eastAsia="Times New Roman" w:hAnsi="Calibri" w:cs="Calibri"/>
                <w:b/>
                <w:bCs/>
                <w:lang w:eastAsia="fr-FR"/>
              </w:rPr>
              <w:t>Importations (en Md€)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863A" w14:textId="1CD6CA35" w:rsidR="00FC4B2E" w:rsidRPr="008478FC" w:rsidRDefault="003106EF" w:rsidP="00B746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280,8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0FB3" w14:textId="6A120120" w:rsidR="00FC4B2E" w:rsidRPr="008478FC" w:rsidRDefault="00FC4B2E" w:rsidP="00B746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  <w:r w:rsidR="0068790F">
              <w:rPr>
                <w:rFonts w:ascii="Calibri" w:eastAsia="Times New Roman" w:hAnsi="Calibri" w:cs="Calibri"/>
                <w:color w:val="000000"/>
                <w:lang w:eastAsia="fr-FR"/>
              </w:rPr>
              <w:t>0,8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461B72" w14:textId="2AE28F7A" w:rsidR="00FC4B2E" w:rsidRPr="008478FC" w:rsidRDefault="0068790F" w:rsidP="00B746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17,6</w:t>
            </w:r>
          </w:p>
        </w:tc>
      </w:tr>
      <w:tr w:rsidR="00FC4B2E" w:rsidRPr="008478FC" w14:paraId="6D1E3BCF" w14:textId="77777777" w:rsidTr="002E7331">
        <w:trPr>
          <w:trHeight w:val="6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D210A2" w14:textId="7C7FD528" w:rsidR="00FC4B2E" w:rsidRPr="002E7331" w:rsidRDefault="00FC4B2E" w:rsidP="00B746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2E7331">
              <w:rPr>
                <w:rFonts w:ascii="Calibri" w:eastAsia="Times New Roman" w:hAnsi="Calibri" w:cs="Calibri"/>
                <w:b/>
                <w:bCs/>
                <w:lang w:eastAsia="fr-FR"/>
              </w:rPr>
              <w:t>Solde commercial régional (en Md€)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CEFA" w14:textId="780450F3" w:rsidR="00FC4B2E" w:rsidRPr="008478FC" w:rsidRDefault="00FC4B2E" w:rsidP="00B746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478FC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  <w:r w:rsidR="003106EF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,5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022C" w14:textId="770A0883" w:rsidR="00FC4B2E" w:rsidRPr="008478FC" w:rsidRDefault="00FC4B2E" w:rsidP="00B746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 w:rsidR="0068790F">
              <w:rPr>
                <w:rFonts w:ascii="Calibri" w:eastAsia="Times New Roman" w:hAnsi="Calibri" w:cs="Calibri"/>
                <w:color w:val="000000"/>
                <w:lang w:eastAsia="fr-FR"/>
              </w:rPr>
              <w:t>0,8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01120C" w14:textId="3173FF24" w:rsidR="00FC4B2E" w:rsidRPr="008478FC" w:rsidRDefault="00FC4B2E" w:rsidP="00B746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478FC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8,</w:t>
            </w:r>
            <w:r w:rsidR="0068790F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</w:tr>
      <w:tr w:rsidR="00FC4B2E" w:rsidRPr="008478FC" w14:paraId="1C94DAEC" w14:textId="77777777" w:rsidTr="002E7331">
        <w:trPr>
          <w:trHeight w:val="9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E97227" w14:textId="43EF23C9" w:rsidR="00FC4B2E" w:rsidRPr="002E7331" w:rsidRDefault="00FC4B2E" w:rsidP="00B746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2E7331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Volume total des échanges de biens </w:t>
            </w:r>
            <w:r w:rsidRPr="002E7331">
              <w:rPr>
                <w:rFonts w:ascii="Calibri" w:eastAsia="Times New Roman" w:hAnsi="Calibri" w:cs="Calibri"/>
                <w:b/>
                <w:bCs/>
                <w:lang w:eastAsia="fr-FR"/>
              </w:rPr>
              <w:br/>
              <w:t>(en Md€)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290C" w14:textId="3A8DB860" w:rsidR="00FC4B2E" w:rsidRPr="008478FC" w:rsidRDefault="003106EF" w:rsidP="00B746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559,1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73E6" w14:textId="3CB01254" w:rsidR="00FC4B2E" w:rsidRPr="008478FC" w:rsidRDefault="00FC4B2E" w:rsidP="00B746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  <w:r w:rsidR="0068790F">
              <w:rPr>
                <w:rFonts w:ascii="Calibri" w:eastAsia="Times New Roman" w:hAnsi="Calibri" w:cs="Calibri"/>
                <w:color w:val="000000"/>
                <w:lang w:eastAsia="fr-FR"/>
              </w:rPr>
              <w:t>2,4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E6FD6C" w14:textId="3E530243" w:rsidR="00FC4B2E" w:rsidRPr="008478FC" w:rsidRDefault="0068790F" w:rsidP="00B746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26,5</w:t>
            </w:r>
          </w:p>
        </w:tc>
      </w:tr>
      <w:tr w:rsidR="00FC4B2E" w:rsidRPr="008478FC" w14:paraId="2D814281" w14:textId="77777777" w:rsidTr="002E7331">
        <w:trPr>
          <w:trHeight w:val="915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9F5C8A" w14:textId="77777777" w:rsidR="00FC4B2E" w:rsidRPr="002E7331" w:rsidRDefault="00FC4B2E" w:rsidP="00B746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2E7331">
              <w:rPr>
                <w:rFonts w:ascii="Calibri" w:eastAsia="Times New Roman" w:hAnsi="Calibri" w:cs="Calibri"/>
                <w:b/>
                <w:bCs/>
                <w:lang w:eastAsia="fr-FR"/>
              </w:rPr>
              <w:t>Part dans le commerce de biens de la Belgique</w:t>
            </w:r>
            <w:r w:rsidRPr="002E7331">
              <w:rPr>
                <w:rFonts w:ascii="Calibri" w:eastAsia="Times New Roman" w:hAnsi="Calibri" w:cs="Calibri"/>
                <w:b/>
                <w:bCs/>
                <w:lang w:eastAsia="fr-FR"/>
              </w:rPr>
              <w:br/>
              <w:t>(en 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D494" w14:textId="5FD65060" w:rsidR="00FC4B2E" w:rsidRPr="008478FC" w:rsidRDefault="00FC4B2E" w:rsidP="00B746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81,</w:t>
            </w:r>
            <w:r w:rsidR="003106EF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FF51" w14:textId="4BE4E234" w:rsidR="00FC4B2E" w:rsidRPr="008478FC" w:rsidRDefault="00FC4B2E" w:rsidP="00B746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14,</w:t>
            </w:r>
            <w:r w:rsidR="0068790F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0FA030" w14:textId="0305BCA7" w:rsidR="00FC4B2E" w:rsidRPr="008478FC" w:rsidRDefault="0068790F" w:rsidP="00B746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3,9</w:t>
            </w:r>
          </w:p>
        </w:tc>
      </w:tr>
    </w:tbl>
    <w:p w14:paraId="1DA3E761" w14:textId="77777777" w:rsidR="0068790F" w:rsidRPr="000C06CD" w:rsidRDefault="0068790F" w:rsidP="0068790F">
      <w:pPr>
        <w:jc w:val="center"/>
        <w:rPr>
          <w:rFonts w:ascii="Segoe UI" w:hAnsi="Segoe UI" w:cs="Segoe UI"/>
          <w:b/>
          <w:szCs w:val="24"/>
        </w:rPr>
      </w:pPr>
      <w:r w:rsidRPr="000C06CD">
        <w:rPr>
          <w:rFonts w:ascii="Calibri" w:eastAsia="Times New Roman" w:hAnsi="Calibri" w:cs="Calibri"/>
          <w:color w:val="000000"/>
          <w:lang w:eastAsia="fr-FR"/>
        </w:rPr>
        <w:t xml:space="preserve">Source : BNB ; calculs : SE </w:t>
      </w:r>
    </w:p>
    <w:tbl>
      <w:tblPr>
        <w:tblpPr w:leftFromText="141" w:rightFromText="141" w:vertAnchor="page" w:horzAnchor="margin" w:tblpXSpec="right" w:tblpY="5971"/>
        <w:tblW w:w="85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2123"/>
        <w:gridCol w:w="2123"/>
        <w:gridCol w:w="2140"/>
      </w:tblGrid>
      <w:tr w:rsidR="00C7794A" w:rsidRPr="00E85572" w14:paraId="3C49148C" w14:textId="77777777" w:rsidTr="00C7794A">
        <w:trPr>
          <w:trHeight w:val="1024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6791C" w14:textId="77777777" w:rsidR="00C7794A" w:rsidRPr="00E85572" w:rsidRDefault="00C7794A" w:rsidP="00C7794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B0EDC1" w14:textId="77777777" w:rsidR="00C7794A" w:rsidRPr="00110D5F" w:rsidRDefault="00C7794A" w:rsidP="00C7794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110D5F">
              <w:rPr>
                <w:rFonts w:ascii="Calibri" w:eastAsia="Times New Roman" w:hAnsi="Calibri" w:cs="Calibri"/>
                <w:b/>
                <w:bCs/>
                <w:lang w:eastAsia="fr-FR"/>
              </w:rPr>
              <w:t>Montant en 202</w:t>
            </w: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2</w:t>
            </w:r>
            <w:r w:rsidRPr="00110D5F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</w:t>
            </w:r>
            <w:r w:rsidRPr="00110D5F">
              <w:rPr>
                <w:rFonts w:ascii="Calibri" w:eastAsia="Times New Roman" w:hAnsi="Calibri" w:cs="Calibri"/>
                <w:b/>
                <w:bCs/>
                <w:lang w:eastAsia="fr-FR"/>
              </w:rPr>
              <w:br/>
              <w:t>(en M</w:t>
            </w: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d</w:t>
            </w:r>
            <w:r w:rsidRPr="00110D5F">
              <w:rPr>
                <w:rFonts w:ascii="Calibri" w:eastAsia="Times New Roman" w:hAnsi="Calibri" w:cs="Calibri"/>
                <w:b/>
                <w:bCs/>
                <w:lang w:eastAsia="fr-FR"/>
              </w:rPr>
              <w:t>€)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9DE300" w14:textId="77777777" w:rsidR="00C7794A" w:rsidRPr="00110D5F" w:rsidRDefault="00C7794A" w:rsidP="00C7794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110D5F">
              <w:rPr>
                <w:rFonts w:ascii="Calibri" w:eastAsia="Times New Roman" w:hAnsi="Calibri" w:cs="Calibri"/>
                <w:b/>
                <w:bCs/>
                <w:lang w:eastAsia="fr-FR"/>
              </w:rPr>
              <w:t>Montant en 202</w:t>
            </w: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3</w:t>
            </w:r>
            <w:r w:rsidRPr="00110D5F">
              <w:rPr>
                <w:rFonts w:ascii="Calibri" w:eastAsia="Times New Roman" w:hAnsi="Calibri" w:cs="Calibri"/>
                <w:b/>
                <w:bCs/>
                <w:lang w:eastAsia="fr-FR"/>
              </w:rPr>
              <w:br/>
              <w:t>(en M</w:t>
            </w: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d</w:t>
            </w:r>
            <w:r w:rsidRPr="00110D5F">
              <w:rPr>
                <w:rFonts w:ascii="Calibri" w:eastAsia="Times New Roman" w:hAnsi="Calibri" w:cs="Calibri"/>
                <w:b/>
                <w:bCs/>
                <w:lang w:eastAsia="fr-FR"/>
              </w:rPr>
              <w:t>€)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1A4154" w14:textId="04FFEAD8" w:rsidR="00C7794A" w:rsidRPr="00110D5F" w:rsidRDefault="00C7794A" w:rsidP="00C7794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110D5F">
              <w:rPr>
                <w:rFonts w:ascii="Calibri" w:eastAsia="Times New Roman" w:hAnsi="Calibri" w:cs="Calibri"/>
                <w:b/>
                <w:bCs/>
                <w:lang w:eastAsia="fr-FR"/>
              </w:rPr>
              <w:t>Evolution 202</w:t>
            </w:r>
            <w:r w:rsidR="007B40FB">
              <w:rPr>
                <w:rFonts w:ascii="Calibri" w:eastAsia="Times New Roman" w:hAnsi="Calibri" w:cs="Calibri"/>
                <w:b/>
                <w:bCs/>
                <w:lang w:eastAsia="fr-FR"/>
              </w:rPr>
              <w:t>2</w:t>
            </w:r>
            <w:r w:rsidRPr="00110D5F">
              <w:rPr>
                <w:rFonts w:ascii="Calibri" w:eastAsia="Times New Roman" w:hAnsi="Calibri" w:cs="Calibri"/>
                <w:b/>
                <w:bCs/>
                <w:lang w:eastAsia="fr-FR"/>
              </w:rPr>
              <w:t>-202</w:t>
            </w:r>
            <w:r w:rsidR="007B40FB">
              <w:rPr>
                <w:rFonts w:ascii="Calibri" w:eastAsia="Times New Roman" w:hAnsi="Calibri" w:cs="Calibri"/>
                <w:b/>
                <w:bCs/>
                <w:lang w:eastAsia="fr-FR"/>
              </w:rPr>
              <w:t>3</w:t>
            </w:r>
            <w:r w:rsidRPr="00110D5F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</w:t>
            </w:r>
            <w:r w:rsidRPr="00110D5F">
              <w:rPr>
                <w:rFonts w:ascii="Calibri" w:eastAsia="Times New Roman" w:hAnsi="Calibri" w:cs="Calibri"/>
                <w:b/>
                <w:bCs/>
                <w:lang w:eastAsia="fr-FR"/>
              </w:rPr>
              <w:br/>
              <w:t>(en %)</w:t>
            </w:r>
          </w:p>
        </w:tc>
      </w:tr>
      <w:tr w:rsidR="00C7794A" w:rsidRPr="00E85572" w14:paraId="27FF3D45" w14:textId="77777777" w:rsidTr="00C7794A">
        <w:trPr>
          <w:trHeight w:val="34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A62150" w14:textId="77777777" w:rsidR="00C7794A" w:rsidRPr="00110D5F" w:rsidRDefault="00C7794A" w:rsidP="00C7794A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110D5F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Crédit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EDD4" w14:textId="77777777" w:rsidR="00C7794A" w:rsidRPr="00110D5F" w:rsidRDefault="00C7794A" w:rsidP="00C7794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132,3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A9D9" w14:textId="77777777" w:rsidR="00C7794A" w:rsidRPr="00110D5F" w:rsidRDefault="00C7794A" w:rsidP="00C7794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141,1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966B" w14:textId="77777777" w:rsidR="00C7794A" w:rsidRPr="00110D5F" w:rsidRDefault="00C7794A" w:rsidP="00C7794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110D5F">
              <w:rPr>
                <w:rFonts w:ascii="Calibri" w:eastAsia="Times New Roman" w:hAnsi="Calibri" w:cs="Calibri"/>
                <w:lang w:eastAsia="fr-FR"/>
              </w:rPr>
              <w:t>+</w:t>
            </w:r>
            <w:r>
              <w:rPr>
                <w:rFonts w:ascii="Calibri" w:eastAsia="Times New Roman" w:hAnsi="Calibri" w:cs="Calibri"/>
                <w:lang w:eastAsia="fr-FR"/>
              </w:rPr>
              <w:t>6,7</w:t>
            </w:r>
          </w:p>
        </w:tc>
      </w:tr>
      <w:tr w:rsidR="00C7794A" w:rsidRPr="00E85572" w14:paraId="1C9086C1" w14:textId="77777777" w:rsidTr="00C7794A">
        <w:trPr>
          <w:trHeight w:val="341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DE54F7" w14:textId="77777777" w:rsidR="00C7794A" w:rsidRPr="00110D5F" w:rsidRDefault="00C7794A" w:rsidP="00C7794A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110D5F">
              <w:rPr>
                <w:rFonts w:ascii="Calibri" w:eastAsia="Times New Roman" w:hAnsi="Calibri" w:cs="Calibri"/>
                <w:b/>
                <w:bCs/>
                <w:lang w:eastAsia="fr-FR"/>
              </w:rPr>
              <w:t>Débit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337D" w14:textId="77777777" w:rsidR="00C7794A" w:rsidRPr="00E85572" w:rsidRDefault="00C7794A" w:rsidP="00C7794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5572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39,2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1F3F" w14:textId="77777777" w:rsidR="00C7794A" w:rsidRPr="00E85572" w:rsidRDefault="00C7794A" w:rsidP="00C7794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147,5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8FC0" w14:textId="77777777" w:rsidR="00C7794A" w:rsidRPr="00E85572" w:rsidRDefault="00C7794A" w:rsidP="00C7794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5572">
              <w:rPr>
                <w:rFonts w:ascii="Calibri" w:eastAsia="Times New Roman" w:hAnsi="Calibri" w:cs="Calibri"/>
                <w:color w:val="000000"/>
                <w:lang w:eastAsia="fr-FR"/>
              </w:rPr>
              <w:t>+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6,0</w:t>
            </w:r>
          </w:p>
        </w:tc>
      </w:tr>
      <w:tr w:rsidR="00C7794A" w:rsidRPr="00E85572" w14:paraId="33A5AD79" w14:textId="77777777" w:rsidTr="00C7794A">
        <w:trPr>
          <w:trHeight w:val="341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8E50F5" w14:textId="77777777" w:rsidR="00C7794A" w:rsidRPr="00110D5F" w:rsidRDefault="00C7794A" w:rsidP="00C7794A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110D5F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Solde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C5B5" w14:textId="77777777" w:rsidR="00C7794A" w:rsidRPr="00E85572" w:rsidRDefault="00C7794A" w:rsidP="00C7794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-6,9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9097" w14:textId="77777777" w:rsidR="00C7794A" w:rsidRPr="00E85572" w:rsidRDefault="00C7794A" w:rsidP="00C7794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- 6,4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B08B" w14:textId="77777777" w:rsidR="00C7794A" w:rsidRPr="00E85572" w:rsidRDefault="00C7794A" w:rsidP="00C7794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+7,3</w:t>
            </w:r>
          </w:p>
        </w:tc>
      </w:tr>
      <w:tr w:rsidR="00C7794A" w:rsidRPr="00E85572" w14:paraId="5164C77C" w14:textId="77777777" w:rsidTr="00C7794A">
        <w:trPr>
          <w:trHeight w:val="682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FCC0CA" w14:textId="77777777" w:rsidR="00C7794A" w:rsidRPr="00110D5F" w:rsidRDefault="00C7794A" w:rsidP="00C7794A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110D5F">
              <w:rPr>
                <w:rFonts w:ascii="Calibri" w:eastAsia="Times New Roman" w:hAnsi="Calibri" w:cs="Calibri"/>
                <w:b/>
                <w:bCs/>
                <w:lang w:eastAsia="fr-FR"/>
              </w:rPr>
              <w:t>Volume total des échanges de services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EA4F" w14:textId="77777777" w:rsidR="00C7794A" w:rsidRPr="00E85572" w:rsidRDefault="00C7794A" w:rsidP="00C7794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271,5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CC50" w14:textId="77777777" w:rsidR="00C7794A" w:rsidRPr="00E85572" w:rsidRDefault="00C7794A" w:rsidP="00C7794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5572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88,9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FD65" w14:textId="77777777" w:rsidR="00C7794A" w:rsidRPr="00E85572" w:rsidRDefault="00C7794A" w:rsidP="00C7794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5572">
              <w:rPr>
                <w:rFonts w:ascii="Calibri" w:eastAsia="Times New Roman" w:hAnsi="Calibri" w:cs="Calibri"/>
                <w:color w:val="000000"/>
                <w:lang w:eastAsia="fr-FR"/>
              </w:rPr>
              <w:t>+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6,4</w:t>
            </w:r>
          </w:p>
        </w:tc>
      </w:tr>
    </w:tbl>
    <w:p w14:paraId="1C50021E" w14:textId="06122791" w:rsidR="00C7794A" w:rsidRPr="008407B1" w:rsidRDefault="00C7794A" w:rsidP="00C7794A">
      <w:pPr>
        <w:spacing w:line="240" w:lineRule="auto"/>
        <w:jc w:val="center"/>
        <w:rPr>
          <w:rStyle w:val="Rfrenceintense"/>
          <w:sz w:val="20"/>
          <w:szCs w:val="20"/>
        </w:rPr>
      </w:pPr>
      <w:r w:rsidRPr="008407B1">
        <w:rPr>
          <w:rStyle w:val="Rfrenceintense"/>
          <w:sz w:val="20"/>
          <w:szCs w:val="20"/>
        </w:rPr>
        <w:t xml:space="preserve">ANNEXE </w:t>
      </w:r>
      <w:r w:rsidR="00ED4850">
        <w:rPr>
          <w:rStyle w:val="Rfrenceintense"/>
          <w:sz w:val="20"/>
          <w:szCs w:val="20"/>
        </w:rPr>
        <w:t>8</w:t>
      </w:r>
      <w:r w:rsidRPr="008407B1">
        <w:rPr>
          <w:rStyle w:val="Rfrenceintense"/>
          <w:sz w:val="20"/>
          <w:szCs w:val="20"/>
        </w:rPr>
        <w:t> : Evolution des échanges de services de la Belgique entre 2022 et 2023</w:t>
      </w:r>
    </w:p>
    <w:p w14:paraId="3B046392" w14:textId="7F1C0FC2" w:rsidR="00C7794A" w:rsidRDefault="00C7794A" w:rsidP="00C7794A">
      <w:pPr>
        <w:rPr>
          <w:rFonts w:ascii="Segoe UI" w:hAnsi="Segoe UI" w:cs="Segoe UI"/>
          <w:bCs/>
          <w:sz w:val="20"/>
        </w:rPr>
      </w:pPr>
    </w:p>
    <w:p w14:paraId="7295866D" w14:textId="6D52F4A9" w:rsidR="00C7794A" w:rsidRDefault="00C7794A" w:rsidP="00C7794A">
      <w:pPr>
        <w:rPr>
          <w:rFonts w:ascii="Segoe UI" w:hAnsi="Segoe UI" w:cs="Segoe UI"/>
          <w:bCs/>
          <w:sz w:val="20"/>
        </w:rPr>
      </w:pPr>
    </w:p>
    <w:p w14:paraId="2280FB58" w14:textId="493733DD" w:rsidR="00C7794A" w:rsidRDefault="00C7794A" w:rsidP="00C7794A">
      <w:pPr>
        <w:rPr>
          <w:rFonts w:ascii="Segoe UI" w:hAnsi="Segoe UI" w:cs="Segoe UI"/>
          <w:bCs/>
          <w:sz w:val="20"/>
        </w:rPr>
      </w:pPr>
    </w:p>
    <w:p w14:paraId="65CD7768" w14:textId="166AAD9F" w:rsidR="00C7794A" w:rsidRDefault="00C7794A" w:rsidP="00C7794A">
      <w:pPr>
        <w:rPr>
          <w:rFonts w:ascii="Segoe UI" w:hAnsi="Segoe UI" w:cs="Segoe UI"/>
          <w:bCs/>
          <w:sz w:val="20"/>
        </w:rPr>
      </w:pPr>
    </w:p>
    <w:p w14:paraId="15936243" w14:textId="522D7257" w:rsidR="00C7794A" w:rsidRDefault="00C7794A" w:rsidP="00C7794A">
      <w:pPr>
        <w:rPr>
          <w:rFonts w:ascii="Segoe UI" w:hAnsi="Segoe UI" w:cs="Segoe UI"/>
          <w:bCs/>
          <w:sz w:val="20"/>
        </w:rPr>
      </w:pPr>
    </w:p>
    <w:p w14:paraId="348850D1" w14:textId="6C913A44" w:rsidR="00C7794A" w:rsidRDefault="00C7794A" w:rsidP="00C7794A">
      <w:pPr>
        <w:rPr>
          <w:rFonts w:ascii="Segoe UI" w:hAnsi="Segoe UI" w:cs="Segoe UI"/>
          <w:bCs/>
          <w:sz w:val="20"/>
        </w:rPr>
      </w:pPr>
    </w:p>
    <w:p w14:paraId="1A752277" w14:textId="77777777" w:rsidR="00C7794A" w:rsidRDefault="00C7794A" w:rsidP="00C7794A">
      <w:pPr>
        <w:rPr>
          <w:rFonts w:ascii="Segoe UI" w:hAnsi="Segoe UI" w:cs="Segoe UI"/>
          <w:bCs/>
          <w:sz w:val="20"/>
        </w:rPr>
      </w:pPr>
    </w:p>
    <w:p w14:paraId="326CAA50" w14:textId="77777777" w:rsidR="00C7794A" w:rsidRDefault="00C7794A" w:rsidP="00C7794A">
      <w:pPr>
        <w:pStyle w:val="Textecourant"/>
        <w:jc w:val="center"/>
      </w:pPr>
      <w:r>
        <w:t>Source : BNB ; Tableau : SE</w:t>
      </w:r>
    </w:p>
    <w:p w14:paraId="2D1CEEC3" w14:textId="77777777" w:rsidR="004D6449" w:rsidRPr="004D6449" w:rsidRDefault="004D6449" w:rsidP="009854A7">
      <w:pPr>
        <w:jc w:val="center"/>
        <w:rPr>
          <w:rFonts w:ascii="Segoe UI" w:hAnsi="Segoe UI" w:cs="Segoe UI"/>
          <w:bCs/>
          <w:sz w:val="20"/>
          <w:szCs w:val="20"/>
        </w:rPr>
      </w:pPr>
    </w:p>
    <w:sectPr w:rsidR="004D6449" w:rsidRPr="004D6449" w:rsidSect="00415F39">
      <w:endnotePr>
        <w:numFmt w:val="decimal"/>
      </w:endnotePr>
      <w:pgSz w:w="11906" w:h="16838"/>
      <w:pgMar w:top="709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1429E" w14:textId="77777777" w:rsidR="00BC5377" w:rsidRDefault="00BC5377" w:rsidP="001C2361">
      <w:pPr>
        <w:spacing w:after="0" w:line="240" w:lineRule="auto"/>
      </w:pPr>
      <w:r>
        <w:separator/>
      </w:r>
    </w:p>
  </w:endnote>
  <w:endnote w:type="continuationSeparator" w:id="0">
    <w:p w14:paraId="497BDD3C" w14:textId="77777777" w:rsidR="00BC5377" w:rsidRDefault="00BC5377" w:rsidP="001C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anne Medium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pectral Medium">
    <w:panose1 w:val="02020602060000000000"/>
    <w:charset w:val="00"/>
    <w:family w:val="roman"/>
    <w:pitch w:val="variable"/>
    <w:sig w:usb0="E000027F" w:usb1="4000E43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616FE" w14:textId="77777777" w:rsidR="00BC5377" w:rsidRDefault="00BC5377" w:rsidP="001C2361">
      <w:pPr>
        <w:spacing w:after="0" w:line="240" w:lineRule="auto"/>
      </w:pPr>
      <w:r>
        <w:separator/>
      </w:r>
    </w:p>
  </w:footnote>
  <w:footnote w:type="continuationSeparator" w:id="0">
    <w:p w14:paraId="77870C96" w14:textId="77777777" w:rsidR="00BC5377" w:rsidRDefault="00BC5377" w:rsidP="001C2361">
      <w:pPr>
        <w:spacing w:after="0" w:line="240" w:lineRule="auto"/>
      </w:pPr>
      <w:r>
        <w:continuationSeparator/>
      </w:r>
    </w:p>
  </w:footnote>
  <w:footnote w:id="1">
    <w:p w14:paraId="02285A4C" w14:textId="77777777" w:rsidR="0012234B" w:rsidRPr="00D86746" w:rsidRDefault="0012234B" w:rsidP="0012234B">
      <w:pPr>
        <w:pStyle w:val="Notedebasdepage"/>
        <w:ind w:left="-425" w:right="-283" w:hanging="142"/>
        <w:jc w:val="both"/>
        <w:rPr>
          <w:rFonts w:cstheme="minorHAnsi"/>
          <w:sz w:val="18"/>
          <w:szCs w:val="18"/>
        </w:rPr>
      </w:pPr>
      <w:r w:rsidRPr="00D86746">
        <w:rPr>
          <w:rStyle w:val="Appelnotedebasdep"/>
          <w:rFonts w:cstheme="minorHAnsi"/>
          <w:sz w:val="18"/>
          <w:szCs w:val="18"/>
        </w:rPr>
        <w:footnoteRef/>
      </w:r>
      <w:r>
        <w:rPr>
          <w:rFonts w:cstheme="minorHAnsi"/>
          <w:sz w:val="18"/>
          <w:szCs w:val="18"/>
        </w:rPr>
        <w:tab/>
        <w:t xml:space="preserve">Qui sont induits par la position </w:t>
      </w:r>
      <w:r w:rsidRPr="00D86746">
        <w:rPr>
          <w:rFonts w:cstheme="minorHAnsi"/>
          <w:sz w:val="18"/>
          <w:szCs w:val="18"/>
        </w:rPr>
        <w:t xml:space="preserve">géographique de la </w:t>
      </w:r>
      <w:r>
        <w:rPr>
          <w:rFonts w:cstheme="minorHAnsi"/>
          <w:sz w:val="18"/>
          <w:szCs w:val="18"/>
        </w:rPr>
        <w:t>Belgique, au cœur de la dorsale européenne, et à se</w:t>
      </w:r>
      <w:r w:rsidRPr="00D86746">
        <w:rPr>
          <w:rFonts w:cstheme="minorHAnsi"/>
          <w:sz w:val="18"/>
          <w:szCs w:val="18"/>
        </w:rPr>
        <w:t>s infrastructures portuaires</w:t>
      </w:r>
      <w:r>
        <w:rPr>
          <w:rFonts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4FB"/>
    <w:multiLevelType w:val="hybridMultilevel"/>
    <w:tmpl w:val="0F965B52"/>
    <w:lvl w:ilvl="0" w:tplc="77D0C440">
      <w:start w:val="1"/>
      <w:numFmt w:val="bullet"/>
      <w:pStyle w:val="listeN-1"/>
      <w:lvlText w:val=""/>
      <w:lvlJc w:val="left"/>
      <w:pPr>
        <w:ind w:left="1571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4541F58">
      <w:start w:val="1"/>
      <w:numFmt w:val="bullet"/>
      <w:pStyle w:val="ListeN-2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334A86"/>
    <w:multiLevelType w:val="hybridMultilevel"/>
    <w:tmpl w:val="80A24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75830"/>
    <w:multiLevelType w:val="hybridMultilevel"/>
    <w:tmpl w:val="D8D61E7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77533D"/>
    <w:multiLevelType w:val="hybridMultilevel"/>
    <w:tmpl w:val="059EEE3A"/>
    <w:lvl w:ilvl="0" w:tplc="7FA6A712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505A"/>
    <w:multiLevelType w:val="hybridMultilevel"/>
    <w:tmpl w:val="036818EE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A04DBC"/>
    <w:multiLevelType w:val="hybridMultilevel"/>
    <w:tmpl w:val="9DE2858C"/>
    <w:lvl w:ilvl="0" w:tplc="E66EC32E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77AEF"/>
    <w:multiLevelType w:val="hybridMultilevel"/>
    <w:tmpl w:val="9A20665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E306C0C"/>
    <w:multiLevelType w:val="hybridMultilevel"/>
    <w:tmpl w:val="9E967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54ADB"/>
    <w:multiLevelType w:val="hybridMultilevel"/>
    <w:tmpl w:val="E65CF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537E7"/>
    <w:multiLevelType w:val="multilevel"/>
    <w:tmpl w:val="A08E1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5FE52771"/>
    <w:multiLevelType w:val="hybridMultilevel"/>
    <w:tmpl w:val="9A10C69E"/>
    <w:lvl w:ilvl="0" w:tplc="38A6962C">
      <w:numFmt w:val="bullet"/>
      <w:pStyle w:val="accentuation01"/>
      <w:lvlText w:val=""/>
      <w:lvlJc w:val="left"/>
      <w:pPr>
        <w:ind w:left="720" w:hanging="360"/>
      </w:pPr>
      <w:rPr>
        <w:rFonts w:ascii="Symbol" w:eastAsiaTheme="minorHAnsi" w:hAnsi="Symbol" w:cs="Segoe UI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43AA4"/>
    <w:multiLevelType w:val="hybridMultilevel"/>
    <w:tmpl w:val="6BDC36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F64D1"/>
    <w:multiLevelType w:val="hybridMultilevel"/>
    <w:tmpl w:val="B052B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9220F"/>
    <w:multiLevelType w:val="hybridMultilevel"/>
    <w:tmpl w:val="72325826"/>
    <w:lvl w:ilvl="0" w:tplc="0E006CD4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AC224F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79A203BA"/>
    <w:multiLevelType w:val="hybridMultilevel"/>
    <w:tmpl w:val="6DF6EE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4"/>
  </w:num>
  <w:num w:numId="6">
    <w:abstractNumId w:val="12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0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B6"/>
    <w:rsid w:val="000064C1"/>
    <w:rsid w:val="00006D9E"/>
    <w:rsid w:val="00006E50"/>
    <w:rsid w:val="00010442"/>
    <w:rsid w:val="00020EE2"/>
    <w:rsid w:val="00022880"/>
    <w:rsid w:val="00022F44"/>
    <w:rsid w:val="00031533"/>
    <w:rsid w:val="00043A8B"/>
    <w:rsid w:val="00043B48"/>
    <w:rsid w:val="00045CF8"/>
    <w:rsid w:val="00050225"/>
    <w:rsid w:val="000534EC"/>
    <w:rsid w:val="00064115"/>
    <w:rsid w:val="000676F2"/>
    <w:rsid w:val="00071F97"/>
    <w:rsid w:val="000763B3"/>
    <w:rsid w:val="00080037"/>
    <w:rsid w:val="00097777"/>
    <w:rsid w:val="000A1918"/>
    <w:rsid w:val="000C06CD"/>
    <w:rsid w:val="000C7B76"/>
    <w:rsid w:val="000E1E2F"/>
    <w:rsid w:val="000E7793"/>
    <w:rsid w:val="000F2C4E"/>
    <w:rsid w:val="00100569"/>
    <w:rsid w:val="00100C95"/>
    <w:rsid w:val="001105E1"/>
    <w:rsid w:val="001109EF"/>
    <w:rsid w:val="00110D5F"/>
    <w:rsid w:val="00111C32"/>
    <w:rsid w:val="00112CFC"/>
    <w:rsid w:val="0012234B"/>
    <w:rsid w:val="001230C7"/>
    <w:rsid w:val="001239A4"/>
    <w:rsid w:val="0012430D"/>
    <w:rsid w:val="00127631"/>
    <w:rsid w:val="00134DE8"/>
    <w:rsid w:val="001360A8"/>
    <w:rsid w:val="00147754"/>
    <w:rsid w:val="001505C0"/>
    <w:rsid w:val="00152C27"/>
    <w:rsid w:val="0015525B"/>
    <w:rsid w:val="00175E92"/>
    <w:rsid w:val="00184135"/>
    <w:rsid w:val="0019173B"/>
    <w:rsid w:val="0019280B"/>
    <w:rsid w:val="001A1A43"/>
    <w:rsid w:val="001A1CD5"/>
    <w:rsid w:val="001A1E89"/>
    <w:rsid w:val="001A5A37"/>
    <w:rsid w:val="001B1CF0"/>
    <w:rsid w:val="001C100F"/>
    <w:rsid w:val="001C2361"/>
    <w:rsid w:val="001E0A91"/>
    <w:rsid w:val="001E4D67"/>
    <w:rsid w:val="001F235A"/>
    <w:rsid w:val="001F2D7C"/>
    <w:rsid w:val="0020491B"/>
    <w:rsid w:val="00223554"/>
    <w:rsid w:val="00225798"/>
    <w:rsid w:val="00246C65"/>
    <w:rsid w:val="00250F27"/>
    <w:rsid w:val="002550BB"/>
    <w:rsid w:val="00255F30"/>
    <w:rsid w:val="002565F9"/>
    <w:rsid w:val="00257E48"/>
    <w:rsid w:val="002762C9"/>
    <w:rsid w:val="00281BCD"/>
    <w:rsid w:val="002D13A2"/>
    <w:rsid w:val="002D4AD6"/>
    <w:rsid w:val="002D4C04"/>
    <w:rsid w:val="002E6890"/>
    <w:rsid w:val="002E7331"/>
    <w:rsid w:val="002E7383"/>
    <w:rsid w:val="002F210F"/>
    <w:rsid w:val="0030017B"/>
    <w:rsid w:val="00301021"/>
    <w:rsid w:val="0030148A"/>
    <w:rsid w:val="00303C38"/>
    <w:rsid w:val="003106EF"/>
    <w:rsid w:val="00315CA0"/>
    <w:rsid w:val="00317870"/>
    <w:rsid w:val="00323A4A"/>
    <w:rsid w:val="003257BD"/>
    <w:rsid w:val="0033036F"/>
    <w:rsid w:val="00330428"/>
    <w:rsid w:val="00332310"/>
    <w:rsid w:val="003339CE"/>
    <w:rsid w:val="003407BF"/>
    <w:rsid w:val="00341E94"/>
    <w:rsid w:val="00341EC1"/>
    <w:rsid w:val="00344131"/>
    <w:rsid w:val="00347F9E"/>
    <w:rsid w:val="003500A2"/>
    <w:rsid w:val="00351E1C"/>
    <w:rsid w:val="0035661C"/>
    <w:rsid w:val="00356708"/>
    <w:rsid w:val="00360B53"/>
    <w:rsid w:val="00377143"/>
    <w:rsid w:val="00377431"/>
    <w:rsid w:val="003847EC"/>
    <w:rsid w:val="003A1D94"/>
    <w:rsid w:val="003A7EB8"/>
    <w:rsid w:val="003B089A"/>
    <w:rsid w:val="003B1A22"/>
    <w:rsid w:val="003B33D3"/>
    <w:rsid w:val="003D2AD3"/>
    <w:rsid w:val="003D5550"/>
    <w:rsid w:val="003D6537"/>
    <w:rsid w:val="0040330E"/>
    <w:rsid w:val="00406D60"/>
    <w:rsid w:val="00415F39"/>
    <w:rsid w:val="004311AF"/>
    <w:rsid w:val="004372C1"/>
    <w:rsid w:val="00450D73"/>
    <w:rsid w:val="00452AC4"/>
    <w:rsid w:val="00452C51"/>
    <w:rsid w:val="00457B18"/>
    <w:rsid w:val="00463378"/>
    <w:rsid w:val="00463A18"/>
    <w:rsid w:val="004716CD"/>
    <w:rsid w:val="00471702"/>
    <w:rsid w:val="00472C6F"/>
    <w:rsid w:val="004908E5"/>
    <w:rsid w:val="00490B3C"/>
    <w:rsid w:val="00496D10"/>
    <w:rsid w:val="004A28DB"/>
    <w:rsid w:val="004C3273"/>
    <w:rsid w:val="004D444C"/>
    <w:rsid w:val="004D6449"/>
    <w:rsid w:val="004D7C76"/>
    <w:rsid w:val="004D7F11"/>
    <w:rsid w:val="004E6C1A"/>
    <w:rsid w:val="004E6DB3"/>
    <w:rsid w:val="004E7972"/>
    <w:rsid w:val="004F1398"/>
    <w:rsid w:val="004F211B"/>
    <w:rsid w:val="005077FB"/>
    <w:rsid w:val="00532102"/>
    <w:rsid w:val="00532CDF"/>
    <w:rsid w:val="00532CE3"/>
    <w:rsid w:val="00533C10"/>
    <w:rsid w:val="00541AB4"/>
    <w:rsid w:val="00543CA9"/>
    <w:rsid w:val="00545FE6"/>
    <w:rsid w:val="00551D6A"/>
    <w:rsid w:val="00557E89"/>
    <w:rsid w:val="00561CC4"/>
    <w:rsid w:val="00570D3F"/>
    <w:rsid w:val="00571C27"/>
    <w:rsid w:val="00575F99"/>
    <w:rsid w:val="00576848"/>
    <w:rsid w:val="005769BE"/>
    <w:rsid w:val="005806A2"/>
    <w:rsid w:val="00584799"/>
    <w:rsid w:val="0058688F"/>
    <w:rsid w:val="00590894"/>
    <w:rsid w:val="00591EEF"/>
    <w:rsid w:val="0059242E"/>
    <w:rsid w:val="00595003"/>
    <w:rsid w:val="005A1ECF"/>
    <w:rsid w:val="005A2042"/>
    <w:rsid w:val="005A5D69"/>
    <w:rsid w:val="005B28D9"/>
    <w:rsid w:val="005B3D40"/>
    <w:rsid w:val="005E6FED"/>
    <w:rsid w:val="005F3966"/>
    <w:rsid w:val="005F6235"/>
    <w:rsid w:val="00610942"/>
    <w:rsid w:val="00616EE2"/>
    <w:rsid w:val="00627753"/>
    <w:rsid w:val="00631056"/>
    <w:rsid w:val="00632439"/>
    <w:rsid w:val="00632692"/>
    <w:rsid w:val="00641868"/>
    <w:rsid w:val="006477A2"/>
    <w:rsid w:val="006600F3"/>
    <w:rsid w:val="0068790F"/>
    <w:rsid w:val="006A0293"/>
    <w:rsid w:val="006A3795"/>
    <w:rsid w:val="006B4AE0"/>
    <w:rsid w:val="006B5511"/>
    <w:rsid w:val="006D209E"/>
    <w:rsid w:val="006D4D83"/>
    <w:rsid w:val="006E3BFE"/>
    <w:rsid w:val="006E40BB"/>
    <w:rsid w:val="006E6805"/>
    <w:rsid w:val="006E6FA7"/>
    <w:rsid w:val="006F4CCE"/>
    <w:rsid w:val="006F6043"/>
    <w:rsid w:val="00700A9F"/>
    <w:rsid w:val="00706D2B"/>
    <w:rsid w:val="00713D95"/>
    <w:rsid w:val="007209E2"/>
    <w:rsid w:val="007241D4"/>
    <w:rsid w:val="00727D83"/>
    <w:rsid w:val="0073377D"/>
    <w:rsid w:val="00733899"/>
    <w:rsid w:val="00733B08"/>
    <w:rsid w:val="00733CCE"/>
    <w:rsid w:val="00743DD2"/>
    <w:rsid w:val="00745853"/>
    <w:rsid w:val="00754E7E"/>
    <w:rsid w:val="00756A18"/>
    <w:rsid w:val="00757F66"/>
    <w:rsid w:val="007727CD"/>
    <w:rsid w:val="0077520D"/>
    <w:rsid w:val="00776C9A"/>
    <w:rsid w:val="00777884"/>
    <w:rsid w:val="00780E6D"/>
    <w:rsid w:val="00781BFC"/>
    <w:rsid w:val="0078229D"/>
    <w:rsid w:val="007855F6"/>
    <w:rsid w:val="00786241"/>
    <w:rsid w:val="00787921"/>
    <w:rsid w:val="00791423"/>
    <w:rsid w:val="007939AE"/>
    <w:rsid w:val="007952D4"/>
    <w:rsid w:val="00797604"/>
    <w:rsid w:val="007A352F"/>
    <w:rsid w:val="007B0159"/>
    <w:rsid w:val="007B40FB"/>
    <w:rsid w:val="007B4BC5"/>
    <w:rsid w:val="007B74A6"/>
    <w:rsid w:val="007C3111"/>
    <w:rsid w:val="007E456F"/>
    <w:rsid w:val="007E4E06"/>
    <w:rsid w:val="007E6D56"/>
    <w:rsid w:val="007F4001"/>
    <w:rsid w:val="007F55EB"/>
    <w:rsid w:val="007F6278"/>
    <w:rsid w:val="007F632E"/>
    <w:rsid w:val="008029D3"/>
    <w:rsid w:val="00816CD2"/>
    <w:rsid w:val="008407B1"/>
    <w:rsid w:val="00847CE8"/>
    <w:rsid w:val="00850E8D"/>
    <w:rsid w:val="008535E7"/>
    <w:rsid w:val="0085397E"/>
    <w:rsid w:val="00872358"/>
    <w:rsid w:val="00881744"/>
    <w:rsid w:val="0088232B"/>
    <w:rsid w:val="00890E59"/>
    <w:rsid w:val="008918AF"/>
    <w:rsid w:val="008924BF"/>
    <w:rsid w:val="008A299F"/>
    <w:rsid w:val="008A3AD5"/>
    <w:rsid w:val="008B4323"/>
    <w:rsid w:val="008B697B"/>
    <w:rsid w:val="008E048F"/>
    <w:rsid w:val="008E1707"/>
    <w:rsid w:val="008E3942"/>
    <w:rsid w:val="008F7A1E"/>
    <w:rsid w:val="00920915"/>
    <w:rsid w:val="009210BC"/>
    <w:rsid w:val="009226E3"/>
    <w:rsid w:val="009233E1"/>
    <w:rsid w:val="00924ECB"/>
    <w:rsid w:val="0092634F"/>
    <w:rsid w:val="00932313"/>
    <w:rsid w:val="00952A36"/>
    <w:rsid w:val="00957E6E"/>
    <w:rsid w:val="00965841"/>
    <w:rsid w:val="0096625D"/>
    <w:rsid w:val="00971B84"/>
    <w:rsid w:val="009770F2"/>
    <w:rsid w:val="00977518"/>
    <w:rsid w:val="00981726"/>
    <w:rsid w:val="00985384"/>
    <w:rsid w:val="009854A7"/>
    <w:rsid w:val="00985A53"/>
    <w:rsid w:val="009A5CB7"/>
    <w:rsid w:val="009B7F35"/>
    <w:rsid w:val="009D324D"/>
    <w:rsid w:val="009D65B6"/>
    <w:rsid w:val="009F118B"/>
    <w:rsid w:val="00A0197D"/>
    <w:rsid w:val="00A052B9"/>
    <w:rsid w:val="00A073CB"/>
    <w:rsid w:val="00A0743B"/>
    <w:rsid w:val="00A164E0"/>
    <w:rsid w:val="00A16E6F"/>
    <w:rsid w:val="00A2007D"/>
    <w:rsid w:val="00A233D7"/>
    <w:rsid w:val="00A236F3"/>
    <w:rsid w:val="00A27EA0"/>
    <w:rsid w:val="00A35142"/>
    <w:rsid w:val="00A413F3"/>
    <w:rsid w:val="00A5075D"/>
    <w:rsid w:val="00A64AC3"/>
    <w:rsid w:val="00A917D5"/>
    <w:rsid w:val="00A92617"/>
    <w:rsid w:val="00AA020A"/>
    <w:rsid w:val="00AA5DA2"/>
    <w:rsid w:val="00AA684E"/>
    <w:rsid w:val="00AB3252"/>
    <w:rsid w:val="00AB48A8"/>
    <w:rsid w:val="00AC03E1"/>
    <w:rsid w:val="00AC17E1"/>
    <w:rsid w:val="00AE00C8"/>
    <w:rsid w:val="00AF4BD6"/>
    <w:rsid w:val="00AF51EA"/>
    <w:rsid w:val="00B02AE3"/>
    <w:rsid w:val="00B1593A"/>
    <w:rsid w:val="00B16C2B"/>
    <w:rsid w:val="00B30489"/>
    <w:rsid w:val="00B343C4"/>
    <w:rsid w:val="00B454D0"/>
    <w:rsid w:val="00B61C6D"/>
    <w:rsid w:val="00B6555F"/>
    <w:rsid w:val="00B673ED"/>
    <w:rsid w:val="00B72B9F"/>
    <w:rsid w:val="00B94380"/>
    <w:rsid w:val="00B95CDB"/>
    <w:rsid w:val="00B974B9"/>
    <w:rsid w:val="00B97696"/>
    <w:rsid w:val="00BA19BA"/>
    <w:rsid w:val="00BA5EF8"/>
    <w:rsid w:val="00BA7283"/>
    <w:rsid w:val="00BB069D"/>
    <w:rsid w:val="00BB12C7"/>
    <w:rsid w:val="00BC2658"/>
    <w:rsid w:val="00BC5377"/>
    <w:rsid w:val="00BC53C9"/>
    <w:rsid w:val="00BC5532"/>
    <w:rsid w:val="00BD021A"/>
    <w:rsid w:val="00BD0D67"/>
    <w:rsid w:val="00BD2C5D"/>
    <w:rsid w:val="00BD6402"/>
    <w:rsid w:val="00BE4C6C"/>
    <w:rsid w:val="00BE7CCA"/>
    <w:rsid w:val="00BF4E9B"/>
    <w:rsid w:val="00C17508"/>
    <w:rsid w:val="00C264C8"/>
    <w:rsid w:val="00C26A1B"/>
    <w:rsid w:val="00C34A5E"/>
    <w:rsid w:val="00C3555F"/>
    <w:rsid w:val="00C41E6D"/>
    <w:rsid w:val="00C42AD3"/>
    <w:rsid w:val="00C57CCC"/>
    <w:rsid w:val="00C61FAE"/>
    <w:rsid w:val="00C63A08"/>
    <w:rsid w:val="00C7794A"/>
    <w:rsid w:val="00C9503E"/>
    <w:rsid w:val="00CA0084"/>
    <w:rsid w:val="00CA0BF9"/>
    <w:rsid w:val="00CA41C6"/>
    <w:rsid w:val="00CA50BD"/>
    <w:rsid w:val="00CA5F26"/>
    <w:rsid w:val="00CB51F4"/>
    <w:rsid w:val="00CC1270"/>
    <w:rsid w:val="00CC14D7"/>
    <w:rsid w:val="00CC3768"/>
    <w:rsid w:val="00CC37AF"/>
    <w:rsid w:val="00CD1F5E"/>
    <w:rsid w:val="00CD5CFF"/>
    <w:rsid w:val="00CF2A11"/>
    <w:rsid w:val="00CF49B9"/>
    <w:rsid w:val="00D034DA"/>
    <w:rsid w:val="00D047A7"/>
    <w:rsid w:val="00D11E72"/>
    <w:rsid w:val="00D13547"/>
    <w:rsid w:val="00D21565"/>
    <w:rsid w:val="00D2239F"/>
    <w:rsid w:val="00D309B8"/>
    <w:rsid w:val="00D6187C"/>
    <w:rsid w:val="00D647F8"/>
    <w:rsid w:val="00D70328"/>
    <w:rsid w:val="00D75547"/>
    <w:rsid w:val="00D7794E"/>
    <w:rsid w:val="00D81550"/>
    <w:rsid w:val="00D82E2E"/>
    <w:rsid w:val="00D8590D"/>
    <w:rsid w:val="00D87853"/>
    <w:rsid w:val="00D91814"/>
    <w:rsid w:val="00D9438C"/>
    <w:rsid w:val="00DA218D"/>
    <w:rsid w:val="00DB3A59"/>
    <w:rsid w:val="00DB3E4A"/>
    <w:rsid w:val="00DB4B5B"/>
    <w:rsid w:val="00DD279F"/>
    <w:rsid w:val="00DD72D2"/>
    <w:rsid w:val="00DD7FD4"/>
    <w:rsid w:val="00DE3FFA"/>
    <w:rsid w:val="00DE5AE7"/>
    <w:rsid w:val="00E01524"/>
    <w:rsid w:val="00E07DE5"/>
    <w:rsid w:val="00E11459"/>
    <w:rsid w:val="00E12D9E"/>
    <w:rsid w:val="00E17D80"/>
    <w:rsid w:val="00E2222E"/>
    <w:rsid w:val="00E23C6C"/>
    <w:rsid w:val="00E273AF"/>
    <w:rsid w:val="00E35BF6"/>
    <w:rsid w:val="00E40931"/>
    <w:rsid w:val="00E436E1"/>
    <w:rsid w:val="00E55039"/>
    <w:rsid w:val="00E73D15"/>
    <w:rsid w:val="00E81403"/>
    <w:rsid w:val="00E909BE"/>
    <w:rsid w:val="00E91CFF"/>
    <w:rsid w:val="00E95F3D"/>
    <w:rsid w:val="00EA31C5"/>
    <w:rsid w:val="00EA7D87"/>
    <w:rsid w:val="00EB1FBA"/>
    <w:rsid w:val="00EB71C0"/>
    <w:rsid w:val="00EC3104"/>
    <w:rsid w:val="00EC6882"/>
    <w:rsid w:val="00EC769F"/>
    <w:rsid w:val="00ED4850"/>
    <w:rsid w:val="00ED61B8"/>
    <w:rsid w:val="00ED7BA8"/>
    <w:rsid w:val="00F05AE8"/>
    <w:rsid w:val="00F063F5"/>
    <w:rsid w:val="00F15ADF"/>
    <w:rsid w:val="00F26F9A"/>
    <w:rsid w:val="00F27609"/>
    <w:rsid w:val="00F32FC3"/>
    <w:rsid w:val="00F4255E"/>
    <w:rsid w:val="00F43D4E"/>
    <w:rsid w:val="00F44858"/>
    <w:rsid w:val="00F61170"/>
    <w:rsid w:val="00F66EFE"/>
    <w:rsid w:val="00F676DD"/>
    <w:rsid w:val="00F74C23"/>
    <w:rsid w:val="00F90A47"/>
    <w:rsid w:val="00F93864"/>
    <w:rsid w:val="00FB3378"/>
    <w:rsid w:val="00FC4B2E"/>
    <w:rsid w:val="00FD06D8"/>
    <w:rsid w:val="00FD6573"/>
    <w:rsid w:val="00FD678B"/>
    <w:rsid w:val="00FD7798"/>
    <w:rsid w:val="00FE0055"/>
    <w:rsid w:val="00FE0C91"/>
    <w:rsid w:val="00FF6802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B3222"/>
  <w15:chartTrackingRefBased/>
  <w15:docId w15:val="{76E19444-5FBC-414C-B77D-75286F83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6EE2"/>
  </w:style>
  <w:style w:type="paragraph" w:styleId="Titre1">
    <w:name w:val="heading 1"/>
    <w:basedOn w:val="Normal"/>
    <w:next w:val="Normal"/>
    <w:link w:val="Titre1Car"/>
    <w:autoRedefine/>
    <w:uiPriority w:val="9"/>
    <w:rsid w:val="00490B3C"/>
    <w:pPr>
      <w:keepNext/>
      <w:keepLines/>
      <w:spacing w:after="360"/>
      <w:ind w:left="-851"/>
      <w:jc w:val="center"/>
      <w:outlineLvl w:val="0"/>
    </w:pPr>
    <w:rPr>
      <w:rFonts w:ascii="Segoe UI" w:eastAsiaTheme="majorEastAsia" w:hAnsi="Segoe UI" w:cs="Segoe UI"/>
      <w:b/>
      <w:bCs/>
      <w:color w:val="000091" w:themeColor="text1"/>
      <w:sz w:val="36"/>
    </w:rPr>
  </w:style>
  <w:style w:type="paragraph" w:styleId="Titre2">
    <w:name w:val="heading 2"/>
    <w:aliases w:val="Titre 04"/>
    <w:basedOn w:val="Normal"/>
    <w:next w:val="Normal"/>
    <w:link w:val="Titre2Car"/>
    <w:autoRedefine/>
    <w:uiPriority w:val="9"/>
    <w:unhideWhenUsed/>
    <w:rsid w:val="00472C6F"/>
    <w:pPr>
      <w:keepNext/>
      <w:keepLines/>
      <w:spacing w:after="120"/>
      <w:outlineLvl w:val="1"/>
    </w:pPr>
    <w:rPr>
      <w:rFonts w:ascii="Marianne Light" w:eastAsiaTheme="majorEastAsia" w:hAnsi="Marianne Light" w:cstheme="majorBidi"/>
      <w:cap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C26A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74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F676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B60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rsid w:val="00F676DD"/>
    <w:rPr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981726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F676DD"/>
    <w:rPr>
      <w:rFonts w:asciiTheme="majorHAnsi" w:eastAsiaTheme="majorEastAsia" w:hAnsiTheme="majorHAnsi" w:cstheme="majorBidi"/>
      <w:i/>
      <w:iCs/>
      <w:color w:val="006B60" w:themeColor="accent1" w:themeShade="BF"/>
    </w:rPr>
  </w:style>
  <w:style w:type="character" w:styleId="lev">
    <w:name w:val="Strong"/>
    <w:basedOn w:val="Policepardfaut"/>
    <w:uiPriority w:val="22"/>
    <w:rsid w:val="004D444C"/>
    <w:rPr>
      <w:b/>
      <w:bCs/>
    </w:rPr>
  </w:style>
  <w:style w:type="character" w:styleId="Accentuation">
    <w:name w:val="Emphasis"/>
    <w:aliases w:val="titre liste"/>
    <w:basedOn w:val="Policepardfaut"/>
    <w:uiPriority w:val="20"/>
    <w:qFormat/>
    <w:rsid w:val="00111C32"/>
    <w:rPr>
      <w:rFonts w:ascii="Marianne Medium" w:hAnsi="Marianne Medium"/>
      <w:b w:val="0"/>
      <w:i w:val="0"/>
      <w:iCs/>
      <w:color w:val="auto"/>
      <w:sz w:val="22"/>
      <w:u w:val="non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817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81726"/>
    <w:rPr>
      <w:sz w:val="20"/>
      <w:szCs w:val="20"/>
    </w:rPr>
  </w:style>
  <w:style w:type="paragraph" w:customStyle="1" w:styleId="Miseenexergue">
    <w:name w:val="Mise en exergue"/>
    <w:basedOn w:val="Citation"/>
    <w:link w:val="MiseenexergueCar"/>
    <w:rsid w:val="00F15ADF"/>
    <w:pPr>
      <w:ind w:left="-567" w:right="2977"/>
    </w:pPr>
    <w:rPr>
      <w:rFonts w:ascii="Marianne Medium" w:hAnsi="Marianne Medium"/>
      <w:i w:val="0"/>
      <w:iCs w:val="0"/>
      <w:color w:val="000091" w:themeColor="text1"/>
      <w:sz w:val="32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81726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1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1726"/>
    <w:rPr>
      <w:rFonts w:ascii="Segoe UI" w:hAnsi="Segoe UI" w:cs="Segoe UI"/>
      <w:sz w:val="18"/>
      <w:szCs w:val="18"/>
    </w:rPr>
  </w:style>
  <w:style w:type="paragraph" w:customStyle="1" w:styleId="miseenavantlienhypertexte">
    <w:name w:val="mise en avant lien hypertexte"/>
    <w:basedOn w:val="Hyperlien"/>
    <w:link w:val="miseenavantlienhypertexteCar"/>
    <w:rsid w:val="00F15ADF"/>
    <w:pPr>
      <w:ind w:right="-850"/>
    </w:pPr>
    <w:rPr>
      <w:rFonts w:ascii="Marianne Medium" w:hAnsi="Marianne Medium"/>
      <w:color w:val="auto"/>
      <w:u w:val="none"/>
    </w:rPr>
  </w:style>
  <w:style w:type="character" w:customStyle="1" w:styleId="MiseenexergueCar">
    <w:name w:val="Mise en exergue Car"/>
    <w:basedOn w:val="CitationCar"/>
    <w:link w:val="Miseenexergue"/>
    <w:rsid w:val="00F15ADF"/>
    <w:rPr>
      <w:rFonts w:ascii="Marianne Medium" w:hAnsi="Marianne Medium"/>
      <w:i w:val="0"/>
      <w:iCs w:val="0"/>
      <w:color w:val="000091" w:themeColor="text1"/>
      <w:sz w:val="32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C2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2361"/>
  </w:style>
  <w:style w:type="paragraph" w:styleId="Sansinterligne">
    <w:name w:val="No Spacing"/>
    <w:link w:val="SansinterligneCar"/>
    <w:uiPriority w:val="1"/>
    <w:qFormat/>
    <w:rsid w:val="005B3D40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unhideWhenUsed/>
    <w:rsid w:val="0074585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745853"/>
    <w:rPr>
      <w:sz w:val="20"/>
      <w:szCs w:val="20"/>
    </w:rPr>
  </w:style>
  <w:style w:type="character" w:styleId="Appelnotedebasdep">
    <w:name w:val="footnote reference"/>
    <w:aliases w:val="Footnote Reference Number,Footnote Reference_LVL6,Footnote Reference_LVL61,Footnote Reference_LVL62,Footnote Reference_LVL63,Footnote Reference_LVL64,HAppel note de bas de p.,SUPERS,Ref,de nota al pie"/>
    <w:basedOn w:val="Policepardfaut"/>
    <w:uiPriority w:val="99"/>
    <w:unhideWhenUsed/>
    <w:rsid w:val="00745853"/>
    <w:rPr>
      <w:vertAlign w:val="superscript"/>
    </w:rPr>
  </w:style>
  <w:style w:type="character" w:customStyle="1" w:styleId="Textedelespacerserv">
    <w:name w:val="Texte de l’espace réservé"/>
    <w:basedOn w:val="Policepardfaut"/>
    <w:uiPriority w:val="99"/>
    <w:semiHidden/>
    <w:rsid w:val="00152C27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6A3795"/>
    <w:rPr>
      <w:color w:val="A558A0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37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3795"/>
    <w:rPr>
      <w:b/>
      <w:bCs/>
      <w:sz w:val="20"/>
      <w:szCs w:val="20"/>
    </w:rPr>
  </w:style>
  <w:style w:type="paragraph" w:customStyle="1" w:styleId="Titre02">
    <w:name w:val="Titre 02"/>
    <w:basedOn w:val="Normal"/>
    <w:link w:val="Titre02Car"/>
    <w:autoRedefine/>
    <w:qFormat/>
    <w:rsid w:val="002D4AD6"/>
    <w:pPr>
      <w:spacing w:before="240" w:after="80" w:line="240" w:lineRule="auto"/>
      <w:ind w:left="-284"/>
      <w:jc w:val="both"/>
    </w:pPr>
    <w:rPr>
      <w:rFonts w:ascii="Segoe UI" w:eastAsia="Times New Roman" w:hAnsi="Segoe UI" w:cs="Segoe UI"/>
      <w:bCs/>
      <w:sz w:val="20"/>
      <w:szCs w:val="20"/>
      <w:lang w:eastAsia="fr-FR"/>
    </w:rPr>
  </w:style>
  <w:style w:type="paragraph" w:customStyle="1" w:styleId="Soustitre">
    <w:name w:val="Sous titre"/>
    <w:basedOn w:val="Normal"/>
    <w:link w:val="SoustitreCar"/>
    <w:autoRedefine/>
    <w:rsid w:val="00E07DE5"/>
    <w:pPr>
      <w:ind w:left="709"/>
    </w:pPr>
    <w:rPr>
      <w:rFonts w:ascii="Marianne Light" w:eastAsia="Times New Roman" w:hAnsi="Marianne Light" w:cs="Arial"/>
      <w:b/>
      <w:sz w:val="44"/>
      <w:szCs w:val="96"/>
      <w:lang w:eastAsia="fr-FR"/>
    </w:rPr>
  </w:style>
  <w:style w:type="character" w:customStyle="1" w:styleId="Titre02Car">
    <w:name w:val="Titre 02 Car"/>
    <w:basedOn w:val="Policepardfaut"/>
    <w:link w:val="Titre02"/>
    <w:rsid w:val="002D4AD6"/>
    <w:rPr>
      <w:rFonts w:ascii="Segoe UI" w:eastAsia="Times New Roman" w:hAnsi="Segoe UI" w:cs="Segoe UI"/>
      <w:bCs/>
      <w:sz w:val="20"/>
      <w:szCs w:val="20"/>
      <w:lang w:eastAsia="fr-FR"/>
    </w:rPr>
  </w:style>
  <w:style w:type="paragraph" w:styleId="Titre">
    <w:name w:val="Title"/>
    <w:aliases w:val="Titre 01"/>
    <w:basedOn w:val="Normal"/>
    <w:next w:val="Normal"/>
    <w:link w:val="TitreCar"/>
    <w:uiPriority w:val="10"/>
    <w:rsid w:val="00E07DE5"/>
    <w:pPr>
      <w:spacing w:after="0" w:line="240" w:lineRule="auto"/>
      <w:contextualSpacing/>
    </w:pPr>
    <w:rPr>
      <w:rFonts w:ascii="Marianne ExtraBold" w:eastAsiaTheme="majorEastAsia" w:hAnsi="Marianne ExtraBold" w:cstheme="majorBidi"/>
      <w:spacing w:val="-10"/>
      <w:kern w:val="28"/>
      <w:sz w:val="96"/>
      <w:szCs w:val="56"/>
    </w:rPr>
  </w:style>
  <w:style w:type="character" w:customStyle="1" w:styleId="SoustitreCar">
    <w:name w:val="Sous titre Car"/>
    <w:basedOn w:val="Policepardfaut"/>
    <w:link w:val="Soustitre"/>
    <w:rsid w:val="00E07DE5"/>
    <w:rPr>
      <w:rFonts w:ascii="Marianne Light" w:eastAsia="Times New Roman" w:hAnsi="Marianne Light" w:cs="Arial"/>
      <w:b/>
      <w:sz w:val="44"/>
      <w:szCs w:val="96"/>
      <w:lang w:eastAsia="fr-FR"/>
    </w:rPr>
  </w:style>
  <w:style w:type="character" w:customStyle="1" w:styleId="TitreCar">
    <w:name w:val="Titre Car"/>
    <w:aliases w:val="Titre 01 Car"/>
    <w:basedOn w:val="Policepardfaut"/>
    <w:link w:val="Titre"/>
    <w:uiPriority w:val="10"/>
    <w:rsid w:val="00E07DE5"/>
    <w:rPr>
      <w:rFonts w:ascii="Marianne ExtraBold" w:eastAsiaTheme="majorEastAsia" w:hAnsi="Marianne ExtraBold" w:cstheme="majorBidi"/>
      <w:spacing w:val="-10"/>
      <w:kern w:val="28"/>
      <w:sz w:val="96"/>
      <w:szCs w:val="56"/>
    </w:rPr>
  </w:style>
  <w:style w:type="character" w:customStyle="1" w:styleId="Titre2Car">
    <w:name w:val="Titre 2 Car"/>
    <w:aliases w:val="Titre 04 Car"/>
    <w:basedOn w:val="Policepardfaut"/>
    <w:link w:val="Titre2"/>
    <w:uiPriority w:val="9"/>
    <w:rsid w:val="00472C6F"/>
    <w:rPr>
      <w:rFonts w:ascii="Marianne Light" w:eastAsiaTheme="majorEastAsia" w:hAnsi="Marianne Light" w:cstheme="majorBidi"/>
      <w:caps/>
      <w:sz w:val="32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490B3C"/>
    <w:rPr>
      <w:rFonts w:ascii="Segoe UI" w:eastAsiaTheme="majorEastAsia" w:hAnsi="Segoe UI" w:cs="Segoe UI"/>
      <w:b/>
      <w:bCs/>
      <w:color w:val="000091" w:themeColor="text1"/>
      <w:sz w:val="36"/>
    </w:rPr>
  </w:style>
  <w:style w:type="character" w:styleId="Accentuationlgre">
    <w:name w:val="Subtle Emphasis"/>
    <w:uiPriority w:val="19"/>
    <w:rsid w:val="00472C6F"/>
    <w:rPr>
      <w:rFonts w:ascii="Marianne" w:hAnsi="Marianne"/>
      <w:i w:val="0"/>
      <w:iCs/>
      <w:color w:val="FFFFFF" w:themeColor="background1"/>
      <w:sz w:val="22"/>
    </w:rPr>
  </w:style>
  <w:style w:type="character" w:styleId="Rfrenceintense">
    <w:name w:val="Intense Reference"/>
    <w:uiPriority w:val="32"/>
    <w:qFormat/>
    <w:rsid w:val="00AA020A"/>
    <w:rPr>
      <w:rFonts w:ascii="Segoe UI" w:hAnsi="Segoe UI" w:cs="Segoe UI"/>
      <w:color w:val="000091" w:themeColor="text1"/>
    </w:rPr>
  </w:style>
  <w:style w:type="paragraph" w:customStyle="1" w:styleId="Soustitrechapeau">
    <w:name w:val="Sous titre chapeau"/>
    <w:basedOn w:val="Normal"/>
    <w:link w:val="SoustitrechapeauCar"/>
    <w:qFormat/>
    <w:rsid w:val="007952D4"/>
    <w:pPr>
      <w:spacing w:before="240"/>
    </w:pPr>
    <w:rPr>
      <w:rFonts w:ascii="Marianne Light" w:hAnsi="Marianne Light"/>
      <w:color w:val="6A6AF4" w:themeColor="text2"/>
      <w:sz w:val="26"/>
      <w:szCs w:val="26"/>
    </w:rPr>
  </w:style>
  <w:style w:type="paragraph" w:customStyle="1" w:styleId="Titreliste">
    <w:name w:val="Titre liste"/>
    <w:basedOn w:val="Normal"/>
    <w:link w:val="TitrelisteCar"/>
    <w:rsid w:val="00DE5AE7"/>
    <w:pPr>
      <w:spacing w:before="240" w:after="80"/>
    </w:pPr>
    <w:rPr>
      <w:color w:val="000091" w:themeColor="text1"/>
    </w:rPr>
  </w:style>
  <w:style w:type="character" w:customStyle="1" w:styleId="SoustitrechapeauCar">
    <w:name w:val="Sous titre chapeau Car"/>
    <w:basedOn w:val="Policepardfaut"/>
    <w:link w:val="Soustitrechapeau"/>
    <w:rsid w:val="007952D4"/>
    <w:rPr>
      <w:rFonts w:ascii="Marianne Light" w:hAnsi="Marianne Light"/>
      <w:color w:val="6A6AF4" w:themeColor="text2"/>
      <w:sz w:val="26"/>
      <w:szCs w:val="26"/>
    </w:rPr>
  </w:style>
  <w:style w:type="paragraph" w:customStyle="1" w:styleId="Textecourant">
    <w:name w:val="Texte courant"/>
    <w:basedOn w:val="Normal"/>
    <w:link w:val="TextecourantCar"/>
    <w:qFormat/>
    <w:rsid w:val="00B02AE3"/>
    <w:pPr>
      <w:spacing w:after="0" w:line="240" w:lineRule="auto"/>
      <w:ind w:left="-284"/>
      <w:jc w:val="both"/>
    </w:pPr>
    <w:rPr>
      <w:rFonts w:ascii="Segoe UI" w:hAnsi="Segoe UI" w:cs="Segoe UI"/>
      <w:sz w:val="20"/>
      <w:szCs w:val="20"/>
    </w:rPr>
  </w:style>
  <w:style w:type="character" w:customStyle="1" w:styleId="TitrelisteCar">
    <w:name w:val="Titre liste Car"/>
    <w:basedOn w:val="Policepardfaut"/>
    <w:link w:val="Titreliste"/>
    <w:rsid w:val="00DE5AE7"/>
    <w:rPr>
      <w:color w:val="000091" w:themeColor="text1"/>
    </w:rPr>
  </w:style>
  <w:style w:type="character" w:customStyle="1" w:styleId="Titre3Car">
    <w:name w:val="Titre 3 Car"/>
    <w:basedOn w:val="Policepardfaut"/>
    <w:link w:val="Titre3"/>
    <w:uiPriority w:val="9"/>
    <w:rsid w:val="00C26A1B"/>
    <w:rPr>
      <w:rFonts w:asciiTheme="majorHAnsi" w:eastAsiaTheme="majorEastAsia" w:hAnsiTheme="majorHAnsi" w:cstheme="majorBidi"/>
      <w:color w:val="004740" w:themeColor="accent1" w:themeShade="7F"/>
      <w:sz w:val="24"/>
      <w:szCs w:val="24"/>
    </w:rPr>
  </w:style>
  <w:style w:type="character" w:customStyle="1" w:styleId="TextecourantCar">
    <w:name w:val="Texte courant Car"/>
    <w:basedOn w:val="Policepardfaut"/>
    <w:link w:val="Textecourant"/>
    <w:rsid w:val="00B02AE3"/>
    <w:rPr>
      <w:rFonts w:ascii="Segoe UI" w:hAnsi="Segoe UI" w:cs="Segoe UI"/>
      <w:sz w:val="20"/>
      <w:szCs w:val="20"/>
    </w:rPr>
  </w:style>
  <w:style w:type="paragraph" w:customStyle="1" w:styleId="listeTitre">
    <w:name w:val="liste Titre"/>
    <w:basedOn w:val="Titreliste"/>
    <w:link w:val="listeTitreCar"/>
    <w:qFormat/>
    <w:rsid w:val="00985384"/>
    <w:pPr>
      <w:spacing w:after="240"/>
    </w:pPr>
    <w:rPr>
      <w:rFonts w:ascii="Marianne Medium" w:hAnsi="Marianne Medium"/>
      <w:sz w:val="24"/>
    </w:rPr>
  </w:style>
  <w:style w:type="paragraph" w:customStyle="1" w:styleId="accentuation01">
    <w:name w:val="accentuation 01"/>
    <w:basedOn w:val="textecourant0"/>
    <w:link w:val="accentuation01Car"/>
    <w:qFormat/>
    <w:rsid w:val="00457B18"/>
    <w:pPr>
      <w:numPr>
        <w:numId w:val="14"/>
      </w:numPr>
      <w:spacing w:after="80" w:line="240" w:lineRule="auto"/>
      <w:ind w:left="-142" w:hanging="142"/>
      <w:jc w:val="left"/>
    </w:pPr>
    <w:rPr>
      <w:rFonts w:cs="Segoe UI"/>
      <w:color w:val="6A6AF4" w:themeColor="text2"/>
      <w:szCs w:val="20"/>
    </w:rPr>
  </w:style>
  <w:style w:type="character" w:customStyle="1" w:styleId="listeTitreCar">
    <w:name w:val="liste Titre Car"/>
    <w:basedOn w:val="TitrelisteCar"/>
    <w:link w:val="listeTitre"/>
    <w:rsid w:val="00985384"/>
    <w:rPr>
      <w:rFonts w:ascii="Marianne Medium" w:hAnsi="Marianne Medium"/>
      <w:color w:val="000091" w:themeColor="text1"/>
      <w:sz w:val="24"/>
    </w:rPr>
  </w:style>
  <w:style w:type="paragraph" w:customStyle="1" w:styleId="notesdebasdepage">
    <w:name w:val="notes de bas de page"/>
    <w:basedOn w:val="Textecourant"/>
    <w:link w:val="notesdebasdepageCar"/>
    <w:rsid w:val="00F15ADF"/>
    <w:rPr>
      <w:rFonts w:ascii="Marianne" w:hAnsi="Marianne"/>
      <w:color w:val="000091" w:themeColor="text1"/>
      <w:sz w:val="17"/>
      <w:szCs w:val="17"/>
    </w:rPr>
  </w:style>
  <w:style w:type="character" w:customStyle="1" w:styleId="accentuation01Car">
    <w:name w:val="accentuation 01 Car"/>
    <w:basedOn w:val="SoustitrechapeauCar"/>
    <w:link w:val="accentuation01"/>
    <w:rsid w:val="00457B18"/>
    <w:rPr>
      <w:rFonts w:ascii="Segoe UI" w:hAnsi="Segoe UI" w:cs="Segoe UI"/>
      <w:color w:val="6A6AF4" w:themeColor="text2"/>
      <w:sz w:val="20"/>
      <w:szCs w:val="20"/>
    </w:rPr>
  </w:style>
  <w:style w:type="paragraph" w:customStyle="1" w:styleId="Hyperlien">
    <w:name w:val="Hyperlien"/>
    <w:basedOn w:val="Normal"/>
    <w:link w:val="HyperlienCar"/>
    <w:qFormat/>
    <w:rsid w:val="00DA218D"/>
    <w:pPr>
      <w:spacing w:after="0"/>
    </w:pPr>
    <w:rPr>
      <w:rFonts w:ascii="Marianne Light" w:hAnsi="Marianne Light"/>
      <w:color w:val="1212FF"/>
      <w:u w:val="single"/>
    </w:rPr>
  </w:style>
  <w:style w:type="character" w:customStyle="1" w:styleId="miseenavantlienhypertexteCar">
    <w:name w:val="mise en avant lien hypertexte Car"/>
    <w:basedOn w:val="HyperlienCar"/>
    <w:link w:val="miseenavantlienhypertexte"/>
    <w:rsid w:val="00F15ADF"/>
    <w:rPr>
      <w:rFonts w:ascii="Marianne Medium" w:hAnsi="Marianne Medium"/>
      <w:color w:val="1212FF"/>
      <w:u w:val="single"/>
    </w:rPr>
  </w:style>
  <w:style w:type="character" w:customStyle="1" w:styleId="HyperlienCar">
    <w:name w:val="Hyperlien Car"/>
    <w:basedOn w:val="Policepardfaut"/>
    <w:link w:val="Hyperlien"/>
    <w:rsid w:val="00DA218D"/>
    <w:rPr>
      <w:rFonts w:ascii="Marianne Light" w:hAnsi="Marianne Light"/>
      <w:color w:val="1212FF"/>
      <w:u w:val="single"/>
    </w:rPr>
  </w:style>
  <w:style w:type="paragraph" w:styleId="Citation">
    <w:name w:val="Quote"/>
    <w:basedOn w:val="Normal"/>
    <w:next w:val="Normal"/>
    <w:link w:val="CitationCar"/>
    <w:uiPriority w:val="29"/>
    <w:rsid w:val="009A5CB7"/>
    <w:pPr>
      <w:spacing w:before="360" w:after="360"/>
      <w:ind w:left="862" w:right="862"/>
    </w:pPr>
    <w:rPr>
      <w:rFonts w:ascii="Spectral Medium" w:hAnsi="Spectral Medium"/>
      <w:i/>
      <w:iCs/>
      <w:color w:val="6D6DFF" w:themeColor="text1" w:themeTint="66"/>
      <w:sz w:val="28"/>
    </w:rPr>
  </w:style>
  <w:style w:type="character" w:customStyle="1" w:styleId="CitationCar">
    <w:name w:val="Citation Car"/>
    <w:basedOn w:val="Policepardfaut"/>
    <w:link w:val="Citation"/>
    <w:uiPriority w:val="29"/>
    <w:rsid w:val="009A5CB7"/>
    <w:rPr>
      <w:rFonts w:ascii="Spectral Medium" w:hAnsi="Spectral Medium"/>
      <w:i/>
      <w:iCs/>
      <w:color w:val="6D6DFF" w:themeColor="text1" w:themeTint="66"/>
      <w:sz w:val="28"/>
    </w:rPr>
  </w:style>
  <w:style w:type="character" w:customStyle="1" w:styleId="notesdebasdepageCar">
    <w:name w:val="notes de bas de page Car"/>
    <w:basedOn w:val="TextecourantCar"/>
    <w:link w:val="notesdebasdepage"/>
    <w:rsid w:val="00F15ADF"/>
    <w:rPr>
      <w:rFonts w:ascii="Marianne" w:hAnsi="Marianne" w:cs="Segoe UI"/>
      <w:color w:val="000091" w:themeColor="text1"/>
      <w:sz w:val="17"/>
      <w:szCs w:val="17"/>
    </w:rPr>
  </w:style>
  <w:style w:type="paragraph" w:styleId="En-tte">
    <w:name w:val="header"/>
    <w:basedOn w:val="Normal"/>
    <w:link w:val="En-tteCar"/>
    <w:uiPriority w:val="99"/>
    <w:unhideWhenUsed/>
    <w:rsid w:val="00DB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4B5B"/>
  </w:style>
  <w:style w:type="character" w:customStyle="1" w:styleId="listeCar">
    <w:name w:val="liste Car"/>
    <w:basedOn w:val="Policepardfaut"/>
    <w:link w:val="liste"/>
    <w:locked/>
    <w:rsid w:val="004311AF"/>
    <w:rPr>
      <w:rFonts w:ascii="Marianne Light" w:hAnsi="Marianne Light"/>
    </w:rPr>
  </w:style>
  <w:style w:type="paragraph" w:customStyle="1" w:styleId="liste">
    <w:name w:val="liste"/>
    <w:basedOn w:val="Paragraphedeliste"/>
    <w:link w:val="listeCar"/>
    <w:rsid w:val="004311AF"/>
    <w:pPr>
      <w:numPr>
        <w:numId w:val="11"/>
      </w:numPr>
      <w:spacing w:before="240" w:after="240" w:line="256" w:lineRule="auto"/>
      <w:ind w:left="0" w:firstLine="0"/>
    </w:pPr>
    <w:rPr>
      <w:rFonts w:ascii="Marianne Light" w:hAnsi="Marianne Light"/>
    </w:rPr>
  </w:style>
  <w:style w:type="character" w:customStyle="1" w:styleId="listeN-1Car">
    <w:name w:val="liste N-1 Car"/>
    <w:basedOn w:val="Policepardfaut"/>
    <w:link w:val="listeN-1"/>
    <w:locked/>
    <w:rsid w:val="004311AF"/>
    <w:rPr>
      <w:rFonts w:ascii="Marianne Light" w:hAnsi="Marianne Light"/>
    </w:rPr>
  </w:style>
  <w:style w:type="paragraph" w:customStyle="1" w:styleId="listeN-1">
    <w:name w:val="liste N-1"/>
    <w:basedOn w:val="Paragraphedeliste"/>
    <w:link w:val="listeN-1Car"/>
    <w:autoRedefine/>
    <w:qFormat/>
    <w:rsid w:val="004311AF"/>
    <w:pPr>
      <w:numPr>
        <w:numId w:val="12"/>
      </w:numPr>
      <w:spacing w:before="240" w:after="240" w:line="256" w:lineRule="auto"/>
      <w:ind w:left="567" w:firstLine="0"/>
    </w:pPr>
    <w:rPr>
      <w:rFonts w:ascii="Marianne Light" w:hAnsi="Marianne Light"/>
    </w:rPr>
  </w:style>
  <w:style w:type="paragraph" w:customStyle="1" w:styleId="ListeN-2">
    <w:name w:val="Liste N-2"/>
    <w:basedOn w:val="Paragraphedeliste"/>
    <w:rsid w:val="004311AF"/>
    <w:pPr>
      <w:numPr>
        <w:ilvl w:val="5"/>
        <w:numId w:val="12"/>
      </w:numPr>
      <w:tabs>
        <w:tab w:val="num" w:pos="360"/>
      </w:tabs>
      <w:spacing w:after="0" w:line="256" w:lineRule="auto"/>
      <w:ind w:left="1276" w:hanging="283"/>
    </w:pPr>
    <w:rPr>
      <w:rFonts w:ascii="Marianne Light" w:hAnsi="Marianne Light"/>
      <w:b/>
    </w:rPr>
  </w:style>
  <w:style w:type="paragraph" w:styleId="Paragraphedeliste">
    <w:name w:val="List Paragraph"/>
    <w:basedOn w:val="Normal"/>
    <w:link w:val="ParagraphedelisteCar"/>
    <w:uiPriority w:val="34"/>
    <w:rsid w:val="004311AF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4311AF"/>
  </w:style>
  <w:style w:type="paragraph" w:customStyle="1" w:styleId="Titrenote">
    <w:name w:val="Titre note"/>
    <w:basedOn w:val="Normal"/>
    <w:link w:val="TitrenoteCar"/>
    <w:rsid w:val="00706D2B"/>
    <w:pPr>
      <w:ind w:right="-1417" w:hanging="709"/>
      <w:jc w:val="center"/>
    </w:pPr>
    <w:rPr>
      <w:rFonts w:ascii="Marianne" w:hAnsi="Marianne" w:cs="Segoe UI"/>
      <w:b/>
      <w:bCs/>
      <w:color w:val="E4A503" w:themeColor="accent2" w:themeShade="BF"/>
      <w:sz w:val="28"/>
      <w:szCs w:val="28"/>
    </w:rPr>
  </w:style>
  <w:style w:type="paragraph" w:customStyle="1" w:styleId="Commentairenote">
    <w:name w:val="Commentaire note"/>
    <w:basedOn w:val="Normal"/>
    <w:rsid w:val="00706D2B"/>
    <w:pPr>
      <w:ind w:right="-708"/>
    </w:pPr>
    <w:rPr>
      <w:rFonts w:ascii="Marianne" w:hAnsi="Marianne" w:cs="Segoe UI"/>
      <w:i/>
      <w:iCs/>
      <w:color w:val="6A6AF4" w:themeColor="text2"/>
    </w:rPr>
  </w:style>
  <w:style w:type="character" w:customStyle="1" w:styleId="TitrenoteCar">
    <w:name w:val="Titre note Car"/>
    <w:basedOn w:val="Policepardfaut"/>
    <w:link w:val="Titrenote"/>
    <w:rsid w:val="00706D2B"/>
    <w:rPr>
      <w:rFonts w:ascii="Marianne" w:hAnsi="Marianne" w:cs="Segoe UI"/>
      <w:b/>
      <w:bCs/>
      <w:color w:val="E4A503" w:themeColor="accent2" w:themeShade="BF"/>
      <w:sz w:val="28"/>
      <w:szCs w:val="28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7209E2"/>
  </w:style>
  <w:style w:type="paragraph" w:styleId="Notedefin">
    <w:name w:val="endnote text"/>
    <w:basedOn w:val="Normal"/>
    <w:link w:val="NotedefinCar"/>
    <w:uiPriority w:val="99"/>
    <w:unhideWhenUsed/>
    <w:rsid w:val="007209E2"/>
    <w:pPr>
      <w:spacing w:after="0" w:line="240" w:lineRule="auto"/>
    </w:pPr>
    <w:rPr>
      <w:rFonts w:eastAsia="SimSun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7209E2"/>
    <w:rPr>
      <w:rFonts w:eastAsia="SimSu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209E2"/>
    <w:rPr>
      <w:vertAlign w:val="superscript"/>
    </w:rPr>
  </w:style>
  <w:style w:type="paragraph" w:customStyle="1" w:styleId="Brvesco-Normal">
    <w:name w:val="BrèvesÉco - Normal"/>
    <w:basedOn w:val="Normal"/>
    <w:rsid w:val="007209E2"/>
    <w:pPr>
      <w:spacing w:after="0" w:line="260" w:lineRule="exact"/>
      <w:jc w:val="both"/>
    </w:pPr>
    <w:rPr>
      <w:rFonts w:ascii="Marianne" w:hAnsi="Marianne" w:cs="Times New Roman (Corps CS)"/>
      <w:color w:val="1A171B"/>
      <w:sz w:val="20"/>
      <w:szCs w:val="24"/>
    </w:rPr>
  </w:style>
  <w:style w:type="paragraph" w:customStyle="1" w:styleId="notesbasdepage">
    <w:name w:val="notes bas de page"/>
    <w:basedOn w:val="Notedefin"/>
    <w:link w:val="notesbasdepageCar"/>
    <w:rsid w:val="007209E2"/>
    <w:pPr>
      <w:ind w:left="-567" w:right="142"/>
    </w:pPr>
    <w:rPr>
      <w:rFonts w:ascii="Segoe UI" w:hAnsi="Segoe UI" w:cs="Segoe UI"/>
      <w:sz w:val="18"/>
      <w:szCs w:val="18"/>
    </w:rPr>
  </w:style>
  <w:style w:type="paragraph" w:customStyle="1" w:styleId="textecourant0">
    <w:name w:val="texte courant"/>
    <w:basedOn w:val="Normal"/>
    <w:rsid w:val="00532CE3"/>
    <w:pPr>
      <w:spacing w:after="0" w:line="260" w:lineRule="exact"/>
      <w:jc w:val="both"/>
    </w:pPr>
    <w:rPr>
      <w:rFonts w:ascii="Segoe UI" w:hAnsi="Segoe UI" w:cs="Times New Roman (Corps CS)"/>
      <w:color w:val="1A171B"/>
      <w:sz w:val="20"/>
      <w:szCs w:val="24"/>
    </w:rPr>
  </w:style>
  <w:style w:type="character" w:customStyle="1" w:styleId="notesbasdepageCar">
    <w:name w:val="notes bas de page Car"/>
    <w:basedOn w:val="NotedefinCar"/>
    <w:link w:val="notesbasdepage"/>
    <w:rsid w:val="007209E2"/>
    <w:rPr>
      <w:rFonts w:ascii="Segoe UI" w:eastAsia="SimSun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9854A7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conclusion">
    <w:name w:val="Intro/conclusion"/>
    <w:basedOn w:val="Sansinterligne"/>
    <w:link w:val="IntroconclusionCar"/>
    <w:qFormat/>
    <w:rsid w:val="00B343C4"/>
    <w:pPr>
      <w:spacing w:after="240"/>
      <w:ind w:left="-284"/>
      <w:jc w:val="both"/>
    </w:pPr>
    <w:rPr>
      <w:rFonts w:ascii="Segoe UI" w:hAnsi="Segoe UI" w:cs="Segoe UI"/>
      <w:color w:val="000091" w:themeColor="text1"/>
      <w:sz w:val="20"/>
      <w:szCs w:val="20"/>
      <w:lang w:eastAsia="fr-FR"/>
    </w:rPr>
  </w:style>
  <w:style w:type="character" w:customStyle="1" w:styleId="IntroconclusionCar">
    <w:name w:val="Intro/conclusion Car"/>
    <w:basedOn w:val="SansinterligneCar"/>
    <w:link w:val="Introconclusion"/>
    <w:rsid w:val="00B343C4"/>
    <w:rPr>
      <w:rFonts w:ascii="Segoe UI" w:hAnsi="Segoe UI" w:cs="Segoe UI"/>
      <w:color w:val="000091" w:themeColor="text1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stat.nbb.be/Index.aspx?DataSetCode=EXTTRADEBENAT&amp;lang=fr" TargetMode="External"/></Relationships>
</file>

<file path=word/theme/theme1.xml><?xml version="1.0" encoding="utf-8"?>
<a:theme xmlns:a="http://schemas.openxmlformats.org/drawingml/2006/main" name="Thème Office">
  <a:themeElements>
    <a:clrScheme name="Couleurs charte Etat">
      <a:dk1>
        <a:srgbClr val="000091"/>
      </a:dk1>
      <a:lt1>
        <a:sysClr val="window" lastClr="FFFFFF"/>
      </a:lt1>
      <a:dk2>
        <a:srgbClr val="6A6AF4"/>
      </a:dk2>
      <a:lt2>
        <a:srgbClr val="FFFFFF"/>
      </a:lt2>
      <a:accent1>
        <a:srgbClr val="009081"/>
      </a:accent1>
      <a:accent2>
        <a:srgbClr val="FCC63A"/>
      </a:accent2>
      <a:accent3>
        <a:srgbClr val="E4794A"/>
      </a:accent3>
      <a:accent4>
        <a:srgbClr val="37635F"/>
      </a:accent4>
      <a:accent5>
        <a:srgbClr val="73E0CF"/>
      </a:accent5>
      <a:accent6>
        <a:srgbClr val="FCC0B0"/>
      </a:accent6>
      <a:hlink>
        <a:srgbClr val="0078F3"/>
      </a:hlink>
      <a:folHlink>
        <a:srgbClr val="A558A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7EFF4-20B2-4361-9893-41403B12B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1684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Trésor</Company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Assouad</dc:creator>
  <cp:keywords>template</cp:keywords>
  <dc:description/>
  <cp:lastModifiedBy>SALAVERA Eva</cp:lastModifiedBy>
  <cp:revision>9</cp:revision>
  <cp:lastPrinted>2025-06-16T14:39:00Z</cp:lastPrinted>
  <dcterms:created xsi:type="dcterms:W3CDTF">2025-06-12T14:49:00Z</dcterms:created>
  <dcterms:modified xsi:type="dcterms:W3CDTF">2025-06-16T15:36:00Z</dcterms:modified>
</cp:coreProperties>
</file>