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2EB6" w14:textId="77777777" w:rsidR="008A2801" w:rsidRDefault="00FD7798" w:rsidP="00F62AD4">
      <w:pPr>
        <w:spacing w:before="240" w:after="240"/>
        <w:jc w:val="center"/>
        <w:rPr>
          <w:rFonts w:ascii="Segoe UI" w:hAnsi="Segoe UI" w:cs="Segoe UI"/>
          <w:color w:val="000091" w:themeColor="text1"/>
          <w:sz w:val="32"/>
          <w:szCs w:val="20"/>
          <w:lang w:eastAsia="fr-FR"/>
        </w:rPr>
      </w:pP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24636D73" w:rsidR="00532CE3" w:rsidRDefault="00275445" w:rsidP="00532CE3">
                            <w:pPr>
                              <w:jc w:val="center"/>
                            </w:pPr>
                            <w:bookmarkStart w:id="0" w:name="_Hlk170231160"/>
                            <w:bookmarkEnd w:id="0"/>
                            <w:r>
                              <w:rPr>
                                <w:rFonts w:ascii="Segoe UI" w:hAnsi="Segoe UI" w:cs="Segoe UI"/>
                                <w:b/>
                                <w:bCs/>
                                <w:color w:val="000091" w:themeColor="text1"/>
                                <w:sz w:val="32"/>
                                <w:szCs w:val="20"/>
                              </w:rPr>
                              <w:t>BELGIQUE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24636D73" w:rsidR="00532CE3" w:rsidRDefault="00275445" w:rsidP="00532CE3">
                      <w:pPr>
                        <w:jc w:val="center"/>
                      </w:pPr>
                      <w:bookmarkStart w:id="1" w:name="_Hlk170231160"/>
                      <w:bookmarkEnd w:id="1"/>
                      <w:r>
                        <w:rPr>
                          <w:rFonts w:ascii="Segoe UI" w:hAnsi="Segoe UI" w:cs="Segoe UI"/>
                          <w:b/>
                          <w:bCs/>
                          <w:color w:val="000091" w:themeColor="text1"/>
                          <w:sz w:val="32"/>
                          <w:szCs w:val="20"/>
                        </w:rPr>
                        <w:t>BELGIQUE</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5857AFAE"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05417">
                              <w:rPr>
                                <w:rFonts w:ascii="Segoe UI" w:hAnsi="Segoe UI" w:cs="Segoe UI"/>
                                <w:color w:val="000091" w:themeColor="text1"/>
                                <w:sz w:val="17"/>
                                <w:szCs w:val="17"/>
                                <w:lang w:eastAsia="ja-JP"/>
                              </w:rPr>
                              <w:t>Eva Salavera</w:t>
                            </w:r>
                          </w:p>
                          <w:p w14:paraId="07E31681" w14:textId="65CAC848"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905417">
                              <w:rPr>
                                <w:rFonts w:ascii="Segoe UI" w:hAnsi="Segoe UI" w:cs="Segoe UI"/>
                                <w:color w:val="000091" w:themeColor="text1"/>
                                <w:sz w:val="17"/>
                                <w:szCs w:val="17"/>
                                <w:lang w:eastAsia="ja-JP"/>
                              </w:rPr>
                              <w:t>Arnaud Boulanger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5857AFAE"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05417">
                        <w:rPr>
                          <w:rFonts w:ascii="Segoe UI" w:hAnsi="Segoe UI" w:cs="Segoe UI"/>
                          <w:color w:val="000091" w:themeColor="text1"/>
                          <w:sz w:val="17"/>
                          <w:szCs w:val="17"/>
                          <w:lang w:eastAsia="ja-JP"/>
                        </w:rPr>
                        <w:t xml:space="preserve">Eva </w:t>
                      </w:r>
                      <w:proofErr w:type="spellStart"/>
                      <w:r w:rsidR="00905417">
                        <w:rPr>
                          <w:rFonts w:ascii="Segoe UI" w:hAnsi="Segoe UI" w:cs="Segoe UI"/>
                          <w:color w:val="000091" w:themeColor="text1"/>
                          <w:sz w:val="17"/>
                          <w:szCs w:val="17"/>
                          <w:lang w:eastAsia="ja-JP"/>
                        </w:rPr>
                        <w:t>Salavera</w:t>
                      </w:r>
                      <w:proofErr w:type="spellEnd"/>
                    </w:p>
                    <w:p w14:paraId="07E31681" w14:textId="65CAC848"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905417">
                        <w:rPr>
                          <w:rFonts w:ascii="Segoe UI" w:hAnsi="Segoe UI" w:cs="Segoe UI"/>
                          <w:color w:val="000091" w:themeColor="text1"/>
                          <w:sz w:val="17"/>
                          <w:szCs w:val="17"/>
                          <w:lang w:eastAsia="ja-JP"/>
                        </w:rPr>
                        <w:t>Arnaud Boulanger</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4A540093" w:rsidR="00490B3C" w:rsidRPr="00532CE3" w:rsidRDefault="0090541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Bruxelles</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le 25 juin 2024</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4A540093" w:rsidR="00490B3C" w:rsidRPr="00532CE3" w:rsidRDefault="00905417"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Bruxelles</w:t>
                      </w:r>
                      <w:r w:rsidR="00490B3C" w:rsidRPr="00532CE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le 25 juin 2024</w:t>
                      </w:r>
                    </w:p>
                    <w:p w14:paraId="36A3B918" w14:textId="266F4991"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3C6EF662">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7436970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905417">
                              <w:rPr>
                                <w:rFonts w:ascii="Segoe UI" w:hAnsi="Segoe UI" w:cs="Segoe UI"/>
                                <w:bCs/>
                                <w:color w:val="000091" w:themeColor="text1"/>
                                <w:sz w:val="18"/>
                                <w:szCs w:val="18"/>
                                <w:lang w:eastAsia="ja-JP"/>
                              </w:rPr>
                              <w:t>France en Belgique</w:t>
                            </w:r>
                          </w:p>
                          <w:p w14:paraId="3D62CBBB" w14:textId="406ADDF8"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905417">
                              <w:rPr>
                                <w:rFonts w:ascii="Segoe UI" w:hAnsi="Segoe UI" w:cs="Segoe UI"/>
                                <w:bCs/>
                                <w:color w:val="000091" w:themeColor="text1"/>
                                <w:sz w:val="18"/>
                                <w:szCs w:val="18"/>
                                <w:lang w:eastAsia="ja-JP"/>
                              </w:rPr>
                              <w:t xml:space="preserve"> de Bruxelles</w:t>
                            </w:r>
                            <w:r w:rsidR="008A3AD5" w:rsidRPr="00532CE3">
                              <w:rPr>
                                <w:rFonts w:ascii="Arial" w:hAnsi="Arial" w:cs="Arial"/>
                                <w:bCs/>
                              </w:rPr>
                              <w:tab/>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74369708"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905417">
                        <w:rPr>
                          <w:rFonts w:ascii="Segoe UI" w:hAnsi="Segoe UI" w:cs="Segoe UI"/>
                          <w:bCs/>
                          <w:color w:val="000091" w:themeColor="text1"/>
                          <w:sz w:val="18"/>
                          <w:szCs w:val="18"/>
                          <w:lang w:eastAsia="ja-JP"/>
                        </w:rPr>
                        <w:t>France en Belgique</w:t>
                      </w:r>
                    </w:p>
                    <w:p w14:paraId="3D62CBBB" w14:textId="406ADDF8"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905417">
                        <w:rPr>
                          <w:rFonts w:ascii="Segoe UI" w:hAnsi="Segoe UI" w:cs="Segoe UI"/>
                          <w:bCs/>
                          <w:color w:val="000091" w:themeColor="text1"/>
                          <w:sz w:val="18"/>
                          <w:szCs w:val="18"/>
                          <w:lang w:eastAsia="ja-JP"/>
                        </w:rPr>
                        <w:t xml:space="preserve"> de Bruxelles</w:t>
                      </w:r>
                      <w:r w:rsidR="008A3AD5" w:rsidRPr="00532CE3">
                        <w:rPr>
                          <w:rFonts w:ascii="Arial" w:hAnsi="Arial" w:cs="Arial"/>
                          <w:bCs/>
                        </w:rPr>
                        <w:tab/>
                      </w:r>
                      <w:r w:rsidR="008A3AD5" w:rsidRPr="00A0743B">
                        <w:rPr>
                          <w:rFonts w:ascii="Arial" w:hAnsi="Arial" w:cs="Arial"/>
                          <w:b/>
                          <w:bCs/>
                          <w:sz w:val="20"/>
                          <w:szCs w:val="20"/>
                        </w:rPr>
                        <w:t xml:space="preserve"> </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p>
    <w:p w14:paraId="570E7FB4" w14:textId="003DE6E2" w:rsidR="00301021" w:rsidRPr="00006E50" w:rsidRDefault="00275445" w:rsidP="00F62AD4">
      <w:pPr>
        <w:spacing w:before="240" w:after="240"/>
        <w:jc w:val="center"/>
        <w:rPr>
          <w:sz w:val="20"/>
          <w:szCs w:val="20"/>
        </w:rPr>
      </w:pPr>
      <w:r>
        <w:rPr>
          <w:rFonts w:ascii="Segoe UI" w:hAnsi="Segoe UI" w:cs="Segoe UI"/>
          <w:color w:val="000091" w:themeColor="text1"/>
          <w:sz w:val="32"/>
          <w:szCs w:val="20"/>
          <w:lang w:eastAsia="fr-FR"/>
        </w:rPr>
        <w:t xml:space="preserve">Le commerce extérieur de la </w:t>
      </w:r>
      <w:r w:rsidR="00CF10EC">
        <w:rPr>
          <w:rFonts w:ascii="Segoe UI" w:hAnsi="Segoe UI" w:cs="Segoe UI"/>
          <w:color w:val="000091" w:themeColor="text1"/>
          <w:sz w:val="32"/>
          <w:szCs w:val="20"/>
          <w:lang w:eastAsia="fr-FR"/>
        </w:rPr>
        <w:t>Belgique en 2023</w:t>
      </w:r>
    </w:p>
    <w:p w14:paraId="14C23978" w14:textId="2DB65287" w:rsidR="002A6A59" w:rsidRPr="002A6A59" w:rsidRDefault="002A6A59" w:rsidP="002A6A59">
      <w:pPr>
        <w:pStyle w:val="Introconclusion"/>
        <w:tabs>
          <w:tab w:val="left" w:pos="9072"/>
        </w:tabs>
        <w:ind w:left="-567" w:right="-283"/>
      </w:pPr>
      <w:r w:rsidRPr="001B2089">
        <w:t xml:space="preserve">Avec un taux d’ouverture de </w:t>
      </w:r>
      <w:r>
        <w:t>100</w:t>
      </w:r>
      <w:r w:rsidRPr="0060197C">
        <w:t>%, la</w:t>
      </w:r>
      <w:r w:rsidRPr="001B2089">
        <w:t xml:space="preserve"> Belgique est l’une des économies les plus ouvertes de la zone euro. </w:t>
      </w:r>
      <w:r>
        <w:t xml:space="preserve">En 2023, ses </w:t>
      </w:r>
      <w:r w:rsidRPr="00D708D8">
        <w:t>échange</w:t>
      </w:r>
      <w:r>
        <w:t>s</w:t>
      </w:r>
      <w:r w:rsidRPr="00D708D8">
        <w:t xml:space="preserve"> </w:t>
      </w:r>
      <w:r>
        <w:t xml:space="preserve">commerciaux se sont établis </w:t>
      </w:r>
      <w:r w:rsidRPr="00D708D8">
        <w:t xml:space="preserve">à </w:t>
      </w:r>
      <w:r>
        <w:t>1 025 </w:t>
      </w:r>
      <w:r w:rsidRPr="00D708D8">
        <w:t>Md€</w:t>
      </w:r>
      <w:r>
        <w:t xml:space="preserve"> selon l’agence du commerce extérieur, dont 520,4 Md€ d’exportations (-12,7%) et 506,6 Md€ d’importations (-13,0%), </w:t>
      </w:r>
      <w:r w:rsidRPr="00C46251">
        <w:t>classant la Belgique au 12</w:t>
      </w:r>
      <w:r w:rsidRPr="00C46251">
        <w:rPr>
          <w:vertAlign w:val="superscript"/>
        </w:rPr>
        <w:t>ème</w:t>
      </w:r>
      <w:r w:rsidRPr="00C46251">
        <w:t xml:space="preserve"> rang mondial des pays exportateurs.</w:t>
      </w:r>
      <w:r>
        <w:t xml:space="preserve"> Etabli en excluant les flux de transit, qui représente en moyenne 40% du commerce extérieur belge, ces échanges ressortent à 748,6 Md€, dont 363,9 Md€ d’exportations et 384,7 Md€ d’importations, en contraction de 15% par rapport à 2022, et dégagent un solde déficitaire de 20,8 Md€ en 2023 (</w:t>
      </w:r>
      <w:r w:rsidRPr="002A6A59">
        <w:t xml:space="preserve">contre </w:t>
      </w:r>
      <w:r w:rsidR="00DE7E21">
        <w:t>0</w:t>
      </w:r>
      <w:r w:rsidRPr="002A6A59">
        <w:t>,</w:t>
      </w:r>
      <w:r w:rsidR="00DE7E21">
        <w:t>6</w:t>
      </w:r>
      <w:r w:rsidRPr="002A6A59">
        <w:t xml:space="preserve"> Md€ en 2022).</w:t>
      </w:r>
      <w:r w:rsidRPr="001B2089">
        <w:t xml:space="preserve"> </w:t>
      </w:r>
      <w:r>
        <w:t xml:space="preserve">Le solde commercial belge, retraité des flux de transit, </w:t>
      </w:r>
      <w:r w:rsidRPr="001B2089">
        <w:t>tend à se dégrader</w:t>
      </w:r>
      <w:r>
        <w:t xml:space="preserve"> </w:t>
      </w:r>
      <w:r w:rsidR="00DE7E21">
        <w:t>depuis 2021</w:t>
      </w:r>
      <w:r w:rsidRPr="001B2089">
        <w:t xml:space="preserve"> en raison </w:t>
      </w:r>
      <w:r>
        <w:t xml:space="preserve">notamment de l’écart </w:t>
      </w:r>
      <w:r w:rsidR="00DE7E21">
        <w:t xml:space="preserve">de </w:t>
      </w:r>
      <w:r>
        <w:t xml:space="preserve">compétitivité avec les pays voisins, </w:t>
      </w:r>
      <w:r w:rsidR="00DE7E21">
        <w:t xml:space="preserve">à la fois </w:t>
      </w:r>
      <w:r>
        <w:t xml:space="preserve">principaux partenaires (45% des échanges) et concurrents, résultant </w:t>
      </w:r>
      <w:r w:rsidRPr="001B2089">
        <w:t xml:space="preserve">d’une progression des coûts salariaux unitaires plus rapide </w:t>
      </w:r>
      <w:r>
        <w:t xml:space="preserve">en Belgique qu’en Allemagne, aux </w:t>
      </w:r>
      <w:r w:rsidRPr="001B2089">
        <w:t>Pays</w:t>
      </w:r>
      <w:r>
        <w:noBreakHyphen/>
      </w:r>
      <w:r w:rsidRPr="001B2089">
        <w:t xml:space="preserve">Bas, </w:t>
      </w:r>
      <w:r>
        <w:t>et en</w:t>
      </w:r>
      <w:r w:rsidRPr="001B2089">
        <w:t xml:space="preserve"> France.</w:t>
      </w:r>
      <w:r>
        <w:t xml:space="preserve"> </w:t>
      </w:r>
      <w:r w:rsidRPr="005215DE">
        <w:t>Le</w:t>
      </w:r>
      <w:r>
        <w:t>s échanges d</w:t>
      </w:r>
      <w:r w:rsidRPr="005215DE">
        <w:t xml:space="preserve">e biens de la Belgique sont dominés par les </w:t>
      </w:r>
      <w:r>
        <w:t xml:space="preserve">produits </w:t>
      </w:r>
      <w:r w:rsidRPr="00EF0457">
        <w:t>des industries chimiques et pharmaceutiques</w:t>
      </w:r>
      <w:r>
        <w:t xml:space="preserve"> (24,5% du volume total ; premier excédent sectoriel)</w:t>
      </w:r>
      <w:r w:rsidRPr="00EF0457">
        <w:t xml:space="preserve">, </w:t>
      </w:r>
      <w:r>
        <w:t xml:space="preserve">les </w:t>
      </w:r>
      <w:r w:rsidRPr="005215DE">
        <w:t>combustibles minéraux (</w:t>
      </w:r>
      <w:r>
        <w:t>15,8</w:t>
      </w:r>
      <w:r w:rsidRPr="005215DE">
        <w:t xml:space="preserve">%), </w:t>
      </w:r>
      <w:r>
        <w:t>les machines et appareils électriques</w:t>
      </w:r>
      <w:r w:rsidRPr="005215DE">
        <w:t xml:space="preserve"> (</w:t>
      </w:r>
      <w:r>
        <w:t>12,1</w:t>
      </w:r>
      <w:r w:rsidRPr="005215DE">
        <w:t xml:space="preserve">%) et </w:t>
      </w:r>
      <w:r>
        <w:t>le matériel de transport</w:t>
      </w:r>
      <w:r w:rsidRPr="005215DE">
        <w:t xml:space="preserve"> (</w:t>
      </w:r>
      <w:r>
        <w:t>12</w:t>
      </w:r>
      <w:r w:rsidRPr="005215DE">
        <w:t>%).</w:t>
      </w:r>
      <w:r w:rsidRPr="001B2089">
        <w:t xml:space="preserve"> </w:t>
      </w:r>
    </w:p>
    <w:p w14:paraId="1462FEA4" w14:textId="76A9FC5A" w:rsidR="00E67DBA" w:rsidRDefault="000B1BA9" w:rsidP="00210063">
      <w:pPr>
        <w:spacing w:after="0" w:line="240" w:lineRule="auto"/>
        <w:ind w:left="-567" w:right="-284"/>
        <w:jc w:val="both"/>
        <w:rPr>
          <w:rFonts w:ascii="Segoe UI" w:hAnsi="Segoe UI" w:cs="Segoe UI"/>
          <w:b/>
          <w:color w:val="000091" w:themeColor="text1"/>
          <w:szCs w:val="20"/>
        </w:rPr>
      </w:pPr>
      <w:r>
        <w:rPr>
          <w:rFonts w:ascii="Segoe UI" w:hAnsi="Segoe UI" w:cs="Segoe UI"/>
          <w:b/>
          <w:color w:val="000091" w:themeColor="text1"/>
          <w:szCs w:val="20"/>
        </w:rPr>
        <w:t xml:space="preserve">Le commerce extérieur de la </w:t>
      </w:r>
      <w:r w:rsidR="008571CF">
        <w:rPr>
          <w:rFonts w:ascii="Segoe UI" w:hAnsi="Segoe UI" w:cs="Segoe UI"/>
          <w:b/>
          <w:color w:val="000091" w:themeColor="text1"/>
          <w:szCs w:val="20"/>
        </w:rPr>
        <w:t>Belgique, hors flux de transit,</w:t>
      </w:r>
      <w:r>
        <w:rPr>
          <w:rFonts w:ascii="Segoe UI" w:hAnsi="Segoe UI" w:cs="Segoe UI"/>
          <w:b/>
          <w:color w:val="000091" w:themeColor="text1"/>
          <w:szCs w:val="20"/>
        </w:rPr>
        <w:t xml:space="preserve"> </w:t>
      </w:r>
      <w:r w:rsidR="00DE7E21">
        <w:rPr>
          <w:rFonts w:ascii="Segoe UI" w:hAnsi="Segoe UI" w:cs="Segoe UI"/>
          <w:b/>
          <w:color w:val="000091" w:themeColor="text1"/>
          <w:szCs w:val="20"/>
        </w:rPr>
        <w:t xml:space="preserve">se contracte </w:t>
      </w:r>
      <w:r w:rsidR="008571CF">
        <w:rPr>
          <w:rFonts w:ascii="Segoe UI" w:hAnsi="Segoe UI" w:cs="Segoe UI"/>
          <w:b/>
          <w:color w:val="000091" w:themeColor="text1"/>
          <w:szCs w:val="20"/>
        </w:rPr>
        <w:t xml:space="preserve">de </w:t>
      </w:r>
      <w:r>
        <w:rPr>
          <w:rFonts w:ascii="Segoe UI" w:hAnsi="Segoe UI" w:cs="Segoe UI"/>
          <w:b/>
          <w:color w:val="000091" w:themeColor="text1"/>
          <w:szCs w:val="20"/>
        </w:rPr>
        <w:t>15% en 2023</w:t>
      </w:r>
    </w:p>
    <w:p w14:paraId="3475E7C9" w14:textId="77777777" w:rsidR="00E67DBA" w:rsidRPr="008571CF" w:rsidRDefault="00E67DBA" w:rsidP="00210063">
      <w:pPr>
        <w:spacing w:after="0" w:line="240" w:lineRule="auto"/>
        <w:ind w:left="-567" w:right="-284"/>
        <w:jc w:val="both"/>
        <w:rPr>
          <w:rFonts w:ascii="Segoe UI" w:hAnsi="Segoe UI" w:cs="Segoe UI"/>
          <w:bCs/>
          <w:color w:val="000091" w:themeColor="text1"/>
          <w:sz w:val="10"/>
          <w:szCs w:val="8"/>
        </w:rPr>
      </w:pPr>
    </w:p>
    <w:p w14:paraId="411D6196" w14:textId="77777777" w:rsidR="008571CF" w:rsidRDefault="000B1BA9" w:rsidP="00210063">
      <w:pPr>
        <w:spacing w:after="0" w:line="240" w:lineRule="auto"/>
        <w:ind w:left="-567" w:right="-284"/>
        <w:jc w:val="both"/>
        <w:rPr>
          <w:rFonts w:ascii="Segoe UI" w:hAnsi="Segoe UI" w:cs="Segoe UI"/>
          <w:b/>
          <w:bCs/>
          <w:sz w:val="20"/>
          <w:szCs w:val="20"/>
        </w:rPr>
      </w:pPr>
      <w:r w:rsidRPr="004017BE">
        <w:rPr>
          <w:rStyle w:val="Lienhypertexte"/>
          <w:rFonts w:ascii="Segoe UI" w:hAnsi="Segoe UI" w:cs="Segoe UI"/>
          <w:b/>
          <w:bCs/>
          <w:noProof/>
          <w:color w:val="auto"/>
          <w:sz w:val="20"/>
          <w:szCs w:val="20"/>
          <w:u w:val="none"/>
        </w:rPr>
        <w:t xml:space="preserve">Les échanges commerciaux belges ont atteint 749 </w:t>
      </w:r>
      <w:r w:rsidRPr="004017BE">
        <w:rPr>
          <w:rFonts w:ascii="Segoe UI" w:hAnsi="Segoe UI" w:cs="Segoe UI"/>
          <w:b/>
          <w:bCs/>
          <w:sz w:val="20"/>
          <w:szCs w:val="20"/>
        </w:rPr>
        <w:t>Md€</w:t>
      </w:r>
      <w:r w:rsidRPr="004017BE">
        <w:rPr>
          <w:rStyle w:val="Lienhypertexte"/>
          <w:rFonts w:ascii="Segoe UI" w:hAnsi="Segoe UI" w:cs="Segoe UI"/>
          <w:b/>
          <w:bCs/>
          <w:noProof/>
          <w:color w:val="auto"/>
          <w:sz w:val="20"/>
          <w:szCs w:val="20"/>
          <w:u w:val="none"/>
        </w:rPr>
        <w:t xml:space="preserve"> en 2023</w:t>
      </w:r>
      <w:r w:rsidR="00F4255E" w:rsidRPr="00DE7E21">
        <w:rPr>
          <w:rStyle w:val="Lienhypertexte"/>
          <w:rFonts w:ascii="Segoe UI" w:hAnsi="Segoe UI" w:cs="Segoe UI"/>
          <w:b/>
          <w:bCs/>
          <w:noProof/>
          <w:color w:val="auto"/>
          <w:sz w:val="20"/>
          <w:szCs w:val="20"/>
          <w:u w:val="none"/>
        </w:rPr>
        <w:t>,</w:t>
      </w:r>
      <w:r w:rsidRPr="00DE7E21">
        <w:rPr>
          <w:rStyle w:val="Lienhypertexte"/>
          <w:rFonts w:ascii="Segoe UI" w:hAnsi="Segoe UI" w:cs="Segoe UI"/>
          <w:b/>
          <w:bCs/>
          <w:noProof/>
          <w:color w:val="auto"/>
          <w:sz w:val="20"/>
          <w:szCs w:val="20"/>
          <w:u w:val="none"/>
        </w:rPr>
        <w:t xml:space="preserve"> dégageant un solde déficitaire de 21 </w:t>
      </w:r>
      <w:r w:rsidRPr="004017BE">
        <w:rPr>
          <w:rFonts w:ascii="Segoe UI" w:hAnsi="Segoe UI" w:cs="Segoe UI"/>
          <w:b/>
          <w:bCs/>
          <w:sz w:val="20"/>
          <w:szCs w:val="20"/>
        </w:rPr>
        <w:t>Md€.</w:t>
      </w:r>
    </w:p>
    <w:p w14:paraId="4AB95160" w14:textId="2F1DAD95" w:rsidR="000B1BA9" w:rsidRDefault="000B1BA9" w:rsidP="00210063">
      <w:pPr>
        <w:spacing w:after="0" w:line="240" w:lineRule="auto"/>
        <w:ind w:left="-567" w:right="-284"/>
        <w:jc w:val="both"/>
        <w:rPr>
          <w:rFonts w:ascii="Segoe UI Historic" w:hAnsi="Segoe UI Historic" w:cs="Segoe UI Historic"/>
          <w:b/>
          <w:color w:val="FFFFFF" w:themeColor="background1"/>
          <w:sz w:val="24"/>
          <w:szCs w:val="24"/>
        </w:rPr>
      </w:pPr>
      <w:r w:rsidRPr="008614F2">
        <w:rPr>
          <w:rFonts w:ascii="Segoe UI" w:hAnsi="Segoe UI" w:cs="Segoe UI"/>
          <w:bCs/>
          <w:sz w:val="20"/>
          <w:szCs w:val="20"/>
        </w:rPr>
        <w:t xml:space="preserve">Selon la </w:t>
      </w:r>
      <w:r>
        <w:rPr>
          <w:rFonts w:ascii="Segoe UI" w:hAnsi="Segoe UI" w:cs="Segoe UI"/>
          <w:bCs/>
          <w:sz w:val="20"/>
          <w:szCs w:val="20"/>
        </w:rPr>
        <w:t xml:space="preserve">méthodologie du « concept national » de la </w:t>
      </w:r>
      <w:hyperlink r:id="rId13" w:history="1">
        <w:r w:rsidRPr="00EB504A">
          <w:rPr>
            <w:rStyle w:val="Lienhypertexte"/>
            <w:rFonts w:ascii="Segoe UI" w:hAnsi="Segoe UI" w:cs="Segoe UI"/>
            <w:bCs/>
            <w:sz w:val="20"/>
            <w:szCs w:val="20"/>
          </w:rPr>
          <w:t>Banque nationale de Belgique</w:t>
        </w:r>
      </w:hyperlink>
      <w:r w:rsidRPr="00DA7CE2">
        <w:rPr>
          <w:rFonts w:ascii="Segoe UI" w:hAnsi="Segoe UI" w:cs="Segoe UI"/>
          <w:bCs/>
          <w:sz w:val="20"/>
          <w:szCs w:val="20"/>
        </w:rPr>
        <w:t xml:space="preserve"> (BNB), qui neutralise l’impact des flux de transit </w:t>
      </w:r>
      <w:r w:rsidRPr="00DA7CE2">
        <w:rPr>
          <w:rFonts w:ascii="Segoe UI" w:hAnsi="Segoe UI" w:cs="Segoe UI"/>
          <w:sz w:val="20"/>
          <w:szCs w:val="20"/>
        </w:rPr>
        <w:t xml:space="preserve">des entreprises non-résidentes des Etats membres de l’Union européenne (UE) avec des pays </w:t>
      </w:r>
      <w:r w:rsidRPr="008A2801">
        <w:rPr>
          <w:rFonts w:ascii="Segoe UI" w:hAnsi="Segoe UI" w:cs="Segoe UI"/>
          <w:sz w:val="20"/>
          <w:szCs w:val="20"/>
        </w:rPr>
        <w:t>hors UE</w:t>
      </w:r>
      <w:r w:rsidRPr="008A2801">
        <w:rPr>
          <w:rFonts w:ascii="Segoe UI" w:hAnsi="Segoe UI" w:cs="Segoe UI"/>
          <w:bCs/>
          <w:sz w:val="20"/>
          <w:szCs w:val="20"/>
        </w:rPr>
        <w:t xml:space="preserve">, </w:t>
      </w:r>
      <w:r w:rsidRPr="008A2801">
        <w:rPr>
          <w:rStyle w:val="accentuation01Car"/>
        </w:rPr>
        <w:t xml:space="preserve">le montant total des échanges de biens de la Belgique a baissé de 15% en 2023 pour s’établir à </w:t>
      </w:r>
      <w:r w:rsidRPr="008A2801">
        <w:rPr>
          <w:rStyle w:val="accentuation01Car"/>
          <w:b/>
          <w:bCs/>
        </w:rPr>
        <w:t>749 Md€</w:t>
      </w:r>
      <w:r w:rsidRPr="008A2801">
        <w:rPr>
          <w:rFonts w:ascii="Segoe UI" w:hAnsi="Segoe UI" w:cs="Segoe UI"/>
          <w:sz w:val="20"/>
          <w:szCs w:val="20"/>
        </w:rPr>
        <w:t xml:space="preserve"> (contre 881 Md€ en 2022), dont </w:t>
      </w:r>
      <w:r w:rsidRPr="008A2801">
        <w:rPr>
          <w:rStyle w:val="accentuation01Car"/>
          <w:b/>
          <w:bCs/>
        </w:rPr>
        <w:t>363,9 Md€</w:t>
      </w:r>
      <w:r w:rsidRPr="008A2801">
        <w:rPr>
          <w:rStyle w:val="accentuation01Car"/>
        </w:rPr>
        <w:t xml:space="preserve"> d’exportations</w:t>
      </w:r>
      <w:r w:rsidRPr="008A2801">
        <w:rPr>
          <w:rFonts w:ascii="Segoe UI" w:hAnsi="Segoe UI" w:cs="Segoe UI"/>
          <w:sz w:val="20"/>
          <w:szCs w:val="20"/>
        </w:rPr>
        <w:t xml:space="preserve"> (440,5 Md€ en 2022) et </w:t>
      </w:r>
      <w:r w:rsidRPr="008A2801">
        <w:rPr>
          <w:rStyle w:val="accentuation01Car"/>
          <w:b/>
          <w:bCs/>
        </w:rPr>
        <w:t>384,9 Md€</w:t>
      </w:r>
      <w:r w:rsidRPr="008A2801">
        <w:rPr>
          <w:rStyle w:val="accentuation01Car"/>
        </w:rPr>
        <w:t xml:space="preserve"> d’importations</w:t>
      </w:r>
      <w:r w:rsidRPr="008A2801">
        <w:rPr>
          <w:rFonts w:ascii="Segoe UI" w:hAnsi="Segoe UI" w:cs="Segoe UI"/>
          <w:sz w:val="20"/>
          <w:szCs w:val="20"/>
        </w:rPr>
        <w:t xml:space="preserve"> (441,1 Md€ en 2022) (cf. annexe </w:t>
      </w:r>
      <w:r w:rsidR="008909AC" w:rsidRPr="008A2801">
        <w:rPr>
          <w:rFonts w:ascii="Segoe UI" w:hAnsi="Segoe UI" w:cs="Segoe UI"/>
          <w:sz w:val="20"/>
          <w:szCs w:val="20"/>
        </w:rPr>
        <w:t>1)</w:t>
      </w:r>
      <w:r w:rsidRPr="008A2801">
        <w:rPr>
          <w:rFonts w:ascii="Segoe UI" w:hAnsi="Segoe UI" w:cs="Segoe UI"/>
          <w:sz w:val="20"/>
          <w:szCs w:val="20"/>
        </w:rPr>
        <w:t xml:space="preserve">. </w:t>
      </w:r>
      <w:r w:rsidRPr="008A2801">
        <w:rPr>
          <w:rStyle w:val="accentuation01Car"/>
        </w:rPr>
        <w:t xml:space="preserve">En 2023, le solde commercial belge </w:t>
      </w:r>
      <w:r w:rsidR="00D86746" w:rsidRPr="008A2801">
        <w:rPr>
          <w:rStyle w:val="accentuation01Car"/>
        </w:rPr>
        <w:t>est fortement déficitaire à hauteur de</w:t>
      </w:r>
      <w:r w:rsidRPr="008A2801">
        <w:rPr>
          <w:rStyle w:val="accentuation01Car"/>
        </w:rPr>
        <w:t xml:space="preserve"> 21</w:t>
      </w:r>
      <w:r w:rsidR="00D86746" w:rsidRPr="008A2801">
        <w:rPr>
          <w:rStyle w:val="accentuation01Car"/>
        </w:rPr>
        <w:t> </w:t>
      </w:r>
      <w:r w:rsidRPr="008A2801">
        <w:rPr>
          <w:rStyle w:val="accentuation01Car"/>
        </w:rPr>
        <w:t>Md€</w:t>
      </w:r>
      <w:r w:rsidRPr="008A2801">
        <w:rPr>
          <w:rFonts w:ascii="Segoe UI" w:hAnsi="Segoe UI" w:cs="Segoe UI"/>
          <w:bCs/>
          <w:sz w:val="20"/>
          <w:szCs w:val="20"/>
        </w:rPr>
        <w:t xml:space="preserve">, </w:t>
      </w:r>
      <w:r w:rsidR="00D86746" w:rsidRPr="008A2801">
        <w:rPr>
          <w:rFonts w:ascii="Segoe UI" w:hAnsi="Segoe UI" w:cs="Segoe UI"/>
          <w:bCs/>
          <w:sz w:val="20"/>
          <w:szCs w:val="20"/>
        </w:rPr>
        <w:t>contre un quasi-équilibre à -0,6 Md</w:t>
      </w:r>
      <w:r w:rsidRPr="008A2801">
        <w:rPr>
          <w:rFonts w:ascii="Segoe UI" w:hAnsi="Segoe UI" w:cs="Segoe UI"/>
          <w:sz w:val="20"/>
          <w:szCs w:val="20"/>
        </w:rPr>
        <w:t xml:space="preserve"> en 2022 (cf. annexe </w:t>
      </w:r>
      <w:r w:rsidR="008909AC" w:rsidRPr="008A2801">
        <w:rPr>
          <w:rFonts w:ascii="Segoe UI" w:hAnsi="Segoe UI" w:cs="Segoe UI"/>
          <w:sz w:val="20"/>
          <w:szCs w:val="20"/>
        </w:rPr>
        <w:t>2</w:t>
      </w:r>
      <w:r w:rsidRPr="008A2801">
        <w:rPr>
          <w:rFonts w:ascii="Segoe UI" w:hAnsi="Segoe UI" w:cs="Segoe UI"/>
          <w:sz w:val="20"/>
          <w:szCs w:val="20"/>
        </w:rPr>
        <w:t>)</w:t>
      </w:r>
      <w:r w:rsidR="00E67DBA" w:rsidRPr="008A2801">
        <w:rPr>
          <w:rStyle w:val="Appelnotedebasdep"/>
          <w:rFonts w:ascii="Segoe UI" w:hAnsi="Segoe UI" w:cs="Segoe UI"/>
          <w:sz w:val="20"/>
          <w:szCs w:val="20"/>
        </w:rPr>
        <w:footnoteReference w:id="1"/>
      </w:r>
      <w:r w:rsidRPr="008A2801">
        <w:rPr>
          <w:rFonts w:ascii="Segoe UI" w:hAnsi="Segoe UI" w:cs="Segoe UI"/>
          <w:sz w:val="20"/>
          <w:szCs w:val="20"/>
        </w:rPr>
        <w:t>. Toutefois, selon la méthodologie d’Eurostat (« concept communautaire »),</w:t>
      </w:r>
      <w:r w:rsidR="00D86746" w:rsidRPr="008A2801">
        <w:rPr>
          <w:rFonts w:ascii="Segoe UI" w:hAnsi="Segoe UI" w:cs="Segoe UI"/>
          <w:sz w:val="20"/>
          <w:szCs w:val="20"/>
        </w:rPr>
        <w:t xml:space="preserve"> qui n’exclut pas les flux de transit</w:t>
      </w:r>
      <w:r w:rsidR="00D86746" w:rsidRPr="008A2801">
        <w:rPr>
          <w:rStyle w:val="Appelnotedebasdep"/>
          <w:rFonts w:ascii="Segoe UI" w:hAnsi="Segoe UI" w:cs="Segoe UI"/>
          <w:sz w:val="20"/>
          <w:szCs w:val="20"/>
        </w:rPr>
        <w:footnoteReference w:id="2"/>
      </w:r>
      <w:r w:rsidR="00D86746" w:rsidRPr="008A2801">
        <w:rPr>
          <w:rFonts w:ascii="Segoe UI" w:hAnsi="Segoe UI" w:cs="Segoe UI"/>
          <w:sz w:val="20"/>
          <w:szCs w:val="20"/>
        </w:rPr>
        <w:t xml:space="preserve"> (</w:t>
      </w:r>
      <w:r w:rsidR="00210063" w:rsidRPr="008A2801">
        <w:rPr>
          <w:rFonts w:ascii="Segoe UI" w:hAnsi="Segoe UI" w:cs="Segoe UI"/>
          <w:sz w:val="20"/>
          <w:szCs w:val="20"/>
        </w:rPr>
        <w:t xml:space="preserve">lesquels représentent en moyenne </w:t>
      </w:r>
      <w:r w:rsidR="00D86746" w:rsidRPr="008A2801">
        <w:rPr>
          <w:rFonts w:ascii="Segoe UI" w:hAnsi="Segoe UI" w:cs="Segoe UI"/>
          <w:sz w:val="20"/>
          <w:szCs w:val="20"/>
        </w:rPr>
        <w:t>40% du total</w:t>
      </w:r>
      <w:r w:rsidR="003D5AAB" w:rsidRPr="008A2801">
        <w:rPr>
          <w:rFonts w:ascii="Segoe UI" w:hAnsi="Segoe UI" w:cs="Segoe UI"/>
          <w:sz w:val="20"/>
          <w:szCs w:val="20"/>
        </w:rPr>
        <w:t xml:space="preserve"> des échanges commerciaux belges</w:t>
      </w:r>
      <w:r w:rsidR="00D86746" w:rsidRPr="008A2801">
        <w:rPr>
          <w:rFonts w:ascii="Segoe UI" w:hAnsi="Segoe UI" w:cs="Segoe UI"/>
          <w:sz w:val="20"/>
          <w:szCs w:val="20"/>
        </w:rPr>
        <w:t>),</w:t>
      </w:r>
      <w:r w:rsidRPr="008A2801">
        <w:rPr>
          <w:rFonts w:ascii="Segoe UI" w:hAnsi="Segoe UI" w:cs="Segoe UI"/>
          <w:sz w:val="20"/>
          <w:szCs w:val="20"/>
        </w:rPr>
        <w:t xml:space="preserve"> la Belgique affiche un excédent commercial de 16,3 Md€ en 2023 (contre 17,7</w:t>
      </w:r>
      <w:r w:rsidR="003D5AAB" w:rsidRPr="008A2801">
        <w:rPr>
          <w:rFonts w:ascii="Segoe UI" w:hAnsi="Segoe UI" w:cs="Segoe UI"/>
          <w:sz w:val="20"/>
          <w:szCs w:val="20"/>
        </w:rPr>
        <w:t> </w:t>
      </w:r>
      <w:r w:rsidRPr="008A2801">
        <w:rPr>
          <w:rFonts w:ascii="Segoe UI" w:hAnsi="Segoe UI" w:cs="Segoe UI"/>
          <w:sz w:val="20"/>
          <w:szCs w:val="20"/>
        </w:rPr>
        <w:t>Md€ en 2022), pour un montant total d’échanges de 1 035 Md€ (1 195 Md€ en 2022)</w:t>
      </w:r>
      <w:r w:rsidR="00D86746" w:rsidRPr="008A2801">
        <w:rPr>
          <w:rFonts w:ascii="Segoe UI" w:hAnsi="Segoe UI" w:cs="Segoe UI"/>
          <w:sz w:val="20"/>
          <w:szCs w:val="20"/>
        </w:rPr>
        <w:t xml:space="preserve"> - cf. annexe </w:t>
      </w:r>
      <w:r w:rsidR="008909AC" w:rsidRPr="008A2801">
        <w:rPr>
          <w:rFonts w:ascii="Segoe UI" w:hAnsi="Segoe UI" w:cs="Segoe UI"/>
          <w:sz w:val="20"/>
          <w:szCs w:val="20"/>
        </w:rPr>
        <w:t>3</w:t>
      </w:r>
      <w:r w:rsidRPr="008A2801">
        <w:rPr>
          <w:rFonts w:ascii="Segoe UI" w:hAnsi="Segoe UI" w:cs="Segoe UI"/>
          <w:sz w:val="20"/>
          <w:szCs w:val="20"/>
        </w:rPr>
        <w:t>.</w:t>
      </w:r>
    </w:p>
    <w:p w14:paraId="4183F886" w14:textId="77777777" w:rsidR="00210063" w:rsidRPr="003D5AAB" w:rsidRDefault="00210063" w:rsidP="00210063">
      <w:pPr>
        <w:spacing w:after="0" w:line="240" w:lineRule="auto"/>
        <w:ind w:left="-567" w:right="-284"/>
        <w:jc w:val="both"/>
        <w:rPr>
          <w:rFonts w:ascii="Segoe UI" w:hAnsi="Segoe UI" w:cs="Segoe UI"/>
          <w:sz w:val="10"/>
          <w:szCs w:val="10"/>
        </w:rPr>
      </w:pPr>
    </w:p>
    <w:p w14:paraId="26831C49" w14:textId="272946BD" w:rsidR="00E67DBA" w:rsidRDefault="000B1BA9" w:rsidP="00210063">
      <w:pPr>
        <w:spacing w:after="0" w:line="240" w:lineRule="auto"/>
        <w:ind w:left="-567" w:right="-284"/>
        <w:jc w:val="both"/>
        <w:rPr>
          <w:rFonts w:ascii="Segoe UI" w:hAnsi="Segoe UI" w:cs="Segoe UI"/>
          <w:sz w:val="20"/>
          <w:szCs w:val="20"/>
        </w:rPr>
      </w:pPr>
      <w:r w:rsidRPr="00DA7CE2">
        <w:rPr>
          <w:rFonts w:ascii="Segoe UI" w:hAnsi="Segoe UI" w:cs="Segoe UI"/>
          <w:sz w:val="20"/>
          <w:szCs w:val="20"/>
        </w:rPr>
        <w:t xml:space="preserve">Selon la BNB, à l’exception de l’année 2020 de crise sanitaire marquée par une contraction du commerce extérieur belge de 8,1% et un excédent de </w:t>
      </w:r>
      <w:r>
        <w:rPr>
          <w:rFonts w:ascii="Segoe UI" w:hAnsi="Segoe UI" w:cs="Segoe UI"/>
          <w:sz w:val="20"/>
          <w:szCs w:val="20"/>
        </w:rPr>
        <w:t>657</w:t>
      </w:r>
      <w:r w:rsidRPr="00DA7CE2">
        <w:rPr>
          <w:rFonts w:ascii="Segoe UI" w:hAnsi="Segoe UI" w:cs="Segoe UI"/>
          <w:sz w:val="20"/>
          <w:szCs w:val="20"/>
        </w:rPr>
        <w:t xml:space="preserve"> M€, </w:t>
      </w:r>
      <w:r w:rsidRPr="000B1BA9">
        <w:rPr>
          <w:rStyle w:val="accentuation01Car"/>
        </w:rPr>
        <w:t>le solde commercial belge est structurellement déficitaire depuis 2008.</w:t>
      </w:r>
      <w:r w:rsidRPr="00DA7CE2">
        <w:rPr>
          <w:rFonts w:ascii="Segoe UI" w:hAnsi="Segoe UI" w:cs="Segoe UI"/>
          <w:bCs/>
          <w:sz w:val="20"/>
          <w:szCs w:val="20"/>
        </w:rPr>
        <w:t xml:space="preserve"> </w:t>
      </w:r>
      <w:r w:rsidRPr="00DA7CE2">
        <w:rPr>
          <w:rFonts w:ascii="Segoe UI" w:hAnsi="Segoe UI" w:cs="Segoe UI"/>
          <w:sz w:val="20"/>
          <w:szCs w:val="20"/>
        </w:rPr>
        <w:t xml:space="preserve">Ce dernier est passé de +10 Md€ en 2002, plus important excédent commercial enregistré par la Belgique, à </w:t>
      </w:r>
      <w:r w:rsidR="003D5AAB">
        <w:rPr>
          <w:rFonts w:ascii="Segoe UI" w:hAnsi="Segoe UI" w:cs="Segoe UI"/>
          <w:sz w:val="20"/>
          <w:szCs w:val="20"/>
        </w:rPr>
        <w:noBreakHyphen/>
      </w:r>
      <w:r w:rsidRPr="00DA7CE2">
        <w:rPr>
          <w:rFonts w:ascii="Segoe UI" w:hAnsi="Segoe UI" w:cs="Segoe UI"/>
          <w:sz w:val="20"/>
          <w:szCs w:val="20"/>
        </w:rPr>
        <w:t>1</w:t>
      </w:r>
      <w:r>
        <w:rPr>
          <w:rFonts w:ascii="Segoe UI" w:hAnsi="Segoe UI" w:cs="Segoe UI"/>
          <w:sz w:val="20"/>
          <w:szCs w:val="20"/>
        </w:rPr>
        <w:t>4</w:t>
      </w:r>
      <w:r w:rsidRPr="00DA7CE2">
        <w:rPr>
          <w:rFonts w:ascii="Segoe UI" w:hAnsi="Segoe UI" w:cs="Segoe UI"/>
          <w:sz w:val="20"/>
          <w:szCs w:val="20"/>
        </w:rPr>
        <w:t>,</w:t>
      </w:r>
      <w:r>
        <w:rPr>
          <w:rFonts w:ascii="Segoe UI" w:hAnsi="Segoe UI" w:cs="Segoe UI"/>
          <w:sz w:val="20"/>
          <w:szCs w:val="20"/>
        </w:rPr>
        <w:t>3</w:t>
      </w:r>
      <w:r w:rsidR="003D5AAB">
        <w:rPr>
          <w:rFonts w:ascii="Segoe UI" w:hAnsi="Segoe UI" w:cs="Segoe UI"/>
          <w:sz w:val="20"/>
          <w:szCs w:val="20"/>
        </w:rPr>
        <w:t> </w:t>
      </w:r>
      <w:r w:rsidRPr="00DA7CE2">
        <w:rPr>
          <w:rFonts w:ascii="Segoe UI" w:hAnsi="Segoe UI" w:cs="Segoe UI"/>
          <w:sz w:val="20"/>
          <w:szCs w:val="20"/>
        </w:rPr>
        <w:t>Md€ en 2018, son plus important déficit</w:t>
      </w:r>
      <w:r w:rsidRPr="00DA7CE2">
        <w:rPr>
          <w:rFonts w:ascii="Segoe UI" w:hAnsi="Segoe UI" w:cs="Segoe UI"/>
          <w:bCs/>
          <w:sz w:val="20"/>
          <w:szCs w:val="20"/>
        </w:rPr>
        <w:t xml:space="preserve">. Pour la </w:t>
      </w:r>
      <w:r w:rsidRPr="00DA7CE2">
        <w:rPr>
          <w:rFonts w:ascii="Segoe UI" w:hAnsi="Segoe UI" w:cs="Segoe UI"/>
          <w:sz w:val="20"/>
          <w:szCs w:val="20"/>
        </w:rPr>
        <w:t>BNB, ce déséquilibre résulte de la</w:t>
      </w:r>
      <w:r w:rsidRPr="00DA7CE2">
        <w:rPr>
          <w:rFonts w:ascii="Segoe UI" w:hAnsi="Segoe UI" w:cs="Segoe UI"/>
          <w:b/>
          <w:sz w:val="20"/>
          <w:szCs w:val="20"/>
        </w:rPr>
        <w:t xml:space="preserve"> </w:t>
      </w:r>
      <w:r w:rsidRPr="000B1BA9">
        <w:rPr>
          <w:rStyle w:val="accentuation01Car"/>
        </w:rPr>
        <w:t>détérioration de la compétitivité-coût de la Belgique</w:t>
      </w:r>
      <w:r w:rsidRPr="00643B95">
        <w:rPr>
          <w:rFonts w:ascii="Segoe UI" w:hAnsi="Segoe UI" w:cs="Segoe UI"/>
          <w:bCs/>
          <w:sz w:val="20"/>
          <w:szCs w:val="20"/>
        </w:rPr>
        <w:t xml:space="preserve">, </w:t>
      </w:r>
      <w:r>
        <w:rPr>
          <w:rFonts w:ascii="Segoe UI" w:hAnsi="Segoe UI" w:cs="Segoe UI"/>
          <w:bCs/>
          <w:sz w:val="20"/>
          <w:szCs w:val="20"/>
        </w:rPr>
        <w:t>résultant principalement de</w:t>
      </w:r>
      <w:r w:rsidRPr="00643B95">
        <w:rPr>
          <w:rFonts w:ascii="Segoe UI" w:hAnsi="Segoe UI" w:cs="Segoe UI"/>
          <w:bCs/>
          <w:sz w:val="20"/>
          <w:szCs w:val="20"/>
        </w:rPr>
        <w:t xml:space="preserve"> l’augmentation des coûts salariaux unitaires </w:t>
      </w:r>
      <w:r>
        <w:rPr>
          <w:rFonts w:ascii="Segoe UI" w:hAnsi="Segoe UI" w:cs="Segoe UI"/>
          <w:bCs/>
          <w:sz w:val="20"/>
          <w:szCs w:val="20"/>
        </w:rPr>
        <w:t xml:space="preserve">(CSU), plus forte en </w:t>
      </w:r>
      <w:r w:rsidRPr="00643B95">
        <w:rPr>
          <w:rFonts w:ascii="Segoe UI" w:hAnsi="Segoe UI" w:cs="Segoe UI"/>
          <w:bCs/>
          <w:sz w:val="20"/>
          <w:szCs w:val="20"/>
        </w:rPr>
        <w:t xml:space="preserve">Belgique </w:t>
      </w:r>
      <w:r>
        <w:rPr>
          <w:rFonts w:ascii="Segoe UI" w:hAnsi="Segoe UI" w:cs="Segoe UI"/>
          <w:bCs/>
          <w:sz w:val="20"/>
          <w:szCs w:val="20"/>
        </w:rPr>
        <w:t xml:space="preserve">que chez ses </w:t>
      </w:r>
      <w:r w:rsidRPr="00643B95">
        <w:rPr>
          <w:rFonts w:ascii="Segoe UI" w:hAnsi="Segoe UI" w:cs="Segoe UI"/>
          <w:bCs/>
          <w:sz w:val="20"/>
          <w:szCs w:val="20"/>
        </w:rPr>
        <w:t>concurrents</w:t>
      </w:r>
      <w:r w:rsidRPr="00D226E1">
        <w:rPr>
          <w:rFonts w:ascii="Segoe UI" w:hAnsi="Segoe UI" w:cs="Segoe UI"/>
          <w:bCs/>
          <w:sz w:val="20"/>
          <w:szCs w:val="20"/>
        </w:rPr>
        <w:t>.</w:t>
      </w:r>
      <w:r w:rsidRPr="00D226E1">
        <w:rPr>
          <w:rFonts w:ascii="Segoe UI" w:hAnsi="Segoe UI" w:cs="Segoe UI"/>
          <w:sz w:val="20"/>
          <w:szCs w:val="20"/>
        </w:rPr>
        <w:t xml:space="preserve"> </w:t>
      </w:r>
      <w:r w:rsidRPr="00AE6098">
        <w:rPr>
          <w:rFonts w:ascii="Segoe UI" w:hAnsi="Segoe UI" w:cs="Segoe UI"/>
          <w:sz w:val="20"/>
          <w:szCs w:val="20"/>
        </w:rPr>
        <w:t xml:space="preserve">La BNB a calculé </w:t>
      </w:r>
      <w:r w:rsidRPr="00BD7BB5">
        <w:rPr>
          <w:rFonts w:ascii="Segoe UI" w:hAnsi="Segoe UI" w:cs="Segoe UI"/>
          <w:sz w:val="20"/>
          <w:szCs w:val="20"/>
        </w:rPr>
        <w:t>(</w:t>
      </w:r>
      <w:r w:rsidRPr="00D265EC">
        <w:rPr>
          <w:rFonts w:ascii="Segoe UI" w:hAnsi="Segoe UI" w:cs="Segoe UI"/>
          <w:sz w:val="20"/>
          <w:szCs w:val="20"/>
        </w:rPr>
        <w:t xml:space="preserve">cf. annexe </w:t>
      </w:r>
      <w:r w:rsidR="008909AC">
        <w:rPr>
          <w:rFonts w:ascii="Segoe UI" w:hAnsi="Segoe UI" w:cs="Segoe UI"/>
          <w:sz w:val="20"/>
          <w:szCs w:val="20"/>
        </w:rPr>
        <w:t>4</w:t>
      </w:r>
      <w:r w:rsidRPr="00BD7BB5">
        <w:rPr>
          <w:rFonts w:ascii="Segoe UI" w:hAnsi="Segoe UI" w:cs="Segoe UI"/>
          <w:sz w:val="20"/>
          <w:szCs w:val="20"/>
        </w:rPr>
        <w:t xml:space="preserve">) </w:t>
      </w:r>
      <w:r w:rsidRPr="00D226E1">
        <w:rPr>
          <w:rFonts w:ascii="Segoe UI" w:hAnsi="Segoe UI" w:cs="Segoe UI"/>
          <w:sz w:val="20"/>
          <w:szCs w:val="20"/>
        </w:rPr>
        <w:t xml:space="preserve">que les </w:t>
      </w:r>
      <w:r>
        <w:rPr>
          <w:rFonts w:ascii="Segoe UI" w:hAnsi="Segoe UI" w:cs="Segoe UI"/>
          <w:sz w:val="20"/>
          <w:szCs w:val="20"/>
        </w:rPr>
        <w:t xml:space="preserve">salaires bruts dans le secteur privé </w:t>
      </w:r>
      <w:r w:rsidRPr="00D226E1">
        <w:rPr>
          <w:rFonts w:ascii="Segoe UI" w:hAnsi="Segoe UI" w:cs="Segoe UI"/>
          <w:sz w:val="20"/>
          <w:szCs w:val="20"/>
        </w:rPr>
        <w:t>belge</w:t>
      </w:r>
      <w:r w:rsidR="00005A72">
        <w:rPr>
          <w:rFonts w:ascii="Segoe UI" w:hAnsi="Segoe UI" w:cs="Segoe UI"/>
          <w:sz w:val="20"/>
          <w:szCs w:val="20"/>
        </w:rPr>
        <w:t xml:space="preserve"> </w:t>
      </w:r>
      <w:r w:rsidRPr="00D226E1">
        <w:rPr>
          <w:rFonts w:ascii="Segoe UI" w:hAnsi="Segoe UI" w:cs="Segoe UI"/>
          <w:sz w:val="20"/>
          <w:szCs w:val="20"/>
        </w:rPr>
        <w:t xml:space="preserve">ont augmenté </w:t>
      </w:r>
      <w:r>
        <w:rPr>
          <w:rFonts w:ascii="Segoe UI" w:hAnsi="Segoe UI" w:cs="Segoe UI"/>
          <w:sz w:val="20"/>
          <w:szCs w:val="20"/>
        </w:rPr>
        <w:t xml:space="preserve">de façon record en 2023 avec une croissance de 8,1%. </w:t>
      </w:r>
      <w:r w:rsidRPr="00BD7BB5">
        <w:rPr>
          <w:rFonts w:ascii="Segoe UI" w:hAnsi="Segoe UI" w:cs="Segoe UI"/>
          <w:sz w:val="20"/>
          <w:szCs w:val="20"/>
        </w:rPr>
        <w:t>(France, Allemagne, Pays-Bas).</w:t>
      </w:r>
    </w:p>
    <w:p w14:paraId="6E7DEEB0" w14:textId="77777777" w:rsidR="00E67DBA" w:rsidRPr="003D5AAB" w:rsidRDefault="00E67DBA" w:rsidP="00210063">
      <w:pPr>
        <w:spacing w:after="0" w:line="240" w:lineRule="auto"/>
        <w:ind w:left="-567" w:right="-284"/>
        <w:jc w:val="both"/>
        <w:rPr>
          <w:rFonts w:ascii="Segoe UI" w:hAnsi="Segoe UI" w:cs="Segoe UI"/>
          <w:sz w:val="10"/>
          <w:szCs w:val="10"/>
        </w:rPr>
      </w:pPr>
    </w:p>
    <w:p w14:paraId="5F95D4AE" w14:textId="6FFF38FD" w:rsidR="00FF7EA8" w:rsidRDefault="004017BE" w:rsidP="00210063">
      <w:pPr>
        <w:pStyle w:val="Brvesco-Normal"/>
        <w:spacing w:line="240" w:lineRule="auto"/>
        <w:ind w:left="-567" w:right="-284"/>
        <w:rPr>
          <w:rFonts w:ascii="Segoe UI" w:eastAsia="Times New Roman" w:hAnsi="Segoe UI" w:cs="Segoe UI"/>
          <w:bCs/>
          <w:szCs w:val="20"/>
          <w:lang w:eastAsia="fr-FR"/>
        </w:rPr>
      </w:pPr>
      <w:r w:rsidRPr="004017BE">
        <w:rPr>
          <w:rStyle w:val="Accentuation"/>
          <w:rFonts w:ascii="Segoe UI" w:hAnsi="Segoe UI" w:cs="Segoe UI"/>
          <w:b/>
          <w:bCs/>
          <w:sz w:val="20"/>
          <w:szCs w:val="20"/>
        </w:rPr>
        <w:t>Le commerce extérieur de la Belgique est porté par les échanges de produits pharmaceutiques, de combustibles minéraux (pétrole et gaz) et de véhicules automobiles</w:t>
      </w:r>
      <w:r w:rsidRPr="0042548C">
        <w:rPr>
          <w:rStyle w:val="Accentuation"/>
        </w:rPr>
        <w:t>.</w:t>
      </w:r>
      <w:r w:rsidR="00E67DBA" w:rsidRPr="0042548C">
        <w:rPr>
          <w:rStyle w:val="Accentuation"/>
        </w:rPr>
        <w:t xml:space="preserve"> </w:t>
      </w:r>
      <w:r w:rsidR="00FF7EA8">
        <w:rPr>
          <w:rFonts w:ascii="Segoe UI" w:hAnsi="Segoe UI" w:cs="Segoe UI"/>
          <w:bCs/>
          <w:szCs w:val="20"/>
        </w:rPr>
        <w:t>La valeur d</w:t>
      </w:r>
      <w:r w:rsidR="00FF7EA8" w:rsidRPr="00B42B82">
        <w:rPr>
          <w:rFonts w:ascii="Segoe UI" w:hAnsi="Segoe UI" w:cs="Segoe UI"/>
          <w:bCs/>
          <w:szCs w:val="20"/>
        </w:rPr>
        <w:t xml:space="preserve">es </w:t>
      </w:r>
      <w:r w:rsidR="00FF7EA8">
        <w:rPr>
          <w:rFonts w:ascii="Segoe UI" w:hAnsi="Segoe UI" w:cs="Segoe UI"/>
          <w:bCs/>
          <w:szCs w:val="20"/>
        </w:rPr>
        <w:t xml:space="preserve">échanges de </w:t>
      </w:r>
      <w:r w:rsidR="00FF7EA8" w:rsidRPr="00B42B82">
        <w:rPr>
          <w:rFonts w:ascii="Segoe UI" w:hAnsi="Segoe UI" w:cs="Segoe UI"/>
          <w:bCs/>
          <w:szCs w:val="20"/>
        </w:rPr>
        <w:t xml:space="preserve">combustibles minéraux </w:t>
      </w:r>
      <w:r w:rsidR="00FF7EA8">
        <w:rPr>
          <w:rFonts w:ascii="Segoe UI" w:hAnsi="Segoe UI" w:cs="Segoe UI"/>
          <w:bCs/>
          <w:szCs w:val="20"/>
        </w:rPr>
        <w:t xml:space="preserve">s’est établie à 118,5 Md€ en baisse de 42,7% par rapport à 2022 compte tenu de la baisse des prix de l’énergie (cf. annexe 7). En 2023, </w:t>
      </w:r>
      <w:r w:rsidR="00FF7EA8" w:rsidRPr="00B42B82">
        <w:rPr>
          <w:rFonts w:ascii="Segoe UI" w:hAnsi="Segoe UI" w:cs="Segoe UI"/>
          <w:bCs/>
          <w:szCs w:val="20"/>
        </w:rPr>
        <w:t xml:space="preserve">les </w:t>
      </w:r>
      <w:r w:rsidR="00FF7EA8" w:rsidRPr="00B42B82">
        <w:rPr>
          <w:rFonts w:ascii="Segoe UI" w:eastAsia="Times New Roman" w:hAnsi="Segoe UI" w:cs="Segoe UI"/>
          <w:bCs/>
          <w:szCs w:val="20"/>
          <w:lang w:eastAsia="fr-FR"/>
        </w:rPr>
        <w:t>combustibles minéraux ont représenté</w:t>
      </w:r>
      <w:r w:rsidR="00FF7EA8" w:rsidRPr="00AB22FA">
        <w:rPr>
          <w:rFonts w:ascii="Segoe UI" w:eastAsia="Times New Roman" w:hAnsi="Segoe UI" w:cs="Segoe UI"/>
          <w:bCs/>
          <w:szCs w:val="20"/>
          <w:lang w:eastAsia="fr-FR"/>
        </w:rPr>
        <w:t xml:space="preserve"> </w:t>
      </w:r>
      <w:r w:rsidR="00FF7EA8">
        <w:rPr>
          <w:rFonts w:ascii="Segoe UI" w:eastAsia="Times New Roman" w:hAnsi="Segoe UI" w:cs="Segoe UI"/>
          <w:bCs/>
          <w:szCs w:val="20"/>
          <w:lang w:eastAsia="fr-FR"/>
        </w:rPr>
        <w:t>15</w:t>
      </w:r>
      <w:r w:rsidR="00FF7EA8" w:rsidRPr="00AB22FA">
        <w:rPr>
          <w:rFonts w:ascii="Segoe UI" w:eastAsia="Times New Roman" w:hAnsi="Segoe UI" w:cs="Segoe UI"/>
          <w:bCs/>
          <w:szCs w:val="20"/>
          <w:lang w:eastAsia="fr-FR"/>
        </w:rPr>
        <w:t>,</w:t>
      </w:r>
      <w:r w:rsidR="00FF7EA8">
        <w:rPr>
          <w:rFonts w:ascii="Segoe UI" w:eastAsia="Times New Roman" w:hAnsi="Segoe UI" w:cs="Segoe UI"/>
          <w:bCs/>
          <w:szCs w:val="20"/>
          <w:lang w:eastAsia="fr-FR"/>
        </w:rPr>
        <w:t>8</w:t>
      </w:r>
      <w:r w:rsidR="00FF7EA8" w:rsidRPr="00AB22FA">
        <w:rPr>
          <w:rFonts w:ascii="Segoe UI" w:eastAsia="Times New Roman" w:hAnsi="Segoe UI" w:cs="Segoe UI"/>
          <w:bCs/>
          <w:szCs w:val="20"/>
          <w:lang w:eastAsia="fr-FR"/>
        </w:rPr>
        <w:t xml:space="preserve">% du total des échanges commerciaux </w:t>
      </w:r>
      <w:r w:rsidR="00FF7EA8" w:rsidRPr="00B42B82">
        <w:rPr>
          <w:rFonts w:ascii="Segoe UI" w:eastAsia="Times New Roman" w:hAnsi="Segoe UI" w:cs="Segoe UI"/>
          <w:bCs/>
          <w:szCs w:val="20"/>
          <w:lang w:eastAsia="fr-FR"/>
        </w:rPr>
        <w:t xml:space="preserve">(contre </w:t>
      </w:r>
      <w:r w:rsidR="00FF7EA8">
        <w:rPr>
          <w:rFonts w:ascii="Segoe UI" w:eastAsia="Times New Roman" w:hAnsi="Segoe UI" w:cs="Segoe UI"/>
          <w:bCs/>
          <w:szCs w:val="20"/>
          <w:lang w:eastAsia="fr-FR"/>
        </w:rPr>
        <w:t>23,4</w:t>
      </w:r>
      <w:r w:rsidR="00FF7EA8" w:rsidRPr="00B42B82">
        <w:rPr>
          <w:rFonts w:ascii="Segoe UI" w:eastAsia="Times New Roman" w:hAnsi="Segoe UI" w:cs="Segoe UI"/>
          <w:bCs/>
          <w:szCs w:val="20"/>
          <w:lang w:eastAsia="fr-FR"/>
        </w:rPr>
        <w:t>% en 202</w:t>
      </w:r>
      <w:r w:rsidR="00FF7EA8">
        <w:rPr>
          <w:rFonts w:ascii="Segoe UI" w:eastAsia="Times New Roman" w:hAnsi="Segoe UI" w:cs="Segoe UI"/>
          <w:bCs/>
          <w:szCs w:val="20"/>
          <w:lang w:eastAsia="fr-FR"/>
        </w:rPr>
        <w:t>2</w:t>
      </w:r>
      <w:r w:rsidR="00FF7EA8" w:rsidRPr="00B42B82">
        <w:rPr>
          <w:rFonts w:ascii="Segoe UI" w:eastAsia="Times New Roman" w:hAnsi="Segoe UI" w:cs="Segoe UI"/>
          <w:bCs/>
          <w:szCs w:val="20"/>
          <w:lang w:eastAsia="fr-FR"/>
        </w:rPr>
        <w:t>)</w:t>
      </w:r>
      <w:r w:rsidR="00FF7EA8">
        <w:rPr>
          <w:rFonts w:ascii="Segoe UI" w:eastAsia="Times New Roman" w:hAnsi="Segoe UI" w:cs="Segoe UI"/>
          <w:bCs/>
          <w:szCs w:val="20"/>
          <w:lang w:eastAsia="fr-FR"/>
        </w:rPr>
        <w:t xml:space="preserve"> et sont désormais devancés </w:t>
      </w:r>
      <w:r w:rsidR="00FF7EA8" w:rsidRPr="00FF7EA8">
        <w:rPr>
          <w:rStyle w:val="accentuation01Car"/>
        </w:rPr>
        <w:t>par les produits des industries chimiques et pharmaceutiques</w:t>
      </w:r>
      <w:r w:rsidR="00FF7EA8">
        <w:rPr>
          <w:rFonts w:ascii="Segoe UI" w:eastAsia="Times New Roman" w:hAnsi="Segoe UI" w:cs="Segoe UI"/>
          <w:bCs/>
          <w:szCs w:val="20"/>
          <w:lang w:eastAsia="fr-FR"/>
        </w:rPr>
        <w:t xml:space="preserve">, premier poste du commerce extérieur belge à hauteur de </w:t>
      </w:r>
      <w:r w:rsidR="00FF7EA8" w:rsidRPr="00FF7EA8">
        <w:rPr>
          <w:rStyle w:val="accentuation01Car"/>
        </w:rPr>
        <w:t>183 Md€</w:t>
      </w:r>
      <w:r w:rsidR="00FF7EA8">
        <w:rPr>
          <w:rFonts w:ascii="Segoe UI" w:eastAsia="Times New Roman" w:hAnsi="Segoe UI" w:cs="Segoe UI"/>
          <w:bCs/>
          <w:szCs w:val="20"/>
          <w:lang w:eastAsia="fr-FR"/>
        </w:rPr>
        <w:t xml:space="preserve"> (24,5% du total), dont </w:t>
      </w:r>
      <w:r w:rsidR="00FF7EA8" w:rsidRPr="0042548C">
        <w:rPr>
          <w:rFonts w:ascii="Segoe UI" w:eastAsia="Times New Roman" w:hAnsi="Segoe UI" w:cs="Segoe UI"/>
          <w:bCs/>
          <w:color w:val="FF0000"/>
          <w:szCs w:val="20"/>
          <w:lang w:eastAsia="fr-FR"/>
        </w:rPr>
        <w:lastRenderedPageBreak/>
        <w:t>92,3</w:t>
      </w:r>
      <w:r w:rsidR="0042548C" w:rsidRPr="0042548C">
        <w:rPr>
          <w:rFonts w:ascii="Segoe UI" w:eastAsia="Times New Roman" w:hAnsi="Segoe UI" w:cs="Segoe UI"/>
          <w:bCs/>
          <w:color w:val="FF0000"/>
          <w:szCs w:val="20"/>
          <w:lang w:eastAsia="fr-FR"/>
        </w:rPr>
        <w:t> </w:t>
      </w:r>
      <w:r w:rsidR="00FF7EA8" w:rsidRPr="0042548C">
        <w:rPr>
          <w:rFonts w:ascii="Segoe UI" w:eastAsia="Times New Roman" w:hAnsi="Segoe UI" w:cs="Segoe UI"/>
          <w:bCs/>
          <w:color w:val="FF0000"/>
          <w:szCs w:val="20"/>
          <w:lang w:eastAsia="fr-FR"/>
        </w:rPr>
        <w:t>Md€ d’exportations</w:t>
      </w:r>
      <w:r w:rsidR="00FF7EA8">
        <w:rPr>
          <w:rFonts w:ascii="Segoe UI" w:eastAsia="Times New Roman" w:hAnsi="Segoe UI" w:cs="Segoe UI"/>
          <w:bCs/>
          <w:szCs w:val="20"/>
          <w:lang w:eastAsia="fr-FR"/>
        </w:rPr>
        <w:t xml:space="preserve">, en baisse toutefois de 11,8% par rapport à 2022. Les autres principaux produits commercés par la Belgique sont (i) </w:t>
      </w:r>
      <w:r w:rsidR="00FF7EA8" w:rsidRPr="001C308A">
        <w:rPr>
          <w:rFonts w:ascii="Segoe UI" w:eastAsia="Times New Roman" w:hAnsi="Segoe UI" w:cs="Segoe UI"/>
          <w:bCs/>
          <w:szCs w:val="20"/>
          <w:u w:val="single"/>
          <w:lang w:eastAsia="fr-FR"/>
        </w:rPr>
        <w:t>les machines et matériels électriques</w:t>
      </w:r>
      <w:r w:rsidR="00FF7EA8">
        <w:rPr>
          <w:rFonts w:ascii="Segoe UI" w:eastAsia="Times New Roman" w:hAnsi="Segoe UI" w:cs="Segoe UI"/>
          <w:bCs/>
          <w:szCs w:val="20"/>
          <w:lang w:eastAsia="fr-FR"/>
        </w:rPr>
        <w:t xml:space="preserve"> (90,3 Md€, +4,1% par rapport à 2022, 12,1% du total), (ii) </w:t>
      </w:r>
      <w:r w:rsidR="00FF7EA8" w:rsidRPr="001C308A">
        <w:rPr>
          <w:rFonts w:ascii="Segoe UI" w:eastAsia="Times New Roman" w:hAnsi="Segoe UI" w:cs="Segoe UI"/>
          <w:bCs/>
          <w:szCs w:val="20"/>
          <w:u w:val="single"/>
          <w:lang w:eastAsia="fr-FR"/>
        </w:rPr>
        <w:t>les matériels de transport</w:t>
      </w:r>
      <w:r w:rsidR="00FF7EA8">
        <w:rPr>
          <w:rFonts w:ascii="Segoe UI" w:eastAsia="Times New Roman" w:hAnsi="Segoe UI" w:cs="Segoe UI"/>
          <w:bCs/>
          <w:szCs w:val="20"/>
          <w:lang w:eastAsia="fr-FR"/>
        </w:rPr>
        <w:t xml:space="preserve"> (89,6 Md€, +16,1%, 12,0% du total), (iii) </w:t>
      </w:r>
      <w:r w:rsidR="00FF7EA8" w:rsidRPr="001C308A">
        <w:rPr>
          <w:rFonts w:ascii="Segoe UI" w:eastAsia="Times New Roman" w:hAnsi="Segoe UI" w:cs="Segoe UI"/>
          <w:bCs/>
          <w:szCs w:val="20"/>
          <w:u w:val="single"/>
          <w:lang w:eastAsia="fr-FR"/>
        </w:rPr>
        <w:t>les métaux</w:t>
      </w:r>
      <w:r w:rsidR="00FF7EA8">
        <w:rPr>
          <w:rFonts w:ascii="Segoe UI" w:eastAsia="Times New Roman" w:hAnsi="Segoe UI" w:cs="Segoe UI"/>
          <w:bCs/>
          <w:szCs w:val="20"/>
          <w:lang w:eastAsia="fr-FR"/>
        </w:rPr>
        <w:t xml:space="preserve"> (51,9 Md€, -14,2%, 6,9% du total), (iv) </w:t>
      </w:r>
      <w:r w:rsidR="00FF7EA8" w:rsidRPr="005D2671">
        <w:rPr>
          <w:rFonts w:ascii="Segoe UI" w:eastAsia="Times New Roman" w:hAnsi="Segoe UI" w:cs="Segoe UI"/>
          <w:bCs/>
          <w:szCs w:val="20"/>
          <w:u w:val="single"/>
          <w:lang w:eastAsia="fr-FR"/>
        </w:rPr>
        <w:t>les matières plastiques et leurs dérivés</w:t>
      </w:r>
      <w:r w:rsidR="00FF7EA8">
        <w:rPr>
          <w:rFonts w:ascii="Segoe UI" w:eastAsia="Times New Roman" w:hAnsi="Segoe UI" w:cs="Segoe UI"/>
          <w:bCs/>
          <w:szCs w:val="20"/>
          <w:lang w:eastAsia="fr-FR"/>
        </w:rPr>
        <w:t xml:space="preserve"> (38,4 Md€, -15,9%, 5,1% du total), (v) </w:t>
      </w:r>
      <w:r w:rsidR="00FF7EA8" w:rsidRPr="005D2671">
        <w:rPr>
          <w:rFonts w:ascii="Segoe UI" w:eastAsia="Times New Roman" w:hAnsi="Segoe UI" w:cs="Segoe UI"/>
          <w:bCs/>
          <w:szCs w:val="20"/>
          <w:u w:val="single"/>
          <w:lang w:eastAsia="fr-FR"/>
        </w:rPr>
        <w:t>les produits des industries alimentaires</w:t>
      </w:r>
      <w:r w:rsidR="00FF7EA8">
        <w:rPr>
          <w:rFonts w:ascii="Segoe UI" w:eastAsia="Times New Roman" w:hAnsi="Segoe UI" w:cs="Segoe UI"/>
          <w:bCs/>
          <w:szCs w:val="20"/>
          <w:lang w:eastAsia="fr-FR"/>
        </w:rPr>
        <w:t xml:space="preserve"> (41,2Md€, +11,9%, 5,5% du total) et (vi) </w:t>
      </w:r>
      <w:r w:rsidR="00FF7EA8" w:rsidRPr="005D2671">
        <w:rPr>
          <w:rFonts w:ascii="Segoe UI" w:eastAsia="Times New Roman" w:hAnsi="Segoe UI" w:cs="Segoe UI"/>
          <w:bCs/>
          <w:szCs w:val="20"/>
          <w:u w:val="single"/>
          <w:lang w:eastAsia="fr-FR"/>
        </w:rPr>
        <w:t>les perles et articles de joaillerie</w:t>
      </w:r>
      <w:r w:rsidR="00FF7EA8">
        <w:rPr>
          <w:rFonts w:ascii="Segoe UI" w:eastAsia="Times New Roman" w:hAnsi="Segoe UI" w:cs="Segoe UI"/>
          <w:bCs/>
          <w:szCs w:val="20"/>
          <w:lang w:eastAsia="fr-FR"/>
        </w:rPr>
        <w:t xml:space="preserve"> (26,3 Md€,  -33,2%, 3,6% du total)</w:t>
      </w:r>
      <w:r w:rsidR="0042548C">
        <w:rPr>
          <w:rFonts w:ascii="Segoe UI" w:eastAsia="Times New Roman" w:hAnsi="Segoe UI" w:cs="Segoe UI"/>
          <w:bCs/>
          <w:szCs w:val="20"/>
          <w:lang w:eastAsia="fr-FR"/>
        </w:rPr>
        <w:t>. L</w:t>
      </w:r>
      <w:r w:rsidR="00FF7EA8">
        <w:rPr>
          <w:rFonts w:ascii="Segoe UI" w:eastAsia="Times New Roman" w:hAnsi="Segoe UI" w:cs="Segoe UI"/>
          <w:bCs/>
          <w:szCs w:val="20"/>
          <w:lang w:eastAsia="fr-FR"/>
        </w:rPr>
        <w:t xml:space="preserve">’ensemble des postes </w:t>
      </w:r>
      <w:r w:rsidR="00FF7EA8" w:rsidRPr="00A521D6">
        <w:rPr>
          <w:rFonts w:ascii="Segoe UI" w:eastAsia="Times New Roman" w:hAnsi="Segoe UI" w:cs="Segoe UI"/>
          <w:bCs/>
          <w:i/>
          <w:iCs/>
          <w:szCs w:val="20"/>
          <w:lang w:eastAsia="fr-FR"/>
        </w:rPr>
        <w:t>supra</w:t>
      </w:r>
      <w:r w:rsidR="00FF7EA8">
        <w:rPr>
          <w:rFonts w:ascii="Segoe UI" w:eastAsia="Times New Roman" w:hAnsi="Segoe UI" w:cs="Segoe UI"/>
          <w:bCs/>
          <w:szCs w:val="20"/>
          <w:lang w:eastAsia="fr-FR"/>
        </w:rPr>
        <w:t xml:space="preserve"> a représenté 86,5% des échanges de produits en 2023 (contre 86,5% en 2022).</w:t>
      </w:r>
    </w:p>
    <w:p w14:paraId="50236AF1" w14:textId="77777777" w:rsidR="0042548C" w:rsidRPr="0040553E" w:rsidRDefault="0042548C" w:rsidP="00210063">
      <w:pPr>
        <w:pStyle w:val="Brvesco-Normal"/>
        <w:spacing w:line="240" w:lineRule="auto"/>
        <w:ind w:left="-567" w:right="-284"/>
        <w:rPr>
          <w:rStyle w:val="accentuation01Car"/>
          <w:sz w:val="6"/>
          <w:szCs w:val="6"/>
        </w:rPr>
      </w:pPr>
    </w:p>
    <w:p w14:paraId="6E200208" w14:textId="5057B765" w:rsidR="00F253A8" w:rsidRDefault="00FF7EA8" w:rsidP="00210063">
      <w:pPr>
        <w:pStyle w:val="Brvesco-Normal"/>
        <w:spacing w:line="240" w:lineRule="auto"/>
        <w:ind w:left="-567" w:right="-284"/>
        <w:rPr>
          <w:rFonts w:ascii="Segoe UI" w:eastAsia="Times New Roman" w:hAnsi="Segoe UI" w:cs="Segoe UI"/>
          <w:szCs w:val="20"/>
          <w:lang w:eastAsia="fr-FR"/>
        </w:rPr>
      </w:pPr>
      <w:r w:rsidRPr="00FF7EA8">
        <w:rPr>
          <w:rStyle w:val="accentuation01Car"/>
        </w:rPr>
        <w:t>Les produits des industries alimentaires dégagent le principal solde excédentaire de la Belgique à hauteur de 9,6 Md€</w:t>
      </w:r>
      <w:r w:rsidRPr="00FB37A5">
        <w:rPr>
          <w:rFonts w:ascii="Segoe UI" w:eastAsia="Times New Roman" w:hAnsi="Segoe UI" w:cs="Segoe UI"/>
          <w:bCs/>
          <w:szCs w:val="20"/>
          <w:lang w:eastAsia="fr-FR"/>
        </w:rPr>
        <w:t xml:space="preserve"> (+2</w:t>
      </w:r>
      <w:r>
        <w:rPr>
          <w:rFonts w:ascii="Segoe UI" w:eastAsia="Times New Roman" w:hAnsi="Segoe UI" w:cs="Segoe UI"/>
          <w:bCs/>
          <w:szCs w:val="20"/>
          <w:lang w:eastAsia="fr-FR"/>
        </w:rPr>
        <w:t>3</w:t>
      </w:r>
      <w:r w:rsidRPr="00FB37A5">
        <w:rPr>
          <w:rFonts w:ascii="Segoe UI" w:eastAsia="Times New Roman" w:hAnsi="Segoe UI" w:cs="Segoe UI"/>
          <w:bCs/>
          <w:szCs w:val="20"/>
          <w:lang w:eastAsia="fr-FR"/>
        </w:rPr>
        <w:t>%), devant les matières plastiques et leurs dérivés (</w:t>
      </w:r>
      <w:r>
        <w:rPr>
          <w:rFonts w:ascii="Segoe UI" w:eastAsia="Times New Roman" w:hAnsi="Segoe UI" w:cs="Segoe UI"/>
          <w:bCs/>
          <w:szCs w:val="20"/>
          <w:lang w:eastAsia="fr-FR"/>
        </w:rPr>
        <w:t>6</w:t>
      </w:r>
      <w:r w:rsidRPr="00FB37A5">
        <w:rPr>
          <w:rFonts w:ascii="Segoe UI" w:eastAsia="Times New Roman" w:hAnsi="Segoe UI" w:cs="Segoe UI"/>
          <w:bCs/>
          <w:szCs w:val="20"/>
          <w:lang w:eastAsia="fr-FR"/>
        </w:rPr>
        <w:t>,</w:t>
      </w:r>
      <w:r>
        <w:rPr>
          <w:rFonts w:ascii="Segoe UI" w:eastAsia="Times New Roman" w:hAnsi="Segoe UI" w:cs="Segoe UI"/>
          <w:bCs/>
          <w:szCs w:val="20"/>
          <w:lang w:eastAsia="fr-FR"/>
        </w:rPr>
        <w:t>6</w:t>
      </w:r>
      <w:r w:rsidRPr="00FB37A5">
        <w:rPr>
          <w:rFonts w:ascii="Segoe UI" w:eastAsia="Times New Roman" w:hAnsi="Segoe UI" w:cs="Segoe UI"/>
          <w:bCs/>
          <w:szCs w:val="20"/>
          <w:lang w:eastAsia="fr-FR"/>
        </w:rPr>
        <w:t xml:space="preserve"> Md€, </w:t>
      </w:r>
      <w:r>
        <w:rPr>
          <w:rFonts w:ascii="Segoe UI" w:eastAsia="Times New Roman" w:hAnsi="Segoe UI" w:cs="Segoe UI"/>
          <w:bCs/>
          <w:szCs w:val="20"/>
          <w:lang w:eastAsia="fr-FR"/>
        </w:rPr>
        <w:t>-21%</w:t>
      </w:r>
      <w:r w:rsidRPr="00FB37A5">
        <w:rPr>
          <w:rFonts w:ascii="Segoe UI" w:eastAsia="Times New Roman" w:hAnsi="Segoe UI" w:cs="Segoe UI"/>
          <w:bCs/>
          <w:szCs w:val="20"/>
          <w:lang w:eastAsia="fr-FR"/>
        </w:rPr>
        <w:t>)</w:t>
      </w:r>
      <w:r>
        <w:rPr>
          <w:rFonts w:ascii="Segoe UI" w:eastAsia="Times New Roman" w:hAnsi="Segoe UI" w:cs="Segoe UI"/>
          <w:bCs/>
          <w:szCs w:val="20"/>
          <w:lang w:eastAsia="fr-FR"/>
        </w:rPr>
        <w:t>,</w:t>
      </w:r>
      <w:r w:rsidRPr="00FB37A5">
        <w:rPr>
          <w:rFonts w:ascii="Segoe UI" w:eastAsia="Times New Roman" w:hAnsi="Segoe UI" w:cs="Segoe UI"/>
          <w:bCs/>
          <w:szCs w:val="20"/>
          <w:lang w:eastAsia="fr-FR"/>
        </w:rPr>
        <w:t xml:space="preserve"> les produits des industries alimentaires</w:t>
      </w:r>
      <w:r>
        <w:rPr>
          <w:rStyle w:val="Appelnotedebasdep"/>
          <w:rFonts w:ascii="Segoe UI" w:eastAsia="Times New Roman" w:hAnsi="Segoe UI" w:cs="Segoe UI"/>
          <w:szCs w:val="20"/>
          <w:lang w:eastAsia="fr-FR"/>
        </w:rPr>
        <w:footnoteReference w:id="3"/>
      </w:r>
      <w:r w:rsidRPr="00FB37A5">
        <w:rPr>
          <w:rFonts w:ascii="Segoe UI" w:eastAsia="Times New Roman" w:hAnsi="Segoe UI" w:cs="Segoe UI"/>
          <w:bCs/>
          <w:szCs w:val="20"/>
          <w:lang w:eastAsia="fr-FR"/>
        </w:rPr>
        <w:t xml:space="preserve"> (7,9 Md€, +24%)</w:t>
      </w:r>
      <w:r>
        <w:rPr>
          <w:rFonts w:ascii="Segoe UI" w:eastAsia="Times New Roman" w:hAnsi="Segoe UI" w:cs="Segoe UI"/>
          <w:bCs/>
          <w:szCs w:val="20"/>
          <w:lang w:eastAsia="fr-FR"/>
        </w:rPr>
        <w:t xml:space="preserve"> et les métaux (3,8 Md€, -7%).</w:t>
      </w:r>
      <w:r w:rsidRPr="003E57DC">
        <w:rPr>
          <w:rFonts w:ascii="Segoe UI" w:eastAsia="Times New Roman" w:hAnsi="Segoe UI" w:cs="Segoe UI"/>
          <w:szCs w:val="20"/>
          <w:lang w:eastAsia="fr-FR"/>
        </w:rPr>
        <w:t xml:space="preserve"> </w:t>
      </w:r>
      <w:r>
        <w:rPr>
          <w:rFonts w:ascii="Segoe UI" w:eastAsia="Times New Roman" w:hAnsi="Segoe UI" w:cs="Segoe UI"/>
          <w:szCs w:val="20"/>
          <w:lang w:eastAsia="fr-FR"/>
        </w:rPr>
        <w:t xml:space="preserve">Les principaux déficits sectoriels concernent les produits minéraux (-19,7 Md€) et </w:t>
      </w:r>
      <w:r w:rsidRPr="003E57DC">
        <w:rPr>
          <w:rFonts w:ascii="Segoe UI" w:eastAsia="Times New Roman" w:hAnsi="Segoe UI" w:cs="Segoe UI"/>
          <w:szCs w:val="20"/>
          <w:lang w:eastAsia="fr-FR"/>
        </w:rPr>
        <w:t>les machines</w:t>
      </w:r>
      <w:r>
        <w:rPr>
          <w:rFonts w:ascii="Segoe UI" w:eastAsia="Times New Roman" w:hAnsi="Segoe UI" w:cs="Segoe UI"/>
          <w:szCs w:val="20"/>
          <w:lang w:eastAsia="fr-FR"/>
        </w:rPr>
        <w:t>/matériels électriques</w:t>
      </w:r>
      <w:r w:rsidRPr="003E57DC">
        <w:rPr>
          <w:rFonts w:ascii="Segoe UI" w:eastAsia="Times New Roman" w:hAnsi="Segoe UI" w:cs="Segoe UI"/>
          <w:b/>
          <w:szCs w:val="20"/>
          <w:lang w:eastAsia="fr-FR"/>
        </w:rPr>
        <w:t xml:space="preserve"> </w:t>
      </w:r>
      <w:r w:rsidRPr="003E57DC">
        <w:rPr>
          <w:rFonts w:ascii="Segoe UI" w:eastAsia="Times New Roman" w:hAnsi="Segoe UI" w:cs="Segoe UI"/>
          <w:szCs w:val="20"/>
          <w:lang w:eastAsia="fr-FR"/>
        </w:rPr>
        <w:t>(-1</w:t>
      </w:r>
      <w:r>
        <w:rPr>
          <w:rFonts w:ascii="Segoe UI" w:eastAsia="Times New Roman" w:hAnsi="Segoe UI" w:cs="Segoe UI"/>
          <w:szCs w:val="20"/>
          <w:lang w:eastAsia="fr-FR"/>
        </w:rPr>
        <w:t>6,2</w:t>
      </w:r>
      <w:r w:rsidRPr="003E57DC">
        <w:rPr>
          <w:rFonts w:ascii="Segoe UI" w:eastAsia="Times New Roman" w:hAnsi="Segoe UI" w:cs="Segoe UI"/>
          <w:szCs w:val="20"/>
          <w:lang w:eastAsia="fr-FR"/>
        </w:rPr>
        <w:t xml:space="preserve"> Md€).</w:t>
      </w:r>
    </w:p>
    <w:p w14:paraId="1C8D54CA" w14:textId="77777777" w:rsidR="00F253A8" w:rsidRPr="0040553E" w:rsidRDefault="00F253A8" w:rsidP="00210063">
      <w:pPr>
        <w:pStyle w:val="Brvesco-Normal"/>
        <w:spacing w:line="240" w:lineRule="auto"/>
        <w:ind w:left="-567" w:right="-284"/>
        <w:rPr>
          <w:rFonts w:ascii="Segoe UI" w:hAnsi="Segoe UI" w:cs="Segoe UI"/>
          <w:sz w:val="14"/>
          <w:szCs w:val="14"/>
        </w:rPr>
      </w:pPr>
    </w:p>
    <w:p w14:paraId="25EE239F" w14:textId="2E163A65" w:rsidR="00E51894" w:rsidRPr="00F253A8" w:rsidRDefault="00F253A8" w:rsidP="00210063">
      <w:pPr>
        <w:pStyle w:val="Brvesco-Normal"/>
        <w:spacing w:line="240" w:lineRule="auto"/>
        <w:ind w:left="-567" w:right="-284"/>
        <w:rPr>
          <w:rFonts w:ascii="Marianne Medium" w:hAnsi="Marianne Medium"/>
          <w:iCs/>
          <w:color w:val="auto"/>
          <w:sz w:val="22"/>
          <w:szCs w:val="22"/>
        </w:rPr>
      </w:pPr>
      <w:r w:rsidRPr="00F253A8">
        <w:rPr>
          <w:rFonts w:ascii="Segoe UI" w:hAnsi="Segoe UI" w:cs="Segoe UI"/>
          <w:b/>
          <w:color w:val="000091" w:themeColor="text1"/>
          <w:sz w:val="22"/>
          <w:szCs w:val="22"/>
        </w:rPr>
        <w:t xml:space="preserve">Les échanges de la Belgique demeurent principalement tournés vers ses pays frontaliers, tandis que la part des pays non européens se stabilise autour d’un tiers depuis 2000. </w:t>
      </w:r>
    </w:p>
    <w:p w14:paraId="2FA53D3F" w14:textId="77777777" w:rsidR="0040553E" w:rsidRPr="0040553E" w:rsidRDefault="0040553E" w:rsidP="008637F9">
      <w:pPr>
        <w:pStyle w:val="Titre02"/>
        <w:rPr>
          <w:rStyle w:val="Accentuation"/>
          <w:rFonts w:ascii="Segoe UI" w:hAnsi="Segoe UI"/>
          <w:sz w:val="10"/>
          <w:szCs w:val="10"/>
        </w:rPr>
      </w:pPr>
    </w:p>
    <w:p w14:paraId="6153B130" w14:textId="10ABC9C9" w:rsidR="00E67DBA" w:rsidRDefault="00E51894" w:rsidP="008637F9">
      <w:pPr>
        <w:pStyle w:val="Titre02"/>
        <w:rPr>
          <w:rStyle w:val="accentuation01Car"/>
        </w:rPr>
      </w:pPr>
      <w:r w:rsidRPr="00C53440">
        <w:rPr>
          <w:rStyle w:val="Accentuation"/>
          <w:rFonts w:ascii="Segoe UI" w:hAnsi="Segoe UI"/>
          <w:b/>
          <w:bCs w:val="0"/>
          <w:sz w:val="20"/>
        </w:rPr>
        <w:t>En 2022, les Pays-Bas, l’Allemagne et la France étaient les trois principaux partenaires commerciaux de la Belgique, avec une part dans le volume total d’échange de 45,1%, et la Flandre est de loin la première région d’échanges commerciaux.</w:t>
      </w:r>
      <w:r w:rsidRPr="008637F9">
        <w:rPr>
          <w:rStyle w:val="Accentuation"/>
          <w:rFonts w:ascii="Segoe UI" w:hAnsi="Segoe UI"/>
          <w:sz w:val="20"/>
        </w:rPr>
        <w:t xml:space="preserve"> </w:t>
      </w:r>
      <w:r w:rsidRPr="008637F9">
        <w:rPr>
          <w:rStyle w:val="accentuation01Car"/>
        </w:rPr>
        <w:t>En 2023, les trois principaux partenaires commerciaux de la Belgique sont les Pays-Bas (17,4%</w:t>
      </w:r>
      <w:r w:rsidRPr="008637F9">
        <w:rPr>
          <w:rStyle w:val="listeN-1Car"/>
          <w:rFonts w:ascii="Segoe UI" w:hAnsi="Segoe UI"/>
        </w:rPr>
        <w:t xml:space="preserve"> des échanges, soit 130,5 Md€), </w:t>
      </w:r>
      <w:r w:rsidRPr="008637F9">
        <w:rPr>
          <w:rStyle w:val="accentuation01Car"/>
        </w:rPr>
        <w:t>l’Allemagne (14,4%,</w:t>
      </w:r>
      <w:r w:rsidRPr="008637F9">
        <w:rPr>
          <w:rStyle w:val="listeN-1Car"/>
          <w:rFonts w:ascii="Segoe UI" w:hAnsi="Segoe UI"/>
        </w:rPr>
        <w:t xml:space="preserve"> soit 107,6 Md€) et la </w:t>
      </w:r>
      <w:r w:rsidRPr="008637F9">
        <w:rPr>
          <w:rStyle w:val="accentuation01Car"/>
        </w:rPr>
        <w:t>France (12,1%,</w:t>
      </w:r>
      <w:r w:rsidRPr="008637F9">
        <w:rPr>
          <w:rStyle w:val="listeN-1Car"/>
          <w:rFonts w:ascii="Segoe UI" w:hAnsi="Segoe UI"/>
        </w:rPr>
        <w:t xml:space="preserve"> soit 90,7 Md€) (cf. annexe 8). Les échanges bilatéraux avec ces trois voisins ont largement dépassé leur niveau d’avant-crise. Les trois premiers partenaires devancent les Etats-Unis (6,9% des échanges), le Royaume-Uni (4,7%) et l’Italie (4,3%).</w:t>
      </w:r>
      <w:r w:rsidR="00E67DBA" w:rsidRPr="008637F9">
        <w:rPr>
          <w:rStyle w:val="listeN-1Car"/>
          <w:rFonts w:ascii="Segoe UI" w:hAnsi="Segoe UI"/>
        </w:rPr>
        <w:t xml:space="preserve"> </w:t>
      </w:r>
      <w:r w:rsidRPr="008637F9">
        <w:rPr>
          <w:rStyle w:val="accentuation01Car"/>
        </w:rPr>
        <w:t>Les Pays-Bas demeurent le premier fournisseur de la Belgique, avec une part de marché de 21,2%, loin devant l’Allemagne (12,5%) et la France (11,6%)</w:t>
      </w:r>
      <w:r w:rsidRPr="008637F9">
        <w:t xml:space="preserve"> (cf. annexe 9). En revanche, ils sont son troisième client (13,5% des exportations belges), derrière l’Allemagne (16,3%) et la France (12,7%) (cf. annexe 10). Par conséquent, les Pays-Bas entretiennent un fort excédent vis-à-vis de la Belgique (32,5 Md€) (cf. annexe 12), tandis que l’Allemagne et la France présentent des déficits bilatéraux, respectivement de 11 Md€ et de 1,5 Md€ (cf. annexe 11). </w:t>
      </w:r>
      <w:r w:rsidRPr="008637F9">
        <w:rPr>
          <w:rStyle w:val="accentuation01Car"/>
        </w:rPr>
        <w:t>La Belgique enregistre ses deux premiers excédents avec l’Allemagne et le Royaume-Uni.</w:t>
      </w:r>
    </w:p>
    <w:p w14:paraId="0CB48B30" w14:textId="77777777" w:rsidR="008A2801" w:rsidRPr="008A2801" w:rsidRDefault="008A2801" w:rsidP="008637F9">
      <w:pPr>
        <w:pStyle w:val="Brvesco-Normal"/>
        <w:spacing w:line="240" w:lineRule="auto"/>
        <w:ind w:left="-567" w:right="-284"/>
        <w:rPr>
          <w:rStyle w:val="accentuation01Car"/>
          <w:color w:val="auto"/>
          <w:sz w:val="4"/>
          <w:szCs w:val="4"/>
        </w:rPr>
      </w:pPr>
    </w:p>
    <w:p w14:paraId="3CB49DB9" w14:textId="48555541" w:rsidR="008637F9" w:rsidRPr="008A2801" w:rsidRDefault="008A2801" w:rsidP="008637F9">
      <w:pPr>
        <w:pStyle w:val="Brvesco-Normal"/>
        <w:spacing w:line="240" w:lineRule="auto"/>
        <w:ind w:left="-567" w:right="-284"/>
        <w:rPr>
          <w:rFonts w:ascii="Segoe UI" w:hAnsi="Segoe UI" w:cs="Segoe UI"/>
          <w:szCs w:val="20"/>
        </w:rPr>
      </w:pPr>
      <w:r w:rsidRPr="008A2801">
        <w:rPr>
          <w:rStyle w:val="accentuation01Car"/>
          <w:color w:val="auto"/>
        </w:rPr>
        <w:t xml:space="preserve">Avec la France, le commerce extérieur belge s’établit à 90,7 Md€ - hors flux de transit, notamment énergétiques -, dont </w:t>
      </w:r>
      <w:r w:rsidRPr="008A2801">
        <w:rPr>
          <w:rStyle w:val="accentuation01Car"/>
        </w:rPr>
        <w:t>46,1 Md€ d’exportations belges</w:t>
      </w:r>
      <w:r w:rsidRPr="008A2801">
        <w:rPr>
          <w:rStyle w:val="accentuation01Car"/>
          <w:color w:val="auto"/>
        </w:rPr>
        <w:t xml:space="preserve"> et </w:t>
      </w:r>
      <w:r w:rsidRPr="008A2801">
        <w:rPr>
          <w:rStyle w:val="accentuation01Car"/>
        </w:rPr>
        <w:t>44,6 Md€ d’importations françaises</w:t>
      </w:r>
      <w:r w:rsidRPr="008A2801">
        <w:rPr>
          <w:rStyle w:val="accentuation01Car"/>
          <w:color w:val="auto"/>
        </w:rPr>
        <w:t xml:space="preserve">. </w:t>
      </w:r>
      <w:r w:rsidRPr="008A2801">
        <w:rPr>
          <w:rStyle w:val="accentuation01Car"/>
        </w:rPr>
        <w:t>Le solde du commerce bilatéral est positif pour la France de 1,5 Md€.</w:t>
      </w:r>
      <w:r w:rsidRPr="008A2801">
        <w:rPr>
          <w:rFonts w:ascii="Segoe UI" w:hAnsi="Segoe UI" w:cs="Segoe UI"/>
          <w:szCs w:val="20"/>
        </w:rPr>
        <w:t xml:space="preserve"> Les principaux produits échangés sont les produits des </w:t>
      </w:r>
      <w:r w:rsidRPr="008A2801">
        <w:rPr>
          <w:rStyle w:val="accentuation01Car"/>
        </w:rPr>
        <w:t>industries chimiques</w:t>
      </w:r>
      <w:r w:rsidRPr="008A2801">
        <w:rPr>
          <w:rFonts w:ascii="Segoe UI" w:hAnsi="Segoe UI" w:cs="Segoe UI"/>
          <w:szCs w:val="20"/>
        </w:rPr>
        <w:t xml:space="preserve"> (7,5 Md€ ; 16%), les </w:t>
      </w:r>
      <w:r w:rsidRPr="008A2801">
        <w:rPr>
          <w:rStyle w:val="accentuation01Car"/>
        </w:rPr>
        <w:t>métaux communs</w:t>
      </w:r>
      <w:r w:rsidRPr="008A2801">
        <w:rPr>
          <w:rFonts w:ascii="Segoe UI" w:hAnsi="Segoe UI" w:cs="Segoe UI"/>
          <w:szCs w:val="20"/>
        </w:rPr>
        <w:t xml:space="preserve"> (6 Md€ ; 13%) et les </w:t>
      </w:r>
      <w:r w:rsidRPr="008A2801">
        <w:rPr>
          <w:rStyle w:val="accentuation01Car"/>
        </w:rPr>
        <w:t>produits minéraux</w:t>
      </w:r>
      <w:r w:rsidRPr="008A2801">
        <w:rPr>
          <w:rFonts w:ascii="Segoe UI" w:hAnsi="Segoe UI" w:cs="Segoe UI"/>
          <w:szCs w:val="20"/>
        </w:rPr>
        <w:t xml:space="preserve"> (5,4 Md€ ; 12%) pour les exportations ; les produits des </w:t>
      </w:r>
      <w:r w:rsidRPr="008A2801">
        <w:rPr>
          <w:rStyle w:val="accentuation01Car"/>
        </w:rPr>
        <w:t>industries chimiques</w:t>
      </w:r>
      <w:r w:rsidRPr="008A2801">
        <w:rPr>
          <w:rFonts w:ascii="Segoe UI" w:hAnsi="Segoe UI" w:cs="Segoe UI"/>
          <w:szCs w:val="20"/>
        </w:rPr>
        <w:t xml:space="preserve"> (8,4 Md€ ; 19%), le </w:t>
      </w:r>
      <w:r w:rsidRPr="008A2801">
        <w:rPr>
          <w:rStyle w:val="accentuation01Car"/>
        </w:rPr>
        <w:t>matériel de transport</w:t>
      </w:r>
      <w:r w:rsidRPr="008A2801">
        <w:rPr>
          <w:rFonts w:ascii="Segoe UI" w:hAnsi="Segoe UI" w:cs="Segoe UI"/>
          <w:szCs w:val="20"/>
        </w:rPr>
        <w:t xml:space="preserve"> (6,9 Md€ ; 15%) et les </w:t>
      </w:r>
      <w:r w:rsidRPr="008A2801">
        <w:rPr>
          <w:rStyle w:val="accentuation01Car"/>
        </w:rPr>
        <w:t>produits minéraux</w:t>
      </w:r>
      <w:r w:rsidRPr="008A2801">
        <w:rPr>
          <w:rFonts w:ascii="Segoe UI" w:hAnsi="Segoe UI" w:cs="Segoe UI"/>
          <w:szCs w:val="20"/>
        </w:rPr>
        <w:t xml:space="preserve"> (4,8 Md€ ; 11%) pour les importations.</w:t>
      </w:r>
    </w:p>
    <w:p w14:paraId="2B1E9BAA" w14:textId="77777777" w:rsidR="008A2801" w:rsidRPr="0040553E" w:rsidRDefault="008A2801" w:rsidP="008637F9">
      <w:pPr>
        <w:pStyle w:val="Brvesco-Normal"/>
        <w:spacing w:line="240" w:lineRule="auto"/>
        <w:ind w:left="-567" w:right="-284"/>
        <w:rPr>
          <w:rStyle w:val="accentuation01Car"/>
          <w:sz w:val="6"/>
          <w:szCs w:val="6"/>
        </w:rPr>
      </w:pPr>
    </w:p>
    <w:p w14:paraId="748E682E" w14:textId="28074419" w:rsidR="00727B73" w:rsidRPr="0040553E" w:rsidRDefault="00E51894" w:rsidP="008637F9">
      <w:pPr>
        <w:pStyle w:val="Titre02"/>
        <w:rPr>
          <w:rStyle w:val="Lienhypertexte"/>
          <w:b/>
          <w:bCs w:val="0"/>
          <w:color w:val="auto"/>
          <w:u w:val="none"/>
        </w:rPr>
      </w:pPr>
      <w:r w:rsidRPr="0040553E">
        <w:t xml:space="preserve">En outre, alors qu’elle représente </w:t>
      </w:r>
      <w:r w:rsidR="00477DF8">
        <w:t>60% du PIB de la Belgique</w:t>
      </w:r>
      <w:r w:rsidRPr="0040553E">
        <w:t xml:space="preserve">, la </w:t>
      </w:r>
      <w:r w:rsidR="00477DF8">
        <w:t>Région flamande</w:t>
      </w:r>
      <w:r w:rsidRPr="0040553E">
        <w:t xml:space="preserve"> </w:t>
      </w:r>
      <w:r w:rsidR="00477DF8">
        <w:t>est à l’origine d</w:t>
      </w:r>
      <w:r w:rsidRPr="0040553E">
        <w:t>e 81,4% du commerce de biens belge</w:t>
      </w:r>
      <w:r w:rsidR="00477DF8">
        <w:t>s</w:t>
      </w:r>
      <w:r w:rsidRPr="0040553E">
        <w:t xml:space="preserve"> en 2023 (609,5Md€), devant la Wallonie (14,3%, soit 106,9Md€) et Bruxelles-Capitale (4,3%, soit 26,9 Md€). Cette surreprésentation de la Flandre dans le commerce extérieur de la Belgique s’explique par le fait que les deux principales portes d’accès aux marchés étrangers (le port d’Anvers</w:t>
      </w:r>
      <w:r w:rsidR="00477DF8">
        <w:t>-Bruges</w:t>
      </w:r>
      <w:r w:rsidRPr="0040553E">
        <w:t xml:space="preserve"> et l’aéroport de Zaventem) se trouvent en Région flamande. Bien que minoritaire dans les échanges, la Wallonie est la seule région à présenter un excédent commercial (+21,1 Md€), alors que la Flandre et Bruxelles-Capitale enregistrent des déficits commerciaux de respectivement 33,5</w:t>
      </w:r>
      <w:r w:rsidR="00F253A8" w:rsidRPr="0040553E">
        <w:t xml:space="preserve"> </w:t>
      </w:r>
      <w:r w:rsidRPr="0040553E">
        <w:t>et 8,6 Md€ (cf. annexe 14).</w:t>
      </w:r>
    </w:p>
    <w:p w14:paraId="1FDA0CCC" w14:textId="77777777" w:rsidR="00727B73" w:rsidRPr="00477DF8" w:rsidRDefault="00727B73" w:rsidP="00210063">
      <w:pPr>
        <w:pStyle w:val="Brvesco-Normal"/>
        <w:spacing w:line="240" w:lineRule="auto"/>
        <w:ind w:left="-567" w:right="-284"/>
        <w:rPr>
          <w:rStyle w:val="Lienhypertexte"/>
          <w:rFonts w:ascii="Segoe UI" w:hAnsi="Segoe UI" w:cs="Segoe UI"/>
          <w:noProof/>
          <w:color w:val="auto"/>
          <w:sz w:val="8"/>
          <w:szCs w:val="8"/>
          <w:u w:val="none"/>
        </w:rPr>
      </w:pPr>
    </w:p>
    <w:p w14:paraId="34579083" w14:textId="2F19DABF" w:rsidR="00727B73" w:rsidRPr="00F253A8" w:rsidRDefault="00727B73" w:rsidP="00210063">
      <w:pPr>
        <w:pStyle w:val="Brvesco-Normal"/>
        <w:spacing w:line="240" w:lineRule="auto"/>
        <w:ind w:left="-567" w:right="-284"/>
        <w:rPr>
          <w:rStyle w:val="Lienhypertexte"/>
          <w:rFonts w:ascii="Segoe UI" w:hAnsi="Segoe UI" w:cs="Segoe UI"/>
          <w:color w:val="auto"/>
          <w:szCs w:val="20"/>
          <w:u w:val="none"/>
        </w:rPr>
      </w:pPr>
      <w:r w:rsidRPr="00727B73">
        <w:rPr>
          <w:rStyle w:val="Accentuation"/>
          <w:rFonts w:ascii="Segoe UI" w:hAnsi="Segoe UI" w:cs="Segoe UI"/>
          <w:b/>
          <w:bCs/>
          <w:sz w:val="20"/>
          <w:szCs w:val="20"/>
        </w:rPr>
        <w:t xml:space="preserve">Les pays non membres de l’UE </w:t>
      </w:r>
      <w:r w:rsidRPr="00727B73">
        <w:rPr>
          <w:rFonts w:ascii="Segoe UI" w:hAnsi="Segoe UI" w:cs="Segoe UI"/>
          <w:b/>
          <w:bCs/>
          <w:color w:val="auto"/>
          <w:szCs w:val="20"/>
        </w:rPr>
        <w:t>représentent plus du tiers du commerce extérieur belge de biens tandis qu’ils demeurent marginaux dans les échanges de services.</w:t>
      </w:r>
      <w:r>
        <w:rPr>
          <w:rFonts w:ascii="Segoe UI" w:hAnsi="Segoe UI" w:cs="Segoe UI"/>
          <w:b/>
          <w:bCs/>
          <w:szCs w:val="20"/>
        </w:rPr>
        <w:t xml:space="preserve"> </w:t>
      </w:r>
      <w:r w:rsidRPr="00727B73">
        <w:rPr>
          <w:rStyle w:val="accentuation01Car"/>
        </w:rPr>
        <w:t>La part des échanges de biens de la Belgique avec ses partenaires non membres de l’Union européenne s’élève en 2023 à 34,6%</w:t>
      </w:r>
      <w:r w:rsidRPr="001B2089">
        <w:rPr>
          <w:rFonts w:ascii="Segoe UI" w:eastAsia="Times New Roman" w:hAnsi="Segoe UI" w:cs="Segoe UI"/>
          <w:szCs w:val="20"/>
          <w:lang w:eastAsia="fr-FR"/>
        </w:rPr>
        <w:t>, en légère</w:t>
      </w:r>
      <w:r>
        <w:rPr>
          <w:rFonts w:ascii="Segoe UI" w:eastAsia="Times New Roman" w:hAnsi="Segoe UI" w:cs="Segoe UI"/>
          <w:szCs w:val="20"/>
          <w:lang w:eastAsia="fr-FR"/>
        </w:rPr>
        <w:t xml:space="preserve"> baisse par rapport à 2022</w:t>
      </w:r>
      <w:r w:rsidRPr="001B2089">
        <w:rPr>
          <w:rFonts w:ascii="Segoe UI" w:eastAsia="Times New Roman" w:hAnsi="Segoe UI" w:cs="Segoe UI"/>
          <w:szCs w:val="20"/>
          <w:lang w:eastAsia="fr-FR"/>
        </w:rPr>
        <w:t>.</w:t>
      </w:r>
      <w:r w:rsidRPr="001B2089">
        <w:rPr>
          <w:rFonts w:ascii="Segoe UI" w:eastAsia="Times New Roman" w:hAnsi="Segoe UI" w:cs="Segoe UI"/>
          <w:b/>
          <w:szCs w:val="20"/>
          <w:lang w:eastAsia="fr-FR"/>
        </w:rPr>
        <w:t xml:space="preserve"> </w:t>
      </w:r>
      <w:r w:rsidRPr="00727B73">
        <w:rPr>
          <w:rStyle w:val="accentuation01Car"/>
        </w:rPr>
        <w:t>Le poids des partenaires extra-européens a progressé entre 2009 et 2016, passant de 31,2% à 36,3%</w:t>
      </w:r>
      <w:r w:rsidRPr="00EE36FC">
        <w:rPr>
          <w:rFonts w:ascii="Segoe UI" w:eastAsia="Times New Roman" w:hAnsi="Segoe UI" w:cs="Segoe UI"/>
          <w:szCs w:val="20"/>
          <w:lang w:eastAsia="fr-FR"/>
        </w:rPr>
        <w:t xml:space="preserve">, mais s’est stabilisé depuis. </w:t>
      </w:r>
      <w:r w:rsidRPr="005A5544">
        <w:rPr>
          <w:rFonts w:ascii="Segoe UI" w:eastAsia="Times New Roman" w:hAnsi="Segoe UI" w:cs="Segoe UI"/>
          <w:szCs w:val="20"/>
          <w:lang w:eastAsia="fr-FR"/>
        </w:rPr>
        <w:t xml:space="preserve">La hausse du volume d’échange avec les partenaires non membres de l’UE s’est accompagnée d’une détérioration du solde commercial belge vis-à-vis de ces derniers : alors qu’il était excédentaire </w:t>
      </w:r>
      <w:r>
        <w:rPr>
          <w:rFonts w:ascii="Segoe UI" w:eastAsia="Times New Roman" w:hAnsi="Segoe UI" w:cs="Segoe UI"/>
          <w:szCs w:val="20"/>
          <w:lang w:eastAsia="fr-FR"/>
        </w:rPr>
        <w:t xml:space="preserve">jusqu’en </w:t>
      </w:r>
      <w:r w:rsidRPr="005A5544">
        <w:rPr>
          <w:rFonts w:ascii="Segoe UI" w:eastAsia="Times New Roman" w:hAnsi="Segoe UI" w:cs="Segoe UI"/>
          <w:szCs w:val="20"/>
          <w:lang w:eastAsia="fr-FR"/>
        </w:rPr>
        <w:t>2021, il est déficitaire en 202</w:t>
      </w:r>
      <w:r>
        <w:rPr>
          <w:rFonts w:ascii="Segoe UI" w:eastAsia="Times New Roman" w:hAnsi="Segoe UI" w:cs="Segoe UI"/>
          <w:szCs w:val="20"/>
          <w:lang w:eastAsia="fr-FR"/>
        </w:rPr>
        <w:t>3</w:t>
      </w:r>
      <w:r w:rsidRPr="005A5544">
        <w:rPr>
          <w:rFonts w:ascii="Segoe UI" w:eastAsia="Times New Roman" w:hAnsi="Segoe UI" w:cs="Segoe UI"/>
          <w:szCs w:val="20"/>
          <w:lang w:eastAsia="fr-FR"/>
        </w:rPr>
        <w:t xml:space="preserve"> à hauteur de -</w:t>
      </w:r>
      <w:r>
        <w:rPr>
          <w:rFonts w:ascii="Segoe UI" w:eastAsia="Times New Roman" w:hAnsi="Segoe UI" w:cs="Segoe UI"/>
          <w:szCs w:val="20"/>
          <w:lang w:eastAsia="fr-FR"/>
        </w:rPr>
        <w:t xml:space="preserve">1,2 </w:t>
      </w:r>
      <w:r w:rsidRPr="005A5544">
        <w:rPr>
          <w:rFonts w:ascii="Segoe UI" w:eastAsia="Times New Roman" w:hAnsi="Segoe UI" w:cs="Segoe UI"/>
          <w:szCs w:val="20"/>
          <w:lang w:eastAsia="fr-FR"/>
        </w:rPr>
        <w:t xml:space="preserve">Md€. </w:t>
      </w:r>
      <w:r w:rsidRPr="00727B73">
        <w:rPr>
          <w:rStyle w:val="accentuation01Car"/>
        </w:rPr>
        <w:t>Deux des cinq premiers déficits commerciaux belges sont avec des pays non membres de l’UE</w:t>
      </w:r>
      <w:r w:rsidRPr="00727B73">
        <w:rPr>
          <w:rFonts w:ascii="Segoe UI" w:eastAsia="Times New Roman" w:hAnsi="Segoe UI" w:cs="Segoe UI"/>
          <w:b/>
          <w:bCs/>
          <w:szCs w:val="20"/>
          <w:lang w:eastAsia="fr-FR"/>
        </w:rPr>
        <w:t> </w:t>
      </w:r>
      <w:r w:rsidRPr="00727B73">
        <w:rPr>
          <w:rFonts w:ascii="Segoe UI" w:eastAsia="Times New Roman" w:hAnsi="Segoe UI" w:cs="Segoe UI"/>
          <w:szCs w:val="20"/>
          <w:lang w:eastAsia="fr-FR"/>
        </w:rPr>
        <w:t>: la Chine (3</w:t>
      </w:r>
      <w:r w:rsidRPr="00727B73">
        <w:rPr>
          <w:rFonts w:ascii="Segoe UI" w:eastAsia="Times New Roman" w:hAnsi="Segoe UI" w:cs="Segoe UI"/>
          <w:szCs w:val="20"/>
          <w:vertAlign w:val="superscript"/>
          <w:lang w:eastAsia="fr-FR"/>
        </w:rPr>
        <w:t>ème</w:t>
      </w:r>
      <w:r w:rsidRPr="00727B73">
        <w:rPr>
          <w:rFonts w:ascii="Segoe UI" w:eastAsia="Times New Roman" w:hAnsi="Segoe UI" w:cs="Segoe UI"/>
          <w:szCs w:val="20"/>
          <w:lang w:eastAsia="fr-FR"/>
        </w:rPr>
        <w:t xml:space="preserve"> déficit ; -</w:t>
      </w:r>
      <w:r w:rsidR="00F253A8">
        <w:rPr>
          <w:rFonts w:ascii="Segoe UI" w:eastAsia="Times New Roman" w:hAnsi="Segoe UI" w:cs="Segoe UI"/>
          <w:szCs w:val="20"/>
          <w:lang w:eastAsia="fr-FR"/>
        </w:rPr>
        <w:t>6,9</w:t>
      </w:r>
      <w:r w:rsidRPr="00727B73">
        <w:rPr>
          <w:rFonts w:ascii="Segoe UI" w:eastAsia="Times New Roman" w:hAnsi="Segoe UI" w:cs="Segoe UI"/>
          <w:szCs w:val="20"/>
          <w:lang w:eastAsia="fr-FR"/>
        </w:rPr>
        <w:t xml:space="preserve"> </w:t>
      </w:r>
      <w:r w:rsidRPr="00727B73">
        <w:rPr>
          <w:rFonts w:ascii="Segoe UI" w:hAnsi="Segoe UI" w:cs="Segoe UI"/>
          <w:szCs w:val="20"/>
        </w:rPr>
        <w:t>Md€) et la Norvège (4</w:t>
      </w:r>
      <w:r w:rsidRPr="00727B73">
        <w:rPr>
          <w:rFonts w:ascii="Segoe UI" w:hAnsi="Segoe UI" w:cs="Segoe UI"/>
          <w:szCs w:val="20"/>
          <w:vertAlign w:val="superscript"/>
        </w:rPr>
        <w:t>ème</w:t>
      </w:r>
      <w:r w:rsidRPr="00727B73">
        <w:rPr>
          <w:rFonts w:ascii="Segoe UI" w:hAnsi="Segoe UI" w:cs="Segoe UI"/>
          <w:szCs w:val="20"/>
        </w:rPr>
        <w:t xml:space="preserve"> déficit ; -5,4 Md€).</w:t>
      </w:r>
      <w:r w:rsidRPr="00727B73">
        <w:rPr>
          <w:rFonts w:ascii="Segoe UI" w:eastAsia="Times New Roman" w:hAnsi="Segoe UI" w:cs="Segoe UI"/>
          <w:bCs/>
          <w:szCs w:val="20"/>
          <w:lang w:eastAsia="fr-FR"/>
        </w:rPr>
        <w:t xml:space="preserve"> </w:t>
      </w:r>
    </w:p>
    <w:p w14:paraId="10ED6039" w14:textId="77777777" w:rsidR="0040553E" w:rsidRPr="008A2801" w:rsidRDefault="0040553E" w:rsidP="00210063">
      <w:pPr>
        <w:spacing w:after="0" w:line="240" w:lineRule="auto"/>
        <w:ind w:left="-567" w:right="-284"/>
        <w:jc w:val="center"/>
        <w:rPr>
          <w:rFonts w:ascii="Arial" w:hAnsi="Arial" w:cs="Arial"/>
          <w:color w:val="E4A503" w:themeColor="accent2" w:themeShade="BF"/>
        </w:rPr>
      </w:pPr>
    </w:p>
    <w:p w14:paraId="54C54F82" w14:textId="034F3693" w:rsidR="00756A18" w:rsidRPr="00F253A8" w:rsidRDefault="00557E89" w:rsidP="00210063">
      <w:pPr>
        <w:spacing w:after="0" w:line="240" w:lineRule="auto"/>
        <w:ind w:left="-567" w:right="-284"/>
        <w:jc w:val="center"/>
        <w:rPr>
          <w:rFonts w:ascii="Arial" w:hAnsi="Arial" w:cs="Arial"/>
          <w:b/>
          <w:bCs/>
          <w:color w:val="E4A503" w:themeColor="accent2" w:themeShade="BF"/>
          <w:sz w:val="28"/>
          <w:szCs w:val="28"/>
        </w:rPr>
      </w:pPr>
      <w:r w:rsidRPr="00A0743B">
        <w:rPr>
          <w:rFonts w:ascii="Arial" w:hAnsi="Arial" w:cs="Arial"/>
          <w:b/>
          <w:bCs/>
          <w:color w:val="E4A503" w:themeColor="accent2" w:themeShade="BF"/>
          <w:sz w:val="28"/>
          <w:szCs w:val="28"/>
        </w:rPr>
        <w:t>* * *</w:t>
      </w:r>
    </w:p>
    <w:p w14:paraId="59996FF7" w14:textId="77777777" w:rsidR="00A001F2" w:rsidRDefault="00727B73" w:rsidP="00A001F2">
      <w:pPr>
        <w:pStyle w:val="Introconclusion"/>
        <w:spacing w:after="0"/>
        <w:ind w:left="-567" w:right="-284"/>
      </w:pPr>
      <w:r>
        <w:t>En 2023, le commerce extérieur de la Belgique s’est contracté en valeur de 12,7% pour les importations et de 17,3% pour les exportations. Cette contraction s’explique par une diminution notable du commerce de combustibles minéraux à la faveur</w:t>
      </w:r>
      <w:r w:rsidRPr="006854CB">
        <w:t xml:space="preserve"> </w:t>
      </w:r>
      <w:r>
        <w:t>de la normalisation des pr</w:t>
      </w:r>
      <w:r w:rsidRPr="00A61603">
        <w:t>ix de l’énergie</w:t>
      </w:r>
      <w:r w:rsidRPr="00D10A6E">
        <w:t>,</w:t>
      </w:r>
      <w:r w:rsidRPr="00D51245">
        <w:t xml:space="preserve"> et des produits pharmaceutiques. D’un point de vue géographique, les exportations belges baissent en Europe (-17%), chutent en Afrique (-24,6%) tandis qu’elles augmentent légèrement avec la Chine (+5%).</w:t>
      </w:r>
    </w:p>
    <w:p w14:paraId="1A19BD57" w14:textId="6E692DF2" w:rsidR="008909AC" w:rsidRDefault="00756A18" w:rsidP="00A001F2">
      <w:pPr>
        <w:pStyle w:val="Introconclusion"/>
        <w:spacing w:after="0"/>
        <w:ind w:left="-567" w:right="-284"/>
        <w:rPr>
          <w:rStyle w:val="Rfrenceintense"/>
        </w:rPr>
      </w:pPr>
      <w:r>
        <w:rPr>
          <w:b/>
          <w:sz w:val="18"/>
          <w:szCs w:val="18"/>
        </w:rPr>
        <w:br w:type="page"/>
      </w:r>
      <w:r w:rsidR="008909AC" w:rsidRPr="00247905">
        <w:rPr>
          <w:rStyle w:val="Rfrenceintense"/>
        </w:rPr>
        <w:lastRenderedPageBreak/>
        <w:t xml:space="preserve">ANNEXE </w:t>
      </w:r>
      <w:r w:rsidR="008909AC">
        <w:rPr>
          <w:rStyle w:val="Rfrenceintense"/>
        </w:rPr>
        <w:t xml:space="preserve">1 </w:t>
      </w:r>
      <w:r w:rsidR="008909AC" w:rsidRPr="00247905">
        <w:rPr>
          <w:rStyle w:val="Rfrenceintense"/>
        </w:rPr>
        <w:t>: Evolution d</w:t>
      </w:r>
      <w:r w:rsidR="008909AC">
        <w:rPr>
          <w:rStyle w:val="Rfrenceintense"/>
        </w:rPr>
        <w:t>u volume d’</w:t>
      </w:r>
      <w:r w:rsidR="008909AC" w:rsidRPr="00247905">
        <w:rPr>
          <w:rStyle w:val="Rfrenceintense"/>
        </w:rPr>
        <w:t xml:space="preserve">échanges de </w:t>
      </w:r>
      <w:r w:rsidR="008909AC">
        <w:rPr>
          <w:rStyle w:val="Rfrenceintense"/>
        </w:rPr>
        <w:t>biens de la Belgique sur les neuf derniers trimestres (en M</w:t>
      </w:r>
      <w:r w:rsidR="008909AC" w:rsidRPr="00A46BE5">
        <w:rPr>
          <w:rStyle w:val="Rfrenceintense"/>
        </w:rPr>
        <w:t>€</w:t>
      </w:r>
      <w:r w:rsidR="008909AC">
        <w:rPr>
          <w:rStyle w:val="Rfrenceintense"/>
        </w:rPr>
        <w:t>)</w:t>
      </w:r>
    </w:p>
    <w:p w14:paraId="6881833A" w14:textId="77777777" w:rsidR="008909AC" w:rsidRDefault="008909AC" w:rsidP="008909AC">
      <w:pPr>
        <w:jc w:val="center"/>
        <w:rPr>
          <w:rFonts w:ascii="Calibri" w:eastAsia="Times New Roman" w:hAnsi="Calibri" w:cs="Calibri"/>
          <w:i/>
          <w:iCs/>
          <w:color w:val="000000"/>
          <w:lang w:eastAsia="fr-FR"/>
        </w:rPr>
      </w:pPr>
    </w:p>
    <w:p w14:paraId="4B9432FE" w14:textId="77777777" w:rsidR="008909AC" w:rsidRPr="001B2089" w:rsidRDefault="008909AC" w:rsidP="008909AC">
      <w:pPr>
        <w:spacing w:line="240" w:lineRule="auto"/>
        <w:jc w:val="center"/>
        <w:rPr>
          <w:rFonts w:ascii="Segoe UI" w:hAnsi="Segoe UI" w:cs="Segoe UI"/>
          <w:b/>
          <w:szCs w:val="24"/>
        </w:rPr>
      </w:pPr>
      <w:r>
        <w:rPr>
          <w:noProof/>
        </w:rPr>
        <w:drawing>
          <wp:inline distT="0" distB="0" distL="0" distR="0" wp14:anchorId="59925B61" wp14:editId="5EC88D0D">
            <wp:extent cx="4572000" cy="2743200"/>
            <wp:effectExtent l="0" t="0" r="0" b="0"/>
            <wp:docPr id="12" name="Graphique 12">
              <a:extLst xmlns:a="http://schemas.openxmlformats.org/drawingml/2006/main">
                <a:ext uri="{FF2B5EF4-FFF2-40B4-BE49-F238E27FC236}">
                  <a16:creationId xmlns:a16="http://schemas.microsoft.com/office/drawing/2014/main" id="{C345C2F4-8D9F-4656-BF14-4517DA40D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751BD5" w14:textId="77777777" w:rsidR="008909AC" w:rsidRDefault="008909AC" w:rsidP="008909AC">
      <w:pPr>
        <w:jc w:val="center"/>
        <w:rPr>
          <w:rFonts w:ascii="Calibri" w:eastAsia="Times New Roman" w:hAnsi="Calibri" w:cs="Calibri"/>
          <w:i/>
          <w:iCs/>
          <w:color w:val="000000"/>
          <w:lang w:eastAsia="fr-FR"/>
        </w:rPr>
      </w:pPr>
      <w:r w:rsidRPr="001B2089">
        <w:rPr>
          <w:rFonts w:ascii="Calibri" w:eastAsia="Times New Roman" w:hAnsi="Calibri" w:cs="Calibri"/>
          <w:i/>
          <w:iCs/>
          <w:color w:val="000000"/>
          <w:lang w:eastAsia="fr-FR"/>
        </w:rPr>
        <w:t>Source : Banque nationale de Belgique ; graphique : SE de Bruxelles</w:t>
      </w:r>
    </w:p>
    <w:p w14:paraId="5814EF87" w14:textId="1AB980E4" w:rsidR="00756A18" w:rsidRPr="00E67DBA" w:rsidRDefault="00756A18" w:rsidP="00210063">
      <w:pPr>
        <w:pStyle w:val="Introconclusion"/>
        <w:spacing w:after="0"/>
        <w:ind w:left="-567" w:right="-284"/>
      </w:pPr>
    </w:p>
    <w:p w14:paraId="6C94DA5F" w14:textId="56F0A0F0" w:rsidR="00522321" w:rsidRPr="008909AC" w:rsidRDefault="00522321" w:rsidP="008909AC">
      <w:pPr>
        <w:rPr>
          <w:rFonts w:ascii="Segoe UI" w:hAnsi="Segoe UI" w:cs="Segoe UI"/>
          <w:b/>
          <w:sz w:val="18"/>
          <w:szCs w:val="18"/>
        </w:rPr>
      </w:pPr>
      <w:r>
        <w:rPr>
          <w:rFonts w:ascii="Segoe UI" w:hAnsi="Segoe UI" w:cs="Segoe UI"/>
          <w:bCs/>
          <w:noProof/>
          <w:color w:val="000091" w:themeColor="text1"/>
          <w:sz w:val="24"/>
          <w:szCs w:val="28"/>
        </w:rPr>
        <mc:AlternateContent>
          <mc:Choice Requires="wps">
            <w:drawing>
              <wp:anchor distT="0" distB="0" distL="114300" distR="114300" simplePos="0" relativeHeight="251642880" behindDoc="1" locked="0" layoutInCell="1" allowOverlap="1" wp14:anchorId="5F263577" wp14:editId="3421D4CC">
                <wp:simplePos x="0" y="0"/>
                <wp:positionH relativeFrom="page">
                  <wp:posOffset>-81864</wp:posOffset>
                </wp:positionH>
                <wp:positionV relativeFrom="page">
                  <wp:posOffset>-65868</wp:posOffset>
                </wp:positionV>
                <wp:extent cx="7677664" cy="13262919"/>
                <wp:effectExtent l="0" t="0" r="0" b="0"/>
                <wp:wrapNone/>
                <wp:docPr id="10" name="Rectangle 10"/>
                <wp:cNvGraphicFramePr/>
                <a:graphic xmlns:a="http://schemas.openxmlformats.org/drawingml/2006/main">
                  <a:graphicData uri="http://schemas.microsoft.com/office/word/2010/wordprocessingShape">
                    <wps:wsp>
                      <wps:cNvSpPr/>
                      <wps:spPr>
                        <a:xfrm>
                          <a:off x="0" y="0"/>
                          <a:ext cx="7677664" cy="13262919"/>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CD42B" w14:textId="6D45FD75" w:rsidR="008909AC" w:rsidRDefault="008909AC" w:rsidP="008909AC">
                            <w:pPr>
                              <w:rPr>
                                <w:rFonts w:ascii="Calibri" w:eastAsia="Times New Roman" w:hAnsi="Calibri" w:cs="Calibri"/>
                                <w:i/>
                                <w:iCs/>
                                <w:color w:val="000000"/>
                                <w:lang w:eastAsia="fr-FR"/>
                              </w:rPr>
                            </w:pPr>
                          </w:p>
                          <w:p w14:paraId="209B0369" w14:textId="77777777" w:rsidR="008909AC" w:rsidRDefault="008909AC" w:rsidP="008909AC">
                            <w:pPr>
                              <w:rPr>
                                <w:rFonts w:ascii="Calibri" w:eastAsia="Times New Roman" w:hAnsi="Calibri" w:cs="Calibri"/>
                                <w:i/>
                                <w:iCs/>
                                <w:color w:val="000000"/>
                                <w:lang w:eastAsia="fr-FR"/>
                              </w:rPr>
                            </w:pPr>
                          </w:p>
                          <w:p w14:paraId="65D64B24" w14:textId="7A923B0F" w:rsidR="008909AC" w:rsidRDefault="008909AC" w:rsidP="008909AC">
                            <w:pPr>
                              <w:spacing w:line="240" w:lineRule="auto"/>
                              <w:jc w:val="center"/>
                              <w:rPr>
                                <w:rFonts w:ascii="Calibri" w:eastAsia="Times New Roman" w:hAnsi="Calibri" w:cs="Calibri"/>
                                <w:b/>
                                <w:bCs/>
                                <w:color w:val="000000"/>
                                <w:sz w:val="26"/>
                                <w:szCs w:val="26"/>
                                <w:lang w:eastAsia="fr-FR"/>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2</w:t>
                            </w:r>
                            <w:r w:rsidRPr="009854A7">
                              <w:rPr>
                                <w:rFonts w:ascii="Segoe UI" w:hAnsi="Segoe UI" w:cs="Segoe UI"/>
                                <w:bCs/>
                                <w:color w:val="000091" w:themeColor="text1"/>
                                <w:sz w:val="24"/>
                                <w:szCs w:val="28"/>
                              </w:rPr>
                              <w:t> </w:t>
                            </w:r>
                            <w:r w:rsidRPr="00727B73">
                              <w:rPr>
                                <w:rStyle w:val="Rfrenceintense"/>
                              </w:rPr>
                              <w:t>: Evolution du solde commercial et du volume d'échange de biens de la Belgique entre 2022 e</w:t>
                            </w:r>
                            <w:r>
                              <w:rPr>
                                <w:rStyle w:val="Rfrenceintense"/>
                              </w:rPr>
                              <w:t xml:space="preserve">t </w:t>
                            </w:r>
                            <w:r w:rsidRPr="00727B73">
                              <w:rPr>
                                <w:rStyle w:val="Rfrenceintense"/>
                              </w:rPr>
                              <w:t>2023 - concept national et communautaire</w:t>
                            </w:r>
                          </w:p>
                          <w:tbl>
                            <w:tblPr>
                              <w:tblW w:w="9780" w:type="dxa"/>
                              <w:tblInd w:w="1544" w:type="dxa"/>
                              <w:tblCellMar>
                                <w:left w:w="70" w:type="dxa"/>
                                <w:right w:w="70" w:type="dxa"/>
                              </w:tblCellMar>
                              <w:tblLook w:val="04A0" w:firstRow="1" w:lastRow="0" w:firstColumn="1" w:lastColumn="0" w:noHBand="0" w:noVBand="1"/>
                            </w:tblPr>
                            <w:tblGrid>
                              <w:gridCol w:w="2126"/>
                              <w:gridCol w:w="1984"/>
                              <w:gridCol w:w="1985"/>
                              <w:gridCol w:w="2126"/>
                              <w:gridCol w:w="1559"/>
                            </w:tblGrid>
                            <w:tr w:rsidR="008909AC" w:rsidRPr="001734CB" w14:paraId="5E724A18" w14:textId="77777777" w:rsidTr="008909AC">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9BD0" w14:textId="77777777" w:rsidR="008909AC" w:rsidRPr="001734CB" w:rsidRDefault="008909AC" w:rsidP="008909AC">
                                  <w:pPr>
                                    <w:spacing w:line="240" w:lineRule="auto"/>
                                    <w:rPr>
                                      <w:rFonts w:ascii="Calibri" w:eastAsia="Times New Roman" w:hAnsi="Calibri" w:cs="Calibri"/>
                                      <w:color w:val="000000"/>
                                      <w:lang w:eastAsia="fr-FR"/>
                                    </w:rPr>
                                  </w:pPr>
                                  <w:bookmarkStart w:id="1" w:name="_Hlk170230885"/>
                                  <w:r w:rsidRPr="001734CB">
                                    <w:rPr>
                                      <w:rFonts w:ascii="Calibri" w:eastAsia="Times New Roman" w:hAnsi="Calibri" w:cs="Calibri"/>
                                      <w:color w:val="000000"/>
                                      <w:lang w:eastAsia="fr-FR"/>
                                    </w:rPr>
                                    <w:t> </w:t>
                                  </w:r>
                                </w:p>
                              </w:tc>
                              <w:tc>
                                <w:tcPr>
                                  <w:tcW w:w="396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A1F5E71"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Concept National</w:t>
                                  </w:r>
                                  <w:r>
                                    <w:rPr>
                                      <w:rFonts w:ascii="Calibri" w:eastAsia="Times New Roman" w:hAnsi="Calibri" w:cs="Calibri"/>
                                      <w:color w:val="000000"/>
                                      <w:lang w:eastAsia="fr-FR"/>
                                    </w:rPr>
                                    <w:t xml:space="preserve"> (BNB)</w:t>
                                  </w:r>
                                </w:p>
                              </w:tc>
                              <w:tc>
                                <w:tcPr>
                                  <w:tcW w:w="368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076F3C3"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Concept communautaire</w:t>
                                  </w:r>
                                  <w:r>
                                    <w:rPr>
                                      <w:rFonts w:ascii="Calibri" w:eastAsia="Times New Roman" w:hAnsi="Calibri" w:cs="Calibri"/>
                                      <w:color w:val="000000"/>
                                      <w:lang w:eastAsia="fr-FR"/>
                                    </w:rPr>
                                    <w:t xml:space="preserve"> (Eurostat)</w:t>
                                  </w:r>
                                </w:p>
                              </w:tc>
                            </w:tr>
                            <w:tr w:rsidR="008909AC" w:rsidRPr="001734CB" w14:paraId="0C650A1D"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619154C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center"/>
                                  <w:hideMark/>
                                </w:tcPr>
                                <w:p w14:paraId="1F6E633C"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2022</w:t>
                                  </w:r>
                                </w:p>
                              </w:tc>
                              <w:tc>
                                <w:tcPr>
                                  <w:tcW w:w="1985" w:type="dxa"/>
                                  <w:tcBorders>
                                    <w:top w:val="nil"/>
                                    <w:left w:val="nil"/>
                                    <w:bottom w:val="single" w:sz="4" w:space="0" w:color="auto"/>
                                    <w:right w:val="single" w:sz="4" w:space="0" w:color="auto"/>
                                  </w:tcBorders>
                                  <w:shd w:val="clear" w:color="auto" w:fill="auto"/>
                                  <w:noWrap/>
                                  <w:vAlign w:val="center"/>
                                  <w:hideMark/>
                                </w:tcPr>
                                <w:p w14:paraId="68E1C1D2"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2023</w:t>
                                  </w:r>
                                </w:p>
                              </w:tc>
                              <w:tc>
                                <w:tcPr>
                                  <w:tcW w:w="2126" w:type="dxa"/>
                                  <w:tcBorders>
                                    <w:top w:val="nil"/>
                                    <w:left w:val="nil"/>
                                    <w:bottom w:val="single" w:sz="4" w:space="0" w:color="auto"/>
                                    <w:right w:val="single" w:sz="4" w:space="0" w:color="auto"/>
                                  </w:tcBorders>
                                  <w:shd w:val="clear" w:color="auto" w:fill="auto"/>
                                  <w:noWrap/>
                                  <w:vAlign w:val="center"/>
                                  <w:hideMark/>
                                </w:tcPr>
                                <w:p w14:paraId="37D58B01"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2022</w:t>
                                  </w:r>
                                </w:p>
                              </w:tc>
                              <w:tc>
                                <w:tcPr>
                                  <w:tcW w:w="1559" w:type="dxa"/>
                                  <w:tcBorders>
                                    <w:top w:val="nil"/>
                                    <w:left w:val="nil"/>
                                    <w:bottom w:val="single" w:sz="4" w:space="0" w:color="auto"/>
                                    <w:right w:val="single" w:sz="4" w:space="0" w:color="auto"/>
                                  </w:tcBorders>
                                  <w:shd w:val="clear" w:color="auto" w:fill="auto"/>
                                  <w:noWrap/>
                                  <w:vAlign w:val="center"/>
                                  <w:hideMark/>
                                </w:tcPr>
                                <w:p w14:paraId="1642668E"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2023</w:t>
                                  </w:r>
                                </w:p>
                              </w:tc>
                            </w:tr>
                            <w:tr w:rsidR="008909AC" w:rsidRPr="001734CB" w14:paraId="29806CF9"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1B41BAAD"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Import</w:t>
                                  </w:r>
                                </w:p>
                              </w:tc>
                              <w:tc>
                                <w:tcPr>
                                  <w:tcW w:w="1984" w:type="dxa"/>
                                  <w:tcBorders>
                                    <w:top w:val="nil"/>
                                    <w:left w:val="nil"/>
                                    <w:bottom w:val="single" w:sz="4" w:space="0" w:color="auto"/>
                                    <w:right w:val="single" w:sz="4" w:space="0" w:color="auto"/>
                                  </w:tcBorders>
                                  <w:shd w:val="clear" w:color="auto" w:fill="auto"/>
                                  <w:noWrap/>
                                  <w:vAlign w:val="bottom"/>
                                  <w:hideMark/>
                                </w:tcPr>
                                <w:p w14:paraId="43A344E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441 074 </w:t>
                                  </w:r>
                                </w:p>
                              </w:tc>
                              <w:tc>
                                <w:tcPr>
                                  <w:tcW w:w="1985" w:type="dxa"/>
                                  <w:tcBorders>
                                    <w:top w:val="nil"/>
                                    <w:left w:val="nil"/>
                                    <w:bottom w:val="single" w:sz="4" w:space="0" w:color="auto"/>
                                    <w:right w:val="single" w:sz="4" w:space="0" w:color="auto"/>
                                  </w:tcBorders>
                                  <w:shd w:val="clear" w:color="auto" w:fill="auto"/>
                                  <w:noWrap/>
                                  <w:vAlign w:val="bottom"/>
                                  <w:hideMark/>
                                </w:tcPr>
                                <w:p w14:paraId="69974BC0"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384 865 </w:t>
                                  </w:r>
                                </w:p>
                              </w:tc>
                              <w:tc>
                                <w:tcPr>
                                  <w:tcW w:w="2126" w:type="dxa"/>
                                  <w:tcBorders>
                                    <w:top w:val="nil"/>
                                    <w:left w:val="nil"/>
                                    <w:bottom w:val="single" w:sz="4" w:space="0" w:color="auto"/>
                                    <w:right w:val="single" w:sz="4" w:space="0" w:color="auto"/>
                                  </w:tcBorders>
                                  <w:shd w:val="clear" w:color="auto" w:fill="auto"/>
                                  <w:noWrap/>
                                  <w:vAlign w:val="bottom"/>
                                  <w:hideMark/>
                                </w:tcPr>
                                <w:p w14:paraId="6C41EBED"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588 732 </w:t>
                                  </w:r>
                                </w:p>
                              </w:tc>
                              <w:tc>
                                <w:tcPr>
                                  <w:tcW w:w="1559" w:type="dxa"/>
                                  <w:tcBorders>
                                    <w:top w:val="nil"/>
                                    <w:left w:val="nil"/>
                                    <w:bottom w:val="single" w:sz="4" w:space="0" w:color="auto"/>
                                    <w:right w:val="single" w:sz="4" w:space="0" w:color="auto"/>
                                  </w:tcBorders>
                                  <w:shd w:val="clear" w:color="auto" w:fill="auto"/>
                                  <w:noWrap/>
                                  <w:vAlign w:val="bottom"/>
                                  <w:hideMark/>
                                </w:tcPr>
                                <w:p w14:paraId="3804C182"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509 353 </w:t>
                                  </w:r>
                                </w:p>
                              </w:tc>
                            </w:tr>
                            <w:tr w:rsidR="008909AC" w:rsidRPr="001734CB" w14:paraId="3360D146"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3EE150A4"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Export</w:t>
                                  </w:r>
                                </w:p>
                              </w:tc>
                              <w:tc>
                                <w:tcPr>
                                  <w:tcW w:w="1984" w:type="dxa"/>
                                  <w:tcBorders>
                                    <w:top w:val="nil"/>
                                    <w:left w:val="nil"/>
                                    <w:bottom w:val="single" w:sz="4" w:space="0" w:color="auto"/>
                                    <w:right w:val="single" w:sz="4" w:space="0" w:color="auto"/>
                                  </w:tcBorders>
                                  <w:shd w:val="clear" w:color="auto" w:fill="auto"/>
                                  <w:noWrap/>
                                  <w:vAlign w:val="bottom"/>
                                  <w:hideMark/>
                                </w:tcPr>
                                <w:p w14:paraId="64DF88A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440 490 </w:t>
                                  </w:r>
                                </w:p>
                              </w:tc>
                              <w:tc>
                                <w:tcPr>
                                  <w:tcW w:w="1985" w:type="dxa"/>
                                  <w:tcBorders>
                                    <w:top w:val="nil"/>
                                    <w:left w:val="nil"/>
                                    <w:bottom w:val="single" w:sz="4" w:space="0" w:color="auto"/>
                                    <w:right w:val="single" w:sz="4" w:space="0" w:color="auto"/>
                                  </w:tcBorders>
                                  <w:shd w:val="clear" w:color="auto" w:fill="auto"/>
                                  <w:noWrap/>
                                  <w:vAlign w:val="bottom"/>
                                  <w:hideMark/>
                                </w:tcPr>
                                <w:p w14:paraId="6E8A7024"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363 951 </w:t>
                                  </w:r>
                                </w:p>
                              </w:tc>
                              <w:tc>
                                <w:tcPr>
                                  <w:tcW w:w="2126" w:type="dxa"/>
                                  <w:tcBorders>
                                    <w:top w:val="nil"/>
                                    <w:left w:val="nil"/>
                                    <w:bottom w:val="single" w:sz="4" w:space="0" w:color="auto"/>
                                    <w:right w:val="single" w:sz="4" w:space="0" w:color="auto"/>
                                  </w:tcBorders>
                                  <w:shd w:val="clear" w:color="auto" w:fill="auto"/>
                                  <w:noWrap/>
                                  <w:vAlign w:val="bottom"/>
                                  <w:hideMark/>
                                </w:tcPr>
                                <w:p w14:paraId="4FFD107C"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606 448 </w:t>
                                  </w:r>
                                </w:p>
                              </w:tc>
                              <w:tc>
                                <w:tcPr>
                                  <w:tcW w:w="1559" w:type="dxa"/>
                                  <w:tcBorders>
                                    <w:top w:val="nil"/>
                                    <w:left w:val="nil"/>
                                    <w:bottom w:val="single" w:sz="4" w:space="0" w:color="auto"/>
                                    <w:right w:val="single" w:sz="4" w:space="0" w:color="auto"/>
                                  </w:tcBorders>
                                  <w:shd w:val="clear" w:color="auto" w:fill="auto"/>
                                  <w:noWrap/>
                                  <w:vAlign w:val="bottom"/>
                                  <w:hideMark/>
                                </w:tcPr>
                                <w:p w14:paraId="3A6E452E"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525 632 </w:t>
                                  </w:r>
                                </w:p>
                              </w:tc>
                            </w:tr>
                            <w:tr w:rsidR="008909AC" w:rsidRPr="001734CB" w14:paraId="180DE050"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244942EC"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Balance commerciale</w:t>
                                  </w:r>
                                </w:p>
                              </w:tc>
                              <w:tc>
                                <w:tcPr>
                                  <w:tcW w:w="1984" w:type="dxa"/>
                                  <w:tcBorders>
                                    <w:top w:val="nil"/>
                                    <w:left w:val="nil"/>
                                    <w:bottom w:val="single" w:sz="4" w:space="0" w:color="auto"/>
                                    <w:right w:val="single" w:sz="4" w:space="0" w:color="auto"/>
                                  </w:tcBorders>
                                  <w:shd w:val="clear" w:color="auto" w:fill="auto"/>
                                  <w:noWrap/>
                                  <w:vAlign w:val="bottom"/>
                                  <w:hideMark/>
                                </w:tcPr>
                                <w:p w14:paraId="29991F11"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- 584</w:t>
                                  </w:r>
                                </w:p>
                              </w:tc>
                              <w:tc>
                                <w:tcPr>
                                  <w:tcW w:w="1985" w:type="dxa"/>
                                  <w:tcBorders>
                                    <w:top w:val="nil"/>
                                    <w:left w:val="nil"/>
                                    <w:bottom w:val="single" w:sz="4" w:space="0" w:color="auto"/>
                                    <w:right w:val="single" w:sz="4" w:space="0" w:color="auto"/>
                                  </w:tcBorders>
                                  <w:shd w:val="clear" w:color="auto" w:fill="auto"/>
                                  <w:noWrap/>
                                  <w:vAlign w:val="bottom"/>
                                  <w:hideMark/>
                                </w:tcPr>
                                <w:p w14:paraId="7249A604"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- 20 914</w:t>
                                  </w:r>
                                </w:p>
                              </w:tc>
                              <w:tc>
                                <w:tcPr>
                                  <w:tcW w:w="2126" w:type="dxa"/>
                                  <w:tcBorders>
                                    <w:top w:val="nil"/>
                                    <w:left w:val="nil"/>
                                    <w:bottom w:val="single" w:sz="4" w:space="0" w:color="auto"/>
                                    <w:right w:val="single" w:sz="4" w:space="0" w:color="auto"/>
                                  </w:tcBorders>
                                  <w:shd w:val="clear" w:color="auto" w:fill="auto"/>
                                  <w:noWrap/>
                                  <w:vAlign w:val="bottom"/>
                                  <w:hideMark/>
                                </w:tcPr>
                                <w:p w14:paraId="0E72D54D"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17 716</w:t>
                                  </w:r>
                                </w:p>
                              </w:tc>
                              <w:tc>
                                <w:tcPr>
                                  <w:tcW w:w="1559" w:type="dxa"/>
                                  <w:tcBorders>
                                    <w:top w:val="nil"/>
                                    <w:left w:val="nil"/>
                                    <w:bottom w:val="single" w:sz="4" w:space="0" w:color="auto"/>
                                    <w:right w:val="single" w:sz="4" w:space="0" w:color="auto"/>
                                  </w:tcBorders>
                                  <w:shd w:val="clear" w:color="auto" w:fill="auto"/>
                                  <w:noWrap/>
                                  <w:vAlign w:val="bottom"/>
                                  <w:hideMark/>
                                </w:tcPr>
                                <w:p w14:paraId="666DA989"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16 279</w:t>
                                  </w:r>
                                </w:p>
                              </w:tc>
                            </w:tr>
                            <w:tr w:rsidR="008909AC" w:rsidRPr="001734CB" w14:paraId="1E696247"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676313FC"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Total des échanges</w:t>
                                  </w:r>
                                </w:p>
                              </w:tc>
                              <w:tc>
                                <w:tcPr>
                                  <w:tcW w:w="1984" w:type="dxa"/>
                                  <w:tcBorders>
                                    <w:top w:val="nil"/>
                                    <w:left w:val="nil"/>
                                    <w:bottom w:val="single" w:sz="4" w:space="0" w:color="auto"/>
                                    <w:right w:val="single" w:sz="4" w:space="0" w:color="auto"/>
                                  </w:tcBorders>
                                  <w:shd w:val="clear" w:color="auto" w:fill="auto"/>
                                  <w:noWrap/>
                                  <w:vAlign w:val="bottom"/>
                                  <w:hideMark/>
                                </w:tcPr>
                                <w:p w14:paraId="5F0289DB"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881 563 </w:t>
                                  </w:r>
                                </w:p>
                              </w:tc>
                              <w:tc>
                                <w:tcPr>
                                  <w:tcW w:w="1985" w:type="dxa"/>
                                  <w:tcBorders>
                                    <w:top w:val="nil"/>
                                    <w:left w:val="nil"/>
                                    <w:bottom w:val="single" w:sz="4" w:space="0" w:color="auto"/>
                                    <w:right w:val="single" w:sz="4" w:space="0" w:color="auto"/>
                                  </w:tcBorders>
                                  <w:shd w:val="clear" w:color="auto" w:fill="auto"/>
                                  <w:noWrap/>
                                  <w:vAlign w:val="bottom"/>
                                  <w:hideMark/>
                                </w:tcPr>
                                <w:p w14:paraId="7F6F7231"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748 817 </w:t>
                                  </w:r>
                                </w:p>
                              </w:tc>
                              <w:tc>
                                <w:tcPr>
                                  <w:tcW w:w="2126" w:type="dxa"/>
                                  <w:tcBorders>
                                    <w:top w:val="nil"/>
                                    <w:left w:val="nil"/>
                                    <w:bottom w:val="single" w:sz="4" w:space="0" w:color="auto"/>
                                    <w:right w:val="single" w:sz="4" w:space="0" w:color="auto"/>
                                  </w:tcBorders>
                                  <w:shd w:val="clear" w:color="auto" w:fill="auto"/>
                                  <w:noWrap/>
                                  <w:vAlign w:val="bottom"/>
                                  <w:hideMark/>
                                </w:tcPr>
                                <w:p w14:paraId="717CC79F"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1 195 180 </w:t>
                                  </w:r>
                                </w:p>
                              </w:tc>
                              <w:tc>
                                <w:tcPr>
                                  <w:tcW w:w="1559" w:type="dxa"/>
                                  <w:tcBorders>
                                    <w:top w:val="nil"/>
                                    <w:left w:val="nil"/>
                                    <w:bottom w:val="single" w:sz="4" w:space="0" w:color="auto"/>
                                    <w:right w:val="single" w:sz="4" w:space="0" w:color="auto"/>
                                  </w:tcBorders>
                                  <w:shd w:val="clear" w:color="auto" w:fill="auto"/>
                                  <w:noWrap/>
                                  <w:vAlign w:val="bottom"/>
                                  <w:hideMark/>
                                </w:tcPr>
                                <w:p w14:paraId="5B03087C"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1 034 986 </w:t>
                                  </w:r>
                                </w:p>
                              </w:tc>
                            </w:tr>
                            <w:tr w:rsidR="008909AC" w:rsidRPr="001734CB" w14:paraId="5BA9731C"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4BEC007B"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Variation 2022-2023</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DB3B7C"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-15,1%</w:t>
                                  </w:r>
                                </w:p>
                              </w:tc>
                              <w:tc>
                                <w:tcPr>
                                  <w:tcW w:w="36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85E4DA"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-15,5%</w:t>
                                  </w:r>
                                </w:p>
                              </w:tc>
                            </w:tr>
                            <w:bookmarkEnd w:id="1"/>
                          </w:tbl>
                          <w:p w14:paraId="46E8A71B" w14:textId="665F8585" w:rsidR="00A46BE5" w:rsidRDefault="00A46BE5" w:rsidP="00A46BE5">
                            <w:pPr>
                              <w:spacing w:line="240" w:lineRule="auto"/>
                              <w:jc w:val="center"/>
                              <w:rPr>
                                <w:rFonts w:ascii="Segoe UI" w:hAnsi="Segoe UI" w:cs="Segoe UI"/>
                                <w:b/>
                                <w:sz w:val="24"/>
                                <w:szCs w:val="24"/>
                              </w:rPr>
                            </w:pPr>
                          </w:p>
                          <w:p w14:paraId="1B54D9F2" w14:textId="781F8B4D" w:rsidR="00522321" w:rsidRPr="00A46BE5" w:rsidRDefault="00A46BE5" w:rsidP="00A46BE5">
                            <w:pPr>
                              <w:spacing w:line="240" w:lineRule="auto"/>
                              <w:jc w:val="center"/>
                              <w:rPr>
                                <w:rFonts w:ascii="Calibri" w:eastAsia="Times New Roman" w:hAnsi="Calibri" w:cs="Calibri"/>
                                <w:i/>
                                <w:iCs/>
                                <w:color w:val="000000"/>
                                <w:lang w:eastAsia="fr-FR"/>
                              </w:rPr>
                            </w:pPr>
                            <w:r w:rsidRPr="001B2089">
                              <w:rPr>
                                <w:rFonts w:ascii="Calibri" w:eastAsia="Times New Roman" w:hAnsi="Calibri" w:cs="Calibri"/>
                                <w:i/>
                                <w:iCs/>
                                <w:color w:val="000000"/>
                                <w:lang w:eastAsia="fr-FR"/>
                              </w:rPr>
                              <w:t>Source : Banque nationale de Belgique ; graphique : SE de Bruxelles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63577" id="Rectangle 10" o:spid="_x0000_s1030" style="position:absolute;margin-left:-6.45pt;margin-top:-5.2pt;width:604.55pt;height:1044.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" fillcolor="#fef8e8" stroked="f" strokeweight="1pt">
                <v:textbox>
                  <w:txbxContent>
                    <w:p w14:paraId="074CD42B" w14:textId="6D45FD75" w:rsidR="008909AC" w:rsidRDefault="008909AC" w:rsidP="008909AC">
                      <w:pPr>
                        <w:rPr>
                          <w:rFonts w:ascii="Calibri" w:eastAsia="Times New Roman" w:hAnsi="Calibri" w:cs="Calibri"/>
                          <w:i/>
                          <w:iCs/>
                          <w:color w:val="000000"/>
                          <w:lang w:eastAsia="fr-FR"/>
                        </w:rPr>
                      </w:pPr>
                    </w:p>
                    <w:p w14:paraId="209B0369" w14:textId="77777777" w:rsidR="008909AC" w:rsidRDefault="008909AC" w:rsidP="008909AC">
                      <w:pPr>
                        <w:rPr>
                          <w:rFonts w:ascii="Calibri" w:eastAsia="Times New Roman" w:hAnsi="Calibri" w:cs="Calibri"/>
                          <w:i/>
                          <w:iCs/>
                          <w:color w:val="000000"/>
                          <w:lang w:eastAsia="fr-FR"/>
                        </w:rPr>
                      </w:pPr>
                    </w:p>
                    <w:p w14:paraId="65D64B24" w14:textId="7A923B0F" w:rsidR="008909AC" w:rsidRDefault="008909AC" w:rsidP="008909AC">
                      <w:pPr>
                        <w:spacing w:line="240" w:lineRule="auto"/>
                        <w:jc w:val="center"/>
                        <w:rPr>
                          <w:rFonts w:ascii="Calibri" w:eastAsia="Times New Roman" w:hAnsi="Calibri" w:cs="Calibri"/>
                          <w:b/>
                          <w:bCs/>
                          <w:color w:val="000000"/>
                          <w:sz w:val="26"/>
                          <w:szCs w:val="26"/>
                          <w:lang w:eastAsia="fr-FR"/>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2</w:t>
                      </w:r>
                      <w:r w:rsidRPr="009854A7">
                        <w:rPr>
                          <w:rFonts w:ascii="Segoe UI" w:hAnsi="Segoe UI" w:cs="Segoe UI"/>
                          <w:bCs/>
                          <w:color w:val="000091" w:themeColor="text1"/>
                          <w:sz w:val="24"/>
                          <w:szCs w:val="28"/>
                        </w:rPr>
                        <w:t> </w:t>
                      </w:r>
                      <w:r w:rsidRPr="00727B73">
                        <w:rPr>
                          <w:rStyle w:val="Rfrenceintense"/>
                        </w:rPr>
                        <w:t>: Evolution du solde commercial et du volume d'échange de biens de la Belgique entre 2022 e</w:t>
                      </w:r>
                      <w:r>
                        <w:rPr>
                          <w:rStyle w:val="Rfrenceintense"/>
                        </w:rPr>
                        <w:t xml:space="preserve">t </w:t>
                      </w:r>
                      <w:r w:rsidRPr="00727B73">
                        <w:rPr>
                          <w:rStyle w:val="Rfrenceintense"/>
                        </w:rPr>
                        <w:t>2023 - concept national et communautaire</w:t>
                      </w:r>
                    </w:p>
                    <w:tbl>
                      <w:tblPr>
                        <w:tblW w:w="9780" w:type="dxa"/>
                        <w:tblInd w:w="1544" w:type="dxa"/>
                        <w:tblCellMar>
                          <w:left w:w="70" w:type="dxa"/>
                          <w:right w:w="70" w:type="dxa"/>
                        </w:tblCellMar>
                        <w:tblLook w:val="04A0" w:firstRow="1" w:lastRow="0" w:firstColumn="1" w:lastColumn="0" w:noHBand="0" w:noVBand="1"/>
                      </w:tblPr>
                      <w:tblGrid>
                        <w:gridCol w:w="2126"/>
                        <w:gridCol w:w="1984"/>
                        <w:gridCol w:w="1985"/>
                        <w:gridCol w:w="2126"/>
                        <w:gridCol w:w="1559"/>
                      </w:tblGrid>
                      <w:tr w:rsidR="008909AC" w:rsidRPr="001734CB" w14:paraId="5E724A18" w14:textId="77777777" w:rsidTr="008909AC">
                        <w:trPr>
                          <w:trHeight w:val="300"/>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D9BD0" w14:textId="77777777" w:rsidR="008909AC" w:rsidRPr="001734CB" w:rsidRDefault="008909AC" w:rsidP="008909AC">
                            <w:pPr>
                              <w:spacing w:line="240" w:lineRule="auto"/>
                              <w:rPr>
                                <w:rFonts w:ascii="Calibri" w:eastAsia="Times New Roman" w:hAnsi="Calibri" w:cs="Calibri"/>
                                <w:color w:val="000000"/>
                                <w:lang w:eastAsia="fr-FR"/>
                              </w:rPr>
                            </w:pPr>
                            <w:bookmarkStart w:id="2" w:name="_Hlk170230885"/>
                            <w:r w:rsidRPr="001734CB">
                              <w:rPr>
                                <w:rFonts w:ascii="Calibri" w:eastAsia="Times New Roman" w:hAnsi="Calibri" w:cs="Calibri"/>
                                <w:color w:val="000000"/>
                                <w:lang w:eastAsia="fr-FR"/>
                              </w:rPr>
                              <w:t> </w:t>
                            </w:r>
                          </w:p>
                        </w:tc>
                        <w:tc>
                          <w:tcPr>
                            <w:tcW w:w="3969"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A1F5E71"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Concept National</w:t>
                            </w:r>
                            <w:r>
                              <w:rPr>
                                <w:rFonts w:ascii="Calibri" w:eastAsia="Times New Roman" w:hAnsi="Calibri" w:cs="Calibri"/>
                                <w:color w:val="000000"/>
                                <w:lang w:eastAsia="fr-FR"/>
                              </w:rPr>
                              <w:t xml:space="preserve"> (BNB)</w:t>
                            </w:r>
                          </w:p>
                        </w:tc>
                        <w:tc>
                          <w:tcPr>
                            <w:tcW w:w="368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076F3C3"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Concept communautaire</w:t>
                            </w:r>
                            <w:r>
                              <w:rPr>
                                <w:rFonts w:ascii="Calibri" w:eastAsia="Times New Roman" w:hAnsi="Calibri" w:cs="Calibri"/>
                                <w:color w:val="000000"/>
                                <w:lang w:eastAsia="fr-FR"/>
                              </w:rPr>
                              <w:t xml:space="preserve"> (Eurostat)</w:t>
                            </w:r>
                          </w:p>
                        </w:tc>
                      </w:tr>
                      <w:tr w:rsidR="008909AC" w:rsidRPr="001734CB" w14:paraId="0C650A1D"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619154C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w:t>
                            </w:r>
                          </w:p>
                        </w:tc>
                        <w:tc>
                          <w:tcPr>
                            <w:tcW w:w="1984" w:type="dxa"/>
                            <w:tcBorders>
                              <w:top w:val="nil"/>
                              <w:left w:val="nil"/>
                              <w:bottom w:val="single" w:sz="4" w:space="0" w:color="auto"/>
                              <w:right w:val="single" w:sz="4" w:space="0" w:color="auto"/>
                            </w:tcBorders>
                            <w:shd w:val="clear" w:color="auto" w:fill="auto"/>
                            <w:noWrap/>
                            <w:vAlign w:val="center"/>
                            <w:hideMark/>
                          </w:tcPr>
                          <w:p w14:paraId="1F6E633C"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2022</w:t>
                            </w:r>
                          </w:p>
                        </w:tc>
                        <w:tc>
                          <w:tcPr>
                            <w:tcW w:w="1985" w:type="dxa"/>
                            <w:tcBorders>
                              <w:top w:val="nil"/>
                              <w:left w:val="nil"/>
                              <w:bottom w:val="single" w:sz="4" w:space="0" w:color="auto"/>
                              <w:right w:val="single" w:sz="4" w:space="0" w:color="auto"/>
                            </w:tcBorders>
                            <w:shd w:val="clear" w:color="auto" w:fill="auto"/>
                            <w:noWrap/>
                            <w:vAlign w:val="center"/>
                            <w:hideMark/>
                          </w:tcPr>
                          <w:p w14:paraId="68E1C1D2"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2023</w:t>
                            </w:r>
                          </w:p>
                        </w:tc>
                        <w:tc>
                          <w:tcPr>
                            <w:tcW w:w="2126" w:type="dxa"/>
                            <w:tcBorders>
                              <w:top w:val="nil"/>
                              <w:left w:val="nil"/>
                              <w:bottom w:val="single" w:sz="4" w:space="0" w:color="auto"/>
                              <w:right w:val="single" w:sz="4" w:space="0" w:color="auto"/>
                            </w:tcBorders>
                            <w:shd w:val="clear" w:color="auto" w:fill="auto"/>
                            <w:noWrap/>
                            <w:vAlign w:val="center"/>
                            <w:hideMark/>
                          </w:tcPr>
                          <w:p w14:paraId="37D58B01"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2022</w:t>
                            </w:r>
                          </w:p>
                        </w:tc>
                        <w:tc>
                          <w:tcPr>
                            <w:tcW w:w="1559" w:type="dxa"/>
                            <w:tcBorders>
                              <w:top w:val="nil"/>
                              <w:left w:val="nil"/>
                              <w:bottom w:val="single" w:sz="4" w:space="0" w:color="auto"/>
                              <w:right w:val="single" w:sz="4" w:space="0" w:color="auto"/>
                            </w:tcBorders>
                            <w:shd w:val="clear" w:color="auto" w:fill="auto"/>
                            <w:noWrap/>
                            <w:vAlign w:val="center"/>
                            <w:hideMark/>
                          </w:tcPr>
                          <w:p w14:paraId="1642668E" w14:textId="77777777" w:rsidR="008909AC" w:rsidRPr="001734CB" w:rsidRDefault="008909AC" w:rsidP="008909AC">
                            <w:pPr>
                              <w:spacing w:line="240" w:lineRule="auto"/>
                              <w:jc w:val="center"/>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2023</w:t>
                            </w:r>
                          </w:p>
                        </w:tc>
                      </w:tr>
                      <w:tr w:rsidR="008909AC" w:rsidRPr="001734CB" w14:paraId="29806CF9"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1B41BAAD"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Import</w:t>
                            </w:r>
                          </w:p>
                        </w:tc>
                        <w:tc>
                          <w:tcPr>
                            <w:tcW w:w="1984" w:type="dxa"/>
                            <w:tcBorders>
                              <w:top w:val="nil"/>
                              <w:left w:val="nil"/>
                              <w:bottom w:val="single" w:sz="4" w:space="0" w:color="auto"/>
                              <w:right w:val="single" w:sz="4" w:space="0" w:color="auto"/>
                            </w:tcBorders>
                            <w:shd w:val="clear" w:color="auto" w:fill="auto"/>
                            <w:noWrap/>
                            <w:vAlign w:val="bottom"/>
                            <w:hideMark/>
                          </w:tcPr>
                          <w:p w14:paraId="43A344E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441 074 </w:t>
                            </w:r>
                          </w:p>
                        </w:tc>
                        <w:tc>
                          <w:tcPr>
                            <w:tcW w:w="1985" w:type="dxa"/>
                            <w:tcBorders>
                              <w:top w:val="nil"/>
                              <w:left w:val="nil"/>
                              <w:bottom w:val="single" w:sz="4" w:space="0" w:color="auto"/>
                              <w:right w:val="single" w:sz="4" w:space="0" w:color="auto"/>
                            </w:tcBorders>
                            <w:shd w:val="clear" w:color="auto" w:fill="auto"/>
                            <w:noWrap/>
                            <w:vAlign w:val="bottom"/>
                            <w:hideMark/>
                          </w:tcPr>
                          <w:p w14:paraId="69974BC0"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384 865 </w:t>
                            </w:r>
                          </w:p>
                        </w:tc>
                        <w:tc>
                          <w:tcPr>
                            <w:tcW w:w="2126" w:type="dxa"/>
                            <w:tcBorders>
                              <w:top w:val="nil"/>
                              <w:left w:val="nil"/>
                              <w:bottom w:val="single" w:sz="4" w:space="0" w:color="auto"/>
                              <w:right w:val="single" w:sz="4" w:space="0" w:color="auto"/>
                            </w:tcBorders>
                            <w:shd w:val="clear" w:color="auto" w:fill="auto"/>
                            <w:noWrap/>
                            <w:vAlign w:val="bottom"/>
                            <w:hideMark/>
                          </w:tcPr>
                          <w:p w14:paraId="6C41EBED"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588 732 </w:t>
                            </w:r>
                          </w:p>
                        </w:tc>
                        <w:tc>
                          <w:tcPr>
                            <w:tcW w:w="1559" w:type="dxa"/>
                            <w:tcBorders>
                              <w:top w:val="nil"/>
                              <w:left w:val="nil"/>
                              <w:bottom w:val="single" w:sz="4" w:space="0" w:color="auto"/>
                              <w:right w:val="single" w:sz="4" w:space="0" w:color="auto"/>
                            </w:tcBorders>
                            <w:shd w:val="clear" w:color="auto" w:fill="auto"/>
                            <w:noWrap/>
                            <w:vAlign w:val="bottom"/>
                            <w:hideMark/>
                          </w:tcPr>
                          <w:p w14:paraId="3804C182"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509 353 </w:t>
                            </w:r>
                          </w:p>
                        </w:tc>
                      </w:tr>
                      <w:tr w:rsidR="008909AC" w:rsidRPr="001734CB" w14:paraId="3360D146"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3EE150A4"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Export</w:t>
                            </w:r>
                          </w:p>
                        </w:tc>
                        <w:tc>
                          <w:tcPr>
                            <w:tcW w:w="1984" w:type="dxa"/>
                            <w:tcBorders>
                              <w:top w:val="nil"/>
                              <w:left w:val="nil"/>
                              <w:bottom w:val="single" w:sz="4" w:space="0" w:color="auto"/>
                              <w:right w:val="single" w:sz="4" w:space="0" w:color="auto"/>
                            </w:tcBorders>
                            <w:shd w:val="clear" w:color="auto" w:fill="auto"/>
                            <w:noWrap/>
                            <w:vAlign w:val="bottom"/>
                            <w:hideMark/>
                          </w:tcPr>
                          <w:p w14:paraId="64DF88A8"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440 490 </w:t>
                            </w:r>
                          </w:p>
                        </w:tc>
                        <w:tc>
                          <w:tcPr>
                            <w:tcW w:w="1985" w:type="dxa"/>
                            <w:tcBorders>
                              <w:top w:val="nil"/>
                              <w:left w:val="nil"/>
                              <w:bottom w:val="single" w:sz="4" w:space="0" w:color="auto"/>
                              <w:right w:val="single" w:sz="4" w:space="0" w:color="auto"/>
                            </w:tcBorders>
                            <w:shd w:val="clear" w:color="auto" w:fill="auto"/>
                            <w:noWrap/>
                            <w:vAlign w:val="bottom"/>
                            <w:hideMark/>
                          </w:tcPr>
                          <w:p w14:paraId="6E8A7024"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363 951 </w:t>
                            </w:r>
                          </w:p>
                        </w:tc>
                        <w:tc>
                          <w:tcPr>
                            <w:tcW w:w="2126" w:type="dxa"/>
                            <w:tcBorders>
                              <w:top w:val="nil"/>
                              <w:left w:val="nil"/>
                              <w:bottom w:val="single" w:sz="4" w:space="0" w:color="auto"/>
                              <w:right w:val="single" w:sz="4" w:space="0" w:color="auto"/>
                            </w:tcBorders>
                            <w:shd w:val="clear" w:color="auto" w:fill="auto"/>
                            <w:noWrap/>
                            <w:vAlign w:val="bottom"/>
                            <w:hideMark/>
                          </w:tcPr>
                          <w:p w14:paraId="4FFD107C"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606 448 </w:t>
                            </w:r>
                          </w:p>
                        </w:tc>
                        <w:tc>
                          <w:tcPr>
                            <w:tcW w:w="1559" w:type="dxa"/>
                            <w:tcBorders>
                              <w:top w:val="nil"/>
                              <w:left w:val="nil"/>
                              <w:bottom w:val="single" w:sz="4" w:space="0" w:color="auto"/>
                              <w:right w:val="single" w:sz="4" w:space="0" w:color="auto"/>
                            </w:tcBorders>
                            <w:shd w:val="clear" w:color="auto" w:fill="auto"/>
                            <w:noWrap/>
                            <w:vAlign w:val="bottom"/>
                            <w:hideMark/>
                          </w:tcPr>
                          <w:p w14:paraId="3A6E452E"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525 632 </w:t>
                            </w:r>
                          </w:p>
                        </w:tc>
                      </w:tr>
                      <w:tr w:rsidR="008909AC" w:rsidRPr="001734CB" w14:paraId="180DE050"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244942EC"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Balance commerciale</w:t>
                            </w:r>
                          </w:p>
                        </w:tc>
                        <w:tc>
                          <w:tcPr>
                            <w:tcW w:w="1984" w:type="dxa"/>
                            <w:tcBorders>
                              <w:top w:val="nil"/>
                              <w:left w:val="nil"/>
                              <w:bottom w:val="single" w:sz="4" w:space="0" w:color="auto"/>
                              <w:right w:val="single" w:sz="4" w:space="0" w:color="auto"/>
                            </w:tcBorders>
                            <w:shd w:val="clear" w:color="auto" w:fill="auto"/>
                            <w:noWrap/>
                            <w:vAlign w:val="bottom"/>
                            <w:hideMark/>
                          </w:tcPr>
                          <w:p w14:paraId="29991F11"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- 584</w:t>
                            </w:r>
                          </w:p>
                        </w:tc>
                        <w:tc>
                          <w:tcPr>
                            <w:tcW w:w="1985" w:type="dxa"/>
                            <w:tcBorders>
                              <w:top w:val="nil"/>
                              <w:left w:val="nil"/>
                              <w:bottom w:val="single" w:sz="4" w:space="0" w:color="auto"/>
                              <w:right w:val="single" w:sz="4" w:space="0" w:color="auto"/>
                            </w:tcBorders>
                            <w:shd w:val="clear" w:color="auto" w:fill="auto"/>
                            <w:noWrap/>
                            <w:vAlign w:val="bottom"/>
                            <w:hideMark/>
                          </w:tcPr>
                          <w:p w14:paraId="7249A604"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- 20 914</w:t>
                            </w:r>
                          </w:p>
                        </w:tc>
                        <w:tc>
                          <w:tcPr>
                            <w:tcW w:w="2126" w:type="dxa"/>
                            <w:tcBorders>
                              <w:top w:val="nil"/>
                              <w:left w:val="nil"/>
                              <w:bottom w:val="single" w:sz="4" w:space="0" w:color="auto"/>
                              <w:right w:val="single" w:sz="4" w:space="0" w:color="auto"/>
                            </w:tcBorders>
                            <w:shd w:val="clear" w:color="auto" w:fill="auto"/>
                            <w:noWrap/>
                            <w:vAlign w:val="bottom"/>
                            <w:hideMark/>
                          </w:tcPr>
                          <w:p w14:paraId="0E72D54D"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17 716</w:t>
                            </w:r>
                          </w:p>
                        </w:tc>
                        <w:tc>
                          <w:tcPr>
                            <w:tcW w:w="1559" w:type="dxa"/>
                            <w:tcBorders>
                              <w:top w:val="nil"/>
                              <w:left w:val="nil"/>
                              <w:bottom w:val="single" w:sz="4" w:space="0" w:color="auto"/>
                              <w:right w:val="single" w:sz="4" w:space="0" w:color="auto"/>
                            </w:tcBorders>
                            <w:shd w:val="clear" w:color="auto" w:fill="auto"/>
                            <w:noWrap/>
                            <w:vAlign w:val="bottom"/>
                            <w:hideMark/>
                          </w:tcPr>
                          <w:p w14:paraId="666DA989"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16 279</w:t>
                            </w:r>
                          </w:p>
                        </w:tc>
                      </w:tr>
                      <w:tr w:rsidR="008909AC" w:rsidRPr="001734CB" w14:paraId="1E696247"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676313FC"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Total des échanges</w:t>
                            </w:r>
                          </w:p>
                        </w:tc>
                        <w:tc>
                          <w:tcPr>
                            <w:tcW w:w="1984" w:type="dxa"/>
                            <w:tcBorders>
                              <w:top w:val="nil"/>
                              <w:left w:val="nil"/>
                              <w:bottom w:val="single" w:sz="4" w:space="0" w:color="auto"/>
                              <w:right w:val="single" w:sz="4" w:space="0" w:color="auto"/>
                            </w:tcBorders>
                            <w:shd w:val="clear" w:color="auto" w:fill="auto"/>
                            <w:noWrap/>
                            <w:vAlign w:val="bottom"/>
                            <w:hideMark/>
                          </w:tcPr>
                          <w:p w14:paraId="5F0289DB"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881 563 </w:t>
                            </w:r>
                          </w:p>
                        </w:tc>
                        <w:tc>
                          <w:tcPr>
                            <w:tcW w:w="1985" w:type="dxa"/>
                            <w:tcBorders>
                              <w:top w:val="nil"/>
                              <w:left w:val="nil"/>
                              <w:bottom w:val="single" w:sz="4" w:space="0" w:color="auto"/>
                              <w:right w:val="single" w:sz="4" w:space="0" w:color="auto"/>
                            </w:tcBorders>
                            <w:shd w:val="clear" w:color="auto" w:fill="auto"/>
                            <w:noWrap/>
                            <w:vAlign w:val="bottom"/>
                            <w:hideMark/>
                          </w:tcPr>
                          <w:p w14:paraId="7F6F7231"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748 817 </w:t>
                            </w:r>
                          </w:p>
                        </w:tc>
                        <w:tc>
                          <w:tcPr>
                            <w:tcW w:w="2126" w:type="dxa"/>
                            <w:tcBorders>
                              <w:top w:val="nil"/>
                              <w:left w:val="nil"/>
                              <w:bottom w:val="single" w:sz="4" w:space="0" w:color="auto"/>
                              <w:right w:val="single" w:sz="4" w:space="0" w:color="auto"/>
                            </w:tcBorders>
                            <w:shd w:val="clear" w:color="auto" w:fill="auto"/>
                            <w:noWrap/>
                            <w:vAlign w:val="bottom"/>
                            <w:hideMark/>
                          </w:tcPr>
                          <w:p w14:paraId="717CC79F"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1 195 180 </w:t>
                            </w:r>
                          </w:p>
                        </w:tc>
                        <w:tc>
                          <w:tcPr>
                            <w:tcW w:w="1559" w:type="dxa"/>
                            <w:tcBorders>
                              <w:top w:val="nil"/>
                              <w:left w:val="nil"/>
                              <w:bottom w:val="single" w:sz="4" w:space="0" w:color="auto"/>
                              <w:right w:val="single" w:sz="4" w:space="0" w:color="auto"/>
                            </w:tcBorders>
                            <w:shd w:val="clear" w:color="auto" w:fill="auto"/>
                            <w:noWrap/>
                            <w:vAlign w:val="bottom"/>
                            <w:hideMark/>
                          </w:tcPr>
                          <w:p w14:paraId="5B03087C" w14:textId="77777777" w:rsidR="008909AC" w:rsidRPr="001734CB" w:rsidRDefault="008909AC" w:rsidP="008909AC">
                            <w:pPr>
                              <w:spacing w:line="240" w:lineRule="auto"/>
                              <w:rPr>
                                <w:rFonts w:ascii="Calibri" w:eastAsia="Times New Roman" w:hAnsi="Calibri" w:cs="Calibri"/>
                                <w:color w:val="000000"/>
                                <w:lang w:eastAsia="fr-FR"/>
                              </w:rPr>
                            </w:pPr>
                            <w:r w:rsidRPr="001734CB">
                              <w:rPr>
                                <w:rFonts w:ascii="Calibri" w:eastAsia="Times New Roman" w:hAnsi="Calibri" w:cs="Calibri"/>
                                <w:color w:val="000000"/>
                                <w:lang w:eastAsia="fr-FR"/>
                              </w:rPr>
                              <w:t xml:space="preserve">     1 034 986 </w:t>
                            </w:r>
                          </w:p>
                        </w:tc>
                      </w:tr>
                      <w:tr w:rsidR="008909AC" w:rsidRPr="001734CB" w14:paraId="5BA9731C" w14:textId="77777777" w:rsidTr="008909AC">
                        <w:trPr>
                          <w:trHeight w:val="300"/>
                        </w:trPr>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4BEC007B" w14:textId="77777777" w:rsidR="008909AC" w:rsidRPr="001734CB" w:rsidRDefault="008909AC" w:rsidP="008909AC">
                            <w:pPr>
                              <w:spacing w:line="240" w:lineRule="auto"/>
                              <w:rPr>
                                <w:rFonts w:ascii="Calibri" w:eastAsia="Times New Roman" w:hAnsi="Calibri" w:cs="Calibri"/>
                                <w:b/>
                                <w:bCs/>
                                <w:color w:val="000000"/>
                                <w:lang w:eastAsia="fr-FR"/>
                              </w:rPr>
                            </w:pPr>
                            <w:r w:rsidRPr="001734CB">
                              <w:rPr>
                                <w:rFonts w:ascii="Calibri" w:eastAsia="Times New Roman" w:hAnsi="Calibri" w:cs="Calibri"/>
                                <w:b/>
                                <w:bCs/>
                                <w:color w:val="000000"/>
                                <w:lang w:eastAsia="fr-FR"/>
                              </w:rPr>
                              <w:t>Variation 2022-2023</w:t>
                            </w:r>
                          </w:p>
                        </w:tc>
                        <w:tc>
                          <w:tcPr>
                            <w:tcW w:w="396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DB3B7C"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-15,1%</w:t>
                            </w:r>
                          </w:p>
                        </w:tc>
                        <w:tc>
                          <w:tcPr>
                            <w:tcW w:w="368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85E4DA" w14:textId="77777777" w:rsidR="008909AC" w:rsidRPr="001734CB" w:rsidRDefault="008909AC" w:rsidP="008909AC">
                            <w:pPr>
                              <w:spacing w:line="240" w:lineRule="auto"/>
                              <w:jc w:val="center"/>
                              <w:rPr>
                                <w:rFonts w:ascii="Calibri" w:eastAsia="Times New Roman" w:hAnsi="Calibri" w:cs="Calibri"/>
                                <w:color w:val="000000"/>
                                <w:lang w:eastAsia="fr-FR"/>
                              </w:rPr>
                            </w:pPr>
                            <w:r w:rsidRPr="001734CB">
                              <w:rPr>
                                <w:rFonts w:ascii="Calibri" w:eastAsia="Times New Roman" w:hAnsi="Calibri" w:cs="Calibri"/>
                                <w:color w:val="000000"/>
                                <w:lang w:eastAsia="fr-FR"/>
                              </w:rPr>
                              <w:t>-15,5%</w:t>
                            </w:r>
                          </w:p>
                        </w:tc>
                      </w:tr>
                      <w:bookmarkEnd w:id="2"/>
                    </w:tbl>
                    <w:p w14:paraId="46E8A71B" w14:textId="665F8585" w:rsidR="00A46BE5" w:rsidRDefault="00A46BE5" w:rsidP="00A46BE5">
                      <w:pPr>
                        <w:spacing w:line="240" w:lineRule="auto"/>
                        <w:jc w:val="center"/>
                        <w:rPr>
                          <w:rFonts w:ascii="Segoe UI" w:hAnsi="Segoe UI" w:cs="Segoe UI"/>
                          <w:b/>
                          <w:sz w:val="24"/>
                          <w:szCs w:val="24"/>
                        </w:rPr>
                      </w:pPr>
                    </w:p>
                    <w:p w14:paraId="1B54D9F2" w14:textId="781F8B4D" w:rsidR="00522321" w:rsidRPr="00A46BE5" w:rsidRDefault="00A46BE5" w:rsidP="00A46BE5">
                      <w:pPr>
                        <w:spacing w:line="240" w:lineRule="auto"/>
                        <w:jc w:val="center"/>
                        <w:rPr>
                          <w:rFonts w:ascii="Calibri" w:eastAsia="Times New Roman" w:hAnsi="Calibri" w:cs="Calibri"/>
                          <w:i/>
                          <w:iCs/>
                          <w:color w:val="000000"/>
                          <w:lang w:eastAsia="fr-FR"/>
                        </w:rPr>
                      </w:pPr>
                      <w:r w:rsidRPr="001B2089">
                        <w:rPr>
                          <w:rFonts w:ascii="Calibri" w:eastAsia="Times New Roman" w:hAnsi="Calibri" w:cs="Calibri"/>
                          <w:i/>
                          <w:iCs/>
                          <w:color w:val="000000"/>
                          <w:lang w:eastAsia="fr-FR"/>
                        </w:rPr>
                        <w:t>Source : Banque nationale de Belgique ; graphique : SE de Bruxelles</w:t>
                      </w:r>
                    </w:p>
                  </w:txbxContent>
                </v:textbox>
                <w10:wrap anchorx="page" anchory="page"/>
              </v:rect>
            </w:pict>
          </mc:Fallback>
        </mc:AlternateContent>
      </w:r>
    </w:p>
    <w:p w14:paraId="67A99148" w14:textId="2C706D0D" w:rsidR="00A46BE5" w:rsidRPr="00727B73" w:rsidRDefault="00A46BE5" w:rsidP="00A46BE5">
      <w:pPr>
        <w:spacing w:line="240" w:lineRule="auto"/>
        <w:jc w:val="center"/>
        <w:rPr>
          <w:rFonts w:ascii="Segoe UI" w:hAnsi="Segoe UI" w:cs="Segoe UI"/>
          <w:bCs/>
          <w:i/>
          <w:iCs/>
          <w:szCs w:val="24"/>
        </w:rPr>
      </w:pPr>
      <w:r>
        <w:rPr>
          <w:rFonts w:ascii="Segoe UI" w:hAnsi="Segoe UI" w:cs="Segoe UI"/>
          <w:bCs/>
          <w:i/>
          <w:iCs/>
          <w:szCs w:val="24"/>
        </w:rPr>
        <w:t xml:space="preserve"> </w:t>
      </w:r>
    </w:p>
    <w:p w14:paraId="32E11B81" w14:textId="1E392D1D" w:rsidR="00522321" w:rsidRDefault="00522321">
      <w:pPr>
        <w:rPr>
          <w:rFonts w:ascii="Calibri" w:eastAsia="Times New Roman" w:hAnsi="Calibri" w:cs="Calibri"/>
          <w:b/>
          <w:bCs/>
          <w:color w:val="000000"/>
          <w:sz w:val="26"/>
          <w:szCs w:val="26"/>
          <w:lang w:eastAsia="fr-FR"/>
        </w:rPr>
      </w:pPr>
      <w:r>
        <w:rPr>
          <w:rFonts w:ascii="Calibri" w:eastAsia="Times New Roman" w:hAnsi="Calibri" w:cs="Calibri"/>
          <w:b/>
          <w:bCs/>
          <w:color w:val="000000"/>
          <w:sz w:val="26"/>
          <w:szCs w:val="26"/>
          <w:lang w:eastAsia="fr-FR"/>
        </w:rPr>
        <w:br w:type="page"/>
      </w:r>
    </w:p>
    <w:p w14:paraId="7B28248D" w14:textId="76865988" w:rsidR="008909AC" w:rsidRDefault="00A001F2" w:rsidP="00522321">
      <w:pPr>
        <w:spacing w:line="240" w:lineRule="auto"/>
        <w:jc w:val="center"/>
        <w:rPr>
          <w:rStyle w:val="Rfrenceintense"/>
          <w:lang w:eastAsia="fr-FR"/>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63360" behindDoc="1" locked="0" layoutInCell="1" allowOverlap="1" wp14:anchorId="4A2FBACC" wp14:editId="6BC0F418">
                <wp:simplePos x="0" y="0"/>
                <wp:positionH relativeFrom="page">
                  <wp:posOffset>-30480</wp:posOffset>
                </wp:positionH>
                <wp:positionV relativeFrom="page">
                  <wp:posOffset>-17780</wp:posOffset>
                </wp:positionV>
                <wp:extent cx="7543800" cy="10677525"/>
                <wp:effectExtent l="0" t="0" r="0" b="9525"/>
                <wp:wrapNone/>
                <wp:docPr id="8" name="Rectangle 8"/>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49550" id="Rectangle 8" o:spid="_x0000_s1026" style="position:absolute;margin-left:-2.4pt;margin-top:-1.4pt;width:594pt;height:840.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" fillcolor="#fef8e8" stroked="f" strokeweight="1pt">
                <w10:wrap anchorx="page" anchory="page"/>
              </v:rect>
            </w:pict>
          </mc:Fallback>
        </mc:AlternateContent>
      </w:r>
    </w:p>
    <w:p w14:paraId="3AF5D220" w14:textId="6D0E2AD2" w:rsidR="008909AC" w:rsidRDefault="008909AC" w:rsidP="008909AC">
      <w:pPr>
        <w:spacing w:line="240" w:lineRule="auto"/>
        <w:jc w:val="center"/>
        <w:rPr>
          <w:rFonts w:ascii="Calibri" w:eastAsia="Times New Roman" w:hAnsi="Calibri" w:cs="Calibri"/>
          <w:i/>
          <w:iCs/>
          <w:color w:val="000000"/>
          <w:lang w:eastAsia="fr-FR"/>
        </w:rPr>
      </w:pPr>
      <w:r w:rsidRPr="009854A7">
        <w:rPr>
          <w:rFonts w:ascii="Segoe UI" w:hAnsi="Segoe UI" w:cs="Segoe UI"/>
          <w:bCs/>
          <w:color w:val="000091" w:themeColor="text1"/>
          <w:sz w:val="24"/>
          <w:szCs w:val="28"/>
        </w:rPr>
        <w:t xml:space="preserve">ANNEXE </w:t>
      </w:r>
      <w:r>
        <w:rPr>
          <w:rFonts w:ascii="Segoe UI" w:hAnsi="Segoe UI" w:cs="Segoe UI"/>
          <w:bCs/>
          <w:color w:val="000091" w:themeColor="text1"/>
          <w:sz w:val="24"/>
          <w:szCs w:val="28"/>
        </w:rPr>
        <w:t>3</w:t>
      </w:r>
      <w:r w:rsidRPr="009854A7">
        <w:rPr>
          <w:rFonts w:ascii="Segoe UI" w:hAnsi="Segoe UI" w:cs="Segoe UI"/>
          <w:bCs/>
          <w:color w:val="000091" w:themeColor="text1"/>
          <w:sz w:val="24"/>
          <w:szCs w:val="28"/>
        </w:rPr>
        <w:t> </w:t>
      </w:r>
      <w:r w:rsidRPr="00727B73">
        <w:rPr>
          <w:rStyle w:val="Rfrenceintense"/>
        </w:rPr>
        <w:t xml:space="preserve">: Evolution du solde commercial </w:t>
      </w:r>
      <w:r>
        <w:rPr>
          <w:rStyle w:val="Rfrenceintense"/>
        </w:rPr>
        <w:t>de la Belgique entre 2014 et 2023 (en M</w:t>
      </w:r>
      <w:r w:rsidRPr="00A46BE5">
        <w:rPr>
          <w:rStyle w:val="Rfrenceintense"/>
        </w:rPr>
        <w:t>€</w:t>
      </w:r>
      <w:r>
        <w:rPr>
          <w:rStyle w:val="Rfrenceintense"/>
        </w:rPr>
        <w:t>) – concept national</w:t>
      </w:r>
      <w:r w:rsidRPr="00A46BE5">
        <w:rPr>
          <w:rFonts w:ascii="Calibri" w:eastAsia="Times New Roman" w:hAnsi="Calibri" w:cs="Calibri"/>
          <w:i/>
          <w:iCs/>
          <w:color w:val="000000"/>
          <w:lang w:eastAsia="fr-FR"/>
        </w:rPr>
        <w:t xml:space="preserve"> </w:t>
      </w:r>
    </w:p>
    <w:p w14:paraId="038AF96F" w14:textId="77777777" w:rsidR="008909AC" w:rsidRPr="00522321" w:rsidRDefault="008909AC" w:rsidP="008909AC">
      <w:pPr>
        <w:spacing w:line="240" w:lineRule="auto"/>
        <w:jc w:val="center"/>
        <w:rPr>
          <w:rFonts w:ascii="Segoe UI" w:hAnsi="Segoe UI" w:cs="Segoe UI"/>
          <w:b/>
          <w:sz w:val="24"/>
          <w:szCs w:val="24"/>
        </w:rPr>
      </w:pPr>
    </w:p>
    <w:p w14:paraId="2B445878" w14:textId="5D588D00" w:rsidR="00A001F2" w:rsidRDefault="008909AC" w:rsidP="00A001F2">
      <w:pPr>
        <w:spacing w:line="240" w:lineRule="auto"/>
        <w:jc w:val="center"/>
        <w:rPr>
          <w:rFonts w:ascii="Segoe UI" w:hAnsi="Segoe UI" w:cs="Segoe UI"/>
          <w:bCs/>
          <w:i/>
          <w:iCs/>
          <w:sz w:val="20"/>
          <w:szCs w:val="20"/>
        </w:rPr>
      </w:pPr>
      <w:r>
        <w:rPr>
          <w:noProof/>
        </w:rPr>
        <w:drawing>
          <wp:inline distT="0" distB="0" distL="0" distR="0" wp14:anchorId="78136FC3" wp14:editId="1CB38BE5">
            <wp:extent cx="6362700" cy="4076700"/>
            <wp:effectExtent l="0" t="0" r="0" b="0"/>
            <wp:docPr id="11" name="Graphique 11">
              <a:extLst xmlns:a="http://schemas.openxmlformats.org/drawingml/2006/main">
                <a:ext uri="{FF2B5EF4-FFF2-40B4-BE49-F238E27FC236}">
                  <a16:creationId xmlns:a16="http://schemas.microsoft.com/office/drawing/2014/main" id="{78AAA682-1764-439C-BE4C-6E381099EA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001F2" w:rsidRPr="00A001F2">
        <w:rPr>
          <w:rFonts w:ascii="Segoe UI" w:hAnsi="Segoe UI" w:cs="Segoe UI"/>
          <w:bCs/>
          <w:i/>
          <w:iCs/>
          <w:sz w:val="20"/>
          <w:szCs w:val="20"/>
        </w:rPr>
        <w:t xml:space="preserve"> </w:t>
      </w:r>
      <w:r w:rsidR="00A001F2" w:rsidRPr="00D51245">
        <w:rPr>
          <w:rFonts w:ascii="Segoe UI" w:hAnsi="Segoe UI" w:cs="Segoe UI"/>
          <w:bCs/>
          <w:i/>
          <w:iCs/>
          <w:sz w:val="20"/>
          <w:szCs w:val="20"/>
        </w:rPr>
        <w:t>Source : B</w:t>
      </w:r>
      <w:r w:rsidR="00A001F2">
        <w:rPr>
          <w:rFonts w:ascii="Segoe UI" w:hAnsi="Segoe UI" w:cs="Segoe UI"/>
          <w:bCs/>
          <w:i/>
          <w:iCs/>
          <w:sz w:val="20"/>
          <w:szCs w:val="20"/>
        </w:rPr>
        <w:t>anque nationale de Belgique ; graphique : SE</w:t>
      </w:r>
    </w:p>
    <w:p w14:paraId="419AB06D" w14:textId="7802CB1B" w:rsidR="008909AC" w:rsidRPr="008909AC" w:rsidRDefault="008909AC" w:rsidP="00522321">
      <w:pPr>
        <w:spacing w:line="240" w:lineRule="auto"/>
        <w:jc w:val="center"/>
        <w:rPr>
          <w:rStyle w:val="Rfrenceintense"/>
          <w:b/>
          <w:color w:val="auto"/>
          <w:sz w:val="24"/>
          <w:szCs w:val="24"/>
        </w:rPr>
      </w:pPr>
    </w:p>
    <w:p w14:paraId="02630716" w14:textId="2BE475C2" w:rsidR="00522321" w:rsidRPr="00247905" w:rsidRDefault="00522321" w:rsidP="00522321">
      <w:pPr>
        <w:spacing w:line="240" w:lineRule="auto"/>
        <w:jc w:val="center"/>
        <w:rPr>
          <w:rStyle w:val="Rfrenceintense"/>
          <w:lang w:eastAsia="fr-FR"/>
        </w:rPr>
      </w:pPr>
    </w:p>
    <w:p w14:paraId="523CB319" w14:textId="5ACD8D3B" w:rsidR="00727B73" w:rsidRDefault="00247905" w:rsidP="00727B73">
      <w:pPr>
        <w:spacing w:line="240" w:lineRule="auto"/>
        <w:jc w:val="center"/>
        <w:rPr>
          <w:rStyle w:val="Rfrenceintense"/>
        </w:rPr>
      </w:pPr>
      <w:r w:rsidRPr="00247905">
        <w:rPr>
          <w:rStyle w:val="Rfrenceintense"/>
        </w:rPr>
        <w:t xml:space="preserve">ANNEXE </w:t>
      </w:r>
      <w:r w:rsidR="008909AC">
        <w:rPr>
          <w:rStyle w:val="Rfrenceintense"/>
        </w:rPr>
        <w:t>4</w:t>
      </w:r>
      <w:r w:rsidRPr="00247905">
        <w:rPr>
          <w:rStyle w:val="Rfrenceintense"/>
        </w:rPr>
        <w:t xml:space="preserve"> : Indice des prix à la consommation et indexation des salaires (2019-2023) </w:t>
      </w:r>
    </w:p>
    <w:p w14:paraId="39D485CC" w14:textId="77777777" w:rsidR="00247905" w:rsidRDefault="00247905" w:rsidP="00727B73">
      <w:pPr>
        <w:spacing w:line="240" w:lineRule="auto"/>
        <w:jc w:val="center"/>
        <w:rPr>
          <w:rFonts w:ascii="Segoe UI" w:hAnsi="Segoe UI" w:cs="Segoe UI"/>
          <w:bCs/>
          <w:i/>
          <w:iCs/>
          <w:sz w:val="20"/>
          <w:szCs w:val="20"/>
        </w:rPr>
      </w:pPr>
      <w:r w:rsidRPr="001A2BA5">
        <w:rPr>
          <w:rFonts w:ascii="Segoe UI" w:hAnsi="Segoe UI" w:cs="Segoe UI"/>
          <w:b/>
          <w:noProof/>
          <w:sz w:val="24"/>
          <w:szCs w:val="24"/>
        </w:rPr>
        <w:drawing>
          <wp:inline distT="0" distB="0" distL="0" distR="0" wp14:anchorId="2E856009" wp14:editId="4DC2101C">
            <wp:extent cx="4549557" cy="2333106"/>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4152" cy="2355975"/>
                    </a:xfrm>
                    <a:prstGeom prst="rect">
                      <a:avLst/>
                    </a:prstGeom>
                  </pic:spPr>
                </pic:pic>
              </a:graphicData>
            </a:graphic>
          </wp:inline>
        </w:drawing>
      </w:r>
    </w:p>
    <w:p w14:paraId="3420267E" w14:textId="7405EF2D" w:rsidR="00247905" w:rsidRDefault="00247905" w:rsidP="00727B73">
      <w:pPr>
        <w:spacing w:line="240" w:lineRule="auto"/>
        <w:jc w:val="center"/>
        <w:rPr>
          <w:rFonts w:ascii="Segoe UI" w:hAnsi="Segoe UI" w:cs="Segoe UI"/>
          <w:bCs/>
          <w:i/>
          <w:iCs/>
          <w:sz w:val="20"/>
          <w:szCs w:val="20"/>
        </w:rPr>
      </w:pPr>
      <w:r w:rsidRPr="00D51245">
        <w:rPr>
          <w:rFonts w:ascii="Segoe UI" w:hAnsi="Segoe UI" w:cs="Segoe UI"/>
          <w:bCs/>
          <w:i/>
          <w:iCs/>
          <w:sz w:val="20"/>
          <w:szCs w:val="20"/>
        </w:rPr>
        <w:t>Source : B</w:t>
      </w:r>
      <w:r w:rsidR="00A001F2">
        <w:rPr>
          <w:rFonts w:ascii="Segoe UI" w:hAnsi="Segoe UI" w:cs="Segoe UI"/>
          <w:bCs/>
          <w:i/>
          <w:iCs/>
          <w:sz w:val="20"/>
          <w:szCs w:val="20"/>
        </w:rPr>
        <w:t>anque nationale de Belgique, rapport annuel, 2024</w:t>
      </w:r>
    </w:p>
    <w:p w14:paraId="1D5F5301" w14:textId="1D4E8AE5" w:rsidR="008909AC" w:rsidRDefault="008909AC" w:rsidP="00727B73">
      <w:pPr>
        <w:spacing w:line="240" w:lineRule="auto"/>
        <w:jc w:val="center"/>
        <w:rPr>
          <w:rFonts w:ascii="Segoe UI" w:hAnsi="Segoe UI" w:cs="Segoe UI"/>
          <w:bCs/>
          <w:i/>
          <w:iCs/>
          <w:sz w:val="20"/>
          <w:szCs w:val="20"/>
        </w:rPr>
      </w:pPr>
      <w:r>
        <w:rPr>
          <w:rFonts w:ascii="Segoe UI" w:hAnsi="Segoe UI" w:cs="Segoe UI"/>
          <w:bCs/>
          <w:i/>
          <w:iCs/>
          <w:sz w:val="20"/>
          <w:szCs w:val="20"/>
        </w:rPr>
        <w:br w:type="page"/>
      </w:r>
    </w:p>
    <w:p w14:paraId="693346CF" w14:textId="68FEE542" w:rsidR="00247905" w:rsidRDefault="008909AC" w:rsidP="00727B73">
      <w:pPr>
        <w:spacing w:line="240" w:lineRule="auto"/>
        <w:jc w:val="center"/>
        <w:rPr>
          <w:rFonts w:ascii="Segoe UI" w:hAnsi="Segoe UI" w:cs="Segoe UI"/>
          <w:bCs/>
          <w:i/>
          <w:iCs/>
          <w:sz w:val="20"/>
          <w:szCs w:val="20"/>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0528" behindDoc="1" locked="0" layoutInCell="1" allowOverlap="1" wp14:anchorId="73AA3F2F" wp14:editId="53367AC0">
                <wp:simplePos x="0" y="0"/>
                <wp:positionH relativeFrom="page">
                  <wp:posOffset>-26035</wp:posOffset>
                </wp:positionH>
                <wp:positionV relativeFrom="page">
                  <wp:posOffset>3175</wp:posOffset>
                </wp:positionV>
                <wp:extent cx="7584440" cy="13379450"/>
                <wp:effectExtent l="0" t="0" r="0" b="0"/>
                <wp:wrapNone/>
                <wp:docPr id="13" name="Rectangle 13"/>
                <wp:cNvGraphicFramePr/>
                <a:graphic xmlns:a="http://schemas.openxmlformats.org/drawingml/2006/main">
                  <a:graphicData uri="http://schemas.microsoft.com/office/word/2010/wordprocessingShape">
                    <wps:wsp>
                      <wps:cNvSpPr/>
                      <wps:spPr>
                        <a:xfrm>
                          <a:off x="0" y="0"/>
                          <a:ext cx="7584440" cy="133794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3F75B" id="Rectangle 13" o:spid="_x0000_s1026" style="position:absolute;margin-left:-2.05pt;margin-top:.25pt;width:597.2pt;height:105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" fillcolor="#fef8e8" stroked="f" strokeweight="1pt">
                <w10:wrap anchorx="page" anchory="page"/>
              </v:rect>
            </w:pict>
          </mc:Fallback>
        </mc:AlternateContent>
      </w:r>
    </w:p>
    <w:p w14:paraId="36047492" w14:textId="23A54650" w:rsidR="00247905" w:rsidRDefault="00247905" w:rsidP="00727B73">
      <w:pPr>
        <w:spacing w:line="240" w:lineRule="auto"/>
        <w:jc w:val="center"/>
        <w:rPr>
          <w:rStyle w:val="Rfrenceintense"/>
        </w:rPr>
      </w:pPr>
      <w:r w:rsidRPr="00247905">
        <w:rPr>
          <w:rStyle w:val="Rfrenceintense"/>
        </w:rPr>
        <w:t xml:space="preserve">ANNEXE </w:t>
      </w:r>
      <w:r w:rsidR="008909AC">
        <w:rPr>
          <w:rStyle w:val="Rfrenceintense"/>
        </w:rPr>
        <w:t>5</w:t>
      </w:r>
      <w:r w:rsidRPr="00247905">
        <w:rPr>
          <w:rStyle w:val="Rfrenceintense"/>
        </w:rPr>
        <w:t> : Evolution des échanges de services de la Belgique entre 2021 et 2022</w:t>
      </w:r>
    </w:p>
    <w:tbl>
      <w:tblPr>
        <w:tblW w:w="10632" w:type="dxa"/>
        <w:tblInd w:w="-783" w:type="dxa"/>
        <w:tblLayout w:type="fixed"/>
        <w:tblCellMar>
          <w:left w:w="70" w:type="dxa"/>
          <w:right w:w="70" w:type="dxa"/>
        </w:tblCellMar>
        <w:tblLook w:val="04A0" w:firstRow="1" w:lastRow="0" w:firstColumn="1" w:lastColumn="0" w:noHBand="0" w:noVBand="1"/>
      </w:tblPr>
      <w:tblGrid>
        <w:gridCol w:w="2123"/>
        <w:gridCol w:w="2123"/>
        <w:gridCol w:w="2123"/>
        <w:gridCol w:w="2123"/>
        <w:gridCol w:w="2140"/>
      </w:tblGrid>
      <w:tr w:rsidR="00247905" w:rsidRPr="00E85572" w14:paraId="1E0DB985" w14:textId="77777777" w:rsidTr="00247905">
        <w:trPr>
          <w:trHeight w:val="1024"/>
        </w:trPr>
        <w:tc>
          <w:tcPr>
            <w:tcW w:w="2123" w:type="dxa"/>
            <w:tcBorders>
              <w:top w:val="nil"/>
              <w:left w:val="nil"/>
              <w:bottom w:val="nil"/>
              <w:right w:val="nil"/>
            </w:tcBorders>
            <w:shd w:val="clear" w:color="auto" w:fill="auto"/>
            <w:vAlign w:val="bottom"/>
            <w:hideMark/>
          </w:tcPr>
          <w:p w14:paraId="0B4EE4B2" w14:textId="14F693CA" w:rsidR="00247905" w:rsidRPr="00E85572" w:rsidRDefault="00247905" w:rsidP="00D51245">
            <w:pPr>
              <w:spacing w:line="240" w:lineRule="auto"/>
              <w:rPr>
                <w:rFonts w:ascii="Times New Roman" w:eastAsia="Times New Roman" w:hAnsi="Times New Roman" w:cs="Times New Roman"/>
                <w:sz w:val="20"/>
                <w:szCs w:val="20"/>
                <w:lang w:eastAsia="fr-FR"/>
              </w:rPr>
            </w:pPr>
          </w:p>
        </w:tc>
        <w:tc>
          <w:tcPr>
            <w:tcW w:w="2123"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CA82EF8" w14:textId="77777777" w:rsidR="00247905" w:rsidRPr="00E85572" w:rsidRDefault="00247905" w:rsidP="00D51245">
            <w:pPr>
              <w:spacing w:line="240" w:lineRule="auto"/>
              <w:jc w:val="center"/>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Montant en 20</w:t>
            </w:r>
            <w:r>
              <w:rPr>
                <w:rFonts w:ascii="Calibri" w:eastAsia="Times New Roman" w:hAnsi="Calibri" w:cs="Calibri"/>
                <w:b/>
                <w:bCs/>
                <w:color w:val="FFFFFF"/>
                <w:lang w:eastAsia="fr-FR"/>
              </w:rPr>
              <w:t>21</w:t>
            </w:r>
            <w:r w:rsidRPr="00E85572">
              <w:rPr>
                <w:rFonts w:ascii="Calibri" w:eastAsia="Times New Roman" w:hAnsi="Calibri" w:cs="Calibri"/>
                <w:b/>
                <w:bCs/>
                <w:color w:val="FFFFFF"/>
                <w:lang w:eastAsia="fr-FR"/>
              </w:rPr>
              <w:t xml:space="preserve"> </w:t>
            </w:r>
            <w:r w:rsidRPr="00E85572">
              <w:rPr>
                <w:rFonts w:ascii="Calibri" w:eastAsia="Times New Roman" w:hAnsi="Calibri" w:cs="Calibri"/>
                <w:b/>
                <w:bCs/>
                <w:color w:val="FFFFFF"/>
                <w:lang w:eastAsia="fr-FR"/>
              </w:rPr>
              <w:br/>
              <w:t>(en M€)</w:t>
            </w:r>
          </w:p>
        </w:tc>
        <w:tc>
          <w:tcPr>
            <w:tcW w:w="2123" w:type="dxa"/>
            <w:tcBorders>
              <w:top w:val="single" w:sz="4" w:space="0" w:color="auto"/>
              <w:left w:val="nil"/>
              <w:bottom w:val="single" w:sz="4" w:space="0" w:color="auto"/>
              <w:right w:val="single" w:sz="4" w:space="0" w:color="auto"/>
            </w:tcBorders>
            <w:shd w:val="clear" w:color="000000" w:fill="3366FF"/>
            <w:vAlign w:val="center"/>
            <w:hideMark/>
          </w:tcPr>
          <w:p w14:paraId="0B1EC3AD" w14:textId="70E311BF" w:rsidR="00247905" w:rsidRPr="00E85572" w:rsidRDefault="00247905" w:rsidP="00D51245">
            <w:pPr>
              <w:spacing w:line="240" w:lineRule="auto"/>
              <w:jc w:val="center"/>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Montant en 202</w:t>
            </w:r>
            <w:r>
              <w:rPr>
                <w:rFonts w:ascii="Calibri" w:eastAsia="Times New Roman" w:hAnsi="Calibri" w:cs="Calibri"/>
                <w:b/>
                <w:bCs/>
                <w:color w:val="FFFFFF"/>
                <w:lang w:eastAsia="fr-FR"/>
              </w:rPr>
              <w:t>2</w:t>
            </w:r>
            <w:r w:rsidRPr="00E85572">
              <w:rPr>
                <w:rFonts w:ascii="Calibri" w:eastAsia="Times New Roman" w:hAnsi="Calibri" w:cs="Calibri"/>
                <w:b/>
                <w:bCs/>
                <w:color w:val="FFFFFF"/>
                <w:lang w:eastAsia="fr-FR"/>
              </w:rPr>
              <w:br/>
              <w:t>(en M€)</w:t>
            </w:r>
          </w:p>
        </w:tc>
        <w:tc>
          <w:tcPr>
            <w:tcW w:w="2123" w:type="dxa"/>
            <w:tcBorders>
              <w:top w:val="single" w:sz="4" w:space="0" w:color="auto"/>
              <w:left w:val="nil"/>
              <w:bottom w:val="single" w:sz="4" w:space="0" w:color="auto"/>
              <w:right w:val="single" w:sz="4" w:space="0" w:color="auto"/>
            </w:tcBorders>
            <w:shd w:val="clear" w:color="000000" w:fill="3366FF"/>
            <w:vAlign w:val="center"/>
            <w:hideMark/>
          </w:tcPr>
          <w:p w14:paraId="364586C2" w14:textId="489C2CAD" w:rsidR="00247905" w:rsidRPr="00E85572" w:rsidRDefault="00247905" w:rsidP="00D51245">
            <w:pPr>
              <w:spacing w:line="240" w:lineRule="auto"/>
              <w:jc w:val="center"/>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Evolution 202</w:t>
            </w:r>
            <w:r>
              <w:rPr>
                <w:rFonts w:ascii="Calibri" w:eastAsia="Times New Roman" w:hAnsi="Calibri" w:cs="Calibri"/>
                <w:b/>
                <w:bCs/>
                <w:color w:val="FFFFFF"/>
                <w:lang w:eastAsia="fr-FR"/>
              </w:rPr>
              <w:t>1</w:t>
            </w:r>
            <w:r w:rsidRPr="00E85572">
              <w:rPr>
                <w:rFonts w:ascii="Calibri" w:eastAsia="Times New Roman" w:hAnsi="Calibri" w:cs="Calibri"/>
                <w:b/>
                <w:bCs/>
                <w:color w:val="FFFFFF"/>
                <w:lang w:eastAsia="fr-FR"/>
              </w:rPr>
              <w:t>-202</w:t>
            </w:r>
            <w:r>
              <w:rPr>
                <w:rFonts w:ascii="Calibri" w:eastAsia="Times New Roman" w:hAnsi="Calibri" w:cs="Calibri"/>
                <w:b/>
                <w:bCs/>
                <w:color w:val="FFFFFF"/>
                <w:lang w:eastAsia="fr-FR"/>
              </w:rPr>
              <w:t>2</w:t>
            </w:r>
            <w:r w:rsidRPr="00E85572">
              <w:rPr>
                <w:rFonts w:ascii="Calibri" w:eastAsia="Times New Roman" w:hAnsi="Calibri" w:cs="Calibri"/>
                <w:b/>
                <w:bCs/>
                <w:color w:val="FFFFFF"/>
                <w:lang w:eastAsia="fr-FR"/>
              </w:rPr>
              <w:t xml:space="preserve"> </w:t>
            </w:r>
            <w:r w:rsidRPr="00E85572">
              <w:rPr>
                <w:rFonts w:ascii="Calibri" w:eastAsia="Times New Roman" w:hAnsi="Calibri" w:cs="Calibri"/>
                <w:b/>
                <w:bCs/>
                <w:color w:val="FFFFFF"/>
                <w:lang w:eastAsia="fr-FR"/>
              </w:rPr>
              <w:br/>
              <w:t>(en M€)</w:t>
            </w:r>
          </w:p>
        </w:tc>
        <w:tc>
          <w:tcPr>
            <w:tcW w:w="2140" w:type="dxa"/>
            <w:tcBorders>
              <w:top w:val="single" w:sz="4" w:space="0" w:color="auto"/>
              <w:left w:val="nil"/>
              <w:bottom w:val="single" w:sz="4" w:space="0" w:color="auto"/>
              <w:right w:val="single" w:sz="4" w:space="0" w:color="auto"/>
            </w:tcBorders>
            <w:shd w:val="clear" w:color="000000" w:fill="3366FF"/>
            <w:vAlign w:val="center"/>
            <w:hideMark/>
          </w:tcPr>
          <w:p w14:paraId="244FA22F" w14:textId="549BAF0E" w:rsidR="00247905" w:rsidRPr="00E85572" w:rsidRDefault="00247905" w:rsidP="00D51245">
            <w:pPr>
              <w:spacing w:line="240" w:lineRule="auto"/>
              <w:jc w:val="center"/>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Evolution 202</w:t>
            </w:r>
            <w:r>
              <w:rPr>
                <w:rFonts w:ascii="Calibri" w:eastAsia="Times New Roman" w:hAnsi="Calibri" w:cs="Calibri"/>
                <w:b/>
                <w:bCs/>
                <w:color w:val="FFFFFF"/>
                <w:lang w:eastAsia="fr-FR"/>
              </w:rPr>
              <w:t>1</w:t>
            </w:r>
            <w:r w:rsidRPr="00E85572">
              <w:rPr>
                <w:rFonts w:ascii="Calibri" w:eastAsia="Times New Roman" w:hAnsi="Calibri" w:cs="Calibri"/>
                <w:b/>
                <w:bCs/>
                <w:color w:val="FFFFFF"/>
                <w:lang w:eastAsia="fr-FR"/>
              </w:rPr>
              <w:t>-202</w:t>
            </w:r>
            <w:r>
              <w:rPr>
                <w:rFonts w:ascii="Calibri" w:eastAsia="Times New Roman" w:hAnsi="Calibri" w:cs="Calibri"/>
                <w:b/>
                <w:bCs/>
                <w:color w:val="FFFFFF"/>
                <w:lang w:eastAsia="fr-FR"/>
              </w:rPr>
              <w:t>2</w:t>
            </w:r>
            <w:r w:rsidRPr="00E85572">
              <w:rPr>
                <w:rFonts w:ascii="Calibri" w:eastAsia="Times New Roman" w:hAnsi="Calibri" w:cs="Calibri"/>
                <w:b/>
                <w:bCs/>
                <w:color w:val="FFFFFF"/>
                <w:lang w:eastAsia="fr-FR"/>
              </w:rPr>
              <w:t xml:space="preserve"> </w:t>
            </w:r>
            <w:r w:rsidRPr="00E85572">
              <w:rPr>
                <w:rFonts w:ascii="Calibri" w:eastAsia="Times New Roman" w:hAnsi="Calibri" w:cs="Calibri"/>
                <w:b/>
                <w:bCs/>
                <w:color w:val="FFFFFF"/>
                <w:lang w:eastAsia="fr-FR"/>
              </w:rPr>
              <w:br/>
              <w:t>(en %)</w:t>
            </w:r>
          </w:p>
        </w:tc>
      </w:tr>
      <w:tr w:rsidR="00247905" w:rsidRPr="00E85572" w14:paraId="5004C1FA" w14:textId="77777777" w:rsidTr="00247905">
        <w:trPr>
          <w:trHeight w:val="341"/>
        </w:trPr>
        <w:tc>
          <w:tcPr>
            <w:tcW w:w="2123"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0F92F1FF" w14:textId="2F2FC07F" w:rsidR="00247905" w:rsidRPr="00E85572" w:rsidRDefault="00247905"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Crédit </w:t>
            </w:r>
          </w:p>
        </w:tc>
        <w:tc>
          <w:tcPr>
            <w:tcW w:w="2123" w:type="dxa"/>
            <w:tcBorders>
              <w:top w:val="nil"/>
              <w:left w:val="nil"/>
              <w:bottom w:val="single" w:sz="4" w:space="0" w:color="auto"/>
              <w:right w:val="single" w:sz="4" w:space="0" w:color="auto"/>
            </w:tcBorders>
            <w:shd w:val="clear" w:color="auto" w:fill="auto"/>
            <w:vAlign w:val="center"/>
            <w:hideMark/>
          </w:tcPr>
          <w:p w14:paraId="135A6C7A"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114 700</w:t>
            </w:r>
          </w:p>
        </w:tc>
        <w:tc>
          <w:tcPr>
            <w:tcW w:w="2123" w:type="dxa"/>
            <w:tcBorders>
              <w:top w:val="nil"/>
              <w:left w:val="nil"/>
              <w:bottom w:val="single" w:sz="4" w:space="0" w:color="auto"/>
              <w:right w:val="single" w:sz="4" w:space="0" w:color="auto"/>
            </w:tcBorders>
            <w:shd w:val="clear" w:color="auto" w:fill="auto"/>
            <w:vAlign w:val="center"/>
            <w:hideMark/>
          </w:tcPr>
          <w:p w14:paraId="0F003793"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130 585</w:t>
            </w:r>
          </w:p>
        </w:tc>
        <w:tc>
          <w:tcPr>
            <w:tcW w:w="2123" w:type="dxa"/>
            <w:tcBorders>
              <w:top w:val="nil"/>
              <w:left w:val="nil"/>
              <w:bottom w:val="single" w:sz="4" w:space="0" w:color="auto"/>
              <w:right w:val="single" w:sz="4" w:space="0" w:color="auto"/>
            </w:tcBorders>
            <w:shd w:val="clear" w:color="auto" w:fill="auto"/>
            <w:noWrap/>
            <w:vAlign w:val="center"/>
            <w:hideMark/>
          </w:tcPr>
          <w:p w14:paraId="1660BF2C"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15 885</w:t>
            </w:r>
          </w:p>
        </w:tc>
        <w:tc>
          <w:tcPr>
            <w:tcW w:w="2140" w:type="dxa"/>
            <w:tcBorders>
              <w:top w:val="nil"/>
              <w:left w:val="nil"/>
              <w:bottom w:val="single" w:sz="4" w:space="0" w:color="auto"/>
              <w:right w:val="single" w:sz="4" w:space="0" w:color="auto"/>
            </w:tcBorders>
            <w:shd w:val="clear" w:color="auto" w:fill="auto"/>
            <w:vAlign w:val="center"/>
            <w:hideMark/>
          </w:tcPr>
          <w:p w14:paraId="1892BA60"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w:t>
            </w:r>
            <w:r>
              <w:rPr>
                <w:rFonts w:ascii="Calibri" w:eastAsia="Times New Roman" w:hAnsi="Calibri" w:cs="Calibri"/>
                <w:color w:val="000000"/>
                <w:lang w:eastAsia="fr-FR"/>
              </w:rPr>
              <w:t>13,8</w:t>
            </w:r>
          </w:p>
        </w:tc>
      </w:tr>
      <w:tr w:rsidR="00247905" w:rsidRPr="00E85572" w14:paraId="618E2DBA" w14:textId="77777777" w:rsidTr="00247905">
        <w:trPr>
          <w:trHeight w:val="341"/>
        </w:trPr>
        <w:tc>
          <w:tcPr>
            <w:tcW w:w="2123" w:type="dxa"/>
            <w:tcBorders>
              <w:top w:val="nil"/>
              <w:left w:val="single" w:sz="4" w:space="0" w:color="auto"/>
              <w:bottom w:val="single" w:sz="4" w:space="0" w:color="auto"/>
              <w:right w:val="single" w:sz="4" w:space="0" w:color="auto"/>
            </w:tcBorders>
            <w:shd w:val="clear" w:color="000000" w:fill="3366FF"/>
            <w:vAlign w:val="center"/>
            <w:hideMark/>
          </w:tcPr>
          <w:p w14:paraId="61926A23" w14:textId="4F222B66" w:rsidR="00247905" w:rsidRPr="00E85572" w:rsidRDefault="00247905"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Débit</w:t>
            </w:r>
          </w:p>
        </w:tc>
        <w:tc>
          <w:tcPr>
            <w:tcW w:w="2123" w:type="dxa"/>
            <w:tcBorders>
              <w:top w:val="nil"/>
              <w:left w:val="nil"/>
              <w:bottom w:val="single" w:sz="4" w:space="0" w:color="auto"/>
              <w:right w:val="single" w:sz="4" w:space="0" w:color="auto"/>
            </w:tcBorders>
            <w:shd w:val="clear" w:color="auto" w:fill="auto"/>
            <w:vAlign w:val="center"/>
            <w:hideMark/>
          </w:tcPr>
          <w:p w14:paraId="48FEA425"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1</w:t>
            </w:r>
            <w:r>
              <w:rPr>
                <w:rFonts w:ascii="Calibri" w:eastAsia="Times New Roman" w:hAnsi="Calibri" w:cs="Calibri"/>
                <w:color w:val="000000"/>
                <w:lang w:eastAsia="fr-FR"/>
              </w:rPr>
              <w:t>13 776</w:t>
            </w:r>
          </w:p>
        </w:tc>
        <w:tc>
          <w:tcPr>
            <w:tcW w:w="2123" w:type="dxa"/>
            <w:tcBorders>
              <w:top w:val="nil"/>
              <w:left w:val="nil"/>
              <w:bottom w:val="single" w:sz="4" w:space="0" w:color="auto"/>
              <w:right w:val="single" w:sz="4" w:space="0" w:color="auto"/>
            </w:tcBorders>
            <w:shd w:val="clear" w:color="auto" w:fill="auto"/>
            <w:vAlign w:val="center"/>
            <w:hideMark/>
          </w:tcPr>
          <w:p w14:paraId="6BEBFAB4"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131 929</w:t>
            </w:r>
          </w:p>
        </w:tc>
        <w:tc>
          <w:tcPr>
            <w:tcW w:w="2123" w:type="dxa"/>
            <w:tcBorders>
              <w:top w:val="nil"/>
              <w:left w:val="nil"/>
              <w:bottom w:val="single" w:sz="4" w:space="0" w:color="auto"/>
              <w:right w:val="single" w:sz="4" w:space="0" w:color="auto"/>
            </w:tcBorders>
            <w:shd w:val="clear" w:color="auto" w:fill="auto"/>
            <w:noWrap/>
            <w:vAlign w:val="center"/>
            <w:hideMark/>
          </w:tcPr>
          <w:p w14:paraId="56FDAE5F"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18 153</w:t>
            </w:r>
          </w:p>
        </w:tc>
        <w:tc>
          <w:tcPr>
            <w:tcW w:w="2140" w:type="dxa"/>
            <w:tcBorders>
              <w:top w:val="nil"/>
              <w:left w:val="nil"/>
              <w:bottom w:val="single" w:sz="4" w:space="0" w:color="auto"/>
              <w:right w:val="single" w:sz="4" w:space="0" w:color="auto"/>
            </w:tcBorders>
            <w:shd w:val="clear" w:color="auto" w:fill="auto"/>
            <w:vAlign w:val="center"/>
            <w:hideMark/>
          </w:tcPr>
          <w:p w14:paraId="5D174A67"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+1</w:t>
            </w:r>
            <w:r>
              <w:rPr>
                <w:rFonts w:ascii="Calibri" w:eastAsia="Times New Roman" w:hAnsi="Calibri" w:cs="Calibri"/>
                <w:color w:val="000000"/>
                <w:lang w:eastAsia="fr-FR"/>
              </w:rPr>
              <w:t>6</w:t>
            </w:r>
          </w:p>
        </w:tc>
      </w:tr>
      <w:tr w:rsidR="00247905" w:rsidRPr="00E85572" w14:paraId="24D1A6CA" w14:textId="77777777" w:rsidTr="00247905">
        <w:trPr>
          <w:trHeight w:val="341"/>
        </w:trPr>
        <w:tc>
          <w:tcPr>
            <w:tcW w:w="2123" w:type="dxa"/>
            <w:tcBorders>
              <w:top w:val="nil"/>
              <w:left w:val="single" w:sz="4" w:space="0" w:color="auto"/>
              <w:bottom w:val="single" w:sz="4" w:space="0" w:color="auto"/>
              <w:right w:val="single" w:sz="4" w:space="0" w:color="auto"/>
            </w:tcBorders>
            <w:shd w:val="clear" w:color="000000" w:fill="3366FF"/>
            <w:vAlign w:val="center"/>
            <w:hideMark/>
          </w:tcPr>
          <w:p w14:paraId="267D3062" w14:textId="45186BD9" w:rsidR="00247905" w:rsidRPr="00E85572" w:rsidRDefault="00247905" w:rsidP="00D51245">
            <w:pPr>
              <w:spacing w:line="240" w:lineRule="auto"/>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 xml:space="preserve">Solde </w:t>
            </w:r>
          </w:p>
        </w:tc>
        <w:tc>
          <w:tcPr>
            <w:tcW w:w="2123" w:type="dxa"/>
            <w:tcBorders>
              <w:top w:val="nil"/>
              <w:left w:val="nil"/>
              <w:bottom w:val="single" w:sz="4" w:space="0" w:color="auto"/>
              <w:right w:val="single" w:sz="4" w:space="0" w:color="auto"/>
            </w:tcBorders>
            <w:shd w:val="clear" w:color="auto" w:fill="auto"/>
            <w:vAlign w:val="center"/>
            <w:hideMark/>
          </w:tcPr>
          <w:p w14:paraId="2BB5E416"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923</w:t>
            </w:r>
          </w:p>
        </w:tc>
        <w:tc>
          <w:tcPr>
            <w:tcW w:w="2123" w:type="dxa"/>
            <w:tcBorders>
              <w:top w:val="nil"/>
              <w:left w:val="nil"/>
              <w:bottom w:val="single" w:sz="4" w:space="0" w:color="auto"/>
              <w:right w:val="single" w:sz="4" w:space="0" w:color="auto"/>
            </w:tcBorders>
            <w:shd w:val="clear" w:color="auto" w:fill="auto"/>
            <w:vAlign w:val="center"/>
            <w:hideMark/>
          </w:tcPr>
          <w:p w14:paraId="7BFBFA94"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- 1343</w:t>
            </w:r>
          </w:p>
        </w:tc>
        <w:tc>
          <w:tcPr>
            <w:tcW w:w="2123" w:type="dxa"/>
            <w:tcBorders>
              <w:top w:val="nil"/>
              <w:left w:val="nil"/>
              <w:bottom w:val="single" w:sz="4" w:space="0" w:color="auto"/>
              <w:right w:val="single" w:sz="4" w:space="0" w:color="auto"/>
            </w:tcBorders>
            <w:shd w:val="clear" w:color="auto" w:fill="auto"/>
            <w:noWrap/>
            <w:vAlign w:val="center"/>
            <w:hideMark/>
          </w:tcPr>
          <w:p w14:paraId="0CC8F0C3"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w:t>
            </w:r>
            <w:r>
              <w:rPr>
                <w:rFonts w:ascii="Calibri" w:eastAsia="Times New Roman" w:hAnsi="Calibri" w:cs="Calibri"/>
                <w:color w:val="000000"/>
                <w:lang w:eastAsia="fr-FR"/>
              </w:rPr>
              <w:t>2 266</w:t>
            </w:r>
          </w:p>
        </w:tc>
        <w:tc>
          <w:tcPr>
            <w:tcW w:w="2140" w:type="dxa"/>
            <w:tcBorders>
              <w:top w:val="nil"/>
              <w:left w:val="nil"/>
              <w:bottom w:val="single" w:sz="4" w:space="0" w:color="auto"/>
              <w:right w:val="single" w:sz="4" w:space="0" w:color="auto"/>
            </w:tcBorders>
            <w:shd w:val="clear" w:color="auto" w:fill="auto"/>
            <w:vAlign w:val="center"/>
            <w:hideMark/>
          </w:tcPr>
          <w:p w14:paraId="13C91906"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-2</w:t>
            </w:r>
            <w:r>
              <w:rPr>
                <w:rFonts w:ascii="Calibri" w:eastAsia="Times New Roman" w:hAnsi="Calibri" w:cs="Calibri"/>
                <w:color w:val="000000"/>
                <w:lang w:eastAsia="fr-FR"/>
              </w:rPr>
              <w:t>45,5</w:t>
            </w:r>
          </w:p>
        </w:tc>
      </w:tr>
      <w:tr w:rsidR="00247905" w:rsidRPr="00E85572" w14:paraId="43FAC66F" w14:textId="77777777" w:rsidTr="00247905">
        <w:trPr>
          <w:trHeight w:val="682"/>
        </w:trPr>
        <w:tc>
          <w:tcPr>
            <w:tcW w:w="2123" w:type="dxa"/>
            <w:tcBorders>
              <w:top w:val="nil"/>
              <w:left w:val="single" w:sz="4" w:space="0" w:color="auto"/>
              <w:bottom w:val="single" w:sz="4" w:space="0" w:color="auto"/>
              <w:right w:val="single" w:sz="4" w:space="0" w:color="auto"/>
            </w:tcBorders>
            <w:shd w:val="clear" w:color="000000" w:fill="3366FF"/>
            <w:vAlign w:val="center"/>
            <w:hideMark/>
          </w:tcPr>
          <w:p w14:paraId="19F86249" w14:textId="3E8B8C2B" w:rsidR="00247905" w:rsidRPr="00E85572" w:rsidRDefault="00247905" w:rsidP="00D51245">
            <w:pPr>
              <w:spacing w:line="240" w:lineRule="auto"/>
              <w:rPr>
                <w:rFonts w:ascii="Calibri" w:eastAsia="Times New Roman" w:hAnsi="Calibri" w:cs="Calibri"/>
                <w:b/>
                <w:bCs/>
                <w:color w:val="FFFFFF"/>
                <w:lang w:eastAsia="fr-FR"/>
              </w:rPr>
            </w:pPr>
            <w:r w:rsidRPr="00E85572">
              <w:rPr>
                <w:rFonts w:ascii="Calibri" w:eastAsia="Times New Roman" w:hAnsi="Calibri" w:cs="Calibri"/>
                <w:b/>
                <w:bCs/>
                <w:color w:val="FFFFFF"/>
                <w:lang w:eastAsia="fr-FR"/>
              </w:rPr>
              <w:t>Volume total des échanges de services</w:t>
            </w:r>
          </w:p>
        </w:tc>
        <w:tc>
          <w:tcPr>
            <w:tcW w:w="2123" w:type="dxa"/>
            <w:tcBorders>
              <w:top w:val="nil"/>
              <w:left w:val="nil"/>
              <w:bottom w:val="single" w:sz="4" w:space="0" w:color="auto"/>
              <w:right w:val="single" w:sz="4" w:space="0" w:color="auto"/>
            </w:tcBorders>
            <w:shd w:val="clear" w:color="auto" w:fill="auto"/>
            <w:vAlign w:val="center"/>
            <w:hideMark/>
          </w:tcPr>
          <w:p w14:paraId="68DF4842"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2</w:t>
            </w:r>
            <w:r>
              <w:rPr>
                <w:rFonts w:ascii="Calibri" w:eastAsia="Times New Roman" w:hAnsi="Calibri" w:cs="Calibri"/>
                <w:color w:val="000000"/>
                <w:lang w:eastAsia="fr-FR"/>
              </w:rPr>
              <w:t>28 476</w:t>
            </w:r>
          </w:p>
        </w:tc>
        <w:tc>
          <w:tcPr>
            <w:tcW w:w="2123" w:type="dxa"/>
            <w:tcBorders>
              <w:top w:val="nil"/>
              <w:left w:val="nil"/>
              <w:bottom w:val="single" w:sz="4" w:space="0" w:color="auto"/>
              <w:right w:val="single" w:sz="4" w:space="0" w:color="auto"/>
            </w:tcBorders>
            <w:shd w:val="clear" w:color="auto" w:fill="auto"/>
            <w:vAlign w:val="center"/>
            <w:hideMark/>
          </w:tcPr>
          <w:p w14:paraId="58E3FF97"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2</w:t>
            </w:r>
            <w:r>
              <w:rPr>
                <w:rFonts w:ascii="Calibri" w:eastAsia="Times New Roman" w:hAnsi="Calibri" w:cs="Calibri"/>
                <w:color w:val="000000"/>
                <w:lang w:eastAsia="fr-FR"/>
              </w:rPr>
              <w:t>62 514</w:t>
            </w:r>
          </w:p>
        </w:tc>
        <w:tc>
          <w:tcPr>
            <w:tcW w:w="2123" w:type="dxa"/>
            <w:tcBorders>
              <w:top w:val="nil"/>
              <w:left w:val="nil"/>
              <w:bottom w:val="single" w:sz="4" w:space="0" w:color="auto"/>
              <w:right w:val="single" w:sz="4" w:space="0" w:color="auto"/>
            </w:tcBorders>
            <w:shd w:val="clear" w:color="auto" w:fill="auto"/>
            <w:noWrap/>
            <w:vAlign w:val="center"/>
            <w:hideMark/>
          </w:tcPr>
          <w:p w14:paraId="3DD1281C" w14:textId="77777777" w:rsidR="00247905" w:rsidRPr="00E85572" w:rsidRDefault="00247905"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34 038</w:t>
            </w:r>
          </w:p>
        </w:tc>
        <w:tc>
          <w:tcPr>
            <w:tcW w:w="2140" w:type="dxa"/>
            <w:tcBorders>
              <w:top w:val="nil"/>
              <w:left w:val="nil"/>
              <w:bottom w:val="single" w:sz="4" w:space="0" w:color="auto"/>
              <w:right w:val="single" w:sz="4" w:space="0" w:color="auto"/>
            </w:tcBorders>
            <w:shd w:val="clear" w:color="auto" w:fill="auto"/>
            <w:vAlign w:val="center"/>
            <w:hideMark/>
          </w:tcPr>
          <w:p w14:paraId="1BFC955D" w14:textId="77777777" w:rsidR="00247905" w:rsidRPr="00E85572" w:rsidRDefault="00247905" w:rsidP="00D51245">
            <w:pPr>
              <w:spacing w:line="240" w:lineRule="auto"/>
              <w:jc w:val="center"/>
              <w:rPr>
                <w:rFonts w:ascii="Calibri" w:eastAsia="Times New Roman" w:hAnsi="Calibri" w:cs="Calibri"/>
                <w:color w:val="000000"/>
                <w:lang w:eastAsia="fr-FR"/>
              </w:rPr>
            </w:pPr>
            <w:r w:rsidRPr="00E85572">
              <w:rPr>
                <w:rFonts w:ascii="Calibri" w:eastAsia="Times New Roman" w:hAnsi="Calibri" w:cs="Calibri"/>
                <w:color w:val="000000"/>
                <w:lang w:eastAsia="fr-FR"/>
              </w:rPr>
              <w:t>+</w:t>
            </w:r>
            <w:r>
              <w:rPr>
                <w:rFonts w:ascii="Calibri" w:eastAsia="Times New Roman" w:hAnsi="Calibri" w:cs="Calibri"/>
                <w:color w:val="000000"/>
                <w:lang w:eastAsia="fr-FR"/>
              </w:rPr>
              <w:t>14,9</w:t>
            </w:r>
          </w:p>
        </w:tc>
      </w:tr>
      <w:tr w:rsidR="00247905" w:rsidRPr="00E85572" w14:paraId="5AEF6744" w14:textId="77777777" w:rsidTr="00247905">
        <w:trPr>
          <w:trHeight w:val="341"/>
        </w:trPr>
        <w:tc>
          <w:tcPr>
            <w:tcW w:w="2123" w:type="dxa"/>
            <w:tcBorders>
              <w:top w:val="nil"/>
              <w:left w:val="nil"/>
              <w:bottom w:val="nil"/>
              <w:right w:val="nil"/>
            </w:tcBorders>
            <w:shd w:val="clear" w:color="auto" w:fill="auto"/>
            <w:vAlign w:val="bottom"/>
            <w:hideMark/>
          </w:tcPr>
          <w:p w14:paraId="069B6C44" w14:textId="709B07F8" w:rsidR="00247905" w:rsidRPr="00E85572" w:rsidRDefault="00247905" w:rsidP="00D51245">
            <w:pPr>
              <w:spacing w:line="240" w:lineRule="auto"/>
              <w:jc w:val="center"/>
              <w:rPr>
                <w:rFonts w:ascii="Calibri" w:eastAsia="Times New Roman" w:hAnsi="Calibri" w:cs="Calibri"/>
                <w:color w:val="000000"/>
                <w:lang w:eastAsia="fr-FR"/>
              </w:rPr>
            </w:pPr>
          </w:p>
        </w:tc>
        <w:tc>
          <w:tcPr>
            <w:tcW w:w="2123" w:type="dxa"/>
            <w:tcBorders>
              <w:top w:val="nil"/>
              <w:left w:val="nil"/>
              <w:bottom w:val="nil"/>
              <w:right w:val="nil"/>
            </w:tcBorders>
            <w:shd w:val="clear" w:color="auto" w:fill="auto"/>
            <w:vAlign w:val="center"/>
            <w:hideMark/>
          </w:tcPr>
          <w:p w14:paraId="13951B50" w14:textId="77777777" w:rsidR="00247905" w:rsidRPr="00E85572" w:rsidRDefault="00247905" w:rsidP="00D51245">
            <w:pPr>
              <w:spacing w:line="240" w:lineRule="auto"/>
              <w:rPr>
                <w:rFonts w:ascii="Times New Roman" w:eastAsia="Times New Roman" w:hAnsi="Times New Roman" w:cs="Times New Roman"/>
                <w:sz w:val="20"/>
                <w:szCs w:val="20"/>
                <w:lang w:eastAsia="fr-FR"/>
              </w:rPr>
            </w:pPr>
          </w:p>
        </w:tc>
        <w:tc>
          <w:tcPr>
            <w:tcW w:w="2123" w:type="dxa"/>
            <w:tcBorders>
              <w:top w:val="nil"/>
              <w:left w:val="nil"/>
              <w:bottom w:val="nil"/>
              <w:right w:val="nil"/>
            </w:tcBorders>
            <w:shd w:val="clear" w:color="auto" w:fill="auto"/>
            <w:noWrap/>
            <w:vAlign w:val="center"/>
            <w:hideMark/>
          </w:tcPr>
          <w:p w14:paraId="5A457ECA" w14:textId="77777777" w:rsidR="00247905" w:rsidRPr="00E85572" w:rsidRDefault="00247905" w:rsidP="00D51245">
            <w:pPr>
              <w:spacing w:line="240" w:lineRule="auto"/>
              <w:jc w:val="center"/>
              <w:rPr>
                <w:rFonts w:ascii="Times New Roman" w:eastAsia="Times New Roman" w:hAnsi="Times New Roman" w:cs="Times New Roman"/>
                <w:sz w:val="20"/>
                <w:szCs w:val="20"/>
                <w:lang w:eastAsia="fr-FR"/>
              </w:rPr>
            </w:pPr>
          </w:p>
        </w:tc>
        <w:tc>
          <w:tcPr>
            <w:tcW w:w="2123" w:type="dxa"/>
            <w:tcBorders>
              <w:top w:val="nil"/>
              <w:left w:val="nil"/>
              <w:bottom w:val="nil"/>
              <w:right w:val="nil"/>
            </w:tcBorders>
            <w:shd w:val="clear" w:color="auto" w:fill="auto"/>
            <w:noWrap/>
            <w:vAlign w:val="center"/>
            <w:hideMark/>
          </w:tcPr>
          <w:p w14:paraId="371DE419" w14:textId="77777777" w:rsidR="00247905" w:rsidRPr="00E85572" w:rsidRDefault="00247905" w:rsidP="00D51245">
            <w:pPr>
              <w:spacing w:line="240" w:lineRule="auto"/>
              <w:jc w:val="center"/>
              <w:rPr>
                <w:rFonts w:ascii="Times New Roman" w:eastAsia="Times New Roman" w:hAnsi="Times New Roman" w:cs="Times New Roman"/>
                <w:sz w:val="20"/>
                <w:szCs w:val="20"/>
                <w:lang w:eastAsia="fr-FR"/>
              </w:rPr>
            </w:pPr>
          </w:p>
        </w:tc>
        <w:tc>
          <w:tcPr>
            <w:tcW w:w="2140" w:type="dxa"/>
            <w:tcBorders>
              <w:top w:val="nil"/>
              <w:left w:val="nil"/>
              <w:bottom w:val="nil"/>
              <w:right w:val="nil"/>
            </w:tcBorders>
            <w:shd w:val="clear" w:color="auto" w:fill="auto"/>
            <w:noWrap/>
            <w:vAlign w:val="center"/>
            <w:hideMark/>
          </w:tcPr>
          <w:p w14:paraId="10C46F52" w14:textId="77777777" w:rsidR="00247905" w:rsidRPr="00E85572" w:rsidRDefault="00247905" w:rsidP="00D51245">
            <w:pPr>
              <w:spacing w:line="240" w:lineRule="auto"/>
              <w:jc w:val="center"/>
              <w:rPr>
                <w:rFonts w:ascii="Times New Roman" w:eastAsia="Times New Roman" w:hAnsi="Times New Roman" w:cs="Times New Roman"/>
                <w:sz w:val="20"/>
                <w:szCs w:val="20"/>
                <w:lang w:eastAsia="fr-FR"/>
              </w:rPr>
            </w:pPr>
          </w:p>
        </w:tc>
      </w:tr>
      <w:tr w:rsidR="00247905" w:rsidRPr="00E85572" w14:paraId="601F1B2D" w14:textId="77777777" w:rsidTr="00247905">
        <w:trPr>
          <w:trHeight w:val="341"/>
        </w:trPr>
        <w:tc>
          <w:tcPr>
            <w:tcW w:w="8492" w:type="dxa"/>
            <w:gridSpan w:val="4"/>
            <w:tcBorders>
              <w:top w:val="nil"/>
              <w:left w:val="nil"/>
              <w:bottom w:val="nil"/>
              <w:right w:val="nil"/>
            </w:tcBorders>
            <w:shd w:val="clear" w:color="auto" w:fill="auto"/>
            <w:vAlign w:val="bottom"/>
            <w:hideMark/>
          </w:tcPr>
          <w:p w14:paraId="2D598AAC" w14:textId="77777777" w:rsidR="00247905" w:rsidRPr="00E85572" w:rsidRDefault="00247905" w:rsidP="00247905">
            <w:pPr>
              <w:spacing w:line="240" w:lineRule="auto"/>
              <w:jc w:val="center"/>
              <w:rPr>
                <w:rFonts w:ascii="Calibri" w:eastAsia="Times New Roman" w:hAnsi="Calibri" w:cs="Calibri"/>
                <w:i/>
                <w:iCs/>
                <w:color w:val="000000"/>
                <w:lang w:eastAsia="fr-FR"/>
              </w:rPr>
            </w:pPr>
            <w:r w:rsidRPr="00E85572">
              <w:rPr>
                <w:rFonts w:ascii="Calibri" w:eastAsia="Times New Roman" w:hAnsi="Calibri" w:cs="Calibri"/>
                <w:i/>
                <w:iCs/>
                <w:color w:val="000000"/>
                <w:lang w:eastAsia="fr-FR"/>
              </w:rPr>
              <w:t>Source : Banque nationale de Belgique ; calculs : SE de Bruxelles</w:t>
            </w:r>
          </w:p>
        </w:tc>
        <w:tc>
          <w:tcPr>
            <w:tcW w:w="2140" w:type="dxa"/>
            <w:tcBorders>
              <w:top w:val="nil"/>
              <w:left w:val="nil"/>
              <w:bottom w:val="nil"/>
              <w:right w:val="nil"/>
            </w:tcBorders>
            <w:shd w:val="clear" w:color="auto" w:fill="auto"/>
            <w:noWrap/>
            <w:vAlign w:val="center"/>
            <w:hideMark/>
          </w:tcPr>
          <w:p w14:paraId="5F29C2B2" w14:textId="77777777" w:rsidR="00247905" w:rsidRPr="00E85572" w:rsidRDefault="00247905" w:rsidP="00D51245">
            <w:pPr>
              <w:spacing w:line="240" w:lineRule="auto"/>
              <w:rPr>
                <w:rFonts w:ascii="Calibri" w:eastAsia="Times New Roman" w:hAnsi="Calibri" w:cs="Calibri"/>
                <w:i/>
                <w:iCs/>
                <w:color w:val="000000"/>
                <w:lang w:eastAsia="fr-FR"/>
              </w:rPr>
            </w:pPr>
          </w:p>
        </w:tc>
      </w:tr>
    </w:tbl>
    <w:p w14:paraId="354147F5" w14:textId="77777777" w:rsidR="008909AC" w:rsidRDefault="008909AC" w:rsidP="008909AC">
      <w:pPr>
        <w:rPr>
          <w:rStyle w:val="Rfrenceintense"/>
        </w:rPr>
      </w:pPr>
    </w:p>
    <w:p w14:paraId="1EB8A734" w14:textId="737C1F68" w:rsidR="00F867DF" w:rsidRDefault="00F867DF" w:rsidP="008909AC">
      <w:pPr>
        <w:rPr>
          <w:rStyle w:val="Rfrenceintense"/>
        </w:rPr>
      </w:pPr>
      <w:r w:rsidRPr="00247905">
        <w:rPr>
          <w:rStyle w:val="Rfrenceintense"/>
        </w:rPr>
        <w:t xml:space="preserve">ANNEXE </w:t>
      </w:r>
      <w:r w:rsidR="008909AC">
        <w:rPr>
          <w:rStyle w:val="Rfrenceintense"/>
        </w:rPr>
        <w:t>6</w:t>
      </w:r>
      <w:r w:rsidRPr="00247905">
        <w:rPr>
          <w:rStyle w:val="Rfrenceintense"/>
        </w:rPr>
        <w:t xml:space="preserve"> : Evolution des échanges de </w:t>
      </w:r>
      <w:r>
        <w:rPr>
          <w:rStyle w:val="Rfrenceintense"/>
        </w:rPr>
        <w:t>biens de la Belgique sur les neuf derniers trimestres (en M</w:t>
      </w:r>
      <w:r w:rsidRPr="00A46BE5">
        <w:rPr>
          <w:rStyle w:val="Rfrenceintense"/>
        </w:rPr>
        <w:t>€</w:t>
      </w:r>
      <w:r>
        <w:rPr>
          <w:rStyle w:val="Rfrenceintense"/>
        </w:rPr>
        <w:t>)</w:t>
      </w:r>
    </w:p>
    <w:tbl>
      <w:tblPr>
        <w:tblW w:w="10666" w:type="dxa"/>
        <w:jc w:val="center"/>
        <w:tblCellMar>
          <w:left w:w="70" w:type="dxa"/>
          <w:right w:w="70" w:type="dxa"/>
        </w:tblCellMar>
        <w:tblLook w:val="04A0" w:firstRow="1" w:lastRow="0" w:firstColumn="1" w:lastColumn="0" w:noHBand="0" w:noVBand="1"/>
      </w:tblPr>
      <w:tblGrid>
        <w:gridCol w:w="1332"/>
        <w:gridCol w:w="1011"/>
        <w:gridCol w:w="1011"/>
        <w:gridCol w:w="1011"/>
        <w:gridCol w:w="1011"/>
        <w:gridCol w:w="1246"/>
        <w:gridCol w:w="1011"/>
        <w:gridCol w:w="1011"/>
        <w:gridCol w:w="1011"/>
        <w:gridCol w:w="1011"/>
      </w:tblGrid>
      <w:tr w:rsidR="00F867DF" w:rsidRPr="00E87B36" w14:paraId="552BFCC2" w14:textId="77777777" w:rsidTr="00D51245">
        <w:trPr>
          <w:trHeight w:val="318"/>
          <w:jc w:val="center"/>
        </w:trPr>
        <w:tc>
          <w:tcPr>
            <w:tcW w:w="1332" w:type="dxa"/>
            <w:tcBorders>
              <w:top w:val="nil"/>
              <w:left w:val="nil"/>
              <w:bottom w:val="nil"/>
              <w:right w:val="nil"/>
            </w:tcBorders>
            <w:shd w:val="clear" w:color="auto" w:fill="auto"/>
            <w:vAlign w:val="bottom"/>
            <w:hideMark/>
          </w:tcPr>
          <w:p w14:paraId="44AE8564" w14:textId="77777777" w:rsidR="00F867DF" w:rsidRPr="00E87B36" w:rsidRDefault="00F867DF" w:rsidP="00D51245">
            <w:pPr>
              <w:spacing w:line="240" w:lineRule="auto"/>
              <w:jc w:val="center"/>
              <w:rPr>
                <w:rFonts w:ascii="Calibri" w:eastAsia="Times New Roman" w:hAnsi="Calibri" w:cs="Calibri"/>
                <w:b/>
                <w:bCs/>
                <w:color w:val="000000"/>
                <w:sz w:val="26"/>
                <w:szCs w:val="26"/>
                <w:lang w:eastAsia="fr-FR"/>
              </w:rPr>
            </w:pPr>
          </w:p>
        </w:tc>
        <w:tc>
          <w:tcPr>
            <w:tcW w:w="1011" w:type="dxa"/>
            <w:tcBorders>
              <w:top w:val="nil"/>
              <w:left w:val="nil"/>
              <w:bottom w:val="nil"/>
              <w:right w:val="nil"/>
            </w:tcBorders>
            <w:shd w:val="clear" w:color="auto" w:fill="auto"/>
            <w:noWrap/>
            <w:vAlign w:val="bottom"/>
            <w:hideMark/>
          </w:tcPr>
          <w:p w14:paraId="7640376C"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189B323B"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14E2CEFD"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5C2B734F"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246" w:type="dxa"/>
            <w:tcBorders>
              <w:top w:val="nil"/>
              <w:left w:val="nil"/>
              <w:bottom w:val="nil"/>
              <w:right w:val="nil"/>
            </w:tcBorders>
            <w:shd w:val="clear" w:color="auto" w:fill="auto"/>
            <w:noWrap/>
            <w:vAlign w:val="bottom"/>
            <w:hideMark/>
          </w:tcPr>
          <w:p w14:paraId="09F38EC5"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5FB8D2B6"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50788455"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3A798027"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623638C0"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r>
      <w:tr w:rsidR="00F867DF" w:rsidRPr="00E87B36" w14:paraId="2B728C38" w14:textId="77777777" w:rsidTr="00D51245">
        <w:trPr>
          <w:trHeight w:val="318"/>
          <w:jc w:val="center"/>
        </w:trPr>
        <w:tc>
          <w:tcPr>
            <w:tcW w:w="1332" w:type="dxa"/>
            <w:tcBorders>
              <w:top w:val="nil"/>
              <w:left w:val="nil"/>
              <w:bottom w:val="nil"/>
              <w:right w:val="nil"/>
            </w:tcBorders>
            <w:shd w:val="clear" w:color="auto" w:fill="auto"/>
            <w:vAlign w:val="bottom"/>
            <w:hideMark/>
          </w:tcPr>
          <w:p w14:paraId="138C849B"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10C7F7E4" w14:textId="77777777" w:rsidR="00F867DF" w:rsidRPr="00E87B36" w:rsidRDefault="00F867DF" w:rsidP="00D5124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T1 2022</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627DA78A"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2</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2</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09913E71"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3</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2</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24151858"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4</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2</w:t>
            </w:r>
          </w:p>
        </w:tc>
        <w:tc>
          <w:tcPr>
            <w:tcW w:w="1246" w:type="dxa"/>
            <w:tcBorders>
              <w:top w:val="single" w:sz="4" w:space="0" w:color="auto"/>
              <w:left w:val="nil"/>
              <w:bottom w:val="single" w:sz="4" w:space="0" w:color="auto"/>
              <w:right w:val="single" w:sz="4" w:space="0" w:color="auto"/>
            </w:tcBorders>
            <w:shd w:val="clear" w:color="000000" w:fill="3366FF"/>
            <w:vAlign w:val="center"/>
            <w:hideMark/>
          </w:tcPr>
          <w:p w14:paraId="5853B0A6"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1</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3</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1DACB17D"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2</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3</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0521D271"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3</w:t>
            </w:r>
            <w:r w:rsidRPr="00E87B36">
              <w:rPr>
                <w:rFonts w:ascii="Calibri" w:eastAsia="Times New Roman" w:hAnsi="Calibri" w:cs="Calibri"/>
                <w:b/>
                <w:bCs/>
                <w:color w:val="FFFFFF"/>
                <w:lang w:eastAsia="fr-FR"/>
              </w:rPr>
              <w:t xml:space="preserve"> 202</w:t>
            </w:r>
            <w:r>
              <w:rPr>
                <w:rFonts w:ascii="Calibri" w:eastAsia="Times New Roman" w:hAnsi="Calibri" w:cs="Calibri"/>
                <w:b/>
                <w:bCs/>
                <w:color w:val="FFFFFF"/>
                <w:lang w:eastAsia="fr-FR"/>
              </w:rPr>
              <w:t>3</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7D92FE35"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 xml:space="preserve">4 </w:t>
            </w:r>
            <w:r w:rsidRPr="00E87B36">
              <w:rPr>
                <w:rFonts w:ascii="Calibri" w:eastAsia="Times New Roman" w:hAnsi="Calibri" w:cs="Calibri"/>
                <w:b/>
                <w:bCs/>
                <w:color w:val="FFFFFF"/>
                <w:lang w:eastAsia="fr-FR"/>
              </w:rPr>
              <w:t>202</w:t>
            </w:r>
            <w:r>
              <w:rPr>
                <w:rFonts w:ascii="Calibri" w:eastAsia="Times New Roman" w:hAnsi="Calibri" w:cs="Calibri"/>
                <w:b/>
                <w:bCs/>
                <w:color w:val="FFFFFF"/>
                <w:lang w:eastAsia="fr-FR"/>
              </w:rPr>
              <w:t>3</w:t>
            </w:r>
          </w:p>
        </w:tc>
        <w:tc>
          <w:tcPr>
            <w:tcW w:w="1011" w:type="dxa"/>
            <w:tcBorders>
              <w:top w:val="single" w:sz="4" w:space="0" w:color="auto"/>
              <w:left w:val="nil"/>
              <w:bottom w:val="single" w:sz="4" w:space="0" w:color="auto"/>
              <w:right w:val="single" w:sz="4" w:space="0" w:color="auto"/>
            </w:tcBorders>
            <w:shd w:val="clear" w:color="000000" w:fill="3366FF"/>
            <w:vAlign w:val="center"/>
            <w:hideMark/>
          </w:tcPr>
          <w:p w14:paraId="0B2F2A33" w14:textId="77777777" w:rsidR="00F867DF" w:rsidRPr="00E87B36" w:rsidRDefault="00F867DF" w:rsidP="00D51245">
            <w:pPr>
              <w:spacing w:line="240" w:lineRule="auto"/>
              <w:jc w:val="center"/>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T</w:t>
            </w:r>
            <w:r>
              <w:rPr>
                <w:rFonts w:ascii="Calibri" w:eastAsia="Times New Roman" w:hAnsi="Calibri" w:cs="Calibri"/>
                <w:b/>
                <w:bCs/>
                <w:color w:val="FFFFFF"/>
                <w:lang w:eastAsia="fr-FR"/>
              </w:rPr>
              <w:t>1 </w:t>
            </w:r>
            <w:r w:rsidRPr="00E87B36">
              <w:rPr>
                <w:rFonts w:ascii="Calibri" w:eastAsia="Times New Roman" w:hAnsi="Calibri" w:cs="Calibri"/>
                <w:b/>
                <w:bCs/>
                <w:color w:val="FFFFFF"/>
                <w:lang w:eastAsia="fr-FR"/>
              </w:rPr>
              <w:t>202</w:t>
            </w:r>
            <w:r>
              <w:rPr>
                <w:rFonts w:ascii="Calibri" w:eastAsia="Times New Roman" w:hAnsi="Calibri" w:cs="Calibri"/>
                <w:b/>
                <w:bCs/>
                <w:color w:val="FFFFFF"/>
                <w:lang w:eastAsia="fr-FR"/>
              </w:rPr>
              <w:t>4</w:t>
            </w:r>
          </w:p>
        </w:tc>
      </w:tr>
      <w:tr w:rsidR="00F867DF" w:rsidRPr="00E87B36" w14:paraId="48911003" w14:textId="77777777" w:rsidTr="00D51245">
        <w:trPr>
          <w:trHeight w:val="318"/>
          <w:jc w:val="center"/>
        </w:trPr>
        <w:tc>
          <w:tcPr>
            <w:tcW w:w="1332"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47A01D4" w14:textId="77777777" w:rsidR="00F867DF" w:rsidRPr="00E87B36" w:rsidRDefault="00F867DF" w:rsidP="00D51245">
            <w:pPr>
              <w:spacing w:line="240" w:lineRule="auto"/>
              <w:rPr>
                <w:rFonts w:ascii="Calibri" w:eastAsia="Times New Roman" w:hAnsi="Calibri" w:cs="Calibri"/>
                <w:b/>
                <w:bCs/>
                <w:color w:val="FFFFFF"/>
                <w:lang w:eastAsia="fr-FR"/>
              </w:rPr>
            </w:pPr>
            <w:r w:rsidRPr="00E87B36">
              <w:rPr>
                <w:rFonts w:ascii="Calibri" w:eastAsia="Times New Roman" w:hAnsi="Calibri" w:cs="Calibri"/>
                <w:b/>
                <w:bCs/>
                <w:color w:val="FFFFFF"/>
                <w:lang w:eastAsia="fr-FR"/>
              </w:rPr>
              <w:t>Exportations</w:t>
            </w:r>
          </w:p>
        </w:tc>
        <w:tc>
          <w:tcPr>
            <w:tcW w:w="1011" w:type="dxa"/>
            <w:tcBorders>
              <w:top w:val="nil"/>
              <w:left w:val="nil"/>
              <w:bottom w:val="single" w:sz="4" w:space="0" w:color="auto"/>
              <w:right w:val="single" w:sz="4" w:space="0" w:color="auto"/>
            </w:tcBorders>
            <w:shd w:val="clear" w:color="auto" w:fill="auto"/>
            <w:vAlign w:val="center"/>
            <w:hideMark/>
          </w:tcPr>
          <w:p w14:paraId="37A518C7"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103 562</w:t>
            </w:r>
          </w:p>
        </w:tc>
        <w:tc>
          <w:tcPr>
            <w:tcW w:w="1011" w:type="dxa"/>
            <w:tcBorders>
              <w:top w:val="nil"/>
              <w:left w:val="nil"/>
              <w:bottom w:val="single" w:sz="4" w:space="0" w:color="auto"/>
              <w:right w:val="single" w:sz="4" w:space="0" w:color="auto"/>
            </w:tcBorders>
            <w:shd w:val="clear" w:color="auto" w:fill="auto"/>
            <w:vAlign w:val="center"/>
            <w:hideMark/>
          </w:tcPr>
          <w:p w14:paraId="53B4604F"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109 844</w:t>
            </w:r>
          </w:p>
        </w:tc>
        <w:tc>
          <w:tcPr>
            <w:tcW w:w="1011" w:type="dxa"/>
            <w:tcBorders>
              <w:top w:val="nil"/>
              <w:left w:val="nil"/>
              <w:bottom w:val="single" w:sz="4" w:space="0" w:color="auto"/>
              <w:right w:val="single" w:sz="4" w:space="0" w:color="auto"/>
            </w:tcBorders>
            <w:shd w:val="clear" w:color="auto" w:fill="auto"/>
            <w:vAlign w:val="center"/>
            <w:hideMark/>
          </w:tcPr>
          <w:p w14:paraId="49DFA49E"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116 202</w:t>
            </w:r>
          </w:p>
        </w:tc>
        <w:tc>
          <w:tcPr>
            <w:tcW w:w="1011" w:type="dxa"/>
            <w:tcBorders>
              <w:top w:val="nil"/>
              <w:left w:val="nil"/>
              <w:bottom w:val="single" w:sz="4" w:space="0" w:color="auto"/>
              <w:right w:val="single" w:sz="4" w:space="0" w:color="auto"/>
            </w:tcBorders>
            <w:shd w:val="clear" w:color="auto" w:fill="auto"/>
            <w:vAlign w:val="center"/>
            <w:hideMark/>
          </w:tcPr>
          <w:p w14:paraId="23BB2D26"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110 880</w:t>
            </w:r>
          </w:p>
        </w:tc>
        <w:tc>
          <w:tcPr>
            <w:tcW w:w="1246" w:type="dxa"/>
            <w:tcBorders>
              <w:top w:val="single" w:sz="4" w:space="0" w:color="auto"/>
              <w:left w:val="nil"/>
              <w:bottom w:val="single" w:sz="4" w:space="0" w:color="auto"/>
              <w:right w:val="nil"/>
            </w:tcBorders>
            <w:shd w:val="clear" w:color="auto" w:fill="auto"/>
            <w:noWrap/>
            <w:vAlign w:val="center"/>
            <w:hideMark/>
          </w:tcPr>
          <w:p w14:paraId="5EBFC5EC" w14:textId="77777777" w:rsidR="00F867DF" w:rsidRPr="00E87B36" w:rsidRDefault="00F867DF" w:rsidP="00D51245">
            <w:pPr>
              <w:spacing w:line="240" w:lineRule="auto"/>
              <w:rPr>
                <w:rFonts w:ascii="Calibri" w:eastAsia="Times New Roman" w:hAnsi="Calibri" w:cs="Calibri"/>
                <w:color w:val="000000"/>
                <w:lang w:eastAsia="fr-FR"/>
              </w:rPr>
            </w:pPr>
            <w:r w:rsidRPr="00E87B36">
              <w:rPr>
                <w:rFonts w:ascii="Calibri" w:eastAsia="Times New Roman" w:hAnsi="Calibri" w:cs="Calibri"/>
                <w:color w:val="000000"/>
                <w:lang w:eastAsia="fr-FR"/>
              </w:rPr>
              <w:t xml:space="preserve">    </w:t>
            </w:r>
            <w:r>
              <w:rPr>
                <w:rFonts w:ascii="Calibri" w:eastAsia="Times New Roman" w:hAnsi="Calibri" w:cs="Calibri"/>
                <w:color w:val="000000"/>
                <w:lang w:eastAsia="fr-FR"/>
              </w:rPr>
              <w:t>99 373</w:t>
            </w:r>
          </w:p>
        </w:tc>
        <w:tc>
          <w:tcPr>
            <w:tcW w:w="1011" w:type="dxa"/>
            <w:tcBorders>
              <w:top w:val="single" w:sz="4" w:space="0" w:color="auto"/>
              <w:left w:val="single" w:sz="4" w:space="0" w:color="auto"/>
              <w:bottom w:val="single" w:sz="4" w:space="0" w:color="auto"/>
              <w:right w:val="nil"/>
            </w:tcBorders>
            <w:shd w:val="clear" w:color="auto" w:fill="auto"/>
            <w:vAlign w:val="center"/>
            <w:hideMark/>
          </w:tcPr>
          <w:p w14:paraId="7E18D4A2"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89 000</w:t>
            </w:r>
          </w:p>
        </w:tc>
        <w:tc>
          <w:tcPr>
            <w:tcW w:w="1011" w:type="dxa"/>
            <w:tcBorders>
              <w:top w:val="single" w:sz="4" w:space="0" w:color="auto"/>
              <w:left w:val="single" w:sz="4" w:space="0" w:color="auto"/>
              <w:bottom w:val="single" w:sz="4" w:space="0" w:color="auto"/>
              <w:right w:val="nil"/>
            </w:tcBorders>
            <w:shd w:val="clear" w:color="auto" w:fill="auto"/>
            <w:vAlign w:val="center"/>
            <w:hideMark/>
          </w:tcPr>
          <w:p w14:paraId="19A24C41"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84 854</w:t>
            </w:r>
          </w:p>
        </w:tc>
        <w:tc>
          <w:tcPr>
            <w:tcW w:w="1011" w:type="dxa"/>
            <w:tcBorders>
              <w:top w:val="single" w:sz="4" w:space="0" w:color="auto"/>
              <w:left w:val="single" w:sz="4" w:space="0" w:color="auto"/>
              <w:bottom w:val="single" w:sz="4" w:space="0" w:color="auto"/>
              <w:right w:val="nil"/>
            </w:tcBorders>
            <w:shd w:val="clear" w:color="auto" w:fill="auto"/>
            <w:vAlign w:val="center"/>
            <w:hideMark/>
          </w:tcPr>
          <w:p w14:paraId="025427C5"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90 622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64EFC" w14:textId="77777777" w:rsidR="00F867DF" w:rsidRPr="00E87B36"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89 343</w:t>
            </w:r>
          </w:p>
        </w:tc>
      </w:tr>
      <w:tr w:rsidR="00F867DF" w:rsidRPr="00E87B36" w14:paraId="0578B1E3" w14:textId="77777777" w:rsidTr="00D51245">
        <w:trPr>
          <w:trHeight w:val="318"/>
          <w:jc w:val="center"/>
        </w:trPr>
        <w:tc>
          <w:tcPr>
            <w:tcW w:w="1332" w:type="dxa"/>
            <w:tcBorders>
              <w:top w:val="nil"/>
              <w:left w:val="single" w:sz="4" w:space="0" w:color="auto"/>
              <w:bottom w:val="single" w:sz="4" w:space="0" w:color="auto"/>
              <w:right w:val="single" w:sz="4" w:space="0" w:color="auto"/>
            </w:tcBorders>
            <w:shd w:val="clear" w:color="000000" w:fill="3366FF"/>
            <w:vAlign w:val="center"/>
            <w:hideMark/>
          </w:tcPr>
          <w:p w14:paraId="0020143E" w14:textId="77777777" w:rsidR="00F867DF" w:rsidRPr="002E3974" w:rsidRDefault="00F867DF" w:rsidP="00D51245">
            <w:pPr>
              <w:spacing w:line="240" w:lineRule="auto"/>
              <w:rPr>
                <w:rFonts w:ascii="Calibri" w:eastAsia="Times New Roman" w:hAnsi="Calibri" w:cs="Calibri"/>
                <w:b/>
                <w:bCs/>
                <w:color w:val="FFFFFF"/>
                <w:lang w:eastAsia="fr-FR"/>
              </w:rPr>
            </w:pPr>
            <w:r w:rsidRPr="002E3974">
              <w:rPr>
                <w:rFonts w:ascii="Calibri" w:eastAsia="Times New Roman" w:hAnsi="Calibri" w:cs="Calibri"/>
                <w:b/>
                <w:bCs/>
                <w:color w:val="FFFFFF"/>
                <w:lang w:eastAsia="fr-FR"/>
              </w:rPr>
              <w:t>Importations</w:t>
            </w:r>
          </w:p>
        </w:tc>
        <w:tc>
          <w:tcPr>
            <w:tcW w:w="1011" w:type="dxa"/>
            <w:tcBorders>
              <w:top w:val="nil"/>
              <w:left w:val="nil"/>
              <w:bottom w:val="single" w:sz="4" w:space="0" w:color="auto"/>
              <w:right w:val="single" w:sz="4" w:space="0" w:color="auto"/>
            </w:tcBorders>
            <w:shd w:val="clear" w:color="auto" w:fill="auto"/>
            <w:vAlign w:val="center"/>
            <w:hideMark/>
          </w:tcPr>
          <w:p w14:paraId="69B53722" w14:textId="77777777" w:rsidR="00F867DF" w:rsidRPr="002E3974" w:rsidRDefault="00F867DF" w:rsidP="00D51245">
            <w:pPr>
              <w:spacing w:line="240" w:lineRule="auto"/>
              <w:jc w:val="center"/>
              <w:rPr>
                <w:rFonts w:ascii="Calibri" w:eastAsia="Times New Roman" w:hAnsi="Calibri" w:cs="Calibri"/>
                <w:color w:val="000000"/>
                <w:lang w:eastAsia="fr-FR"/>
              </w:rPr>
            </w:pPr>
            <w:r w:rsidRPr="00FF3346">
              <w:rPr>
                <w:rFonts w:ascii="Calibri" w:eastAsia="Times New Roman" w:hAnsi="Calibri" w:cs="Calibri"/>
                <w:color w:val="000000"/>
                <w:lang w:eastAsia="fr-FR"/>
              </w:rPr>
              <w:t>102 511</w:t>
            </w:r>
          </w:p>
        </w:tc>
        <w:tc>
          <w:tcPr>
            <w:tcW w:w="1011" w:type="dxa"/>
            <w:tcBorders>
              <w:top w:val="nil"/>
              <w:left w:val="nil"/>
              <w:bottom w:val="single" w:sz="4" w:space="0" w:color="auto"/>
              <w:right w:val="single" w:sz="4" w:space="0" w:color="auto"/>
            </w:tcBorders>
            <w:shd w:val="clear" w:color="auto" w:fill="auto"/>
            <w:vAlign w:val="center"/>
            <w:hideMark/>
          </w:tcPr>
          <w:p w14:paraId="6810FE6C" w14:textId="77777777" w:rsidR="00F867DF" w:rsidRPr="002E397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110 663</w:t>
            </w:r>
          </w:p>
        </w:tc>
        <w:tc>
          <w:tcPr>
            <w:tcW w:w="1011" w:type="dxa"/>
            <w:tcBorders>
              <w:top w:val="nil"/>
              <w:left w:val="nil"/>
              <w:bottom w:val="single" w:sz="4" w:space="0" w:color="auto"/>
              <w:right w:val="single" w:sz="4" w:space="0" w:color="auto"/>
            </w:tcBorders>
            <w:shd w:val="clear" w:color="auto" w:fill="auto"/>
            <w:vAlign w:val="center"/>
            <w:hideMark/>
          </w:tcPr>
          <w:p w14:paraId="6EFD731D" w14:textId="77777777" w:rsidR="00F867DF" w:rsidRPr="002E397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120 756</w:t>
            </w:r>
          </w:p>
        </w:tc>
        <w:tc>
          <w:tcPr>
            <w:tcW w:w="1011" w:type="dxa"/>
            <w:tcBorders>
              <w:top w:val="nil"/>
              <w:left w:val="nil"/>
              <w:bottom w:val="single" w:sz="4" w:space="0" w:color="auto"/>
              <w:right w:val="single" w:sz="4" w:space="0" w:color="auto"/>
            </w:tcBorders>
            <w:shd w:val="clear" w:color="auto" w:fill="auto"/>
            <w:vAlign w:val="center"/>
            <w:hideMark/>
          </w:tcPr>
          <w:p w14:paraId="0C35FF5F"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107 142</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E929F47"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103 877</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9F53060"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98 125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E4D9496"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89 485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414A23CC"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93 376</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44C12C3"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88 480</w:t>
            </w:r>
          </w:p>
        </w:tc>
      </w:tr>
      <w:tr w:rsidR="00F867DF" w:rsidRPr="00E87B36" w14:paraId="257786AE" w14:textId="77777777" w:rsidTr="00D51245">
        <w:trPr>
          <w:trHeight w:val="318"/>
          <w:jc w:val="center"/>
        </w:trPr>
        <w:tc>
          <w:tcPr>
            <w:tcW w:w="1332" w:type="dxa"/>
            <w:tcBorders>
              <w:top w:val="nil"/>
              <w:left w:val="single" w:sz="4" w:space="0" w:color="auto"/>
              <w:bottom w:val="single" w:sz="4" w:space="0" w:color="auto"/>
              <w:right w:val="single" w:sz="4" w:space="0" w:color="auto"/>
            </w:tcBorders>
            <w:shd w:val="clear" w:color="000000" w:fill="3366FF"/>
            <w:vAlign w:val="center"/>
            <w:hideMark/>
          </w:tcPr>
          <w:p w14:paraId="024D0C4A" w14:textId="77777777" w:rsidR="00F867DF" w:rsidRPr="002E3974" w:rsidRDefault="00F867DF" w:rsidP="00D51245">
            <w:pPr>
              <w:spacing w:line="240" w:lineRule="auto"/>
              <w:rPr>
                <w:rFonts w:ascii="Calibri" w:eastAsia="Times New Roman" w:hAnsi="Calibri" w:cs="Calibri"/>
                <w:b/>
                <w:bCs/>
                <w:color w:val="FFFFFF"/>
                <w:lang w:eastAsia="fr-FR"/>
              </w:rPr>
            </w:pPr>
            <w:r w:rsidRPr="002E3974">
              <w:rPr>
                <w:rFonts w:ascii="Calibri" w:eastAsia="Times New Roman" w:hAnsi="Calibri" w:cs="Calibri"/>
                <w:b/>
                <w:bCs/>
                <w:color w:val="FFFFFF"/>
                <w:lang w:eastAsia="fr-FR"/>
              </w:rPr>
              <w:t xml:space="preserve">Solde </w:t>
            </w:r>
          </w:p>
        </w:tc>
        <w:tc>
          <w:tcPr>
            <w:tcW w:w="1011" w:type="dxa"/>
            <w:tcBorders>
              <w:top w:val="nil"/>
              <w:left w:val="nil"/>
              <w:bottom w:val="single" w:sz="4" w:space="0" w:color="auto"/>
              <w:right w:val="single" w:sz="4" w:space="0" w:color="auto"/>
            </w:tcBorders>
            <w:shd w:val="clear" w:color="auto" w:fill="auto"/>
            <w:vAlign w:val="center"/>
            <w:hideMark/>
          </w:tcPr>
          <w:p w14:paraId="60DD168C" w14:textId="77777777" w:rsidR="00F867DF" w:rsidRPr="009C4BC4" w:rsidRDefault="00F867DF" w:rsidP="00D51245">
            <w:pPr>
              <w:spacing w:line="240" w:lineRule="auto"/>
              <w:jc w:val="center"/>
              <w:rPr>
                <w:rFonts w:ascii="Calibri" w:eastAsia="Times New Roman" w:hAnsi="Calibri" w:cs="Calibri"/>
                <w:color w:val="000000"/>
                <w:lang w:eastAsia="fr-FR"/>
              </w:rPr>
            </w:pPr>
            <w:r w:rsidRPr="009C4BC4">
              <w:rPr>
                <w:rFonts w:ascii="Calibri" w:eastAsia="Times New Roman" w:hAnsi="Calibri" w:cs="Calibri"/>
                <w:color w:val="000000"/>
                <w:lang w:eastAsia="fr-FR"/>
              </w:rPr>
              <w:t>1</w:t>
            </w:r>
            <w:r>
              <w:rPr>
                <w:rFonts w:ascii="Calibri" w:eastAsia="Times New Roman" w:hAnsi="Calibri" w:cs="Calibri"/>
                <w:color w:val="000000"/>
                <w:lang w:eastAsia="fr-FR"/>
              </w:rPr>
              <w:t xml:space="preserve"> 051</w:t>
            </w:r>
          </w:p>
        </w:tc>
        <w:tc>
          <w:tcPr>
            <w:tcW w:w="1011" w:type="dxa"/>
            <w:tcBorders>
              <w:top w:val="nil"/>
              <w:left w:val="nil"/>
              <w:bottom w:val="single" w:sz="4" w:space="0" w:color="auto"/>
              <w:right w:val="single" w:sz="4" w:space="0" w:color="auto"/>
            </w:tcBorders>
            <w:shd w:val="clear" w:color="auto" w:fill="auto"/>
            <w:vAlign w:val="center"/>
            <w:hideMark/>
          </w:tcPr>
          <w:p w14:paraId="1CB6E463" w14:textId="77777777" w:rsidR="00F867DF" w:rsidRPr="009C4BC4"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-819,8</w:t>
            </w:r>
          </w:p>
        </w:tc>
        <w:tc>
          <w:tcPr>
            <w:tcW w:w="1011" w:type="dxa"/>
            <w:tcBorders>
              <w:top w:val="nil"/>
              <w:left w:val="nil"/>
              <w:bottom w:val="single" w:sz="4" w:space="0" w:color="auto"/>
              <w:right w:val="single" w:sz="4" w:space="0" w:color="auto"/>
            </w:tcBorders>
            <w:shd w:val="clear" w:color="auto" w:fill="auto"/>
            <w:vAlign w:val="center"/>
            <w:hideMark/>
          </w:tcPr>
          <w:p w14:paraId="2F64672F"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- 4 554</w:t>
            </w:r>
          </w:p>
        </w:tc>
        <w:tc>
          <w:tcPr>
            <w:tcW w:w="1011" w:type="dxa"/>
            <w:tcBorders>
              <w:top w:val="nil"/>
              <w:left w:val="nil"/>
              <w:bottom w:val="single" w:sz="4" w:space="0" w:color="auto"/>
              <w:right w:val="single" w:sz="4" w:space="0" w:color="auto"/>
            </w:tcBorders>
            <w:shd w:val="clear" w:color="auto" w:fill="auto"/>
            <w:vAlign w:val="center"/>
            <w:hideMark/>
          </w:tcPr>
          <w:p w14:paraId="39D738E9"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3 738</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10AF1D63"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- 4 504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907112B"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- 9 124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0F2A6CED" w14:textId="77777777" w:rsidR="00F867DF" w:rsidRPr="00420EA1" w:rsidRDefault="00F867DF" w:rsidP="00D51245">
            <w:pPr>
              <w:spacing w:line="240" w:lineRule="auto"/>
              <w:jc w:val="center"/>
              <w:rPr>
                <w:rFonts w:ascii="Calibri" w:eastAsia="Times New Roman" w:hAnsi="Calibri" w:cs="Calibri"/>
                <w:color w:val="000000"/>
                <w:lang w:eastAsia="fr-FR"/>
              </w:rPr>
            </w:pPr>
            <w:r w:rsidRPr="00420EA1">
              <w:rPr>
                <w:rFonts w:ascii="Calibri" w:eastAsia="Times New Roman" w:hAnsi="Calibri" w:cs="Calibri"/>
                <w:color w:val="000000"/>
                <w:lang w:eastAsia="fr-FR"/>
              </w:rPr>
              <w:t xml:space="preserve">-4 </w:t>
            </w:r>
            <w:r>
              <w:rPr>
                <w:rFonts w:ascii="Calibri" w:eastAsia="Times New Roman" w:hAnsi="Calibri" w:cs="Calibri"/>
                <w:color w:val="000000"/>
                <w:lang w:eastAsia="fr-FR"/>
              </w:rPr>
              <w:t>530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69A16C74"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- 2 754</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70CA8C5C" w14:textId="77777777" w:rsidR="00F867DF" w:rsidRPr="00420EA1" w:rsidRDefault="00F867DF"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862.4</w:t>
            </w:r>
          </w:p>
        </w:tc>
      </w:tr>
      <w:tr w:rsidR="00F867DF" w:rsidRPr="00E87B36" w14:paraId="67A3B10D" w14:textId="77777777" w:rsidTr="00D51245">
        <w:trPr>
          <w:trHeight w:val="636"/>
          <w:jc w:val="center"/>
        </w:trPr>
        <w:tc>
          <w:tcPr>
            <w:tcW w:w="1332" w:type="dxa"/>
            <w:tcBorders>
              <w:top w:val="nil"/>
              <w:left w:val="single" w:sz="4" w:space="0" w:color="auto"/>
              <w:bottom w:val="single" w:sz="4" w:space="0" w:color="auto"/>
              <w:right w:val="single" w:sz="4" w:space="0" w:color="auto"/>
            </w:tcBorders>
            <w:shd w:val="clear" w:color="000000" w:fill="3366FF"/>
            <w:vAlign w:val="center"/>
            <w:hideMark/>
          </w:tcPr>
          <w:p w14:paraId="7576925B" w14:textId="77777777" w:rsidR="00F867DF" w:rsidRPr="00420EA1" w:rsidRDefault="00F867DF" w:rsidP="00D51245">
            <w:pPr>
              <w:spacing w:line="240" w:lineRule="auto"/>
              <w:rPr>
                <w:rFonts w:ascii="Calibri" w:eastAsia="Times New Roman" w:hAnsi="Calibri" w:cs="Calibri"/>
                <w:b/>
                <w:bCs/>
                <w:color w:val="FFFFFF"/>
                <w:lang w:eastAsia="fr-FR"/>
              </w:rPr>
            </w:pPr>
            <w:r w:rsidRPr="002E3974">
              <w:rPr>
                <w:rFonts w:ascii="Calibri" w:eastAsia="Times New Roman" w:hAnsi="Calibri" w:cs="Calibri"/>
                <w:b/>
                <w:bCs/>
                <w:color w:val="FFFFFF"/>
                <w:lang w:eastAsia="fr-FR"/>
              </w:rPr>
              <w:t>Volume total des échanges</w:t>
            </w:r>
          </w:p>
        </w:tc>
        <w:tc>
          <w:tcPr>
            <w:tcW w:w="1011" w:type="dxa"/>
            <w:tcBorders>
              <w:top w:val="nil"/>
              <w:left w:val="nil"/>
              <w:bottom w:val="single" w:sz="4" w:space="0" w:color="auto"/>
              <w:right w:val="single" w:sz="4" w:space="0" w:color="auto"/>
            </w:tcBorders>
            <w:shd w:val="clear" w:color="auto" w:fill="auto"/>
            <w:vAlign w:val="center"/>
            <w:hideMark/>
          </w:tcPr>
          <w:p w14:paraId="60D9A265"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206 073</w:t>
            </w:r>
          </w:p>
        </w:tc>
        <w:tc>
          <w:tcPr>
            <w:tcW w:w="1011" w:type="dxa"/>
            <w:tcBorders>
              <w:top w:val="nil"/>
              <w:left w:val="nil"/>
              <w:bottom w:val="single" w:sz="4" w:space="0" w:color="auto"/>
              <w:right w:val="single" w:sz="4" w:space="0" w:color="auto"/>
            </w:tcBorders>
            <w:shd w:val="clear" w:color="auto" w:fill="auto"/>
            <w:vAlign w:val="center"/>
            <w:hideMark/>
          </w:tcPr>
          <w:p w14:paraId="1837E7EB"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220 507</w:t>
            </w:r>
          </w:p>
        </w:tc>
        <w:tc>
          <w:tcPr>
            <w:tcW w:w="1011" w:type="dxa"/>
            <w:tcBorders>
              <w:top w:val="nil"/>
              <w:left w:val="nil"/>
              <w:bottom w:val="single" w:sz="4" w:space="0" w:color="auto"/>
              <w:right w:val="single" w:sz="4" w:space="0" w:color="auto"/>
            </w:tcBorders>
            <w:shd w:val="clear" w:color="auto" w:fill="auto"/>
            <w:vAlign w:val="center"/>
            <w:hideMark/>
          </w:tcPr>
          <w:p w14:paraId="33C8D313"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236 958</w:t>
            </w:r>
          </w:p>
        </w:tc>
        <w:tc>
          <w:tcPr>
            <w:tcW w:w="1011" w:type="dxa"/>
            <w:tcBorders>
              <w:top w:val="nil"/>
              <w:left w:val="nil"/>
              <w:bottom w:val="single" w:sz="4" w:space="0" w:color="auto"/>
              <w:right w:val="single" w:sz="4" w:space="0" w:color="auto"/>
            </w:tcBorders>
            <w:shd w:val="clear" w:color="auto" w:fill="auto"/>
            <w:vAlign w:val="center"/>
            <w:hideMark/>
          </w:tcPr>
          <w:p w14:paraId="3A565C4A"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218 022</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1E1F5B4D"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203 250</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FE5956"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187 125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FB61335"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174 339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470B9F5C"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183 998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23ED74B9" w14:textId="77777777" w:rsidR="00F867DF" w:rsidRPr="00D10A6E" w:rsidRDefault="00F867DF" w:rsidP="00D51245">
            <w:pPr>
              <w:spacing w:line="240" w:lineRule="auto"/>
              <w:jc w:val="center"/>
              <w:rPr>
                <w:rFonts w:ascii="Calibri" w:eastAsia="Times New Roman" w:hAnsi="Calibri" w:cs="Calibri"/>
                <w:color w:val="000000"/>
                <w:lang w:eastAsia="fr-FR"/>
              </w:rPr>
            </w:pPr>
            <w:r w:rsidRPr="00D10A6E">
              <w:rPr>
                <w:rFonts w:ascii="Calibri" w:eastAsia="Times New Roman" w:hAnsi="Calibri" w:cs="Calibri"/>
                <w:color w:val="000000"/>
                <w:lang w:eastAsia="fr-FR"/>
              </w:rPr>
              <w:t>177 823</w:t>
            </w:r>
          </w:p>
        </w:tc>
      </w:tr>
      <w:tr w:rsidR="00F867DF" w:rsidRPr="00E87B36" w14:paraId="2CD4FF24" w14:textId="77777777" w:rsidTr="00D51245">
        <w:trPr>
          <w:trHeight w:val="1592"/>
          <w:jc w:val="center"/>
        </w:trPr>
        <w:tc>
          <w:tcPr>
            <w:tcW w:w="1332" w:type="dxa"/>
            <w:tcBorders>
              <w:top w:val="nil"/>
              <w:left w:val="single" w:sz="4" w:space="0" w:color="auto"/>
              <w:bottom w:val="single" w:sz="4" w:space="0" w:color="auto"/>
              <w:right w:val="single" w:sz="4" w:space="0" w:color="auto"/>
            </w:tcBorders>
            <w:shd w:val="clear" w:color="000000" w:fill="3366FF"/>
            <w:vAlign w:val="center"/>
            <w:hideMark/>
          </w:tcPr>
          <w:p w14:paraId="0DCC2361" w14:textId="77777777" w:rsidR="00F867DF" w:rsidRPr="00420EA1" w:rsidRDefault="00F867DF" w:rsidP="00D51245">
            <w:pPr>
              <w:spacing w:line="240" w:lineRule="auto"/>
              <w:rPr>
                <w:rFonts w:ascii="Calibri" w:eastAsia="Times New Roman" w:hAnsi="Calibri" w:cs="Calibri"/>
                <w:b/>
                <w:bCs/>
                <w:color w:val="FFFFFF"/>
                <w:lang w:eastAsia="fr-FR"/>
              </w:rPr>
            </w:pPr>
            <w:r w:rsidRPr="002E3974">
              <w:rPr>
                <w:rFonts w:ascii="Calibri" w:eastAsia="Times New Roman" w:hAnsi="Calibri" w:cs="Calibri"/>
                <w:b/>
                <w:bCs/>
                <w:color w:val="FFFFFF"/>
                <w:lang w:eastAsia="fr-FR"/>
              </w:rPr>
              <w:t>Variation du volume par rapport au trimestre précédent</w:t>
            </w:r>
          </w:p>
        </w:tc>
        <w:tc>
          <w:tcPr>
            <w:tcW w:w="1011" w:type="dxa"/>
            <w:tcBorders>
              <w:top w:val="nil"/>
              <w:left w:val="nil"/>
              <w:bottom w:val="single" w:sz="4" w:space="0" w:color="auto"/>
              <w:right w:val="single" w:sz="4" w:space="0" w:color="auto"/>
            </w:tcBorders>
            <w:shd w:val="clear" w:color="auto" w:fill="auto"/>
            <w:vAlign w:val="center"/>
            <w:hideMark/>
          </w:tcPr>
          <w:p w14:paraId="6B760A0A" w14:textId="77777777" w:rsidR="00F867DF" w:rsidRPr="00D51245" w:rsidRDefault="00F867DF" w:rsidP="00D51245">
            <w:pPr>
              <w:spacing w:line="240" w:lineRule="auto"/>
              <w:jc w:val="center"/>
              <w:rPr>
                <w:rFonts w:ascii="Calibri" w:eastAsia="Times New Roman" w:hAnsi="Calibri" w:cs="Calibri"/>
                <w:color w:val="000000"/>
                <w:lang w:eastAsia="fr-FR"/>
              </w:rPr>
            </w:pPr>
          </w:p>
        </w:tc>
        <w:tc>
          <w:tcPr>
            <w:tcW w:w="1011" w:type="dxa"/>
            <w:tcBorders>
              <w:top w:val="nil"/>
              <w:left w:val="nil"/>
              <w:bottom w:val="single" w:sz="4" w:space="0" w:color="auto"/>
              <w:right w:val="single" w:sz="4" w:space="0" w:color="auto"/>
            </w:tcBorders>
            <w:shd w:val="clear" w:color="auto" w:fill="auto"/>
            <w:vAlign w:val="center"/>
            <w:hideMark/>
          </w:tcPr>
          <w:p w14:paraId="2A6C1E9D"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7%</w:t>
            </w:r>
          </w:p>
        </w:tc>
        <w:tc>
          <w:tcPr>
            <w:tcW w:w="1011" w:type="dxa"/>
            <w:tcBorders>
              <w:top w:val="nil"/>
              <w:left w:val="nil"/>
              <w:bottom w:val="single" w:sz="4" w:space="0" w:color="auto"/>
              <w:right w:val="single" w:sz="4" w:space="0" w:color="auto"/>
            </w:tcBorders>
            <w:shd w:val="clear" w:color="auto" w:fill="auto"/>
            <w:vAlign w:val="center"/>
            <w:hideMark/>
          </w:tcPr>
          <w:p w14:paraId="10DF45FA"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7,5%</w:t>
            </w:r>
          </w:p>
        </w:tc>
        <w:tc>
          <w:tcPr>
            <w:tcW w:w="1011" w:type="dxa"/>
            <w:tcBorders>
              <w:top w:val="nil"/>
              <w:left w:val="nil"/>
              <w:bottom w:val="single" w:sz="4" w:space="0" w:color="auto"/>
              <w:right w:val="single" w:sz="4" w:space="0" w:color="auto"/>
            </w:tcBorders>
            <w:shd w:val="clear" w:color="auto" w:fill="auto"/>
            <w:vAlign w:val="center"/>
            <w:hideMark/>
          </w:tcPr>
          <w:p w14:paraId="347FD373" w14:textId="528F92C8" w:rsidR="00F867DF" w:rsidRDefault="00F867DF" w:rsidP="00D51245">
            <w:pPr>
              <w:spacing w:line="240" w:lineRule="auto"/>
              <w:jc w:val="center"/>
              <w:rPr>
                <w:rFonts w:ascii="Calibri" w:eastAsia="Times New Roman" w:hAnsi="Calibri" w:cs="Calibri"/>
                <w:color w:val="000000"/>
                <w:lang w:eastAsia="fr-FR"/>
              </w:rPr>
            </w:pPr>
          </w:p>
          <w:p w14:paraId="608C5299" w14:textId="4255668B"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-8%</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2499C11"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-6,8%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5CF4DB8A"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-7,9%</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8973326" w14:textId="7F2461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-6,8%</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1B920682"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5,5%</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4C106A90" w14:textId="77777777" w:rsidR="00F867DF" w:rsidRPr="00D51245" w:rsidRDefault="00F867DF" w:rsidP="00D51245">
            <w:pPr>
              <w:spacing w:line="240" w:lineRule="auto"/>
              <w:jc w:val="center"/>
              <w:rPr>
                <w:rFonts w:ascii="Calibri" w:eastAsia="Times New Roman" w:hAnsi="Calibri" w:cs="Calibri"/>
                <w:color w:val="000000"/>
                <w:lang w:eastAsia="fr-FR"/>
              </w:rPr>
            </w:pPr>
            <w:r w:rsidRPr="00D51245">
              <w:rPr>
                <w:rFonts w:ascii="Calibri" w:eastAsia="Times New Roman" w:hAnsi="Calibri" w:cs="Calibri"/>
                <w:color w:val="000000"/>
                <w:lang w:eastAsia="fr-FR"/>
              </w:rPr>
              <w:t>-3,4%</w:t>
            </w:r>
          </w:p>
        </w:tc>
      </w:tr>
      <w:tr w:rsidR="00F867DF" w:rsidRPr="00E87B36" w14:paraId="0F18C4C8" w14:textId="77777777" w:rsidTr="00D51245">
        <w:trPr>
          <w:trHeight w:val="318"/>
          <w:jc w:val="center"/>
        </w:trPr>
        <w:tc>
          <w:tcPr>
            <w:tcW w:w="1332" w:type="dxa"/>
            <w:tcBorders>
              <w:top w:val="nil"/>
              <w:left w:val="nil"/>
              <w:bottom w:val="nil"/>
              <w:right w:val="nil"/>
            </w:tcBorders>
            <w:shd w:val="clear" w:color="auto" w:fill="auto"/>
            <w:noWrap/>
            <w:vAlign w:val="bottom"/>
            <w:hideMark/>
          </w:tcPr>
          <w:p w14:paraId="024CBFFB"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556DA0A0"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69B80CEA"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54D46857"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73B3AAB1"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246" w:type="dxa"/>
            <w:tcBorders>
              <w:top w:val="nil"/>
              <w:left w:val="nil"/>
              <w:bottom w:val="nil"/>
              <w:right w:val="nil"/>
            </w:tcBorders>
            <w:shd w:val="clear" w:color="auto" w:fill="auto"/>
            <w:noWrap/>
            <w:vAlign w:val="bottom"/>
            <w:hideMark/>
          </w:tcPr>
          <w:p w14:paraId="4EA84761"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28C7307A"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7C9B82CC"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74F5BB13"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c>
          <w:tcPr>
            <w:tcW w:w="1011" w:type="dxa"/>
            <w:tcBorders>
              <w:top w:val="nil"/>
              <w:left w:val="nil"/>
              <w:bottom w:val="nil"/>
              <w:right w:val="nil"/>
            </w:tcBorders>
            <w:shd w:val="clear" w:color="auto" w:fill="auto"/>
            <w:noWrap/>
            <w:vAlign w:val="bottom"/>
            <w:hideMark/>
          </w:tcPr>
          <w:p w14:paraId="1216C88F" w14:textId="77777777" w:rsidR="00F867DF" w:rsidRPr="00E87B36" w:rsidRDefault="00F867DF" w:rsidP="00D51245">
            <w:pPr>
              <w:spacing w:line="240" w:lineRule="auto"/>
              <w:rPr>
                <w:rFonts w:ascii="Times New Roman" w:eastAsia="Times New Roman" w:hAnsi="Times New Roman" w:cs="Times New Roman"/>
                <w:sz w:val="20"/>
                <w:szCs w:val="20"/>
                <w:lang w:eastAsia="fr-FR"/>
              </w:rPr>
            </w:pPr>
          </w:p>
        </w:tc>
      </w:tr>
    </w:tbl>
    <w:p w14:paraId="4441F44A" w14:textId="027EB06B" w:rsidR="00F867DF" w:rsidRDefault="00F867DF" w:rsidP="00F867DF">
      <w:pPr>
        <w:jc w:val="center"/>
        <w:rPr>
          <w:rFonts w:ascii="Calibri" w:eastAsia="Times New Roman" w:hAnsi="Calibri" w:cs="Calibri"/>
          <w:i/>
          <w:iCs/>
          <w:color w:val="000000"/>
          <w:lang w:eastAsia="fr-FR"/>
        </w:rPr>
      </w:pPr>
      <w:r w:rsidRPr="001B2089">
        <w:rPr>
          <w:rFonts w:ascii="Calibri" w:eastAsia="Times New Roman" w:hAnsi="Calibri" w:cs="Calibri"/>
          <w:i/>
          <w:iCs/>
          <w:color w:val="000000"/>
          <w:lang w:eastAsia="fr-FR"/>
        </w:rPr>
        <w:t xml:space="preserve">Source : Banque nationale de </w:t>
      </w:r>
      <w:r>
        <w:rPr>
          <w:rFonts w:ascii="Calibri" w:eastAsia="Times New Roman" w:hAnsi="Calibri" w:cs="Calibri"/>
          <w:i/>
          <w:iCs/>
          <w:color w:val="000000"/>
          <w:lang w:eastAsia="fr-FR"/>
        </w:rPr>
        <w:t>Belgique</w:t>
      </w:r>
    </w:p>
    <w:p w14:paraId="244AA833" w14:textId="52A8D4CC" w:rsidR="008909AC" w:rsidRDefault="008909AC" w:rsidP="00F867DF">
      <w:pPr>
        <w:jc w:val="center"/>
        <w:rPr>
          <w:rFonts w:ascii="Calibri" w:eastAsia="Times New Roman" w:hAnsi="Calibri" w:cs="Calibri"/>
          <w:i/>
          <w:iCs/>
          <w:color w:val="000000"/>
          <w:lang w:eastAsia="fr-FR"/>
        </w:rPr>
      </w:pPr>
      <w:r>
        <w:rPr>
          <w:rFonts w:ascii="Calibri" w:eastAsia="Times New Roman" w:hAnsi="Calibri" w:cs="Calibri"/>
          <w:i/>
          <w:iCs/>
          <w:color w:val="000000"/>
          <w:lang w:eastAsia="fr-FR"/>
        </w:rPr>
        <w:br w:type="page"/>
      </w:r>
    </w:p>
    <w:p w14:paraId="31F869CE" w14:textId="31177ED2" w:rsidR="00F867DF" w:rsidRDefault="008909AC" w:rsidP="00F867DF">
      <w:pPr>
        <w:jc w:val="center"/>
        <w:rPr>
          <w:rFonts w:ascii="Calibri" w:eastAsia="Times New Roman" w:hAnsi="Calibri" w:cs="Calibri"/>
          <w:i/>
          <w:iCs/>
          <w:color w:val="000000"/>
          <w:lang w:eastAsia="fr-FR"/>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69504" behindDoc="1" locked="0" layoutInCell="1" allowOverlap="1" wp14:anchorId="1887EBB9" wp14:editId="49EFEBC2">
                <wp:simplePos x="0" y="0"/>
                <wp:positionH relativeFrom="page">
                  <wp:posOffset>17780</wp:posOffset>
                </wp:positionH>
                <wp:positionV relativeFrom="paragraph">
                  <wp:posOffset>-434340</wp:posOffset>
                </wp:positionV>
                <wp:extent cx="7543800" cy="10677525"/>
                <wp:effectExtent l="0" t="0" r="0" b="9525"/>
                <wp:wrapNone/>
                <wp:docPr id="14" name="Rectangle 14"/>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FBEC33" id="Rectangle 14" o:spid="_x0000_s1026" style="position:absolute;margin-left:1.4pt;margin-top:-34.2pt;width:594pt;height:840.75pt;z-index:-251646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ZE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5tQ&#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" fillcolor="#fef8e8" stroked="f" strokeweight="1pt">
                <w10:wrap anchorx="page"/>
              </v:rect>
            </w:pict>
          </mc:Fallback>
        </mc:AlternateContent>
      </w:r>
    </w:p>
    <w:p w14:paraId="547516F2" w14:textId="2752DDE6" w:rsidR="00F867DF" w:rsidRPr="001B2089" w:rsidRDefault="00F867DF" w:rsidP="00F867DF">
      <w:pPr>
        <w:jc w:val="center"/>
        <w:rPr>
          <w:rFonts w:ascii="Segoe UI" w:hAnsi="Segoe UI" w:cs="Segoe UI"/>
          <w:b/>
          <w:szCs w:val="24"/>
        </w:rPr>
      </w:pPr>
    </w:p>
    <w:p w14:paraId="6E4E93B1" w14:textId="083E85B5" w:rsidR="00F867DF" w:rsidRDefault="00064A32" w:rsidP="00F867DF">
      <w:pPr>
        <w:jc w:val="center"/>
        <w:rPr>
          <w:rStyle w:val="Rfrenceintense"/>
        </w:rPr>
      </w:pPr>
      <w:r w:rsidRPr="00247905">
        <w:rPr>
          <w:rStyle w:val="Rfrenceintense"/>
        </w:rPr>
        <w:t xml:space="preserve">ANNEXE </w:t>
      </w:r>
      <w:r>
        <w:rPr>
          <w:rStyle w:val="Rfrenceintense"/>
        </w:rPr>
        <w:t xml:space="preserve">7 : </w:t>
      </w:r>
      <w:r w:rsidRPr="00064A32">
        <w:rPr>
          <w:rStyle w:val="Rfrenceintense"/>
        </w:rPr>
        <w:t>Principaux secteurs pour les échanges de biens en Belgique en 2023 et leur évolution par rapport à 2022 - concept national</w:t>
      </w:r>
    </w:p>
    <w:p w14:paraId="3EEFF40E" w14:textId="77777777" w:rsidR="00064A32" w:rsidRDefault="00064A32" w:rsidP="00064A32">
      <w:pPr>
        <w:tabs>
          <w:tab w:val="left" w:pos="2054"/>
        </w:tabs>
        <w:spacing w:line="240" w:lineRule="auto"/>
        <w:jc w:val="center"/>
        <w:rPr>
          <w:rFonts w:ascii="Segoe UI" w:hAnsi="Segoe UI" w:cs="Segoe UI"/>
          <w:b/>
          <w:szCs w:val="24"/>
        </w:rPr>
      </w:pPr>
    </w:p>
    <w:tbl>
      <w:tblPr>
        <w:tblW w:w="8803" w:type="dxa"/>
        <w:jc w:val="center"/>
        <w:tblCellMar>
          <w:left w:w="70" w:type="dxa"/>
          <w:right w:w="70" w:type="dxa"/>
        </w:tblCellMar>
        <w:tblLook w:val="04A0" w:firstRow="1" w:lastRow="0" w:firstColumn="1" w:lastColumn="0" w:noHBand="0" w:noVBand="1"/>
      </w:tblPr>
      <w:tblGrid>
        <w:gridCol w:w="2200"/>
        <w:gridCol w:w="2201"/>
        <w:gridCol w:w="2201"/>
        <w:gridCol w:w="2201"/>
      </w:tblGrid>
      <w:tr w:rsidR="00064A32" w:rsidRPr="00F57835" w14:paraId="0FD60CD3" w14:textId="77777777" w:rsidTr="00D51245">
        <w:trPr>
          <w:trHeight w:val="806"/>
          <w:jc w:val="center"/>
        </w:trPr>
        <w:tc>
          <w:tcPr>
            <w:tcW w:w="2200" w:type="dxa"/>
            <w:tcBorders>
              <w:top w:val="nil"/>
              <w:left w:val="nil"/>
              <w:bottom w:val="single" w:sz="12" w:space="0" w:color="auto"/>
              <w:right w:val="single" w:sz="12" w:space="0" w:color="auto"/>
            </w:tcBorders>
            <w:shd w:val="clear" w:color="auto" w:fill="auto"/>
            <w:vAlign w:val="bottom"/>
            <w:hideMark/>
          </w:tcPr>
          <w:p w14:paraId="1672828C" w14:textId="77777777" w:rsidR="00064A32" w:rsidRPr="00F57835" w:rsidRDefault="00064A32" w:rsidP="00D51245">
            <w:pPr>
              <w:spacing w:line="240" w:lineRule="auto"/>
              <w:rPr>
                <w:rFonts w:ascii="Calibri" w:eastAsia="Times New Roman" w:hAnsi="Calibri" w:cs="Calibri"/>
                <w:b/>
                <w:bCs/>
                <w:color w:val="FFFFFF"/>
                <w:lang w:eastAsia="fr-FR"/>
              </w:rPr>
            </w:pPr>
          </w:p>
        </w:tc>
        <w:tc>
          <w:tcPr>
            <w:tcW w:w="2201" w:type="dxa"/>
            <w:tcBorders>
              <w:top w:val="single" w:sz="12" w:space="0" w:color="auto"/>
              <w:left w:val="nil"/>
              <w:bottom w:val="single" w:sz="4" w:space="0" w:color="auto"/>
              <w:right w:val="single" w:sz="4" w:space="0" w:color="auto"/>
            </w:tcBorders>
            <w:shd w:val="clear" w:color="000000" w:fill="3366FF"/>
            <w:vAlign w:val="center"/>
            <w:hideMark/>
          </w:tcPr>
          <w:p w14:paraId="4206F6F2" w14:textId="77777777" w:rsidR="00064A32" w:rsidRPr="00F57835" w:rsidRDefault="00064A32" w:rsidP="00D5124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Volume total d’échanges (en Md€)</w:t>
            </w:r>
          </w:p>
        </w:tc>
        <w:tc>
          <w:tcPr>
            <w:tcW w:w="2201" w:type="dxa"/>
            <w:tcBorders>
              <w:top w:val="single" w:sz="12" w:space="0" w:color="auto"/>
              <w:left w:val="nil"/>
              <w:bottom w:val="single" w:sz="4" w:space="0" w:color="auto"/>
              <w:right w:val="single" w:sz="4" w:space="0" w:color="auto"/>
            </w:tcBorders>
            <w:shd w:val="clear" w:color="000000" w:fill="3366FF"/>
            <w:vAlign w:val="center"/>
            <w:hideMark/>
          </w:tcPr>
          <w:p w14:paraId="203C83B3" w14:textId="77777777" w:rsidR="00064A32" w:rsidRPr="00F57835" w:rsidRDefault="00064A32" w:rsidP="00D5124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 volume total</w:t>
            </w:r>
          </w:p>
        </w:tc>
        <w:tc>
          <w:tcPr>
            <w:tcW w:w="2201" w:type="dxa"/>
            <w:tcBorders>
              <w:top w:val="single" w:sz="12" w:space="0" w:color="auto"/>
              <w:left w:val="nil"/>
              <w:bottom w:val="single" w:sz="4" w:space="0" w:color="auto"/>
              <w:right w:val="nil"/>
            </w:tcBorders>
            <w:shd w:val="clear" w:color="000000" w:fill="3366FF"/>
            <w:vAlign w:val="center"/>
            <w:hideMark/>
          </w:tcPr>
          <w:p w14:paraId="4C951F13" w14:textId="77777777" w:rsidR="00064A32" w:rsidRPr="00F57835" w:rsidRDefault="00064A32" w:rsidP="00D51245">
            <w:pPr>
              <w:spacing w:line="240" w:lineRule="auto"/>
              <w:jc w:val="center"/>
              <w:rPr>
                <w:rFonts w:ascii="Calibri" w:eastAsia="Times New Roman" w:hAnsi="Calibri" w:cs="Calibri"/>
                <w:b/>
                <w:bCs/>
                <w:color w:val="FFFFFF"/>
                <w:lang w:eastAsia="fr-FR"/>
              </w:rPr>
            </w:pPr>
            <w:r>
              <w:rPr>
                <w:rFonts w:ascii="Calibri" w:eastAsia="Times New Roman" w:hAnsi="Calibri" w:cs="Calibri"/>
                <w:b/>
                <w:bCs/>
                <w:color w:val="FFFFFF"/>
                <w:lang w:eastAsia="fr-FR"/>
              </w:rPr>
              <w:t>% variation /2022</w:t>
            </w:r>
          </w:p>
        </w:tc>
      </w:tr>
      <w:tr w:rsidR="00064A32" w:rsidRPr="00F57835" w14:paraId="07147D17" w14:textId="77777777" w:rsidTr="00D51245">
        <w:trPr>
          <w:trHeight w:val="806"/>
          <w:jc w:val="center"/>
        </w:trPr>
        <w:tc>
          <w:tcPr>
            <w:tcW w:w="2200" w:type="dxa"/>
            <w:tcBorders>
              <w:top w:val="single" w:sz="12" w:space="0" w:color="auto"/>
              <w:bottom w:val="single" w:sz="8" w:space="0" w:color="auto"/>
              <w:right w:val="single" w:sz="4" w:space="0" w:color="auto"/>
            </w:tcBorders>
            <w:shd w:val="clear" w:color="000000" w:fill="3366FF"/>
            <w:vAlign w:val="center"/>
            <w:hideMark/>
          </w:tcPr>
          <w:p w14:paraId="21B6A3DD" w14:textId="77777777" w:rsidR="00064A32" w:rsidRPr="00F57835"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Produits des industries chimiques </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92B60"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183,4</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1F6C4" w14:textId="77777777" w:rsidR="00064A32" w:rsidRPr="00040526" w:rsidRDefault="00064A32" w:rsidP="00D51245">
            <w:pPr>
              <w:spacing w:line="240" w:lineRule="auto"/>
              <w:jc w:val="center"/>
              <w:rPr>
                <w:rFonts w:ascii="Calibri" w:eastAsia="Times New Roman" w:hAnsi="Calibri" w:cs="Calibri"/>
                <w:lang w:eastAsia="fr-FR"/>
              </w:rPr>
            </w:pPr>
            <w:r w:rsidRPr="00040526">
              <w:rPr>
                <w:rFonts w:ascii="Calibri" w:hAnsi="Calibri" w:cs="Calibri"/>
              </w:rPr>
              <w:t>24</w:t>
            </w:r>
            <w:r>
              <w:rPr>
                <w:rFonts w:ascii="Calibri" w:hAnsi="Calibri" w:cs="Calibri"/>
              </w:rPr>
              <w:t>,5</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7E78"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-11,8%</w:t>
            </w:r>
          </w:p>
        </w:tc>
      </w:tr>
      <w:tr w:rsidR="00064A32" w:rsidRPr="00F57835" w14:paraId="583F85A8"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380F9760" w14:textId="77777777" w:rsidR="00064A32" w:rsidRPr="00F57835"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Produits </w:t>
            </w:r>
            <w:r w:rsidRPr="00F57835">
              <w:rPr>
                <w:rFonts w:ascii="Calibri" w:eastAsia="Times New Roman" w:hAnsi="Calibri" w:cs="Calibri"/>
                <w:b/>
                <w:bCs/>
                <w:color w:val="FFFFFF"/>
                <w:lang w:eastAsia="fr-FR"/>
              </w:rPr>
              <w:t>minéraux</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F044F"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118,5</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2BC51AA6"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15,8%</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439C24E0"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-42,9%</w:t>
            </w:r>
          </w:p>
        </w:tc>
      </w:tr>
      <w:tr w:rsidR="00064A32" w:rsidRPr="00F57835" w14:paraId="724D98E0"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17F76788" w14:textId="77777777" w:rsidR="00064A32" w:rsidRPr="00F57835" w:rsidRDefault="00064A32" w:rsidP="00D51245">
            <w:pPr>
              <w:spacing w:line="240" w:lineRule="auto"/>
              <w:rPr>
                <w:rFonts w:ascii="Calibri" w:eastAsia="Times New Roman" w:hAnsi="Calibri" w:cs="Calibri"/>
                <w:b/>
                <w:bCs/>
                <w:color w:val="FFFFFF"/>
                <w:lang w:eastAsia="fr-FR"/>
              </w:rPr>
            </w:pPr>
            <w:r w:rsidRPr="00ED218C">
              <w:rPr>
                <w:rFonts w:ascii="Calibri" w:eastAsia="Times New Roman" w:hAnsi="Calibri" w:cs="Calibri"/>
                <w:b/>
                <w:bCs/>
                <w:color w:val="FFFFFF"/>
                <w:lang w:eastAsia="fr-FR"/>
              </w:rPr>
              <w:t>Machines et appareil</w:t>
            </w:r>
            <w:r>
              <w:rPr>
                <w:rFonts w:ascii="Calibri" w:eastAsia="Times New Roman" w:hAnsi="Calibri" w:cs="Calibri"/>
                <w:b/>
                <w:bCs/>
                <w:color w:val="FFFFFF"/>
                <w:lang w:eastAsia="fr-FR"/>
              </w:rPr>
              <w:t>s électriques</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B9CA8"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90,2</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5A11D" w14:textId="77777777" w:rsidR="00064A32" w:rsidRPr="00040526" w:rsidRDefault="00064A32" w:rsidP="00D51245">
            <w:pPr>
              <w:spacing w:line="240" w:lineRule="auto"/>
              <w:jc w:val="center"/>
              <w:rPr>
                <w:rFonts w:ascii="Calibri" w:eastAsia="Times New Roman" w:hAnsi="Calibri" w:cs="Calibri"/>
                <w:color w:val="000000"/>
                <w:lang w:eastAsia="fr-FR"/>
              </w:rPr>
            </w:pPr>
            <w:r>
              <w:rPr>
                <w:rFonts w:ascii="Calibri" w:hAnsi="Calibri" w:cs="Calibri"/>
              </w:rPr>
              <w:t>12%</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A556"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3,9%</w:t>
            </w:r>
          </w:p>
        </w:tc>
      </w:tr>
      <w:tr w:rsidR="00064A32" w:rsidRPr="00F57835" w14:paraId="5CA3E420"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25EEB1E7" w14:textId="77777777" w:rsidR="00064A32" w:rsidRPr="00F57835"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Matériel de transport</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BAD61"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89,6</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13A74080" w14:textId="77777777" w:rsidR="00064A32" w:rsidRPr="00040526" w:rsidRDefault="00064A32" w:rsidP="00D51245">
            <w:pPr>
              <w:spacing w:line="240" w:lineRule="auto"/>
              <w:jc w:val="center"/>
              <w:rPr>
                <w:rFonts w:ascii="Calibri" w:eastAsia="Times New Roman" w:hAnsi="Calibri" w:cs="Calibri"/>
                <w:color w:val="000000"/>
                <w:lang w:eastAsia="fr-FR"/>
              </w:rPr>
            </w:pPr>
            <w:r>
              <w:rPr>
                <w:rFonts w:ascii="Calibri" w:hAnsi="Calibri" w:cs="Calibri"/>
              </w:rPr>
              <w:t>12%</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1262354F"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16%</w:t>
            </w:r>
          </w:p>
        </w:tc>
      </w:tr>
      <w:tr w:rsidR="00064A32" w:rsidRPr="00F57835" w14:paraId="1CCF2183"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167383F5" w14:textId="77777777" w:rsidR="00064A32" w:rsidRPr="00F57835" w:rsidRDefault="00064A32" w:rsidP="00D51245">
            <w:pPr>
              <w:spacing w:line="240" w:lineRule="auto"/>
              <w:rPr>
                <w:rFonts w:ascii="Calibri" w:eastAsia="Times New Roman" w:hAnsi="Calibri" w:cs="Calibri"/>
                <w:b/>
                <w:bCs/>
                <w:color w:val="FFFFFF"/>
                <w:lang w:eastAsia="fr-FR"/>
              </w:rPr>
            </w:pPr>
            <w:r w:rsidRPr="006362ED">
              <w:rPr>
                <w:rFonts w:ascii="Calibri" w:eastAsia="Times New Roman" w:hAnsi="Calibri" w:cs="Calibri"/>
                <w:b/>
                <w:bCs/>
                <w:color w:val="FFFFFF"/>
                <w:lang w:eastAsia="fr-FR"/>
              </w:rPr>
              <w:t>Métaux communs</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9A09CB"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51,8</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7876AEFF" w14:textId="77777777" w:rsidR="00064A32" w:rsidRPr="00040526" w:rsidRDefault="00064A32" w:rsidP="00D51245">
            <w:pPr>
              <w:spacing w:line="240" w:lineRule="auto"/>
              <w:jc w:val="center"/>
              <w:rPr>
                <w:rFonts w:ascii="Calibri" w:eastAsia="Times New Roman" w:hAnsi="Calibri" w:cs="Calibri"/>
                <w:color w:val="000000"/>
                <w:lang w:eastAsia="fr-FR"/>
              </w:rPr>
            </w:pPr>
            <w:r w:rsidRPr="00040526">
              <w:rPr>
                <w:rFonts w:ascii="Calibri" w:hAnsi="Calibri" w:cs="Calibri"/>
              </w:rPr>
              <w:t>6,</w:t>
            </w:r>
            <w:r>
              <w:rPr>
                <w:rFonts w:ascii="Calibri" w:hAnsi="Calibri" w:cs="Calibri"/>
              </w:rPr>
              <w:t>9</w:t>
            </w:r>
            <w:r w:rsidRPr="00040526">
              <w:rPr>
                <w:rFonts w:ascii="Calibri" w:hAnsi="Calibri" w:cs="Calibri"/>
              </w:rPr>
              <w:t>%</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7C246F4F"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-14,2%</w:t>
            </w:r>
          </w:p>
        </w:tc>
      </w:tr>
      <w:tr w:rsidR="00064A32" w:rsidRPr="00F57835" w14:paraId="27D3D595"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51456326" w14:textId="77777777" w:rsidR="00064A32" w:rsidRPr="00F57835" w:rsidRDefault="00064A32" w:rsidP="00D51245">
            <w:pPr>
              <w:spacing w:line="240" w:lineRule="auto"/>
              <w:rPr>
                <w:rFonts w:ascii="Calibri" w:eastAsia="Times New Roman" w:hAnsi="Calibri" w:cs="Calibri"/>
                <w:b/>
                <w:bCs/>
                <w:color w:val="FFFFFF"/>
                <w:lang w:eastAsia="fr-FR"/>
              </w:rPr>
            </w:pPr>
            <w:r w:rsidRPr="006362ED">
              <w:rPr>
                <w:rFonts w:ascii="Calibri" w:eastAsia="Times New Roman" w:hAnsi="Calibri" w:cs="Calibri"/>
                <w:b/>
                <w:bCs/>
                <w:color w:val="FFFFFF"/>
                <w:lang w:eastAsia="fr-FR"/>
              </w:rPr>
              <w:t xml:space="preserve">Matières plastiques </w:t>
            </w:r>
            <w:r w:rsidRPr="006C2B2C">
              <w:rPr>
                <w:rFonts w:ascii="Calibri" w:eastAsia="Times New Roman" w:hAnsi="Calibri" w:cs="Calibri"/>
                <w:b/>
                <w:bCs/>
                <w:color w:val="FFFFFF"/>
                <w:lang w:eastAsia="fr-FR"/>
              </w:rPr>
              <w:t>et leurs dérivés</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98A5C"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38,4</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193DD84C" w14:textId="77777777" w:rsidR="00064A32" w:rsidRPr="00040526" w:rsidRDefault="00064A32" w:rsidP="00D51245">
            <w:pPr>
              <w:spacing w:line="240" w:lineRule="auto"/>
              <w:jc w:val="center"/>
              <w:rPr>
                <w:rFonts w:ascii="Calibri" w:eastAsia="Times New Roman" w:hAnsi="Calibri" w:cs="Calibri"/>
                <w:color w:val="000000"/>
                <w:lang w:eastAsia="fr-FR"/>
              </w:rPr>
            </w:pPr>
            <w:r w:rsidRPr="00040526">
              <w:rPr>
                <w:rFonts w:ascii="Calibri" w:hAnsi="Calibri" w:cs="Calibri"/>
              </w:rPr>
              <w:t>5,</w:t>
            </w:r>
            <w:r>
              <w:rPr>
                <w:rFonts w:ascii="Calibri" w:hAnsi="Calibri" w:cs="Calibri"/>
              </w:rPr>
              <w:t>1</w:t>
            </w:r>
            <w:r w:rsidRPr="00040526">
              <w:rPr>
                <w:rFonts w:ascii="Calibri" w:hAnsi="Calibri" w:cs="Calibri"/>
              </w:rPr>
              <w:t>%</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749F8C3C"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-15,8%</w:t>
            </w:r>
          </w:p>
        </w:tc>
      </w:tr>
      <w:tr w:rsidR="00064A32" w:rsidRPr="00F57835" w14:paraId="66CDE85A"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hideMark/>
          </w:tcPr>
          <w:p w14:paraId="04B56B4E" w14:textId="77777777" w:rsidR="00064A32" w:rsidRPr="006362ED" w:rsidRDefault="00064A32" w:rsidP="00D51245">
            <w:pPr>
              <w:spacing w:line="240" w:lineRule="auto"/>
              <w:rPr>
                <w:rFonts w:eastAsia="Times New Roman" w:cstheme="minorHAnsi"/>
                <w:b/>
                <w:bCs/>
                <w:color w:val="FFFFFF"/>
                <w:lang w:eastAsia="fr-FR"/>
              </w:rPr>
            </w:pPr>
            <w:r>
              <w:rPr>
                <w:rFonts w:ascii="Calibri" w:eastAsia="Times New Roman" w:hAnsi="Calibri" w:cs="Calibri"/>
                <w:b/>
                <w:bCs/>
                <w:color w:val="FFFFFF"/>
                <w:lang w:eastAsia="fr-FR"/>
              </w:rPr>
              <w:t>Perles et articles de joaillerie</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14:paraId="3EE24F53" w14:textId="77777777" w:rsidR="00064A32" w:rsidRDefault="00064A32" w:rsidP="00D51245">
            <w:pPr>
              <w:spacing w:line="240" w:lineRule="auto"/>
            </w:pPr>
          </w:p>
          <w:p w14:paraId="0B0A01A4" w14:textId="77777777" w:rsidR="00064A32" w:rsidRPr="00040526" w:rsidRDefault="00064A32" w:rsidP="00D51245">
            <w:pPr>
              <w:spacing w:line="240" w:lineRule="auto"/>
              <w:jc w:val="center"/>
              <w:rPr>
                <w:rFonts w:ascii="Calibri" w:eastAsia="Times New Roman" w:hAnsi="Calibri" w:cs="Calibri"/>
                <w:lang w:eastAsia="fr-FR"/>
              </w:rPr>
            </w:pPr>
            <w:r>
              <w:t>26,3</w:t>
            </w:r>
          </w:p>
        </w:tc>
        <w:tc>
          <w:tcPr>
            <w:tcW w:w="2201" w:type="dxa"/>
            <w:tcBorders>
              <w:top w:val="single" w:sz="4" w:space="0" w:color="auto"/>
              <w:left w:val="nil"/>
              <w:bottom w:val="single" w:sz="4" w:space="0" w:color="auto"/>
              <w:right w:val="single" w:sz="4" w:space="0" w:color="auto"/>
            </w:tcBorders>
            <w:shd w:val="clear" w:color="auto" w:fill="auto"/>
            <w:noWrap/>
            <w:hideMark/>
          </w:tcPr>
          <w:p w14:paraId="19EDA5EE" w14:textId="77777777" w:rsidR="00064A32" w:rsidRDefault="00064A32" w:rsidP="00D51245">
            <w:pPr>
              <w:spacing w:line="240" w:lineRule="auto"/>
              <w:jc w:val="center"/>
            </w:pPr>
          </w:p>
          <w:p w14:paraId="4D035B86" w14:textId="77777777" w:rsidR="00064A32" w:rsidRPr="00040526" w:rsidRDefault="00064A32" w:rsidP="00D51245">
            <w:pPr>
              <w:spacing w:line="240" w:lineRule="auto"/>
              <w:jc w:val="center"/>
              <w:rPr>
                <w:rFonts w:ascii="Calibri" w:eastAsia="Times New Roman" w:hAnsi="Calibri" w:cs="Calibri"/>
                <w:color w:val="000000"/>
                <w:lang w:eastAsia="fr-FR"/>
              </w:rPr>
            </w:pPr>
            <w:r>
              <w:t>3,5</w:t>
            </w:r>
            <w:r w:rsidRPr="006362ED">
              <w:t>%</w:t>
            </w:r>
          </w:p>
        </w:tc>
        <w:tc>
          <w:tcPr>
            <w:tcW w:w="2201" w:type="dxa"/>
            <w:tcBorders>
              <w:top w:val="single" w:sz="4" w:space="0" w:color="auto"/>
              <w:left w:val="nil"/>
              <w:bottom w:val="single" w:sz="4" w:space="0" w:color="auto"/>
              <w:right w:val="single" w:sz="4" w:space="0" w:color="auto"/>
            </w:tcBorders>
            <w:shd w:val="clear" w:color="auto" w:fill="auto"/>
            <w:noWrap/>
            <w:hideMark/>
          </w:tcPr>
          <w:p w14:paraId="14DB0923" w14:textId="77777777" w:rsidR="00064A32" w:rsidRDefault="00064A32" w:rsidP="00D51245">
            <w:pPr>
              <w:spacing w:line="240" w:lineRule="auto"/>
              <w:jc w:val="center"/>
            </w:pPr>
          </w:p>
          <w:p w14:paraId="31FA34F2" w14:textId="77777777" w:rsidR="00064A32" w:rsidRPr="00040526" w:rsidRDefault="00064A32" w:rsidP="00D51245">
            <w:pPr>
              <w:spacing w:line="240" w:lineRule="auto"/>
              <w:jc w:val="center"/>
              <w:rPr>
                <w:rFonts w:ascii="Calibri" w:eastAsia="Times New Roman" w:hAnsi="Calibri" w:cs="Calibri"/>
                <w:lang w:eastAsia="fr-FR"/>
              </w:rPr>
            </w:pPr>
            <w:r>
              <w:t>-33,25%</w:t>
            </w:r>
          </w:p>
        </w:tc>
      </w:tr>
      <w:tr w:rsidR="00064A32" w:rsidRPr="00F57835" w14:paraId="2620B766" w14:textId="77777777" w:rsidTr="00D51245">
        <w:trPr>
          <w:trHeight w:val="806"/>
          <w:jc w:val="center"/>
        </w:trPr>
        <w:tc>
          <w:tcPr>
            <w:tcW w:w="2200" w:type="dxa"/>
            <w:tcBorders>
              <w:top w:val="single" w:sz="8" w:space="0" w:color="auto"/>
              <w:bottom w:val="single" w:sz="8" w:space="0" w:color="auto"/>
              <w:right w:val="single" w:sz="4" w:space="0" w:color="auto"/>
            </w:tcBorders>
            <w:shd w:val="clear" w:color="000000" w:fill="3366FF"/>
            <w:vAlign w:val="center"/>
            <w:hideMark/>
          </w:tcPr>
          <w:p w14:paraId="0457A6A1" w14:textId="77777777" w:rsidR="00064A32" w:rsidRPr="00F57835"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Produits des industries alimentaires</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A0317A"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41,2</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6996D7A1" w14:textId="77777777" w:rsidR="00064A32" w:rsidRPr="00040526" w:rsidRDefault="00064A32" w:rsidP="00D51245">
            <w:pPr>
              <w:spacing w:line="240" w:lineRule="auto"/>
              <w:jc w:val="center"/>
              <w:rPr>
                <w:rFonts w:ascii="Calibri" w:eastAsia="Times New Roman" w:hAnsi="Calibri" w:cs="Calibri"/>
                <w:color w:val="000000"/>
                <w:lang w:eastAsia="fr-FR"/>
              </w:rPr>
            </w:pPr>
            <w:r>
              <w:rPr>
                <w:rFonts w:ascii="Calibri" w:hAnsi="Calibri" w:cs="Calibri"/>
              </w:rPr>
              <w:t>5,5</w:t>
            </w:r>
            <w:r w:rsidRPr="00040526">
              <w:rPr>
                <w:rFonts w:ascii="Calibri" w:hAnsi="Calibri" w:cs="Calibri"/>
              </w:rPr>
              <w:t>%</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14:paraId="5ADB322C" w14:textId="77777777" w:rsidR="00064A32" w:rsidRPr="00040526" w:rsidRDefault="00064A32" w:rsidP="00D51245">
            <w:pPr>
              <w:spacing w:line="240" w:lineRule="auto"/>
              <w:jc w:val="center"/>
              <w:rPr>
                <w:rFonts w:ascii="Calibri" w:eastAsia="Times New Roman" w:hAnsi="Calibri" w:cs="Calibri"/>
                <w:lang w:eastAsia="fr-FR"/>
              </w:rPr>
            </w:pPr>
            <w:r>
              <w:rPr>
                <w:rFonts w:ascii="Calibri" w:hAnsi="Calibri" w:cs="Calibri"/>
              </w:rPr>
              <w:t>12%</w:t>
            </w:r>
          </w:p>
        </w:tc>
      </w:tr>
    </w:tbl>
    <w:p w14:paraId="619C2979" w14:textId="1F296957" w:rsidR="00064A32" w:rsidRDefault="00064A32" w:rsidP="00F867DF">
      <w:pPr>
        <w:jc w:val="center"/>
        <w:rPr>
          <w:rFonts w:ascii="Segoe UI" w:hAnsi="Segoe UI" w:cs="Segoe UI"/>
          <w:b/>
          <w:szCs w:val="24"/>
        </w:rPr>
      </w:pPr>
    </w:p>
    <w:p w14:paraId="12BB02C1" w14:textId="78413D06" w:rsidR="00064A32" w:rsidRDefault="00064A32" w:rsidP="00F867DF">
      <w:pPr>
        <w:jc w:val="center"/>
        <w:rPr>
          <w:rFonts w:cs="Segoe UI"/>
          <w:bCs/>
          <w:i/>
          <w:iCs/>
        </w:rPr>
      </w:pPr>
      <w:r w:rsidRPr="00064A32">
        <w:rPr>
          <w:rFonts w:cs="Segoe UI"/>
          <w:bCs/>
          <w:i/>
          <w:iCs/>
        </w:rPr>
        <w:t>Source : BNB ; Tableau : SE Bruxelles</w:t>
      </w:r>
    </w:p>
    <w:p w14:paraId="79CF0843" w14:textId="425B20D9" w:rsidR="00064A32" w:rsidRDefault="00064A32">
      <w:pPr>
        <w:rPr>
          <w:rFonts w:cs="Segoe UI"/>
          <w:bCs/>
          <w:i/>
          <w:iCs/>
        </w:rPr>
      </w:pPr>
      <w:r>
        <w:rPr>
          <w:rFonts w:cs="Segoe UI"/>
          <w:bCs/>
          <w:i/>
          <w:iCs/>
        </w:rPr>
        <w:br w:type="page"/>
      </w:r>
    </w:p>
    <w:p w14:paraId="53F140C7" w14:textId="5152CD19" w:rsidR="00064A32" w:rsidRPr="00AB03ED" w:rsidRDefault="00064A32" w:rsidP="00064A32">
      <w:pPr>
        <w:spacing w:line="240" w:lineRule="auto"/>
        <w:jc w:val="center"/>
        <w:rPr>
          <w:rFonts w:ascii="Calibri" w:eastAsia="Times New Roman" w:hAnsi="Calibri" w:cs="Calibri"/>
          <w:b/>
          <w:bCs/>
          <w:color w:val="000000"/>
          <w:sz w:val="26"/>
          <w:szCs w:val="26"/>
          <w:lang w:eastAsia="fr-FR"/>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4624" behindDoc="1" locked="0" layoutInCell="1" allowOverlap="1" wp14:anchorId="4F22E519" wp14:editId="514B6F59">
                <wp:simplePos x="0" y="0"/>
                <wp:positionH relativeFrom="page">
                  <wp:posOffset>6350</wp:posOffset>
                </wp:positionH>
                <wp:positionV relativeFrom="paragraph">
                  <wp:posOffset>-458916</wp:posOffset>
                </wp:positionV>
                <wp:extent cx="7543800" cy="10677525"/>
                <wp:effectExtent l="0" t="0" r="0" b="9525"/>
                <wp:wrapNone/>
                <wp:docPr id="15" name="Rectangle 15"/>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2874B" id="Rectangle 15" o:spid="_x0000_s1026" style="position:absolute;margin-left:.5pt;margin-top:-36.15pt;width:594pt;height:840.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" fillcolor="#fef8e8" stroked="f" strokeweight="1pt">
                <w10:wrap anchorx="page"/>
              </v:rect>
            </w:pict>
          </mc:Fallback>
        </mc:AlternateContent>
      </w:r>
      <w:r w:rsidRPr="00247905">
        <w:rPr>
          <w:rStyle w:val="Rfrenceintense"/>
        </w:rPr>
        <w:t xml:space="preserve">ANNEXE </w:t>
      </w:r>
      <w:r>
        <w:rPr>
          <w:rStyle w:val="Rfrenceintense"/>
        </w:rPr>
        <w:t xml:space="preserve">8 : </w:t>
      </w:r>
      <w:r w:rsidRPr="00064A32">
        <w:rPr>
          <w:rStyle w:val="Rfrenceintense"/>
        </w:rPr>
        <w:t>Principaux partenaires de la Belgique pour les échanges de biens en 2023 (en Md€) - concept national</w:t>
      </w:r>
    </w:p>
    <w:tbl>
      <w:tblPr>
        <w:tblW w:w="9793" w:type="dxa"/>
        <w:jc w:val="center"/>
        <w:tblCellMar>
          <w:left w:w="70" w:type="dxa"/>
          <w:right w:w="70" w:type="dxa"/>
        </w:tblCellMar>
        <w:tblLook w:val="04A0" w:firstRow="1" w:lastRow="0" w:firstColumn="1" w:lastColumn="0" w:noHBand="0" w:noVBand="1"/>
      </w:tblPr>
      <w:tblGrid>
        <w:gridCol w:w="1413"/>
        <w:gridCol w:w="1970"/>
        <w:gridCol w:w="2124"/>
        <w:gridCol w:w="422"/>
        <w:gridCol w:w="1153"/>
        <w:gridCol w:w="422"/>
        <w:gridCol w:w="1867"/>
        <w:gridCol w:w="422"/>
      </w:tblGrid>
      <w:tr w:rsidR="00064A32" w:rsidRPr="00AB03ED" w14:paraId="3E2A1B0A" w14:textId="77777777" w:rsidTr="00D51245">
        <w:trPr>
          <w:gridAfter w:val="1"/>
          <w:wAfter w:w="422" w:type="dxa"/>
          <w:trHeight w:val="716"/>
          <w:jc w:val="center"/>
        </w:trPr>
        <w:tc>
          <w:tcPr>
            <w:tcW w:w="1413" w:type="dxa"/>
            <w:tcBorders>
              <w:top w:val="nil"/>
              <w:left w:val="nil"/>
              <w:bottom w:val="single" w:sz="12" w:space="0" w:color="auto"/>
              <w:right w:val="single" w:sz="12" w:space="0" w:color="auto"/>
            </w:tcBorders>
            <w:shd w:val="clear" w:color="auto" w:fill="auto"/>
            <w:vAlign w:val="bottom"/>
            <w:hideMark/>
          </w:tcPr>
          <w:p w14:paraId="33AE0905"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w:t>
            </w:r>
          </w:p>
        </w:tc>
        <w:tc>
          <w:tcPr>
            <w:tcW w:w="1970" w:type="dxa"/>
            <w:tcBorders>
              <w:top w:val="single" w:sz="12" w:space="0" w:color="auto"/>
              <w:left w:val="nil"/>
              <w:bottom w:val="single" w:sz="4" w:space="0" w:color="auto"/>
              <w:right w:val="single" w:sz="4" w:space="0" w:color="auto"/>
            </w:tcBorders>
            <w:shd w:val="clear" w:color="000000" w:fill="3366FF"/>
            <w:vAlign w:val="center"/>
            <w:hideMark/>
          </w:tcPr>
          <w:p w14:paraId="369CD48A" w14:textId="77777777" w:rsidR="00064A32" w:rsidRPr="00AB03ED" w:rsidRDefault="00064A32"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Exportations</w:t>
            </w:r>
          </w:p>
        </w:tc>
        <w:tc>
          <w:tcPr>
            <w:tcW w:w="2124" w:type="dxa"/>
            <w:tcBorders>
              <w:top w:val="single" w:sz="12" w:space="0" w:color="auto"/>
              <w:left w:val="nil"/>
              <w:bottom w:val="single" w:sz="4" w:space="0" w:color="auto"/>
              <w:right w:val="single" w:sz="4" w:space="0" w:color="auto"/>
            </w:tcBorders>
            <w:shd w:val="clear" w:color="000000" w:fill="3366FF"/>
            <w:noWrap/>
            <w:vAlign w:val="center"/>
            <w:hideMark/>
          </w:tcPr>
          <w:p w14:paraId="3992962A" w14:textId="77777777" w:rsidR="00064A32" w:rsidRPr="00AB03ED" w:rsidRDefault="00064A32"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Importations</w:t>
            </w:r>
          </w:p>
        </w:tc>
        <w:tc>
          <w:tcPr>
            <w:tcW w:w="1575" w:type="dxa"/>
            <w:gridSpan w:val="2"/>
            <w:tcBorders>
              <w:top w:val="single" w:sz="12" w:space="0" w:color="auto"/>
              <w:left w:val="nil"/>
              <w:bottom w:val="single" w:sz="4" w:space="0" w:color="auto"/>
              <w:right w:val="nil"/>
            </w:tcBorders>
            <w:shd w:val="clear" w:color="000000" w:fill="3366FF"/>
            <w:noWrap/>
            <w:vAlign w:val="center"/>
            <w:hideMark/>
          </w:tcPr>
          <w:p w14:paraId="47978F8A" w14:textId="77777777" w:rsidR="00064A32" w:rsidRPr="00AB03ED" w:rsidRDefault="00064A32"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Volume d'échange</w:t>
            </w:r>
          </w:p>
        </w:tc>
        <w:tc>
          <w:tcPr>
            <w:tcW w:w="2289" w:type="dxa"/>
            <w:gridSpan w:val="2"/>
            <w:tcBorders>
              <w:top w:val="single" w:sz="12" w:space="0" w:color="auto"/>
              <w:left w:val="single" w:sz="4" w:space="0" w:color="auto"/>
              <w:bottom w:val="single" w:sz="4" w:space="0" w:color="auto"/>
              <w:right w:val="single" w:sz="12" w:space="0" w:color="auto"/>
            </w:tcBorders>
            <w:shd w:val="clear" w:color="000000" w:fill="3366FF"/>
            <w:vAlign w:val="center"/>
            <w:hideMark/>
          </w:tcPr>
          <w:p w14:paraId="1C6A8983" w14:textId="77777777" w:rsidR="00064A32" w:rsidRPr="00AB03ED" w:rsidRDefault="00064A32"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Part dans le volume d'échange total (en %)</w:t>
            </w:r>
          </w:p>
        </w:tc>
      </w:tr>
      <w:tr w:rsidR="00064A32" w:rsidRPr="00AB03ED" w14:paraId="5098C652" w14:textId="77777777" w:rsidTr="00D51245">
        <w:trPr>
          <w:gridAfter w:val="1"/>
          <w:wAfter w:w="422" w:type="dxa"/>
          <w:trHeight w:val="358"/>
          <w:jc w:val="center"/>
        </w:trPr>
        <w:tc>
          <w:tcPr>
            <w:tcW w:w="1413" w:type="dxa"/>
            <w:tcBorders>
              <w:top w:val="nil"/>
              <w:left w:val="nil"/>
              <w:bottom w:val="single" w:sz="4" w:space="0" w:color="auto"/>
              <w:right w:val="single" w:sz="4" w:space="0" w:color="auto"/>
            </w:tcBorders>
            <w:shd w:val="clear" w:color="000000" w:fill="3366FF"/>
            <w:noWrap/>
            <w:vAlign w:val="center"/>
            <w:hideMark/>
          </w:tcPr>
          <w:p w14:paraId="705C2E2A"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xml:space="preserve">  Pays-Bas</w:t>
            </w:r>
          </w:p>
        </w:tc>
        <w:tc>
          <w:tcPr>
            <w:tcW w:w="1970" w:type="dxa"/>
            <w:tcBorders>
              <w:top w:val="nil"/>
              <w:left w:val="nil"/>
              <w:bottom w:val="single" w:sz="4" w:space="0" w:color="auto"/>
              <w:right w:val="single" w:sz="4" w:space="0" w:color="auto"/>
            </w:tcBorders>
            <w:shd w:val="clear" w:color="auto" w:fill="auto"/>
            <w:vAlign w:val="center"/>
            <w:hideMark/>
          </w:tcPr>
          <w:p w14:paraId="1B63F1CD"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49</w:t>
            </w:r>
          </w:p>
        </w:tc>
        <w:tc>
          <w:tcPr>
            <w:tcW w:w="2124" w:type="dxa"/>
            <w:tcBorders>
              <w:top w:val="nil"/>
              <w:left w:val="nil"/>
              <w:bottom w:val="single" w:sz="4" w:space="0" w:color="auto"/>
              <w:right w:val="single" w:sz="4" w:space="0" w:color="auto"/>
            </w:tcBorders>
            <w:shd w:val="clear" w:color="auto" w:fill="auto"/>
            <w:noWrap/>
            <w:vAlign w:val="center"/>
            <w:hideMark/>
          </w:tcPr>
          <w:p w14:paraId="644018B7"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81,5</w:t>
            </w:r>
          </w:p>
        </w:tc>
        <w:tc>
          <w:tcPr>
            <w:tcW w:w="1575" w:type="dxa"/>
            <w:gridSpan w:val="2"/>
            <w:tcBorders>
              <w:top w:val="nil"/>
              <w:left w:val="nil"/>
              <w:bottom w:val="single" w:sz="4" w:space="0" w:color="auto"/>
              <w:right w:val="nil"/>
            </w:tcBorders>
            <w:shd w:val="clear" w:color="auto" w:fill="auto"/>
            <w:noWrap/>
            <w:vAlign w:val="center"/>
            <w:hideMark/>
          </w:tcPr>
          <w:p w14:paraId="0A011D1E"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130,5</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67C6CC4E"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17,</w:t>
            </w:r>
            <w:r>
              <w:rPr>
                <w:rFonts w:ascii="Calibri" w:eastAsia="Times New Roman" w:hAnsi="Calibri" w:cs="Calibri"/>
                <w:color w:val="000000"/>
                <w:lang w:eastAsia="fr-FR"/>
              </w:rPr>
              <w:t>43</w:t>
            </w:r>
          </w:p>
        </w:tc>
      </w:tr>
      <w:tr w:rsidR="00064A32" w:rsidRPr="00AB03ED" w14:paraId="732D3ECA" w14:textId="77777777" w:rsidTr="00D51245">
        <w:trPr>
          <w:gridAfter w:val="1"/>
          <w:wAfter w:w="422" w:type="dxa"/>
          <w:trHeight w:val="341"/>
          <w:jc w:val="center"/>
        </w:trPr>
        <w:tc>
          <w:tcPr>
            <w:tcW w:w="1413" w:type="dxa"/>
            <w:tcBorders>
              <w:top w:val="nil"/>
              <w:left w:val="nil"/>
              <w:bottom w:val="single" w:sz="4" w:space="0" w:color="auto"/>
              <w:right w:val="single" w:sz="4" w:space="0" w:color="auto"/>
            </w:tcBorders>
            <w:shd w:val="clear" w:color="000000" w:fill="3366FF"/>
            <w:vAlign w:val="center"/>
            <w:hideMark/>
          </w:tcPr>
          <w:p w14:paraId="0FFD068B"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xml:space="preserve">  Allemagne</w:t>
            </w:r>
          </w:p>
        </w:tc>
        <w:tc>
          <w:tcPr>
            <w:tcW w:w="1970" w:type="dxa"/>
            <w:tcBorders>
              <w:top w:val="nil"/>
              <w:left w:val="nil"/>
              <w:bottom w:val="single" w:sz="4" w:space="0" w:color="auto"/>
              <w:right w:val="single" w:sz="4" w:space="0" w:color="auto"/>
            </w:tcBorders>
            <w:shd w:val="clear" w:color="auto" w:fill="auto"/>
            <w:vAlign w:val="center"/>
            <w:hideMark/>
          </w:tcPr>
          <w:p w14:paraId="78F0B24C"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59,3</w:t>
            </w:r>
          </w:p>
        </w:tc>
        <w:tc>
          <w:tcPr>
            <w:tcW w:w="2124" w:type="dxa"/>
            <w:tcBorders>
              <w:top w:val="nil"/>
              <w:left w:val="nil"/>
              <w:bottom w:val="single" w:sz="4" w:space="0" w:color="auto"/>
              <w:right w:val="single" w:sz="4" w:space="0" w:color="auto"/>
            </w:tcBorders>
            <w:shd w:val="clear" w:color="auto" w:fill="auto"/>
            <w:noWrap/>
            <w:vAlign w:val="center"/>
            <w:hideMark/>
          </w:tcPr>
          <w:p w14:paraId="44F50977"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48,3</w:t>
            </w:r>
          </w:p>
        </w:tc>
        <w:tc>
          <w:tcPr>
            <w:tcW w:w="1575" w:type="dxa"/>
            <w:gridSpan w:val="2"/>
            <w:tcBorders>
              <w:top w:val="nil"/>
              <w:left w:val="nil"/>
              <w:bottom w:val="single" w:sz="4" w:space="0" w:color="auto"/>
              <w:right w:val="nil"/>
            </w:tcBorders>
            <w:shd w:val="clear" w:color="auto" w:fill="auto"/>
            <w:noWrap/>
            <w:vAlign w:val="center"/>
            <w:hideMark/>
          </w:tcPr>
          <w:p w14:paraId="0778FDD0"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107,6</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47ADD766"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1</w:t>
            </w:r>
            <w:r>
              <w:rPr>
                <w:rFonts w:ascii="Calibri" w:eastAsia="Times New Roman" w:hAnsi="Calibri" w:cs="Calibri"/>
                <w:color w:val="000000"/>
                <w:lang w:eastAsia="fr-FR"/>
              </w:rPr>
              <w:t>4,37</w:t>
            </w:r>
          </w:p>
        </w:tc>
      </w:tr>
      <w:tr w:rsidR="00064A32" w:rsidRPr="00AB03ED" w14:paraId="0048A7FC" w14:textId="77777777" w:rsidTr="00D51245">
        <w:trPr>
          <w:gridAfter w:val="1"/>
          <w:wAfter w:w="422" w:type="dxa"/>
          <w:trHeight w:val="341"/>
          <w:jc w:val="center"/>
        </w:trPr>
        <w:tc>
          <w:tcPr>
            <w:tcW w:w="1413" w:type="dxa"/>
            <w:tcBorders>
              <w:top w:val="nil"/>
              <w:left w:val="nil"/>
              <w:bottom w:val="single" w:sz="4" w:space="0" w:color="auto"/>
              <w:right w:val="single" w:sz="4" w:space="0" w:color="auto"/>
            </w:tcBorders>
            <w:shd w:val="clear" w:color="000000" w:fill="3366FF"/>
            <w:vAlign w:val="center"/>
            <w:hideMark/>
          </w:tcPr>
          <w:p w14:paraId="29CECA50" w14:textId="77777777" w:rsidR="00064A32" w:rsidRPr="00AB03ED" w:rsidRDefault="00064A32" w:rsidP="00D51245">
            <w:pPr>
              <w:spacing w:line="240" w:lineRule="auto"/>
              <w:rPr>
                <w:rFonts w:ascii="Calibri" w:eastAsia="Times New Roman" w:hAnsi="Calibri" w:cs="Calibri"/>
                <w:b/>
                <w:bCs/>
                <w:color w:val="C00000"/>
                <w:lang w:eastAsia="fr-FR"/>
              </w:rPr>
            </w:pPr>
            <w:r w:rsidRPr="00AB03ED">
              <w:rPr>
                <w:rFonts w:ascii="Calibri" w:eastAsia="Times New Roman" w:hAnsi="Calibri" w:cs="Calibri"/>
                <w:b/>
                <w:bCs/>
                <w:color w:val="C00000"/>
                <w:lang w:eastAsia="fr-FR"/>
              </w:rPr>
              <w:t xml:space="preserve">  France</w:t>
            </w:r>
          </w:p>
        </w:tc>
        <w:tc>
          <w:tcPr>
            <w:tcW w:w="1970" w:type="dxa"/>
            <w:tcBorders>
              <w:top w:val="nil"/>
              <w:left w:val="nil"/>
              <w:bottom w:val="single" w:sz="4" w:space="0" w:color="auto"/>
              <w:right w:val="single" w:sz="4" w:space="0" w:color="auto"/>
            </w:tcBorders>
            <w:shd w:val="clear" w:color="auto" w:fill="auto"/>
            <w:vAlign w:val="center"/>
            <w:hideMark/>
          </w:tcPr>
          <w:p w14:paraId="7D342D82" w14:textId="77777777" w:rsidR="00064A32" w:rsidRPr="00AB03ED"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46,1</w:t>
            </w:r>
          </w:p>
        </w:tc>
        <w:tc>
          <w:tcPr>
            <w:tcW w:w="2124" w:type="dxa"/>
            <w:tcBorders>
              <w:top w:val="nil"/>
              <w:left w:val="nil"/>
              <w:bottom w:val="single" w:sz="4" w:space="0" w:color="auto"/>
              <w:right w:val="single" w:sz="4" w:space="0" w:color="auto"/>
            </w:tcBorders>
            <w:shd w:val="clear" w:color="auto" w:fill="auto"/>
            <w:noWrap/>
            <w:vAlign w:val="center"/>
            <w:hideMark/>
          </w:tcPr>
          <w:p w14:paraId="55C2DB3F" w14:textId="77777777" w:rsidR="00064A32" w:rsidRPr="00AB03ED"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44,6</w:t>
            </w:r>
          </w:p>
        </w:tc>
        <w:tc>
          <w:tcPr>
            <w:tcW w:w="1575" w:type="dxa"/>
            <w:gridSpan w:val="2"/>
            <w:tcBorders>
              <w:top w:val="nil"/>
              <w:left w:val="nil"/>
              <w:bottom w:val="single" w:sz="4" w:space="0" w:color="auto"/>
              <w:right w:val="nil"/>
            </w:tcBorders>
            <w:shd w:val="clear" w:color="auto" w:fill="auto"/>
            <w:noWrap/>
            <w:vAlign w:val="center"/>
            <w:hideMark/>
          </w:tcPr>
          <w:p w14:paraId="2F61E604" w14:textId="77777777" w:rsidR="00064A32" w:rsidRPr="00AB03ED"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90,7</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59C1F108" w14:textId="77777777" w:rsidR="00064A32" w:rsidRPr="00AB03ED"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12,11</w:t>
            </w:r>
          </w:p>
        </w:tc>
      </w:tr>
      <w:tr w:rsidR="00064A32" w:rsidRPr="00AB03ED" w14:paraId="0845BA6C" w14:textId="77777777" w:rsidTr="00D51245">
        <w:trPr>
          <w:gridAfter w:val="1"/>
          <w:wAfter w:w="422" w:type="dxa"/>
          <w:trHeight w:val="682"/>
          <w:jc w:val="center"/>
        </w:trPr>
        <w:tc>
          <w:tcPr>
            <w:tcW w:w="1413" w:type="dxa"/>
            <w:tcBorders>
              <w:top w:val="nil"/>
              <w:left w:val="nil"/>
              <w:bottom w:val="single" w:sz="4" w:space="0" w:color="auto"/>
              <w:right w:val="single" w:sz="4" w:space="0" w:color="auto"/>
            </w:tcBorders>
            <w:shd w:val="clear" w:color="000000" w:fill="3366FF"/>
            <w:vAlign w:val="center"/>
            <w:hideMark/>
          </w:tcPr>
          <w:p w14:paraId="7E612D7C"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xml:space="preserve">  Etats-Unis d'Amérique</w:t>
            </w:r>
          </w:p>
        </w:tc>
        <w:tc>
          <w:tcPr>
            <w:tcW w:w="1970" w:type="dxa"/>
            <w:tcBorders>
              <w:top w:val="nil"/>
              <w:left w:val="nil"/>
              <w:bottom w:val="single" w:sz="4" w:space="0" w:color="auto"/>
              <w:right w:val="single" w:sz="4" w:space="0" w:color="auto"/>
            </w:tcBorders>
            <w:shd w:val="clear" w:color="auto" w:fill="auto"/>
            <w:vAlign w:val="center"/>
            <w:hideMark/>
          </w:tcPr>
          <w:p w14:paraId="711ADE10"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29</w:t>
            </w:r>
            <w:r>
              <w:rPr>
                <w:rFonts w:ascii="Calibri" w:eastAsia="Times New Roman" w:hAnsi="Calibri" w:cs="Calibri"/>
                <w:color w:val="000000"/>
                <w:lang w:eastAsia="fr-FR"/>
              </w:rPr>
              <w:t>,7</w:t>
            </w:r>
          </w:p>
        </w:tc>
        <w:tc>
          <w:tcPr>
            <w:tcW w:w="2124" w:type="dxa"/>
            <w:tcBorders>
              <w:top w:val="nil"/>
              <w:left w:val="nil"/>
              <w:bottom w:val="single" w:sz="4" w:space="0" w:color="auto"/>
              <w:right w:val="single" w:sz="4" w:space="0" w:color="auto"/>
            </w:tcBorders>
            <w:shd w:val="clear" w:color="auto" w:fill="auto"/>
            <w:noWrap/>
            <w:vAlign w:val="center"/>
            <w:hideMark/>
          </w:tcPr>
          <w:p w14:paraId="2EC60952"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25,9</w:t>
            </w:r>
          </w:p>
        </w:tc>
        <w:tc>
          <w:tcPr>
            <w:tcW w:w="1575" w:type="dxa"/>
            <w:gridSpan w:val="2"/>
            <w:tcBorders>
              <w:top w:val="nil"/>
              <w:left w:val="nil"/>
              <w:bottom w:val="single" w:sz="4" w:space="0" w:color="auto"/>
              <w:right w:val="nil"/>
            </w:tcBorders>
            <w:shd w:val="clear" w:color="auto" w:fill="auto"/>
            <w:noWrap/>
            <w:vAlign w:val="center"/>
            <w:hideMark/>
          </w:tcPr>
          <w:p w14:paraId="7E604BDA"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5</w:t>
            </w:r>
            <w:r>
              <w:rPr>
                <w:rFonts w:ascii="Calibri" w:eastAsia="Times New Roman" w:hAnsi="Calibri" w:cs="Calibri"/>
                <w:color w:val="000000"/>
                <w:lang w:eastAsia="fr-FR"/>
              </w:rPr>
              <w:t>1,6</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4F4AEBD2"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6,</w:t>
            </w:r>
            <w:r>
              <w:rPr>
                <w:rFonts w:ascii="Calibri" w:eastAsia="Times New Roman" w:hAnsi="Calibri" w:cs="Calibri"/>
                <w:color w:val="000000"/>
                <w:lang w:eastAsia="fr-FR"/>
              </w:rPr>
              <w:t>89</w:t>
            </w:r>
          </w:p>
        </w:tc>
      </w:tr>
      <w:tr w:rsidR="00064A32" w:rsidRPr="00AB03ED" w14:paraId="7C50F1B6" w14:textId="77777777" w:rsidTr="00D51245">
        <w:trPr>
          <w:gridAfter w:val="1"/>
          <w:wAfter w:w="422" w:type="dxa"/>
          <w:trHeight w:val="341"/>
          <w:jc w:val="center"/>
        </w:trPr>
        <w:tc>
          <w:tcPr>
            <w:tcW w:w="1413" w:type="dxa"/>
            <w:tcBorders>
              <w:top w:val="nil"/>
              <w:left w:val="nil"/>
              <w:bottom w:val="single" w:sz="4" w:space="0" w:color="auto"/>
              <w:right w:val="single" w:sz="4" w:space="0" w:color="auto"/>
            </w:tcBorders>
            <w:shd w:val="clear" w:color="000000" w:fill="3366FF"/>
            <w:vAlign w:val="center"/>
            <w:hideMark/>
          </w:tcPr>
          <w:p w14:paraId="760D809F"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xml:space="preserve">  Royaume-Uni</w:t>
            </w:r>
          </w:p>
        </w:tc>
        <w:tc>
          <w:tcPr>
            <w:tcW w:w="1970" w:type="dxa"/>
            <w:tcBorders>
              <w:top w:val="nil"/>
              <w:left w:val="nil"/>
              <w:bottom w:val="single" w:sz="4" w:space="0" w:color="auto"/>
              <w:right w:val="single" w:sz="4" w:space="0" w:color="auto"/>
            </w:tcBorders>
            <w:shd w:val="clear" w:color="auto" w:fill="auto"/>
            <w:vAlign w:val="center"/>
            <w:hideMark/>
          </w:tcPr>
          <w:p w14:paraId="7F0C4739"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w:t>
            </w:r>
            <w:r>
              <w:rPr>
                <w:rFonts w:ascii="Calibri" w:eastAsia="Times New Roman" w:hAnsi="Calibri" w:cs="Calibri"/>
                <w:color w:val="000000"/>
                <w:lang w:eastAsia="fr-FR"/>
              </w:rPr>
              <w:t>1,6</w:t>
            </w:r>
          </w:p>
        </w:tc>
        <w:tc>
          <w:tcPr>
            <w:tcW w:w="2124" w:type="dxa"/>
            <w:tcBorders>
              <w:top w:val="nil"/>
              <w:left w:val="nil"/>
              <w:bottom w:val="single" w:sz="4" w:space="0" w:color="auto"/>
              <w:right w:val="single" w:sz="4" w:space="0" w:color="auto"/>
            </w:tcBorders>
            <w:shd w:val="clear" w:color="auto" w:fill="auto"/>
            <w:noWrap/>
            <w:vAlign w:val="center"/>
            <w:hideMark/>
          </w:tcPr>
          <w:p w14:paraId="15155277"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13,5</w:t>
            </w:r>
          </w:p>
        </w:tc>
        <w:tc>
          <w:tcPr>
            <w:tcW w:w="1575" w:type="dxa"/>
            <w:gridSpan w:val="2"/>
            <w:tcBorders>
              <w:top w:val="nil"/>
              <w:left w:val="nil"/>
              <w:bottom w:val="single" w:sz="4" w:space="0" w:color="auto"/>
              <w:right w:val="nil"/>
            </w:tcBorders>
            <w:shd w:val="clear" w:color="auto" w:fill="auto"/>
            <w:noWrap/>
            <w:vAlign w:val="center"/>
            <w:hideMark/>
          </w:tcPr>
          <w:p w14:paraId="6E096356"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35,1</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7934DEB6"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4,69</w:t>
            </w:r>
          </w:p>
        </w:tc>
      </w:tr>
      <w:tr w:rsidR="00064A32" w:rsidRPr="00AB03ED" w14:paraId="1B36C186" w14:textId="77777777" w:rsidTr="00D51245">
        <w:trPr>
          <w:gridAfter w:val="1"/>
          <w:wAfter w:w="422" w:type="dxa"/>
          <w:trHeight w:val="682"/>
          <w:jc w:val="center"/>
        </w:trPr>
        <w:tc>
          <w:tcPr>
            <w:tcW w:w="1413" w:type="dxa"/>
            <w:tcBorders>
              <w:top w:val="nil"/>
              <w:left w:val="nil"/>
              <w:bottom w:val="single" w:sz="4" w:space="0" w:color="auto"/>
              <w:right w:val="single" w:sz="4" w:space="0" w:color="auto"/>
            </w:tcBorders>
            <w:shd w:val="clear" w:color="000000" w:fill="3366FF"/>
            <w:vAlign w:val="center"/>
            <w:hideMark/>
          </w:tcPr>
          <w:p w14:paraId="4855CE39" w14:textId="77777777" w:rsidR="00064A32" w:rsidRPr="00AB03ED" w:rsidRDefault="00064A32"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xml:space="preserve">  Italie</w:t>
            </w:r>
          </w:p>
        </w:tc>
        <w:tc>
          <w:tcPr>
            <w:tcW w:w="1970" w:type="dxa"/>
            <w:tcBorders>
              <w:top w:val="nil"/>
              <w:left w:val="nil"/>
              <w:bottom w:val="single" w:sz="4" w:space="0" w:color="auto"/>
              <w:right w:val="single" w:sz="4" w:space="0" w:color="auto"/>
            </w:tcBorders>
            <w:shd w:val="clear" w:color="auto" w:fill="auto"/>
            <w:vAlign w:val="center"/>
            <w:hideMark/>
          </w:tcPr>
          <w:p w14:paraId="1ED54B55"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16,9</w:t>
            </w:r>
          </w:p>
        </w:tc>
        <w:tc>
          <w:tcPr>
            <w:tcW w:w="2124" w:type="dxa"/>
            <w:tcBorders>
              <w:top w:val="nil"/>
              <w:left w:val="nil"/>
              <w:bottom w:val="single" w:sz="4" w:space="0" w:color="auto"/>
              <w:right w:val="single" w:sz="4" w:space="0" w:color="auto"/>
            </w:tcBorders>
            <w:shd w:val="clear" w:color="auto" w:fill="auto"/>
            <w:noWrap/>
            <w:vAlign w:val="center"/>
            <w:hideMark/>
          </w:tcPr>
          <w:p w14:paraId="77B7C18F"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1</w:t>
            </w:r>
            <w:r>
              <w:rPr>
                <w:rFonts w:ascii="Calibri" w:eastAsia="Times New Roman" w:hAnsi="Calibri" w:cs="Calibri"/>
                <w:color w:val="000000"/>
                <w:lang w:eastAsia="fr-FR"/>
              </w:rPr>
              <w:t>5</w:t>
            </w:r>
          </w:p>
        </w:tc>
        <w:tc>
          <w:tcPr>
            <w:tcW w:w="1575" w:type="dxa"/>
            <w:gridSpan w:val="2"/>
            <w:tcBorders>
              <w:top w:val="nil"/>
              <w:left w:val="nil"/>
              <w:bottom w:val="single" w:sz="4" w:space="0" w:color="auto"/>
              <w:right w:val="nil"/>
            </w:tcBorders>
            <w:shd w:val="clear" w:color="auto" w:fill="auto"/>
            <w:noWrap/>
            <w:vAlign w:val="center"/>
            <w:hideMark/>
          </w:tcPr>
          <w:p w14:paraId="5F89884D"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3</w:t>
            </w:r>
            <w:r>
              <w:rPr>
                <w:rFonts w:ascii="Calibri" w:eastAsia="Times New Roman" w:hAnsi="Calibri" w:cs="Calibri"/>
                <w:color w:val="000000"/>
                <w:lang w:eastAsia="fr-FR"/>
              </w:rPr>
              <w:t>1,9</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3A3EEDD4"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4,</w:t>
            </w:r>
            <w:r>
              <w:rPr>
                <w:rFonts w:ascii="Calibri" w:eastAsia="Times New Roman" w:hAnsi="Calibri" w:cs="Calibri"/>
                <w:color w:val="000000"/>
                <w:lang w:eastAsia="fr-FR"/>
              </w:rPr>
              <w:t>2</w:t>
            </w:r>
            <w:r w:rsidRPr="00AB03ED">
              <w:rPr>
                <w:rFonts w:ascii="Calibri" w:eastAsia="Times New Roman" w:hAnsi="Calibri" w:cs="Calibri"/>
                <w:color w:val="000000"/>
                <w:lang w:eastAsia="fr-FR"/>
              </w:rPr>
              <w:t>6</w:t>
            </w:r>
          </w:p>
        </w:tc>
      </w:tr>
      <w:tr w:rsidR="00064A32" w:rsidRPr="00AB03ED" w14:paraId="57C8C08E" w14:textId="77777777" w:rsidTr="00D51245">
        <w:trPr>
          <w:gridAfter w:val="1"/>
          <w:wAfter w:w="422" w:type="dxa"/>
          <w:trHeight w:val="341"/>
          <w:jc w:val="center"/>
        </w:trPr>
        <w:tc>
          <w:tcPr>
            <w:tcW w:w="1413" w:type="dxa"/>
            <w:tcBorders>
              <w:top w:val="nil"/>
              <w:left w:val="nil"/>
              <w:bottom w:val="single" w:sz="4" w:space="0" w:color="auto"/>
              <w:right w:val="single" w:sz="4" w:space="0" w:color="auto"/>
            </w:tcBorders>
            <w:shd w:val="clear" w:color="000000" w:fill="3366FF"/>
            <w:vAlign w:val="center"/>
            <w:hideMark/>
          </w:tcPr>
          <w:p w14:paraId="1EAAED8D" w14:textId="77777777" w:rsidR="00064A32" w:rsidRPr="00AB03ED"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Irlande </w:t>
            </w:r>
          </w:p>
        </w:tc>
        <w:tc>
          <w:tcPr>
            <w:tcW w:w="1970" w:type="dxa"/>
            <w:tcBorders>
              <w:top w:val="nil"/>
              <w:left w:val="nil"/>
              <w:bottom w:val="single" w:sz="4" w:space="0" w:color="auto"/>
              <w:right w:val="single" w:sz="4" w:space="0" w:color="auto"/>
            </w:tcBorders>
            <w:shd w:val="clear" w:color="auto" w:fill="auto"/>
            <w:vAlign w:val="center"/>
            <w:hideMark/>
          </w:tcPr>
          <w:p w14:paraId="1E67F2B9"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17,3</w:t>
            </w:r>
          </w:p>
        </w:tc>
        <w:tc>
          <w:tcPr>
            <w:tcW w:w="2124" w:type="dxa"/>
            <w:tcBorders>
              <w:top w:val="nil"/>
              <w:left w:val="nil"/>
              <w:bottom w:val="single" w:sz="4" w:space="0" w:color="auto"/>
              <w:right w:val="single" w:sz="4" w:space="0" w:color="auto"/>
            </w:tcBorders>
            <w:shd w:val="clear" w:color="auto" w:fill="auto"/>
            <w:noWrap/>
            <w:vAlign w:val="center"/>
            <w:hideMark/>
          </w:tcPr>
          <w:p w14:paraId="14D7550A"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3,0</w:t>
            </w:r>
          </w:p>
        </w:tc>
        <w:tc>
          <w:tcPr>
            <w:tcW w:w="1575" w:type="dxa"/>
            <w:gridSpan w:val="2"/>
            <w:tcBorders>
              <w:top w:val="nil"/>
              <w:left w:val="nil"/>
              <w:bottom w:val="single" w:sz="4" w:space="0" w:color="auto"/>
              <w:right w:val="nil"/>
            </w:tcBorders>
            <w:shd w:val="clear" w:color="auto" w:fill="auto"/>
            <w:noWrap/>
            <w:vAlign w:val="center"/>
            <w:hideMark/>
          </w:tcPr>
          <w:p w14:paraId="23E60C18"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20,3</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4B6AB5AE"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w:t>
            </w:r>
            <w:r>
              <w:rPr>
                <w:rFonts w:ascii="Calibri" w:eastAsia="Times New Roman" w:hAnsi="Calibri" w:cs="Calibri"/>
                <w:color w:val="000000"/>
                <w:lang w:eastAsia="fr-FR"/>
              </w:rPr>
              <w:t>7</w:t>
            </w:r>
          </w:p>
        </w:tc>
      </w:tr>
      <w:tr w:rsidR="00064A32" w:rsidRPr="00AB03ED" w14:paraId="43E367B5" w14:textId="77777777" w:rsidTr="00D51245">
        <w:trPr>
          <w:gridAfter w:val="1"/>
          <w:wAfter w:w="422" w:type="dxa"/>
          <w:trHeight w:val="341"/>
          <w:jc w:val="center"/>
        </w:trPr>
        <w:tc>
          <w:tcPr>
            <w:tcW w:w="1413" w:type="dxa"/>
            <w:tcBorders>
              <w:top w:val="nil"/>
              <w:left w:val="nil"/>
              <w:bottom w:val="single" w:sz="4" w:space="0" w:color="auto"/>
              <w:right w:val="single" w:sz="4" w:space="0" w:color="auto"/>
            </w:tcBorders>
            <w:shd w:val="clear" w:color="000000" w:fill="3366FF"/>
            <w:vAlign w:val="center"/>
            <w:hideMark/>
          </w:tcPr>
          <w:p w14:paraId="4B8FFA73" w14:textId="77777777" w:rsidR="00064A32" w:rsidRPr="00AB03ED"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Espagne </w:t>
            </w:r>
          </w:p>
        </w:tc>
        <w:tc>
          <w:tcPr>
            <w:tcW w:w="1970" w:type="dxa"/>
            <w:tcBorders>
              <w:top w:val="nil"/>
              <w:left w:val="nil"/>
              <w:bottom w:val="single" w:sz="4" w:space="0" w:color="auto"/>
              <w:right w:val="single" w:sz="4" w:space="0" w:color="auto"/>
            </w:tcBorders>
            <w:shd w:val="clear" w:color="auto" w:fill="auto"/>
            <w:vAlign w:val="center"/>
            <w:hideMark/>
          </w:tcPr>
          <w:p w14:paraId="6D87F912"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9,3</w:t>
            </w:r>
          </w:p>
        </w:tc>
        <w:tc>
          <w:tcPr>
            <w:tcW w:w="2124" w:type="dxa"/>
            <w:tcBorders>
              <w:top w:val="nil"/>
              <w:left w:val="nil"/>
              <w:bottom w:val="single" w:sz="4" w:space="0" w:color="auto"/>
              <w:right w:val="single" w:sz="4" w:space="0" w:color="auto"/>
            </w:tcBorders>
            <w:shd w:val="clear" w:color="auto" w:fill="auto"/>
            <w:noWrap/>
            <w:vAlign w:val="center"/>
            <w:hideMark/>
          </w:tcPr>
          <w:p w14:paraId="146B2BF1"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10,3</w:t>
            </w:r>
          </w:p>
        </w:tc>
        <w:tc>
          <w:tcPr>
            <w:tcW w:w="1575" w:type="dxa"/>
            <w:gridSpan w:val="2"/>
            <w:tcBorders>
              <w:top w:val="nil"/>
              <w:left w:val="nil"/>
              <w:bottom w:val="single" w:sz="4" w:space="0" w:color="auto"/>
              <w:right w:val="nil"/>
            </w:tcBorders>
            <w:shd w:val="clear" w:color="auto" w:fill="auto"/>
            <w:noWrap/>
            <w:vAlign w:val="center"/>
            <w:hideMark/>
          </w:tcPr>
          <w:p w14:paraId="6E816E87"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19,6</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767A10CC"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w:t>
            </w:r>
            <w:r>
              <w:rPr>
                <w:rFonts w:ascii="Calibri" w:eastAsia="Times New Roman" w:hAnsi="Calibri" w:cs="Calibri"/>
                <w:color w:val="000000"/>
                <w:lang w:eastAsia="fr-FR"/>
              </w:rPr>
              <w:t>62</w:t>
            </w:r>
          </w:p>
        </w:tc>
      </w:tr>
      <w:tr w:rsidR="00064A32" w:rsidRPr="00AB03ED" w14:paraId="34FE39D9" w14:textId="77777777" w:rsidTr="00D51245">
        <w:trPr>
          <w:gridAfter w:val="1"/>
          <w:wAfter w:w="422" w:type="dxa"/>
          <w:trHeight w:val="1023"/>
          <w:jc w:val="center"/>
        </w:trPr>
        <w:tc>
          <w:tcPr>
            <w:tcW w:w="1413" w:type="dxa"/>
            <w:tcBorders>
              <w:top w:val="nil"/>
              <w:left w:val="nil"/>
              <w:bottom w:val="single" w:sz="4" w:space="0" w:color="auto"/>
              <w:right w:val="single" w:sz="4" w:space="0" w:color="auto"/>
            </w:tcBorders>
            <w:shd w:val="clear" w:color="000000" w:fill="3366FF"/>
            <w:vAlign w:val="center"/>
            <w:hideMark/>
          </w:tcPr>
          <w:p w14:paraId="060E5F80" w14:textId="77777777" w:rsidR="00064A32" w:rsidRPr="00AB03ED" w:rsidRDefault="00064A32"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w:t>
            </w:r>
          </w:p>
        </w:tc>
        <w:tc>
          <w:tcPr>
            <w:tcW w:w="1970" w:type="dxa"/>
            <w:tcBorders>
              <w:top w:val="nil"/>
              <w:left w:val="nil"/>
              <w:bottom w:val="single" w:sz="4" w:space="0" w:color="auto"/>
              <w:right w:val="single" w:sz="4" w:space="0" w:color="auto"/>
            </w:tcBorders>
            <w:shd w:val="clear" w:color="auto" w:fill="auto"/>
            <w:vAlign w:val="center"/>
            <w:hideMark/>
          </w:tcPr>
          <w:p w14:paraId="707275AF"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13,2</w:t>
            </w:r>
          </w:p>
        </w:tc>
        <w:tc>
          <w:tcPr>
            <w:tcW w:w="2124" w:type="dxa"/>
            <w:tcBorders>
              <w:top w:val="nil"/>
              <w:left w:val="nil"/>
              <w:bottom w:val="single" w:sz="4" w:space="0" w:color="auto"/>
              <w:right w:val="single" w:sz="4" w:space="0" w:color="auto"/>
            </w:tcBorders>
            <w:shd w:val="clear" w:color="auto" w:fill="auto"/>
            <w:noWrap/>
            <w:vAlign w:val="center"/>
            <w:hideMark/>
          </w:tcPr>
          <w:p w14:paraId="72199FA6"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6,3</w:t>
            </w:r>
          </w:p>
        </w:tc>
        <w:tc>
          <w:tcPr>
            <w:tcW w:w="1575" w:type="dxa"/>
            <w:gridSpan w:val="2"/>
            <w:tcBorders>
              <w:top w:val="nil"/>
              <w:left w:val="nil"/>
              <w:bottom w:val="single" w:sz="4" w:space="0" w:color="auto"/>
              <w:right w:val="nil"/>
            </w:tcBorders>
            <w:shd w:val="clear" w:color="auto" w:fill="auto"/>
            <w:noWrap/>
            <w:vAlign w:val="center"/>
            <w:hideMark/>
          </w:tcPr>
          <w:p w14:paraId="5C0EA4DB" w14:textId="77777777" w:rsidR="00064A32" w:rsidRPr="00AB03ED"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19,5</w:t>
            </w:r>
          </w:p>
        </w:tc>
        <w:tc>
          <w:tcPr>
            <w:tcW w:w="2289" w:type="dxa"/>
            <w:gridSpan w:val="2"/>
            <w:tcBorders>
              <w:top w:val="nil"/>
              <w:left w:val="single" w:sz="4" w:space="0" w:color="auto"/>
              <w:bottom w:val="single" w:sz="4" w:space="0" w:color="auto"/>
              <w:right w:val="single" w:sz="12" w:space="0" w:color="auto"/>
            </w:tcBorders>
            <w:shd w:val="clear" w:color="auto" w:fill="auto"/>
            <w:vAlign w:val="center"/>
            <w:hideMark/>
          </w:tcPr>
          <w:p w14:paraId="38D741A5" w14:textId="77777777" w:rsidR="00064A32" w:rsidRPr="00AB03ED" w:rsidRDefault="00064A32"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w:t>
            </w:r>
            <w:r>
              <w:rPr>
                <w:rFonts w:ascii="Calibri" w:eastAsia="Times New Roman" w:hAnsi="Calibri" w:cs="Calibri"/>
                <w:color w:val="000000"/>
                <w:lang w:eastAsia="fr-FR"/>
              </w:rPr>
              <w:t>60</w:t>
            </w:r>
          </w:p>
        </w:tc>
      </w:tr>
      <w:tr w:rsidR="00064A32" w:rsidRPr="00AB03ED" w14:paraId="44FF1E77" w14:textId="77777777" w:rsidTr="00D51245">
        <w:trPr>
          <w:gridAfter w:val="1"/>
          <w:wAfter w:w="422" w:type="dxa"/>
          <w:trHeight w:val="358"/>
          <w:jc w:val="center"/>
        </w:trPr>
        <w:tc>
          <w:tcPr>
            <w:tcW w:w="1413" w:type="dxa"/>
            <w:tcBorders>
              <w:top w:val="nil"/>
              <w:left w:val="nil"/>
              <w:bottom w:val="nil"/>
              <w:right w:val="nil"/>
            </w:tcBorders>
            <w:shd w:val="clear" w:color="auto" w:fill="auto"/>
            <w:vAlign w:val="bottom"/>
            <w:hideMark/>
          </w:tcPr>
          <w:p w14:paraId="17FE0AAF" w14:textId="77777777" w:rsidR="00064A32" w:rsidRPr="00AB03ED" w:rsidRDefault="00064A32" w:rsidP="00D51245">
            <w:pPr>
              <w:spacing w:line="240" w:lineRule="auto"/>
              <w:jc w:val="center"/>
              <w:rPr>
                <w:rFonts w:ascii="Times New Roman" w:eastAsia="Times New Roman" w:hAnsi="Times New Roman" w:cs="Times New Roman"/>
                <w:sz w:val="20"/>
                <w:szCs w:val="20"/>
                <w:lang w:eastAsia="fr-FR"/>
              </w:rPr>
            </w:pPr>
          </w:p>
        </w:tc>
        <w:tc>
          <w:tcPr>
            <w:tcW w:w="1970" w:type="dxa"/>
            <w:tcBorders>
              <w:top w:val="nil"/>
              <w:left w:val="nil"/>
              <w:bottom w:val="nil"/>
              <w:right w:val="nil"/>
            </w:tcBorders>
            <w:shd w:val="clear" w:color="auto" w:fill="auto"/>
            <w:vAlign w:val="center"/>
            <w:hideMark/>
          </w:tcPr>
          <w:p w14:paraId="07EC8EAE" w14:textId="77777777" w:rsidR="00064A32" w:rsidRPr="00AB03ED" w:rsidRDefault="00064A32" w:rsidP="00D51245">
            <w:pPr>
              <w:spacing w:line="240" w:lineRule="auto"/>
              <w:rPr>
                <w:rFonts w:ascii="Times New Roman" w:eastAsia="Times New Roman" w:hAnsi="Times New Roman" w:cs="Times New Roman"/>
                <w:sz w:val="20"/>
                <w:szCs w:val="20"/>
                <w:lang w:eastAsia="fr-FR"/>
              </w:rPr>
            </w:pPr>
          </w:p>
        </w:tc>
        <w:tc>
          <w:tcPr>
            <w:tcW w:w="2124" w:type="dxa"/>
            <w:tcBorders>
              <w:top w:val="nil"/>
              <w:left w:val="nil"/>
              <w:bottom w:val="nil"/>
              <w:right w:val="nil"/>
            </w:tcBorders>
            <w:shd w:val="clear" w:color="auto" w:fill="auto"/>
            <w:noWrap/>
            <w:vAlign w:val="center"/>
            <w:hideMark/>
          </w:tcPr>
          <w:p w14:paraId="192A580B" w14:textId="77777777" w:rsidR="00064A32" w:rsidRPr="00AB03ED" w:rsidRDefault="00064A32" w:rsidP="00D51245">
            <w:pPr>
              <w:spacing w:line="240" w:lineRule="auto"/>
              <w:jc w:val="center"/>
              <w:rPr>
                <w:rFonts w:ascii="Times New Roman" w:eastAsia="Times New Roman" w:hAnsi="Times New Roman" w:cs="Times New Roman"/>
                <w:sz w:val="20"/>
                <w:szCs w:val="20"/>
                <w:lang w:eastAsia="fr-FR"/>
              </w:rPr>
            </w:pPr>
          </w:p>
        </w:tc>
        <w:tc>
          <w:tcPr>
            <w:tcW w:w="1575" w:type="dxa"/>
            <w:gridSpan w:val="2"/>
            <w:tcBorders>
              <w:top w:val="nil"/>
              <w:left w:val="nil"/>
              <w:bottom w:val="nil"/>
              <w:right w:val="nil"/>
            </w:tcBorders>
            <w:shd w:val="clear" w:color="auto" w:fill="auto"/>
            <w:noWrap/>
            <w:vAlign w:val="center"/>
            <w:hideMark/>
          </w:tcPr>
          <w:p w14:paraId="088065A2" w14:textId="77777777" w:rsidR="00064A32" w:rsidRPr="00AB03ED" w:rsidRDefault="00064A32" w:rsidP="00D51245">
            <w:pPr>
              <w:spacing w:line="240" w:lineRule="auto"/>
              <w:jc w:val="center"/>
              <w:rPr>
                <w:rFonts w:ascii="Times New Roman" w:eastAsia="Times New Roman" w:hAnsi="Times New Roman" w:cs="Times New Roman"/>
                <w:sz w:val="20"/>
                <w:szCs w:val="20"/>
                <w:lang w:eastAsia="fr-FR"/>
              </w:rPr>
            </w:pPr>
          </w:p>
        </w:tc>
        <w:tc>
          <w:tcPr>
            <w:tcW w:w="2289" w:type="dxa"/>
            <w:gridSpan w:val="2"/>
            <w:tcBorders>
              <w:top w:val="nil"/>
              <w:left w:val="nil"/>
              <w:bottom w:val="nil"/>
              <w:right w:val="nil"/>
            </w:tcBorders>
            <w:shd w:val="clear" w:color="auto" w:fill="auto"/>
            <w:noWrap/>
            <w:vAlign w:val="center"/>
            <w:hideMark/>
          </w:tcPr>
          <w:p w14:paraId="40C79DD7" w14:textId="77777777" w:rsidR="00064A32" w:rsidRPr="00AB03ED" w:rsidRDefault="00064A32" w:rsidP="00D51245">
            <w:pPr>
              <w:spacing w:line="240" w:lineRule="auto"/>
              <w:jc w:val="center"/>
              <w:rPr>
                <w:rFonts w:ascii="Times New Roman" w:eastAsia="Times New Roman" w:hAnsi="Times New Roman" w:cs="Times New Roman"/>
                <w:sz w:val="20"/>
                <w:szCs w:val="20"/>
                <w:lang w:eastAsia="fr-FR"/>
              </w:rPr>
            </w:pPr>
          </w:p>
        </w:tc>
      </w:tr>
      <w:tr w:rsidR="00064A32" w:rsidRPr="00AB03ED" w14:paraId="573836AF" w14:textId="77777777" w:rsidTr="00D51245">
        <w:trPr>
          <w:trHeight w:val="341"/>
          <w:jc w:val="center"/>
        </w:trPr>
        <w:tc>
          <w:tcPr>
            <w:tcW w:w="5929" w:type="dxa"/>
            <w:gridSpan w:val="4"/>
            <w:tcBorders>
              <w:top w:val="nil"/>
              <w:left w:val="nil"/>
              <w:bottom w:val="nil"/>
              <w:right w:val="nil"/>
            </w:tcBorders>
            <w:shd w:val="clear" w:color="auto" w:fill="auto"/>
            <w:vAlign w:val="bottom"/>
            <w:hideMark/>
          </w:tcPr>
          <w:p w14:paraId="0A40A183" w14:textId="77777777" w:rsidR="00064A32" w:rsidRPr="00AB03ED" w:rsidRDefault="00064A32" w:rsidP="00D51245">
            <w:pPr>
              <w:spacing w:line="240" w:lineRule="auto"/>
              <w:jc w:val="center"/>
              <w:rPr>
                <w:rFonts w:ascii="Calibri" w:eastAsia="Times New Roman" w:hAnsi="Calibri" w:cs="Calibri"/>
                <w:i/>
                <w:iCs/>
                <w:color w:val="000000"/>
                <w:lang w:eastAsia="fr-FR"/>
              </w:rPr>
            </w:pPr>
            <w:r w:rsidRPr="00AB03ED">
              <w:rPr>
                <w:rFonts w:ascii="Calibri" w:eastAsia="Times New Roman" w:hAnsi="Calibri" w:cs="Calibri"/>
                <w:i/>
                <w:iCs/>
                <w:color w:val="000000"/>
                <w:lang w:eastAsia="fr-FR"/>
              </w:rPr>
              <w:t>Source : Banque nationale de Belgique  ; calculs : SE de Bruxelles</w:t>
            </w:r>
          </w:p>
        </w:tc>
        <w:tc>
          <w:tcPr>
            <w:tcW w:w="1575" w:type="dxa"/>
            <w:gridSpan w:val="2"/>
            <w:tcBorders>
              <w:top w:val="nil"/>
              <w:left w:val="nil"/>
              <w:bottom w:val="nil"/>
              <w:right w:val="nil"/>
            </w:tcBorders>
            <w:shd w:val="clear" w:color="auto" w:fill="auto"/>
            <w:noWrap/>
            <w:vAlign w:val="center"/>
            <w:hideMark/>
          </w:tcPr>
          <w:p w14:paraId="6C80CFBE" w14:textId="77777777" w:rsidR="00064A32" w:rsidRPr="00AB03ED" w:rsidRDefault="00064A32" w:rsidP="00D51245">
            <w:pPr>
              <w:spacing w:line="240" w:lineRule="auto"/>
              <w:rPr>
                <w:rFonts w:ascii="Calibri" w:eastAsia="Times New Roman" w:hAnsi="Calibri" w:cs="Calibri"/>
                <w:i/>
                <w:iCs/>
                <w:color w:val="000000"/>
                <w:lang w:eastAsia="fr-FR"/>
              </w:rPr>
            </w:pPr>
          </w:p>
        </w:tc>
        <w:tc>
          <w:tcPr>
            <w:tcW w:w="2289" w:type="dxa"/>
            <w:gridSpan w:val="2"/>
            <w:tcBorders>
              <w:top w:val="nil"/>
              <w:left w:val="nil"/>
              <w:bottom w:val="nil"/>
              <w:right w:val="nil"/>
            </w:tcBorders>
            <w:shd w:val="clear" w:color="auto" w:fill="auto"/>
            <w:noWrap/>
            <w:vAlign w:val="center"/>
            <w:hideMark/>
          </w:tcPr>
          <w:p w14:paraId="24AE8BDC" w14:textId="77777777" w:rsidR="00064A32" w:rsidRPr="00AB03ED" w:rsidRDefault="00064A32" w:rsidP="00D51245">
            <w:pPr>
              <w:spacing w:line="240" w:lineRule="auto"/>
              <w:jc w:val="center"/>
              <w:rPr>
                <w:rFonts w:ascii="Times New Roman" w:eastAsia="Times New Roman" w:hAnsi="Times New Roman" w:cs="Times New Roman"/>
                <w:sz w:val="20"/>
                <w:szCs w:val="20"/>
                <w:lang w:eastAsia="fr-FR"/>
              </w:rPr>
            </w:pPr>
          </w:p>
        </w:tc>
      </w:tr>
    </w:tbl>
    <w:p w14:paraId="4FBFAF48" w14:textId="4C56A12D" w:rsidR="00064A32" w:rsidRPr="00064A32" w:rsidRDefault="00064A32" w:rsidP="00F867DF">
      <w:pPr>
        <w:jc w:val="center"/>
        <w:rPr>
          <w:rFonts w:cs="Segoe UI"/>
          <w:bCs/>
          <w:i/>
          <w:iCs/>
        </w:rPr>
      </w:pPr>
    </w:p>
    <w:p w14:paraId="2E27B744" w14:textId="5D701800" w:rsidR="00F867DF" w:rsidRDefault="00064A32" w:rsidP="00F867DF">
      <w:pPr>
        <w:spacing w:line="240" w:lineRule="auto"/>
        <w:jc w:val="center"/>
        <w:rPr>
          <w:rStyle w:val="Rfrenceintense"/>
        </w:rPr>
      </w:pPr>
      <w:r w:rsidRPr="00064A32">
        <w:rPr>
          <w:rStyle w:val="Rfrenceintense"/>
        </w:rPr>
        <w:t>ANNEXE 9 : Rang des principaux clients de la Belgique en 2023 (en Md€, échanges de biens) - concept national</w:t>
      </w:r>
    </w:p>
    <w:tbl>
      <w:tblPr>
        <w:tblW w:w="10182" w:type="dxa"/>
        <w:jc w:val="center"/>
        <w:tblCellMar>
          <w:left w:w="70" w:type="dxa"/>
          <w:right w:w="70" w:type="dxa"/>
        </w:tblCellMar>
        <w:tblLook w:val="04A0" w:firstRow="1" w:lastRow="0" w:firstColumn="1" w:lastColumn="0" w:noHBand="0" w:noVBand="1"/>
      </w:tblPr>
      <w:tblGrid>
        <w:gridCol w:w="450"/>
        <w:gridCol w:w="2610"/>
        <w:gridCol w:w="2306"/>
        <w:gridCol w:w="2203"/>
        <w:gridCol w:w="2613"/>
      </w:tblGrid>
      <w:tr w:rsidR="00064A32" w:rsidRPr="00F959B5" w14:paraId="76C8A802" w14:textId="77777777" w:rsidTr="00D51245">
        <w:trPr>
          <w:trHeight w:val="470"/>
          <w:jc w:val="center"/>
        </w:trPr>
        <w:tc>
          <w:tcPr>
            <w:tcW w:w="450" w:type="dxa"/>
            <w:tcBorders>
              <w:top w:val="nil"/>
              <w:left w:val="nil"/>
              <w:bottom w:val="nil"/>
              <w:right w:val="nil"/>
            </w:tcBorders>
            <w:shd w:val="clear" w:color="auto" w:fill="auto"/>
            <w:vAlign w:val="center"/>
            <w:hideMark/>
          </w:tcPr>
          <w:p w14:paraId="5E5B502E" w14:textId="77777777" w:rsidR="00064A32" w:rsidRPr="00F959B5" w:rsidRDefault="00064A32" w:rsidP="00D51245">
            <w:pPr>
              <w:spacing w:line="240" w:lineRule="auto"/>
              <w:rPr>
                <w:rFonts w:ascii="Times New Roman" w:eastAsia="Times New Roman" w:hAnsi="Times New Roman" w:cs="Times New Roman"/>
                <w:sz w:val="20"/>
                <w:szCs w:val="20"/>
                <w:lang w:eastAsia="fr-FR"/>
              </w:rPr>
            </w:pPr>
          </w:p>
        </w:tc>
        <w:tc>
          <w:tcPr>
            <w:tcW w:w="2610" w:type="dxa"/>
            <w:tcBorders>
              <w:top w:val="nil"/>
              <w:left w:val="nil"/>
              <w:bottom w:val="nil"/>
              <w:right w:val="nil"/>
            </w:tcBorders>
            <w:shd w:val="clear" w:color="auto" w:fill="auto"/>
            <w:vAlign w:val="bottom"/>
            <w:hideMark/>
          </w:tcPr>
          <w:p w14:paraId="701FE21B" w14:textId="77777777" w:rsidR="00064A32" w:rsidRPr="00F959B5" w:rsidRDefault="00064A32" w:rsidP="00D51245">
            <w:pPr>
              <w:spacing w:line="240" w:lineRule="auto"/>
              <w:jc w:val="center"/>
              <w:rPr>
                <w:rFonts w:ascii="Times New Roman" w:eastAsia="Times New Roman" w:hAnsi="Times New Roman" w:cs="Times New Roman"/>
                <w:sz w:val="20"/>
                <w:szCs w:val="20"/>
                <w:lang w:eastAsia="fr-FR"/>
              </w:rPr>
            </w:pPr>
          </w:p>
        </w:tc>
        <w:tc>
          <w:tcPr>
            <w:tcW w:w="2306" w:type="dxa"/>
            <w:tcBorders>
              <w:top w:val="nil"/>
              <w:left w:val="nil"/>
              <w:bottom w:val="nil"/>
              <w:right w:val="nil"/>
            </w:tcBorders>
            <w:shd w:val="clear" w:color="auto" w:fill="auto"/>
            <w:vAlign w:val="center"/>
            <w:hideMark/>
          </w:tcPr>
          <w:p w14:paraId="12320725" w14:textId="77777777" w:rsidR="00064A32" w:rsidRPr="00F959B5" w:rsidRDefault="00064A32" w:rsidP="00D51245">
            <w:pPr>
              <w:spacing w:line="240" w:lineRule="auto"/>
              <w:rPr>
                <w:rFonts w:ascii="Times New Roman" w:eastAsia="Times New Roman" w:hAnsi="Times New Roman" w:cs="Times New Roman"/>
                <w:sz w:val="20"/>
                <w:szCs w:val="20"/>
                <w:lang w:eastAsia="fr-FR"/>
              </w:rPr>
            </w:pPr>
          </w:p>
        </w:tc>
        <w:tc>
          <w:tcPr>
            <w:tcW w:w="2203" w:type="dxa"/>
            <w:tcBorders>
              <w:top w:val="nil"/>
              <w:left w:val="nil"/>
              <w:bottom w:val="nil"/>
              <w:right w:val="nil"/>
            </w:tcBorders>
            <w:shd w:val="clear" w:color="auto" w:fill="auto"/>
            <w:noWrap/>
            <w:vAlign w:val="center"/>
            <w:hideMark/>
          </w:tcPr>
          <w:p w14:paraId="2448C81F" w14:textId="6BD22120" w:rsidR="00064A32" w:rsidRPr="00F959B5" w:rsidRDefault="00064A32" w:rsidP="00D51245">
            <w:pPr>
              <w:spacing w:line="240" w:lineRule="auto"/>
              <w:jc w:val="center"/>
              <w:rPr>
                <w:rFonts w:ascii="Times New Roman" w:eastAsia="Times New Roman" w:hAnsi="Times New Roman" w:cs="Times New Roman"/>
                <w:sz w:val="20"/>
                <w:szCs w:val="20"/>
                <w:lang w:eastAsia="fr-FR"/>
              </w:rPr>
            </w:pPr>
          </w:p>
        </w:tc>
        <w:tc>
          <w:tcPr>
            <w:tcW w:w="2613" w:type="dxa"/>
            <w:tcBorders>
              <w:top w:val="nil"/>
              <w:left w:val="nil"/>
              <w:bottom w:val="single" w:sz="4" w:space="0" w:color="auto"/>
              <w:right w:val="nil"/>
            </w:tcBorders>
            <w:shd w:val="clear" w:color="auto" w:fill="auto"/>
            <w:noWrap/>
            <w:vAlign w:val="center"/>
            <w:hideMark/>
          </w:tcPr>
          <w:p w14:paraId="17321126" w14:textId="77777777" w:rsidR="00064A32" w:rsidRPr="00F959B5" w:rsidRDefault="00064A32" w:rsidP="00D51245">
            <w:pPr>
              <w:spacing w:line="240" w:lineRule="auto"/>
              <w:jc w:val="center"/>
              <w:rPr>
                <w:rFonts w:ascii="Times New Roman" w:eastAsia="Times New Roman" w:hAnsi="Times New Roman" w:cs="Times New Roman"/>
                <w:sz w:val="20"/>
                <w:szCs w:val="20"/>
                <w:lang w:eastAsia="fr-FR"/>
              </w:rPr>
            </w:pPr>
          </w:p>
        </w:tc>
      </w:tr>
      <w:tr w:rsidR="00064A32" w:rsidRPr="00F959B5" w14:paraId="092D7E13" w14:textId="77777777" w:rsidTr="00D51245">
        <w:trPr>
          <w:trHeight w:val="1214"/>
          <w:jc w:val="center"/>
        </w:trPr>
        <w:tc>
          <w:tcPr>
            <w:tcW w:w="450" w:type="dxa"/>
            <w:tcBorders>
              <w:top w:val="nil"/>
              <w:left w:val="nil"/>
              <w:bottom w:val="nil"/>
              <w:right w:val="nil"/>
            </w:tcBorders>
            <w:shd w:val="clear" w:color="auto" w:fill="auto"/>
            <w:vAlign w:val="center"/>
            <w:hideMark/>
          </w:tcPr>
          <w:p w14:paraId="0AE24054" w14:textId="77777777" w:rsidR="00064A32" w:rsidRPr="00F959B5" w:rsidRDefault="00064A32" w:rsidP="00D51245">
            <w:pPr>
              <w:spacing w:line="240" w:lineRule="auto"/>
              <w:rPr>
                <w:rFonts w:ascii="Times New Roman" w:eastAsia="Times New Roman" w:hAnsi="Times New Roman" w:cs="Times New Roman"/>
                <w:sz w:val="20"/>
                <w:szCs w:val="20"/>
                <w:lang w:eastAsia="fr-FR"/>
              </w:rPr>
            </w:pPr>
          </w:p>
        </w:tc>
        <w:tc>
          <w:tcPr>
            <w:tcW w:w="2610" w:type="dxa"/>
            <w:tcBorders>
              <w:top w:val="nil"/>
              <w:left w:val="nil"/>
              <w:bottom w:val="single" w:sz="12" w:space="0" w:color="auto"/>
              <w:right w:val="single" w:sz="12" w:space="0" w:color="auto"/>
            </w:tcBorders>
            <w:shd w:val="clear" w:color="auto" w:fill="auto"/>
            <w:vAlign w:val="bottom"/>
            <w:hideMark/>
          </w:tcPr>
          <w:p w14:paraId="24CA83B3" w14:textId="77777777" w:rsidR="00064A32" w:rsidRPr="00F959B5" w:rsidRDefault="00064A32" w:rsidP="00D51245">
            <w:pPr>
              <w:spacing w:line="240" w:lineRule="auto"/>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 </w:t>
            </w:r>
          </w:p>
        </w:tc>
        <w:tc>
          <w:tcPr>
            <w:tcW w:w="2306" w:type="dxa"/>
            <w:tcBorders>
              <w:top w:val="single" w:sz="12" w:space="0" w:color="auto"/>
              <w:left w:val="nil"/>
              <w:bottom w:val="single" w:sz="4" w:space="0" w:color="auto"/>
              <w:right w:val="single" w:sz="4" w:space="0" w:color="auto"/>
            </w:tcBorders>
            <w:shd w:val="clear" w:color="000000" w:fill="3366FF"/>
            <w:vAlign w:val="center"/>
            <w:hideMark/>
          </w:tcPr>
          <w:p w14:paraId="082B31D0" w14:textId="77777777"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Exportations 20</w:t>
            </w:r>
            <w:r>
              <w:rPr>
                <w:rFonts w:ascii="Calibri" w:eastAsia="Times New Roman" w:hAnsi="Calibri" w:cs="Calibri"/>
                <w:b/>
                <w:bCs/>
                <w:color w:val="FFFFFF"/>
                <w:lang w:eastAsia="fr-FR"/>
              </w:rPr>
              <w:t>22</w:t>
            </w:r>
          </w:p>
        </w:tc>
        <w:tc>
          <w:tcPr>
            <w:tcW w:w="2203" w:type="dxa"/>
            <w:tcBorders>
              <w:top w:val="single" w:sz="12" w:space="0" w:color="auto"/>
              <w:left w:val="nil"/>
              <w:bottom w:val="single" w:sz="4" w:space="0" w:color="auto"/>
              <w:right w:val="single" w:sz="4" w:space="0" w:color="auto"/>
            </w:tcBorders>
            <w:shd w:val="clear" w:color="000000" w:fill="3366FF"/>
            <w:noWrap/>
            <w:vAlign w:val="center"/>
            <w:hideMark/>
          </w:tcPr>
          <w:p w14:paraId="7C22AC7C" w14:textId="356A7D39"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Exportations 202</w:t>
            </w:r>
            <w:r>
              <w:rPr>
                <w:rFonts w:ascii="Calibri" w:eastAsia="Times New Roman" w:hAnsi="Calibri" w:cs="Calibri"/>
                <w:b/>
                <w:bCs/>
                <w:color w:val="FFFFFF"/>
                <w:lang w:eastAsia="fr-FR"/>
              </w:rPr>
              <w:t>3</w:t>
            </w:r>
          </w:p>
        </w:tc>
        <w:tc>
          <w:tcPr>
            <w:tcW w:w="2613" w:type="dxa"/>
            <w:tcBorders>
              <w:top w:val="single" w:sz="4" w:space="0" w:color="auto"/>
              <w:left w:val="nil"/>
              <w:bottom w:val="single" w:sz="4" w:space="0" w:color="auto"/>
              <w:right w:val="single" w:sz="4" w:space="0" w:color="auto"/>
            </w:tcBorders>
            <w:shd w:val="clear" w:color="000000" w:fill="3366FF"/>
            <w:vAlign w:val="center"/>
            <w:hideMark/>
          </w:tcPr>
          <w:p w14:paraId="59400C87" w14:textId="77777777"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Part dans les exportations totales en 202</w:t>
            </w:r>
            <w:r>
              <w:rPr>
                <w:rFonts w:ascii="Calibri" w:eastAsia="Times New Roman" w:hAnsi="Calibri" w:cs="Calibri"/>
                <w:b/>
                <w:bCs/>
                <w:color w:val="FFFFFF"/>
                <w:lang w:eastAsia="fr-FR"/>
              </w:rPr>
              <w:t>3</w:t>
            </w:r>
            <w:r w:rsidRPr="00F959B5">
              <w:rPr>
                <w:rFonts w:ascii="Calibri" w:eastAsia="Times New Roman" w:hAnsi="Calibri" w:cs="Calibri"/>
                <w:b/>
                <w:bCs/>
                <w:color w:val="FFFFFF"/>
                <w:lang w:eastAsia="fr-FR"/>
              </w:rPr>
              <w:t xml:space="preserve"> (en %)</w:t>
            </w:r>
          </w:p>
        </w:tc>
      </w:tr>
      <w:tr w:rsidR="00064A32" w:rsidRPr="00F959B5" w14:paraId="58ABA95F" w14:textId="77777777" w:rsidTr="00D51245">
        <w:trPr>
          <w:trHeight w:val="802"/>
          <w:jc w:val="center"/>
        </w:trPr>
        <w:tc>
          <w:tcPr>
            <w:tcW w:w="450"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314A4903" w14:textId="77777777"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1.</w:t>
            </w:r>
          </w:p>
        </w:tc>
        <w:tc>
          <w:tcPr>
            <w:tcW w:w="2610" w:type="dxa"/>
            <w:tcBorders>
              <w:top w:val="nil"/>
              <w:left w:val="nil"/>
              <w:bottom w:val="single" w:sz="4" w:space="0" w:color="auto"/>
              <w:right w:val="single" w:sz="4" w:space="0" w:color="auto"/>
            </w:tcBorders>
            <w:shd w:val="clear" w:color="000000" w:fill="3366FF"/>
            <w:vAlign w:val="center"/>
            <w:hideMark/>
          </w:tcPr>
          <w:p w14:paraId="09DFD514" w14:textId="77777777" w:rsidR="00064A32" w:rsidRPr="00F959B5" w:rsidRDefault="00064A32" w:rsidP="00D51245">
            <w:pPr>
              <w:spacing w:line="240" w:lineRule="auto"/>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Allemagne</w:t>
            </w:r>
          </w:p>
        </w:tc>
        <w:tc>
          <w:tcPr>
            <w:tcW w:w="2306" w:type="dxa"/>
            <w:tcBorders>
              <w:top w:val="nil"/>
              <w:left w:val="nil"/>
              <w:bottom w:val="single" w:sz="4" w:space="0" w:color="auto"/>
              <w:right w:val="single" w:sz="4" w:space="0" w:color="auto"/>
            </w:tcBorders>
            <w:shd w:val="clear" w:color="auto" w:fill="auto"/>
            <w:vAlign w:val="center"/>
            <w:hideMark/>
          </w:tcPr>
          <w:p w14:paraId="6AFE23B3"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88,4</w:t>
            </w:r>
          </w:p>
        </w:tc>
        <w:tc>
          <w:tcPr>
            <w:tcW w:w="2203" w:type="dxa"/>
            <w:tcBorders>
              <w:top w:val="nil"/>
              <w:left w:val="nil"/>
              <w:bottom w:val="single" w:sz="4" w:space="0" w:color="auto"/>
              <w:right w:val="single" w:sz="4" w:space="0" w:color="auto"/>
            </w:tcBorders>
            <w:shd w:val="clear" w:color="auto" w:fill="auto"/>
            <w:noWrap/>
            <w:vAlign w:val="center"/>
            <w:hideMark/>
          </w:tcPr>
          <w:p w14:paraId="32AC7626"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59,3</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1D3D6DD8"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16,3</w:t>
            </w:r>
          </w:p>
        </w:tc>
      </w:tr>
      <w:tr w:rsidR="00064A32" w:rsidRPr="00F959B5" w14:paraId="5E8196A2" w14:textId="77777777" w:rsidTr="00D51245">
        <w:trPr>
          <w:trHeight w:val="783"/>
          <w:jc w:val="center"/>
        </w:trPr>
        <w:tc>
          <w:tcPr>
            <w:tcW w:w="450" w:type="dxa"/>
            <w:tcBorders>
              <w:top w:val="nil"/>
              <w:left w:val="single" w:sz="12" w:space="0" w:color="auto"/>
              <w:bottom w:val="single" w:sz="4" w:space="0" w:color="auto"/>
              <w:right w:val="single" w:sz="4" w:space="0" w:color="auto"/>
            </w:tcBorders>
            <w:shd w:val="clear" w:color="000000" w:fill="3366FF"/>
            <w:vAlign w:val="center"/>
            <w:hideMark/>
          </w:tcPr>
          <w:p w14:paraId="4C8D7A4D" w14:textId="77777777" w:rsidR="00064A32" w:rsidRPr="00F959B5" w:rsidRDefault="00064A32" w:rsidP="00D51245">
            <w:pPr>
              <w:spacing w:line="240" w:lineRule="auto"/>
              <w:jc w:val="center"/>
              <w:rPr>
                <w:rFonts w:ascii="Calibri" w:eastAsia="Times New Roman" w:hAnsi="Calibri" w:cs="Calibri"/>
                <w:b/>
                <w:bCs/>
                <w:color w:val="FFFFFF" w:themeColor="background1"/>
                <w:lang w:eastAsia="fr-FR"/>
              </w:rPr>
            </w:pPr>
            <w:r w:rsidRPr="00F959B5">
              <w:rPr>
                <w:rFonts w:ascii="Calibri" w:eastAsia="Times New Roman" w:hAnsi="Calibri" w:cs="Calibri"/>
                <w:b/>
                <w:bCs/>
                <w:color w:val="FFFFFF" w:themeColor="background1"/>
                <w:lang w:eastAsia="fr-FR"/>
              </w:rPr>
              <w:t>2.</w:t>
            </w:r>
          </w:p>
        </w:tc>
        <w:tc>
          <w:tcPr>
            <w:tcW w:w="2610" w:type="dxa"/>
            <w:tcBorders>
              <w:top w:val="nil"/>
              <w:left w:val="nil"/>
              <w:bottom w:val="single" w:sz="4" w:space="0" w:color="auto"/>
              <w:right w:val="single" w:sz="4" w:space="0" w:color="auto"/>
            </w:tcBorders>
            <w:shd w:val="clear" w:color="000000" w:fill="3366FF"/>
            <w:vAlign w:val="center"/>
            <w:hideMark/>
          </w:tcPr>
          <w:p w14:paraId="6A99BF2D" w14:textId="77777777" w:rsidR="00064A32" w:rsidRPr="00F959B5" w:rsidRDefault="00064A32" w:rsidP="00D51245">
            <w:pPr>
              <w:spacing w:line="240" w:lineRule="auto"/>
              <w:rPr>
                <w:rFonts w:ascii="Calibri" w:eastAsia="Times New Roman" w:hAnsi="Calibri" w:cs="Calibri"/>
                <w:b/>
                <w:bCs/>
                <w:color w:val="FFFFFF" w:themeColor="background1"/>
                <w:lang w:eastAsia="fr-FR"/>
              </w:rPr>
            </w:pPr>
            <w:r w:rsidRPr="00F959B5">
              <w:rPr>
                <w:rFonts w:ascii="Calibri" w:eastAsia="Times New Roman" w:hAnsi="Calibri" w:cs="Calibri"/>
                <w:b/>
                <w:bCs/>
                <w:color w:val="FFFFFF" w:themeColor="background1"/>
                <w:lang w:eastAsia="fr-FR"/>
              </w:rPr>
              <w:t>Pays-Bas</w:t>
            </w:r>
          </w:p>
        </w:tc>
        <w:tc>
          <w:tcPr>
            <w:tcW w:w="2306" w:type="dxa"/>
            <w:tcBorders>
              <w:top w:val="nil"/>
              <w:left w:val="nil"/>
              <w:bottom w:val="single" w:sz="4" w:space="0" w:color="auto"/>
              <w:right w:val="single" w:sz="4" w:space="0" w:color="auto"/>
            </w:tcBorders>
            <w:shd w:val="clear" w:color="auto" w:fill="auto"/>
            <w:vAlign w:val="center"/>
            <w:hideMark/>
          </w:tcPr>
          <w:p w14:paraId="27480E12" w14:textId="77777777" w:rsidR="00064A32" w:rsidRPr="00F959B5" w:rsidRDefault="00064A32"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62,7</w:t>
            </w:r>
          </w:p>
        </w:tc>
        <w:tc>
          <w:tcPr>
            <w:tcW w:w="2203" w:type="dxa"/>
            <w:tcBorders>
              <w:top w:val="nil"/>
              <w:left w:val="nil"/>
              <w:bottom w:val="single" w:sz="4" w:space="0" w:color="auto"/>
              <w:right w:val="single" w:sz="4" w:space="0" w:color="auto"/>
            </w:tcBorders>
            <w:shd w:val="clear" w:color="auto" w:fill="auto"/>
            <w:noWrap/>
            <w:vAlign w:val="center"/>
            <w:hideMark/>
          </w:tcPr>
          <w:p w14:paraId="12509186" w14:textId="77777777" w:rsidR="00064A32" w:rsidRPr="00F959B5" w:rsidRDefault="00064A32"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49</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37EB7202" w14:textId="77777777" w:rsidR="00064A32" w:rsidRPr="00F959B5" w:rsidRDefault="00064A32" w:rsidP="00D51245">
            <w:pPr>
              <w:spacing w:line="240" w:lineRule="auto"/>
              <w:jc w:val="center"/>
              <w:rPr>
                <w:rFonts w:ascii="Calibri" w:eastAsia="Times New Roman" w:hAnsi="Calibri" w:cs="Calibri"/>
                <w:lang w:eastAsia="fr-FR"/>
              </w:rPr>
            </w:pPr>
            <w:r w:rsidRPr="00F959B5">
              <w:rPr>
                <w:rFonts w:ascii="Calibri" w:eastAsia="Times New Roman" w:hAnsi="Calibri" w:cs="Calibri"/>
                <w:lang w:eastAsia="fr-FR"/>
              </w:rPr>
              <w:t>1</w:t>
            </w:r>
            <w:r>
              <w:rPr>
                <w:rFonts w:ascii="Calibri" w:eastAsia="Times New Roman" w:hAnsi="Calibri" w:cs="Calibri"/>
                <w:lang w:eastAsia="fr-FR"/>
              </w:rPr>
              <w:t>3,5</w:t>
            </w:r>
          </w:p>
        </w:tc>
      </w:tr>
      <w:tr w:rsidR="00064A32" w:rsidRPr="00F959B5" w14:paraId="44D5C2FE" w14:textId="77777777" w:rsidTr="00D51245">
        <w:trPr>
          <w:trHeight w:val="783"/>
          <w:jc w:val="center"/>
        </w:trPr>
        <w:tc>
          <w:tcPr>
            <w:tcW w:w="450" w:type="dxa"/>
            <w:tcBorders>
              <w:top w:val="nil"/>
              <w:left w:val="single" w:sz="12" w:space="0" w:color="auto"/>
              <w:bottom w:val="single" w:sz="4" w:space="0" w:color="auto"/>
              <w:right w:val="single" w:sz="4" w:space="0" w:color="auto"/>
            </w:tcBorders>
            <w:shd w:val="clear" w:color="000000" w:fill="3366FF"/>
            <w:vAlign w:val="center"/>
            <w:hideMark/>
          </w:tcPr>
          <w:p w14:paraId="2C7CB1E0" w14:textId="77777777" w:rsidR="00064A32" w:rsidRPr="00F959B5" w:rsidRDefault="00064A32" w:rsidP="00D51245">
            <w:pPr>
              <w:spacing w:line="240" w:lineRule="auto"/>
              <w:jc w:val="center"/>
              <w:rPr>
                <w:rFonts w:ascii="Calibri" w:eastAsia="Times New Roman" w:hAnsi="Calibri" w:cs="Calibri"/>
                <w:b/>
                <w:bCs/>
                <w:color w:val="C00000"/>
                <w:lang w:eastAsia="fr-FR"/>
              </w:rPr>
            </w:pPr>
            <w:r w:rsidRPr="00F959B5">
              <w:rPr>
                <w:rFonts w:ascii="Calibri" w:eastAsia="Times New Roman" w:hAnsi="Calibri" w:cs="Calibri"/>
                <w:b/>
                <w:bCs/>
                <w:color w:val="C00000"/>
                <w:lang w:eastAsia="fr-FR"/>
              </w:rPr>
              <w:t>3.</w:t>
            </w:r>
          </w:p>
        </w:tc>
        <w:tc>
          <w:tcPr>
            <w:tcW w:w="2610" w:type="dxa"/>
            <w:tcBorders>
              <w:top w:val="nil"/>
              <w:left w:val="nil"/>
              <w:bottom w:val="single" w:sz="4" w:space="0" w:color="auto"/>
              <w:right w:val="single" w:sz="4" w:space="0" w:color="auto"/>
            </w:tcBorders>
            <w:shd w:val="clear" w:color="000000" w:fill="3366FF"/>
            <w:vAlign w:val="center"/>
            <w:hideMark/>
          </w:tcPr>
          <w:p w14:paraId="46C09CDD" w14:textId="77777777" w:rsidR="00064A32" w:rsidRPr="00F959B5" w:rsidRDefault="00064A32" w:rsidP="00D51245">
            <w:pPr>
              <w:spacing w:line="240" w:lineRule="auto"/>
              <w:rPr>
                <w:rFonts w:ascii="Calibri" w:eastAsia="Times New Roman" w:hAnsi="Calibri" w:cs="Calibri"/>
                <w:b/>
                <w:bCs/>
                <w:color w:val="C00000"/>
                <w:lang w:eastAsia="fr-FR"/>
              </w:rPr>
            </w:pPr>
            <w:r w:rsidRPr="00F959B5">
              <w:rPr>
                <w:rFonts w:ascii="Calibri" w:eastAsia="Times New Roman" w:hAnsi="Calibri" w:cs="Calibri"/>
                <w:b/>
                <w:bCs/>
                <w:color w:val="C00000"/>
                <w:lang w:eastAsia="fr-FR"/>
              </w:rPr>
              <w:t>France</w:t>
            </w:r>
          </w:p>
        </w:tc>
        <w:tc>
          <w:tcPr>
            <w:tcW w:w="2306" w:type="dxa"/>
            <w:tcBorders>
              <w:top w:val="nil"/>
              <w:left w:val="nil"/>
              <w:bottom w:val="single" w:sz="4" w:space="0" w:color="auto"/>
              <w:right w:val="single" w:sz="4" w:space="0" w:color="auto"/>
            </w:tcBorders>
            <w:shd w:val="clear" w:color="auto" w:fill="auto"/>
            <w:vAlign w:val="center"/>
            <w:hideMark/>
          </w:tcPr>
          <w:p w14:paraId="664EB6DB" w14:textId="77777777" w:rsidR="00064A32" w:rsidRPr="00F959B5"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55,1</w:t>
            </w:r>
          </w:p>
        </w:tc>
        <w:tc>
          <w:tcPr>
            <w:tcW w:w="2203" w:type="dxa"/>
            <w:tcBorders>
              <w:top w:val="nil"/>
              <w:left w:val="nil"/>
              <w:bottom w:val="single" w:sz="4" w:space="0" w:color="auto"/>
              <w:right w:val="single" w:sz="4" w:space="0" w:color="auto"/>
            </w:tcBorders>
            <w:shd w:val="clear" w:color="auto" w:fill="auto"/>
            <w:noWrap/>
            <w:vAlign w:val="center"/>
            <w:hideMark/>
          </w:tcPr>
          <w:p w14:paraId="74C9D0F6" w14:textId="77777777" w:rsidR="00064A32" w:rsidRPr="00F959B5" w:rsidRDefault="00064A32"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46,1</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7D6272A9" w14:textId="77777777" w:rsidR="00064A32" w:rsidRPr="00F959B5" w:rsidRDefault="00064A32" w:rsidP="00D51245">
            <w:pPr>
              <w:spacing w:line="240" w:lineRule="auto"/>
              <w:jc w:val="center"/>
              <w:rPr>
                <w:rFonts w:ascii="Calibri" w:eastAsia="Times New Roman" w:hAnsi="Calibri" w:cs="Calibri"/>
                <w:color w:val="C00000"/>
                <w:lang w:eastAsia="fr-FR"/>
              </w:rPr>
            </w:pPr>
            <w:r w:rsidRPr="00F959B5">
              <w:rPr>
                <w:rFonts w:ascii="Calibri" w:eastAsia="Times New Roman" w:hAnsi="Calibri" w:cs="Calibri"/>
                <w:color w:val="C00000"/>
                <w:lang w:eastAsia="fr-FR"/>
              </w:rPr>
              <w:t>12,</w:t>
            </w:r>
            <w:r>
              <w:rPr>
                <w:rFonts w:ascii="Calibri" w:eastAsia="Times New Roman" w:hAnsi="Calibri" w:cs="Calibri"/>
                <w:color w:val="C00000"/>
                <w:lang w:eastAsia="fr-FR"/>
              </w:rPr>
              <w:t>7</w:t>
            </w:r>
          </w:p>
        </w:tc>
      </w:tr>
      <w:tr w:rsidR="00064A32" w:rsidRPr="00F959B5" w14:paraId="61782A36" w14:textId="77777777" w:rsidTr="00D51245">
        <w:trPr>
          <w:trHeight w:val="783"/>
          <w:jc w:val="center"/>
        </w:trPr>
        <w:tc>
          <w:tcPr>
            <w:tcW w:w="450" w:type="dxa"/>
            <w:tcBorders>
              <w:top w:val="nil"/>
              <w:left w:val="single" w:sz="12" w:space="0" w:color="auto"/>
              <w:bottom w:val="single" w:sz="4" w:space="0" w:color="auto"/>
              <w:right w:val="single" w:sz="4" w:space="0" w:color="auto"/>
            </w:tcBorders>
            <w:shd w:val="clear" w:color="000000" w:fill="3366FF"/>
            <w:vAlign w:val="center"/>
            <w:hideMark/>
          </w:tcPr>
          <w:p w14:paraId="57A65F04" w14:textId="77777777"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4.</w:t>
            </w:r>
          </w:p>
        </w:tc>
        <w:tc>
          <w:tcPr>
            <w:tcW w:w="2610" w:type="dxa"/>
            <w:tcBorders>
              <w:top w:val="nil"/>
              <w:left w:val="nil"/>
              <w:bottom w:val="single" w:sz="4" w:space="0" w:color="auto"/>
              <w:right w:val="single" w:sz="4" w:space="0" w:color="auto"/>
            </w:tcBorders>
            <w:shd w:val="clear" w:color="000000" w:fill="3366FF"/>
            <w:vAlign w:val="center"/>
            <w:hideMark/>
          </w:tcPr>
          <w:p w14:paraId="24980701" w14:textId="77777777" w:rsidR="00064A32" w:rsidRPr="00F959B5" w:rsidRDefault="00064A32" w:rsidP="00D51245">
            <w:pPr>
              <w:spacing w:line="240" w:lineRule="auto"/>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Etats-Unis</w:t>
            </w:r>
          </w:p>
        </w:tc>
        <w:tc>
          <w:tcPr>
            <w:tcW w:w="2306" w:type="dxa"/>
            <w:tcBorders>
              <w:top w:val="nil"/>
              <w:left w:val="nil"/>
              <w:bottom w:val="single" w:sz="4" w:space="0" w:color="auto"/>
              <w:right w:val="single" w:sz="4" w:space="0" w:color="auto"/>
            </w:tcBorders>
            <w:shd w:val="clear" w:color="auto" w:fill="auto"/>
            <w:vAlign w:val="center"/>
            <w:hideMark/>
          </w:tcPr>
          <w:p w14:paraId="77517013" w14:textId="77777777" w:rsidR="00064A32" w:rsidRPr="00F959B5" w:rsidRDefault="00064A32" w:rsidP="00D51245">
            <w:pPr>
              <w:spacing w:line="240" w:lineRule="auto"/>
              <w:jc w:val="center"/>
              <w:rPr>
                <w:rFonts w:ascii="Calibri" w:eastAsia="Times New Roman" w:hAnsi="Calibri" w:cs="Calibri"/>
                <w:color w:val="000000"/>
                <w:lang w:eastAsia="fr-FR"/>
              </w:rPr>
            </w:pPr>
            <w:r w:rsidRPr="00F959B5">
              <w:rPr>
                <w:rFonts w:ascii="Calibri" w:eastAsia="Times New Roman" w:hAnsi="Calibri" w:cs="Calibri"/>
                <w:color w:val="000000"/>
                <w:lang w:eastAsia="fr-FR"/>
              </w:rPr>
              <w:t>2</w:t>
            </w:r>
            <w:r>
              <w:rPr>
                <w:rFonts w:ascii="Calibri" w:eastAsia="Times New Roman" w:hAnsi="Calibri" w:cs="Calibri"/>
                <w:color w:val="000000"/>
                <w:lang w:eastAsia="fr-FR"/>
              </w:rPr>
              <w:t>9,7</w:t>
            </w:r>
          </w:p>
        </w:tc>
        <w:tc>
          <w:tcPr>
            <w:tcW w:w="2203" w:type="dxa"/>
            <w:tcBorders>
              <w:top w:val="nil"/>
              <w:left w:val="nil"/>
              <w:bottom w:val="single" w:sz="4" w:space="0" w:color="auto"/>
              <w:right w:val="single" w:sz="4" w:space="0" w:color="auto"/>
            </w:tcBorders>
            <w:shd w:val="clear" w:color="auto" w:fill="auto"/>
            <w:noWrap/>
            <w:vAlign w:val="center"/>
            <w:hideMark/>
          </w:tcPr>
          <w:p w14:paraId="0A458A62"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25,7</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28DA8049"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7</w:t>
            </w:r>
          </w:p>
        </w:tc>
      </w:tr>
      <w:tr w:rsidR="00064A32" w:rsidRPr="00F959B5" w14:paraId="1D0308F8" w14:textId="77777777" w:rsidTr="00D51245">
        <w:trPr>
          <w:trHeight w:val="783"/>
          <w:jc w:val="center"/>
        </w:trPr>
        <w:tc>
          <w:tcPr>
            <w:tcW w:w="450" w:type="dxa"/>
            <w:tcBorders>
              <w:top w:val="nil"/>
              <w:left w:val="single" w:sz="12" w:space="0" w:color="auto"/>
              <w:bottom w:val="single" w:sz="4" w:space="0" w:color="auto"/>
              <w:right w:val="single" w:sz="4" w:space="0" w:color="auto"/>
            </w:tcBorders>
            <w:shd w:val="clear" w:color="000000" w:fill="3366FF"/>
            <w:vAlign w:val="center"/>
            <w:hideMark/>
          </w:tcPr>
          <w:p w14:paraId="59F85493" w14:textId="77777777" w:rsidR="00064A32" w:rsidRPr="00F959B5" w:rsidRDefault="00064A32" w:rsidP="00D51245">
            <w:pPr>
              <w:spacing w:line="240" w:lineRule="auto"/>
              <w:jc w:val="center"/>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5.</w:t>
            </w:r>
          </w:p>
        </w:tc>
        <w:tc>
          <w:tcPr>
            <w:tcW w:w="2610" w:type="dxa"/>
            <w:tcBorders>
              <w:top w:val="nil"/>
              <w:left w:val="nil"/>
              <w:bottom w:val="single" w:sz="4" w:space="0" w:color="auto"/>
              <w:right w:val="single" w:sz="4" w:space="0" w:color="auto"/>
            </w:tcBorders>
            <w:shd w:val="clear" w:color="000000" w:fill="3366FF"/>
            <w:vAlign w:val="center"/>
            <w:hideMark/>
          </w:tcPr>
          <w:p w14:paraId="26D16804" w14:textId="77777777" w:rsidR="00064A32" w:rsidRPr="00F959B5" w:rsidRDefault="00064A32" w:rsidP="00D51245">
            <w:pPr>
              <w:spacing w:line="240" w:lineRule="auto"/>
              <w:rPr>
                <w:rFonts w:ascii="Calibri" w:eastAsia="Times New Roman" w:hAnsi="Calibri" w:cs="Calibri"/>
                <w:b/>
                <w:bCs/>
                <w:color w:val="FFFFFF"/>
                <w:lang w:eastAsia="fr-FR"/>
              </w:rPr>
            </w:pPr>
            <w:r w:rsidRPr="00F959B5">
              <w:rPr>
                <w:rFonts w:ascii="Calibri" w:eastAsia="Times New Roman" w:hAnsi="Calibri" w:cs="Calibri"/>
                <w:b/>
                <w:bCs/>
                <w:color w:val="FFFFFF"/>
                <w:lang w:eastAsia="fr-FR"/>
              </w:rPr>
              <w:t>Royaume-Uni</w:t>
            </w:r>
          </w:p>
        </w:tc>
        <w:tc>
          <w:tcPr>
            <w:tcW w:w="2306" w:type="dxa"/>
            <w:tcBorders>
              <w:top w:val="nil"/>
              <w:left w:val="nil"/>
              <w:bottom w:val="single" w:sz="4" w:space="0" w:color="auto"/>
              <w:right w:val="single" w:sz="4" w:space="0" w:color="auto"/>
            </w:tcBorders>
            <w:shd w:val="clear" w:color="auto" w:fill="auto"/>
            <w:vAlign w:val="center"/>
            <w:hideMark/>
          </w:tcPr>
          <w:p w14:paraId="4A902869"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22,5</w:t>
            </w:r>
          </w:p>
        </w:tc>
        <w:tc>
          <w:tcPr>
            <w:tcW w:w="2203" w:type="dxa"/>
            <w:tcBorders>
              <w:top w:val="nil"/>
              <w:left w:val="nil"/>
              <w:bottom w:val="single" w:sz="4" w:space="0" w:color="auto"/>
              <w:right w:val="single" w:sz="4" w:space="0" w:color="auto"/>
            </w:tcBorders>
            <w:shd w:val="clear" w:color="auto" w:fill="auto"/>
            <w:noWrap/>
            <w:vAlign w:val="center"/>
            <w:hideMark/>
          </w:tcPr>
          <w:p w14:paraId="176B1E83" w14:textId="77777777" w:rsidR="00064A32" w:rsidRPr="00F959B5" w:rsidRDefault="00064A32"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21,6</w:t>
            </w:r>
          </w:p>
        </w:tc>
        <w:tc>
          <w:tcPr>
            <w:tcW w:w="2613" w:type="dxa"/>
            <w:tcBorders>
              <w:top w:val="single" w:sz="4" w:space="0" w:color="auto"/>
              <w:left w:val="nil"/>
              <w:bottom w:val="single" w:sz="4" w:space="0" w:color="auto"/>
              <w:right w:val="single" w:sz="4" w:space="0" w:color="auto"/>
            </w:tcBorders>
            <w:shd w:val="clear" w:color="auto" w:fill="auto"/>
            <w:noWrap/>
            <w:vAlign w:val="center"/>
            <w:hideMark/>
          </w:tcPr>
          <w:p w14:paraId="037E3D51" w14:textId="77777777" w:rsidR="00064A32" w:rsidRPr="00F959B5" w:rsidRDefault="00064A32" w:rsidP="00D51245">
            <w:pPr>
              <w:spacing w:line="240" w:lineRule="auto"/>
              <w:jc w:val="center"/>
              <w:rPr>
                <w:rFonts w:ascii="Calibri" w:eastAsia="Times New Roman" w:hAnsi="Calibri" w:cs="Calibri"/>
                <w:color w:val="000000"/>
                <w:lang w:eastAsia="fr-FR"/>
              </w:rPr>
            </w:pPr>
            <w:r w:rsidRPr="00F959B5">
              <w:rPr>
                <w:rFonts w:ascii="Calibri" w:eastAsia="Times New Roman" w:hAnsi="Calibri" w:cs="Calibri"/>
                <w:color w:val="000000"/>
                <w:lang w:eastAsia="fr-FR"/>
              </w:rPr>
              <w:t>5</w:t>
            </w:r>
            <w:r>
              <w:rPr>
                <w:rFonts w:ascii="Calibri" w:eastAsia="Times New Roman" w:hAnsi="Calibri" w:cs="Calibri"/>
                <w:color w:val="000000"/>
                <w:lang w:eastAsia="fr-FR"/>
              </w:rPr>
              <w:t>,9</w:t>
            </w:r>
          </w:p>
        </w:tc>
      </w:tr>
      <w:tr w:rsidR="00064A32" w:rsidRPr="00F959B5" w14:paraId="24DB887F" w14:textId="77777777" w:rsidTr="00D51245">
        <w:trPr>
          <w:trHeight w:val="411"/>
          <w:jc w:val="center"/>
        </w:trPr>
        <w:tc>
          <w:tcPr>
            <w:tcW w:w="450" w:type="dxa"/>
            <w:tcBorders>
              <w:top w:val="nil"/>
              <w:left w:val="nil"/>
              <w:bottom w:val="nil"/>
              <w:right w:val="nil"/>
            </w:tcBorders>
            <w:shd w:val="clear" w:color="auto" w:fill="auto"/>
            <w:noWrap/>
            <w:vAlign w:val="center"/>
            <w:hideMark/>
          </w:tcPr>
          <w:p w14:paraId="187BE2F2" w14:textId="77777777" w:rsidR="00064A32" w:rsidRPr="00F959B5" w:rsidRDefault="00064A32" w:rsidP="00D51245">
            <w:pPr>
              <w:spacing w:line="240" w:lineRule="auto"/>
              <w:jc w:val="center"/>
              <w:rPr>
                <w:rFonts w:ascii="Calibri" w:eastAsia="Times New Roman" w:hAnsi="Calibri" w:cs="Calibri"/>
                <w:color w:val="000000"/>
                <w:lang w:eastAsia="fr-FR"/>
              </w:rPr>
            </w:pPr>
          </w:p>
        </w:tc>
        <w:tc>
          <w:tcPr>
            <w:tcW w:w="2610" w:type="dxa"/>
            <w:tcBorders>
              <w:top w:val="nil"/>
              <w:left w:val="nil"/>
              <w:bottom w:val="nil"/>
              <w:right w:val="nil"/>
            </w:tcBorders>
            <w:shd w:val="clear" w:color="auto" w:fill="auto"/>
            <w:vAlign w:val="bottom"/>
            <w:hideMark/>
          </w:tcPr>
          <w:p w14:paraId="63BE1103" w14:textId="77777777" w:rsidR="00064A32" w:rsidRPr="00F959B5" w:rsidRDefault="00064A32" w:rsidP="00D51245">
            <w:pPr>
              <w:spacing w:line="240" w:lineRule="auto"/>
              <w:jc w:val="center"/>
              <w:rPr>
                <w:rFonts w:ascii="Times New Roman" w:eastAsia="Times New Roman" w:hAnsi="Times New Roman" w:cs="Times New Roman"/>
                <w:sz w:val="20"/>
                <w:szCs w:val="20"/>
                <w:lang w:eastAsia="fr-FR"/>
              </w:rPr>
            </w:pPr>
          </w:p>
        </w:tc>
        <w:tc>
          <w:tcPr>
            <w:tcW w:w="2306" w:type="dxa"/>
            <w:tcBorders>
              <w:top w:val="nil"/>
              <w:left w:val="nil"/>
              <w:bottom w:val="nil"/>
              <w:right w:val="nil"/>
            </w:tcBorders>
            <w:shd w:val="clear" w:color="auto" w:fill="auto"/>
            <w:vAlign w:val="center"/>
            <w:hideMark/>
          </w:tcPr>
          <w:p w14:paraId="0D9F9BA6" w14:textId="77777777" w:rsidR="00064A32" w:rsidRPr="00F959B5" w:rsidRDefault="00064A32" w:rsidP="00D51245">
            <w:pPr>
              <w:spacing w:line="240" w:lineRule="auto"/>
              <w:rPr>
                <w:rFonts w:ascii="Times New Roman" w:eastAsia="Times New Roman" w:hAnsi="Times New Roman" w:cs="Times New Roman"/>
                <w:sz w:val="20"/>
                <w:szCs w:val="20"/>
                <w:lang w:eastAsia="fr-FR"/>
              </w:rPr>
            </w:pPr>
          </w:p>
        </w:tc>
        <w:tc>
          <w:tcPr>
            <w:tcW w:w="2203" w:type="dxa"/>
            <w:tcBorders>
              <w:top w:val="nil"/>
              <w:left w:val="nil"/>
              <w:bottom w:val="nil"/>
              <w:right w:val="nil"/>
            </w:tcBorders>
            <w:shd w:val="clear" w:color="auto" w:fill="auto"/>
            <w:noWrap/>
            <w:vAlign w:val="center"/>
            <w:hideMark/>
          </w:tcPr>
          <w:p w14:paraId="3F22F6F0" w14:textId="77777777" w:rsidR="00064A32" w:rsidRPr="00F959B5" w:rsidRDefault="00064A32" w:rsidP="00D51245">
            <w:pPr>
              <w:spacing w:line="240" w:lineRule="auto"/>
              <w:jc w:val="center"/>
              <w:rPr>
                <w:rFonts w:ascii="Times New Roman" w:eastAsia="Times New Roman" w:hAnsi="Times New Roman" w:cs="Times New Roman"/>
                <w:sz w:val="20"/>
                <w:szCs w:val="20"/>
                <w:lang w:eastAsia="fr-FR"/>
              </w:rPr>
            </w:pPr>
          </w:p>
        </w:tc>
        <w:tc>
          <w:tcPr>
            <w:tcW w:w="2613" w:type="dxa"/>
            <w:tcBorders>
              <w:top w:val="single" w:sz="4" w:space="0" w:color="auto"/>
              <w:left w:val="nil"/>
              <w:bottom w:val="nil"/>
              <w:right w:val="nil"/>
            </w:tcBorders>
            <w:shd w:val="clear" w:color="auto" w:fill="auto"/>
            <w:noWrap/>
            <w:vAlign w:val="center"/>
            <w:hideMark/>
          </w:tcPr>
          <w:p w14:paraId="3B68218A" w14:textId="77777777" w:rsidR="00064A32" w:rsidRPr="00F959B5" w:rsidRDefault="00064A32" w:rsidP="00D51245">
            <w:pPr>
              <w:spacing w:line="240" w:lineRule="auto"/>
              <w:jc w:val="center"/>
              <w:rPr>
                <w:rFonts w:ascii="Calibri" w:eastAsia="Times New Roman" w:hAnsi="Calibri" w:cs="Calibri"/>
                <w:color w:val="000000"/>
                <w:lang w:eastAsia="fr-FR"/>
              </w:rPr>
            </w:pPr>
            <w:r w:rsidRPr="00F959B5">
              <w:rPr>
                <w:rFonts w:ascii="Calibri" w:eastAsia="Times New Roman" w:hAnsi="Calibri" w:cs="Calibri"/>
                <w:color w:val="000000"/>
                <w:lang w:eastAsia="fr-FR"/>
              </w:rPr>
              <w:t> </w:t>
            </w:r>
          </w:p>
        </w:tc>
      </w:tr>
    </w:tbl>
    <w:p w14:paraId="29103A3E" w14:textId="15B78ACD" w:rsidR="00064A32" w:rsidRPr="001B2089" w:rsidRDefault="00064A32" w:rsidP="00064A32">
      <w:pPr>
        <w:jc w:val="center"/>
        <w:rPr>
          <w:rFonts w:ascii="Segoe UI" w:hAnsi="Segoe UI" w:cs="Segoe UI"/>
          <w:b/>
          <w:szCs w:val="24"/>
        </w:rPr>
      </w:pPr>
      <w:r>
        <w:rPr>
          <w:rFonts w:ascii="Calibri" w:eastAsia="Times New Roman" w:hAnsi="Calibri" w:cs="Calibri"/>
          <w:i/>
          <w:iCs/>
          <w:color w:val="000000"/>
          <w:lang w:eastAsia="fr-FR"/>
        </w:rPr>
        <w:t>S</w:t>
      </w:r>
      <w:r w:rsidRPr="001B2089">
        <w:rPr>
          <w:rFonts w:ascii="Calibri" w:eastAsia="Times New Roman" w:hAnsi="Calibri" w:cs="Calibri"/>
          <w:i/>
          <w:iCs/>
          <w:color w:val="000000"/>
          <w:lang w:eastAsia="fr-FR"/>
        </w:rPr>
        <w:t xml:space="preserve">ource : Banque nationale de Belgique ; </w:t>
      </w:r>
      <w:r>
        <w:rPr>
          <w:rFonts w:ascii="Calibri" w:eastAsia="Times New Roman" w:hAnsi="Calibri" w:cs="Calibri"/>
          <w:i/>
          <w:iCs/>
          <w:color w:val="000000"/>
          <w:lang w:eastAsia="fr-FR"/>
        </w:rPr>
        <w:t>calculs</w:t>
      </w:r>
      <w:r w:rsidRPr="001B2089">
        <w:rPr>
          <w:rFonts w:ascii="Calibri" w:eastAsia="Times New Roman" w:hAnsi="Calibri" w:cs="Calibri"/>
          <w:i/>
          <w:iCs/>
          <w:color w:val="000000"/>
          <w:lang w:eastAsia="fr-FR"/>
        </w:rPr>
        <w:t xml:space="preserve"> : SE de Bruxelles</w:t>
      </w:r>
    </w:p>
    <w:p w14:paraId="305595A9" w14:textId="2592627B" w:rsidR="00064A32" w:rsidRDefault="00064A32" w:rsidP="00F867DF">
      <w:pPr>
        <w:spacing w:line="240" w:lineRule="auto"/>
        <w:jc w:val="center"/>
        <w:rPr>
          <w:rStyle w:val="Rfrenceintense"/>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7696" behindDoc="1" locked="0" layoutInCell="1" allowOverlap="1" wp14:anchorId="4FB11425" wp14:editId="67AF0608">
                <wp:simplePos x="0" y="0"/>
                <wp:positionH relativeFrom="page">
                  <wp:posOffset>18346</wp:posOffset>
                </wp:positionH>
                <wp:positionV relativeFrom="paragraph">
                  <wp:posOffset>-438579</wp:posOffset>
                </wp:positionV>
                <wp:extent cx="7543800" cy="10677525"/>
                <wp:effectExtent l="0" t="0" r="0" b="9525"/>
                <wp:wrapNone/>
                <wp:docPr id="16" name="Rectangle 16"/>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5CAB2F" id="Rectangle 16" o:spid="_x0000_s1026" style="position:absolute;margin-left:1.45pt;margin-top:-34.55pt;width:594pt;height:840.75pt;z-index:-2516387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T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" fillcolor="#fef8e8" stroked="f" strokeweight="1pt">
                <w10:wrap anchorx="page"/>
              </v:rect>
            </w:pict>
          </mc:Fallback>
        </mc:AlternateContent>
      </w:r>
      <w:r w:rsidR="0088171A">
        <w:rPr>
          <w:rStyle w:val="Rfrenceintense"/>
        </w:rPr>
        <w:t xml:space="preserve">ANNEXE 10 : </w:t>
      </w:r>
      <w:r w:rsidR="0088171A" w:rsidRPr="0088171A">
        <w:rPr>
          <w:rStyle w:val="Rfrenceintense"/>
        </w:rPr>
        <w:t>Rang des principaux fournisseurs de la Belgique en 2023 (en Md€, échanges de biens) - concept national</w:t>
      </w:r>
    </w:p>
    <w:tbl>
      <w:tblPr>
        <w:tblW w:w="9804" w:type="dxa"/>
        <w:jc w:val="center"/>
        <w:tblCellMar>
          <w:left w:w="70" w:type="dxa"/>
          <w:right w:w="70" w:type="dxa"/>
        </w:tblCellMar>
        <w:tblLook w:val="04A0" w:firstRow="1" w:lastRow="0" w:firstColumn="1" w:lastColumn="0" w:noHBand="0" w:noVBand="1"/>
      </w:tblPr>
      <w:tblGrid>
        <w:gridCol w:w="443"/>
        <w:gridCol w:w="2417"/>
        <w:gridCol w:w="2049"/>
        <w:gridCol w:w="2441"/>
        <w:gridCol w:w="13"/>
        <w:gridCol w:w="2428"/>
        <w:gridCol w:w="13"/>
      </w:tblGrid>
      <w:tr w:rsidR="0088171A" w:rsidRPr="00AB03ED" w14:paraId="1B8CF199" w14:textId="77777777" w:rsidTr="00D51245">
        <w:trPr>
          <w:gridAfter w:val="1"/>
          <w:wAfter w:w="13" w:type="dxa"/>
          <w:trHeight w:val="1389"/>
          <w:jc w:val="center"/>
        </w:trPr>
        <w:tc>
          <w:tcPr>
            <w:tcW w:w="443" w:type="dxa"/>
            <w:tcBorders>
              <w:top w:val="nil"/>
              <w:left w:val="nil"/>
              <w:bottom w:val="nil"/>
              <w:right w:val="nil"/>
            </w:tcBorders>
            <w:shd w:val="clear" w:color="auto" w:fill="auto"/>
            <w:vAlign w:val="center"/>
            <w:hideMark/>
          </w:tcPr>
          <w:p w14:paraId="472CC63E" w14:textId="77777777" w:rsidR="0088171A" w:rsidRPr="00AB03ED" w:rsidRDefault="0088171A" w:rsidP="00D51245">
            <w:pPr>
              <w:spacing w:line="240" w:lineRule="auto"/>
              <w:jc w:val="center"/>
              <w:rPr>
                <w:rFonts w:ascii="Times New Roman" w:eastAsia="Times New Roman" w:hAnsi="Times New Roman" w:cs="Times New Roman"/>
                <w:sz w:val="20"/>
                <w:szCs w:val="20"/>
                <w:lang w:eastAsia="fr-FR"/>
              </w:rPr>
            </w:pPr>
          </w:p>
        </w:tc>
        <w:tc>
          <w:tcPr>
            <w:tcW w:w="2417" w:type="dxa"/>
            <w:tcBorders>
              <w:top w:val="nil"/>
              <w:left w:val="nil"/>
              <w:bottom w:val="single" w:sz="12" w:space="0" w:color="auto"/>
              <w:right w:val="single" w:sz="12" w:space="0" w:color="auto"/>
            </w:tcBorders>
            <w:shd w:val="clear" w:color="auto" w:fill="auto"/>
            <w:vAlign w:val="bottom"/>
            <w:hideMark/>
          </w:tcPr>
          <w:p w14:paraId="1BBE2433" w14:textId="77777777" w:rsidR="0088171A" w:rsidRPr="00AB03ED" w:rsidRDefault="0088171A"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 </w:t>
            </w:r>
          </w:p>
        </w:tc>
        <w:tc>
          <w:tcPr>
            <w:tcW w:w="2049" w:type="dxa"/>
            <w:tcBorders>
              <w:top w:val="single" w:sz="12" w:space="0" w:color="auto"/>
              <w:left w:val="single" w:sz="4" w:space="0" w:color="auto"/>
              <w:bottom w:val="single" w:sz="4" w:space="0" w:color="auto"/>
              <w:right w:val="single" w:sz="4" w:space="0" w:color="auto"/>
            </w:tcBorders>
            <w:shd w:val="clear" w:color="000000" w:fill="3366FF"/>
            <w:noWrap/>
            <w:vAlign w:val="center"/>
            <w:hideMark/>
          </w:tcPr>
          <w:p w14:paraId="687F6CAD"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Importations 202</w:t>
            </w:r>
            <w:r>
              <w:rPr>
                <w:rFonts w:ascii="Calibri" w:eastAsia="Times New Roman" w:hAnsi="Calibri" w:cs="Calibri"/>
                <w:b/>
                <w:bCs/>
                <w:color w:val="FFFFFF"/>
                <w:lang w:eastAsia="fr-FR"/>
              </w:rPr>
              <w:t>2</w:t>
            </w:r>
          </w:p>
        </w:tc>
        <w:tc>
          <w:tcPr>
            <w:tcW w:w="2441" w:type="dxa"/>
            <w:tcBorders>
              <w:top w:val="single" w:sz="12" w:space="0" w:color="auto"/>
              <w:left w:val="nil"/>
              <w:bottom w:val="single" w:sz="4" w:space="0" w:color="auto"/>
              <w:right w:val="single" w:sz="4" w:space="0" w:color="auto"/>
            </w:tcBorders>
            <w:shd w:val="clear" w:color="000000" w:fill="3366FF"/>
            <w:noWrap/>
            <w:vAlign w:val="center"/>
            <w:hideMark/>
          </w:tcPr>
          <w:p w14:paraId="7B7912DE"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Importations 202</w:t>
            </w:r>
            <w:r>
              <w:rPr>
                <w:rFonts w:ascii="Calibri" w:eastAsia="Times New Roman" w:hAnsi="Calibri" w:cs="Calibri"/>
                <w:b/>
                <w:bCs/>
                <w:color w:val="FFFFFF"/>
                <w:lang w:eastAsia="fr-FR"/>
              </w:rPr>
              <w:t>3</w:t>
            </w:r>
          </w:p>
        </w:tc>
        <w:tc>
          <w:tcPr>
            <w:tcW w:w="2441" w:type="dxa"/>
            <w:gridSpan w:val="2"/>
            <w:tcBorders>
              <w:top w:val="single" w:sz="4" w:space="0" w:color="auto"/>
              <w:left w:val="nil"/>
              <w:bottom w:val="single" w:sz="4" w:space="0" w:color="auto"/>
              <w:right w:val="single" w:sz="4" w:space="0" w:color="auto"/>
            </w:tcBorders>
            <w:shd w:val="clear" w:color="000000" w:fill="3366FF"/>
            <w:vAlign w:val="center"/>
            <w:hideMark/>
          </w:tcPr>
          <w:p w14:paraId="6ED5CFAC"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Part dans les importations totales en 2022 (en %)</w:t>
            </w:r>
          </w:p>
        </w:tc>
      </w:tr>
      <w:tr w:rsidR="0088171A" w:rsidRPr="00AB03ED" w14:paraId="3B8B9CA9" w14:textId="77777777" w:rsidTr="00D51245">
        <w:trPr>
          <w:gridAfter w:val="1"/>
          <w:wAfter w:w="13" w:type="dxa"/>
          <w:trHeight w:val="918"/>
          <w:jc w:val="center"/>
        </w:trPr>
        <w:tc>
          <w:tcPr>
            <w:tcW w:w="443"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091D34A8"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1.</w:t>
            </w:r>
          </w:p>
        </w:tc>
        <w:tc>
          <w:tcPr>
            <w:tcW w:w="2417" w:type="dxa"/>
            <w:tcBorders>
              <w:top w:val="nil"/>
              <w:left w:val="nil"/>
              <w:bottom w:val="single" w:sz="4" w:space="0" w:color="auto"/>
              <w:right w:val="single" w:sz="4" w:space="0" w:color="auto"/>
            </w:tcBorders>
            <w:shd w:val="clear" w:color="000000" w:fill="3366FF"/>
            <w:vAlign w:val="center"/>
            <w:hideMark/>
          </w:tcPr>
          <w:p w14:paraId="4079BBBE" w14:textId="77777777" w:rsidR="0088171A" w:rsidRPr="00AB03ED" w:rsidRDefault="0088171A"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Pays-Bas</w:t>
            </w:r>
          </w:p>
        </w:tc>
        <w:tc>
          <w:tcPr>
            <w:tcW w:w="2049" w:type="dxa"/>
            <w:tcBorders>
              <w:top w:val="nil"/>
              <w:left w:val="nil"/>
              <w:bottom w:val="single" w:sz="4" w:space="0" w:color="auto"/>
              <w:right w:val="single" w:sz="4" w:space="0" w:color="auto"/>
            </w:tcBorders>
            <w:shd w:val="clear" w:color="auto" w:fill="auto"/>
            <w:vAlign w:val="center"/>
            <w:hideMark/>
          </w:tcPr>
          <w:p w14:paraId="19243008"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93,1</w:t>
            </w:r>
          </w:p>
        </w:tc>
        <w:tc>
          <w:tcPr>
            <w:tcW w:w="2441" w:type="dxa"/>
            <w:tcBorders>
              <w:top w:val="nil"/>
              <w:left w:val="nil"/>
              <w:bottom w:val="single" w:sz="4" w:space="0" w:color="auto"/>
              <w:right w:val="single" w:sz="4" w:space="0" w:color="auto"/>
            </w:tcBorders>
            <w:shd w:val="clear" w:color="auto" w:fill="auto"/>
            <w:noWrap/>
            <w:vAlign w:val="center"/>
            <w:hideMark/>
          </w:tcPr>
          <w:p w14:paraId="1C536BBD"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81,5</w:t>
            </w:r>
          </w:p>
        </w:tc>
        <w:tc>
          <w:tcPr>
            <w:tcW w:w="2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8FA6A" w14:textId="77777777" w:rsidR="0088171A" w:rsidRPr="00AB03ED" w:rsidRDefault="0088171A"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2</w:t>
            </w:r>
            <w:r>
              <w:rPr>
                <w:rFonts w:ascii="Calibri" w:eastAsia="Times New Roman" w:hAnsi="Calibri" w:cs="Calibri"/>
                <w:color w:val="000000"/>
                <w:lang w:eastAsia="fr-FR"/>
              </w:rPr>
              <w:t>1,2</w:t>
            </w:r>
          </w:p>
        </w:tc>
      </w:tr>
      <w:tr w:rsidR="0088171A" w:rsidRPr="00AB03ED" w14:paraId="14DA5C2F" w14:textId="77777777" w:rsidTr="00D51245">
        <w:trPr>
          <w:gridAfter w:val="1"/>
          <w:wAfter w:w="13" w:type="dxa"/>
          <w:trHeight w:val="896"/>
          <w:jc w:val="center"/>
        </w:trPr>
        <w:tc>
          <w:tcPr>
            <w:tcW w:w="443" w:type="dxa"/>
            <w:tcBorders>
              <w:top w:val="nil"/>
              <w:left w:val="single" w:sz="12" w:space="0" w:color="auto"/>
              <w:bottom w:val="single" w:sz="4" w:space="0" w:color="auto"/>
              <w:right w:val="single" w:sz="4" w:space="0" w:color="auto"/>
            </w:tcBorders>
            <w:shd w:val="clear" w:color="000000" w:fill="3366FF"/>
            <w:vAlign w:val="center"/>
            <w:hideMark/>
          </w:tcPr>
          <w:p w14:paraId="7605C54D"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2.</w:t>
            </w:r>
          </w:p>
        </w:tc>
        <w:tc>
          <w:tcPr>
            <w:tcW w:w="2417" w:type="dxa"/>
            <w:tcBorders>
              <w:top w:val="nil"/>
              <w:left w:val="nil"/>
              <w:bottom w:val="single" w:sz="4" w:space="0" w:color="auto"/>
              <w:right w:val="single" w:sz="4" w:space="0" w:color="auto"/>
            </w:tcBorders>
            <w:shd w:val="clear" w:color="000000" w:fill="3366FF"/>
            <w:vAlign w:val="center"/>
            <w:hideMark/>
          </w:tcPr>
          <w:p w14:paraId="566F06DE" w14:textId="77777777" w:rsidR="0088171A" w:rsidRPr="00AB03ED" w:rsidRDefault="0088171A" w:rsidP="00D51245">
            <w:pPr>
              <w:spacing w:line="240" w:lineRule="auto"/>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Allemagne</w:t>
            </w:r>
          </w:p>
        </w:tc>
        <w:tc>
          <w:tcPr>
            <w:tcW w:w="2049" w:type="dxa"/>
            <w:tcBorders>
              <w:top w:val="nil"/>
              <w:left w:val="nil"/>
              <w:bottom w:val="single" w:sz="4" w:space="0" w:color="auto"/>
              <w:right w:val="single" w:sz="4" w:space="0" w:color="auto"/>
            </w:tcBorders>
            <w:shd w:val="clear" w:color="auto" w:fill="auto"/>
            <w:vAlign w:val="center"/>
            <w:hideMark/>
          </w:tcPr>
          <w:p w14:paraId="7C676210" w14:textId="77777777" w:rsidR="0088171A" w:rsidRPr="00AB03ED" w:rsidRDefault="0088171A"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52,6</w:t>
            </w:r>
          </w:p>
        </w:tc>
        <w:tc>
          <w:tcPr>
            <w:tcW w:w="2441" w:type="dxa"/>
            <w:tcBorders>
              <w:top w:val="nil"/>
              <w:left w:val="nil"/>
              <w:bottom w:val="single" w:sz="4" w:space="0" w:color="auto"/>
              <w:right w:val="single" w:sz="4" w:space="0" w:color="auto"/>
            </w:tcBorders>
            <w:shd w:val="clear" w:color="auto" w:fill="auto"/>
            <w:noWrap/>
            <w:vAlign w:val="center"/>
            <w:hideMark/>
          </w:tcPr>
          <w:p w14:paraId="252A03D7" w14:textId="77777777" w:rsidR="0088171A" w:rsidRPr="00AB03ED" w:rsidRDefault="0088171A"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48,3</w:t>
            </w:r>
          </w:p>
        </w:tc>
        <w:tc>
          <w:tcPr>
            <w:tcW w:w="2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E204AE" w14:textId="77777777" w:rsidR="0088171A" w:rsidRPr="00AB03ED" w:rsidRDefault="0088171A"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12,5</w:t>
            </w:r>
          </w:p>
        </w:tc>
      </w:tr>
      <w:tr w:rsidR="0088171A" w:rsidRPr="00AB03ED" w14:paraId="2B7D487A" w14:textId="77777777" w:rsidTr="00D51245">
        <w:trPr>
          <w:gridAfter w:val="1"/>
          <w:wAfter w:w="13" w:type="dxa"/>
          <w:trHeight w:val="896"/>
          <w:jc w:val="center"/>
        </w:trPr>
        <w:tc>
          <w:tcPr>
            <w:tcW w:w="443" w:type="dxa"/>
            <w:tcBorders>
              <w:top w:val="nil"/>
              <w:left w:val="single" w:sz="12" w:space="0" w:color="auto"/>
              <w:bottom w:val="single" w:sz="4" w:space="0" w:color="auto"/>
              <w:right w:val="single" w:sz="4" w:space="0" w:color="auto"/>
            </w:tcBorders>
            <w:shd w:val="clear" w:color="000000" w:fill="3366FF"/>
            <w:vAlign w:val="center"/>
            <w:hideMark/>
          </w:tcPr>
          <w:p w14:paraId="180F29CE" w14:textId="77777777" w:rsidR="0088171A" w:rsidRPr="00AB03ED" w:rsidRDefault="0088171A" w:rsidP="00D51245">
            <w:pPr>
              <w:spacing w:line="240" w:lineRule="auto"/>
              <w:jc w:val="center"/>
              <w:rPr>
                <w:rFonts w:ascii="Calibri" w:eastAsia="Times New Roman" w:hAnsi="Calibri" w:cs="Calibri"/>
                <w:b/>
                <w:bCs/>
                <w:color w:val="FF0000"/>
                <w:lang w:eastAsia="fr-FR"/>
              </w:rPr>
            </w:pPr>
            <w:r w:rsidRPr="00AB03ED">
              <w:rPr>
                <w:rFonts w:ascii="Calibri" w:eastAsia="Times New Roman" w:hAnsi="Calibri" w:cs="Calibri"/>
                <w:b/>
                <w:bCs/>
                <w:color w:val="FF0000"/>
                <w:lang w:eastAsia="fr-FR"/>
              </w:rPr>
              <w:t>3.</w:t>
            </w:r>
          </w:p>
        </w:tc>
        <w:tc>
          <w:tcPr>
            <w:tcW w:w="2417" w:type="dxa"/>
            <w:tcBorders>
              <w:top w:val="nil"/>
              <w:left w:val="single" w:sz="12" w:space="0" w:color="auto"/>
              <w:bottom w:val="single" w:sz="4" w:space="0" w:color="auto"/>
              <w:right w:val="single" w:sz="4" w:space="0" w:color="auto"/>
            </w:tcBorders>
            <w:shd w:val="clear" w:color="000000" w:fill="3366FF"/>
            <w:vAlign w:val="center"/>
            <w:hideMark/>
          </w:tcPr>
          <w:p w14:paraId="18C37631" w14:textId="77777777" w:rsidR="0088171A" w:rsidRPr="00AB03ED" w:rsidRDefault="0088171A" w:rsidP="00D51245">
            <w:pPr>
              <w:spacing w:line="240" w:lineRule="auto"/>
              <w:rPr>
                <w:rFonts w:ascii="Calibri" w:eastAsia="Times New Roman" w:hAnsi="Calibri" w:cs="Calibri"/>
                <w:b/>
                <w:bCs/>
                <w:color w:val="FF0000"/>
                <w:lang w:eastAsia="fr-FR"/>
              </w:rPr>
            </w:pPr>
            <w:r w:rsidRPr="00AB03ED">
              <w:rPr>
                <w:rFonts w:ascii="Calibri" w:eastAsia="Times New Roman" w:hAnsi="Calibri" w:cs="Calibri"/>
                <w:b/>
                <w:bCs/>
                <w:color w:val="FF0000"/>
                <w:lang w:eastAsia="fr-FR"/>
              </w:rPr>
              <w:t>France</w:t>
            </w:r>
          </w:p>
        </w:tc>
        <w:tc>
          <w:tcPr>
            <w:tcW w:w="2049" w:type="dxa"/>
            <w:tcBorders>
              <w:top w:val="nil"/>
              <w:left w:val="nil"/>
              <w:bottom w:val="single" w:sz="4" w:space="0" w:color="auto"/>
              <w:right w:val="single" w:sz="4" w:space="0" w:color="auto"/>
            </w:tcBorders>
            <w:shd w:val="clear" w:color="auto" w:fill="auto"/>
            <w:vAlign w:val="center"/>
            <w:hideMark/>
          </w:tcPr>
          <w:p w14:paraId="1D99EBAD" w14:textId="77777777" w:rsidR="0088171A" w:rsidRPr="00AB03ED" w:rsidRDefault="0088171A" w:rsidP="00D51245">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47,3</w:t>
            </w:r>
          </w:p>
        </w:tc>
        <w:tc>
          <w:tcPr>
            <w:tcW w:w="2441" w:type="dxa"/>
            <w:tcBorders>
              <w:top w:val="nil"/>
              <w:left w:val="nil"/>
              <w:bottom w:val="single" w:sz="4" w:space="0" w:color="auto"/>
              <w:right w:val="single" w:sz="4" w:space="0" w:color="auto"/>
            </w:tcBorders>
            <w:shd w:val="clear" w:color="auto" w:fill="auto"/>
            <w:noWrap/>
            <w:vAlign w:val="center"/>
            <w:hideMark/>
          </w:tcPr>
          <w:p w14:paraId="34F31654" w14:textId="77777777" w:rsidR="0088171A" w:rsidRPr="00AB03ED" w:rsidRDefault="0088171A" w:rsidP="00D51245">
            <w:pPr>
              <w:spacing w:line="240" w:lineRule="auto"/>
              <w:jc w:val="center"/>
              <w:rPr>
                <w:rFonts w:ascii="Calibri" w:eastAsia="Times New Roman" w:hAnsi="Calibri" w:cs="Calibri"/>
                <w:color w:val="FF0000"/>
                <w:lang w:eastAsia="fr-FR"/>
              </w:rPr>
            </w:pPr>
            <w:r>
              <w:rPr>
                <w:rFonts w:ascii="Calibri" w:eastAsia="Times New Roman" w:hAnsi="Calibri" w:cs="Calibri"/>
                <w:color w:val="FF0000"/>
                <w:lang w:eastAsia="fr-FR"/>
              </w:rPr>
              <w:t>44,6</w:t>
            </w:r>
          </w:p>
        </w:tc>
        <w:tc>
          <w:tcPr>
            <w:tcW w:w="2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AC5D1E" w14:textId="77777777" w:rsidR="0088171A" w:rsidRPr="00AB03ED" w:rsidRDefault="0088171A" w:rsidP="00D51245">
            <w:pPr>
              <w:spacing w:line="240" w:lineRule="auto"/>
              <w:jc w:val="center"/>
              <w:rPr>
                <w:rFonts w:ascii="Calibri" w:eastAsia="Times New Roman" w:hAnsi="Calibri" w:cs="Calibri"/>
                <w:color w:val="FF0000"/>
                <w:lang w:eastAsia="fr-FR"/>
              </w:rPr>
            </w:pPr>
            <w:r w:rsidRPr="00AB03ED">
              <w:rPr>
                <w:rFonts w:ascii="Calibri" w:eastAsia="Times New Roman" w:hAnsi="Calibri" w:cs="Calibri"/>
                <w:color w:val="FF0000"/>
                <w:lang w:eastAsia="fr-FR"/>
              </w:rPr>
              <w:t>1</w:t>
            </w:r>
            <w:r>
              <w:rPr>
                <w:rFonts w:ascii="Calibri" w:eastAsia="Times New Roman" w:hAnsi="Calibri" w:cs="Calibri"/>
                <w:color w:val="FF0000"/>
                <w:lang w:eastAsia="fr-FR"/>
              </w:rPr>
              <w:t>1,6</w:t>
            </w:r>
          </w:p>
        </w:tc>
      </w:tr>
      <w:tr w:rsidR="0088171A" w:rsidRPr="00AB03ED" w14:paraId="6DA3C874" w14:textId="77777777" w:rsidTr="00D51245">
        <w:trPr>
          <w:gridAfter w:val="1"/>
          <w:wAfter w:w="13" w:type="dxa"/>
          <w:trHeight w:val="896"/>
          <w:jc w:val="center"/>
        </w:trPr>
        <w:tc>
          <w:tcPr>
            <w:tcW w:w="443" w:type="dxa"/>
            <w:tcBorders>
              <w:top w:val="nil"/>
              <w:left w:val="single" w:sz="12" w:space="0" w:color="auto"/>
              <w:bottom w:val="single" w:sz="4" w:space="0" w:color="auto"/>
              <w:right w:val="single" w:sz="4" w:space="0" w:color="auto"/>
            </w:tcBorders>
            <w:shd w:val="clear" w:color="000000" w:fill="3366FF"/>
            <w:vAlign w:val="center"/>
            <w:hideMark/>
          </w:tcPr>
          <w:p w14:paraId="00523E7A"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4.</w:t>
            </w:r>
          </w:p>
        </w:tc>
        <w:tc>
          <w:tcPr>
            <w:tcW w:w="2417" w:type="dxa"/>
            <w:tcBorders>
              <w:top w:val="nil"/>
              <w:left w:val="nil"/>
              <w:bottom w:val="single" w:sz="4" w:space="0" w:color="auto"/>
              <w:right w:val="single" w:sz="4" w:space="0" w:color="auto"/>
            </w:tcBorders>
            <w:shd w:val="clear" w:color="000000" w:fill="3366FF"/>
            <w:vAlign w:val="center"/>
            <w:hideMark/>
          </w:tcPr>
          <w:p w14:paraId="6E336CBD" w14:textId="77777777" w:rsidR="0088171A" w:rsidRPr="00AB03ED" w:rsidRDefault="0088171A"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Etats-Unis </w:t>
            </w:r>
          </w:p>
        </w:tc>
        <w:tc>
          <w:tcPr>
            <w:tcW w:w="2049" w:type="dxa"/>
            <w:tcBorders>
              <w:top w:val="nil"/>
              <w:left w:val="nil"/>
              <w:bottom w:val="single" w:sz="4" w:space="0" w:color="auto"/>
              <w:right w:val="single" w:sz="4" w:space="0" w:color="auto"/>
            </w:tcBorders>
            <w:shd w:val="clear" w:color="auto" w:fill="auto"/>
            <w:vAlign w:val="center"/>
            <w:hideMark/>
          </w:tcPr>
          <w:p w14:paraId="45DF8520"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23,7</w:t>
            </w:r>
          </w:p>
        </w:tc>
        <w:tc>
          <w:tcPr>
            <w:tcW w:w="2441" w:type="dxa"/>
            <w:tcBorders>
              <w:top w:val="nil"/>
              <w:left w:val="nil"/>
              <w:bottom w:val="single" w:sz="4" w:space="0" w:color="auto"/>
              <w:right w:val="single" w:sz="4" w:space="0" w:color="auto"/>
            </w:tcBorders>
            <w:shd w:val="clear" w:color="auto" w:fill="auto"/>
            <w:noWrap/>
            <w:vAlign w:val="center"/>
            <w:hideMark/>
          </w:tcPr>
          <w:p w14:paraId="2B02E53B"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25,9</w:t>
            </w:r>
          </w:p>
        </w:tc>
        <w:tc>
          <w:tcPr>
            <w:tcW w:w="2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20E2A6" w14:textId="77777777" w:rsidR="0088171A" w:rsidRPr="00AB03ED" w:rsidRDefault="0088171A"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6,7</w:t>
            </w:r>
          </w:p>
        </w:tc>
      </w:tr>
      <w:tr w:rsidR="0088171A" w:rsidRPr="00AB03ED" w14:paraId="3D066681" w14:textId="77777777" w:rsidTr="00D51245">
        <w:trPr>
          <w:gridAfter w:val="1"/>
          <w:wAfter w:w="13" w:type="dxa"/>
          <w:trHeight w:val="896"/>
          <w:jc w:val="center"/>
        </w:trPr>
        <w:tc>
          <w:tcPr>
            <w:tcW w:w="443" w:type="dxa"/>
            <w:tcBorders>
              <w:top w:val="nil"/>
              <w:left w:val="single" w:sz="12" w:space="0" w:color="auto"/>
              <w:bottom w:val="single" w:sz="4" w:space="0" w:color="auto"/>
              <w:right w:val="single" w:sz="4" w:space="0" w:color="auto"/>
            </w:tcBorders>
            <w:shd w:val="clear" w:color="000000" w:fill="3366FF"/>
            <w:vAlign w:val="center"/>
            <w:hideMark/>
          </w:tcPr>
          <w:p w14:paraId="3F4DF54A" w14:textId="77777777" w:rsidR="0088171A" w:rsidRPr="00AB03ED" w:rsidRDefault="0088171A" w:rsidP="00D51245">
            <w:pPr>
              <w:spacing w:line="240" w:lineRule="auto"/>
              <w:jc w:val="center"/>
              <w:rPr>
                <w:rFonts w:ascii="Calibri" w:eastAsia="Times New Roman" w:hAnsi="Calibri" w:cs="Calibri"/>
                <w:b/>
                <w:bCs/>
                <w:color w:val="FFFFFF"/>
                <w:lang w:eastAsia="fr-FR"/>
              </w:rPr>
            </w:pPr>
            <w:r w:rsidRPr="00AB03ED">
              <w:rPr>
                <w:rFonts w:ascii="Calibri" w:eastAsia="Times New Roman" w:hAnsi="Calibri" w:cs="Calibri"/>
                <w:b/>
                <w:bCs/>
                <w:color w:val="FFFFFF"/>
                <w:lang w:eastAsia="fr-FR"/>
              </w:rPr>
              <w:t>5.</w:t>
            </w:r>
          </w:p>
        </w:tc>
        <w:tc>
          <w:tcPr>
            <w:tcW w:w="2417" w:type="dxa"/>
            <w:tcBorders>
              <w:top w:val="nil"/>
              <w:left w:val="nil"/>
              <w:bottom w:val="single" w:sz="4" w:space="0" w:color="auto"/>
              <w:right w:val="single" w:sz="4" w:space="0" w:color="auto"/>
            </w:tcBorders>
            <w:shd w:val="clear" w:color="000000" w:fill="3366FF"/>
            <w:vAlign w:val="center"/>
            <w:hideMark/>
          </w:tcPr>
          <w:p w14:paraId="2CC7E822" w14:textId="77777777" w:rsidR="0088171A" w:rsidRPr="00AB03ED" w:rsidRDefault="0088171A"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 xml:space="preserve">Irlande </w:t>
            </w:r>
          </w:p>
        </w:tc>
        <w:tc>
          <w:tcPr>
            <w:tcW w:w="2049" w:type="dxa"/>
            <w:tcBorders>
              <w:top w:val="nil"/>
              <w:left w:val="nil"/>
              <w:bottom w:val="single" w:sz="4" w:space="0" w:color="auto"/>
              <w:right w:val="single" w:sz="4" w:space="0" w:color="auto"/>
            </w:tcBorders>
            <w:shd w:val="clear" w:color="auto" w:fill="auto"/>
            <w:vAlign w:val="center"/>
            <w:hideMark/>
          </w:tcPr>
          <w:p w14:paraId="0C212870"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16,2</w:t>
            </w:r>
          </w:p>
        </w:tc>
        <w:tc>
          <w:tcPr>
            <w:tcW w:w="2441" w:type="dxa"/>
            <w:tcBorders>
              <w:top w:val="nil"/>
              <w:left w:val="nil"/>
              <w:bottom w:val="single" w:sz="4" w:space="0" w:color="auto"/>
              <w:right w:val="single" w:sz="4" w:space="0" w:color="auto"/>
            </w:tcBorders>
            <w:shd w:val="clear" w:color="auto" w:fill="auto"/>
            <w:noWrap/>
            <w:vAlign w:val="center"/>
            <w:hideMark/>
          </w:tcPr>
          <w:p w14:paraId="6F18FA1F"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17,3</w:t>
            </w:r>
          </w:p>
        </w:tc>
        <w:tc>
          <w:tcPr>
            <w:tcW w:w="24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06243" w14:textId="77777777" w:rsidR="0088171A" w:rsidRPr="00AB03ED"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4,5</w:t>
            </w:r>
          </w:p>
        </w:tc>
      </w:tr>
      <w:tr w:rsidR="0088171A" w:rsidRPr="00AB03ED" w14:paraId="304389EE" w14:textId="77777777" w:rsidTr="00D51245">
        <w:trPr>
          <w:gridAfter w:val="1"/>
          <w:wAfter w:w="13" w:type="dxa"/>
          <w:trHeight w:val="470"/>
          <w:jc w:val="center"/>
        </w:trPr>
        <w:tc>
          <w:tcPr>
            <w:tcW w:w="443" w:type="dxa"/>
            <w:tcBorders>
              <w:top w:val="nil"/>
              <w:left w:val="nil"/>
              <w:bottom w:val="nil"/>
              <w:right w:val="nil"/>
            </w:tcBorders>
            <w:shd w:val="clear" w:color="auto" w:fill="auto"/>
            <w:noWrap/>
            <w:vAlign w:val="center"/>
            <w:hideMark/>
          </w:tcPr>
          <w:p w14:paraId="39972540" w14:textId="77777777" w:rsidR="0088171A" w:rsidRPr="00AB03ED" w:rsidRDefault="0088171A" w:rsidP="00D51245">
            <w:pPr>
              <w:spacing w:line="240" w:lineRule="auto"/>
              <w:jc w:val="center"/>
              <w:rPr>
                <w:rFonts w:ascii="Calibri" w:eastAsia="Times New Roman" w:hAnsi="Calibri" w:cs="Calibri"/>
                <w:color w:val="000000"/>
                <w:lang w:eastAsia="fr-FR"/>
              </w:rPr>
            </w:pPr>
          </w:p>
        </w:tc>
        <w:tc>
          <w:tcPr>
            <w:tcW w:w="2417" w:type="dxa"/>
            <w:tcBorders>
              <w:top w:val="nil"/>
              <w:left w:val="nil"/>
              <w:bottom w:val="nil"/>
              <w:right w:val="nil"/>
            </w:tcBorders>
            <w:shd w:val="clear" w:color="auto" w:fill="auto"/>
            <w:vAlign w:val="bottom"/>
            <w:hideMark/>
          </w:tcPr>
          <w:p w14:paraId="767CDF8A" w14:textId="77777777" w:rsidR="0088171A" w:rsidRPr="00AB03ED" w:rsidRDefault="0088171A" w:rsidP="00D51245">
            <w:pPr>
              <w:spacing w:line="240" w:lineRule="auto"/>
              <w:jc w:val="center"/>
              <w:rPr>
                <w:rFonts w:ascii="Times New Roman" w:eastAsia="Times New Roman" w:hAnsi="Times New Roman" w:cs="Times New Roman"/>
                <w:sz w:val="20"/>
                <w:szCs w:val="20"/>
                <w:lang w:eastAsia="fr-FR"/>
              </w:rPr>
            </w:pPr>
          </w:p>
        </w:tc>
        <w:tc>
          <w:tcPr>
            <w:tcW w:w="2049" w:type="dxa"/>
            <w:tcBorders>
              <w:top w:val="nil"/>
              <w:left w:val="nil"/>
              <w:bottom w:val="nil"/>
              <w:right w:val="nil"/>
            </w:tcBorders>
            <w:shd w:val="clear" w:color="auto" w:fill="auto"/>
            <w:vAlign w:val="center"/>
            <w:hideMark/>
          </w:tcPr>
          <w:p w14:paraId="2F98A26D" w14:textId="77777777" w:rsidR="0088171A" w:rsidRPr="00AB03ED" w:rsidRDefault="0088171A" w:rsidP="00D51245">
            <w:pPr>
              <w:spacing w:line="240" w:lineRule="auto"/>
              <w:rPr>
                <w:rFonts w:ascii="Times New Roman" w:eastAsia="Times New Roman" w:hAnsi="Times New Roman" w:cs="Times New Roman"/>
                <w:sz w:val="20"/>
                <w:szCs w:val="20"/>
                <w:lang w:eastAsia="fr-FR"/>
              </w:rPr>
            </w:pPr>
          </w:p>
        </w:tc>
        <w:tc>
          <w:tcPr>
            <w:tcW w:w="2441" w:type="dxa"/>
            <w:tcBorders>
              <w:top w:val="nil"/>
              <w:left w:val="nil"/>
              <w:bottom w:val="nil"/>
              <w:right w:val="nil"/>
            </w:tcBorders>
            <w:shd w:val="clear" w:color="auto" w:fill="auto"/>
            <w:noWrap/>
            <w:vAlign w:val="center"/>
            <w:hideMark/>
          </w:tcPr>
          <w:p w14:paraId="0D9BFBA7" w14:textId="77777777" w:rsidR="0088171A" w:rsidRPr="00AB03ED" w:rsidRDefault="0088171A" w:rsidP="00D51245">
            <w:pPr>
              <w:spacing w:line="240" w:lineRule="auto"/>
              <w:jc w:val="center"/>
              <w:rPr>
                <w:rFonts w:ascii="Times New Roman" w:eastAsia="Times New Roman" w:hAnsi="Times New Roman" w:cs="Times New Roman"/>
                <w:sz w:val="20"/>
                <w:szCs w:val="20"/>
                <w:lang w:eastAsia="fr-FR"/>
              </w:rPr>
            </w:pPr>
          </w:p>
        </w:tc>
        <w:tc>
          <w:tcPr>
            <w:tcW w:w="2441" w:type="dxa"/>
            <w:gridSpan w:val="2"/>
            <w:tcBorders>
              <w:top w:val="single" w:sz="4" w:space="0" w:color="auto"/>
              <w:left w:val="nil"/>
              <w:bottom w:val="nil"/>
              <w:right w:val="nil"/>
            </w:tcBorders>
            <w:shd w:val="clear" w:color="auto" w:fill="auto"/>
            <w:noWrap/>
            <w:vAlign w:val="center"/>
            <w:hideMark/>
          </w:tcPr>
          <w:p w14:paraId="3411F728" w14:textId="77777777" w:rsidR="0088171A" w:rsidRPr="00AB03ED" w:rsidRDefault="0088171A" w:rsidP="00D51245">
            <w:pPr>
              <w:spacing w:line="240" w:lineRule="auto"/>
              <w:jc w:val="center"/>
              <w:rPr>
                <w:rFonts w:ascii="Calibri" w:eastAsia="Times New Roman" w:hAnsi="Calibri" w:cs="Calibri"/>
                <w:color w:val="000000"/>
                <w:lang w:eastAsia="fr-FR"/>
              </w:rPr>
            </w:pPr>
            <w:r w:rsidRPr="00AB03ED">
              <w:rPr>
                <w:rFonts w:ascii="Calibri" w:eastAsia="Times New Roman" w:hAnsi="Calibri" w:cs="Calibri"/>
                <w:color w:val="000000"/>
                <w:lang w:eastAsia="fr-FR"/>
              </w:rPr>
              <w:t> </w:t>
            </w:r>
          </w:p>
        </w:tc>
      </w:tr>
      <w:tr w:rsidR="0088171A" w:rsidRPr="00AB03ED" w14:paraId="5E5EDAE8" w14:textId="77777777" w:rsidTr="00D51245">
        <w:trPr>
          <w:trHeight w:val="448"/>
          <w:jc w:val="center"/>
        </w:trPr>
        <w:tc>
          <w:tcPr>
            <w:tcW w:w="7363" w:type="dxa"/>
            <w:gridSpan w:val="5"/>
            <w:tcBorders>
              <w:top w:val="nil"/>
              <w:left w:val="nil"/>
              <w:bottom w:val="nil"/>
              <w:right w:val="nil"/>
            </w:tcBorders>
            <w:shd w:val="clear" w:color="auto" w:fill="auto"/>
            <w:vAlign w:val="bottom"/>
            <w:hideMark/>
          </w:tcPr>
          <w:p w14:paraId="2A0F457B" w14:textId="77777777" w:rsidR="0088171A" w:rsidRPr="00AB03ED" w:rsidRDefault="0088171A" w:rsidP="00D51245">
            <w:pPr>
              <w:spacing w:line="240" w:lineRule="auto"/>
              <w:rPr>
                <w:rFonts w:ascii="Calibri" w:eastAsia="Times New Roman" w:hAnsi="Calibri" w:cs="Calibri"/>
                <w:i/>
                <w:iCs/>
                <w:color w:val="000000"/>
                <w:lang w:eastAsia="fr-FR"/>
              </w:rPr>
            </w:pPr>
            <w:r w:rsidRPr="00AB03ED">
              <w:rPr>
                <w:rFonts w:ascii="Calibri" w:eastAsia="Times New Roman" w:hAnsi="Calibri" w:cs="Calibri"/>
                <w:i/>
                <w:iCs/>
                <w:color w:val="000000"/>
                <w:lang w:eastAsia="fr-FR"/>
              </w:rPr>
              <w:t>Source : Banque nationale de Belgique  ; calculs : SE de Bruxelles</w:t>
            </w:r>
          </w:p>
        </w:tc>
        <w:tc>
          <w:tcPr>
            <w:tcW w:w="2441" w:type="dxa"/>
            <w:gridSpan w:val="2"/>
            <w:tcBorders>
              <w:top w:val="nil"/>
              <w:left w:val="nil"/>
              <w:bottom w:val="nil"/>
              <w:right w:val="nil"/>
            </w:tcBorders>
            <w:shd w:val="clear" w:color="auto" w:fill="auto"/>
            <w:noWrap/>
            <w:vAlign w:val="center"/>
            <w:hideMark/>
          </w:tcPr>
          <w:p w14:paraId="26E9473E" w14:textId="77777777" w:rsidR="0088171A" w:rsidRPr="00AB03ED" w:rsidRDefault="0088171A" w:rsidP="00D51245">
            <w:pPr>
              <w:spacing w:line="240" w:lineRule="auto"/>
              <w:rPr>
                <w:rFonts w:ascii="Calibri" w:eastAsia="Times New Roman" w:hAnsi="Calibri" w:cs="Calibri"/>
                <w:i/>
                <w:iCs/>
                <w:color w:val="000000"/>
                <w:lang w:eastAsia="fr-FR"/>
              </w:rPr>
            </w:pPr>
          </w:p>
        </w:tc>
      </w:tr>
    </w:tbl>
    <w:p w14:paraId="7BD8CC91" w14:textId="7A4E090F" w:rsidR="0088171A" w:rsidRDefault="0088171A" w:rsidP="00F867DF">
      <w:pPr>
        <w:spacing w:line="240" w:lineRule="auto"/>
        <w:jc w:val="center"/>
        <w:rPr>
          <w:rStyle w:val="Rfrenceintense"/>
        </w:rPr>
      </w:pPr>
    </w:p>
    <w:p w14:paraId="1EBE78E4" w14:textId="06D8D41C" w:rsidR="0088171A" w:rsidRDefault="0088171A" w:rsidP="00F867DF">
      <w:pPr>
        <w:spacing w:line="240" w:lineRule="auto"/>
        <w:jc w:val="center"/>
        <w:rPr>
          <w:rStyle w:val="Rfrenceintense"/>
        </w:rPr>
      </w:pPr>
      <w:r>
        <w:rPr>
          <w:rStyle w:val="Rfrenceintense"/>
        </w:rPr>
        <w:t xml:space="preserve">ANNEXE </w:t>
      </w:r>
      <w:r w:rsidRPr="0088171A">
        <w:rPr>
          <w:rStyle w:val="Rfrenceintense"/>
        </w:rPr>
        <w:t>11 : Les trois premiers excédents commerciaux de la Belgique en 2023 (échanges de biens) - Concept national</w:t>
      </w:r>
    </w:p>
    <w:tbl>
      <w:tblPr>
        <w:tblW w:w="7360" w:type="dxa"/>
        <w:jc w:val="center"/>
        <w:tblCellMar>
          <w:left w:w="70" w:type="dxa"/>
          <w:right w:w="70" w:type="dxa"/>
        </w:tblCellMar>
        <w:tblLook w:val="04A0" w:firstRow="1" w:lastRow="0" w:firstColumn="1" w:lastColumn="0" w:noHBand="0" w:noVBand="1"/>
      </w:tblPr>
      <w:tblGrid>
        <w:gridCol w:w="400"/>
        <w:gridCol w:w="2320"/>
        <w:gridCol w:w="2320"/>
        <w:gridCol w:w="2320"/>
      </w:tblGrid>
      <w:tr w:rsidR="0088171A" w:rsidRPr="008B38A9" w14:paraId="625D8DEB" w14:textId="77777777" w:rsidTr="00D51245">
        <w:trPr>
          <w:trHeight w:val="630"/>
          <w:jc w:val="center"/>
        </w:trPr>
        <w:tc>
          <w:tcPr>
            <w:tcW w:w="400" w:type="dxa"/>
            <w:tcBorders>
              <w:top w:val="nil"/>
              <w:left w:val="nil"/>
              <w:bottom w:val="nil"/>
              <w:right w:val="nil"/>
            </w:tcBorders>
            <w:shd w:val="clear" w:color="auto" w:fill="auto"/>
            <w:vAlign w:val="center"/>
            <w:hideMark/>
          </w:tcPr>
          <w:p w14:paraId="15E37621" w14:textId="77777777" w:rsidR="0088171A" w:rsidRPr="008B38A9" w:rsidRDefault="0088171A" w:rsidP="00D51245">
            <w:pPr>
              <w:spacing w:line="240" w:lineRule="auto"/>
              <w:jc w:val="center"/>
              <w:rPr>
                <w:rFonts w:ascii="Times New Roman" w:eastAsia="Times New Roman" w:hAnsi="Times New Roman" w:cs="Times New Roman"/>
                <w:sz w:val="20"/>
                <w:szCs w:val="20"/>
                <w:lang w:eastAsia="fr-FR"/>
              </w:rPr>
            </w:pPr>
          </w:p>
        </w:tc>
        <w:tc>
          <w:tcPr>
            <w:tcW w:w="2320" w:type="dxa"/>
            <w:tcBorders>
              <w:top w:val="nil"/>
              <w:left w:val="nil"/>
              <w:bottom w:val="nil"/>
              <w:right w:val="single" w:sz="12" w:space="0" w:color="auto"/>
            </w:tcBorders>
            <w:shd w:val="clear" w:color="auto" w:fill="auto"/>
            <w:vAlign w:val="bottom"/>
            <w:hideMark/>
          </w:tcPr>
          <w:p w14:paraId="52379E70" w14:textId="77777777" w:rsidR="0088171A" w:rsidRPr="008B38A9" w:rsidRDefault="0088171A" w:rsidP="00D51245">
            <w:pPr>
              <w:spacing w:line="240" w:lineRule="auto"/>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 </w:t>
            </w:r>
          </w:p>
        </w:tc>
        <w:tc>
          <w:tcPr>
            <w:tcW w:w="2320" w:type="dxa"/>
            <w:tcBorders>
              <w:top w:val="single" w:sz="12" w:space="0" w:color="auto"/>
              <w:left w:val="nil"/>
              <w:bottom w:val="nil"/>
              <w:right w:val="single" w:sz="4" w:space="0" w:color="auto"/>
            </w:tcBorders>
            <w:shd w:val="clear" w:color="000000" w:fill="3366FF"/>
            <w:vAlign w:val="center"/>
            <w:hideMark/>
          </w:tcPr>
          <w:p w14:paraId="3AC60F58"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Excédent commercial 202</w:t>
            </w:r>
            <w:r>
              <w:rPr>
                <w:rFonts w:ascii="Calibri" w:eastAsia="Times New Roman" w:hAnsi="Calibri" w:cs="Calibri"/>
                <w:b/>
                <w:bCs/>
                <w:color w:val="FFFFFF"/>
                <w:lang w:eastAsia="fr-FR"/>
              </w:rPr>
              <w:t>2</w:t>
            </w:r>
            <w:r w:rsidRPr="008B38A9">
              <w:rPr>
                <w:rFonts w:ascii="Calibri" w:eastAsia="Times New Roman" w:hAnsi="Calibri" w:cs="Calibri"/>
                <w:b/>
                <w:bCs/>
                <w:color w:val="FFFFFF"/>
                <w:lang w:eastAsia="fr-FR"/>
              </w:rPr>
              <w:t xml:space="preserve"> (en M€)</w:t>
            </w:r>
          </w:p>
        </w:tc>
        <w:tc>
          <w:tcPr>
            <w:tcW w:w="2320" w:type="dxa"/>
            <w:tcBorders>
              <w:top w:val="single" w:sz="12" w:space="0" w:color="auto"/>
              <w:left w:val="single" w:sz="12" w:space="0" w:color="auto"/>
              <w:bottom w:val="nil"/>
              <w:right w:val="single" w:sz="4" w:space="0" w:color="auto"/>
            </w:tcBorders>
            <w:shd w:val="clear" w:color="000000" w:fill="3366FF"/>
            <w:vAlign w:val="center"/>
            <w:hideMark/>
          </w:tcPr>
          <w:p w14:paraId="5B4788F2"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Excédent commercial 202</w:t>
            </w:r>
            <w:r>
              <w:rPr>
                <w:rFonts w:ascii="Calibri" w:eastAsia="Times New Roman" w:hAnsi="Calibri" w:cs="Calibri"/>
                <w:b/>
                <w:bCs/>
                <w:color w:val="FFFFFF"/>
                <w:lang w:eastAsia="fr-FR"/>
              </w:rPr>
              <w:t>3</w:t>
            </w:r>
            <w:r w:rsidRPr="008B38A9">
              <w:rPr>
                <w:rFonts w:ascii="Calibri" w:eastAsia="Times New Roman" w:hAnsi="Calibri" w:cs="Calibri"/>
                <w:b/>
                <w:bCs/>
                <w:color w:val="FFFFFF"/>
                <w:lang w:eastAsia="fr-FR"/>
              </w:rPr>
              <w:t xml:space="preserve"> (en M€)</w:t>
            </w:r>
          </w:p>
        </w:tc>
      </w:tr>
      <w:tr w:rsidR="0088171A" w:rsidRPr="008B38A9" w14:paraId="59E3017B" w14:textId="77777777" w:rsidTr="00D51245">
        <w:trPr>
          <w:trHeight w:val="300"/>
          <w:jc w:val="center"/>
        </w:trPr>
        <w:tc>
          <w:tcPr>
            <w:tcW w:w="400" w:type="dxa"/>
            <w:tcBorders>
              <w:top w:val="single" w:sz="8" w:space="0" w:color="auto"/>
              <w:left w:val="single" w:sz="8" w:space="0" w:color="auto"/>
              <w:bottom w:val="single" w:sz="4" w:space="0" w:color="auto"/>
              <w:right w:val="single" w:sz="4" w:space="0" w:color="auto"/>
            </w:tcBorders>
            <w:shd w:val="clear" w:color="000000" w:fill="3366FF"/>
            <w:vAlign w:val="center"/>
            <w:hideMark/>
          </w:tcPr>
          <w:p w14:paraId="3A1A60B0"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1.</w:t>
            </w:r>
          </w:p>
        </w:tc>
        <w:tc>
          <w:tcPr>
            <w:tcW w:w="2320" w:type="dxa"/>
            <w:tcBorders>
              <w:top w:val="single" w:sz="8" w:space="0" w:color="auto"/>
              <w:left w:val="nil"/>
              <w:bottom w:val="single" w:sz="4" w:space="0" w:color="auto"/>
              <w:right w:val="single" w:sz="4" w:space="0" w:color="auto"/>
            </w:tcBorders>
            <w:shd w:val="clear" w:color="000000" w:fill="3366FF"/>
            <w:noWrap/>
            <w:vAlign w:val="center"/>
            <w:hideMark/>
          </w:tcPr>
          <w:p w14:paraId="20FC247E" w14:textId="77777777" w:rsidR="0088171A" w:rsidRPr="008B38A9" w:rsidRDefault="0088171A" w:rsidP="00D51245">
            <w:pPr>
              <w:spacing w:line="240" w:lineRule="auto"/>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Allemagne</w:t>
            </w:r>
          </w:p>
        </w:tc>
        <w:tc>
          <w:tcPr>
            <w:tcW w:w="2320" w:type="dxa"/>
            <w:tcBorders>
              <w:top w:val="single" w:sz="8" w:space="0" w:color="auto"/>
              <w:left w:val="nil"/>
              <w:bottom w:val="single" w:sz="4" w:space="0" w:color="auto"/>
              <w:right w:val="single" w:sz="4" w:space="0" w:color="auto"/>
            </w:tcBorders>
            <w:shd w:val="clear" w:color="auto" w:fill="auto"/>
            <w:vAlign w:val="center"/>
            <w:hideMark/>
          </w:tcPr>
          <w:p w14:paraId="0410C67A" w14:textId="77777777" w:rsidR="0088171A" w:rsidRPr="008B38A9"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35,8</w:t>
            </w:r>
          </w:p>
        </w:tc>
        <w:tc>
          <w:tcPr>
            <w:tcW w:w="2320" w:type="dxa"/>
            <w:tcBorders>
              <w:top w:val="single" w:sz="8" w:space="0" w:color="auto"/>
              <w:left w:val="nil"/>
              <w:bottom w:val="single" w:sz="4" w:space="0" w:color="auto"/>
              <w:right w:val="single" w:sz="8" w:space="0" w:color="auto"/>
            </w:tcBorders>
            <w:shd w:val="clear" w:color="auto" w:fill="auto"/>
            <w:vAlign w:val="center"/>
            <w:hideMark/>
          </w:tcPr>
          <w:p w14:paraId="129ADB7D" w14:textId="77777777" w:rsidR="0088171A" w:rsidRPr="008B38A9"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w:t>
            </w:r>
          </w:p>
        </w:tc>
      </w:tr>
      <w:tr w:rsidR="0088171A" w:rsidRPr="008B38A9" w14:paraId="7BB0A98E" w14:textId="77777777" w:rsidTr="00D51245">
        <w:trPr>
          <w:trHeight w:val="300"/>
          <w:jc w:val="center"/>
        </w:trPr>
        <w:tc>
          <w:tcPr>
            <w:tcW w:w="400" w:type="dxa"/>
            <w:tcBorders>
              <w:top w:val="nil"/>
              <w:left w:val="single" w:sz="8" w:space="0" w:color="auto"/>
              <w:bottom w:val="single" w:sz="4" w:space="0" w:color="auto"/>
              <w:right w:val="single" w:sz="4" w:space="0" w:color="auto"/>
            </w:tcBorders>
            <w:shd w:val="clear" w:color="000000" w:fill="3366FF"/>
            <w:vAlign w:val="center"/>
            <w:hideMark/>
          </w:tcPr>
          <w:p w14:paraId="74BCB8ED" w14:textId="77777777" w:rsidR="0088171A" w:rsidRPr="00232B56" w:rsidRDefault="0088171A" w:rsidP="00D51245">
            <w:pPr>
              <w:spacing w:line="240" w:lineRule="auto"/>
              <w:jc w:val="center"/>
              <w:rPr>
                <w:rFonts w:ascii="Calibri" w:eastAsia="Times New Roman" w:hAnsi="Calibri" w:cs="Calibri"/>
                <w:b/>
                <w:bCs/>
                <w:color w:val="FFFFFF" w:themeColor="background1"/>
                <w:lang w:eastAsia="fr-FR"/>
              </w:rPr>
            </w:pPr>
            <w:r w:rsidRPr="00232B56">
              <w:rPr>
                <w:rFonts w:ascii="Calibri" w:eastAsia="Times New Roman" w:hAnsi="Calibri" w:cs="Calibri"/>
                <w:b/>
                <w:bCs/>
                <w:color w:val="FFFFFF" w:themeColor="background1"/>
                <w:lang w:eastAsia="fr-FR"/>
              </w:rPr>
              <w:t>2.</w:t>
            </w:r>
          </w:p>
        </w:tc>
        <w:tc>
          <w:tcPr>
            <w:tcW w:w="2320" w:type="dxa"/>
            <w:tcBorders>
              <w:top w:val="nil"/>
              <w:left w:val="nil"/>
              <w:bottom w:val="single" w:sz="4" w:space="0" w:color="auto"/>
              <w:right w:val="single" w:sz="4" w:space="0" w:color="auto"/>
            </w:tcBorders>
            <w:shd w:val="clear" w:color="000000" w:fill="3366FF"/>
            <w:noWrap/>
            <w:vAlign w:val="center"/>
            <w:hideMark/>
          </w:tcPr>
          <w:p w14:paraId="070F55DC" w14:textId="77777777" w:rsidR="0088171A" w:rsidRPr="00232B56" w:rsidRDefault="0088171A" w:rsidP="00D51245">
            <w:pPr>
              <w:spacing w:line="240" w:lineRule="auto"/>
              <w:rPr>
                <w:rFonts w:ascii="Calibri" w:eastAsia="Times New Roman" w:hAnsi="Calibri" w:cs="Calibri"/>
                <w:b/>
                <w:bCs/>
                <w:color w:val="FFFFFF" w:themeColor="background1"/>
                <w:lang w:eastAsia="fr-FR"/>
              </w:rPr>
            </w:pPr>
            <w:r w:rsidRPr="00232B56">
              <w:rPr>
                <w:rFonts w:ascii="Calibri" w:eastAsia="Times New Roman" w:hAnsi="Calibri" w:cs="Calibri"/>
                <w:b/>
                <w:bCs/>
                <w:color w:val="FFFFFF" w:themeColor="background1"/>
                <w:lang w:eastAsia="fr-FR"/>
              </w:rPr>
              <w:t>Royaume-Uni</w:t>
            </w:r>
          </w:p>
        </w:tc>
        <w:tc>
          <w:tcPr>
            <w:tcW w:w="2320" w:type="dxa"/>
            <w:tcBorders>
              <w:top w:val="nil"/>
              <w:left w:val="nil"/>
              <w:bottom w:val="single" w:sz="4" w:space="0" w:color="auto"/>
              <w:right w:val="single" w:sz="4" w:space="0" w:color="auto"/>
            </w:tcBorders>
            <w:shd w:val="clear" w:color="auto" w:fill="auto"/>
            <w:vAlign w:val="center"/>
            <w:hideMark/>
          </w:tcPr>
          <w:p w14:paraId="725D92D7" w14:textId="77777777" w:rsidR="0088171A" w:rsidRPr="00232B56" w:rsidRDefault="0088171A" w:rsidP="00D51245">
            <w:pPr>
              <w:spacing w:line="240" w:lineRule="auto"/>
              <w:jc w:val="center"/>
              <w:rPr>
                <w:rFonts w:ascii="Calibri" w:eastAsia="Times New Roman" w:hAnsi="Calibri" w:cs="Calibri"/>
                <w:lang w:eastAsia="fr-FR"/>
              </w:rPr>
            </w:pPr>
            <w:r>
              <w:rPr>
                <w:rFonts w:ascii="Calibri" w:eastAsia="Times New Roman" w:hAnsi="Calibri" w:cs="Calibri"/>
                <w:lang w:eastAsia="fr-FR"/>
              </w:rPr>
              <w:t>-5,6</w:t>
            </w:r>
          </w:p>
        </w:tc>
        <w:tc>
          <w:tcPr>
            <w:tcW w:w="2320" w:type="dxa"/>
            <w:tcBorders>
              <w:top w:val="nil"/>
              <w:left w:val="nil"/>
              <w:bottom w:val="single" w:sz="4" w:space="0" w:color="auto"/>
              <w:right w:val="single" w:sz="8" w:space="0" w:color="auto"/>
            </w:tcBorders>
            <w:shd w:val="clear" w:color="auto" w:fill="auto"/>
            <w:vAlign w:val="center"/>
            <w:hideMark/>
          </w:tcPr>
          <w:p w14:paraId="0AD72B9C" w14:textId="77777777" w:rsidR="0088171A" w:rsidRPr="008B38A9" w:rsidRDefault="0088171A" w:rsidP="00D51245">
            <w:pPr>
              <w:spacing w:line="240" w:lineRule="auto"/>
              <w:jc w:val="center"/>
              <w:rPr>
                <w:rFonts w:ascii="Calibri" w:eastAsia="Times New Roman" w:hAnsi="Calibri" w:cs="Calibri"/>
                <w:color w:val="C00000"/>
                <w:lang w:eastAsia="fr-FR"/>
              </w:rPr>
            </w:pPr>
            <w:r>
              <w:rPr>
                <w:rFonts w:ascii="Calibri" w:eastAsia="Times New Roman" w:hAnsi="Calibri" w:cs="Calibri"/>
                <w:color w:val="C00000"/>
                <w:lang w:eastAsia="fr-FR"/>
              </w:rPr>
              <w:t>8,1</w:t>
            </w:r>
          </w:p>
        </w:tc>
      </w:tr>
      <w:tr w:rsidR="0088171A" w:rsidRPr="008B38A9" w14:paraId="60CCE390" w14:textId="77777777" w:rsidTr="00D51245">
        <w:trPr>
          <w:trHeight w:val="300"/>
          <w:jc w:val="center"/>
        </w:trPr>
        <w:tc>
          <w:tcPr>
            <w:tcW w:w="400" w:type="dxa"/>
            <w:tcBorders>
              <w:top w:val="nil"/>
              <w:left w:val="single" w:sz="8" w:space="0" w:color="auto"/>
              <w:bottom w:val="single" w:sz="4" w:space="0" w:color="auto"/>
              <w:right w:val="single" w:sz="4" w:space="0" w:color="auto"/>
            </w:tcBorders>
            <w:shd w:val="clear" w:color="000000" w:fill="3366FF"/>
            <w:vAlign w:val="center"/>
            <w:hideMark/>
          </w:tcPr>
          <w:p w14:paraId="43659B08"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3.</w:t>
            </w:r>
          </w:p>
        </w:tc>
        <w:tc>
          <w:tcPr>
            <w:tcW w:w="2320" w:type="dxa"/>
            <w:tcBorders>
              <w:top w:val="nil"/>
              <w:left w:val="nil"/>
              <w:bottom w:val="single" w:sz="4" w:space="0" w:color="auto"/>
              <w:right w:val="single" w:sz="4" w:space="0" w:color="auto"/>
            </w:tcBorders>
            <w:shd w:val="clear" w:color="000000" w:fill="3366FF"/>
            <w:noWrap/>
            <w:vAlign w:val="center"/>
            <w:hideMark/>
          </w:tcPr>
          <w:p w14:paraId="2BF951DB" w14:textId="77777777" w:rsidR="0088171A" w:rsidRPr="008B38A9" w:rsidRDefault="0088171A"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Luxembourg</w:t>
            </w:r>
          </w:p>
        </w:tc>
        <w:tc>
          <w:tcPr>
            <w:tcW w:w="2320" w:type="dxa"/>
            <w:tcBorders>
              <w:top w:val="nil"/>
              <w:left w:val="nil"/>
              <w:bottom w:val="single" w:sz="4" w:space="0" w:color="auto"/>
              <w:right w:val="single" w:sz="4" w:space="0" w:color="auto"/>
            </w:tcBorders>
            <w:shd w:val="clear" w:color="auto" w:fill="auto"/>
            <w:vAlign w:val="center"/>
            <w:hideMark/>
          </w:tcPr>
          <w:p w14:paraId="16C61122" w14:textId="77777777" w:rsidR="0088171A" w:rsidRPr="008B38A9"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5,8</w:t>
            </w:r>
          </w:p>
        </w:tc>
        <w:tc>
          <w:tcPr>
            <w:tcW w:w="2320" w:type="dxa"/>
            <w:tcBorders>
              <w:top w:val="nil"/>
              <w:left w:val="nil"/>
              <w:bottom w:val="single" w:sz="4" w:space="0" w:color="auto"/>
              <w:right w:val="single" w:sz="8" w:space="0" w:color="auto"/>
            </w:tcBorders>
            <w:shd w:val="clear" w:color="auto" w:fill="auto"/>
            <w:vAlign w:val="center"/>
            <w:hideMark/>
          </w:tcPr>
          <w:p w14:paraId="478BFF45" w14:textId="77777777" w:rsidR="0088171A" w:rsidRPr="008B38A9"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5,4</w:t>
            </w:r>
          </w:p>
        </w:tc>
      </w:tr>
    </w:tbl>
    <w:p w14:paraId="2F4301ED" w14:textId="77777777" w:rsidR="0088171A" w:rsidRPr="001B2089" w:rsidRDefault="0088171A" w:rsidP="0088171A">
      <w:pPr>
        <w:rPr>
          <w:rFonts w:ascii="Segoe UI" w:hAnsi="Segoe UI" w:cs="Segoe UI"/>
          <w:b/>
          <w:szCs w:val="24"/>
        </w:rPr>
      </w:pPr>
    </w:p>
    <w:p w14:paraId="474DFCAE" w14:textId="4927A5A0" w:rsidR="0088171A" w:rsidRPr="0088171A" w:rsidRDefault="0088171A" w:rsidP="0088171A">
      <w:pPr>
        <w:jc w:val="center"/>
        <w:rPr>
          <w:rStyle w:val="Rfrenceintense"/>
          <w:b/>
          <w:color w:val="auto"/>
          <w:szCs w:val="24"/>
        </w:rPr>
      </w:pPr>
      <w:r w:rsidRPr="001B2089">
        <w:rPr>
          <w:rFonts w:ascii="Calibri" w:eastAsia="Times New Roman" w:hAnsi="Calibri" w:cs="Calibri"/>
          <w:i/>
          <w:iCs/>
          <w:color w:val="000000"/>
          <w:lang w:eastAsia="fr-FR"/>
        </w:rPr>
        <w:t xml:space="preserve">Source : Banque nationale de Belgique ; </w:t>
      </w:r>
      <w:r>
        <w:rPr>
          <w:rFonts w:ascii="Calibri" w:eastAsia="Times New Roman" w:hAnsi="Calibri" w:cs="Calibri"/>
          <w:i/>
          <w:iCs/>
          <w:color w:val="000000"/>
          <w:lang w:eastAsia="fr-FR"/>
        </w:rPr>
        <w:t>calculs</w:t>
      </w:r>
      <w:r w:rsidRPr="001B2089">
        <w:rPr>
          <w:rFonts w:ascii="Calibri" w:eastAsia="Times New Roman" w:hAnsi="Calibri" w:cs="Calibri"/>
          <w:i/>
          <w:iCs/>
          <w:color w:val="000000"/>
          <w:lang w:eastAsia="fr-FR"/>
        </w:rPr>
        <w:t xml:space="preserve"> : SE de Bruxelles</w:t>
      </w:r>
    </w:p>
    <w:p w14:paraId="7F791A2E" w14:textId="0A568232" w:rsidR="0088171A" w:rsidRDefault="0088171A" w:rsidP="00F867DF">
      <w:pPr>
        <w:spacing w:line="240" w:lineRule="auto"/>
        <w:jc w:val="center"/>
        <w:rPr>
          <w:rStyle w:val="Rfrenceintense"/>
        </w:rPr>
      </w:pPr>
      <w:r>
        <w:rPr>
          <w:rStyle w:val="Rfrenceintense"/>
        </w:rPr>
        <w:t xml:space="preserve">ANNEXE </w:t>
      </w:r>
      <w:r w:rsidRPr="0088171A">
        <w:rPr>
          <w:rStyle w:val="Rfrenceintense"/>
        </w:rPr>
        <w:t>12 : Les trois premiers déficits commerciaux de la Belgique en 2022 (échanges de biens) - Concept national</w:t>
      </w:r>
    </w:p>
    <w:tbl>
      <w:tblPr>
        <w:tblW w:w="7360" w:type="dxa"/>
        <w:jc w:val="center"/>
        <w:tblCellMar>
          <w:left w:w="70" w:type="dxa"/>
          <w:right w:w="70" w:type="dxa"/>
        </w:tblCellMar>
        <w:tblLook w:val="04A0" w:firstRow="1" w:lastRow="0" w:firstColumn="1" w:lastColumn="0" w:noHBand="0" w:noVBand="1"/>
      </w:tblPr>
      <w:tblGrid>
        <w:gridCol w:w="400"/>
        <w:gridCol w:w="2320"/>
        <w:gridCol w:w="2320"/>
        <w:gridCol w:w="2320"/>
      </w:tblGrid>
      <w:tr w:rsidR="0088171A" w:rsidRPr="008B38A9" w14:paraId="55B799DF" w14:textId="77777777" w:rsidTr="00D51245">
        <w:trPr>
          <w:trHeight w:val="600"/>
          <w:jc w:val="center"/>
        </w:trPr>
        <w:tc>
          <w:tcPr>
            <w:tcW w:w="400" w:type="dxa"/>
            <w:tcBorders>
              <w:top w:val="nil"/>
              <w:left w:val="nil"/>
              <w:bottom w:val="nil"/>
              <w:right w:val="nil"/>
            </w:tcBorders>
            <w:shd w:val="clear" w:color="auto" w:fill="auto"/>
            <w:vAlign w:val="center"/>
            <w:hideMark/>
          </w:tcPr>
          <w:p w14:paraId="6D6D444E" w14:textId="77777777" w:rsidR="0088171A" w:rsidRPr="008B38A9" w:rsidRDefault="0088171A" w:rsidP="00D51245">
            <w:pPr>
              <w:spacing w:line="240" w:lineRule="auto"/>
              <w:jc w:val="center"/>
              <w:rPr>
                <w:rFonts w:ascii="Times New Roman" w:eastAsia="Times New Roman" w:hAnsi="Times New Roman" w:cs="Times New Roman"/>
                <w:sz w:val="20"/>
                <w:szCs w:val="20"/>
                <w:lang w:eastAsia="fr-FR"/>
              </w:rPr>
            </w:pPr>
          </w:p>
        </w:tc>
        <w:tc>
          <w:tcPr>
            <w:tcW w:w="2320" w:type="dxa"/>
            <w:tcBorders>
              <w:top w:val="nil"/>
              <w:left w:val="nil"/>
              <w:bottom w:val="nil"/>
              <w:right w:val="nil"/>
            </w:tcBorders>
            <w:shd w:val="clear" w:color="auto" w:fill="auto"/>
            <w:vAlign w:val="bottom"/>
            <w:hideMark/>
          </w:tcPr>
          <w:p w14:paraId="13E24FA3" w14:textId="77777777" w:rsidR="0088171A" w:rsidRPr="008B38A9" w:rsidRDefault="0088171A" w:rsidP="00D51245">
            <w:pPr>
              <w:spacing w:line="240" w:lineRule="auto"/>
              <w:jc w:val="center"/>
              <w:rPr>
                <w:rFonts w:ascii="Times New Roman" w:eastAsia="Times New Roman" w:hAnsi="Times New Roman" w:cs="Times New Roman"/>
                <w:sz w:val="20"/>
                <w:szCs w:val="20"/>
                <w:lang w:eastAsia="fr-FR"/>
              </w:rPr>
            </w:pPr>
          </w:p>
        </w:tc>
        <w:tc>
          <w:tcPr>
            <w:tcW w:w="232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6C15D7E2"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Déficit commercial 2021 (en M€)</w:t>
            </w:r>
          </w:p>
        </w:tc>
        <w:tc>
          <w:tcPr>
            <w:tcW w:w="2320" w:type="dxa"/>
            <w:tcBorders>
              <w:top w:val="single" w:sz="4" w:space="0" w:color="auto"/>
              <w:left w:val="nil"/>
              <w:bottom w:val="single" w:sz="4" w:space="0" w:color="auto"/>
              <w:right w:val="single" w:sz="4" w:space="0" w:color="auto"/>
            </w:tcBorders>
            <w:shd w:val="clear" w:color="000000" w:fill="3366FF"/>
            <w:vAlign w:val="center"/>
            <w:hideMark/>
          </w:tcPr>
          <w:p w14:paraId="1D07F7BC"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Déficit commercial 2022 (en M€)</w:t>
            </w:r>
          </w:p>
        </w:tc>
      </w:tr>
      <w:tr w:rsidR="0088171A" w:rsidRPr="008B38A9" w14:paraId="100EED53" w14:textId="77777777" w:rsidTr="00D51245">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000000" w:fill="3366FF"/>
            <w:vAlign w:val="center"/>
            <w:hideMark/>
          </w:tcPr>
          <w:p w14:paraId="7F96F126"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1.</w:t>
            </w:r>
          </w:p>
        </w:tc>
        <w:tc>
          <w:tcPr>
            <w:tcW w:w="2320" w:type="dxa"/>
            <w:tcBorders>
              <w:top w:val="single" w:sz="4" w:space="0" w:color="auto"/>
              <w:left w:val="nil"/>
              <w:bottom w:val="single" w:sz="4" w:space="0" w:color="auto"/>
              <w:right w:val="single" w:sz="4" w:space="0" w:color="auto"/>
            </w:tcBorders>
            <w:shd w:val="clear" w:color="000000" w:fill="3366FF"/>
            <w:noWrap/>
            <w:vAlign w:val="center"/>
            <w:hideMark/>
          </w:tcPr>
          <w:p w14:paraId="5CAE49A5" w14:textId="77777777" w:rsidR="0088171A" w:rsidRPr="008B38A9" w:rsidRDefault="0088171A" w:rsidP="00D51245">
            <w:pPr>
              <w:spacing w:line="240" w:lineRule="auto"/>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Pays-Bas</w:t>
            </w:r>
          </w:p>
        </w:tc>
        <w:tc>
          <w:tcPr>
            <w:tcW w:w="2320" w:type="dxa"/>
            <w:tcBorders>
              <w:top w:val="nil"/>
              <w:left w:val="nil"/>
              <w:bottom w:val="single" w:sz="4" w:space="0" w:color="auto"/>
              <w:right w:val="single" w:sz="4" w:space="0" w:color="auto"/>
            </w:tcBorders>
            <w:shd w:val="clear" w:color="auto" w:fill="auto"/>
            <w:vAlign w:val="center"/>
            <w:hideMark/>
          </w:tcPr>
          <w:p w14:paraId="254C2F1C" w14:textId="77777777" w:rsidR="0088171A" w:rsidRPr="008B38A9"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-30,4</w:t>
            </w:r>
          </w:p>
        </w:tc>
        <w:tc>
          <w:tcPr>
            <w:tcW w:w="2320" w:type="dxa"/>
            <w:tcBorders>
              <w:top w:val="nil"/>
              <w:left w:val="nil"/>
              <w:bottom w:val="single" w:sz="4" w:space="0" w:color="auto"/>
              <w:right w:val="single" w:sz="4" w:space="0" w:color="auto"/>
            </w:tcBorders>
            <w:shd w:val="clear" w:color="auto" w:fill="auto"/>
            <w:vAlign w:val="center"/>
            <w:hideMark/>
          </w:tcPr>
          <w:p w14:paraId="76B81BC9" w14:textId="77777777" w:rsidR="0088171A" w:rsidRPr="008B38A9" w:rsidRDefault="0088171A" w:rsidP="00D51245">
            <w:pPr>
              <w:spacing w:line="240" w:lineRule="auto"/>
              <w:jc w:val="center"/>
              <w:rPr>
                <w:rFonts w:ascii="Calibri" w:eastAsia="Times New Roman" w:hAnsi="Calibri" w:cs="Calibri"/>
                <w:color w:val="000000"/>
                <w:lang w:eastAsia="fr-FR"/>
              </w:rPr>
            </w:pPr>
            <w:r w:rsidRPr="008B38A9">
              <w:rPr>
                <w:rFonts w:ascii="Calibri" w:eastAsia="Times New Roman" w:hAnsi="Calibri" w:cs="Calibri"/>
                <w:color w:val="000000"/>
                <w:lang w:eastAsia="fr-FR"/>
              </w:rPr>
              <w:t>-</w:t>
            </w:r>
            <w:r>
              <w:rPr>
                <w:rFonts w:ascii="Calibri" w:eastAsia="Times New Roman" w:hAnsi="Calibri" w:cs="Calibri"/>
                <w:color w:val="000000"/>
                <w:lang w:eastAsia="fr-FR"/>
              </w:rPr>
              <w:t>32,5</w:t>
            </w:r>
          </w:p>
        </w:tc>
      </w:tr>
      <w:tr w:rsidR="0088171A" w:rsidRPr="008B38A9" w14:paraId="37B41044" w14:textId="77777777" w:rsidTr="00D51245">
        <w:trPr>
          <w:trHeight w:val="300"/>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27B35402"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2.</w:t>
            </w:r>
          </w:p>
        </w:tc>
        <w:tc>
          <w:tcPr>
            <w:tcW w:w="2320" w:type="dxa"/>
            <w:tcBorders>
              <w:top w:val="nil"/>
              <w:left w:val="nil"/>
              <w:bottom w:val="single" w:sz="4" w:space="0" w:color="auto"/>
              <w:right w:val="single" w:sz="4" w:space="0" w:color="auto"/>
            </w:tcBorders>
            <w:shd w:val="clear" w:color="000000" w:fill="3366FF"/>
            <w:noWrap/>
            <w:vAlign w:val="center"/>
            <w:hideMark/>
          </w:tcPr>
          <w:p w14:paraId="25AA95D0" w14:textId="77777777" w:rsidR="0088171A" w:rsidRPr="008B38A9" w:rsidRDefault="0088171A" w:rsidP="00D51245">
            <w:pPr>
              <w:spacing w:line="240" w:lineRule="auto"/>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Irlande</w:t>
            </w:r>
          </w:p>
        </w:tc>
        <w:tc>
          <w:tcPr>
            <w:tcW w:w="2320" w:type="dxa"/>
            <w:tcBorders>
              <w:top w:val="nil"/>
              <w:left w:val="nil"/>
              <w:bottom w:val="single" w:sz="4" w:space="0" w:color="auto"/>
              <w:right w:val="single" w:sz="4" w:space="0" w:color="auto"/>
            </w:tcBorders>
            <w:shd w:val="clear" w:color="auto" w:fill="auto"/>
            <w:vAlign w:val="center"/>
            <w:hideMark/>
          </w:tcPr>
          <w:p w14:paraId="1C42122C" w14:textId="77777777" w:rsidR="0088171A" w:rsidRPr="008B38A9" w:rsidRDefault="0088171A" w:rsidP="00D51245">
            <w:pPr>
              <w:spacing w:line="240" w:lineRule="auto"/>
              <w:jc w:val="center"/>
              <w:rPr>
                <w:rFonts w:ascii="Calibri" w:eastAsia="Times New Roman" w:hAnsi="Calibri" w:cs="Calibri"/>
                <w:color w:val="000000"/>
                <w:lang w:eastAsia="fr-FR"/>
              </w:rPr>
            </w:pPr>
            <w:r w:rsidRPr="008B38A9">
              <w:rPr>
                <w:rFonts w:ascii="Calibri" w:eastAsia="Times New Roman" w:hAnsi="Calibri" w:cs="Calibri"/>
                <w:color w:val="000000"/>
                <w:lang w:eastAsia="fr-FR"/>
              </w:rPr>
              <w:t>-1</w:t>
            </w:r>
            <w:r>
              <w:rPr>
                <w:rFonts w:ascii="Calibri" w:eastAsia="Times New Roman" w:hAnsi="Calibri" w:cs="Calibri"/>
                <w:color w:val="000000"/>
                <w:lang w:eastAsia="fr-FR"/>
              </w:rPr>
              <w:t>3,5</w:t>
            </w:r>
          </w:p>
        </w:tc>
        <w:tc>
          <w:tcPr>
            <w:tcW w:w="2320" w:type="dxa"/>
            <w:tcBorders>
              <w:top w:val="nil"/>
              <w:left w:val="nil"/>
              <w:bottom w:val="single" w:sz="4" w:space="0" w:color="auto"/>
              <w:right w:val="single" w:sz="4" w:space="0" w:color="auto"/>
            </w:tcBorders>
            <w:shd w:val="clear" w:color="auto" w:fill="auto"/>
            <w:vAlign w:val="center"/>
            <w:hideMark/>
          </w:tcPr>
          <w:p w14:paraId="2DBFF202" w14:textId="77777777" w:rsidR="0088171A" w:rsidRPr="008B38A9" w:rsidRDefault="0088171A" w:rsidP="00D51245">
            <w:pPr>
              <w:spacing w:line="240" w:lineRule="auto"/>
              <w:jc w:val="center"/>
              <w:rPr>
                <w:rFonts w:ascii="Calibri" w:eastAsia="Times New Roman" w:hAnsi="Calibri" w:cs="Calibri"/>
                <w:color w:val="000000"/>
                <w:lang w:eastAsia="fr-FR"/>
              </w:rPr>
            </w:pPr>
            <w:r w:rsidRPr="008B38A9">
              <w:rPr>
                <w:rFonts w:ascii="Calibri" w:eastAsia="Times New Roman" w:hAnsi="Calibri" w:cs="Calibri"/>
                <w:color w:val="000000"/>
                <w:lang w:eastAsia="fr-FR"/>
              </w:rPr>
              <w:t>-</w:t>
            </w:r>
            <w:r>
              <w:rPr>
                <w:rFonts w:ascii="Calibri" w:eastAsia="Times New Roman" w:hAnsi="Calibri" w:cs="Calibri"/>
                <w:color w:val="000000"/>
                <w:lang w:eastAsia="fr-FR"/>
              </w:rPr>
              <w:t>14,3</w:t>
            </w:r>
          </w:p>
        </w:tc>
      </w:tr>
      <w:tr w:rsidR="0088171A" w:rsidRPr="008B38A9" w14:paraId="1D2EBBB2" w14:textId="77777777" w:rsidTr="00D51245">
        <w:trPr>
          <w:trHeight w:val="300"/>
          <w:jc w:val="center"/>
        </w:trPr>
        <w:tc>
          <w:tcPr>
            <w:tcW w:w="400" w:type="dxa"/>
            <w:tcBorders>
              <w:top w:val="nil"/>
              <w:left w:val="single" w:sz="4" w:space="0" w:color="auto"/>
              <w:bottom w:val="single" w:sz="4" w:space="0" w:color="auto"/>
              <w:right w:val="single" w:sz="4" w:space="0" w:color="auto"/>
            </w:tcBorders>
            <w:shd w:val="clear" w:color="000000" w:fill="3366FF"/>
            <w:vAlign w:val="center"/>
            <w:hideMark/>
          </w:tcPr>
          <w:p w14:paraId="11E0DCDE" w14:textId="77777777" w:rsidR="0088171A" w:rsidRPr="008B38A9" w:rsidRDefault="0088171A" w:rsidP="00D51245">
            <w:pPr>
              <w:spacing w:line="240" w:lineRule="auto"/>
              <w:jc w:val="center"/>
              <w:rPr>
                <w:rFonts w:ascii="Calibri" w:eastAsia="Times New Roman" w:hAnsi="Calibri" w:cs="Calibri"/>
                <w:b/>
                <w:bCs/>
                <w:color w:val="FFFFFF"/>
                <w:lang w:eastAsia="fr-FR"/>
              </w:rPr>
            </w:pPr>
            <w:r w:rsidRPr="008B38A9">
              <w:rPr>
                <w:rFonts w:ascii="Calibri" w:eastAsia="Times New Roman" w:hAnsi="Calibri" w:cs="Calibri"/>
                <w:b/>
                <w:bCs/>
                <w:color w:val="FFFFFF"/>
                <w:lang w:eastAsia="fr-FR"/>
              </w:rPr>
              <w:t>3.</w:t>
            </w:r>
          </w:p>
        </w:tc>
        <w:tc>
          <w:tcPr>
            <w:tcW w:w="2320" w:type="dxa"/>
            <w:tcBorders>
              <w:top w:val="nil"/>
              <w:left w:val="nil"/>
              <w:bottom w:val="single" w:sz="4" w:space="0" w:color="auto"/>
              <w:right w:val="single" w:sz="4" w:space="0" w:color="auto"/>
            </w:tcBorders>
            <w:shd w:val="clear" w:color="000000" w:fill="3366FF"/>
            <w:noWrap/>
            <w:vAlign w:val="center"/>
            <w:hideMark/>
          </w:tcPr>
          <w:p w14:paraId="7A85F428" w14:textId="77777777" w:rsidR="0088171A" w:rsidRPr="008B38A9" w:rsidRDefault="0088171A" w:rsidP="00D51245">
            <w:pPr>
              <w:spacing w:line="240" w:lineRule="auto"/>
              <w:rPr>
                <w:rFonts w:ascii="Calibri" w:eastAsia="Times New Roman" w:hAnsi="Calibri" w:cs="Calibri"/>
                <w:b/>
                <w:bCs/>
                <w:color w:val="FFFFFF"/>
                <w:lang w:eastAsia="fr-FR"/>
              </w:rPr>
            </w:pPr>
            <w:r>
              <w:rPr>
                <w:rFonts w:ascii="Calibri" w:eastAsia="Times New Roman" w:hAnsi="Calibri" w:cs="Calibri"/>
                <w:b/>
                <w:bCs/>
                <w:color w:val="FFFFFF"/>
                <w:lang w:eastAsia="fr-FR"/>
              </w:rPr>
              <w:t>Chine</w:t>
            </w:r>
          </w:p>
        </w:tc>
        <w:tc>
          <w:tcPr>
            <w:tcW w:w="2320" w:type="dxa"/>
            <w:tcBorders>
              <w:top w:val="nil"/>
              <w:left w:val="nil"/>
              <w:bottom w:val="single" w:sz="4" w:space="0" w:color="auto"/>
              <w:right w:val="single" w:sz="4" w:space="0" w:color="auto"/>
            </w:tcBorders>
            <w:shd w:val="clear" w:color="auto" w:fill="auto"/>
            <w:vAlign w:val="center"/>
            <w:hideMark/>
          </w:tcPr>
          <w:p w14:paraId="7FF4959E" w14:textId="77777777" w:rsidR="0088171A" w:rsidRPr="008B38A9" w:rsidRDefault="0088171A" w:rsidP="00D51245">
            <w:pPr>
              <w:spacing w:line="240" w:lineRule="auto"/>
              <w:jc w:val="center"/>
              <w:rPr>
                <w:rFonts w:ascii="Calibri" w:eastAsia="Times New Roman" w:hAnsi="Calibri" w:cs="Calibri"/>
                <w:color w:val="000000"/>
                <w:lang w:eastAsia="fr-FR"/>
              </w:rPr>
            </w:pPr>
            <w:r w:rsidRPr="008B38A9">
              <w:rPr>
                <w:rFonts w:ascii="Calibri" w:eastAsia="Times New Roman" w:hAnsi="Calibri" w:cs="Calibri"/>
                <w:color w:val="000000"/>
                <w:lang w:eastAsia="fr-FR"/>
              </w:rPr>
              <w:t>-</w:t>
            </w:r>
            <w:r>
              <w:rPr>
                <w:rFonts w:ascii="Calibri" w:eastAsia="Times New Roman" w:hAnsi="Calibri" w:cs="Calibri"/>
                <w:color w:val="000000"/>
                <w:lang w:eastAsia="fr-FR"/>
              </w:rPr>
              <w:t>6,9</w:t>
            </w:r>
          </w:p>
        </w:tc>
        <w:tc>
          <w:tcPr>
            <w:tcW w:w="2320" w:type="dxa"/>
            <w:tcBorders>
              <w:top w:val="nil"/>
              <w:left w:val="nil"/>
              <w:bottom w:val="single" w:sz="4" w:space="0" w:color="auto"/>
              <w:right w:val="single" w:sz="4" w:space="0" w:color="auto"/>
            </w:tcBorders>
            <w:shd w:val="clear" w:color="auto" w:fill="auto"/>
            <w:vAlign w:val="center"/>
            <w:hideMark/>
          </w:tcPr>
          <w:p w14:paraId="651CCE99" w14:textId="77777777" w:rsidR="0088171A" w:rsidRPr="008B38A9" w:rsidRDefault="0088171A" w:rsidP="00D51245">
            <w:pPr>
              <w:spacing w:line="240" w:lineRule="auto"/>
              <w:jc w:val="center"/>
              <w:rPr>
                <w:rFonts w:ascii="Calibri" w:eastAsia="Times New Roman" w:hAnsi="Calibri" w:cs="Calibri"/>
                <w:color w:val="000000"/>
                <w:lang w:eastAsia="fr-FR"/>
              </w:rPr>
            </w:pPr>
            <w:r w:rsidRPr="008B38A9">
              <w:rPr>
                <w:rFonts w:ascii="Calibri" w:eastAsia="Times New Roman" w:hAnsi="Calibri" w:cs="Calibri"/>
                <w:color w:val="000000"/>
                <w:lang w:eastAsia="fr-FR"/>
              </w:rPr>
              <w:t>-</w:t>
            </w:r>
            <w:r>
              <w:rPr>
                <w:rFonts w:ascii="Calibri" w:eastAsia="Times New Roman" w:hAnsi="Calibri" w:cs="Calibri"/>
                <w:color w:val="000000"/>
                <w:lang w:eastAsia="fr-FR"/>
              </w:rPr>
              <w:t>9,1</w:t>
            </w:r>
          </w:p>
        </w:tc>
      </w:tr>
    </w:tbl>
    <w:p w14:paraId="24E355A9" w14:textId="77777777" w:rsidR="0088171A" w:rsidRPr="001B2089" w:rsidRDefault="0088171A" w:rsidP="0088171A">
      <w:pPr>
        <w:jc w:val="center"/>
        <w:rPr>
          <w:rFonts w:ascii="Segoe UI" w:hAnsi="Segoe UI" w:cs="Segoe UI"/>
          <w:b/>
          <w:szCs w:val="24"/>
        </w:rPr>
      </w:pPr>
    </w:p>
    <w:p w14:paraId="4059FE80" w14:textId="77777777" w:rsidR="0088171A" w:rsidRPr="001B2089" w:rsidRDefault="0088171A" w:rsidP="0088171A">
      <w:pPr>
        <w:jc w:val="center"/>
        <w:rPr>
          <w:rFonts w:ascii="Segoe UI" w:hAnsi="Segoe UI" w:cs="Segoe UI"/>
          <w:b/>
          <w:szCs w:val="24"/>
        </w:rPr>
      </w:pPr>
      <w:r w:rsidRPr="001B2089">
        <w:rPr>
          <w:rFonts w:ascii="Calibri" w:eastAsia="Times New Roman" w:hAnsi="Calibri" w:cs="Calibri"/>
          <w:i/>
          <w:iCs/>
          <w:color w:val="000000"/>
          <w:lang w:eastAsia="fr-FR"/>
        </w:rPr>
        <w:t xml:space="preserve">Source : Banque nationale de Belgique ; </w:t>
      </w:r>
      <w:r>
        <w:rPr>
          <w:rFonts w:ascii="Calibri" w:eastAsia="Times New Roman" w:hAnsi="Calibri" w:cs="Calibri"/>
          <w:i/>
          <w:iCs/>
          <w:color w:val="000000"/>
          <w:lang w:eastAsia="fr-FR"/>
        </w:rPr>
        <w:t>calculs</w:t>
      </w:r>
      <w:r w:rsidRPr="001B2089">
        <w:rPr>
          <w:rFonts w:ascii="Calibri" w:eastAsia="Times New Roman" w:hAnsi="Calibri" w:cs="Calibri"/>
          <w:i/>
          <w:iCs/>
          <w:color w:val="000000"/>
          <w:lang w:eastAsia="fr-FR"/>
        </w:rPr>
        <w:t xml:space="preserve"> : SE de Bruxelles</w:t>
      </w:r>
    </w:p>
    <w:p w14:paraId="33CD7E26" w14:textId="5E558BAB" w:rsidR="0088171A" w:rsidRPr="0088171A" w:rsidRDefault="0088171A" w:rsidP="00F867DF">
      <w:pPr>
        <w:spacing w:line="240" w:lineRule="auto"/>
        <w:jc w:val="center"/>
        <w:rPr>
          <w:rStyle w:val="Rfrenceintense"/>
        </w:rPr>
      </w:pPr>
      <w:r w:rsidRPr="0088171A">
        <w:rPr>
          <w:rStyle w:val="Rfrenceintense"/>
          <w:noProof/>
        </w:rPr>
        <w:lastRenderedPageBreak/>
        <mc:AlternateContent>
          <mc:Choice Requires="wps">
            <w:drawing>
              <wp:anchor distT="0" distB="0" distL="114300" distR="114300" simplePos="0" relativeHeight="251675648" behindDoc="1" locked="0" layoutInCell="1" allowOverlap="1" wp14:anchorId="12DC027B" wp14:editId="21F43262">
                <wp:simplePos x="0" y="0"/>
                <wp:positionH relativeFrom="page">
                  <wp:posOffset>-14605</wp:posOffset>
                </wp:positionH>
                <wp:positionV relativeFrom="paragraph">
                  <wp:posOffset>-445478</wp:posOffset>
                </wp:positionV>
                <wp:extent cx="7543800" cy="10677525"/>
                <wp:effectExtent l="0" t="0" r="0" b="9525"/>
                <wp:wrapNone/>
                <wp:docPr id="17" name="Rectangle 17"/>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84A53" id="Rectangle 17" o:spid="_x0000_s1026" style="position:absolute;margin-left:-1.15pt;margin-top:-35.1pt;width:594pt;height:840.75pt;z-index:-25164083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" fillcolor="#fef8e8" stroked="f" strokeweight="1pt">
                <w10:wrap anchorx="page"/>
              </v:rect>
            </w:pict>
          </mc:Fallback>
        </mc:AlternateContent>
      </w:r>
    </w:p>
    <w:p w14:paraId="0C81F393" w14:textId="6C9D047D" w:rsidR="0088171A" w:rsidRDefault="0088171A" w:rsidP="00F867DF">
      <w:pPr>
        <w:spacing w:line="240" w:lineRule="auto"/>
        <w:jc w:val="center"/>
        <w:rPr>
          <w:rStyle w:val="Rfrenceintense"/>
        </w:rPr>
      </w:pPr>
      <w:r w:rsidRPr="0088171A">
        <w:rPr>
          <w:rStyle w:val="Rfrenceintense"/>
        </w:rPr>
        <w:t>ANNEXE 13 : Part des régions belges dans le commerce national en 2023 - concept national</w:t>
      </w:r>
    </w:p>
    <w:tbl>
      <w:tblPr>
        <w:tblW w:w="9460" w:type="dxa"/>
        <w:jc w:val="center"/>
        <w:tblCellMar>
          <w:left w:w="70" w:type="dxa"/>
          <w:right w:w="70" w:type="dxa"/>
        </w:tblCellMar>
        <w:tblLook w:val="04A0" w:firstRow="1" w:lastRow="0" w:firstColumn="1" w:lastColumn="0" w:noHBand="0" w:noVBand="1"/>
      </w:tblPr>
      <w:tblGrid>
        <w:gridCol w:w="2320"/>
        <w:gridCol w:w="2320"/>
        <w:gridCol w:w="2320"/>
        <w:gridCol w:w="2500"/>
      </w:tblGrid>
      <w:tr w:rsidR="0088171A" w:rsidRPr="008478FC" w14:paraId="0D087C4D" w14:textId="77777777" w:rsidTr="00D51245">
        <w:trPr>
          <w:trHeight w:val="360"/>
          <w:jc w:val="center"/>
        </w:trPr>
        <w:tc>
          <w:tcPr>
            <w:tcW w:w="2320" w:type="dxa"/>
            <w:tcBorders>
              <w:top w:val="nil"/>
              <w:left w:val="nil"/>
              <w:bottom w:val="nil"/>
              <w:right w:val="nil"/>
            </w:tcBorders>
            <w:shd w:val="clear" w:color="auto" w:fill="auto"/>
            <w:vAlign w:val="bottom"/>
            <w:hideMark/>
          </w:tcPr>
          <w:p w14:paraId="52613394" w14:textId="77777777" w:rsidR="0088171A" w:rsidRPr="008478FC" w:rsidRDefault="0088171A" w:rsidP="00D51245">
            <w:pPr>
              <w:spacing w:line="240" w:lineRule="auto"/>
              <w:jc w:val="center"/>
              <w:rPr>
                <w:rFonts w:ascii="Calibri" w:eastAsia="Times New Roman" w:hAnsi="Calibri" w:cs="Calibri"/>
                <w:b/>
                <w:bCs/>
                <w:color w:val="000000"/>
                <w:sz w:val="26"/>
                <w:szCs w:val="26"/>
                <w:lang w:eastAsia="fr-FR"/>
              </w:rPr>
            </w:pPr>
          </w:p>
        </w:tc>
        <w:tc>
          <w:tcPr>
            <w:tcW w:w="2320" w:type="dxa"/>
            <w:tcBorders>
              <w:top w:val="nil"/>
              <w:left w:val="nil"/>
              <w:bottom w:val="nil"/>
              <w:right w:val="nil"/>
            </w:tcBorders>
            <w:shd w:val="clear" w:color="auto" w:fill="auto"/>
            <w:vAlign w:val="center"/>
            <w:hideMark/>
          </w:tcPr>
          <w:p w14:paraId="7604A621" w14:textId="77777777" w:rsidR="0088171A" w:rsidRPr="008478FC" w:rsidRDefault="0088171A" w:rsidP="00D51245">
            <w:pPr>
              <w:spacing w:line="240" w:lineRule="auto"/>
              <w:rPr>
                <w:rFonts w:ascii="Times New Roman" w:eastAsia="Times New Roman" w:hAnsi="Times New Roman" w:cs="Times New Roman"/>
                <w:sz w:val="20"/>
                <w:szCs w:val="20"/>
                <w:lang w:eastAsia="fr-FR"/>
              </w:rPr>
            </w:pPr>
          </w:p>
        </w:tc>
        <w:tc>
          <w:tcPr>
            <w:tcW w:w="2320" w:type="dxa"/>
            <w:tcBorders>
              <w:top w:val="nil"/>
              <w:left w:val="nil"/>
              <w:bottom w:val="nil"/>
              <w:right w:val="nil"/>
            </w:tcBorders>
            <w:shd w:val="clear" w:color="auto" w:fill="auto"/>
            <w:noWrap/>
            <w:vAlign w:val="center"/>
            <w:hideMark/>
          </w:tcPr>
          <w:p w14:paraId="2B663960"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c>
          <w:tcPr>
            <w:tcW w:w="2500" w:type="dxa"/>
            <w:tcBorders>
              <w:top w:val="nil"/>
              <w:left w:val="nil"/>
              <w:bottom w:val="nil"/>
              <w:right w:val="nil"/>
            </w:tcBorders>
            <w:shd w:val="clear" w:color="auto" w:fill="auto"/>
            <w:noWrap/>
            <w:vAlign w:val="center"/>
            <w:hideMark/>
          </w:tcPr>
          <w:p w14:paraId="0BB3D53F"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r>
      <w:tr w:rsidR="0088171A" w:rsidRPr="008478FC" w14:paraId="3A101893" w14:textId="77777777" w:rsidTr="00D51245">
        <w:trPr>
          <w:trHeight w:val="330"/>
          <w:jc w:val="center"/>
        </w:trPr>
        <w:tc>
          <w:tcPr>
            <w:tcW w:w="2320" w:type="dxa"/>
            <w:tcBorders>
              <w:top w:val="nil"/>
              <w:left w:val="nil"/>
              <w:bottom w:val="single" w:sz="12" w:space="0" w:color="auto"/>
              <w:right w:val="single" w:sz="12" w:space="0" w:color="auto"/>
            </w:tcBorders>
            <w:shd w:val="clear" w:color="auto" w:fill="auto"/>
            <w:vAlign w:val="bottom"/>
            <w:hideMark/>
          </w:tcPr>
          <w:p w14:paraId="1995421C"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 </w:t>
            </w:r>
          </w:p>
        </w:tc>
        <w:tc>
          <w:tcPr>
            <w:tcW w:w="2320" w:type="dxa"/>
            <w:tcBorders>
              <w:top w:val="single" w:sz="12" w:space="0" w:color="auto"/>
              <w:left w:val="nil"/>
              <w:bottom w:val="single" w:sz="4" w:space="0" w:color="auto"/>
              <w:right w:val="single" w:sz="4" w:space="0" w:color="auto"/>
            </w:tcBorders>
            <w:shd w:val="clear" w:color="000000" w:fill="3366FF"/>
            <w:vAlign w:val="center"/>
            <w:hideMark/>
          </w:tcPr>
          <w:p w14:paraId="0E15DF20" w14:textId="77777777" w:rsidR="0088171A" w:rsidRPr="008478FC" w:rsidRDefault="0088171A"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Flandre</w:t>
            </w:r>
          </w:p>
        </w:tc>
        <w:tc>
          <w:tcPr>
            <w:tcW w:w="2320"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781D95E1" w14:textId="77777777" w:rsidR="0088171A" w:rsidRPr="008478FC" w:rsidRDefault="0088171A"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Wallonie</w:t>
            </w:r>
          </w:p>
        </w:tc>
        <w:tc>
          <w:tcPr>
            <w:tcW w:w="2500" w:type="dxa"/>
            <w:tcBorders>
              <w:top w:val="single" w:sz="12" w:space="0" w:color="auto"/>
              <w:left w:val="nil"/>
              <w:bottom w:val="single" w:sz="4" w:space="0" w:color="auto"/>
              <w:right w:val="single" w:sz="12" w:space="0" w:color="auto"/>
            </w:tcBorders>
            <w:shd w:val="clear" w:color="000000" w:fill="3366FF"/>
            <w:vAlign w:val="center"/>
            <w:hideMark/>
          </w:tcPr>
          <w:p w14:paraId="220BCEFA" w14:textId="77777777" w:rsidR="0088171A" w:rsidRPr="008478FC" w:rsidRDefault="0088171A"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Bruxelles-Capitale</w:t>
            </w:r>
          </w:p>
        </w:tc>
      </w:tr>
      <w:tr w:rsidR="0088171A" w:rsidRPr="008478FC" w14:paraId="7F78D00D" w14:textId="77777777" w:rsidTr="00D51245">
        <w:trPr>
          <w:trHeight w:val="315"/>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168B8B62"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Exportations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026EE920"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288</w:t>
            </w:r>
          </w:p>
        </w:tc>
        <w:tc>
          <w:tcPr>
            <w:tcW w:w="2320" w:type="dxa"/>
            <w:tcBorders>
              <w:top w:val="nil"/>
              <w:left w:val="nil"/>
              <w:bottom w:val="single" w:sz="4" w:space="0" w:color="auto"/>
              <w:right w:val="single" w:sz="4" w:space="0" w:color="auto"/>
            </w:tcBorders>
            <w:shd w:val="clear" w:color="auto" w:fill="auto"/>
            <w:vAlign w:val="center"/>
            <w:hideMark/>
          </w:tcPr>
          <w:p w14:paraId="73F21EC7"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64</w:t>
            </w:r>
          </w:p>
        </w:tc>
        <w:tc>
          <w:tcPr>
            <w:tcW w:w="2500" w:type="dxa"/>
            <w:tcBorders>
              <w:top w:val="nil"/>
              <w:left w:val="nil"/>
              <w:bottom w:val="single" w:sz="4" w:space="0" w:color="auto"/>
              <w:right w:val="single" w:sz="12" w:space="0" w:color="auto"/>
            </w:tcBorders>
            <w:shd w:val="clear" w:color="auto" w:fill="auto"/>
            <w:vAlign w:val="center"/>
            <w:hideMark/>
          </w:tcPr>
          <w:p w14:paraId="2A93B44E"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11,8</w:t>
            </w:r>
          </w:p>
        </w:tc>
      </w:tr>
      <w:tr w:rsidR="0088171A" w:rsidRPr="008478FC" w14:paraId="4E3A7046" w14:textId="77777777" w:rsidTr="00D51245">
        <w:trPr>
          <w:trHeight w:val="3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58D27A02"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Importations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1D9F7F29"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321,5</w:t>
            </w:r>
          </w:p>
        </w:tc>
        <w:tc>
          <w:tcPr>
            <w:tcW w:w="2320" w:type="dxa"/>
            <w:tcBorders>
              <w:top w:val="nil"/>
              <w:left w:val="nil"/>
              <w:bottom w:val="single" w:sz="4" w:space="0" w:color="auto"/>
              <w:right w:val="single" w:sz="4" w:space="0" w:color="auto"/>
            </w:tcBorders>
            <w:shd w:val="clear" w:color="auto" w:fill="auto"/>
            <w:vAlign w:val="center"/>
            <w:hideMark/>
          </w:tcPr>
          <w:p w14:paraId="0ADE18F8"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42,9</w:t>
            </w:r>
          </w:p>
        </w:tc>
        <w:tc>
          <w:tcPr>
            <w:tcW w:w="2500" w:type="dxa"/>
            <w:tcBorders>
              <w:top w:val="nil"/>
              <w:left w:val="nil"/>
              <w:bottom w:val="single" w:sz="4" w:space="0" w:color="auto"/>
              <w:right w:val="single" w:sz="12" w:space="0" w:color="auto"/>
            </w:tcBorders>
            <w:shd w:val="clear" w:color="auto" w:fill="auto"/>
            <w:vAlign w:val="center"/>
            <w:hideMark/>
          </w:tcPr>
          <w:p w14:paraId="0570AA1B"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20,4</w:t>
            </w:r>
          </w:p>
        </w:tc>
      </w:tr>
      <w:tr w:rsidR="0088171A" w:rsidRPr="008478FC" w14:paraId="7667EDD2" w14:textId="77777777" w:rsidTr="00D51245">
        <w:trPr>
          <w:trHeight w:val="6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32F21C8D"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Solde commercial régional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0D3E0F03" w14:textId="77777777" w:rsidR="0088171A" w:rsidRPr="008478FC" w:rsidRDefault="0088171A"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w:t>
            </w:r>
            <w:r>
              <w:rPr>
                <w:rFonts w:ascii="Calibri" w:eastAsia="Times New Roman" w:hAnsi="Calibri" w:cs="Calibri"/>
                <w:color w:val="000000"/>
                <w:lang w:eastAsia="fr-FR"/>
              </w:rPr>
              <w:t>33,5</w:t>
            </w:r>
          </w:p>
        </w:tc>
        <w:tc>
          <w:tcPr>
            <w:tcW w:w="2320" w:type="dxa"/>
            <w:tcBorders>
              <w:top w:val="nil"/>
              <w:left w:val="nil"/>
              <w:bottom w:val="single" w:sz="4" w:space="0" w:color="auto"/>
              <w:right w:val="single" w:sz="4" w:space="0" w:color="auto"/>
            </w:tcBorders>
            <w:shd w:val="clear" w:color="auto" w:fill="auto"/>
            <w:vAlign w:val="center"/>
            <w:hideMark/>
          </w:tcPr>
          <w:p w14:paraId="20D2AC00"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21,1</w:t>
            </w:r>
          </w:p>
        </w:tc>
        <w:tc>
          <w:tcPr>
            <w:tcW w:w="2500" w:type="dxa"/>
            <w:tcBorders>
              <w:top w:val="nil"/>
              <w:left w:val="nil"/>
              <w:bottom w:val="single" w:sz="4" w:space="0" w:color="auto"/>
              <w:right w:val="single" w:sz="12" w:space="0" w:color="auto"/>
            </w:tcBorders>
            <w:shd w:val="clear" w:color="auto" w:fill="auto"/>
            <w:vAlign w:val="center"/>
            <w:hideMark/>
          </w:tcPr>
          <w:p w14:paraId="4D1D4188" w14:textId="77777777" w:rsidR="0088171A" w:rsidRPr="008478FC" w:rsidRDefault="0088171A"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w:t>
            </w:r>
            <w:r>
              <w:rPr>
                <w:rFonts w:ascii="Calibri" w:eastAsia="Times New Roman" w:hAnsi="Calibri" w:cs="Calibri"/>
                <w:color w:val="000000"/>
                <w:lang w:eastAsia="fr-FR"/>
              </w:rPr>
              <w:t>8,6</w:t>
            </w:r>
          </w:p>
        </w:tc>
      </w:tr>
      <w:tr w:rsidR="0088171A" w:rsidRPr="008478FC" w14:paraId="31C350CA" w14:textId="77777777" w:rsidTr="00D51245">
        <w:trPr>
          <w:trHeight w:val="9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0C1B9551"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 xml:space="preserve">Volume total des échanges de biens </w:t>
            </w:r>
            <w:r w:rsidRPr="008478FC">
              <w:rPr>
                <w:rFonts w:ascii="Calibri" w:eastAsia="Times New Roman" w:hAnsi="Calibri" w:cs="Calibri"/>
                <w:b/>
                <w:bCs/>
                <w:color w:val="FFFFFF"/>
                <w:lang w:eastAsia="fr-FR"/>
              </w:rPr>
              <w:br/>
              <w:t>(en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193BFA01"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609,5</w:t>
            </w:r>
          </w:p>
        </w:tc>
        <w:tc>
          <w:tcPr>
            <w:tcW w:w="2320" w:type="dxa"/>
            <w:tcBorders>
              <w:top w:val="nil"/>
              <w:left w:val="nil"/>
              <w:bottom w:val="single" w:sz="4" w:space="0" w:color="auto"/>
              <w:right w:val="single" w:sz="4" w:space="0" w:color="auto"/>
            </w:tcBorders>
            <w:shd w:val="clear" w:color="auto" w:fill="auto"/>
            <w:vAlign w:val="center"/>
            <w:hideMark/>
          </w:tcPr>
          <w:p w14:paraId="2CF2A6F8"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106,9</w:t>
            </w:r>
          </w:p>
        </w:tc>
        <w:tc>
          <w:tcPr>
            <w:tcW w:w="2500" w:type="dxa"/>
            <w:tcBorders>
              <w:top w:val="nil"/>
              <w:left w:val="nil"/>
              <w:bottom w:val="single" w:sz="4" w:space="0" w:color="auto"/>
              <w:right w:val="single" w:sz="12" w:space="0" w:color="auto"/>
            </w:tcBorders>
            <w:shd w:val="clear" w:color="auto" w:fill="auto"/>
            <w:vAlign w:val="center"/>
            <w:hideMark/>
          </w:tcPr>
          <w:p w14:paraId="73FC512E"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32,2</w:t>
            </w:r>
          </w:p>
        </w:tc>
      </w:tr>
      <w:tr w:rsidR="0088171A" w:rsidRPr="008478FC" w14:paraId="3864B70B" w14:textId="77777777" w:rsidTr="00D51245">
        <w:trPr>
          <w:trHeight w:val="915"/>
          <w:jc w:val="center"/>
        </w:trPr>
        <w:tc>
          <w:tcPr>
            <w:tcW w:w="2320" w:type="dxa"/>
            <w:tcBorders>
              <w:top w:val="nil"/>
              <w:left w:val="single" w:sz="12" w:space="0" w:color="auto"/>
              <w:bottom w:val="single" w:sz="12" w:space="0" w:color="auto"/>
              <w:right w:val="single" w:sz="4" w:space="0" w:color="auto"/>
            </w:tcBorders>
            <w:shd w:val="clear" w:color="000000" w:fill="3366FF"/>
            <w:vAlign w:val="center"/>
            <w:hideMark/>
          </w:tcPr>
          <w:p w14:paraId="2CFF319F" w14:textId="77777777" w:rsidR="0088171A" w:rsidRPr="008478FC" w:rsidRDefault="0088171A"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Part dans le commerce de biens de la Belgique</w:t>
            </w:r>
            <w:r w:rsidRPr="008478FC">
              <w:rPr>
                <w:rFonts w:ascii="Calibri" w:eastAsia="Times New Roman" w:hAnsi="Calibri" w:cs="Calibri"/>
                <w:b/>
                <w:bCs/>
                <w:color w:val="FFFFFF"/>
                <w:lang w:eastAsia="fr-FR"/>
              </w:rPr>
              <w:br/>
              <w:t>(en %)</w:t>
            </w:r>
          </w:p>
        </w:tc>
        <w:tc>
          <w:tcPr>
            <w:tcW w:w="2320" w:type="dxa"/>
            <w:tcBorders>
              <w:top w:val="nil"/>
              <w:left w:val="nil"/>
              <w:bottom w:val="single" w:sz="12" w:space="0" w:color="auto"/>
              <w:right w:val="single" w:sz="4" w:space="0" w:color="auto"/>
            </w:tcBorders>
            <w:shd w:val="clear" w:color="auto" w:fill="auto"/>
            <w:vAlign w:val="center"/>
            <w:hideMark/>
          </w:tcPr>
          <w:p w14:paraId="551F6B3D"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81,4</w:t>
            </w:r>
          </w:p>
        </w:tc>
        <w:tc>
          <w:tcPr>
            <w:tcW w:w="2320" w:type="dxa"/>
            <w:tcBorders>
              <w:top w:val="nil"/>
              <w:left w:val="nil"/>
              <w:bottom w:val="single" w:sz="12" w:space="0" w:color="auto"/>
              <w:right w:val="single" w:sz="4" w:space="0" w:color="auto"/>
            </w:tcBorders>
            <w:shd w:val="clear" w:color="auto" w:fill="auto"/>
            <w:vAlign w:val="center"/>
            <w:hideMark/>
          </w:tcPr>
          <w:p w14:paraId="3161F221"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14,3</w:t>
            </w:r>
          </w:p>
        </w:tc>
        <w:tc>
          <w:tcPr>
            <w:tcW w:w="2500" w:type="dxa"/>
            <w:tcBorders>
              <w:top w:val="nil"/>
              <w:left w:val="nil"/>
              <w:bottom w:val="single" w:sz="12" w:space="0" w:color="auto"/>
              <w:right w:val="single" w:sz="12" w:space="0" w:color="auto"/>
            </w:tcBorders>
            <w:shd w:val="clear" w:color="auto" w:fill="auto"/>
            <w:vAlign w:val="center"/>
            <w:hideMark/>
          </w:tcPr>
          <w:p w14:paraId="1592B634" w14:textId="77777777" w:rsidR="0088171A" w:rsidRPr="008478FC" w:rsidRDefault="0088171A" w:rsidP="00D51245">
            <w:pPr>
              <w:spacing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4,3</w:t>
            </w:r>
          </w:p>
        </w:tc>
      </w:tr>
      <w:tr w:rsidR="0088171A" w:rsidRPr="008478FC" w14:paraId="496ECAB9" w14:textId="77777777" w:rsidTr="00D51245">
        <w:trPr>
          <w:trHeight w:val="315"/>
          <w:jc w:val="center"/>
        </w:trPr>
        <w:tc>
          <w:tcPr>
            <w:tcW w:w="2320" w:type="dxa"/>
            <w:tcBorders>
              <w:top w:val="nil"/>
              <w:left w:val="nil"/>
              <w:bottom w:val="nil"/>
              <w:right w:val="nil"/>
            </w:tcBorders>
            <w:shd w:val="clear" w:color="auto" w:fill="auto"/>
            <w:vAlign w:val="bottom"/>
            <w:hideMark/>
          </w:tcPr>
          <w:p w14:paraId="0ACEE5C9" w14:textId="77777777" w:rsidR="0088171A" w:rsidRPr="008478FC" w:rsidRDefault="0088171A" w:rsidP="00D51245">
            <w:pPr>
              <w:spacing w:line="240" w:lineRule="auto"/>
              <w:jc w:val="center"/>
              <w:rPr>
                <w:rFonts w:ascii="Calibri" w:eastAsia="Times New Roman" w:hAnsi="Calibri" w:cs="Calibri"/>
                <w:color w:val="000000"/>
                <w:lang w:eastAsia="fr-FR"/>
              </w:rPr>
            </w:pPr>
          </w:p>
        </w:tc>
        <w:tc>
          <w:tcPr>
            <w:tcW w:w="2320" w:type="dxa"/>
            <w:tcBorders>
              <w:top w:val="nil"/>
              <w:left w:val="nil"/>
              <w:bottom w:val="nil"/>
              <w:right w:val="nil"/>
            </w:tcBorders>
            <w:shd w:val="clear" w:color="auto" w:fill="auto"/>
            <w:vAlign w:val="center"/>
            <w:hideMark/>
          </w:tcPr>
          <w:p w14:paraId="3E51F9C1" w14:textId="77777777" w:rsidR="0088171A" w:rsidRPr="008478FC" w:rsidRDefault="0088171A" w:rsidP="00D51245">
            <w:pPr>
              <w:spacing w:line="240" w:lineRule="auto"/>
              <w:rPr>
                <w:rFonts w:ascii="Times New Roman" w:eastAsia="Times New Roman" w:hAnsi="Times New Roman" w:cs="Times New Roman"/>
                <w:sz w:val="20"/>
                <w:szCs w:val="20"/>
                <w:lang w:eastAsia="fr-FR"/>
              </w:rPr>
            </w:pPr>
          </w:p>
        </w:tc>
        <w:tc>
          <w:tcPr>
            <w:tcW w:w="2320" w:type="dxa"/>
            <w:tcBorders>
              <w:top w:val="nil"/>
              <w:left w:val="nil"/>
              <w:bottom w:val="nil"/>
              <w:right w:val="nil"/>
            </w:tcBorders>
            <w:shd w:val="clear" w:color="auto" w:fill="auto"/>
            <w:noWrap/>
            <w:vAlign w:val="center"/>
            <w:hideMark/>
          </w:tcPr>
          <w:p w14:paraId="69E7419E"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c>
          <w:tcPr>
            <w:tcW w:w="2500" w:type="dxa"/>
            <w:tcBorders>
              <w:top w:val="nil"/>
              <w:left w:val="nil"/>
              <w:bottom w:val="nil"/>
              <w:right w:val="nil"/>
            </w:tcBorders>
            <w:shd w:val="clear" w:color="auto" w:fill="auto"/>
            <w:noWrap/>
            <w:vAlign w:val="center"/>
            <w:hideMark/>
          </w:tcPr>
          <w:p w14:paraId="67CD48CD"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r>
      <w:tr w:rsidR="0088171A" w:rsidRPr="008478FC" w14:paraId="253E7BBE" w14:textId="77777777" w:rsidTr="00D51245">
        <w:trPr>
          <w:trHeight w:val="300"/>
          <w:jc w:val="center"/>
        </w:trPr>
        <w:tc>
          <w:tcPr>
            <w:tcW w:w="9460" w:type="dxa"/>
            <w:gridSpan w:val="4"/>
            <w:tcBorders>
              <w:top w:val="nil"/>
              <w:left w:val="nil"/>
              <w:bottom w:val="nil"/>
              <w:right w:val="nil"/>
            </w:tcBorders>
            <w:shd w:val="clear" w:color="auto" w:fill="auto"/>
            <w:vAlign w:val="bottom"/>
            <w:hideMark/>
          </w:tcPr>
          <w:p w14:paraId="3A63E46A" w14:textId="77777777" w:rsidR="0088171A" w:rsidRPr="008478FC" w:rsidRDefault="0088171A" w:rsidP="00D51245">
            <w:pPr>
              <w:spacing w:line="240" w:lineRule="auto"/>
              <w:jc w:val="center"/>
              <w:rPr>
                <w:rFonts w:ascii="Calibri" w:eastAsia="Times New Roman" w:hAnsi="Calibri" w:cs="Calibri"/>
                <w:i/>
                <w:iCs/>
                <w:color w:val="000000"/>
                <w:lang w:eastAsia="fr-FR"/>
              </w:rPr>
            </w:pPr>
            <w:r w:rsidRPr="008478FC">
              <w:rPr>
                <w:rFonts w:ascii="Calibri" w:eastAsia="Times New Roman" w:hAnsi="Calibri" w:cs="Calibri"/>
                <w:i/>
                <w:iCs/>
                <w:color w:val="000000"/>
                <w:lang w:eastAsia="fr-FR"/>
              </w:rPr>
              <w:t>Source : Banque nationale de Belgique  ; calculs : SE de Bruxelles</w:t>
            </w:r>
          </w:p>
        </w:tc>
      </w:tr>
    </w:tbl>
    <w:p w14:paraId="5EC21D7A" w14:textId="0B8C6D95" w:rsidR="0088171A" w:rsidRDefault="0088171A" w:rsidP="00F867DF">
      <w:pPr>
        <w:spacing w:line="240" w:lineRule="auto"/>
        <w:jc w:val="center"/>
        <w:rPr>
          <w:rStyle w:val="Rfrenceintense"/>
        </w:rPr>
      </w:pPr>
    </w:p>
    <w:p w14:paraId="36797554" w14:textId="08EF459F" w:rsidR="0088171A" w:rsidRDefault="0088171A" w:rsidP="00F867DF">
      <w:pPr>
        <w:spacing w:line="240" w:lineRule="auto"/>
        <w:jc w:val="center"/>
        <w:rPr>
          <w:rStyle w:val="Rfrenceintense"/>
        </w:rPr>
      </w:pPr>
      <w:r>
        <w:rPr>
          <w:rStyle w:val="Rfrenceintense"/>
        </w:rPr>
        <w:t>ANNEXE 14 :</w:t>
      </w:r>
      <w:r w:rsidR="00005A72" w:rsidRPr="00005A72">
        <w:rPr>
          <w:rFonts w:ascii="Calibri" w:eastAsia="Times New Roman" w:hAnsi="Calibri" w:cs="Calibri"/>
          <w:b/>
          <w:bCs/>
          <w:color w:val="000000"/>
          <w:sz w:val="26"/>
          <w:szCs w:val="26"/>
          <w:lang w:eastAsia="fr-FR"/>
        </w:rPr>
        <w:t xml:space="preserve"> </w:t>
      </w:r>
      <w:r w:rsidR="00005A72" w:rsidRPr="00005A72">
        <w:rPr>
          <w:rStyle w:val="Rfrenceintense"/>
        </w:rPr>
        <w:t>Part des régions belges dans le commerce national en 2022 - concept national</w:t>
      </w:r>
      <w:r>
        <w:rPr>
          <w:rStyle w:val="Rfrenceintense"/>
        </w:rPr>
        <w:t xml:space="preserve"> </w:t>
      </w:r>
    </w:p>
    <w:tbl>
      <w:tblPr>
        <w:tblW w:w="9460" w:type="dxa"/>
        <w:jc w:val="center"/>
        <w:tblCellMar>
          <w:left w:w="70" w:type="dxa"/>
          <w:right w:w="70" w:type="dxa"/>
        </w:tblCellMar>
        <w:tblLook w:val="04A0" w:firstRow="1" w:lastRow="0" w:firstColumn="1" w:lastColumn="0" w:noHBand="0" w:noVBand="1"/>
      </w:tblPr>
      <w:tblGrid>
        <w:gridCol w:w="2320"/>
        <w:gridCol w:w="2320"/>
        <w:gridCol w:w="2320"/>
        <w:gridCol w:w="2500"/>
      </w:tblGrid>
      <w:tr w:rsidR="00005A72" w:rsidRPr="008478FC" w14:paraId="071EF701" w14:textId="77777777" w:rsidTr="00D51245">
        <w:trPr>
          <w:trHeight w:val="330"/>
          <w:jc w:val="center"/>
        </w:trPr>
        <w:tc>
          <w:tcPr>
            <w:tcW w:w="2320" w:type="dxa"/>
            <w:tcBorders>
              <w:top w:val="nil"/>
              <w:left w:val="nil"/>
              <w:bottom w:val="single" w:sz="12" w:space="0" w:color="auto"/>
              <w:right w:val="single" w:sz="12" w:space="0" w:color="auto"/>
            </w:tcBorders>
            <w:shd w:val="clear" w:color="auto" w:fill="auto"/>
            <w:vAlign w:val="bottom"/>
            <w:hideMark/>
          </w:tcPr>
          <w:p w14:paraId="09751F5A"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 </w:t>
            </w:r>
          </w:p>
        </w:tc>
        <w:tc>
          <w:tcPr>
            <w:tcW w:w="2320" w:type="dxa"/>
            <w:tcBorders>
              <w:top w:val="single" w:sz="12" w:space="0" w:color="auto"/>
              <w:left w:val="nil"/>
              <w:bottom w:val="single" w:sz="4" w:space="0" w:color="auto"/>
              <w:right w:val="single" w:sz="4" w:space="0" w:color="auto"/>
            </w:tcBorders>
            <w:shd w:val="clear" w:color="000000" w:fill="3366FF"/>
            <w:vAlign w:val="center"/>
            <w:hideMark/>
          </w:tcPr>
          <w:p w14:paraId="6D407185" w14:textId="77777777" w:rsidR="00005A72" w:rsidRPr="008478FC" w:rsidRDefault="00005A72"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Flandre</w:t>
            </w:r>
          </w:p>
        </w:tc>
        <w:tc>
          <w:tcPr>
            <w:tcW w:w="2320" w:type="dxa"/>
            <w:tcBorders>
              <w:top w:val="single" w:sz="12" w:space="0" w:color="auto"/>
              <w:left w:val="single" w:sz="12" w:space="0" w:color="auto"/>
              <w:bottom w:val="single" w:sz="4" w:space="0" w:color="auto"/>
              <w:right w:val="single" w:sz="4" w:space="0" w:color="auto"/>
            </w:tcBorders>
            <w:shd w:val="clear" w:color="000000" w:fill="3366FF"/>
            <w:vAlign w:val="center"/>
            <w:hideMark/>
          </w:tcPr>
          <w:p w14:paraId="5C4FF380" w14:textId="77777777" w:rsidR="00005A72" w:rsidRPr="008478FC" w:rsidRDefault="00005A72"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Wallonie</w:t>
            </w:r>
          </w:p>
        </w:tc>
        <w:tc>
          <w:tcPr>
            <w:tcW w:w="2500" w:type="dxa"/>
            <w:tcBorders>
              <w:top w:val="single" w:sz="12" w:space="0" w:color="auto"/>
              <w:left w:val="nil"/>
              <w:bottom w:val="single" w:sz="4" w:space="0" w:color="auto"/>
              <w:right w:val="single" w:sz="12" w:space="0" w:color="auto"/>
            </w:tcBorders>
            <w:shd w:val="clear" w:color="000000" w:fill="3366FF"/>
            <w:vAlign w:val="center"/>
            <w:hideMark/>
          </w:tcPr>
          <w:p w14:paraId="023D5CD5" w14:textId="77777777" w:rsidR="00005A72" w:rsidRPr="008478FC" w:rsidRDefault="00005A72" w:rsidP="00D51245">
            <w:pPr>
              <w:spacing w:line="240" w:lineRule="auto"/>
              <w:jc w:val="center"/>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Bruxelles-Capitale</w:t>
            </w:r>
          </w:p>
        </w:tc>
      </w:tr>
      <w:tr w:rsidR="00005A72" w:rsidRPr="008478FC" w14:paraId="45D0D00F" w14:textId="77777777" w:rsidTr="00D51245">
        <w:trPr>
          <w:trHeight w:val="315"/>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49F68781"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Exportations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11B93BCB"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339</w:t>
            </w:r>
            <w:r>
              <w:rPr>
                <w:rFonts w:ascii="Calibri" w:eastAsia="Times New Roman" w:hAnsi="Calibri" w:cs="Calibri"/>
                <w:color w:val="000000"/>
                <w:lang w:eastAsia="fr-FR"/>
              </w:rPr>
              <w:t>,4</w:t>
            </w:r>
            <w:r w:rsidRPr="008478FC">
              <w:rPr>
                <w:rFonts w:ascii="Calibri" w:eastAsia="Times New Roman" w:hAnsi="Calibri" w:cs="Calibri"/>
                <w:color w:val="000000"/>
                <w:lang w:eastAsia="fr-FR"/>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0A37A06F"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91</w:t>
            </w:r>
            <w:r>
              <w:rPr>
                <w:rFonts w:ascii="Calibri" w:eastAsia="Times New Roman" w:hAnsi="Calibri" w:cs="Calibri"/>
                <w:color w:val="000000"/>
                <w:lang w:eastAsia="fr-FR"/>
              </w:rPr>
              <w:t>,2</w:t>
            </w:r>
          </w:p>
        </w:tc>
        <w:tc>
          <w:tcPr>
            <w:tcW w:w="2500" w:type="dxa"/>
            <w:tcBorders>
              <w:top w:val="nil"/>
              <w:left w:val="nil"/>
              <w:bottom w:val="single" w:sz="4" w:space="0" w:color="auto"/>
              <w:right w:val="single" w:sz="12" w:space="0" w:color="auto"/>
            </w:tcBorders>
            <w:shd w:val="clear" w:color="auto" w:fill="auto"/>
            <w:vAlign w:val="center"/>
            <w:hideMark/>
          </w:tcPr>
          <w:p w14:paraId="131272F5"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9</w:t>
            </w:r>
            <w:r>
              <w:rPr>
                <w:rFonts w:ascii="Calibri" w:eastAsia="Times New Roman" w:hAnsi="Calibri" w:cs="Calibri"/>
                <w:color w:val="000000"/>
                <w:lang w:eastAsia="fr-FR"/>
              </w:rPr>
              <w:t xml:space="preserve">,6 </w:t>
            </w:r>
            <w:r w:rsidRPr="008478FC">
              <w:rPr>
                <w:rFonts w:ascii="Calibri" w:eastAsia="Times New Roman" w:hAnsi="Calibri" w:cs="Calibri"/>
                <w:color w:val="000000"/>
                <w:lang w:eastAsia="fr-FR"/>
              </w:rPr>
              <w:t xml:space="preserve"> </w:t>
            </w:r>
          </w:p>
        </w:tc>
      </w:tr>
      <w:tr w:rsidR="00005A72" w:rsidRPr="008478FC" w14:paraId="2F506754" w14:textId="77777777" w:rsidTr="00D51245">
        <w:trPr>
          <w:trHeight w:val="3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76CAABFC"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Importations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5834C8E6"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379</w:t>
            </w:r>
            <w:r>
              <w:rPr>
                <w:rFonts w:ascii="Calibri" w:eastAsia="Times New Roman" w:hAnsi="Calibri" w:cs="Calibri"/>
                <w:color w:val="000000"/>
                <w:lang w:eastAsia="fr-FR"/>
              </w:rPr>
              <w:t xml:space="preserve">,8 </w:t>
            </w:r>
            <w:r w:rsidRPr="008478FC">
              <w:rPr>
                <w:rFonts w:ascii="Calibri" w:eastAsia="Times New Roman" w:hAnsi="Calibri" w:cs="Calibri"/>
                <w:color w:val="000000"/>
                <w:lang w:eastAsia="fr-FR"/>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7C0BFE30"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50</w:t>
            </w:r>
            <w:r>
              <w:rPr>
                <w:rFonts w:ascii="Calibri" w:eastAsia="Times New Roman" w:hAnsi="Calibri" w:cs="Calibri"/>
                <w:color w:val="000000"/>
                <w:lang w:eastAsia="fr-FR"/>
              </w:rPr>
              <w:t>,9</w:t>
            </w:r>
            <w:r w:rsidRPr="008478FC">
              <w:rPr>
                <w:rFonts w:ascii="Calibri" w:eastAsia="Times New Roman" w:hAnsi="Calibri" w:cs="Calibri"/>
                <w:color w:val="000000"/>
                <w:lang w:eastAsia="fr-FR"/>
              </w:rPr>
              <w:t xml:space="preserve"> </w:t>
            </w:r>
          </w:p>
        </w:tc>
        <w:tc>
          <w:tcPr>
            <w:tcW w:w="2500" w:type="dxa"/>
            <w:tcBorders>
              <w:top w:val="nil"/>
              <w:left w:val="nil"/>
              <w:bottom w:val="single" w:sz="4" w:space="0" w:color="auto"/>
              <w:right w:val="single" w:sz="12" w:space="0" w:color="auto"/>
            </w:tcBorders>
            <w:shd w:val="clear" w:color="auto" w:fill="auto"/>
            <w:vAlign w:val="center"/>
            <w:hideMark/>
          </w:tcPr>
          <w:p w14:paraId="73236115"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17</w:t>
            </w:r>
            <w:r>
              <w:rPr>
                <w:rFonts w:ascii="Calibri" w:eastAsia="Times New Roman" w:hAnsi="Calibri" w:cs="Calibri"/>
                <w:color w:val="000000"/>
                <w:lang w:eastAsia="fr-FR"/>
              </w:rPr>
              <w:t>,3</w:t>
            </w:r>
            <w:r w:rsidRPr="008478FC">
              <w:rPr>
                <w:rFonts w:ascii="Calibri" w:eastAsia="Times New Roman" w:hAnsi="Calibri" w:cs="Calibri"/>
                <w:color w:val="000000"/>
                <w:lang w:eastAsia="fr-FR"/>
              </w:rPr>
              <w:t xml:space="preserve"> </w:t>
            </w:r>
          </w:p>
        </w:tc>
      </w:tr>
      <w:tr w:rsidR="00005A72" w:rsidRPr="008478FC" w14:paraId="73BA65F3" w14:textId="77777777" w:rsidTr="00D51245">
        <w:trPr>
          <w:trHeight w:val="6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3A98CF5E"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Solde commercial régional (en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1358186D"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-40</w:t>
            </w:r>
            <w:r>
              <w:rPr>
                <w:rFonts w:ascii="Calibri" w:eastAsia="Times New Roman" w:hAnsi="Calibri" w:cs="Calibri"/>
                <w:color w:val="000000"/>
                <w:lang w:eastAsia="fr-FR"/>
              </w:rPr>
              <w:t>,5</w:t>
            </w:r>
            <w:r w:rsidRPr="008478FC">
              <w:rPr>
                <w:rFonts w:ascii="Calibri" w:eastAsia="Times New Roman" w:hAnsi="Calibri" w:cs="Calibri"/>
                <w:color w:val="000000"/>
                <w:lang w:eastAsia="fr-FR"/>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35ADC7D1"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40</w:t>
            </w:r>
            <w:r>
              <w:rPr>
                <w:rFonts w:ascii="Calibri" w:eastAsia="Times New Roman" w:hAnsi="Calibri" w:cs="Calibri"/>
                <w:color w:val="000000"/>
                <w:lang w:eastAsia="fr-FR"/>
              </w:rPr>
              <w:t>,2</w:t>
            </w:r>
            <w:r w:rsidRPr="008478FC">
              <w:rPr>
                <w:rFonts w:ascii="Calibri" w:eastAsia="Times New Roman" w:hAnsi="Calibri" w:cs="Calibri"/>
                <w:color w:val="000000"/>
                <w:lang w:eastAsia="fr-FR"/>
              </w:rPr>
              <w:t xml:space="preserve"> </w:t>
            </w:r>
          </w:p>
        </w:tc>
        <w:tc>
          <w:tcPr>
            <w:tcW w:w="2500" w:type="dxa"/>
            <w:tcBorders>
              <w:top w:val="nil"/>
              <w:left w:val="nil"/>
              <w:bottom w:val="single" w:sz="4" w:space="0" w:color="auto"/>
              <w:right w:val="single" w:sz="12" w:space="0" w:color="auto"/>
            </w:tcBorders>
            <w:shd w:val="clear" w:color="auto" w:fill="auto"/>
            <w:vAlign w:val="center"/>
            <w:hideMark/>
          </w:tcPr>
          <w:p w14:paraId="66D77BEF"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-7</w:t>
            </w:r>
            <w:r>
              <w:rPr>
                <w:rFonts w:ascii="Calibri" w:eastAsia="Times New Roman" w:hAnsi="Calibri" w:cs="Calibri"/>
                <w:color w:val="000000"/>
                <w:lang w:eastAsia="fr-FR"/>
              </w:rPr>
              <w:t xml:space="preserve">,6 </w:t>
            </w:r>
          </w:p>
        </w:tc>
      </w:tr>
      <w:tr w:rsidR="00005A72" w:rsidRPr="008478FC" w14:paraId="5E614C73" w14:textId="77777777" w:rsidTr="00D51245">
        <w:trPr>
          <w:trHeight w:val="900"/>
          <w:jc w:val="center"/>
        </w:trPr>
        <w:tc>
          <w:tcPr>
            <w:tcW w:w="2320" w:type="dxa"/>
            <w:tcBorders>
              <w:top w:val="nil"/>
              <w:left w:val="single" w:sz="12" w:space="0" w:color="auto"/>
              <w:bottom w:val="single" w:sz="4" w:space="0" w:color="auto"/>
              <w:right w:val="single" w:sz="4" w:space="0" w:color="auto"/>
            </w:tcBorders>
            <w:shd w:val="clear" w:color="000000" w:fill="3366FF"/>
            <w:vAlign w:val="center"/>
            <w:hideMark/>
          </w:tcPr>
          <w:p w14:paraId="50E60B38"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 xml:space="preserve">Volume total des échanges de biens </w:t>
            </w:r>
            <w:r w:rsidRPr="008478FC">
              <w:rPr>
                <w:rFonts w:ascii="Calibri" w:eastAsia="Times New Roman" w:hAnsi="Calibri" w:cs="Calibri"/>
                <w:b/>
                <w:bCs/>
                <w:color w:val="FFFFFF"/>
                <w:lang w:eastAsia="fr-FR"/>
              </w:rPr>
              <w:br/>
              <w:t>(en M</w:t>
            </w:r>
            <w:r>
              <w:rPr>
                <w:rFonts w:ascii="Calibri" w:eastAsia="Times New Roman" w:hAnsi="Calibri" w:cs="Calibri"/>
                <w:b/>
                <w:bCs/>
                <w:color w:val="FFFFFF"/>
                <w:lang w:eastAsia="fr-FR"/>
              </w:rPr>
              <w:t xml:space="preserve">d </w:t>
            </w:r>
            <w:r w:rsidRPr="008478FC">
              <w:rPr>
                <w:rFonts w:ascii="Calibri" w:eastAsia="Times New Roman" w:hAnsi="Calibri" w:cs="Calibri"/>
                <w:b/>
                <w:bCs/>
                <w:color w:val="FFFFFF"/>
                <w:lang w:eastAsia="fr-FR"/>
              </w:rPr>
              <w:t>€)</w:t>
            </w:r>
          </w:p>
        </w:tc>
        <w:tc>
          <w:tcPr>
            <w:tcW w:w="2320" w:type="dxa"/>
            <w:tcBorders>
              <w:top w:val="nil"/>
              <w:left w:val="nil"/>
              <w:bottom w:val="single" w:sz="4" w:space="0" w:color="auto"/>
              <w:right w:val="single" w:sz="4" w:space="0" w:color="auto"/>
            </w:tcBorders>
            <w:shd w:val="clear" w:color="auto" w:fill="auto"/>
            <w:vAlign w:val="center"/>
            <w:hideMark/>
          </w:tcPr>
          <w:p w14:paraId="24494B92"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719</w:t>
            </w:r>
            <w:r>
              <w:rPr>
                <w:rFonts w:ascii="Calibri" w:eastAsia="Times New Roman" w:hAnsi="Calibri" w:cs="Calibri"/>
                <w:color w:val="000000"/>
                <w:lang w:eastAsia="fr-FR"/>
              </w:rPr>
              <w:t xml:space="preserve">,1 </w:t>
            </w:r>
            <w:r w:rsidRPr="008478FC">
              <w:rPr>
                <w:rFonts w:ascii="Calibri" w:eastAsia="Times New Roman" w:hAnsi="Calibri" w:cs="Calibri"/>
                <w:color w:val="000000"/>
                <w:lang w:eastAsia="fr-FR"/>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2AE4ECEB"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142</w:t>
            </w:r>
            <w:r>
              <w:rPr>
                <w:rFonts w:ascii="Calibri" w:eastAsia="Times New Roman" w:hAnsi="Calibri" w:cs="Calibri"/>
                <w:color w:val="000000"/>
                <w:lang w:eastAsia="fr-FR"/>
              </w:rPr>
              <w:t xml:space="preserve">,2 </w:t>
            </w:r>
          </w:p>
        </w:tc>
        <w:tc>
          <w:tcPr>
            <w:tcW w:w="2500" w:type="dxa"/>
            <w:tcBorders>
              <w:top w:val="nil"/>
              <w:left w:val="nil"/>
              <w:bottom w:val="single" w:sz="4" w:space="0" w:color="auto"/>
              <w:right w:val="single" w:sz="12" w:space="0" w:color="auto"/>
            </w:tcBorders>
            <w:shd w:val="clear" w:color="auto" w:fill="auto"/>
            <w:vAlign w:val="center"/>
            <w:hideMark/>
          </w:tcPr>
          <w:p w14:paraId="2B61B4C9"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26</w:t>
            </w:r>
            <w:r>
              <w:rPr>
                <w:rFonts w:ascii="Calibri" w:eastAsia="Times New Roman" w:hAnsi="Calibri" w:cs="Calibri"/>
                <w:color w:val="000000"/>
                <w:lang w:eastAsia="fr-FR"/>
              </w:rPr>
              <w:t>,9</w:t>
            </w:r>
            <w:r w:rsidRPr="008478FC">
              <w:rPr>
                <w:rFonts w:ascii="Calibri" w:eastAsia="Times New Roman" w:hAnsi="Calibri" w:cs="Calibri"/>
                <w:color w:val="000000"/>
                <w:lang w:eastAsia="fr-FR"/>
              </w:rPr>
              <w:t xml:space="preserve"> </w:t>
            </w:r>
          </w:p>
        </w:tc>
      </w:tr>
      <w:tr w:rsidR="00005A72" w:rsidRPr="008478FC" w14:paraId="47BD402A" w14:textId="77777777" w:rsidTr="00D51245">
        <w:trPr>
          <w:trHeight w:val="915"/>
          <w:jc w:val="center"/>
        </w:trPr>
        <w:tc>
          <w:tcPr>
            <w:tcW w:w="2320" w:type="dxa"/>
            <w:tcBorders>
              <w:top w:val="nil"/>
              <w:left w:val="single" w:sz="12" w:space="0" w:color="auto"/>
              <w:bottom w:val="single" w:sz="12" w:space="0" w:color="auto"/>
              <w:right w:val="single" w:sz="4" w:space="0" w:color="auto"/>
            </w:tcBorders>
            <w:shd w:val="clear" w:color="000000" w:fill="3366FF"/>
            <w:vAlign w:val="center"/>
            <w:hideMark/>
          </w:tcPr>
          <w:p w14:paraId="55BEB1EA" w14:textId="77777777" w:rsidR="00005A72" w:rsidRPr="008478FC" w:rsidRDefault="00005A72" w:rsidP="00D51245">
            <w:pPr>
              <w:spacing w:line="240" w:lineRule="auto"/>
              <w:rPr>
                <w:rFonts w:ascii="Calibri" w:eastAsia="Times New Roman" w:hAnsi="Calibri" w:cs="Calibri"/>
                <w:b/>
                <w:bCs/>
                <w:color w:val="FFFFFF"/>
                <w:lang w:eastAsia="fr-FR"/>
              </w:rPr>
            </w:pPr>
            <w:r w:rsidRPr="008478FC">
              <w:rPr>
                <w:rFonts w:ascii="Calibri" w:eastAsia="Times New Roman" w:hAnsi="Calibri" w:cs="Calibri"/>
                <w:b/>
                <w:bCs/>
                <w:color w:val="FFFFFF"/>
                <w:lang w:eastAsia="fr-FR"/>
              </w:rPr>
              <w:t>Part dans le commerce de biens de la Belgique</w:t>
            </w:r>
            <w:r w:rsidRPr="008478FC">
              <w:rPr>
                <w:rFonts w:ascii="Calibri" w:eastAsia="Times New Roman" w:hAnsi="Calibri" w:cs="Calibri"/>
                <w:b/>
                <w:bCs/>
                <w:color w:val="FFFFFF"/>
                <w:lang w:eastAsia="fr-FR"/>
              </w:rPr>
              <w:br/>
              <w:t>(en %)</w:t>
            </w:r>
          </w:p>
        </w:tc>
        <w:tc>
          <w:tcPr>
            <w:tcW w:w="2320" w:type="dxa"/>
            <w:tcBorders>
              <w:top w:val="nil"/>
              <w:left w:val="nil"/>
              <w:bottom w:val="single" w:sz="12" w:space="0" w:color="auto"/>
              <w:right w:val="single" w:sz="4" w:space="0" w:color="auto"/>
            </w:tcBorders>
            <w:shd w:val="clear" w:color="auto" w:fill="auto"/>
            <w:vAlign w:val="center"/>
            <w:hideMark/>
          </w:tcPr>
          <w:p w14:paraId="0FBC4B8E"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8</w:t>
            </w:r>
            <w:r>
              <w:rPr>
                <w:rFonts w:ascii="Calibri" w:eastAsia="Times New Roman" w:hAnsi="Calibri" w:cs="Calibri"/>
                <w:color w:val="000000"/>
                <w:lang w:eastAsia="fr-FR"/>
              </w:rPr>
              <w:t>1</w:t>
            </w:r>
          </w:p>
        </w:tc>
        <w:tc>
          <w:tcPr>
            <w:tcW w:w="2320" w:type="dxa"/>
            <w:tcBorders>
              <w:top w:val="nil"/>
              <w:left w:val="nil"/>
              <w:bottom w:val="single" w:sz="12" w:space="0" w:color="auto"/>
              <w:right w:val="single" w:sz="4" w:space="0" w:color="auto"/>
            </w:tcBorders>
            <w:shd w:val="clear" w:color="auto" w:fill="auto"/>
            <w:vAlign w:val="center"/>
            <w:hideMark/>
          </w:tcPr>
          <w:p w14:paraId="45AB4F7E"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16</w:t>
            </w:r>
          </w:p>
        </w:tc>
        <w:tc>
          <w:tcPr>
            <w:tcW w:w="2500" w:type="dxa"/>
            <w:tcBorders>
              <w:top w:val="nil"/>
              <w:left w:val="nil"/>
              <w:bottom w:val="single" w:sz="12" w:space="0" w:color="auto"/>
              <w:right w:val="single" w:sz="12" w:space="0" w:color="auto"/>
            </w:tcBorders>
            <w:shd w:val="clear" w:color="auto" w:fill="auto"/>
            <w:vAlign w:val="center"/>
            <w:hideMark/>
          </w:tcPr>
          <w:p w14:paraId="5815647F" w14:textId="77777777" w:rsidR="00005A72" w:rsidRPr="008478FC" w:rsidRDefault="00005A72" w:rsidP="00D51245">
            <w:pPr>
              <w:spacing w:line="240" w:lineRule="auto"/>
              <w:jc w:val="center"/>
              <w:rPr>
                <w:rFonts w:ascii="Calibri" w:eastAsia="Times New Roman" w:hAnsi="Calibri" w:cs="Calibri"/>
                <w:color w:val="000000"/>
                <w:lang w:eastAsia="fr-FR"/>
              </w:rPr>
            </w:pPr>
            <w:r w:rsidRPr="008478FC">
              <w:rPr>
                <w:rFonts w:ascii="Calibri" w:eastAsia="Times New Roman" w:hAnsi="Calibri" w:cs="Calibri"/>
                <w:color w:val="000000"/>
                <w:lang w:eastAsia="fr-FR"/>
              </w:rPr>
              <w:t>3</w:t>
            </w:r>
          </w:p>
        </w:tc>
      </w:tr>
      <w:tr w:rsidR="00005A72" w:rsidRPr="008478FC" w14:paraId="5B6A10B9" w14:textId="77777777" w:rsidTr="00D51245">
        <w:trPr>
          <w:trHeight w:val="315"/>
          <w:jc w:val="center"/>
        </w:trPr>
        <w:tc>
          <w:tcPr>
            <w:tcW w:w="2320" w:type="dxa"/>
            <w:tcBorders>
              <w:top w:val="nil"/>
              <w:left w:val="nil"/>
              <w:bottom w:val="nil"/>
              <w:right w:val="nil"/>
            </w:tcBorders>
            <w:shd w:val="clear" w:color="auto" w:fill="auto"/>
            <w:vAlign w:val="bottom"/>
            <w:hideMark/>
          </w:tcPr>
          <w:p w14:paraId="425377E7" w14:textId="77777777" w:rsidR="00005A72" w:rsidRPr="008478FC" w:rsidRDefault="00005A72" w:rsidP="00D51245">
            <w:pPr>
              <w:spacing w:line="240" w:lineRule="auto"/>
              <w:jc w:val="center"/>
              <w:rPr>
                <w:rFonts w:ascii="Calibri" w:eastAsia="Times New Roman" w:hAnsi="Calibri" w:cs="Calibri"/>
                <w:color w:val="000000"/>
                <w:lang w:eastAsia="fr-FR"/>
              </w:rPr>
            </w:pPr>
          </w:p>
        </w:tc>
        <w:tc>
          <w:tcPr>
            <w:tcW w:w="2320" w:type="dxa"/>
            <w:tcBorders>
              <w:top w:val="nil"/>
              <w:left w:val="nil"/>
              <w:bottom w:val="nil"/>
              <w:right w:val="nil"/>
            </w:tcBorders>
            <w:shd w:val="clear" w:color="auto" w:fill="auto"/>
            <w:vAlign w:val="center"/>
            <w:hideMark/>
          </w:tcPr>
          <w:p w14:paraId="172BC14C" w14:textId="77777777" w:rsidR="00005A72" w:rsidRPr="008478FC" w:rsidRDefault="00005A72" w:rsidP="00D51245">
            <w:pPr>
              <w:spacing w:line="240" w:lineRule="auto"/>
              <w:rPr>
                <w:rFonts w:ascii="Times New Roman" w:eastAsia="Times New Roman" w:hAnsi="Times New Roman" w:cs="Times New Roman"/>
                <w:sz w:val="20"/>
                <w:szCs w:val="20"/>
                <w:lang w:eastAsia="fr-FR"/>
              </w:rPr>
            </w:pPr>
          </w:p>
        </w:tc>
        <w:tc>
          <w:tcPr>
            <w:tcW w:w="2320" w:type="dxa"/>
            <w:tcBorders>
              <w:top w:val="nil"/>
              <w:left w:val="nil"/>
              <w:bottom w:val="nil"/>
              <w:right w:val="nil"/>
            </w:tcBorders>
            <w:shd w:val="clear" w:color="auto" w:fill="auto"/>
            <w:noWrap/>
            <w:vAlign w:val="center"/>
            <w:hideMark/>
          </w:tcPr>
          <w:p w14:paraId="04A33510" w14:textId="77777777" w:rsidR="00005A72" w:rsidRPr="008478FC" w:rsidRDefault="00005A72" w:rsidP="00D51245">
            <w:pPr>
              <w:spacing w:line="240" w:lineRule="auto"/>
              <w:jc w:val="center"/>
              <w:rPr>
                <w:rFonts w:ascii="Times New Roman" w:eastAsia="Times New Roman" w:hAnsi="Times New Roman" w:cs="Times New Roman"/>
                <w:sz w:val="20"/>
                <w:szCs w:val="20"/>
                <w:lang w:eastAsia="fr-FR"/>
              </w:rPr>
            </w:pPr>
          </w:p>
        </w:tc>
        <w:tc>
          <w:tcPr>
            <w:tcW w:w="2500" w:type="dxa"/>
            <w:tcBorders>
              <w:top w:val="nil"/>
              <w:left w:val="nil"/>
              <w:bottom w:val="nil"/>
              <w:right w:val="nil"/>
            </w:tcBorders>
            <w:shd w:val="clear" w:color="auto" w:fill="auto"/>
            <w:noWrap/>
            <w:vAlign w:val="center"/>
            <w:hideMark/>
          </w:tcPr>
          <w:p w14:paraId="04375FFD" w14:textId="77777777" w:rsidR="00005A72" w:rsidRPr="008478FC" w:rsidRDefault="00005A72" w:rsidP="00D51245">
            <w:pPr>
              <w:spacing w:line="240" w:lineRule="auto"/>
              <w:jc w:val="center"/>
              <w:rPr>
                <w:rFonts w:ascii="Times New Roman" w:eastAsia="Times New Roman" w:hAnsi="Times New Roman" w:cs="Times New Roman"/>
                <w:sz w:val="20"/>
                <w:szCs w:val="20"/>
                <w:lang w:eastAsia="fr-FR"/>
              </w:rPr>
            </w:pPr>
          </w:p>
        </w:tc>
      </w:tr>
      <w:tr w:rsidR="00005A72" w:rsidRPr="008478FC" w14:paraId="07719E76" w14:textId="77777777" w:rsidTr="00D51245">
        <w:trPr>
          <w:trHeight w:val="300"/>
          <w:jc w:val="center"/>
        </w:trPr>
        <w:tc>
          <w:tcPr>
            <w:tcW w:w="9460" w:type="dxa"/>
            <w:gridSpan w:val="4"/>
            <w:tcBorders>
              <w:top w:val="nil"/>
              <w:left w:val="nil"/>
              <w:bottom w:val="nil"/>
              <w:right w:val="nil"/>
            </w:tcBorders>
            <w:shd w:val="clear" w:color="auto" w:fill="auto"/>
            <w:vAlign w:val="bottom"/>
            <w:hideMark/>
          </w:tcPr>
          <w:p w14:paraId="0F1082AB" w14:textId="77777777" w:rsidR="00005A72" w:rsidRPr="008478FC" w:rsidRDefault="00005A72" w:rsidP="00D51245">
            <w:pPr>
              <w:spacing w:line="240" w:lineRule="auto"/>
              <w:jc w:val="center"/>
              <w:rPr>
                <w:rFonts w:ascii="Calibri" w:eastAsia="Times New Roman" w:hAnsi="Calibri" w:cs="Calibri"/>
                <w:i/>
                <w:iCs/>
                <w:color w:val="000000"/>
                <w:lang w:eastAsia="fr-FR"/>
              </w:rPr>
            </w:pPr>
            <w:r w:rsidRPr="008478FC">
              <w:rPr>
                <w:rFonts w:ascii="Calibri" w:eastAsia="Times New Roman" w:hAnsi="Calibri" w:cs="Calibri"/>
                <w:i/>
                <w:iCs/>
                <w:color w:val="000000"/>
                <w:lang w:eastAsia="fr-FR"/>
              </w:rPr>
              <w:t>Source : Banque nationale de Belgique  ; calculs : SE de Bruxelles</w:t>
            </w:r>
          </w:p>
        </w:tc>
      </w:tr>
    </w:tbl>
    <w:p w14:paraId="5E4EA0A1" w14:textId="5E573599" w:rsidR="00005A72" w:rsidRDefault="00005A72" w:rsidP="00F867DF">
      <w:pPr>
        <w:spacing w:line="240" w:lineRule="auto"/>
        <w:jc w:val="center"/>
        <w:rPr>
          <w:rStyle w:val="Rfrenceintense"/>
        </w:rPr>
      </w:pPr>
    </w:p>
    <w:p w14:paraId="52B00EF0" w14:textId="6C5EA789" w:rsidR="00005A72" w:rsidRDefault="00005A72">
      <w:pPr>
        <w:rPr>
          <w:rStyle w:val="Rfrenceintense"/>
        </w:rPr>
      </w:pPr>
      <w:r>
        <w:rPr>
          <w:rStyle w:val="Rfrenceintense"/>
        </w:rPr>
        <w:br w:type="page"/>
      </w:r>
    </w:p>
    <w:p w14:paraId="0EFEC1A3" w14:textId="333D0ECD" w:rsidR="00005A72" w:rsidRDefault="00005A72" w:rsidP="00F867DF">
      <w:pPr>
        <w:spacing w:line="240" w:lineRule="auto"/>
        <w:jc w:val="center"/>
        <w:rPr>
          <w:rStyle w:val="Rfrenceintense"/>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8720" behindDoc="1" locked="0" layoutInCell="1" allowOverlap="1" wp14:anchorId="65DE3261" wp14:editId="738B8D46">
                <wp:simplePos x="0" y="0"/>
                <wp:positionH relativeFrom="page">
                  <wp:posOffset>19685</wp:posOffset>
                </wp:positionH>
                <wp:positionV relativeFrom="paragraph">
                  <wp:posOffset>-445135</wp:posOffset>
                </wp:positionV>
                <wp:extent cx="7543800" cy="10677525"/>
                <wp:effectExtent l="0" t="0" r="0" b="9525"/>
                <wp:wrapNone/>
                <wp:docPr id="18" name="Rectangle 18"/>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6C93F8" id="Rectangle 18" o:spid="_x0000_s1026" style="position:absolute;margin-left:1.55pt;margin-top:-35.05pt;width:594pt;height:840.75pt;z-index:-2516377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" fillcolor="#fef8e8" stroked="f" strokeweight="1pt">
                <w10:wrap anchorx="page"/>
              </v:rect>
            </w:pict>
          </mc:Fallback>
        </mc:AlternateContent>
      </w:r>
      <w:r>
        <w:rPr>
          <w:rStyle w:val="Rfrenceintense"/>
        </w:rPr>
        <w:t>ANNEXE 15 : Point méthodologique détaillé</w:t>
      </w:r>
    </w:p>
    <w:p w14:paraId="303849BF" w14:textId="77777777" w:rsidR="00005A72" w:rsidRPr="00885F4E" w:rsidRDefault="00005A72" w:rsidP="00005A72">
      <w:pPr>
        <w:jc w:val="both"/>
        <w:rPr>
          <w:rFonts w:ascii="Segoe UI" w:hAnsi="Segoe UI" w:cs="Segoe UI"/>
          <w:szCs w:val="24"/>
        </w:rPr>
      </w:pPr>
      <w:r w:rsidRPr="001B2089">
        <w:rPr>
          <w:rFonts w:ascii="Segoe UI" w:hAnsi="Segoe UI" w:cs="Segoe UI"/>
          <w:szCs w:val="24"/>
        </w:rPr>
        <w:t>Cette note propose d’analyser le commerce extérieur belge dans le cadre du concept national, qui exclut les activités des non-résidents, et qui est utilisé par la Banque nationale de Belgique pour l’établissement des comptes nationaux. Le concept communautaire, qui respecte la nomenclature d’Eurostat, est souvent utilisé par les autorités belges, notamment la Flandre. A la différence du concept national, il tient compte des activités de quasi-transit : ce sont des exportations ou des importations de biens effectuées par des non-résidents avec des pays non-membres de l’Union européenne. Les produits échangés transitent par un port belge et impliquent soit une opération de mise en libre en pratique pour les produits arrivant sur le marché unique, soit une déclaration aux douanes pour les produits expédiés à l’extérieur de l’Union. Ces deux opérations douanières entraînent une comptabilisation artificielle dans les statistiques extérieures selon le concept communautaire, qu’il convient d’écarter en mobilisant le concept national pour l’analyse du commerce extérieur belge. En effet, à l’exception des services d’entreposage et de transport, les activités de quasi-transits n’ont pas d’impact sur l’économie belge.</w:t>
      </w:r>
    </w:p>
    <w:p w14:paraId="486D9D4C" w14:textId="77777777" w:rsidR="00005A72" w:rsidRPr="0088171A" w:rsidRDefault="00005A72" w:rsidP="00F867DF">
      <w:pPr>
        <w:spacing w:line="240" w:lineRule="auto"/>
        <w:jc w:val="center"/>
        <w:rPr>
          <w:rStyle w:val="Rfrenceintense"/>
        </w:rPr>
      </w:pPr>
    </w:p>
    <w:tbl>
      <w:tblPr>
        <w:tblW w:w="9460" w:type="dxa"/>
        <w:jc w:val="center"/>
        <w:tblCellMar>
          <w:left w:w="70" w:type="dxa"/>
          <w:right w:w="70" w:type="dxa"/>
        </w:tblCellMar>
        <w:tblLook w:val="04A0" w:firstRow="1" w:lastRow="0" w:firstColumn="1" w:lastColumn="0" w:noHBand="0" w:noVBand="1"/>
      </w:tblPr>
      <w:tblGrid>
        <w:gridCol w:w="2320"/>
        <w:gridCol w:w="2500"/>
        <w:gridCol w:w="4640"/>
      </w:tblGrid>
      <w:tr w:rsidR="0088171A" w:rsidRPr="008478FC" w14:paraId="76489B22" w14:textId="77777777" w:rsidTr="0088171A">
        <w:trPr>
          <w:trHeight w:val="345"/>
          <w:jc w:val="center"/>
        </w:trPr>
        <w:tc>
          <w:tcPr>
            <w:tcW w:w="9460" w:type="dxa"/>
            <w:gridSpan w:val="3"/>
            <w:tcBorders>
              <w:top w:val="nil"/>
              <w:left w:val="nil"/>
              <w:bottom w:val="nil"/>
              <w:right w:val="nil"/>
            </w:tcBorders>
            <w:shd w:val="clear" w:color="auto" w:fill="auto"/>
            <w:vAlign w:val="bottom"/>
          </w:tcPr>
          <w:p w14:paraId="6C96F52C" w14:textId="64375F6E" w:rsidR="0088171A" w:rsidRPr="008478FC" w:rsidRDefault="0088171A" w:rsidP="00D51245">
            <w:pPr>
              <w:spacing w:line="240" w:lineRule="auto"/>
              <w:jc w:val="center"/>
              <w:rPr>
                <w:rFonts w:ascii="Calibri" w:eastAsia="Times New Roman" w:hAnsi="Calibri" w:cs="Calibri"/>
                <w:b/>
                <w:bCs/>
                <w:color w:val="000000"/>
                <w:sz w:val="26"/>
                <w:szCs w:val="26"/>
                <w:lang w:eastAsia="fr-FR"/>
              </w:rPr>
            </w:pPr>
          </w:p>
        </w:tc>
      </w:tr>
      <w:tr w:rsidR="0088171A" w:rsidRPr="008478FC" w14:paraId="5FD1C40B" w14:textId="77777777" w:rsidTr="0088171A">
        <w:trPr>
          <w:trHeight w:val="345"/>
          <w:jc w:val="center"/>
        </w:trPr>
        <w:tc>
          <w:tcPr>
            <w:tcW w:w="9460" w:type="dxa"/>
            <w:gridSpan w:val="3"/>
            <w:tcBorders>
              <w:top w:val="nil"/>
              <w:left w:val="nil"/>
              <w:bottom w:val="nil"/>
              <w:right w:val="nil"/>
            </w:tcBorders>
            <w:shd w:val="clear" w:color="auto" w:fill="auto"/>
            <w:vAlign w:val="bottom"/>
          </w:tcPr>
          <w:p w14:paraId="50FB9D63" w14:textId="78F6B309" w:rsidR="0088171A" w:rsidRPr="008478FC" w:rsidRDefault="0088171A" w:rsidP="00D51245">
            <w:pPr>
              <w:spacing w:line="240" w:lineRule="auto"/>
              <w:jc w:val="center"/>
              <w:rPr>
                <w:rFonts w:ascii="Calibri" w:eastAsia="Times New Roman" w:hAnsi="Calibri" w:cs="Calibri"/>
                <w:b/>
                <w:bCs/>
                <w:color w:val="000000"/>
                <w:sz w:val="26"/>
                <w:szCs w:val="26"/>
                <w:lang w:eastAsia="fr-FR"/>
              </w:rPr>
            </w:pPr>
          </w:p>
        </w:tc>
      </w:tr>
      <w:tr w:rsidR="0088171A" w:rsidRPr="008478FC" w14:paraId="6BE2C837" w14:textId="77777777" w:rsidTr="0088171A">
        <w:trPr>
          <w:trHeight w:val="345"/>
          <w:jc w:val="center"/>
        </w:trPr>
        <w:tc>
          <w:tcPr>
            <w:tcW w:w="9460" w:type="dxa"/>
            <w:gridSpan w:val="3"/>
            <w:tcBorders>
              <w:top w:val="nil"/>
              <w:left w:val="nil"/>
              <w:bottom w:val="nil"/>
              <w:right w:val="nil"/>
            </w:tcBorders>
            <w:shd w:val="clear" w:color="auto" w:fill="auto"/>
            <w:vAlign w:val="bottom"/>
            <w:hideMark/>
          </w:tcPr>
          <w:p w14:paraId="0D5AB51D" w14:textId="77777777" w:rsidR="0088171A" w:rsidRPr="0088171A" w:rsidRDefault="0088171A" w:rsidP="00D51245">
            <w:pPr>
              <w:spacing w:line="240" w:lineRule="auto"/>
              <w:jc w:val="center"/>
              <w:rPr>
                <w:rFonts w:ascii="Calibri" w:eastAsia="Times New Roman" w:hAnsi="Calibri" w:cs="Calibri"/>
                <w:b/>
                <w:bCs/>
                <w:color w:val="000000"/>
                <w:sz w:val="26"/>
                <w:szCs w:val="26"/>
                <w:lang w:eastAsia="fr-FR"/>
              </w:rPr>
            </w:pPr>
          </w:p>
        </w:tc>
      </w:tr>
      <w:tr w:rsidR="0088171A" w:rsidRPr="008478FC" w14:paraId="30E1E35D" w14:textId="77777777" w:rsidTr="00D51245">
        <w:trPr>
          <w:trHeight w:val="345"/>
          <w:jc w:val="center"/>
        </w:trPr>
        <w:tc>
          <w:tcPr>
            <w:tcW w:w="9460" w:type="dxa"/>
            <w:gridSpan w:val="3"/>
            <w:tcBorders>
              <w:top w:val="nil"/>
              <w:left w:val="nil"/>
              <w:bottom w:val="nil"/>
              <w:right w:val="nil"/>
            </w:tcBorders>
            <w:shd w:val="clear" w:color="auto" w:fill="auto"/>
            <w:vAlign w:val="bottom"/>
            <w:hideMark/>
          </w:tcPr>
          <w:p w14:paraId="706A162E" w14:textId="413D1E7F" w:rsidR="0088171A" w:rsidRPr="008478FC" w:rsidRDefault="0088171A" w:rsidP="00D51245">
            <w:pPr>
              <w:spacing w:line="240" w:lineRule="auto"/>
              <w:jc w:val="center"/>
              <w:rPr>
                <w:rFonts w:ascii="Calibri" w:eastAsia="Times New Roman" w:hAnsi="Calibri" w:cs="Calibri"/>
                <w:b/>
                <w:bCs/>
                <w:color w:val="000000"/>
                <w:sz w:val="26"/>
                <w:szCs w:val="26"/>
                <w:lang w:eastAsia="fr-FR"/>
              </w:rPr>
            </w:pPr>
          </w:p>
        </w:tc>
      </w:tr>
      <w:tr w:rsidR="0088171A" w:rsidRPr="008478FC" w14:paraId="44CBC547" w14:textId="77777777" w:rsidTr="00D51245">
        <w:trPr>
          <w:gridAfter w:val="1"/>
          <w:wAfter w:w="4640" w:type="dxa"/>
          <w:trHeight w:val="360"/>
          <w:jc w:val="center"/>
        </w:trPr>
        <w:tc>
          <w:tcPr>
            <w:tcW w:w="2320" w:type="dxa"/>
            <w:tcBorders>
              <w:top w:val="nil"/>
              <w:left w:val="nil"/>
              <w:bottom w:val="nil"/>
              <w:right w:val="nil"/>
            </w:tcBorders>
            <w:shd w:val="clear" w:color="auto" w:fill="auto"/>
            <w:noWrap/>
            <w:vAlign w:val="center"/>
            <w:hideMark/>
          </w:tcPr>
          <w:p w14:paraId="64DC3BFA"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c>
          <w:tcPr>
            <w:tcW w:w="2500" w:type="dxa"/>
            <w:tcBorders>
              <w:top w:val="nil"/>
              <w:left w:val="nil"/>
              <w:bottom w:val="nil"/>
              <w:right w:val="nil"/>
            </w:tcBorders>
            <w:shd w:val="clear" w:color="auto" w:fill="auto"/>
            <w:noWrap/>
            <w:vAlign w:val="center"/>
            <w:hideMark/>
          </w:tcPr>
          <w:p w14:paraId="6FF5D3D0" w14:textId="77777777" w:rsidR="0088171A" w:rsidRPr="008478FC" w:rsidRDefault="0088171A" w:rsidP="00D51245">
            <w:pPr>
              <w:spacing w:line="240" w:lineRule="auto"/>
              <w:jc w:val="center"/>
              <w:rPr>
                <w:rFonts w:ascii="Times New Roman" w:eastAsia="Times New Roman" w:hAnsi="Times New Roman" w:cs="Times New Roman"/>
                <w:sz w:val="20"/>
                <w:szCs w:val="20"/>
                <w:lang w:eastAsia="fr-FR"/>
              </w:rPr>
            </w:pPr>
          </w:p>
        </w:tc>
      </w:tr>
    </w:tbl>
    <w:p w14:paraId="114BADE3" w14:textId="1CE4B1B3" w:rsidR="00F867DF" w:rsidRDefault="00F867DF" w:rsidP="00F867DF">
      <w:pPr>
        <w:spacing w:line="240" w:lineRule="auto"/>
        <w:jc w:val="center"/>
        <w:rPr>
          <w:rStyle w:val="Rfrenceintense"/>
        </w:rPr>
      </w:pPr>
    </w:p>
    <w:p w14:paraId="7731B850" w14:textId="312C8677" w:rsidR="00247905" w:rsidRPr="00247905" w:rsidRDefault="00247905" w:rsidP="00727B73">
      <w:pPr>
        <w:spacing w:line="240" w:lineRule="auto"/>
        <w:jc w:val="center"/>
        <w:rPr>
          <w:rStyle w:val="Rfrenceintense"/>
        </w:rPr>
      </w:pPr>
    </w:p>
    <w:sectPr w:rsidR="00247905" w:rsidRPr="00247905" w:rsidSect="00415F39">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339F" w14:textId="77777777" w:rsidR="006C4763" w:rsidRDefault="006C4763" w:rsidP="001C2361">
      <w:pPr>
        <w:spacing w:after="0" w:line="240" w:lineRule="auto"/>
      </w:pPr>
      <w:r>
        <w:separator/>
      </w:r>
    </w:p>
  </w:endnote>
  <w:endnote w:type="continuationSeparator" w:id="0">
    <w:p w14:paraId="1DD36323" w14:textId="77777777" w:rsidR="006C4763" w:rsidRDefault="006C476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46FF" w14:textId="77777777" w:rsidR="006C4763" w:rsidRDefault="006C4763" w:rsidP="001C2361">
      <w:pPr>
        <w:spacing w:after="0" w:line="240" w:lineRule="auto"/>
      </w:pPr>
      <w:r>
        <w:separator/>
      </w:r>
    </w:p>
  </w:footnote>
  <w:footnote w:type="continuationSeparator" w:id="0">
    <w:p w14:paraId="05E7B395" w14:textId="77777777" w:rsidR="006C4763" w:rsidRDefault="006C4763" w:rsidP="001C2361">
      <w:pPr>
        <w:spacing w:after="0" w:line="240" w:lineRule="auto"/>
      </w:pPr>
      <w:r>
        <w:continuationSeparator/>
      </w:r>
    </w:p>
  </w:footnote>
  <w:footnote w:id="1">
    <w:p w14:paraId="6397E449" w14:textId="473AFD8F" w:rsidR="00E67DBA" w:rsidRPr="00D86746" w:rsidRDefault="00E67DBA" w:rsidP="008A2801">
      <w:pPr>
        <w:spacing w:after="0" w:line="240" w:lineRule="auto"/>
        <w:ind w:left="-425" w:right="-283" w:hanging="142"/>
        <w:jc w:val="both"/>
        <w:rPr>
          <w:rFonts w:cstheme="minorHAnsi"/>
          <w:b/>
          <w:color w:val="FFFFFF" w:themeColor="background1"/>
          <w:sz w:val="18"/>
          <w:szCs w:val="18"/>
        </w:rPr>
      </w:pPr>
      <w:r w:rsidRPr="00D86746">
        <w:rPr>
          <w:rStyle w:val="Appelnotedebasdep"/>
          <w:rFonts w:cstheme="minorHAnsi"/>
          <w:sz w:val="18"/>
          <w:szCs w:val="18"/>
        </w:rPr>
        <w:footnoteRef/>
      </w:r>
      <w:r w:rsidR="00D86746">
        <w:rPr>
          <w:rFonts w:cstheme="minorHAnsi"/>
          <w:sz w:val="18"/>
          <w:szCs w:val="18"/>
        </w:rPr>
        <w:tab/>
      </w:r>
      <w:r w:rsidRPr="00D86746">
        <w:rPr>
          <w:rFonts w:cstheme="minorHAnsi"/>
          <w:sz w:val="18"/>
          <w:szCs w:val="18"/>
        </w:rPr>
        <w:t xml:space="preserve">Par ailleurs, le volume des échanges de services s’est établi à 262,5 Md€ en 2022 (en attente des chiffres consolidés pour 2023 -cf. annexe </w:t>
      </w:r>
      <w:r w:rsidR="008909AC">
        <w:rPr>
          <w:rFonts w:cstheme="minorHAnsi"/>
          <w:sz w:val="18"/>
          <w:szCs w:val="18"/>
        </w:rPr>
        <w:t>5</w:t>
      </w:r>
      <w:r w:rsidRPr="00D86746">
        <w:rPr>
          <w:rFonts w:cstheme="minorHAnsi"/>
          <w:sz w:val="18"/>
          <w:szCs w:val="18"/>
        </w:rPr>
        <w:t xml:space="preserve">), il s’était élevé en 2021 à 228,4 Md€ (en hausse de 14,9% par rapport à 2021) et la Belgique dégage ainsi un solde de la balance des services excédentaire de 1,3 Md€. Ce dernier ne compense donc pas le solde de la balance commerciale (cf. annexe </w:t>
      </w:r>
      <w:r w:rsidR="008909AC">
        <w:rPr>
          <w:rFonts w:cstheme="minorHAnsi"/>
          <w:sz w:val="18"/>
          <w:szCs w:val="18"/>
        </w:rPr>
        <w:t>6</w:t>
      </w:r>
      <w:r w:rsidRPr="00D86746">
        <w:rPr>
          <w:rFonts w:cstheme="minorHAnsi"/>
          <w:sz w:val="18"/>
          <w:szCs w:val="18"/>
        </w:rPr>
        <w:t xml:space="preserve">). </w:t>
      </w:r>
    </w:p>
  </w:footnote>
  <w:footnote w:id="2">
    <w:p w14:paraId="48F05390" w14:textId="3BCA4931" w:rsidR="00D86746" w:rsidRPr="00D86746" w:rsidRDefault="00D86746" w:rsidP="008A2801">
      <w:pPr>
        <w:pStyle w:val="Notedebasdepage"/>
        <w:ind w:left="-425" w:right="-283" w:hanging="142"/>
        <w:jc w:val="both"/>
        <w:rPr>
          <w:rFonts w:cstheme="minorHAnsi"/>
          <w:sz w:val="18"/>
          <w:szCs w:val="18"/>
        </w:rPr>
      </w:pPr>
      <w:r w:rsidRPr="00D86746">
        <w:rPr>
          <w:rStyle w:val="Appelnotedebasdep"/>
          <w:rFonts w:cstheme="minorHAnsi"/>
          <w:sz w:val="18"/>
          <w:szCs w:val="18"/>
        </w:rPr>
        <w:footnoteRef/>
      </w:r>
      <w:r>
        <w:rPr>
          <w:rFonts w:cstheme="minorHAnsi"/>
          <w:sz w:val="18"/>
          <w:szCs w:val="18"/>
        </w:rPr>
        <w:tab/>
      </w:r>
      <w:r w:rsidR="00210063">
        <w:rPr>
          <w:rFonts w:cstheme="minorHAnsi"/>
          <w:sz w:val="18"/>
          <w:szCs w:val="18"/>
        </w:rPr>
        <w:t>Qui</w:t>
      </w:r>
      <w:r>
        <w:rPr>
          <w:rFonts w:cstheme="minorHAnsi"/>
          <w:sz w:val="18"/>
          <w:szCs w:val="18"/>
        </w:rPr>
        <w:t xml:space="preserve"> sont induits par la position </w:t>
      </w:r>
      <w:r w:rsidRPr="00D86746">
        <w:rPr>
          <w:rFonts w:cstheme="minorHAnsi"/>
          <w:sz w:val="18"/>
          <w:szCs w:val="18"/>
        </w:rPr>
        <w:t xml:space="preserve">géographique de la </w:t>
      </w:r>
      <w:r>
        <w:rPr>
          <w:rFonts w:cstheme="minorHAnsi"/>
          <w:sz w:val="18"/>
          <w:szCs w:val="18"/>
        </w:rPr>
        <w:t>Belgique, au cœur de la dorsale européenne, et à se</w:t>
      </w:r>
      <w:r w:rsidRPr="00D86746">
        <w:rPr>
          <w:rFonts w:cstheme="minorHAnsi"/>
          <w:sz w:val="18"/>
          <w:szCs w:val="18"/>
        </w:rPr>
        <w:t>s infrastructures portuaires</w:t>
      </w:r>
      <w:r>
        <w:rPr>
          <w:rFonts w:cstheme="minorHAnsi"/>
          <w:sz w:val="18"/>
          <w:szCs w:val="18"/>
        </w:rPr>
        <w:t>.</w:t>
      </w:r>
    </w:p>
  </w:footnote>
  <w:footnote w:id="3">
    <w:p w14:paraId="66CA8CBF" w14:textId="77777777" w:rsidR="00FF7EA8" w:rsidRPr="009D1A79" w:rsidRDefault="00FF7EA8" w:rsidP="008A2801">
      <w:pPr>
        <w:pStyle w:val="Notedebasdepage"/>
        <w:ind w:left="-142" w:right="-283" w:hanging="284"/>
        <w:rPr>
          <w:sz w:val="18"/>
          <w:szCs w:val="18"/>
        </w:rPr>
      </w:pPr>
      <w:r w:rsidRPr="009D1A79">
        <w:rPr>
          <w:rStyle w:val="Appelnotedebasdep"/>
          <w:sz w:val="18"/>
          <w:szCs w:val="18"/>
        </w:rPr>
        <w:footnoteRef/>
      </w:r>
      <w:r>
        <w:rPr>
          <w:sz w:val="18"/>
          <w:szCs w:val="18"/>
        </w:rPr>
        <w:tab/>
      </w:r>
      <w:r w:rsidRPr="009D1A79">
        <w:rPr>
          <w:sz w:val="18"/>
          <w:szCs w:val="18"/>
        </w:rPr>
        <w:t xml:space="preserve">La Belgique est notamment le premier exportateur mondial de frites surgelées, devant les Pays-Bas, le Canada et les États-Unis.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4"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4"/>
  </w:num>
  <w:num w:numId="6">
    <w:abstractNumId w:val="12"/>
  </w:num>
  <w:num w:numId="7">
    <w:abstractNumId w:val="4"/>
  </w:num>
  <w:num w:numId="8">
    <w:abstractNumId w:val="3"/>
  </w:num>
  <w:num w:numId="9">
    <w:abstractNumId w:val="1"/>
  </w:num>
  <w:num w:numId="10">
    <w:abstractNumId w:val="8"/>
  </w:num>
  <w:num w:numId="11">
    <w:abstractNumId w:val="5"/>
  </w:num>
  <w:num w:numId="12">
    <w:abstractNumId w:val="0"/>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5A72"/>
    <w:rsid w:val="000064C1"/>
    <w:rsid w:val="00006D9E"/>
    <w:rsid w:val="00006E50"/>
    <w:rsid w:val="00020EE2"/>
    <w:rsid w:val="00022880"/>
    <w:rsid w:val="00022F44"/>
    <w:rsid w:val="00031533"/>
    <w:rsid w:val="00045CF8"/>
    <w:rsid w:val="00050225"/>
    <w:rsid w:val="000534EC"/>
    <w:rsid w:val="00064115"/>
    <w:rsid w:val="00064A32"/>
    <w:rsid w:val="000676F2"/>
    <w:rsid w:val="00071F97"/>
    <w:rsid w:val="000763B3"/>
    <w:rsid w:val="00080037"/>
    <w:rsid w:val="00097777"/>
    <w:rsid w:val="000A1918"/>
    <w:rsid w:val="000B1BA9"/>
    <w:rsid w:val="000E1E2F"/>
    <w:rsid w:val="000E3998"/>
    <w:rsid w:val="000E7793"/>
    <w:rsid w:val="000F2C4E"/>
    <w:rsid w:val="00100569"/>
    <w:rsid w:val="00100C95"/>
    <w:rsid w:val="001105E1"/>
    <w:rsid w:val="001109EF"/>
    <w:rsid w:val="00111C32"/>
    <w:rsid w:val="0012430D"/>
    <w:rsid w:val="00134DE8"/>
    <w:rsid w:val="001360A8"/>
    <w:rsid w:val="00147754"/>
    <w:rsid w:val="001505C0"/>
    <w:rsid w:val="00152C27"/>
    <w:rsid w:val="00175E92"/>
    <w:rsid w:val="00184135"/>
    <w:rsid w:val="0019173B"/>
    <w:rsid w:val="0019280B"/>
    <w:rsid w:val="001A1A43"/>
    <w:rsid w:val="001A1CD5"/>
    <w:rsid w:val="001A5A37"/>
    <w:rsid w:val="001B1CF0"/>
    <w:rsid w:val="001C100F"/>
    <w:rsid w:val="001C2361"/>
    <w:rsid w:val="001E4D67"/>
    <w:rsid w:val="001F235A"/>
    <w:rsid w:val="001F2D7C"/>
    <w:rsid w:val="00210063"/>
    <w:rsid w:val="00223554"/>
    <w:rsid w:val="00225798"/>
    <w:rsid w:val="00246C65"/>
    <w:rsid w:val="00247905"/>
    <w:rsid w:val="00250F27"/>
    <w:rsid w:val="002550BB"/>
    <w:rsid w:val="00255F30"/>
    <w:rsid w:val="00257E48"/>
    <w:rsid w:val="00275445"/>
    <w:rsid w:val="002762C9"/>
    <w:rsid w:val="00281BCD"/>
    <w:rsid w:val="002A6A59"/>
    <w:rsid w:val="002D13A2"/>
    <w:rsid w:val="002D4C04"/>
    <w:rsid w:val="002E6890"/>
    <w:rsid w:val="002E7383"/>
    <w:rsid w:val="002F087C"/>
    <w:rsid w:val="002F210F"/>
    <w:rsid w:val="0030017B"/>
    <w:rsid w:val="00300A4C"/>
    <w:rsid w:val="00301021"/>
    <w:rsid w:val="0030148A"/>
    <w:rsid w:val="00317870"/>
    <w:rsid w:val="00323A4A"/>
    <w:rsid w:val="003257BD"/>
    <w:rsid w:val="0033036F"/>
    <w:rsid w:val="00330428"/>
    <w:rsid w:val="00332310"/>
    <w:rsid w:val="003339CE"/>
    <w:rsid w:val="003407BF"/>
    <w:rsid w:val="00341E94"/>
    <w:rsid w:val="00341EC1"/>
    <w:rsid w:val="00344131"/>
    <w:rsid w:val="00347F9E"/>
    <w:rsid w:val="00351E1C"/>
    <w:rsid w:val="00377143"/>
    <w:rsid w:val="00377431"/>
    <w:rsid w:val="003847EC"/>
    <w:rsid w:val="003A1D94"/>
    <w:rsid w:val="003A7EB8"/>
    <w:rsid w:val="003B1A22"/>
    <w:rsid w:val="003B33D3"/>
    <w:rsid w:val="003B5CF7"/>
    <w:rsid w:val="003D2AD3"/>
    <w:rsid w:val="003D5550"/>
    <w:rsid w:val="003D5AAB"/>
    <w:rsid w:val="003D6537"/>
    <w:rsid w:val="004017BE"/>
    <w:rsid w:val="0040330E"/>
    <w:rsid w:val="0040553E"/>
    <w:rsid w:val="00406D60"/>
    <w:rsid w:val="00415F39"/>
    <w:rsid w:val="0042548C"/>
    <w:rsid w:val="004256C4"/>
    <w:rsid w:val="004311AF"/>
    <w:rsid w:val="004372C1"/>
    <w:rsid w:val="00450D73"/>
    <w:rsid w:val="00452C51"/>
    <w:rsid w:val="00457B18"/>
    <w:rsid w:val="00463378"/>
    <w:rsid w:val="004716CD"/>
    <w:rsid w:val="00471702"/>
    <w:rsid w:val="00472C6F"/>
    <w:rsid w:val="00477DF8"/>
    <w:rsid w:val="004908E5"/>
    <w:rsid w:val="00490B3C"/>
    <w:rsid w:val="004924EA"/>
    <w:rsid w:val="00496D10"/>
    <w:rsid w:val="004A28DB"/>
    <w:rsid w:val="004C3273"/>
    <w:rsid w:val="004D444C"/>
    <w:rsid w:val="004D7C76"/>
    <w:rsid w:val="004E6C1A"/>
    <w:rsid w:val="004E6DB3"/>
    <w:rsid w:val="004E7972"/>
    <w:rsid w:val="004F0D7B"/>
    <w:rsid w:val="004F211B"/>
    <w:rsid w:val="005077FB"/>
    <w:rsid w:val="00522321"/>
    <w:rsid w:val="00532CDF"/>
    <w:rsid w:val="00532CE3"/>
    <w:rsid w:val="00533C10"/>
    <w:rsid w:val="00541AB4"/>
    <w:rsid w:val="00543CA9"/>
    <w:rsid w:val="00545FE6"/>
    <w:rsid w:val="00557E89"/>
    <w:rsid w:val="00561CC4"/>
    <w:rsid w:val="00570D3F"/>
    <w:rsid w:val="00575F99"/>
    <w:rsid w:val="005806A2"/>
    <w:rsid w:val="00584799"/>
    <w:rsid w:val="00590894"/>
    <w:rsid w:val="00591EEF"/>
    <w:rsid w:val="0059242E"/>
    <w:rsid w:val="00595003"/>
    <w:rsid w:val="005A1048"/>
    <w:rsid w:val="005A1ECF"/>
    <w:rsid w:val="005A5D69"/>
    <w:rsid w:val="005B28D9"/>
    <w:rsid w:val="005B3D40"/>
    <w:rsid w:val="005D795C"/>
    <w:rsid w:val="005E6FED"/>
    <w:rsid w:val="005F3966"/>
    <w:rsid w:val="005F6235"/>
    <w:rsid w:val="00610942"/>
    <w:rsid w:val="00616EE2"/>
    <w:rsid w:val="00627753"/>
    <w:rsid w:val="00632692"/>
    <w:rsid w:val="00641868"/>
    <w:rsid w:val="006477A2"/>
    <w:rsid w:val="006600F3"/>
    <w:rsid w:val="006A0293"/>
    <w:rsid w:val="006A3795"/>
    <w:rsid w:val="006B4AE0"/>
    <w:rsid w:val="006B5511"/>
    <w:rsid w:val="006C4763"/>
    <w:rsid w:val="006D209E"/>
    <w:rsid w:val="006D4D83"/>
    <w:rsid w:val="006E40BB"/>
    <w:rsid w:val="006E6805"/>
    <w:rsid w:val="006E6FA7"/>
    <w:rsid w:val="006F4CCE"/>
    <w:rsid w:val="006F6043"/>
    <w:rsid w:val="00706D2B"/>
    <w:rsid w:val="00713D95"/>
    <w:rsid w:val="007209E2"/>
    <w:rsid w:val="007241D4"/>
    <w:rsid w:val="00727B73"/>
    <w:rsid w:val="00727D83"/>
    <w:rsid w:val="0073377D"/>
    <w:rsid w:val="00733B08"/>
    <w:rsid w:val="00733CCE"/>
    <w:rsid w:val="00743DD2"/>
    <w:rsid w:val="00745853"/>
    <w:rsid w:val="00754E7E"/>
    <w:rsid w:val="00756A18"/>
    <w:rsid w:val="0077520D"/>
    <w:rsid w:val="00776C9A"/>
    <w:rsid w:val="00777884"/>
    <w:rsid w:val="00781BFC"/>
    <w:rsid w:val="0078229D"/>
    <w:rsid w:val="007855F6"/>
    <w:rsid w:val="00786241"/>
    <w:rsid w:val="00787921"/>
    <w:rsid w:val="00791423"/>
    <w:rsid w:val="007952D4"/>
    <w:rsid w:val="00797604"/>
    <w:rsid w:val="007A352F"/>
    <w:rsid w:val="007B0159"/>
    <w:rsid w:val="007B4BC5"/>
    <w:rsid w:val="007B74A6"/>
    <w:rsid w:val="007C12CB"/>
    <w:rsid w:val="007C3111"/>
    <w:rsid w:val="007E456F"/>
    <w:rsid w:val="007E6D56"/>
    <w:rsid w:val="007F4001"/>
    <w:rsid w:val="007F55EB"/>
    <w:rsid w:val="007F6278"/>
    <w:rsid w:val="007F632E"/>
    <w:rsid w:val="008029D3"/>
    <w:rsid w:val="00816CD2"/>
    <w:rsid w:val="00847CE8"/>
    <w:rsid w:val="008571CF"/>
    <w:rsid w:val="008637F9"/>
    <w:rsid w:val="00872358"/>
    <w:rsid w:val="0088171A"/>
    <w:rsid w:val="0088232B"/>
    <w:rsid w:val="008909AC"/>
    <w:rsid w:val="00890E59"/>
    <w:rsid w:val="008918AF"/>
    <w:rsid w:val="008924BF"/>
    <w:rsid w:val="008A2801"/>
    <w:rsid w:val="008A299F"/>
    <w:rsid w:val="008A3AD5"/>
    <w:rsid w:val="008B697B"/>
    <w:rsid w:val="008E048F"/>
    <w:rsid w:val="008E1707"/>
    <w:rsid w:val="008E3942"/>
    <w:rsid w:val="008F7A1E"/>
    <w:rsid w:val="00905417"/>
    <w:rsid w:val="00920915"/>
    <w:rsid w:val="009210BC"/>
    <w:rsid w:val="009233E1"/>
    <w:rsid w:val="00924ECB"/>
    <w:rsid w:val="0092634F"/>
    <w:rsid w:val="00952A36"/>
    <w:rsid w:val="00957E6E"/>
    <w:rsid w:val="00965841"/>
    <w:rsid w:val="0096625D"/>
    <w:rsid w:val="00971B84"/>
    <w:rsid w:val="009770F2"/>
    <w:rsid w:val="00981726"/>
    <w:rsid w:val="00985384"/>
    <w:rsid w:val="009854A7"/>
    <w:rsid w:val="00985A53"/>
    <w:rsid w:val="009A5CB7"/>
    <w:rsid w:val="009B7F35"/>
    <w:rsid w:val="009D65B6"/>
    <w:rsid w:val="009F118B"/>
    <w:rsid w:val="00A001F2"/>
    <w:rsid w:val="00A0197D"/>
    <w:rsid w:val="00A073CB"/>
    <w:rsid w:val="00A0743B"/>
    <w:rsid w:val="00A164E0"/>
    <w:rsid w:val="00A16E6F"/>
    <w:rsid w:val="00A2007D"/>
    <w:rsid w:val="00A2158C"/>
    <w:rsid w:val="00A233D7"/>
    <w:rsid w:val="00A27EA0"/>
    <w:rsid w:val="00A35142"/>
    <w:rsid w:val="00A413F3"/>
    <w:rsid w:val="00A46BE5"/>
    <w:rsid w:val="00A92617"/>
    <w:rsid w:val="00AA020A"/>
    <w:rsid w:val="00AA5DA2"/>
    <w:rsid w:val="00AA684E"/>
    <w:rsid w:val="00AB3252"/>
    <w:rsid w:val="00AB48A8"/>
    <w:rsid w:val="00AC17E1"/>
    <w:rsid w:val="00AE00C8"/>
    <w:rsid w:val="00AE0452"/>
    <w:rsid w:val="00B02AE3"/>
    <w:rsid w:val="00B16C2B"/>
    <w:rsid w:val="00B30489"/>
    <w:rsid w:val="00B343C4"/>
    <w:rsid w:val="00B454D0"/>
    <w:rsid w:val="00B6555F"/>
    <w:rsid w:val="00B95CDB"/>
    <w:rsid w:val="00BA5EF8"/>
    <w:rsid w:val="00BA7283"/>
    <w:rsid w:val="00BB069D"/>
    <w:rsid w:val="00BB12C7"/>
    <w:rsid w:val="00BE15BD"/>
    <w:rsid w:val="00BE7CCA"/>
    <w:rsid w:val="00BF4E9B"/>
    <w:rsid w:val="00C17508"/>
    <w:rsid w:val="00C264C8"/>
    <w:rsid w:val="00C26A1B"/>
    <w:rsid w:val="00C34A5E"/>
    <w:rsid w:val="00C3555F"/>
    <w:rsid w:val="00C41E6D"/>
    <w:rsid w:val="00C42AD3"/>
    <w:rsid w:val="00C53440"/>
    <w:rsid w:val="00C6626B"/>
    <w:rsid w:val="00C80C6C"/>
    <w:rsid w:val="00C9503E"/>
    <w:rsid w:val="00CA0084"/>
    <w:rsid w:val="00CA0BF9"/>
    <w:rsid w:val="00CA50BD"/>
    <w:rsid w:val="00CA5F26"/>
    <w:rsid w:val="00CB51F4"/>
    <w:rsid w:val="00CC1270"/>
    <w:rsid w:val="00CC3768"/>
    <w:rsid w:val="00CC37AF"/>
    <w:rsid w:val="00CD1F5E"/>
    <w:rsid w:val="00CD2D6C"/>
    <w:rsid w:val="00CF10EC"/>
    <w:rsid w:val="00CF2A11"/>
    <w:rsid w:val="00CF49B9"/>
    <w:rsid w:val="00D047A7"/>
    <w:rsid w:val="00D11E72"/>
    <w:rsid w:val="00D13547"/>
    <w:rsid w:val="00D21565"/>
    <w:rsid w:val="00D309B8"/>
    <w:rsid w:val="00D6187C"/>
    <w:rsid w:val="00D647F8"/>
    <w:rsid w:val="00D749B1"/>
    <w:rsid w:val="00D75547"/>
    <w:rsid w:val="00D7794E"/>
    <w:rsid w:val="00D77E89"/>
    <w:rsid w:val="00D82E2E"/>
    <w:rsid w:val="00D8590D"/>
    <w:rsid w:val="00D86746"/>
    <w:rsid w:val="00D87853"/>
    <w:rsid w:val="00D91814"/>
    <w:rsid w:val="00D9438C"/>
    <w:rsid w:val="00DA218D"/>
    <w:rsid w:val="00DB3A59"/>
    <w:rsid w:val="00DB3E4A"/>
    <w:rsid w:val="00DB4B5B"/>
    <w:rsid w:val="00DE5AE7"/>
    <w:rsid w:val="00DE7E21"/>
    <w:rsid w:val="00E01524"/>
    <w:rsid w:val="00E01970"/>
    <w:rsid w:val="00E07DE5"/>
    <w:rsid w:val="00E12D9E"/>
    <w:rsid w:val="00E17D80"/>
    <w:rsid w:val="00E2222E"/>
    <w:rsid w:val="00E23C6C"/>
    <w:rsid w:val="00E273AF"/>
    <w:rsid w:val="00E40931"/>
    <w:rsid w:val="00E51894"/>
    <w:rsid w:val="00E536BD"/>
    <w:rsid w:val="00E55039"/>
    <w:rsid w:val="00E67DBA"/>
    <w:rsid w:val="00E73D15"/>
    <w:rsid w:val="00E81403"/>
    <w:rsid w:val="00E909BE"/>
    <w:rsid w:val="00E95F3D"/>
    <w:rsid w:val="00EA31C5"/>
    <w:rsid w:val="00EB1FBA"/>
    <w:rsid w:val="00EC3104"/>
    <w:rsid w:val="00EC6882"/>
    <w:rsid w:val="00EC769F"/>
    <w:rsid w:val="00ED7BA8"/>
    <w:rsid w:val="00F05AE8"/>
    <w:rsid w:val="00F063F5"/>
    <w:rsid w:val="00F15ADF"/>
    <w:rsid w:val="00F253A8"/>
    <w:rsid w:val="00F26F9A"/>
    <w:rsid w:val="00F32FC3"/>
    <w:rsid w:val="00F4255E"/>
    <w:rsid w:val="00F43D4E"/>
    <w:rsid w:val="00F44858"/>
    <w:rsid w:val="00F61170"/>
    <w:rsid w:val="00F62AD4"/>
    <w:rsid w:val="00F676DD"/>
    <w:rsid w:val="00F867DF"/>
    <w:rsid w:val="00F90A47"/>
    <w:rsid w:val="00F93864"/>
    <w:rsid w:val="00FB3378"/>
    <w:rsid w:val="00FD06D8"/>
    <w:rsid w:val="00FD6573"/>
    <w:rsid w:val="00FD7798"/>
    <w:rsid w:val="00FE0055"/>
    <w:rsid w:val="00FE0C91"/>
    <w:rsid w:val="00FF6802"/>
    <w:rsid w:val="00FF7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745853"/>
    <w:rPr>
      <w:sz w:val="20"/>
      <w:szCs w:val="20"/>
    </w:rPr>
  </w:style>
  <w:style w:type="character" w:styleId="Appelnotedebasdep">
    <w:name w:val="footnote reference"/>
    <w:aliases w:val="Footnote Reference Number,Footnote Reference_LVL6,Footnote Reference_LVL61,Footnote Reference_LVL62,Footnote Reference_LVL63,Footnote Reference_LVL64,HAppel note de bas de p.,SUPERS,Ref,de nota al pie"/>
    <w:basedOn w:val="Policepardfaut"/>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8637F9"/>
    <w:pPr>
      <w:spacing w:after="0" w:line="240" w:lineRule="auto"/>
      <w:ind w:left="-567" w:right="-284"/>
      <w:jc w:val="both"/>
    </w:pPr>
    <w:rPr>
      <w:rFonts w:ascii="Segoe UI" w:hAnsi="Segoe UI" w:cs="Segoe UI"/>
      <w:bCs/>
      <w:sz w:val="20"/>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8637F9"/>
    <w:rPr>
      <w:rFonts w:ascii="Segoe UI" w:hAnsi="Segoe UI" w:cs="Segoe UI"/>
      <w:bCs/>
      <w:sz w:val="20"/>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nbb.be/Index.aspx?DataSetCode=EXTTRADEBENAT&amp;lang=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esalavera\Documents\Politique%20commerciale\Calculs%20fiche%20commerce%20ext&#233;rieur%20de%20la%20Belgiqu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salavera\Downloads\cb7061f2-1495-4398-89bc-fc934aa49b9b.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Evolution</a:t>
            </a:r>
            <a:r>
              <a:rPr lang="fr-FR" baseline="0"/>
              <a:t> du volume d'échange de biens de la Begique sur les neuf derniers trismestres (en M</a:t>
            </a:r>
            <a:r>
              <a:rPr lang="fr-FR" sz="1400" b="0" i="0" u="none" strike="noStrike" baseline="0">
                <a:effectLst/>
              </a:rPr>
              <a:t>€)</a:t>
            </a:r>
            <a:endParaRPr lang="fr-F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Feuil1!$B$4:$J$4</c:f>
              <c:strCache>
                <c:ptCount val="9"/>
                <c:pt idx="0">
                  <c:v>T1 2022</c:v>
                </c:pt>
                <c:pt idx="1">
                  <c:v>T2 2022 </c:v>
                </c:pt>
                <c:pt idx="2">
                  <c:v>T3 2022</c:v>
                </c:pt>
                <c:pt idx="3">
                  <c:v>T4 2022</c:v>
                </c:pt>
                <c:pt idx="4">
                  <c:v>T1 2023</c:v>
                </c:pt>
                <c:pt idx="5">
                  <c:v>T2 2023</c:v>
                </c:pt>
                <c:pt idx="6">
                  <c:v>T3 2023</c:v>
                </c:pt>
                <c:pt idx="7">
                  <c:v>T4 2023</c:v>
                </c:pt>
                <c:pt idx="8">
                  <c:v>T1 2024 </c:v>
                </c:pt>
              </c:strCache>
            </c:strRef>
          </c:cat>
          <c:val>
            <c:numRef>
              <c:f>Feuil1!$B$5:$J$5</c:f>
              <c:numCache>
                <c:formatCode>#,##0</c:formatCode>
                <c:ptCount val="9"/>
                <c:pt idx="0">
                  <c:v>206073</c:v>
                </c:pt>
                <c:pt idx="1">
                  <c:v>220507</c:v>
                </c:pt>
                <c:pt idx="2">
                  <c:v>236958</c:v>
                </c:pt>
                <c:pt idx="3">
                  <c:v>218022</c:v>
                </c:pt>
                <c:pt idx="4">
                  <c:v>203250</c:v>
                </c:pt>
                <c:pt idx="5">
                  <c:v>187125</c:v>
                </c:pt>
                <c:pt idx="6">
                  <c:v>174339</c:v>
                </c:pt>
                <c:pt idx="7">
                  <c:v>183998</c:v>
                </c:pt>
                <c:pt idx="8">
                  <c:v>177823</c:v>
                </c:pt>
              </c:numCache>
            </c:numRef>
          </c:val>
          <c:smooth val="0"/>
          <c:extLst>
            <c:ext xmlns:c16="http://schemas.microsoft.com/office/drawing/2014/chart" uri="{C3380CC4-5D6E-409C-BE32-E72D297353CC}">
              <c16:uniqueId val="{00000000-7EE5-4196-92BB-12E906E1F13F}"/>
            </c:ext>
          </c:extLst>
        </c:ser>
        <c:dLbls>
          <c:showLegendKey val="0"/>
          <c:showVal val="0"/>
          <c:showCatName val="0"/>
          <c:showSerName val="0"/>
          <c:showPercent val="0"/>
          <c:showBubbleSize val="0"/>
        </c:dLbls>
        <c:marker val="1"/>
        <c:smooth val="0"/>
        <c:axId val="72546655"/>
        <c:axId val="72544159"/>
      </c:lineChart>
      <c:catAx>
        <c:axId val="72546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2544159"/>
        <c:crosses val="autoZero"/>
        <c:auto val="1"/>
        <c:lblAlgn val="ctr"/>
        <c:lblOffset val="100"/>
        <c:noMultiLvlLbl val="0"/>
      </c:catAx>
      <c:valAx>
        <c:axId val="725441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25466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b="1"/>
              <a:t>Evolution</a:t>
            </a:r>
            <a:r>
              <a:rPr lang="fr-FR" b="1" baseline="0"/>
              <a:t> du solde commercial de la Belgique entre 2014 et 2023 (en M</a:t>
            </a:r>
            <a:r>
              <a:rPr lang="en-US" sz="1400" b="1" i="0" u="none" strike="noStrike" baseline="0">
                <a:effectLst/>
              </a:rPr>
              <a:t>€) - concept national</a:t>
            </a:r>
            <a:endParaRPr lang="fr-FR" b="1"/>
          </a:p>
        </c:rich>
      </c:tx>
      <c:layout>
        <c:manualLayout>
          <c:xMode val="edge"/>
          <c:yMode val="edge"/>
          <c:x val="0.12346299526930392"/>
          <c:y val="1.24610591900311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'NBB.Stat export'!$A$20:$B$20</c:f>
              <c:strCache>
                <c:ptCount val="2"/>
                <c:pt idx="0">
                  <c:v>Solde commercial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4.4466185738758705E-2"/>
                  <c:y val="4.207937792822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A7-49E8-B334-CB1F267FF1F4}"/>
                </c:ext>
              </c:extLst>
            </c:dLbl>
            <c:dLbl>
              <c:idx val="9"/>
              <c:layout>
                <c:manualLayout>
                  <c:x val="-3.9291024250711175E-2"/>
                  <c:y val="3.58488483332106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A7-49E8-B334-CB1F267FF1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'NBB.Stat export'!$C$19:$L$19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'NBB.Stat export'!$C$20:$L$20</c:f>
              <c:numCache>
                <c:formatCode>General</c:formatCode>
                <c:ptCount val="10"/>
                <c:pt idx="0">
                  <c:v>-7009</c:v>
                </c:pt>
                <c:pt idx="1">
                  <c:v>-4715</c:v>
                </c:pt>
                <c:pt idx="2">
                  <c:v>-5222</c:v>
                </c:pt>
                <c:pt idx="3">
                  <c:v>-8408</c:v>
                </c:pt>
                <c:pt idx="4">
                  <c:v>-14271</c:v>
                </c:pt>
                <c:pt idx="5">
                  <c:v>-6252</c:v>
                </c:pt>
                <c:pt idx="6">
                  <c:v>657</c:v>
                </c:pt>
                <c:pt idx="7">
                  <c:v>-6892</c:v>
                </c:pt>
                <c:pt idx="8">
                  <c:v>-5839</c:v>
                </c:pt>
                <c:pt idx="9" formatCode="#,##0">
                  <c:v>-20865</c:v>
                </c:pt>
              </c:numCache>
            </c:numRef>
          </c:val>
          <c:smooth val="0"/>
          <c:extLst>
            <c:ext xmlns:c16="http://schemas.microsoft.com/office/drawing/2014/chart" uri="{C3380CC4-5D6E-409C-BE32-E72D297353CC}">
              <c16:uniqueId val="{00000002-F0A7-49E8-B334-CB1F267FF1F4}"/>
            </c:ext>
          </c:extLst>
        </c:ser>
        <c:dLbls>
          <c:dLblPos val="t"/>
          <c:showLegendKey val="0"/>
          <c:showVal val="1"/>
          <c:showCatName val="0"/>
          <c:showSerName val="0"/>
          <c:showPercent val="0"/>
          <c:showBubbleSize val="0"/>
        </c:dLbls>
        <c:marker val="1"/>
        <c:smooth val="0"/>
        <c:axId val="173490607"/>
        <c:axId val="173503503"/>
      </c:lineChart>
      <c:catAx>
        <c:axId val="173490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3503503"/>
        <c:crosses val="autoZero"/>
        <c:auto val="1"/>
        <c:lblAlgn val="ctr"/>
        <c:lblOffset val="100"/>
        <c:noMultiLvlLbl val="0"/>
      </c:catAx>
      <c:valAx>
        <c:axId val="173503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3490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2.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2437</Words>
  <Characters>13405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SALAVERA Eva</dc:creator>
  <cp:keywords>template</cp:keywords>
  <dc:description/>
  <cp:lastModifiedBy>SALAVERA Eva</cp:lastModifiedBy>
  <cp:revision>3</cp:revision>
  <dcterms:created xsi:type="dcterms:W3CDTF">2024-06-27T12:11:00Z</dcterms:created>
  <dcterms:modified xsi:type="dcterms:W3CDTF">2024-07-19T10:07:00Z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