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7C7F" w14:textId="39EC929B" w:rsidR="00986289" w:rsidRPr="001A0F70" w:rsidRDefault="00986289" w:rsidP="00986289">
      <w:pPr>
        <w:pBdr>
          <w:top w:val="single" w:sz="12" w:space="1" w:color="E6A300"/>
          <w:bottom w:val="single" w:sz="12" w:space="1" w:color="E6A300"/>
        </w:pBdr>
        <w:shd w:val="clear" w:color="auto" w:fill="FFFFFF"/>
        <w:spacing w:after="300" w:line="240" w:lineRule="auto"/>
        <w:contextualSpacing/>
        <w:jc w:val="center"/>
        <w:rPr>
          <w:rFonts w:eastAsia="Times New Roman" w:cs="Times New Roman"/>
          <w:bCs/>
          <w:color w:val="122255"/>
          <w:spacing w:val="5"/>
          <w:kern w:val="28"/>
          <w:sz w:val="52"/>
          <w:szCs w:val="52"/>
        </w:rPr>
      </w:pPr>
      <w:r w:rsidRPr="001A0F70">
        <w:rPr>
          <w:rFonts w:eastAsia="Times New Roman" w:cs="Times New Roman"/>
          <w:bCs/>
          <w:color w:val="122255"/>
          <w:spacing w:val="5"/>
          <w:kern w:val="28"/>
          <w:sz w:val="52"/>
          <w:szCs w:val="52"/>
        </w:rPr>
        <w:t xml:space="preserve">Le commerce </w:t>
      </w:r>
      <w:r>
        <w:rPr>
          <w:rFonts w:eastAsia="Times New Roman" w:cs="Times New Roman"/>
          <w:bCs/>
          <w:color w:val="122255"/>
          <w:spacing w:val="5"/>
          <w:kern w:val="28"/>
          <w:sz w:val="52"/>
          <w:szCs w:val="52"/>
        </w:rPr>
        <w:t>extérieur de la Finlande en 2022</w:t>
      </w:r>
    </w:p>
    <w:p w14:paraId="45320DE5" w14:textId="77777777" w:rsidR="00986289" w:rsidRDefault="00986289" w:rsidP="00986289">
      <w:pPr>
        <w:spacing w:after="0" w:line="259" w:lineRule="auto"/>
        <w:jc w:val="both"/>
        <w:rPr>
          <w:rFonts w:ascii="Calibri" w:eastAsia="Calibri" w:hAnsi="Calibri" w:cs="Times New Roman"/>
          <w:i/>
          <w:sz w:val="22"/>
        </w:rPr>
      </w:pPr>
    </w:p>
    <w:p w14:paraId="2C4BEA67" w14:textId="77777777" w:rsidR="00986289" w:rsidRPr="001A0F70" w:rsidRDefault="00986289" w:rsidP="00986289">
      <w:pPr>
        <w:spacing w:after="160" w:line="259" w:lineRule="auto"/>
        <w:jc w:val="both"/>
        <w:rPr>
          <w:rFonts w:ascii="Calibri" w:eastAsia="Calibri" w:hAnsi="Calibri" w:cs="Times New Roman"/>
          <w:i/>
          <w:sz w:val="22"/>
        </w:rPr>
      </w:pPr>
      <w:r w:rsidRPr="001A0F70">
        <w:rPr>
          <w:rFonts w:ascii="Calibri" w:eastAsia="Calibri" w:hAnsi="Calibri" w:cs="Times New Roman"/>
          <w:i/>
          <w:sz w:val="22"/>
        </w:rPr>
        <w:t>Sauf mention contraire, les chiffres commentés ci-dessous sont ceux publiés par les Douanes finlandaises.</w:t>
      </w:r>
    </w:p>
    <w:p w14:paraId="776C2D95" w14:textId="0020AFE8" w:rsidR="00986289" w:rsidRPr="000D5B6D" w:rsidRDefault="00986289" w:rsidP="00986289">
      <w:pPr>
        <w:pBdr>
          <w:top w:val="single" w:sz="12" w:space="1" w:color="122255"/>
          <w:left w:val="single" w:sz="12" w:space="4" w:color="122255"/>
          <w:bottom w:val="single" w:sz="12" w:space="1" w:color="122255"/>
          <w:right w:val="single" w:sz="12" w:space="4" w:color="122255"/>
        </w:pBdr>
        <w:spacing w:after="240" w:line="259" w:lineRule="auto"/>
        <w:jc w:val="both"/>
        <w:rPr>
          <w:rFonts w:ascii="Calibri" w:eastAsia="Calibri" w:hAnsi="Calibri" w:cs="Calibri"/>
          <w:i/>
          <w:sz w:val="24"/>
          <w:szCs w:val="24"/>
        </w:rPr>
      </w:pPr>
      <w:r w:rsidRPr="000D5B6D">
        <w:rPr>
          <w:rFonts w:ascii="Calibri" w:eastAsia="Calibri" w:hAnsi="Calibri" w:cs="Calibri"/>
          <w:i/>
          <w:sz w:val="24"/>
          <w:szCs w:val="24"/>
        </w:rPr>
        <w:t>En 20</w:t>
      </w:r>
      <w:r>
        <w:rPr>
          <w:rFonts w:ascii="Calibri" w:eastAsia="Calibri" w:hAnsi="Calibri" w:cs="Calibri"/>
          <w:i/>
          <w:sz w:val="24"/>
          <w:szCs w:val="24"/>
        </w:rPr>
        <w:t>22</w:t>
      </w:r>
      <w:r w:rsidRPr="000D5B6D">
        <w:rPr>
          <w:rFonts w:ascii="Calibri" w:eastAsia="Calibri" w:hAnsi="Calibri" w:cs="Calibri"/>
          <w:i/>
          <w:sz w:val="24"/>
          <w:szCs w:val="24"/>
        </w:rPr>
        <w:t xml:space="preserve">, la balance commerciale de la Finlande s’est </w:t>
      </w:r>
      <w:r>
        <w:rPr>
          <w:rFonts w:ascii="Calibri" w:eastAsia="Calibri" w:hAnsi="Calibri" w:cs="Calibri"/>
          <w:i/>
          <w:sz w:val="24"/>
          <w:szCs w:val="24"/>
        </w:rPr>
        <w:t>sensiblement détériorée</w:t>
      </w:r>
      <w:r w:rsidRPr="000D5B6D">
        <w:rPr>
          <w:rFonts w:ascii="Calibri" w:eastAsia="Calibri" w:hAnsi="Calibri" w:cs="Calibri"/>
          <w:i/>
          <w:sz w:val="24"/>
          <w:szCs w:val="24"/>
        </w:rPr>
        <w:t>, passant de -</w:t>
      </w:r>
      <w:r>
        <w:rPr>
          <w:rFonts w:ascii="Calibri" w:eastAsia="Calibri" w:hAnsi="Calibri" w:cs="Calibri"/>
          <w:i/>
          <w:sz w:val="24"/>
          <w:szCs w:val="24"/>
        </w:rPr>
        <w:t xml:space="preserve">3,9 Mds € en 2021 à -10,6 </w:t>
      </w:r>
      <w:r w:rsidRPr="000D5B6D">
        <w:rPr>
          <w:rFonts w:ascii="Calibri" w:eastAsia="Calibri" w:hAnsi="Calibri" w:cs="Calibri"/>
          <w:i/>
          <w:sz w:val="24"/>
          <w:szCs w:val="24"/>
        </w:rPr>
        <w:t>M</w:t>
      </w:r>
      <w:r>
        <w:rPr>
          <w:rFonts w:ascii="Calibri" w:eastAsia="Calibri" w:hAnsi="Calibri" w:cs="Calibri"/>
          <w:i/>
          <w:sz w:val="24"/>
          <w:szCs w:val="24"/>
        </w:rPr>
        <w:t>ds €.</w:t>
      </w:r>
      <w:r w:rsidR="005015D7">
        <w:rPr>
          <w:rFonts w:ascii="Calibri" w:eastAsia="Calibri" w:hAnsi="Calibri" w:cs="Calibri"/>
          <w:i/>
          <w:sz w:val="24"/>
          <w:szCs w:val="24"/>
        </w:rPr>
        <w:t xml:space="preserve"> Ce déficit s’explique, d’une part, par l</w:t>
      </w:r>
      <w:r>
        <w:rPr>
          <w:rFonts w:ascii="Calibri" w:eastAsia="Calibri" w:hAnsi="Calibri" w:cs="Calibri"/>
          <w:i/>
          <w:sz w:val="24"/>
          <w:szCs w:val="24"/>
        </w:rPr>
        <w:t xml:space="preserve">a </w:t>
      </w:r>
      <w:r w:rsidR="005015D7">
        <w:rPr>
          <w:rFonts w:ascii="Calibri" w:eastAsia="Calibri" w:hAnsi="Calibri" w:cs="Calibri"/>
          <w:i/>
          <w:sz w:val="24"/>
          <w:szCs w:val="24"/>
        </w:rPr>
        <w:t xml:space="preserve">hausse de la </w:t>
      </w:r>
      <w:r>
        <w:rPr>
          <w:rFonts w:ascii="Calibri" w:eastAsia="Calibri" w:hAnsi="Calibri" w:cs="Calibri"/>
          <w:i/>
          <w:sz w:val="24"/>
          <w:szCs w:val="24"/>
        </w:rPr>
        <w:t>valeur des importations (+26,5%)</w:t>
      </w:r>
      <w:r w:rsidR="005015D7">
        <w:rPr>
          <w:rFonts w:ascii="Calibri" w:eastAsia="Calibri" w:hAnsi="Calibri" w:cs="Calibri"/>
          <w:i/>
          <w:sz w:val="24"/>
          <w:szCs w:val="24"/>
        </w:rPr>
        <w:t>, plus marquée que celle des exportations (+24,2%)</w:t>
      </w:r>
      <w:r w:rsidR="001E1629">
        <w:rPr>
          <w:rFonts w:ascii="Calibri" w:eastAsia="Calibri" w:hAnsi="Calibri" w:cs="Calibri"/>
          <w:i/>
          <w:sz w:val="24"/>
          <w:szCs w:val="24"/>
        </w:rPr>
        <w:t>. D</w:t>
      </w:r>
      <w:r w:rsidR="005015D7">
        <w:rPr>
          <w:rFonts w:ascii="Calibri" w:eastAsia="Calibri" w:hAnsi="Calibri" w:cs="Calibri"/>
          <w:i/>
          <w:sz w:val="24"/>
          <w:szCs w:val="24"/>
        </w:rPr>
        <w:t xml:space="preserve">’autre part, </w:t>
      </w:r>
      <w:r w:rsidR="001E1629">
        <w:rPr>
          <w:rFonts w:ascii="Calibri" w:eastAsia="Calibri" w:hAnsi="Calibri" w:cs="Calibri"/>
          <w:i/>
          <w:sz w:val="24"/>
          <w:szCs w:val="24"/>
        </w:rPr>
        <w:t>le volume des</w:t>
      </w:r>
      <w:r w:rsidR="005015D7">
        <w:rPr>
          <w:rFonts w:ascii="Calibri" w:eastAsia="Calibri" w:hAnsi="Calibri" w:cs="Calibri"/>
          <w:i/>
          <w:sz w:val="24"/>
          <w:szCs w:val="24"/>
        </w:rPr>
        <w:t xml:space="preserve"> importations </w:t>
      </w:r>
      <w:r w:rsidR="001E1629">
        <w:rPr>
          <w:rFonts w:ascii="Calibri" w:eastAsia="Calibri" w:hAnsi="Calibri" w:cs="Calibri"/>
          <w:i/>
          <w:sz w:val="24"/>
          <w:szCs w:val="24"/>
        </w:rPr>
        <w:t>est stabl</w:t>
      </w:r>
      <w:r w:rsidR="005015D7">
        <w:rPr>
          <w:rFonts w:ascii="Calibri" w:eastAsia="Calibri" w:hAnsi="Calibri" w:cs="Calibri"/>
          <w:i/>
          <w:sz w:val="24"/>
          <w:szCs w:val="24"/>
        </w:rPr>
        <w:t xml:space="preserve">e (+0,7%) </w:t>
      </w:r>
      <w:r w:rsidR="001E1629">
        <w:rPr>
          <w:rFonts w:ascii="Calibri" w:eastAsia="Calibri" w:hAnsi="Calibri" w:cs="Calibri"/>
          <w:i/>
          <w:sz w:val="24"/>
          <w:szCs w:val="24"/>
        </w:rPr>
        <w:t>tandis</w:t>
      </w:r>
      <w:r w:rsidR="005015D7">
        <w:rPr>
          <w:rFonts w:ascii="Calibri" w:eastAsia="Calibri" w:hAnsi="Calibri" w:cs="Calibri"/>
          <w:i/>
          <w:sz w:val="24"/>
          <w:szCs w:val="24"/>
        </w:rPr>
        <w:t xml:space="preserve"> que </w:t>
      </w:r>
      <w:r w:rsidR="001E1629">
        <w:rPr>
          <w:rFonts w:ascii="Calibri" w:eastAsia="Calibri" w:hAnsi="Calibri" w:cs="Calibri"/>
          <w:i/>
          <w:sz w:val="24"/>
          <w:szCs w:val="24"/>
        </w:rPr>
        <w:t xml:space="preserve">celui des </w:t>
      </w:r>
      <w:r w:rsidR="005015D7">
        <w:rPr>
          <w:rFonts w:ascii="Calibri" w:eastAsia="Calibri" w:hAnsi="Calibri" w:cs="Calibri"/>
          <w:i/>
          <w:sz w:val="24"/>
          <w:szCs w:val="24"/>
        </w:rPr>
        <w:t xml:space="preserve">exportations finlandaises </w:t>
      </w:r>
      <w:r w:rsidR="001E1629">
        <w:rPr>
          <w:rFonts w:ascii="Calibri" w:eastAsia="Calibri" w:hAnsi="Calibri" w:cs="Calibri"/>
          <w:i/>
          <w:sz w:val="24"/>
          <w:szCs w:val="24"/>
        </w:rPr>
        <w:t>a</w:t>
      </w:r>
      <w:r w:rsidR="005015D7">
        <w:rPr>
          <w:rFonts w:ascii="Calibri" w:eastAsia="Calibri" w:hAnsi="Calibri" w:cs="Calibri"/>
          <w:i/>
          <w:sz w:val="24"/>
          <w:szCs w:val="24"/>
        </w:rPr>
        <w:t xml:space="preserve"> chuté de 5,2%. </w:t>
      </w:r>
      <w:r>
        <w:rPr>
          <w:rFonts w:ascii="Calibri" w:eastAsia="Calibri" w:hAnsi="Calibri" w:cs="Calibri"/>
          <w:i/>
          <w:sz w:val="24"/>
          <w:szCs w:val="24"/>
        </w:rPr>
        <w:t>Les exportations de l’ordre de 8</w:t>
      </w:r>
      <w:r w:rsidR="001E1629">
        <w:rPr>
          <w:rFonts w:ascii="Calibri" w:eastAsia="Calibri" w:hAnsi="Calibri" w:cs="Calibri"/>
          <w:i/>
          <w:sz w:val="24"/>
          <w:szCs w:val="24"/>
        </w:rPr>
        <w:t>1</w:t>
      </w:r>
      <w:r>
        <w:rPr>
          <w:rFonts w:ascii="Calibri" w:eastAsia="Calibri" w:hAnsi="Calibri" w:cs="Calibri"/>
          <w:i/>
          <w:sz w:val="24"/>
          <w:szCs w:val="24"/>
        </w:rPr>
        <w:t>,</w:t>
      </w:r>
      <w:r w:rsidR="001E1629">
        <w:rPr>
          <w:rFonts w:ascii="Calibri" w:eastAsia="Calibri" w:hAnsi="Calibri" w:cs="Calibri"/>
          <w:i/>
          <w:sz w:val="24"/>
          <w:szCs w:val="24"/>
        </w:rPr>
        <w:t>7</w:t>
      </w:r>
      <w:r w:rsidRPr="000D5B6D">
        <w:rPr>
          <w:rFonts w:ascii="Calibri" w:eastAsia="Calibri" w:hAnsi="Calibri" w:cs="Calibri"/>
          <w:i/>
          <w:sz w:val="24"/>
          <w:szCs w:val="24"/>
        </w:rPr>
        <w:t xml:space="preserve"> Mds€</w:t>
      </w:r>
      <w:r>
        <w:rPr>
          <w:rFonts w:ascii="Calibri" w:eastAsia="Calibri" w:hAnsi="Calibri" w:cs="Calibri"/>
          <w:i/>
          <w:sz w:val="24"/>
          <w:szCs w:val="24"/>
        </w:rPr>
        <w:t xml:space="preserve"> comprennent </w:t>
      </w:r>
      <w:r w:rsidR="00620553">
        <w:rPr>
          <w:rFonts w:ascii="Calibri" w:eastAsia="Calibri" w:hAnsi="Calibri" w:cs="Calibri"/>
          <w:i/>
          <w:sz w:val="24"/>
          <w:szCs w:val="24"/>
        </w:rPr>
        <w:t>principalement</w:t>
      </w:r>
      <w:r>
        <w:rPr>
          <w:rFonts w:ascii="Calibri" w:eastAsia="Calibri" w:hAnsi="Calibri" w:cs="Calibri"/>
          <w:i/>
          <w:sz w:val="24"/>
          <w:szCs w:val="24"/>
        </w:rPr>
        <w:t xml:space="preserve"> des ventes de machines et matériel de transport (</w:t>
      </w:r>
      <w:r w:rsidR="001E1629">
        <w:rPr>
          <w:rFonts w:ascii="Calibri" w:eastAsia="Calibri" w:hAnsi="Calibri" w:cs="Calibri"/>
          <w:i/>
          <w:sz w:val="24"/>
          <w:szCs w:val="24"/>
        </w:rPr>
        <w:t>28</w:t>
      </w:r>
      <w:r>
        <w:rPr>
          <w:rFonts w:ascii="Calibri" w:eastAsia="Calibri" w:hAnsi="Calibri" w:cs="Calibri"/>
          <w:i/>
          <w:sz w:val="24"/>
          <w:szCs w:val="24"/>
        </w:rPr>
        <w:t xml:space="preserve">%), </w:t>
      </w:r>
      <w:r w:rsidR="004722D1">
        <w:rPr>
          <w:rFonts w:ascii="Calibri" w:eastAsia="Calibri" w:hAnsi="Calibri" w:cs="Calibri"/>
          <w:i/>
          <w:sz w:val="24"/>
          <w:szCs w:val="24"/>
        </w:rPr>
        <w:t xml:space="preserve">produits chimiques et pétroliers (20%) et </w:t>
      </w:r>
      <w:r>
        <w:rPr>
          <w:rFonts w:ascii="Calibri" w:eastAsia="Calibri" w:hAnsi="Calibri" w:cs="Calibri"/>
          <w:i/>
          <w:sz w:val="24"/>
          <w:szCs w:val="24"/>
        </w:rPr>
        <w:t>produits forestiers (1</w:t>
      </w:r>
      <w:r w:rsidR="004722D1">
        <w:rPr>
          <w:rFonts w:ascii="Calibri" w:eastAsia="Calibri" w:hAnsi="Calibri" w:cs="Calibri"/>
          <w:i/>
          <w:sz w:val="24"/>
          <w:szCs w:val="24"/>
        </w:rPr>
        <w:t>8</w:t>
      </w:r>
      <w:r>
        <w:rPr>
          <w:rFonts w:ascii="Calibri" w:eastAsia="Calibri" w:hAnsi="Calibri" w:cs="Calibri"/>
          <w:i/>
          <w:sz w:val="24"/>
          <w:szCs w:val="24"/>
        </w:rPr>
        <w:t>%)</w:t>
      </w:r>
      <w:r w:rsidR="004722D1">
        <w:rPr>
          <w:rFonts w:ascii="Calibri" w:eastAsia="Calibri" w:hAnsi="Calibri" w:cs="Calibri"/>
          <w:i/>
          <w:sz w:val="24"/>
          <w:szCs w:val="24"/>
        </w:rPr>
        <w:t>.</w:t>
      </w:r>
      <w:r>
        <w:rPr>
          <w:rFonts w:ascii="Calibri" w:eastAsia="Calibri" w:hAnsi="Calibri" w:cs="Calibri"/>
          <w:i/>
          <w:sz w:val="24"/>
          <w:szCs w:val="24"/>
        </w:rPr>
        <w:t xml:space="preserve"> Les importations de l’ordre de </w:t>
      </w:r>
      <w:r w:rsidR="004722D1">
        <w:rPr>
          <w:rFonts w:ascii="Calibri" w:eastAsia="Calibri" w:hAnsi="Calibri" w:cs="Calibri"/>
          <w:i/>
          <w:sz w:val="24"/>
          <w:szCs w:val="24"/>
        </w:rPr>
        <w:t>9</w:t>
      </w:r>
      <w:r>
        <w:rPr>
          <w:rFonts w:ascii="Calibri" w:eastAsia="Calibri" w:hAnsi="Calibri" w:cs="Calibri"/>
          <w:i/>
          <w:sz w:val="24"/>
          <w:szCs w:val="24"/>
        </w:rPr>
        <w:t>2,</w:t>
      </w:r>
      <w:r w:rsidR="004722D1">
        <w:rPr>
          <w:rFonts w:ascii="Calibri" w:eastAsia="Calibri" w:hAnsi="Calibri" w:cs="Calibri"/>
          <w:i/>
          <w:sz w:val="24"/>
          <w:szCs w:val="24"/>
        </w:rPr>
        <w:t>3</w:t>
      </w:r>
      <w:r>
        <w:rPr>
          <w:rFonts w:ascii="Calibri" w:eastAsia="Calibri" w:hAnsi="Calibri" w:cs="Calibri"/>
          <w:i/>
          <w:sz w:val="24"/>
          <w:szCs w:val="24"/>
        </w:rPr>
        <w:t xml:space="preserve"> Mds€</w:t>
      </w:r>
      <w:r w:rsidR="004722D1">
        <w:rPr>
          <w:rFonts w:ascii="Calibri" w:eastAsia="Calibri" w:hAnsi="Calibri" w:cs="Calibri"/>
          <w:i/>
          <w:sz w:val="24"/>
          <w:szCs w:val="24"/>
        </w:rPr>
        <w:t xml:space="preserve"> sont</w:t>
      </w:r>
      <w:r>
        <w:rPr>
          <w:rFonts w:ascii="Calibri" w:eastAsia="Calibri" w:hAnsi="Calibri" w:cs="Calibri"/>
          <w:i/>
          <w:sz w:val="24"/>
          <w:szCs w:val="24"/>
        </w:rPr>
        <w:t xml:space="preserve"> composées </w:t>
      </w:r>
      <w:r w:rsidR="00620553">
        <w:rPr>
          <w:rFonts w:ascii="Calibri" w:eastAsia="Calibri" w:hAnsi="Calibri" w:cs="Calibri"/>
          <w:i/>
          <w:sz w:val="24"/>
          <w:szCs w:val="24"/>
        </w:rPr>
        <w:t>notamment</w:t>
      </w:r>
      <w:r w:rsidR="004722D1">
        <w:rPr>
          <w:rFonts w:ascii="Calibri" w:eastAsia="Calibri" w:hAnsi="Calibri" w:cs="Calibri"/>
          <w:i/>
          <w:sz w:val="24"/>
          <w:szCs w:val="24"/>
        </w:rPr>
        <w:t xml:space="preserve"> </w:t>
      </w:r>
      <w:r>
        <w:rPr>
          <w:rFonts w:ascii="Calibri" w:eastAsia="Calibri" w:hAnsi="Calibri" w:cs="Calibri"/>
          <w:i/>
          <w:sz w:val="24"/>
          <w:szCs w:val="24"/>
        </w:rPr>
        <w:t>de machines et matériel de transport (2</w:t>
      </w:r>
      <w:r w:rsidR="004722D1">
        <w:rPr>
          <w:rFonts w:ascii="Calibri" w:eastAsia="Calibri" w:hAnsi="Calibri" w:cs="Calibri"/>
          <w:i/>
          <w:sz w:val="24"/>
          <w:szCs w:val="24"/>
        </w:rPr>
        <w:t>9</w:t>
      </w:r>
      <w:r>
        <w:rPr>
          <w:rFonts w:ascii="Calibri" w:eastAsia="Calibri" w:hAnsi="Calibri" w:cs="Calibri"/>
          <w:i/>
          <w:sz w:val="24"/>
          <w:szCs w:val="24"/>
        </w:rPr>
        <w:t>%)</w:t>
      </w:r>
      <w:r w:rsidR="00620553">
        <w:rPr>
          <w:rFonts w:ascii="Calibri" w:eastAsia="Calibri" w:hAnsi="Calibri" w:cs="Calibri"/>
          <w:i/>
          <w:sz w:val="24"/>
          <w:szCs w:val="24"/>
        </w:rPr>
        <w:t xml:space="preserve">, </w:t>
      </w:r>
      <w:r>
        <w:rPr>
          <w:rFonts w:ascii="Calibri" w:eastAsia="Calibri" w:hAnsi="Calibri" w:cs="Calibri"/>
          <w:i/>
          <w:sz w:val="24"/>
          <w:szCs w:val="24"/>
        </w:rPr>
        <w:t>de carburants</w:t>
      </w:r>
      <w:r w:rsidR="00620553">
        <w:rPr>
          <w:rFonts w:ascii="Calibri" w:eastAsia="Calibri" w:hAnsi="Calibri" w:cs="Calibri"/>
          <w:i/>
          <w:sz w:val="24"/>
          <w:szCs w:val="24"/>
        </w:rPr>
        <w:t xml:space="preserve"> et</w:t>
      </w:r>
      <w:r>
        <w:rPr>
          <w:rFonts w:ascii="Calibri" w:eastAsia="Calibri" w:hAnsi="Calibri" w:cs="Calibri"/>
          <w:i/>
          <w:sz w:val="24"/>
          <w:szCs w:val="24"/>
        </w:rPr>
        <w:t xml:space="preserve"> lubrifiants (1</w:t>
      </w:r>
      <w:r w:rsidR="00620553">
        <w:rPr>
          <w:rFonts w:ascii="Calibri" w:eastAsia="Calibri" w:hAnsi="Calibri" w:cs="Calibri"/>
          <w:i/>
          <w:sz w:val="24"/>
          <w:szCs w:val="24"/>
        </w:rPr>
        <w:t>6</w:t>
      </w:r>
      <w:r>
        <w:rPr>
          <w:rFonts w:ascii="Calibri" w:eastAsia="Calibri" w:hAnsi="Calibri" w:cs="Calibri"/>
          <w:i/>
          <w:sz w:val="24"/>
          <w:szCs w:val="24"/>
        </w:rPr>
        <w:t>,</w:t>
      </w:r>
      <w:r w:rsidR="00620553">
        <w:rPr>
          <w:rFonts w:ascii="Calibri" w:eastAsia="Calibri" w:hAnsi="Calibri" w:cs="Calibri"/>
          <w:i/>
          <w:sz w:val="24"/>
          <w:szCs w:val="24"/>
        </w:rPr>
        <w:t>5</w:t>
      </w:r>
      <w:r>
        <w:rPr>
          <w:rFonts w:ascii="Calibri" w:eastAsia="Calibri" w:hAnsi="Calibri" w:cs="Calibri"/>
          <w:i/>
          <w:sz w:val="24"/>
          <w:szCs w:val="24"/>
        </w:rPr>
        <w:t>%)</w:t>
      </w:r>
      <w:r w:rsidR="00620553">
        <w:rPr>
          <w:rFonts w:ascii="Calibri" w:eastAsia="Calibri" w:hAnsi="Calibri" w:cs="Calibri"/>
          <w:i/>
          <w:sz w:val="24"/>
          <w:szCs w:val="24"/>
        </w:rPr>
        <w:t xml:space="preserve"> et de produits métallurgiques (16%)</w:t>
      </w:r>
      <w:r w:rsidRPr="000D5B6D">
        <w:rPr>
          <w:rFonts w:ascii="Calibri" w:eastAsia="Calibri" w:hAnsi="Calibri" w:cs="Calibri"/>
          <w:i/>
          <w:sz w:val="24"/>
          <w:szCs w:val="24"/>
        </w:rPr>
        <w:t xml:space="preserve">. </w:t>
      </w:r>
      <w:r w:rsidR="00C0228D">
        <w:rPr>
          <w:rFonts w:ascii="Calibri" w:eastAsia="Calibri" w:hAnsi="Calibri" w:cs="Calibri"/>
          <w:i/>
          <w:sz w:val="24"/>
          <w:szCs w:val="24"/>
        </w:rPr>
        <w:t>L</w:t>
      </w:r>
      <w:r w:rsidRPr="000D5B6D">
        <w:rPr>
          <w:rFonts w:ascii="Calibri" w:eastAsia="Calibri" w:hAnsi="Calibri" w:cs="Calibri"/>
          <w:i/>
          <w:sz w:val="24"/>
          <w:szCs w:val="24"/>
        </w:rPr>
        <w:t>e défici</w:t>
      </w:r>
      <w:r>
        <w:rPr>
          <w:rFonts w:ascii="Calibri" w:eastAsia="Calibri" w:hAnsi="Calibri" w:cs="Calibri"/>
          <w:i/>
          <w:sz w:val="24"/>
          <w:szCs w:val="24"/>
        </w:rPr>
        <w:t xml:space="preserve">t commercial avec l’UE a </w:t>
      </w:r>
      <w:r w:rsidR="00C0228D">
        <w:rPr>
          <w:rFonts w:ascii="Calibri" w:eastAsia="Calibri" w:hAnsi="Calibri" w:cs="Calibri"/>
          <w:i/>
          <w:sz w:val="24"/>
          <w:szCs w:val="24"/>
        </w:rPr>
        <w:t>augmenté</w:t>
      </w:r>
      <w:r>
        <w:rPr>
          <w:rFonts w:ascii="Calibri" w:eastAsia="Calibri" w:hAnsi="Calibri" w:cs="Calibri"/>
          <w:i/>
          <w:sz w:val="24"/>
          <w:szCs w:val="24"/>
        </w:rPr>
        <w:t xml:space="preserve"> de </w:t>
      </w:r>
      <w:r w:rsidR="00C0228D">
        <w:rPr>
          <w:rFonts w:ascii="Calibri" w:eastAsia="Calibri" w:hAnsi="Calibri" w:cs="Calibri"/>
          <w:i/>
          <w:sz w:val="24"/>
          <w:szCs w:val="24"/>
        </w:rPr>
        <w:t>1,4</w:t>
      </w:r>
      <w:r>
        <w:rPr>
          <w:rFonts w:ascii="Calibri" w:eastAsia="Calibri" w:hAnsi="Calibri" w:cs="Calibri"/>
          <w:i/>
          <w:sz w:val="24"/>
          <w:szCs w:val="24"/>
        </w:rPr>
        <w:t xml:space="preserve"> M</w:t>
      </w:r>
      <w:r w:rsidR="00C0228D">
        <w:rPr>
          <w:rFonts w:ascii="Calibri" w:eastAsia="Calibri" w:hAnsi="Calibri" w:cs="Calibri"/>
          <w:i/>
          <w:sz w:val="24"/>
          <w:szCs w:val="24"/>
        </w:rPr>
        <w:t>d</w:t>
      </w:r>
      <w:r w:rsidRPr="000D5B6D">
        <w:rPr>
          <w:rFonts w:ascii="Calibri" w:eastAsia="Calibri" w:hAnsi="Calibri" w:cs="Calibri"/>
          <w:i/>
          <w:sz w:val="24"/>
          <w:szCs w:val="24"/>
        </w:rPr>
        <w:t xml:space="preserve"> € </w:t>
      </w:r>
      <w:r>
        <w:rPr>
          <w:rFonts w:ascii="Calibri" w:eastAsia="Calibri" w:hAnsi="Calibri" w:cs="Calibri"/>
          <w:i/>
          <w:sz w:val="24"/>
          <w:szCs w:val="24"/>
        </w:rPr>
        <w:t xml:space="preserve">en </w:t>
      </w:r>
      <w:r w:rsidRPr="000D5B6D">
        <w:rPr>
          <w:rFonts w:ascii="Calibri" w:eastAsia="Calibri" w:hAnsi="Calibri" w:cs="Calibri"/>
          <w:i/>
          <w:sz w:val="24"/>
          <w:szCs w:val="24"/>
        </w:rPr>
        <w:t>un an</w:t>
      </w:r>
      <w:r>
        <w:rPr>
          <w:rFonts w:ascii="Calibri" w:eastAsia="Calibri" w:hAnsi="Calibri" w:cs="Calibri"/>
          <w:i/>
          <w:sz w:val="24"/>
          <w:szCs w:val="24"/>
        </w:rPr>
        <w:t xml:space="preserve"> (il est</w:t>
      </w:r>
      <w:r w:rsidR="00C0228D">
        <w:rPr>
          <w:rFonts w:ascii="Calibri" w:eastAsia="Calibri" w:hAnsi="Calibri" w:cs="Calibri"/>
          <w:i/>
          <w:sz w:val="24"/>
          <w:szCs w:val="24"/>
        </w:rPr>
        <w:t xml:space="preserve"> légèrement supérieur à 4</w:t>
      </w:r>
      <w:r>
        <w:rPr>
          <w:rFonts w:ascii="Calibri" w:eastAsia="Calibri" w:hAnsi="Calibri" w:cs="Calibri"/>
          <w:i/>
          <w:sz w:val="24"/>
          <w:szCs w:val="24"/>
        </w:rPr>
        <w:t>,</w:t>
      </w:r>
      <w:r w:rsidR="00C0228D">
        <w:rPr>
          <w:rFonts w:ascii="Calibri" w:eastAsia="Calibri" w:hAnsi="Calibri" w:cs="Calibri"/>
          <w:i/>
          <w:sz w:val="24"/>
          <w:szCs w:val="24"/>
        </w:rPr>
        <w:t xml:space="preserve">6 </w:t>
      </w:r>
      <w:r>
        <w:rPr>
          <w:rFonts w:ascii="Calibri" w:eastAsia="Calibri" w:hAnsi="Calibri" w:cs="Calibri"/>
          <w:i/>
          <w:sz w:val="24"/>
          <w:szCs w:val="24"/>
        </w:rPr>
        <w:t>Mds</w:t>
      </w:r>
      <w:r w:rsidR="00C0228D">
        <w:rPr>
          <w:rFonts w:ascii="Calibri" w:eastAsia="Calibri" w:hAnsi="Calibri" w:cs="Calibri"/>
          <w:i/>
          <w:sz w:val="24"/>
          <w:szCs w:val="24"/>
        </w:rPr>
        <w:t>€</w:t>
      </w:r>
      <w:r>
        <w:rPr>
          <w:rFonts w:ascii="Calibri" w:eastAsia="Calibri" w:hAnsi="Calibri" w:cs="Calibri"/>
          <w:i/>
          <w:sz w:val="24"/>
          <w:szCs w:val="24"/>
        </w:rPr>
        <w:t xml:space="preserve"> en 202</w:t>
      </w:r>
      <w:r w:rsidR="00C0228D">
        <w:rPr>
          <w:rFonts w:ascii="Calibri" w:eastAsia="Calibri" w:hAnsi="Calibri" w:cs="Calibri"/>
          <w:i/>
          <w:sz w:val="24"/>
          <w:szCs w:val="24"/>
        </w:rPr>
        <w:t>2</w:t>
      </w:r>
      <w:r>
        <w:rPr>
          <w:rFonts w:ascii="Calibri" w:eastAsia="Calibri" w:hAnsi="Calibri" w:cs="Calibri"/>
          <w:i/>
          <w:sz w:val="24"/>
          <w:szCs w:val="24"/>
        </w:rPr>
        <w:t>)</w:t>
      </w:r>
      <w:r w:rsidRPr="000D5B6D">
        <w:rPr>
          <w:rFonts w:ascii="Calibri" w:eastAsia="Calibri" w:hAnsi="Calibri" w:cs="Calibri"/>
          <w:i/>
          <w:sz w:val="24"/>
          <w:szCs w:val="24"/>
        </w:rPr>
        <w:t>.</w:t>
      </w:r>
    </w:p>
    <w:p w14:paraId="344E5FAE" w14:textId="7C453D8B" w:rsidR="007E2C03" w:rsidRPr="007E2C03" w:rsidRDefault="00986289" w:rsidP="007E2C03">
      <w:pPr>
        <w:numPr>
          <w:ilvl w:val="0"/>
          <w:numId w:val="1"/>
        </w:numPr>
        <w:spacing w:after="0" w:line="259" w:lineRule="auto"/>
        <w:contextualSpacing/>
        <w:jc w:val="both"/>
        <w:rPr>
          <w:rFonts w:ascii="Calibri" w:eastAsia="Calibri" w:hAnsi="Calibri" w:cs="Calibri"/>
          <w:b/>
          <w:sz w:val="24"/>
          <w:szCs w:val="24"/>
          <w:u w:val="single"/>
        </w:rPr>
      </w:pPr>
      <w:r w:rsidRPr="001A0F70">
        <w:rPr>
          <w:rFonts w:ascii="Calibri" w:eastAsia="Calibri" w:hAnsi="Calibri" w:cs="Calibri"/>
          <w:b/>
          <w:sz w:val="24"/>
          <w:szCs w:val="24"/>
          <w:u w:val="single"/>
        </w:rPr>
        <w:t>Le dé</w:t>
      </w:r>
      <w:r>
        <w:rPr>
          <w:rFonts w:ascii="Calibri" w:eastAsia="Calibri" w:hAnsi="Calibri" w:cs="Calibri"/>
          <w:b/>
          <w:sz w:val="24"/>
          <w:szCs w:val="24"/>
          <w:u w:val="single"/>
        </w:rPr>
        <w:t>ficit commercial global de la Finlande se détériore en 202</w:t>
      </w:r>
      <w:r w:rsidR="00C0228D">
        <w:rPr>
          <w:rFonts w:ascii="Calibri" w:eastAsia="Calibri" w:hAnsi="Calibri" w:cs="Calibri"/>
          <w:b/>
          <w:sz w:val="24"/>
          <w:szCs w:val="24"/>
          <w:u w:val="single"/>
        </w:rPr>
        <w:t>2</w:t>
      </w:r>
      <w:r>
        <w:rPr>
          <w:rFonts w:ascii="Calibri" w:eastAsia="Calibri" w:hAnsi="Calibri" w:cs="Calibri"/>
          <w:b/>
          <w:sz w:val="24"/>
          <w:szCs w:val="24"/>
          <w:u w:val="single"/>
        </w:rPr>
        <w:t>.</w:t>
      </w:r>
    </w:p>
    <w:p w14:paraId="0704FB3E" w14:textId="6CE608C5" w:rsidR="00986289" w:rsidRPr="00FE26E6" w:rsidRDefault="00986289" w:rsidP="007E2C03">
      <w:pPr>
        <w:spacing w:before="240" w:after="160" w:line="259" w:lineRule="auto"/>
        <w:jc w:val="both"/>
        <w:rPr>
          <w:rFonts w:ascii="Calibri" w:eastAsia="Calibri" w:hAnsi="Calibri" w:cs="Times New Roman"/>
          <w:sz w:val="22"/>
        </w:rPr>
      </w:pPr>
      <w:r w:rsidRPr="00FE26E6">
        <w:rPr>
          <w:rFonts w:ascii="Calibri" w:eastAsia="Calibri" w:hAnsi="Calibri" w:cs="Times New Roman"/>
          <w:sz w:val="22"/>
        </w:rPr>
        <w:t>La balance commerciale de la Finlande se dégrade en 202</w:t>
      </w:r>
      <w:r w:rsidR="00C0228D" w:rsidRPr="00FE26E6">
        <w:rPr>
          <w:rFonts w:ascii="Calibri" w:eastAsia="Calibri" w:hAnsi="Calibri" w:cs="Times New Roman"/>
          <w:sz w:val="22"/>
        </w:rPr>
        <w:t>2</w:t>
      </w:r>
      <w:r w:rsidRPr="00FE26E6">
        <w:rPr>
          <w:rFonts w:ascii="Calibri" w:eastAsia="Calibri" w:hAnsi="Calibri" w:cs="Times New Roman"/>
          <w:sz w:val="22"/>
        </w:rPr>
        <w:t xml:space="preserve"> (-</w:t>
      </w:r>
      <w:r w:rsidR="00C0228D" w:rsidRPr="00FE26E6">
        <w:rPr>
          <w:rFonts w:ascii="Calibri" w:eastAsia="Calibri" w:hAnsi="Calibri" w:cs="Times New Roman"/>
          <w:sz w:val="22"/>
        </w:rPr>
        <w:t>10</w:t>
      </w:r>
      <w:r w:rsidRPr="00FE26E6">
        <w:rPr>
          <w:rFonts w:ascii="Calibri" w:eastAsia="Calibri" w:hAnsi="Calibri" w:cs="Times New Roman"/>
          <w:sz w:val="22"/>
        </w:rPr>
        <w:t>,</w:t>
      </w:r>
      <w:r w:rsidR="00C0228D" w:rsidRPr="00FE26E6">
        <w:rPr>
          <w:rFonts w:ascii="Calibri" w:eastAsia="Calibri" w:hAnsi="Calibri" w:cs="Times New Roman"/>
          <w:sz w:val="22"/>
        </w:rPr>
        <w:t>6</w:t>
      </w:r>
      <w:r w:rsidRPr="00FE26E6">
        <w:rPr>
          <w:rFonts w:ascii="Calibri" w:eastAsia="Calibri" w:hAnsi="Calibri" w:cs="Times New Roman"/>
          <w:sz w:val="22"/>
        </w:rPr>
        <w:t xml:space="preserve"> Mds€), par rapport à 202</w:t>
      </w:r>
      <w:r w:rsidR="00C0228D" w:rsidRPr="00FE26E6">
        <w:rPr>
          <w:rFonts w:ascii="Calibri" w:eastAsia="Calibri" w:hAnsi="Calibri" w:cs="Times New Roman"/>
          <w:sz w:val="22"/>
        </w:rPr>
        <w:t>1</w:t>
      </w:r>
      <w:r w:rsidRPr="00FE26E6">
        <w:rPr>
          <w:rFonts w:ascii="Calibri" w:eastAsia="Calibri" w:hAnsi="Calibri" w:cs="Times New Roman"/>
          <w:sz w:val="22"/>
        </w:rPr>
        <w:t xml:space="preserve"> (-3</w:t>
      </w:r>
      <w:r w:rsidR="00C0228D" w:rsidRPr="00FE26E6">
        <w:rPr>
          <w:rFonts w:ascii="Calibri" w:eastAsia="Calibri" w:hAnsi="Calibri" w:cs="Times New Roman"/>
          <w:sz w:val="22"/>
        </w:rPr>
        <w:t>,9</w:t>
      </w:r>
      <w:r w:rsidRPr="00FE26E6">
        <w:rPr>
          <w:rFonts w:ascii="Calibri" w:eastAsia="Calibri" w:hAnsi="Calibri" w:cs="Times New Roman"/>
          <w:sz w:val="22"/>
        </w:rPr>
        <w:t xml:space="preserve"> Mds€) et surtout par rapport à 2019, année de référence pré-COVID (-740 M €).</w:t>
      </w:r>
    </w:p>
    <w:p w14:paraId="65273A8F" w14:textId="69B8EC60" w:rsidR="00986289" w:rsidRPr="00FE26E6" w:rsidRDefault="00C0228D" w:rsidP="00986289">
      <w:pPr>
        <w:spacing w:after="160" w:line="259" w:lineRule="auto"/>
        <w:jc w:val="both"/>
        <w:rPr>
          <w:rFonts w:asciiTheme="minorHAnsi" w:eastAsia="Calibri" w:hAnsiTheme="minorHAnsi" w:cstheme="minorHAnsi"/>
          <w:sz w:val="22"/>
        </w:rPr>
      </w:pPr>
      <w:r w:rsidRPr="00FE26E6">
        <w:rPr>
          <w:rFonts w:ascii="Calibri" w:eastAsia="Calibri" w:hAnsi="Calibri" w:cs="Times New Roman"/>
          <w:sz w:val="22"/>
        </w:rPr>
        <w:t>La guerre en Ukraine</w:t>
      </w:r>
      <w:r w:rsidR="00986289" w:rsidRPr="00FE26E6">
        <w:rPr>
          <w:rFonts w:ascii="Calibri" w:eastAsia="Calibri" w:hAnsi="Calibri" w:cs="Times New Roman"/>
          <w:sz w:val="22"/>
        </w:rPr>
        <w:t xml:space="preserve"> et la hausse des prix de l’énergie ont entraîné une forte </w:t>
      </w:r>
      <w:r w:rsidRPr="00FE26E6">
        <w:rPr>
          <w:rFonts w:ascii="Calibri" w:eastAsia="Calibri" w:hAnsi="Calibri" w:cs="Times New Roman"/>
          <w:sz w:val="22"/>
        </w:rPr>
        <w:t xml:space="preserve">augmentation </w:t>
      </w:r>
      <w:r w:rsidR="00986289" w:rsidRPr="00FE26E6">
        <w:rPr>
          <w:rFonts w:ascii="Calibri" w:eastAsia="Calibri" w:hAnsi="Calibri" w:cs="Times New Roman"/>
          <w:sz w:val="22"/>
        </w:rPr>
        <w:t>en valeur des importations finlandaises d’hydrocarbures (+</w:t>
      </w:r>
      <w:r w:rsidRPr="00FE26E6">
        <w:rPr>
          <w:rFonts w:ascii="Calibri" w:eastAsia="Calibri" w:hAnsi="Calibri" w:cs="Times New Roman"/>
          <w:sz w:val="22"/>
        </w:rPr>
        <w:t>93</w:t>
      </w:r>
      <w:r w:rsidR="00986289" w:rsidRPr="00FE26E6">
        <w:rPr>
          <w:rFonts w:ascii="Calibri" w:eastAsia="Calibri" w:hAnsi="Calibri" w:cs="Times New Roman"/>
          <w:sz w:val="22"/>
        </w:rPr>
        <w:t xml:space="preserve">%) </w:t>
      </w:r>
      <w:r w:rsidR="009F3C65">
        <w:rPr>
          <w:rFonts w:ascii="Calibri" w:eastAsia="Calibri" w:hAnsi="Calibri" w:cs="Times New Roman"/>
          <w:sz w:val="22"/>
        </w:rPr>
        <w:t xml:space="preserve">- notamment celles de pétrole brut qui ont presque doublé en valeur - </w:t>
      </w:r>
      <w:r w:rsidR="00986289" w:rsidRPr="00FE26E6">
        <w:rPr>
          <w:rFonts w:ascii="Calibri" w:eastAsia="Calibri" w:hAnsi="Calibri" w:cs="Times New Roman"/>
          <w:sz w:val="22"/>
        </w:rPr>
        <w:t>tandis que la valeur des importations de</w:t>
      </w:r>
      <w:r w:rsidR="00B13C3F" w:rsidRPr="00FE26E6">
        <w:rPr>
          <w:rFonts w:ascii="Calibri" w:eastAsia="Calibri" w:hAnsi="Calibri" w:cs="Times New Roman"/>
          <w:sz w:val="22"/>
        </w:rPr>
        <w:t xml:space="preserve"> métaux et produits métallurgiques a</w:t>
      </w:r>
      <w:r w:rsidR="00986289" w:rsidRPr="00FE26E6">
        <w:rPr>
          <w:rFonts w:ascii="Calibri" w:eastAsia="Calibri" w:hAnsi="Calibri" w:cs="Times New Roman"/>
          <w:sz w:val="22"/>
        </w:rPr>
        <w:t xml:space="preserve"> également augmenté de manière conséquente (+</w:t>
      </w:r>
      <w:r w:rsidR="00216542" w:rsidRPr="00FE26E6">
        <w:rPr>
          <w:rFonts w:ascii="Calibri" w:eastAsia="Calibri" w:hAnsi="Calibri" w:cs="Times New Roman"/>
          <w:sz w:val="22"/>
        </w:rPr>
        <w:t>29</w:t>
      </w:r>
      <w:r w:rsidR="00986289" w:rsidRPr="00FE26E6">
        <w:rPr>
          <w:rFonts w:ascii="Calibri" w:eastAsia="Calibri" w:hAnsi="Calibri" w:cs="Times New Roman"/>
          <w:sz w:val="22"/>
        </w:rPr>
        <w:t>%). Ces deux postes déficitaires qui représentent p</w:t>
      </w:r>
      <w:r w:rsidR="00216542" w:rsidRPr="00FE26E6">
        <w:rPr>
          <w:rFonts w:ascii="Calibri" w:eastAsia="Calibri" w:hAnsi="Calibri" w:cs="Times New Roman"/>
          <w:sz w:val="22"/>
        </w:rPr>
        <w:t>lus</w:t>
      </w:r>
      <w:r w:rsidR="00986289" w:rsidRPr="00FE26E6">
        <w:rPr>
          <w:rFonts w:ascii="Calibri" w:eastAsia="Calibri" w:hAnsi="Calibri" w:cs="Times New Roman"/>
          <w:sz w:val="22"/>
        </w:rPr>
        <w:t xml:space="preserve"> d</w:t>
      </w:r>
      <w:r w:rsidR="00216542" w:rsidRPr="00FE26E6">
        <w:rPr>
          <w:rFonts w:ascii="Calibri" w:eastAsia="Calibri" w:hAnsi="Calibri" w:cs="Times New Roman"/>
          <w:sz w:val="22"/>
        </w:rPr>
        <w:t>u tiers</w:t>
      </w:r>
      <w:r w:rsidR="00986289" w:rsidRPr="00FE26E6">
        <w:rPr>
          <w:rFonts w:ascii="Calibri" w:eastAsia="Calibri" w:hAnsi="Calibri" w:cs="Times New Roman"/>
          <w:sz w:val="22"/>
        </w:rPr>
        <w:t xml:space="preserve"> du montant des importations expliquent en grande partie la </w:t>
      </w:r>
      <w:r w:rsidR="00986289" w:rsidRPr="00FE26E6">
        <w:rPr>
          <w:rFonts w:asciiTheme="minorHAnsi" w:eastAsia="Calibri" w:hAnsiTheme="minorHAnsi" w:cstheme="minorHAnsi"/>
          <w:sz w:val="22"/>
        </w:rPr>
        <w:t xml:space="preserve">dégradation du déficit commercial finlandais.  </w:t>
      </w:r>
    </w:p>
    <w:p w14:paraId="2CFE7344" w14:textId="2C8F5206" w:rsidR="00986289" w:rsidRPr="00FE26E6" w:rsidRDefault="00986289" w:rsidP="00986289">
      <w:pPr>
        <w:spacing w:after="160" w:line="259" w:lineRule="auto"/>
        <w:jc w:val="both"/>
        <w:rPr>
          <w:rFonts w:asciiTheme="minorHAnsi" w:eastAsia="Calibri" w:hAnsiTheme="minorHAnsi" w:cstheme="minorHAnsi"/>
          <w:sz w:val="22"/>
        </w:rPr>
      </w:pPr>
      <w:r w:rsidRPr="00FE26E6">
        <w:rPr>
          <w:rFonts w:asciiTheme="minorHAnsi" w:eastAsia="Calibri" w:hAnsiTheme="minorHAnsi" w:cstheme="minorHAnsi"/>
          <w:b/>
          <w:sz w:val="22"/>
        </w:rPr>
        <w:t>Les pays de l’UE sont les principaux clients (environ 5</w:t>
      </w:r>
      <w:r w:rsidR="00216542" w:rsidRPr="00FE26E6">
        <w:rPr>
          <w:rFonts w:asciiTheme="minorHAnsi" w:eastAsia="Calibri" w:hAnsiTheme="minorHAnsi" w:cstheme="minorHAnsi"/>
          <w:b/>
          <w:sz w:val="22"/>
        </w:rPr>
        <w:t>6</w:t>
      </w:r>
      <w:r w:rsidRPr="00FE26E6">
        <w:rPr>
          <w:rFonts w:asciiTheme="minorHAnsi" w:eastAsia="Calibri" w:hAnsiTheme="minorHAnsi" w:cstheme="minorHAnsi"/>
          <w:b/>
          <w:sz w:val="22"/>
        </w:rPr>
        <w:t>% du total) et fournisseurs (5</w:t>
      </w:r>
      <w:r w:rsidR="00216542" w:rsidRPr="00FE26E6">
        <w:rPr>
          <w:rFonts w:asciiTheme="minorHAnsi" w:eastAsia="Calibri" w:hAnsiTheme="minorHAnsi" w:cstheme="minorHAnsi"/>
          <w:b/>
          <w:sz w:val="22"/>
        </w:rPr>
        <w:t>5</w:t>
      </w:r>
      <w:r w:rsidRPr="00FE26E6">
        <w:rPr>
          <w:rFonts w:asciiTheme="minorHAnsi" w:eastAsia="Calibri" w:hAnsiTheme="minorHAnsi" w:cstheme="minorHAnsi"/>
          <w:b/>
          <w:sz w:val="22"/>
        </w:rPr>
        <w:t>%) de la Finlande.</w:t>
      </w:r>
      <w:r w:rsidRPr="00FE26E6">
        <w:rPr>
          <w:rFonts w:asciiTheme="minorHAnsi" w:eastAsia="Calibri" w:hAnsiTheme="minorHAnsi" w:cstheme="minorHAnsi"/>
          <w:sz w:val="22"/>
        </w:rPr>
        <w:t xml:space="preserve"> </w:t>
      </w:r>
    </w:p>
    <w:p w14:paraId="6B657B70" w14:textId="77777777" w:rsidR="00FE26E6" w:rsidRPr="00FE26E6" w:rsidRDefault="00986289" w:rsidP="00986289">
      <w:pPr>
        <w:spacing w:after="160" w:line="259" w:lineRule="auto"/>
        <w:jc w:val="both"/>
        <w:rPr>
          <w:rFonts w:ascii="Calibri" w:eastAsia="Calibri" w:hAnsi="Calibri" w:cs="Times New Roman"/>
          <w:sz w:val="22"/>
        </w:rPr>
      </w:pPr>
      <w:r w:rsidRPr="00FE26E6">
        <w:rPr>
          <w:rFonts w:asciiTheme="minorHAnsi" w:eastAsia="Calibri" w:hAnsiTheme="minorHAnsi" w:cstheme="minorHAnsi"/>
          <w:sz w:val="22"/>
        </w:rPr>
        <w:t>L’Allemagne est à la fois son premier fournisseur (1</w:t>
      </w:r>
      <w:r w:rsidR="00216542" w:rsidRPr="00FE26E6">
        <w:rPr>
          <w:rFonts w:asciiTheme="minorHAnsi" w:eastAsia="Calibri" w:hAnsiTheme="minorHAnsi" w:cstheme="minorHAnsi"/>
          <w:sz w:val="22"/>
        </w:rPr>
        <w:t>2</w:t>
      </w:r>
      <w:r w:rsidRPr="00FE26E6">
        <w:rPr>
          <w:rFonts w:asciiTheme="minorHAnsi" w:eastAsia="Calibri" w:hAnsiTheme="minorHAnsi" w:cstheme="minorHAnsi"/>
          <w:sz w:val="22"/>
        </w:rPr>
        <w:t>,9%) et client (1</w:t>
      </w:r>
      <w:r w:rsidR="00216542" w:rsidRPr="00FE26E6">
        <w:rPr>
          <w:rFonts w:asciiTheme="minorHAnsi" w:eastAsia="Calibri" w:hAnsiTheme="minorHAnsi" w:cstheme="minorHAnsi"/>
          <w:sz w:val="22"/>
        </w:rPr>
        <w:t>1</w:t>
      </w:r>
      <w:r w:rsidRPr="00FE26E6">
        <w:rPr>
          <w:rFonts w:asciiTheme="minorHAnsi" w:eastAsia="Calibri" w:hAnsiTheme="minorHAnsi" w:cstheme="minorHAnsi"/>
          <w:sz w:val="22"/>
        </w:rPr>
        <w:t>,</w:t>
      </w:r>
      <w:r w:rsidR="00216542" w:rsidRPr="00FE26E6">
        <w:rPr>
          <w:rFonts w:asciiTheme="minorHAnsi" w:eastAsia="Calibri" w:hAnsiTheme="minorHAnsi" w:cstheme="minorHAnsi"/>
          <w:sz w:val="22"/>
        </w:rPr>
        <w:t>7</w:t>
      </w:r>
      <w:r w:rsidRPr="00FE26E6">
        <w:rPr>
          <w:rFonts w:asciiTheme="minorHAnsi" w:eastAsia="Calibri" w:hAnsiTheme="minorHAnsi" w:cstheme="minorHAnsi"/>
          <w:sz w:val="22"/>
        </w:rPr>
        <w:t xml:space="preserve">%). </w:t>
      </w:r>
      <w:r w:rsidRPr="00FE26E6">
        <w:rPr>
          <w:rFonts w:ascii="Calibri" w:eastAsia="Calibri" w:hAnsi="Calibri" w:cs="Times New Roman"/>
          <w:sz w:val="22"/>
        </w:rPr>
        <w:t xml:space="preserve">Les autres principaux partenaires commerciaux sont la Suède, la Chine, les Pays-Bas et les Etats-Unis. </w:t>
      </w:r>
    </w:p>
    <w:p w14:paraId="3D267CF2" w14:textId="653A118E" w:rsidR="00216542" w:rsidRPr="00FE26E6" w:rsidRDefault="00A30F88" w:rsidP="00986289">
      <w:pPr>
        <w:spacing w:after="160" w:line="259" w:lineRule="auto"/>
        <w:jc w:val="both"/>
        <w:rPr>
          <w:rFonts w:ascii="Calibri" w:eastAsia="Calibri" w:hAnsi="Calibri" w:cs="Times New Roman"/>
          <w:sz w:val="22"/>
        </w:rPr>
      </w:pPr>
      <w:r w:rsidRPr="009E4D0F">
        <w:rPr>
          <w:rFonts w:ascii="Calibri" w:eastAsia="Calibri" w:hAnsi="Calibri" w:cs="Times New Roman"/>
          <w:b/>
          <w:bCs/>
          <w:sz w:val="22"/>
        </w:rPr>
        <w:t>La part</w:t>
      </w:r>
      <w:r w:rsidRPr="00A63CFE">
        <w:rPr>
          <w:rFonts w:ascii="Calibri" w:eastAsia="Calibri" w:hAnsi="Calibri" w:cs="Times New Roman"/>
          <w:b/>
          <w:bCs/>
          <w:sz w:val="22"/>
        </w:rPr>
        <w:t xml:space="preserve"> de la Russie dans les échanges de la Finlande</w:t>
      </w:r>
      <w:r w:rsidR="009E4D0F">
        <w:rPr>
          <w:rFonts w:ascii="Calibri" w:eastAsia="Calibri" w:hAnsi="Calibri" w:cs="Times New Roman"/>
          <w:b/>
          <w:bCs/>
          <w:sz w:val="22"/>
        </w:rPr>
        <w:t xml:space="preserve"> </w:t>
      </w:r>
      <w:r w:rsidR="00423950">
        <w:rPr>
          <w:rFonts w:ascii="Calibri" w:eastAsia="Calibri" w:hAnsi="Calibri" w:cs="Times New Roman"/>
          <w:b/>
          <w:bCs/>
          <w:sz w:val="22"/>
        </w:rPr>
        <w:t>a chuté</w:t>
      </w:r>
      <w:r w:rsidR="009E4D0F">
        <w:rPr>
          <w:rFonts w:ascii="Calibri" w:eastAsia="Calibri" w:hAnsi="Calibri" w:cs="Times New Roman"/>
          <w:b/>
          <w:bCs/>
          <w:sz w:val="22"/>
        </w:rPr>
        <w:t xml:space="preserve"> </w:t>
      </w:r>
      <w:r w:rsidR="00423950" w:rsidRPr="00423950">
        <w:rPr>
          <w:rFonts w:ascii="Calibri" w:eastAsia="Calibri" w:hAnsi="Calibri" w:cs="Times New Roman"/>
          <w:sz w:val="22"/>
        </w:rPr>
        <w:t>(</w:t>
      </w:r>
      <w:r w:rsidR="009E4D0F" w:rsidRPr="00423950">
        <w:rPr>
          <w:rFonts w:ascii="Calibri" w:eastAsia="Calibri" w:hAnsi="Calibri" w:cs="Times New Roman"/>
          <w:sz w:val="22"/>
        </w:rPr>
        <w:t xml:space="preserve">de 9% </w:t>
      </w:r>
      <w:r w:rsidR="00423950">
        <w:rPr>
          <w:rFonts w:ascii="Calibri" w:eastAsia="Calibri" w:hAnsi="Calibri" w:cs="Times New Roman"/>
          <w:sz w:val="22"/>
        </w:rPr>
        <w:t xml:space="preserve">du total des échanges </w:t>
      </w:r>
      <w:r w:rsidR="009E4D0F" w:rsidRPr="00423950">
        <w:rPr>
          <w:rFonts w:ascii="Calibri" w:eastAsia="Calibri" w:hAnsi="Calibri" w:cs="Times New Roman"/>
          <w:sz w:val="22"/>
        </w:rPr>
        <w:t>en 2021 à</w:t>
      </w:r>
      <w:r w:rsidR="00423950">
        <w:rPr>
          <w:rFonts w:ascii="Calibri" w:eastAsia="Calibri" w:hAnsi="Calibri" w:cs="Times New Roman"/>
          <w:sz w:val="22"/>
        </w:rPr>
        <w:t xml:space="preserve"> </w:t>
      </w:r>
      <w:r w:rsidR="009E4D0F" w:rsidRPr="00423950">
        <w:rPr>
          <w:rFonts w:ascii="Calibri" w:eastAsia="Calibri" w:hAnsi="Calibri" w:cs="Times New Roman"/>
          <w:sz w:val="22"/>
        </w:rPr>
        <w:t>5% en 2022</w:t>
      </w:r>
      <w:r w:rsidR="00423950" w:rsidRPr="00423950">
        <w:rPr>
          <w:rFonts w:ascii="Calibri" w:eastAsia="Calibri" w:hAnsi="Calibri" w:cs="Times New Roman"/>
          <w:sz w:val="22"/>
        </w:rPr>
        <w:t>),</w:t>
      </w:r>
      <w:r w:rsidR="00423950">
        <w:rPr>
          <w:rFonts w:ascii="Calibri" w:eastAsia="Calibri" w:hAnsi="Calibri" w:cs="Times New Roman"/>
          <w:b/>
          <w:bCs/>
          <w:sz w:val="22"/>
        </w:rPr>
        <w:t xml:space="preserve"> </w:t>
      </w:r>
      <w:r w:rsidR="001C5449">
        <w:rPr>
          <w:rFonts w:ascii="Calibri" w:eastAsia="Calibri" w:hAnsi="Calibri" w:cs="Times New Roman"/>
          <w:sz w:val="22"/>
        </w:rPr>
        <w:t>surtout</w:t>
      </w:r>
      <w:r w:rsidRPr="00FE26E6">
        <w:rPr>
          <w:rFonts w:ascii="Calibri" w:eastAsia="Calibri" w:hAnsi="Calibri" w:cs="Times New Roman"/>
          <w:sz w:val="22"/>
        </w:rPr>
        <w:t xml:space="preserve"> </w:t>
      </w:r>
      <w:r w:rsidR="001C5449">
        <w:rPr>
          <w:rFonts w:ascii="Calibri" w:eastAsia="Calibri" w:hAnsi="Calibri" w:cs="Times New Roman"/>
          <w:sz w:val="22"/>
        </w:rPr>
        <w:t>au sein</w:t>
      </w:r>
      <w:r w:rsidRPr="00FE26E6">
        <w:rPr>
          <w:rFonts w:ascii="Calibri" w:eastAsia="Calibri" w:hAnsi="Calibri" w:cs="Times New Roman"/>
          <w:sz w:val="22"/>
        </w:rPr>
        <w:t xml:space="preserve"> des exportations</w:t>
      </w:r>
      <w:r w:rsidR="00423950">
        <w:rPr>
          <w:rFonts w:ascii="Calibri" w:eastAsia="Calibri" w:hAnsi="Calibri" w:cs="Times New Roman"/>
          <w:sz w:val="22"/>
        </w:rPr>
        <w:t xml:space="preserve"> (diminution de moitié en valeur, </w:t>
      </w:r>
      <w:r w:rsidR="007E2C03">
        <w:rPr>
          <w:rFonts w:ascii="Calibri" w:eastAsia="Calibri" w:hAnsi="Calibri" w:cs="Times New Roman"/>
          <w:sz w:val="22"/>
        </w:rPr>
        <w:t>13</w:t>
      </w:r>
      <w:r w:rsidR="007E2C03" w:rsidRPr="007E2C03">
        <w:rPr>
          <w:rFonts w:ascii="Calibri" w:eastAsia="Calibri" w:hAnsi="Calibri" w:cs="Times New Roman"/>
          <w:sz w:val="22"/>
          <w:vertAlign w:val="superscript"/>
        </w:rPr>
        <w:t>e</w:t>
      </w:r>
      <w:r w:rsidR="007E2C03">
        <w:rPr>
          <w:rFonts w:ascii="Calibri" w:eastAsia="Calibri" w:hAnsi="Calibri" w:cs="Times New Roman"/>
          <w:sz w:val="22"/>
        </w:rPr>
        <w:t xml:space="preserve"> client de la Finlande</w:t>
      </w:r>
      <w:r w:rsidR="001C5449">
        <w:rPr>
          <w:rFonts w:ascii="Calibri" w:eastAsia="Calibri" w:hAnsi="Calibri" w:cs="Times New Roman"/>
          <w:sz w:val="22"/>
        </w:rPr>
        <w:t>)</w:t>
      </w:r>
      <w:r w:rsidR="00423950">
        <w:rPr>
          <w:rFonts w:ascii="Calibri" w:eastAsia="Calibri" w:hAnsi="Calibri" w:cs="Times New Roman"/>
          <w:sz w:val="22"/>
        </w:rPr>
        <w:t>.</w:t>
      </w:r>
      <w:r w:rsidR="00FE26E6">
        <w:rPr>
          <w:rFonts w:ascii="Calibri" w:eastAsia="Calibri" w:hAnsi="Calibri" w:cs="Times New Roman"/>
          <w:sz w:val="22"/>
        </w:rPr>
        <w:t xml:space="preserve"> </w:t>
      </w:r>
      <w:r w:rsidR="00423950">
        <w:rPr>
          <w:rFonts w:ascii="Calibri" w:eastAsia="Calibri" w:hAnsi="Calibri" w:cs="Times New Roman"/>
          <w:sz w:val="22"/>
        </w:rPr>
        <w:t>C</w:t>
      </w:r>
      <w:r w:rsidRPr="00FE26E6">
        <w:rPr>
          <w:rFonts w:ascii="Calibri" w:eastAsia="Calibri" w:hAnsi="Calibri" w:cs="Times New Roman"/>
          <w:sz w:val="22"/>
        </w:rPr>
        <w:t xml:space="preserve">e pays a néanmoins bénéficié de </w:t>
      </w:r>
      <w:r w:rsidRPr="00136CE0">
        <w:rPr>
          <w:rFonts w:ascii="Calibri" w:eastAsia="Calibri" w:hAnsi="Calibri" w:cs="Times New Roman"/>
          <w:b/>
          <w:bCs/>
          <w:sz w:val="22"/>
        </w:rPr>
        <w:t xml:space="preserve">prix élevés </w:t>
      </w:r>
      <w:r w:rsidR="006429CC" w:rsidRPr="00136CE0">
        <w:rPr>
          <w:rFonts w:ascii="Calibri" w:eastAsia="Calibri" w:hAnsi="Calibri" w:cs="Times New Roman"/>
          <w:b/>
          <w:bCs/>
          <w:sz w:val="22"/>
        </w:rPr>
        <w:t>dans ses ventes</w:t>
      </w:r>
      <w:r w:rsidRPr="00136CE0">
        <w:rPr>
          <w:rFonts w:ascii="Calibri" w:eastAsia="Calibri" w:hAnsi="Calibri" w:cs="Times New Roman"/>
          <w:b/>
          <w:bCs/>
          <w:sz w:val="22"/>
        </w:rPr>
        <w:t xml:space="preserve"> d’hydrocarbures</w:t>
      </w:r>
      <w:r w:rsidRPr="00FE26E6">
        <w:rPr>
          <w:rFonts w:ascii="Calibri" w:eastAsia="Calibri" w:hAnsi="Calibri" w:cs="Times New Roman"/>
          <w:sz w:val="22"/>
        </w:rPr>
        <w:t xml:space="preserve"> </w:t>
      </w:r>
      <w:r w:rsidR="00002130" w:rsidRPr="00FE26E6">
        <w:rPr>
          <w:rFonts w:ascii="Calibri" w:eastAsia="Calibri" w:hAnsi="Calibri" w:cs="Times New Roman"/>
          <w:sz w:val="22"/>
        </w:rPr>
        <w:t>(pétrole</w:t>
      </w:r>
      <w:r w:rsidR="006429CC">
        <w:rPr>
          <w:rFonts w:ascii="Calibri" w:eastAsia="Calibri" w:hAnsi="Calibri" w:cs="Times New Roman"/>
          <w:sz w:val="22"/>
        </w:rPr>
        <w:t xml:space="preserve"> brut</w:t>
      </w:r>
      <w:r w:rsidR="00002130">
        <w:rPr>
          <w:rStyle w:val="Appelnotedebasdep"/>
          <w:rFonts w:ascii="Calibri" w:eastAsia="Calibri" w:hAnsi="Calibri" w:cs="Times New Roman"/>
          <w:sz w:val="24"/>
          <w:szCs w:val="24"/>
        </w:rPr>
        <w:footnoteReference w:id="1"/>
      </w:r>
      <w:r w:rsidR="00002130" w:rsidRPr="00FE26E6">
        <w:rPr>
          <w:rFonts w:ascii="Calibri" w:eastAsia="Calibri" w:hAnsi="Calibri" w:cs="Times New Roman"/>
          <w:sz w:val="22"/>
        </w:rPr>
        <w:t xml:space="preserve">) </w:t>
      </w:r>
      <w:r w:rsidRPr="00FE26E6">
        <w:rPr>
          <w:rFonts w:ascii="Calibri" w:eastAsia="Calibri" w:hAnsi="Calibri" w:cs="Times New Roman"/>
          <w:sz w:val="22"/>
        </w:rPr>
        <w:t>et de métaux</w:t>
      </w:r>
      <w:r w:rsidR="00002130" w:rsidRPr="00FE26E6">
        <w:rPr>
          <w:rFonts w:ascii="Calibri" w:eastAsia="Calibri" w:hAnsi="Calibri" w:cs="Times New Roman"/>
          <w:sz w:val="22"/>
        </w:rPr>
        <w:t xml:space="preserve"> (</w:t>
      </w:r>
      <w:r w:rsidR="00002130" w:rsidRPr="00A63CFE">
        <w:rPr>
          <w:rFonts w:ascii="Calibri" w:eastAsia="Calibri" w:hAnsi="Calibri" w:cs="Times New Roman"/>
          <w:b/>
          <w:bCs/>
          <w:sz w:val="22"/>
        </w:rPr>
        <w:t>nickel</w:t>
      </w:r>
      <w:r w:rsidR="00002130" w:rsidRPr="00FE26E6">
        <w:rPr>
          <w:rFonts w:ascii="Calibri" w:eastAsia="Calibri" w:hAnsi="Calibri" w:cs="Times New Roman"/>
          <w:sz w:val="22"/>
        </w:rPr>
        <w:t xml:space="preserve"> </w:t>
      </w:r>
      <w:r w:rsidR="00002130" w:rsidRPr="00136CE0">
        <w:rPr>
          <w:rFonts w:ascii="Calibri" w:eastAsia="Calibri" w:hAnsi="Calibri" w:cs="Times New Roman"/>
          <w:sz w:val="22"/>
        </w:rPr>
        <w:t>en premier lieu</w:t>
      </w:r>
      <w:r w:rsidR="00002130" w:rsidRPr="00FE26E6">
        <w:rPr>
          <w:rFonts w:ascii="Calibri" w:eastAsia="Calibri" w:hAnsi="Calibri" w:cs="Times New Roman"/>
          <w:sz w:val="22"/>
        </w:rPr>
        <w:t>)</w:t>
      </w:r>
      <w:r w:rsidRPr="00FE26E6">
        <w:rPr>
          <w:rFonts w:ascii="Calibri" w:eastAsia="Calibri" w:hAnsi="Calibri" w:cs="Times New Roman"/>
          <w:sz w:val="22"/>
        </w:rPr>
        <w:t>.</w:t>
      </w:r>
      <w:r w:rsidR="00FE26E6">
        <w:rPr>
          <w:rFonts w:ascii="Calibri" w:eastAsia="Calibri" w:hAnsi="Calibri" w:cs="Times New Roman"/>
          <w:sz w:val="22"/>
        </w:rPr>
        <w:t xml:space="preserve"> Il est le 5</w:t>
      </w:r>
      <w:r w:rsidR="00FE26E6" w:rsidRPr="00FE26E6">
        <w:rPr>
          <w:rFonts w:ascii="Calibri" w:eastAsia="Calibri" w:hAnsi="Calibri" w:cs="Times New Roman"/>
          <w:sz w:val="22"/>
          <w:vertAlign w:val="superscript"/>
        </w:rPr>
        <w:t>e</w:t>
      </w:r>
      <w:r w:rsidR="00FE26E6">
        <w:rPr>
          <w:rFonts w:ascii="Calibri" w:eastAsia="Calibri" w:hAnsi="Calibri" w:cs="Times New Roman"/>
          <w:sz w:val="22"/>
        </w:rPr>
        <w:t xml:space="preserve"> fournisseur de la Finlande en 2022.</w:t>
      </w:r>
    </w:p>
    <w:p w14:paraId="570DD14D" w14:textId="75D6FF41" w:rsidR="00986289" w:rsidRPr="00FE26E6" w:rsidRDefault="00986289" w:rsidP="00986289">
      <w:pPr>
        <w:spacing w:after="160" w:line="259" w:lineRule="auto"/>
        <w:jc w:val="both"/>
        <w:rPr>
          <w:rFonts w:ascii="Calibri" w:eastAsia="Calibri" w:hAnsi="Calibri" w:cs="Times New Roman"/>
          <w:sz w:val="22"/>
        </w:rPr>
      </w:pPr>
      <w:r w:rsidRPr="00FE26E6">
        <w:rPr>
          <w:rFonts w:ascii="Calibri" w:eastAsia="Calibri" w:hAnsi="Calibri" w:cs="Times New Roman"/>
          <w:sz w:val="22"/>
        </w:rPr>
        <w:t xml:space="preserve">Le déficit commercial avec l’UE atteint </w:t>
      </w:r>
      <w:r w:rsidR="006429CC">
        <w:rPr>
          <w:rFonts w:ascii="Calibri" w:eastAsia="Calibri" w:hAnsi="Calibri" w:cs="Times New Roman"/>
          <w:sz w:val="22"/>
        </w:rPr>
        <w:t>4</w:t>
      </w:r>
      <w:r w:rsidRPr="00FE26E6">
        <w:rPr>
          <w:rFonts w:ascii="Calibri" w:eastAsia="Calibri" w:hAnsi="Calibri" w:cs="Times New Roman"/>
          <w:sz w:val="22"/>
        </w:rPr>
        <w:t>,</w:t>
      </w:r>
      <w:r w:rsidR="006429CC">
        <w:rPr>
          <w:rFonts w:ascii="Calibri" w:eastAsia="Calibri" w:hAnsi="Calibri" w:cs="Times New Roman"/>
          <w:sz w:val="22"/>
        </w:rPr>
        <w:t>6</w:t>
      </w:r>
      <w:r w:rsidRPr="00FE26E6">
        <w:rPr>
          <w:rFonts w:ascii="Calibri" w:eastAsia="Calibri" w:hAnsi="Calibri" w:cs="Times New Roman"/>
          <w:sz w:val="22"/>
        </w:rPr>
        <w:t xml:space="preserve"> Mds€, soit </w:t>
      </w:r>
      <w:r w:rsidR="006429CC">
        <w:rPr>
          <w:rFonts w:ascii="Calibri" w:eastAsia="Calibri" w:hAnsi="Calibri" w:cs="Times New Roman"/>
          <w:sz w:val="22"/>
        </w:rPr>
        <w:t>1,4</w:t>
      </w:r>
      <w:r w:rsidRPr="00FE26E6">
        <w:rPr>
          <w:rFonts w:ascii="Calibri" w:eastAsia="Calibri" w:hAnsi="Calibri" w:cs="Times New Roman"/>
          <w:sz w:val="22"/>
        </w:rPr>
        <w:t xml:space="preserve"> M</w:t>
      </w:r>
      <w:r w:rsidR="006429CC">
        <w:rPr>
          <w:rFonts w:ascii="Calibri" w:eastAsia="Calibri" w:hAnsi="Calibri" w:cs="Times New Roman"/>
          <w:sz w:val="22"/>
        </w:rPr>
        <w:t>d</w:t>
      </w:r>
      <w:r w:rsidRPr="00FE26E6">
        <w:rPr>
          <w:rFonts w:ascii="Calibri" w:eastAsia="Calibri" w:hAnsi="Calibri" w:cs="Times New Roman"/>
          <w:sz w:val="22"/>
        </w:rPr>
        <w:t>€ de</w:t>
      </w:r>
      <w:r w:rsidR="006429CC">
        <w:rPr>
          <w:rFonts w:ascii="Calibri" w:eastAsia="Calibri" w:hAnsi="Calibri" w:cs="Times New Roman"/>
          <w:sz w:val="22"/>
        </w:rPr>
        <w:t xml:space="preserve"> plus</w:t>
      </w:r>
      <w:r w:rsidRPr="00FE26E6">
        <w:rPr>
          <w:rFonts w:ascii="Calibri" w:eastAsia="Calibri" w:hAnsi="Calibri" w:cs="Times New Roman"/>
          <w:sz w:val="22"/>
        </w:rPr>
        <w:t xml:space="preserve"> que l’année précédente. Le déficit avec l’Asie atteint quant à lui </w:t>
      </w:r>
      <w:r w:rsidR="006429CC">
        <w:rPr>
          <w:rFonts w:ascii="Calibri" w:eastAsia="Calibri" w:hAnsi="Calibri" w:cs="Times New Roman"/>
          <w:sz w:val="22"/>
        </w:rPr>
        <w:t>4</w:t>
      </w:r>
      <w:r w:rsidRPr="00FE26E6">
        <w:rPr>
          <w:rFonts w:ascii="Calibri" w:eastAsia="Calibri" w:hAnsi="Calibri" w:cs="Times New Roman"/>
          <w:sz w:val="22"/>
        </w:rPr>
        <w:t>,</w:t>
      </w:r>
      <w:r w:rsidR="006429CC">
        <w:rPr>
          <w:rFonts w:ascii="Calibri" w:eastAsia="Calibri" w:hAnsi="Calibri" w:cs="Times New Roman"/>
          <w:sz w:val="22"/>
        </w:rPr>
        <w:t>9</w:t>
      </w:r>
      <w:r w:rsidRPr="00FE26E6">
        <w:rPr>
          <w:rFonts w:ascii="Calibri" w:eastAsia="Calibri" w:hAnsi="Calibri" w:cs="Times New Roman"/>
          <w:sz w:val="22"/>
        </w:rPr>
        <w:t xml:space="preserve"> Mds€, soit </w:t>
      </w:r>
      <w:r w:rsidR="006429CC">
        <w:rPr>
          <w:rFonts w:ascii="Calibri" w:eastAsia="Calibri" w:hAnsi="Calibri" w:cs="Times New Roman"/>
          <w:sz w:val="22"/>
        </w:rPr>
        <w:t xml:space="preserve">2,2 </w:t>
      </w:r>
      <w:r w:rsidRPr="00FE26E6">
        <w:rPr>
          <w:rFonts w:ascii="Calibri" w:eastAsia="Calibri" w:hAnsi="Calibri" w:cs="Times New Roman"/>
          <w:sz w:val="22"/>
        </w:rPr>
        <w:t>M</w:t>
      </w:r>
      <w:r w:rsidR="006429CC">
        <w:rPr>
          <w:rFonts w:ascii="Calibri" w:eastAsia="Calibri" w:hAnsi="Calibri" w:cs="Times New Roman"/>
          <w:sz w:val="22"/>
        </w:rPr>
        <w:t>ds</w:t>
      </w:r>
      <w:r w:rsidRPr="00FE26E6">
        <w:rPr>
          <w:rFonts w:ascii="Calibri" w:eastAsia="Calibri" w:hAnsi="Calibri" w:cs="Times New Roman"/>
          <w:sz w:val="22"/>
        </w:rPr>
        <w:t>€ de plus qu’en 202</w:t>
      </w:r>
      <w:r w:rsidR="006429CC">
        <w:rPr>
          <w:rFonts w:ascii="Calibri" w:eastAsia="Calibri" w:hAnsi="Calibri" w:cs="Times New Roman"/>
          <w:sz w:val="22"/>
        </w:rPr>
        <w:t>1</w:t>
      </w:r>
      <w:r w:rsidRPr="00FE26E6">
        <w:rPr>
          <w:rFonts w:ascii="Calibri" w:eastAsia="Calibri" w:hAnsi="Calibri" w:cs="Times New Roman"/>
          <w:sz w:val="22"/>
        </w:rPr>
        <w:t>.</w:t>
      </w:r>
    </w:p>
    <w:p w14:paraId="47E24934" w14:textId="459D791B" w:rsidR="00986289" w:rsidRPr="007E2C03" w:rsidRDefault="00986289" w:rsidP="007E2C03">
      <w:pPr>
        <w:numPr>
          <w:ilvl w:val="0"/>
          <w:numId w:val="1"/>
        </w:numPr>
        <w:spacing w:before="240" w:after="160" w:line="259" w:lineRule="auto"/>
        <w:contextualSpacing/>
        <w:jc w:val="both"/>
        <w:rPr>
          <w:rFonts w:ascii="Calibri" w:eastAsia="Calibri" w:hAnsi="Calibri" w:cs="Calibri"/>
          <w:b/>
          <w:sz w:val="24"/>
          <w:szCs w:val="24"/>
          <w:u w:val="single"/>
        </w:rPr>
      </w:pPr>
      <w:r>
        <w:rPr>
          <w:rFonts w:ascii="Calibri" w:eastAsia="Calibri" w:hAnsi="Calibri" w:cs="Calibri"/>
          <w:b/>
          <w:sz w:val="24"/>
          <w:szCs w:val="24"/>
          <w:u w:val="single"/>
        </w:rPr>
        <w:t>Les exportations finlandaises augmentent dans la plupart des principaux secteurs.</w:t>
      </w:r>
    </w:p>
    <w:p w14:paraId="4F1F217D" w14:textId="37AA59B4" w:rsidR="00986289" w:rsidRPr="00BA58A0" w:rsidRDefault="007223B0" w:rsidP="007E2C03">
      <w:pPr>
        <w:spacing w:before="240"/>
        <w:jc w:val="both"/>
        <w:rPr>
          <w:rFonts w:ascii="Calibri" w:eastAsia="Calibri" w:hAnsi="Calibri" w:cs="Times New Roman"/>
          <w:sz w:val="22"/>
        </w:rPr>
      </w:pPr>
      <w:r w:rsidRPr="00BA58A0">
        <w:rPr>
          <w:rFonts w:ascii="Calibri" w:eastAsia="Calibri" w:hAnsi="Calibri" w:cs="Times New Roman"/>
          <w:sz w:val="22"/>
        </w:rPr>
        <w:t xml:space="preserve">Dans un contexte de hausse des prix au niveau mondial, </w:t>
      </w:r>
      <w:r w:rsidRPr="00BA58A0">
        <w:rPr>
          <w:rFonts w:ascii="Calibri" w:eastAsia="Calibri" w:hAnsi="Calibri" w:cs="Times New Roman"/>
          <w:b/>
          <w:bCs/>
          <w:sz w:val="22"/>
        </w:rPr>
        <w:t>l</w:t>
      </w:r>
      <w:r w:rsidR="00986289" w:rsidRPr="00BA58A0">
        <w:rPr>
          <w:rFonts w:ascii="Calibri" w:eastAsia="Calibri" w:hAnsi="Calibri" w:cs="Times New Roman"/>
          <w:b/>
          <w:bCs/>
          <w:sz w:val="22"/>
        </w:rPr>
        <w:t xml:space="preserve">es exportations ont augmenté de </w:t>
      </w:r>
      <w:r w:rsidRPr="00BA58A0">
        <w:rPr>
          <w:rFonts w:ascii="Calibri" w:eastAsia="Calibri" w:hAnsi="Calibri" w:cs="Times New Roman"/>
          <w:b/>
          <w:bCs/>
          <w:sz w:val="22"/>
        </w:rPr>
        <w:t>24</w:t>
      </w:r>
      <w:r w:rsidR="00986289" w:rsidRPr="00BA58A0">
        <w:rPr>
          <w:rFonts w:ascii="Calibri" w:eastAsia="Calibri" w:hAnsi="Calibri" w:cs="Times New Roman"/>
          <w:b/>
          <w:bCs/>
          <w:sz w:val="22"/>
        </w:rPr>
        <w:t>,</w:t>
      </w:r>
      <w:r w:rsidRPr="00BA58A0">
        <w:rPr>
          <w:rFonts w:ascii="Calibri" w:eastAsia="Calibri" w:hAnsi="Calibri" w:cs="Times New Roman"/>
          <w:b/>
          <w:bCs/>
          <w:sz w:val="22"/>
        </w:rPr>
        <w:t>2</w:t>
      </w:r>
      <w:r w:rsidR="00986289" w:rsidRPr="00BA58A0">
        <w:rPr>
          <w:rFonts w:ascii="Calibri" w:eastAsia="Calibri" w:hAnsi="Calibri" w:cs="Times New Roman"/>
          <w:b/>
          <w:bCs/>
          <w:sz w:val="22"/>
        </w:rPr>
        <w:t>% en valeur (8</w:t>
      </w:r>
      <w:r w:rsidRPr="00BA58A0">
        <w:rPr>
          <w:rFonts w:ascii="Calibri" w:eastAsia="Calibri" w:hAnsi="Calibri" w:cs="Times New Roman"/>
          <w:b/>
          <w:bCs/>
          <w:sz w:val="22"/>
        </w:rPr>
        <w:t>1</w:t>
      </w:r>
      <w:r w:rsidR="00986289" w:rsidRPr="00BA58A0">
        <w:rPr>
          <w:rFonts w:ascii="Calibri" w:eastAsia="Calibri" w:hAnsi="Calibri" w:cs="Times New Roman"/>
          <w:b/>
          <w:bCs/>
          <w:sz w:val="22"/>
        </w:rPr>
        <w:t>,</w:t>
      </w:r>
      <w:r w:rsidRPr="00BA58A0">
        <w:rPr>
          <w:rFonts w:ascii="Calibri" w:eastAsia="Calibri" w:hAnsi="Calibri" w:cs="Times New Roman"/>
          <w:b/>
          <w:bCs/>
          <w:sz w:val="22"/>
        </w:rPr>
        <w:t>7</w:t>
      </w:r>
      <w:r w:rsidR="00986289" w:rsidRPr="00BA58A0">
        <w:rPr>
          <w:rFonts w:ascii="Calibri" w:eastAsia="Calibri" w:hAnsi="Calibri" w:cs="Times New Roman"/>
          <w:b/>
          <w:bCs/>
          <w:sz w:val="22"/>
        </w:rPr>
        <w:t xml:space="preserve"> Mds €) en 202</w:t>
      </w:r>
      <w:r w:rsidRPr="00BA58A0">
        <w:rPr>
          <w:rFonts w:ascii="Calibri" w:eastAsia="Calibri" w:hAnsi="Calibri" w:cs="Times New Roman"/>
          <w:b/>
          <w:bCs/>
          <w:sz w:val="22"/>
        </w:rPr>
        <w:t>2</w:t>
      </w:r>
      <w:r w:rsidR="00986289" w:rsidRPr="00BA58A0">
        <w:rPr>
          <w:rFonts w:ascii="Calibri" w:eastAsia="Calibri" w:hAnsi="Calibri" w:cs="Times New Roman"/>
          <w:sz w:val="22"/>
        </w:rPr>
        <w:t xml:space="preserve">. Celles-ci avaient </w:t>
      </w:r>
      <w:r w:rsidRPr="00BA58A0">
        <w:rPr>
          <w:rFonts w:ascii="Calibri" w:eastAsia="Calibri" w:hAnsi="Calibri" w:cs="Times New Roman"/>
          <w:sz w:val="22"/>
        </w:rPr>
        <w:t>déjà</w:t>
      </w:r>
      <w:r w:rsidR="00986289" w:rsidRPr="00BA58A0">
        <w:rPr>
          <w:rFonts w:ascii="Calibri" w:eastAsia="Calibri" w:hAnsi="Calibri" w:cs="Times New Roman"/>
          <w:sz w:val="22"/>
        </w:rPr>
        <w:t xml:space="preserve"> </w:t>
      </w:r>
      <w:r w:rsidRPr="00BA58A0">
        <w:rPr>
          <w:rFonts w:ascii="Calibri" w:eastAsia="Calibri" w:hAnsi="Calibri" w:cs="Times New Roman"/>
          <w:sz w:val="22"/>
        </w:rPr>
        <w:t>fortement augmenté</w:t>
      </w:r>
      <w:r w:rsidR="00986289" w:rsidRPr="00BA58A0">
        <w:rPr>
          <w:rFonts w:ascii="Calibri" w:eastAsia="Calibri" w:hAnsi="Calibri" w:cs="Times New Roman"/>
          <w:sz w:val="22"/>
        </w:rPr>
        <w:t xml:space="preserve"> en 202</w:t>
      </w:r>
      <w:r w:rsidRPr="00BA58A0">
        <w:rPr>
          <w:rFonts w:ascii="Calibri" w:eastAsia="Calibri" w:hAnsi="Calibri" w:cs="Times New Roman"/>
          <w:sz w:val="22"/>
        </w:rPr>
        <w:t>1</w:t>
      </w:r>
      <w:r w:rsidR="00986289" w:rsidRPr="00BA58A0">
        <w:rPr>
          <w:rFonts w:ascii="Calibri" w:eastAsia="Calibri" w:hAnsi="Calibri" w:cs="Times New Roman"/>
          <w:sz w:val="22"/>
        </w:rPr>
        <w:t xml:space="preserve"> (</w:t>
      </w:r>
      <w:r w:rsidRPr="00BA58A0">
        <w:rPr>
          <w:rFonts w:ascii="Calibri" w:eastAsia="Calibri" w:hAnsi="Calibri" w:cs="Times New Roman"/>
          <w:sz w:val="22"/>
        </w:rPr>
        <w:t xml:space="preserve">+19%) </w:t>
      </w:r>
      <w:r w:rsidR="00AC0FC2" w:rsidRPr="00BA58A0">
        <w:rPr>
          <w:rFonts w:ascii="Calibri" w:eastAsia="Calibri" w:hAnsi="Calibri" w:cs="Times New Roman"/>
          <w:sz w:val="22"/>
        </w:rPr>
        <w:t>profitant de</w:t>
      </w:r>
      <w:r w:rsidRPr="00BA58A0">
        <w:rPr>
          <w:rFonts w:ascii="Calibri" w:eastAsia="Calibri" w:hAnsi="Calibri" w:cs="Times New Roman"/>
          <w:sz w:val="22"/>
        </w:rPr>
        <w:t xml:space="preserve"> la reprise économique </w:t>
      </w:r>
      <w:r w:rsidR="00AE3523" w:rsidRPr="00BA58A0">
        <w:rPr>
          <w:rFonts w:ascii="Calibri" w:eastAsia="Calibri" w:hAnsi="Calibri" w:cs="Times New Roman"/>
          <w:sz w:val="22"/>
        </w:rPr>
        <w:t xml:space="preserve">suite à la crise du </w:t>
      </w:r>
      <w:r w:rsidRPr="00BA58A0">
        <w:rPr>
          <w:rFonts w:ascii="Calibri" w:eastAsia="Calibri" w:hAnsi="Calibri" w:cs="Times New Roman"/>
          <w:sz w:val="22"/>
        </w:rPr>
        <w:t>Corona</w:t>
      </w:r>
      <w:r w:rsidR="00AE3523" w:rsidRPr="00BA58A0">
        <w:rPr>
          <w:rFonts w:ascii="Calibri" w:eastAsia="Calibri" w:hAnsi="Calibri" w:cs="Times New Roman"/>
          <w:sz w:val="22"/>
        </w:rPr>
        <w:t>virus</w:t>
      </w:r>
      <w:r w:rsidRPr="00BA58A0">
        <w:rPr>
          <w:rFonts w:ascii="Calibri" w:eastAsia="Calibri" w:hAnsi="Calibri" w:cs="Times New Roman"/>
          <w:sz w:val="22"/>
        </w:rPr>
        <w:t>.</w:t>
      </w:r>
    </w:p>
    <w:p w14:paraId="78548AD4" w14:textId="0C5347A7" w:rsidR="00986289" w:rsidRPr="00BA58A0" w:rsidRDefault="00986289" w:rsidP="00986289">
      <w:pPr>
        <w:jc w:val="both"/>
        <w:rPr>
          <w:rFonts w:asciiTheme="minorHAnsi" w:hAnsiTheme="minorHAnsi" w:cstheme="minorHAnsi"/>
          <w:sz w:val="22"/>
        </w:rPr>
      </w:pPr>
      <w:r w:rsidRPr="00BA58A0">
        <w:rPr>
          <w:rFonts w:asciiTheme="minorHAnsi" w:hAnsiTheme="minorHAnsi" w:cstheme="minorHAnsi"/>
          <w:sz w:val="22"/>
        </w:rPr>
        <w:t>Les exportations se concentrent sur un noyau dur traditionnel : les machines et matériel de transport (</w:t>
      </w:r>
      <w:r w:rsidR="00AE3523" w:rsidRPr="00BA58A0">
        <w:rPr>
          <w:rFonts w:asciiTheme="minorHAnsi" w:hAnsiTheme="minorHAnsi" w:cstheme="minorHAnsi"/>
          <w:sz w:val="22"/>
        </w:rPr>
        <w:t>28%</w:t>
      </w:r>
      <w:r w:rsidRPr="00BA58A0">
        <w:rPr>
          <w:rFonts w:asciiTheme="minorHAnsi" w:hAnsiTheme="minorHAnsi" w:cstheme="minorHAnsi"/>
          <w:sz w:val="22"/>
        </w:rPr>
        <w:t xml:space="preserve"> du total), </w:t>
      </w:r>
      <w:r w:rsidR="00AE3523" w:rsidRPr="00BA58A0">
        <w:rPr>
          <w:rFonts w:asciiTheme="minorHAnsi" w:hAnsiTheme="minorHAnsi" w:cstheme="minorHAnsi"/>
          <w:sz w:val="22"/>
        </w:rPr>
        <w:t xml:space="preserve">les produits chimiques et pétroliers (20%), </w:t>
      </w:r>
      <w:r w:rsidR="0080754A" w:rsidRPr="00BA58A0">
        <w:rPr>
          <w:rFonts w:asciiTheme="minorHAnsi" w:hAnsiTheme="minorHAnsi" w:cstheme="minorHAnsi"/>
          <w:sz w:val="22"/>
        </w:rPr>
        <w:t xml:space="preserve">le secteur du bois, papier et carton et l’industrie métallurgique qui représentent chacun </w:t>
      </w:r>
      <w:r w:rsidR="00AE3523" w:rsidRPr="00BA58A0">
        <w:rPr>
          <w:rFonts w:asciiTheme="minorHAnsi" w:hAnsiTheme="minorHAnsi" w:cstheme="minorHAnsi"/>
          <w:sz w:val="22"/>
        </w:rPr>
        <w:t>18</w:t>
      </w:r>
      <w:r w:rsidRPr="00BA58A0">
        <w:rPr>
          <w:rFonts w:asciiTheme="minorHAnsi" w:hAnsiTheme="minorHAnsi" w:cstheme="minorHAnsi"/>
          <w:sz w:val="22"/>
        </w:rPr>
        <w:t>%</w:t>
      </w:r>
      <w:r w:rsidR="0080754A" w:rsidRPr="00BA58A0">
        <w:rPr>
          <w:rFonts w:asciiTheme="minorHAnsi" w:hAnsiTheme="minorHAnsi" w:cstheme="minorHAnsi"/>
          <w:sz w:val="22"/>
        </w:rPr>
        <w:t xml:space="preserve"> </w:t>
      </w:r>
      <w:r w:rsidRPr="00BA58A0">
        <w:rPr>
          <w:rFonts w:asciiTheme="minorHAnsi" w:hAnsiTheme="minorHAnsi" w:cstheme="minorHAnsi"/>
          <w:sz w:val="22"/>
        </w:rPr>
        <w:t>des exportations.</w:t>
      </w:r>
    </w:p>
    <w:p w14:paraId="5E5EDFB9" w14:textId="24189D77" w:rsidR="00986289" w:rsidRPr="00BA58A0" w:rsidRDefault="0064392A" w:rsidP="00986289">
      <w:pPr>
        <w:pStyle w:val="Paragraphedeliste"/>
        <w:numPr>
          <w:ilvl w:val="0"/>
          <w:numId w:val="4"/>
        </w:numPr>
        <w:jc w:val="both"/>
        <w:rPr>
          <w:rFonts w:asciiTheme="minorHAnsi" w:hAnsiTheme="minorHAnsi" w:cstheme="minorHAnsi"/>
          <w:sz w:val="22"/>
        </w:rPr>
      </w:pPr>
      <w:r w:rsidRPr="00BA58A0">
        <w:rPr>
          <w:rFonts w:asciiTheme="minorHAnsi" w:hAnsiTheme="minorHAnsi" w:cstheme="minorHAnsi"/>
          <w:sz w:val="22"/>
        </w:rPr>
        <w:t>Avec l’inflation, l</w:t>
      </w:r>
      <w:r w:rsidR="00986289" w:rsidRPr="00BA58A0">
        <w:rPr>
          <w:rFonts w:asciiTheme="minorHAnsi" w:hAnsiTheme="minorHAnsi" w:cstheme="minorHAnsi"/>
          <w:sz w:val="22"/>
        </w:rPr>
        <w:t>es principaux sec</w:t>
      </w:r>
      <w:r w:rsidRPr="00BA58A0">
        <w:rPr>
          <w:rFonts w:asciiTheme="minorHAnsi" w:hAnsiTheme="minorHAnsi" w:cstheme="minorHAnsi"/>
          <w:sz w:val="22"/>
        </w:rPr>
        <w:t>teurs exportateurs ont vu leurs ventes augmenter en valeur en 2022</w:t>
      </w:r>
      <w:r w:rsidR="00986289" w:rsidRPr="00BA58A0">
        <w:rPr>
          <w:rFonts w:asciiTheme="minorHAnsi" w:hAnsiTheme="minorHAnsi" w:cstheme="minorHAnsi"/>
          <w:sz w:val="22"/>
        </w:rPr>
        <w:t>:</w:t>
      </w:r>
    </w:p>
    <w:p w14:paraId="56B50993" w14:textId="227EDA56" w:rsidR="0055213F" w:rsidRPr="00BA58A0" w:rsidRDefault="0055213F" w:rsidP="0055213F">
      <w:pPr>
        <w:pStyle w:val="Paragraphedeliste"/>
        <w:numPr>
          <w:ilvl w:val="1"/>
          <w:numId w:val="3"/>
        </w:numPr>
        <w:jc w:val="both"/>
        <w:rPr>
          <w:rFonts w:asciiTheme="minorHAnsi" w:hAnsiTheme="minorHAnsi" w:cstheme="minorHAnsi"/>
          <w:sz w:val="22"/>
        </w:rPr>
      </w:pPr>
      <w:r w:rsidRPr="00BA58A0">
        <w:rPr>
          <w:rFonts w:asciiTheme="minorHAnsi" w:hAnsiTheme="minorHAnsi" w:cstheme="minorHAnsi"/>
          <w:sz w:val="22"/>
        </w:rPr>
        <w:t>Les exportations de</w:t>
      </w:r>
      <w:r w:rsidRPr="00BA58A0">
        <w:rPr>
          <w:rFonts w:asciiTheme="minorHAnsi" w:hAnsiTheme="minorHAnsi" w:cstheme="minorHAnsi"/>
          <w:b/>
          <w:sz w:val="22"/>
        </w:rPr>
        <w:t xml:space="preserve"> produits pétroliers</w:t>
      </w:r>
      <w:r w:rsidRPr="00BA58A0">
        <w:rPr>
          <w:rFonts w:asciiTheme="minorHAnsi" w:hAnsiTheme="minorHAnsi" w:cstheme="minorHAnsi"/>
          <w:sz w:val="22"/>
        </w:rPr>
        <w:t xml:space="preserve">, qui représentent 9% de toutes les exportations (7,5 Mds €), </w:t>
      </w:r>
      <w:r w:rsidRPr="00BA58A0">
        <w:rPr>
          <w:rFonts w:asciiTheme="minorHAnsi" w:hAnsiTheme="minorHAnsi" w:cstheme="minorHAnsi"/>
          <w:b/>
          <w:sz w:val="22"/>
        </w:rPr>
        <w:t>ont augmenté de 82% en valeur</w:t>
      </w:r>
      <w:r w:rsidRPr="00BA58A0">
        <w:rPr>
          <w:rStyle w:val="Appelnotedebasdep"/>
          <w:rFonts w:asciiTheme="minorHAnsi" w:hAnsiTheme="minorHAnsi" w:cstheme="minorHAnsi"/>
          <w:b/>
          <w:sz w:val="22"/>
        </w:rPr>
        <w:footnoteReference w:id="2"/>
      </w:r>
      <w:r w:rsidR="008070D2" w:rsidRPr="00BA58A0">
        <w:rPr>
          <w:rFonts w:asciiTheme="minorHAnsi" w:hAnsiTheme="minorHAnsi" w:cstheme="minorHAnsi"/>
          <w:b/>
          <w:sz w:val="22"/>
        </w:rPr>
        <w:t> ;</w:t>
      </w:r>
      <w:r w:rsidRPr="00BA58A0">
        <w:rPr>
          <w:rFonts w:asciiTheme="minorHAnsi" w:hAnsiTheme="minorHAnsi" w:cstheme="minorHAnsi"/>
          <w:sz w:val="22"/>
        </w:rPr>
        <w:t xml:space="preserve"> </w:t>
      </w:r>
    </w:p>
    <w:p w14:paraId="0655F2A7" w14:textId="36A43CD0" w:rsidR="00986289" w:rsidRPr="00BA58A0" w:rsidRDefault="00986289" w:rsidP="00986289">
      <w:pPr>
        <w:pStyle w:val="Paragraphedeliste"/>
        <w:numPr>
          <w:ilvl w:val="1"/>
          <w:numId w:val="3"/>
        </w:numPr>
        <w:jc w:val="both"/>
        <w:rPr>
          <w:rFonts w:asciiTheme="minorHAnsi" w:hAnsiTheme="minorHAnsi" w:cstheme="minorHAnsi"/>
          <w:sz w:val="22"/>
        </w:rPr>
      </w:pPr>
      <w:r w:rsidRPr="00BA58A0">
        <w:rPr>
          <w:rFonts w:asciiTheme="minorHAnsi" w:hAnsiTheme="minorHAnsi" w:cstheme="minorHAnsi"/>
          <w:sz w:val="22"/>
        </w:rPr>
        <w:t>Les ventes de</w:t>
      </w:r>
      <w:r w:rsidRPr="00BA58A0">
        <w:rPr>
          <w:rFonts w:asciiTheme="minorHAnsi" w:hAnsiTheme="minorHAnsi" w:cstheme="minorHAnsi"/>
          <w:b/>
          <w:sz w:val="22"/>
        </w:rPr>
        <w:t xml:space="preserve"> l’industrie métallurgique ont augmenté de </w:t>
      </w:r>
      <w:r w:rsidR="0064392A" w:rsidRPr="00BA58A0">
        <w:rPr>
          <w:rFonts w:asciiTheme="minorHAnsi" w:hAnsiTheme="minorHAnsi" w:cstheme="minorHAnsi"/>
          <w:b/>
          <w:sz w:val="22"/>
        </w:rPr>
        <w:t>5</w:t>
      </w:r>
      <w:r w:rsidR="0055213F" w:rsidRPr="00BA58A0">
        <w:rPr>
          <w:rFonts w:asciiTheme="minorHAnsi" w:hAnsiTheme="minorHAnsi" w:cstheme="minorHAnsi"/>
          <w:b/>
          <w:sz w:val="22"/>
        </w:rPr>
        <w:t>3</w:t>
      </w:r>
      <w:r w:rsidRPr="00BA58A0">
        <w:rPr>
          <w:rFonts w:asciiTheme="minorHAnsi" w:hAnsiTheme="minorHAnsi" w:cstheme="minorHAnsi"/>
          <w:b/>
          <w:sz w:val="22"/>
        </w:rPr>
        <w:t>%</w:t>
      </w:r>
      <w:r w:rsidRPr="00BA58A0">
        <w:rPr>
          <w:rFonts w:asciiTheme="minorHAnsi" w:hAnsiTheme="minorHAnsi" w:cstheme="minorHAnsi"/>
          <w:sz w:val="22"/>
        </w:rPr>
        <w:t xml:space="preserve"> (</w:t>
      </w:r>
      <w:r w:rsidR="0064392A" w:rsidRPr="00BA58A0">
        <w:rPr>
          <w:rFonts w:asciiTheme="minorHAnsi" w:hAnsiTheme="minorHAnsi" w:cstheme="minorHAnsi"/>
          <w:sz w:val="22"/>
        </w:rPr>
        <w:t>14</w:t>
      </w:r>
      <w:r w:rsidRPr="00BA58A0">
        <w:rPr>
          <w:rFonts w:asciiTheme="minorHAnsi" w:hAnsiTheme="minorHAnsi" w:cstheme="minorHAnsi"/>
          <w:sz w:val="22"/>
        </w:rPr>
        <w:t>,5 Mds €)</w:t>
      </w:r>
      <w:r w:rsidR="00047D22">
        <w:rPr>
          <w:rFonts w:asciiTheme="minorHAnsi" w:hAnsiTheme="minorHAnsi" w:cstheme="minorHAnsi"/>
          <w:sz w:val="22"/>
        </w:rPr>
        <w:t>. Au sein de ce poste, il est à noter une hausse de 23% des exportations de fer et d’acier (6,5 Mds€), principalement à destination du marché européen ;</w:t>
      </w:r>
    </w:p>
    <w:p w14:paraId="41DA77A7" w14:textId="4A716011" w:rsidR="008070D2" w:rsidRPr="00BA58A0" w:rsidRDefault="008070D2" w:rsidP="008070D2">
      <w:pPr>
        <w:pStyle w:val="Paragraphedeliste"/>
        <w:numPr>
          <w:ilvl w:val="1"/>
          <w:numId w:val="3"/>
        </w:numPr>
        <w:jc w:val="both"/>
        <w:rPr>
          <w:rFonts w:asciiTheme="minorHAnsi" w:hAnsiTheme="minorHAnsi" w:cstheme="minorHAnsi"/>
          <w:sz w:val="22"/>
        </w:rPr>
      </w:pPr>
      <w:r w:rsidRPr="00BA58A0">
        <w:rPr>
          <w:rFonts w:asciiTheme="minorHAnsi" w:hAnsiTheme="minorHAnsi" w:cstheme="minorHAnsi"/>
          <w:sz w:val="22"/>
        </w:rPr>
        <w:t>Les exportations de</w:t>
      </w:r>
      <w:r w:rsidRPr="00BA58A0">
        <w:rPr>
          <w:rFonts w:asciiTheme="minorHAnsi" w:hAnsiTheme="minorHAnsi" w:cstheme="minorHAnsi"/>
          <w:b/>
          <w:sz w:val="22"/>
        </w:rPr>
        <w:t xml:space="preserve"> produits chimiques et pharmaceutiques ont crû de 18% </w:t>
      </w:r>
      <w:r w:rsidRPr="00BA58A0">
        <w:rPr>
          <w:rFonts w:asciiTheme="minorHAnsi" w:hAnsiTheme="minorHAnsi" w:cstheme="minorHAnsi"/>
          <w:sz w:val="22"/>
        </w:rPr>
        <w:t>(9 Mds</w:t>
      </w:r>
      <w:r w:rsidR="00CB1EBD">
        <w:rPr>
          <w:rFonts w:asciiTheme="minorHAnsi" w:hAnsiTheme="minorHAnsi" w:cstheme="minorHAnsi"/>
          <w:sz w:val="22"/>
        </w:rPr>
        <w:t xml:space="preserve"> </w:t>
      </w:r>
      <w:r w:rsidRPr="00BA58A0">
        <w:rPr>
          <w:rFonts w:asciiTheme="minorHAnsi" w:hAnsiTheme="minorHAnsi" w:cstheme="minorHAnsi"/>
          <w:sz w:val="22"/>
        </w:rPr>
        <w:t>€), la Finlande se spécialisant dans l’export de contraceptifs et de technologies médicales ;</w:t>
      </w:r>
    </w:p>
    <w:p w14:paraId="6238030B" w14:textId="69C8532D" w:rsidR="0080754A" w:rsidRPr="00BA58A0" w:rsidRDefault="0080754A" w:rsidP="0080754A">
      <w:pPr>
        <w:pStyle w:val="Paragraphedeliste"/>
        <w:numPr>
          <w:ilvl w:val="1"/>
          <w:numId w:val="3"/>
        </w:numPr>
        <w:jc w:val="both"/>
        <w:rPr>
          <w:rFonts w:asciiTheme="minorHAnsi" w:hAnsiTheme="minorHAnsi" w:cstheme="minorHAnsi"/>
          <w:b/>
          <w:sz w:val="22"/>
        </w:rPr>
      </w:pPr>
      <w:r w:rsidRPr="00BA58A0">
        <w:rPr>
          <w:rFonts w:asciiTheme="minorHAnsi" w:hAnsiTheme="minorHAnsi" w:cstheme="minorHAnsi"/>
          <w:sz w:val="22"/>
        </w:rPr>
        <w:t>Les ventes de</w:t>
      </w:r>
      <w:r w:rsidRPr="00BA58A0">
        <w:rPr>
          <w:rFonts w:asciiTheme="minorHAnsi" w:hAnsiTheme="minorHAnsi" w:cstheme="minorHAnsi"/>
          <w:b/>
          <w:sz w:val="22"/>
        </w:rPr>
        <w:t xml:space="preserve"> machines et équipements ont augmenté de </w:t>
      </w:r>
      <w:r w:rsidRPr="00BA58A0">
        <w:rPr>
          <w:rFonts w:asciiTheme="minorHAnsi" w:hAnsiTheme="minorHAnsi" w:cstheme="minorHAnsi"/>
          <w:b/>
          <w:bCs/>
          <w:sz w:val="22"/>
        </w:rPr>
        <w:t>15%</w:t>
      </w:r>
      <w:r w:rsidRPr="00BA58A0">
        <w:rPr>
          <w:rFonts w:asciiTheme="minorHAnsi" w:hAnsiTheme="minorHAnsi" w:cstheme="minorHAnsi"/>
          <w:sz w:val="22"/>
        </w:rPr>
        <w:t xml:space="preserve"> (17,5 Mds</w:t>
      </w:r>
      <w:r w:rsidR="00CB1EBD">
        <w:rPr>
          <w:rFonts w:asciiTheme="minorHAnsi" w:hAnsiTheme="minorHAnsi" w:cstheme="minorHAnsi"/>
          <w:sz w:val="22"/>
        </w:rPr>
        <w:t xml:space="preserve"> </w:t>
      </w:r>
      <w:r w:rsidRPr="00BA58A0">
        <w:rPr>
          <w:rFonts w:asciiTheme="minorHAnsi" w:hAnsiTheme="minorHAnsi" w:cstheme="minorHAnsi"/>
          <w:sz w:val="22"/>
        </w:rPr>
        <w:t>€)</w:t>
      </w:r>
      <w:r w:rsidR="00047D22">
        <w:rPr>
          <w:rFonts w:asciiTheme="minorHAnsi" w:hAnsiTheme="minorHAnsi" w:cstheme="minorHAnsi"/>
          <w:sz w:val="22"/>
        </w:rPr>
        <w:t>.</w:t>
      </w:r>
      <w:r w:rsidR="00CB1EBD">
        <w:rPr>
          <w:rFonts w:asciiTheme="minorHAnsi" w:hAnsiTheme="minorHAnsi" w:cstheme="minorHAnsi"/>
          <w:sz w:val="22"/>
        </w:rPr>
        <w:t xml:space="preserve"> Les machines pour l’industrie en constituent la majeure partie (11,3 Mds€ soit 65% du total), exportées en majorité</w:t>
      </w:r>
      <w:r w:rsidR="008C45C8">
        <w:rPr>
          <w:rFonts w:asciiTheme="minorHAnsi" w:hAnsiTheme="minorHAnsi" w:cstheme="minorHAnsi"/>
          <w:sz w:val="22"/>
        </w:rPr>
        <w:t xml:space="preserve"> vers les Etats-Unis (9,5%), l’Allemagne (7%) et la Chine </w:t>
      </w:r>
      <w:r w:rsidR="00CB1EBD">
        <w:rPr>
          <w:rFonts w:asciiTheme="minorHAnsi" w:hAnsiTheme="minorHAnsi" w:cstheme="minorHAnsi"/>
          <w:sz w:val="22"/>
        </w:rPr>
        <w:t>(</w:t>
      </w:r>
      <w:r w:rsidR="008C45C8">
        <w:rPr>
          <w:rFonts w:asciiTheme="minorHAnsi" w:hAnsiTheme="minorHAnsi" w:cstheme="minorHAnsi"/>
          <w:sz w:val="22"/>
        </w:rPr>
        <w:t>6,5%</w:t>
      </w:r>
      <w:r w:rsidR="00CB1EBD">
        <w:rPr>
          <w:rFonts w:asciiTheme="minorHAnsi" w:hAnsiTheme="minorHAnsi" w:cstheme="minorHAnsi"/>
          <w:sz w:val="22"/>
        </w:rPr>
        <w:t>)</w:t>
      </w:r>
      <w:r w:rsidR="008070D2" w:rsidRPr="00BA58A0">
        <w:rPr>
          <w:rFonts w:asciiTheme="minorHAnsi" w:hAnsiTheme="minorHAnsi" w:cstheme="minorHAnsi"/>
          <w:sz w:val="22"/>
        </w:rPr>
        <w:t> ;</w:t>
      </w:r>
    </w:p>
    <w:p w14:paraId="6850AC5A" w14:textId="11504F19" w:rsidR="00986289" w:rsidRPr="00BA58A0" w:rsidRDefault="00986289" w:rsidP="00986289">
      <w:pPr>
        <w:pStyle w:val="Paragraphedeliste"/>
        <w:numPr>
          <w:ilvl w:val="1"/>
          <w:numId w:val="3"/>
        </w:numPr>
        <w:jc w:val="both"/>
        <w:rPr>
          <w:rFonts w:asciiTheme="minorHAnsi" w:hAnsiTheme="minorHAnsi" w:cstheme="minorHAnsi"/>
          <w:b/>
          <w:sz w:val="22"/>
        </w:rPr>
      </w:pPr>
      <w:r w:rsidRPr="00BA58A0">
        <w:rPr>
          <w:rFonts w:asciiTheme="minorHAnsi" w:hAnsiTheme="minorHAnsi" w:cstheme="minorHAnsi"/>
          <w:sz w:val="22"/>
        </w:rPr>
        <w:t xml:space="preserve">Les </w:t>
      </w:r>
      <w:r w:rsidR="00D815B5" w:rsidRPr="00BA58A0">
        <w:rPr>
          <w:rFonts w:asciiTheme="minorHAnsi" w:hAnsiTheme="minorHAnsi" w:cstheme="minorHAnsi"/>
          <w:sz w:val="22"/>
        </w:rPr>
        <w:t xml:space="preserve">ventes de </w:t>
      </w:r>
      <w:r w:rsidRPr="00BA58A0">
        <w:rPr>
          <w:rFonts w:asciiTheme="minorHAnsi" w:hAnsiTheme="minorHAnsi" w:cstheme="minorHAnsi"/>
          <w:b/>
          <w:sz w:val="22"/>
        </w:rPr>
        <w:t>l’industrie forestière ont augmenté de</w:t>
      </w:r>
      <w:r w:rsidRPr="00BA58A0">
        <w:rPr>
          <w:rFonts w:asciiTheme="minorHAnsi" w:hAnsiTheme="minorHAnsi" w:cstheme="minorHAnsi"/>
          <w:sz w:val="22"/>
        </w:rPr>
        <w:t xml:space="preserve"> </w:t>
      </w:r>
      <w:r w:rsidR="0080754A" w:rsidRPr="00BA58A0">
        <w:rPr>
          <w:rFonts w:asciiTheme="minorHAnsi" w:hAnsiTheme="minorHAnsi" w:cstheme="minorHAnsi"/>
          <w:b/>
          <w:bCs/>
          <w:sz w:val="22"/>
        </w:rPr>
        <w:t>1</w:t>
      </w:r>
      <w:r w:rsidRPr="00BA58A0">
        <w:rPr>
          <w:rFonts w:asciiTheme="minorHAnsi" w:hAnsiTheme="minorHAnsi" w:cstheme="minorHAnsi"/>
          <w:b/>
          <w:bCs/>
          <w:sz w:val="22"/>
        </w:rPr>
        <w:t>2</w:t>
      </w:r>
      <w:r w:rsidRPr="00BA58A0">
        <w:rPr>
          <w:rFonts w:asciiTheme="minorHAnsi" w:hAnsiTheme="minorHAnsi" w:cstheme="minorHAnsi"/>
          <w:b/>
          <w:sz w:val="22"/>
        </w:rPr>
        <w:t>%</w:t>
      </w:r>
      <w:r w:rsidR="00D815B5" w:rsidRPr="00BA58A0">
        <w:rPr>
          <w:rFonts w:asciiTheme="minorHAnsi" w:hAnsiTheme="minorHAnsi" w:cstheme="minorHAnsi"/>
          <w:b/>
          <w:sz w:val="22"/>
        </w:rPr>
        <w:t xml:space="preserve"> </w:t>
      </w:r>
      <w:r w:rsidRPr="00BA58A0">
        <w:rPr>
          <w:rFonts w:asciiTheme="minorHAnsi" w:hAnsiTheme="minorHAnsi" w:cstheme="minorHAnsi"/>
          <w:sz w:val="22"/>
        </w:rPr>
        <w:t>(1</w:t>
      </w:r>
      <w:r w:rsidR="0080754A" w:rsidRPr="00BA58A0">
        <w:rPr>
          <w:rFonts w:asciiTheme="minorHAnsi" w:hAnsiTheme="minorHAnsi" w:cstheme="minorHAnsi"/>
          <w:sz w:val="22"/>
        </w:rPr>
        <w:t>4,5</w:t>
      </w:r>
      <w:r w:rsidRPr="00BA58A0">
        <w:rPr>
          <w:rFonts w:asciiTheme="minorHAnsi" w:hAnsiTheme="minorHAnsi" w:cstheme="minorHAnsi"/>
          <w:sz w:val="22"/>
        </w:rPr>
        <w:t xml:space="preserve"> Mds</w:t>
      </w:r>
      <w:r w:rsidR="00CB1EBD">
        <w:rPr>
          <w:rFonts w:asciiTheme="minorHAnsi" w:hAnsiTheme="minorHAnsi" w:cstheme="minorHAnsi"/>
          <w:sz w:val="22"/>
        </w:rPr>
        <w:t xml:space="preserve"> </w:t>
      </w:r>
      <w:r w:rsidRPr="00BA58A0">
        <w:rPr>
          <w:rFonts w:asciiTheme="minorHAnsi" w:hAnsiTheme="minorHAnsi" w:cstheme="minorHAnsi"/>
          <w:sz w:val="22"/>
        </w:rPr>
        <w:t xml:space="preserve">€), notamment </w:t>
      </w:r>
      <w:r w:rsidRPr="0086265A">
        <w:rPr>
          <w:rFonts w:asciiTheme="minorHAnsi" w:hAnsiTheme="minorHAnsi" w:cstheme="minorHAnsi"/>
          <w:sz w:val="22"/>
        </w:rPr>
        <w:t>l</w:t>
      </w:r>
      <w:r w:rsidR="003B07D3" w:rsidRPr="0086265A">
        <w:rPr>
          <w:rFonts w:asciiTheme="minorHAnsi" w:hAnsiTheme="minorHAnsi" w:cstheme="minorHAnsi"/>
          <w:sz w:val="22"/>
        </w:rPr>
        <w:t>a valeur d</w:t>
      </w:r>
      <w:r w:rsidRPr="0086265A">
        <w:rPr>
          <w:rFonts w:asciiTheme="minorHAnsi" w:hAnsiTheme="minorHAnsi" w:cstheme="minorHAnsi"/>
          <w:sz w:val="22"/>
        </w:rPr>
        <w:t>es</w:t>
      </w:r>
      <w:r w:rsidRPr="00BA58A0">
        <w:rPr>
          <w:rFonts w:asciiTheme="minorHAnsi" w:hAnsiTheme="minorHAnsi" w:cstheme="minorHAnsi"/>
          <w:sz w:val="22"/>
        </w:rPr>
        <w:t xml:space="preserve"> exportations</w:t>
      </w:r>
      <w:r w:rsidR="00D815B5" w:rsidRPr="00BA58A0">
        <w:rPr>
          <w:rFonts w:asciiTheme="minorHAnsi" w:hAnsiTheme="minorHAnsi" w:cstheme="minorHAnsi"/>
          <w:sz w:val="22"/>
        </w:rPr>
        <w:t xml:space="preserve"> de papier et carton (+13%) qui ont davantage profité de l’inflation</w:t>
      </w:r>
      <w:r w:rsidR="00D815B5" w:rsidRPr="00BA58A0">
        <w:rPr>
          <w:rStyle w:val="Appelnotedebasdep"/>
          <w:rFonts w:asciiTheme="minorHAnsi" w:hAnsiTheme="minorHAnsi" w:cstheme="minorHAnsi"/>
          <w:sz w:val="22"/>
        </w:rPr>
        <w:footnoteReference w:id="3"/>
      </w:r>
      <w:r w:rsidR="00D815B5" w:rsidRPr="00BA58A0">
        <w:rPr>
          <w:rFonts w:asciiTheme="minorHAnsi" w:hAnsiTheme="minorHAnsi" w:cstheme="minorHAnsi"/>
          <w:sz w:val="22"/>
        </w:rPr>
        <w:t xml:space="preserve">, </w:t>
      </w:r>
      <w:r w:rsidR="0086265A">
        <w:rPr>
          <w:rFonts w:asciiTheme="minorHAnsi" w:hAnsiTheme="minorHAnsi" w:cstheme="minorHAnsi"/>
          <w:sz w:val="22"/>
        </w:rPr>
        <w:t>la hausse</w:t>
      </w:r>
      <w:r w:rsidR="00D815B5" w:rsidRPr="00BA58A0">
        <w:rPr>
          <w:rFonts w:asciiTheme="minorHAnsi" w:hAnsiTheme="minorHAnsi" w:cstheme="minorHAnsi"/>
          <w:sz w:val="22"/>
        </w:rPr>
        <w:t xml:space="preserve"> des exportations de </w:t>
      </w:r>
      <w:r w:rsidRPr="00BA58A0">
        <w:rPr>
          <w:rFonts w:asciiTheme="minorHAnsi" w:hAnsiTheme="minorHAnsi" w:cstheme="minorHAnsi"/>
          <w:sz w:val="22"/>
        </w:rPr>
        <w:t xml:space="preserve">bois </w:t>
      </w:r>
      <w:r w:rsidR="00D815B5" w:rsidRPr="00BA58A0">
        <w:rPr>
          <w:rFonts w:asciiTheme="minorHAnsi" w:hAnsiTheme="minorHAnsi" w:cstheme="minorHAnsi"/>
          <w:sz w:val="22"/>
        </w:rPr>
        <w:t xml:space="preserve">étant plus modeste </w:t>
      </w:r>
      <w:r w:rsidRPr="00BA58A0">
        <w:rPr>
          <w:rFonts w:asciiTheme="minorHAnsi" w:hAnsiTheme="minorHAnsi" w:cstheme="minorHAnsi"/>
          <w:sz w:val="22"/>
        </w:rPr>
        <w:t>(+</w:t>
      </w:r>
      <w:r w:rsidR="00D815B5" w:rsidRPr="00BA58A0">
        <w:rPr>
          <w:rFonts w:asciiTheme="minorHAnsi" w:hAnsiTheme="minorHAnsi" w:cstheme="minorHAnsi"/>
          <w:sz w:val="22"/>
        </w:rPr>
        <w:t>6%</w:t>
      </w:r>
      <w:r w:rsidR="0086265A">
        <w:rPr>
          <w:rFonts w:asciiTheme="minorHAnsi" w:hAnsiTheme="minorHAnsi" w:cstheme="minorHAnsi"/>
          <w:sz w:val="22"/>
        </w:rPr>
        <w:t xml:space="preserve"> en valeur</w:t>
      </w:r>
      <w:r w:rsidR="00D815B5" w:rsidRPr="00BA58A0">
        <w:rPr>
          <w:rFonts w:asciiTheme="minorHAnsi" w:hAnsiTheme="minorHAnsi" w:cstheme="minorHAnsi"/>
          <w:sz w:val="22"/>
        </w:rPr>
        <w:t xml:space="preserve">) </w:t>
      </w:r>
      <w:r w:rsidRPr="00BA58A0">
        <w:rPr>
          <w:rFonts w:asciiTheme="minorHAnsi" w:hAnsiTheme="minorHAnsi" w:cstheme="minorHAnsi"/>
          <w:sz w:val="22"/>
        </w:rPr>
        <w:t>;</w:t>
      </w:r>
      <w:r w:rsidRPr="00BA58A0">
        <w:rPr>
          <w:rFonts w:asciiTheme="minorHAnsi" w:hAnsiTheme="minorHAnsi" w:cstheme="minorHAnsi"/>
          <w:b/>
          <w:sz w:val="22"/>
        </w:rPr>
        <w:t xml:space="preserve"> </w:t>
      </w:r>
    </w:p>
    <w:p w14:paraId="5CDBDDAB" w14:textId="77777777" w:rsidR="00986289" w:rsidRPr="00397909" w:rsidRDefault="00986289" w:rsidP="00986289">
      <w:pPr>
        <w:pStyle w:val="Paragraphedeliste"/>
        <w:ind w:left="1080"/>
        <w:jc w:val="both"/>
        <w:rPr>
          <w:rFonts w:asciiTheme="minorHAnsi" w:hAnsiTheme="minorHAnsi" w:cstheme="minorHAnsi"/>
          <w:b/>
          <w:szCs w:val="20"/>
        </w:rPr>
      </w:pPr>
    </w:p>
    <w:p w14:paraId="1E22D7AB" w14:textId="39B88394" w:rsidR="00495212" w:rsidRDefault="00D815B5" w:rsidP="00495212">
      <w:pPr>
        <w:pStyle w:val="Paragraphedeliste"/>
        <w:numPr>
          <w:ilvl w:val="0"/>
          <w:numId w:val="4"/>
        </w:numPr>
        <w:jc w:val="both"/>
        <w:rPr>
          <w:rFonts w:asciiTheme="minorHAnsi" w:hAnsiTheme="minorHAnsi" w:cstheme="minorHAnsi"/>
          <w:sz w:val="22"/>
        </w:rPr>
      </w:pPr>
      <w:r w:rsidRPr="00BA58A0">
        <w:rPr>
          <w:rFonts w:asciiTheme="minorHAnsi" w:hAnsiTheme="minorHAnsi" w:cstheme="minorHAnsi"/>
          <w:sz w:val="22"/>
        </w:rPr>
        <w:t>L</w:t>
      </w:r>
      <w:r w:rsidR="00986289" w:rsidRPr="00BA58A0">
        <w:rPr>
          <w:rFonts w:asciiTheme="minorHAnsi" w:hAnsiTheme="minorHAnsi" w:cstheme="minorHAnsi"/>
          <w:sz w:val="22"/>
        </w:rPr>
        <w:t xml:space="preserve">es </w:t>
      </w:r>
      <w:r w:rsidR="00986289" w:rsidRPr="00BA58A0">
        <w:rPr>
          <w:rFonts w:asciiTheme="minorHAnsi" w:hAnsiTheme="minorHAnsi" w:cstheme="minorHAnsi"/>
          <w:b/>
          <w:bCs/>
          <w:sz w:val="22"/>
        </w:rPr>
        <w:t>ventes de produits alimentaires</w:t>
      </w:r>
      <w:r w:rsidRPr="00BA58A0">
        <w:rPr>
          <w:rFonts w:asciiTheme="minorHAnsi" w:hAnsiTheme="minorHAnsi" w:cstheme="minorHAnsi"/>
          <w:b/>
          <w:bCs/>
          <w:sz w:val="22"/>
        </w:rPr>
        <w:t xml:space="preserve"> ont sensiblement augmenté</w:t>
      </w:r>
      <w:r w:rsidRPr="00BA58A0">
        <w:rPr>
          <w:rFonts w:asciiTheme="minorHAnsi" w:hAnsiTheme="minorHAnsi" w:cstheme="minorHAnsi"/>
          <w:sz w:val="22"/>
        </w:rPr>
        <w:t xml:space="preserve"> (+19%)</w:t>
      </w:r>
      <w:r w:rsidR="00986289" w:rsidRPr="00BA58A0">
        <w:rPr>
          <w:rFonts w:asciiTheme="minorHAnsi" w:hAnsiTheme="minorHAnsi" w:cstheme="minorHAnsi"/>
          <w:sz w:val="22"/>
        </w:rPr>
        <w:t>,</w:t>
      </w:r>
      <w:r w:rsidRPr="00BA58A0">
        <w:rPr>
          <w:rFonts w:asciiTheme="minorHAnsi" w:hAnsiTheme="minorHAnsi" w:cstheme="minorHAnsi"/>
          <w:sz w:val="22"/>
        </w:rPr>
        <w:t xml:space="preserve"> mais </w:t>
      </w:r>
      <w:r w:rsidR="00986289" w:rsidRPr="00BA58A0">
        <w:rPr>
          <w:rFonts w:asciiTheme="minorHAnsi" w:hAnsiTheme="minorHAnsi" w:cstheme="minorHAnsi"/>
          <w:sz w:val="22"/>
        </w:rPr>
        <w:t>ne représentent toutefois que 2,3% des exportations (1,</w:t>
      </w:r>
      <w:r w:rsidR="00BA58A0" w:rsidRPr="00BA58A0">
        <w:rPr>
          <w:rFonts w:asciiTheme="minorHAnsi" w:hAnsiTheme="minorHAnsi" w:cstheme="minorHAnsi"/>
          <w:sz w:val="22"/>
        </w:rPr>
        <w:t>9</w:t>
      </w:r>
      <w:r w:rsidR="00986289" w:rsidRPr="00BA58A0">
        <w:rPr>
          <w:rFonts w:asciiTheme="minorHAnsi" w:hAnsiTheme="minorHAnsi" w:cstheme="minorHAnsi"/>
          <w:sz w:val="22"/>
        </w:rPr>
        <w:t xml:space="preserve"> Md €)</w:t>
      </w:r>
      <w:r w:rsidR="00BA58A0" w:rsidRPr="00BA58A0">
        <w:rPr>
          <w:rFonts w:asciiTheme="minorHAnsi" w:hAnsiTheme="minorHAnsi" w:cstheme="minorHAnsi"/>
          <w:sz w:val="22"/>
        </w:rPr>
        <w:t>. Elles</w:t>
      </w:r>
      <w:r w:rsidR="00986289" w:rsidRPr="00BA58A0">
        <w:rPr>
          <w:rFonts w:asciiTheme="minorHAnsi" w:hAnsiTheme="minorHAnsi" w:cstheme="minorHAnsi"/>
          <w:sz w:val="22"/>
        </w:rPr>
        <w:t xml:space="preserve"> reposent </w:t>
      </w:r>
      <w:r w:rsidR="006E4E51">
        <w:rPr>
          <w:rFonts w:asciiTheme="minorHAnsi" w:hAnsiTheme="minorHAnsi" w:cstheme="minorHAnsi"/>
          <w:sz w:val="22"/>
        </w:rPr>
        <w:t>notamment</w:t>
      </w:r>
      <w:r w:rsidR="00986289" w:rsidRPr="00BA58A0">
        <w:rPr>
          <w:rFonts w:asciiTheme="minorHAnsi" w:hAnsiTheme="minorHAnsi" w:cstheme="minorHAnsi"/>
          <w:sz w:val="22"/>
        </w:rPr>
        <w:t xml:space="preserve"> sur la filière laitière (2</w:t>
      </w:r>
      <w:r w:rsidR="00BA58A0" w:rsidRPr="00BA58A0">
        <w:rPr>
          <w:rFonts w:asciiTheme="minorHAnsi" w:hAnsiTheme="minorHAnsi" w:cstheme="minorHAnsi"/>
          <w:sz w:val="22"/>
        </w:rPr>
        <w:t>9</w:t>
      </w:r>
      <w:r w:rsidR="00986289" w:rsidRPr="00BA58A0">
        <w:rPr>
          <w:rFonts w:asciiTheme="minorHAnsi" w:hAnsiTheme="minorHAnsi" w:cstheme="minorHAnsi"/>
          <w:sz w:val="22"/>
        </w:rPr>
        <w:t>% des exportations agricoles) et les céréales</w:t>
      </w:r>
      <w:r w:rsidR="003B07D3">
        <w:rPr>
          <w:rFonts w:asciiTheme="minorHAnsi" w:hAnsiTheme="minorHAnsi" w:cstheme="minorHAnsi"/>
          <w:sz w:val="22"/>
        </w:rPr>
        <w:t xml:space="preserve"> </w:t>
      </w:r>
      <w:r w:rsidR="006E4E51">
        <w:rPr>
          <w:rFonts w:asciiTheme="minorHAnsi" w:hAnsiTheme="minorHAnsi" w:cstheme="minorHAnsi"/>
          <w:sz w:val="22"/>
        </w:rPr>
        <w:t>- avoine et malt principalement -</w:t>
      </w:r>
      <w:r w:rsidR="00986289" w:rsidRPr="00BA58A0">
        <w:rPr>
          <w:rFonts w:asciiTheme="minorHAnsi" w:hAnsiTheme="minorHAnsi" w:cstheme="minorHAnsi"/>
          <w:sz w:val="22"/>
        </w:rPr>
        <w:t xml:space="preserve"> (1</w:t>
      </w:r>
      <w:r w:rsidR="00BA58A0" w:rsidRPr="00BA58A0">
        <w:rPr>
          <w:rFonts w:asciiTheme="minorHAnsi" w:hAnsiTheme="minorHAnsi" w:cstheme="minorHAnsi"/>
          <w:sz w:val="22"/>
        </w:rPr>
        <w:t>2</w:t>
      </w:r>
      <w:r w:rsidR="00986289" w:rsidRPr="00BA58A0">
        <w:rPr>
          <w:rFonts w:asciiTheme="minorHAnsi" w:hAnsiTheme="minorHAnsi" w:cstheme="minorHAnsi"/>
          <w:sz w:val="22"/>
        </w:rPr>
        <w:t>% des exportations).</w:t>
      </w:r>
    </w:p>
    <w:p w14:paraId="769C910A" w14:textId="77777777" w:rsidR="00495212" w:rsidRDefault="00495212" w:rsidP="00495212">
      <w:pPr>
        <w:pStyle w:val="Paragraphedeliste"/>
        <w:jc w:val="both"/>
        <w:rPr>
          <w:rFonts w:asciiTheme="minorHAnsi" w:hAnsiTheme="minorHAnsi" w:cstheme="minorHAnsi"/>
          <w:sz w:val="22"/>
        </w:rPr>
      </w:pPr>
    </w:p>
    <w:p w14:paraId="4D07B446" w14:textId="1DE7FEDF" w:rsidR="0080754A" w:rsidRPr="00495212" w:rsidRDefault="00BA58A0" w:rsidP="00495212">
      <w:pPr>
        <w:pStyle w:val="Paragraphedeliste"/>
        <w:numPr>
          <w:ilvl w:val="0"/>
          <w:numId w:val="4"/>
        </w:numPr>
        <w:jc w:val="both"/>
        <w:rPr>
          <w:rFonts w:asciiTheme="minorHAnsi" w:hAnsiTheme="minorHAnsi" w:cstheme="minorHAnsi"/>
          <w:sz w:val="22"/>
        </w:rPr>
      </w:pPr>
      <w:r w:rsidRPr="00495212">
        <w:rPr>
          <w:rFonts w:asciiTheme="minorHAnsi" w:hAnsiTheme="minorHAnsi" w:cstheme="minorHAnsi"/>
          <w:sz w:val="22"/>
        </w:rPr>
        <w:t xml:space="preserve">Seuls </w:t>
      </w:r>
      <w:r w:rsidR="00EB5DFA">
        <w:rPr>
          <w:rFonts w:asciiTheme="minorHAnsi" w:hAnsiTheme="minorHAnsi" w:cstheme="minorHAnsi"/>
          <w:sz w:val="22"/>
        </w:rPr>
        <w:t xml:space="preserve">les </w:t>
      </w:r>
      <w:r w:rsidR="0080754A" w:rsidRPr="00495212">
        <w:rPr>
          <w:rFonts w:asciiTheme="minorHAnsi" w:hAnsiTheme="minorHAnsi" w:cstheme="minorHAnsi"/>
          <w:b/>
          <w:sz w:val="22"/>
        </w:rPr>
        <w:t>équipements de transport</w:t>
      </w:r>
      <w:r w:rsidR="0080754A" w:rsidRPr="00495212">
        <w:rPr>
          <w:rFonts w:asciiTheme="minorHAnsi" w:hAnsiTheme="minorHAnsi" w:cstheme="minorHAnsi"/>
          <w:sz w:val="22"/>
        </w:rPr>
        <w:t xml:space="preserve"> </w:t>
      </w:r>
      <w:r w:rsidR="0080754A" w:rsidRPr="00495212">
        <w:rPr>
          <w:rFonts w:asciiTheme="minorHAnsi" w:hAnsiTheme="minorHAnsi" w:cstheme="minorHAnsi"/>
          <w:b/>
          <w:sz w:val="22"/>
        </w:rPr>
        <w:t xml:space="preserve">ont diminué de 8% </w:t>
      </w:r>
      <w:r w:rsidR="0080754A" w:rsidRPr="00495212">
        <w:rPr>
          <w:rFonts w:asciiTheme="minorHAnsi" w:hAnsiTheme="minorHAnsi" w:cstheme="minorHAnsi"/>
          <w:sz w:val="22"/>
        </w:rPr>
        <w:t>(5,7 Mds €)</w:t>
      </w:r>
      <w:r w:rsidR="00AB741D" w:rsidRPr="00495212">
        <w:rPr>
          <w:rFonts w:asciiTheme="minorHAnsi" w:hAnsiTheme="minorHAnsi" w:cstheme="minorHAnsi"/>
          <w:sz w:val="22"/>
        </w:rPr>
        <w:t xml:space="preserve">, </w:t>
      </w:r>
      <w:r w:rsidR="00EB5DFA">
        <w:rPr>
          <w:rFonts w:asciiTheme="minorHAnsi" w:hAnsiTheme="minorHAnsi" w:cstheme="minorHAnsi"/>
          <w:sz w:val="22"/>
        </w:rPr>
        <w:t xml:space="preserve">en partie </w:t>
      </w:r>
      <w:r w:rsidR="003232DA">
        <w:rPr>
          <w:rFonts w:asciiTheme="minorHAnsi" w:hAnsiTheme="minorHAnsi" w:cstheme="minorHAnsi"/>
          <w:sz w:val="22"/>
        </w:rPr>
        <w:t>à cause d’une</w:t>
      </w:r>
      <w:r w:rsidR="00EB5DFA">
        <w:rPr>
          <w:rFonts w:asciiTheme="minorHAnsi" w:hAnsiTheme="minorHAnsi" w:cstheme="minorHAnsi"/>
          <w:sz w:val="22"/>
        </w:rPr>
        <w:t xml:space="preserve"> chute des ventes de</w:t>
      </w:r>
      <w:r w:rsidR="00AB741D" w:rsidRPr="00495212">
        <w:rPr>
          <w:rFonts w:asciiTheme="minorHAnsi" w:hAnsiTheme="minorHAnsi" w:cstheme="minorHAnsi"/>
          <w:sz w:val="22"/>
        </w:rPr>
        <w:t xml:space="preserve"> véhicules automobiles (3,9 Mds€ en 2022, contre 4,2 Mds€ en 2021)</w:t>
      </w:r>
      <w:r w:rsidR="0080754A" w:rsidRPr="00495212">
        <w:rPr>
          <w:rFonts w:asciiTheme="minorHAnsi" w:hAnsiTheme="minorHAnsi" w:cstheme="minorHAnsi"/>
          <w:sz w:val="22"/>
        </w:rPr>
        <w:t>.</w:t>
      </w:r>
      <w:r w:rsidR="00495212">
        <w:rPr>
          <w:rFonts w:asciiTheme="minorHAnsi" w:hAnsiTheme="minorHAnsi" w:cstheme="minorHAnsi"/>
          <w:sz w:val="22"/>
        </w:rPr>
        <w:t xml:space="preserve"> E</w:t>
      </w:r>
      <w:r w:rsidR="003B07D3" w:rsidRPr="00495212">
        <w:rPr>
          <w:rFonts w:asciiTheme="minorHAnsi" w:hAnsiTheme="minorHAnsi" w:cstheme="minorHAnsi"/>
          <w:sz w:val="22"/>
        </w:rPr>
        <w:t>n revanc</w:t>
      </w:r>
      <w:r w:rsidR="00495212">
        <w:rPr>
          <w:rFonts w:asciiTheme="minorHAnsi" w:hAnsiTheme="minorHAnsi" w:cstheme="minorHAnsi"/>
          <w:sz w:val="22"/>
        </w:rPr>
        <w:t>h</w:t>
      </w:r>
      <w:r w:rsidR="003B07D3" w:rsidRPr="00495212">
        <w:rPr>
          <w:rFonts w:asciiTheme="minorHAnsi" w:hAnsiTheme="minorHAnsi" w:cstheme="minorHAnsi"/>
          <w:sz w:val="22"/>
        </w:rPr>
        <w:t>e</w:t>
      </w:r>
      <w:r w:rsidR="00495212">
        <w:rPr>
          <w:rFonts w:asciiTheme="minorHAnsi" w:hAnsiTheme="minorHAnsi" w:cstheme="minorHAnsi"/>
          <w:sz w:val="22"/>
        </w:rPr>
        <w:t xml:space="preserve">, les ventes de navires </w:t>
      </w:r>
      <w:r w:rsidR="00EB5DFA">
        <w:rPr>
          <w:rFonts w:asciiTheme="minorHAnsi" w:hAnsiTheme="minorHAnsi" w:cstheme="minorHAnsi"/>
          <w:sz w:val="22"/>
        </w:rPr>
        <w:t>(composées à plus de 80% de navires de croisière)</w:t>
      </w:r>
      <w:r w:rsidR="003232DA">
        <w:rPr>
          <w:rFonts w:asciiTheme="minorHAnsi" w:hAnsiTheme="minorHAnsi" w:cstheme="minorHAnsi"/>
          <w:sz w:val="22"/>
        </w:rPr>
        <w:t xml:space="preserve"> - pour lesquelles les Etats-Unis sont le 1</w:t>
      </w:r>
      <w:r w:rsidR="003232DA" w:rsidRPr="003232DA">
        <w:rPr>
          <w:rFonts w:asciiTheme="minorHAnsi" w:hAnsiTheme="minorHAnsi" w:cstheme="minorHAnsi"/>
          <w:sz w:val="22"/>
          <w:vertAlign w:val="superscript"/>
        </w:rPr>
        <w:t>e</w:t>
      </w:r>
      <w:r w:rsidR="003232DA">
        <w:rPr>
          <w:rFonts w:asciiTheme="minorHAnsi" w:hAnsiTheme="minorHAnsi" w:cstheme="minorHAnsi"/>
          <w:sz w:val="22"/>
        </w:rPr>
        <w:t xml:space="preserve"> client de la Finlande - </w:t>
      </w:r>
      <w:r w:rsidR="00495212">
        <w:rPr>
          <w:rFonts w:asciiTheme="minorHAnsi" w:hAnsiTheme="minorHAnsi" w:cstheme="minorHAnsi"/>
          <w:sz w:val="22"/>
        </w:rPr>
        <w:t>ont légèrement augmenté</w:t>
      </w:r>
      <w:r w:rsidR="00EB5DFA">
        <w:rPr>
          <w:rFonts w:asciiTheme="minorHAnsi" w:hAnsiTheme="minorHAnsi" w:cstheme="minorHAnsi"/>
          <w:sz w:val="22"/>
        </w:rPr>
        <w:t xml:space="preserve"> (1,7 Md€ en 2022, contre 1,5 Md€ en 2021)</w:t>
      </w:r>
      <w:r w:rsidR="003232DA">
        <w:rPr>
          <w:rFonts w:asciiTheme="minorHAnsi" w:hAnsiTheme="minorHAnsi" w:cstheme="minorHAnsi"/>
          <w:sz w:val="22"/>
        </w:rPr>
        <w:t>.</w:t>
      </w:r>
    </w:p>
    <w:p w14:paraId="11DD4F49" w14:textId="77777777" w:rsidR="0048560D" w:rsidRDefault="00986289" w:rsidP="0048560D">
      <w:pPr>
        <w:numPr>
          <w:ilvl w:val="0"/>
          <w:numId w:val="1"/>
        </w:numPr>
        <w:spacing w:line="259" w:lineRule="auto"/>
        <w:contextualSpacing/>
        <w:jc w:val="both"/>
        <w:rPr>
          <w:rFonts w:ascii="Calibri" w:eastAsia="Calibri" w:hAnsi="Calibri" w:cs="Calibri"/>
          <w:b/>
          <w:sz w:val="24"/>
          <w:szCs w:val="24"/>
          <w:u w:val="single"/>
        </w:rPr>
      </w:pPr>
      <w:r>
        <w:rPr>
          <w:rFonts w:ascii="Calibri" w:eastAsia="Calibri" w:hAnsi="Calibri" w:cs="Calibri"/>
          <w:b/>
          <w:sz w:val="24"/>
          <w:szCs w:val="24"/>
          <w:u w:val="single"/>
        </w:rPr>
        <w:t xml:space="preserve">Les importations augmentent </w:t>
      </w:r>
      <w:r w:rsidR="009F3C65">
        <w:rPr>
          <w:rFonts w:ascii="Calibri" w:eastAsia="Calibri" w:hAnsi="Calibri" w:cs="Calibri"/>
          <w:b/>
          <w:sz w:val="24"/>
          <w:szCs w:val="24"/>
          <w:u w:val="single"/>
        </w:rPr>
        <w:t xml:space="preserve">en valeur </w:t>
      </w:r>
      <w:r>
        <w:rPr>
          <w:rFonts w:ascii="Calibri" w:eastAsia="Calibri" w:hAnsi="Calibri" w:cs="Calibri"/>
          <w:b/>
          <w:sz w:val="24"/>
          <w:szCs w:val="24"/>
          <w:u w:val="single"/>
        </w:rPr>
        <w:t>dans des proportions plus importantes, notamment les importations énergétiques qui constituent la plus forte hausse.</w:t>
      </w:r>
    </w:p>
    <w:p w14:paraId="51C0F9D0" w14:textId="77777777" w:rsidR="0048560D" w:rsidRPr="0048560D" w:rsidRDefault="0048560D" w:rsidP="0048560D">
      <w:pPr>
        <w:spacing w:before="240" w:after="160" w:line="259" w:lineRule="auto"/>
        <w:contextualSpacing/>
        <w:jc w:val="both"/>
        <w:rPr>
          <w:rFonts w:asciiTheme="minorHAnsi" w:hAnsiTheme="minorHAnsi" w:cstheme="minorHAnsi"/>
          <w:b/>
          <w:szCs w:val="20"/>
        </w:rPr>
      </w:pPr>
    </w:p>
    <w:p w14:paraId="2B64449B" w14:textId="7ED52387" w:rsidR="00986289" w:rsidRPr="0048560D" w:rsidRDefault="00986289" w:rsidP="0048560D">
      <w:pPr>
        <w:spacing w:before="240" w:after="160" w:line="259" w:lineRule="auto"/>
        <w:contextualSpacing/>
        <w:jc w:val="both"/>
        <w:rPr>
          <w:rFonts w:ascii="Calibri" w:eastAsia="Calibri" w:hAnsi="Calibri" w:cs="Calibri"/>
          <w:b/>
          <w:sz w:val="24"/>
          <w:szCs w:val="24"/>
          <w:u w:val="single"/>
        </w:rPr>
      </w:pPr>
      <w:r w:rsidRPr="0048560D">
        <w:rPr>
          <w:rFonts w:asciiTheme="minorHAnsi" w:hAnsiTheme="minorHAnsi" w:cstheme="minorHAnsi"/>
          <w:b/>
          <w:sz w:val="22"/>
        </w:rPr>
        <w:t>Les importations sont également en hausse (+26</w:t>
      </w:r>
      <w:r w:rsidR="009F3C65" w:rsidRPr="0048560D">
        <w:rPr>
          <w:rFonts w:asciiTheme="minorHAnsi" w:hAnsiTheme="minorHAnsi" w:cstheme="minorHAnsi"/>
          <w:b/>
          <w:sz w:val="22"/>
        </w:rPr>
        <w:t>,5</w:t>
      </w:r>
      <w:r w:rsidRPr="0048560D">
        <w:rPr>
          <w:rFonts w:asciiTheme="minorHAnsi" w:hAnsiTheme="minorHAnsi" w:cstheme="minorHAnsi"/>
          <w:b/>
          <w:sz w:val="22"/>
        </w:rPr>
        <w:t xml:space="preserve">% en valeur) et atteignent </w:t>
      </w:r>
      <w:r w:rsidR="009F3C65" w:rsidRPr="0048560D">
        <w:rPr>
          <w:rFonts w:asciiTheme="minorHAnsi" w:hAnsiTheme="minorHAnsi" w:cstheme="minorHAnsi"/>
          <w:b/>
          <w:sz w:val="22"/>
        </w:rPr>
        <w:t>9</w:t>
      </w:r>
      <w:r w:rsidRPr="0048560D">
        <w:rPr>
          <w:rFonts w:asciiTheme="minorHAnsi" w:hAnsiTheme="minorHAnsi" w:cstheme="minorHAnsi"/>
          <w:b/>
          <w:sz w:val="22"/>
        </w:rPr>
        <w:t>2,</w:t>
      </w:r>
      <w:r w:rsidR="009F3C65" w:rsidRPr="0048560D">
        <w:rPr>
          <w:rFonts w:asciiTheme="minorHAnsi" w:hAnsiTheme="minorHAnsi" w:cstheme="minorHAnsi"/>
          <w:b/>
          <w:sz w:val="22"/>
        </w:rPr>
        <w:t>3</w:t>
      </w:r>
      <w:r w:rsidRPr="0048560D">
        <w:rPr>
          <w:rFonts w:asciiTheme="minorHAnsi" w:hAnsiTheme="minorHAnsi" w:cstheme="minorHAnsi"/>
          <w:b/>
          <w:sz w:val="22"/>
        </w:rPr>
        <w:t xml:space="preserve"> Mds €. </w:t>
      </w:r>
    </w:p>
    <w:p w14:paraId="40A8C9DF" w14:textId="770E3F11" w:rsidR="00986289" w:rsidRPr="00BA58A0" w:rsidRDefault="00986289" w:rsidP="00986289">
      <w:pPr>
        <w:pStyle w:val="Paragraphedeliste"/>
        <w:numPr>
          <w:ilvl w:val="0"/>
          <w:numId w:val="5"/>
        </w:numPr>
        <w:spacing w:before="240"/>
        <w:jc w:val="both"/>
        <w:rPr>
          <w:rFonts w:asciiTheme="minorHAnsi" w:hAnsiTheme="minorHAnsi" w:cstheme="minorHAnsi"/>
          <w:sz w:val="22"/>
        </w:rPr>
      </w:pPr>
      <w:r w:rsidRPr="00BA58A0">
        <w:rPr>
          <w:rFonts w:asciiTheme="minorHAnsi" w:hAnsiTheme="minorHAnsi" w:cstheme="minorHAnsi"/>
          <w:b/>
          <w:sz w:val="22"/>
        </w:rPr>
        <w:t>L</w:t>
      </w:r>
      <w:r w:rsidR="009F3C65">
        <w:rPr>
          <w:rFonts w:asciiTheme="minorHAnsi" w:hAnsiTheme="minorHAnsi" w:cstheme="minorHAnsi"/>
          <w:b/>
          <w:sz w:val="22"/>
        </w:rPr>
        <w:t>a hausse la</w:t>
      </w:r>
      <w:r w:rsidRPr="00BA58A0">
        <w:rPr>
          <w:rFonts w:asciiTheme="minorHAnsi" w:hAnsiTheme="minorHAnsi" w:cstheme="minorHAnsi"/>
          <w:b/>
          <w:sz w:val="22"/>
        </w:rPr>
        <w:t xml:space="preserve"> plus important</w:t>
      </w:r>
      <w:r w:rsidR="009F3C65">
        <w:rPr>
          <w:rFonts w:asciiTheme="minorHAnsi" w:hAnsiTheme="minorHAnsi" w:cstheme="minorHAnsi"/>
          <w:b/>
          <w:sz w:val="22"/>
        </w:rPr>
        <w:t xml:space="preserve">e </w:t>
      </w:r>
      <w:r w:rsidRPr="00BA58A0">
        <w:rPr>
          <w:rFonts w:asciiTheme="minorHAnsi" w:hAnsiTheme="minorHAnsi" w:cstheme="minorHAnsi"/>
          <w:bCs/>
          <w:sz w:val="22"/>
        </w:rPr>
        <w:t xml:space="preserve">– </w:t>
      </w:r>
      <w:r w:rsidR="009F3C65">
        <w:rPr>
          <w:rFonts w:asciiTheme="minorHAnsi" w:hAnsiTheme="minorHAnsi" w:cstheme="minorHAnsi"/>
          <w:bCs/>
          <w:sz w:val="22"/>
        </w:rPr>
        <w:t xml:space="preserve">dans un contexte d’inflation des matières premières énergétiques </w:t>
      </w:r>
      <w:r w:rsidRPr="00BA58A0">
        <w:rPr>
          <w:rFonts w:asciiTheme="minorHAnsi" w:hAnsiTheme="minorHAnsi" w:cstheme="minorHAnsi"/>
          <w:bCs/>
          <w:sz w:val="22"/>
        </w:rPr>
        <w:t>–</w:t>
      </w:r>
      <w:r w:rsidRPr="00BA58A0">
        <w:rPr>
          <w:rFonts w:asciiTheme="minorHAnsi" w:hAnsiTheme="minorHAnsi" w:cstheme="minorHAnsi"/>
          <w:b/>
          <w:sz w:val="22"/>
        </w:rPr>
        <w:t xml:space="preserve"> concerne les </w:t>
      </w:r>
      <w:r w:rsidR="009F3C65">
        <w:rPr>
          <w:rFonts w:asciiTheme="minorHAnsi" w:hAnsiTheme="minorHAnsi" w:cstheme="minorHAnsi"/>
          <w:b/>
          <w:sz w:val="22"/>
        </w:rPr>
        <w:t>importations d’hydrocarbures (</w:t>
      </w:r>
      <w:r w:rsidRPr="00BA58A0">
        <w:rPr>
          <w:rFonts w:asciiTheme="minorHAnsi" w:hAnsiTheme="minorHAnsi" w:cstheme="minorHAnsi"/>
          <w:b/>
          <w:sz w:val="22"/>
        </w:rPr>
        <w:t>+</w:t>
      </w:r>
      <w:r w:rsidR="009F3C65">
        <w:rPr>
          <w:rFonts w:asciiTheme="minorHAnsi" w:hAnsiTheme="minorHAnsi" w:cstheme="minorHAnsi"/>
          <w:b/>
          <w:sz w:val="22"/>
        </w:rPr>
        <w:t>9</w:t>
      </w:r>
      <w:r w:rsidRPr="00BA58A0">
        <w:rPr>
          <w:rFonts w:asciiTheme="minorHAnsi" w:hAnsiTheme="minorHAnsi" w:cstheme="minorHAnsi"/>
          <w:b/>
          <w:sz w:val="22"/>
        </w:rPr>
        <w:t>3%)</w:t>
      </w:r>
      <w:r w:rsidR="009F3C65">
        <w:rPr>
          <w:rFonts w:asciiTheme="minorHAnsi" w:hAnsiTheme="minorHAnsi" w:cstheme="minorHAnsi"/>
          <w:b/>
          <w:sz w:val="22"/>
        </w:rPr>
        <w:t xml:space="preserve">, </w:t>
      </w:r>
      <w:r w:rsidRPr="00BA58A0">
        <w:rPr>
          <w:rFonts w:asciiTheme="minorHAnsi" w:hAnsiTheme="minorHAnsi" w:cstheme="minorHAnsi"/>
          <w:sz w:val="22"/>
        </w:rPr>
        <w:t>ce secteur représentant 1</w:t>
      </w:r>
      <w:r w:rsidR="006C4FE9">
        <w:rPr>
          <w:rFonts w:asciiTheme="minorHAnsi" w:hAnsiTheme="minorHAnsi" w:cstheme="minorHAnsi"/>
          <w:sz w:val="22"/>
        </w:rPr>
        <w:t>6</w:t>
      </w:r>
      <w:r w:rsidRPr="00BA58A0">
        <w:rPr>
          <w:rFonts w:asciiTheme="minorHAnsi" w:hAnsiTheme="minorHAnsi" w:cstheme="minorHAnsi"/>
          <w:sz w:val="22"/>
        </w:rPr>
        <w:t>,</w:t>
      </w:r>
      <w:r w:rsidR="006C4FE9">
        <w:rPr>
          <w:rFonts w:asciiTheme="minorHAnsi" w:hAnsiTheme="minorHAnsi" w:cstheme="minorHAnsi"/>
          <w:sz w:val="22"/>
        </w:rPr>
        <w:t>5</w:t>
      </w:r>
      <w:r w:rsidRPr="00BA58A0">
        <w:rPr>
          <w:rFonts w:asciiTheme="minorHAnsi" w:hAnsiTheme="minorHAnsi" w:cstheme="minorHAnsi"/>
          <w:sz w:val="22"/>
        </w:rPr>
        <w:t>% des imports (</w:t>
      </w:r>
      <w:r w:rsidR="006C4FE9">
        <w:rPr>
          <w:rFonts w:asciiTheme="minorHAnsi" w:hAnsiTheme="minorHAnsi" w:cstheme="minorHAnsi"/>
          <w:sz w:val="22"/>
        </w:rPr>
        <w:t>15</w:t>
      </w:r>
      <w:r w:rsidRPr="00BA58A0">
        <w:rPr>
          <w:rFonts w:asciiTheme="minorHAnsi" w:hAnsiTheme="minorHAnsi" w:cstheme="minorHAnsi"/>
          <w:sz w:val="22"/>
        </w:rPr>
        <w:t>,</w:t>
      </w:r>
      <w:r w:rsidR="006C4FE9">
        <w:rPr>
          <w:rFonts w:asciiTheme="minorHAnsi" w:hAnsiTheme="minorHAnsi" w:cstheme="minorHAnsi"/>
          <w:sz w:val="22"/>
        </w:rPr>
        <w:t>3</w:t>
      </w:r>
      <w:r w:rsidRPr="00BA58A0">
        <w:rPr>
          <w:rFonts w:asciiTheme="minorHAnsi" w:hAnsiTheme="minorHAnsi" w:cstheme="minorHAnsi"/>
          <w:sz w:val="22"/>
        </w:rPr>
        <w:t xml:space="preserve"> Mds€). La valeur des importations de charbon (+</w:t>
      </w:r>
      <w:r w:rsidR="006C4FE9">
        <w:rPr>
          <w:rFonts w:asciiTheme="minorHAnsi" w:hAnsiTheme="minorHAnsi" w:cstheme="minorHAnsi"/>
          <w:sz w:val="22"/>
        </w:rPr>
        <w:t>10</w:t>
      </w:r>
      <w:r w:rsidRPr="00BA58A0">
        <w:rPr>
          <w:rFonts w:asciiTheme="minorHAnsi" w:hAnsiTheme="minorHAnsi" w:cstheme="minorHAnsi"/>
          <w:sz w:val="22"/>
        </w:rPr>
        <w:t>,</w:t>
      </w:r>
      <w:r w:rsidR="006C4FE9">
        <w:rPr>
          <w:rFonts w:asciiTheme="minorHAnsi" w:hAnsiTheme="minorHAnsi" w:cstheme="minorHAnsi"/>
          <w:sz w:val="22"/>
        </w:rPr>
        <w:t>5</w:t>
      </w:r>
      <w:r w:rsidRPr="00BA58A0">
        <w:rPr>
          <w:rFonts w:asciiTheme="minorHAnsi" w:hAnsiTheme="minorHAnsi" w:cstheme="minorHAnsi"/>
          <w:sz w:val="22"/>
        </w:rPr>
        <w:t>%),</w:t>
      </w:r>
      <w:r w:rsidR="006C4FE9">
        <w:rPr>
          <w:rFonts w:asciiTheme="minorHAnsi" w:hAnsiTheme="minorHAnsi" w:cstheme="minorHAnsi"/>
          <w:sz w:val="22"/>
        </w:rPr>
        <w:t xml:space="preserve"> </w:t>
      </w:r>
      <w:r w:rsidR="006C4FE9" w:rsidRPr="00BA58A0">
        <w:rPr>
          <w:rFonts w:asciiTheme="minorHAnsi" w:hAnsiTheme="minorHAnsi" w:cstheme="minorHAnsi"/>
          <w:sz w:val="22"/>
        </w:rPr>
        <w:t>de gaz</w:t>
      </w:r>
      <w:r w:rsidR="006C4FE9">
        <w:rPr>
          <w:rFonts w:asciiTheme="minorHAnsi" w:hAnsiTheme="minorHAnsi" w:cstheme="minorHAnsi"/>
          <w:sz w:val="22"/>
        </w:rPr>
        <w:t xml:space="preserve"> (+58%) et surtout de</w:t>
      </w:r>
      <w:r w:rsidRPr="00BA58A0">
        <w:rPr>
          <w:rFonts w:asciiTheme="minorHAnsi" w:hAnsiTheme="minorHAnsi" w:cstheme="minorHAnsi"/>
          <w:sz w:val="22"/>
        </w:rPr>
        <w:t xml:space="preserve"> pétrole (+</w:t>
      </w:r>
      <w:r w:rsidR="006C4FE9">
        <w:rPr>
          <w:rFonts w:asciiTheme="minorHAnsi" w:hAnsiTheme="minorHAnsi" w:cstheme="minorHAnsi"/>
          <w:sz w:val="22"/>
        </w:rPr>
        <w:t>8</w:t>
      </w:r>
      <w:r w:rsidRPr="00BA58A0">
        <w:rPr>
          <w:rFonts w:asciiTheme="minorHAnsi" w:hAnsiTheme="minorHAnsi" w:cstheme="minorHAnsi"/>
          <w:sz w:val="22"/>
        </w:rPr>
        <w:t>0%)</w:t>
      </w:r>
      <w:r w:rsidR="006C4FE9">
        <w:rPr>
          <w:rFonts w:asciiTheme="minorHAnsi" w:hAnsiTheme="minorHAnsi" w:cstheme="minorHAnsi"/>
          <w:sz w:val="22"/>
        </w:rPr>
        <w:t xml:space="preserve"> </w:t>
      </w:r>
      <w:r w:rsidRPr="00BA58A0">
        <w:rPr>
          <w:rFonts w:asciiTheme="minorHAnsi" w:hAnsiTheme="minorHAnsi" w:cstheme="minorHAnsi"/>
          <w:sz w:val="22"/>
        </w:rPr>
        <w:t xml:space="preserve">a fortement augmenté. </w:t>
      </w:r>
    </w:p>
    <w:p w14:paraId="26554881" w14:textId="77777777" w:rsidR="00986289" w:rsidRPr="00397909" w:rsidRDefault="00986289" w:rsidP="00986289">
      <w:pPr>
        <w:pStyle w:val="Paragraphedeliste"/>
        <w:spacing w:before="240"/>
        <w:jc w:val="both"/>
        <w:rPr>
          <w:rFonts w:asciiTheme="minorHAnsi" w:hAnsiTheme="minorHAnsi" w:cstheme="minorHAnsi"/>
          <w:szCs w:val="20"/>
        </w:rPr>
      </w:pPr>
    </w:p>
    <w:p w14:paraId="30CB4432" w14:textId="3045F930" w:rsidR="00986289" w:rsidRPr="00BA58A0" w:rsidRDefault="00986289" w:rsidP="00986289">
      <w:pPr>
        <w:pStyle w:val="Paragraphedeliste"/>
        <w:numPr>
          <w:ilvl w:val="0"/>
          <w:numId w:val="4"/>
        </w:numPr>
        <w:spacing w:before="240"/>
        <w:jc w:val="both"/>
        <w:rPr>
          <w:rFonts w:asciiTheme="minorHAnsi" w:hAnsiTheme="minorHAnsi" w:cstheme="minorHAnsi"/>
          <w:sz w:val="22"/>
        </w:rPr>
      </w:pPr>
      <w:r w:rsidRPr="00BA58A0">
        <w:rPr>
          <w:rFonts w:asciiTheme="minorHAnsi" w:hAnsiTheme="minorHAnsi" w:cstheme="minorHAnsi"/>
          <w:b/>
          <w:sz w:val="22"/>
        </w:rPr>
        <w:t xml:space="preserve">Les importations de pétrole brut ont atteint </w:t>
      </w:r>
      <w:r w:rsidR="006C4FE9">
        <w:rPr>
          <w:rFonts w:asciiTheme="minorHAnsi" w:hAnsiTheme="minorHAnsi" w:cstheme="minorHAnsi"/>
          <w:b/>
          <w:sz w:val="22"/>
        </w:rPr>
        <w:t>7</w:t>
      </w:r>
      <w:r w:rsidRPr="00BA58A0">
        <w:rPr>
          <w:rFonts w:asciiTheme="minorHAnsi" w:hAnsiTheme="minorHAnsi" w:cstheme="minorHAnsi"/>
          <w:b/>
          <w:sz w:val="22"/>
        </w:rPr>
        <w:t xml:space="preserve"> Mds€ </w:t>
      </w:r>
      <w:r w:rsidRPr="00BA58A0">
        <w:rPr>
          <w:rFonts w:asciiTheme="minorHAnsi" w:hAnsiTheme="minorHAnsi" w:cstheme="minorHAnsi"/>
          <w:sz w:val="22"/>
        </w:rPr>
        <w:t>(</w:t>
      </w:r>
      <w:r w:rsidR="006C4FE9">
        <w:rPr>
          <w:rFonts w:asciiTheme="minorHAnsi" w:hAnsiTheme="minorHAnsi" w:cstheme="minorHAnsi"/>
          <w:sz w:val="22"/>
        </w:rPr>
        <w:t>7,5</w:t>
      </w:r>
      <w:r w:rsidRPr="00BA58A0">
        <w:rPr>
          <w:rFonts w:asciiTheme="minorHAnsi" w:hAnsiTheme="minorHAnsi" w:cstheme="minorHAnsi"/>
          <w:sz w:val="22"/>
        </w:rPr>
        <w:t>% du total des importations), soit +</w:t>
      </w:r>
      <w:r w:rsidR="006C4FE9">
        <w:rPr>
          <w:rFonts w:asciiTheme="minorHAnsi" w:hAnsiTheme="minorHAnsi" w:cstheme="minorHAnsi"/>
          <w:sz w:val="22"/>
        </w:rPr>
        <w:t>95</w:t>
      </w:r>
      <w:r w:rsidRPr="00BA58A0">
        <w:rPr>
          <w:rFonts w:asciiTheme="minorHAnsi" w:hAnsiTheme="minorHAnsi" w:cstheme="minorHAnsi"/>
          <w:sz w:val="22"/>
        </w:rPr>
        <w:t>% par rapport à l’année précédente, en raison</w:t>
      </w:r>
      <w:r w:rsidR="0064763E">
        <w:rPr>
          <w:rFonts w:asciiTheme="minorHAnsi" w:hAnsiTheme="minorHAnsi" w:cstheme="minorHAnsi"/>
          <w:sz w:val="22"/>
        </w:rPr>
        <w:t xml:space="preserve"> </w:t>
      </w:r>
      <w:r w:rsidRPr="00BA58A0">
        <w:rPr>
          <w:rFonts w:asciiTheme="minorHAnsi" w:hAnsiTheme="minorHAnsi" w:cstheme="minorHAnsi"/>
          <w:sz w:val="22"/>
        </w:rPr>
        <w:t>d</w:t>
      </w:r>
      <w:r w:rsidR="0064763E">
        <w:rPr>
          <w:rFonts w:asciiTheme="minorHAnsi" w:hAnsiTheme="minorHAnsi" w:cstheme="minorHAnsi"/>
          <w:sz w:val="22"/>
        </w:rPr>
        <w:t xml:space="preserve">’une hausse mondiale des </w:t>
      </w:r>
      <w:r w:rsidR="0086265A">
        <w:rPr>
          <w:rFonts w:asciiTheme="minorHAnsi" w:hAnsiTheme="minorHAnsi" w:cstheme="minorHAnsi"/>
          <w:sz w:val="22"/>
        </w:rPr>
        <w:t xml:space="preserve">prix du </w:t>
      </w:r>
      <w:r w:rsidR="0086265A" w:rsidRPr="0086265A">
        <w:rPr>
          <w:rFonts w:asciiTheme="minorHAnsi" w:hAnsiTheme="minorHAnsi" w:cstheme="minorHAnsi"/>
          <w:sz w:val="22"/>
        </w:rPr>
        <w:t>pétrole</w:t>
      </w:r>
      <w:r w:rsidR="0064763E" w:rsidRPr="0086265A">
        <w:rPr>
          <w:rStyle w:val="Appelnotedebasdep"/>
          <w:rFonts w:asciiTheme="minorHAnsi" w:hAnsiTheme="minorHAnsi" w:cstheme="minorHAnsi"/>
          <w:sz w:val="22"/>
        </w:rPr>
        <w:footnoteReference w:id="4"/>
      </w:r>
      <w:r w:rsidRPr="0086265A">
        <w:rPr>
          <w:rFonts w:asciiTheme="minorHAnsi" w:hAnsiTheme="minorHAnsi" w:cstheme="minorHAnsi"/>
          <w:sz w:val="22"/>
        </w:rPr>
        <w:t xml:space="preserve">. </w:t>
      </w:r>
      <w:r w:rsidR="001030B8" w:rsidRPr="0086265A">
        <w:rPr>
          <w:rFonts w:asciiTheme="minorHAnsi" w:hAnsiTheme="minorHAnsi" w:cstheme="minorHAnsi"/>
          <w:sz w:val="22"/>
        </w:rPr>
        <w:t xml:space="preserve">La </w:t>
      </w:r>
      <w:r w:rsidR="001030B8">
        <w:rPr>
          <w:rFonts w:asciiTheme="minorHAnsi" w:hAnsiTheme="minorHAnsi" w:cstheme="minorHAnsi"/>
          <w:sz w:val="22"/>
        </w:rPr>
        <w:t xml:space="preserve">Norvège est devenue le premier fournisseur </w:t>
      </w:r>
      <w:r w:rsidR="001030B8" w:rsidRPr="00BA58A0">
        <w:rPr>
          <w:rFonts w:asciiTheme="minorHAnsi" w:hAnsiTheme="minorHAnsi" w:cstheme="minorHAnsi"/>
          <w:sz w:val="22"/>
        </w:rPr>
        <w:t xml:space="preserve">de la Finlande </w:t>
      </w:r>
      <w:r w:rsidR="001030B8">
        <w:rPr>
          <w:rFonts w:asciiTheme="minorHAnsi" w:hAnsiTheme="minorHAnsi" w:cstheme="minorHAnsi"/>
          <w:sz w:val="22"/>
        </w:rPr>
        <w:t>(4,9 Mds€</w:t>
      </w:r>
      <w:r w:rsidR="00E42889">
        <w:rPr>
          <w:rFonts w:asciiTheme="minorHAnsi" w:hAnsiTheme="minorHAnsi" w:cstheme="minorHAnsi"/>
          <w:sz w:val="22"/>
        </w:rPr>
        <w:t>,</w:t>
      </w:r>
      <w:r w:rsidR="001030B8">
        <w:rPr>
          <w:rFonts w:asciiTheme="minorHAnsi" w:hAnsiTheme="minorHAnsi" w:cstheme="minorHAnsi"/>
          <w:sz w:val="22"/>
        </w:rPr>
        <w:t xml:space="preserve"> soit 70% du pétrole brut importé), </w:t>
      </w:r>
      <w:r w:rsidR="00E42889">
        <w:rPr>
          <w:rFonts w:asciiTheme="minorHAnsi" w:hAnsiTheme="minorHAnsi" w:cstheme="minorHAnsi"/>
          <w:sz w:val="22"/>
        </w:rPr>
        <w:t>alors que</w:t>
      </w:r>
      <w:r w:rsidR="001030B8">
        <w:rPr>
          <w:rFonts w:asciiTheme="minorHAnsi" w:hAnsiTheme="minorHAnsi" w:cstheme="minorHAnsi"/>
          <w:sz w:val="22"/>
        </w:rPr>
        <w:t xml:space="preserve"> l</w:t>
      </w:r>
      <w:r w:rsidRPr="00BA58A0">
        <w:rPr>
          <w:rFonts w:asciiTheme="minorHAnsi" w:hAnsiTheme="minorHAnsi" w:cstheme="minorHAnsi"/>
          <w:sz w:val="22"/>
        </w:rPr>
        <w:t xml:space="preserve">a Russie </w:t>
      </w:r>
      <w:r w:rsidR="00195E53">
        <w:rPr>
          <w:rFonts w:asciiTheme="minorHAnsi" w:hAnsiTheme="minorHAnsi" w:cstheme="minorHAnsi"/>
          <w:sz w:val="22"/>
        </w:rPr>
        <w:t xml:space="preserve">ne </w:t>
      </w:r>
      <w:r w:rsidR="00E42889">
        <w:rPr>
          <w:rFonts w:asciiTheme="minorHAnsi" w:hAnsiTheme="minorHAnsi" w:cstheme="minorHAnsi"/>
          <w:sz w:val="22"/>
        </w:rPr>
        <w:t xml:space="preserve">compte </w:t>
      </w:r>
      <w:r w:rsidR="00195E53">
        <w:rPr>
          <w:rFonts w:asciiTheme="minorHAnsi" w:hAnsiTheme="minorHAnsi" w:cstheme="minorHAnsi"/>
          <w:sz w:val="22"/>
        </w:rPr>
        <w:t xml:space="preserve">plus </w:t>
      </w:r>
      <w:r w:rsidR="00E42889">
        <w:rPr>
          <w:rFonts w:asciiTheme="minorHAnsi" w:hAnsiTheme="minorHAnsi" w:cstheme="minorHAnsi"/>
          <w:sz w:val="22"/>
        </w:rPr>
        <w:t>désormais</w:t>
      </w:r>
      <w:r w:rsidR="001030B8">
        <w:rPr>
          <w:rFonts w:asciiTheme="minorHAnsi" w:hAnsiTheme="minorHAnsi" w:cstheme="minorHAnsi"/>
          <w:sz w:val="22"/>
        </w:rPr>
        <w:t xml:space="preserve"> </w:t>
      </w:r>
      <w:r w:rsidR="00195E53">
        <w:rPr>
          <w:rFonts w:asciiTheme="minorHAnsi" w:hAnsiTheme="minorHAnsi" w:cstheme="minorHAnsi"/>
          <w:sz w:val="22"/>
        </w:rPr>
        <w:t xml:space="preserve">que </w:t>
      </w:r>
      <w:r w:rsidR="001030B8">
        <w:rPr>
          <w:rFonts w:asciiTheme="minorHAnsi" w:hAnsiTheme="minorHAnsi" w:cstheme="minorHAnsi"/>
          <w:sz w:val="22"/>
        </w:rPr>
        <w:t xml:space="preserve">pour </w:t>
      </w:r>
      <w:r w:rsidR="00E42889">
        <w:rPr>
          <w:rFonts w:asciiTheme="minorHAnsi" w:hAnsiTheme="minorHAnsi" w:cstheme="minorHAnsi"/>
          <w:sz w:val="22"/>
        </w:rPr>
        <w:t>14</w:t>
      </w:r>
      <w:r w:rsidRPr="00BA58A0">
        <w:rPr>
          <w:rFonts w:asciiTheme="minorHAnsi" w:hAnsiTheme="minorHAnsi" w:cstheme="minorHAnsi"/>
          <w:sz w:val="22"/>
        </w:rPr>
        <w:t xml:space="preserve">% </w:t>
      </w:r>
      <w:r w:rsidR="001030B8">
        <w:rPr>
          <w:rFonts w:asciiTheme="minorHAnsi" w:hAnsiTheme="minorHAnsi" w:cstheme="minorHAnsi"/>
          <w:sz w:val="22"/>
        </w:rPr>
        <w:t>des importations de ce poste (970 M</w:t>
      </w:r>
      <w:r w:rsidR="00E42889">
        <w:rPr>
          <w:rFonts w:asciiTheme="minorHAnsi" w:hAnsiTheme="minorHAnsi" w:cstheme="minorHAnsi"/>
          <w:sz w:val="22"/>
        </w:rPr>
        <w:t xml:space="preserve">€ </w:t>
      </w:r>
      <w:r w:rsidR="001030B8">
        <w:rPr>
          <w:rFonts w:asciiTheme="minorHAnsi" w:hAnsiTheme="minorHAnsi" w:cstheme="minorHAnsi"/>
          <w:sz w:val="22"/>
        </w:rPr>
        <w:t>en 2022)</w:t>
      </w:r>
      <w:r w:rsidRPr="00BA58A0">
        <w:rPr>
          <w:rFonts w:asciiTheme="minorHAnsi" w:hAnsiTheme="minorHAnsi" w:cstheme="minorHAnsi"/>
          <w:sz w:val="22"/>
        </w:rPr>
        <w:t>.</w:t>
      </w:r>
    </w:p>
    <w:p w14:paraId="01040903" w14:textId="77777777" w:rsidR="00986289" w:rsidRPr="00BA58A0" w:rsidRDefault="00986289" w:rsidP="00986289">
      <w:pPr>
        <w:pStyle w:val="Paragraphedeliste"/>
        <w:spacing w:before="240"/>
        <w:jc w:val="both"/>
        <w:rPr>
          <w:rFonts w:asciiTheme="minorHAnsi" w:hAnsiTheme="minorHAnsi" w:cstheme="minorHAnsi"/>
          <w:sz w:val="22"/>
        </w:rPr>
      </w:pPr>
    </w:p>
    <w:p w14:paraId="12DA5936" w14:textId="776CA654" w:rsidR="00986289" w:rsidRPr="00BA58A0" w:rsidRDefault="009317AA" w:rsidP="00986289">
      <w:pPr>
        <w:pStyle w:val="Paragraphedeliste"/>
        <w:numPr>
          <w:ilvl w:val="0"/>
          <w:numId w:val="4"/>
        </w:numPr>
        <w:spacing w:before="240"/>
        <w:jc w:val="both"/>
        <w:rPr>
          <w:rFonts w:asciiTheme="minorHAnsi" w:hAnsiTheme="minorHAnsi" w:cstheme="minorHAnsi"/>
          <w:sz w:val="22"/>
        </w:rPr>
      </w:pPr>
      <w:r>
        <w:rPr>
          <w:rFonts w:asciiTheme="minorHAnsi" w:hAnsiTheme="minorHAnsi" w:cstheme="minorHAnsi"/>
          <w:b/>
          <w:sz w:val="22"/>
        </w:rPr>
        <w:t>L</w:t>
      </w:r>
      <w:r w:rsidR="00986289" w:rsidRPr="00BA58A0">
        <w:rPr>
          <w:rFonts w:asciiTheme="minorHAnsi" w:hAnsiTheme="minorHAnsi" w:cstheme="minorHAnsi"/>
          <w:b/>
          <w:sz w:val="22"/>
        </w:rPr>
        <w:t>es importations de machines et équipements de transports (+1</w:t>
      </w:r>
      <w:r>
        <w:rPr>
          <w:rFonts w:asciiTheme="minorHAnsi" w:hAnsiTheme="minorHAnsi" w:cstheme="minorHAnsi"/>
          <w:b/>
          <w:sz w:val="22"/>
        </w:rPr>
        <w:t>3</w:t>
      </w:r>
      <w:r w:rsidR="00986289" w:rsidRPr="00BA58A0">
        <w:rPr>
          <w:rFonts w:asciiTheme="minorHAnsi" w:hAnsiTheme="minorHAnsi" w:cstheme="minorHAnsi"/>
          <w:b/>
          <w:sz w:val="22"/>
        </w:rPr>
        <w:t>% en 202</w:t>
      </w:r>
      <w:r>
        <w:rPr>
          <w:rFonts w:asciiTheme="minorHAnsi" w:hAnsiTheme="minorHAnsi" w:cstheme="minorHAnsi"/>
          <w:b/>
          <w:sz w:val="22"/>
        </w:rPr>
        <w:t>2</w:t>
      </w:r>
      <w:r w:rsidR="00986289" w:rsidRPr="00BA58A0">
        <w:rPr>
          <w:rFonts w:asciiTheme="minorHAnsi" w:hAnsiTheme="minorHAnsi" w:cstheme="minorHAnsi"/>
          <w:b/>
          <w:sz w:val="22"/>
        </w:rPr>
        <w:t>, pour un total de 2</w:t>
      </w:r>
      <w:r>
        <w:rPr>
          <w:rFonts w:asciiTheme="minorHAnsi" w:hAnsiTheme="minorHAnsi" w:cstheme="minorHAnsi"/>
          <w:b/>
          <w:sz w:val="22"/>
        </w:rPr>
        <w:t>6</w:t>
      </w:r>
      <w:r w:rsidR="00986289" w:rsidRPr="00BA58A0">
        <w:rPr>
          <w:rFonts w:asciiTheme="minorHAnsi" w:hAnsiTheme="minorHAnsi" w:cstheme="minorHAnsi"/>
          <w:b/>
          <w:sz w:val="22"/>
        </w:rPr>
        <w:t>,</w:t>
      </w:r>
      <w:r>
        <w:rPr>
          <w:rFonts w:asciiTheme="minorHAnsi" w:hAnsiTheme="minorHAnsi" w:cstheme="minorHAnsi"/>
          <w:b/>
          <w:sz w:val="22"/>
        </w:rPr>
        <w:t>7</w:t>
      </w:r>
      <w:r w:rsidR="00986289" w:rsidRPr="00BA58A0">
        <w:rPr>
          <w:rFonts w:asciiTheme="minorHAnsi" w:hAnsiTheme="minorHAnsi" w:cstheme="minorHAnsi"/>
          <w:b/>
          <w:sz w:val="22"/>
        </w:rPr>
        <w:t xml:space="preserve"> Mds €)</w:t>
      </w:r>
      <w:r>
        <w:rPr>
          <w:rFonts w:asciiTheme="minorHAnsi" w:hAnsiTheme="minorHAnsi" w:cstheme="minorHAnsi"/>
          <w:sz w:val="22"/>
        </w:rPr>
        <w:t>,</w:t>
      </w:r>
      <w:r w:rsidR="00986289" w:rsidRPr="00BA58A0">
        <w:rPr>
          <w:rFonts w:asciiTheme="minorHAnsi" w:hAnsiTheme="minorHAnsi" w:cstheme="minorHAnsi"/>
          <w:sz w:val="22"/>
        </w:rPr>
        <w:t xml:space="preserve"> représentent près du tiers des importations</w:t>
      </w:r>
      <w:r>
        <w:rPr>
          <w:rFonts w:asciiTheme="minorHAnsi" w:hAnsiTheme="minorHAnsi" w:cstheme="minorHAnsi"/>
          <w:sz w:val="22"/>
        </w:rPr>
        <w:t xml:space="preserve"> (29% du total)</w:t>
      </w:r>
      <w:r w:rsidR="00986289" w:rsidRPr="00BA58A0">
        <w:rPr>
          <w:rFonts w:asciiTheme="minorHAnsi" w:hAnsiTheme="minorHAnsi" w:cstheme="minorHAnsi"/>
          <w:sz w:val="22"/>
        </w:rPr>
        <w:t>. L’Allemagne compte pour 2</w:t>
      </w:r>
      <w:r>
        <w:rPr>
          <w:rFonts w:asciiTheme="minorHAnsi" w:hAnsiTheme="minorHAnsi" w:cstheme="minorHAnsi"/>
          <w:sz w:val="22"/>
        </w:rPr>
        <w:t>0</w:t>
      </w:r>
      <w:r w:rsidR="00986289" w:rsidRPr="00BA58A0">
        <w:rPr>
          <w:rFonts w:asciiTheme="minorHAnsi" w:hAnsiTheme="minorHAnsi" w:cstheme="minorHAnsi"/>
          <w:sz w:val="22"/>
        </w:rPr>
        <w:t>% des importations de ce secteur, suivi de la Chine (1</w:t>
      </w:r>
      <w:r>
        <w:rPr>
          <w:rFonts w:asciiTheme="minorHAnsi" w:hAnsiTheme="minorHAnsi" w:cstheme="minorHAnsi"/>
          <w:sz w:val="22"/>
        </w:rPr>
        <w:t>8</w:t>
      </w:r>
      <w:r w:rsidR="00986289" w:rsidRPr="00BA58A0">
        <w:rPr>
          <w:rFonts w:asciiTheme="minorHAnsi" w:hAnsiTheme="minorHAnsi" w:cstheme="minorHAnsi"/>
          <w:sz w:val="22"/>
        </w:rPr>
        <w:t>%) et de la Suède (</w:t>
      </w:r>
      <w:r>
        <w:rPr>
          <w:rFonts w:asciiTheme="minorHAnsi" w:hAnsiTheme="minorHAnsi" w:cstheme="minorHAnsi"/>
          <w:sz w:val="22"/>
        </w:rPr>
        <w:t>8</w:t>
      </w:r>
      <w:r w:rsidR="00986289" w:rsidRPr="00BA58A0">
        <w:rPr>
          <w:rFonts w:asciiTheme="minorHAnsi" w:hAnsiTheme="minorHAnsi" w:cstheme="minorHAnsi"/>
          <w:sz w:val="22"/>
        </w:rPr>
        <w:t xml:space="preserve">%). </w:t>
      </w:r>
    </w:p>
    <w:p w14:paraId="5D9D2B08" w14:textId="3D7B3353" w:rsidR="00986289" w:rsidRPr="00BA58A0" w:rsidRDefault="00986289" w:rsidP="00986289">
      <w:pPr>
        <w:pStyle w:val="Paragraphedeliste"/>
        <w:spacing w:before="240"/>
        <w:jc w:val="both"/>
        <w:rPr>
          <w:rFonts w:asciiTheme="minorHAnsi" w:hAnsiTheme="minorHAnsi" w:cstheme="minorHAnsi"/>
          <w:sz w:val="22"/>
        </w:rPr>
      </w:pPr>
      <w:r w:rsidRPr="00BA58A0">
        <w:rPr>
          <w:rFonts w:asciiTheme="minorHAnsi" w:hAnsiTheme="minorHAnsi" w:cstheme="minorHAnsi"/>
          <w:sz w:val="22"/>
        </w:rPr>
        <w:t xml:space="preserve">Les seules </w:t>
      </w:r>
      <w:r w:rsidRPr="00BA58A0">
        <w:rPr>
          <w:rFonts w:asciiTheme="minorHAnsi" w:hAnsiTheme="minorHAnsi" w:cstheme="minorHAnsi"/>
          <w:b/>
          <w:sz w:val="22"/>
        </w:rPr>
        <w:t>importations d’équipements de transport</w:t>
      </w:r>
      <w:r w:rsidRPr="00BA58A0">
        <w:rPr>
          <w:rFonts w:asciiTheme="minorHAnsi" w:hAnsiTheme="minorHAnsi" w:cstheme="minorHAnsi"/>
          <w:sz w:val="22"/>
        </w:rPr>
        <w:t xml:space="preserve"> ont atteint </w:t>
      </w:r>
      <w:r w:rsidR="00F225F3">
        <w:rPr>
          <w:rFonts w:asciiTheme="minorHAnsi" w:hAnsiTheme="minorHAnsi" w:cstheme="minorHAnsi"/>
          <w:sz w:val="22"/>
        </w:rPr>
        <w:t>7</w:t>
      </w:r>
      <w:r w:rsidRPr="00BA58A0">
        <w:rPr>
          <w:rFonts w:asciiTheme="minorHAnsi" w:hAnsiTheme="minorHAnsi" w:cstheme="minorHAnsi"/>
          <w:sz w:val="22"/>
        </w:rPr>
        <w:t>,</w:t>
      </w:r>
      <w:r w:rsidR="00F225F3">
        <w:rPr>
          <w:rFonts w:asciiTheme="minorHAnsi" w:hAnsiTheme="minorHAnsi" w:cstheme="minorHAnsi"/>
          <w:sz w:val="22"/>
        </w:rPr>
        <w:t>4</w:t>
      </w:r>
      <w:r w:rsidRPr="00BA58A0">
        <w:rPr>
          <w:rFonts w:asciiTheme="minorHAnsi" w:hAnsiTheme="minorHAnsi" w:cstheme="minorHAnsi"/>
          <w:sz w:val="22"/>
        </w:rPr>
        <w:t xml:space="preserve"> Mds € (</w:t>
      </w:r>
      <w:r w:rsidR="00F225F3">
        <w:rPr>
          <w:rFonts w:asciiTheme="minorHAnsi" w:hAnsiTheme="minorHAnsi" w:cstheme="minorHAnsi"/>
          <w:sz w:val="22"/>
        </w:rPr>
        <w:t>8</w:t>
      </w:r>
      <w:r w:rsidRPr="00BA58A0">
        <w:rPr>
          <w:rFonts w:asciiTheme="minorHAnsi" w:hAnsiTheme="minorHAnsi" w:cstheme="minorHAnsi"/>
          <w:sz w:val="22"/>
        </w:rPr>
        <w:t>% du total des importations). Les véhicules automobiles viennent principalement d’Allemagne (à 3</w:t>
      </w:r>
      <w:r w:rsidR="00F225F3">
        <w:rPr>
          <w:rFonts w:asciiTheme="minorHAnsi" w:hAnsiTheme="minorHAnsi" w:cstheme="minorHAnsi"/>
          <w:sz w:val="22"/>
        </w:rPr>
        <w:t>3</w:t>
      </w:r>
      <w:r w:rsidRPr="00BA58A0">
        <w:rPr>
          <w:rFonts w:asciiTheme="minorHAnsi" w:hAnsiTheme="minorHAnsi" w:cstheme="minorHAnsi"/>
          <w:sz w:val="22"/>
        </w:rPr>
        <w:t>%) et de Suède (1</w:t>
      </w:r>
      <w:r w:rsidR="00F225F3">
        <w:rPr>
          <w:rFonts w:asciiTheme="minorHAnsi" w:hAnsiTheme="minorHAnsi" w:cstheme="minorHAnsi"/>
          <w:sz w:val="22"/>
        </w:rPr>
        <w:t>2</w:t>
      </w:r>
      <w:r w:rsidRPr="00BA58A0">
        <w:rPr>
          <w:rFonts w:asciiTheme="minorHAnsi" w:hAnsiTheme="minorHAnsi" w:cstheme="minorHAnsi"/>
          <w:sz w:val="22"/>
        </w:rPr>
        <w:t xml:space="preserve">%). La France représente environ 4% du total des importations automobiles. </w:t>
      </w:r>
    </w:p>
    <w:p w14:paraId="7188C302" w14:textId="77777777" w:rsidR="00986289" w:rsidRPr="00BA58A0" w:rsidRDefault="00986289" w:rsidP="00986289">
      <w:pPr>
        <w:pStyle w:val="Paragraphedeliste"/>
        <w:spacing w:before="240"/>
        <w:jc w:val="both"/>
        <w:rPr>
          <w:rFonts w:asciiTheme="minorHAnsi" w:hAnsiTheme="minorHAnsi" w:cstheme="minorHAnsi"/>
          <w:sz w:val="22"/>
        </w:rPr>
      </w:pPr>
    </w:p>
    <w:p w14:paraId="7FD6681A" w14:textId="5726B547" w:rsidR="00986289" w:rsidRPr="00C95F7E" w:rsidRDefault="00986289" w:rsidP="00986289">
      <w:pPr>
        <w:pStyle w:val="Paragraphedeliste"/>
        <w:numPr>
          <w:ilvl w:val="0"/>
          <w:numId w:val="4"/>
        </w:numPr>
        <w:spacing w:before="240"/>
        <w:jc w:val="both"/>
        <w:rPr>
          <w:rFonts w:asciiTheme="minorHAnsi" w:hAnsiTheme="minorHAnsi" w:cstheme="minorHAnsi"/>
          <w:b/>
          <w:sz w:val="22"/>
        </w:rPr>
      </w:pPr>
      <w:r w:rsidRPr="00C95F7E">
        <w:rPr>
          <w:rFonts w:asciiTheme="minorHAnsi" w:hAnsiTheme="minorHAnsi" w:cstheme="minorHAnsi"/>
          <w:b/>
          <w:sz w:val="22"/>
        </w:rPr>
        <w:t>Les importations</w:t>
      </w:r>
      <w:r w:rsidR="00F225F3" w:rsidRPr="00C95F7E">
        <w:rPr>
          <w:rFonts w:asciiTheme="minorHAnsi" w:hAnsiTheme="minorHAnsi" w:cstheme="minorHAnsi"/>
          <w:b/>
          <w:sz w:val="22"/>
        </w:rPr>
        <w:t xml:space="preserve"> de métaux et produits</w:t>
      </w:r>
      <w:r w:rsidRPr="00C95F7E">
        <w:rPr>
          <w:rFonts w:asciiTheme="minorHAnsi" w:hAnsiTheme="minorHAnsi" w:cstheme="minorHAnsi"/>
          <w:b/>
          <w:sz w:val="22"/>
        </w:rPr>
        <w:t xml:space="preserve"> issus de l’industrie métallurgique </w:t>
      </w:r>
      <w:r w:rsidRPr="00C95F7E">
        <w:rPr>
          <w:rFonts w:asciiTheme="minorHAnsi" w:hAnsiTheme="minorHAnsi" w:cstheme="minorHAnsi"/>
          <w:sz w:val="22"/>
        </w:rPr>
        <w:t xml:space="preserve">ont augmenté de </w:t>
      </w:r>
      <w:r w:rsidR="00F225F3" w:rsidRPr="00C95F7E">
        <w:rPr>
          <w:rFonts w:asciiTheme="minorHAnsi" w:hAnsiTheme="minorHAnsi" w:cstheme="minorHAnsi"/>
          <w:sz w:val="22"/>
        </w:rPr>
        <w:t>29</w:t>
      </w:r>
      <w:r w:rsidRPr="00C95F7E">
        <w:rPr>
          <w:rFonts w:asciiTheme="minorHAnsi" w:hAnsiTheme="minorHAnsi" w:cstheme="minorHAnsi"/>
          <w:sz w:val="22"/>
        </w:rPr>
        <w:t>% (</w:t>
      </w:r>
      <w:r w:rsidR="00F225F3" w:rsidRPr="00C95F7E">
        <w:rPr>
          <w:rFonts w:asciiTheme="minorHAnsi" w:hAnsiTheme="minorHAnsi" w:cstheme="minorHAnsi"/>
          <w:sz w:val="22"/>
        </w:rPr>
        <w:t>14,7</w:t>
      </w:r>
      <w:r w:rsidRPr="00C95F7E">
        <w:rPr>
          <w:rFonts w:asciiTheme="minorHAnsi" w:hAnsiTheme="minorHAnsi" w:cstheme="minorHAnsi"/>
          <w:sz w:val="22"/>
        </w:rPr>
        <w:t xml:space="preserve"> Mds€), </w:t>
      </w:r>
      <w:r w:rsidR="00F225F3" w:rsidRPr="00C95F7E">
        <w:rPr>
          <w:rFonts w:asciiTheme="minorHAnsi" w:hAnsiTheme="minorHAnsi" w:cstheme="minorHAnsi"/>
          <w:sz w:val="22"/>
        </w:rPr>
        <w:t xml:space="preserve">notamment celles des métaux non-ferreux </w:t>
      </w:r>
      <w:r w:rsidRPr="00C95F7E">
        <w:rPr>
          <w:rFonts w:asciiTheme="minorHAnsi" w:hAnsiTheme="minorHAnsi" w:cstheme="minorHAnsi"/>
          <w:sz w:val="22"/>
        </w:rPr>
        <w:t>(+</w:t>
      </w:r>
      <w:r w:rsidR="00F225F3" w:rsidRPr="00C95F7E">
        <w:rPr>
          <w:rFonts w:asciiTheme="minorHAnsi" w:hAnsiTheme="minorHAnsi" w:cstheme="minorHAnsi"/>
          <w:sz w:val="22"/>
        </w:rPr>
        <w:t>51</w:t>
      </w:r>
      <w:r w:rsidRPr="00C95F7E">
        <w:rPr>
          <w:rFonts w:asciiTheme="minorHAnsi" w:hAnsiTheme="minorHAnsi" w:cstheme="minorHAnsi"/>
          <w:sz w:val="22"/>
        </w:rPr>
        <w:t>%, à 2,</w:t>
      </w:r>
      <w:r w:rsidR="00A63CFE" w:rsidRPr="00C95F7E">
        <w:rPr>
          <w:rFonts w:asciiTheme="minorHAnsi" w:hAnsiTheme="minorHAnsi" w:cstheme="minorHAnsi"/>
          <w:sz w:val="22"/>
        </w:rPr>
        <w:t>2</w:t>
      </w:r>
      <w:r w:rsidRPr="00C95F7E">
        <w:rPr>
          <w:rFonts w:asciiTheme="minorHAnsi" w:hAnsiTheme="minorHAnsi" w:cstheme="minorHAnsi"/>
          <w:sz w:val="22"/>
        </w:rPr>
        <w:t xml:space="preserve"> Mds €)</w:t>
      </w:r>
      <w:r w:rsidR="00A63CFE" w:rsidRPr="00C95F7E">
        <w:rPr>
          <w:rFonts w:asciiTheme="minorHAnsi" w:hAnsiTheme="minorHAnsi" w:cstheme="minorHAnsi"/>
          <w:sz w:val="22"/>
        </w:rPr>
        <w:t xml:space="preserve"> parmi lesquels le nickel figure en première position (1,9 Mds€, quasi exclusivement en provenance de Russie</w:t>
      </w:r>
      <w:r w:rsidR="00C95F7E">
        <w:rPr>
          <w:rFonts w:asciiTheme="minorHAnsi" w:hAnsiTheme="minorHAnsi" w:cstheme="minorHAnsi"/>
          <w:sz w:val="22"/>
        </w:rPr>
        <w:t>).</w:t>
      </w:r>
    </w:p>
    <w:p w14:paraId="4968DE58" w14:textId="77777777" w:rsidR="00C95F7E" w:rsidRPr="00C95F7E" w:rsidRDefault="00C95F7E" w:rsidP="00C95F7E">
      <w:pPr>
        <w:pStyle w:val="Paragraphedeliste"/>
        <w:spacing w:before="240"/>
        <w:jc w:val="both"/>
        <w:rPr>
          <w:rFonts w:asciiTheme="minorHAnsi" w:hAnsiTheme="minorHAnsi" w:cstheme="minorHAnsi"/>
          <w:b/>
          <w:sz w:val="22"/>
        </w:rPr>
      </w:pPr>
    </w:p>
    <w:p w14:paraId="5F64A016" w14:textId="7009EF25" w:rsidR="00986289" w:rsidRPr="00BA58A0" w:rsidRDefault="00986289" w:rsidP="00986289">
      <w:pPr>
        <w:pStyle w:val="Paragraphedeliste"/>
        <w:keepNext/>
        <w:keepLines/>
        <w:numPr>
          <w:ilvl w:val="0"/>
          <w:numId w:val="4"/>
        </w:numPr>
        <w:spacing w:before="600" w:after="120"/>
        <w:jc w:val="both"/>
        <w:outlineLvl w:val="0"/>
        <w:rPr>
          <w:rFonts w:eastAsia="Times New Roman" w:cs="Arial"/>
          <w:b/>
          <w:bCs/>
          <w:color w:val="122255"/>
          <w:sz w:val="22"/>
        </w:rPr>
      </w:pPr>
      <w:r w:rsidRPr="00BA58A0">
        <w:rPr>
          <w:rFonts w:asciiTheme="minorHAnsi" w:hAnsiTheme="minorHAnsi" w:cstheme="minorHAnsi"/>
          <w:b/>
          <w:sz w:val="22"/>
        </w:rPr>
        <w:t>Les produits chimiques</w:t>
      </w:r>
      <w:r w:rsidR="00180D51">
        <w:rPr>
          <w:rFonts w:asciiTheme="minorHAnsi" w:hAnsiTheme="minorHAnsi" w:cstheme="minorHAnsi"/>
          <w:b/>
          <w:sz w:val="22"/>
        </w:rPr>
        <w:t xml:space="preserve"> </w:t>
      </w:r>
      <w:r w:rsidR="00180D51" w:rsidRPr="00BA58A0">
        <w:rPr>
          <w:rFonts w:asciiTheme="minorHAnsi" w:hAnsiTheme="minorHAnsi" w:cstheme="minorHAnsi"/>
          <w:b/>
          <w:sz w:val="22"/>
        </w:rPr>
        <w:t>(hors produits pétroliers)</w:t>
      </w:r>
      <w:r w:rsidR="00180D51">
        <w:rPr>
          <w:rFonts w:asciiTheme="minorHAnsi" w:hAnsiTheme="minorHAnsi" w:cstheme="minorHAnsi"/>
          <w:b/>
          <w:sz w:val="22"/>
        </w:rPr>
        <w:t xml:space="preserve"> et pharmaceutiques</w:t>
      </w:r>
      <w:r w:rsidRPr="00BA58A0">
        <w:rPr>
          <w:rFonts w:asciiTheme="minorHAnsi" w:hAnsiTheme="minorHAnsi" w:cstheme="minorHAnsi"/>
          <w:b/>
          <w:sz w:val="22"/>
        </w:rPr>
        <w:t xml:space="preserve"> </w:t>
      </w:r>
      <w:r w:rsidRPr="00BA58A0">
        <w:rPr>
          <w:rFonts w:asciiTheme="minorHAnsi" w:hAnsiTheme="minorHAnsi" w:cstheme="minorHAnsi"/>
          <w:sz w:val="22"/>
        </w:rPr>
        <w:t xml:space="preserve">ont constitué plus de </w:t>
      </w:r>
      <w:r w:rsidR="007F1B7E">
        <w:rPr>
          <w:rFonts w:asciiTheme="minorHAnsi" w:hAnsiTheme="minorHAnsi" w:cstheme="minorHAnsi"/>
          <w:sz w:val="22"/>
        </w:rPr>
        <w:t>9,</w:t>
      </w:r>
      <w:r w:rsidRPr="00BA58A0">
        <w:rPr>
          <w:rFonts w:asciiTheme="minorHAnsi" w:hAnsiTheme="minorHAnsi" w:cstheme="minorHAnsi"/>
          <w:sz w:val="22"/>
        </w:rPr>
        <w:t>8 Mds € (1</w:t>
      </w:r>
      <w:r w:rsidR="007F1B7E">
        <w:rPr>
          <w:rFonts w:asciiTheme="minorHAnsi" w:hAnsiTheme="minorHAnsi" w:cstheme="minorHAnsi"/>
          <w:sz w:val="22"/>
        </w:rPr>
        <w:t>0,7</w:t>
      </w:r>
      <w:r w:rsidRPr="00BA58A0">
        <w:rPr>
          <w:rFonts w:asciiTheme="minorHAnsi" w:hAnsiTheme="minorHAnsi" w:cstheme="minorHAnsi"/>
          <w:sz w:val="22"/>
        </w:rPr>
        <w:t xml:space="preserve">% du total), en hausse de </w:t>
      </w:r>
      <w:r w:rsidR="007F1B7E">
        <w:rPr>
          <w:rFonts w:asciiTheme="minorHAnsi" w:hAnsiTheme="minorHAnsi" w:cstheme="minorHAnsi"/>
          <w:sz w:val="22"/>
        </w:rPr>
        <w:t>20</w:t>
      </w:r>
      <w:r w:rsidRPr="00BA58A0">
        <w:rPr>
          <w:rFonts w:asciiTheme="minorHAnsi" w:hAnsiTheme="minorHAnsi" w:cstheme="minorHAnsi"/>
          <w:sz w:val="22"/>
        </w:rPr>
        <w:t xml:space="preserve">%. </w:t>
      </w:r>
      <w:r w:rsidR="007F1B7E">
        <w:rPr>
          <w:rFonts w:asciiTheme="minorHAnsi" w:hAnsiTheme="minorHAnsi" w:cstheme="minorHAnsi"/>
          <w:sz w:val="22"/>
        </w:rPr>
        <w:t>Au sein de cette catégorie, les produits pharmaceutiques sont le premier bien importé (2,4 Mds€), principalement en provenance d’Allemagne (20% des imports).</w:t>
      </w:r>
    </w:p>
    <w:p w14:paraId="325E4289" w14:textId="77777777" w:rsidR="00986289" w:rsidRPr="00BA58A0" w:rsidRDefault="00986289" w:rsidP="00986289">
      <w:pPr>
        <w:pStyle w:val="Paragraphedeliste"/>
        <w:rPr>
          <w:rFonts w:asciiTheme="minorHAnsi" w:hAnsiTheme="minorHAnsi" w:cstheme="minorHAnsi"/>
          <w:b/>
          <w:bCs/>
          <w:sz w:val="22"/>
        </w:rPr>
      </w:pPr>
    </w:p>
    <w:p w14:paraId="652B53BD" w14:textId="20E08907" w:rsidR="00986289" w:rsidRPr="00BA58A0" w:rsidRDefault="00986289" w:rsidP="00986289">
      <w:pPr>
        <w:pStyle w:val="Paragraphedeliste"/>
        <w:keepNext/>
        <w:keepLines/>
        <w:numPr>
          <w:ilvl w:val="0"/>
          <w:numId w:val="4"/>
        </w:numPr>
        <w:spacing w:before="600" w:after="120"/>
        <w:jc w:val="both"/>
        <w:outlineLvl w:val="0"/>
        <w:rPr>
          <w:rFonts w:eastAsia="Times New Roman" w:cs="Arial"/>
          <w:b/>
          <w:bCs/>
          <w:color w:val="122255"/>
          <w:sz w:val="22"/>
        </w:rPr>
      </w:pPr>
      <w:r w:rsidRPr="00BA58A0">
        <w:rPr>
          <w:rFonts w:asciiTheme="minorHAnsi" w:hAnsiTheme="minorHAnsi" w:cstheme="minorHAnsi"/>
          <w:b/>
          <w:bCs/>
          <w:sz w:val="22"/>
        </w:rPr>
        <w:t>Les</w:t>
      </w:r>
      <w:r w:rsidRPr="00BA58A0">
        <w:rPr>
          <w:rFonts w:asciiTheme="minorHAnsi" w:hAnsiTheme="minorHAnsi" w:cstheme="minorHAnsi"/>
          <w:b/>
          <w:sz w:val="22"/>
        </w:rPr>
        <w:t xml:space="preserve"> </w:t>
      </w:r>
      <w:r w:rsidR="007F1B7E">
        <w:rPr>
          <w:rFonts w:asciiTheme="minorHAnsi" w:hAnsiTheme="minorHAnsi" w:cstheme="minorHAnsi"/>
          <w:b/>
          <w:sz w:val="22"/>
        </w:rPr>
        <w:t xml:space="preserve">achats de </w:t>
      </w:r>
      <w:r w:rsidRPr="00BA58A0">
        <w:rPr>
          <w:rFonts w:asciiTheme="minorHAnsi" w:hAnsiTheme="minorHAnsi" w:cstheme="minorHAnsi"/>
          <w:b/>
          <w:sz w:val="22"/>
        </w:rPr>
        <w:t xml:space="preserve">produits </w:t>
      </w:r>
      <w:r w:rsidRPr="006E4E51">
        <w:rPr>
          <w:rFonts w:asciiTheme="minorHAnsi" w:hAnsiTheme="minorHAnsi" w:cstheme="minorHAnsi"/>
          <w:b/>
          <w:sz w:val="22"/>
        </w:rPr>
        <w:t>agro-alimentaires</w:t>
      </w:r>
      <w:r w:rsidRPr="003B07D3">
        <w:rPr>
          <w:rFonts w:asciiTheme="minorHAnsi" w:hAnsiTheme="minorHAnsi" w:cstheme="minorHAnsi"/>
          <w:color w:val="FF0000"/>
          <w:sz w:val="22"/>
        </w:rPr>
        <w:t xml:space="preserve"> </w:t>
      </w:r>
      <w:r w:rsidR="003B07D3">
        <w:rPr>
          <w:rFonts w:asciiTheme="minorHAnsi" w:hAnsiTheme="minorHAnsi" w:cstheme="minorHAnsi"/>
          <w:sz w:val="22"/>
        </w:rPr>
        <w:t>(</w:t>
      </w:r>
      <w:r w:rsidR="00AD4BFC">
        <w:rPr>
          <w:rFonts w:asciiTheme="minorHAnsi" w:hAnsiTheme="minorHAnsi" w:cstheme="minorHAnsi"/>
          <w:sz w:val="22"/>
        </w:rPr>
        <w:t>en premier lieu les fruits et légumes, dont l’Espagne est le premier fournisseur</w:t>
      </w:r>
      <w:r w:rsidR="003B07D3">
        <w:rPr>
          <w:rFonts w:asciiTheme="minorHAnsi" w:hAnsiTheme="minorHAnsi" w:cstheme="minorHAnsi"/>
          <w:sz w:val="22"/>
        </w:rPr>
        <w:t xml:space="preserve">) </w:t>
      </w:r>
      <w:r w:rsidRPr="00BA58A0">
        <w:rPr>
          <w:rFonts w:asciiTheme="minorHAnsi" w:hAnsiTheme="minorHAnsi" w:cstheme="minorHAnsi"/>
          <w:sz w:val="22"/>
        </w:rPr>
        <w:t xml:space="preserve">augmentent </w:t>
      </w:r>
      <w:r w:rsidR="007F1B7E">
        <w:rPr>
          <w:rFonts w:asciiTheme="minorHAnsi" w:hAnsiTheme="minorHAnsi" w:cstheme="minorHAnsi"/>
          <w:sz w:val="22"/>
        </w:rPr>
        <w:t>de 19,5% par rapport à 2021,</w:t>
      </w:r>
      <w:r w:rsidRPr="00BA58A0">
        <w:rPr>
          <w:rFonts w:asciiTheme="minorHAnsi" w:hAnsiTheme="minorHAnsi" w:cstheme="minorHAnsi"/>
          <w:sz w:val="22"/>
        </w:rPr>
        <w:t xml:space="preserve"> et atteignent 4,</w:t>
      </w:r>
      <w:r w:rsidR="007F1B7E">
        <w:rPr>
          <w:rFonts w:asciiTheme="minorHAnsi" w:hAnsiTheme="minorHAnsi" w:cstheme="minorHAnsi"/>
          <w:sz w:val="22"/>
        </w:rPr>
        <w:t>9</w:t>
      </w:r>
      <w:r w:rsidRPr="00BA58A0">
        <w:rPr>
          <w:rFonts w:asciiTheme="minorHAnsi" w:hAnsiTheme="minorHAnsi" w:cstheme="minorHAnsi"/>
          <w:sz w:val="22"/>
        </w:rPr>
        <w:t xml:space="preserve"> Mds € (5</w:t>
      </w:r>
      <w:r w:rsidR="007F1B7E">
        <w:rPr>
          <w:rFonts w:asciiTheme="minorHAnsi" w:hAnsiTheme="minorHAnsi" w:cstheme="minorHAnsi"/>
          <w:sz w:val="22"/>
        </w:rPr>
        <w:t>,4</w:t>
      </w:r>
      <w:r w:rsidRPr="00BA58A0">
        <w:rPr>
          <w:rFonts w:asciiTheme="minorHAnsi" w:hAnsiTheme="minorHAnsi" w:cstheme="minorHAnsi"/>
          <w:sz w:val="22"/>
        </w:rPr>
        <w:t>% du total des importations finlandaises en 202</w:t>
      </w:r>
      <w:r w:rsidR="007F1B7E">
        <w:rPr>
          <w:rFonts w:asciiTheme="minorHAnsi" w:hAnsiTheme="minorHAnsi" w:cstheme="minorHAnsi"/>
          <w:sz w:val="22"/>
        </w:rPr>
        <w:t>2</w:t>
      </w:r>
      <w:r w:rsidRPr="00BA58A0">
        <w:rPr>
          <w:rFonts w:asciiTheme="minorHAnsi" w:hAnsiTheme="minorHAnsi" w:cstheme="minorHAnsi"/>
          <w:sz w:val="22"/>
        </w:rPr>
        <w:t>).</w:t>
      </w:r>
    </w:p>
    <w:p w14:paraId="4A386EEC" w14:textId="77777777" w:rsidR="00986289" w:rsidRPr="004A673F" w:rsidRDefault="00986289" w:rsidP="00986289">
      <w:pPr>
        <w:pStyle w:val="Paragraphedeliste"/>
        <w:rPr>
          <w:rFonts w:eastAsia="Times New Roman" w:cs="Arial"/>
          <w:b/>
          <w:bCs/>
          <w:color w:val="122255"/>
          <w:sz w:val="16"/>
          <w:szCs w:val="16"/>
        </w:rPr>
      </w:pPr>
    </w:p>
    <w:p w14:paraId="26DF005C" w14:textId="77777777" w:rsidR="00986289" w:rsidRPr="004D39F4" w:rsidRDefault="00986289" w:rsidP="00986289">
      <w:pPr>
        <w:pStyle w:val="Paragraphedeliste"/>
        <w:rPr>
          <w:rFonts w:eastAsia="Times New Roman" w:cs="Arial"/>
          <w:b/>
          <w:bCs/>
          <w:color w:val="122255"/>
          <w:sz w:val="16"/>
          <w:szCs w:val="16"/>
        </w:rPr>
      </w:pPr>
    </w:p>
    <w:p w14:paraId="0BDFC320" w14:textId="77777777" w:rsidR="00986289" w:rsidRPr="004D39F4" w:rsidRDefault="00986289" w:rsidP="00986289">
      <w:pPr>
        <w:pStyle w:val="Paragraphedeliste"/>
        <w:keepNext/>
        <w:keepLines/>
        <w:pBdr>
          <w:bottom w:val="single" w:sz="4" w:space="1" w:color="auto"/>
        </w:pBdr>
        <w:spacing w:before="600" w:after="120"/>
        <w:ind w:left="0"/>
        <w:jc w:val="both"/>
        <w:outlineLvl w:val="0"/>
        <w:rPr>
          <w:rFonts w:eastAsia="Times New Roman" w:cs="Arial"/>
          <w:b/>
          <w:bCs/>
          <w:color w:val="122255"/>
          <w:sz w:val="16"/>
          <w:szCs w:val="16"/>
        </w:rPr>
      </w:pPr>
      <w:r w:rsidRPr="004D39F4">
        <w:rPr>
          <w:rFonts w:eastAsia="Times New Roman" w:cs="Arial"/>
          <w:color w:val="122255"/>
          <w:sz w:val="16"/>
          <w:szCs w:val="16"/>
        </w:rPr>
        <w:t xml:space="preserve">Clause de non-responsabilité - </w:t>
      </w:r>
      <w:r w:rsidRPr="004D39F4">
        <w:rPr>
          <w:rFonts w:eastAsia="Times New Roman" w:cs="Arial"/>
          <w:b/>
          <w:bCs/>
          <w:color w:val="122255"/>
          <w:sz w:val="16"/>
          <w:szCs w:val="16"/>
        </w:rPr>
        <w:t>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14:paraId="52428E44" w14:textId="5E58A855" w:rsidR="00F30B84" w:rsidRDefault="00F30B84" w:rsidP="00B338DE">
      <w:pPr>
        <w:spacing w:after="0"/>
      </w:pPr>
    </w:p>
    <w:p w14:paraId="0A3EB8B9" w14:textId="26A4C365" w:rsidR="00F30B84" w:rsidRPr="00F30B84" w:rsidRDefault="00F30B84" w:rsidP="00B338DE">
      <w:pPr>
        <w:spacing w:after="0"/>
        <w:jc w:val="center"/>
        <w:rPr>
          <w:b/>
          <w:bCs/>
          <w:sz w:val="22"/>
          <w:u w:val="single"/>
        </w:rPr>
      </w:pPr>
      <w:r w:rsidRPr="00F30B84">
        <w:rPr>
          <w:b/>
          <w:bCs/>
          <w:sz w:val="22"/>
          <w:u w:val="single"/>
        </w:rPr>
        <w:t>Annexes : Principaux clients et fournisseurs de la Finlande en 2022</w:t>
      </w:r>
    </w:p>
    <w:tbl>
      <w:tblPr>
        <w:tblStyle w:val="TableauGrille2-Accentuation1"/>
        <w:tblpPr w:leftFromText="141" w:rightFromText="141" w:vertAnchor="text" w:horzAnchor="margin" w:tblpY="334"/>
        <w:tblW w:w="0" w:type="auto"/>
        <w:tblLook w:val="04A0" w:firstRow="1" w:lastRow="0" w:firstColumn="1" w:lastColumn="0" w:noHBand="0" w:noVBand="1"/>
      </w:tblPr>
      <w:tblGrid>
        <w:gridCol w:w="716"/>
        <w:gridCol w:w="2261"/>
        <w:gridCol w:w="1843"/>
      </w:tblGrid>
      <w:tr w:rsidR="00F30B84" w14:paraId="31F9B524" w14:textId="7B7DB8BA" w:rsidTr="00B338DE">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716" w:type="dxa"/>
            <w:shd w:val="clear" w:color="auto" w:fill="8EAADB" w:themeFill="accent1" w:themeFillTint="99"/>
            <w:vAlign w:val="center"/>
          </w:tcPr>
          <w:p w14:paraId="29B2FAC7" w14:textId="27BAC7BE" w:rsidR="00F30B84" w:rsidRDefault="00F30B84" w:rsidP="00B338DE">
            <w:pPr>
              <w:jc w:val="center"/>
            </w:pPr>
            <w:r>
              <w:t>Rang</w:t>
            </w:r>
          </w:p>
        </w:tc>
        <w:tc>
          <w:tcPr>
            <w:tcW w:w="2261" w:type="dxa"/>
            <w:shd w:val="clear" w:color="auto" w:fill="8EAADB" w:themeFill="accent1" w:themeFillTint="99"/>
            <w:vAlign w:val="center"/>
          </w:tcPr>
          <w:p w14:paraId="524B68A0" w14:textId="4AC3190B" w:rsidR="00F30B84" w:rsidRDefault="00F30B84" w:rsidP="00B338DE">
            <w:pPr>
              <w:jc w:val="center"/>
              <w:cnfStyle w:val="100000000000" w:firstRow="1" w:lastRow="0" w:firstColumn="0" w:lastColumn="0" w:oddVBand="0" w:evenVBand="0" w:oddHBand="0" w:evenHBand="0" w:firstRowFirstColumn="0" w:firstRowLastColumn="0" w:lastRowFirstColumn="0" w:lastRowLastColumn="0"/>
            </w:pPr>
            <w:r>
              <w:t>Pays</w:t>
            </w:r>
          </w:p>
        </w:tc>
        <w:tc>
          <w:tcPr>
            <w:tcW w:w="1843" w:type="dxa"/>
            <w:shd w:val="clear" w:color="auto" w:fill="8EAADB" w:themeFill="accent1" w:themeFillTint="99"/>
            <w:vAlign w:val="center"/>
          </w:tcPr>
          <w:p w14:paraId="2124B77A" w14:textId="310C1AFC" w:rsidR="00F30B84" w:rsidRDefault="00F30B84" w:rsidP="00C46460">
            <w:pPr>
              <w:jc w:val="center"/>
              <w:cnfStyle w:val="100000000000" w:firstRow="1" w:lastRow="0" w:firstColumn="0" w:lastColumn="0" w:oddVBand="0" w:evenVBand="0" w:oddHBand="0" w:evenHBand="0" w:firstRowFirstColumn="0" w:firstRowLastColumn="0" w:lastRowFirstColumn="0" w:lastRowLastColumn="0"/>
            </w:pPr>
            <w:r>
              <w:t>Part (en % des exportations)</w:t>
            </w:r>
          </w:p>
        </w:tc>
      </w:tr>
      <w:tr w:rsidR="003931E7" w14:paraId="46A4838E" w14:textId="189F7932" w:rsidTr="00B338D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53A6F8F3" w14:textId="19CFB620" w:rsidR="003931E7" w:rsidRDefault="003931E7" w:rsidP="00C46460">
            <w:pPr>
              <w:jc w:val="center"/>
            </w:pPr>
            <w:r>
              <w:t>1</w:t>
            </w:r>
          </w:p>
        </w:tc>
        <w:tc>
          <w:tcPr>
            <w:tcW w:w="2261" w:type="dxa"/>
            <w:vAlign w:val="center"/>
          </w:tcPr>
          <w:p w14:paraId="47A95812" w14:textId="2D87153A"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Allemagne</w:t>
            </w:r>
          </w:p>
        </w:tc>
        <w:tc>
          <w:tcPr>
            <w:tcW w:w="1843" w:type="dxa"/>
            <w:vAlign w:val="center"/>
          </w:tcPr>
          <w:p w14:paraId="38F93DA5" w14:textId="029E898C"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12</w:t>
            </w:r>
          </w:p>
        </w:tc>
      </w:tr>
      <w:tr w:rsidR="003931E7" w14:paraId="427B2744" w14:textId="4CBEAB8C" w:rsidTr="00B338DE">
        <w:trPr>
          <w:trHeight w:val="206"/>
        </w:trPr>
        <w:tc>
          <w:tcPr>
            <w:cnfStyle w:val="001000000000" w:firstRow="0" w:lastRow="0" w:firstColumn="1" w:lastColumn="0" w:oddVBand="0" w:evenVBand="0" w:oddHBand="0" w:evenHBand="0" w:firstRowFirstColumn="0" w:firstRowLastColumn="0" w:lastRowFirstColumn="0" w:lastRowLastColumn="0"/>
            <w:tcW w:w="716" w:type="dxa"/>
            <w:vAlign w:val="center"/>
          </w:tcPr>
          <w:p w14:paraId="3057B056" w14:textId="508A99A7" w:rsidR="003931E7" w:rsidRDefault="003931E7" w:rsidP="00C46460">
            <w:pPr>
              <w:jc w:val="center"/>
            </w:pPr>
            <w:r>
              <w:t>2</w:t>
            </w:r>
          </w:p>
        </w:tc>
        <w:tc>
          <w:tcPr>
            <w:tcW w:w="2261" w:type="dxa"/>
            <w:vAlign w:val="center"/>
          </w:tcPr>
          <w:p w14:paraId="2F148D3D" w14:textId="32461C40"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Suède</w:t>
            </w:r>
          </w:p>
        </w:tc>
        <w:tc>
          <w:tcPr>
            <w:tcW w:w="1843" w:type="dxa"/>
            <w:vAlign w:val="center"/>
          </w:tcPr>
          <w:p w14:paraId="49C7F413" w14:textId="473E569D"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11</w:t>
            </w:r>
          </w:p>
        </w:tc>
      </w:tr>
      <w:tr w:rsidR="003931E7" w14:paraId="05F38406" w14:textId="16EB4B0E" w:rsidTr="00B338D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099E27D5" w14:textId="70358610" w:rsidR="003931E7" w:rsidRDefault="003931E7" w:rsidP="00C46460">
            <w:pPr>
              <w:jc w:val="center"/>
            </w:pPr>
            <w:r>
              <w:t>3</w:t>
            </w:r>
          </w:p>
        </w:tc>
        <w:tc>
          <w:tcPr>
            <w:tcW w:w="2261" w:type="dxa"/>
            <w:vAlign w:val="center"/>
          </w:tcPr>
          <w:p w14:paraId="136ADED6" w14:textId="46B69658"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Etats-Unis</w:t>
            </w:r>
          </w:p>
        </w:tc>
        <w:tc>
          <w:tcPr>
            <w:tcW w:w="1843" w:type="dxa"/>
            <w:vAlign w:val="center"/>
          </w:tcPr>
          <w:p w14:paraId="5BAB1CDE" w14:textId="54B49D43"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9,5</w:t>
            </w:r>
          </w:p>
        </w:tc>
      </w:tr>
      <w:tr w:rsidR="003931E7" w14:paraId="6285C6CF" w14:textId="4E7F671C" w:rsidTr="00B338DE">
        <w:trPr>
          <w:trHeight w:val="206"/>
        </w:trPr>
        <w:tc>
          <w:tcPr>
            <w:cnfStyle w:val="001000000000" w:firstRow="0" w:lastRow="0" w:firstColumn="1" w:lastColumn="0" w:oddVBand="0" w:evenVBand="0" w:oddHBand="0" w:evenHBand="0" w:firstRowFirstColumn="0" w:firstRowLastColumn="0" w:lastRowFirstColumn="0" w:lastRowLastColumn="0"/>
            <w:tcW w:w="716" w:type="dxa"/>
            <w:vAlign w:val="center"/>
          </w:tcPr>
          <w:p w14:paraId="6A1C8A35" w14:textId="50651151" w:rsidR="003931E7" w:rsidRDefault="003931E7" w:rsidP="00C46460">
            <w:pPr>
              <w:jc w:val="center"/>
            </w:pPr>
            <w:r>
              <w:t>4</w:t>
            </w:r>
          </w:p>
        </w:tc>
        <w:tc>
          <w:tcPr>
            <w:tcW w:w="2261" w:type="dxa"/>
            <w:vAlign w:val="center"/>
          </w:tcPr>
          <w:p w14:paraId="63EEFDA6" w14:textId="65B298AA"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Pays-Bas</w:t>
            </w:r>
          </w:p>
        </w:tc>
        <w:tc>
          <w:tcPr>
            <w:tcW w:w="1843" w:type="dxa"/>
            <w:vAlign w:val="center"/>
          </w:tcPr>
          <w:p w14:paraId="08A37DAF" w14:textId="30627357"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7</w:t>
            </w:r>
          </w:p>
        </w:tc>
      </w:tr>
      <w:tr w:rsidR="003931E7" w14:paraId="7FA273D6" w14:textId="03195441" w:rsidTr="00B338D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4128D68E" w14:textId="505633DB" w:rsidR="003931E7" w:rsidRDefault="003931E7" w:rsidP="00C46460">
            <w:pPr>
              <w:jc w:val="center"/>
            </w:pPr>
            <w:r>
              <w:t>5</w:t>
            </w:r>
          </w:p>
        </w:tc>
        <w:tc>
          <w:tcPr>
            <w:tcW w:w="2261" w:type="dxa"/>
            <w:vAlign w:val="center"/>
          </w:tcPr>
          <w:p w14:paraId="56BBD9E1" w14:textId="0F97A4C7"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Chine</w:t>
            </w:r>
          </w:p>
        </w:tc>
        <w:tc>
          <w:tcPr>
            <w:tcW w:w="1843" w:type="dxa"/>
            <w:vAlign w:val="center"/>
          </w:tcPr>
          <w:p w14:paraId="7DC2057F" w14:textId="22FC5F5A"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5</w:t>
            </w:r>
          </w:p>
        </w:tc>
      </w:tr>
      <w:tr w:rsidR="003931E7" w14:paraId="783F303F" w14:textId="1759C8B6" w:rsidTr="00B338DE">
        <w:trPr>
          <w:trHeight w:val="206"/>
        </w:trPr>
        <w:tc>
          <w:tcPr>
            <w:cnfStyle w:val="001000000000" w:firstRow="0" w:lastRow="0" w:firstColumn="1" w:lastColumn="0" w:oddVBand="0" w:evenVBand="0" w:oddHBand="0" w:evenHBand="0" w:firstRowFirstColumn="0" w:firstRowLastColumn="0" w:lastRowFirstColumn="0" w:lastRowLastColumn="0"/>
            <w:tcW w:w="716" w:type="dxa"/>
            <w:vAlign w:val="center"/>
          </w:tcPr>
          <w:p w14:paraId="1642D68D" w14:textId="161033D3" w:rsidR="003931E7" w:rsidRDefault="003931E7" w:rsidP="00C46460">
            <w:pPr>
              <w:jc w:val="center"/>
            </w:pPr>
            <w:r>
              <w:t>6</w:t>
            </w:r>
          </w:p>
        </w:tc>
        <w:tc>
          <w:tcPr>
            <w:tcW w:w="2261" w:type="dxa"/>
            <w:vAlign w:val="center"/>
          </w:tcPr>
          <w:p w14:paraId="1D2D91CD" w14:textId="479912CD"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Estonie</w:t>
            </w:r>
          </w:p>
        </w:tc>
        <w:tc>
          <w:tcPr>
            <w:tcW w:w="1843" w:type="dxa"/>
            <w:vAlign w:val="center"/>
          </w:tcPr>
          <w:p w14:paraId="6A75A3FD" w14:textId="4E2B6CE9"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4</w:t>
            </w:r>
          </w:p>
        </w:tc>
      </w:tr>
      <w:tr w:rsidR="003931E7" w14:paraId="70E7DF46" w14:textId="3E2111C1" w:rsidTr="00B338D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2B2AEBBB" w14:textId="06A0E246" w:rsidR="003931E7" w:rsidRDefault="003931E7" w:rsidP="00C46460">
            <w:pPr>
              <w:jc w:val="center"/>
            </w:pPr>
            <w:r>
              <w:t>7</w:t>
            </w:r>
          </w:p>
        </w:tc>
        <w:tc>
          <w:tcPr>
            <w:tcW w:w="2261" w:type="dxa"/>
            <w:vAlign w:val="center"/>
          </w:tcPr>
          <w:p w14:paraId="28A22EBD" w14:textId="56731844"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Royaume-Uni</w:t>
            </w:r>
          </w:p>
        </w:tc>
        <w:tc>
          <w:tcPr>
            <w:tcW w:w="1843" w:type="dxa"/>
            <w:vAlign w:val="center"/>
          </w:tcPr>
          <w:p w14:paraId="15B2E1B9" w14:textId="1876236A"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4</w:t>
            </w:r>
          </w:p>
        </w:tc>
      </w:tr>
      <w:tr w:rsidR="003931E7" w14:paraId="4FBE1361" w14:textId="77777777" w:rsidTr="00B338DE">
        <w:trPr>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6703064D" w14:textId="651548E1" w:rsidR="003931E7" w:rsidRDefault="003931E7" w:rsidP="00C46460">
            <w:pPr>
              <w:jc w:val="center"/>
            </w:pPr>
            <w:r>
              <w:t>8</w:t>
            </w:r>
          </w:p>
        </w:tc>
        <w:tc>
          <w:tcPr>
            <w:tcW w:w="2261" w:type="dxa"/>
            <w:vAlign w:val="center"/>
          </w:tcPr>
          <w:p w14:paraId="7A15A4EA" w14:textId="1876C1B8"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Belgique</w:t>
            </w:r>
          </w:p>
        </w:tc>
        <w:tc>
          <w:tcPr>
            <w:tcW w:w="1843" w:type="dxa"/>
            <w:vAlign w:val="center"/>
          </w:tcPr>
          <w:p w14:paraId="2B64A942" w14:textId="401C8540"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4</w:t>
            </w:r>
          </w:p>
        </w:tc>
      </w:tr>
      <w:tr w:rsidR="003931E7" w14:paraId="0C2A6165" w14:textId="77777777" w:rsidTr="00B338D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3FC38450" w14:textId="7C99DB71" w:rsidR="003931E7" w:rsidRDefault="003931E7" w:rsidP="00C46460">
            <w:pPr>
              <w:jc w:val="center"/>
            </w:pPr>
            <w:r>
              <w:t>9</w:t>
            </w:r>
          </w:p>
        </w:tc>
        <w:tc>
          <w:tcPr>
            <w:tcW w:w="2261" w:type="dxa"/>
            <w:vAlign w:val="center"/>
          </w:tcPr>
          <w:p w14:paraId="4AB7D5C4" w14:textId="1EF28198"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France</w:t>
            </w:r>
          </w:p>
        </w:tc>
        <w:tc>
          <w:tcPr>
            <w:tcW w:w="1843" w:type="dxa"/>
            <w:vAlign w:val="center"/>
          </w:tcPr>
          <w:p w14:paraId="09909ED7" w14:textId="7506022B" w:rsidR="003931E7" w:rsidRDefault="003931E7" w:rsidP="00C46460">
            <w:pPr>
              <w:jc w:val="center"/>
              <w:cnfStyle w:val="000000100000" w:firstRow="0" w:lastRow="0" w:firstColumn="0" w:lastColumn="0" w:oddVBand="0" w:evenVBand="0" w:oddHBand="1" w:evenHBand="0" w:firstRowFirstColumn="0" w:firstRowLastColumn="0" w:lastRowFirstColumn="0" w:lastRowLastColumn="0"/>
            </w:pPr>
            <w:r>
              <w:t>3</w:t>
            </w:r>
          </w:p>
        </w:tc>
      </w:tr>
      <w:tr w:rsidR="003931E7" w14:paraId="48BADD89" w14:textId="77777777" w:rsidTr="00B338DE">
        <w:trPr>
          <w:trHeight w:val="200"/>
        </w:trPr>
        <w:tc>
          <w:tcPr>
            <w:cnfStyle w:val="001000000000" w:firstRow="0" w:lastRow="0" w:firstColumn="1" w:lastColumn="0" w:oddVBand="0" w:evenVBand="0" w:oddHBand="0" w:evenHBand="0" w:firstRowFirstColumn="0" w:firstRowLastColumn="0" w:lastRowFirstColumn="0" w:lastRowLastColumn="0"/>
            <w:tcW w:w="716" w:type="dxa"/>
            <w:vAlign w:val="center"/>
          </w:tcPr>
          <w:p w14:paraId="7714B4FF" w14:textId="36487CCF" w:rsidR="003931E7" w:rsidRDefault="003931E7" w:rsidP="00C46460">
            <w:pPr>
              <w:jc w:val="center"/>
            </w:pPr>
            <w:r>
              <w:t>10</w:t>
            </w:r>
          </w:p>
        </w:tc>
        <w:tc>
          <w:tcPr>
            <w:tcW w:w="2261" w:type="dxa"/>
            <w:vAlign w:val="center"/>
          </w:tcPr>
          <w:p w14:paraId="70709B96" w14:textId="58625E36"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Pologne</w:t>
            </w:r>
          </w:p>
        </w:tc>
        <w:tc>
          <w:tcPr>
            <w:tcW w:w="1843" w:type="dxa"/>
            <w:vAlign w:val="center"/>
          </w:tcPr>
          <w:p w14:paraId="2B0DBA90" w14:textId="353563B6" w:rsidR="003931E7" w:rsidRDefault="003931E7" w:rsidP="00C46460">
            <w:pPr>
              <w:jc w:val="center"/>
              <w:cnfStyle w:val="000000000000" w:firstRow="0" w:lastRow="0" w:firstColumn="0" w:lastColumn="0" w:oddVBand="0" w:evenVBand="0" w:oddHBand="0" w:evenHBand="0" w:firstRowFirstColumn="0" w:firstRowLastColumn="0" w:lastRowFirstColumn="0" w:lastRowLastColumn="0"/>
            </w:pPr>
            <w:r>
              <w:t>3</w:t>
            </w:r>
          </w:p>
        </w:tc>
      </w:tr>
    </w:tbl>
    <w:tbl>
      <w:tblPr>
        <w:tblStyle w:val="TableauGrille2-Accentuation1"/>
        <w:tblpPr w:leftFromText="141" w:rightFromText="141" w:vertAnchor="text" w:horzAnchor="margin" w:tblpXSpec="right" w:tblpY="339"/>
        <w:tblW w:w="0" w:type="auto"/>
        <w:tblLook w:val="04A0" w:firstRow="1" w:lastRow="0" w:firstColumn="1" w:lastColumn="0" w:noHBand="0" w:noVBand="1"/>
      </w:tblPr>
      <w:tblGrid>
        <w:gridCol w:w="716"/>
        <w:gridCol w:w="2103"/>
        <w:gridCol w:w="1725"/>
      </w:tblGrid>
      <w:tr w:rsidR="00B338DE" w14:paraId="40E24700" w14:textId="77777777" w:rsidTr="00B338DE">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567" w:type="dxa"/>
            <w:shd w:val="clear" w:color="auto" w:fill="8EAADB" w:themeFill="accent1" w:themeFillTint="99"/>
            <w:vAlign w:val="center"/>
          </w:tcPr>
          <w:p w14:paraId="5B200F6B" w14:textId="4B29DD11" w:rsidR="00C46460" w:rsidRDefault="00C46460" w:rsidP="00B338DE">
            <w:pPr>
              <w:jc w:val="center"/>
            </w:pPr>
            <w:r>
              <w:t>Rang</w:t>
            </w:r>
          </w:p>
        </w:tc>
        <w:tc>
          <w:tcPr>
            <w:tcW w:w="2103" w:type="dxa"/>
            <w:shd w:val="clear" w:color="auto" w:fill="8EAADB" w:themeFill="accent1" w:themeFillTint="99"/>
            <w:vAlign w:val="center"/>
          </w:tcPr>
          <w:p w14:paraId="77FC68BD" w14:textId="77777777" w:rsidR="00C46460" w:rsidRDefault="00C46460" w:rsidP="00B338DE">
            <w:pPr>
              <w:jc w:val="center"/>
              <w:cnfStyle w:val="100000000000" w:firstRow="1" w:lastRow="0" w:firstColumn="0" w:lastColumn="0" w:oddVBand="0" w:evenVBand="0" w:oddHBand="0" w:evenHBand="0" w:firstRowFirstColumn="0" w:firstRowLastColumn="0" w:lastRowFirstColumn="0" w:lastRowLastColumn="0"/>
            </w:pPr>
            <w:r>
              <w:t>Pays</w:t>
            </w:r>
          </w:p>
        </w:tc>
        <w:tc>
          <w:tcPr>
            <w:tcW w:w="1725" w:type="dxa"/>
            <w:shd w:val="clear" w:color="auto" w:fill="8EAADB" w:themeFill="accent1" w:themeFillTint="99"/>
            <w:vAlign w:val="center"/>
          </w:tcPr>
          <w:p w14:paraId="294B17F1" w14:textId="77777777" w:rsidR="00C46460" w:rsidRDefault="00C46460" w:rsidP="00B338DE">
            <w:pPr>
              <w:jc w:val="center"/>
              <w:cnfStyle w:val="100000000000" w:firstRow="1" w:lastRow="0" w:firstColumn="0" w:lastColumn="0" w:oddVBand="0" w:evenVBand="0" w:oddHBand="0" w:evenHBand="0" w:firstRowFirstColumn="0" w:firstRowLastColumn="0" w:lastRowFirstColumn="0" w:lastRowLastColumn="0"/>
            </w:pPr>
            <w:r>
              <w:t>Part (en % des importations)</w:t>
            </w:r>
          </w:p>
        </w:tc>
      </w:tr>
      <w:tr w:rsidR="00B338DE" w14:paraId="173FEE41" w14:textId="77777777" w:rsidTr="00B338D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67" w:type="dxa"/>
          </w:tcPr>
          <w:p w14:paraId="43CAABA8" w14:textId="67397A2B" w:rsidR="00C46460" w:rsidRDefault="00B338DE" w:rsidP="00B338DE">
            <w:pPr>
              <w:jc w:val="center"/>
            </w:pPr>
            <w:r>
              <w:t>1</w:t>
            </w:r>
          </w:p>
        </w:tc>
        <w:tc>
          <w:tcPr>
            <w:tcW w:w="2103" w:type="dxa"/>
          </w:tcPr>
          <w:p w14:paraId="51283202" w14:textId="77C1A7C9"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Allemagne</w:t>
            </w:r>
          </w:p>
        </w:tc>
        <w:tc>
          <w:tcPr>
            <w:tcW w:w="1725" w:type="dxa"/>
          </w:tcPr>
          <w:p w14:paraId="0E1358BC" w14:textId="0494C944"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13</w:t>
            </w:r>
          </w:p>
        </w:tc>
      </w:tr>
      <w:tr w:rsidR="00B338DE" w14:paraId="7B80840B" w14:textId="77777777" w:rsidTr="00B338DE">
        <w:trPr>
          <w:trHeight w:val="171"/>
        </w:trPr>
        <w:tc>
          <w:tcPr>
            <w:cnfStyle w:val="001000000000" w:firstRow="0" w:lastRow="0" w:firstColumn="1" w:lastColumn="0" w:oddVBand="0" w:evenVBand="0" w:oddHBand="0" w:evenHBand="0" w:firstRowFirstColumn="0" w:firstRowLastColumn="0" w:lastRowFirstColumn="0" w:lastRowLastColumn="0"/>
            <w:tcW w:w="567" w:type="dxa"/>
          </w:tcPr>
          <w:p w14:paraId="0AA3F1CF" w14:textId="70BFDB9B" w:rsidR="00C46460" w:rsidRDefault="00B338DE" w:rsidP="00B338DE">
            <w:pPr>
              <w:jc w:val="center"/>
            </w:pPr>
            <w:r>
              <w:t>2</w:t>
            </w:r>
          </w:p>
        </w:tc>
        <w:tc>
          <w:tcPr>
            <w:tcW w:w="2103" w:type="dxa"/>
          </w:tcPr>
          <w:p w14:paraId="4E803C88" w14:textId="5B4EBAB6" w:rsidR="00C46460" w:rsidRDefault="00C46460" w:rsidP="00B338DE">
            <w:pPr>
              <w:jc w:val="center"/>
              <w:cnfStyle w:val="000000000000" w:firstRow="0" w:lastRow="0" w:firstColumn="0" w:lastColumn="0" w:oddVBand="0" w:evenVBand="0" w:oddHBand="0" w:evenHBand="0" w:firstRowFirstColumn="0" w:firstRowLastColumn="0" w:lastRowFirstColumn="0" w:lastRowLastColumn="0"/>
            </w:pPr>
            <w:r>
              <w:t>Suède</w:t>
            </w:r>
          </w:p>
        </w:tc>
        <w:tc>
          <w:tcPr>
            <w:tcW w:w="1725" w:type="dxa"/>
          </w:tcPr>
          <w:p w14:paraId="289F1F4D" w14:textId="3E9BF098" w:rsidR="00C46460" w:rsidRDefault="00C46460" w:rsidP="00B338DE">
            <w:pPr>
              <w:jc w:val="center"/>
              <w:cnfStyle w:val="000000000000" w:firstRow="0" w:lastRow="0" w:firstColumn="0" w:lastColumn="0" w:oddVBand="0" w:evenVBand="0" w:oddHBand="0" w:evenHBand="0" w:firstRowFirstColumn="0" w:firstRowLastColumn="0" w:lastRowFirstColumn="0" w:lastRowLastColumn="0"/>
            </w:pPr>
            <w:r>
              <w:t>13</w:t>
            </w:r>
          </w:p>
        </w:tc>
      </w:tr>
      <w:tr w:rsidR="00B338DE" w14:paraId="5280A73A" w14:textId="77777777" w:rsidTr="00B338D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67" w:type="dxa"/>
          </w:tcPr>
          <w:p w14:paraId="0C56873F" w14:textId="0B58B1FD" w:rsidR="00C46460" w:rsidRDefault="00B338DE" w:rsidP="00B338DE">
            <w:pPr>
              <w:jc w:val="center"/>
            </w:pPr>
            <w:r>
              <w:t>3</w:t>
            </w:r>
          </w:p>
        </w:tc>
        <w:tc>
          <w:tcPr>
            <w:tcW w:w="2103" w:type="dxa"/>
          </w:tcPr>
          <w:p w14:paraId="6E8F2911" w14:textId="4883D49A"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Chine</w:t>
            </w:r>
          </w:p>
        </w:tc>
        <w:tc>
          <w:tcPr>
            <w:tcW w:w="1725" w:type="dxa"/>
          </w:tcPr>
          <w:p w14:paraId="05275F53" w14:textId="7F2E81E1"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9</w:t>
            </w:r>
          </w:p>
        </w:tc>
      </w:tr>
      <w:tr w:rsidR="00B338DE" w14:paraId="300DDA18" w14:textId="77777777" w:rsidTr="00B338DE">
        <w:trPr>
          <w:trHeight w:val="171"/>
        </w:trPr>
        <w:tc>
          <w:tcPr>
            <w:cnfStyle w:val="001000000000" w:firstRow="0" w:lastRow="0" w:firstColumn="1" w:lastColumn="0" w:oddVBand="0" w:evenVBand="0" w:oddHBand="0" w:evenHBand="0" w:firstRowFirstColumn="0" w:firstRowLastColumn="0" w:lastRowFirstColumn="0" w:lastRowLastColumn="0"/>
            <w:tcW w:w="567" w:type="dxa"/>
          </w:tcPr>
          <w:p w14:paraId="2C9C3F21" w14:textId="64B0E0F1" w:rsidR="00C46460" w:rsidRDefault="00B338DE" w:rsidP="00B338DE">
            <w:pPr>
              <w:jc w:val="center"/>
            </w:pPr>
            <w:r>
              <w:t>4</w:t>
            </w:r>
          </w:p>
        </w:tc>
        <w:tc>
          <w:tcPr>
            <w:tcW w:w="2103" w:type="dxa"/>
          </w:tcPr>
          <w:p w14:paraId="012E8D6A" w14:textId="00FA9337" w:rsidR="00C46460" w:rsidRDefault="00C46460" w:rsidP="00B338DE">
            <w:pPr>
              <w:jc w:val="center"/>
              <w:cnfStyle w:val="000000000000" w:firstRow="0" w:lastRow="0" w:firstColumn="0" w:lastColumn="0" w:oddVBand="0" w:evenVBand="0" w:oddHBand="0" w:evenHBand="0" w:firstRowFirstColumn="0" w:firstRowLastColumn="0" w:lastRowFirstColumn="0" w:lastRowLastColumn="0"/>
            </w:pPr>
            <w:r>
              <w:t>Norvège</w:t>
            </w:r>
          </w:p>
        </w:tc>
        <w:tc>
          <w:tcPr>
            <w:tcW w:w="1725" w:type="dxa"/>
          </w:tcPr>
          <w:p w14:paraId="71F3C65D" w14:textId="27EE61E6" w:rsidR="00C46460" w:rsidRDefault="00C46460" w:rsidP="00B338DE">
            <w:pPr>
              <w:jc w:val="center"/>
              <w:cnfStyle w:val="000000000000" w:firstRow="0" w:lastRow="0" w:firstColumn="0" w:lastColumn="0" w:oddVBand="0" w:evenVBand="0" w:oddHBand="0" w:evenHBand="0" w:firstRowFirstColumn="0" w:firstRowLastColumn="0" w:lastRowFirstColumn="0" w:lastRowLastColumn="0"/>
            </w:pPr>
            <w:r>
              <w:t>7</w:t>
            </w:r>
          </w:p>
        </w:tc>
      </w:tr>
      <w:tr w:rsidR="00B338DE" w14:paraId="0CA02591" w14:textId="77777777" w:rsidTr="00B338D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67" w:type="dxa"/>
          </w:tcPr>
          <w:p w14:paraId="1E7496EC" w14:textId="70B279EE" w:rsidR="00C46460" w:rsidRDefault="00B338DE" w:rsidP="00B338DE">
            <w:pPr>
              <w:jc w:val="center"/>
            </w:pPr>
            <w:r>
              <w:t>5</w:t>
            </w:r>
          </w:p>
        </w:tc>
        <w:tc>
          <w:tcPr>
            <w:tcW w:w="2103" w:type="dxa"/>
          </w:tcPr>
          <w:p w14:paraId="79CEAB28" w14:textId="4E5AB8CA"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Russie</w:t>
            </w:r>
          </w:p>
        </w:tc>
        <w:tc>
          <w:tcPr>
            <w:tcW w:w="1725" w:type="dxa"/>
          </w:tcPr>
          <w:p w14:paraId="08890C0E" w14:textId="09700384"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7</w:t>
            </w:r>
          </w:p>
        </w:tc>
      </w:tr>
      <w:tr w:rsidR="00B338DE" w14:paraId="3048955F" w14:textId="77777777" w:rsidTr="00B338DE">
        <w:trPr>
          <w:trHeight w:val="171"/>
        </w:trPr>
        <w:tc>
          <w:tcPr>
            <w:cnfStyle w:val="001000000000" w:firstRow="0" w:lastRow="0" w:firstColumn="1" w:lastColumn="0" w:oddVBand="0" w:evenVBand="0" w:oddHBand="0" w:evenHBand="0" w:firstRowFirstColumn="0" w:firstRowLastColumn="0" w:lastRowFirstColumn="0" w:lastRowLastColumn="0"/>
            <w:tcW w:w="567" w:type="dxa"/>
          </w:tcPr>
          <w:p w14:paraId="76CDF328" w14:textId="09FC8D62" w:rsidR="00C46460" w:rsidRDefault="00B338DE" w:rsidP="00B338DE">
            <w:pPr>
              <w:jc w:val="center"/>
            </w:pPr>
            <w:r>
              <w:t>6</w:t>
            </w:r>
          </w:p>
        </w:tc>
        <w:tc>
          <w:tcPr>
            <w:tcW w:w="2103" w:type="dxa"/>
          </w:tcPr>
          <w:p w14:paraId="55F62A4F" w14:textId="1FD4FDC5" w:rsidR="00C46460" w:rsidRDefault="00C46460" w:rsidP="00B338DE">
            <w:pPr>
              <w:jc w:val="center"/>
              <w:cnfStyle w:val="000000000000" w:firstRow="0" w:lastRow="0" w:firstColumn="0" w:lastColumn="0" w:oddVBand="0" w:evenVBand="0" w:oddHBand="0" w:evenHBand="0" w:firstRowFirstColumn="0" w:firstRowLastColumn="0" w:lastRowFirstColumn="0" w:lastRowLastColumn="0"/>
            </w:pPr>
            <w:r>
              <w:t>Pays-Bas</w:t>
            </w:r>
          </w:p>
        </w:tc>
        <w:tc>
          <w:tcPr>
            <w:tcW w:w="1725" w:type="dxa"/>
          </w:tcPr>
          <w:p w14:paraId="5FC1FE60" w14:textId="49182EC8" w:rsidR="00C46460" w:rsidRDefault="00C46460" w:rsidP="00B338DE">
            <w:pPr>
              <w:jc w:val="center"/>
              <w:cnfStyle w:val="000000000000" w:firstRow="0" w:lastRow="0" w:firstColumn="0" w:lastColumn="0" w:oddVBand="0" w:evenVBand="0" w:oddHBand="0" w:evenHBand="0" w:firstRowFirstColumn="0" w:firstRowLastColumn="0" w:lastRowFirstColumn="0" w:lastRowLastColumn="0"/>
            </w:pPr>
            <w:r>
              <w:t>5</w:t>
            </w:r>
          </w:p>
        </w:tc>
      </w:tr>
      <w:tr w:rsidR="00B338DE" w14:paraId="04F5E1BA" w14:textId="77777777" w:rsidTr="00B338D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67" w:type="dxa"/>
          </w:tcPr>
          <w:p w14:paraId="6B9737F3" w14:textId="38C8AE10" w:rsidR="00C46460" w:rsidRDefault="00B338DE" w:rsidP="00B338DE">
            <w:pPr>
              <w:jc w:val="center"/>
            </w:pPr>
            <w:r>
              <w:t>7</w:t>
            </w:r>
          </w:p>
        </w:tc>
        <w:tc>
          <w:tcPr>
            <w:tcW w:w="2103" w:type="dxa"/>
          </w:tcPr>
          <w:p w14:paraId="234A4856" w14:textId="5B7DAD43"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Etats-Unis</w:t>
            </w:r>
          </w:p>
        </w:tc>
        <w:tc>
          <w:tcPr>
            <w:tcW w:w="1725" w:type="dxa"/>
          </w:tcPr>
          <w:p w14:paraId="73C5C3CF" w14:textId="3AECAA6D" w:rsidR="00C46460" w:rsidRDefault="00C46460" w:rsidP="00B338DE">
            <w:pPr>
              <w:jc w:val="center"/>
              <w:cnfStyle w:val="000000100000" w:firstRow="0" w:lastRow="0" w:firstColumn="0" w:lastColumn="0" w:oddVBand="0" w:evenVBand="0" w:oddHBand="1" w:evenHBand="0" w:firstRowFirstColumn="0" w:firstRowLastColumn="0" w:lastRowFirstColumn="0" w:lastRowLastColumn="0"/>
            </w:pPr>
            <w:r>
              <w:t>4,5</w:t>
            </w:r>
          </w:p>
        </w:tc>
      </w:tr>
      <w:tr w:rsidR="00B338DE" w14:paraId="5E4F0B64" w14:textId="77777777" w:rsidTr="00B338DE">
        <w:trPr>
          <w:trHeight w:val="166"/>
        </w:trPr>
        <w:tc>
          <w:tcPr>
            <w:cnfStyle w:val="001000000000" w:firstRow="0" w:lastRow="0" w:firstColumn="1" w:lastColumn="0" w:oddVBand="0" w:evenVBand="0" w:oddHBand="0" w:evenHBand="0" w:firstRowFirstColumn="0" w:firstRowLastColumn="0" w:lastRowFirstColumn="0" w:lastRowLastColumn="0"/>
            <w:tcW w:w="567" w:type="dxa"/>
          </w:tcPr>
          <w:p w14:paraId="67E1440E" w14:textId="05CA5DE7" w:rsidR="00C46460" w:rsidRDefault="00B338DE" w:rsidP="00B338DE">
            <w:pPr>
              <w:jc w:val="center"/>
            </w:pPr>
            <w:r>
              <w:t>8</w:t>
            </w:r>
          </w:p>
        </w:tc>
        <w:tc>
          <w:tcPr>
            <w:tcW w:w="2103" w:type="dxa"/>
          </w:tcPr>
          <w:p w14:paraId="47FCC2B9" w14:textId="23ABA492" w:rsidR="00C46460" w:rsidRDefault="00B338DE" w:rsidP="00B338DE">
            <w:pPr>
              <w:jc w:val="center"/>
              <w:cnfStyle w:val="000000000000" w:firstRow="0" w:lastRow="0" w:firstColumn="0" w:lastColumn="0" w:oddVBand="0" w:evenVBand="0" w:oddHBand="0" w:evenHBand="0" w:firstRowFirstColumn="0" w:firstRowLastColumn="0" w:lastRowFirstColumn="0" w:lastRowLastColumn="0"/>
            </w:pPr>
            <w:r>
              <w:t>Estonie</w:t>
            </w:r>
          </w:p>
        </w:tc>
        <w:tc>
          <w:tcPr>
            <w:tcW w:w="1725" w:type="dxa"/>
          </w:tcPr>
          <w:p w14:paraId="46C713CA" w14:textId="0AD53E8C" w:rsidR="00C46460" w:rsidRDefault="00B338DE" w:rsidP="00B338DE">
            <w:pPr>
              <w:jc w:val="center"/>
              <w:cnfStyle w:val="000000000000" w:firstRow="0" w:lastRow="0" w:firstColumn="0" w:lastColumn="0" w:oddVBand="0" w:evenVBand="0" w:oddHBand="0" w:evenHBand="0" w:firstRowFirstColumn="0" w:firstRowLastColumn="0" w:lastRowFirstColumn="0" w:lastRowLastColumn="0"/>
            </w:pPr>
            <w:r>
              <w:t>4</w:t>
            </w:r>
          </w:p>
        </w:tc>
      </w:tr>
      <w:tr w:rsidR="00B338DE" w14:paraId="6F535EB1" w14:textId="77777777" w:rsidTr="00B338D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67" w:type="dxa"/>
          </w:tcPr>
          <w:p w14:paraId="1974E175" w14:textId="3F812256" w:rsidR="00B338DE" w:rsidRDefault="00B338DE" w:rsidP="00B338DE">
            <w:pPr>
              <w:jc w:val="center"/>
            </w:pPr>
            <w:r>
              <w:t>9</w:t>
            </w:r>
          </w:p>
        </w:tc>
        <w:tc>
          <w:tcPr>
            <w:tcW w:w="2103" w:type="dxa"/>
          </w:tcPr>
          <w:p w14:paraId="33FA0F16" w14:textId="6A73E58B" w:rsidR="00B338DE" w:rsidRDefault="00B338DE" w:rsidP="00B338DE">
            <w:pPr>
              <w:jc w:val="center"/>
              <w:cnfStyle w:val="000000100000" w:firstRow="0" w:lastRow="0" w:firstColumn="0" w:lastColumn="0" w:oddVBand="0" w:evenVBand="0" w:oddHBand="1" w:evenHBand="0" w:firstRowFirstColumn="0" w:firstRowLastColumn="0" w:lastRowFirstColumn="0" w:lastRowLastColumn="0"/>
            </w:pPr>
            <w:r>
              <w:t>Pologne</w:t>
            </w:r>
          </w:p>
        </w:tc>
        <w:tc>
          <w:tcPr>
            <w:tcW w:w="1725" w:type="dxa"/>
          </w:tcPr>
          <w:p w14:paraId="1B2180B5" w14:textId="7B3A089E" w:rsidR="00B338DE" w:rsidRDefault="00B338DE" w:rsidP="00B338DE">
            <w:pPr>
              <w:jc w:val="center"/>
              <w:cnfStyle w:val="000000100000" w:firstRow="0" w:lastRow="0" w:firstColumn="0" w:lastColumn="0" w:oddVBand="0" w:evenVBand="0" w:oddHBand="1" w:evenHBand="0" w:firstRowFirstColumn="0" w:firstRowLastColumn="0" w:lastRowFirstColumn="0" w:lastRowLastColumn="0"/>
            </w:pPr>
            <w:r>
              <w:t>3</w:t>
            </w:r>
          </w:p>
        </w:tc>
      </w:tr>
      <w:tr w:rsidR="00B338DE" w14:paraId="0D343D85" w14:textId="77777777" w:rsidTr="00B338DE">
        <w:trPr>
          <w:trHeight w:val="166"/>
        </w:trPr>
        <w:tc>
          <w:tcPr>
            <w:cnfStyle w:val="001000000000" w:firstRow="0" w:lastRow="0" w:firstColumn="1" w:lastColumn="0" w:oddVBand="0" w:evenVBand="0" w:oddHBand="0" w:evenHBand="0" w:firstRowFirstColumn="0" w:firstRowLastColumn="0" w:lastRowFirstColumn="0" w:lastRowLastColumn="0"/>
            <w:tcW w:w="567" w:type="dxa"/>
          </w:tcPr>
          <w:p w14:paraId="0ADED4F4" w14:textId="5631AF95" w:rsidR="00B338DE" w:rsidRDefault="00B338DE" w:rsidP="00B338DE">
            <w:pPr>
              <w:jc w:val="center"/>
            </w:pPr>
            <w:r>
              <w:t>10</w:t>
            </w:r>
          </w:p>
        </w:tc>
        <w:tc>
          <w:tcPr>
            <w:tcW w:w="2103" w:type="dxa"/>
          </w:tcPr>
          <w:p w14:paraId="219C3DC7" w14:textId="7DA1C2B0" w:rsidR="00B338DE" w:rsidRDefault="00B338DE" w:rsidP="00B338DE">
            <w:pPr>
              <w:jc w:val="center"/>
              <w:cnfStyle w:val="000000000000" w:firstRow="0" w:lastRow="0" w:firstColumn="0" w:lastColumn="0" w:oddVBand="0" w:evenVBand="0" w:oddHBand="0" w:evenHBand="0" w:firstRowFirstColumn="0" w:firstRowLastColumn="0" w:lastRowFirstColumn="0" w:lastRowLastColumn="0"/>
            </w:pPr>
            <w:r>
              <w:t>Italie</w:t>
            </w:r>
          </w:p>
        </w:tc>
        <w:tc>
          <w:tcPr>
            <w:tcW w:w="1725" w:type="dxa"/>
          </w:tcPr>
          <w:p w14:paraId="01FACA6C" w14:textId="3171A11C" w:rsidR="00B338DE" w:rsidRDefault="00B338DE" w:rsidP="00B338DE">
            <w:pPr>
              <w:jc w:val="center"/>
              <w:cnfStyle w:val="000000000000" w:firstRow="0" w:lastRow="0" w:firstColumn="0" w:lastColumn="0" w:oddVBand="0" w:evenVBand="0" w:oddHBand="0" w:evenHBand="0" w:firstRowFirstColumn="0" w:firstRowLastColumn="0" w:lastRowFirstColumn="0" w:lastRowLastColumn="0"/>
            </w:pPr>
            <w:r>
              <w:t>2,5</w:t>
            </w:r>
          </w:p>
        </w:tc>
      </w:tr>
    </w:tbl>
    <w:p w14:paraId="12938ADA" w14:textId="719CC930" w:rsidR="00F30B84" w:rsidRDefault="00F30B84"/>
    <w:p w14:paraId="177F7AA9" w14:textId="77777777" w:rsidR="00DB7B3E" w:rsidRDefault="00DB7B3E"/>
    <w:sectPr w:rsidR="00DB7B3E" w:rsidSect="00F64C87">
      <w:footerReference w:type="default" r:id="rId8"/>
      <w:pgSz w:w="11906" w:h="16838"/>
      <w:pgMar w:top="1077" w:right="1077" w:bottom="1077" w:left="1077"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9B70" w14:textId="77777777" w:rsidR="00250ED7" w:rsidRDefault="00250ED7" w:rsidP="00986289">
      <w:pPr>
        <w:spacing w:after="0" w:line="240" w:lineRule="auto"/>
      </w:pPr>
      <w:r>
        <w:separator/>
      </w:r>
    </w:p>
  </w:endnote>
  <w:endnote w:type="continuationSeparator" w:id="0">
    <w:p w14:paraId="42ABFA5E" w14:textId="77777777" w:rsidR="00250ED7" w:rsidRDefault="00250ED7" w:rsidP="0098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22255"/>
      </w:rPr>
      <w:id w:val="444509257"/>
      <w:docPartObj>
        <w:docPartGallery w:val="Page Numbers (Bottom of Page)"/>
        <w:docPartUnique/>
      </w:docPartObj>
    </w:sdtPr>
    <w:sdtEndPr>
      <w:rPr>
        <w:color w:val="auto"/>
        <w:sz w:val="18"/>
        <w:szCs w:val="18"/>
      </w:rPr>
    </w:sdtEndPr>
    <w:sdtContent>
      <w:tbl>
        <w:tblPr>
          <w:tblStyle w:val="Grilledutableau"/>
          <w:tblW w:w="9781"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040"/>
          <w:gridCol w:w="2331"/>
        </w:tblGrid>
        <w:tr w:rsidR="00961F84" w:rsidRPr="00347E10" w14:paraId="5CEE8408" w14:textId="77777777" w:rsidTr="003D1901">
          <w:trPr>
            <w:trHeight w:val="815"/>
          </w:trPr>
          <w:tc>
            <w:tcPr>
              <w:tcW w:w="2410" w:type="dxa"/>
            </w:tcPr>
            <w:p w14:paraId="695D9821" w14:textId="55F1EF16" w:rsidR="00961F84" w:rsidRPr="00347E10" w:rsidRDefault="00AC0FC2" w:rsidP="00347E10">
              <w:pPr>
                <w:spacing w:before="120"/>
                <w:rPr>
                  <w:rFonts w:ascii="Arial Gras" w:hAnsi="Arial Gras" w:cs="Arial"/>
                  <w:b/>
                  <w:color w:val="122255"/>
                  <w:sz w:val="16"/>
                </w:rPr>
              </w:pPr>
              <w:r>
                <w:rPr>
                  <w:rFonts w:ascii="Arial Gras" w:hAnsi="Arial Gras" w:cs="Arial"/>
                  <w:bCs/>
                  <w:color w:val="122255"/>
                  <w:sz w:val="16"/>
                </w:rPr>
                <w:t>Mars 2</w:t>
              </w:r>
              <w:r w:rsidR="000741C9">
                <w:rPr>
                  <w:rFonts w:ascii="Arial Gras" w:hAnsi="Arial Gras" w:cs="Arial"/>
                  <w:bCs/>
                  <w:color w:val="122255"/>
                  <w:sz w:val="16"/>
                </w:rPr>
                <w:t>02</w:t>
              </w:r>
              <w:r>
                <w:rPr>
                  <w:rFonts w:ascii="Arial Gras" w:hAnsi="Arial Gras" w:cs="Arial"/>
                  <w:bCs/>
                  <w:color w:val="122255"/>
                  <w:sz w:val="16"/>
                </w:rPr>
                <w:t>3</w:t>
              </w:r>
              <w:r w:rsidR="000741C9" w:rsidRPr="00347E10">
                <w:rPr>
                  <w:rFonts w:ascii="Arial Gras" w:hAnsi="Arial Gras" w:cs="Arial"/>
                  <w:b/>
                  <w:bCs/>
                  <w:color w:val="122255"/>
                  <w:sz w:val="16"/>
                </w:rPr>
                <w:t xml:space="preserve"> </w:t>
              </w:r>
              <w:r w:rsidR="000741C9" w:rsidRPr="00347E10">
                <w:rPr>
                  <w:rFonts w:ascii="Arial Gras" w:hAnsi="Arial Gras" w:cs="Arial"/>
                  <w:b/>
                  <w:color w:val="122255"/>
                  <w:sz w:val="16"/>
                </w:rPr>
                <w:t>© DG Trésor</w:t>
              </w:r>
            </w:p>
            <w:p w14:paraId="46A214D6" w14:textId="77777777" w:rsidR="00961F84" w:rsidRPr="00347E10" w:rsidRDefault="00250ED7" w:rsidP="005A69FD">
              <w:pPr>
                <w:rPr>
                  <w:color w:val="122255"/>
                  <w:sz w:val="18"/>
                  <w:szCs w:val="18"/>
                </w:rPr>
              </w:pPr>
            </w:p>
          </w:tc>
          <w:tc>
            <w:tcPr>
              <w:tcW w:w="5040" w:type="dxa"/>
            </w:tcPr>
            <w:p w14:paraId="5B4C4113" w14:textId="77777777" w:rsidR="00AC0FC2" w:rsidRDefault="000741C9" w:rsidP="00AC0FC2">
              <w:pPr>
                <w:spacing w:before="120" w:after="0" w:line="240" w:lineRule="auto"/>
                <w:jc w:val="center"/>
                <w:rPr>
                  <w:b/>
                  <w:color w:val="122255"/>
                  <w:sz w:val="18"/>
                  <w:szCs w:val="18"/>
                </w:rPr>
              </w:pPr>
              <w:r w:rsidRPr="00347E10">
                <w:rPr>
                  <w:b/>
                  <w:color w:val="122255"/>
                  <w:sz w:val="18"/>
                  <w:szCs w:val="18"/>
                </w:rPr>
                <w:t xml:space="preserve">AMBASSADE DE FRANCE </w:t>
              </w:r>
              <w:r>
                <w:rPr>
                  <w:b/>
                  <w:color w:val="122255"/>
                  <w:sz w:val="18"/>
                  <w:szCs w:val="18"/>
                </w:rPr>
                <w:t>EN FINLANDE</w:t>
              </w:r>
            </w:p>
            <w:p w14:paraId="2F78F782" w14:textId="7360954B" w:rsidR="00961F84" w:rsidRDefault="000741C9" w:rsidP="00AC0FC2">
              <w:pPr>
                <w:spacing w:before="120" w:after="0" w:line="240" w:lineRule="auto"/>
                <w:jc w:val="center"/>
                <w:rPr>
                  <w:b/>
                  <w:color w:val="122255"/>
                  <w:sz w:val="18"/>
                  <w:szCs w:val="18"/>
                </w:rPr>
              </w:pPr>
              <w:r>
                <w:rPr>
                  <w:b/>
                  <w:color w:val="122255"/>
                  <w:sz w:val="18"/>
                  <w:szCs w:val="18"/>
                </w:rPr>
                <w:t>SERVICE ECONOMIQUE</w:t>
              </w:r>
            </w:p>
            <w:p w14:paraId="4EBC0CC5" w14:textId="77777777" w:rsidR="00961F84" w:rsidRPr="002611F0" w:rsidRDefault="00250ED7" w:rsidP="00803591">
              <w:pPr>
                <w:jc w:val="center"/>
                <w:rPr>
                  <w:color w:val="122255"/>
                  <w:sz w:val="16"/>
                  <w:szCs w:val="16"/>
                </w:rPr>
              </w:pPr>
            </w:p>
          </w:tc>
          <w:tc>
            <w:tcPr>
              <w:tcW w:w="2331" w:type="dxa"/>
            </w:tcPr>
            <w:p w14:paraId="1F42B38A" w14:textId="77777777" w:rsidR="00961F84" w:rsidRPr="00347E10" w:rsidRDefault="000741C9"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Pr>
                  <w:b/>
                  <w:noProof/>
                  <w:color w:val="122255"/>
                  <w:sz w:val="16"/>
                  <w:szCs w:val="16"/>
                </w:rPr>
                <w:t>2</w:t>
              </w:r>
              <w:r w:rsidRPr="00347E10">
                <w:rPr>
                  <w:b/>
                  <w:color w:val="122255"/>
                  <w:sz w:val="16"/>
                  <w:szCs w:val="16"/>
                </w:rPr>
                <w:fldChar w:fldCharType="end"/>
              </w:r>
            </w:p>
          </w:tc>
        </w:tr>
      </w:tbl>
      <w:p w14:paraId="454C0B03" w14:textId="77777777" w:rsidR="00961F84" w:rsidRPr="005A69FD" w:rsidRDefault="00250ED7" w:rsidP="005A69FD">
        <w:pPr>
          <w:pStyle w:val="Pieddepage"/>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ED70" w14:textId="77777777" w:rsidR="00250ED7" w:rsidRDefault="00250ED7" w:rsidP="00986289">
      <w:pPr>
        <w:spacing w:after="0" w:line="240" w:lineRule="auto"/>
      </w:pPr>
      <w:r>
        <w:separator/>
      </w:r>
    </w:p>
  </w:footnote>
  <w:footnote w:type="continuationSeparator" w:id="0">
    <w:p w14:paraId="3A359A6D" w14:textId="77777777" w:rsidR="00250ED7" w:rsidRDefault="00250ED7" w:rsidP="00986289">
      <w:pPr>
        <w:spacing w:after="0" w:line="240" w:lineRule="auto"/>
      </w:pPr>
      <w:r>
        <w:continuationSeparator/>
      </w:r>
    </w:p>
  </w:footnote>
  <w:footnote w:id="1">
    <w:p w14:paraId="6BD7C2D3" w14:textId="5F29F388" w:rsidR="00002130" w:rsidRDefault="00002130">
      <w:pPr>
        <w:pStyle w:val="Notedebasdepage"/>
      </w:pPr>
      <w:r>
        <w:rPr>
          <w:rStyle w:val="Appelnotedebasdep"/>
        </w:rPr>
        <w:footnoteRef/>
      </w:r>
      <w:r>
        <w:t xml:space="preserve"> La Russie a cessé </w:t>
      </w:r>
      <w:r w:rsidR="007E2C03">
        <w:t>ses exportations</w:t>
      </w:r>
      <w:r w:rsidR="00C70447">
        <w:t xml:space="preserve"> </w:t>
      </w:r>
      <w:r w:rsidR="007E2C03">
        <w:t xml:space="preserve">de gaz, </w:t>
      </w:r>
      <w:r w:rsidR="00C70447">
        <w:t>par gazoduc</w:t>
      </w:r>
      <w:r w:rsidR="007E2C03">
        <w:t>,</w:t>
      </w:r>
      <w:r>
        <w:t xml:space="preserve"> </w:t>
      </w:r>
      <w:r w:rsidR="007E2C03">
        <w:t xml:space="preserve">vers </w:t>
      </w:r>
      <w:r>
        <w:t xml:space="preserve">la Finlande </w:t>
      </w:r>
      <w:r w:rsidR="00C70447">
        <w:t>- dont le gaz ne représent</w:t>
      </w:r>
      <w:r w:rsidR="00FE26E6">
        <w:t>e</w:t>
      </w:r>
      <w:r w:rsidR="00C70447">
        <w:t xml:space="preserve"> que 5% du mix énergétique -</w:t>
      </w:r>
      <w:r>
        <w:t xml:space="preserve"> </w:t>
      </w:r>
      <w:r w:rsidR="00C70447">
        <w:t>au mois de mai 2022</w:t>
      </w:r>
      <w:r w:rsidR="000942DE">
        <w:t>. L</w:t>
      </w:r>
      <w:r w:rsidR="00C70447">
        <w:t xml:space="preserve">a Finlande a </w:t>
      </w:r>
      <w:r w:rsidR="007E2C03">
        <w:t>cessé</w:t>
      </w:r>
      <w:r w:rsidR="007853D2">
        <w:t xml:space="preserve"> </w:t>
      </w:r>
      <w:r w:rsidR="00C70447">
        <w:t>d’importer du pétrole brut de Russie à</w:t>
      </w:r>
      <w:r w:rsidR="007E2C03">
        <w:t xml:space="preserve"> partir de</w:t>
      </w:r>
      <w:r w:rsidR="00C70447">
        <w:t xml:space="preserve"> l</w:t>
      </w:r>
      <w:r w:rsidR="000942DE">
        <w:t>’été 2022</w:t>
      </w:r>
      <w:r w:rsidR="00C70447">
        <w:t>.</w:t>
      </w:r>
    </w:p>
  </w:footnote>
  <w:footnote w:id="2">
    <w:p w14:paraId="7A3D3D8A" w14:textId="538612A9" w:rsidR="0055213F" w:rsidRPr="00D815B5" w:rsidRDefault="0055213F" w:rsidP="0055213F">
      <w:pPr>
        <w:pStyle w:val="Notedebasdepage"/>
        <w:rPr>
          <w:rFonts w:ascii="Arial" w:hAnsi="Arial" w:cs="Arial"/>
          <w:sz w:val="16"/>
          <w:szCs w:val="16"/>
        </w:rPr>
      </w:pPr>
      <w:r>
        <w:rPr>
          <w:rStyle w:val="Appelnotedebasdep"/>
        </w:rPr>
        <w:footnoteRef/>
      </w:r>
      <w:r>
        <w:t xml:space="preserve"> </w:t>
      </w:r>
      <w:r w:rsidRPr="00D815B5">
        <w:rPr>
          <w:rFonts w:ascii="Arial" w:hAnsi="Arial" w:cs="Arial"/>
          <w:sz w:val="16"/>
          <w:szCs w:val="16"/>
        </w:rPr>
        <w:t>La Finlande, qui est un importateur net de pétrole brut (</w:t>
      </w:r>
      <w:r w:rsidR="00AB741D">
        <w:rPr>
          <w:rFonts w:ascii="Arial" w:hAnsi="Arial" w:cs="Arial"/>
          <w:sz w:val="16"/>
          <w:szCs w:val="16"/>
        </w:rPr>
        <w:t>7</w:t>
      </w:r>
      <w:r w:rsidRPr="00D815B5">
        <w:rPr>
          <w:rFonts w:ascii="Arial" w:hAnsi="Arial" w:cs="Arial"/>
          <w:sz w:val="16"/>
          <w:szCs w:val="16"/>
        </w:rPr>
        <w:t xml:space="preserve"> Mds€</w:t>
      </w:r>
      <w:r w:rsidR="00AB741D">
        <w:rPr>
          <w:rFonts w:ascii="Arial" w:hAnsi="Arial" w:cs="Arial"/>
          <w:sz w:val="16"/>
          <w:szCs w:val="16"/>
        </w:rPr>
        <w:t xml:space="preserve"> en 2022</w:t>
      </w:r>
      <w:r w:rsidR="0048560D">
        <w:rPr>
          <w:rFonts w:ascii="Arial" w:hAnsi="Arial" w:cs="Arial"/>
          <w:sz w:val="16"/>
          <w:szCs w:val="16"/>
        </w:rPr>
        <w:t>)</w:t>
      </w:r>
      <w:r w:rsidRPr="00D815B5">
        <w:rPr>
          <w:rFonts w:ascii="Arial" w:hAnsi="Arial" w:cs="Arial"/>
          <w:sz w:val="16"/>
          <w:szCs w:val="16"/>
        </w:rPr>
        <w:t>, raffine et réexporte des produits pétroliers</w:t>
      </w:r>
      <w:r w:rsidR="0048560D">
        <w:rPr>
          <w:rFonts w:ascii="Arial" w:hAnsi="Arial" w:cs="Arial"/>
          <w:sz w:val="16"/>
          <w:szCs w:val="16"/>
        </w:rPr>
        <w:t xml:space="preserve"> (pour 6</w:t>
      </w:r>
      <w:r w:rsidR="00397909">
        <w:rPr>
          <w:rFonts w:ascii="Arial" w:hAnsi="Arial" w:cs="Arial"/>
          <w:sz w:val="16"/>
          <w:szCs w:val="16"/>
        </w:rPr>
        <w:t xml:space="preserve">,5 </w:t>
      </w:r>
      <w:r w:rsidR="0048560D">
        <w:rPr>
          <w:rFonts w:ascii="Arial" w:hAnsi="Arial" w:cs="Arial"/>
          <w:sz w:val="16"/>
          <w:szCs w:val="16"/>
        </w:rPr>
        <w:t>Mds€)</w:t>
      </w:r>
      <w:r w:rsidRPr="00D815B5">
        <w:rPr>
          <w:rFonts w:ascii="Arial" w:hAnsi="Arial" w:cs="Arial"/>
          <w:sz w:val="16"/>
          <w:szCs w:val="16"/>
        </w:rPr>
        <w:t>.</w:t>
      </w:r>
      <w:r w:rsidR="00397909">
        <w:rPr>
          <w:rFonts w:ascii="Arial" w:hAnsi="Arial" w:cs="Arial"/>
          <w:sz w:val="16"/>
          <w:szCs w:val="16"/>
        </w:rPr>
        <w:t xml:space="preserve"> Elle importe en outre, elle-même, des produits pétroliers raffinés (pour plus de 4,5 Mds€).</w:t>
      </w:r>
      <w:r w:rsidRPr="00D815B5">
        <w:rPr>
          <w:rFonts w:ascii="Arial" w:hAnsi="Arial" w:cs="Arial"/>
          <w:sz w:val="16"/>
          <w:szCs w:val="16"/>
        </w:rPr>
        <w:t xml:space="preserve">  </w:t>
      </w:r>
    </w:p>
  </w:footnote>
  <w:footnote w:id="3">
    <w:p w14:paraId="3B83FC2C" w14:textId="66523A47" w:rsidR="00D815B5" w:rsidRDefault="00D815B5">
      <w:pPr>
        <w:pStyle w:val="Notedebasdepage"/>
      </w:pPr>
      <w:r>
        <w:rPr>
          <w:rStyle w:val="Appelnotedebasdep"/>
        </w:rPr>
        <w:footnoteRef/>
      </w:r>
      <w:r>
        <w:t xml:space="preserve"> </w:t>
      </w:r>
      <w:r w:rsidRPr="00304115">
        <w:rPr>
          <w:rFonts w:ascii="Arial" w:hAnsi="Arial" w:cs="Arial"/>
          <w:sz w:val="16"/>
          <w:szCs w:val="16"/>
        </w:rPr>
        <w:t>Les prix à l’export du papier et du carton ont respectivement augmenté de 37% et de 20% en 2022 en glissement annuel.</w:t>
      </w:r>
      <w:r>
        <w:rPr>
          <w:rFonts w:ascii="Arial" w:hAnsi="Arial" w:cs="Arial"/>
          <w:sz w:val="16"/>
          <w:szCs w:val="16"/>
        </w:rPr>
        <w:t xml:space="preserve"> Source : PTT</w:t>
      </w:r>
    </w:p>
  </w:footnote>
  <w:footnote w:id="4">
    <w:p w14:paraId="7EBF1191" w14:textId="21F26C26" w:rsidR="0064763E" w:rsidRDefault="0064763E">
      <w:pPr>
        <w:pStyle w:val="Notedebasdepage"/>
      </w:pPr>
      <w:r>
        <w:rPr>
          <w:rStyle w:val="Appelnotedebasdep"/>
        </w:rPr>
        <w:footnoteRef/>
      </w:r>
      <w:r>
        <w:t xml:space="preserve"> </w:t>
      </w:r>
      <w:r w:rsidRPr="0064763E">
        <w:rPr>
          <w:rFonts w:ascii="Arial" w:hAnsi="Arial" w:cs="Arial"/>
          <w:sz w:val="16"/>
          <w:szCs w:val="16"/>
        </w:rPr>
        <w:t>Le baril de Brent a en moyenne atteint un niveau de 10</w:t>
      </w:r>
      <w:r w:rsidR="003E5390">
        <w:rPr>
          <w:rFonts w:ascii="Arial" w:hAnsi="Arial" w:cs="Arial"/>
          <w:sz w:val="16"/>
          <w:szCs w:val="16"/>
        </w:rPr>
        <w:t>1</w:t>
      </w:r>
      <w:r w:rsidRPr="0064763E">
        <w:rPr>
          <w:rFonts w:ascii="Arial" w:hAnsi="Arial" w:cs="Arial"/>
          <w:sz w:val="16"/>
          <w:szCs w:val="16"/>
        </w:rPr>
        <w:t xml:space="preserve"> $ en 2022, soit 4</w:t>
      </w:r>
      <w:r>
        <w:rPr>
          <w:rFonts w:ascii="Arial" w:hAnsi="Arial" w:cs="Arial"/>
          <w:sz w:val="16"/>
          <w:szCs w:val="16"/>
        </w:rPr>
        <w:t>3</w:t>
      </w:r>
      <w:r w:rsidRPr="0064763E">
        <w:rPr>
          <w:rFonts w:ascii="Arial" w:hAnsi="Arial" w:cs="Arial"/>
          <w:sz w:val="16"/>
          <w:szCs w:val="16"/>
        </w:rPr>
        <w:t>% de plus qu'en 2021 (7</w:t>
      </w:r>
      <w:r>
        <w:rPr>
          <w:rFonts w:ascii="Arial" w:hAnsi="Arial" w:cs="Arial"/>
          <w:sz w:val="16"/>
          <w:szCs w:val="16"/>
        </w:rPr>
        <w:t>1</w:t>
      </w:r>
      <w:r w:rsidRPr="0064763E">
        <w:rPr>
          <w:rFonts w:ascii="Arial" w:hAnsi="Arial" w:cs="Arial"/>
          <w:sz w:val="16"/>
          <w:szCs w:val="16"/>
        </w:rPr>
        <w:t xml:space="preserve"> $/b)</w:t>
      </w:r>
      <w:r>
        <w:rPr>
          <w:rFonts w:ascii="Arial" w:hAnsi="Arial" w:cs="Arial"/>
          <w:sz w:val="16"/>
          <w:szCs w:val="16"/>
        </w:rPr>
        <w:t xml:space="preserve">. Source : </w:t>
      </w:r>
      <w:r w:rsidR="003E5390">
        <w:rPr>
          <w:rFonts w:ascii="Arial" w:hAnsi="Arial" w:cs="Arial"/>
          <w:sz w:val="16"/>
          <w:szCs w:val="16"/>
        </w:rPr>
        <w:t>INSE</w:t>
      </w:r>
      <w:r>
        <w:rPr>
          <w:rFonts w:ascii="Arial" w:hAnsi="Arial" w:cs="Arial"/>
          <w:sz w:val="16"/>
          <w:szCs w:val="16"/>
        </w:rPr>
        <w:t>E,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0F0"/>
    <w:multiLevelType w:val="hybridMultilevel"/>
    <w:tmpl w:val="AB44F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10579"/>
    <w:multiLevelType w:val="hybridMultilevel"/>
    <w:tmpl w:val="19D69AD0"/>
    <w:lvl w:ilvl="0" w:tplc="7D9A04D6">
      <w:start w:val="1"/>
      <w:numFmt w:val="bullet"/>
      <w:lvlText w:val=""/>
      <w:lvlJc w:val="left"/>
      <w:pPr>
        <w:ind w:left="360" w:hanging="360"/>
      </w:pPr>
      <w:rPr>
        <w:rFonts w:ascii="Wingdings" w:hAnsi="Wingdings" w:hint="default"/>
        <w:color w:val="006CE5"/>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996626"/>
    <w:multiLevelType w:val="hybridMultilevel"/>
    <w:tmpl w:val="167E1E8A"/>
    <w:lvl w:ilvl="0" w:tplc="1F961EDC">
      <w:start w:val="1"/>
      <w:numFmt w:val="bullet"/>
      <w:pStyle w:val="Briefinglist1"/>
      <w:lvlText w:val=""/>
      <w:lvlJc w:val="left"/>
      <w:pPr>
        <w:tabs>
          <w:tab w:val="num" w:pos="284"/>
        </w:tabs>
        <w:ind w:left="284" w:hanging="284"/>
      </w:pPr>
      <w:rPr>
        <w:rFonts w:ascii="Symbol" w:hAnsi="Symbol"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565D0F"/>
    <w:multiLevelType w:val="hybridMultilevel"/>
    <w:tmpl w:val="E2EABE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F11B10"/>
    <w:multiLevelType w:val="hybridMultilevel"/>
    <w:tmpl w:val="F75050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89"/>
    <w:rsid w:val="00002130"/>
    <w:rsid w:val="00005172"/>
    <w:rsid w:val="00047D22"/>
    <w:rsid w:val="000741C9"/>
    <w:rsid w:val="000942DE"/>
    <w:rsid w:val="000F253C"/>
    <w:rsid w:val="001030B8"/>
    <w:rsid w:val="00136CE0"/>
    <w:rsid w:val="00137F9C"/>
    <w:rsid w:val="00163799"/>
    <w:rsid w:val="00180D51"/>
    <w:rsid w:val="00195E53"/>
    <w:rsid w:val="001C5449"/>
    <w:rsid w:val="001E1629"/>
    <w:rsid w:val="001E1F68"/>
    <w:rsid w:val="00216542"/>
    <w:rsid w:val="002318B5"/>
    <w:rsid w:val="00250ED7"/>
    <w:rsid w:val="002C2D83"/>
    <w:rsid w:val="003232DA"/>
    <w:rsid w:val="003931E7"/>
    <w:rsid w:val="00397909"/>
    <w:rsid w:val="003B07D3"/>
    <w:rsid w:val="003C07D7"/>
    <w:rsid w:val="003E5390"/>
    <w:rsid w:val="00423950"/>
    <w:rsid w:val="004722D1"/>
    <w:rsid w:val="0048560D"/>
    <w:rsid w:val="00495212"/>
    <w:rsid w:val="005015D7"/>
    <w:rsid w:val="0055213F"/>
    <w:rsid w:val="005767A2"/>
    <w:rsid w:val="00620553"/>
    <w:rsid w:val="006429CC"/>
    <w:rsid w:val="0064392A"/>
    <w:rsid w:val="0064763E"/>
    <w:rsid w:val="006A12F6"/>
    <w:rsid w:val="006C4FE9"/>
    <w:rsid w:val="006E4E51"/>
    <w:rsid w:val="007223B0"/>
    <w:rsid w:val="007853D2"/>
    <w:rsid w:val="007B5CF2"/>
    <w:rsid w:val="007E2C03"/>
    <w:rsid w:val="007F1B7E"/>
    <w:rsid w:val="008070D2"/>
    <w:rsid w:val="0080754A"/>
    <w:rsid w:val="0086265A"/>
    <w:rsid w:val="008C1F45"/>
    <w:rsid w:val="008C45C8"/>
    <w:rsid w:val="008E58CA"/>
    <w:rsid w:val="009317AA"/>
    <w:rsid w:val="00986289"/>
    <w:rsid w:val="009E4D0F"/>
    <w:rsid w:val="009F3C65"/>
    <w:rsid w:val="00A30F88"/>
    <w:rsid w:val="00A63CFE"/>
    <w:rsid w:val="00AB741D"/>
    <w:rsid w:val="00AC0FC2"/>
    <w:rsid w:val="00AD4BFC"/>
    <w:rsid w:val="00AE3523"/>
    <w:rsid w:val="00B13C3F"/>
    <w:rsid w:val="00B338DE"/>
    <w:rsid w:val="00BA58A0"/>
    <w:rsid w:val="00C0228D"/>
    <w:rsid w:val="00C06B80"/>
    <w:rsid w:val="00C46460"/>
    <w:rsid w:val="00C577AB"/>
    <w:rsid w:val="00C70447"/>
    <w:rsid w:val="00C95F7E"/>
    <w:rsid w:val="00CB1EBD"/>
    <w:rsid w:val="00D815B5"/>
    <w:rsid w:val="00DB7B3E"/>
    <w:rsid w:val="00E0572C"/>
    <w:rsid w:val="00E42889"/>
    <w:rsid w:val="00EB5DFA"/>
    <w:rsid w:val="00F225F3"/>
    <w:rsid w:val="00F30B84"/>
    <w:rsid w:val="00F508E6"/>
    <w:rsid w:val="00FD4189"/>
    <w:rsid w:val="00FE2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D92"/>
  <w15:chartTrackingRefBased/>
  <w15:docId w15:val="{B363E7CA-D754-49B8-92FC-F56E6BBC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89"/>
    <w:pPr>
      <w:spacing w:after="200" w:line="276" w:lineRule="auto"/>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86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289"/>
    <w:rPr>
      <w:rFonts w:ascii="Arial" w:hAnsi="Arial"/>
      <w:sz w:val="20"/>
    </w:rPr>
  </w:style>
  <w:style w:type="paragraph" w:styleId="Paragraphedeliste">
    <w:name w:val="List Paragraph"/>
    <w:aliases w:val="EC,Paragraphe de liste11,Paragraphe de liste1,Colorful List Accent 1,List Paragraph (numbered (a)),List_Paragraph,Multilevel para_II,List Paragraph1,Colorful List - Accent 11,Dot pt,No Spacing1,Indicator Text,L,List Paragraph,Puce"/>
    <w:basedOn w:val="Normal"/>
    <w:link w:val="ParagraphedelisteCar"/>
    <w:uiPriority w:val="34"/>
    <w:qFormat/>
    <w:rsid w:val="00986289"/>
    <w:pPr>
      <w:ind w:left="720"/>
      <w:contextualSpacing/>
    </w:pPr>
  </w:style>
  <w:style w:type="table" w:styleId="Grilledutableau">
    <w:name w:val="Table Grid"/>
    <w:basedOn w:val="TableauNormal"/>
    <w:uiPriority w:val="59"/>
    <w:rsid w:val="0098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986289"/>
    <w:pPr>
      <w:spacing w:after="0" w:line="240" w:lineRule="auto"/>
    </w:pPr>
    <w:rPr>
      <w:rFonts w:asciiTheme="minorHAnsi" w:hAnsiTheme="minorHAnsi"/>
      <w:szCs w:val="20"/>
    </w:rPr>
  </w:style>
  <w:style w:type="character" w:customStyle="1" w:styleId="NotedebasdepageCar">
    <w:name w:val="Note de bas de page Car"/>
    <w:basedOn w:val="Policepardfaut"/>
    <w:link w:val="Notedebasdepage"/>
    <w:uiPriority w:val="99"/>
    <w:rsid w:val="00986289"/>
    <w:rPr>
      <w:sz w:val="20"/>
      <w:szCs w:val="20"/>
    </w:rPr>
  </w:style>
  <w:style w:type="character" w:styleId="Appelnotedebasdep">
    <w:name w:val="footnote reference"/>
    <w:basedOn w:val="Policepardfaut"/>
    <w:uiPriority w:val="99"/>
    <w:unhideWhenUsed/>
    <w:rsid w:val="00986289"/>
    <w:rPr>
      <w:vertAlign w:val="superscript"/>
    </w:rPr>
  </w:style>
  <w:style w:type="paragraph" w:customStyle="1" w:styleId="Briefinglist1">
    <w:name w:val="Briefing list 1"/>
    <w:basedOn w:val="Normal"/>
    <w:rsid w:val="00986289"/>
    <w:pPr>
      <w:keepLines/>
      <w:numPr>
        <w:numId w:val="2"/>
      </w:numPr>
      <w:spacing w:after="120" w:line="240" w:lineRule="auto"/>
      <w:jc w:val="both"/>
    </w:pPr>
    <w:rPr>
      <w:rFonts w:eastAsia="SimSun" w:cs="Arial"/>
      <w:sz w:val="22"/>
      <w:szCs w:val="24"/>
      <w:lang w:val="en-GB"/>
    </w:rPr>
  </w:style>
  <w:style w:type="character" w:customStyle="1" w:styleId="ParagraphedelisteCar">
    <w:name w:val="Paragraphe de liste Car"/>
    <w:aliases w:val="EC Car,Paragraphe de liste11 Car,Paragraphe de liste1 Car,Colorful List Accent 1 Car,List Paragraph (numbered (a)) Car,List_Paragraph Car,Multilevel para_II Car,List Paragraph1 Car,Colorful List - Accent 11 Car,Dot pt Car,L Car"/>
    <w:basedOn w:val="Policepardfaut"/>
    <w:link w:val="Paragraphedeliste"/>
    <w:uiPriority w:val="34"/>
    <w:qFormat/>
    <w:rsid w:val="00986289"/>
    <w:rPr>
      <w:rFonts w:ascii="Arial" w:hAnsi="Arial"/>
      <w:sz w:val="20"/>
    </w:rPr>
  </w:style>
  <w:style w:type="paragraph" w:styleId="En-tte">
    <w:name w:val="header"/>
    <w:basedOn w:val="Normal"/>
    <w:link w:val="En-tteCar"/>
    <w:uiPriority w:val="99"/>
    <w:unhideWhenUsed/>
    <w:rsid w:val="00AC0FC2"/>
    <w:pPr>
      <w:tabs>
        <w:tab w:val="center" w:pos="4536"/>
        <w:tab w:val="right" w:pos="9072"/>
      </w:tabs>
      <w:spacing w:after="0" w:line="240" w:lineRule="auto"/>
    </w:pPr>
  </w:style>
  <w:style w:type="character" w:customStyle="1" w:styleId="En-tteCar">
    <w:name w:val="En-tête Car"/>
    <w:basedOn w:val="Policepardfaut"/>
    <w:link w:val="En-tte"/>
    <w:uiPriority w:val="99"/>
    <w:rsid w:val="00AC0FC2"/>
    <w:rPr>
      <w:rFonts w:ascii="Arial" w:hAnsi="Arial"/>
      <w:sz w:val="20"/>
    </w:rPr>
  </w:style>
  <w:style w:type="table" w:styleId="TableauGrille2-Accentuation1">
    <w:name w:val="Grid Table 2 Accent 1"/>
    <w:basedOn w:val="TableauNormal"/>
    <w:uiPriority w:val="47"/>
    <w:rsid w:val="00C4646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98A86A6CB56F40A9D667ED3FFC433E" ma:contentTypeVersion="1" ma:contentTypeDescription="Crée un document." ma:contentTypeScope="" ma:versionID="f11b7361c6e9f5307fa9dd60c3d17d3c">
  <xsd:schema xmlns:xsd="http://www.w3.org/2001/XMLSchema" xmlns:xs="http://www.w3.org/2001/XMLSchema" xmlns:p="http://schemas.microsoft.com/office/2006/metadata/properties" xmlns:ns2="46a019e1-dec4-4aae-b5ab-8d112ead3631" targetNamespace="http://schemas.microsoft.com/office/2006/metadata/properties" ma:root="true" ma:fieldsID="eb08ea3d30723d84c737f8ba31e21f78" ns2:_="">
    <xsd:import namespace="46a019e1-dec4-4aae-b5ab-8d112ead36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019e1-dec4-4aae-b5ab-8d112ead363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B0E34-AC27-4214-BFF3-DEB92B31F146}">
  <ds:schemaRefs>
    <ds:schemaRef ds:uri="http://schemas.openxmlformats.org/officeDocument/2006/bibliography"/>
  </ds:schemaRefs>
</ds:datastoreItem>
</file>

<file path=customXml/itemProps2.xml><?xml version="1.0" encoding="utf-8"?>
<ds:datastoreItem xmlns:ds="http://schemas.openxmlformats.org/officeDocument/2006/customXml" ds:itemID="{1CB6CA3E-0AF8-404A-B921-6874DD5500C8}"/>
</file>

<file path=customXml/itemProps3.xml><?xml version="1.0" encoding="utf-8"?>
<ds:datastoreItem xmlns:ds="http://schemas.openxmlformats.org/officeDocument/2006/customXml" ds:itemID="{D9B27896-C0DF-4C72-BC8C-B21759104378}"/>
</file>

<file path=customXml/itemProps4.xml><?xml version="1.0" encoding="utf-8"?>
<ds:datastoreItem xmlns:ds="http://schemas.openxmlformats.org/officeDocument/2006/customXml" ds:itemID="{ACD0793C-7E0D-4477-81FD-8E4E85FB52E7}"/>
</file>

<file path=docProps/app.xml><?xml version="1.0" encoding="utf-8"?>
<Properties xmlns="http://schemas.openxmlformats.org/officeDocument/2006/extended-properties" xmlns:vt="http://schemas.openxmlformats.org/officeDocument/2006/docPropsVTypes">
  <Template>Normal.dotm</Template>
  <TotalTime>2</TotalTime>
  <Pages>1</Pages>
  <Words>1257</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GUEYRAUD David</dc:creator>
  <cp:keywords/>
  <dc:description/>
  <cp:lastModifiedBy>GUEYRAUD David</cp:lastModifiedBy>
  <cp:revision>2</cp:revision>
  <dcterms:created xsi:type="dcterms:W3CDTF">2023-03-17T15:31:00Z</dcterms:created>
  <dcterms:modified xsi:type="dcterms:W3CDTF">2023-03-17T15:31:00Z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0x0101004F98A86A6CB56F40A9D667ED3FFC433E</vt:lpwstr>
  </property>
</Properties>
</file>