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1EFB" w14:textId="040611E8" w:rsidR="00E84136" w:rsidRPr="00412EBF" w:rsidRDefault="00887A03" w:rsidP="00F4255E">
      <w:pPr>
        <w:spacing w:before="80" w:after="80"/>
        <w:ind w:right="1"/>
        <w:jc w:val="center"/>
        <w:rPr>
          <w:rFonts w:ascii="Segoe UI" w:hAnsi="Segoe UI" w:cs="Segoe UI"/>
          <w:color w:val="000091" w:themeColor="text1"/>
          <w:sz w:val="32"/>
          <w:szCs w:val="20"/>
          <w:lang w:eastAsia="fr-FR"/>
        </w:rPr>
      </w:pP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3CC1FDE0">
                <wp:simplePos x="0" y="0"/>
                <wp:positionH relativeFrom="margin">
                  <wp:posOffset>3415030</wp:posOffset>
                </wp:positionH>
                <wp:positionV relativeFrom="paragraph">
                  <wp:posOffset>988060</wp:posOffset>
                </wp:positionV>
                <wp:extent cx="2784475"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84475" cy="400050"/>
                        </a:xfrm>
                        <a:prstGeom prst="rect">
                          <a:avLst/>
                        </a:prstGeom>
                        <a:noFill/>
                        <a:ln w="6350">
                          <a:noFill/>
                        </a:ln>
                      </wps:spPr>
                      <wps:txbx>
                        <w:txbxContent>
                          <w:p w14:paraId="1931003E" w14:textId="02979C10"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87A03">
                              <w:rPr>
                                <w:rFonts w:ascii="Segoe UI" w:hAnsi="Segoe UI" w:cs="Segoe UI"/>
                                <w:color w:val="000091" w:themeColor="text1"/>
                                <w:sz w:val="17"/>
                                <w:szCs w:val="17"/>
                                <w:lang w:eastAsia="ja-JP"/>
                              </w:rPr>
                              <w:t xml:space="preserve"> : Clément </w:t>
                            </w:r>
                            <w:proofErr w:type="spellStart"/>
                            <w:r w:rsidR="00887A03">
                              <w:rPr>
                                <w:rFonts w:ascii="Segoe UI" w:hAnsi="Segoe UI" w:cs="Segoe UI"/>
                                <w:color w:val="000091" w:themeColor="text1"/>
                                <w:sz w:val="17"/>
                                <w:szCs w:val="17"/>
                                <w:lang w:eastAsia="ja-JP"/>
                              </w:rPr>
                              <w:t>Morelière</w:t>
                            </w:r>
                            <w:proofErr w:type="spellEnd"/>
                            <w:r w:rsidR="00887A03">
                              <w:rPr>
                                <w:rFonts w:ascii="Segoe UI" w:hAnsi="Segoe UI" w:cs="Segoe UI"/>
                                <w:color w:val="000091" w:themeColor="text1"/>
                                <w:sz w:val="17"/>
                                <w:szCs w:val="17"/>
                                <w:lang w:eastAsia="ja-JP"/>
                              </w:rPr>
                              <w:t xml:space="preserve">, Eva </w:t>
                            </w:r>
                            <w:proofErr w:type="spellStart"/>
                            <w:r w:rsidR="00887A03">
                              <w:rPr>
                                <w:rFonts w:ascii="Segoe UI" w:hAnsi="Segoe UI" w:cs="Segoe UI"/>
                                <w:color w:val="000091" w:themeColor="text1"/>
                                <w:sz w:val="17"/>
                                <w:szCs w:val="17"/>
                                <w:lang w:eastAsia="ja-JP"/>
                              </w:rPr>
                              <w:t>Salavera</w:t>
                            </w:r>
                            <w:proofErr w:type="spellEnd"/>
                          </w:p>
                          <w:p w14:paraId="07E31681" w14:textId="4FBEA222"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887A03">
                              <w:rPr>
                                <w:rFonts w:ascii="Segoe UI" w:hAnsi="Segoe UI" w:cs="Segoe UI"/>
                                <w:color w:val="000091" w:themeColor="text1"/>
                                <w:sz w:val="17"/>
                                <w:szCs w:val="17"/>
                                <w:lang w:eastAsia="ja-JP"/>
                              </w:rPr>
                              <w:t>Arnaud Boulanger</w:t>
                            </w:r>
                            <w:r w:rsidR="00295221">
                              <w:rPr>
                                <w:rFonts w:ascii="Segoe UI" w:hAnsi="Segoe UI" w:cs="Segoe UI"/>
                                <w:color w:val="000091" w:themeColor="text1"/>
                                <w:sz w:val="17"/>
                                <w:szCs w:val="17"/>
                                <w:lang w:eastAsia="ja-JP"/>
                              </w:rPr>
                              <w:t xml:space="preserve">, Julie </w:t>
                            </w:r>
                            <w:proofErr w:type="spellStart"/>
                            <w:r w:rsidR="00295221">
                              <w:rPr>
                                <w:rFonts w:ascii="Segoe UI" w:hAnsi="Segoe UI" w:cs="Segoe UI"/>
                                <w:color w:val="000091" w:themeColor="text1"/>
                                <w:sz w:val="17"/>
                                <w:szCs w:val="17"/>
                                <w:lang w:eastAsia="ja-JP"/>
                              </w:rPr>
                              <w:t>Bouvry</w:t>
                            </w:r>
                            <w:proofErr w:type="spellEnd"/>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6" type="#_x0000_t202" style="position:absolute;left:0;text-align:left;margin-left:268.9pt;margin-top:77.8pt;width:219.2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lMwIAAFYEAAAOAAAAZHJzL2Uyb0RvYy54bWysVE1v2zAMvQ/YfxB0X+wkTj+MOEXWIsOA&#10;oC2QDgV2U2QpNiCLmqTEzn79KNlJs26nYReZEilSfO/R87uuUeQgrKtBF3Q8SikRmkNZ611Bv72s&#10;Pt1Q4jzTJVOgRUGPwtG7xccP89bkYgIVqFJYgkm0y1tT0Mp7kyeJ45VomBuBERqdEmzDPG7tLikt&#10;azF7o5JJml4lLdjSWODCOTx96J10EfNLKbh/ktIJT1RB8W0+rjau27AmiznLd5aZqubDM9g/vKJh&#10;tcai51QPzDOyt/UfqZqaW3Ag/YhDk4CUNRexB+xmnL7rZlMxI2IvCI4zZ5jc/0vLHw/PltRlQaeU&#10;aNYgRd+RKFIK4kXnBZkGiFrjcozcGIz13WfokOrTucPD0HknbRO+2BNBP4J9PAOMmQjHw8n1TZZd&#10;zyjh6MvSNJ1FBpK328Y6/0VAQ4JRUIsERlzZYe08vgRDTyGhmIZVrVQkUWnSFvRqiil/8+ANpfFi&#10;6KF/a7B8t+2GxrZQHrEvC704nOGrGouvmfPPzKIasBVUuH/CRSrAIjBYlFRgf/7tPMQjSeilpEV1&#10;FdT92DMrKFFfNdJ3O86yIMe4yWbXE9zYS8/20qP3zT2ggMc4S4ZHM8R7dTKlheYVB2EZqqKLaY61&#10;C+pP5r3vNY+DxMVyGYNQgIb5td4YHlIH0AK0L90rs2bAP2jgEU46ZPk7GvrYHu7l3oOsI0cB4B7V&#10;AXcUb6RuGLQwHZf7GPX2O1j8AgAA//8DAFBLAwQUAAYACAAAACEAOnXT++MAAAALAQAADwAAAGRy&#10;cy9kb3ducmV2LnhtbEyPT0/CQBTE7yZ+h80z8SZbSlpq6ZaQJsTE6AHk4m3bfbQN+6d2F6h+ep8n&#10;PE5mMvObYj0ZzS44+t5ZAfNZBAxt41RvWwGHj+1TBswHaZXUzqKAb/SwLu/vCpkrd7U7vOxDy6jE&#10;+lwK6EIYcs5906GRfuYGtOQd3WhkIDm2XI3ySuVG8ziKUm5kb2mhkwNWHTan/dkIeK2273JXxyb7&#10;0dXL23EzfB0+EyEeH6bNCljAKdzC8IdP6FASU+3OVnmmBSSLJaEHMpIkBUaJ52W6AFYLiOdZCrws&#10;+P8P5S8AAAD//wMAUEsBAi0AFAAGAAgAAAAhALaDOJL+AAAA4QEAABMAAAAAAAAAAAAAAAAAAAAA&#10;AFtDb250ZW50X1R5cGVzXS54bWxQSwECLQAUAAYACAAAACEAOP0h/9YAAACUAQAACwAAAAAAAAAA&#10;AAAAAAAvAQAAX3JlbHMvLnJlbHNQSwECLQAUAAYACAAAACEAzA/lJTMCAABWBAAADgAAAAAAAAAA&#10;AAAAAAAuAgAAZHJzL2Uyb0RvYy54bWxQSwECLQAUAAYACAAAACEAOnXT++MAAAALAQAADwAAAAAA&#10;AAAAAAAAAACNBAAAZHJzL2Rvd25yZXYueG1sUEsFBgAAAAAEAAQA8wAAAJ0FAAAAAA==&#10;" filled="f" stroked="f" strokeweight=".5pt">
                <v:textbox>
                  <w:txbxContent>
                    <w:p w14:paraId="1931003E" w14:textId="02979C10"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87A03">
                        <w:rPr>
                          <w:rFonts w:ascii="Segoe UI" w:hAnsi="Segoe UI" w:cs="Segoe UI"/>
                          <w:color w:val="000091" w:themeColor="text1"/>
                          <w:sz w:val="17"/>
                          <w:szCs w:val="17"/>
                          <w:lang w:eastAsia="ja-JP"/>
                        </w:rPr>
                        <w:t xml:space="preserve"> : Clément </w:t>
                      </w:r>
                      <w:proofErr w:type="spellStart"/>
                      <w:r w:rsidR="00887A03">
                        <w:rPr>
                          <w:rFonts w:ascii="Segoe UI" w:hAnsi="Segoe UI" w:cs="Segoe UI"/>
                          <w:color w:val="000091" w:themeColor="text1"/>
                          <w:sz w:val="17"/>
                          <w:szCs w:val="17"/>
                          <w:lang w:eastAsia="ja-JP"/>
                        </w:rPr>
                        <w:t>Morelière</w:t>
                      </w:r>
                      <w:proofErr w:type="spellEnd"/>
                      <w:r w:rsidR="00887A03">
                        <w:rPr>
                          <w:rFonts w:ascii="Segoe UI" w:hAnsi="Segoe UI" w:cs="Segoe UI"/>
                          <w:color w:val="000091" w:themeColor="text1"/>
                          <w:sz w:val="17"/>
                          <w:szCs w:val="17"/>
                          <w:lang w:eastAsia="ja-JP"/>
                        </w:rPr>
                        <w:t xml:space="preserve">, Eva </w:t>
                      </w:r>
                      <w:proofErr w:type="spellStart"/>
                      <w:r w:rsidR="00887A03">
                        <w:rPr>
                          <w:rFonts w:ascii="Segoe UI" w:hAnsi="Segoe UI" w:cs="Segoe UI"/>
                          <w:color w:val="000091" w:themeColor="text1"/>
                          <w:sz w:val="17"/>
                          <w:szCs w:val="17"/>
                          <w:lang w:eastAsia="ja-JP"/>
                        </w:rPr>
                        <w:t>Salavera</w:t>
                      </w:r>
                      <w:proofErr w:type="spellEnd"/>
                    </w:p>
                    <w:p w14:paraId="07E31681" w14:textId="4FBEA222"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887A03">
                        <w:rPr>
                          <w:rFonts w:ascii="Segoe UI" w:hAnsi="Segoe UI" w:cs="Segoe UI"/>
                          <w:color w:val="000091" w:themeColor="text1"/>
                          <w:sz w:val="17"/>
                          <w:szCs w:val="17"/>
                          <w:lang w:eastAsia="ja-JP"/>
                        </w:rPr>
                        <w:t>Arnaud Boulanger</w:t>
                      </w:r>
                      <w:r w:rsidR="00295221">
                        <w:rPr>
                          <w:rFonts w:ascii="Segoe UI" w:hAnsi="Segoe UI" w:cs="Segoe UI"/>
                          <w:color w:val="000091" w:themeColor="text1"/>
                          <w:sz w:val="17"/>
                          <w:szCs w:val="17"/>
                          <w:lang w:eastAsia="ja-JP"/>
                        </w:rPr>
                        <w:t xml:space="preserve">, Julie </w:t>
                      </w:r>
                      <w:proofErr w:type="spellStart"/>
                      <w:r w:rsidR="00295221">
                        <w:rPr>
                          <w:rFonts w:ascii="Segoe UI" w:hAnsi="Segoe UI" w:cs="Segoe UI"/>
                          <w:color w:val="000091" w:themeColor="text1"/>
                          <w:sz w:val="17"/>
                          <w:szCs w:val="17"/>
                          <w:lang w:eastAsia="ja-JP"/>
                        </w:rPr>
                        <w:t>Bouvry</w:t>
                      </w:r>
                      <w:proofErr w:type="spellEnd"/>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7939AE"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34FB05B7">
            <wp:simplePos x="0" y="0"/>
            <wp:positionH relativeFrom="column">
              <wp:posOffset>-506095</wp:posOffset>
            </wp:positionH>
            <wp:positionV relativeFrom="page">
              <wp:posOffset>312420</wp:posOffset>
            </wp:positionV>
            <wp:extent cx="2638425" cy="936625"/>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a:extLst>
                        <a:ext uri="{28A0092B-C50C-407E-A947-70E740481C1C}">
                          <a14:useLocalDpi xmlns:a14="http://schemas.microsoft.com/office/drawing/2010/main" val="0"/>
                        </a:ext>
                      </a:extLst>
                    </a:blip>
                    <a:stretch>
                      <a:fillRect/>
                    </a:stretch>
                  </pic:blipFill>
                  <pic:spPr>
                    <a:xfrm>
                      <a:off x="0" y="0"/>
                      <a:ext cx="2638425" cy="93662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D4C8F12">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0025E58F" w:rsidR="00532CE3" w:rsidRDefault="00887A03" w:rsidP="00532CE3">
                            <w:pPr>
                              <w:jc w:val="center"/>
                            </w:pPr>
                            <w:r>
                              <w:rPr>
                                <w:rFonts w:ascii="Segoe UI" w:hAnsi="Segoe UI" w:cs="Segoe UI"/>
                                <w:b/>
                                <w:bCs/>
                                <w:color w:val="000091" w:themeColor="text1"/>
                                <w:sz w:val="32"/>
                                <w:szCs w:val="20"/>
                              </w:rPr>
                              <w:t>LUXEMBOURG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7"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NqnwIAAJcFAAAOAAAAZHJzL2Uyb0RvYy54bWysVE1v2zAMvQ/YfxB0X+2kadYGdYogRYYB&#10;RVu0HXpWZCk2IIuapMTOfv0oyXY/VuwwLAeHFB8fRYrk5VXXKHIQ1tWgCzo5ySkRmkNZ611Bfzxt&#10;vpxT4jzTJVOgRUGPwtGr5edPl61ZiClUoEphCZJot2hNQSvvzSLLHK9Ew9wJGKHRKME2zKNqd1lp&#10;WYvsjcqmeT7PWrClscCFc3h6nYx0GfmlFNzfSemEJ6qgeDcfvzZ+t+GbLS/ZYmeZqWreX4P9wy0a&#10;VmsMOlJdM8/I3tZ/UDU1t+BA+hMOTQZS1lzEHDCbSf4um8eKGRFzweI4M5bJ/T9afnu4t6QuCzqj&#10;RLMGn+gBi8b0TgkyC+VpjVsg6tHc215zKIZcO2mb8I9ZkC6W9DiWVHSecDycn+f5+RlWnqPtdD65&#10;QBlpshdvY53/JqAhQSioxeixkuxw43yCDpAQzIGqy02tVFTsbrtWlhwYPu9mvZ6frnr2NzClA1hD&#10;cEuM4SQLmaVcouSPSgSc0g9CYknw9tN4k9iMYozDOBfaT5KpYqVI4c9y/A3RQ/sGj5hpJAzMEuOP&#10;3D3BgEwkA3e6ZY8PriL28uic/+1iyXn0iJFB+9G5qTXYjwgUZtVHTvihSKk0oUq+23axXSIynGyh&#10;PGILWUiz5Qzf1PiSN8z5e2ZxmPDxcUH4O/xIBW1BoZcoqcD++ug84LHH0UpJi8NZUPdzz6ygRH3X&#10;2P0Xk9ksTHNUZmdfp6jY15bta4veN2vABpngKjI8igHv1SBKC80z7pFViIompjnGLij3dlDWPi0N&#10;3ERcrFYRhhNsmL/Rj4YH8lDn0KlP3TOzpm9nj4NwC8Mgs8W7rk7Y4Klhtfcg69jyL3XtXwCnP7ZS&#10;v6nCenmtR9TLPl3+BgAA//8DAFBLAwQUAAYACAAAACEAkEmH7+IAAAALAQAADwAAAGRycy9kb3du&#10;cmV2LnhtbEyPy07DMBBF90j8gzVIbFDrNBHUDXGqCikbKvEoLLp04iGOGttR7Dbh7xlWsJyZozvn&#10;FtvZ9uyCY+i8k7BaJsDQNV53rpXw+VEtBLAQldOq9w4lfGOAbXl9Vahc+8m94+UQW0YhLuRKgolx&#10;yDkPjUGrwtIP6Oj25UerIo1jy/WoJgq3PU+T5IFb1Tn6YNSATwab0+FsJRxPZn83iap7Dq9hX4mX&#10;t1jf76S8vZl3j8AizvEPhl99UoeSnGp/djqwXsJCZCmhEtJ0lQEjYiPWVKamzVpkwMuC/+9Q/gAA&#10;AP//AwBQSwECLQAUAAYACAAAACEAtoM4kv4AAADhAQAAEwAAAAAAAAAAAAAAAAAAAAAAW0NvbnRl&#10;bnRfVHlwZXNdLnhtbFBLAQItABQABgAIAAAAIQA4/SH/1gAAAJQBAAALAAAAAAAAAAAAAAAAAC8B&#10;AABfcmVscy8ucmVsc1BLAQItABQABgAIAAAAIQD2fONqnwIAAJcFAAAOAAAAAAAAAAAAAAAAAC4C&#10;AABkcnMvZTJvRG9jLnhtbFBLAQItABQABgAIAAAAIQCQSYfv4gAAAAsBAAAPAAAAAAAAAAAAAAAA&#10;APkEAABkcnMvZG93bnJldi54bWxQSwUGAAAAAAQABADzAAAACAYAAAAA&#10;" fillcolor="#fcc63a" stroked="f" strokeweight="1pt">
                <v:textbox>
                  <w:txbxContent>
                    <w:p w14:paraId="2ED3FE0E" w14:textId="0025E58F" w:rsidR="00532CE3" w:rsidRDefault="00887A03" w:rsidP="00532CE3">
                      <w:pPr>
                        <w:jc w:val="center"/>
                      </w:pPr>
                      <w:r>
                        <w:rPr>
                          <w:rFonts w:ascii="Segoe UI" w:hAnsi="Segoe UI" w:cs="Segoe UI"/>
                          <w:b/>
                          <w:bCs/>
                          <w:color w:val="000091" w:themeColor="text1"/>
                          <w:sz w:val="32"/>
                          <w:szCs w:val="20"/>
                        </w:rPr>
                        <w:t>LUXEMBOURG</w:t>
                      </w:r>
                    </w:p>
                  </w:txbxContent>
                </v:textbox>
              </v:rect>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37B7D359" w:rsidR="00490B3C" w:rsidRPr="00532CE3" w:rsidRDefault="00412EBF"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Bruxelles</w:t>
                            </w:r>
                            <w:r w:rsidR="00887A03">
                              <w:rPr>
                                <w:rFonts w:ascii="Segoe UI" w:hAnsi="Segoe UI" w:cs="Segoe UI"/>
                                <w:color w:val="986E02" w:themeColor="accent2" w:themeShade="80"/>
                                <w:sz w:val="17"/>
                                <w:szCs w:val="17"/>
                                <w:lang w:eastAsia="ja-JP"/>
                              </w:rPr>
                              <w:t xml:space="preserve">, le </w:t>
                            </w:r>
                            <w:r w:rsidR="00E20018">
                              <w:rPr>
                                <w:rFonts w:ascii="Segoe UI" w:hAnsi="Segoe UI" w:cs="Segoe UI"/>
                                <w:color w:val="986E02" w:themeColor="accent2" w:themeShade="80"/>
                                <w:sz w:val="17"/>
                                <w:szCs w:val="17"/>
                                <w:lang w:eastAsia="ja-JP"/>
                              </w:rPr>
                              <w:t xml:space="preserve">9 octobre </w:t>
                            </w:r>
                            <w:r w:rsidR="00887A0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37B7D359" w:rsidR="00490B3C" w:rsidRPr="00532CE3" w:rsidRDefault="00412EBF"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Bruxelles</w:t>
                      </w:r>
                      <w:r w:rsidR="00887A03">
                        <w:rPr>
                          <w:rFonts w:ascii="Segoe UI" w:hAnsi="Segoe UI" w:cs="Segoe UI"/>
                          <w:color w:val="986E02" w:themeColor="accent2" w:themeShade="80"/>
                          <w:sz w:val="17"/>
                          <w:szCs w:val="17"/>
                          <w:lang w:eastAsia="ja-JP"/>
                        </w:rPr>
                        <w:t xml:space="preserve">, le </w:t>
                      </w:r>
                      <w:r w:rsidR="00E20018">
                        <w:rPr>
                          <w:rFonts w:ascii="Segoe UI" w:hAnsi="Segoe UI" w:cs="Segoe UI"/>
                          <w:color w:val="986E02" w:themeColor="accent2" w:themeShade="80"/>
                          <w:sz w:val="17"/>
                          <w:szCs w:val="17"/>
                          <w:lang w:eastAsia="ja-JP"/>
                        </w:rPr>
                        <w:t xml:space="preserve">9 octobre </w:t>
                      </w:r>
                      <w:r w:rsidR="00887A03">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586C1A57"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87A03">
                              <w:rPr>
                                <w:rFonts w:ascii="Segoe UI" w:hAnsi="Segoe UI" w:cs="Segoe UI"/>
                                <w:bCs/>
                                <w:color w:val="000091" w:themeColor="text1"/>
                                <w:sz w:val="18"/>
                                <w:szCs w:val="18"/>
                                <w:lang w:eastAsia="ja-JP"/>
                              </w:rPr>
                              <w:t>France au Luxembourg</w:t>
                            </w:r>
                          </w:p>
                          <w:p w14:paraId="3D62CBBB" w14:textId="676BD6D7"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87A03">
                              <w:rPr>
                                <w:rFonts w:ascii="Segoe UI" w:hAnsi="Segoe UI" w:cs="Segoe UI"/>
                                <w:bCs/>
                                <w:color w:val="000091" w:themeColor="text1"/>
                                <w:sz w:val="18"/>
                                <w:szCs w:val="18"/>
                                <w:lang w:eastAsia="ja-JP"/>
                              </w:rPr>
                              <w:t>de Bruxelles</w:t>
                            </w:r>
                            <w:r w:rsidR="00295221">
                              <w:rPr>
                                <w:rFonts w:ascii="Segoe UI" w:hAnsi="Segoe UI" w:cs="Segoe UI"/>
                                <w:bCs/>
                                <w:color w:val="000091" w:themeColor="text1"/>
                                <w:sz w:val="18"/>
                                <w:szCs w:val="18"/>
                                <w:lang w:eastAsia="ja-JP"/>
                              </w:rPr>
                              <w:t xml:space="preserve"> / Service économique régional de La Haye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586C1A57"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87A03">
                        <w:rPr>
                          <w:rFonts w:ascii="Segoe UI" w:hAnsi="Segoe UI" w:cs="Segoe UI"/>
                          <w:bCs/>
                          <w:color w:val="000091" w:themeColor="text1"/>
                          <w:sz w:val="18"/>
                          <w:szCs w:val="18"/>
                          <w:lang w:eastAsia="ja-JP"/>
                        </w:rPr>
                        <w:t>France au Luxembourg</w:t>
                      </w:r>
                    </w:p>
                    <w:p w14:paraId="3D62CBBB" w14:textId="676BD6D7"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87A03">
                        <w:rPr>
                          <w:rFonts w:ascii="Segoe UI" w:hAnsi="Segoe UI" w:cs="Segoe UI"/>
                          <w:bCs/>
                          <w:color w:val="000091" w:themeColor="text1"/>
                          <w:sz w:val="18"/>
                          <w:szCs w:val="18"/>
                          <w:lang w:eastAsia="ja-JP"/>
                        </w:rPr>
                        <w:t>de Bruxelles</w:t>
                      </w:r>
                      <w:r w:rsidR="00295221">
                        <w:rPr>
                          <w:rFonts w:ascii="Segoe UI" w:hAnsi="Segoe UI" w:cs="Segoe UI"/>
                          <w:bCs/>
                          <w:color w:val="000091" w:themeColor="text1"/>
                          <w:sz w:val="18"/>
                          <w:szCs w:val="18"/>
                          <w:lang w:eastAsia="ja-JP"/>
                        </w:rPr>
                        <w:t xml:space="preserve"> / Service économique régional de La Haye</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Pr>
          <w:rFonts w:ascii="Segoe UI" w:hAnsi="Segoe UI" w:cs="Segoe UI"/>
          <w:color w:val="000091" w:themeColor="text1"/>
          <w:sz w:val="32"/>
          <w:szCs w:val="20"/>
          <w:lang w:eastAsia="fr-FR"/>
        </w:rPr>
        <w:t xml:space="preserve">Le commerce extérieur du </w:t>
      </w:r>
      <w:r w:rsidRPr="00412EBF">
        <w:rPr>
          <w:rFonts w:ascii="Segoe UI" w:hAnsi="Segoe UI" w:cs="Segoe UI"/>
          <w:color w:val="000091" w:themeColor="text1"/>
          <w:sz w:val="32"/>
          <w:szCs w:val="20"/>
          <w:lang w:eastAsia="fr-FR"/>
        </w:rPr>
        <w:t>Luxembourg en 2024</w:t>
      </w:r>
      <w:r w:rsidR="00E84136">
        <w:rPr>
          <w:rStyle w:val="Appeldenotedefin"/>
          <w:rFonts w:ascii="Segoe UI" w:hAnsi="Segoe UI" w:cs="Segoe UI"/>
          <w:color w:val="000091" w:themeColor="text1"/>
          <w:sz w:val="32"/>
          <w:szCs w:val="20"/>
          <w:lang w:eastAsia="fr-FR"/>
        </w:rPr>
        <w:endnoteReference w:id="1"/>
      </w:r>
    </w:p>
    <w:p w14:paraId="6476345C" w14:textId="61736F32" w:rsidR="000D7DB1" w:rsidRDefault="00887A03" w:rsidP="003F4084">
      <w:pPr>
        <w:pStyle w:val="Sansinterligne"/>
        <w:spacing w:after="240"/>
        <w:ind w:left="-284"/>
        <w:jc w:val="both"/>
        <w:rPr>
          <w:rFonts w:ascii="Segoe UI" w:hAnsi="Segoe UI" w:cs="Segoe UI"/>
          <w:color w:val="000091" w:themeColor="text1"/>
          <w:sz w:val="20"/>
          <w:szCs w:val="20"/>
        </w:rPr>
      </w:pPr>
      <w:r w:rsidRPr="00AF319E">
        <w:rPr>
          <w:rFonts w:ascii="Segoe UI" w:hAnsi="Segoe UI" w:cs="Segoe UI"/>
          <w:color w:val="000091" w:themeColor="text1"/>
          <w:sz w:val="20"/>
          <w:szCs w:val="20"/>
        </w:rPr>
        <w:t xml:space="preserve">Avec un taux d’ouverture </w:t>
      </w:r>
      <w:r w:rsidR="00BC5173">
        <w:rPr>
          <w:rFonts w:ascii="Segoe UI" w:hAnsi="Segoe UI" w:cs="Segoe UI"/>
          <w:color w:val="000091" w:themeColor="text1"/>
          <w:sz w:val="20"/>
          <w:szCs w:val="20"/>
        </w:rPr>
        <w:t>atteignant</w:t>
      </w:r>
      <w:r w:rsidRPr="00AF319E">
        <w:rPr>
          <w:rFonts w:ascii="Segoe UI" w:hAnsi="Segoe UI" w:cs="Segoe UI"/>
          <w:color w:val="000091" w:themeColor="text1"/>
          <w:sz w:val="20"/>
          <w:szCs w:val="20"/>
        </w:rPr>
        <w:t xml:space="preserve"> 1</w:t>
      </w:r>
      <w:r w:rsidR="004539B8">
        <w:rPr>
          <w:rFonts w:ascii="Segoe UI" w:hAnsi="Segoe UI" w:cs="Segoe UI"/>
          <w:color w:val="000091" w:themeColor="text1"/>
          <w:sz w:val="20"/>
          <w:szCs w:val="20"/>
        </w:rPr>
        <w:t>94,4</w:t>
      </w:r>
      <w:r w:rsidR="00410EC6">
        <w:rPr>
          <w:rFonts w:ascii="Segoe UI" w:hAnsi="Segoe UI" w:cs="Segoe UI"/>
          <w:color w:val="000091" w:themeColor="text1"/>
          <w:sz w:val="20"/>
          <w:szCs w:val="20"/>
        </w:rPr>
        <w:t xml:space="preserve"> </w:t>
      </w:r>
      <w:r w:rsidRPr="00AF319E">
        <w:rPr>
          <w:rFonts w:ascii="Segoe UI" w:hAnsi="Segoe UI" w:cs="Segoe UI"/>
          <w:color w:val="000091" w:themeColor="text1"/>
          <w:sz w:val="20"/>
          <w:szCs w:val="20"/>
        </w:rPr>
        <w:t>% en 202</w:t>
      </w:r>
      <w:r w:rsidR="004539B8">
        <w:rPr>
          <w:rFonts w:ascii="Segoe UI" w:hAnsi="Segoe UI" w:cs="Segoe UI"/>
          <w:color w:val="000091" w:themeColor="text1"/>
          <w:sz w:val="20"/>
          <w:szCs w:val="20"/>
        </w:rPr>
        <w:t>4</w:t>
      </w:r>
      <w:r w:rsidRPr="00AF319E">
        <w:rPr>
          <w:rFonts w:ascii="Segoe UI" w:hAnsi="Segoe UI" w:cs="Segoe UI"/>
          <w:color w:val="000091" w:themeColor="text1"/>
          <w:sz w:val="20"/>
          <w:szCs w:val="20"/>
        </w:rPr>
        <w:t xml:space="preserve">, le </w:t>
      </w:r>
      <w:r w:rsidR="00FF4119">
        <w:rPr>
          <w:rFonts w:ascii="Segoe UI" w:hAnsi="Segoe UI" w:cs="Segoe UI"/>
          <w:color w:val="000091" w:themeColor="text1"/>
          <w:sz w:val="20"/>
          <w:szCs w:val="20"/>
        </w:rPr>
        <w:t>Luxembourg figure parmi</w:t>
      </w:r>
      <w:r w:rsidRPr="00AF319E">
        <w:rPr>
          <w:rFonts w:ascii="Segoe UI" w:hAnsi="Segoe UI" w:cs="Segoe UI"/>
          <w:color w:val="000091" w:themeColor="text1"/>
          <w:sz w:val="20"/>
          <w:szCs w:val="20"/>
        </w:rPr>
        <w:t xml:space="preserve"> </w:t>
      </w:r>
      <w:r w:rsidR="00FF4119">
        <w:rPr>
          <w:rFonts w:ascii="Segoe UI" w:hAnsi="Segoe UI" w:cs="Segoe UI"/>
          <w:color w:val="000091" w:themeColor="text1"/>
          <w:sz w:val="20"/>
          <w:szCs w:val="20"/>
        </w:rPr>
        <w:t>les économies les plus ouvertes du monde</w:t>
      </w:r>
      <w:r w:rsidRPr="00AF319E">
        <w:rPr>
          <w:rFonts w:ascii="Segoe UI" w:hAnsi="Segoe UI" w:cs="Segoe UI"/>
          <w:color w:val="000091" w:themeColor="text1"/>
          <w:sz w:val="20"/>
          <w:szCs w:val="20"/>
        </w:rPr>
        <w:t xml:space="preserve"> la plus ouverte </w:t>
      </w:r>
      <w:r w:rsidR="00BC5173">
        <w:rPr>
          <w:rFonts w:ascii="Segoe UI" w:hAnsi="Segoe UI" w:cs="Segoe UI"/>
          <w:color w:val="000091" w:themeColor="text1"/>
          <w:sz w:val="20"/>
          <w:szCs w:val="20"/>
        </w:rPr>
        <w:t>a</w:t>
      </w:r>
      <w:r w:rsidRPr="00AF319E">
        <w:rPr>
          <w:rFonts w:ascii="Segoe UI" w:hAnsi="Segoe UI" w:cs="Segoe UI"/>
          <w:color w:val="000091" w:themeColor="text1"/>
          <w:sz w:val="20"/>
          <w:szCs w:val="20"/>
        </w:rPr>
        <w:t>u monde</w:t>
      </w:r>
      <w:r w:rsidR="00F4255E" w:rsidRPr="00AF319E">
        <w:rPr>
          <w:rFonts w:ascii="Segoe UI" w:hAnsi="Segoe UI" w:cs="Segoe UI"/>
          <w:noProof/>
          <w:color w:val="000091" w:themeColor="text1"/>
          <w:sz w:val="20"/>
          <w:szCs w:val="20"/>
          <w:lang w:eastAsia="fr-FR"/>
        </w:rPr>
        <w:t>.</w:t>
      </w:r>
      <w:r w:rsidR="002A570D" w:rsidRPr="00AF319E">
        <w:rPr>
          <w:rFonts w:ascii="Segoe UI" w:hAnsi="Segoe UI" w:cs="Segoe UI"/>
          <w:noProof/>
          <w:color w:val="000091" w:themeColor="text1"/>
          <w:sz w:val="20"/>
          <w:szCs w:val="20"/>
          <w:lang w:eastAsia="fr-FR"/>
        </w:rPr>
        <w:t xml:space="preserve"> Les échanges</w:t>
      </w:r>
      <w:r w:rsidR="00AF319E">
        <w:rPr>
          <w:rFonts w:ascii="Segoe UI" w:hAnsi="Segoe UI" w:cs="Segoe UI"/>
          <w:noProof/>
          <w:color w:val="000091" w:themeColor="text1"/>
          <w:sz w:val="20"/>
          <w:szCs w:val="20"/>
          <w:lang w:eastAsia="fr-FR"/>
        </w:rPr>
        <w:t xml:space="preserve"> de biens et services</w:t>
      </w:r>
      <w:r w:rsidR="002A570D" w:rsidRPr="00AF319E">
        <w:rPr>
          <w:rFonts w:ascii="Segoe UI" w:hAnsi="Segoe UI" w:cs="Segoe UI"/>
          <w:noProof/>
          <w:color w:val="000091" w:themeColor="text1"/>
          <w:sz w:val="20"/>
          <w:szCs w:val="20"/>
          <w:lang w:eastAsia="fr-FR"/>
        </w:rPr>
        <w:t xml:space="preserve"> on</w:t>
      </w:r>
      <w:r w:rsidR="00F96104">
        <w:rPr>
          <w:rFonts w:ascii="Segoe UI" w:hAnsi="Segoe UI" w:cs="Segoe UI"/>
          <w:noProof/>
          <w:color w:val="000091" w:themeColor="text1"/>
          <w:sz w:val="20"/>
          <w:szCs w:val="20"/>
          <w:lang w:eastAsia="fr-FR"/>
        </w:rPr>
        <w:t>t progressé</w:t>
      </w:r>
      <w:r w:rsidR="002A570D" w:rsidRPr="00AF319E">
        <w:rPr>
          <w:rFonts w:ascii="Segoe UI" w:hAnsi="Segoe UI" w:cs="Segoe UI"/>
          <w:noProof/>
          <w:color w:val="000091" w:themeColor="text1"/>
          <w:sz w:val="20"/>
          <w:szCs w:val="20"/>
          <w:lang w:eastAsia="fr-FR"/>
        </w:rPr>
        <w:t xml:space="preserve"> de </w:t>
      </w:r>
      <w:r w:rsidR="00FE47E0" w:rsidRPr="00AF319E">
        <w:rPr>
          <w:rFonts w:ascii="Segoe UI" w:hAnsi="Segoe UI" w:cs="Segoe UI"/>
          <w:noProof/>
          <w:color w:val="000091" w:themeColor="text1"/>
          <w:sz w:val="20"/>
          <w:szCs w:val="20"/>
          <w:lang w:eastAsia="fr-FR"/>
        </w:rPr>
        <w:t>+2,8</w:t>
      </w:r>
      <w:r w:rsidR="00410EC6">
        <w:rPr>
          <w:rFonts w:ascii="Segoe UI" w:hAnsi="Segoe UI" w:cs="Segoe UI"/>
          <w:noProof/>
          <w:color w:val="000091" w:themeColor="text1"/>
          <w:sz w:val="20"/>
          <w:szCs w:val="20"/>
          <w:lang w:eastAsia="fr-FR"/>
        </w:rPr>
        <w:t xml:space="preserve"> </w:t>
      </w:r>
      <w:r w:rsidR="00FE47E0" w:rsidRPr="00AF319E">
        <w:rPr>
          <w:rFonts w:ascii="Segoe UI" w:hAnsi="Segoe UI" w:cs="Segoe UI"/>
          <w:noProof/>
          <w:color w:val="000091" w:themeColor="text1"/>
          <w:sz w:val="20"/>
          <w:szCs w:val="20"/>
          <w:lang w:eastAsia="fr-FR"/>
        </w:rPr>
        <w:t xml:space="preserve">% </w:t>
      </w:r>
      <w:r w:rsidR="00BC5173">
        <w:rPr>
          <w:rFonts w:ascii="Segoe UI" w:hAnsi="Segoe UI" w:cs="Segoe UI"/>
          <w:noProof/>
          <w:color w:val="000091" w:themeColor="text1"/>
          <w:sz w:val="20"/>
          <w:szCs w:val="20"/>
          <w:lang w:eastAsia="fr-FR"/>
        </w:rPr>
        <w:t xml:space="preserve">poour s’établir à </w:t>
      </w:r>
      <w:r w:rsidR="00FE47E0" w:rsidRPr="00AF319E">
        <w:rPr>
          <w:rFonts w:ascii="Segoe UI" w:hAnsi="Segoe UI" w:cs="Segoe UI"/>
          <w:noProof/>
          <w:color w:val="000091" w:themeColor="text1"/>
          <w:sz w:val="20"/>
          <w:szCs w:val="20"/>
          <w:lang w:eastAsia="fr-FR"/>
        </w:rPr>
        <w:t xml:space="preserve">334,8 </w:t>
      </w:r>
      <w:r w:rsidR="00FE47E0" w:rsidRPr="00AF319E">
        <w:rPr>
          <w:rFonts w:ascii="Segoe UI" w:hAnsi="Segoe UI" w:cs="Segoe UI"/>
          <w:color w:val="000091" w:themeColor="text1"/>
          <w:sz w:val="20"/>
          <w:szCs w:val="20"/>
        </w:rPr>
        <w:t>Md€</w:t>
      </w:r>
      <w:r w:rsidR="00BC5173">
        <w:rPr>
          <w:rFonts w:ascii="Segoe UI" w:hAnsi="Segoe UI" w:cs="Segoe UI"/>
          <w:color w:val="000091" w:themeColor="text1"/>
          <w:sz w:val="20"/>
          <w:szCs w:val="20"/>
        </w:rPr>
        <w:t xml:space="preserve"> </w:t>
      </w:r>
      <w:r w:rsidR="00F96104">
        <w:rPr>
          <w:rFonts w:ascii="Segoe UI" w:hAnsi="Segoe UI" w:cs="Segoe UI"/>
          <w:color w:val="000091" w:themeColor="text1"/>
          <w:sz w:val="20"/>
          <w:szCs w:val="20"/>
        </w:rPr>
        <w:t xml:space="preserve">en 2024 </w:t>
      </w:r>
      <w:r w:rsidR="00957D4F">
        <w:rPr>
          <w:rFonts w:ascii="Segoe UI" w:hAnsi="Segoe UI" w:cs="Segoe UI"/>
          <w:color w:val="000091" w:themeColor="text1"/>
          <w:sz w:val="20"/>
          <w:szCs w:val="20"/>
        </w:rPr>
        <w:t xml:space="preserve">et </w:t>
      </w:r>
      <w:r w:rsidR="00AD2862" w:rsidRPr="00AF319E">
        <w:rPr>
          <w:rFonts w:ascii="Segoe UI" w:hAnsi="Segoe UI" w:cs="Segoe UI"/>
          <w:color w:val="000091" w:themeColor="text1"/>
          <w:sz w:val="20"/>
          <w:szCs w:val="20"/>
        </w:rPr>
        <w:t xml:space="preserve">restent </w:t>
      </w:r>
      <w:r w:rsidR="00BC5173">
        <w:rPr>
          <w:rFonts w:ascii="Segoe UI" w:hAnsi="Segoe UI" w:cs="Segoe UI"/>
          <w:color w:val="000091" w:themeColor="text1"/>
          <w:sz w:val="20"/>
          <w:szCs w:val="20"/>
        </w:rPr>
        <w:t xml:space="preserve">largement </w:t>
      </w:r>
      <w:r w:rsidR="00AD2862" w:rsidRPr="00AF319E">
        <w:rPr>
          <w:rFonts w:ascii="Segoe UI" w:hAnsi="Segoe UI" w:cs="Segoe UI"/>
          <w:color w:val="000091" w:themeColor="text1"/>
          <w:sz w:val="20"/>
          <w:szCs w:val="20"/>
        </w:rPr>
        <w:t>dominés par les services</w:t>
      </w:r>
      <w:r w:rsidR="00BC5173">
        <w:rPr>
          <w:rFonts w:ascii="Segoe UI" w:hAnsi="Segoe UI" w:cs="Segoe UI"/>
          <w:color w:val="000091" w:themeColor="text1"/>
          <w:sz w:val="20"/>
          <w:szCs w:val="20"/>
        </w:rPr>
        <w:t xml:space="preserve">, qui représentent </w:t>
      </w:r>
      <w:r w:rsidR="00AD2862" w:rsidRPr="00AF319E">
        <w:rPr>
          <w:rFonts w:ascii="Segoe UI" w:hAnsi="Segoe UI" w:cs="Segoe UI"/>
          <w:color w:val="000091" w:themeColor="text1"/>
          <w:sz w:val="20"/>
          <w:szCs w:val="20"/>
        </w:rPr>
        <w:t>83,3</w:t>
      </w:r>
      <w:r w:rsidR="00410EC6">
        <w:rPr>
          <w:rFonts w:ascii="Segoe UI" w:hAnsi="Segoe UI" w:cs="Segoe UI"/>
          <w:color w:val="000091" w:themeColor="text1"/>
          <w:sz w:val="20"/>
          <w:szCs w:val="20"/>
        </w:rPr>
        <w:t xml:space="preserve"> </w:t>
      </w:r>
      <w:r w:rsidR="00AD2862" w:rsidRPr="00AF319E">
        <w:rPr>
          <w:rFonts w:ascii="Segoe UI" w:hAnsi="Segoe UI" w:cs="Segoe UI"/>
          <w:color w:val="000091" w:themeColor="text1"/>
          <w:sz w:val="20"/>
          <w:szCs w:val="20"/>
        </w:rPr>
        <w:t>% du volume d’échanges total</w:t>
      </w:r>
      <w:r w:rsidR="00BC5173">
        <w:rPr>
          <w:rFonts w:ascii="Segoe UI" w:hAnsi="Segoe UI" w:cs="Segoe UI"/>
          <w:color w:val="000091" w:themeColor="text1"/>
          <w:sz w:val="20"/>
          <w:szCs w:val="20"/>
        </w:rPr>
        <w:t xml:space="preserve">. Ces derniers sont principalement </w:t>
      </w:r>
      <w:r w:rsidR="00AD2862" w:rsidRPr="00AF319E">
        <w:rPr>
          <w:rFonts w:ascii="Segoe UI" w:hAnsi="Segoe UI" w:cs="Segoe UI"/>
          <w:color w:val="000091" w:themeColor="text1"/>
          <w:sz w:val="20"/>
          <w:szCs w:val="20"/>
        </w:rPr>
        <w:t>portés par les services financiers (128,7 Md€</w:t>
      </w:r>
      <w:r w:rsidR="00BC5173">
        <w:rPr>
          <w:rFonts w:ascii="Segoe UI" w:hAnsi="Segoe UI" w:cs="Segoe UI"/>
          <w:color w:val="000091" w:themeColor="text1"/>
          <w:sz w:val="20"/>
          <w:szCs w:val="20"/>
        </w:rPr>
        <w:t>,</w:t>
      </w:r>
      <w:r w:rsidR="00AD2862" w:rsidRPr="00AF319E">
        <w:rPr>
          <w:rFonts w:ascii="Segoe UI" w:hAnsi="Segoe UI" w:cs="Segoe UI"/>
          <w:color w:val="000091" w:themeColor="text1"/>
          <w:sz w:val="20"/>
          <w:szCs w:val="20"/>
        </w:rPr>
        <w:t xml:space="preserve"> soit 46,1</w:t>
      </w:r>
      <w:r w:rsidR="00410EC6">
        <w:rPr>
          <w:rFonts w:ascii="Segoe UI" w:hAnsi="Segoe UI" w:cs="Segoe UI"/>
          <w:color w:val="000091" w:themeColor="text1"/>
          <w:sz w:val="20"/>
          <w:szCs w:val="20"/>
        </w:rPr>
        <w:t xml:space="preserve"> </w:t>
      </w:r>
      <w:r w:rsidR="00AD2862" w:rsidRPr="00AF319E">
        <w:rPr>
          <w:rFonts w:ascii="Segoe UI" w:hAnsi="Segoe UI" w:cs="Segoe UI"/>
          <w:color w:val="000091" w:themeColor="text1"/>
          <w:sz w:val="20"/>
          <w:szCs w:val="20"/>
        </w:rPr>
        <w:t>% du total)</w:t>
      </w:r>
      <w:r w:rsidR="00BC5173">
        <w:rPr>
          <w:rFonts w:ascii="Segoe UI" w:hAnsi="Segoe UI" w:cs="Segoe UI"/>
          <w:color w:val="000091" w:themeColor="text1"/>
          <w:sz w:val="20"/>
          <w:szCs w:val="20"/>
        </w:rPr>
        <w:t xml:space="preserve">, reflet </w:t>
      </w:r>
      <w:r w:rsidR="009049F8">
        <w:rPr>
          <w:rFonts w:ascii="Segoe UI" w:hAnsi="Segoe UI" w:cs="Segoe UI"/>
          <w:color w:val="000091" w:themeColor="text1"/>
          <w:sz w:val="20"/>
          <w:szCs w:val="20"/>
        </w:rPr>
        <w:t xml:space="preserve">de </w:t>
      </w:r>
      <w:r w:rsidR="00BC5173">
        <w:rPr>
          <w:rFonts w:ascii="Segoe UI" w:hAnsi="Segoe UI" w:cs="Segoe UI"/>
          <w:color w:val="000091" w:themeColor="text1"/>
          <w:sz w:val="20"/>
          <w:szCs w:val="20"/>
        </w:rPr>
        <w:t xml:space="preserve">la </w:t>
      </w:r>
      <w:r w:rsidR="009049F8">
        <w:rPr>
          <w:rFonts w:ascii="Segoe UI" w:hAnsi="Segoe UI" w:cs="Segoe UI"/>
          <w:color w:val="000091" w:themeColor="text1"/>
          <w:sz w:val="20"/>
          <w:szCs w:val="20"/>
        </w:rPr>
        <w:t>spécialisation</w:t>
      </w:r>
      <w:r w:rsidR="00086C98">
        <w:rPr>
          <w:rFonts w:ascii="Segoe UI" w:hAnsi="Segoe UI" w:cs="Segoe UI"/>
          <w:color w:val="000091" w:themeColor="text1"/>
          <w:sz w:val="20"/>
          <w:szCs w:val="20"/>
        </w:rPr>
        <w:t xml:space="preserve"> économique du pays</w:t>
      </w:r>
      <w:r w:rsidR="009049F8">
        <w:rPr>
          <w:rFonts w:ascii="Segoe UI" w:hAnsi="Segoe UI" w:cs="Segoe UI"/>
          <w:color w:val="000091" w:themeColor="text1"/>
          <w:sz w:val="20"/>
          <w:szCs w:val="20"/>
        </w:rPr>
        <w:t xml:space="preserve"> – la place financière représentant près de 25,0 % du PIB</w:t>
      </w:r>
      <w:r w:rsidR="00086C98">
        <w:rPr>
          <w:rFonts w:ascii="Segoe UI" w:hAnsi="Segoe UI" w:cs="Segoe UI"/>
          <w:color w:val="000091" w:themeColor="text1"/>
          <w:sz w:val="20"/>
          <w:szCs w:val="20"/>
        </w:rPr>
        <w:t xml:space="preserve"> national</w:t>
      </w:r>
      <w:r w:rsidR="00AD2862" w:rsidRPr="00AF319E">
        <w:rPr>
          <w:rFonts w:ascii="Segoe UI" w:hAnsi="Segoe UI" w:cs="Segoe UI"/>
          <w:color w:val="000091" w:themeColor="text1"/>
          <w:sz w:val="20"/>
          <w:szCs w:val="20"/>
        </w:rPr>
        <w:t>.</w:t>
      </w:r>
      <w:r w:rsidR="00957D4F">
        <w:rPr>
          <w:rFonts w:ascii="Segoe UI" w:hAnsi="Segoe UI" w:cs="Segoe UI"/>
          <w:color w:val="000091" w:themeColor="text1"/>
          <w:sz w:val="20"/>
          <w:szCs w:val="20"/>
        </w:rPr>
        <w:t xml:space="preserve"> </w:t>
      </w:r>
      <w:r w:rsidR="009049F8">
        <w:rPr>
          <w:rFonts w:ascii="Segoe UI" w:hAnsi="Segoe UI" w:cs="Segoe UI"/>
          <w:color w:val="000091" w:themeColor="text1"/>
          <w:sz w:val="20"/>
          <w:szCs w:val="20"/>
        </w:rPr>
        <w:t xml:space="preserve">Cette spécialisation </w:t>
      </w:r>
      <w:r w:rsidR="00086C98">
        <w:rPr>
          <w:rFonts w:ascii="Segoe UI" w:hAnsi="Segoe UI" w:cs="Segoe UI"/>
          <w:color w:val="000091" w:themeColor="text1"/>
          <w:sz w:val="20"/>
          <w:szCs w:val="20"/>
        </w:rPr>
        <w:t xml:space="preserve">confère </w:t>
      </w:r>
      <w:r w:rsidR="009049F8">
        <w:rPr>
          <w:rFonts w:ascii="Segoe UI" w:hAnsi="Segoe UI" w:cs="Segoe UI"/>
          <w:color w:val="000091" w:themeColor="text1"/>
          <w:sz w:val="20"/>
          <w:szCs w:val="20"/>
        </w:rPr>
        <w:t xml:space="preserve">également au Luxembourg </w:t>
      </w:r>
      <w:r w:rsidR="00086C98">
        <w:rPr>
          <w:rFonts w:ascii="Segoe UI" w:hAnsi="Segoe UI" w:cs="Segoe UI"/>
          <w:color w:val="000091" w:themeColor="text1"/>
          <w:sz w:val="20"/>
          <w:szCs w:val="20"/>
        </w:rPr>
        <w:t xml:space="preserve">des échanges </w:t>
      </w:r>
      <w:r w:rsidR="00957D4F">
        <w:rPr>
          <w:rFonts w:ascii="Segoe UI" w:hAnsi="Segoe UI" w:cs="Segoe UI"/>
          <w:color w:val="000091" w:themeColor="text1"/>
          <w:sz w:val="20"/>
          <w:szCs w:val="20"/>
        </w:rPr>
        <w:t>structurellement excédentaires</w:t>
      </w:r>
      <w:r w:rsidR="00086C98">
        <w:rPr>
          <w:rFonts w:ascii="Segoe UI" w:hAnsi="Segoe UI" w:cs="Segoe UI"/>
          <w:color w:val="000091" w:themeColor="text1"/>
          <w:sz w:val="20"/>
          <w:szCs w:val="20"/>
        </w:rPr>
        <w:t xml:space="preserve">, avec un excèdent de </w:t>
      </w:r>
      <w:r w:rsidR="00957D4F">
        <w:rPr>
          <w:rFonts w:ascii="Segoe UI" w:hAnsi="Segoe UI" w:cs="Segoe UI"/>
          <w:color w:val="000091" w:themeColor="text1"/>
          <w:sz w:val="20"/>
          <w:szCs w:val="20"/>
        </w:rPr>
        <w:t>39,0 Md€ </w:t>
      </w:r>
      <w:r w:rsidR="00086C98">
        <w:rPr>
          <w:rFonts w:ascii="Segoe UI" w:hAnsi="Segoe UI" w:cs="Segoe UI"/>
          <w:color w:val="000091" w:themeColor="text1"/>
          <w:sz w:val="20"/>
          <w:szCs w:val="20"/>
        </w:rPr>
        <w:t>en 2024 (</w:t>
      </w:r>
      <w:r w:rsidR="00957D4F">
        <w:rPr>
          <w:rFonts w:ascii="Segoe UI" w:hAnsi="Segoe UI" w:cs="Segoe UI"/>
          <w:color w:val="000091" w:themeColor="text1"/>
          <w:sz w:val="20"/>
          <w:szCs w:val="20"/>
        </w:rPr>
        <w:t>+9,</w:t>
      </w:r>
      <w:r w:rsidR="00C41F08">
        <w:rPr>
          <w:rFonts w:ascii="Segoe UI" w:hAnsi="Segoe UI" w:cs="Segoe UI"/>
          <w:color w:val="000091" w:themeColor="text1"/>
          <w:sz w:val="20"/>
          <w:szCs w:val="20"/>
        </w:rPr>
        <w:t>6</w:t>
      </w:r>
      <w:r w:rsidR="00957D4F">
        <w:rPr>
          <w:rFonts w:ascii="Segoe UI" w:hAnsi="Segoe UI" w:cs="Segoe UI"/>
          <w:color w:val="000091" w:themeColor="text1"/>
          <w:sz w:val="20"/>
          <w:szCs w:val="20"/>
        </w:rPr>
        <w:t xml:space="preserve"> %</w:t>
      </w:r>
      <w:r w:rsidR="00086C98">
        <w:rPr>
          <w:rFonts w:ascii="Segoe UI" w:hAnsi="Segoe UI" w:cs="Segoe UI"/>
          <w:color w:val="000091" w:themeColor="text1"/>
          <w:sz w:val="20"/>
          <w:szCs w:val="20"/>
        </w:rPr>
        <w:t xml:space="preserve"> en </w:t>
      </w:r>
      <w:proofErr w:type="spellStart"/>
      <w:r w:rsidR="00086C98">
        <w:rPr>
          <w:rFonts w:ascii="Segoe UI" w:hAnsi="Segoe UI" w:cs="Segoe UI"/>
          <w:color w:val="000091" w:themeColor="text1"/>
          <w:sz w:val="20"/>
          <w:szCs w:val="20"/>
        </w:rPr>
        <w:t>g.</w:t>
      </w:r>
      <w:r w:rsidR="00F66DAF">
        <w:rPr>
          <w:rFonts w:ascii="Segoe UI" w:hAnsi="Segoe UI" w:cs="Segoe UI"/>
          <w:color w:val="000091" w:themeColor="text1"/>
          <w:sz w:val="20"/>
          <w:szCs w:val="20"/>
        </w:rPr>
        <w:t>a</w:t>
      </w:r>
      <w:proofErr w:type="spellEnd"/>
      <w:r w:rsidR="00086C98">
        <w:rPr>
          <w:rFonts w:ascii="Segoe UI" w:hAnsi="Segoe UI" w:cs="Segoe UI"/>
          <w:color w:val="000091" w:themeColor="text1"/>
          <w:sz w:val="20"/>
          <w:szCs w:val="20"/>
        </w:rPr>
        <w:t>.</w:t>
      </w:r>
      <w:r w:rsidR="00957D4F">
        <w:rPr>
          <w:rFonts w:ascii="Segoe UI" w:hAnsi="Segoe UI" w:cs="Segoe UI"/>
          <w:color w:val="000091" w:themeColor="text1"/>
          <w:sz w:val="20"/>
          <w:szCs w:val="20"/>
        </w:rPr>
        <w:t>).</w:t>
      </w:r>
      <w:r w:rsidR="00B53D0D">
        <w:rPr>
          <w:rFonts w:ascii="Segoe UI" w:hAnsi="Segoe UI" w:cs="Segoe UI"/>
          <w:color w:val="000091" w:themeColor="text1"/>
          <w:sz w:val="20"/>
          <w:szCs w:val="20"/>
        </w:rPr>
        <w:t xml:space="preserve"> </w:t>
      </w:r>
      <w:r w:rsidR="00A40ED9" w:rsidRPr="00AF319E">
        <w:rPr>
          <w:rFonts w:ascii="Segoe UI" w:hAnsi="Segoe UI" w:cs="Segoe UI"/>
          <w:color w:val="000091" w:themeColor="text1"/>
          <w:sz w:val="20"/>
          <w:szCs w:val="20"/>
        </w:rPr>
        <w:t>L’U</w:t>
      </w:r>
      <w:r w:rsidR="00086C98">
        <w:rPr>
          <w:rFonts w:ascii="Segoe UI" w:hAnsi="Segoe UI" w:cs="Segoe UI"/>
          <w:color w:val="000091" w:themeColor="text1"/>
          <w:sz w:val="20"/>
          <w:szCs w:val="20"/>
        </w:rPr>
        <w:t>nion européenne</w:t>
      </w:r>
      <w:r w:rsidR="00A40ED9" w:rsidRPr="00AF319E">
        <w:rPr>
          <w:rFonts w:ascii="Segoe UI" w:hAnsi="Segoe UI" w:cs="Segoe UI"/>
          <w:color w:val="000091" w:themeColor="text1"/>
          <w:sz w:val="20"/>
          <w:szCs w:val="20"/>
        </w:rPr>
        <w:t xml:space="preserve"> concentre </w:t>
      </w:r>
      <w:r w:rsidR="006F5C7F" w:rsidRPr="00AF319E">
        <w:rPr>
          <w:rFonts w:ascii="Segoe UI" w:hAnsi="Segoe UI" w:cs="Segoe UI"/>
          <w:color w:val="000091" w:themeColor="text1"/>
          <w:sz w:val="20"/>
          <w:szCs w:val="20"/>
        </w:rPr>
        <w:t>près de 60</w:t>
      </w:r>
      <w:r w:rsidR="00BC5173">
        <w:rPr>
          <w:rFonts w:ascii="Segoe UI" w:hAnsi="Segoe UI" w:cs="Segoe UI"/>
          <w:color w:val="000091" w:themeColor="text1"/>
          <w:sz w:val="20"/>
          <w:szCs w:val="20"/>
        </w:rPr>
        <w:t> </w:t>
      </w:r>
      <w:r w:rsidR="00A40ED9" w:rsidRPr="00AF319E">
        <w:rPr>
          <w:rFonts w:ascii="Segoe UI" w:hAnsi="Segoe UI" w:cs="Segoe UI"/>
          <w:color w:val="000091" w:themeColor="text1"/>
          <w:sz w:val="20"/>
          <w:szCs w:val="20"/>
        </w:rPr>
        <w:t>% des échanges de biens et services</w:t>
      </w:r>
      <w:r w:rsidR="004E00E1">
        <w:rPr>
          <w:rFonts w:ascii="Segoe UI" w:hAnsi="Segoe UI" w:cs="Segoe UI"/>
          <w:color w:val="000091" w:themeColor="text1"/>
          <w:sz w:val="20"/>
          <w:szCs w:val="20"/>
        </w:rPr>
        <w:t xml:space="preserve"> (80% pour les échanges de biens)</w:t>
      </w:r>
      <w:r w:rsidR="006F5C7F" w:rsidRPr="00AF319E">
        <w:rPr>
          <w:rFonts w:ascii="Segoe UI" w:hAnsi="Segoe UI" w:cs="Segoe UI"/>
          <w:color w:val="000091" w:themeColor="text1"/>
          <w:sz w:val="20"/>
          <w:szCs w:val="20"/>
        </w:rPr>
        <w:t>, dont 35,7</w:t>
      </w:r>
      <w:r w:rsidR="00410EC6">
        <w:rPr>
          <w:rFonts w:ascii="Segoe UI" w:hAnsi="Segoe UI" w:cs="Segoe UI"/>
          <w:color w:val="000091" w:themeColor="text1"/>
          <w:sz w:val="20"/>
          <w:szCs w:val="20"/>
        </w:rPr>
        <w:t xml:space="preserve"> </w:t>
      </w:r>
      <w:r w:rsidR="006F5C7F" w:rsidRPr="00AF319E">
        <w:rPr>
          <w:rFonts w:ascii="Segoe UI" w:hAnsi="Segoe UI" w:cs="Segoe UI"/>
          <w:color w:val="000091" w:themeColor="text1"/>
          <w:sz w:val="20"/>
          <w:szCs w:val="20"/>
        </w:rPr>
        <w:t xml:space="preserve">% </w:t>
      </w:r>
      <w:r w:rsidR="004E00E1">
        <w:rPr>
          <w:rFonts w:ascii="Segoe UI" w:hAnsi="Segoe UI" w:cs="Segoe UI"/>
          <w:color w:val="000091" w:themeColor="text1"/>
          <w:sz w:val="20"/>
          <w:szCs w:val="20"/>
        </w:rPr>
        <w:t xml:space="preserve">(55,4% pour les échanges de biens) </w:t>
      </w:r>
      <w:r w:rsidR="006F5C7F" w:rsidRPr="00AF319E">
        <w:rPr>
          <w:rFonts w:ascii="Segoe UI" w:hAnsi="Segoe UI" w:cs="Segoe UI"/>
          <w:color w:val="000091" w:themeColor="text1"/>
          <w:sz w:val="20"/>
          <w:szCs w:val="20"/>
        </w:rPr>
        <w:t>avec les seuls trois pays limitrophes (Allemagne, France, Belgique)</w:t>
      </w:r>
      <w:r w:rsidR="00F84B08">
        <w:rPr>
          <w:rFonts w:ascii="Segoe UI" w:hAnsi="Segoe UI" w:cs="Segoe UI"/>
          <w:color w:val="000091" w:themeColor="text1"/>
          <w:sz w:val="20"/>
          <w:szCs w:val="20"/>
        </w:rPr>
        <w:t xml:space="preserve">. </w:t>
      </w:r>
    </w:p>
    <w:p w14:paraId="587347D0" w14:textId="66746988" w:rsidR="00982781" w:rsidRDefault="00B53D0D" w:rsidP="00F84B08">
      <w:pPr>
        <w:pStyle w:val="Sansinterligne"/>
        <w:spacing w:after="120"/>
        <w:ind w:left="-284"/>
        <w:jc w:val="both"/>
        <w:rPr>
          <w:rFonts w:ascii="Segoe UI" w:hAnsi="Segoe UI" w:cs="Segoe UI"/>
          <w:b/>
          <w:bCs/>
          <w:color w:val="000091" w:themeColor="text1"/>
          <w:sz w:val="20"/>
          <w:szCs w:val="20"/>
        </w:rPr>
      </w:pPr>
      <w:r w:rsidRPr="000D7DB1">
        <w:rPr>
          <w:rFonts w:ascii="Segoe UI" w:hAnsi="Segoe UI" w:cs="Segoe UI"/>
          <w:b/>
          <w:bCs/>
          <w:color w:val="000091" w:themeColor="text1"/>
          <w:sz w:val="20"/>
          <w:szCs w:val="20"/>
        </w:rPr>
        <w:t>Toujours excédentaires, les échanges de bi</w:t>
      </w:r>
      <w:r w:rsidR="00CC4EA4" w:rsidRPr="000D7DB1">
        <w:rPr>
          <w:rFonts w:ascii="Segoe UI" w:hAnsi="Segoe UI" w:cs="Segoe UI"/>
          <w:b/>
          <w:bCs/>
          <w:color w:val="000091" w:themeColor="text1"/>
          <w:sz w:val="20"/>
          <w:szCs w:val="20"/>
        </w:rPr>
        <w:t>ens et de services ont atteint un nouveau record en 2024</w:t>
      </w:r>
      <w:r w:rsidR="00DE7BE0">
        <w:rPr>
          <w:rFonts w:ascii="Segoe UI" w:hAnsi="Segoe UI" w:cs="Segoe UI"/>
          <w:b/>
          <w:bCs/>
          <w:color w:val="000091" w:themeColor="text1"/>
          <w:sz w:val="20"/>
          <w:szCs w:val="20"/>
        </w:rPr>
        <w:t>.</w:t>
      </w:r>
    </w:p>
    <w:p w14:paraId="02652759" w14:textId="076EB080" w:rsidR="00295221" w:rsidRDefault="000D7DB1" w:rsidP="00F84B08">
      <w:pPr>
        <w:pStyle w:val="Brvesco-Normal"/>
        <w:spacing w:after="120"/>
        <w:ind w:left="-283"/>
        <w:rPr>
          <w:rFonts w:ascii="Segoe UI" w:hAnsi="Segoe UI" w:cs="Segoe UI"/>
          <w:szCs w:val="20"/>
        </w:rPr>
      </w:pPr>
      <w:r w:rsidRPr="0094570B">
        <w:rPr>
          <w:rFonts w:ascii="Segoe UI" w:hAnsi="Segoe UI" w:cs="Segoe UI"/>
          <w:b/>
          <w:bCs/>
          <w:szCs w:val="20"/>
        </w:rPr>
        <w:t>En progression continue depuis une décennie</w:t>
      </w:r>
      <w:r w:rsidR="00295221">
        <w:rPr>
          <w:rFonts w:ascii="Segoe UI" w:hAnsi="Segoe UI" w:cs="Segoe UI"/>
          <w:b/>
          <w:bCs/>
          <w:szCs w:val="20"/>
        </w:rPr>
        <w:t>,</w:t>
      </w:r>
      <w:r w:rsidRPr="0094570B">
        <w:rPr>
          <w:rFonts w:ascii="Segoe UI" w:hAnsi="Segoe UI" w:cs="Segoe UI"/>
          <w:b/>
          <w:bCs/>
          <w:szCs w:val="20"/>
        </w:rPr>
        <w:t xml:space="preserve"> la valeur des biens et services échangés atteignait </w:t>
      </w:r>
      <w:r w:rsidR="004F44D9" w:rsidRPr="0094570B">
        <w:rPr>
          <w:rFonts w:ascii="Segoe UI" w:hAnsi="Segoe UI" w:cs="Segoe UI"/>
          <w:b/>
          <w:bCs/>
          <w:szCs w:val="20"/>
        </w:rPr>
        <w:t>334,8</w:t>
      </w:r>
      <w:r w:rsidRPr="0094570B">
        <w:rPr>
          <w:rFonts w:ascii="Segoe UI" w:hAnsi="Segoe UI" w:cs="Segoe UI"/>
          <w:b/>
          <w:bCs/>
          <w:szCs w:val="20"/>
        </w:rPr>
        <w:t xml:space="preserve"> Md€</w:t>
      </w:r>
      <w:r w:rsidR="00F66DAF">
        <w:rPr>
          <w:rFonts w:ascii="Segoe UI" w:hAnsi="Segoe UI" w:cs="Segoe UI"/>
          <w:b/>
          <w:bCs/>
          <w:szCs w:val="20"/>
        </w:rPr>
        <w:t xml:space="preserve"> en 2024</w:t>
      </w:r>
      <w:r w:rsidRPr="0094570B">
        <w:rPr>
          <w:rFonts w:ascii="Segoe UI" w:hAnsi="Segoe UI" w:cs="Segoe UI"/>
          <w:b/>
          <w:bCs/>
          <w:szCs w:val="20"/>
        </w:rPr>
        <w:t>,</w:t>
      </w:r>
      <w:r w:rsidRPr="003A5B11">
        <w:rPr>
          <w:rFonts w:ascii="Segoe UI" w:hAnsi="Segoe UI" w:cs="Segoe UI"/>
          <w:szCs w:val="20"/>
        </w:rPr>
        <w:t xml:space="preserve"> </w:t>
      </w:r>
      <w:r w:rsidRPr="003A5B11">
        <w:rPr>
          <w:rFonts w:ascii="Segoe UI" w:hAnsi="Segoe UI" w:cs="Segoe UI"/>
          <w:b/>
          <w:bCs/>
          <w:szCs w:val="20"/>
        </w:rPr>
        <w:t>soit env</w:t>
      </w:r>
      <w:r w:rsidR="00295221">
        <w:rPr>
          <w:rFonts w:ascii="Segoe UI" w:hAnsi="Segoe UI" w:cs="Segoe UI"/>
          <w:b/>
          <w:bCs/>
          <w:szCs w:val="20"/>
        </w:rPr>
        <w:t xml:space="preserve">iron </w:t>
      </w:r>
      <w:r w:rsidRPr="003A5B11">
        <w:rPr>
          <w:rFonts w:ascii="Segoe UI" w:hAnsi="Segoe UI" w:cs="Segoe UI"/>
          <w:b/>
          <w:bCs/>
          <w:szCs w:val="20"/>
        </w:rPr>
        <w:t>3</w:t>
      </w:r>
      <w:r w:rsidR="008E049E" w:rsidRPr="003A5B11">
        <w:rPr>
          <w:rFonts w:ascii="Segoe UI" w:hAnsi="Segoe UI" w:cs="Segoe UI"/>
          <w:b/>
          <w:bCs/>
          <w:szCs w:val="20"/>
        </w:rPr>
        <w:t>9</w:t>
      </w:r>
      <w:r w:rsidRPr="003A5B11">
        <w:rPr>
          <w:rFonts w:ascii="Segoe UI" w:hAnsi="Segoe UI" w:cs="Segoe UI"/>
          <w:b/>
          <w:bCs/>
          <w:szCs w:val="20"/>
        </w:rPr>
        <w:t>0</w:t>
      </w:r>
      <w:r w:rsidR="00F96104">
        <w:rPr>
          <w:rFonts w:ascii="Segoe UI" w:hAnsi="Segoe UI" w:cs="Segoe UI"/>
          <w:b/>
          <w:bCs/>
          <w:szCs w:val="20"/>
        </w:rPr>
        <w:t> </w:t>
      </w:r>
      <w:r w:rsidRPr="003A5B11">
        <w:rPr>
          <w:rFonts w:ascii="Segoe UI" w:hAnsi="Segoe UI" w:cs="Segoe UI"/>
          <w:b/>
          <w:bCs/>
          <w:szCs w:val="20"/>
        </w:rPr>
        <w:t>% du PIB</w:t>
      </w:r>
      <w:r w:rsidRPr="003A5B11">
        <w:rPr>
          <w:rFonts w:ascii="Segoe UI" w:hAnsi="Segoe UI" w:cs="Segoe UI"/>
          <w:szCs w:val="20"/>
        </w:rPr>
        <w:t xml:space="preserve"> (</w:t>
      </w:r>
      <w:r w:rsidRPr="00F84B08">
        <w:rPr>
          <w:rFonts w:ascii="Segoe UI" w:hAnsi="Segoe UI" w:cs="Segoe UI"/>
          <w:i/>
          <w:iCs/>
          <w:szCs w:val="20"/>
        </w:rPr>
        <w:t>cf. annexe 2</w:t>
      </w:r>
      <w:r w:rsidRPr="003A5B11">
        <w:rPr>
          <w:rFonts w:ascii="Segoe UI" w:hAnsi="Segoe UI" w:cs="Segoe UI"/>
          <w:szCs w:val="20"/>
        </w:rPr>
        <w:t>)</w:t>
      </w:r>
      <w:r w:rsidR="00F66DAF">
        <w:rPr>
          <w:rFonts w:ascii="Segoe UI" w:hAnsi="Segoe UI" w:cs="Segoe UI"/>
          <w:szCs w:val="20"/>
        </w:rPr>
        <w:t xml:space="preserve">. Cette </w:t>
      </w:r>
      <w:r w:rsidRPr="003A5B11">
        <w:rPr>
          <w:rFonts w:ascii="Segoe UI" w:hAnsi="Segoe UI" w:cs="Segoe UI"/>
          <w:szCs w:val="20"/>
        </w:rPr>
        <w:t>hausse de +</w:t>
      </w:r>
      <w:r w:rsidR="008E049E" w:rsidRPr="003A5B11">
        <w:rPr>
          <w:rFonts w:ascii="Segoe UI" w:hAnsi="Segoe UI" w:cs="Segoe UI"/>
          <w:szCs w:val="20"/>
        </w:rPr>
        <w:t>2</w:t>
      </w:r>
      <w:r w:rsidRPr="003A5B11">
        <w:rPr>
          <w:rFonts w:ascii="Segoe UI" w:hAnsi="Segoe UI" w:cs="Segoe UI"/>
          <w:szCs w:val="20"/>
        </w:rPr>
        <w:t>,8</w:t>
      </w:r>
      <w:r w:rsidR="00F96104">
        <w:rPr>
          <w:rFonts w:ascii="Segoe UI" w:hAnsi="Segoe UI" w:cs="Segoe UI"/>
          <w:szCs w:val="20"/>
        </w:rPr>
        <w:t> </w:t>
      </w:r>
      <w:r w:rsidRPr="003A5B11">
        <w:rPr>
          <w:rFonts w:ascii="Segoe UI" w:hAnsi="Segoe UI" w:cs="Segoe UI"/>
          <w:szCs w:val="20"/>
        </w:rPr>
        <w:t>%</w:t>
      </w:r>
      <w:r w:rsidR="00F66DAF">
        <w:rPr>
          <w:rFonts w:ascii="Segoe UI" w:hAnsi="Segoe UI" w:cs="Segoe UI"/>
          <w:szCs w:val="20"/>
        </w:rPr>
        <w:t xml:space="preserve"> en </w:t>
      </w:r>
      <w:proofErr w:type="spellStart"/>
      <w:r w:rsidR="00F66DAF">
        <w:rPr>
          <w:rFonts w:ascii="Segoe UI" w:hAnsi="Segoe UI" w:cs="Segoe UI"/>
          <w:szCs w:val="20"/>
        </w:rPr>
        <w:t>g.a</w:t>
      </w:r>
      <w:proofErr w:type="spellEnd"/>
      <w:r w:rsidR="00F66DAF">
        <w:rPr>
          <w:rFonts w:ascii="Segoe UI" w:hAnsi="Segoe UI" w:cs="Segoe UI"/>
          <w:szCs w:val="20"/>
        </w:rPr>
        <w:t xml:space="preserve">. </w:t>
      </w:r>
      <w:r w:rsidR="00BF5E5B">
        <w:rPr>
          <w:rFonts w:ascii="Segoe UI" w:hAnsi="Segoe UI" w:cs="Segoe UI"/>
          <w:szCs w:val="20"/>
        </w:rPr>
        <w:t>a été</w:t>
      </w:r>
      <w:r w:rsidRPr="003A5B11">
        <w:rPr>
          <w:rFonts w:ascii="Segoe UI" w:hAnsi="Segoe UI" w:cs="Segoe UI"/>
          <w:szCs w:val="20"/>
        </w:rPr>
        <w:t xml:space="preserve"> davantage </w:t>
      </w:r>
      <w:r w:rsidR="00F66DAF">
        <w:rPr>
          <w:rFonts w:ascii="Segoe UI" w:hAnsi="Segoe UI" w:cs="Segoe UI"/>
          <w:szCs w:val="20"/>
        </w:rPr>
        <w:t>portée par la progression d</w:t>
      </w:r>
      <w:r w:rsidRPr="003A5B11">
        <w:rPr>
          <w:rFonts w:ascii="Segoe UI" w:hAnsi="Segoe UI" w:cs="Segoe UI"/>
          <w:szCs w:val="20"/>
        </w:rPr>
        <w:t xml:space="preserve">es </w:t>
      </w:r>
      <w:r w:rsidR="006F164F" w:rsidRPr="003A5B11">
        <w:rPr>
          <w:rFonts w:ascii="Segoe UI" w:hAnsi="Segoe UI" w:cs="Segoe UI"/>
          <w:szCs w:val="20"/>
        </w:rPr>
        <w:t>exportations</w:t>
      </w:r>
      <w:r w:rsidRPr="003A5B11">
        <w:rPr>
          <w:rFonts w:ascii="Segoe UI" w:hAnsi="Segoe UI" w:cs="Segoe UI"/>
          <w:szCs w:val="20"/>
        </w:rPr>
        <w:t xml:space="preserve"> (+</w:t>
      </w:r>
      <w:r w:rsidR="006F164F" w:rsidRPr="003A5B11">
        <w:rPr>
          <w:rFonts w:ascii="Segoe UI" w:hAnsi="Segoe UI" w:cs="Segoe UI"/>
          <w:szCs w:val="20"/>
        </w:rPr>
        <w:t>3,5</w:t>
      </w:r>
      <w:r w:rsidR="00F96104">
        <w:rPr>
          <w:rFonts w:ascii="Segoe UI" w:hAnsi="Segoe UI" w:cs="Segoe UI"/>
          <w:szCs w:val="20"/>
        </w:rPr>
        <w:t> </w:t>
      </w:r>
      <w:r w:rsidRPr="003A5B11">
        <w:rPr>
          <w:rFonts w:ascii="Segoe UI" w:hAnsi="Segoe UI" w:cs="Segoe UI"/>
          <w:szCs w:val="20"/>
        </w:rPr>
        <w:t xml:space="preserve">% en </w:t>
      </w:r>
      <w:proofErr w:type="spellStart"/>
      <w:r w:rsidRPr="003A5B11">
        <w:rPr>
          <w:rFonts w:ascii="Segoe UI" w:hAnsi="Segoe UI" w:cs="Segoe UI"/>
          <w:szCs w:val="20"/>
        </w:rPr>
        <w:t>g.a</w:t>
      </w:r>
      <w:proofErr w:type="spellEnd"/>
      <w:r w:rsidRPr="003A5B11">
        <w:rPr>
          <w:rFonts w:ascii="Segoe UI" w:hAnsi="Segoe UI" w:cs="Segoe UI"/>
          <w:szCs w:val="20"/>
        </w:rPr>
        <w:t>, 1</w:t>
      </w:r>
      <w:r w:rsidR="006F164F" w:rsidRPr="003A5B11">
        <w:rPr>
          <w:rFonts w:ascii="Segoe UI" w:hAnsi="Segoe UI" w:cs="Segoe UI"/>
          <w:szCs w:val="20"/>
        </w:rPr>
        <w:t>86,9</w:t>
      </w:r>
      <w:r w:rsidRPr="003A5B11">
        <w:rPr>
          <w:rFonts w:ascii="Segoe UI" w:hAnsi="Segoe UI" w:cs="Segoe UI"/>
          <w:szCs w:val="20"/>
        </w:rPr>
        <w:t xml:space="preserve"> Md€) que </w:t>
      </w:r>
      <w:r w:rsidR="00AB05C8">
        <w:rPr>
          <w:rFonts w:ascii="Segoe UI" w:hAnsi="Segoe UI" w:cs="Segoe UI"/>
          <w:szCs w:val="20"/>
        </w:rPr>
        <w:t>d</w:t>
      </w:r>
      <w:r w:rsidRPr="003A5B11">
        <w:rPr>
          <w:rFonts w:ascii="Segoe UI" w:hAnsi="Segoe UI" w:cs="Segoe UI"/>
          <w:szCs w:val="20"/>
        </w:rPr>
        <w:t xml:space="preserve">es </w:t>
      </w:r>
      <w:r w:rsidR="006F164F" w:rsidRPr="003A5B11">
        <w:rPr>
          <w:rFonts w:ascii="Segoe UI" w:hAnsi="Segoe UI" w:cs="Segoe UI"/>
          <w:szCs w:val="20"/>
        </w:rPr>
        <w:t>importations</w:t>
      </w:r>
      <w:r w:rsidRPr="003A5B11">
        <w:rPr>
          <w:rFonts w:ascii="Segoe UI" w:hAnsi="Segoe UI" w:cs="Segoe UI"/>
          <w:szCs w:val="20"/>
        </w:rPr>
        <w:t xml:space="preserve"> (+</w:t>
      </w:r>
      <w:r w:rsidR="006F164F" w:rsidRPr="003A5B11">
        <w:rPr>
          <w:rFonts w:ascii="Segoe UI" w:hAnsi="Segoe UI" w:cs="Segoe UI"/>
          <w:szCs w:val="20"/>
        </w:rPr>
        <w:t>2</w:t>
      </w:r>
      <w:r w:rsidR="00F96104">
        <w:rPr>
          <w:rFonts w:ascii="Segoe UI" w:hAnsi="Segoe UI" w:cs="Segoe UI"/>
          <w:szCs w:val="20"/>
        </w:rPr>
        <w:t>,0 </w:t>
      </w:r>
      <w:r w:rsidRPr="003A5B11">
        <w:rPr>
          <w:rFonts w:ascii="Segoe UI" w:hAnsi="Segoe UI" w:cs="Segoe UI"/>
          <w:szCs w:val="20"/>
        </w:rPr>
        <w:t>%, 1</w:t>
      </w:r>
      <w:r w:rsidR="006F164F" w:rsidRPr="003A5B11">
        <w:rPr>
          <w:rFonts w:ascii="Segoe UI" w:hAnsi="Segoe UI" w:cs="Segoe UI"/>
          <w:szCs w:val="20"/>
        </w:rPr>
        <w:t xml:space="preserve">47,9 </w:t>
      </w:r>
      <w:r w:rsidRPr="003A5B11">
        <w:rPr>
          <w:rFonts w:ascii="Segoe UI" w:hAnsi="Segoe UI" w:cs="Segoe UI"/>
          <w:szCs w:val="20"/>
        </w:rPr>
        <w:t xml:space="preserve">Md€). </w:t>
      </w:r>
      <w:r w:rsidR="00BF5E5B">
        <w:rPr>
          <w:rFonts w:ascii="Segoe UI" w:hAnsi="Segoe UI" w:cs="Segoe UI"/>
          <w:szCs w:val="20"/>
        </w:rPr>
        <w:t>Malgré une légère inflexion des échanges de bien en 2020, l</w:t>
      </w:r>
      <w:r w:rsidR="00BF5E5B" w:rsidRPr="00F66DAF">
        <w:rPr>
          <w:rFonts w:ascii="Segoe UI" w:hAnsi="Segoe UI" w:cs="Segoe UI"/>
          <w:szCs w:val="20"/>
        </w:rPr>
        <w:t xml:space="preserve">e </w:t>
      </w:r>
      <w:r w:rsidR="006F164F" w:rsidRPr="003A5B11">
        <w:rPr>
          <w:rFonts w:ascii="Segoe UI" w:hAnsi="Segoe UI" w:cs="Segoe UI"/>
          <w:szCs w:val="20"/>
        </w:rPr>
        <w:t xml:space="preserve">dynamisme des échanges </w:t>
      </w:r>
      <w:r w:rsidR="00BF5E5B">
        <w:rPr>
          <w:rFonts w:ascii="Segoe UI" w:hAnsi="Segoe UI" w:cs="Segoe UI"/>
          <w:szCs w:val="20"/>
        </w:rPr>
        <w:t xml:space="preserve">(biens et services) </w:t>
      </w:r>
      <w:r w:rsidR="00BF5E5B" w:rsidRPr="00F66DAF">
        <w:rPr>
          <w:rFonts w:ascii="Segoe UI" w:hAnsi="Segoe UI" w:cs="Segoe UI"/>
          <w:szCs w:val="20"/>
        </w:rPr>
        <w:t>ne s’est pas essoufflé malgré les chocs récents : ni la crise sanitaire, ni le conflit RU-UA n’ont freiné leur expansion. Depuis 2019, la valeur totale des échanges a ainsi progressé de +42,9 %, avec une hausse de +45,6 % pour les exportations et de +39,5 % pour les importations</w:t>
      </w:r>
      <w:r w:rsidR="00BF5E5B">
        <w:rPr>
          <w:rFonts w:ascii="Segoe UI" w:hAnsi="Segoe UI" w:cs="Segoe UI"/>
          <w:szCs w:val="20"/>
        </w:rPr>
        <w:t xml:space="preserve">. </w:t>
      </w:r>
      <w:r w:rsidR="007626EF" w:rsidRPr="003A5B11">
        <w:rPr>
          <w:rFonts w:ascii="Segoe UI" w:hAnsi="Segoe UI" w:cs="Segoe UI"/>
          <w:szCs w:val="20"/>
          <w:u w:val="single"/>
        </w:rPr>
        <w:t>L</w:t>
      </w:r>
      <w:r w:rsidR="00BF5E5B">
        <w:rPr>
          <w:rFonts w:ascii="Segoe UI" w:hAnsi="Segoe UI" w:cs="Segoe UI"/>
          <w:szCs w:val="20"/>
          <w:u w:val="single"/>
        </w:rPr>
        <w:t xml:space="preserve">e Luxembourg continue par ailleurs de dégager un </w:t>
      </w:r>
      <w:r w:rsidR="00982781" w:rsidRPr="003A5B11">
        <w:rPr>
          <w:rFonts w:ascii="Segoe UI" w:hAnsi="Segoe UI" w:cs="Segoe UI"/>
          <w:szCs w:val="20"/>
          <w:u w:val="single"/>
        </w:rPr>
        <w:t>excédent structurel</w:t>
      </w:r>
      <w:r w:rsidR="00860A12">
        <w:rPr>
          <w:rFonts w:ascii="Segoe UI" w:hAnsi="Segoe UI" w:cs="Segoe UI"/>
          <w:szCs w:val="20"/>
          <w:u w:val="single"/>
        </w:rPr>
        <w:t>, s’élevant à</w:t>
      </w:r>
      <w:r w:rsidR="00982781" w:rsidRPr="003A5B11">
        <w:rPr>
          <w:rFonts w:ascii="Segoe UI" w:hAnsi="Segoe UI" w:cs="Segoe UI"/>
          <w:szCs w:val="20"/>
          <w:u w:val="single"/>
        </w:rPr>
        <w:t xml:space="preserve"> </w:t>
      </w:r>
      <w:r w:rsidR="007626EF" w:rsidRPr="003A5B11">
        <w:rPr>
          <w:rFonts w:ascii="Segoe UI" w:hAnsi="Segoe UI" w:cs="Segoe UI"/>
          <w:szCs w:val="20"/>
          <w:u w:val="single"/>
        </w:rPr>
        <w:t>39,0 Md</w:t>
      </w:r>
      <w:r w:rsidR="00982781" w:rsidRPr="003A5B11">
        <w:rPr>
          <w:rFonts w:ascii="Segoe UI" w:hAnsi="Segoe UI" w:cs="Segoe UI"/>
          <w:szCs w:val="20"/>
          <w:u w:val="single"/>
        </w:rPr>
        <w:t>€</w:t>
      </w:r>
      <w:r w:rsidR="00860A12">
        <w:rPr>
          <w:rFonts w:ascii="Segoe UI" w:hAnsi="Segoe UI" w:cs="Segoe UI"/>
          <w:szCs w:val="20"/>
          <w:u w:val="single"/>
        </w:rPr>
        <w:t xml:space="preserve"> en 2024</w:t>
      </w:r>
      <w:r w:rsidR="007626EF" w:rsidRPr="003A5B11">
        <w:rPr>
          <w:rFonts w:ascii="Segoe UI" w:hAnsi="Segoe UI" w:cs="Segoe UI"/>
          <w:szCs w:val="20"/>
          <w:u w:val="single"/>
        </w:rPr>
        <w:t xml:space="preserve"> (+9,6</w:t>
      </w:r>
      <w:r w:rsidR="00295221">
        <w:rPr>
          <w:rFonts w:ascii="Segoe UI" w:hAnsi="Segoe UI" w:cs="Segoe UI"/>
          <w:szCs w:val="20"/>
          <w:u w:val="single"/>
        </w:rPr>
        <w:t> </w:t>
      </w:r>
      <w:r w:rsidR="007626EF" w:rsidRPr="003A5B11">
        <w:rPr>
          <w:rFonts w:ascii="Segoe UI" w:hAnsi="Segoe UI" w:cs="Segoe UI"/>
          <w:szCs w:val="20"/>
          <w:u w:val="single"/>
        </w:rPr>
        <w:t>%)</w:t>
      </w:r>
      <w:r w:rsidR="00860A12">
        <w:rPr>
          <w:rFonts w:ascii="Segoe UI" w:hAnsi="Segoe UI" w:cs="Segoe UI"/>
          <w:szCs w:val="20"/>
        </w:rPr>
        <w:t>, dont</w:t>
      </w:r>
      <w:r w:rsidR="00982781" w:rsidRPr="003A5B11">
        <w:rPr>
          <w:rFonts w:ascii="Segoe UI" w:hAnsi="Segoe UI" w:cs="Segoe UI"/>
          <w:szCs w:val="20"/>
        </w:rPr>
        <w:t xml:space="preserve"> </w:t>
      </w:r>
      <w:r w:rsidR="007626EF" w:rsidRPr="003A5B11">
        <w:rPr>
          <w:rFonts w:ascii="Segoe UI" w:hAnsi="Segoe UI" w:cs="Segoe UI"/>
          <w:szCs w:val="20"/>
        </w:rPr>
        <w:t>91,5</w:t>
      </w:r>
      <w:r w:rsidR="00295221">
        <w:rPr>
          <w:rFonts w:ascii="Segoe UI" w:hAnsi="Segoe UI" w:cs="Segoe UI"/>
          <w:szCs w:val="20"/>
        </w:rPr>
        <w:t> </w:t>
      </w:r>
      <w:r w:rsidR="00982781" w:rsidRPr="003A5B11">
        <w:rPr>
          <w:rFonts w:ascii="Segoe UI" w:hAnsi="Segoe UI" w:cs="Segoe UI"/>
          <w:szCs w:val="20"/>
        </w:rPr>
        <w:t xml:space="preserve">% généré auprès de partenaires </w:t>
      </w:r>
      <w:r w:rsidR="00860A12">
        <w:rPr>
          <w:rFonts w:ascii="Segoe UI" w:hAnsi="Segoe UI" w:cs="Segoe UI"/>
          <w:szCs w:val="20"/>
        </w:rPr>
        <w:t>l’Union européenne</w:t>
      </w:r>
      <w:r w:rsidR="00982781" w:rsidRPr="003A5B11">
        <w:rPr>
          <w:rFonts w:ascii="Segoe UI" w:hAnsi="Segoe UI" w:cs="Segoe UI"/>
          <w:szCs w:val="20"/>
        </w:rPr>
        <w:t xml:space="preserve"> - et imputable</w:t>
      </w:r>
      <w:r w:rsidR="00DE7BE0" w:rsidRPr="003A5B11">
        <w:rPr>
          <w:rFonts w:ascii="Segoe UI" w:hAnsi="Segoe UI" w:cs="Segoe UI"/>
          <w:szCs w:val="20"/>
        </w:rPr>
        <w:t xml:space="preserve"> en majorité aux</w:t>
      </w:r>
      <w:r w:rsidR="00982781" w:rsidRPr="003A5B11">
        <w:rPr>
          <w:rFonts w:ascii="Segoe UI" w:hAnsi="Segoe UI" w:cs="Segoe UI"/>
          <w:szCs w:val="20"/>
        </w:rPr>
        <w:t xml:space="preserve"> échanges de services (+</w:t>
      </w:r>
      <w:r w:rsidR="003A5B11" w:rsidRPr="003A5B11">
        <w:rPr>
          <w:rFonts w:ascii="Segoe UI" w:hAnsi="Segoe UI" w:cs="Segoe UI"/>
          <w:szCs w:val="20"/>
        </w:rPr>
        <w:t>37,5</w:t>
      </w:r>
      <w:r w:rsidR="00982781" w:rsidRPr="003A5B11">
        <w:rPr>
          <w:rFonts w:ascii="Segoe UI" w:hAnsi="Segoe UI" w:cs="Segoe UI"/>
          <w:szCs w:val="20"/>
        </w:rPr>
        <w:t xml:space="preserve"> Md€</w:t>
      </w:r>
      <w:r w:rsidR="00D0502E">
        <w:rPr>
          <w:rFonts w:ascii="Segoe UI" w:hAnsi="Segoe UI" w:cs="Segoe UI"/>
          <w:szCs w:val="20"/>
        </w:rPr>
        <w:t xml:space="preserve"> contre +1,5 Md€ pour les échanges de biens</w:t>
      </w:r>
      <w:r w:rsidR="003A5B11" w:rsidRPr="003A5B11">
        <w:rPr>
          <w:rFonts w:ascii="Segoe UI" w:hAnsi="Segoe UI" w:cs="Segoe UI"/>
          <w:szCs w:val="20"/>
        </w:rPr>
        <w:t>)</w:t>
      </w:r>
      <w:r w:rsidR="00D0502E">
        <w:rPr>
          <w:rFonts w:ascii="Segoe UI" w:hAnsi="Segoe UI" w:cs="Segoe UI"/>
          <w:szCs w:val="20"/>
        </w:rPr>
        <w:t xml:space="preserve"> </w:t>
      </w:r>
      <w:r w:rsidR="003A5B11" w:rsidRPr="003A5B11">
        <w:rPr>
          <w:rFonts w:ascii="Segoe UI" w:hAnsi="Segoe UI" w:cs="Segoe UI"/>
          <w:szCs w:val="20"/>
        </w:rPr>
        <w:t xml:space="preserve">selon la méthodologie de la « balance des paiements » du </w:t>
      </w:r>
      <w:r w:rsidR="003A5B11" w:rsidRPr="003A5B11">
        <w:rPr>
          <w:rStyle w:val="Lienhypertexte"/>
          <w:rFonts w:ascii="Segoe UI" w:hAnsi="Segoe UI" w:cs="Segoe UI"/>
          <w:noProof/>
          <w:color w:val="auto"/>
          <w:szCs w:val="20"/>
          <w:u w:val="none"/>
          <w:lang w:val="es-419"/>
        </w:rPr>
        <w:t>Statec, office de statistique luxembourgeois</w:t>
      </w:r>
      <w:r w:rsidR="00982781" w:rsidRPr="003A5B11">
        <w:rPr>
          <w:rFonts w:ascii="Segoe UI" w:hAnsi="Segoe UI" w:cs="Segoe UI"/>
          <w:szCs w:val="20"/>
        </w:rPr>
        <w:t xml:space="preserve">. </w:t>
      </w:r>
    </w:p>
    <w:p w14:paraId="78CEE564" w14:textId="57D8A7CE" w:rsidR="000D7DB1" w:rsidRPr="000D7DB1" w:rsidRDefault="00982781" w:rsidP="00200BE0">
      <w:pPr>
        <w:pStyle w:val="Brvesco-Normal"/>
        <w:spacing w:after="240"/>
        <w:ind w:left="-283"/>
        <w:rPr>
          <w:rFonts w:ascii="Segoe UI" w:hAnsi="Segoe UI" w:cs="Segoe UI"/>
          <w:b/>
          <w:bCs/>
          <w:color w:val="000091" w:themeColor="text1"/>
          <w:szCs w:val="20"/>
        </w:rPr>
      </w:pPr>
      <w:r w:rsidRPr="00200BE0">
        <w:rPr>
          <w:rFonts w:ascii="Segoe UI" w:hAnsi="Segoe UI" w:cs="Segoe UI"/>
          <w:b/>
          <w:bCs/>
          <w:szCs w:val="20"/>
        </w:rPr>
        <w:t>En 202</w:t>
      </w:r>
      <w:r w:rsidR="003A5B11" w:rsidRPr="00200BE0">
        <w:rPr>
          <w:rFonts w:ascii="Segoe UI" w:hAnsi="Segoe UI" w:cs="Segoe UI"/>
          <w:b/>
          <w:bCs/>
          <w:szCs w:val="20"/>
        </w:rPr>
        <w:t>4</w:t>
      </w:r>
      <w:r w:rsidRPr="00200BE0">
        <w:rPr>
          <w:rFonts w:ascii="Segoe UI" w:hAnsi="Segoe UI" w:cs="Segoe UI"/>
          <w:b/>
          <w:bCs/>
          <w:szCs w:val="20"/>
        </w:rPr>
        <w:t>, environ 60</w:t>
      </w:r>
      <w:r w:rsidR="000E7FA3" w:rsidRPr="00200BE0">
        <w:rPr>
          <w:rFonts w:ascii="Segoe UI" w:hAnsi="Segoe UI" w:cs="Segoe UI"/>
          <w:b/>
          <w:bCs/>
          <w:szCs w:val="20"/>
        </w:rPr>
        <w:t> </w:t>
      </w:r>
      <w:r w:rsidRPr="00200BE0">
        <w:rPr>
          <w:rFonts w:ascii="Segoe UI" w:hAnsi="Segoe UI" w:cs="Segoe UI"/>
          <w:b/>
          <w:bCs/>
          <w:szCs w:val="20"/>
        </w:rPr>
        <w:t xml:space="preserve">% des échanges </w:t>
      </w:r>
      <w:r w:rsidR="00860A12">
        <w:rPr>
          <w:rFonts w:ascii="Segoe UI" w:hAnsi="Segoe UI" w:cs="Segoe UI"/>
          <w:b/>
          <w:bCs/>
          <w:szCs w:val="20"/>
        </w:rPr>
        <w:t>ont</w:t>
      </w:r>
      <w:r w:rsidRPr="00200BE0">
        <w:rPr>
          <w:rFonts w:ascii="Segoe UI" w:hAnsi="Segoe UI" w:cs="Segoe UI"/>
          <w:b/>
          <w:bCs/>
          <w:szCs w:val="20"/>
        </w:rPr>
        <w:t xml:space="preserve"> été réalisé</w:t>
      </w:r>
      <w:r w:rsidR="00860A12">
        <w:rPr>
          <w:rFonts w:ascii="Segoe UI" w:hAnsi="Segoe UI" w:cs="Segoe UI"/>
          <w:b/>
          <w:bCs/>
          <w:szCs w:val="20"/>
        </w:rPr>
        <w:t>s</w:t>
      </w:r>
      <w:r w:rsidRPr="00200BE0">
        <w:rPr>
          <w:rFonts w:ascii="Segoe UI" w:hAnsi="Segoe UI" w:cs="Segoe UI"/>
          <w:b/>
          <w:bCs/>
          <w:szCs w:val="20"/>
        </w:rPr>
        <w:t xml:space="preserve"> au sein de l’UE</w:t>
      </w:r>
      <w:r w:rsidR="00860A12">
        <w:rPr>
          <w:rFonts w:ascii="Segoe UI" w:hAnsi="Segoe UI" w:cs="Segoe UI"/>
          <w:b/>
          <w:bCs/>
          <w:szCs w:val="20"/>
        </w:rPr>
        <w:t>, un niveau stable depuis 2017</w:t>
      </w:r>
      <w:r w:rsidRPr="00200BE0">
        <w:rPr>
          <w:rFonts w:ascii="Segoe UI" w:hAnsi="Segoe UI" w:cs="Segoe UI"/>
          <w:b/>
          <w:bCs/>
          <w:szCs w:val="20"/>
        </w:rPr>
        <w:t>.</w:t>
      </w:r>
      <w:r w:rsidRPr="003A5B11">
        <w:rPr>
          <w:rFonts w:ascii="Segoe UI" w:hAnsi="Segoe UI" w:cs="Segoe UI"/>
          <w:szCs w:val="20"/>
        </w:rPr>
        <w:t xml:space="preserve"> Les </w:t>
      </w:r>
      <w:r w:rsidR="00860A12">
        <w:rPr>
          <w:rFonts w:ascii="Segoe UI" w:hAnsi="Segoe UI" w:cs="Segoe UI"/>
          <w:szCs w:val="20"/>
          <w:u w:val="single"/>
        </w:rPr>
        <w:t>cinq</w:t>
      </w:r>
      <w:r w:rsidRPr="003A5B11">
        <w:rPr>
          <w:rFonts w:ascii="Segoe UI" w:hAnsi="Segoe UI" w:cs="Segoe UI"/>
          <w:szCs w:val="20"/>
          <w:u w:val="single"/>
        </w:rPr>
        <w:t xml:space="preserve"> premiers partenaires commerciaux</w:t>
      </w:r>
      <w:r w:rsidRPr="003A5B11">
        <w:rPr>
          <w:rFonts w:ascii="Segoe UI" w:hAnsi="Segoe UI" w:cs="Segoe UI"/>
          <w:szCs w:val="20"/>
        </w:rPr>
        <w:t xml:space="preserve"> du Luxembourg – Allemagne, Royaume-Uni, France, </w:t>
      </w:r>
      <w:r w:rsidR="00860A12" w:rsidRPr="00860A12">
        <w:rPr>
          <w:rFonts w:ascii="Segoe UI" w:hAnsi="Segoe UI" w:cs="Segoe UI"/>
          <w:szCs w:val="20"/>
        </w:rPr>
        <w:t xml:space="preserve">États-Unis </w:t>
      </w:r>
      <w:r w:rsidRPr="003A5B11">
        <w:rPr>
          <w:rFonts w:ascii="Segoe UI" w:hAnsi="Segoe UI" w:cs="Segoe UI"/>
          <w:szCs w:val="20"/>
        </w:rPr>
        <w:t xml:space="preserve">et Italie – concentraient </w:t>
      </w:r>
      <w:r w:rsidR="00536019">
        <w:rPr>
          <w:rFonts w:ascii="Segoe UI" w:hAnsi="Segoe UI" w:cs="Segoe UI"/>
          <w:szCs w:val="20"/>
        </w:rPr>
        <w:t xml:space="preserve">67,3 </w:t>
      </w:r>
      <w:r w:rsidRPr="003A5B11">
        <w:rPr>
          <w:rFonts w:ascii="Segoe UI" w:hAnsi="Segoe UI" w:cs="Segoe UI"/>
          <w:szCs w:val="20"/>
        </w:rPr>
        <w:t xml:space="preserve">% </w:t>
      </w:r>
      <w:r w:rsidR="00F22113">
        <w:rPr>
          <w:rFonts w:ascii="Segoe UI" w:hAnsi="Segoe UI" w:cs="Segoe UI"/>
          <w:szCs w:val="20"/>
        </w:rPr>
        <w:t xml:space="preserve">du total </w:t>
      </w:r>
      <w:r w:rsidRPr="003A5B11">
        <w:rPr>
          <w:rFonts w:ascii="Segoe UI" w:hAnsi="Segoe UI" w:cs="Segoe UI"/>
          <w:szCs w:val="20"/>
        </w:rPr>
        <w:t>des échanges</w:t>
      </w:r>
      <w:r w:rsidR="00F22113">
        <w:rPr>
          <w:rFonts w:ascii="Segoe UI" w:hAnsi="Segoe UI" w:cs="Segoe UI"/>
          <w:szCs w:val="20"/>
        </w:rPr>
        <w:t>.</w:t>
      </w:r>
      <w:r>
        <w:rPr>
          <w:rFonts w:ascii="Segoe UI" w:hAnsi="Segoe UI" w:cs="Segoe UI"/>
          <w:szCs w:val="20"/>
        </w:rPr>
        <w:t xml:space="preserve"> </w:t>
      </w:r>
      <w:r w:rsidR="00F22113">
        <w:rPr>
          <w:rFonts w:ascii="Segoe UI" w:hAnsi="Segoe UI" w:cs="Segoe UI"/>
          <w:szCs w:val="20"/>
        </w:rPr>
        <w:t>L</w:t>
      </w:r>
      <w:r>
        <w:rPr>
          <w:rFonts w:ascii="Segoe UI" w:hAnsi="Segoe UI" w:cs="Segoe UI"/>
          <w:szCs w:val="20"/>
        </w:rPr>
        <w:t>’Allemagne (2</w:t>
      </w:r>
      <w:r w:rsidR="00536019">
        <w:rPr>
          <w:rFonts w:ascii="Segoe UI" w:hAnsi="Segoe UI" w:cs="Segoe UI"/>
          <w:szCs w:val="20"/>
        </w:rPr>
        <w:t xml:space="preserve">1,1 </w:t>
      </w:r>
      <w:r>
        <w:rPr>
          <w:rFonts w:ascii="Segoe UI" w:hAnsi="Segoe UI" w:cs="Segoe UI"/>
          <w:szCs w:val="20"/>
        </w:rPr>
        <w:t>% des exportations), le Royaume-Uni (1</w:t>
      </w:r>
      <w:r w:rsidR="00536019">
        <w:rPr>
          <w:rFonts w:ascii="Segoe UI" w:hAnsi="Segoe UI" w:cs="Segoe UI"/>
          <w:szCs w:val="20"/>
        </w:rPr>
        <w:t xml:space="preserve">5,2 </w:t>
      </w:r>
      <w:r>
        <w:rPr>
          <w:rFonts w:ascii="Segoe UI" w:hAnsi="Segoe UI" w:cs="Segoe UI"/>
          <w:szCs w:val="20"/>
        </w:rPr>
        <w:t>%) et la France (1</w:t>
      </w:r>
      <w:r w:rsidR="00536019">
        <w:rPr>
          <w:rFonts w:ascii="Segoe UI" w:hAnsi="Segoe UI" w:cs="Segoe UI"/>
          <w:szCs w:val="20"/>
        </w:rPr>
        <w:t xml:space="preserve">1,7 </w:t>
      </w:r>
      <w:r>
        <w:rPr>
          <w:rFonts w:ascii="Segoe UI" w:hAnsi="Segoe UI" w:cs="Segoe UI"/>
          <w:szCs w:val="20"/>
        </w:rPr>
        <w:t xml:space="preserve">%) </w:t>
      </w:r>
      <w:r w:rsidR="00F22113">
        <w:rPr>
          <w:rFonts w:ascii="Segoe UI" w:hAnsi="Segoe UI" w:cs="Segoe UI"/>
          <w:szCs w:val="20"/>
        </w:rPr>
        <w:t>sont l</w:t>
      </w:r>
      <w:r>
        <w:rPr>
          <w:rFonts w:ascii="Segoe UI" w:hAnsi="Segoe UI" w:cs="Segoe UI"/>
          <w:szCs w:val="20"/>
        </w:rPr>
        <w:t xml:space="preserve">es principaux </w:t>
      </w:r>
      <w:r>
        <w:rPr>
          <w:rFonts w:ascii="Segoe UI" w:hAnsi="Segoe UI" w:cs="Segoe UI"/>
          <w:szCs w:val="20"/>
          <w:u w:val="single"/>
        </w:rPr>
        <w:t>clients</w:t>
      </w:r>
      <w:r w:rsidR="00F22113">
        <w:rPr>
          <w:rFonts w:ascii="Segoe UI" w:hAnsi="Segoe UI" w:cs="Segoe UI"/>
          <w:szCs w:val="20"/>
        </w:rPr>
        <w:t xml:space="preserve"> du pays, tandis que l</w:t>
      </w:r>
      <w:r>
        <w:rPr>
          <w:rFonts w:ascii="Segoe UI" w:hAnsi="Segoe UI" w:cs="Segoe UI"/>
          <w:szCs w:val="20"/>
        </w:rPr>
        <w:t>’Allemagne (1</w:t>
      </w:r>
      <w:r w:rsidR="0094570B">
        <w:rPr>
          <w:rFonts w:ascii="Segoe UI" w:hAnsi="Segoe UI" w:cs="Segoe UI"/>
          <w:szCs w:val="20"/>
        </w:rPr>
        <w:t>6,8</w:t>
      </w:r>
      <w:r w:rsidR="00536019">
        <w:rPr>
          <w:rFonts w:ascii="Segoe UI" w:hAnsi="Segoe UI" w:cs="Segoe UI"/>
          <w:szCs w:val="20"/>
        </w:rPr>
        <w:t xml:space="preserve"> </w:t>
      </w:r>
      <w:r>
        <w:rPr>
          <w:rFonts w:ascii="Segoe UI" w:hAnsi="Segoe UI" w:cs="Segoe UI"/>
          <w:szCs w:val="20"/>
        </w:rPr>
        <w:t xml:space="preserve">% des importations), </w:t>
      </w:r>
      <w:r w:rsidR="00536019">
        <w:rPr>
          <w:rFonts w:ascii="Segoe UI" w:hAnsi="Segoe UI" w:cs="Segoe UI"/>
          <w:szCs w:val="20"/>
        </w:rPr>
        <w:t>le</w:t>
      </w:r>
      <w:r w:rsidR="0094570B">
        <w:rPr>
          <w:rFonts w:ascii="Segoe UI" w:hAnsi="Segoe UI" w:cs="Segoe UI"/>
          <w:szCs w:val="20"/>
        </w:rPr>
        <w:t xml:space="preserve">s </w:t>
      </w:r>
      <w:r w:rsidR="00F22113" w:rsidRPr="00860A12">
        <w:rPr>
          <w:rFonts w:ascii="Segoe UI" w:hAnsi="Segoe UI" w:cs="Segoe UI"/>
          <w:szCs w:val="20"/>
        </w:rPr>
        <w:t>É</w:t>
      </w:r>
      <w:r w:rsidR="0094570B">
        <w:rPr>
          <w:rFonts w:ascii="Segoe UI" w:hAnsi="Segoe UI" w:cs="Segoe UI"/>
          <w:szCs w:val="20"/>
        </w:rPr>
        <w:t xml:space="preserve">tats-Unis </w:t>
      </w:r>
      <w:r>
        <w:rPr>
          <w:rFonts w:ascii="Segoe UI" w:hAnsi="Segoe UI" w:cs="Segoe UI"/>
          <w:szCs w:val="20"/>
        </w:rPr>
        <w:t>(1</w:t>
      </w:r>
      <w:r w:rsidR="0094570B">
        <w:rPr>
          <w:rFonts w:ascii="Segoe UI" w:hAnsi="Segoe UI" w:cs="Segoe UI"/>
          <w:szCs w:val="20"/>
        </w:rPr>
        <w:t>6,5</w:t>
      </w:r>
      <w:r w:rsidR="00536019">
        <w:rPr>
          <w:rFonts w:ascii="Segoe UI" w:hAnsi="Segoe UI" w:cs="Segoe UI"/>
          <w:szCs w:val="20"/>
        </w:rPr>
        <w:t xml:space="preserve"> </w:t>
      </w:r>
      <w:r>
        <w:rPr>
          <w:rFonts w:ascii="Segoe UI" w:hAnsi="Segoe UI" w:cs="Segoe UI"/>
          <w:szCs w:val="20"/>
        </w:rPr>
        <w:t>%)</w:t>
      </w:r>
      <w:r w:rsidR="00536019">
        <w:rPr>
          <w:rFonts w:ascii="Segoe UI" w:hAnsi="Segoe UI" w:cs="Segoe UI"/>
          <w:szCs w:val="20"/>
        </w:rPr>
        <w:t xml:space="preserve"> et l</w:t>
      </w:r>
      <w:r w:rsidR="0094570B">
        <w:rPr>
          <w:rFonts w:ascii="Segoe UI" w:hAnsi="Segoe UI" w:cs="Segoe UI"/>
          <w:szCs w:val="20"/>
        </w:rPr>
        <w:t>e Royaume-Uni</w:t>
      </w:r>
      <w:r w:rsidR="00536019">
        <w:rPr>
          <w:rFonts w:ascii="Segoe UI" w:hAnsi="Segoe UI" w:cs="Segoe UI"/>
          <w:szCs w:val="20"/>
        </w:rPr>
        <w:t xml:space="preserve"> (1</w:t>
      </w:r>
      <w:r w:rsidR="0094570B">
        <w:rPr>
          <w:rFonts w:ascii="Segoe UI" w:hAnsi="Segoe UI" w:cs="Segoe UI"/>
          <w:szCs w:val="20"/>
        </w:rPr>
        <w:t>3,2</w:t>
      </w:r>
      <w:r w:rsidR="00295221">
        <w:rPr>
          <w:rFonts w:ascii="Segoe UI" w:hAnsi="Segoe UI" w:cs="Segoe UI"/>
          <w:szCs w:val="20"/>
        </w:rPr>
        <w:t> </w:t>
      </w:r>
      <w:r w:rsidR="00536019">
        <w:rPr>
          <w:rFonts w:ascii="Segoe UI" w:hAnsi="Segoe UI" w:cs="Segoe UI"/>
          <w:szCs w:val="20"/>
        </w:rPr>
        <w:t>%)</w:t>
      </w:r>
      <w:r>
        <w:rPr>
          <w:rFonts w:ascii="Segoe UI" w:hAnsi="Segoe UI" w:cs="Segoe UI"/>
          <w:szCs w:val="20"/>
        </w:rPr>
        <w:t xml:space="preserve"> ses principaux </w:t>
      </w:r>
      <w:r>
        <w:rPr>
          <w:rFonts w:ascii="Segoe UI" w:hAnsi="Segoe UI" w:cs="Segoe UI"/>
          <w:szCs w:val="20"/>
          <w:u w:val="single"/>
        </w:rPr>
        <w:t>fournisseurs</w:t>
      </w:r>
      <w:r>
        <w:rPr>
          <w:rFonts w:ascii="Segoe UI" w:hAnsi="Segoe UI" w:cs="Segoe UI"/>
          <w:szCs w:val="20"/>
        </w:rPr>
        <w:t>. En 202</w:t>
      </w:r>
      <w:r w:rsidR="00536019">
        <w:rPr>
          <w:rFonts w:ascii="Segoe UI" w:hAnsi="Segoe UI" w:cs="Segoe UI"/>
          <w:szCs w:val="20"/>
        </w:rPr>
        <w:t>4</w:t>
      </w:r>
      <w:r>
        <w:rPr>
          <w:rFonts w:ascii="Segoe UI" w:hAnsi="Segoe UI" w:cs="Segoe UI"/>
          <w:szCs w:val="20"/>
        </w:rPr>
        <w:t xml:space="preserve">, le Luxembourg enregistrait </w:t>
      </w:r>
      <w:r>
        <w:rPr>
          <w:rFonts w:ascii="Segoe UI" w:hAnsi="Segoe UI" w:cs="Segoe UI"/>
          <w:szCs w:val="20"/>
          <w:u w:val="single"/>
        </w:rPr>
        <w:t>ses excédents les plus significatifs</w:t>
      </w:r>
      <w:r>
        <w:rPr>
          <w:rFonts w:ascii="Segoe UI" w:hAnsi="Segoe UI" w:cs="Segoe UI"/>
          <w:szCs w:val="20"/>
        </w:rPr>
        <w:t xml:space="preserve"> avec l’Allemagne (</w:t>
      </w:r>
      <w:r w:rsidR="00536019">
        <w:rPr>
          <w:rFonts w:ascii="Segoe UI" w:hAnsi="Segoe UI" w:cs="Segoe UI"/>
          <w:szCs w:val="20"/>
        </w:rPr>
        <w:t>14,7</w:t>
      </w:r>
      <w:r>
        <w:rPr>
          <w:rFonts w:ascii="Segoe UI" w:hAnsi="Segoe UI" w:cs="Segoe UI"/>
          <w:szCs w:val="20"/>
        </w:rPr>
        <w:t xml:space="preserve"> Md€), </w:t>
      </w:r>
      <w:r w:rsidR="00536019">
        <w:rPr>
          <w:rFonts w:ascii="Segoe UI" w:hAnsi="Segoe UI" w:cs="Segoe UI"/>
          <w:szCs w:val="20"/>
        </w:rPr>
        <w:t>le Royaume-Uni</w:t>
      </w:r>
      <w:r>
        <w:rPr>
          <w:rFonts w:ascii="Segoe UI" w:hAnsi="Segoe UI" w:cs="Segoe UI"/>
          <w:szCs w:val="20"/>
        </w:rPr>
        <w:t xml:space="preserve"> (</w:t>
      </w:r>
      <w:r w:rsidR="00536019">
        <w:rPr>
          <w:rFonts w:ascii="Segoe UI" w:hAnsi="Segoe UI" w:cs="Segoe UI"/>
          <w:szCs w:val="20"/>
        </w:rPr>
        <w:t>8,9</w:t>
      </w:r>
      <w:r>
        <w:rPr>
          <w:rFonts w:ascii="Segoe UI" w:hAnsi="Segoe UI" w:cs="Segoe UI"/>
          <w:szCs w:val="20"/>
        </w:rPr>
        <w:t xml:space="preserve"> Md€) et la France (</w:t>
      </w:r>
      <w:r w:rsidR="00A3076A">
        <w:rPr>
          <w:rFonts w:ascii="Segoe UI" w:hAnsi="Segoe UI" w:cs="Segoe UI"/>
          <w:szCs w:val="20"/>
        </w:rPr>
        <w:t xml:space="preserve">8,5 </w:t>
      </w:r>
      <w:r>
        <w:rPr>
          <w:rFonts w:ascii="Segoe UI" w:hAnsi="Segoe UI" w:cs="Segoe UI"/>
          <w:szCs w:val="20"/>
        </w:rPr>
        <w:t>Md€)</w:t>
      </w:r>
      <w:r w:rsidR="00F22113">
        <w:rPr>
          <w:rFonts w:ascii="Segoe UI" w:hAnsi="Segoe UI" w:cs="Segoe UI"/>
          <w:szCs w:val="20"/>
        </w:rPr>
        <w:t>, tandis que</w:t>
      </w:r>
      <w:r>
        <w:rPr>
          <w:rFonts w:ascii="Segoe UI" w:hAnsi="Segoe UI" w:cs="Segoe UI"/>
          <w:szCs w:val="20"/>
        </w:rPr>
        <w:t xml:space="preserve"> </w:t>
      </w:r>
      <w:r>
        <w:rPr>
          <w:rFonts w:ascii="Segoe UI" w:hAnsi="Segoe UI" w:cs="Segoe UI"/>
          <w:szCs w:val="20"/>
          <w:u w:val="single"/>
        </w:rPr>
        <w:t>ses</w:t>
      </w:r>
      <w:r w:rsidR="00F22113">
        <w:rPr>
          <w:rFonts w:ascii="Segoe UI" w:hAnsi="Segoe UI" w:cs="Segoe UI"/>
          <w:szCs w:val="20"/>
          <w:u w:val="single"/>
        </w:rPr>
        <w:t xml:space="preserve"> principaux</w:t>
      </w:r>
      <w:r>
        <w:rPr>
          <w:rFonts w:ascii="Segoe UI" w:hAnsi="Segoe UI" w:cs="Segoe UI"/>
          <w:szCs w:val="20"/>
          <w:u w:val="single"/>
        </w:rPr>
        <w:t xml:space="preserve"> déficits </w:t>
      </w:r>
      <w:r w:rsidR="00F22113">
        <w:rPr>
          <w:rFonts w:ascii="Segoe UI" w:hAnsi="Segoe UI" w:cs="Segoe UI"/>
          <w:szCs w:val="20"/>
          <w:u w:val="single"/>
        </w:rPr>
        <w:t xml:space="preserve">concernaient les </w:t>
      </w:r>
      <w:r w:rsidR="00F22113" w:rsidRPr="00860A12">
        <w:rPr>
          <w:rFonts w:ascii="Segoe UI" w:hAnsi="Segoe UI" w:cs="Segoe UI"/>
          <w:szCs w:val="20"/>
        </w:rPr>
        <w:t>É</w:t>
      </w:r>
      <w:r w:rsidR="00A3076A">
        <w:rPr>
          <w:rFonts w:ascii="Segoe UI" w:hAnsi="Segoe UI" w:cs="Segoe UI"/>
          <w:szCs w:val="20"/>
        </w:rPr>
        <w:t>tats-Unis</w:t>
      </w:r>
      <w:r>
        <w:rPr>
          <w:rFonts w:ascii="Segoe UI" w:hAnsi="Segoe UI" w:cs="Segoe UI"/>
          <w:szCs w:val="20"/>
        </w:rPr>
        <w:t xml:space="preserve"> (-1</w:t>
      </w:r>
      <w:r w:rsidR="00A3076A">
        <w:rPr>
          <w:rFonts w:ascii="Segoe UI" w:hAnsi="Segoe UI" w:cs="Segoe UI"/>
          <w:szCs w:val="20"/>
        </w:rPr>
        <w:t>6,9</w:t>
      </w:r>
      <w:r>
        <w:rPr>
          <w:rFonts w:ascii="Segoe UI" w:hAnsi="Segoe UI" w:cs="Segoe UI"/>
          <w:szCs w:val="20"/>
        </w:rPr>
        <w:t xml:space="preserve"> Md€), l’Irlande (-5</w:t>
      </w:r>
      <w:r w:rsidR="00A3076A">
        <w:rPr>
          <w:rFonts w:ascii="Segoe UI" w:hAnsi="Segoe UI" w:cs="Segoe UI"/>
          <w:szCs w:val="20"/>
        </w:rPr>
        <w:t>,1</w:t>
      </w:r>
      <w:r>
        <w:rPr>
          <w:rFonts w:ascii="Segoe UI" w:hAnsi="Segoe UI" w:cs="Segoe UI"/>
          <w:szCs w:val="20"/>
        </w:rPr>
        <w:t xml:space="preserve"> Md€) et Singapour (-4,</w:t>
      </w:r>
      <w:r w:rsidR="00A3076A">
        <w:rPr>
          <w:rFonts w:ascii="Segoe UI" w:hAnsi="Segoe UI" w:cs="Segoe UI"/>
          <w:szCs w:val="20"/>
        </w:rPr>
        <w:t>0</w:t>
      </w:r>
      <w:r>
        <w:rPr>
          <w:rFonts w:ascii="Segoe UI" w:hAnsi="Segoe UI" w:cs="Segoe UI"/>
          <w:szCs w:val="20"/>
        </w:rPr>
        <w:t xml:space="preserve"> Md€). </w:t>
      </w:r>
    </w:p>
    <w:p w14:paraId="5374D058" w14:textId="3F2107FA" w:rsidR="007209E2" w:rsidRPr="000D7DB1" w:rsidRDefault="007D6C8E" w:rsidP="00486083">
      <w:pPr>
        <w:spacing w:before="120"/>
        <w:ind w:left="-284"/>
        <w:jc w:val="both"/>
        <w:rPr>
          <w:rFonts w:ascii="Segoe UI Historic" w:hAnsi="Segoe UI Historic" w:cs="Segoe UI Historic"/>
          <w:b/>
          <w:color w:val="FFFFFF" w:themeColor="background1"/>
          <w:sz w:val="20"/>
          <w:szCs w:val="20"/>
        </w:rPr>
      </w:pPr>
      <w:r w:rsidRPr="000D7DB1">
        <w:rPr>
          <w:rFonts w:ascii="Segoe UI" w:hAnsi="Segoe UI" w:cs="Segoe UI"/>
          <w:b/>
          <w:color w:val="000091" w:themeColor="text1"/>
          <w:sz w:val="20"/>
          <w:szCs w:val="20"/>
        </w:rPr>
        <w:t>Des échanges de biens en</w:t>
      </w:r>
      <w:r w:rsidR="00245CA9" w:rsidRPr="000D7DB1">
        <w:rPr>
          <w:rFonts w:ascii="Segoe UI" w:hAnsi="Segoe UI" w:cs="Segoe UI"/>
          <w:b/>
          <w:color w:val="000091" w:themeColor="text1"/>
          <w:sz w:val="20"/>
          <w:szCs w:val="20"/>
        </w:rPr>
        <w:t xml:space="preserve"> baisse</w:t>
      </w:r>
      <w:r w:rsidRPr="000D7DB1">
        <w:rPr>
          <w:rFonts w:ascii="Segoe UI" w:hAnsi="Segoe UI" w:cs="Segoe UI"/>
          <w:b/>
          <w:color w:val="000091" w:themeColor="text1"/>
          <w:sz w:val="20"/>
          <w:szCs w:val="20"/>
        </w:rPr>
        <w:t xml:space="preserve">, déficitaires et spécialisés. </w:t>
      </w:r>
    </w:p>
    <w:p w14:paraId="60B07E46" w14:textId="6F8C0154" w:rsidR="00295221" w:rsidRPr="00486083" w:rsidRDefault="00E94CCE" w:rsidP="00486083">
      <w:pPr>
        <w:pStyle w:val="Brvesco-Normal"/>
        <w:spacing w:after="120" w:line="240" w:lineRule="auto"/>
        <w:ind w:left="-284"/>
        <w:rPr>
          <w:rFonts w:ascii="Segoe UI" w:hAnsi="Segoe UI" w:cs="Segoe UI"/>
          <w:szCs w:val="20"/>
        </w:rPr>
      </w:pPr>
      <w:r>
        <w:rPr>
          <w:rStyle w:val="Lienhypertexte"/>
          <w:rFonts w:ascii="Segoe UI" w:hAnsi="Segoe UI" w:cs="Segoe UI"/>
          <w:b/>
          <w:bCs/>
          <w:noProof/>
          <w:color w:val="auto"/>
          <w:szCs w:val="20"/>
          <w:u w:val="none"/>
        </w:rPr>
        <w:t>En 2024, le</w:t>
      </w:r>
      <w:r w:rsidR="007D6C8E" w:rsidRPr="00412EBF">
        <w:rPr>
          <w:rStyle w:val="Lienhypertexte"/>
          <w:rFonts w:ascii="Segoe UI" w:hAnsi="Segoe UI" w:cs="Segoe UI"/>
          <w:b/>
          <w:bCs/>
          <w:noProof/>
          <w:color w:val="auto"/>
          <w:szCs w:val="20"/>
          <w:u w:val="none"/>
        </w:rPr>
        <w:t>s échanges de biens ont atteint</w:t>
      </w:r>
      <w:r w:rsidR="00C701D6" w:rsidRPr="00412EBF">
        <w:rPr>
          <w:rStyle w:val="Lienhypertexte"/>
          <w:rFonts w:ascii="Segoe UI" w:hAnsi="Segoe UI" w:cs="Segoe UI"/>
          <w:b/>
          <w:bCs/>
          <w:noProof/>
          <w:color w:val="auto"/>
          <w:szCs w:val="20"/>
          <w:u w:val="none"/>
        </w:rPr>
        <w:t xml:space="preserve"> 38,3 Md</w:t>
      </w:r>
      <w:r w:rsidR="00C701D6" w:rsidRPr="00412EBF">
        <w:rPr>
          <w:rFonts w:ascii="Segoe UI" w:hAnsi="Segoe UI" w:cs="Segoe UI"/>
          <w:b/>
          <w:bCs/>
          <w:color w:val="auto"/>
        </w:rPr>
        <w:t>€</w:t>
      </w:r>
      <w:r>
        <w:rPr>
          <w:rStyle w:val="Lienhypertexte"/>
          <w:rFonts w:ascii="Segoe UI" w:hAnsi="Segoe UI" w:cs="Segoe UI"/>
          <w:b/>
          <w:bCs/>
          <w:noProof/>
          <w:color w:val="auto"/>
          <w:szCs w:val="20"/>
          <w:u w:val="none"/>
        </w:rPr>
        <w:t xml:space="preserve">, dégageant </w:t>
      </w:r>
      <w:r w:rsidR="007D6C8E" w:rsidRPr="00412EBF">
        <w:rPr>
          <w:rStyle w:val="Lienhypertexte"/>
          <w:rFonts w:ascii="Segoe UI" w:hAnsi="Segoe UI" w:cs="Segoe UI"/>
          <w:b/>
          <w:bCs/>
          <w:noProof/>
          <w:color w:val="auto"/>
          <w:szCs w:val="20"/>
          <w:u w:val="none"/>
        </w:rPr>
        <w:t>un solde déficitaire de</w:t>
      </w:r>
      <w:r w:rsidR="00C701D6" w:rsidRPr="00412EBF">
        <w:rPr>
          <w:rStyle w:val="Lienhypertexte"/>
          <w:rFonts w:ascii="Segoe UI" w:hAnsi="Segoe UI" w:cs="Segoe UI"/>
          <w:b/>
          <w:bCs/>
          <w:noProof/>
          <w:color w:val="auto"/>
          <w:szCs w:val="20"/>
          <w:u w:val="none"/>
        </w:rPr>
        <w:t xml:space="preserve"> -8,8 Md</w:t>
      </w:r>
      <w:r w:rsidR="00C701D6" w:rsidRPr="00412EBF">
        <w:rPr>
          <w:rFonts w:ascii="Segoe UI" w:hAnsi="Segoe UI" w:cs="Segoe UI"/>
          <w:b/>
          <w:bCs/>
          <w:color w:val="auto"/>
        </w:rPr>
        <w:t>€</w:t>
      </w:r>
      <w:r w:rsidR="0058488D" w:rsidRPr="00412EBF">
        <w:rPr>
          <w:rFonts w:ascii="Segoe UI" w:hAnsi="Segoe UI" w:cs="Segoe UI"/>
          <w:b/>
          <w:bCs/>
          <w:color w:val="auto"/>
        </w:rPr>
        <w:t xml:space="preserve">. </w:t>
      </w:r>
      <w:r w:rsidR="00A87173" w:rsidRPr="00412EBF">
        <w:rPr>
          <w:rStyle w:val="Lienhypertexte"/>
          <w:rFonts w:ascii="Segoe UI" w:hAnsi="Segoe UI" w:cs="Segoe UI"/>
          <w:noProof/>
          <w:color w:val="auto"/>
          <w:szCs w:val="20"/>
          <w:u w:val="none"/>
          <w:lang w:val="es-419"/>
        </w:rPr>
        <w:t>Selon la méthodologie du “commerce extérieur” du Statec</w:t>
      </w:r>
      <w:r w:rsidR="003A5B11">
        <w:rPr>
          <w:rStyle w:val="Lienhypertexte"/>
          <w:rFonts w:ascii="Segoe UI" w:hAnsi="Segoe UI" w:cs="Segoe UI"/>
          <w:noProof/>
          <w:color w:val="auto"/>
          <w:szCs w:val="20"/>
          <w:u w:val="none"/>
          <w:lang w:val="es-419"/>
        </w:rPr>
        <w:t xml:space="preserve">, </w:t>
      </w:r>
      <w:r>
        <w:rPr>
          <w:rStyle w:val="Lienhypertexte"/>
          <w:rFonts w:ascii="Segoe UI" w:hAnsi="Segoe UI" w:cs="Segoe UI"/>
          <w:noProof/>
          <w:color w:val="auto"/>
          <w:szCs w:val="20"/>
          <w:u w:val="none"/>
          <w:lang w:val="es-419"/>
        </w:rPr>
        <w:t xml:space="preserve">ce montant traduit une </w:t>
      </w:r>
      <w:r w:rsidR="00245CA9" w:rsidRPr="00412EBF">
        <w:rPr>
          <w:rStyle w:val="Lienhypertexte"/>
          <w:rFonts w:ascii="Segoe UI" w:hAnsi="Segoe UI" w:cs="Segoe UI"/>
          <w:noProof/>
          <w:color w:val="auto"/>
          <w:szCs w:val="20"/>
          <w:u w:val="none"/>
          <w:lang w:val="es-419"/>
        </w:rPr>
        <w:t xml:space="preserve">baisse </w:t>
      </w:r>
      <w:r>
        <w:rPr>
          <w:rStyle w:val="Lienhypertexte"/>
          <w:rFonts w:ascii="Segoe UI" w:hAnsi="Segoe UI" w:cs="Segoe UI"/>
          <w:noProof/>
          <w:color w:val="auto"/>
          <w:szCs w:val="20"/>
          <w:u w:val="none"/>
          <w:lang w:val="es-419"/>
        </w:rPr>
        <w:t xml:space="preserve">de </w:t>
      </w:r>
      <w:r w:rsidR="00245CA9" w:rsidRPr="00412EBF">
        <w:rPr>
          <w:rStyle w:val="Lienhypertexte"/>
          <w:rFonts w:ascii="Segoe UI" w:hAnsi="Segoe UI" w:cs="Segoe UI"/>
          <w:noProof/>
          <w:color w:val="auto"/>
          <w:szCs w:val="20"/>
          <w:u w:val="none"/>
          <w:lang w:val="es-419"/>
        </w:rPr>
        <w:t>-4,5</w:t>
      </w:r>
      <w:r w:rsidR="00295221">
        <w:rPr>
          <w:rStyle w:val="Lienhypertexte"/>
          <w:rFonts w:ascii="Segoe UI" w:hAnsi="Segoe UI" w:cs="Segoe UI"/>
          <w:noProof/>
          <w:color w:val="auto"/>
          <w:szCs w:val="20"/>
          <w:u w:val="none"/>
          <w:lang w:val="es-419"/>
        </w:rPr>
        <w:t> </w:t>
      </w:r>
      <w:r w:rsidR="00245CA9" w:rsidRPr="00412EBF">
        <w:rPr>
          <w:rStyle w:val="Lienhypertexte"/>
          <w:rFonts w:ascii="Segoe UI" w:hAnsi="Segoe UI" w:cs="Segoe UI"/>
          <w:noProof/>
          <w:color w:val="auto"/>
          <w:szCs w:val="20"/>
          <w:u w:val="none"/>
          <w:lang w:val="es-419"/>
        </w:rPr>
        <w:t>%</w:t>
      </w:r>
      <w:r>
        <w:rPr>
          <w:rStyle w:val="Lienhypertexte"/>
          <w:rFonts w:ascii="Segoe UI" w:hAnsi="Segoe UI" w:cs="Segoe UI"/>
          <w:noProof/>
          <w:color w:val="auto"/>
          <w:szCs w:val="20"/>
          <w:u w:val="none"/>
          <w:lang w:val="es-419"/>
        </w:rPr>
        <w:t xml:space="preserve"> en g.a., avec</w:t>
      </w:r>
      <w:r w:rsidR="00245CA9" w:rsidRPr="00412EBF">
        <w:rPr>
          <w:rStyle w:val="Lienhypertexte"/>
          <w:rFonts w:ascii="Segoe UI" w:hAnsi="Segoe UI" w:cs="Segoe UI"/>
          <w:noProof/>
          <w:color w:val="auto"/>
          <w:szCs w:val="20"/>
          <w:u w:val="none"/>
          <w:lang w:val="es-419"/>
        </w:rPr>
        <w:t xml:space="preserve"> </w:t>
      </w:r>
      <w:r w:rsidR="006A6E00" w:rsidRPr="00412EBF">
        <w:rPr>
          <w:rFonts w:ascii="Segoe UI" w:hAnsi="Segoe UI" w:cs="Segoe UI"/>
          <w:color w:val="auto"/>
        </w:rPr>
        <w:t>14,7 Md€ d’exportations et 23,6 Md€ d’importations</w:t>
      </w:r>
      <w:r w:rsidR="0058488D" w:rsidRPr="00412EBF">
        <w:rPr>
          <w:rFonts w:ascii="Segoe UI" w:hAnsi="Segoe UI" w:cs="Segoe UI"/>
          <w:color w:val="auto"/>
        </w:rPr>
        <w:t xml:space="preserve"> (</w:t>
      </w:r>
      <w:r w:rsidR="0058488D" w:rsidRPr="00486083">
        <w:rPr>
          <w:rFonts w:ascii="Segoe UI" w:hAnsi="Segoe UI" w:cs="Segoe UI"/>
          <w:i/>
          <w:iCs/>
        </w:rPr>
        <w:t xml:space="preserve">cf. annexe </w:t>
      </w:r>
      <w:r w:rsidR="00D715C3" w:rsidRPr="00486083">
        <w:rPr>
          <w:rFonts w:ascii="Segoe UI" w:hAnsi="Segoe UI" w:cs="Segoe UI"/>
          <w:i/>
          <w:iCs/>
        </w:rPr>
        <w:t>3</w:t>
      </w:r>
      <w:r w:rsidR="0058488D" w:rsidRPr="00412EBF">
        <w:rPr>
          <w:rFonts w:ascii="Segoe UI" w:hAnsi="Segoe UI" w:cs="Segoe UI"/>
          <w:color w:val="auto"/>
        </w:rPr>
        <w:t>)</w:t>
      </w:r>
      <w:r w:rsidR="006A6E00" w:rsidRPr="00412EBF">
        <w:rPr>
          <w:rFonts w:ascii="Segoe UI" w:hAnsi="Segoe UI" w:cs="Segoe UI"/>
          <w:color w:val="auto"/>
        </w:rPr>
        <w:t>. Historiquement déficitaire</w:t>
      </w:r>
      <w:r w:rsidR="0044006E" w:rsidRPr="00412EBF">
        <w:rPr>
          <w:rFonts w:ascii="Segoe UI" w:hAnsi="Segoe UI" w:cs="Segoe UI"/>
          <w:color w:val="auto"/>
        </w:rPr>
        <w:t xml:space="preserve"> en raison d’une </w:t>
      </w:r>
      <w:r w:rsidR="00A06884">
        <w:rPr>
          <w:rFonts w:ascii="Segoe UI" w:hAnsi="Segoe UI" w:cs="Segoe UI"/>
          <w:color w:val="auto"/>
        </w:rPr>
        <w:t xml:space="preserve">forte dépendance </w:t>
      </w:r>
      <w:r>
        <w:rPr>
          <w:rFonts w:ascii="Segoe UI" w:hAnsi="Segoe UI" w:cs="Segoe UI"/>
          <w:color w:val="auto"/>
        </w:rPr>
        <w:t>du pays aux</w:t>
      </w:r>
      <w:r w:rsidR="0044006E" w:rsidRPr="00412EBF">
        <w:rPr>
          <w:rFonts w:ascii="Segoe UI" w:hAnsi="Segoe UI" w:cs="Segoe UI"/>
          <w:color w:val="auto"/>
        </w:rPr>
        <w:t xml:space="preserve"> importations énergétiques et agroalimentaires,</w:t>
      </w:r>
      <w:r w:rsidR="006A6E00" w:rsidRPr="00412EBF">
        <w:rPr>
          <w:rFonts w:ascii="Segoe UI" w:hAnsi="Segoe UI" w:cs="Segoe UI"/>
          <w:color w:val="auto"/>
        </w:rPr>
        <w:t xml:space="preserve"> </w:t>
      </w:r>
      <w:r w:rsidR="002622A4" w:rsidRPr="00412EBF">
        <w:rPr>
          <w:rFonts w:ascii="Segoe UI" w:hAnsi="Segoe UI" w:cs="Segoe UI"/>
          <w:color w:val="auto"/>
        </w:rPr>
        <w:t>le solde commercial s</w:t>
      </w:r>
      <w:r>
        <w:rPr>
          <w:rFonts w:ascii="Segoe UI" w:hAnsi="Segoe UI" w:cs="Segoe UI"/>
          <w:color w:val="auto"/>
        </w:rPr>
        <w:t>’est</w:t>
      </w:r>
      <w:r w:rsidR="002622A4" w:rsidRPr="00412EBF">
        <w:rPr>
          <w:rFonts w:ascii="Segoe UI" w:hAnsi="Segoe UI" w:cs="Segoe UI"/>
          <w:color w:val="auto"/>
        </w:rPr>
        <w:t xml:space="preserve"> </w:t>
      </w:r>
      <w:r w:rsidRPr="00412EBF">
        <w:rPr>
          <w:rFonts w:ascii="Segoe UI" w:hAnsi="Segoe UI" w:cs="Segoe UI"/>
          <w:color w:val="auto"/>
        </w:rPr>
        <w:t xml:space="preserve">légèrement </w:t>
      </w:r>
      <w:r w:rsidR="002622A4" w:rsidRPr="00412EBF">
        <w:rPr>
          <w:rFonts w:ascii="Segoe UI" w:hAnsi="Segoe UI" w:cs="Segoe UI"/>
          <w:color w:val="auto"/>
        </w:rPr>
        <w:t>résorb</w:t>
      </w:r>
      <w:r>
        <w:rPr>
          <w:rFonts w:ascii="Segoe UI" w:hAnsi="Segoe UI" w:cs="Segoe UI"/>
          <w:color w:val="auto"/>
        </w:rPr>
        <w:t>é</w:t>
      </w:r>
      <w:r w:rsidR="002622A4" w:rsidRPr="00412EBF">
        <w:rPr>
          <w:rFonts w:ascii="Segoe UI" w:hAnsi="Segoe UI" w:cs="Segoe UI"/>
          <w:color w:val="auto"/>
        </w:rPr>
        <w:t xml:space="preserve"> en 2024 (-8,8 Md€ ; </w:t>
      </w:r>
      <w:r w:rsidR="00E1452E">
        <w:rPr>
          <w:rFonts w:ascii="Segoe UI" w:hAnsi="Segoe UI" w:cs="Segoe UI"/>
          <w:color w:val="auto"/>
        </w:rPr>
        <w:t>+2,1</w:t>
      </w:r>
      <w:r w:rsidR="00295221">
        <w:rPr>
          <w:rFonts w:ascii="Segoe UI" w:hAnsi="Segoe UI" w:cs="Segoe UI"/>
          <w:color w:val="auto"/>
        </w:rPr>
        <w:t> </w:t>
      </w:r>
      <w:r w:rsidR="002622A4" w:rsidRPr="00412EBF">
        <w:rPr>
          <w:rFonts w:ascii="Segoe UI" w:hAnsi="Segoe UI" w:cs="Segoe UI"/>
          <w:color w:val="auto"/>
        </w:rPr>
        <w:t>%</w:t>
      </w:r>
      <w:r w:rsidR="002622A4" w:rsidRPr="00E84136">
        <w:rPr>
          <w:rFonts w:ascii="Segoe UI" w:hAnsi="Segoe UI" w:cs="Segoe UI"/>
          <w:color w:val="auto"/>
        </w:rPr>
        <w:t>)</w:t>
      </w:r>
      <w:r w:rsidR="00295221" w:rsidRPr="00486083">
        <w:rPr>
          <w:rStyle w:val="Lienhypertexte"/>
          <w:rFonts w:ascii="Segoe UI" w:hAnsi="Segoe UI" w:cs="Segoe UI"/>
          <w:color w:val="auto"/>
          <w:szCs w:val="20"/>
          <w:u w:val="none"/>
        </w:rPr>
        <w:t xml:space="preserve">. </w:t>
      </w:r>
      <w:r w:rsidR="00C42BAB" w:rsidRPr="00486083">
        <w:rPr>
          <w:rStyle w:val="Lienhypertexte"/>
          <w:rFonts w:ascii="Segoe UI" w:hAnsi="Segoe UI" w:cs="Segoe UI"/>
          <w:color w:val="auto"/>
          <w:szCs w:val="20"/>
        </w:rPr>
        <w:t xml:space="preserve">Le commerce </w:t>
      </w:r>
      <w:r w:rsidR="00FC563B">
        <w:rPr>
          <w:rStyle w:val="Lienhypertexte"/>
          <w:rFonts w:ascii="Segoe UI" w:hAnsi="Segoe UI" w:cs="Segoe UI"/>
          <w:color w:val="auto"/>
          <w:szCs w:val="20"/>
        </w:rPr>
        <w:t>de biens</w:t>
      </w:r>
      <w:r w:rsidR="00C42BAB" w:rsidRPr="00486083">
        <w:rPr>
          <w:rStyle w:val="Lienhypertexte"/>
          <w:rFonts w:ascii="Segoe UI" w:hAnsi="Segoe UI" w:cs="Segoe UI"/>
          <w:color w:val="auto"/>
          <w:szCs w:val="20"/>
        </w:rPr>
        <w:t xml:space="preserve"> d</w:t>
      </w:r>
      <w:r w:rsidR="00300AEC" w:rsidRPr="00486083">
        <w:rPr>
          <w:rStyle w:val="Lienhypertexte"/>
          <w:rFonts w:ascii="Segoe UI" w:hAnsi="Segoe UI" w:cs="Segoe UI"/>
          <w:color w:val="auto"/>
          <w:szCs w:val="20"/>
        </w:rPr>
        <w:t>u Luxembourg est dominé par</w:t>
      </w:r>
      <w:r w:rsidR="00CC03CD" w:rsidRPr="00486083">
        <w:rPr>
          <w:rStyle w:val="Lienhypertexte"/>
          <w:rFonts w:ascii="Segoe UI" w:hAnsi="Segoe UI" w:cs="Segoe UI"/>
          <w:color w:val="auto"/>
          <w:szCs w:val="20"/>
        </w:rPr>
        <w:t xml:space="preserve"> les machines et équipements (15,9</w:t>
      </w:r>
      <w:r w:rsidR="00295221">
        <w:rPr>
          <w:rStyle w:val="Lienhypertexte"/>
          <w:rFonts w:ascii="Segoe UI" w:hAnsi="Segoe UI" w:cs="Segoe UI"/>
          <w:color w:val="auto"/>
          <w:szCs w:val="20"/>
        </w:rPr>
        <w:t> </w:t>
      </w:r>
      <w:r w:rsidR="00CC03CD" w:rsidRPr="00486083">
        <w:rPr>
          <w:rStyle w:val="Lienhypertexte"/>
          <w:rFonts w:ascii="Segoe UI" w:hAnsi="Segoe UI" w:cs="Segoe UI"/>
          <w:color w:val="auto"/>
          <w:szCs w:val="20"/>
        </w:rPr>
        <w:t>%), le matériel de transport (15,4</w:t>
      </w:r>
      <w:r w:rsidR="00295221">
        <w:rPr>
          <w:rStyle w:val="Lienhypertexte"/>
          <w:rFonts w:ascii="Segoe UI" w:hAnsi="Segoe UI" w:cs="Segoe UI"/>
          <w:color w:val="auto"/>
          <w:szCs w:val="20"/>
        </w:rPr>
        <w:t> </w:t>
      </w:r>
      <w:r w:rsidR="00CC03CD" w:rsidRPr="00486083">
        <w:rPr>
          <w:rStyle w:val="Lienhypertexte"/>
          <w:rFonts w:ascii="Segoe UI" w:hAnsi="Segoe UI" w:cs="Segoe UI"/>
          <w:color w:val="auto"/>
          <w:szCs w:val="20"/>
        </w:rPr>
        <w:t>%) et les produits chimiques (13,3</w:t>
      </w:r>
      <w:r w:rsidR="00295221">
        <w:rPr>
          <w:rStyle w:val="Lienhypertexte"/>
          <w:rFonts w:ascii="Segoe UI" w:hAnsi="Segoe UI" w:cs="Segoe UI"/>
          <w:color w:val="auto"/>
          <w:szCs w:val="20"/>
        </w:rPr>
        <w:t> </w:t>
      </w:r>
      <w:r w:rsidR="00CC03CD" w:rsidRPr="00486083">
        <w:rPr>
          <w:rStyle w:val="Lienhypertexte"/>
          <w:rFonts w:ascii="Segoe UI" w:hAnsi="Segoe UI" w:cs="Segoe UI"/>
          <w:color w:val="auto"/>
          <w:szCs w:val="20"/>
          <w:u w:val="none"/>
        </w:rPr>
        <w:t>%)</w:t>
      </w:r>
      <w:r w:rsidR="00E84136" w:rsidRPr="00D0502E">
        <w:rPr>
          <w:rFonts w:ascii="Segoe UI" w:hAnsi="Segoe UI" w:cs="Segoe UI"/>
          <w:color w:val="auto"/>
          <w:szCs w:val="20"/>
        </w:rPr>
        <w:t>. Les exportations sont principalement constituées de métaux (2,8 Md€ ; -6,7 %</w:t>
      </w:r>
      <w:r w:rsidR="00E84136">
        <w:rPr>
          <w:rFonts w:ascii="Segoe UI" w:hAnsi="Segoe UI" w:cs="Segoe UI"/>
          <w:color w:val="auto"/>
          <w:szCs w:val="20"/>
        </w:rPr>
        <w:t xml:space="preserve"> en </w:t>
      </w:r>
      <w:proofErr w:type="spellStart"/>
      <w:r w:rsidR="00E84136">
        <w:rPr>
          <w:rFonts w:ascii="Segoe UI" w:hAnsi="Segoe UI" w:cs="Segoe UI"/>
          <w:color w:val="auto"/>
          <w:szCs w:val="20"/>
        </w:rPr>
        <w:t>g.a</w:t>
      </w:r>
      <w:proofErr w:type="spellEnd"/>
      <w:r w:rsidR="00E84136">
        <w:rPr>
          <w:rFonts w:ascii="Segoe UI" w:hAnsi="Segoe UI" w:cs="Segoe UI"/>
          <w:color w:val="auto"/>
          <w:szCs w:val="20"/>
        </w:rPr>
        <w:t>.</w:t>
      </w:r>
      <w:r w:rsidR="00E84136" w:rsidRPr="00D0502E">
        <w:rPr>
          <w:rFonts w:ascii="Segoe UI" w:hAnsi="Segoe UI" w:cs="Segoe UI"/>
          <w:color w:val="auto"/>
          <w:szCs w:val="20"/>
        </w:rPr>
        <w:t>), portés par l’industrie sidérurgique implantée localement (notamment ArcelorMittal)</w:t>
      </w:r>
      <w:r w:rsidR="00E84136">
        <w:rPr>
          <w:rFonts w:ascii="Segoe UI" w:hAnsi="Segoe UI" w:cs="Segoe UI"/>
          <w:color w:val="auto"/>
          <w:szCs w:val="20"/>
        </w:rPr>
        <w:t>, de</w:t>
      </w:r>
      <w:r w:rsidR="00300AEC" w:rsidRPr="00412EBF">
        <w:rPr>
          <w:rFonts w:ascii="Segoe UI" w:hAnsi="Segoe UI" w:cs="Segoe UI"/>
          <w:color w:val="auto"/>
          <w:szCs w:val="20"/>
        </w:rPr>
        <w:t xml:space="preserve"> machines et équipements</w:t>
      </w:r>
      <w:r w:rsidR="00B22D42" w:rsidRPr="00412EBF">
        <w:rPr>
          <w:rFonts w:ascii="Segoe UI" w:hAnsi="Segoe UI" w:cs="Segoe UI"/>
          <w:color w:val="auto"/>
          <w:szCs w:val="20"/>
        </w:rPr>
        <w:t xml:space="preserve"> (2,6 Md</w:t>
      </w:r>
      <w:r w:rsidR="00B22D42" w:rsidRPr="00412EBF">
        <w:rPr>
          <w:rFonts w:ascii="Segoe UI" w:hAnsi="Segoe UI" w:cs="Segoe UI"/>
          <w:color w:val="auto"/>
        </w:rPr>
        <w:t>€ ; -10,3</w:t>
      </w:r>
      <w:r w:rsidR="00991F90">
        <w:rPr>
          <w:rFonts w:ascii="Segoe UI" w:hAnsi="Segoe UI" w:cs="Segoe UI"/>
          <w:color w:val="auto"/>
        </w:rPr>
        <w:t> </w:t>
      </w:r>
      <w:r w:rsidR="00B22D42" w:rsidRPr="00412EBF">
        <w:rPr>
          <w:rFonts w:ascii="Segoe UI" w:hAnsi="Segoe UI" w:cs="Segoe UI"/>
          <w:color w:val="auto"/>
        </w:rPr>
        <w:t>%),</w:t>
      </w:r>
      <w:r w:rsidR="00E84136">
        <w:rPr>
          <w:rFonts w:ascii="Segoe UI" w:hAnsi="Segoe UI" w:cs="Segoe UI"/>
          <w:color w:val="auto"/>
        </w:rPr>
        <w:t xml:space="preserve"> de</w:t>
      </w:r>
      <w:r w:rsidR="00B22D42" w:rsidRPr="00412EBF">
        <w:rPr>
          <w:rFonts w:ascii="Segoe UI" w:hAnsi="Segoe UI" w:cs="Segoe UI"/>
          <w:color w:val="auto"/>
        </w:rPr>
        <w:t xml:space="preserve"> produits manufacturés (2,2 Md€ ; -8,3</w:t>
      </w:r>
      <w:r w:rsidR="00991F90">
        <w:rPr>
          <w:rFonts w:ascii="Segoe UI" w:hAnsi="Segoe UI" w:cs="Segoe UI"/>
          <w:color w:val="auto"/>
        </w:rPr>
        <w:t> </w:t>
      </w:r>
      <w:r w:rsidR="00B22D42" w:rsidRPr="00412EBF">
        <w:rPr>
          <w:rFonts w:ascii="Segoe UI" w:hAnsi="Segoe UI" w:cs="Segoe UI"/>
          <w:color w:val="auto"/>
        </w:rPr>
        <w:t xml:space="preserve">%), </w:t>
      </w:r>
      <w:r w:rsidR="00E84136">
        <w:rPr>
          <w:rFonts w:ascii="Segoe UI" w:hAnsi="Segoe UI" w:cs="Segoe UI"/>
          <w:color w:val="auto"/>
        </w:rPr>
        <w:t>de</w:t>
      </w:r>
      <w:r w:rsidR="00B22D42" w:rsidRPr="00412EBF">
        <w:rPr>
          <w:rFonts w:ascii="Segoe UI" w:hAnsi="Segoe UI" w:cs="Segoe UI"/>
          <w:color w:val="auto"/>
        </w:rPr>
        <w:t xml:space="preserve"> produits chimiques (1,9 Md€ ; +5,6</w:t>
      </w:r>
      <w:r w:rsidR="00410EC6">
        <w:rPr>
          <w:rFonts w:ascii="Segoe UI" w:hAnsi="Segoe UI" w:cs="Segoe UI"/>
          <w:color w:val="auto"/>
        </w:rPr>
        <w:t xml:space="preserve"> </w:t>
      </w:r>
      <w:r w:rsidR="00B22D42" w:rsidRPr="00412EBF">
        <w:rPr>
          <w:rFonts w:ascii="Segoe UI" w:hAnsi="Segoe UI" w:cs="Segoe UI"/>
          <w:color w:val="auto"/>
        </w:rPr>
        <w:t xml:space="preserve">%) et </w:t>
      </w:r>
      <w:r w:rsidR="00E84136">
        <w:rPr>
          <w:rFonts w:ascii="Segoe UI" w:hAnsi="Segoe UI" w:cs="Segoe UI"/>
          <w:color w:val="auto"/>
        </w:rPr>
        <w:t>de</w:t>
      </w:r>
      <w:r w:rsidR="00B22D42" w:rsidRPr="00412EBF">
        <w:rPr>
          <w:rFonts w:ascii="Segoe UI" w:hAnsi="Segoe UI" w:cs="Segoe UI"/>
          <w:color w:val="auto"/>
        </w:rPr>
        <w:t xml:space="preserve"> matériel de transport (1,7 Md€ ; -5,6</w:t>
      </w:r>
      <w:r w:rsidR="00410EC6">
        <w:rPr>
          <w:rFonts w:ascii="Segoe UI" w:hAnsi="Segoe UI" w:cs="Segoe UI"/>
          <w:color w:val="auto"/>
        </w:rPr>
        <w:t xml:space="preserve"> </w:t>
      </w:r>
      <w:r w:rsidR="00B22D42" w:rsidRPr="00412EBF">
        <w:rPr>
          <w:rFonts w:ascii="Segoe UI" w:hAnsi="Segoe UI" w:cs="Segoe UI"/>
          <w:color w:val="auto"/>
        </w:rPr>
        <w:t>%)</w:t>
      </w:r>
      <w:r w:rsidR="00F310F9" w:rsidRPr="00412EBF">
        <w:rPr>
          <w:rFonts w:ascii="Segoe UI" w:hAnsi="Segoe UI" w:cs="Segoe UI"/>
          <w:color w:val="auto"/>
        </w:rPr>
        <w:t xml:space="preserve"> (</w:t>
      </w:r>
      <w:r w:rsidR="00F310F9" w:rsidRPr="00486083">
        <w:rPr>
          <w:rFonts w:ascii="Segoe UI" w:hAnsi="Segoe UI" w:cs="Segoe UI"/>
          <w:i/>
          <w:iCs/>
          <w:color w:val="auto"/>
        </w:rPr>
        <w:t xml:space="preserve">cf. annexe </w:t>
      </w:r>
      <w:r w:rsidR="002910F1" w:rsidRPr="00486083">
        <w:rPr>
          <w:rFonts w:ascii="Segoe UI" w:hAnsi="Segoe UI" w:cs="Segoe UI"/>
          <w:i/>
          <w:iCs/>
          <w:color w:val="auto"/>
        </w:rPr>
        <w:t>4</w:t>
      </w:r>
      <w:r w:rsidR="00F310F9" w:rsidRPr="00412EBF">
        <w:rPr>
          <w:rFonts w:ascii="Segoe UI" w:hAnsi="Segoe UI" w:cs="Segoe UI"/>
          <w:color w:val="auto"/>
        </w:rPr>
        <w:t>)</w:t>
      </w:r>
      <w:r w:rsidR="005E368F" w:rsidRPr="00412EBF">
        <w:rPr>
          <w:rFonts w:ascii="Segoe UI" w:hAnsi="Segoe UI" w:cs="Segoe UI"/>
          <w:color w:val="auto"/>
        </w:rPr>
        <w:t>.</w:t>
      </w:r>
      <w:r w:rsidR="00FD3143" w:rsidRPr="00412EBF">
        <w:rPr>
          <w:rFonts w:ascii="Segoe UI" w:hAnsi="Segoe UI" w:cs="Segoe UI"/>
          <w:color w:val="auto"/>
        </w:rPr>
        <w:t xml:space="preserve"> </w:t>
      </w:r>
      <w:r w:rsidR="00E84136" w:rsidRPr="00D0502E">
        <w:rPr>
          <w:rFonts w:ascii="Segoe UI" w:hAnsi="Segoe UI" w:cs="Segoe UI"/>
          <w:szCs w:val="20"/>
        </w:rPr>
        <w:t xml:space="preserve">Du côté des importations, les principales catégories concernent </w:t>
      </w:r>
      <w:r w:rsidR="00AC74BC" w:rsidRPr="00412EBF">
        <w:rPr>
          <w:rFonts w:ascii="Segoe UI" w:hAnsi="Segoe UI" w:cs="Segoe UI"/>
          <w:color w:val="auto"/>
        </w:rPr>
        <w:t>le matériel de transport (4,2 Md€ ; -2,3</w:t>
      </w:r>
      <w:r w:rsidR="00991F90">
        <w:rPr>
          <w:rFonts w:ascii="Segoe UI" w:hAnsi="Segoe UI" w:cs="Segoe UI"/>
          <w:color w:val="auto"/>
        </w:rPr>
        <w:t> </w:t>
      </w:r>
      <w:r w:rsidR="00AC74BC" w:rsidRPr="00412EBF">
        <w:rPr>
          <w:rFonts w:ascii="Segoe UI" w:hAnsi="Segoe UI" w:cs="Segoe UI"/>
          <w:color w:val="auto"/>
        </w:rPr>
        <w:t>%</w:t>
      </w:r>
      <w:r w:rsidR="00E84136">
        <w:rPr>
          <w:rFonts w:ascii="Segoe UI" w:hAnsi="Segoe UI" w:cs="Segoe UI"/>
          <w:color w:val="auto"/>
        </w:rPr>
        <w:t xml:space="preserve"> en </w:t>
      </w:r>
      <w:proofErr w:type="spellStart"/>
      <w:r w:rsidR="00E84136">
        <w:rPr>
          <w:rFonts w:ascii="Segoe UI" w:hAnsi="Segoe UI" w:cs="Segoe UI"/>
          <w:color w:val="auto"/>
        </w:rPr>
        <w:t>g.a</w:t>
      </w:r>
      <w:proofErr w:type="spellEnd"/>
      <w:r w:rsidR="00E84136">
        <w:rPr>
          <w:rFonts w:ascii="Segoe UI" w:hAnsi="Segoe UI" w:cs="Segoe UI"/>
          <w:color w:val="auto"/>
        </w:rPr>
        <w:t>.</w:t>
      </w:r>
      <w:r w:rsidR="00AC74BC" w:rsidRPr="00412EBF">
        <w:rPr>
          <w:rFonts w:ascii="Segoe UI" w:hAnsi="Segoe UI" w:cs="Segoe UI"/>
          <w:color w:val="auto"/>
        </w:rPr>
        <w:t>)</w:t>
      </w:r>
      <w:r w:rsidR="00E84136">
        <w:rPr>
          <w:rFonts w:ascii="Segoe UI" w:hAnsi="Segoe UI" w:cs="Segoe UI"/>
          <w:color w:val="auto"/>
        </w:rPr>
        <w:t>, les</w:t>
      </w:r>
      <w:r w:rsidR="00AC74BC" w:rsidRPr="00412EBF">
        <w:rPr>
          <w:rFonts w:ascii="Segoe UI" w:hAnsi="Segoe UI" w:cs="Segoe UI"/>
          <w:color w:val="auto"/>
        </w:rPr>
        <w:t xml:space="preserve"> matières brutes et combustibles minéraux (4,2 Md€ ; -</w:t>
      </w:r>
      <w:r w:rsidR="00AC74BC" w:rsidRPr="00412EBF">
        <w:rPr>
          <w:rFonts w:ascii="Segoe UI" w:hAnsi="Segoe UI" w:cs="Segoe UI"/>
          <w:color w:val="auto"/>
        </w:rPr>
        <w:lastRenderedPageBreak/>
        <w:t>8,7</w:t>
      </w:r>
      <w:r w:rsidR="00410EC6">
        <w:rPr>
          <w:rFonts w:ascii="Segoe UI" w:hAnsi="Segoe UI" w:cs="Segoe UI"/>
          <w:color w:val="auto"/>
        </w:rPr>
        <w:t xml:space="preserve"> </w:t>
      </w:r>
      <w:r w:rsidR="00AC74BC" w:rsidRPr="00412EBF">
        <w:rPr>
          <w:rFonts w:ascii="Segoe UI" w:hAnsi="Segoe UI" w:cs="Segoe UI"/>
          <w:color w:val="auto"/>
        </w:rPr>
        <w:t xml:space="preserve">%), </w:t>
      </w:r>
      <w:r w:rsidR="00E84136">
        <w:rPr>
          <w:rFonts w:ascii="Segoe UI" w:hAnsi="Segoe UI" w:cs="Segoe UI"/>
          <w:color w:val="auto"/>
        </w:rPr>
        <w:t>les</w:t>
      </w:r>
      <w:r w:rsidR="00AC74BC" w:rsidRPr="00412EBF">
        <w:rPr>
          <w:rFonts w:ascii="Segoe UI" w:hAnsi="Segoe UI" w:cs="Segoe UI"/>
          <w:color w:val="auto"/>
        </w:rPr>
        <w:t xml:space="preserve"> machines et équipements (3,5 Md€ ; -5,4</w:t>
      </w:r>
      <w:r w:rsidR="00991F90">
        <w:rPr>
          <w:rFonts w:ascii="Segoe UI" w:hAnsi="Segoe UI" w:cs="Segoe UI"/>
          <w:color w:val="auto"/>
        </w:rPr>
        <w:t> </w:t>
      </w:r>
      <w:r w:rsidR="00AC74BC" w:rsidRPr="00412EBF">
        <w:rPr>
          <w:rFonts w:ascii="Segoe UI" w:hAnsi="Segoe UI" w:cs="Segoe UI"/>
          <w:color w:val="auto"/>
        </w:rPr>
        <w:t xml:space="preserve">%), la production agro-alimentaire (3,3 Md€ ; </w:t>
      </w:r>
      <w:r w:rsidR="00A0357A" w:rsidRPr="00412EBF">
        <w:rPr>
          <w:rFonts w:ascii="Segoe UI" w:hAnsi="Segoe UI" w:cs="Segoe UI"/>
          <w:color w:val="auto"/>
        </w:rPr>
        <w:t>3,12</w:t>
      </w:r>
      <w:r w:rsidR="00410EC6">
        <w:rPr>
          <w:rFonts w:ascii="Segoe UI" w:hAnsi="Segoe UI" w:cs="Segoe UI"/>
          <w:color w:val="auto"/>
        </w:rPr>
        <w:t xml:space="preserve"> </w:t>
      </w:r>
      <w:r w:rsidR="00A0357A" w:rsidRPr="00412EBF">
        <w:rPr>
          <w:rFonts w:ascii="Segoe UI" w:hAnsi="Segoe UI" w:cs="Segoe UI"/>
          <w:color w:val="auto"/>
        </w:rPr>
        <w:t>%) et les produits chimiques (3,1 Md€ ; +6,9</w:t>
      </w:r>
      <w:r w:rsidR="00410EC6">
        <w:rPr>
          <w:rFonts w:ascii="Segoe UI" w:hAnsi="Segoe UI" w:cs="Segoe UI"/>
          <w:color w:val="auto"/>
        </w:rPr>
        <w:t xml:space="preserve"> </w:t>
      </w:r>
      <w:r w:rsidR="00A0357A" w:rsidRPr="00412EBF">
        <w:rPr>
          <w:rFonts w:ascii="Segoe UI" w:hAnsi="Segoe UI" w:cs="Segoe UI"/>
          <w:color w:val="auto"/>
        </w:rPr>
        <w:t>%)</w:t>
      </w:r>
      <w:r w:rsidR="008B2DA0" w:rsidRPr="00412EBF">
        <w:rPr>
          <w:rFonts w:ascii="Segoe UI" w:hAnsi="Segoe UI" w:cs="Segoe UI"/>
          <w:color w:val="auto"/>
        </w:rPr>
        <w:t xml:space="preserve"> (</w:t>
      </w:r>
      <w:r w:rsidR="008B2DA0" w:rsidRPr="00486083">
        <w:rPr>
          <w:rFonts w:ascii="Segoe UI" w:hAnsi="Segoe UI" w:cs="Segoe UI"/>
          <w:i/>
          <w:iCs/>
          <w:color w:val="auto"/>
        </w:rPr>
        <w:t xml:space="preserve">cf. annexe </w:t>
      </w:r>
      <w:r w:rsidR="002910F1" w:rsidRPr="00486083">
        <w:rPr>
          <w:rFonts w:ascii="Segoe UI" w:hAnsi="Segoe UI" w:cs="Segoe UI"/>
          <w:i/>
          <w:iCs/>
          <w:color w:val="auto"/>
        </w:rPr>
        <w:t>5</w:t>
      </w:r>
      <w:r w:rsidR="008B2DA0" w:rsidRPr="00412EBF">
        <w:rPr>
          <w:rFonts w:ascii="Segoe UI" w:hAnsi="Segoe UI" w:cs="Segoe UI"/>
          <w:color w:val="auto"/>
        </w:rPr>
        <w:t>)</w:t>
      </w:r>
      <w:r w:rsidR="00A0357A" w:rsidRPr="00412EBF">
        <w:rPr>
          <w:rFonts w:ascii="Segoe UI" w:hAnsi="Segoe UI" w:cs="Segoe UI"/>
          <w:color w:val="auto"/>
        </w:rPr>
        <w:t xml:space="preserve">. Le Grand-Duché enregistre ainsi ses </w:t>
      </w:r>
      <w:r w:rsidR="00A0357A" w:rsidRPr="00412EBF">
        <w:rPr>
          <w:rFonts w:ascii="Segoe UI" w:hAnsi="Segoe UI" w:cs="Segoe UI"/>
          <w:color w:val="auto"/>
          <w:u w:val="single"/>
        </w:rPr>
        <w:t>principaux déficits</w:t>
      </w:r>
      <w:r w:rsidR="00A0357A" w:rsidRPr="00412EBF">
        <w:rPr>
          <w:rFonts w:ascii="Segoe UI" w:hAnsi="Segoe UI" w:cs="Segoe UI"/>
          <w:color w:val="auto"/>
        </w:rPr>
        <w:t xml:space="preserve"> sur les matières brutes et combustibles minéraux (</w:t>
      </w:r>
      <w:r w:rsidR="00D05444" w:rsidRPr="00412EBF">
        <w:rPr>
          <w:rFonts w:ascii="Segoe UI" w:hAnsi="Segoe UI" w:cs="Segoe UI"/>
          <w:color w:val="auto"/>
        </w:rPr>
        <w:t>-4,0 Md€ ; +7,0</w:t>
      </w:r>
      <w:r w:rsidR="00991F90">
        <w:rPr>
          <w:rFonts w:ascii="Segoe UI" w:hAnsi="Segoe UI" w:cs="Segoe UI"/>
          <w:color w:val="auto"/>
        </w:rPr>
        <w:t> </w:t>
      </w:r>
      <w:r w:rsidR="00D05444" w:rsidRPr="00412EBF">
        <w:rPr>
          <w:rFonts w:ascii="Segoe UI" w:hAnsi="Segoe UI" w:cs="Segoe UI"/>
          <w:color w:val="auto"/>
        </w:rPr>
        <w:t>%), le matériel de transport (-2,5 Md€</w:t>
      </w:r>
      <w:r w:rsidR="006B4FF5" w:rsidRPr="00412EBF">
        <w:rPr>
          <w:rFonts w:ascii="Segoe UI" w:hAnsi="Segoe UI" w:cs="Segoe UI"/>
          <w:color w:val="auto"/>
        </w:rPr>
        <w:t xml:space="preserve"> ; </w:t>
      </w:r>
      <w:r w:rsidR="00410EC6">
        <w:rPr>
          <w:rFonts w:ascii="Segoe UI" w:hAnsi="Segoe UI" w:cs="Segoe UI"/>
          <w:color w:val="auto"/>
        </w:rPr>
        <w:t>stable</w:t>
      </w:r>
      <w:r w:rsidR="00D05444" w:rsidRPr="00412EBF">
        <w:rPr>
          <w:rFonts w:ascii="Segoe UI" w:hAnsi="Segoe UI" w:cs="Segoe UI"/>
          <w:color w:val="auto"/>
        </w:rPr>
        <w:t>) et les produits agroalimentaires (-1,6 Md€</w:t>
      </w:r>
      <w:r w:rsidR="006B4FF5" w:rsidRPr="00412EBF">
        <w:rPr>
          <w:rFonts w:ascii="Segoe UI" w:hAnsi="Segoe UI" w:cs="Segoe UI"/>
          <w:color w:val="auto"/>
        </w:rPr>
        <w:t xml:space="preserve"> ; </w:t>
      </w:r>
      <w:r w:rsidR="00410EC6">
        <w:rPr>
          <w:rFonts w:ascii="Segoe UI" w:hAnsi="Segoe UI" w:cs="Segoe UI"/>
          <w:color w:val="auto"/>
        </w:rPr>
        <w:t>stable</w:t>
      </w:r>
      <w:r w:rsidR="00D05444" w:rsidRPr="00412EBF">
        <w:rPr>
          <w:rFonts w:ascii="Segoe UI" w:hAnsi="Segoe UI" w:cs="Segoe UI"/>
          <w:color w:val="auto"/>
        </w:rPr>
        <w:t>)</w:t>
      </w:r>
      <w:r w:rsidR="00E84136">
        <w:rPr>
          <w:rFonts w:ascii="Segoe UI" w:hAnsi="Segoe UI" w:cs="Segoe UI"/>
          <w:color w:val="auto"/>
        </w:rPr>
        <w:t xml:space="preserve">. </w:t>
      </w:r>
      <w:r w:rsidR="00D05444" w:rsidRPr="00412EBF">
        <w:rPr>
          <w:rFonts w:ascii="Segoe UI" w:hAnsi="Segoe UI" w:cs="Segoe UI"/>
          <w:color w:val="auto"/>
        </w:rPr>
        <w:t xml:space="preserve"> </w:t>
      </w:r>
      <w:r w:rsidR="00E84136" w:rsidRPr="00D0502E">
        <w:rPr>
          <w:rFonts w:ascii="Segoe UI" w:hAnsi="Segoe UI" w:cs="Segoe UI"/>
          <w:szCs w:val="20"/>
        </w:rPr>
        <w:t xml:space="preserve">À l’inverse, les excédents commerciaux se concentrent </w:t>
      </w:r>
      <w:r w:rsidR="00E84136">
        <w:rPr>
          <w:rFonts w:ascii="Segoe UI" w:hAnsi="Segoe UI" w:cs="Segoe UI"/>
          <w:szCs w:val="20"/>
        </w:rPr>
        <w:t xml:space="preserve">sur </w:t>
      </w:r>
      <w:r w:rsidR="00D05444" w:rsidRPr="00412EBF">
        <w:rPr>
          <w:rFonts w:ascii="Segoe UI" w:hAnsi="Segoe UI" w:cs="Segoe UI"/>
          <w:color w:val="auto"/>
        </w:rPr>
        <w:t>les métaux communs (+1,3 Md€</w:t>
      </w:r>
      <w:r w:rsidR="006B4FF5" w:rsidRPr="00412EBF">
        <w:rPr>
          <w:rFonts w:ascii="Segoe UI" w:hAnsi="Segoe UI" w:cs="Segoe UI"/>
          <w:color w:val="auto"/>
        </w:rPr>
        <w:t xml:space="preserve"> ; </w:t>
      </w:r>
      <w:r w:rsidR="00410EC6">
        <w:rPr>
          <w:rFonts w:ascii="Segoe UI" w:hAnsi="Segoe UI" w:cs="Segoe UI"/>
          <w:color w:val="auto"/>
        </w:rPr>
        <w:t>stable</w:t>
      </w:r>
      <w:r w:rsidR="00D05444" w:rsidRPr="00412EBF">
        <w:rPr>
          <w:rFonts w:ascii="Segoe UI" w:hAnsi="Segoe UI" w:cs="Segoe UI"/>
          <w:color w:val="auto"/>
        </w:rPr>
        <w:t>) et les produits manufacturés (+0,5 Md€</w:t>
      </w:r>
      <w:r w:rsidR="006B4FF5" w:rsidRPr="00412EBF">
        <w:rPr>
          <w:rFonts w:ascii="Segoe UI" w:hAnsi="Segoe UI" w:cs="Segoe UI"/>
          <w:color w:val="auto"/>
        </w:rPr>
        <w:t> ; -17,0</w:t>
      </w:r>
      <w:r w:rsidR="00991F90">
        <w:rPr>
          <w:rFonts w:ascii="Segoe UI" w:hAnsi="Segoe UI" w:cs="Segoe UI"/>
          <w:color w:val="auto"/>
        </w:rPr>
        <w:t> </w:t>
      </w:r>
      <w:r w:rsidR="006B4FF5" w:rsidRPr="00412EBF">
        <w:rPr>
          <w:rFonts w:ascii="Segoe UI" w:hAnsi="Segoe UI" w:cs="Segoe UI"/>
          <w:color w:val="auto"/>
        </w:rPr>
        <w:t>%</w:t>
      </w:r>
      <w:r w:rsidR="00D05444" w:rsidRPr="00412EBF">
        <w:rPr>
          <w:rFonts w:ascii="Segoe UI" w:hAnsi="Segoe UI" w:cs="Segoe UI"/>
          <w:color w:val="auto"/>
        </w:rPr>
        <w:t>).</w:t>
      </w:r>
      <w:r w:rsidR="00295221">
        <w:rPr>
          <w:rFonts w:ascii="Segoe UI" w:hAnsi="Segoe UI" w:cs="Segoe UI"/>
          <w:szCs w:val="20"/>
        </w:rPr>
        <w:t xml:space="preserve"> </w:t>
      </w:r>
    </w:p>
    <w:p w14:paraId="1B79BA19" w14:textId="2C396BE2" w:rsidR="00DE7BE0" w:rsidRPr="00DE7BE0" w:rsidRDefault="00295221" w:rsidP="00BE2E7D">
      <w:pPr>
        <w:pStyle w:val="Brvesco-Normal"/>
        <w:spacing w:after="240"/>
        <w:ind w:left="-284"/>
        <w:rPr>
          <w:rFonts w:ascii="Segoe UI" w:hAnsi="Segoe UI" w:cs="Segoe UI"/>
          <w:b/>
          <w:bCs/>
          <w:color w:val="000091" w:themeColor="text1"/>
        </w:rPr>
      </w:pPr>
      <w:r w:rsidRPr="00412EBF">
        <w:rPr>
          <w:rFonts w:ascii="Segoe UI" w:hAnsi="Segoe UI" w:cs="Segoe UI"/>
          <w:b/>
          <w:bCs/>
          <w:szCs w:val="20"/>
        </w:rPr>
        <w:t xml:space="preserve">Les échanges </w:t>
      </w:r>
      <w:r>
        <w:rPr>
          <w:rFonts w:ascii="Segoe UI" w:hAnsi="Segoe UI" w:cs="Segoe UI"/>
          <w:b/>
          <w:bCs/>
          <w:szCs w:val="20"/>
        </w:rPr>
        <w:t xml:space="preserve">de biens </w:t>
      </w:r>
      <w:r w:rsidRPr="00412EBF">
        <w:rPr>
          <w:rFonts w:ascii="Segoe UI" w:hAnsi="Segoe UI" w:cs="Segoe UI"/>
          <w:b/>
          <w:bCs/>
          <w:szCs w:val="20"/>
        </w:rPr>
        <w:t xml:space="preserve">du Luxembourg demeurent principalement </w:t>
      </w:r>
      <w:r w:rsidR="00214DDE">
        <w:rPr>
          <w:rFonts w:ascii="Segoe UI" w:hAnsi="Segoe UI" w:cs="Segoe UI"/>
          <w:b/>
          <w:bCs/>
          <w:szCs w:val="20"/>
        </w:rPr>
        <w:t>orienté</w:t>
      </w:r>
      <w:r w:rsidRPr="00412EBF">
        <w:rPr>
          <w:rFonts w:ascii="Segoe UI" w:hAnsi="Segoe UI" w:cs="Segoe UI"/>
          <w:b/>
          <w:bCs/>
          <w:szCs w:val="20"/>
        </w:rPr>
        <w:t xml:space="preserve">s vers </w:t>
      </w:r>
      <w:r w:rsidR="00214DDE">
        <w:rPr>
          <w:rFonts w:ascii="Segoe UI" w:hAnsi="Segoe UI" w:cs="Segoe UI"/>
          <w:b/>
          <w:bCs/>
          <w:szCs w:val="20"/>
        </w:rPr>
        <w:t>s</w:t>
      </w:r>
      <w:r w:rsidRPr="00412EBF">
        <w:rPr>
          <w:rFonts w:ascii="Segoe UI" w:hAnsi="Segoe UI" w:cs="Segoe UI"/>
          <w:b/>
          <w:bCs/>
          <w:szCs w:val="20"/>
        </w:rPr>
        <w:t>es</w:t>
      </w:r>
      <w:r w:rsidR="00214DDE">
        <w:rPr>
          <w:rFonts w:ascii="Segoe UI" w:hAnsi="Segoe UI" w:cs="Segoe UI"/>
          <w:b/>
          <w:bCs/>
          <w:szCs w:val="20"/>
        </w:rPr>
        <w:t xml:space="preserve"> voisins immédiats </w:t>
      </w:r>
      <w:r w:rsidRPr="00412EBF">
        <w:rPr>
          <w:rFonts w:ascii="Segoe UI" w:hAnsi="Segoe UI" w:cs="Segoe UI"/>
          <w:b/>
          <w:bCs/>
          <w:szCs w:val="20"/>
        </w:rPr>
        <w:t xml:space="preserve">– </w:t>
      </w:r>
      <w:r w:rsidR="00214DDE">
        <w:rPr>
          <w:rFonts w:ascii="Segoe UI" w:hAnsi="Segoe UI" w:cs="Segoe UI"/>
          <w:b/>
          <w:bCs/>
          <w:szCs w:val="20"/>
        </w:rPr>
        <w:t>l’</w:t>
      </w:r>
      <w:r w:rsidRPr="00412EBF">
        <w:rPr>
          <w:rFonts w:ascii="Segoe UI" w:hAnsi="Segoe UI" w:cs="Segoe UI"/>
          <w:b/>
          <w:bCs/>
          <w:szCs w:val="20"/>
        </w:rPr>
        <w:t xml:space="preserve">Allemagne, </w:t>
      </w:r>
      <w:r w:rsidR="00214DDE">
        <w:rPr>
          <w:rFonts w:ascii="Segoe UI" w:hAnsi="Segoe UI" w:cs="Segoe UI"/>
          <w:b/>
          <w:bCs/>
          <w:szCs w:val="20"/>
        </w:rPr>
        <w:t xml:space="preserve">la </w:t>
      </w:r>
      <w:r w:rsidRPr="00412EBF">
        <w:rPr>
          <w:rFonts w:ascii="Segoe UI" w:hAnsi="Segoe UI" w:cs="Segoe UI"/>
          <w:b/>
          <w:bCs/>
          <w:szCs w:val="20"/>
        </w:rPr>
        <w:t xml:space="preserve">Belgique et </w:t>
      </w:r>
      <w:r w:rsidR="00214DDE">
        <w:rPr>
          <w:rFonts w:ascii="Segoe UI" w:hAnsi="Segoe UI" w:cs="Segoe UI"/>
          <w:b/>
          <w:bCs/>
          <w:szCs w:val="20"/>
        </w:rPr>
        <w:t xml:space="preserve">la </w:t>
      </w:r>
      <w:r w:rsidRPr="00412EBF">
        <w:rPr>
          <w:rFonts w:ascii="Segoe UI" w:hAnsi="Segoe UI" w:cs="Segoe UI"/>
          <w:b/>
          <w:bCs/>
          <w:szCs w:val="20"/>
        </w:rPr>
        <w:t>France.</w:t>
      </w:r>
      <w:r w:rsidRPr="00412EBF">
        <w:rPr>
          <w:rFonts w:ascii="Segoe UI" w:hAnsi="Segoe UI" w:cs="Segoe UI"/>
          <w:szCs w:val="20"/>
        </w:rPr>
        <w:t xml:space="preserve"> Les </w:t>
      </w:r>
      <w:r w:rsidR="00214DDE">
        <w:rPr>
          <w:rFonts w:ascii="Segoe UI" w:hAnsi="Segoe UI" w:cs="Segoe UI"/>
          <w:szCs w:val="20"/>
          <w:u w:val="single"/>
        </w:rPr>
        <w:t>cinq</w:t>
      </w:r>
      <w:r w:rsidRPr="00412EBF">
        <w:rPr>
          <w:rFonts w:ascii="Segoe UI" w:hAnsi="Segoe UI" w:cs="Segoe UI"/>
          <w:szCs w:val="20"/>
          <w:u w:val="single"/>
        </w:rPr>
        <w:t xml:space="preserve"> premiers partenaires commerciaux</w:t>
      </w:r>
      <w:r w:rsidRPr="00412EBF">
        <w:rPr>
          <w:rFonts w:ascii="Segoe UI" w:hAnsi="Segoe UI" w:cs="Segoe UI"/>
          <w:szCs w:val="20"/>
        </w:rPr>
        <w:t xml:space="preserve"> – Allemagne, Belgique, France, Pays-Bas et Italie – concentrent </w:t>
      </w:r>
      <w:r w:rsidR="00214DDE">
        <w:rPr>
          <w:rFonts w:ascii="Segoe UI" w:hAnsi="Segoe UI" w:cs="Segoe UI"/>
          <w:szCs w:val="20"/>
        </w:rPr>
        <w:t xml:space="preserve">près de trois quarts </w:t>
      </w:r>
      <w:r w:rsidRPr="00412EBF">
        <w:rPr>
          <w:rFonts w:ascii="Segoe UI" w:hAnsi="Segoe UI" w:cs="Segoe UI"/>
          <w:szCs w:val="20"/>
        </w:rPr>
        <w:t>des échanges, dont 53</w:t>
      </w:r>
      <w:r w:rsidR="00991F90">
        <w:rPr>
          <w:rFonts w:ascii="Segoe UI" w:hAnsi="Segoe UI" w:cs="Segoe UI"/>
          <w:szCs w:val="20"/>
        </w:rPr>
        <w:t>,0</w:t>
      </w:r>
      <w:r>
        <w:rPr>
          <w:rFonts w:ascii="Segoe UI" w:hAnsi="Segoe UI" w:cs="Segoe UI"/>
          <w:szCs w:val="20"/>
        </w:rPr>
        <w:t xml:space="preserve"> </w:t>
      </w:r>
      <w:r w:rsidRPr="00412EBF">
        <w:rPr>
          <w:rFonts w:ascii="Segoe UI" w:hAnsi="Segoe UI" w:cs="Segoe UI"/>
          <w:szCs w:val="20"/>
        </w:rPr>
        <w:t>% pour l</w:t>
      </w:r>
      <w:r w:rsidR="00214DDE">
        <w:rPr>
          <w:rFonts w:ascii="Segoe UI" w:hAnsi="Segoe UI" w:cs="Segoe UI"/>
          <w:szCs w:val="20"/>
        </w:rPr>
        <w:t>es seuls Allemagne et Belgique.</w:t>
      </w:r>
      <w:r w:rsidRPr="00412EBF">
        <w:rPr>
          <w:rFonts w:ascii="Segoe UI" w:hAnsi="Segoe UI" w:cs="Segoe UI"/>
          <w:szCs w:val="20"/>
        </w:rPr>
        <w:t xml:space="preserve"> </w:t>
      </w:r>
      <w:r w:rsidR="00214DDE" w:rsidRPr="00214DDE">
        <w:rPr>
          <w:rFonts w:ascii="Segoe UI" w:hAnsi="Segoe UI" w:cs="Segoe UI"/>
        </w:rPr>
        <w:t>Ces derniers présentent des volumes d’importations particulièrement élevés, notamment en raison des flux de gaz naturel transitant par leurs territoires, qui « gonflent » mécaniquement les chiffres</w:t>
      </w:r>
      <w:r w:rsidRPr="00412EBF">
        <w:rPr>
          <w:rFonts w:ascii="Segoe UI" w:hAnsi="Segoe UI" w:cs="Segoe UI"/>
          <w:szCs w:val="20"/>
        </w:rPr>
        <w:t xml:space="preserve">. </w:t>
      </w:r>
      <w:r>
        <w:rPr>
          <w:rFonts w:ascii="Segoe UI" w:hAnsi="Segoe UI" w:cs="Segoe UI"/>
          <w:szCs w:val="20"/>
        </w:rPr>
        <w:t>L</w:t>
      </w:r>
      <w:r w:rsidRPr="00412EBF">
        <w:rPr>
          <w:rFonts w:ascii="Segoe UI" w:hAnsi="Segoe UI" w:cs="Segoe UI"/>
          <w:szCs w:val="20"/>
        </w:rPr>
        <w:t>a Belgique (7,7 Md</w:t>
      </w:r>
      <w:r w:rsidRPr="00412EBF">
        <w:rPr>
          <w:rFonts w:ascii="Segoe UI" w:hAnsi="Segoe UI" w:cs="Segoe UI"/>
          <w:color w:val="auto"/>
        </w:rPr>
        <w:t>€ ; 32,6</w:t>
      </w:r>
      <w:r w:rsidR="00991F90">
        <w:rPr>
          <w:rFonts w:ascii="Segoe UI" w:hAnsi="Segoe UI" w:cs="Segoe UI"/>
          <w:color w:val="auto"/>
        </w:rPr>
        <w:t> </w:t>
      </w:r>
      <w:r w:rsidRPr="00412EBF">
        <w:rPr>
          <w:rFonts w:ascii="Segoe UI" w:hAnsi="Segoe UI" w:cs="Segoe UI"/>
          <w:color w:val="auto"/>
        </w:rPr>
        <w:t>%</w:t>
      </w:r>
      <w:r w:rsidR="0044760A">
        <w:rPr>
          <w:rFonts w:ascii="Segoe UI" w:hAnsi="Segoe UI" w:cs="Segoe UI"/>
          <w:color w:val="auto"/>
        </w:rPr>
        <w:t xml:space="preserve"> du total</w:t>
      </w:r>
      <w:r w:rsidR="00E15847">
        <w:rPr>
          <w:rFonts w:ascii="Segoe UI" w:hAnsi="Segoe UI" w:cs="Segoe UI"/>
          <w:color w:val="auto"/>
        </w:rPr>
        <w:t xml:space="preserve"> des importations</w:t>
      </w:r>
      <w:r w:rsidRPr="00412EBF">
        <w:rPr>
          <w:rFonts w:ascii="Segoe UI" w:hAnsi="Segoe UI" w:cs="Segoe UI"/>
          <w:szCs w:val="20"/>
        </w:rPr>
        <w:t>), l’Allemagne (6,7 Md</w:t>
      </w:r>
      <w:r w:rsidRPr="00412EBF">
        <w:rPr>
          <w:rFonts w:ascii="Segoe UI" w:hAnsi="Segoe UI" w:cs="Segoe UI"/>
          <w:color w:val="auto"/>
        </w:rPr>
        <w:t>€ ; 28,4</w:t>
      </w:r>
      <w:r w:rsidR="00991F90">
        <w:rPr>
          <w:rFonts w:ascii="Segoe UI" w:hAnsi="Segoe UI" w:cs="Segoe UI"/>
          <w:color w:val="auto"/>
        </w:rPr>
        <w:t> </w:t>
      </w:r>
      <w:r w:rsidRPr="00412EBF">
        <w:rPr>
          <w:rFonts w:ascii="Segoe UI" w:hAnsi="Segoe UI" w:cs="Segoe UI"/>
          <w:color w:val="auto"/>
        </w:rPr>
        <w:t>%</w:t>
      </w:r>
      <w:r w:rsidRPr="00412EBF">
        <w:rPr>
          <w:rFonts w:ascii="Segoe UI" w:hAnsi="Segoe UI" w:cs="Segoe UI"/>
          <w:szCs w:val="20"/>
        </w:rPr>
        <w:t>) et la France (2,9 Md</w:t>
      </w:r>
      <w:r w:rsidRPr="00412EBF">
        <w:rPr>
          <w:rFonts w:ascii="Segoe UI" w:hAnsi="Segoe UI" w:cs="Segoe UI"/>
          <w:color w:val="auto"/>
        </w:rPr>
        <w:t>€ ; 12,3</w:t>
      </w:r>
      <w:r w:rsidR="00991F90">
        <w:rPr>
          <w:rFonts w:ascii="Segoe UI" w:hAnsi="Segoe UI" w:cs="Segoe UI"/>
          <w:color w:val="auto"/>
        </w:rPr>
        <w:t> </w:t>
      </w:r>
      <w:r w:rsidRPr="00412EBF">
        <w:rPr>
          <w:rFonts w:ascii="Segoe UI" w:hAnsi="Segoe UI" w:cs="Segoe UI"/>
          <w:color w:val="auto"/>
        </w:rPr>
        <w:t>%</w:t>
      </w:r>
      <w:r w:rsidRPr="00412EBF">
        <w:rPr>
          <w:rFonts w:ascii="Segoe UI" w:hAnsi="Segoe UI" w:cs="Segoe UI"/>
          <w:szCs w:val="20"/>
        </w:rPr>
        <w:t>) constitu</w:t>
      </w:r>
      <w:r>
        <w:rPr>
          <w:rFonts w:ascii="Segoe UI" w:hAnsi="Segoe UI" w:cs="Segoe UI"/>
          <w:szCs w:val="20"/>
        </w:rPr>
        <w:t>en</w:t>
      </w:r>
      <w:r w:rsidRPr="00412EBF">
        <w:rPr>
          <w:rFonts w:ascii="Segoe UI" w:hAnsi="Segoe UI" w:cs="Segoe UI"/>
          <w:szCs w:val="20"/>
        </w:rPr>
        <w:t xml:space="preserve">t le </w:t>
      </w:r>
      <w:r w:rsidRPr="00412EBF">
        <w:rPr>
          <w:rFonts w:ascii="Segoe UI" w:hAnsi="Segoe UI" w:cs="Segoe UI"/>
          <w:szCs w:val="20"/>
          <w:u w:val="single"/>
        </w:rPr>
        <w:t>trio de tête des fournisseurs</w:t>
      </w:r>
      <w:r w:rsidR="0044760A" w:rsidRPr="0044760A">
        <w:rPr>
          <w:rFonts w:ascii="Segoe UI" w:hAnsi="Segoe UI" w:cs="Segoe UI"/>
        </w:rPr>
        <w:t xml:space="preserve"> </w:t>
      </w:r>
      <w:r w:rsidR="0044760A" w:rsidRPr="00214DDE">
        <w:rPr>
          <w:rFonts w:ascii="Segoe UI" w:hAnsi="Segoe UI" w:cs="Segoe UI"/>
        </w:rPr>
        <w:t>du Grand-Duché</w:t>
      </w:r>
      <w:r>
        <w:rPr>
          <w:rFonts w:ascii="Segoe UI" w:hAnsi="Segoe UI" w:cs="Segoe UI"/>
          <w:szCs w:val="20"/>
        </w:rPr>
        <w:t>. L</w:t>
      </w:r>
      <w:r w:rsidRPr="00412EBF">
        <w:rPr>
          <w:rFonts w:ascii="Segoe UI" w:hAnsi="Segoe UI" w:cs="Segoe UI"/>
          <w:szCs w:val="20"/>
        </w:rPr>
        <w:t>’Allemagne (3,7 Md</w:t>
      </w:r>
      <w:r w:rsidRPr="00412EBF">
        <w:rPr>
          <w:rFonts w:ascii="Segoe UI" w:hAnsi="Segoe UI" w:cs="Segoe UI"/>
          <w:color w:val="auto"/>
        </w:rPr>
        <w:t>€ ; 25,2</w:t>
      </w:r>
      <w:r w:rsidR="00991F90">
        <w:rPr>
          <w:rFonts w:ascii="Segoe UI" w:hAnsi="Segoe UI" w:cs="Segoe UI"/>
          <w:color w:val="auto"/>
        </w:rPr>
        <w:t> </w:t>
      </w:r>
      <w:r w:rsidRPr="00412EBF">
        <w:rPr>
          <w:rFonts w:ascii="Segoe UI" w:hAnsi="Segoe UI" w:cs="Segoe UI"/>
          <w:color w:val="auto"/>
        </w:rPr>
        <w:t>%</w:t>
      </w:r>
      <w:r w:rsidR="00E15847">
        <w:rPr>
          <w:rFonts w:ascii="Segoe UI" w:hAnsi="Segoe UI" w:cs="Segoe UI"/>
          <w:color w:val="auto"/>
        </w:rPr>
        <w:t xml:space="preserve"> des exportations</w:t>
      </w:r>
      <w:r w:rsidRPr="00412EBF">
        <w:rPr>
          <w:rFonts w:ascii="Segoe UI" w:hAnsi="Segoe UI" w:cs="Segoe UI"/>
          <w:szCs w:val="20"/>
        </w:rPr>
        <w:t>), la France (2,3 Md</w:t>
      </w:r>
      <w:r w:rsidRPr="00412EBF">
        <w:rPr>
          <w:rFonts w:ascii="Segoe UI" w:hAnsi="Segoe UI" w:cs="Segoe UI"/>
          <w:color w:val="auto"/>
        </w:rPr>
        <w:t>€ ; 15,6</w:t>
      </w:r>
      <w:r w:rsidR="00991F90">
        <w:rPr>
          <w:rFonts w:ascii="Segoe UI" w:hAnsi="Segoe UI" w:cs="Segoe UI"/>
          <w:color w:val="auto"/>
        </w:rPr>
        <w:t> </w:t>
      </w:r>
      <w:r w:rsidRPr="00412EBF">
        <w:rPr>
          <w:rFonts w:ascii="Segoe UI" w:hAnsi="Segoe UI" w:cs="Segoe UI"/>
          <w:color w:val="auto"/>
        </w:rPr>
        <w:t>%</w:t>
      </w:r>
      <w:r w:rsidRPr="00412EBF">
        <w:rPr>
          <w:rFonts w:ascii="Segoe UI" w:hAnsi="Segoe UI" w:cs="Segoe UI"/>
          <w:szCs w:val="20"/>
        </w:rPr>
        <w:t>) et la Belgique (1,9 Md</w:t>
      </w:r>
      <w:r w:rsidRPr="00412EBF">
        <w:rPr>
          <w:rFonts w:ascii="Segoe UI" w:hAnsi="Segoe UI" w:cs="Segoe UI"/>
          <w:color w:val="auto"/>
        </w:rPr>
        <w:t>€ ; 12,9</w:t>
      </w:r>
      <w:r>
        <w:rPr>
          <w:rFonts w:ascii="Segoe UI" w:hAnsi="Segoe UI" w:cs="Segoe UI"/>
          <w:color w:val="auto"/>
        </w:rPr>
        <w:t xml:space="preserve"> </w:t>
      </w:r>
      <w:r w:rsidRPr="00412EBF">
        <w:rPr>
          <w:rFonts w:ascii="Segoe UI" w:hAnsi="Segoe UI" w:cs="Segoe UI"/>
          <w:color w:val="auto"/>
        </w:rPr>
        <w:t>%</w:t>
      </w:r>
      <w:r w:rsidRPr="00412EBF">
        <w:rPr>
          <w:rFonts w:ascii="Segoe UI" w:hAnsi="Segoe UI" w:cs="Segoe UI"/>
          <w:szCs w:val="20"/>
        </w:rPr>
        <w:t>)</w:t>
      </w:r>
      <w:r w:rsidR="0044760A">
        <w:rPr>
          <w:rFonts w:ascii="Segoe UI" w:hAnsi="Segoe UI" w:cs="Segoe UI"/>
          <w:szCs w:val="20"/>
        </w:rPr>
        <w:t xml:space="preserve"> en</w:t>
      </w:r>
      <w:r w:rsidRPr="00412EBF">
        <w:rPr>
          <w:rFonts w:ascii="Segoe UI" w:hAnsi="Segoe UI" w:cs="Segoe UI"/>
          <w:szCs w:val="20"/>
        </w:rPr>
        <w:t xml:space="preserve"> </w:t>
      </w:r>
      <w:r w:rsidR="0044760A">
        <w:rPr>
          <w:rFonts w:ascii="Segoe UI" w:hAnsi="Segoe UI" w:cs="Segoe UI"/>
          <w:szCs w:val="20"/>
        </w:rPr>
        <w:t>sont</w:t>
      </w:r>
      <w:r w:rsidRPr="00412EBF">
        <w:rPr>
          <w:rFonts w:ascii="Segoe UI" w:hAnsi="Segoe UI" w:cs="Segoe UI"/>
          <w:szCs w:val="20"/>
        </w:rPr>
        <w:t xml:space="preserve"> les </w:t>
      </w:r>
      <w:r w:rsidRPr="00412EBF">
        <w:rPr>
          <w:rFonts w:ascii="Segoe UI" w:hAnsi="Segoe UI" w:cs="Segoe UI"/>
          <w:szCs w:val="20"/>
          <w:u w:val="single"/>
        </w:rPr>
        <w:t>principaux clients</w:t>
      </w:r>
      <w:r>
        <w:rPr>
          <w:rStyle w:val="Appelnotedebasdep"/>
          <w:rFonts w:ascii="Segoe UI" w:hAnsi="Segoe UI" w:cs="Segoe UI"/>
          <w:szCs w:val="20"/>
        </w:rPr>
        <w:footnoteReference w:id="1"/>
      </w:r>
      <w:r w:rsidRPr="00412EBF">
        <w:rPr>
          <w:rFonts w:ascii="Segoe UI" w:hAnsi="Segoe UI" w:cs="Segoe UI"/>
          <w:szCs w:val="20"/>
        </w:rPr>
        <w:t xml:space="preserve">. </w:t>
      </w:r>
      <w:r w:rsidR="0044760A" w:rsidRPr="00214DDE">
        <w:rPr>
          <w:rFonts w:ascii="Segoe UI" w:hAnsi="Segoe UI" w:cs="Segoe UI"/>
        </w:rPr>
        <w:t>Compte tenu de la structure de ses importations, notamment en énergie et en matériel de transport, le Luxembourg enregistre ses déficits commerciaux les plus marqués vis-à-vis de la Belgique (-5,8 Md€) et de l’Allemagne (-3,0 Md€).</w:t>
      </w:r>
    </w:p>
    <w:p w14:paraId="229B1846" w14:textId="31EC8B67" w:rsidR="00295221" w:rsidRPr="00DE7BE0" w:rsidRDefault="00F4255E" w:rsidP="00486083">
      <w:pPr>
        <w:pStyle w:val="Brvesco-Normal"/>
        <w:spacing w:after="120" w:line="240" w:lineRule="auto"/>
        <w:ind w:left="-283"/>
        <w:rPr>
          <w:rFonts w:ascii="Segoe UI" w:hAnsi="Segoe UI" w:cs="Segoe UI"/>
          <w:b/>
          <w:bCs/>
          <w:color w:val="000091" w:themeColor="text1"/>
        </w:rPr>
      </w:pPr>
      <w:r w:rsidRPr="00DE7BE0">
        <w:rPr>
          <w:rFonts w:ascii="Segoe UI" w:hAnsi="Segoe UI" w:cs="Segoe UI"/>
          <w:b/>
          <w:bCs/>
          <w:color w:val="000091" w:themeColor="text1"/>
        </w:rPr>
        <w:t>T</w:t>
      </w:r>
      <w:r w:rsidR="00E0302E" w:rsidRPr="00DE7BE0">
        <w:rPr>
          <w:rFonts w:ascii="Segoe UI" w:hAnsi="Segoe UI" w:cs="Segoe UI"/>
          <w:b/>
          <w:bCs/>
          <w:color w:val="000091" w:themeColor="text1"/>
        </w:rPr>
        <w:t>oujours excédentaires et en croissance, les échanges de services sont dominés par les services financiers</w:t>
      </w:r>
      <w:r w:rsidR="007E7D8C" w:rsidRPr="00DE7BE0">
        <w:rPr>
          <w:rFonts w:ascii="Segoe UI" w:hAnsi="Segoe UI" w:cs="Segoe UI"/>
          <w:b/>
          <w:bCs/>
          <w:color w:val="000091" w:themeColor="text1"/>
        </w:rPr>
        <w:t>.</w:t>
      </w:r>
    </w:p>
    <w:p w14:paraId="2D5773F6" w14:textId="2E8F62D5" w:rsidR="00295221" w:rsidRDefault="003F4084" w:rsidP="00486083">
      <w:pPr>
        <w:pStyle w:val="Brvesco-Normal"/>
        <w:spacing w:line="240" w:lineRule="auto"/>
        <w:ind w:left="-283"/>
        <w:rPr>
          <w:rFonts w:ascii="Segoe UI" w:hAnsi="Segoe UI" w:cs="Segoe UI"/>
          <w:szCs w:val="20"/>
        </w:rPr>
      </w:pPr>
      <w:r>
        <w:rPr>
          <w:rStyle w:val="Lienhypertexte"/>
          <w:rFonts w:ascii="Segoe UI" w:hAnsi="Segoe UI" w:cs="Segoe UI"/>
          <w:b/>
          <w:bCs/>
          <w:noProof/>
          <w:color w:val="auto"/>
          <w:szCs w:val="20"/>
          <w:u w:val="none"/>
        </w:rPr>
        <w:t>L</w:t>
      </w:r>
      <w:r w:rsidR="00B92F67" w:rsidRPr="00412EBF">
        <w:rPr>
          <w:rStyle w:val="Lienhypertexte"/>
          <w:rFonts w:ascii="Segoe UI" w:hAnsi="Segoe UI" w:cs="Segoe UI"/>
          <w:b/>
          <w:bCs/>
          <w:noProof/>
          <w:color w:val="auto"/>
          <w:szCs w:val="20"/>
          <w:u w:val="none"/>
        </w:rPr>
        <w:t xml:space="preserve">es échanges </w:t>
      </w:r>
      <w:r>
        <w:rPr>
          <w:rStyle w:val="Lienhypertexte"/>
          <w:rFonts w:ascii="Segoe UI" w:hAnsi="Segoe UI" w:cs="Segoe UI"/>
          <w:b/>
          <w:bCs/>
          <w:noProof/>
          <w:color w:val="auto"/>
          <w:szCs w:val="20"/>
          <w:u w:val="none"/>
        </w:rPr>
        <w:t xml:space="preserve">de service </w:t>
      </w:r>
      <w:r w:rsidR="00B92F67" w:rsidRPr="00412EBF">
        <w:rPr>
          <w:rStyle w:val="Lienhypertexte"/>
          <w:rFonts w:ascii="Segoe UI" w:hAnsi="Segoe UI" w:cs="Segoe UI"/>
          <w:b/>
          <w:bCs/>
          <w:noProof/>
          <w:color w:val="auto"/>
          <w:szCs w:val="20"/>
          <w:u w:val="none"/>
        </w:rPr>
        <w:t xml:space="preserve">et l’excédent de la balance </w:t>
      </w:r>
      <w:r>
        <w:rPr>
          <w:rStyle w:val="Lienhypertexte"/>
          <w:rFonts w:ascii="Segoe UI" w:hAnsi="Segoe UI" w:cs="Segoe UI"/>
          <w:b/>
          <w:bCs/>
          <w:noProof/>
          <w:color w:val="auto"/>
          <w:szCs w:val="20"/>
          <w:u w:val="none"/>
        </w:rPr>
        <w:t xml:space="preserve">afférente </w:t>
      </w:r>
      <w:r w:rsidR="00B92F67" w:rsidRPr="00412EBF">
        <w:rPr>
          <w:rStyle w:val="Lienhypertexte"/>
          <w:rFonts w:ascii="Segoe UI" w:hAnsi="Segoe UI" w:cs="Segoe UI"/>
          <w:b/>
          <w:bCs/>
          <w:noProof/>
          <w:color w:val="auto"/>
          <w:szCs w:val="20"/>
          <w:u w:val="none"/>
        </w:rPr>
        <w:t xml:space="preserve">atteignent un niveau record en 2024. </w:t>
      </w:r>
      <w:r w:rsidR="00B92F67" w:rsidRPr="00412EBF">
        <w:rPr>
          <w:rStyle w:val="Lienhypertexte"/>
          <w:rFonts w:ascii="Segoe UI" w:hAnsi="Segoe UI" w:cs="Segoe UI"/>
          <w:noProof/>
          <w:color w:val="auto"/>
          <w:szCs w:val="20"/>
          <w:u w:val="none"/>
        </w:rPr>
        <w:t>En h</w:t>
      </w:r>
      <w:r>
        <w:rPr>
          <w:rStyle w:val="Lienhypertexte"/>
          <w:rFonts w:ascii="Segoe UI" w:hAnsi="Segoe UI" w:cs="Segoe UI"/>
          <w:noProof/>
          <w:color w:val="auto"/>
          <w:szCs w:val="20"/>
          <w:u w:val="none"/>
        </w:rPr>
        <w:t>ausse</w:t>
      </w:r>
      <w:r w:rsidR="00B92F67" w:rsidRPr="00412EBF">
        <w:rPr>
          <w:rStyle w:val="Lienhypertexte"/>
          <w:rFonts w:ascii="Segoe UI" w:hAnsi="Segoe UI" w:cs="Segoe UI"/>
          <w:noProof/>
          <w:color w:val="auto"/>
          <w:szCs w:val="20"/>
          <w:u w:val="none"/>
        </w:rPr>
        <w:t xml:space="preserve"> de +3,1</w:t>
      </w:r>
      <w:r w:rsidR="00991F90">
        <w:rPr>
          <w:rStyle w:val="Lienhypertexte"/>
          <w:rFonts w:ascii="Segoe UI" w:hAnsi="Segoe UI" w:cs="Segoe UI"/>
          <w:noProof/>
          <w:color w:val="auto"/>
          <w:szCs w:val="20"/>
          <w:u w:val="none"/>
        </w:rPr>
        <w:t> </w:t>
      </w:r>
      <w:r w:rsidR="00B92F67" w:rsidRPr="00412EBF">
        <w:rPr>
          <w:rStyle w:val="Lienhypertexte"/>
          <w:rFonts w:ascii="Segoe UI" w:hAnsi="Segoe UI" w:cs="Segoe UI"/>
          <w:noProof/>
          <w:color w:val="auto"/>
          <w:szCs w:val="20"/>
          <w:u w:val="none"/>
        </w:rPr>
        <w:t>%</w:t>
      </w:r>
      <w:r>
        <w:rPr>
          <w:rStyle w:val="Lienhypertexte"/>
          <w:rFonts w:ascii="Segoe UI" w:hAnsi="Segoe UI" w:cs="Segoe UI"/>
          <w:noProof/>
          <w:color w:val="auto"/>
          <w:szCs w:val="20"/>
          <w:u w:val="none"/>
        </w:rPr>
        <w:t xml:space="preserve"> en g.a., les échanges de services s’établissent à 279 Md€, portés</w:t>
      </w:r>
      <w:r w:rsidR="00B92F67" w:rsidRPr="00412EBF">
        <w:rPr>
          <w:rStyle w:val="Lienhypertexte"/>
          <w:rFonts w:ascii="Segoe UI" w:hAnsi="Segoe UI" w:cs="Segoe UI"/>
          <w:noProof/>
          <w:color w:val="auto"/>
          <w:szCs w:val="20"/>
          <w:u w:val="none"/>
        </w:rPr>
        <w:t xml:space="preserve"> à </w:t>
      </w:r>
      <w:r>
        <w:rPr>
          <w:rStyle w:val="Lienhypertexte"/>
          <w:rFonts w:ascii="Segoe UI" w:hAnsi="Segoe UI" w:cs="Segoe UI"/>
          <w:noProof/>
          <w:color w:val="auto"/>
          <w:szCs w:val="20"/>
          <w:u w:val="none"/>
        </w:rPr>
        <w:t xml:space="preserve">la fois par </w:t>
      </w:r>
      <w:r w:rsidR="00B92F67" w:rsidRPr="00412EBF">
        <w:rPr>
          <w:rStyle w:val="Lienhypertexte"/>
          <w:rFonts w:ascii="Segoe UI" w:hAnsi="Segoe UI" w:cs="Segoe UI"/>
          <w:noProof/>
          <w:color w:val="auto"/>
          <w:szCs w:val="20"/>
          <w:u w:val="none"/>
        </w:rPr>
        <w:t xml:space="preserve">une progression </w:t>
      </w:r>
      <w:r w:rsidR="00275ED5" w:rsidRPr="00412EBF">
        <w:rPr>
          <w:rStyle w:val="Lienhypertexte"/>
          <w:rFonts w:ascii="Segoe UI" w:hAnsi="Segoe UI" w:cs="Segoe UI"/>
          <w:noProof/>
          <w:color w:val="auto"/>
          <w:szCs w:val="20"/>
          <w:u w:val="none"/>
        </w:rPr>
        <w:t>des exportations (+3,5</w:t>
      </w:r>
      <w:r w:rsidR="00914A8E">
        <w:rPr>
          <w:rStyle w:val="Lienhypertexte"/>
          <w:rFonts w:ascii="Segoe UI" w:hAnsi="Segoe UI" w:cs="Segoe UI"/>
          <w:noProof/>
          <w:color w:val="auto"/>
          <w:szCs w:val="20"/>
          <w:u w:val="none"/>
        </w:rPr>
        <w:t xml:space="preserve"> </w:t>
      </w:r>
      <w:r w:rsidR="00275ED5" w:rsidRPr="00412EBF">
        <w:rPr>
          <w:rStyle w:val="Lienhypertexte"/>
          <w:rFonts w:ascii="Segoe UI" w:hAnsi="Segoe UI" w:cs="Segoe UI"/>
          <w:noProof/>
          <w:color w:val="auto"/>
          <w:szCs w:val="20"/>
          <w:u w:val="none"/>
        </w:rPr>
        <w:t>% ; 158,3 Md</w:t>
      </w:r>
      <w:r w:rsidR="00275ED5" w:rsidRPr="00412EBF">
        <w:rPr>
          <w:rFonts w:ascii="Segoe UI" w:hAnsi="Segoe UI" w:cs="Segoe UI"/>
          <w:szCs w:val="20"/>
        </w:rPr>
        <w:t xml:space="preserve">€) et </w:t>
      </w:r>
      <w:r>
        <w:rPr>
          <w:rFonts w:ascii="Segoe UI" w:hAnsi="Segoe UI" w:cs="Segoe UI"/>
          <w:szCs w:val="20"/>
        </w:rPr>
        <w:t>une hausse des</w:t>
      </w:r>
      <w:r w:rsidR="00275ED5" w:rsidRPr="00412EBF">
        <w:rPr>
          <w:rFonts w:ascii="Segoe UI" w:hAnsi="Segoe UI" w:cs="Segoe UI"/>
          <w:szCs w:val="20"/>
        </w:rPr>
        <w:t xml:space="preserve"> importations (+2,6</w:t>
      </w:r>
      <w:r w:rsidR="00914A8E">
        <w:rPr>
          <w:rFonts w:ascii="Segoe UI" w:hAnsi="Segoe UI" w:cs="Segoe UI"/>
          <w:szCs w:val="20"/>
        </w:rPr>
        <w:t xml:space="preserve"> </w:t>
      </w:r>
      <w:r w:rsidR="00275ED5" w:rsidRPr="00412EBF">
        <w:rPr>
          <w:rFonts w:ascii="Segoe UI" w:hAnsi="Segoe UI" w:cs="Segoe UI"/>
          <w:szCs w:val="20"/>
        </w:rPr>
        <w:t>% ; 120,7 Md€)</w:t>
      </w:r>
      <w:r>
        <w:rPr>
          <w:rFonts w:ascii="Segoe UI" w:hAnsi="Segoe UI" w:cs="Segoe UI"/>
          <w:szCs w:val="20"/>
        </w:rPr>
        <w:t>.</w:t>
      </w:r>
      <w:r w:rsidR="00636B36" w:rsidRPr="00412EBF">
        <w:rPr>
          <w:rFonts w:ascii="Segoe UI" w:hAnsi="Segoe UI" w:cs="Segoe UI"/>
          <w:szCs w:val="20"/>
        </w:rPr>
        <w:t xml:space="preserve"> </w:t>
      </w:r>
      <w:r w:rsidRPr="003F4084">
        <w:rPr>
          <w:rFonts w:ascii="Segoe UI" w:hAnsi="Segoe UI" w:cs="Segoe UI"/>
          <w:szCs w:val="20"/>
        </w:rPr>
        <w:t>Ce volume représente près de cinq fois celui des échanges de biens</w:t>
      </w:r>
      <w:r w:rsidR="00435813" w:rsidRPr="00412EBF">
        <w:rPr>
          <w:rStyle w:val="Appeldenotedefin"/>
          <w:rFonts w:ascii="Segoe UI" w:hAnsi="Segoe UI" w:cs="Segoe UI"/>
          <w:szCs w:val="20"/>
        </w:rPr>
        <w:endnoteReference w:id="2"/>
      </w:r>
      <w:r w:rsidR="00435813" w:rsidRPr="003F4084">
        <w:rPr>
          <w:rFonts w:ascii="Segoe UI" w:hAnsi="Segoe UI" w:cs="Segoe UI"/>
          <w:szCs w:val="20"/>
        </w:rPr>
        <w:t>,</w:t>
      </w:r>
      <w:r w:rsidRPr="003F4084">
        <w:rPr>
          <w:rFonts w:ascii="Segoe UI" w:hAnsi="Segoe UI" w:cs="Segoe UI"/>
          <w:szCs w:val="20"/>
        </w:rPr>
        <w:t xml:space="preserve"> avec plus de 55,0 % réalisés au sein de l’U</w:t>
      </w:r>
      <w:r w:rsidR="00D80812">
        <w:rPr>
          <w:rFonts w:ascii="Segoe UI" w:hAnsi="Segoe UI" w:cs="Segoe UI"/>
          <w:szCs w:val="20"/>
        </w:rPr>
        <w:t>nion européenne</w:t>
      </w:r>
      <w:r w:rsidRPr="003F4084">
        <w:rPr>
          <w:rFonts w:ascii="Segoe UI" w:hAnsi="Segoe UI" w:cs="Segoe UI"/>
          <w:szCs w:val="20"/>
        </w:rPr>
        <w:t xml:space="preserve">. </w:t>
      </w:r>
      <w:r w:rsidR="00D80812">
        <w:rPr>
          <w:rFonts w:ascii="Segoe UI" w:hAnsi="Segoe UI" w:cs="Segoe UI"/>
          <w:szCs w:val="20"/>
        </w:rPr>
        <w:t xml:space="preserve">L’excédent </w:t>
      </w:r>
      <w:r w:rsidR="00E1262E" w:rsidRPr="00412EBF">
        <w:rPr>
          <w:rFonts w:ascii="Segoe UI" w:hAnsi="Segoe UI" w:cs="Segoe UI"/>
          <w:szCs w:val="20"/>
        </w:rPr>
        <w:t xml:space="preserve">structurel </w:t>
      </w:r>
      <w:r w:rsidR="00D80812">
        <w:rPr>
          <w:rFonts w:ascii="Segoe UI" w:hAnsi="Segoe UI" w:cs="Segoe UI"/>
          <w:szCs w:val="20"/>
        </w:rPr>
        <w:t>généré</w:t>
      </w:r>
      <w:r w:rsidR="00E1262E" w:rsidRPr="00412EBF">
        <w:rPr>
          <w:rFonts w:ascii="Segoe UI" w:hAnsi="Segoe UI" w:cs="Segoe UI"/>
          <w:szCs w:val="20"/>
        </w:rPr>
        <w:t xml:space="preserve"> par le Luxembourg </w:t>
      </w:r>
      <w:r w:rsidR="00D80812">
        <w:rPr>
          <w:rFonts w:ascii="Segoe UI" w:hAnsi="Segoe UI" w:cs="Segoe UI"/>
          <w:szCs w:val="20"/>
        </w:rPr>
        <w:t xml:space="preserve">a augmenté de </w:t>
      </w:r>
      <w:r w:rsidR="00E1262E" w:rsidRPr="00412EBF">
        <w:rPr>
          <w:rFonts w:ascii="Segoe UI" w:hAnsi="Segoe UI" w:cs="Segoe UI"/>
          <w:szCs w:val="20"/>
        </w:rPr>
        <w:t>+6</w:t>
      </w:r>
      <w:r w:rsidR="004539B8">
        <w:rPr>
          <w:rFonts w:ascii="Segoe UI" w:hAnsi="Segoe UI" w:cs="Segoe UI"/>
          <w:szCs w:val="20"/>
        </w:rPr>
        <w:t>,5</w:t>
      </w:r>
      <w:r w:rsidR="00914A8E">
        <w:rPr>
          <w:rFonts w:ascii="Segoe UI" w:hAnsi="Segoe UI" w:cs="Segoe UI"/>
          <w:szCs w:val="20"/>
        </w:rPr>
        <w:t xml:space="preserve"> </w:t>
      </w:r>
      <w:r w:rsidR="00E1262E" w:rsidRPr="00412EBF">
        <w:rPr>
          <w:rFonts w:ascii="Segoe UI" w:hAnsi="Segoe UI" w:cs="Segoe UI"/>
          <w:szCs w:val="20"/>
        </w:rPr>
        <w:t>%</w:t>
      </w:r>
      <w:r w:rsidR="00DE7BE0">
        <w:rPr>
          <w:rFonts w:ascii="Segoe UI" w:hAnsi="Segoe UI" w:cs="Segoe UI"/>
          <w:szCs w:val="20"/>
        </w:rPr>
        <w:t xml:space="preserve"> </w:t>
      </w:r>
      <w:r w:rsidR="004539B8">
        <w:rPr>
          <w:rFonts w:ascii="Segoe UI" w:hAnsi="Segoe UI" w:cs="Segoe UI"/>
          <w:szCs w:val="20"/>
        </w:rPr>
        <w:t xml:space="preserve">en </w:t>
      </w:r>
      <w:proofErr w:type="spellStart"/>
      <w:r w:rsidR="004539B8">
        <w:rPr>
          <w:rFonts w:ascii="Segoe UI" w:hAnsi="Segoe UI" w:cs="Segoe UI"/>
          <w:szCs w:val="20"/>
        </w:rPr>
        <w:t>g.a</w:t>
      </w:r>
      <w:proofErr w:type="spellEnd"/>
      <w:r w:rsidR="00D80812">
        <w:rPr>
          <w:rFonts w:ascii="Segoe UI" w:hAnsi="Segoe UI" w:cs="Segoe UI"/>
          <w:szCs w:val="20"/>
        </w:rPr>
        <w:t xml:space="preserve"> </w:t>
      </w:r>
      <w:r w:rsidR="00E1262E" w:rsidRPr="00412EBF">
        <w:rPr>
          <w:rFonts w:ascii="Segoe UI" w:hAnsi="Segoe UI" w:cs="Segoe UI"/>
          <w:szCs w:val="20"/>
        </w:rPr>
        <w:t>et atteint le niveau record de 37,5 Md€ en 2024</w:t>
      </w:r>
      <w:r w:rsidR="00F0398B" w:rsidRPr="00412EBF">
        <w:rPr>
          <w:rFonts w:ascii="Segoe UI" w:hAnsi="Segoe UI" w:cs="Segoe UI"/>
          <w:szCs w:val="20"/>
        </w:rPr>
        <w:t xml:space="preserve"> (</w:t>
      </w:r>
      <w:r w:rsidR="00F0398B" w:rsidRPr="00486083">
        <w:rPr>
          <w:rFonts w:ascii="Segoe UI" w:hAnsi="Segoe UI" w:cs="Segoe UI"/>
          <w:i/>
          <w:iCs/>
          <w:szCs w:val="20"/>
        </w:rPr>
        <w:t xml:space="preserve">cf. annexe </w:t>
      </w:r>
      <w:r w:rsidR="002910F1" w:rsidRPr="00486083">
        <w:rPr>
          <w:rFonts w:ascii="Segoe UI" w:hAnsi="Segoe UI" w:cs="Segoe UI"/>
          <w:i/>
          <w:iCs/>
          <w:szCs w:val="20"/>
        </w:rPr>
        <w:t>6</w:t>
      </w:r>
      <w:r w:rsidR="00F0398B" w:rsidRPr="00412EBF">
        <w:rPr>
          <w:rFonts w:ascii="Segoe UI" w:hAnsi="Segoe UI" w:cs="Segoe UI"/>
          <w:szCs w:val="20"/>
        </w:rPr>
        <w:t>)</w:t>
      </w:r>
      <w:r w:rsidR="00E1262E" w:rsidRPr="00412EBF">
        <w:rPr>
          <w:rFonts w:ascii="Segoe UI" w:hAnsi="Segoe UI" w:cs="Segoe UI"/>
          <w:szCs w:val="20"/>
        </w:rPr>
        <w:t>.</w:t>
      </w:r>
      <w:r w:rsidR="00E20451" w:rsidRPr="00412EBF">
        <w:rPr>
          <w:rFonts w:ascii="Segoe UI" w:hAnsi="Segoe UI" w:cs="Segoe UI"/>
          <w:szCs w:val="20"/>
        </w:rPr>
        <w:t xml:space="preserve"> </w:t>
      </w:r>
      <w:r w:rsidR="00D80812" w:rsidRPr="003F4084">
        <w:rPr>
          <w:rFonts w:ascii="Segoe UI" w:hAnsi="Segoe UI" w:cs="Segoe UI"/>
          <w:szCs w:val="20"/>
        </w:rPr>
        <w:t>Les services financiers dominent toujours les échanges, tant à l’exportation qu’à l’importation</w:t>
      </w:r>
      <w:r w:rsidR="00D80812">
        <w:rPr>
          <w:rFonts w:ascii="Segoe UI" w:hAnsi="Segoe UI" w:cs="Segoe UI"/>
          <w:szCs w:val="20"/>
        </w:rPr>
        <w:t xml:space="preserve">. </w:t>
      </w:r>
      <w:r w:rsidR="00377530" w:rsidRPr="00412EBF">
        <w:rPr>
          <w:rStyle w:val="Lienhypertexte"/>
          <w:rFonts w:ascii="Segoe UI" w:hAnsi="Segoe UI" w:cs="Segoe UI"/>
          <w:color w:val="auto"/>
          <w:u w:val="none"/>
        </w:rPr>
        <w:t>Bien qu’en repli tendanciel depuis 2010, l</w:t>
      </w:r>
      <w:r w:rsidR="00D80812">
        <w:rPr>
          <w:rStyle w:val="Lienhypertexte"/>
          <w:rFonts w:ascii="Segoe UI" w:hAnsi="Segoe UI" w:cs="Segoe UI"/>
          <w:color w:val="auto"/>
          <w:u w:val="none"/>
        </w:rPr>
        <w:t xml:space="preserve">eur part </w:t>
      </w:r>
      <w:r w:rsidR="00377530" w:rsidRPr="00412EBF">
        <w:rPr>
          <w:rStyle w:val="Lienhypertexte"/>
          <w:rFonts w:ascii="Segoe UI" w:hAnsi="Segoe UI" w:cs="Segoe UI"/>
          <w:color w:val="auto"/>
          <w:u w:val="none"/>
        </w:rPr>
        <w:t>r</w:t>
      </w:r>
      <w:r w:rsidR="00D80812">
        <w:rPr>
          <w:rStyle w:val="Lienhypertexte"/>
          <w:rFonts w:ascii="Segoe UI" w:hAnsi="Segoe UI" w:cs="Segoe UI"/>
          <w:color w:val="auto"/>
          <w:u w:val="none"/>
        </w:rPr>
        <w:t>este majoritaire</w:t>
      </w:r>
      <w:r w:rsidR="00377530" w:rsidRPr="00412EBF">
        <w:rPr>
          <w:rStyle w:val="Lienhypertexte"/>
          <w:rFonts w:ascii="Segoe UI" w:hAnsi="Segoe UI" w:cs="Segoe UI"/>
          <w:color w:val="auto"/>
          <w:u w:val="none"/>
        </w:rPr>
        <w:t xml:space="preserve"> en 2024 (</w:t>
      </w:r>
      <w:r w:rsidR="00E20451" w:rsidRPr="00412EBF">
        <w:rPr>
          <w:rStyle w:val="Lienhypertexte"/>
          <w:rFonts w:ascii="Segoe UI" w:hAnsi="Segoe UI" w:cs="Segoe UI"/>
          <w:color w:val="auto"/>
          <w:u w:val="none"/>
        </w:rPr>
        <w:t>46,1</w:t>
      </w:r>
      <w:r w:rsidR="00991F90">
        <w:rPr>
          <w:rStyle w:val="Lienhypertexte"/>
          <w:rFonts w:ascii="Segoe UI" w:hAnsi="Segoe UI" w:cs="Segoe UI"/>
          <w:color w:val="auto"/>
          <w:u w:val="none"/>
        </w:rPr>
        <w:t> </w:t>
      </w:r>
      <w:r w:rsidR="00E20451" w:rsidRPr="00412EBF">
        <w:rPr>
          <w:rStyle w:val="Lienhypertexte"/>
          <w:rFonts w:ascii="Segoe UI" w:hAnsi="Segoe UI" w:cs="Segoe UI"/>
          <w:color w:val="auto"/>
          <w:u w:val="none"/>
        </w:rPr>
        <w:t>%</w:t>
      </w:r>
      <w:r w:rsidR="00D80812">
        <w:rPr>
          <w:rStyle w:val="Lienhypertexte"/>
          <w:rFonts w:ascii="Segoe UI" w:hAnsi="Segoe UI" w:cs="Segoe UI"/>
          <w:color w:val="auto"/>
          <w:u w:val="none"/>
        </w:rPr>
        <w:t xml:space="preserve"> du total</w:t>
      </w:r>
      <w:r w:rsidR="00E20451" w:rsidRPr="00412EBF">
        <w:rPr>
          <w:rStyle w:val="Lienhypertexte"/>
          <w:rFonts w:ascii="Segoe UI" w:hAnsi="Segoe UI" w:cs="Segoe UI"/>
          <w:color w:val="auto"/>
          <w:u w:val="none"/>
        </w:rPr>
        <w:t xml:space="preserve">, +0,9 pp en </w:t>
      </w:r>
      <w:proofErr w:type="spellStart"/>
      <w:r w:rsidR="00E20451" w:rsidRPr="00412EBF">
        <w:rPr>
          <w:rStyle w:val="Lienhypertexte"/>
          <w:rFonts w:ascii="Segoe UI" w:hAnsi="Segoe UI" w:cs="Segoe UI"/>
          <w:color w:val="auto"/>
          <w:u w:val="none"/>
        </w:rPr>
        <w:t>g.a</w:t>
      </w:r>
      <w:proofErr w:type="spellEnd"/>
      <w:r w:rsidR="00E20451" w:rsidRPr="00412EBF">
        <w:rPr>
          <w:rStyle w:val="Lienhypertexte"/>
          <w:rFonts w:ascii="Segoe UI" w:hAnsi="Segoe UI" w:cs="Segoe UI"/>
          <w:color w:val="auto"/>
          <w:u w:val="none"/>
        </w:rPr>
        <w:t>)</w:t>
      </w:r>
      <w:r w:rsidR="00D80812">
        <w:rPr>
          <w:rStyle w:val="Lienhypertexte"/>
          <w:rFonts w:ascii="Segoe UI" w:hAnsi="Segoe UI" w:cs="Segoe UI"/>
          <w:color w:val="auto"/>
          <w:u w:val="none"/>
        </w:rPr>
        <w:t xml:space="preserve"> et représentent </w:t>
      </w:r>
      <w:r w:rsidR="00E20451" w:rsidRPr="00412EBF">
        <w:rPr>
          <w:rStyle w:val="Lienhypertexte"/>
          <w:rFonts w:ascii="Segoe UI" w:hAnsi="Segoe UI" w:cs="Segoe UI"/>
          <w:color w:val="auto"/>
          <w:u w:val="none"/>
        </w:rPr>
        <w:t>48,6</w:t>
      </w:r>
      <w:r w:rsidR="00914A8E">
        <w:rPr>
          <w:rStyle w:val="Lienhypertexte"/>
          <w:rFonts w:ascii="Segoe UI" w:hAnsi="Segoe UI" w:cs="Segoe UI"/>
          <w:color w:val="auto"/>
          <w:u w:val="none"/>
        </w:rPr>
        <w:t xml:space="preserve"> </w:t>
      </w:r>
      <w:r w:rsidR="00E20451" w:rsidRPr="00412EBF">
        <w:rPr>
          <w:rStyle w:val="Lienhypertexte"/>
          <w:rFonts w:ascii="Segoe UI" w:hAnsi="Segoe UI" w:cs="Segoe UI"/>
          <w:color w:val="auto"/>
          <w:u w:val="none"/>
        </w:rPr>
        <w:t>% d</w:t>
      </w:r>
      <w:r w:rsidR="00D80812">
        <w:rPr>
          <w:rStyle w:val="Lienhypertexte"/>
          <w:rFonts w:ascii="Segoe UI" w:hAnsi="Segoe UI" w:cs="Segoe UI"/>
          <w:color w:val="auto"/>
          <w:u w:val="none"/>
        </w:rPr>
        <w:t xml:space="preserve">es </w:t>
      </w:r>
      <w:r w:rsidR="00E20451" w:rsidRPr="00412EBF">
        <w:rPr>
          <w:rStyle w:val="Lienhypertexte"/>
          <w:rFonts w:ascii="Segoe UI" w:hAnsi="Segoe UI" w:cs="Segoe UI"/>
          <w:color w:val="auto"/>
          <w:u w:val="none"/>
        </w:rPr>
        <w:t>exportations (77,0 Md</w:t>
      </w:r>
      <w:r w:rsidR="00E20451" w:rsidRPr="00412EBF">
        <w:rPr>
          <w:rFonts w:ascii="Segoe UI" w:hAnsi="Segoe UI" w:cs="Segoe UI"/>
          <w:szCs w:val="20"/>
        </w:rPr>
        <w:t>€) et 42,8</w:t>
      </w:r>
      <w:r w:rsidR="00914A8E">
        <w:rPr>
          <w:rFonts w:ascii="Segoe UI" w:hAnsi="Segoe UI" w:cs="Segoe UI"/>
          <w:szCs w:val="20"/>
        </w:rPr>
        <w:t xml:space="preserve"> </w:t>
      </w:r>
      <w:r w:rsidR="00E20451" w:rsidRPr="00412EBF">
        <w:rPr>
          <w:rFonts w:ascii="Segoe UI" w:hAnsi="Segoe UI" w:cs="Segoe UI"/>
          <w:szCs w:val="20"/>
        </w:rPr>
        <w:t>% d</w:t>
      </w:r>
      <w:r w:rsidR="00D80812">
        <w:rPr>
          <w:rFonts w:ascii="Segoe UI" w:hAnsi="Segoe UI" w:cs="Segoe UI"/>
          <w:szCs w:val="20"/>
        </w:rPr>
        <w:t xml:space="preserve">es </w:t>
      </w:r>
      <w:r w:rsidR="00E20451" w:rsidRPr="00412EBF">
        <w:rPr>
          <w:rFonts w:ascii="Segoe UI" w:hAnsi="Segoe UI" w:cs="Segoe UI"/>
          <w:szCs w:val="20"/>
        </w:rPr>
        <w:t>importations (51,7 Md€).</w:t>
      </w:r>
      <w:r w:rsidR="0046631F" w:rsidRPr="00412EBF">
        <w:rPr>
          <w:rFonts w:ascii="Segoe UI" w:hAnsi="Segoe UI" w:cs="Segoe UI"/>
          <w:szCs w:val="20"/>
        </w:rPr>
        <w:t xml:space="preserve"> </w:t>
      </w:r>
      <w:r w:rsidR="00D80812" w:rsidRPr="00D80812">
        <w:rPr>
          <w:rFonts w:ascii="Segoe UI" w:hAnsi="Segoe UI" w:cs="Segoe UI"/>
          <w:szCs w:val="20"/>
        </w:rPr>
        <w:t xml:space="preserve"> </w:t>
      </w:r>
      <w:r w:rsidR="00D80812" w:rsidRPr="003F4084">
        <w:rPr>
          <w:rFonts w:ascii="Segoe UI" w:hAnsi="Segoe UI" w:cs="Segoe UI"/>
          <w:szCs w:val="20"/>
        </w:rPr>
        <w:t xml:space="preserve">Outre les services financiers, les exportations sont tirées par </w:t>
      </w:r>
      <w:r w:rsidR="0046631F" w:rsidRPr="00412EBF">
        <w:rPr>
          <w:rFonts w:ascii="Segoe UI" w:hAnsi="Segoe UI" w:cs="Segoe UI"/>
          <w:szCs w:val="20"/>
        </w:rPr>
        <w:t>les services aux entreprises (26,6</w:t>
      </w:r>
      <w:r w:rsidR="00991F90">
        <w:rPr>
          <w:rFonts w:ascii="Segoe UI" w:hAnsi="Segoe UI" w:cs="Segoe UI"/>
          <w:szCs w:val="20"/>
        </w:rPr>
        <w:t> </w:t>
      </w:r>
      <w:r w:rsidR="0046631F" w:rsidRPr="00412EBF">
        <w:rPr>
          <w:rFonts w:ascii="Segoe UI" w:hAnsi="Segoe UI" w:cs="Segoe UI"/>
          <w:szCs w:val="20"/>
        </w:rPr>
        <w:t>%</w:t>
      </w:r>
      <w:r w:rsidR="00D80812">
        <w:rPr>
          <w:rFonts w:ascii="Segoe UI" w:hAnsi="Segoe UI" w:cs="Segoe UI"/>
          <w:szCs w:val="20"/>
        </w:rPr>
        <w:t xml:space="preserve"> du total</w:t>
      </w:r>
      <w:r w:rsidR="0046631F" w:rsidRPr="00412EBF">
        <w:rPr>
          <w:rFonts w:ascii="Segoe UI" w:hAnsi="Segoe UI" w:cs="Segoe UI"/>
          <w:szCs w:val="20"/>
        </w:rPr>
        <w:t> </w:t>
      </w:r>
      <w:r w:rsidR="00D80812">
        <w:rPr>
          <w:rFonts w:ascii="Segoe UI" w:hAnsi="Segoe UI" w:cs="Segoe UI"/>
          <w:szCs w:val="20"/>
        </w:rPr>
        <w:t xml:space="preserve">soit </w:t>
      </w:r>
      <w:r w:rsidR="0046631F" w:rsidRPr="00412EBF">
        <w:rPr>
          <w:rFonts w:ascii="Segoe UI" w:hAnsi="Segoe UI" w:cs="Segoe UI"/>
          <w:szCs w:val="20"/>
        </w:rPr>
        <w:t>+6</w:t>
      </w:r>
      <w:r w:rsidR="00991F90">
        <w:rPr>
          <w:rFonts w:ascii="Segoe UI" w:hAnsi="Segoe UI" w:cs="Segoe UI"/>
          <w:szCs w:val="20"/>
        </w:rPr>
        <w:t xml:space="preserve">,0 </w:t>
      </w:r>
      <w:r w:rsidR="0046631F" w:rsidRPr="00412EBF">
        <w:rPr>
          <w:rFonts w:ascii="Segoe UI" w:hAnsi="Segoe UI" w:cs="Segoe UI"/>
          <w:szCs w:val="20"/>
        </w:rPr>
        <w:t>pp depuis 2022</w:t>
      </w:r>
      <w:r w:rsidR="00D80812">
        <w:rPr>
          <w:rFonts w:ascii="Segoe UI" w:hAnsi="Segoe UI" w:cs="Segoe UI"/>
          <w:szCs w:val="20"/>
        </w:rPr>
        <w:t xml:space="preserve"> ; +5,5 % en </w:t>
      </w:r>
      <w:proofErr w:type="spellStart"/>
      <w:r w:rsidR="00D80812">
        <w:rPr>
          <w:rFonts w:ascii="Segoe UI" w:hAnsi="Segoe UI" w:cs="Segoe UI"/>
          <w:szCs w:val="20"/>
        </w:rPr>
        <w:t>g.a</w:t>
      </w:r>
      <w:proofErr w:type="spellEnd"/>
      <w:r w:rsidR="00D80812">
        <w:rPr>
          <w:rFonts w:ascii="Segoe UI" w:hAnsi="Segoe UI" w:cs="Segoe UI"/>
          <w:szCs w:val="20"/>
        </w:rPr>
        <w:t>.</w:t>
      </w:r>
      <w:r w:rsidR="0046631F" w:rsidRPr="00412EBF">
        <w:rPr>
          <w:rFonts w:ascii="Segoe UI" w:hAnsi="Segoe UI" w:cs="Segoe UI"/>
          <w:szCs w:val="20"/>
        </w:rPr>
        <w:t xml:space="preserve">) et </w:t>
      </w:r>
      <w:r w:rsidR="00435813">
        <w:rPr>
          <w:rFonts w:ascii="Segoe UI" w:hAnsi="Segoe UI" w:cs="Segoe UI"/>
          <w:szCs w:val="20"/>
        </w:rPr>
        <w:t>les services de</w:t>
      </w:r>
      <w:r w:rsidR="0046631F" w:rsidRPr="00412EBF">
        <w:rPr>
          <w:rFonts w:ascii="Segoe UI" w:hAnsi="Segoe UI" w:cs="Segoe UI"/>
          <w:szCs w:val="20"/>
        </w:rPr>
        <w:t xml:space="preserve"> transport (11,9</w:t>
      </w:r>
      <w:r w:rsidR="00914A8E">
        <w:rPr>
          <w:rFonts w:ascii="Segoe UI" w:hAnsi="Segoe UI" w:cs="Segoe UI"/>
          <w:szCs w:val="20"/>
        </w:rPr>
        <w:t xml:space="preserve"> </w:t>
      </w:r>
      <w:r w:rsidR="0046631F" w:rsidRPr="00412EBF">
        <w:rPr>
          <w:rFonts w:ascii="Segoe UI" w:hAnsi="Segoe UI" w:cs="Segoe UI"/>
          <w:szCs w:val="20"/>
        </w:rPr>
        <w:t>% </w:t>
      </w:r>
      <w:r w:rsidR="00435813">
        <w:rPr>
          <w:rFonts w:ascii="Segoe UI" w:hAnsi="Segoe UI" w:cs="Segoe UI"/>
          <w:szCs w:val="20"/>
        </w:rPr>
        <w:t xml:space="preserve">soit </w:t>
      </w:r>
      <w:r w:rsidR="00435813" w:rsidRPr="00412EBF">
        <w:rPr>
          <w:rFonts w:ascii="Segoe UI" w:hAnsi="Segoe UI" w:cs="Segoe UI"/>
          <w:szCs w:val="20"/>
        </w:rPr>
        <w:t>-1,5 pp depuis 2022</w:t>
      </w:r>
      <w:r w:rsidR="00435813">
        <w:rPr>
          <w:rFonts w:ascii="Segoe UI" w:hAnsi="Segoe UI" w:cs="Segoe UI"/>
          <w:szCs w:val="20"/>
        </w:rPr>
        <w:t xml:space="preserve"> </w:t>
      </w:r>
      <w:r w:rsidR="0046631F" w:rsidRPr="00412EBF">
        <w:rPr>
          <w:rFonts w:ascii="Segoe UI" w:hAnsi="Segoe UI" w:cs="Segoe UI"/>
          <w:szCs w:val="20"/>
        </w:rPr>
        <w:t xml:space="preserve">; </w:t>
      </w:r>
      <w:r w:rsidR="00914A8E">
        <w:rPr>
          <w:rFonts w:ascii="Segoe UI" w:hAnsi="Segoe UI" w:cs="Segoe UI"/>
          <w:szCs w:val="20"/>
        </w:rPr>
        <w:t>stable</w:t>
      </w:r>
      <w:r w:rsidR="00435813">
        <w:rPr>
          <w:rFonts w:ascii="Segoe UI" w:hAnsi="Segoe UI" w:cs="Segoe UI"/>
          <w:szCs w:val="20"/>
        </w:rPr>
        <w:t xml:space="preserve"> en </w:t>
      </w:r>
      <w:proofErr w:type="spellStart"/>
      <w:r w:rsidR="00435813">
        <w:rPr>
          <w:rFonts w:ascii="Segoe UI" w:hAnsi="Segoe UI" w:cs="Segoe UI"/>
          <w:szCs w:val="20"/>
        </w:rPr>
        <w:t>g.a</w:t>
      </w:r>
      <w:proofErr w:type="spellEnd"/>
      <w:r w:rsidR="00435813">
        <w:rPr>
          <w:rFonts w:ascii="Segoe UI" w:hAnsi="Segoe UI" w:cs="Segoe UI"/>
          <w:szCs w:val="20"/>
        </w:rPr>
        <w:t>.</w:t>
      </w:r>
      <w:r w:rsidR="0046631F" w:rsidRPr="00412EBF">
        <w:rPr>
          <w:rFonts w:ascii="Segoe UI" w:hAnsi="Segoe UI" w:cs="Segoe UI"/>
          <w:szCs w:val="20"/>
        </w:rPr>
        <w:t>)</w:t>
      </w:r>
      <w:r w:rsidR="001E322F" w:rsidRPr="00412EBF">
        <w:rPr>
          <w:rFonts w:ascii="Segoe UI" w:hAnsi="Segoe UI" w:cs="Segoe UI"/>
          <w:szCs w:val="20"/>
        </w:rPr>
        <w:t xml:space="preserve"> (</w:t>
      </w:r>
      <w:r w:rsidR="001E322F" w:rsidRPr="00486083">
        <w:rPr>
          <w:rFonts w:ascii="Segoe UI" w:hAnsi="Segoe UI" w:cs="Segoe UI"/>
          <w:i/>
          <w:iCs/>
          <w:szCs w:val="20"/>
        </w:rPr>
        <w:t xml:space="preserve">cf. annexe </w:t>
      </w:r>
      <w:r w:rsidR="002910F1" w:rsidRPr="00486083">
        <w:rPr>
          <w:rFonts w:ascii="Segoe UI" w:hAnsi="Segoe UI" w:cs="Segoe UI"/>
          <w:i/>
          <w:iCs/>
          <w:szCs w:val="20"/>
        </w:rPr>
        <w:t>7</w:t>
      </w:r>
      <w:r w:rsidR="001E322F" w:rsidRPr="00412EBF">
        <w:rPr>
          <w:rFonts w:ascii="Segoe UI" w:hAnsi="Segoe UI" w:cs="Segoe UI"/>
          <w:szCs w:val="20"/>
        </w:rPr>
        <w:t>)</w:t>
      </w:r>
      <w:r w:rsidR="0046631F" w:rsidRPr="00412EBF">
        <w:rPr>
          <w:rFonts w:ascii="Segoe UI" w:hAnsi="Segoe UI" w:cs="Segoe UI"/>
          <w:szCs w:val="20"/>
        </w:rPr>
        <w:t xml:space="preserve">. Les </w:t>
      </w:r>
      <w:r w:rsidR="0046631F" w:rsidRPr="00412EBF">
        <w:rPr>
          <w:rFonts w:ascii="Segoe UI" w:hAnsi="Segoe UI" w:cs="Segoe UI"/>
          <w:szCs w:val="20"/>
          <w:u w:val="single"/>
        </w:rPr>
        <w:t>importations</w:t>
      </w:r>
      <w:r w:rsidR="0046631F" w:rsidRPr="00412EBF">
        <w:rPr>
          <w:rFonts w:ascii="Segoe UI" w:hAnsi="Segoe UI" w:cs="Segoe UI"/>
          <w:szCs w:val="20"/>
        </w:rPr>
        <w:t xml:space="preserve"> sont </w:t>
      </w:r>
      <w:r w:rsidR="00435813">
        <w:rPr>
          <w:rFonts w:ascii="Segoe UI" w:hAnsi="Segoe UI" w:cs="Segoe UI"/>
          <w:szCs w:val="20"/>
        </w:rPr>
        <w:t>également</w:t>
      </w:r>
      <w:r w:rsidR="0046631F" w:rsidRPr="00412EBF">
        <w:rPr>
          <w:rFonts w:ascii="Segoe UI" w:hAnsi="Segoe UI" w:cs="Segoe UI"/>
          <w:szCs w:val="20"/>
        </w:rPr>
        <w:t xml:space="preserve"> dominées par les services de transport (16,8</w:t>
      </w:r>
      <w:r w:rsidR="00914A8E">
        <w:rPr>
          <w:rFonts w:ascii="Segoe UI" w:hAnsi="Segoe UI" w:cs="Segoe UI"/>
          <w:szCs w:val="20"/>
        </w:rPr>
        <w:t xml:space="preserve"> </w:t>
      </w:r>
      <w:r w:rsidR="0046631F" w:rsidRPr="00412EBF">
        <w:rPr>
          <w:rFonts w:ascii="Segoe UI" w:hAnsi="Segoe UI" w:cs="Segoe UI"/>
          <w:szCs w:val="20"/>
        </w:rPr>
        <w:t>%</w:t>
      </w:r>
      <w:r w:rsidR="00435813">
        <w:rPr>
          <w:rFonts w:ascii="Segoe UI" w:hAnsi="Segoe UI" w:cs="Segoe UI"/>
          <w:szCs w:val="20"/>
        </w:rPr>
        <w:t xml:space="preserve"> du total, soit</w:t>
      </w:r>
      <w:r w:rsidR="0046631F" w:rsidRPr="00412EBF">
        <w:rPr>
          <w:rFonts w:ascii="Segoe UI" w:hAnsi="Segoe UI" w:cs="Segoe UI"/>
          <w:szCs w:val="20"/>
        </w:rPr>
        <w:t xml:space="preserve"> - 0,3</w:t>
      </w:r>
      <w:r w:rsidR="00991F90">
        <w:rPr>
          <w:rFonts w:ascii="Segoe UI" w:hAnsi="Segoe UI" w:cs="Segoe UI"/>
          <w:szCs w:val="20"/>
        </w:rPr>
        <w:t xml:space="preserve"> </w:t>
      </w:r>
      <w:r w:rsidR="0046631F" w:rsidRPr="00412EBF">
        <w:rPr>
          <w:rFonts w:ascii="Segoe UI" w:hAnsi="Segoe UI" w:cs="Segoe UI"/>
          <w:szCs w:val="20"/>
        </w:rPr>
        <w:t xml:space="preserve">pp en </w:t>
      </w:r>
      <w:proofErr w:type="spellStart"/>
      <w:r w:rsidR="0046631F" w:rsidRPr="00412EBF">
        <w:rPr>
          <w:rFonts w:ascii="Segoe UI" w:hAnsi="Segoe UI" w:cs="Segoe UI"/>
          <w:szCs w:val="20"/>
        </w:rPr>
        <w:t>g.a</w:t>
      </w:r>
      <w:proofErr w:type="spellEnd"/>
      <w:r w:rsidR="0046631F" w:rsidRPr="00412EBF">
        <w:rPr>
          <w:rFonts w:ascii="Segoe UI" w:hAnsi="Segoe UI" w:cs="Segoe UI"/>
          <w:szCs w:val="20"/>
        </w:rPr>
        <w:t>), les services aux entreprises (11,9</w:t>
      </w:r>
      <w:r w:rsidR="00914A8E">
        <w:rPr>
          <w:rFonts w:ascii="Segoe UI" w:hAnsi="Segoe UI" w:cs="Segoe UI"/>
          <w:szCs w:val="20"/>
        </w:rPr>
        <w:t xml:space="preserve"> </w:t>
      </w:r>
      <w:r w:rsidR="0046631F" w:rsidRPr="00412EBF">
        <w:rPr>
          <w:rFonts w:ascii="Segoe UI" w:hAnsi="Segoe UI" w:cs="Segoe UI"/>
          <w:szCs w:val="20"/>
        </w:rPr>
        <w:t>%</w:t>
      </w:r>
      <w:r w:rsidR="00C5133B" w:rsidRPr="00412EBF">
        <w:rPr>
          <w:rFonts w:ascii="Segoe UI" w:hAnsi="Segoe UI" w:cs="Segoe UI"/>
          <w:szCs w:val="20"/>
        </w:rPr>
        <w:t> </w:t>
      </w:r>
      <w:r w:rsidR="00435813">
        <w:rPr>
          <w:rFonts w:ascii="Segoe UI" w:hAnsi="Segoe UI" w:cs="Segoe UI"/>
          <w:szCs w:val="20"/>
        </w:rPr>
        <w:t>soit</w:t>
      </w:r>
      <w:r w:rsidR="00C5133B" w:rsidRPr="00412EBF">
        <w:rPr>
          <w:rFonts w:ascii="Segoe UI" w:hAnsi="Segoe UI" w:cs="Segoe UI"/>
          <w:szCs w:val="20"/>
        </w:rPr>
        <w:t xml:space="preserve"> -1,4 pp en </w:t>
      </w:r>
      <w:proofErr w:type="spellStart"/>
      <w:r w:rsidR="00C5133B" w:rsidRPr="00412EBF">
        <w:rPr>
          <w:rFonts w:ascii="Segoe UI" w:hAnsi="Segoe UI" w:cs="Segoe UI"/>
          <w:szCs w:val="20"/>
        </w:rPr>
        <w:t>g.a</w:t>
      </w:r>
      <w:proofErr w:type="spellEnd"/>
      <w:r w:rsidR="00C5133B" w:rsidRPr="00412EBF">
        <w:rPr>
          <w:rFonts w:ascii="Segoe UI" w:hAnsi="Segoe UI" w:cs="Segoe UI"/>
          <w:szCs w:val="20"/>
        </w:rPr>
        <w:t>) et les usages de la propriété intellectuelle (10,5</w:t>
      </w:r>
      <w:r w:rsidR="00914A8E">
        <w:rPr>
          <w:rFonts w:ascii="Segoe UI" w:hAnsi="Segoe UI" w:cs="Segoe UI"/>
          <w:szCs w:val="20"/>
        </w:rPr>
        <w:t xml:space="preserve"> </w:t>
      </w:r>
      <w:r w:rsidR="00C5133B" w:rsidRPr="00412EBF">
        <w:rPr>
          <w:rFonts w:ascii="Segoe UI" w:hAnsi="Segoe UI" w:cs="Segoe UI"/>
          <w:szCs w:val="20"/>
        </w:rPr>
        <w:t>% </w:t>
      </w:r>
      <w:r w:rsidR="00435813">
        <w:rPr>
          <w:rFonts w:ascii="Segoe UI" w:hAnsi="Segoe UI" w:cs="Segoe UI"/>
          <w:szCs w:val="20"/>
        </w:rPr>
        <w:t>soit</w:t>
      </w:r>
      <w:r w:rsidR="00C5133B" w:rsidRPr="00412EBF">
        <w:rPr>
          <w:rFonts w:ascii="Segoe UI" w:hAnsi="Segoe UI" w:cs="Segoe UI"/>
          <w:szCs w:val="20"/>
        </w:rPr>
        <w:t xml:space="preserve"> +1,3 pp en </w:t>
      </w:r>
      <w:proofErr w:type="spellStart"/>
      <w:r w:rsidR="00C5133B" w:rsidRPr="00412EBF">
        <w:rPr>
          <w:rFonts w:ascii="Segoe UI" w:hAnsi="Segoe UI" w:cs="Segoe UI"/>
          <w:szCs w:val="20"/>
        </w:rPr>
        <w:t>g.a</w:t>
      </w:r>
      <w:proofErr w:type="spellEnd"/>
      <w:r w:rsidR="00C5133B" w:rsidRPr="00412EBF">
        <w:rPr>
          <w:rFonts w:ascii="Segoe UI" w:hAnsi="Segoe UI" w:cs="Segoe UI"/>
          <w:szCs w:val="20"/>
        </w:rPr>
        <w:t>) dont la part a fortement progressé depuis 2010 (0,4</w:t>
      </w:r>
      <w:r w:rsidR="00914A8E">
        <w:rPr>
          <w:rFonts w:ascii="Segoe UI" w:hAnsi="Segoe UI" w:cs="Segoe UI"/>
          <w:szCs w:val="20"/>
        </w:rPr>
        <w:t xml:space="preserve"> </w:t>
      </w:r>
      <w:r w:rsidR="00C5133B" w:rsidRPr="00412EBF">
        <w:rPr>
          <w:rFonts w:ascii="Segoe UI" w:hAnsi="Segoe UI" w:cs="Segoe UI"/>
          <w:szCs w:val="20"/>
        </w:rPr>
        <w:t>%</w:t>
      </w:r>
      <w:r w:rsidR="00435813">
        <w:rPr>
          <w:rFonts w:ascii="Segoe UI" w:hAnsi="Segoe UI" w:cs="Segoe UI"/>
          <w:szCs w:val="20"/>
        </w:rPr>
        <w:t xml:space="preserve"> du total à l’époque</w:t>
      </w:r>
      <w:r w:rsidR="00C5133B" w:rsidRPr="00412EBF">
        <w:rPr>
          <w:rFonts w:ascii="Segoe UI" w:hAnsi="Segoe UI" w:cs="Segoe UI"/>
          <w:szCs w:val="20"/>
        </w:rPr>
        <w:t>)</w:t>
      </w:r>
      <w:r w:rsidR="003A258F" w:rsidRPr="00412EBF">
        <w:rPr>
          <w:rFonts w:ascii="Segoe UI" w:hAnsi="Segoe UI" w:cs="Segoe UI"/>
          <w:szCs w:val="20"/>
        </w:rPr>
        <w:t xml:space="preserve"> (</w:t>
      </w:r>
      <w:r w:rsidR="003A258F" w:rsidRPr="00486083">
        <w:rPr>
          <w:rFonts w:ascii="Segoe UI" w:hAnsi="Segoe UI" w:cs="Segoe UI"/>
          <w:i/>
          <w:iCs/>
          <w:szCs w:val="20"/>
        </w:rPr>
        <w:t xml:space="preserve">cf. annexe </w:t>
      </w:r>
      <w:r w:rsidR="002910F1" w:rsidRPr="00486083">
        <w:rPr>
          <w:rFonts w:ascii="Segoe UI" w:hAnsi="Segoe UI" w:cs="Segoe UI"/>
          <w:i/>
          <w:iCs/>
          <w:szCs w:val="20"/>
        </w:rPr>
        <w:t>8</w:t>
      </w:r>
      <w:r w:rsidR="003A258F" w:rsidRPr="00412EBF">
        <w:rPr>
          <w:rFonts w:ascii="Segoe UI" w:hAnsi="Segoe UI" w:cs="Segoe UI"/>
          <w:szCs w:val="20"/>
        </w:rPr>
        <w:t>)</w:t>
      </w:r>
      <w:r w:rsidR="00C5133B" w:rsidRPr="00412EBF">
        <w:rPr>
          <w:rFonts w:ascii="Segoe UI" w:hAnsi="Segoe UI" w:cs="Segoe UI"/>
          <w:szCs w:val="20"/>
        </w:rPr>
        <w:t>.</w:t>
      </w:r>
      <w:r w:rsidR="007E7D8C" w:rsidRPr="00412EBF">
        <w:rPr>
          <w:rFonts w:ascii="Segoe UI" w:hAnsi="Segoe UI" w:cs="Segoe UI"/>
          <w:szCs w:val="20"/>
        </w:rPr>
        <w:t xml:space="preserve"> En 2024, les </w:t>
      </w:r>
      <w:r w:rsidR="007E7D8C" w:rsidRPr="00412EBF">
        <w:rPr>
          <w:rFonts w:ascii="Segoe UI" w:hAnsi="Segoe UI" w:cs="Segoe UI"/>
          <w:szCs w:val="20"/>
          <w:u w:val="single"/>
        </w:rPr>
        <w:t>principaux postes excédentaires</w:t>
      </w:r>
      <w:r w:rsidR="007E7D8C" w:rsidRPr="00412EBF">
        <w:rPr>
          <w:rFonts w:ascii="Segoe UI" w:hAnsi="Segoe UI" w:cs="Segoe UI"/>
          <w:szCs w:val="20"/>
        </w:rPr>
        <w:t xml:space="preserve"> sont</w:t>
      </w:r>
      <w:r w:rsidR="00435813">
        <w:rPr>
          <w:rFonts w:ascii="Segoe UI" w:hAnsi="Segoe UI" w:cs="Segoe UI"/>
          <w:szCs w:val="20"/>
        </w:rPr>
        <w:t xml:space="preserve"> constitués </w:t>
      </w:r>
      <w:r w:rsidR="00435813" w:rsidRPr="00412EBF">
        <w:rPr>
          <w:rFonts w:ascii="Segoe UI" w:hAnsi="Segoe UI" w:cs="Segoe UI"/>
          <w:szCs w:val="20"/>
        </w:rPr>
        <w:t>d</w:t>
      </w:r>
      <w:r w:rsidR="007E7D8C" w:rsidRPr="00412EBF">
        <w:rPr>
          <w:rFonts w:ascii="Segoe UI" w:hAnsi="Segoe UI" w:cs="Segoe UI"/>
          <w:szCs w:val="20"/>
        </w:rPr>
        <w:t>es services aux entreprises (+27,7 Md€)</w:t>
      </w:r>
      <w:r w:rsidR="00435813">
        <w:rPr>
          <w:rFonts w:ascii="Segoe UI" w:hAnsi="Segoe UI" w:cs="Segoe UI"/>
          <w:szCs w:val="20"/>
        </w:rPr>
        <w:t xml:space="preserve"> et d</w:t>
      </w:r>
      <w:r w:rsidR="007E7D8C" w:rsidRPr="00412EBF">
        <w:rPr>
          <w:rFonts w:ascii="Segoe UI" w:hAnsi="Segoe UI" w:cs="Segoe UI"/>
          <w:szCs w:val="20"/>
        </w:rPr>
        <w:t>es services financiers (+25,2 Md€)</w:t>
      </w:r>
      <w:r w:rsidR="00435813">
        <w:rPr>
          <w:rFonts w:ascii="Segoe UI" w:hAnsi="Segoe UI" w:cs="Segoe UI"/>
          <w:szCs w:val="20"/>
        </w:rPr>
        <w:t>,</w:t>
      </w:r>
      <w:r w:rsidR="007E7D8C" w:rsidRPr="00412EBF">
        <w:rPr>
          <w:rFonts w:ascii="Segoe UI" w:hAnsi="Segoe UI" w:cs="Segoe UI"/>
          <w:szCs w:val="20"/>
        </w:rPr>
        <w:t xml:space="preserve"> tandis que </w:t>
      </w:r>
      <w:r w:rsidR="00435813">
        <w:rPr>
          <w:rFonts w:ascii="Segoe UI" w:hAnsi="Segoe UI" w:cs="Segoe UI"/>
          <w:szCs w:val="20"/>
        </w:rPr>
        <w:t xml:space="preserve">les </w:t>
      </w:r>
      <w:r w:rsidR="00435813" w:rsidRPr="00412EBF">
        <w:rPr>
          <w:rFonts w:ascii="Segoe UI" w:hAnsi="Segoe UI" w:cs="Segoe UI"/>
          <w:szCs w:val="20"/>
          <w:u w:val="single"/>
        </w:rPr>
        <w:t>déficits</w:t>
      </w:r>
      <w:r w:rsidR="007E7D8C" w:rsidRPr="00412EBF">
        <w:rPr>
          <w:rFonts w:ascii="Segoe UI" w:hAnsi="Segoe UI" w:cs="Segoe UI"/>
          <w:szCs w:val="20"/>
          <w:u w:val="single"/>
        </w:rPr>
        <w:t xml:space="preserve"> </w:t>
      </w:r>
      <w:r w:rsidR="00435813">
        <w:rPr>
          <w:rFonts w:ascii="Segoe UI" w:hAnsi="Segoe UI" w:cs="Segoe UI"/>
          <w:szCs w:val="20"/>
          <w:u w:val="single"/>
        </w:rPr>
        <w:t xml:space="preserve">les plus marqués concernent </w:t>
      </w:r>
      <w:r w:rsidR="007E7D8C" w:rsidRPr="00412EBF">
        <w:rPr>
          <w:rFonts w:ascii="Segoe UI" w:hAnsi="Segoe UI" w:cs="Segoe UI"/>
          <w:szCs w:val="20"/>
        </w:rPr>
        <w:t xml:space="preserve">l’usage de la propriété intellectuelle (-11,2 Md€), </w:t>
      </w:r>
      <w:r w:rsidR="00435813">
        <w:rPr>
          <w:rFonts w:ascii="Segoe UI" w:hAnsi="Segoe UI" w:cs="Segoe UI"/>
          <w:szCs w:val="20"/>
        </w:rPr>
        <w:t>les</w:t>
      </w:r>
      <w:r w:rsidR="007E7D8C" w:rsidRPr="00412EBF">
        <w:rPr>
          <w:rFonts w:ascii="Segoe UI" w:hAnsi="Segoe UI" w:cs="Segoe UI"/>
          <w:szCs w:val="20"/>
        </w:rPr>
        <w:t xml:space="preserve"> services de fabrication (-4,6 Md€) et </w:t>
      </w:r>
      <w:r w:rsidR="00435813">
        <w:rPr>
          <w:rFonts w:ascii="Segoe UI" w:hAnsi="Segoe UI" w:cs="Segoe UI"/>
          <w:szCs w:val="20"/>
        </w:rPr>
        <w:t>les services liés aux</w:t>
      </w:r>
      <w:r w:rsidR="007E7D8C" w:rsidRPr="00412EBF">
        <w:rPr>
          <w:rFonts w:ascii="Segoe UI" w:hAnsi="Segoe UI" w:cs="Segoe UI"/>
          <w:szCs w:val="20"/>
        </w:rPr>
        <w:t xml:space="preserve"> TIC (-3,1 Md€). </w:t>
      </w:r>
    </w:p>
    <w:p w14:paraId="5427648A" w14:textId="77777777" w:rsidR="00295221" w:rsidRPr="00412EBF" w:rsidRDefault="00295221" w:rsidP="00E84136">
      <w:pPr>
        <w:pStyle w:val="Brvesco-Normal"/>
        <w:spacing w:line="240" w:lineRule="auto"/>
        <w:ind w:left="-284"/>
        <w:rPr>
          <w:rFonts w:ascii="Segoe UI" w:hAnsi="Segoe UI" w:cs="Segoe UI"/>
          <w:szCs w:val="20"/>
        </w:rPr>
      </w:pPr>
    </w:p>
    <w:p w14:paraId="0A4EC860" w14:textId="01190AA8" w:rsidR="00435813" w:rsidRDefault="00295221" w:rsidP="00435813">
      <w:pPr>
        <w:pStyle w:val="Brvesco-Normal"/>
        <w:spacing w:line="240" w:lineRule="auto"/>
        <w:ind w:left="-284"/>
        <w:rPr>
          <w:rFonts w:ascii="Times New Roman" w:eastAsia="Times New Roman" w:hAnsi="Times New Roman" w:cs="Times New Roman"/>
          <w:sz w:val="24"/>
          <w:lang w:eastAsia="fr-FR"/>
        </w:rPr>
      </w:pPr>
      <w:r>
        <w:rPr>
          <w:rStyle w:val="Lienhypertexte"/>
          <w:rFonts w:ascii="Segoe UI" w:hAnsi="Segoe UI" w:cs="Segoe UI"/>
          <w:b/>
          <w:bCs/>
          <w:color w:val="auto"/>
          <w:u w:val="none"/>
        </w:rPr>
        <w:t>L</w:t>
      </w:r>
      <w:r w:rsidRPr="00412EBF">
        <w:rPr>
          <w:rStyle w:val="Lienhypertexte"/>
          <w:rFonts w:ascii="Segoe UI" w:hAnsi="Segoe UI" w:cs="Segoe UI"/>
          <w:b/>
          <w:bCs/>
          <w:color w:val="auto"/>
          <w:u w:val="none"/>
        </w:rPr>
        <w:t>es échanges de services</w:t>
      </w:r>
      <w:r w:rsidR="00E216C9">
        <w:rPr>
          <w:rStyle w:val="Lienhypertexte"/>
          <w:rFonts w:ascii="Segoe UI" w:hAnsi="Segoe UI" w:cs="Segoe UI"/>
          <w:b/>
          <w:bCs/>
          <w:color w:val="auto"/>
          <w:u w:val="none"/>
        </w:rPr>
        <w:t xml:space="preserve"> du Luxembourg restent majoritairement</w:t>
      </w:r>
      <w:r w:rsidRPr="00412EBF">
        <w:rPr>
          <w:rStyle w:val="Lienhypertexte"/>
          <w:rFonts w:ascii="Segoe UI" w:hAnsi="Segoe UI" w:cs="Segoe UI"/>
          <w:b/>
          <w:bCs/>
          <w:color w:val="auto"/>
          <w:u w:val="none"/>
        </w:rPr>
        <w:t xml:space="preserve"> </w:t>
      </w:r>
      <w:r w:rsidR="00E216C9">
        <w:rPr>
          <w:rStyle w:val="Lienhypertexte"/>
          <w:rFonts w:ascii="Segoe UI" w:hAnsi="Segoe UI" w:cs="Segoe UI"/>
          <w:b/>
          <w:bCs/>
          <w:color w:val="auto"/>
          <w:u w:val="none"/>
        </w:rPr>
        <w:t xml:space="preserve">orientés vers l’Europe </w:t>
      </w:r>
      <w:r w:rsidRPr="00412EBF">
        <w:rPr>
          <w:rStyle w:val="Lienhypertexte"/>
          <w:rFonts w:ascii="Segoe UI" w:hAnsi="Segoe UI" w:cs="Segoe UI"/>
          <w:b/>
          <w:bCs/>
          <w:color w:val="auto"/>
          <w:u w:val="none"/>
        </w:rPr>
        <w:t>et les</w:t>
      </w:r>
      <w:r w:rsidRPr="00E216C9">
        <w:rPr>
          <w:rStyle w:val="Lienhypertexte"/>
          <w:rFonts w:ascii="Segoe UI" w:hAnsi="Segoe UI" w:cs="Segoe UI"/>
          <w:b/>
          <w:bCs/>
          <w:color w:val="auto"/>
          <w:u w:val="none"/>
        </w:rPr>
        <w:t xml:space="preserve"> </w:t>
      </w:r>
      <w:r w:rsidR="00E216C9" w:rsidRPr="00486083">
        <w:rPr>
          <w:rFonts w:ascii="Segoe UI" w:hAnsi="Segoe UI" w:cs="Segoe UI"/>
          <w:b/>
          <w:bCs/>
          <w:szCs w:val="20"/>
        </w:rPr>
        <w:t>É</w:t>
      </w:r>
      <w:r w:rsidRPr="00E216C9">
        <w:rPr>
          <w:rStyle w:val="Lienhypertexte"/>
          <w:rFonts w:ascii="Segoe UI" w:hAnsi="Segoe UI" w:cs="Segoe UI"/>
          <w:b/>
          <w:bCs/>
          <w:color w:val="auto"/>
          <w:u w:val="none"/>
        </w:rPr>
        <w:t>tats</w:t>
      </w:r>
      <w:r w:rsidRPr="00412EBF">
        <w:rPr>
          <w:rStyle w:val="Lienhypertexte"/>
          <w:rFonts w:ascii="Segoe UI" w:hAnsi="Segoe UI" w:cs="Segoe UI"/>
          <w:b/>
          <w:bCs/>
          <w:color w:val="auto"/>
          <w:u w:val="none"/>
        </w:rPr>
        <w:t xml:space="preserve">-Unis. </w:t>
      </w:r>
      <w:r w:rsidRPr="00412EBF">
        <w:rPr>
          <w:rStyle w:val="Lienhypertexte"/>
          <w:rFonts w:ascii="Segoe UI" w:hAnsi="Segoe UI" w:cs="Segoe UI"/>
          <w:color w:val="auto"/>
          <w:u w:val="none"/>
        </w:rPr>
        <w:t>Les cinq pr</w:t>
      </w:r>
      <w:r w:rsidR="00E216C9">
        <w:rPr>
          <w:rStyle w:val="Lienhypertexte"/>
          <w:rFonts w:ascii="Segoe UI" w:hAnsi="Segoe UI" w:cs="Segoe UI"/>
          <w:color w:val="auto"/>
          <w:u w:val="none"/>
        </w:rPr>
        <w:t>incipaux</w:t>
      </w:r>
      <w:r w:rsidRPr="00412EBF">
        <w:rPr>
          <w:rStyle w:val="Lienhypertexte"/>
          <w:rFonts w:ascii="Segoe UI" w:hAnsi="Segoe UI" w:cs="Segoe UI"/>
          <w:color w:val="auto"/>
          <w:u w:val="none"/>
        </w:rPr>
        <w:t xml:space="preserve"> partenaires du Grand-Duché </w:t>
      </w:r>
      <w:r w:rsidRPr="00412EBF">
        <w:rPr>
          <w:rFonts w:ascii="Segoe UI" w:hAnsi="Segoe UI" w:cs="Segoe UI"/>
          <w:szCs w:val="20"/>
        </w:rPr>
        <w:t xml:space="preserve">– Allemagne, Royaume-Uni, </w:t>
      </w:r>
      <w:r w:rsidR="00E216C9" w:rsidRPr="00435813">
        <w:rPr>
          <w:rFonts w:ascii="Segoe UI" w:hAnsi="Segoe UI" w:cs="Segoe UI"/>
          <w:szCs w:val="20"/>
        </w:rPr>
        <w:t>États-Unis</w:t>
      </w:r>
      <w:r w:rsidRPr="00412EBF">
        <w:rPr>
          <w:rFonts w:ascii="Segoe UI" w:hAnsi="Segoe UI" w:cs="Segoe UI"/>
          <w:szCs w:val="20"/>
        </w:rPr>
        <w:t xml:space="preserve">, France et Italie – concentraient </w:t>
      </w:r>
      <w:r w:rsidR="00E216C9">
        <w:rPr>
          <w:rFonts w:ascii="Segoe UI" w:hAnsi="Segoe UI" w:cs="Segoe UI"/>
          <w:szCs w:val="20"/>
        </w:rPr>
        <w:t xml:space="preserve">ensemble </w:t>
      </w:r>
      <w:r w:rsidRPr="00412EBF">
        <w:rPr>
          <w:rFonts w:ascii="Segoe UI" w:hAnsi="Segoe UI" w:cs="Segoe UI"/>
          <w:szCs w:val="20"/>
        </w:rPr>
        <w:t>62,5</w:t>
      </w:r>
      <w:r>
        <w:rPr>
          <w:rFonts w:ascii="Segoe UI" w:hAnsi="Segoe UI" w:cs="Segoe UI"/>
          <w:szCs w:val="20"/>
        </w:rPr>
        <w:t xml:space="preserve"> </w:t>
      </w:r>
      <w:r w:rsidRPr="00412EBF">
        <w:rPr>
          <w:rFonts w:ascii="Segoe UI" w:hAnsi="Segoe UI" w:cs="Segoe UI"/>
          <w:szCs w:val="20"/>
        </w:rPr>
        <w:t>% d</w:t>
      </w:r>
      <w:r w:rsidR="00E216C9">
        <w:rPr>
          <w:rFonts w:ascii="Segoe UI" w:hAnsi="Segoe UI" w:cs="Segoe UI"/>
          <w:szCs w:val="20"/>
        </w:rPr>
        <w:t xml:space="preserve">es flux </w:t>
      </w:r>
      <w:r w:rsidRPr="00412EBF">
        <w:rPr>
          <w:rFonts w:ascii="Segoe UI" w:hAnsi="Segoe UI" w:cs="Segoe UI"/>
          <w:szCs w:val="20"/>
        </w:rPr>
        <w:t>en 2024. L’Allemagne (21,0</w:t>
      </w:r>
      <w:r>
        <w:rPr>
          <w:rFonts w:ascii="Segoe UI" w:hAnsi="Segoe UI" w:cs="Segoe UI"/>
          <w:szCs w:val="20"/>
        </w:rPr>
        <w:t xml:space="preserve"> </w:t>
      </w:r>
      <w:r w:rsidRPr="00412EBF">
        <w:rPr>
          <w:rFonts w:ascii="Segoe UI" w:hAnsi="Segoe UI" w:cs="Segoe UI"/>
          <w:szCs w:val="20"/>
        </w:rPr>
        <w:t>%</w:t>
      </w:r>
      <w:r w:rsidR="00E216C9">
        <w:rPr>
          <w:rFonts w:ascii="Segoe UI" w:hAnsi="Segoe UI" w:cs="Segoe UI"/>
          <w:szCs w:val="20"/>
        </w:rPr>
        <w:t xml:space="preserve"> du total des exportations</w:t>
      </w:r>
      <w:r w:rsidRPr="00412EBF">
        <w:rPr>
          <w:rFonts w:ascii="Segoe UI" w:hAnsi="Segoe UI" w:cs="Segoe UI"/>
          <w:szCs w:val="20"/>
        </w:rPr>
        <w:t xml:space="preserve">, </w:t>
      </w:r>
      <w:r w:rsidR="00E216C9">
        <w:rPr>
          <w:rFonts w:ascii="Segoe UI" w:hAnsi="Segoe UI" w:cs="Segoe UI"/>
          <w:szCs w:val="20"/>
        </w:rPr>
        <w:t xml:space="preserve">soit </w:t>
      </w:r>
      <w:r w:rsidRPr="00412EBF">
        <w:rPr>
          <w:rFonts w:ascii="Segoe UI" w:hAnsi="Segoe UI" w:cs="Segoe UI"/>
          <w:szCs w:val="20"/>
        </w:rPr>
        <w:t xml:space="preserve">+0,1 pp en </w:t>
      </w:r>
      <w:proofErr w:type="spellStart"/>
      <w:r w:rsidRPr="00412EBF">
        <w:rPr>
          <w:rFonts w:ascii="Segoe UI" w:hAnsi="Segoe UI" w:cs="Segoe UI"/>
          <w:szCs w:val="20"/>
        </w:rPr>
        <w:t>g.a</w:t>
      </w:r>
      <w:proofErr w:type="spellEnd"/>
      <w:r w:rsidRPr="00412EBF">
        <w:rPr>
          <w:rFonts w:ascii="Segoe UI" w:hAnsi="Segoe UI" w:cs="Segoe UI"/>
          <w:szCs w:val="20"/>
        </w:rPr>
        <w:t>), le Royaume-Uni (16,8</w:t>
      </w:r>
      <w:r>
        <w:rPr>
          <w:rFonts w:ascii="Segoe UI" w:hAnsi="Segoe UI" w:cs="Segoe UI"/>
          <w:szCs w:val="20"/>
        </w:rPr>
        <w:t xml:space="preserve"> </w:t>
      </w:r>
      <w:r w:rsidRPr="00412EBF">
        <w:rPr>
          <w:rFonts w:ascii="Segoe UI" w:hAnsi="Segoe UI" w:cs="Segoe UI"/>
          <w:szCs w:val="20"/>
        </w:rPr>
        <w:t>%, -0,6pp) et la France (11,0</w:t>
      </w:r>
      <w:r>
        <w:rPr>
          <w:rFonts w:ascii="Segoe UI" w:hAnsi="Segoe UI" w:cs="Segoe UI"/>
          <w:szCs w:val="20"/>
        </w:rPr>
        <w:t xml:space="preserve"> </w:t>
      </w:r>
      <w:r w:rsidRPr="00412EBF">
        <w:rPr>
          <w:rFonts w:ascii="Segoe UI" w:hAnsi="Segoe UI" w:cs="Segoe UI"/>
          <w:szCs w:val="20"/>
        </w:rPr>
        <w:t xml:space="preserve">%, -0,2pp) sont ses </w:t>
      </w:r>
      <w:r w:rsidRPr="00412EBF">
        <w:rPr>
          <w:rFonts w:ascii="Segoe UI" w:hAnsi="Segoe UI" w:cs="Segoe UI"/>
          <w:szCs w:val="20"/>
          <w:u w:val="single"/>
        </w:rPr>
        <w:t>principaux clients</w:t>
      </w:r>
      <w:r w:rsidR="00E216C9">
        <w:rPr>
          <w:rFonts w:ascii="Segoe UI" w:hAnsi="Segoe UI" w:cs="Segoe UI"/>
          <w:szCs w:val="20"/>
          <w:u w:val="single"/>
        </w:rPr>
        <w:t>,</w:t>
      </w:r>
      <w:r w:rsidR="00E216C9">
        <w:rPr>
          <w:rFonts w:ascii="Segoe UI" w:hAnsi="Segoe UI" w:cs="Segoe UI"/>
          <w:szCs w:val="20"/>
        </w:rPr>
        <w:t xml:space="preserve"> tandis que</w:t>
      </w:r>
      <w:r w:rsidRPr="00412EBF">
        <w:rPr>
          <w:rFonts w:ascii="Segoe UI" w:hAnsi="Segoe UI" w:cs="Segoe UI"/>
          <w:szCs w:val="20"/>
        </w:rPr>
        <w:t xml:space="preserve"> les</w:t>
      </w:r>
      <w:r w:rsidR="00E216C9">
        <w:rPr>
          <w:rFonts w:ascii="Segoe UI" w:hAnsi="Segoe UI" w:cs="Segoe UI"/>
          <w:szCs w:val="20"/>
        </w:rPr>
        <w:t xml:space="preserve"> </w:t>
      </w:r>
      <w:r w:rsidR="00E216C9" w:rsidRPr="00435813">
        <w:rPr>
          <w:rFonts w:ascii="Segoe UI" w:hAnsi="Segoe UI" w:cs="Segoe UI"/>
          <w:szCs w:val="20"/>
        </w:rPr>
        <w:t>États-Unis</w:t>
      </w:r>
      <w:r w:rsidRPr="00412EBF">
        <w:rPr>
          <w:rFonts w:ascii="Segoe UI" w:hAnsi="Segoe UI" w:cs="Segoe UI"/>
          <w:szCs w:val="20"/>
        </w:rPr>
        <w:t xml:space="preserve"> (19,4</w:t>
      </w:r>
      <w:r>
        <w:rPr>
          <w:rFonts w:ascii="Segoe UI" w:hAnsi="Segoe UI" w:cs="Segoe UI"/>
          <w:szCs w:val="20"/>
        </w:rPr>
        <w:t xml:space="preserve"> </w:t>
      </w:r>
      <w:r w:rsidRPr="00412EBF">
        <w:rPr>
          <w:rFonts w:ascii="Segoe UI" w:hAnsi="Segoe UI" w:cs="Segoe UI"/>
          <w:szCs w:val="20"/>
        </w:rPr>
        <w:t>%</w:t>
      </w:r>
      <w:r w:rsidR="00E216C9">
        <w:rPr>
          <w:rFonts w:ascii="Segoe UI" w:hAnsi="Segoe UI" w:cs="Segoe UI"/>
          <w:szCs w:val="20"/>
        </w:rPr>
        <w:t xml:space="preserve"> du total des importations</w:t>
      </w:r>
      <w:r w:rsidRPr="00412EBF">
        <w:rPr>
          <w:rFonts w:ascii="Segoe UI" w:hAnsi="Segoe UI" w:cs="Segoe UI"/>
          <w:szCs w:val="20"/>
        </w:rPr>
        <w:t xml:space="preserve">, +2,5 pp en </w:t>
      </w:r>
      <w:proofErr w:type="spellStart"/>
      <w:r w:rsidRPr="00412EBF">
        <w:rPr>
          <w:rFonts w:ascii="Segoe UI" w:hAnsi="Segoe UI" w:cs="Segoe UI"/>
          <w:szCs w:val="20"/>
        </w:rPr>
        <w:t>g.a</w:t>
      </w:r>
      <w:proofErr w:type="spellEnd"/>
      <w:r w:rsidRPr="00412EBF">
        <w:rPr>
          <w:rFonts w:ascii="Segoe UI" w:hAnsi="Segoe UI" w:cs="Segoe UI"/>
          <w:szCs w:val="20"/>
        </w:rPr>
        <w:t>), le Royaume-Uni (15,6</w:t>
      </w:r>
      <w:r>
        <w:rPr>
          <w:rFonts w:ascii="Segoe UI" w:hAnsi="Segoe UI" w:cs="Segoe UI"/>
          <w:szCs w:val="20"/>
        </w:rPr>
        <w:t xml:space="preserve"> </w:t>
      </w:r>
      <w:r w:rsidRPr="00412EBF">
        <w:rPr>
          <w:rFonts w:ascii="Segoe UI" w:hAnsi="Segoe UI" w:cs="Segoe UI"/>
          <w:szCs w:val="20"/>
        </w:rPr>
        <w:t>%, +1,7 pp) et l’Allemagne (14,7</w:t>
      </w:r>
      <w:r>
        <w:rPr>
          <w:rFonts w:ascii="Segoe UI" w:hAnsi="Segoe UI" w:cs="Segoe UI"/>
          <w:szCs w:val="20"/>
        </w:rPr>
        <w:t xml:space="preserve"> </w:t>
      </w:r>
      <w:r w:rsidRPr="00412EBF">
        <w:rPr>
          <w:rFonts w:ascii="Segoe UI" w:hAnsi="Segoe UI" w:cs="Segoe UI"/>
          <w:szCs w:val="20"/>
        </w:rPr>
        <w:t xml:space="preserve">%, -2,3 pp) ses </w:t>
      </w:r>
      <w:r w:rsidRPr="00412EBF">
        <w:rPr>
          <w:rFonts w:ascii="Segoe UI" w:hAnsi="Segoe UI" w:cs="Segoe UI"/>
          <w:szCs w:val="20"/>
          <w:u w:val="single"/>
        </w:rPr>
        <w:t>principaux fournisseurs</w:t>
      </w:r>
      <w:r w:rsidR="00E216C9">
        <w:rPr>
          <w:rFonts w:ascii="Segoe UI" w:hAnsi="Segoe UI" w:cs="Segoe UI"/>
          <w:szCs w:val="20"/>
        </w:rPr>
        <w:t>.</w:t>
      </w:r>
      <w:r w:rsidRPr="00412EBF">
        <w:rPr>
          <w:rFonts w:ascii="Segoe UI" w:hAnsi="Segoe UI" w:cs="Segoe UI"/>
          <w:szCs w:val="20"/>
        </w:rPr>
        <w:t xml:space="preserve"> </w:t>
      </w:r>
      <w:r w:rsidR="00E216C9">
        <w:rPr>
          <w:rFonts w:ascii="Segoe UI" w:hAnsi="Segoe UI" w:cs="Segoe UI"/>
          <w:szCs w:val="20"/>
        </w:rPr>
        <w:t>L</w:t>
      </w:r>
      <w:r w:rsidRPr="00412EBF">
        <w:rPr>
          <w:rFonts w:ascii="Segoe UI" w:hAnsi="Segoe UI" w:cs="Segoe UI"/>
          <w:szCs w:val="20"/>
        </w:rPr>
        <w:t xml:space="preserve">a France se </w:t>
      </w:r>
      <w:r w:rsidR="00E216C9">
        <w:rPr>
          <w:rFonts w:ascii="Segoe UI" w:hAnsi="Segoe UI" w:cs="Segoe UI"/>
          <w:szCs w:val="20"/>
        </w:rPr>
        <w:t>positionne</w:t>
      </w:r>
      <w:r w:rsidRPr="00412EBF">
        <w:rPr>
          <w:rFonts w:ascii="Segoe UI" w:hAnsi="Segoe UI" w:cs="Segoe UI"/>
          <w:szCs w:val="20"/>
        </w:rPr>
        <w:t xml:space="preserve"> au 4</w:t>
      </w:r>
      <w:r w:rsidRPr="00412EBF">
        <w:rPr>
          <w:rFonts w:ascii="Segoe UI" w:hAnsi="Segoe UI" w:cs="Segoe UI"/>
          <w:szCs w:val="20"/>
          <w:vertAlign w:val="superscript"/>
        </w:rPr>
        <w:t>e</w:t>
      </w:r>
      <w:r w:rsidRPr="00412EBF">
        <w:rPr>
          <w:rFonts w:ascii="Segoe UI" w:hAnsi="Segoe UI" w:cs="Segoe UI"/>
          <w:szCs w:val="20"/>
        </w:rPr>
        <w:t xml:space="preserve"> rang (8,2</w:t>
      </w:r>
      <w:r>
        <w:rPr>
          <w:rFonts w:ascii="Segoe UI" w:hAnsi="Segoe UI" w:cs="Segoe UI"/>
          <w:szCs w:val="20"/>
        </w:rPr>
        <w:t xml:space="preserve"> </w:t>
      </w:r>
      <w:r w:rsidRPr="00412EBF">
        <w:rPr>
          <w:rFonts w:ascii="Segoe UI" w:hAnsi="Segoe UI" w:cs="Segoe UI"/>
          <w:szCs w:val="20"/>
        </w:rPr>
        <w:t>%</w:t>
      </w:r>
      <w:r w:rsidR="00E216C9">
        <w:rPr>
          <w:rFonts w:ascii="Segoe UI" w:hAnsi="Segoe UI" w:cs="Segoe UI"/>
          <w:szCs w:val="20"/>
        </w:rPr>
        <w:t xml:space="preserve"> du total des importations</w:t>
      </w:r>
      <w:r w:rsidRPr="00412EBF">
        <w:rPr>
          <w:rFonts w:ascii="Segoe UI" w:hAnsi="Segoe UI" w:cs="Segoe UI"/>
          <w:szCs w:val="20"/>
        </w:rPr>
        <w:t>,</w:t>
      </w:r>
      <w:r w:rsidR="00E216C9">
        <w:rPr>
          <w:rFonts w:ascii="Segoe UI" w:hAnsi="Segoe UI" w:cs="Segoe UI"/>
          <w:szCs w:val="20"/>
        </w:rPr>
        <w:t xml:space="preserve"> soit</w:t>
      </w:r>
      <w:r w:rsidRPr="00412EBF">
        <w:rPr>
          <w:rFonts w:ascii="Segoe UI" w:hAnsi="Segoe UI" w:cs="Segoe UI"/>
          <w:szCs w:val="20"/>
        </w:rPr>
        <w:t xml:space="preserve"> -0,5 pp</w:t>
      </w:r>
      <w:r w:rsidR="00E216C9">
        <w:rPr>
          <w:rFonts w:ascii="Segoe UI" w:hAnsi="Segoe UI" w:cs="Segoe UI"/>
          <w:szCs w:val="20"/>
        </w:rPr>
        <w:t xml:space="preserve"> en </w:t>
      </w:r>
      <w:proofErr w:type="spellStart"/>
      <w:r w:rsidR="00E216C9">
        <w:rPr>
          <w:rFonts w:ascii="Segoe UI" w:hAnsi="Segoe UI" w:cs="Segoe UI"/>
          <w:szCs w:val="20"/>
        </w:rPr>
        <w:t>g.a</w:t>
      </w:r>
      <w:proofErr w:type="spellEnd"/>
      <w:r w:rsidR="00E216C9">
        <w:rPr>
          <w:rFonts w:ascii="Segoe UI" w:hAnsi="Segoe UI" w:cs="Segoe UI"/>
          <w:szCs w:val="20"/>
        </w:rPr>
        <w:t>.</w:t>
      </w:r>
      <w:r w:rsidRPr="00412EBF">
        <w:rPr>
          <w:rFonts w:ascii="Segoe UI" w:hAnsi="Segoe UI" w:cs="Segoe UI"/>
          <w:szCs w:val="20"/>
        </w:rPr>
        <w:t>)</w:t>
      </w:r>
      <w:r w:rsidR="00E216C9">
        <w:rPr>
          <w:rFonts w:ascii="Segoe UI" w:hAnsi="Segoe UI" w:cs="Segoe UI"/>
          <w:szCs w:val="20"/>
        </w:rPr>
        <w:t xml:space="preserve"> de ses fournisseurs</w:t>
      </w:r>
      <w:r w:rsidRPr="00412EBF">
        <w:rPr>
          <w:rFonts w:ascii="Segoe UI" w:hAnsi="Segoe UI" w:cs="Segoe UI"/>
          <w:szCs w:val="20"/>
        </w:rPr>
        <w:t xml:space="preserve">. </w:t>
      </w:r>
      <w:r w:rsidR="00E216C9" w:rsidRPr="00435813">
        <w:rPr>
          <w:rFonts w:ascii="Segoe UI" w:hAnsi="Segoe UI" w:cs="Segoe UI"/>
          <w:szCs w:val="20"/>
        </w:rPr>
        <w:t xml:space="preserve">Les plus importants déficits sont enregistrés vis-à-vis des États-Unis </w:t>
      </w:r>
      <w:r w:rsidRPr="00412EBF">
        <w:rPr>
          <w:rFonts w:ascii="Segoe UI" w:hAnsi="Segoe UI" w:cs="Segoe UI"/>
          <w:szCs w:val="20"/>
        </w:rPr>
        <w:t>(-17,4 Md€), de l’Irlande (-5,0 Md€) et Singapour (-4,2 Md€)</w:t>
      </w:r>
      <w:r w:rsidR="00E216C9">
        <w:rPr>
          <w:rFonts w:ascii="Segoe UI" w:hAnsi="Segoe UI" w:cs="Segoe UI"/>
          <w:szCs w:val="20"/>
        </w:rPr>
        <w:t>.</w:t>
      </w:r>
      <w:r w:rsidRPr="00412EBF">
        <w:rPr>
          <w:rFonts w:ascii="Segoe UI" w:hAnsi="Segoe UI" w:cs="Segoe UI"/>
          <w:szCs w:val="20"/>
        </w:rPr>
        <w:t xml:space="preserve"> </w:t>
      </w:r>
      <w:r w:rsidR="00E216C9" w:rsidRPr="00435813">
        <w:rPr>
          <w:rFonts w:ascii="Segoe UI" w:hAnsi="Segoe UI" w:cs="Segoe UI"/>
          <w:szCs w:val="20"/>
        </w:rPr>
        <w:t xml:space="preserve">À l’inverse, les excédents les plus significatifs proviennent des échanges avec </w:t>
      </w:r>
      <w:r w:rsidR="00E216C9">
        <w:rPr>
          <w:rFonts w:ascii="Segoe UI" w:hAnsi="Segoe UI" w:cs="Segoe UI"/>
          <w:szCs w:val="20"/>
        </w:rPr>
        <w:t xml:space="preserve">l’Allemagne </w:t>
      </w:r>
      <w:r w:rsidRPr="00412EBF">
        <w:rPr>
          <w:rFonts w:ascii="Segoe UI" w:hAnsi="Segoe UI" w:cs="Segoe UI"/>
          <w:szCs w:val="20"/>
        </w:rPr>
        <w:t>(</w:t>
      </w:r>
      <w:r w:rsidR="00E216C9">
        <w:rPr>
          <w:rFonts w:ascii="Segoe UI" w:hAnsi="Segoe UI" w:cs="Segoe UI"/>
          <w:szCs w:val="20"/>
        </w:rPr>
        <w:t>+</w:t>
      </w:r>
      <w:r w:rsidRPr="00412EBF">
        <w:rPr>
          <w:rFonts w:ascii="Segoe UI" w:hAnsi="Segoe UI" w:cs="Segoe UI"/>
          <w:szCs w:val="20"/>
        </w:rPr>
        <w:t>15,5 Md€), le Royaume-Uni (</w:t>
      </w:r>
      <w:r w:rsidR="00E216C9">
        <w:rPr>
          <w:rFonts w:ascii="Segoe UI" w:hAnsi="Segoe UI" w:cs="Segoe UI"/>
          <w:szCs w:val="20"/>
        </w:rPr>
        <w:t>+</w:t>
      </w:r>
      <w:r w:rsidRPr="00412EBF">
        <w:rPr>
          <w:rFonts w:ascii="Segoe UI" w:hAnsi="Segoe UI" w:cs="Segoe UI"/>
          <w:szCs w:val="20"/>
        </w:rPr>
        <w:t>7,7 Md€) et la France (</w:t>
      </w:r>
      <w:r w:rsidR="00E216C9">
        <w:rPr>
          <w:rFonts w:ascii="Segoe UI" w:hAnsi="Segoe UI" w:cs="Segoe UI"/>
          <w:szCs w:val="20"/>
        </w:rPr>
        <w:t>+</w:t>
      </w:r>
      <w:r w:rsidRPr="00412EBF">
        <w:rPr>
          <w:rFonts w:ascii="Segoe UI" w:hAnsi="Segoe UI" w:cs="Segoe UI"/>
          <w:szCs w:val="20"/>
        </w:rPr>
        <w:t>7,5 Md€).</w:t>
      </w:r>
      <w:r w:rsidR="00435813" w:rsidRPr="00435813">
        <w:rPr>
          <w:rFonts w:ascii="Times New Roman" w:eastAsia="Times New Roman" w:hAnsi="Times New Roman" w:cs="Times New Roman"/>
          <w:sz w:val="24"/>
          <w:lang w:eastAsia="fr-FR"/>
        </w:rPr>
        <w:t xml:space="preserve"> </w:t>
      </w:r>
    </w:p>
    <w:p w14:paraId="659C3FFE" w14:textId="2A68D996" w:rsidR="00756A18" w:rsidRPr="00412EBF" w:rsidRDefault="00756A18" w:rsidP="00486083">
      <w:pPr>
        <w:pStyle w:val="Brvesco-Normal"/>
        <w:spacing w:line="240" w:lineRule="auto"/>
        <w:rPr>
          <w:lang w:eastAsia="fr-FR"/>
        </w:rPr>
      </w:pPr>
    </w:p>
    <w:p w14:paraId="568B587F" w14:textId="30082C91" w:rsidR="00756A18" w:rsidRPr="00486083" w:rsidRDefault="00F90D00" w:rsidP="00F90D00">
      <w:pPr>
        <w:spacing w:before="120" w:after="0"/>
        <w:ind w:left="-284"/>
        <w:jc w:val="right"/>
        <w:rPr>
          <w:rFonts w:ascii="Segoe UI" w:hAnsi="Segoe UI" w:cs="Segoe UI"/>
          <w:b/>
          <w:sz w:val="20"/>
          <w:szCs w:val="20"/>
        </w:rPr>
      </w:pPr>
      <w:r w:rsidRPr="00486083">
        <w:rPr>
          <w:rFonts w:ascii="Segoe UI" w:hAnsi="Segoe UI" w:cs="Segoe UI"/>
          <w:b/>
          <w:sz w:val="20"/>
          <w:szCs w:val="20"/>
        </w:rPr>
        <w:t>Arnaud BOULANGER</w:t>
      </w:r>
    </w:p>
    <w:p w14:paraId="44A27BD6" w14:textId="7DA32931" w:rsidR="00F90D00" w:rsidRPr="00486083" w:rsidRDefault="00F90D00" w:rsidP="00486083">
      <w:pPr>
        <w:spacing w:after="0"/>
        <w:ind w:left="-284"/>
        <w:jc w:val="right"/>
        <w:rPr>
          <w:rFonts w:ascii="Segoe UI" w:hAnsi="Segoe UI" w:cs="Segoe UI"/>
          <w:b/>
          <w:sz w:val="20"/>
          <w:szCs w:val="20"/>
        </w:rPr>
      </w:pPr>
      <w:r w:rsidRPr="00486083">
        <w:rPr>
          <w:rFonts w:ascii="Segoe UI" w:hAnsi="Segoe UI" w:cs="Segoe UI"/>
          <w:b/>
          <w:sz w:val="20"/>
          <w:szCs w:val="20"/>
        </w:rPr>
        <w:t>Chef du service économique</w:t>
      </w:r>
    </w:p>
    <w:p w14:paraId="77702EEA" w14:textId="714380D8" w:rsidR="00295221" w:rsidRPr="00486083" w:rsidRDefault="00295221" w:rsidP="00F90D00">
      <w:pPr>
        <w:spacing w:before="120" w:after="0"/>
        <w:ind w:left="-284"/>
        <w:jc w:val="right"/>
        <w:rPr>
          <w:rFonts w:ascii="Segoe UI" w:hAnsi="Segoe UI" w:cs="Segoe UI"/>
          <w:b/>
          <w:sz w:val="20"/>
          <w:szCs w:val="20"/>
        </w:rPr>
      </w:pPr>
      <w:r w:rsidRPr="00486083">
        <w:rPr>
          <w:rFonts w:ascii="Segoe UI" w:hAnsi="Segoe UI" w:cs="Segoe UI"/>
          <w:b/>
          <w:sz w:val="20"/>
          <w:szCs w:val="20"/>
        </w:rPr>
        <w:t xml:space="preserve">Aude </w:t>
      </w:r>
      <w:proofErr w:type="spellStart"/>
      <w:r w:rsidRPr="00486083">
        <w:rPr>
          <w:rFonts w:ascii="Segoe UI" w:hAnsi="Segoe UI" w:cs="Segoe UI"/>
          <w:b/>
          <w:sz w:val="20"/>
          <w:szCs w:val="20"/>
        </w:rPr>
        <w:t>Robin-Mitrevski</w:t>
      </w:r>
      <w:proofErr w:type="spellEnd"/>
    </w:p>
    <w:p w14:paraId="5814EF87" w14:textId="29C3CE93" w:rsidR="00756A18" w:rsidRDefault="00295221" w:rsidP="00FF4119">
      <w:pPr>
        <w:spacing w:after="0"/>
        <w:ind w:left="-284"/>
        <w:jc w:val="right"/>
        <w:rPr>
          <w:rFonts w:ascii="Segoe UI" w:hAnsi="Segoe UI" w:cs="Segoe UI"/>
          <w:b/>
          <w:sz w:val="18"/>
          <w:szCs w:val="18"/>
        </w:rPr>
      </w:pPr>
      <w:r w:rsidRPr="00486083">
        <w:rPr>
          <w:rFonts w:ascii="Segoe UI" w:hAnsi="Segoe UI" w:cs="Segoe UI"/>
          <w:b/>
          <w:sz w:val="20"/>
          <w:szCs w:val="20"/>
        </w:rPr>
        <w:t>Cheffe du service économique régional</w:t>
      </w:r>
      <w:r w:rsidR="00756A18">
        <w:rPr>
          <w:rFonts w:ascii="Segoe UI" w:hAnsi="Segoe UI" w:cs="Segoe UI"/>
          <w:b/>
          <w:sz w:val="18"/>
          <w:szCs w:val="18"/>
        </w:rPr>
        <w:br w:type="page"/>
      </w:r>
    </w:p>
    <w:p w14:paraId="17C20797" w14:textId="3E0B5208" w:rsidR="002910F1" w:rsidRPr="002910F1" w:rsidRDefault="00756A18" w:rsidP="002910F1">
      <w:pPr>
        <w:tabs>
          <w:tab w:val="left" w:pos="3700"/>
        </w:tabs>
        <w:spacing w:before="120" w:after="0"/>
        <w:ind w:left="-284"/>
        <w:jc w:val="both"/>
        <w:rPr>
          <w:rFonts w:ascii="Segoe UI" w:hAnsi="Segoe UI" w:cs="Segoe UI"/>
          <w:b/>
          <w:sz w:val="18"/>
          <w:szCs w:val="18"/>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55165" behindDoc="1" locked="0" layoutInCell="1" allowOverlap="1" wp14:anchorId="5F263577" wp14:editId="5356E189">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44350"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e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0N6&#10;NGvwjR6QNaZ3ShC8Q4Ja4xZo92g2tpMcHkO1R2mb8I91kGMk9TSQKo6ecLycTSef5zmCc9SN8vPZ&#10;bDqeBtjsxd9Y578KaEg4FNRiApFNdrh1Ppn2JiGcA1WX61qpKNjd9kpZcmD4xOub9fxm3qH/ZqZ0&#10;MNYQ3BJiuMlCbamaePInJYKd0g9CIi2Y/zhmEhtSDHEY50L7UVJVrBQp/DTHXx89tHDwiJVGwIAs&#10;Mf6A3QH0lgmkx05ZdvbBVcR+HpzzvyWWnAePGBm0H5ybWoN9D0BhVV3kZN+TlKgJLG2hPGHTWEjT&#10;5Axf1/hut8z5DbM4PvjYuBL8PX6kgrag0J0oqcD+fO8+2GNXo5aSFsexoO7HnllBifqmsd+/jCaT&#10;ML9RmExnYxTsa832tUbvmyvAdhjh8jE8HoO9V/1RWmiecXOsQlRUMc0xdkG5t71w5dOawN3DxWoV&#10;zXBmDfO3+tHwAB5YDX35dHxm1nTN67Hx76AfXbZ408PJNnhqWO09yDo2+AuvHd8477Fxut0UFspr&#10;OVq9bNDlLwAAAP//AwBQSwMEFAAGAAgAAAAhADgYPIfcAAAACAEAAA8AAABkcnMvZG93bnJldi54&#10;bWxMj0FPwzAMhe9I/IfISNy2dAhVpTSdAGlHBAykXbPGa6omTtWkW/vv8U5ws/2enr9XbWfvxBnH&#10;2AVSsFlnIJCaYDpqFfx871YFiJg0Ge0CoYIFI2zr25tKlyZc6AvP+9QKDqFYagU2paGUMjYWvY7r&#10;MCCxdgqj14nXsZVm1BcO904+ZFkuve6IP1g94JvFpt9PXsHn1D/6Przu9Ic/yHc3LaeDXZS6v5tf&#10;nkEknNOfGa74jA41Mx3DRCYKp4CLJAWrHMRV3BQFH4485UX2BLKu5P8C9S8AAAD//wMAUEsBAi0A&#10;FAAGAAgAAAAhALaDOJL+AAAA4QEAABMAAAAAAAAAAAAAAAAAAAAAAFtDb250ZW50X1R5cGVzXS54&#10;bWxQSwECLQAUAAYACAAAACEAOP0h/9YAAACUAQAACwAAAAAAAAAAAAAAAAAvAQAAX3JlbHMvLnJl&#10;bHNQSwECLQAUAAYACAAAACEA6GTXsZoCAACJBQAADgAAAAAAAAAAAAAAAAAuAgAAZHJzL2Uyb0Rv&#10;Yy54bWxQSwECLQAUAAYACAAAACEAOBg8h9wAAAAIAQAADwAAAAAAAAAAAAAAAAD0BAAAZHJzL2Rv&#10;d25yZXYueG1sUEsFBgAAAAAEAAQA8wAAAP0FAAAAAA==&#10;" fillcolor="#fef8e8" stroked="f" strokeweight="1pt">
                <w10:wrap anchorx="page" anchory="page"/>
              </v:rect>
            </w:pict>
          </mc:Fallback>
        </mc:AlternateContent>
      </w:r>
    </w:p>
    <w:p w14:paraId="5941FF80" w14:textId="08810BF2" w:rsidR="002910F1" w:rsidRDefault="002910F1" w:rsidP="009854A7">
      <w:pPr>
        <w:jc w:val="center"/>
        <w:rPr>
          <w:rFonts w:ascii="Segoe UI" w:hAnsi="Segoe UI" w:cs="Segoe UI"/>
          <w:bCs/>
          <w:color w:val="000091" w:themeColor="text1"/>
          <w:sz w:val="24"/>
          <w:szCs w:val="28"/>
        </w:rPr>
      </w:pPr>
      <w:r>
        <w:rPr>
          <w:rFonts w:ascii="Segoe UI" w:hAnsi="Segoe UI" w:cs="Segoe UI"/>
          <w:bCs/>
          <w:color w:val="000091" w:themeColor="text1"/>
          <w:sz w:val="24"/>
          <w:szCs w:val="28"/>
        </w:rPr>
        <w:t>ANNEXE 1 : Point méthodologique</w:t>
      </w:r>
    </w:p>
    <w:p w14:paraId="7F0A705B"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18"/>
          <w:szCs w:val="18"/>
        </w:rPr>
      </w:pPr>
      <w:r>
        <w:rPr>
          <w:rFonts w:ascii="Arial" w:hAnsi="Arial" w:cs="Arial"/>
          <w:sz w:val="18"/>
          <w:szCs w:val="18"/>
        </w:rPr>
        <w:t>Les analyses de la présente note reposent sur des sources statistiques luxembourgeoises (</w:t>
      </w:r>
      <w:proofErr w:type="spellStart"/>
      <w:r>
        <w:rPr>
          <w:rFonts w:ascii="Arial" w:hAnsi="Arial" w:cs="Arial"/>
          <w:sz w:val="18"/>
          <w:szCs w:val="18"/>
        </w:rPr>
        <w:t>Statec</w:t>
      </w:r>
      <w:proofErr w:type="spellEnd"/>
      <w:r>
        <w:rPr>
          <w:rFonts w:ascii="Arial" w:hAnsi="Arial" w:cs="Arial"/>
          <w:sz w:val="18"/>
          <w:szCs w:val="18"/>
        </w:rPr>
        <w:t xml:space="preserve">) qui proposent deux méthodologies différentes en matière de mesure des échanges commerciaux :  </w:t>
      </w:r>
    </w:p>
    <w:p w14:paraId="4E855F2D"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4"/>
          <w:szCs w:val="4"/>
        </w:rPr>
      </w:pPr>
    </w:p>
    <w:p w14:paraId="6DA10E99"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18"/>
          <w:szCs w:val="18"/>
        </w:rPr>
      </w:pPr>
      <w:r>
        <w:rPr>
          <w:rFonts w:ascii="Arial" w:hAnsi="Arial" w:cs="Arial"/>
          <w:b/>
          <w:bCs/>
          <w:sz w:val="18"/>
          <w:szCs w:val="18"/>
        </w:rPr>
        <w:t xml:space="preserve">- Approche « commerce extérieur » ou « </w:t>
      </w:r>
      <w:proofErr w:type="spellStart"/>
      <w:r>
        <w:rPr>
          <w:rFonts w:ascii="Arial" w:hAnsi="Arial" w:cs="Arial"/>
          <w:b/>
          <w:bCs/>
          <w:sz w:val="18"/>
          <w:szCs w:val="18"/>
        </w:rPr>
        <w:t>comext</w:t>
      </w:r>
      <w:proofErr w:type="spellEnd"/>
      <w:r>
        <w:rPr>
          <w:rFonts w:ascii="Arial" w:hAnsi="Arial" w:cs="Arial"/>
          <w:b/>
          <w:bCs/>
          <w:sz w:val="18"/>
          <w:szCs w:val="18"/>
        </w:rPr>
        <w:t xml:space="preserve"> »,</w:t>
      </w:r>
      <w:r>
        <w:rPr>
          <w:rFonts w:ascii="Arial" w:hAnsi="Arial" w:cs="Arial"/>
          <w:sz w:val="18"/>
          <w:szCs w:val="18"/>
        </w:rPr>
        <w:t xml:space="preserve"> s’applique exclusivement aux échanges de biens, et ne recense que les marchandises traversant physiquement la frontière luxembourgeoise (y compris l’énergie électrique et le gaz) à destination ou en provenance d’un autre Etat, ne couvrant pas les opérations triangulaires. Les importations de marchandises sont mesurées CAF (coûts, assurance, fret, soit à la frontière de l’importateur). Cette méthode permet de retracer les mouvements de marchandises de manière détaillée à un moment donné.</w:t>
      </w:r>
    </w:p>
    <w:p w14:paraId="56B9E7D6"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4"/>
          <w:szCs w:val="4"/>
        </w:rPr>
      </w:pPr>
    </w:p>
    <w:p w14:paraId="34FFD815"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18"/>
          <w:szCs w:val="18"/>
        </w:rPr>
      </w:pPr>
      <w:r>
        <w:rPr>
          <w:rFonts w:ascii="Arial" w:hAnsi="Arial" w:cs="Arial"/>
          <w:b/>
          <w:bCs/>
          <w:sz w:val="18"/>
          <w:szCs w:val="18"/>
        </w:rPr>
        <w:t>-Approche par la « balance des paiements »,</w:t>
      </w:r>
      <w:r>
        <w:rPr>
          <w:rFonts w:ascii="Arial" w:hAnsi="Arial" w:cs="Arial"/>
          <w:sz w:val="18"/>
          <w:szCs w:val="18"/>
        </w:rPr>
        <w:t xml:space="preserve"> par laquelle sont recensées les marchandises et les services sur la base du changement de propriété (soit entre résident et non-résident). A la différence de la méthode « </w:t>
      </w:r>
      <w:proofErr w:type="spellStart"/>
      <w:r>
        <w:rPr>
          <w:rFonts w:ascii="Arial" w:hAnsi="Arial" w:cs="Arial"/>
          <w:sz w:val="18"/>
          <w:szCs w:val="18"/>
        </w:rPr>
        <w:t>comext</w:t>
      </w:r>
      <w:proofErr w:type="spellEnd"/>
      <w:r>
        <w:rPr>
          <w:rFonts w:ascii="Arial" w:hAnsi="Arial" w:cs="Arial"/>
          <w:sz w:val="18"/>
          <w:szCs w:val="18"/>
        </w:rPr>
        <w:t xml:space="preserve"> », les importations de marchandises sont comptabilisées en FAB (franco à bord, soit mesuré à la frontière du pays exportateur), incluant les provisions de bord, le négoce international ainsi qu’une estimation du commerce électronique. Cette méthodologie permet d’avoir une image complète des échanges (biens, services etc.).</w:t>
      </w:r>
    </w:p>
    <w:p w14:paraId="56116137"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4"/>
          <w:szCs w:val="4"/>
        </w:rPr>
      </w:pPr>
    </w:p>
    <w:p w14:paraId="73CB4EAC" w14:textId="77777777" w:rsidR="002910F1" w:rsidRDefault="002910F1" w:rsidP="002910F1">
      <w:pPr>
        <w:pBdr>
          <w:top w:val="single" w:sz="4" w:space="1" w:color="auto"/>
          <w:left w:val="single" w:sz="4" w:space="4" w:color="auto"/>
          <w:bottom w:val="single" w:sz="4" w:space="1" w:color="auto"/>
          <w:right w:val="single" w:sz="4" w:space="4" w:color="auto"/>
        </w:pBdr>
        <w:shd w:val="clear" w:color="auto" w:fill="FFFFFF" w:themeFill="background2"/>
        <w:spacing w:after="0"/>
        <w:jc w:val="both"/>
        <w:rPr>
          <w:rFonts w:ascii="Arial" w:hAnsi="Arial" w:cs="Arial"/>
          <w:sz w:val="18"/>
          <w:szCs w:val="18"/>
        </w:rPr>
      </w:pPr>
      <w:r>
        <w:rPr>
          <w:rFonts w:ascii="Arial" w:hAnsi="Arial" w:cs="Arial"/>
          <w:sz w:val="18"/>
          <w:szCs w:val="18"/>
        </w:rPr>
        <w:t>Aussi, à l’aune de ces définitions et pour les besoins de cette note, les analyses ayant trait aux échanges (i) agrégés de biens et services et de (ii) services seuls ont été réalisés sur la base des statistiques « balance des paiements », tandis que le celles relatives aux seuls échanges de biens privilégieront celles « </w:t>
      </w:r>
      <w:proofErr w:type="spellStart"/>
      <w:r>
        <w:rPr>
          <w:rFonts w:ascii="Arial" w:hAnsi="Arial" w:cs="Arial"/>
          <w:sz w:val="18"/>
          <w:szCs w:val="18"/>
        </w:rPr>
        <w:t>comext</w:t>
      </w:r>
      <w:proofErr w:type="spellEnd"/>
      <w:r>
        <w:rPr>
          <w:rFonts w:ascii="Arial" w:hAnsi="Arial" w:cs="Arial"/>
          <w:sz w:val="18"/>
          <w:szCs w:val="18"/>
        </w:rPr>
        <w:t xml:space="preserve"> ». </w:t>
      </w:r>
    </w:p>
    <w:p w14:paraId="59961890" w14:textId="72612004" w:rsidR="002910F1" w:rsidRDefault="002910F1" w:rsidP="002910F1">
      <w:pPr>
        <w:spacing w:after="0"/>
        <w:jc w:val="both"/>
        <w:rPr>
          <w:rFonts w:ascii="Arial" w:hAnsi="Arial" w:cs="Arial"/>
          <w:sz w:val="6"/>
          <w:szCs w:val="6"/>
        </w:rPr>
      </w:pPr>
    </w:p>
    <w:p w14:paraId="25980447" w14:textId="6C2F538A" w:rsidR="002910F1" w:rsidRPr="002910F1" w:rsidRDefault="002910F1" w:rsidP="002910F1">
      <w:pPr>
        <w:jc w:val="center"/>
        <w:rPr>
          <w:rFonts w:ascii="Segoe UI" w:hAnsi="Segoe UI" w:cs="Segoe UI"/>
          <w:color w:val="000091" w:themeColor="text1"/>
          <w:sz w:val="20"/>
          <w:szCs w:val="20"/>
        </w:rPr>
      </w:pPr>
      <w:r w:rsidRPr="002910F1">
        <w:rPr>
          <w:rFonts w:ascii="Segoe UI" w:hAnsi="Segoe UI" w:cs="Segoe UI"/>
          <w:color w:val="000091" w:themeColor="text1"/>
          <w:sz w:val="20"/>
          <w:szCs w:val="20"/>
        </w:rPr>
        <w:t xml:space="preserve">Source : </w:t>
      </w:r>
      <w:r>
        <w:rPr>
          <w:rFonts w:ascii="Segoe UI" w:hAnsi="Segoe UI" w:cs="Segoe UI"/>
          <w:color w:val="000091" w:themeColor="text1"/>
          <w:sz w:val="20"/>
          <w:szCs w:val="20"/>
        </w:rPr>
        <w:t xml:space="preserve">entretien avec les statisticiens du </w:t>
      </w:r>
      <w:proofErr w:type="spellStart"/>
      <w:r>
        <w:rPr>
          <w:rFonts w:ascii="Segoe UI" w:hAnsi="Segoe UI" w:cs="Segoe UI"/>
          <w:color w:val="000091" w:themeColor="text1"/>
          <w:sz w:val="20"/>
          <w:szCs w:val="20"/>
        </w:rPr>
        <w:t>Statec</w:t>
      </w:r>
      <w:proofErr w:type="spellEnd"/>
      <w:r>
        <w:rPr>
          <w:rFonts w:ascii="Segoe UI" w:hAnsi="Segoe UI" w:cs="Segoe UI"/>
          <w:color w:val="000091" w:themeColor="text1"/>
          <w:sz w:val="20"/>
          <w:szCs w:val="20"/>
        </w:rPr>
        <w:t>, compilation SER.</w:t>
      </w:r>
    </w:p>
    <w:p w14:paraId="6E3944B8" w14:textId="73BC9B20" w:rsidR="002910F1" w:rsidRDefault="002910F1" w:rsidP="002910F1">
      <w:pPr>
        <w:spacing w:after="0"/>
        <w:jc w:val="both"/>
        <w:rPr>
          <w:rFonts w:ascii="Arial" w:hAnsi="Arial" w:cs="Arial"/>
          <w:sz w:val="16"/>
          <w:szCs w:val="16"/>
        </w:rPr>
      </w:pPr>
      <w:r>
        <w:rPr>
          <w:rFonts w:ascii="Arial" w:hAnsi="Arial" w:cs="Arial"/>
          <w:sz w:val="16"/>
          <w:szCs w:val="16"/>
        </w:rPr>
        <w:t xml:space="preserve">.  </w:t>
      </w:r>
    </w:p>
    <w:p w14:paraId="0EF74709" w14:textId="77777777" w:rsidR="0060095C" w:rsidRDefault="0060095C" w:rsidP="0060095C">
      <w:pPr>
        <w:rPr>
          <w:rFonts w:ascii="Segoe UI" w:hAnsi="Segoe UI" w:cs="Segoe UI"/>
          <w:bCs/>
          <w:color w:val="000091" w:themeColor="text1"/>
          <w:sz w:val="24"/>
          <w:szCs w:val="28"/>
        </w:rPr>
      </w:pPr>
    </w:p>
    <w:p w14:paraId="2E0BC5F2" w14:textId="59FA4900" w:rsidR="002910F1" w:rsidRPr="0060095C" w:rsidRDefault="002910F1" w:rsidP="0060095C">
      <w:pPr>
        <w:jc w:val="center"/>
        <w:rPr>
          <w:rFonts w:ascii="Segoe UI" w:hAnsi="Segoe UI" w:cs="Segoe UI"/>
          <w:color w:val="000091" w:themeColor="text1"/>
          <w:sz w:val="20"/>
          <w:szCs w:val="20"/>
        </w:rPr>
      </w:pPr>
      <w:r w:rsidRPr="002910F1">
        <w:rPr>
          <w:rFonts w:ascii="Segoe UI" w:hAnsi="Segoe UI" w:cs="Segoe UI"/>
          <w:color w:val="000091" w:themeColor="text1"/>
        </w:rPr>
        <w:t xml:space="preserve">ANNEXE </w:t>
      </w:r>
      <w:r w:rsidR="0060095C">
        <w:rPr>
          <w:rFonts w:ascii="Segoe UI" w:hAnsi="Segoe UI" w:cs="Segoe UI"/>
          <w:color w:val="000091" w:themeColor="text1"/>
        </w:rPr>
        <w:t>2</w:t>
      </w:r>
      <w:r w:rsidRPr="002910F1">
        <w:rPr>
          <w:rFonts w:ascii="Segoe UI" w:hAnsi="Segoe UI" w:cs="Segoe UI"/>
          <w:color w:val="000091" w:themeColor="text1"/>
        </w:rPr>
        <w:t xml:space="preserve"> : </w:t>
      </w:r>
      <w:r>
        <w:rPr>
          <w:rFonts w:ascii="Segoe UI" w:hAnsi="Segoe UI" w:cs="Segoe UI"/>
          <w:color w:val="000091" w:themeColor="text1"/>
        </w:rPr>
        <w:t>Echanges de biens et services du Luxembourg 2014-2024 (</w:t>
      </w:r>
      <w:r>
        <w:rPr>
          <w:rFonts w:ascii="Segoe UI" w:hAnsi="Segoe UI" w:cs="Segoe UI"/>
          <w:bCs/>
          <w:color w:val="000091" w:themeColor="text1"/>
          <w:sz w:val="24"/>
          <w:szCs w:val="28"/>
        </w:rPr>
        <w:t>en M</w:t>
      </w:r>
      <w:r w:rsidRPr="00F310F9">
        <w:rPr>
          <w:rFonts w:ascii="Segoe UI" w:hAnsi="Segoe UI" w:cs="Segoe UI"/>
          <w:bCs/>
          <w:color w:val="000091" w:themeColor="text1"/>
          <w:sz w:val="24"/>
          <w:szCs w:val="28"/>
        </w:rPr>
        <w:t>d</w:t>
      </w:r>
      <w:r w:rsidRPr="00F310F9">
        <w:rPr>
          <w:rFonts w:ascii="Segoe UI" w:hAnsi="Segoe UI" w:cs="Segoe UI"/>
          <w:color w:val="000091" w:themeColor="text1"/>
          <w:szCs w:val="20"/>
        </w:rPr>
        <w:t>€)</w:t>
      </w:r>
    </w:p>
    <w:p w14:paraId="2B753A10" w14:textId="4290F3E7" w:rsidR="002910F1" w:rsidRDefault="002910F1" w:rsidP="009854A7">
      <w:pPr>
        <w:jc w:val="center"/>
        <w:rPr>
          <w:rFonts w:ascii="Segoe UI" w:hAnsi="Segoe UI" w:cs="Segoe UI"/>
          <w:color w:val="000091" w:themeColor="text1"/>
        </w:rPr>
      </w:pPr>
      <w:r w:rsidRPr="002910F1">
        <w:rPr>
          <w:rFonts w:ascii="Segoe UI" w:hAnsi="Segoe UI" w:cs="Segoe UI"/>
          <w:noProof/>
          <w:color w:val="000091" w:themeColor="text1"/>
        </w:rPr>
        <w:drawing>
          <wp:inline distT="0" distB="0" distL="0" distR="0" wp14:anchorId="50ECC3FB" wp14:editId="4DADEC49">
            <wp:extent cx="5851525" cy="2639060"/>
            <wp:effectExtent l="0" t="0" r="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1525" cy="2639060"/>
                    </a:xfrm>
                    <a:prstGeom prst="rect">
                      <a:avLst/>
                    </a:prstGeom>
                  </pic:spPr>
                </pic:pic>
              </a:graphicData>
            </a:graphic>
          </wp:inline>
        </w:drawing>
      </w:r>
    </w:p>
    <w:p w14:paraId="4DE9C307" w14:textId="3F6CEE13" w:rsidR="00412EBF" w:rsidRDefault="00412EBF" w:rsidP="009854A7">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Pr>
          <w:rFonts w:ascii="Segoe UI" w:hAnsi="Segoe UI" w:cs="Segoe UI"/>
          <w:color w:val="000091" w:themeColor="text1"/>
          <w:sz w:val="20"/>
          <w:szCs w:val="20"/>
        </w:rPr>
        <w:t>Statec</w:t>
      </w:r>
      <w:proofErr w:type="spellEnd"/>
      <w:r>
        <w:rPr>
          <w:rFonts w:ascii="Segoe UI" w:hAnsi="Segoe UI" w:cs="Segoe UI"/>
          <w:color w:val="000091" w:themeColor="text1"/>
          <w:sz w:val="20"/>
          <w:szCs w:val="20"/>
        </w:rPr>
        <w:t>, méthodologie balance des paiements, compilation SE</w:t>
      </w:r>
    </w:p>
    <w:p w14:paraId="50F62585" w14:textId="0AA412A8" w:rsidR="0060095C" w:rsidRDefault="0060095C">
      <w:pPr>
        <w:rPr>
          <w:rFonts w:ascii="Segoe UI" w:hAnsi="Segoe UI" w:cs="Segoe UI"/>
          <w:color w:val="000091" w:themeColor="text1"/>
          <w:sz w:val="20"/>
          <w:szCs w:val="20"/>
        </w:rPr>
      </w:pPr>
      <w:r>
        <w:rPr>
          <w:rFonts w:ascii="Segoe UI" w:hAnsi="Segoe UI" w:cs="Segoe UI"/>
          <w:color w:val="000091" w:themeColor="text1"/>
          <w:sz w:val="20"/>
          <w:szCs w:val="20"/>
        </w:rPr>
        <w:br w:type="page"/>
      </w:r>
    </w:p>
    <w:p w14:paraId="536C6B8E" w14:textId="78BD6375" w:rsidR="0060095C" w:rsidRDefault="0060095C" w:rsidP="009854A7">
      <w:pPr>
        <w:jc w:val="center"/>
        <w:rPr>
          <w:rFonts w:ascii="Segoe UI" w:hAnsi="Segoe UI" w:cs="Segoe UI"/>
          <w:color w:val="000091" w:themeColor="text1"/>
          <w:sz w:val="20"/>
          <w:szCs w:val="20"/>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75648" behindDoc="1" locked="0" layoutInCell="1" allowOverlap="1" wp14:anchorId="149D7C43" wp14:editId="177AD305">
                <wp:simplePos x="0" y="0"/>
                <wp:positionH relativeFrom="page">
                  <wp:posOffset>13970</wp:posOffset>
                </wp:positionH>
                <wp:positionV relativeFrom="page">
                  <wp:posOffset>1905</wp:posOffset>
                </wp:positionV>
                <wp:extent cx="7543800" cy="10677525"/>
                <wp:effectExtent l="0" t="0" r="0" b="9525"/>
                <wp:wrapNone/>
                <wp:docPr id="12" name="Rectangle 12"/>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53827" id="Rectangle 12" o:spid="_x0000_s1026" style="position:absolute;margin-left:1.1pt;margin-top:.15pt;width:594pt;height:840.75pt;z-index:-2516408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m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xtT&#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4jXD6Gx2Ow96o/SgvNM26OVYiKKqY5xi4o97YXrnxaE7h7uFit&#10;ohnOrGH+Vj8aHsADq6Evn47PzJqueT02/h30o8sWb3o42QZPDau9B1nHBn/hteMb5z02TrebwkJ5&#10;LUerlw26/AUAAP//AwBQSwMEFAAGAAgAAAAhACdfbLbcAAAACAEAAA8AAABkcnMvZG93bnJldi54&#10;bWxMj8FOwzAQRO9I/IO1SNyok4CqEOJUgNQjAlqkXrexG0eJ11HstMnfsz3BbUczmn1TbmbXi7MZ&#10;Q+tJQbpKQBiqvW6pUfCz3z7kIEJE0th7MgoWE2BT3d6UWGh/oW9z3sVGcAmFAhXYGIdCylBb4zCs&#10;/GCIvZMfHUaWYyP1iBcud73MkmQtHbbEHywO5t2auttNTsHX1D25zr9t8dMd5Ec/LaeDXZS6v5tf&#10;X0BEM8e/MFzxGR0qZjr6iXQQvYIs46CCRxBXM31OWB/5WudpDrIq5f8B1S8AAAD//wMAUEsBAi0A&#10;FAAGAAgAAAAhALaDOJL+AAAA4QEAABMAAAAAAAAAAAAAAAAAAAAAAFtDb250ZW50X1R5cGVzXS54&#10;bWxQSwECLQAUAAYACAAAACEAOP0h/9YAAACUAQAACwAAAAAAAAAAAAAAAAAvAQAAX3JlbHMvLnJl&#10;bHNQSwECLQAUAAYACAAAACEA01/nJpoCAACJBQAADgAAAAAAAAAAAAAAAAAuAgAAZHJzL2Uyb0Rv&#10;Yy54bWxQSwECLQAUAAYACAAAACEAJ19sttwAAAAIAQAADwAAAAAAAAAAAAAAAAD0BAAAZHJzL2Rv&#10;d25yZXYueG1sUEsFBgAAAAAEAAQA8wAAAP0FAAAAAA==&#10;" fillcolor="#fef8e8" stroked="f" strokeweight="1pt">
                <w10:wrap anchorx="page" anchory="page"/>
              </v:rect>
            </w:pict>
          </mc:Fallback>
        </mc:AlternateContent>
      </w:r>
    </w:p>
    <w:p w14:paraId="2998FE98" w14:textId="7B377EE7" w:rsidR="0060095C" w:rsidRDefault="0060095C" w:rsidP="0060095C">
      <w:pPr>
        <w:jc w:val="center"/>
        <w:rPr>
          <w:rFonts w:ascii="Segoe UI" w:hAnsi="Segoe UI" w:cs="Segoe UI"/>
          <w:color w:val="000091" w:themeColor="text1"/>
          <w:szCs w:val="20"/>
        </w:rPr>
      </w:pPr>
      <w:r w:rsidRPr="009854A7">
        <w:rPr>
          <w:rFonts w:ascii="Segoe UI" w:hAnsi="Segoe UI" w:cs="Segoe UI"/>
          <w:bCs/>
          <w:color w:val="000091" w:themeColor="text1"/>
          <w:sz w:val="24"/>
          <w:szCs w:val="28"/>
        </w:rPr>
        <w:t xml:space="preserve">ANNEXE </w:t>
      </w:r>
      <w:r>
        <w:rPr>
          <w:rFonts w:ascii="Segoe UI" w:hAnsi="Segoe UI" w:cs="Segoe UI"/>
          <w:bCs/>
          <w:color w:val="000091" w:themeColor="text1"/>
          <w:sz w:val="24"/>
          <w:szCs w:val="28"/>
        </w:rPr>
        <w:t>3 : Echanges de biens du Luxembourg 2014-2024 (en M</w:t>
      </w:r>
      <w:r w:rsidRPr="00F310F9">
        <w:rPr>
          <w:rFonts w:ascii="Segoe UI" w:hAnsi="Segoe UI" w:cs="Segoe UI"/>
          <w:bCs/>
          <w:color w:val="000091" w:themeColor="text1"/>
          <w:sz w:val="24"/>
          <w:szCs w:val="28"/>
        </w:rPr>
        <w:t>d</w:t>
      </w:r>
      <w:r w:rsidRPr="00F310F9">
        <w:rPr>
          <w:rFonts w:ascii="Segoe UI" w:hAnsi="Segoe UI" w:cs="Segoe UI"/>
          <w:color w:val="000091" w:themeColor="text1"/>
          <w:szCs w:val="20"/>
        </w:rPr>
        <w:t>€)</w:t>
      </w:r>
    </w:p>
    <w:p w14:paraId="6D6BD6F2" w14:textId="77777777" w:rsidR="0060095C" w:rsidRDefault="0060095C" w:rsidP="0060095C">
      <w:pPr>
        <w:jc w:val="center"/>
        <w:rPr>
          <w:rFonts w:ascii="Segoe UI" w:hAnsi="Segoe UI" w:cs="Segoe UI"/>
          <w:color w:val="000091" w:themeColor="text1"/>
          <w:szCs w:val="20"/>
        </w:rPr>
      </w:pPr>
      <w:r w:rsidRPr="00B37EC6">
        <w:rPr>
          <w:noProof/>
          <w:lang w:val="en-GB"/>
        </w:rPr>
        <w:drawing>
          <wp:inline distT="0" distB="0" distL="0" distR="0" wp14:anchorId="7B311C3B" wp14:editId="2614FB2C">
            <wp:extent cx="5851525" cy="33991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1525" cy="3399155"/>
                    </a:xfrm>
                    <a:prstGeom prst="rect">
                      <a:avLst/>
                    </a:prstGeom>
                  </pic:spPr>
                </pic:pic>
              </a:graphicData>
            </a:graphic>
          </wp:inline>
        </w:drawing>
      </w:r>
    </w:p>
    <w:p w14:paraId="5D21F7ED" w14:textId="77777777" w:rsidR="0060095C" w:rsidRDefault="0060095C" w:rsidP="0060095C">
      <w:pPr>
        <w:jc w:val="center"/>
        <w:rPr>
          <w:rFonts w:ascii="Segoe UI" w:hAnsi="Segoe UI" w:cs="Segoe UI"/>
          <w:color w:val="000091" w:themeColor="text1"/>
          <w:sz w:val="20"/>
          <w:szCs w:val="20"/>
        </w:rPr>
      </w:pPr>
      <w:r w:rsidRPr="002910F1">
        <w:rPr>
          <w:rFonts w:ascii="Segoe UI" w:hAnsi="Segoe UI" w:cs="Segoe UI"/>
          <w:color w:val="000091" w:themeColor="text1"/>
          <w:sz w:val="20"/>
          <w:szCs w:val="20"/>
        </w:rPr>
        <w:t xml:space="preserve">Source : </w:t>
      </w:r>
      <w:proofErr w:type="spellStart"/>
      <w:r>
        <w:rPr>
          <w:rFonts w:ascii="Segoe UI" w:hAnsi="Segoe UI" w:cs="Segoe UI"/>
          <w:color w:val="000091" w:themeColor="text1"/>
          <w:sz w:val="20"/>
          <w:szCs w:val="20"/>
        </w:rPr>
        <w:t>Statec</w:t>
      </w:r>
      <w:proofErr w:type="spellEnd"/>
      <w:r>
        <w:rPr>
          <w:rFonts w:ascii="Segoe UI" w:hAnsi="Segoe UI" w:cs="Segoe UI"/>
          <w:color w:val="000091" w:themeColor="text1"/>
          <w:sz w:val="20"/>
          <w:szCs w:val="20"/>
        </w:rPr>
        <w:t>, méthodologie commerce extérieur, compilation SE</w:t>
      </w:r>
    </w:p>
    <w:p w14:paraId="391D06C1" w14:textId="77777777" w:rsidR="0060095C" w:rsidRPr="00412EBF" w:rsidRDefault="0060095C" w:rsidP="009854A7">
      <w:pPr>
        <w:jc w:val="center"/>
        <w:rPr>
          <w:rFonts w:ascii="Segoe UI" w:hAnsi="Segoe UI" w:cs="Segoe UI"/>
          <w:color w:val="000091" w:themeColor="text1"/>
          <w:sz w:val="20"/>
          <w:szCs w:val="20"/>
        </w:rPr>
      </w:pPr>
    </w:p>
    <w:p w14:paraId="4A22BCA1" w14:textId="31AB4D72" w:rsidR="008B2DA0" w:rsidRDefault="008B2DA0" w:rsidP="009854A7">
      <w:pPr>
        <w:jc w:val="center"/>
        <w:rPr>
          <w:rFonts w:ascii="Segoe UI" w:hAnsi="Segoe UI" w:cs="Segoe UI"/>
          <w:color w:val="000091" w:themeColor="text1"/>
          <w:szCs w:val="20"/>
        </w:rPr>
      </w:pPr>
    </w:p>
    <w:p w14:paraId="408209FE" w14:textId="7A1E7FCC" w:rsidR="008B2DA0" w:rsidRDefault="008B2DA0" w:rsidP="009854A7">
      <w:pPr>
        <w:jc w:val="center"/>
        <w:rPr>
          <w:rFonts w:ascii="Segoe UI" w:hAnsi="Segoe UI" w:cs="Segoe UI"/>
          <w:color w:val="000091" w:themeColor="text1"/>
          <w:szCs w:val="20"/>
        </w:rPr>
      </w:pPr>
      <w:r>
        <w:rPr>
          <w:rFonts w:ascii="Segoe UI" w:hAnsi="Segoe UI" w:cs="Segoe UI"/>
          <w:color w:val="000091" w:themeColor="text1"/>
          <w:szCs w:val="20"/>
        </w:rPr>
        <w:t xml:space="preserve">ANNEXE </w:t>
      </w:r>
      <w:r w:rsidR="002910F1">
        <w:rPr>
          <w:rFonts w:ascii="Segoe UI" w:hAnsi="Segoe UI" w:cs="Segoe UI"/>
          <w:color w:val="000091" w:themeColor="text1"/>
          <w:szCs w:val="20"/>
        </w:rPr>
        <w:t>4</w:t>
      </w:r>
      <w:r>
        <w:rPr>
          <w:rFonts w:ascii="Segoe UI" w:hAnsi="Segoe UI" w:cs="Segoe UI"/>
          <w:color w:val="000091" w:themeColor="text1"/>
          <w:szCs w:val="20"/>
        </w:rPr>
        <w:t xml:space="preserve"> : Composition des exportations de biens du Luxembourg 2014-2024 </w:t>
      </w:r>
      <w:r>
        <w:rPr>
          <w:rFonts w:ascii="Segoe UI" w:hAnsi="Segoe UI" w:cs="Segoe UI"/>
          <w:bCs/>
          <w:color w:val="000091" w:themeColor="text1"/>
          <w:sz w:val="24"/>
          <w:szCs w:val="28"/>
        </w:rPr>
        <w:t>(en M</w:t>
      </w:r>
      <w:r w:rsidRPr="00F310F9">
        <w:rPr>
          <w:rFonts w:ascii="Segoe UI" w:hAnsi="Segoe UI" w:cs="Segoe UI"/>
          <w:bCs/>
          <w:color w:val="000091" w:themeColor="text1"/>
          <w:sz w:val="24"/>
          <w:szCs w:val="28"/>
        </w:rPr>
        <w:t>d</w:t>
      </w:r>
      <w:r w:rsidRPr="00F310F9">
        <w:rPr>
          <w:rFonts w:ascii="Segoe UI" w:hAnsi="Segoe UI" w:cs="Segoe UI"/>
          <w:color w:val="000091" w:themeColor="text1"/>
          <w:szCs w:val="20"/>
        </w:rPr>
        <w:t>€)</w:t>
      </w:r>
    </w:p>
    <w:p w14:paraId="4AEAC1AD" w14:textId="3A53589F" w:rsidR="008B2DA0" w:rsidRDefault="008B2DA0" w:rsidP="009854A7">
      <w:pPr>
        <w:jc w:val="center"/>
        <w:rPr>
          <w:rFonts w:ascii="Segoe UI" w:hAnsi="Segoe UI" w:cs="Segoe UI"/>
          <w:color w:val="000091" w:themeColor="text1"/>
          <w:szCs w:val="20"/>
        </w:rPr>
      </w:pPr>
      <w:r w:rsidRPr="008B2DA0">
        <w:rPr>
          <w:rFonts w:ascii="Segoe UI" w:hAnsi="Segoe UI" w:cs="Segoe UI"/>
          <w:noProof/>
          <w:color w:val="000091" w:themeColor="text1"/>
          <w:szCs w:val="20"/>
        </w:rPr>
        <w:drawing>
          <wp:inline distT="0" distB="0" distL="0" distR="0" wp14:anchorId="19A0C9A1" wp14:editId="31AFB88E">
            <wp:extent cx="5851525" cy="31527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1525" cy="3152775"/>
                    </a:xfrm>
                    <a:prstGeom prst="rect">
                      <a:avLst/>
                    </a:prstGeom>
                  </pic:spPr>
                </pic:pic>
              </a:graphicData>
            </a:graphic>
          </wp:inline>
        </w:drawing>
      </w:r>
    </w:p>
    <w:p w14:paraId="2A7B8BFA" w14:textId="54ABD042" w:rsidR="00412EBF" w:rsidRPr="00412EBF" w:rsidRDefault="00412EBF" w:rsidP="009854A7">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sidRPr="00412EBF">
        <w:rPr>
          <w:rFonts w:ascii="Segoe UI" w:hAnsi="Segoe UI" w:cs="Segoe UI"/>
          <w:color w:val="000091" w:themeColor="text1"/>
          <w:sz w:val="20"/>
          <w:szCs w:val="20"/>
        </w:rPr>
        <w:t>Statec</w:t>
      </w:r>
      <w:proofErr w:type="spellEnd"/>
      <w:r w:rsidRPr="00412EBF">
        <w:rPr>
          <w:rFonts w:ascii="Segoe UI" w:hAnsi="Segoe UI" w:cs="Segoe UI"/>
          <w:color w:val="000091" w:themeColor="text1"/>
          <w:sz w:val="20"/>
          <w:szCs w:val="20"/>
        </w:rPr>
        <w:t>, méthodologie commerce extérieur, compilation SE</w:t>
      </w:r>
    </w:p>
    <w:p w14:paraId="54459260" w14:textId="2071C4C4" w:rsidR="008B2DA0" w:rsidRDefault="008B2DA0">
      <w:pPr>
        <w:rPr>
          <w:rFonts w:ascii="Segoe UI" w:hAnsi="Segoe UI" w:cs="Segoe UI"/>
          <w:color w:val="000091" w:themeColor="text1"/>
          <w:szCs w:val="20"/>
        </w:rPr>
      </w:pPr>
      <w:r>
        <w:rPr>
          <w:rFonts w:ascii="Segoe UI" w:hAnsi="Segoe UI" w:cs="Segoe UI"/>
          <w:color w:val="000091" w:themeColor="text1"/>
          <w:szCs w:val="20"/>
        </w:rPr>
        <w:br w:type="page"/>
      </w:r>
    </w:p>
    <w:p w14:paraId="479646D4" w14:textId="295AE0FF" w:rsidR="008B2DA0" w:rsidRDefault="001E322F" w:rsidP="009854A7">
      <w:pPr>
        <w:jc w:val="center"/>
        <w:rPr>
          <w:rFonts w:ascii="Segoe UI" w:hAnsi="Segoe UI" w:cs="Segoe UI"/>
          <w:color w:val="000091" w:themeColor="text1"/>
          <w:szCs w:val="20"/>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69504" behindDoc="1" locked="0" layoutInCell="1" allowOverlap="1" wp14:anchorId="195C94F3" wp14:editId="452EC2AA">
                <wp:simplePos x="0" y="0"/>
                <wp:positionH relativeFrom="page">
                  <wp:posOffset>16979</wp:posOffset>
                </wp:positionH>
                <wp:positionV relativeFrom="page">
                  <wp:posOffset>5522</wp:posOffset>
                </wp:positionV>
                <wp:extent cx="7543800" cy="10677525"/>
                <wp:effectExtent l="0" t="0" r="0" b="9525"/>
                <wp:wrapNone/>
                <wp:docPr id="15" name="Rectangle 15"/>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4C33A" id="Rectangle 15" o:spid="_x0000_s1026" style="position:absolute;margin-left:1.35pt;margin-top:.45pt;width:594pt;height:840.75pt;z-index:-2516469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binQIAAIkFAAAOAAAAZHJzL2Uyb0RvYy54bWysVE1v2zAMvQ/YfxB0X+1kSZMFdYqgbYYB&#10;RRu0HXpWZCkWIIuapMTJfv0o+aNdV+wwLAdHFMlH8onkxeWx1uQgnFdgCjo6yykRhkOpzK6g35/W&#10;n+aU+MBMyTQYUdCT8PRy+fHDRWMXYgwV6FI4giDGLxpb0CoEu8gyzytRM38GVhhUSnA1Cyi6XVY6&#10;1iB6rbNxnp9nDbjSOuDCe7y9bpV0mfClFDzcS+lFILqgmFtIX5e+2/jNlhdssXPMVop3abB/yKJm&#10;ymDQAeqaBUb2Tv0BVSvuwIMMZxzqDKRUXKQasJpR/qaax4pZkWpBcrwdaPL/D5bfHTaOqBLfbkqJ&#10;YTW+0QOyxsxOC4J3SFBj/QLtHu3GdZLHY6z2KF0d/7EOckykngZSxTEQjpez6eTzPEfuOepG+fls&#10;Nh0n2OzF3zofvgqoSTwU1GECiU12uPUBY6JpbxLDedCqXCutk+B22yvtyIHhE69v1vObeUwaXX4z&#10;0yYaG4hurTreZLG2tpp0Cictop02D0IiLZj/OGWSGlIMcRjnwoRRq6pYKdrw0xx/ffTYwtEj5ZIA&#10;I7LE+AN2B9BbtiA9dptlZx9dRernwTn/W2Kt8+CRIoMJg3OtDLj3ADRW1UVu7XuSWmoiS1soT9g0&#10;Dtpp8pavFb7bLfNhwxyODz42roRwjx+poSkodCdKKnA/37uP9tjVqKWkwXEsqP+xZ05Qor8Z7Pcv&#10;o8kkzm8SJtPZGAX3WrN9rTH7+gqwHUa4fCxPx2gfdH+UDupn3ByrGBVVzHCMXVAeXC9chXZN4O7h&#10;YrVKZjizloVb82h5BI+sxr58Oj4zZ7vmDdj4d9CPLlu86eHWNnoaWO0DSJUa/IXXjm+c99Q43W6K&#10;C+W1nKxeNujyFwAAAP//AwBQSwMEFAAGAAgAAAAhABl68QncAAAACAEAAA8AAABkcnMvZG93bnJl&#10;di54bWxMj8FuwjAQRO+V+AdrkXorDhGikMZBbSWOVVuoxNXESxwlXkexA8nfdzm1tx3NaPZNvhtd&#10;K67Yh9qTguUiAYFUelNTpeDnuH/agAhRk9GtJ1QwYYBdMXvIdWb8jb7xeoiV4BIKmVZgY+wyKUNp&#10;0emw8B0SexffOx1Z9pU0vb5xuWtlmiRr6XRN/MHqDt8tls1hcAq+hmblGv+215/uJD/aYbqc7KTU&#10;43x8fQERcYx/YbjjMzoUzHT2A5kgWgXpMwcVbEHczeU2YX3ma71JVyCLXP4fUPwCAAD//wMAUEsB&#10;Ai0AFAAGAAgAAAAhALaDOJL+AAAA4QEAABMAAAAAAAAAAAAAAAAAAAAAAFtDb250ZW50X1R5cGVz&#10;XS54bWxQSwECLQAUAAYACAAAACEAOP0h/9YAAACUAQAACwAAAAAAAAAAAAAAAAAvAQAAX3JlbHMv&#10;LnJlbHNQSwECLQAUAAYACAAAACEAYorm4p0CAACJBQAADgAAAAAAAAAAAAAAAAAuAgAAZHJzL2Uy&#10;b0RvYy54bWxQSwECLQAUAAYACAAAACEAGXrxCdwAAAAIAQAADwAAAAAAAAAAAAAAAAD3BAAAZHJz&#10;L2Rvd25yZXYueG1sUEsFBgAAAAAEAAQA8wAAAAAGAAAAAA==&#10;" fillcolor="#fef8e8" stroked="f" strokeweight="1pt">
                <w10:wrap anchorx="page" anchory="page"/>
              </v:rect>
            </w:pict>
          </mc:Fallback>
        </mc:AlternateContent>
      </w:r>
      <w:r w:rsidR="008B2DA0">
        <w:rPr>
          <w:rFonts w:ascii="Segoe UI" w:hAnsi="Segoe UI" w:cs="Segoe UI"/>
          <w:color w:val="000091" w:themeColor="text1"/>
          <w:szCs w:val="20"/>
        </w:rPr>
        <w:t xml:space="preserve">ANNEXE </w:t>
      </w:r>
      <w:r w:rsidR="00412EBF">
        <w:rPr>
          <w:rFonts w:ascii="Segoe UI" w:hAnsi="Segoe UI" w:cs="Segoe UI"/>
          <w:color w:val="000091" w:themeColor="text1"/>
          <w:szCs w:val="20"/>
        </w:rPr>
        <w:t>5</w:t>
      </w:r>
      <w:r w:rsidR="008B2DA0">
        <w:rPr>
          <w:rFonts w:ascii="Segoe UI" w:hAnsi="Segoe UI" w:cs="Segoe UI"/>
          <w:color w:val="000091" w:themeColor="text1"/>
          <w:szCs w:val="20"/>
        </w:rPr>
        <w:t xml:space="preserve"> : </w:t>
      </w:r>
      <w:r w:rsidR="00F0398B">
        <w:rPr>
          <w:rFonts w:ascii="Segoe UI" w:hAnsi="Segoe UI" w:cs="Segoe UI"/>
          <w:color w:val="000091" w:themeColor="text1"/>
          <w:szCs w:val="20"/>
        </w:rPr>
        <w:t>Composition des importations de biens du Luxembourg 2014-2024 (</w:t>
      </w:r>
      <w:r w:rsidR="00F0398B">
        <w:rPr>
          <w:rFonts w:ascii="Segoe UI" w:hAnsi="Segoe UI" w:cs="Segoe UI"/>
          <w:bCs/>
          <w:color w:val="000091" w:themeColor="text1"/>
          <w:sz w:val="24"/>
          <w:szCs w:val="28"/>
        </w:rPr>
        <w:t>en M</w:t>
      </w:r>
      <w:r w:rsidR="00F0398B" w:rsidRPr="00F310F9">
        <w:rPr>
          <w:rFonts w:ascii="Segoe UI" w:hAnsi="Segoe UI" w:cs="Segoe UI"/>
          <w:bCs/>
          <w:color w:val="000091" w:themeColor="text1"/>
          <w:sz w:val="24"/>
          <w:szCs w:val="28"/>
        </w:rPr>
        <w:t>d</w:t>
      </w:r>
      <w:r w:rsidR="00F0398B" w:rsidRPr="00F310F9">
        <w:rPr>
          <w:rFonts w:ascii="Segoe UI" w:hAnsi="Segoe UI" w:cs="Segoe UI"/>
          <w:color w:val="000091" w:themeColor="text1"/>
          <w:szCs w:val="20"/>
        </w:rPr>
        <w:t>€)</w:t>
      </w:r>
    </w:p>
    <w:p w14:paraId="0415F1D1" w14:textId="41BEDC2B" w:rsidR="008B2DA0" w:rsidRDefault="008B2DA0" w:rsidP="009854A7">
      <w:pPr>
        <w:jc w:val="center"/>
        <w:rPr>
          <w:rFonts w:ascii="Segoe UI" w:hAnsi="Segoe UI" w:cs="Segoe UI"/>
          <w:color w:val="000091" w:themeColor="text1"/>
          <w:szCs w:val="20"/>
        </w:rPr>
      </w:pPr>
      <w:r w:rsidRPr="008B2DA0">
        <w:rPr>
          <w:rFonts w:ascii="Segoe UI" w:hAnsi="Segoe UI" w:cs="Segoe UI"/>
          <w:noProof/>
          <w:color w:val="000091" w:themeColor="text1"/>
          <w:szCs w:val="20"/>
        </w:rPr>
        <w:drawing>
          <wp:inline distT="0" distB="0" distL="0" distR="0" wp14:anchorId="7F1E397B" wp14:editId="511A52A6">
            <wp:extent cx="5851525" cy="302641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3026410"/>
                    </a:xfrm>
                    <a:prstGeom prst="rect">
                      <a:avLst/>
                    </a:prstGeom>
                  </pic:spPr>
                </pic:pic>
              </a:graphicData>
            </a:graphic>
          </wp:inline>
        </w:drawing>
      </w:r>
    </w:p>
    <w:p w14:paraId="511953E7" w14:textId="00E374B3" w:rsidR="00F0398B" w:rsidRDefault="00412EBF" w:rsidP="009854A7">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sidRPr="00412EBF">
        <w:rPr>
          <w:rFonts w:ascii="Segoe UI" w:hAnsi="Segoe UI" w:cs="Segoe UI"/>
          <w:color w:val="000091" w:themeColor="text1"/>
          <w:sz w:val="20"/>
          <w:szCs w:val="20"/>
        </w:rPr>
        <w:t>Statec</w:t>
      </w:r>
      <w:proofErr w:type="spellEnd"/>
      <w:r w:rsidRPr="00412EBF">
        <w:rPr>
          <w:rFonts w:ascii="Segoe UI" w:hAnsi="Segoe UI" w:cs="Segoe UI"/>
          <w:color w:val="000091" w:themeColor="text1"/>
          <w:sz w:val="20"/>
          <w:szCs w:val="20"/>
        </w:rPr>
        <w:t>, méthodologie commerce extérieur, compilation SE</w:t>
      </w:r>
    </w:p>
    <w:p w14:paraId="3100A6E8" w14:textId="77777777" w:rsidR="00412EBF" w:rsidRPr="00412EBF" w:rsidRDefault="00412EBF" w:rsidP="009854A7">
      <w:pPr>
        <w:jc w:val="center"/>
        <w:rPr>
          <w:rFonts w:ascii="Segoe UI" w:hAnsi="Segoe UI" w:cs="Segoe UI"/>
          <w:color w:val="000091" w:themeColor="text1"/>
          <w:sz w:val="20"/>
          <w:szCs w:val="20"/>
        </w:rPr>
      </w:pPr>
    </w:p>
    <w:p w14:paraId="56322801" w14:textId="6ACCE5D5" w:rsidR="00F0398B" w:rsidRDefault="00F0398B" w:rsidP="009854A7">
      <w:pPr>
        <w:jc w:val="center"/>
        <w:rPr>
          <w:rFonts w:ascii="Segoe UI" w:hAnsi="Segoe UI" w:cs="Segoe UI"/>
          <w:color w:val="000091" w:themeColor="text1"/>
          <w:szCs w:val="20"/>
        </w:rPr>
      </w:pPr>
      <w:r>
        <w:rPr>
          <w:rFonts w:ascii="Segoe UI" w:hAnsi="Segoe UI" w:cs="Segoe UI"/>
          <w:color w:val="000091" w:themeColor="text1"/>
          <w:szCs w:val="20"/>
        </w:rPr>
        <w:t xml:space="preserve">ANNEXE </w:t>
      </w:r>
      <w:r w:rsidR="00412EBF">
        <w:rPr>
          <w:rFonts w:ascii="Segoe UI" w:hAnsi="Segoe UI" w:cs="Segoe UI"/>
          <w:color w:val="000091" w:themeColor="text1"/>
          <w:szCs w:val="20"/>
        </w:rPr>
        <w:t>6</w:t>
      </w:r>
      <w:r>
        <w:rPr>
          <w:rFonts w:ascii="Segoe UI" w:hAnsi="Segoe UI" w:cs="Segoe UI"/>
          <w:color w:val="000091" w:themeColor="text1"/>
          <w:szCs w:val="20"/>
        </w:rPr>
        <w:t> : Echanges de services du Luxembourg 2014-2024 (</w:t>
      </w:r>
      <w:r>
        <w:rPr>
          <w:rFonts w:ascii="Segoe UI" w:hAnsi="Segoe UI" w:cs="Segoe UI"/>
          <w:bCs/>
          <w:color w:val="000091" w:themeColor="text1"/>
          <w:sz w:val="24"/>
          <w:szCs w:val="28"/>
        </w:rPr>
        <w:t>en M</w:t>
      </w:r>
      <w:r w:rsidRPr="00F310F9">
        <w:rPr>
          <w:rFonts w:ascii="Segoe UI" w:hAnsi="Segoe UI" w:cs="Segoe UI"/>
          <w:bCs/>
          <w:color w:val="000091" w:themeColor="text1"/>
          <w:sz w:val="24"/>
          <w:szCs w:val="28"/>
        </w:rPr>
        <w:t>d</w:t>
      </w:r>
      <w:r w:rsidRPr="00F310F9">
        <w:rPr>
          <w:rFonts w:ascii="Segoe UI" w:hAnsi="Segoe UI" w:cs="Segoe UI"/>
          <w:color w:val="000091" w:themeColor="text1"/>
          <w:szCs w:val="20"/>
        </w:rPr>
        <w:t>€)</w:t>
      </w:r>
    </w:p>
    <w:p w14:paraId="4435DE90" w14:textId="7518F9D0" w:rsidR="00F0398B" w:rsidRDefault="00D715C3" w:rsidP="009854A7">
      <w:pPr>
        <w:jc w:val="center"/>
        <w:rPr>
          <w:rFonts w:ascii="Segoe UI" w:hAnsi="Segoe UI" w:cs="Segoe UI"/>
          <w:color w:val="000091" w:themeColor="text1"/>
          <w:szCs w:val="20"/>
        </w:rPr>
      </w:pPr>
      <w:r w:rsidRPr="00D715C3">
        <w:rPr>
          <w:rFonts w:ascii="Segoe UI" w:hAnsi="Segoe UI" w:cs="Segoe UI"/>
          <w:noProof/>
          <w:color w:val="000091" w:themeColor="text1"/>
          <w:szCs w:val="20"/>
        </w:rPr>
        <w:drawing>
          <wp:inline distT="0" distB="0" distL="0" distR="0" wp14:anchorId="5A349839" wp14:editId="5C26D2D9">
            <wp:extent cx="5851525" cy="341947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419475"/>
                    </a:xfrm>
                    <a:prstGeom prst="rect">
                      <a:avLst/>
                    </a:prstGeom>
                  </pic:spPr>
                </pic:pic>
              </a:graphicData>
            </a:graphic>
          </wp:inline>
        </w:drawing>
      </w:r>
    </w:p>
    <w:p w14:paraId="5B46D9E8" w14:textId="0CE922A6" w:rsidR="00412EBF" w:rsidRPr="00412EBF" w:rsidRDefault="00412EBF" w:rsidP="009854A7">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sidRPr="00412EBF">
        <w:rPr>
          <w:rFonts w:ascii="Segoe UI" w:hAnsi="Segoe UI" w:cs="Segoe UI"/>
          <w:color w:val="000091" w:themeColor="text1"/>
          <w:sz w:val="20"/>
          <w:szCs w:val="20"/>
        </w:rPr>
        <w:t>Statec</w:t>
      </w:r>
      <w:proofErr w:type="spellEnd"/>
      <w:r w:rsidRPr="00412EBF">
        <w:rPr>
          <w:rFonts w:ascii="Segoe UI" w:hAnsi="Segoe UI" w:cs="Segoe UI"/>
          <w:color w:val="000091" w:themeColor="text1"/>
          <w:sz w:val="20"/>
          <w:szCs w:val="20"/>
        </w:rPr>
        <w:t>, méthodologie</w:t>
      </w:r>
      <w:r w:rsidR="00D715C3">
        <w:rPr>
          <w:rFonts w:ascii="Segoe UI" w:hAnsi="Segoe UI" w:cs="Segoe UI"/>
          <w:color w:val="000091" w:themeColor="text1"/>
          <w:sz w:val="20"/>
          <w:szCs w:val="20"/>
        </w:rPr>
        <w:t xml:space="preserve"> balance des paiements</w:t>
      </w:r>
      <w:r w:rsidRPr="00412EBF">
        <w:rPr>
          <w:rFonts w:ascii="Segoe UI" w:hAnsi="Segoe UI" w:cs="Segoe UI"/>
          <w:color w:val="000091" w:themeColor="text1"/>
          <w:sz w:val="20"/>
          <w:szCs w:val="20"/>
        </w:rPr>
        <w:t>, compilation SE</w:t>
      </w:r>
    </w:p>
    <w:p w14:paraId="757DBA1B" w14:textId="779B11C8" w:rsidR="001E322F" w:rsidRDefault="001E322F">
      <w:pPr>
        <w:rPr>
          <w:rFonts w:ascii="Segoe UI" w:hAnsi="Segoe UI" w:cs="Segoe UI"/>
          <w:color w:val="000091" w:themeColor="text1"/>
          <w:szCs w:val="20"/>
        </w:rPr>
      </w:pPr>
      <w:r>
        <w:rPr>
          <w:rFonts w:ascii="Segoe UI" w:hAnsi="Segoe UI" w:cs="Segoe UI"/>
          <w:color w:val="000091" w:themeColor="text1"/>
          <w:szCs w:val="20"/>
        </w:rPr>
        <w:br w:type="page"/>
      </w:r>
    </w:p>
    <w:p w14:paraId="13061155" w14:textId="06E0562D" w:rsidR="001E322F" w:rsidRDefault="00412EBF" w:rsidP="009854A7">
      <w:pPr>
        <w:jc w:val="center"/>
        <w:rPr>
          <w:rFonts w:ascii="Segoe UI" w:hAnsi="Segoe UI" w:cs="Segoe UI"/>
          <w:color w:val="000091" w:themeColor="text1"/>
          <w:szCs w:val="20"/>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73600" behindDoc="1" locked="0" layoutInCell="1" allowOverlap="1" wp14:anchorId="67569F43" wp14:editId="76F576FC">
                <wp:simplePos x="0" y="0"/>
                <wp:positionH relativeFrom="page">
                  <wp:posOffset>9249</wp:posOffset>
                </wp:positionH>
                <wp:positionV relativeFrom="page">
                  <wp:posOffset>12259</wp:posOffset>
                </wp:positionV>
                <wp:extent cx="7543800" cy="10677525"/>
                <wp:effectExtent l="0" t="0" r="0" b="9525"/>
                <wp:wrapNone/>
                <wp:docPr id="20" name="Rectangle 2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5818A" id="Rectangle 20" o:spid="_x0000_s1026" style="position:absolute;margin-left:.75pt;margin-top:.95pt;width:594pt;height:840.75pt;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21mgIAAIkFAAAOAAAAZHJzL2Uyb0RvYy54bWysVFFv2yAQfp+0/4B4X+1kSZNFdaqobaZJ&#10;VRu1nfpMMMSWMMeAxMl+/Q6w3a6r9jAtDwS4u+/uPn/cxeWxUeQgrKtBF3R0llMiNIey1ruCfn9a&#10;f5pT4jzTJVOgRUFPwtHL5ccPF61ZiDFUoEphCYJot2hNQSvvzSLLHK9Ew9wZGKHRKME2zOPR7rLS&#10;shbRG5WN8/w8a8GWxgIXzuHtdTLSZcSXUnB/L6UTnqiCYm0+rjau27Bmywu22Flmqpp3ZbB/qKJh&#10;tcakA9Q184zsbf0HVFNzCw6kP+PQZCBlzUXsAbsZ5W+6eayYEbEXJMeZgSb3/2D53WFjSV0WdIz0&#10;aNbgN3pA1pjeKUHwDglqjVug36PZ2O7kcBu6PUrbhH/sgxwjqaeBVHH0hOPlbDr5PM8RnKNtlJ/P&#10;ZtPxNMBmL/HGOv9VQEPCpqAWC4hsssOt88m1dwnpHKi6XNdKxYPdba+UJQeGn3h9s57fzDv039yU&#10;Ds4aQlhCDDdZ6C11E3f+pETwU/pBSKQF6x/HSqIgxZCHcS60HyVTxUqR0k9z/PXZg4RDROw0AgZk&#10;ifkH7A6g90wgPXaqsvMPoSLqeQjO/1ZYCh4iYmbQfghuag32PQCFXXWZk39PUqImsLSF8oSisZBe&#10;kzN8XeN3u2XOb5jF54MfG0eCv8dFKmgLCt2Okgrsz/fugz+qGq2UtPgcC+p+7JkVlKhvGvX+ZTSZ&#10;hPcbD5PpLKjVvrZsX1v0vrkClMMIh4/hcRv8veq30kLzjJNjFbKiiWmOuQvKve0PVz6NCZw9XKxW&#10;0Q3frGH+Vj8aHsADq0GXT8dnZk0nXo/Cv4P+6bLFGw0n3xCpYbX3IOso8BdeO77xvUfhdLMpDJTX&#10;5+j1MkGXvwAAAP//AwBQSwMEFAAGAAgAAAAhAGoa92bcAAAACQEAAA8AAABkcnMvZG93bnJldi54&#10;bWxMT0FOwzAQvCP1D9ZW4kadQqnSEKcCpB4RUJB63cZuHCVeR7HTJr9ne6Kn3dkZzczm29G14mz6&#10;UHtSsFwkIAyVXtdUKfj92T2kIEJE0th6MgomE2BbzO5yzLS/0Lc572Ml2IRChgpsjF0mZSitcRgW&#10;vjPE3Mn3DiPDvpK6xwubu1Y+JslaOqyJEyx25t2astkPTsHX0Kxc4992+OkO8qMdptPBTkrdz8fX&#10;FxDRjPFfDNf6XB0K7nT0A+kgWsbPLOSxAXFll+mGD0fe1unTCmSRy9sPij8AAAD//wMAUEsBAi0A&#10;FAAGAAgAAAAhALaDOJL+AAAA4QEAABMAAAAAAAAAAAAAAAAAAAAAAFtDb250ZW50X1R5cGVzXS54&#10;bWxQSwECLQAUAAYACAAAACEAOP0h/9YAAACUAQAACwAAAAAAAAAAAAAAAAAvAQAAX3JlbHMvLnJl&#10;bHNQSwECLQAUAAYACAAAACEAWFI9tZoCAACJBQAADgAAAAAAAAAAAAAAAAAuAgAAZHJzL2Uyb0Rv&#10;Yy54bWxQSwECLQAUAAYACAAAACEAahr3ZtwAAAAJAQAADwAAAAAAAAAAAAAAAAD0BAAAZHJzL2Rv&#10;d25yZXYueG1sUEsFBgAAAAAEAAQA8wAAAP0FAAAAAA==&#10;" fillcolor="#fef8e8" stroked="f" strokeweight="1pt">
                <w10:wrap anchorx="page" anchory="page"/>
              </v:rect>
            </w:pict>
          </mc:Fallback>
        </mc:AlternateContent>
      </w:r>
    </w:p>
    <w:p w14:paraId="509F645F" w14:textId="2E589504" w:rsidR="001E322F" w:rsidRDefault="001E322F" w:rsidP="009854A7">
      <w:pPr>
        <w:jc w:val="center"/>
        <w:rPr>
          <w:rFonts w:ascii="Segoe UI" w:hAnsi="Segoe UI" w:cs="Segoe UI"/>
          <w:color w:val="000091" w:themeColor="text1"/>
          <w:szCs w:val="20"/>
        </w:rPr>
      </w:pPr>
      <w:r>
        <w:rPr>
          <w:rFonts w:ascii="Segoe UI" w:hAnsi="Segoe UI" w:cs="Segoe UI"/>
          <w:color w:val="000091" w:themeColor="text1"/>
          <w:szCs w:val="20"/>
        </w:rPr>
        <w:t xml:space="preserve">ANNEXE </w:t>
      </w:r>
      <w:r w:rsidR="00412EBF">
        <w:rPr>
          <w:rFonts w:ascii="Segoe UI" w:hAnsi="Segoe UI" w:cs="Segoe UI"/>
          <w:color w:val="000091" w:themeColor="text1"/>
          <w:szCs w:val="20"/>
        </w:rPr>
        <w:t>7</w:t>
      </w:r>
      <w:r>
        <w:rPr>
          <w:rFonts w:ascii="Segoe UI" w:hAnsi="Segoe UI" w:cs="Segoe UI"/>
          <w:color w:val="000091" w:themeColor="text1"/>
          <w:szCs w:val="20"/>
        </w:rPr>
        <w:t> : Composition des exportations de services du Luxembourg 2014-2024 (en Md</w:t>
      </w:r>
      <w:r w:rsidRPr="00F310F9">
        <w:rPr>
          <w:rFonts w:ascii="Segoe UI" w:hAnsi="Segoe UI" w:cs="Segoe UI"/>
          <w:color w:val="000091" w:themeColor="text1"/>
          <w:szCs w:val="20"/>
        </w:rPr>
        <w:t>€)</w:t>
      </w:r>
    </w:p>
    <w:p w14:paraId="35B957DF" w14:textId="717978B6" w:rsidR="001E322F" w:rsidRDefault="001E322F" w:rsidP="009854A7">
      <w:pPr>
        <w:jc w:val="center"/>
        <w:rPr>
          <w:rFonts w:ascii="Segoe UI" w:hAnsi="Segoe UI" w:cs="Segoe UI"/>
          <w:color w:val="000091" w:themeColor="text1"/>
          <w:szCs w:val="20"/>
        </w:rPr>
      </w:pPr>
      <w:r w:rsidRPr="001E322F">
        <w:rPr>
          <w:rFonts w:ascii="Segoe UI" w:hAnsi="Segoe UI" w:cs="Segoe UI"/>
          <w:noProof/>
          <w:color w:val="000091" w:themeColor="text1"/>
          <w:szCs w:val="20"/>
        </w:rPr>
        <w:drawing>
          <wp:inline distT="0" distB="0" distL="0" distR="0" wp14:anchorId="5A0D5D1C" wp14:editId="4DB9DF5A">
            <wp:extent cx="5839640" cy="3010320"/>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9640" cy="3010320"/>
                    </a:xfrm>
                    <a:prstGeom prst="rect">
                      <a:avLst/>
                    </a:prstGeom>
                  </pic:spPr>
                </pic:pic>
              </a:graphicData>
            </a:graphic>
          </wp:inline>
        </w:drawing>
      </w:r>
    </w:p>
    <w:p w14:paraId="420FD65C" w14:textId="1F6DB47F" w:rsidR="00412EBF" w:rsidRPr="00412EBF" w:rsidRDefault="00412EBF" w:rsidP="00412EBF">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sidRPr="00412EBF">
        <w:rPr>
          <w:rFonts w:ascii="Segoe UI" w:hAnsi="Segoe UI" w:cs="Segoe UI"/>
          <w:color w:val="000091" w:themeColor="text1"/>
          <w:sz w:val="20"/>
          <w:szCs w:val="20"/>
        </w:rPr>
        <w:t>Statec</w:t>
      </w:r>
      <w:proofErr w:type="spellEnd"/>
      <w:r w:rsidRPr="00412EBF">
        <w:rPr>
          <w:rFonts w:ascii="Segoe UI" w:hAnsi="Segoe UI" w:cs="Segoe UI"/>
          <w:color w:val="000091" w:themeColor="text1"/>
          <w:sz w:val="20"/>
          <w:szCs w:val="20"/>
        </w:rPr>
        <w:t>, méthodologie</w:t>
      </w:r>
      <w:r>
        <w:rPr>
          <w:rFonts w:ascii="Segoe UI" w:hAnsi="Segoe UI" w:cs="Segoe UI"/>
          <w:color w:val="000091" w:themeColor="text1"/>
          <w:sz w:val="20"/>
          <w:szCs w:val="20"/>
        </w:rPr>
        <w:t xml:space="preserve"> balance des paiements</w:t>
      </w:r>
      <w:r w:rsidRPr="00412EBF">
        <w:rPr>
          <w:rFonts w:ascii="Segoe UI" w:hAnsi="Segoe UI" w:cs="Segoe UI"/>
          <w:color w:val="000091" w:themeColor="text1"/>
          <w:sz w:val="20"/>
          <w:szCs w:val="20"/>
        </w:rPr>
        <w:t>, compilation SE</w:t>
      </w:r>
    </w:p>
    <w:p w14:paraId="5C18E4D6" w14:textId="77777777" w:rsidR="00412EBF" w:rsidRDefault="00412EBF" w:rsidP="009854A7">
      <w:pPr>
        <w:jc w:val="center"/>
        <w:rPr>
          <w:rFonts w:ascii="Segoe UI" w:hAnsi="Segoe UI" w:cs="Segoe UI"/>
          <w:color w:val="000091" w:themeColor="text1"/>
          <w:szCs w:val="20"/>
        </w:rPr>
      </w:pPr>
    </w:p>
    <w:p w14:paraId="1A25BEDA" w14:textId="4A36E9F6" w:rsidR="003A258F" w:rsidRDefault="003A258F" w:rsidP="009854A7">
      <w:pPr>
        <w:jc w:val="center"/>
        <w:rPr>
          <w:rFonts w:ascii="Segoe UI" w:hAnsi="Segoe UI" w:cs="Segoe UI"/>
          <w:color w:val="000091" w:themeColor="text1"/>
          <w:szCs w:val="20"/>
        </w:rPr>
      </w:pPr>
    </w:p>
    <w:p w14:paraId="37BA6A85" w14:textId="604D8D6E" w:rsidR="003A258F" w:rsidRDefault="003A258F" w:rsidP="009854A7">
      <w:pPr>
        <w:jc w:val="center"/>
        <w:rPr>
          <w:rFonts w:ascii="Segoe UI" w:hAnsi="Segoe UI" w:cs="Segoe UI"/>
          <w:color w:val="000091" w:themeColor="text1"/>
          <w:szCs w:val="20"/>
        </w:rPr>
      </w:pPr>
      <w:r>
        <w:rPr>
          <w:rFonts w:ascii="Segoe UI" w:hAnsi="Segoe UI" w:cs="Segoe UI"/>
          <w:color w:val="000091" w:themeColor="text1"/>
          <w:szCs w:val="20"/>
        </w:rPr>
        <w:t xml:space="preserve">ANNEXE </w:t>
      </w:r>
      <w:r w:rsidR="00412EBF">
        <w:rPr>
          <w:rFonts w:ascii="Segoe UI" w:hAnsi="Segoe UI" w:cs="Segoe UI"/>
          <w:color w:val="000091" w:themeColor="text1"/>
          <w:szCs w:val="20"/>
        </w:rPr>
        <w:t>8</w:t>
      </w:r>
      <w:r>
        <w:rPr>
          <w:rFonts w:ascii="Segoe UI" w:hAnsi="Segoe UI" w:cs="Segoe UI"/>
          <w:color w:val="000091" w:themeColor="text1"/>
          <w:szCs w:val="20"/>
        </w:rPr>
        <w:t> : Composition des importations de services du Luxembourg 2014-2024 (en Md</w:t>
      </w:r>
      <w:r w:rsidRPr="00F310F9">
        <w:rPr>
          <w:rFonts w:ascii="Segoe UI" w:hAnsi="Segoe UI" w:cs="Segoe UI"/>
          <w:color w:val="000091" w:themeColor="text1"/>
          <w:szCs w:val="20"/>
        </w:rPr>
        <w:t>€)</w:t>
      </w:r>
    </w:p>
    <w:p w14:paraId="49914F3B" w14:textId="23341649" w:rsidR="003A258F" w:rsidRDefault="003A258F" w:rsidP="009854A7">
      <w:pPr>
        <w:jc w:val="center"/>
        <w:rPr>
          <w:rFonts w:ascii="Segoe UI" w:hAnsi="Segoe UI" w:cs="Segoe UI"/>
          <w:color w:val="000091" w:themeColor="text1"/>
          <w:szCs w:val="20"/>
        </w:rPr>
      </w:pPr>
      <w:r w:rsidRPr="003A258F">
        <w:rPr>
          <w:rFonts w:ascii="Segoe UI" w:hAnsi="Segoe UI" w:cs="Segoe UI"/>
          <w:noProof/>
          <w:color w:val="000091" w:themeColor="text1"/>
          <w:szCs w:val="20"/>
        </w:rPr>
        <w:drawing>
          <wp:inline distT="0" distB="0" distL="0" distR="0" wp14:anchorId="18253B4F" wp14:editId="05E66F5D">
            <wp:extent cx="5933120" cy="3434964"/>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555" cy="3439268"/>
                    </a:xfrm>
                    <a:prstGeom prst="rect">
                      <a:avLst/>
                    </a:prstGeom>
                  </pic:spPr>
                </pic:pic>
              </a:graphicData>
            </a:graphic>
          </wp:inline>
        </w:drawing>
      </w:r>
    </w:p>
    <w:p w14:paraId="7B6893E7" w14:textId="77777777" w:rsidR="00412EBF" w:rsidRPr="00412EBF" w:rsidRDefault="00412EBF" w:rsidP="00412EBF">
      <w:pPr>
        <w:jc w:val="center"/>
        <w:rPr>
          <w:rFonts w:ascii="Segoe UI" w:hAnsi="Segoe UI" w:cs="Segoe UI"/>
          <w:color w:val="000091" w:themeColor="text1"/>
          <w:sz w:val="20"/>
          <w:szCs w:val="20"/>
        </w:rPr>
      </w:pPr>
      <w:r w:rsidRPr="00412EBF">
        <w:rPr>
          <w:rFonts w:ascii="Segoe UI" w:hAnsi="Segoe UI" w:cs="Segoe UI"/>
          <w:color w:val="000091" w:themeColor="text1"/>
          <w:sz w:val="20"/>
          <w:szCs w:val="20"/>
        </w:rPr>
        <w:t xml:space="preserve">Source : </w:t>
      </w:r>
      <w:proofErr w:type="spellStart"/>
      <w:r w:rsidRPr="00412EBF">
        <w:rPr>
          <w:rFonts w:ascii="Segoe UI" w:hAnsi="Segoe UI" w:cs="Segoe UI"/>
          <w:color w:val="000091" w:themeColor="text1"/>
          <w:sz w:val="20"/>
          <w:szCs w:val="20"/>
        </w:rPr>
        <w:t>Statec</w:t>
      </w:r>
      <w:proofErr w:type="spellEnd"/>
      <w:r w:rsidRPr="00412EBF">
        <w:rPr>
          <w:rFonts w:ascii="Segoe UI" w:hAnsi="Segoe UI" w:cs="Segoe UI"/>
          <w:color w:val="000091" w:themeColor="text1"/>
          <w:sz w:val="20"/>
          <w:szCs w:val="20"/>
        </w:rPr>
        <w:t>, méthodologie</w:t>
      </w:r>
      <w:r>
        <w:rPr>
          <w:rFonts w:ascii="Segoe UI" w:hAnsi="Segoe UI" w:cs="Segoe UI"/>
          <w:color w:val="000091" w:themeColor="text1"/>
          <w:sz w:val="20"/>
          <w:szCs w:val="20"/>
        </w:rPr>
        <w:t xml:space="preserve"> balance des paiements</w:t>
      </w:r>
      <w:r w:rsidRPr="00412EBF">
        <w:rPr>
          <w:rFonts w:ascii="Segoe UI" w:hAnsi="Segoe UI" w:cs="Segoe UI"/>
          <w:color w:val="000091" w:themeColor="text1"/>
          <w:sz w:val="20"/>
          <w:szCs w:val="20"/>
        </w:rPr>
        <w:t>, compilation SE</w:t>
      </w:r>
    </w:p>
    <w:p w14:paraId="2047BE9F" w14:textId="77777777" w:rsidR="00412EBF" w:rsidRDefault="00412EBF" w:rsidP="009854A7">
      <w:pPr>
        <w:jc w:val="center"/>
        <w:rPr>
          <w:rFonts w:ascii="Segoe UI" w:hAnsi="Segoe UI" w:cs="Segoe UI"/>
          <w:color w:val="000091" w:themeColor="text1"/>
          <w:szCs w:val="20"/>
        </w:rPr>
      </w:pPr>
    </w:p>
    <w:p w14:paraId="5115F9E6" w14:textId="64249860" w:rsidR="008B2DA0" w:rsidRDefault="008B2DA0" w:rsidP="009854A7">
      <w:pPr>
        <w:jc w:val="center"/>
        <w:rPr>
          <w:rFonts w:ascii="Segoe UI" w:hAnsi="Segoe UI" w:cs="Segoe UI"/>
          <w:color w:val="000091" w:themeColor="text1"/>
          <w:szCs w:val="20"/>
        </w:rPr>
      </w:pPr>
    </w:p>
    <w:p w14:paraId="6D689790" w14:textId="10AF9F6B" w:rsidR="00341EC1" w:rsidRPr="00412EBF" w:rsidRDefault="00341EC1" w:rsidP="009854A7">
      <w:pPr>
        <w:jc w:val="center"/>
        <w:rPr>
          <w:rFonts w:ascii="Arial" w:hAnsi="Arial" w:cs="Arial"/>
          <w:bCs/>
          <w:color w:val="000091" w:themeColor="text1"/>
          <w:sz w:val="24"/>
          <w:szCs w:val="28"/>
        </w:rPr>
      </w:pPr>
    </w:p>
    <w:sectPr w:rsidR="00341EC1" w:rsidRPr="00412EBF"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7A62" w14:textId="77777777" w:rsidR="006C03CE" w:rsidRDefault="006C03CE" w:rsidP="001C2361">
      <w:pPr>
        <w:spacing w:after="0" w:line="240" w:lineRule="auto"/>
      </w:pPr>
      <w:r>
        <w:separator/>
      </w:r>
    </w:p>
  </w:endnote>
  <w:endnote w:type="continuationSeparator" w:id="0">
    <w:p w14:paraId="35D40D74" w14:textId="77777777" w:rsidR="006C03CE" w:rsidRDefault="006C03CE" w:rsidP="001C2361">
      <w:pPr>
        <w:spacing w:after="0" w:line="240" w:lineRule="auto"/>
      </w:pPr>
      <w:r>
        <w:continuationSeparator/>
      </w:r>
    </w:p>
  </w:endnote>
  <w:endnote w:id="1">
    <w:p w14:paraId="6EA0F64F" w14:textId="3D21A2AC" w:rsidR="00E84136" w:rsidRPr="004E00E1" w:rsidRDefault="00E84136" w:rsidP="004E00E1">
      <w:pPr>
        <w:pStyle w:val="Sansinterligne"/>
        <w:spacing w:after="240"/>
        <w:ind w:left="-284"/>
        <w:jc w:val="both"/>
        <w:rPr>
          <w:rFonts w:ascii="Segoe UI" w:hAnsi="Segoe UI" w:cs="Segoe UI"/>
          <w:sz w:val="16"/>
          <w:szCs w:val="16"/>
        </w:rPr>
      </w:pPr>
      <w:r>
        <w:rPr>
          <w:rStyle w:val="Appeldenotedefin"/>
        </w:rPr>
        <w:endnoteRef/>
      </w:r>
      <w:r>
        <w:t xml:space="preserve"> </w:t>
      </w:r>
      <w:r>
        <w:rPr>
          <w:rFonts w:ascii="Segoe UI" w:hAnsi="Segoe UI" w:cs="Segoe UI"/>
          <w:sz w:val="16"/>
          <w:szCs w:val="16"/>
        </w:rPr>
        <w:t xml:space="preserve">NB – les données utilisées pour réaliser cette note sont issues de Statec, le bureau statistique luxembourgeois. Considérant la coexistence de deux méthodologies utilisées par Statec pour la mesure du commerce extérieur, certaines données relatives aux échanges </w:t>
      </w:r>
      <w:r w:rsidRPr="00435813">
        <w:rPr>
          <w:rFonts w:ascii="Segoe UI" w:hAnsi="Segoe UI" w:cs="Segoe UI"/>
          <w:sz w:val="16"/>
          <w:szCs w:val="16"/>
        </w:rPr>
        <w:t xml:space="preserve">de biens peuvent, au sein de cette note, ne pas correspondre (cf. annexe 1 pour le détail des méthodologies citées). </w:t>
      </w:r>
    </w:p>
  </w:endnote>
  <w:endnote w:id="2">
    <w:p w14:paraId="40FDC348" w14:textId="77777777" w:rsidR="00435813" w:rsidRDefault="00435813" w:rsidP="004E00E1">
      <w:pPr>
        <w:pStyle w:val="Notedefin"/>
        <w:ind w:left="-283"/>
      </w:pPr>
      <w:r w:rsidRPr="004E00E1">
        <w:rPr>
          <w:rStyle w:val="Appeldenotedefin"/>
          <w:rFonts w:ascii="Segoe UI" w:hAnsi="Segoe UI" w:cs="Segoe UI"/>
          <w:sz w:val="16"/>
          <w:szCs w:val="16"/>
        </w:rPr>
        <w:endnoteRef/>
      </w:r>
      <w:r w:rsidRPr="004E00E1">
        <w:rPr>
          <w:rFonts w:ascii="Segoe UI" w:hAnsi="Segoe UI" w:cs="Segoe UI"/>
          <w:sz w:val="16"/>
          <w:szCs w:val="16"/>
        </w:rPr>
        <w:t xml:space="preserve"> Selon l’approche de la balance des paiements.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A5DB" w14:textId="77777777" w:rsidR="006C03CE" w:rsidRDefault="006C03CE" w:rsidP="001C2361">
      <w:pPr>
        <w:spacing w:after="0" w:line="240" w:lineRule="auto"/>
      </w:pPr>
      <w:r>
        <w:separator/>
      </w:r>
    </w:p>
  </w:footnote>
  <w:footnote w:type="continuationSeparator" w:id="0">
    <w:p w14:paraId="17F3306E" w14:textId="77777777" w:rsidR="006C03CE" w:rsidRDefault="006C03CE" w:rsidP="001C2361">
      <w:pPr>
        <w:spacing w:after="0" w:line="240" w:lineRule="auto"/>
      </w:pPr>
      <w:r>
        <w:continuationSeparator/>
      </w:r>
    </w:p>
  </w:footnote>
  <w:footnote w:id="1">
    <w:p w14:paraId="18F767E8" w14:textId="77777777" w:rsidR="00295221" w:rsidRDefault="00295221" w:rsidP="00295221">
      <w:pPr>
        <w:pStyle w:val="Notedebasdepage"/>
        <w:jc w:val="both"/>
      </w:pPr>
      <w:r>
        <w:rPr>
          <w:rStyle w:val="Appelnotedebasdep"/>
        </w:rPr>
        <w:footnoteRef/>
      </w:r>
      <w:r>
        <w:t xml:space="preserve"> Les données du commerce extérieur du Luxembourg s’appuient sur les données du </w:t>
      </w:r>
      <w:proofErr w:type="spellStart"/>
      <w:r>
        <w:t>Statec</w:t>
      </w:r>
      <w:proofErr w:type="spellEnd"/>
      <w:r>
        <w:t>, office luxembourgeois de statistique, et peuvent différer d’autres données nationales comme celles des douanes françaises (</w:t>
      </w:r>
      <w:proofErr w:type="spellStart"/>
      <w:r>
        <w:t>cf</w:t>
      </w:r>
      <w:proofErr w:type="spellEnd"/>
      <w:r>
        <w:t xml:space="preserve"> – note sur les relations bilatérales France/Luxembourg où les échanges de biens ressortent à 5,2 Md</w:t>
      </w:r>
      <w:r w:rsidRPr="00412EBF">
        <w:rPr>
          <w:rFonts w:ascii="Segoe UI" w:hAnsi="Segoe UI" w:cs="Segoe UI"/>
        </w:rPr>
        <w:t>€</w:t>
      </w:r>
      <w:r>
        <w:rPr>
          <w:rFonts w:ascii="Segoe UI" w:hAnsi="Segoe UI" w:cs="Segoe U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2"/>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3E37"/>
    <w:rsid w:val="00020EE2"/>
    <w:rsid w:val="00022880"/>
    <w:rsid w:val="00022F44"/>
    <w:rsid w:val="00031533"/>
    <w:rsid w:val="00045CF8"/>
    <w:rsid w:val="00050225"/>
    <w:rsid w:val="000534EC"/>
    <w:rsid w:val="00064115"/>
    <w:rsid w:val="000676F2"/>
    <w:rsid w:val="00071F97"/>
    <w:rsid w:val="000763B3"/>
    <w:rsid w:val="00080037"/>
    <w:rsid w:val="000848ED"/>
    <w:rsid w:val="00086C98"/>
    <w:rsid w:val="00087237"/>
    <w:rsid w:val="00097777"/>
    <w:rsid w:val="000A1918"/>
    <w:rsid w:val="000D7DB1"/>
    <w:rsid w:val="000E1E2F"/>
    <w:rsid w:val="000E7793"/>
    <w:rsid w:val="000E7FA3"/>
    <w:rsid w:val="000F2C4E"/>
    <w:rsid w:val="00100569"/>
    <w:rsid w:val="00100C95"/>
    <w:rsid w:val="00102035"/>
    <w:rsid w:val="001105E1"/>
    <w:rsid w:val="001109EF"/>
    <w:rsid w:val="00111C32"/>
    <w:rsid w:val="001201B6"/>
    <w:rsid w:val="0012430D"/>
    <w:rsid w:val="001243C7"/>
    <w:rsid w:val="00134DE8"/>
    <w:rsid w:val="001360A8"/>
    <w:rsid w:val="00144339"/>
    <w:rsid w:val="00147754"/>
    <w:rsid w:val="001505C0"/>
    <w:rsid w:val="00152C27"/>
    <w:rsid w:val="00175E92"/>
    <w:rsid w:val="00184135"/>
    <w:rsid w:val="0019173B"/>
    <w:rsid w:val="0019280B"/>
    <w:rsid w:val="001A1A43"/>
    <w:rsid w:val="001A1CD5"/>
    <w:rsid w:val="001A5A37"/>
    <w:rsid w:val="001B1CF0"/>
    <w:rsid w:val="001B3C2C"/>
    <w:rsid w:val="001C100F"/>
    <w:rsid w:val="001C2361"/>
    <w:rsid w:val="001E322F"/>
    <w:rsid w:val="001E4D67"/>
    <w:rsid w:val="001F235A"/>
    <w:rsid w:val="001F2D7C"/>
    <w:rsid w:val="00200BE0"/>
    <w:rsid w:val="00214DDE"/>
    <w:rsid w:val="00223554"/>
    <w:rsid w:val="00225798"/>
    <w:rsid w:val="00245CA9"/>
    <w:rsid w:val="00246C65"/>
    <w:rsid w:val="00250F27"/>
    <w:rsid w:val="002550BB"/>
    <w:rsid w:val="00255F30"/>
    <w:rsid w:val="00257E48"/>
    <w:rsid w:val="002622A4"/>
    <w:rsid w:val="00275ED5"/>
    <w:rsid w:val="002762C9"/>
    <w:rsid w:val="00281BCD"/>
    <w:rsid w:val="002910F1"/>
    <w:rsid w:val="00295221"/>
    <w:rsid w:val="002A2CE2"/>
    <w:rsid w:val="002A570D"/>
    <w:rsid w:val="002D13A2"/>
    <w:rsid w:val="002D4C04"/>
    <w:rsid w:val="002E6890"/>
    <w:rsid w:val="002E7383"/>
    <w:rsid w:val="002F210F"/>
    <w:rsid w:val="0030017B"/>
    <w:rsid w:val="00300AEC"/>
    <w:rsid w:val="00301021"/>
    <w:rsid w:val="0030148A"/>
    <w:rsid w:val="00310C72"/>
    <w:rsid w:val="00317870"/>
    <w:rsid w:val="00323A4A"/>
    <w:rsid w:val="003257BD"/>
    <w:rsid w:val="0033036F"/>
    <w:rsid w:val="00330428"/>
    <w:rsid w:val="00332310"/>
    <w:rsid w:val="003339CE"/>
    <w:rsid w:val="003407BF"/>
    <w:rsid w:val="00341E94"/>
    <w:rsid w:val="00341EC1"/>
    <w:rsid w:val="00344131"/>
    <w:rsid w:val="00347F9E"/>
    <w:rsid w:val="00351E1C"/>
    <w:rsid w:val="00377143"/>
    <w:rsid w:val="00377431"/>
    <w:rsid w:val="00377530"/>
    <w:rsid w:val="003847EC"/>
    <w:rsid w:val="00392C34"/>
    <w:rsid w:val="003A1D94"/>
    <w:rsid w:val="003A258F"/>
    <w:rsid w:val="003A5B11"/>
    <w:rsid w:val="003A7EB8"/>
    <w:rsid w:val="003B1A22"/>
    <w:rsid w:val="003B33D3"/>
    <w:rsid w:val="003C52F2"/>
    <w:rsid w:val="003D2AD3"/>
    <w:rsid w:val="003D5550"/>
    <w:rsid w:val="003D6537"/>
    <w:rsid w:val="003F4084"/>
    <w:rsid w:val="0040330E"/>
    <w:rsid w:val="00406D60"/>
    <w:rsid w:val="00410EC6"/>
    <w:rsid w:val="00412EBF"/>
    <w:rsid w:val="00415F39"/>
    <w:rsid w:val="004228E7"/>
    <w:rsid w:val="004311AF"/>
    <w:rsid w:val="00435813"/>
    <w:rsid w:val="004372C1"/>
    <w:rsid w:val="0044006E"/>
    <w:rsid w:val="0044760A"/>
    <w:rsid w:val="00450D73"/>
    <w:rsid w:val="00452C51"/>
    <w:rsid w:val="004539B8"/>
    <w:rsid w:val="00457B18"/>
    <w:rsid w:val="00463378"/>
    <w:rsid w:val="0046631F"/>
    <w:rsid w:val="00466792"/>
    <w:rsid w:val="004716CD"/>
    <w:rsid w:val="00471702"/>
    <w:rsid w:val="00472C6F"/>
    <w:rsid w:val="00486083"/>
    <w:rsid w:val="004908E5"/>
    <w:rsid w:val="00490B3C"/>
    <w:rsid w:val="00496D10"/>
    <w:rsid w:val="004A28DB"/>
    <w:rsid w:val="004A5FC6"/>
    <w:rsid w:val="004C3273"/>
    <w:rsid w:val="004D444C"/>
    <w:rsid w:val="004D7C76"/>
    <w:rsid w:val="004E00E1"/>
    <w:rsid w:val="004E0BF9"/>
    <w:rsid w:val="004E6C1A"/>
    <w:rsid w:val="004E6DB3"/>
    <w:rsid w:val="004E7972"/>
    <w:rsid w:val="004F211B"/>
    <w:rsid w:val="004F44D9"/>
    <w:rsid w:val="005077FB"/>
    <w:rsid w:val="005315B6"/>
    <w:rsid w:val="00532CDF"/>
    <w:rsid w:val="00532CE3"/>
    <w:rsid w:val="00533C10"/>
    <w:rsid w:val="00536019"/>
    <w:rsid w:val="00541AB4"/>
    <w:rsid w:val="00543CA9"/>
    <w:rsid w:val="00545FE6"/>
    <w:rsid w:val="00557E89"/>
    <w:rsid w:val="00561CC4"/>
    <w:rsid w:val="00570D3F"/>
    <w:rsid w:val="00575F99"/>
    <w:rsid w:val="005806A2"/>
    <w:rsid w:val="00584799"/>
    <w:rsid w:val="0058488D"/>
    <w:rsid w:val="00590894"/>
    <w:rsid w:val="00591EEF"/>
    <w:rsid w:val="0059242E"/>
    <w:rsid w:val="00595003"/>
    <w:rsid w:val="005A1ECF"/>
    <w:rsid w:val="005A5D69"/>
    <w:rsid w:val="005A65B4"/>
    <w:rsid w:val="005B28D9"/>
    <w:rsid w:val="005B3D40"/>
    <w:rsid w:val="005E368F"/>
    <w:rsid w:val="005E6FED"/>
    <w:rsid w:val="005F3966"/>
    <w:rsid w:val="005F6235"/>
    <w:rsid w:val="0060095C"/>
    <w:rsid w:val="00610942"/>
    <w:rsid w:val="00616EE2"/>
    <w:rsid w:val="00621E64"/>
    <w:rsid w:val="00627753"/>
    <w:rsid w:val="00632692"/>
    <w:rsid w:val="00636B36"/>
    <w:rsid w:val="00641868"/>
    <w:rsid w:val="006477A2"/>
    <w:rsid w:val="006600F3"/>
    <w:rsid w:val="006A0293"/>
    <w:rsid w:val="006A3795"/>
    <w:rsid w:val="006A6AB8"/>
    <w:rsid w:val="006A6E00"/>
    <w:rsid w:val="006B4AE0"/>
    <w:rsid w:val="006B4FF5"/>
    <w:rsid w:val="006B5511"/>
    <w:rsid w:val="006C03CE"/>
    <w:rsid w:val="006D209E"/>
    <w:rsid w:val="006D4D83"/>
    <w:rsid w:val="006E40BB"/>
    <w:rsid w:val="006E6805"/>
    <w:rsid w:val="006E6FA7"/>
    <w:rsid w:val="006F164F"/>
    <w:rsid w:val="006F4CCE"/>
    <w:rsid w:val="006F5C7F"/>
    <w:rsid w:val="006F6043"/>
    <w:rsid w:val="00706D2B"/>
    <w:rsid w:val="00713D95"/>
    <w:rsid w:val="007209E2"/>
    <w:rsid w:val="007241D4"/>
    <w:rsid w:val="00727D83"/>
    <w:rsid w:val="0073377D"/>
    <w:rsid w:val="00733B08"/>
    <w:rsid w:val="00733CCE"/>
    <w:rsid w:val="00743DD2"/>
    <w:rsid w:val="00745853"/>
    <w:rsid w:val="00754E7E"/>
    <w:rsid w:val="00756A18"/>
    <w:rsid w:val="007626EF"/>
    <w:rsid w:val="0077520D"/>
    <w:rsid w:val="00776C9A"/>
    <w:rsid w:val="00777884"/>
    <w:rsid w:val="00781BFC"/>
    <w:rsid w:val="0078229D"/>
    <w:rsid w:val="00783BC6"/>
    <w:rsid w:val="007855F6"/>
    <w:rsid w:val="00786241"/>
    <w:rsid w:val="00787921"/>
    <w:rsid w:val="00791423"/>
    <w:rsid w:val="007939AE"/>
    <w:rsid w:val="007952D4"/>
    <w:rsid w:val="00797604"/>
    <w:rsid w:val="007A352F"/>
    <w:rsid w:val="007B0159"/>
    <w:rsid w:val="007B4BC5"/>
    <w:rsid w:val="007B74A6"/>
    <w:rsid w:val="007C3111"/>
    <w:rsid w:val="007C3F47"/>
    <w:rsid w:val="007D6C8E"/>
    <w:rsid w:val="007E456F"/>
    <w:rsid w:val="007E6D56"/>
    <w:rsid w:val="007E7D8C"/>
    <w:rsid w:val="007F2238"/>
    <w:rsid w:val="007F4001"/>
    <w:rsid w:val="007F55EB"/>
    <w:rsid w:val="007F6278"/>
    <w:rsid w:val="007F632E"/>
    <w:rsid w:val="008029D3"/>
    <w:rsid w:val="00811B71"/>
    <w:rsid w:val="00816CD2"/>
    <w:rsid w:val="00821B9F"/>
    <w:rsid w:val="00847CE8"/>
    <w:rsid w:val="00860A12"/>
    <w:rsid w:val="00870B6D"/>
    <w:rsid w:val="00872358"/>
    <w:rsid w:val="0088232B"/>
    <w:rsid w:val="00887A03"/>
    <w:rsid w:val="00890E59"/>
    <w:rsid w:val="008918AF"/>
    <w:rsid w:val="008924BF"/>
    <w:rsid w:val="008A299F"/>
    <w:rsid w:val="008A3AD5"/>
    <w:rsid w:val="008B2DA0"/>
    <w:rsid w:val="008B697B"/>
    <w:rsid w:val="008E048F"/>
    <w:rsid w:val="008E049E"/>
    <w:rsid w:val="008E1707"/>
    <w:rsid w:val="008E3942"/>
    <w:rsid w:val="008F7A1E"/>
    <w:rsid w:val="009049F8"/>
    <w:rsid w:val="00914A8E"/>
    <w:rsid w:val="00920915"/>
    <w:rsid w:val="009210BC"/>
    <w:rsid w:val="009233E1"/>
    <w:rsid w:val="00924ECB"/>
    <w:rsid w:val="0092634F"/>
    <w:rsid w:val="00932313"/>
    <w:rsid w:val="0093327F"/>
    <w:rsid w:val="0094570B"/>
    <w:rsid w:val="00952A36"/>
    <w:rsid w:val="00957D4F"/>
    <w:rsid w:val="00957E6E"/>
    <w:rsid w:val="00965841"/>
    <w:rsid w:val="0096625D"/>
    <w:rsid w:val="00971B84"/>
    <w:rsid w:val="009770F2"/>
    <w:rsid w:val="00981726"/>
    <w:rsid w:val="00982781"/>
    <w:rsid w:val="00985384"/>
    <w:rsid w:val="009854A7"/>
    <w:rsid w:val="00985A53"/>
    <w:rsid w:val="00991F90"/>
    <w:rsid w:val="009A4F23"/>
    <w:rsid w:val="009A5CB7"/>
    <w:rsid w:val="009B7F35"/>
    <w:rsid w:val="009C7F88"/>
    <w:rsid w:val="009D65B6"/>
    <w:rsid w:val="009F118B"/>
    <w:rsid w:val="00A0197D"/>
    <w:rsid w:val="00A0357A"/>
    <w:rsid w:val="00A06884"/>
    <w:rsid w:val="00A073CB"/>
    <w:rsid w:val="00A0743B"/>
    <w:rsid w:val="00A164E0"/>
    <w:rsid w:val="00A16E6F"/>
    <w:rsid w:val="00A2007D"/>
    <w:rsid w:val="00A233D7"/>
    <w:rsid w:val="00A27EA0"/>
    <w:rsid w:val="00A3076A"/>
    <w:rsid w:val="00A35142"/>
    <w:rsid w:val="00A40ED9"/>
    <w:rsid w:val="00A413F3"/>
    <w:rsid w:val="00A87173"/>
    <w:rsid w:val="00A92617"/>
    <w:rsid w:val="00AA020A"/>
    <w:rsid w:val="00AA5DA2"/>
    <w:rsid w:val="00AA684E"/>
    <w:rsid w:val="00AB05C8"/>
    <w:rsid w:val="00AB31EF"/>
    <w:rsid w:val="00AB3252"/>
    <w:rsid w:val="00AB48A8"/>
    <w:rsid w:val="00AC17E1"/>
    <w:rsid w:val="00AC74BC"/>
    <w:rsid w:val="00AD2862"/>
    <w:rsid w:val="00AD70A4"/>
    <w:rsid w:val="00AE00C8"/>
    <w:rsid w:val="00AF319E"/>
    <w:rsid w:val="00B02AE3"/>
    <w:rsid w:val="00B053C8"/>
    <w:rsid w:val="00B16C2B"/>
    <w:rsid w:val="00B22D42"/>
    <w:rsid w:val="00B30489"/>
    <w:rsid w:val="00B343C4"/>
    <w:rsid w:val="00B37EC6"/>
    <w:rsid w:val="00B454D0"/>
    <w:rsid w:val="00B53D0D"/>
    <w:rsid w:val="00B602FB"/>
    <w:rsid w:val="00B6555F"/>
    <w:rsid w:val="00B8433E"/>
    <w:rsid w:val="00B90663"/>
    <w:rsid w:val="00B92F67"/>
    <w:rsid w:val="00B95CDB"/>
    <w:rsid w:val="00B97696"/>
    <w:rsid w:val="00BA5EF8"/>
    <w:rsid w:val="00BA7283"/>
    <w:rsid w:val="00BB069D"/>
    <w:rsid w:val="00BB12C7"/>
    <w:rsid w:val="00BB220B"/>
    <w:rsid w:val="00BC5173"/>
    <w:rsid w:val="00BE2E7D"/>
    <w:rsid w:val="00BE6AEB"/>
    <w:rsid w:val="00BE7CCA"/>
    <w:rsid w:val="00BF4E9B"/>
    <w:rsid w:val="00BF5E5B"/>
    <w:rsid w:val="00C17508"/>
    <w:rsid w:val="00C264C8"/>
    <w:rsid w:val="00C26A1B"/>
    <w:rsid w:val="00C34A5E"/>
    <w:rsid w:val="00C3555F"/>
    <w:rsid w:val="00C361B7"/>
    <w:rsid w:val="00C41E6D"/>
    <w:rsid w:val="00C41F08"/>
    <w:rsid w:val="00C42AD3"/>
    <w:rsid w:val="00C42BAB"/>
    <w:rsid w:val="00C5133B"/>
    <w:rsid w:val="00C701D6"/>
    <w:rsid w:val="00C9503E"/>
    <w:rsid w:val="00CA0084"/>
    <w:rsid w:val="00CA0BF9"/>
    <w:rsid w:val="00CA50BD"/>
    <w:rsid w:val="00CA5F26"/>
    <w:rsid w:val="00CB51F4"/>
    <w:rsid w:val="00CB5EAF"/>
    <w:rsid w:val="00CC03CD"/>
    <w:rsid w:val="00CC1270"/>
    <w:rsid w:val="00CC3768"/>
    <w:rsid w:val="00CC37AF"/>
    <w:rsid w:val="00CC4EA4"/>
    <w:rsid w:val="00CD1F5E"/>
    <w:rsid w:val="00CE0B33"/>
    <w:rsid w:val="00CF2A11"/>
    <w:rsid w:val="00CF49B9"/>
    <w:rsid w:val="00CF70DE"/>
    <w:rsid w:val="00D047A7"/>
    <w:rsid w:val="00D0502E"/>
    <w:rsid w:val="00D05444"/>
    <w:rsid w:val="00D11E72"/>
    <w:rsid w:val="00D13547"/>
    <w:rsid w:val="00D21565"/>
    <w:rsid w:val="00D309B8"/>
    <w:rsid w:val="00D47DBD"/>
    <w:rsid w:val="00D6187C"/>
    <w:rsid w:val="00D647F8"/>
    <w:rsid w:val="00D715C3"/>
    <w:rsid w:val="00D745BA"/>
    <w:rsid w:val="00D75547"/>
    <w:rsid w:val="00D7794E"/>
    <w:rsid w:val="00D80812"/>
    <w:rsid w:val="00D82E2E"/>
    <w:rsid w:val="00D8590D"/>
    <w:rsid w:val="00D87853"/>
    <w:rsid w:val="00D91814"/>
    <w:rsid w:val="00D91CD0"/>
    <w:rsid w:val="00D9438C"/>
    <w:rsid w:val="00DA03C5"/>
    <w:rsid w:val="00DA1208"/>
    <w:rsid w:val="00DA218D"/>
    <w:rsid w:val="00DA66DD"/>
    <w:rsid w:val="00DB3A59"/>
    <w:rsid w:val="00DB3E4A"/>
    <w:rsid w:val="00DB4B5B"/>
    <w:rsid w:val="00DE561B"/>
    <w:rsid w:val="00DE5AE7"/>
    <w:rsid w:val="00DE7BE0"/>
    <w:rsid w:val="00E01524"/>
    <w:rsid w:val="00E0302E"/>
    <w:rsid w:val="00E07DE5"/>
    <w:rsid w:val="00E1262E"/>
    <w:rsid w:val="00E12D9E"/>
    <w:rsid w:val="00E1452E"/>
    <w:rsid w:val="00E15847"/>
    <w:rsid w:val="00E17D80"/>
    <w:rsid w:val="00E20018"/>
    <w:rsid w:val="00E20451"/>
    <w:rsid w:val="00E216C9"/>
    <w:rsid w:val="00E2222E"/>
    <w:rsid w:val="00E23C6C"/>
    <w:rsid w:val="00E273AF"/>
    <w:rsid w:val="00E33083"/>
    <w:rsid w:val="00E40931"/>
    <w:rsid w:val="00E55039"/>
    <w:rsid w:val="00E73D15"/>
    <w:rsid w:val="00E81403"/>
    <w:rsid w:val="00E84136"/>
    <w:rsid w:val="00E8484E"/>
    <w:rsid w:val="00E909BE"/>
    <w:rsid w:val="00E94CCE"/>
    <w:rsid w:val="00E95F3D"/>
    <w:rsid w:val="00EA31C5"/>
    <w:rsid w:val="00EB1FBA"/>
    <w:rsid w:val="00EB5A19"/>
    <w:rsid w:val="00EB5EB9"/>
    <w:rsid w:val="00EC3104"/>
    <w:rsid w:val="00EC6882"/>
    <w:rsid w:val="00EC769F"/>
    <w:rsid w:val="00ED7BA8"/>
    <w:rsid w:val="00F0398B"/>
    <w:rsid w:val="00F05AE8"/>
    <w:rsid w:val="00F063F5"/>
    <w:rsid w:val="00F15ADF"/>
    <w:rsid w:val="00F22113"/>
    <w:rsid w:val="00F26F9A"/>
    <w:rsid w:val="00F310F9"/>
    <w:rsid w:val="00F32FC3"/>
    <w:rsid w:val="00F4255E"/>
    <w:rsid w:val="00F43D4E"/>
    <w:rsid w:val="00F44858"/>
    <w:rsid w:val="00F61170"/>
    <w:rsid w:val="00F66DAF"/>
    <w:rsid w:val="00F676DD"/>
    <w:rsid w:val="00F84B08"/>
    <w:rsid w:val="00F90A47"/>
    <w:rsid w:val="00F90D00"/>
    <w:rsid w:val="00F93864"/>
    <w:rsid w:val="00F96104"/>
    <w:rsid w:val="00FB3378"/>
    <w:rsid w:val="00FC563B"/>
    <w:rsid w:val="00FD06D8"/>
    <w:rsid w:val="00FD3143"/>
    <w:rsid w:val="00FD6573"/>
    <w:rsid w:val="00FD7798"/>
    <w:rsid w:val="00FE0055"/>
    <w:rsid w:val="00FE0C91"/>
    <w:rsid w:val="00FE47E0"/>
    <w:rsid w:val="00FF4119"/>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2EBF"/>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0D7DB1"/>
    <w:pPr>
      <w:spacing w:before="240" w:after="80" w:line="240" w:lineRule="auto"/>
      <w:ind w:left="-284"/>
      <w:jc w:val="both"/>
    </w:pPr>
    <w:rPr>
      <w:rFonts w:ascii="Segoe UI" w:hAnsi="Segoe UI" w:cs="Segoe UI"/>
      <w:b/>
      <w:color w:val="000091" w:themeColor="text1"/>
      <w:sz w:val="20"/>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0D7DB1"/>
    <w:rPr>
      <w:rFonts w:ascii="Segoe UI" w:hAnsi="Segoe UI" w:cs="Segoe UI"/>
      <w:b/>
      <w:color w:val="000091" w:themeColor="text1"/>
      <w:sz w:val="20"/>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887A03"/>
    <w:rPr>
      <w:color w:val="605E5C"/>
      <w:shd w:val="clear" w:color="auto" w:fill="E1DFDD"/>
    </w:rPr>
  </w:style>
  <w:style w:type="paragraph" w:styleId="NormalWeb">
    <w:name w:val="Normal (Web)"/>
    <w:basedOn w:val="Normal"/>
    <w:uiPriority w:val="99"/>
    <w:semiHidden/>
    <w:unhideWhenUsed/>
    <w:rsid w:val="00BC51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2012">
      <w:bodyDiv w:val="1"/>
      <w:marLeft w:val="0"/>
      <w:marRight w:val="0"/>
      <w:marTop w:val="0"/>
      <w:marBottom w:val="0"/>
      <w:divBdr>
        <w:top w:val="none" w:sz="0" w:space="0" w:color="auto"/>
        <w:left w:val="none" w:sz="0" w:space="0" w:color="auto"/>
        <w:bottom w:val="none" w:sz="0" w:space="0" w:color="auto"/>
        <w:right w:val="none" w:sz="0" w:space="0" w:color="auto"/>
      </w:divBdr>
    </w:div>
    <w:div w:id="140927594">
      <w:bodyDiv w:val="1"/>
      <w:marLeft w:val="0"/>
      <w:marRight w:val="0"/>
      <w:marTop w:val="0"/>
      <w:marBottom w:val="0"/>
      <w:divBdr>
        <w:top w:val="none" w:sz="0" w:space="0" w:color="auto"/>
        <w:left w:val="none" w:sz="0" w:space="0" w:color="auto"/>
        <w:bottom w:val="none" w:sz="0" w:space="0" w:color="auto"/>
        <w:right w:val="none" w:sz="0" w:space="0" w:color="auto"/>
      </w:divBdr>
    </w:div>
    <w:div w:id="196049025">
      <w:bodyDiv w:val="1"/>
      <w:marLeft w:val="0"/>
      <w:marRight w:val="0"/>
      <w:marTop w:val="0"/>
      <w:marBottom w:val="0"/>
      <w:divBdr>
        <w:top w:val="none" w:sz="0" w:space="0" w:color="auto"/>
        <w:left w:val="none" w:sz="0" w:space="0" w:color="auto"/>
        <w:bottom w:val="none" w:sz="0" w:space="0" w:color="auto"/>
        <w:right w:val="none" w:sz="0" w:space="0" w:color="auto"/>
      </w:divBdr>
    </w:div>
    <w:div w:id="205534805">
      <w:bodyDiv w:val="1"/>
      <w:marLeft w:val="0"/>
      <w:marRight w:val="0"/>
      <w:marTop w:val="0"/>
      <w:marBottom w:val="0"/>
      <w:divBdr>
        <w:top w:val="none" w:sz="0" w:space="0" w:color="auto"/>
        <w:left w:val="none" w:sz="0" w:space="0" w:color="auto"/>
        <w:bottom w:val="none" w:sz="0" w:space="0" w:color="auto"/>
        <w:right w:val="none" w:sz="0" w:space="0" w:color="auto"/>
      </w:divBdr>
    </w:div>
    <w:div w:id="244148686">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0254102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04830043">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24505660">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82194424">
      <w:bodyDiv w:val="1"/>
      <w:marLeft w:val="0"/>
      <w:marRight w:val="0"/>
      <w:marTop w:val="0"/>
      <w:marBottom w:val="0"/>
      <w:divBdr>
        <w:top w:val="none" w:sz="0" w:space="0" w:color="auto"/>
        <w:left w:val="none" w:sz="0" w:space="0" w:color="auto"/>
        <w:bottom w:val="none" w:sz="0" w:space="0" w:color="auto"/>
        <w:right w:val="none" w:sz="0" w:space="0" w:color="auto"/>
      </w:divBdr>
    </w:div>
    <w:div w:id="885332995">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34308798">
      <w:bodyDiv w:val="1"/>
      <w:marLeft w:val="0"/>
      <w:marRight w:val="0"/>
      <w:marTop w:val="0"/>
      <w:marBottom w:val="0"/>
      <w:divBdr>
        <w:top w:val="none" w:sz="0" w:space="0" w:color="auto"/>
        <w:left w:val="none" w:sz="0" w:space="0" w:color="auto"/>
        <w:bottom w:val="none" w:sz="0" w:space="0" w:color="auto"/>
        <w:right w:val="none" w:sz="0" w:space="0" w:color="auto"/>
      </w:divBdr>
    </w:div>
    <w:div w:id="1107576507">
      <w:bodyDiv w:val="1"/>
      <w:marLeft w:val="0"/>
      <w:marRight w:val="0"/>
      <w:marTop w:val="0"/>
      <w:marBottom w:val="0"/>
      <w:divBdr>
        <w:top w:val="none" w:sz="0" w:space="0" w:color="auto"/>
        <w:left w:val="none" w:sz="0" w:space="0" w:color="auto"/>
        <w:bottom w:val="none" w:sz="0" w:space="0" w:color="auto"/>
        <w:right w:val="none" w:sz="0" w:space="0" w:color="auto"/>
      </w:divBdr>
    </w:div>
    <w:div w:id="1217352347">
      <w:bodyDiv w:val="1"/>
      <w:marLeft w:val="0"/>
      <w:marRight w:val="0"/>
      <w:marTop w:val="0"/>
      <w:marBottom w:val="0"/>
      <w:divBdr>
        <w:top w:val="none" w:sz="0" w:space="0" w:color="auto"/>
        <w:left w:val="none" w:sz="0" w:space="0" w:color="auto"/>
        <w:bottom w:val="none" w:sz="0" w:space="0" w:color="auto"/>
        <w:right w:val="none" w:sz="0" w:space="0" w:color="auto"/>
      </w:divBdr>
    </w:div>
    <w:div w:id="1288121012">
      <w:bodyDiv w:val="1"/>
      <w:marLeft w:val="0"/>
      <w:marRight w:val="0"/>
      <w:marTop w:val="0"/>
      <w:marBottom w:val="0"/>
      <w:divBdr>
        <w:top w:val="none" w:sz="0" w:space="0" w:color="auto"/>
        <w:left w:val="none" w:sz="0" w:space="0" w:color="auto"/>
        <w:bottom w:val="none" w:sz="0" w:space="0" w:color="auto"/>
        <w:right w:val="none" w:sz="0" w:space="0" w:color="auto"/>
      </w:divBdr>
    </w:div>
    <w:div w:id="1433739910">
      <w:bodyDiv w:val="1"/>
      <w:marLeft w:val="0"/>
      <w:marRight w:val="0"/>
      <w:marTop w:val="0"/>
      <w:marBottom w:val="0"/>
      <w:divBdr>
        <w:top w:val="none" w:sz="0" w:space="0" w:color="auto"/>
        <w:left w:val="none" w:sz="0" w:space="0" w:color="auto"/>
        <w:bottom w:val="none" w:sz="0" w:space="0" w:color="auto"/>
        <w:right w:val="none" w:sz="0" w:space="0" w:color="auto"/>
      </w:divBdr>
    </w:div>
    <w:div w:id="1591696335">
      <w:bodyDiv w:val="1"/>
      <w:marLeft w:val="0"/>
      <w:marRight w:val="0"/>
      <w:marTop w:val="0"/>
      <w:marBottom w:val="0"/>
      <w:divBdr>
        <w:top w:val="none" w:sz="0" w:space="0" w:color="auto"/>
        <w:left w:val="none" w:sz="0" w:space="0" w:color="auto"/>
        <w:bottom w:val="none" w:sz="0" w:space="0" w:color="auto"/>
        <w:right w:val="none" w:sz="0" w:space="0" w:color="auto"/>
      </w:divBdr>
    </w:div>
    <w:div w:id="1712027211">
      <w:bodyDiv w:val="1"/>
      <w:marLeft w:val="0"/>
      <w:marRight w:val="0"/>
      <w:marTop w:val="0"/>
      <w:marBottom w:val="0"/>
      <w:divBdr>
        <w:top w:val="none" w:sz="0" w:space="0" w:color="auto"/>
        <w:left w:val="none" w:sz="0" w:space="0" w:color="auto"/>
        <w:bottom w:val="none" w:sz="0" w:space="0" w:color="auto"/>
        <w:right w:val="none" w:sz="0" w:space="0" w:color="auto"/>
      </w:divBdr>
    </w:div>
    <w:div w:id="1731616203">
      <w:bodyDiv w:val="1"/>
      <w:marLeft w:val="0"/>
      <w:marRight w:val="0"/>
      <w:marTop w:val="0"/>
      <w:marBottom w:val="0"/>
      <w:divBdr>
        <w:top w:val="none" w:sz="0" w:space="0" w:color="auto"/>
        <w:left w:val="none" w:sz="0" w:space="0" w:color="auto"/>
        <w:bottom w:val="none" w:sz="0" w:space="0" w:color="auto"/>
        <w:right w:val="none" w:sz="0" w:space="0" w:color="auto"/>
      </w:divBdr>
    </w:div>
    <w:div w:id="1746801755">
      <w:bodyDiv w:val="1"/>
      <w:marLeft w:val="0"/>
      <w:marRight w:val="0"/>
      <w:marTop w:val="0"/>
      <w:marBottom w:val="0"/>
      <w:divBdr>
        <w:top w:val="none" w:sz="0" w:space="0" w:color="auto"/>
        <w:left w:val="none" w:sz="0" w:space="0" w:color="auto"/>
        <w:bottom w:val="none" w:sz="0" w:space="0" w:color="auto"/>
        <w:right w:val="none" w:sz="0" w:space="0" w:color="auto"/>
      </w:divBdr>
    </w:div>
    <w:div w:id="1954943611">
      <w:bodyDiv w:val="1"/>
      <w:marLeft w:val="0"/>
      <w:marRight w:val="0"/>
      <w:marTop w:val="0"/>
      <w:marBottom w:val="0"/>
      <w:divBdr>
        <w:top w:val="none" w:sz="0" w:space="0" w:color="auto"/>
        <w:left w:val="none" w:sz="0" w:space="0" w:color="auto"/>
        <w:bottom w:val="none" w:sz="0" w:space="0" w:color="auto"/>
        <w:right w:val="none" w:sz="0" w:space="0" w:color="auto"/>
      </w:divBdr>
    </w:div>
    <w:div w:id="1973629512">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1779</Words>
  <Characters>9787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SALAVERA Eva</cp:lastModifiedBy>
  <cp:revision>3</cp:revision>
  <dcterms:created xsi:type="dcterms:W3CDTF">2025-10-09T14:04:00Z</dcterms:created>
  <dcterms:modified xsi:type="dcterms:W3CDTF">2025-10-09T14:05:00Z</dcterms:modified>
</cp:coreProperties>
</file>