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DA0F8" w14:textId="689C2FFB" w:rsidR="00183B5D" w:rsidRPr="00183B5D" w:rsidRDefault="00183B5D" w:rsidP="00183B5D">
      <w:pPr>
        <w:spacing w:before="120"/>
        <w:rPr>
          <w:rFonts w:ascii="Marianne Medium" w:eastAsia="Calibri" w:hAnsi="Marianne Medium" w:cs="Times New Roman"/>
          <w:bCs/>
          <w:sz w:val="20"/>
          <w:szCs w:val="20"/>
          <w:lang w:eastAsia="en-US"/>
        </w:rPr>
      </w:pPr>
      <w:r w:rsidRPr="00183B5D">
        <w:rPr>
          <w:rFonts w:ascii="Marianne Medium" w:eastAsia="Calibri" w:hAnsi="Marianne Medium" w:cs="Times New Roman"/>
          <w:bCs/>
          <w:noProof/>
          <w:sz w:val="20"/>
          <w:szCs w:val="18"/>
          <w:lang w:eastAsia="en-US"/>
        </w:rPr>
        <w:drawing>
          <wp:anchor distT="0" distB="0" distL="114300" distR="114300" simplePos="0" relativeHeight="251666432" behindDoc="1" locked="0" layoutInCell="1" allowOverlap="1" wp14:anchorId="0F5461B9" wp14:editId="193340CC">
            <wp:simplePos x="0" y="0"/>
            <wp:positionH relativeFrom="page">
              <wp:posOffset>-497434</wp:posOffset>
            </wp:positionH>
            <wp:positionV relativeFrom="paragraph">
              <wp:posOffset>-892480</wp:posOffset>
            </wp:positionV>
            <wp:extent cx="8135253" cy="2897505"/>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1">
                      <a:extLst>
                        <a:ext uri="{28A0092B-C50C-407E-A947-70E740481C1C}">
                          <a14:useLocalDpi xmlns:a14="http://schemas.microsoft.com/office/drawing/2010/main" val="0"/>
                        </a:ext>
                      </a:extLst>
                    </a:blip>
                    <a:srcRect l="12369" t="7644" r="3261" b="739"/>
                    <a:stretch/>
                  </pic:blipFill>
                  <pic:spPr bwMode="auto">
                    <a:xfrm>
                      <a:off x="0" y="0"/>
                      <a:ext cx="8145685" cy="290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3B5D">
        <w:rPr>
          <w:rFonts w:ascii="Segoe UI" w:eastAsia="Calibri" w:hAnsi="Segoe UI" w:cs="Segoe UI"/>
          <w:noProof/>
          <w:color w:val="000091"/>
          <w:lang w:eastAsia="en-US"/>
        </w:rPr>
        <w:drawing>
          <wp:anchor distT="0" distB="0" distL="114300" distR="114300" simplePos="0" relativeHeight="251667456" behindDoc="0" locked="0" layoutInCell="1" allowOverlap="1" wp14:anchorId="2DF1E248" wp14:editId="01B63C6D">
            <wp:simplePos x="0" y="0"/>
            <wp:positionH relativeFrom="column">
              <wp:posOffset>-500380</wp:posOffset>
            </wp:positionH>
            <wp:positionV relativeFrom="page">
              <wp:posOffset>248338</wp:posOffset>
            </wp:positionV>
            <wp:extent cx="1471394" cy="1076979"/>
            <wp:effectExtent l="0" t="0" r="0" b="8890"/>
            <wp:wrapNone/>
            <wp:docPr id="3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rotWithShape="1">
                    <a:blip r:embed="rId12" cstate="print">
                      <a:extLst>
                        <a:ext uri="{28A0092B-C50C-407E-A947-70E740481C1C}">
                          <a14:useLocalDpi xmlns:a14="http://schemas.microsoft.com/office/drawing/2010/main" val="0"/>
                        </a:ext>
                      </a:extLst>
                    </a:blip>
                    <a:srcRect r="48014"/>
                    <a:stretch/>
                  </pic:blipFill>
                  <pic:spPr bwMode="auto">
                    <a:xfrm>
                      <a:off x="0" y="0"/>
                      <a:ext cx="1471394" cy="10769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3B5D">
        <w:rPr>
          <w:rFonts w:ascii="Marianne Medium" w:eastAsia="Calibri" w:hAnsi="Marianne Medium" w:cs="Times New Roman"/>
          <w:bCs/>
          <w:sz w:val="20"/>
          <w:szCs w:val="20"/>
          <w:lang w:eastAsia="en-US"/>
        </w:rPr>
        <w:t xml:space="preserve">                          </w:t>
      </w:r>
      <w:r>
        <w:rPr>
          <w:rFonts w:ascii="Marianne Medium" w:eastAsia="Calibri" w:hAnsi="Marianne Medium" w:cs="Times New Roman"/>
          <w:bCs/>
          <w:sz w:val="20"/>
          <w:szCs w:val="20"/>
          <w:lang w:eastAsia="en-US"/>
        </w:rPr>
        <w:t xml:space="preserve">   </w:t>
      </w:r>
      <w:r w:rsidRPr="00183B5D">
        <w:rPr>
          <w:rFonts w:ascii="Marianne Medium" w:eastAsia="Calibri" w:hAnsi="Marianne Medium" w:cs="Times New Roman"/>
          <w:bCs/>
          <w:sz w:val="20"/>
          <w:szCs w:val="20"/>
          <w:lang w:eastAsia="en-US"/>
        </w:rPr>
        <w:t xml:space="preserve"> Direction générale du Trésor </w:t>
      </w:r>
      <w:r w:rsidRPr="00183B5D">
        <w:rPr>
          <w:rFonts w:ascii="Marianne Medium" w:eastAsia="Calibri" w:hAnsi="Marianne Medium" w:cs="Times New Roman"/>
          <w:bCs/>
          <w:sz w:val="20"/>
          <w:szCs w:val="20"/>
          <w:lang w:eastAsia="en-US"/>
        </w:rPr>
        <w:tab/>
      </w:r>
      <w:r w:rsidRPr="00183B5D">
        <w:rPr>
          <w:rFonts w:ascii="Marianne Medium" w:eastAsia="Calibri" w:hAnsi="Marianne Medium" w:cs="Times New Roman"/>
          <w:bCs/>
          <w:sz w:val="20"/>
          <w:szCs w:val="20"/>
          <w:lang w:eastAsia="en-US"/>
        </w:rPr>
        <w:tab/>
      </w:r>
    </w:p>
    <w:p w14:paraId="28654773" w14:textId="77777777" w:rsidR="00183B5D" w:rsidRPr="00183B5D" w:rsidRDefault="00183B5D" w:rsidP="00183B5D">
      <w:pPr>
        <w:tabs>
          <w:tab w:val="left" w:pos="7025"/>
        </w:tabs>
        <w:spacing w:before="120"/>
        <w:rPr>
          <w:rFonts w:ascii="Marianne Medium" w:eastAsia="Calibri" w:hAnsi="Marianne Medium" w:cs="Times New Roman"/>
          <w:bCs/>
          <w:lang w:eastAsia="en-US"/>
        </w:rPr>
      </w:pPr>
      <w:r w:rsidRPr="00183B5D">
        <w:rPr>
          <w:rFonts w:ascii="Marianne Medium" w:eastAsia="Calibri" w:hAnsi="Marianne Medium" w:cs="Times New Roman"/>
          <w:bCs/>
          <w:lang w:eastAsia="en-US"/>
        </w:rPr>
        <w:tab/>
      </w:r>
    </w:p>
    <w:p w14:paraId="5072DC32" w14:textId="77777777" w:rsidR="00183B5D" w:rsidRPr="00183B5D" w:rsidRDefault="00183B5D" w:rsidP="00183B5D">
      <w:pPr>
        <w:tabs>
          <w:tab w:val="left" w:pos="7699"/>
        </w:tabs>
        <w:spacing w:before="120" w:line="259" w:lineRule="auto"/>
        <w:rPr>
          <w:rFonts w:ascii="Marianne Medium" w:eastAsia="Calibri" w:hAnsi="Marianne Medium" w:cs="Times New Roman"/>
          <w:bCs/>
          <w:lang w:eastAsia="en-US"/>
        </w:rPr>
      </w:pPr>
      <w:r w:rsidRPr="00183B5D">
        <w:rPr>
          <w:rFonts w:ascii="Marianne Medium" w:eastAsia="Calibri" w:hAnsi="Marianne Medium" w:cs="Times New Roman"/>
          <w:bCs/>
          <w:lang w:eastAsia="en-US"/>
        </w:rPr>
        <w:tab/>
      </w:r>
    </w:p>
    <w:p w14:paraId="11832762" w14:textId="307D29E4" w:rsidR="00183B5D" w:rsidRPr="00183B5D" w:rsidRDefault="0076481A" w:rsidP="00183B5D">
      <w:pPr>
        <w:spacing w:line="216" w:lineRule="auto"/>
        <w:ind w:left="-993" w:right="-1134" w:firstLine="142"/>
        <w:rPr>
          <w:rFonts w:ascii="Marianne" w:eastAsia="Calibri" w:hAnsi="Marianne" w:cs="Times New Roman"/>
          <w:b/>
          <w:bCs/>
          <w:color w:val="000091"/>
          <w:sz w:val="48"/>
          <w:szCs w:val="48"/>
          <w:lang w:eastAsia="en-US"/>
        </w:rPr>
      </w:pPr>
      <w:r>
        <w:rPr>
          <w:rFonts w:ascii="Marianne" w:eastAsia="Calibri" w:hAnsi="Marianne" w:cs="Times New Roman"/>
          <w:b/>
          <w:bCs/>
          <w:color w:val="000091"/>
          <w:sz w:val="48"/>
          <w:szCs w:val="48"/>
          <w:lang w:eastAsia="en-US"/>
        </w:rPr>
        <w:t>PORTUGAL</w:t>
      </w:r>
    </w:p>
    <w:p w14:paraId="1448F0F3" w14:textId="212F3143" w:rsidR="0076481A" w:rsidRPr="00183B5D" w:rsidRDefault="0076481A" w:rsidP="0076481A">
      <w:pPr>
        <w:spacing w:line="216" w:lineRule="auto"/>
        <w:ind w:left="-993" w:right="-1134" w:firstLine="142"/>
        <w:rPr>
          <w:rFonts w:ascii="Marianne Light" w:eastAsia="Calibri" w:hAnsi="Marianne Light" w:cs="Times New Roman"/>
          <w:color w:val="000091"/>
          <w:sz w:val="44"/>
          <w:szCs w:val="44"/>
          <w:lang w:eastAsia="en-US"/>
        </w:rPr>
      </w:pPr>
      <w:r w:rsidRPr="00183B5D">
        <w:rPr>
          <w:rFonts w:ascii="Marianne Light" w:eastAsia="Calibri" w:hAnsi="Marianne Light" w:cs="Times New Roman"/>
          <w:color w:val="000091"/>
          <w:sz w:val="44"/>
          <w:szCs w:val="44"/>
          <w:lang w:eastAsia="en-US"/>
        </w:rPr>
        <w:t>Situation économique</w:t>
      </w:r>
      <w:r w:rsidR="002946BD">
        <w:rPr>
          <w:rFonts w:ascii="Marianne Light" w:eastAsia="Calibri" w:hAnsi="Marianne Light" w:cs="Times New Roman"/>
          <w:color w:val="000091"/>
          <w:sz w:val="44"/>
          <w:szCs w:val="44"/>
          <w:lang w:eastAsia="en-US"/>
        </w:rPr>
        <w:t xml:space="preserve"> et sociale</w:t>
      </w:r>
      <w:r w:rsidRPr="00183B5D">
        <w:rPr>
          <w:rFonts w:ascii="Marianne Light" w:eastAsia="Calibri" w:hAnsi="Marianne Light" w:cs="Times New Roman"/>
          <w:color w:val="000091"/>
          <w:sz w:val="44"/>
          <w:szCs w:val="44"/>
          <w:lang w:eastAsia="en-US"/>
        </w:rPr>
        <w:t xml:space="preserve">       </w:t>
      </w:r>
    </w:p>
    <w:p w14:paraId="4E7C83CC" w14:textId="2255FB57" w:rsidR="00183B5D" w:rsidRDefault="00183B5D" w:rsidP="00183B5D">
      <w:pPr>
        <w:spacing w:line="216" w:lineRule="auto"/>
        <w:ind w:right="-1134"/>
        <w:rPr>
          <w:rFonts w:ascii="Marianne" w:eastAsia="Calibri" w:hAnsi="Marianne" w:cs="Times New Roman"/>
          <w:b/>
          <w:bCs/>
          <w:color w:val="000091"/>
          <w:sz w:val="48"/>
          <w:szCs w:val="48"/>
          <w:lang w:eastAsia="en-US"/>
        </w:rPr>
      </w:pPr>
    </w:p>
    <w:p w14:paraId="57980542" w14:textId="77777777" w:rsidR="007B31B5" w:rsidRPr="007B31B5" w:rsidRDefault="007B31B5" w:rsidP="00183B5D">
      <w:pPr>
        <w:spacing w:line="216" w:lineRule="auto"/>
        <w:ind w:right="-1134"/>
        <w:rPr>
          <w:rFonts w:ascii="Marianne" w:eastAsia="Calibri" w:hAnsi="Marianne" w:cs="Times New Roman"/>
          <w:b/>
          <w:bCs/>
          <w:color w:val="000091"/>
          <w:sz w:val="18"/>
          <w:szCs w:val="18"/>
          <w:lang w:eastAsia="en-US"/>
        </w:rPr>
      </w:pPr>
    </w:p>
    <w:p w14:paraId="19D90E91" w14:textId="53FAB264" w:rsidR="00183B5D" w:rsidRPr="00183B5D" w:rsidRDefault="002946BD" w:rsidP="00183B5D">
      <w:pPr>
        <w:ind w:right="-993"/>
        <w:jc w:val="right"/>
        <w:rPr>
          <w:rFonts w:ascii="Marianne" w:eastAsia="Calibri" w:hAnsi="Marianne" w:cs="Times New Roman"/>
          <w:color w:val="E4A503"/>
          <w:sz w:val="16"/>
          <w:szCs w:val="16"/>
          <w:lang w:eastAsia="en-US"/>
        </w:rPr>
      </w:pPr>
      <w:r>
        <w:rPr>
          <w:rFonts w:ascii="Marianne" w:eastAsia="Calibri" w:hAnsi="Marianne" w:cs="Times New Roman"/>
          <w:color w:val="E4A503"/>
          <w:sz w:val="16"/>
          <w:szCs w:val="16"/>
          <w:lang w:eastAsia="en-US"/>
        </w:rPr>
        <w:t>Service économique de Lisbonne</w:t>
      </w:r>
    </w:p>
    <w:p w14:paraId="356FABC5" w14:textId="6C20EE13" w:rsidR="001C0573" w:rsidRPr="0076481A" w:rsidRDefault="002946BD" w:rsidP="0076481A">
      <w:pPr>
        <w:ind w:left="284" w:right="-993"/>
        <w:jc w:val="right"/>
        <w:rPr>
          <w:rFonts w:ascii="Marianne" w:eastAsia="Calibri" w:hAnsi="Marianne" w:cs="Times New Roman"/>
          <w:color w:val="E4A503"/>
          <w:sz w:val="16"/>
          <w:szCs w:val="16"/>
          <w:lang w:eastAsia="en-US"/>
        </w:rPr>
      </w:pPr>
      <w:r>
        <w:rPr>
          <w:rFonts w:ascii="Marianne" w:eastAsia="Calibri" w:hAnsi="Marianne" w:cs="Times New Roman"/>
          <w:color w:val="E4A503"/>
          <w:sz w:val="16"/>
          <w:szCs w:val="16"/>
          <w:lang w:eastAsia="en-US"/>
        </w:rPr>
        <w:t>Février 2026</w:t>
      </w:r>
    </w:p>
    <w:p w14:paraId="5662FE6E" w14:textId="77777777" w:rsidR="00C96710" w:rsidRPr="00F115F1" w:rsidRDefault="00C96710" w:rsidP="00C96710">
      <w:pPr>
        <w:keepNext/>
        <w:keepLines/>
        <w:spacing w:before="480" w:after="120" w:line="216" w:lineRule="auto"/>
        <w:ind w:right="283"/>
        <w:outlineLvl w:val="0"/>
        <w:rPr>
          <w:rFonts w:ascii="Marianne ExtraBold" w:eastAsia="Times New Roman" w:hAnsi="Marianne ExtraBold" w:cs="Times New Roman"/>
          <w:color w:val="E4A503"/>
          <w:sz w:val="28"/>
          <w:szCs w:val="28"/>
          <w:lang w:eastAsia="en-US"/>
        </w:rPr>
      </w:pPr>
      <w:r w:rsidRPr="00F115F1">
        <w:rPr>
          <w:rFonts w:ascii="Marianne ExtraBold" w:eastAsia="Times New Roman" w:hAnsi="Marianne ExtraBold" w:cs="Times New Roman"/>
          <w:color w:val="E4A503"/>
          <w:sz w:val="28"/>
          <w:szCs w:val="28"/>
          <w:lang w:eastAsia="en-US"/>
        </w:rPr>
        <w:t>Indicateurs macroéconomiques</w:t>
      </w:r>
    </w:p>
    <w:tbl>
      <w:tblPr>
        <w:tblStyle w:val="Trameclaire-Accent11"/>
        <w:tblW w:w="5000" w:type="pct"/>
        <w:tblLook w:val="0660" w:firstRow="1" w:lastRow="1" w:firstColumn="0" w:lastColumn="0" w:noHBand="1" w:noVBand="1"/>
      </w:tblPr>
      <w:tblGrid>
        <w:gridCol w:w="4949"/>
        <w:gridCol w:w="1365"/>
        <w:gridCol w:w="1369"/>
        <w:gridCol w:w="1369"/>
      </w:tblGrid>
      <w:tr w:rsidR="00C96710" w:rsidRPr="00C96710" w14:paraId="4A0AE760" w14:textId="77777777" w:rsidTr="00C96710">
        <w:trPr>
          <w:cnfStyle w:val="100000000000" w:firstRow="1" w:lastRow="0" w:firstColumn="0" w:lastColumn="0" w:oddVBand="0" w:evenVBand="0" w:oddHBand="0" w:evenHBand="0" w:firstRowFirstColumn="0" w:firstRowLastColumn="0" w:lastRowFirstColumn="0" w:lastRowLastColumn="0"/>
        </w:trPr>
        <w:tc>
          <w:tcPr>
            <w:tcW w:w="2592" w:type="pct"/>
            <w:tcBorders>
              <w:top w:val="single" w:sz="8" w:space="0" w:color="FCC63A"/>
              <w:left w:val="single" w:sz="8" w:space="0" w:color="FCC63A"/>
              <w:bottom w:val="single" w:sz="8" w:space="0" w:color="FCC63A"/>
            </w:tcBorders>
            <w:noWrap/>
            <w:vAlign w:val="center"/>
          </w:tcPr>
          <w:p w14:paraId="2EC794C2" w14:textId="77777777" w:rsidR="00C96710" w:rsidRPr="00725E04" w:rsidRDefault="00C96710" w:rsidP="00C96710">
            <w:pPr>
              <w:spacing w:before="120" w:after="120"/>
              <w:jc w:val="center"/>
              <w:rPr>
                <w:rFonts w:ascii="Marianne" w:hAnsi="Marianne" w:cs="Times New Roman"/>
                <w:color w:val="000091"/>
                <w:sz w:val="20"/>
                <w:szCs w:val="20"/>
              </w:rPr>
            </w:pPr>
            <w:bookmarkStart w:id="0" w:name="_Hlk157008709"/>
            <w:r w:rsidRPr="00725E04">
              <w:rPr>
                <w:rFonts w:ascii="Marianne" w:hAnsi="Marianne" w:cs="Times New Roman"/>
                <w:color w:val="000091"/>
                <w:sz w:val="20"/>
                <w:szCs w:val="20"/>
              </w:rPr>
              <w:t>Indicateurs macroéconomiques</w:t>
            </w:r>
          </w:p>
        </w:tc>
        <w:tc>
          <w:tcPr>
            <w:tcW w:w="801" w:type="pct"/>
            <w:tcBorders>
              <w:top w:val="single" w:sz="8" w:space="0" w:color="FCC63A"/>
              <w:bottom w:val="single" w:sz="8" w:space="0" w:color="FCC63A"/>
            </w:tcBorders>
            <w:shd w:val="clear" w:color="auto" w:fill="FEF3D7"/>
            <w:vAlign w:val="center"/>
          </w:tcPr>
          <w:p w14:paraId="39A2A54D" w14:textId="77777777" w:rsidR="00C96710" w:rsidRPr="00C96710" w:rsidRDefault="00C96710" w:rsidP="00C96710">
            <w:pPr>
              <w:spacing w:before="120" w:after="120"/>
              <w:jc w:val="center"/>
              <w:rPr>
                <w:rFonts w:ascii="Marianne" w:hAnsi="Marianne" w:cs="Times New Roman"/>
                <w:color w:val="000091"/>
                <w:sz w:val="20"/>
                <w:szCs w:val="20"/>
              </w:rPr>
            </w:pPr>
            <w:r w:rsidRPr="00C96710">
              <w:rPr>
                <w:rFonts w:ascii="Marianne" w:hAnsi="Marianne" w:cs="Times New Roman"/>
                <w:color w:val="000091"/>
                <w:sz w:val="20"/>
                <w:szCs w:val="20"/>
              </w:rPr>
              <w:t>2023</w:t>
            </w:r>
          </w:p>
        </w:tc>
        <w:tc>
          <w:tcPr>
            <w:tcW w:w="803" w:type="pct"/>
            <w:tcBorders>
              <w:top w:val="single" w:sz="8" w:space="0" w:color="FCC63A"/>
              <w:bottom w:val="single" w:sz="8" w:space="0" w:color="FCC63A"/>
            </w:tcBorders>
            <w:vAlign w:val="center"/>
          </w:tcPr>
          <w:p w14:paraId="2FAC581C" w14:textId="77777777" w:rsidR="00C96710" w:rsidRPr="00C96710" w:rsidRDefault="00C96710" w:rsidP="00C96710">
            <w:pPr>
              <w:spacing w:before="120" w:after="120"/>
              <w:jc w:val="center"/>
              <w:rPr>
                <w:rFonts w:ascii="Marianne" w:hAnsi="Marianne" w:cs="Times New Roman"/>
                <w:color w:val="000091"/>
                <w:sz w:val="20"/>
                <w:szCs w:val="20"/>
              </w:rPr>
            </w:pPr>
            <w:r w:rsidRPr="00C96710">
              <w:rPr>
                <w:rFonts w:ascii="Marianne" w:hAnsi="Marianne" w:cs="Times New Roman"/>
                <w:color w:val="000091"/>
                <w:sz w:val="20"/>
                <w:szCs w:val="20"/>
              </w:rPr>
              <w:t>2024</w:t>
            </w:r>
          </w:p>
        </w:tc>
        <w:tc>
          <w:tcPr>
            <w:tcW w:w="803" w:type="pct"/>
            <w:tcBorders>
              <w:top w:val="single" w:sz="8" w:space="0" w:color="FCC63A"/>
              <w:bottom w:val="single" w:sz="8" w:space="0" w:color="FCC63A"/>
              <w:right w:val="single" w:sz="8" w:space="0" w:color="FCC63A"/>
            </w:tcBorders>
            <w:shd w:val="clear" w:color="auto" w:fill="FEF3D7"/>
            <w:vAlign w:val="center"/>
          </w:tcPr>
          <w:p w14:paraId="01BCFB8C" w14:textId="4FB40636" w:rsidR="00C96710" w:rsidRPr="00C96710" w:rsidRDefault="00C96710" w:rsidP="00C96710">
            <w:pPr>
              <w:spacing w:before="120" w:after="120"/>
              <w:jc w:val="center"/>
              <w:rPr>
                <w:rFonts w:ascii="Marianne" w:hAnsi="Marianne" w:cs="Times New Roman"/>
                <w:color w:val="000091"/>
                <w:sz w:val="20"/>
                <w:szCs w:val="20"/>
              </w:rPr>
            </w:pPr>
            <w:r w:rsidRPr="00C96710">
              <w:rPr>
                <w:rFonts w:ascii="Marianne" w:hAnsi="Marianne" w:cs="Times New Roman"/>
                <w:color w:val="000091"/>
                <w:sz w:val="20"/>
                <w:szCs w:val="20"/>
              </w:rPr>
              <w:t>2025</w:t>
            </w:r>
          </w:p>
        </w:tc>
      </w:tr>
      <w:tr w:rsidR="00C96710" w:rsidRPr="00C96710" w14:paraId="04753957" w14:textId="77777777" w:rsidTr="00C96710">
        <w:tc>
          <w:tcPr>
            <w:tcW w:w="2592" w:type="pct"/>
            <w:tcBorders>
              <w:top w:val="nil"/>
              <w:left w:val="single" w:sz="8" w:space="0" w:color="FCC63A"/>
              <w:bottom w:val="nil"/>
            </w:tcBorders>
            <w:noWrap/>
          </w:tcPr>
          <w:p w14:paraId="1F5B2C97"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Croissance du PIB (%)</w:t>
            </w:r>
          </w:p>
        </w:tc>
        <w:tc>
          <w:tcPr>
            <w:tcW w:w="801" w:type="pct"/>
            <w:tcBorders>
              <w:top w:val="nil"/>
              <w:bottom w:val="nil"/>
            </w:tcBorders>
            <w:shd w:val="clear" w:color="auto" w:fill="FEF3D7"/>
            <w:vAlign w:val="center"/>
          </w:tcPr>
          <w:p w14:paraId="07CA57C1" w14:textId="77777777" w:rsidR="00C96710" w:rsidRPr="00C96710" w:rsidRDefault="00C96710" w:rsidP="00C96710">
            <w:pPr>
              <w:tabs>
                <w:tab w:val="decimal" w:pos="0"/>
              </w:tabs>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+2,3</w:t>
            </w:r>
          </w:p>
        </w:tc>
        <w:tc>
          <w:tcPr>
            <w:tcW w:w="803" w:type="pct"/>
            <w:vAlign w:val="center"/>
          </w:tcPr>
          <w:p w14:paraId="789531BF" w14:textId="77777777" w:rsidR="00C96710" w:rsidRPr="00C96710" w:rsidRDefault="00C96710" w:rsidP="00C96710">
            <w:pPr>
              <w:tabs>
                <w:tab w:val="decimal" w:pos="0"/>
              </w:tabs>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+1,9</w:t>
            </w:r>
          </w:p>
        </w:tc>
        <w:tc>
          <w:tcPr>
            <w:tcW w:w="803" w:type="pct"/>
            <w:tcBorders>
              <w:right w:val="single" w:sz="8" w:space="0" w:color="FCC63A"/>
            </w:tcBorders>
            <w:shd w:val="clear" w:color="auto" w:fill="FEF3D7"/>
            <w:vAlign w:val="center"/>
          </w:tcPr>
          <w:p w14:paraId="0EA253CB" w14:textId="75288B8E" w:rsidR="00C96710" w:rsidRPr="00C96710" w:rsidRDefault="002946BD" w:rsidP="00C96710">
            <w:pPr>
              <w:spacing w:line="276" w:lineRule="auto"/>
              <w:jc w:val="center"/>
              <w:rPr>
                <w:rFonts w:ascii="Marianne" w:hAnsi="Marianne" w:cs="Times New Roman"/>
                <w:color w:val="auto"/>
                <w:sz w:val="20"/>
                <w:szCs w:val="20"/>
              </w:rPr>
            </w:pPr>
            <w:r>
              <w:rPr>
                <w:rFonts w:ascii="Marianne" w:hAnsi="Marianne" w:cs="Times New Roman"/>
                <w:color w:val="auto"/>
                <w:sz w:val="20"/>
                <w:szCs w:val="20"/>
              </w:rPr>
              <w:t>+2</w:t>
            </w:r>
          </w:p>
        </w:tc>
      </w:tr>
      <w:tr w:rsidR="00C96710" w:rsidRPr="00C96710" w14:paraId="2C88DFDE" w14:textId="77777777" w:rsidTr="00C96710">
        <w:tc>
          <w:tcPr>
            <w:tcW w:w="2592" w:type="pct"/>
            <w:tcBorders>
              <w:top w:val="nil"/>
              <w:left w:val="single" w:sz="8" w:space="0" w:color="FCC63A"/>
              <w:bottom w:val="nil"/>
            </w:tcBorders>
            <w:noWrap/>
          </w:tcPr>
          <w:p w14:paraId="202560A0"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Solde public (% du PIB)</w:t>
            </w:r>
          </w:p>
        </w:tc>
        <w:tc>
          <w:tcPr>
            <w:tcW w:w="801" w:type="pct"/>
            <w:tcBorders>
              <w:top w:val="nil"/>
              <w:bottom w:val="nil"/>
            </w:tcBorders>
            <w:shd w:val="clear" w:color="auto" w:fill="FEF3D7"/>
            <w:vAlign w:val="center"/>
          </w:tcPr>
          <w:p w14:paraId="54F89F6F" w14:textId="77777777" w:rsidR="00C96710" w:rsidRPr="00C96710" w:rsidRDefault="00C96710" w:rsidP="00C96710">
            <w:pPr>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1,2</w:t>
            </w:r>
          </w:p>
        </w:tc>
        <w:tc>
          <w:tcPr>
            <w:tcW w:w="803" w:type="pct"/>
            <w:vAlign w:val="center"/>
          </w:tcPr>
          <w:p w14:paraId="61093FD6" w14:textId="77777777" w:rsidR="00C96710" w:rsidRPr="00C96710" w:rsidRDefault="00C96710" w:rsidP="00C96710">
            <w:pPr>
              <w:tabs>
                <w:tab w:val="decimal" w:pos="0"/>
              </w:tabs>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0,7</w:t>
            </w:r>
          </w:p>
        </w:tc>
        <w:tc>
          <w:tcPr>
            <w:tcW w:w="803" w:type="pct"/>
            <w:tcBorders>
              <w:right w:val="single" w:sz="8" w:space="0" w:color="FCC63A"/>
            </w:tcBorders>
            <w:shd w:val="clear" w:color="auto" w:fill="FEF3D7"/>
            <w:vAlign w:val="center"/>
          </w:tcPr>
          <w:p w14:paraId="3AE2DEC4" w14:textId="77777777" w:rsidR="00C96710" w:rsidRPr="00C96710" w:rsidRDefault="00C96710" w:rsidP="00C96710">
            <w:pPr>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0,3</w:t>
            </w:r>
          </w:p>
        </w:tc>
      </w:tr>
      <w:tr w:rsidR="00C96710" w:rsidRPr="00C96710" w14:paraId="1CBD6629" w14:textId="77777777" w:rsidTr="00C96710">
        <w:tc>
          <w:tcPr>
            <w:tcW w:w="2592" w:type="pct"/>
            <w:tcBorders>
              <w:top w:val="nil"/>
              <w:left w:val="single" w:sz="8" w:space="0" w:color="FCC63A"/>
              <w:bottom w:val="nil"/>
            </w:tcBorders>
            <w:noWrap/>
          </w:tcPr>
          <w:p w14:paraId="1A01193F"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Dette (% du PIB)</w:t>
            </w:r>
          </w:p>
        </w:tc>
        <w:tc>
          <w:tcPr>
            <w:tcW w:w="801" w:type="pct"/>
            <w:tcBorders>
              <w:top w:val="nil"/>
              <w:bottom w:val="nil"/>
            </w:tcBorders>
            <w:shd w:val="clear" w:color="auto" w:fill="FEF3D7"/>
            <w:vAlign w:val="center"/>
          </w:tcPr>
          <w:p w14:paraId="3732584F" w14:textId="77777777" w:rsidR="00C96710" w:rsidRPr="00C96710" w:rsidRDefault="00C96710" w:rsidP="00C96710">
            <w:pPr>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97,9</w:t>
            </w:r>
          </w:p>
        </w:tc>
        <w:tc>
          <w:tcPr>
            <w:tcW w:w="803" w:type="pct"/>
            <w:vAlign w:val="center"/>
          </w:tcPr>
          <w:p w14:paraId="2172A10C" w14:textId="77777777" w:rsidR="00C96710" w:rsidRPr="00C96710" w:rsidRDefault="00C96710" w:rsidP="00C96710">
            <w:pPr>
              <w:tabs>
                <w:tab w:val="decimal" w:pos="0"/>
              </w:tabs>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94,9</w:t>
            </w:r>
          </w:p>
        </w:tc>
        <w:tc>
          <w:tcPr>
            <w:tcW w:w="803" w:type="pct"/>
            <w:tcBorders>
              <w:right w:val="single" w:sz="8" w:space="0" w:color="FCC63A"/>
            </w:tcBorders>
            <w:shd w:val="clear" w:color="auto" w:fill="FEF3D7"/>
            <w:vAlign w:val="center"/>
          </w:tcPr>
          <w:p w14:paraId="459914BD" w14:textId="77777777" w:rsidR="00C96710" w:rsidRPr="00C96710" w:rsidRDefault="00C96710" w:rsidP="00C96710">
            <w:pPr>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93,3</w:t>
            </w:r>
          </w:p>
        </w:tc>
      </w:tr>
      <w:tr w:rsidR="00C96710" w:rsidRPr="00C96710" w14:paraId="073B0A6B" w14:textId="77777777" w:rsidTr="00C96710">
        <w:tc>
          <w:tcPr>
            <w:tcW w:w="2592" w:type="pct"/>
            <w:tcBorders>
              <w:top w:val="nil"/>
              <w:left w:val="single" w:sz="8" w:space="0" w:color="FCC63A"/>
              <w:bottom w:val="nil"/>
            </w:tcBorders>
            <w:noWrap/>
          </w:tcPr>
          <w:p w14:paraId="29050205"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Taux de chômage (% PA)</w:t>
            </w:r>
          </w:p>
        </w:tc>
        <w:tc>
          <w:tcPr>
            <w:tcW w:w="801" w:type="pct"/>
            <w:tcBorders>
              <w:top w:val="nil"/>
              <w:bottom w:val="nil"/>
            </w:tcBorders>
            <w:shd w:val="clear" w:color="auto" w:fill="FEF3D7"/>
            <w:vAlign w:val="center"/>
          </w:tcPr>
          <w:p w14:paraId="402B4C76" w14:textId="77777777" w:rsidR="00C96710" w:rsidRPr="00C96710" w:rsidRDefault="00C96710" w:rsidP="00C96710">
            <w:pPr>
              <w:tabs>
                <w:tab w:val="decimal" w:pos="0"/>
              </w:tabs>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6,5</w:t>
            </w:r>
          </w:p>
        </w:tc>
        <w:tc>
          <w:tcPr>
            <w:tcW w:w="803" w:type="pct"/>
            <w:tcBorders>
              <w:bottom w:val="nil"/>
            </w:tcBorders>
            <w:vAlign w:val="center"/>
          </w:tcPr>
          <w:p w14:paraId="5821321E" w14:textId="77777777" w:rsidR="00C96710" w:rsidRPr="00C96710" w:rsidRDefault="00C96710" w:rsidP="00C96710">
            <w:pPr>
              <w:tabs>
                <w:tab w:val="decimal" w:pos="0"/>
              </w:tabs>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6,4</w:t>
            </w:r>
          </w:p>
        </w:tc>
        <w:tc>
          <w:tcPr>
            <w:tcW w:w="803" w:type="pct"/>
            <w:tcBorders>
              <w:bottom w:val="nil"/>
              <w:right w:val="single" w:sz="8" w:space="0" w:color="FCC63A"/>
            </w:tcBorders>
            <w:shd w:val="clear" w:color="auto" w:fill="FEF3D7"/>
            <w:vAlign w:val="center"/>
          </w:tcPr>
          <w:p w14:paraId="0C8C8E48" w14:textId="77777777" w:rsidR="00C96710" w:rsidRPr="00C96710" w:rsidRDefault="00C96710" w:rsidP="00C96710">
            <w:pPr>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6,4</w:t>
            </w:r>
          </w:p>
        </w:tc>
      </w:tr>
      <w:tr w:rsidR="00C96710" w:rsidRPr="00C96710" w14:paraId="7F01A823" w14:textId="77777777" w:rsidTr="00C96710">
        <w:trPr>
          <w:cnfStyle w:val="010000000000" w:firstRow="0" w:lastRow="1" w:firstColumn="0" w:lastColumn="0" w:oddVBand="0" w:evenVBand="0" w:oddHBand="0" w:evenHBand="0" w:firstRowFirstColumn="0" w:firstRowLastColumn="0" w:lastRowFirstColumn="0" w:lastRowLastColumn="0"/>
        </w:trPr>
        <w:tc>
          <w:tcPr>
            <w:tcW w:w="2592" w:type="pct"/>
            <w:tcBorders>
              <w:top w:val="nil"/>
              <w:left w:val="single" w:sz="8" w:space="0" w:color="FCC63A"/>
              <w:bottom w:val="single" w:sz="8" w:space="0" w:color="FCC63A"/>
            </w:tcBorders>
            <w:shd w:val="clear" w:color="auto" w:fill="auto"/>
            <w:noWrap/>
          </w:tcPr>
          <w:p w14:paraId="7F0B6F6D" w14:textId="77777777" w:rsidR="00C96710" w:rsidRPr="00725E04" w:rsidRDefault="00C96710" w:rsidP="00C96710">
            <w:pPr>
              <w:rPr>
                <w:rFonts w:ascii="Marianne" w:hAnsi="Marianne" w:cs="Times New Roman"/>
                <w:b w:val="0"/>
                <w:bCs w:val="0"/>
                <w:color w:val="000091"/>
                <w:sz w:val="20"/>
                <w:szCs w:val="20"/>
              </w:rPr>
            </w:pPr>
            <w:r w:rsidRPr="00725E04">
              <w:rPr>
                <w:rFonts w:ascii="Marianne" w:hAnsi="Marianne" w:cs="Times New Roman"/>
                <w:b w:val="0"/>
                <w:bCs w:val="0"/>
                <w:color w:val="000091"/>
                <w:sz w:val="20"/>
                <w:szCs w:val="20"/>
              </w:rPr>
              <w:t>Indice harmonisé des prix à la consommation (%)</w:t>
            </w:r>
          </w:p>
        </w:tc>
        <w:tc>
          <w:tcPr>
            <w:tcW w:w="801" w:type="pct"/>
            <w:tcBorders>
              <w:top w:val="nil"/>
              <w:bottom w:val="single" w:sz="8" w:space="0" w:color="FCC63A"/>
            </w:tcBorders>
            <w:shd w:val="clear" w:color="auto" w:fill="FEF3D7"/>
            <w:vAlign w:val="center"/>
          </w:tcPr>
          <w:p w14:paraId="74BEB084" w14:textId="77777777" w:rsidR="00C96710" w:rsidRPr="00725E04" w:rsidRDefault="00C96710" w:rsidP="00C96710">
            <w:pPr>
              <w:jc w:val="center"/>
              <w:rPr>
                <w:rFonts w:ascii="Marianne" w:hAnsi="Marianne" w:cs="Times New Roman"/>
                <w:b w:val="0"/>
                <w:bCs w:val="0"/>
                <w:iCs/>
                <w:color w:val="auto"/>
                <w:sz w:val="20"/>
                <w:szCs w:val="20"/>
              </w:rPr>
            </w:pPr>
            <w:r w:rsidRPr="00725E04">
              <w:rPr>
                <w:rFonts w:ascii="Marianne" w:hAnsi="Marianne" w:cs="Times New Roman"/>
                <w:b w:val="0"/>
                <w:bCs w:val="0"/>
                <w:iCs/>
                <w:color w:val="auto"/>
                <w:sz w:val="20"/>
                <w:szCs w:val="20"/>
              </w:rPr>
              <w:t>+5,3</w:t>
            </w:r>
          </w:p>
        </w:tc>
        <w:tc>
          <w:tcPr>
            <w:tcW w:w="803" w:type="pct"/>
            <w:tcBorders>
              <w:top w:val="nil"/>
              <w:bottom w:val="single" w:sz="8" w:space="0" w:color="FCC63A"/>
            </w:tcBorders>
            <w:shd w:val="clear" w:color="auto" w:fill="auto"/>
            <w:vAlign w:val="center"/>
          </w:tcPr>
          <w:p w14:paraId="5286A4F9" w14:textId="77777777" w:rsidR="00C96710" w:rsidRPr="00725E04" w:rsidRDefault="00C96710" w:rsidP="00C96710">
            <w:pPr>
              <w:tabs>
                <w:tab w:val="decimal" w:pos="0"/>
              </w:tabs>
              <w:jc w:val="center"/>
              <w:rPr>
                <w:rFonts w:ascii="Marianne" w:hAnsi="Marianne" w:cs="Times New Roman"/>
                <w:b w:val="0"/>
                <w:bCs w:val="0"/>
                <w:color w:val="auto"/>
                <w:sz w:val="20"/>
                <w:szCs w:val="20"/>
              </w:rPr>
            </w:pPr>
            <w:r w:rsidRPr="00725E04">
              <w:rPr>
                <w:rFonts w:ascii="Marianne" w:hAnsi="Marianne" w:cs="Times New Roman"/>
                <w:b w:val="0"/>
                <w:bCs w:val="0"/>
                <w:color w:val="auto"/>
                <w:sz w:val="20"/>
                <w:szCs w:val="20"/>
              </w:rPr>
              <w:t>+2,7</w:t>
            </w:r>
          </w:p>
        </w:tc>
        <w:tc>
          <w:tcPr>
            <w:tcW w:w="803" w:type="pct"/>
            <w:tcBorders>
              <w:top w:val="nil"/>
              <w:bottom w:val="single" w:sz="8" w:space="0" w:color="FCC63A"/>
              <w:right w:val="single" w:sz="8" w:space="0" w:color="FCC63A"/>
            </w:tcBorders>
            <w:shd w:val="clear" w:color="auto" w:fill="FEF3D7"/>
            <w:vAlign w:val="center"/>
          </w:tcPr>
          <w:p w14:paraId="1273C963" w14:textId="11DBADA9" w:rsidR="00C96710" w:rsidRPr="00725E04" w:rsidRDefault="00C96710" w:rsidP="00C96710">
            <w:pPr>
              <w:jc w:val="center"/>
              <w:rPr>
                <w:rFonts w:ascii="Marianne" w:hAnsi="Marianne" w:cs="Times New Roman"/>
                <w:b w:val="0"/>
                <w:bCs w:val="0"/>
                <w:color w:val="auto"/>
                <w:sz w:val="20"/>
                <w:szCs w:val="20"/>
              </w:rPr>
            </w:pPr>
            <w:r w:rsidRPr="00725E04">
              <w:rPr>
                <w:rFonts w:ascii="Marianne" w:hAnsi="Marianne" w:cs="Times New Roman"/>
                <w:b w:val="0"/>
                <w:bCs w:val="0"/>
                <w:color w:val="auto"/>
                <w:sz w:val="20"/>
                <w:szCs w:val="20"/>
              </w:rPr>
              <w:t>+2,</w:t>
            </w:r>
            <w:r w:rsidR="002946BD" w:rsidRPr="00725E04">
              <w:rPr>
                <w:rFonts w:ascii="Marianne" w:hAnsi="Marianne" w:cs="Times New Roman"/>
                <w:b w:val="0"/>
                <w:bCs w:val="0"/>
                <w:color w:val="auto"/>
                <w:sz w:val="20"/>
                <w:szCs w:val="20"/>
              </w:rPr>
              <w:t>3</w:t>
            </w:r>
          </w:p>
        </w:tc>
      </w:tr>
    </w:tbl>
    <w:p w14:paraId="7D9C4A5C" w14:textId="71916DD6" w:rsidR="00C96710" w:rsidRPr="00C96710" w:rsidRDefault="00C96710" w:rsidP="00C96710">
      <w:pPr>
        <w:spacing w:after="120" w:line="259" w:lineRule="auto"/>
        <w:ind w:left="851" w:right="992"/>
        <w:jc w:val="right"/>
        <w:rPr>
          <w:rFonts w:ascii="Marianne Light" w:eastAsia="Calibri" w:hAnsi="Marianne Light" w:cs="Times New Roman"/>
          <w:sz w:val="18"/>
          <w:szCs w:val="18"/>
          <w:lang w:eastAsia="en-US"/>
        </w:rPr>
      </w:pPr>
      <w:r w:rsidRPr="00C96710">
        <w:rPr>
          <w:rFonts w:ascii="Marianne Light" w:eastAsia="Calibri" w:hAnsi="Marianne Light" w:cs="Times New Roman"/>
          <w:sz w:val="18"/>
          <w:szCs w:val="18"/>
          <w:u w:val="single"/>
          <w:lang w:eastAsia="en-US"/>
        </w:rPr>
        <w:t>Source</w:t>
      </w:r>
      <w:r w:rsidRPr="00C96710">
        <w:rPr>
          <w:rFonts w:eastAsia="Calibri"/>
          <w:sz w:val="18"/>
          <w:szCs w:val="18"/>
          <w:lang w:eastAsia="en-US"/>
        </w:rPr>
        <w:t xml:space="preserve"> </w:t>
      </w:r>
      <w:r w:rsidRPr="00C96710">
        <w:rPr>
          <w:rFonts w:ascii="Marianne Light" w:eastAsia="Calibri" w:hAnsi="Marianne Light" w:cs="Times New Roman"/>
          <w:sz w:val="18"/>
          <w:szCs w:val="18"/>
          <w:lang w:eastAsia="en-US"/>
        </w:rPr>
        <w:t xml:space="preserve">: Banque du Portugal / INE, </w:t>
      </w:r>
      <w:r w:rsidR="002946BD">
        <w:rPr>
          <w:rFonts w:ascii="Marianne Light" w:eastAsia="Calibri" w:hAnsi="Marianne Light" w:cs="Times New Roman"/>
          <w:sz w:val="18"/>
          <w:szCs w:val="18"/>
          <w:lang w:eastAsia="en-US"/>
        </w:rPr>
        <w:t>Janvier</w:t>
      </w:r>
      <w:r w:rsidRPr="00C96710">
        <w:rPr>
          <w:rFonts w:ascii="Marianne Light" w:eastAsia="Calibri" w:hAnsi="Marianne Light" w:cs="Times New Roman"/>
          <w:sz w:val="18"/>
          <w:szCs w:val="18"/>
          <w:lang w:eastAsia="en-US"/>
        </w:rPr>
        <w:t xml:space="preserve"> 202</w:t>
      </w:r>
      <w:r w:rsidR="002946BD">
        <w:rPr>
          <w:rFonts w:ascii="Marianne Light" w:eastAsia="Calibri" w:hAnsi="Marianne Light" w:cs="Times New Roman"/>
          <w:sz w:val="18"/>
          <w:szCs w:val="18"/>
          <w:lang w:eastAsia="en-US"/>
        </w:rPr>
        <w:t>6</w:t>
      </w:r>
    </w:p>
    <w:tbl>
      <w:tblPr>
        <w:tblStyle w:val="Trameclaire-Accent11"/>
        <w:tblW w:w="5000" w:type="pct"/>
        <w:tblLook w:val="0660" w:firstRow="1" w:lastRow="1" w:firstColumn="0" w:lastColumn="0" w:noHBand="1" w:noVBand="1"/>
      </w:tblPr>
      <w:tblGrid>
        <w:gridCol w:w="4454"/>
        <w:gridCol w:w="4598"/>
      </w:tblGrid>
      <w:tr w:rsidR="00C96710" w:rsidRPr="00C96710" w14:paraId="5F52E95A" w14:textId="77777777" w:rsidTr="00C96710">
        <w:trPr>
          <w:cnfStyle w:val="100000000000" w:firstRow="1" w:lastRow="0" w:firstColumn="0" w:lastColumn="0" w:oddVBand="0" w:evenVBand="0" w:oddHBand="0" w:evenHBand="0" w:firstRowFirstColumn="0" w:firstRowLastColumn="0" w:lastRowFirstColumn="0" w:lastRowLastColumn="0"/>
        </w:trPr>
        <w:tc>
          <w:tcPr>
            <w:tcW w:w="2460" w:type="pct"/>
            <w:tcBorders>
              <w:top w:val="single" w:sz="8" w:space="0" w:color="FCC63A"/>
              <w:left w:val="single" w:sz="8" w:space="0" w:color="FCC63A"/>
              <w:bottom w:val="single" w:sz="8" w:space="0" w:color="FCC63A"/>
            </w:tcBorders>
            <w:noWrap/>
            <w:vAlign w:val="center"/>
          </w:tcPr>
          <w:bookmarkEnd w:id="0"/>
          <w:p w14:paraId="6FDDB12B" w14:textId="77777777" w:rsidR="00C96710" w:rsidRPr="00C96710" w:rsidRDefault="00C96710" w:rsidP="00C96710">
            <w:pPr>
              <w:spacing w:before="120" w:after="120"/>
              <w:jc w:val="center"/>
              <w:rPr>
                <w:rFonts w:ascii="Marianne" w:hAnsi="Marianne" w:cs="Times New Roman"/>
                <w:color w:val="000091"/>
                <w:sz w:val="20"/>
                <w:szCs w:val="20"/>
              </w:rPr>
            </w:pPr>
            <w:r w:rsidRPr="00C96710">
              <w:rPr>
                <w:rFonts w:ascii="Marianne" w:hAnsi="Marianne" w:cs="Times New Roman"/>
                <w:color w:val="000091"/>
                <w:sz w:val="20"/>
                <w:szCs w:val="20"/>
              </w:rPr>
              <w:t>Indicateurs du commerce extérieur</w:t>
            </w:r>
          </w:p>
        </w:tc>
        <w:tc>
          <w:tcPr>
            <w:tcW w:w="2540" w:type="pct"/>
            <w:tcBorders>
              <w:top w:val="single" w:sz="8" w:space="0" w:color="FCC63A"/>
              <w:bottom w:val="single" w:sz="8" w:space="0" w:color="FCC63A"/>
              <w:right w:val="single" w:sz="8" w:space="0" w:color="FCC63A"/>
            </w:tcBorders>
            <w:shd w:val="clear" w:color="auto" w:fill="FEF3D7"/>
            <w:vAlign w:val="center"/>
          </w:tcPr>
          <w:p w14:paraId="26E2A14E" w14:textId="50C875C5" w:rsidR="00C96710" w:rsidRPr="00C96710" w:rsidRDefault="00C96710" w:rsidP="00C96710">
            <w:pPr>
              <w:spacing w:before="120" w:after="120"/>
              <w:jc w:val="center"/>
              <w:rPr>
                <w:rFonts w:ascii="Marianne" w:hAnsi="Marianne" w:cs="Times New Roman"/>
                <w:color w:val="000091"/>
                <w:sz w:val="20"/>
                <w:szCs w:val="20"/>
              </w:rPr>
            </w:pPr>
            <w:r w:rsidRPr="00C96710">
              <w:rPr>
                <w:rFonts w:ascii="Marianne" w:hAnsi="Marianne" w:cs="Times New Roman"/>
                <w:color w:val="000091"/>
                <w:sz w:val="20"/>
                <w:szCs w:val="20"/>
              </w:rPr>
              <w:t xml:space="preserve">Janvier – </w:t>
            </w:r>
            <w:r w:rsidR="002946BD">
              <w:rPr>
                <w:rFonts w:ascii="Marianne" w:hAnsi="Marianne" w:cs="Times New Roman"/>
                <w:color w:val="000091"/>
                <w:sz w:val="20"/>
                <w:szCs w:val="20"/>
              </w:rPr>
              <w:t>Novembre</w:t>
            </w:r>
            <w:r w:rsidRPr="00C96710">
              <w:rPr>
                <w:rFonts w:ascii="Marianne" w:hAnsi="Marianne" w:cs="Times New Roman"/>
                <w:color w:val="000091"/>
                <w:sz w:val="20"/>
                <w:szCs w:val="20"/>
              </w:rPr>
              <w:t xml:space="preserve"> 2025</w:t>
            </w:r>
          </w:p>
        </w:tc>
      </w:tr>
      <w:tr w:rsidR="00C96710" w:rsidRPr="00C96710" w14:paraId="75D9D6C6" w14:textId="77777777" w:rsidTr="00C96710">
        <w:tc>
          <w:tcPr>
            <w:tcW w:w="2460" w:type="pct"/>
            <w:tcBorders>
              <w:top w:val="nil"/>
              <w:left w:val="single" w:sz="8" w:space="0" w:color="FCC63A"/>
              <w:bottom w:val="nil"/>
            </w:tcBorders>
            <w:noWrap/>
          </w:tcPr>
          <w:p w14:paraId="0ACF0E7F"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Exportations de biens (Md€)</w:t>
            </w:r>
          </w:p>
        </w:tc>
        <w:tc>
          <w:tcPr>
            <w:tcW w:w="2540" w:type="pct"/>
            <w:tcBorders>
              <w:right w:val="single" w:sz="8" w:space="0" w:color="FCC63A"/>
            </w:tcBorders>
            <w:shd w:val="clear" w:color="auto" w:fill="FEF3D7"/>
            <w:vAlign w:val="center"/>
          </w:tcPr>
          <w:p w14:paraId="446BC7B9" w14:textId="77777777" w:rsidR="00C96710" w:rsidRPr="00C96710" w:rsidRDefault="00C96710" w:rsidP="00C96710">
            <w:pPr>
              <w:spacing w:line="276" w:lineRule="auto"/>
              <w:jc w:val="center"/>
              <w:rPr>
                <w:rFonts w:ascii="Marianne" w:hAnsi="Marianne" w:cs="Times New Roman"/>
                <w:color w:val="000000"/>
                <w:sz w:val="20"/>
                <w:szCs w:val="20"/>
              </w:rPr>
            </w:pPr>
            <w:r w:rsidRPr="00C96710">
              <w:rPr>
                <w:rFonts w:ascii="Marianne" w:hAnsi="Marianne" w:cs="Times New Roman"/>
                <w:color w:val="000000"/>
                <w:sz w:val="20"/>
                <w:szCs w:val="20"/>
              </w:rPr>
              <w:t>60,3 (+1,86 % en glissement annuel)</w:t>
            </w:r>
          </w:p>
        </w:tc>
      </w:tr>
      <w:tr w:rsidR="00C96710" w:rsidRPr="00C96710" w14:paraId="2CE46E0A" w14:textId="77777777" w:rsidTr="00C96710">
        <w:tc>
          <w:tcPr>
            <w:tcW w:w="2460" w:type="pct"/>
            <w:tcBorders>
              <w:top w:val="nil"/>
              <w:left w:val="single" w:sz="8" w:space="0" w:color="FCC63A"/>
              <w:bottom w:val="nil"/>
            </w:tcBorders>
            <w:noWrap/>
          </w:tcPr>
          <w:p w14:paraId="41117093"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Importations de biens (Md€)</w:t>
            </w:r>
          </w:p>
        </w:tc>
        <w:tc>
          <w:tcPr>
            <w:tcW w:w="2540" w:type="pct"/>
            <w:tcBorders>
              <w:right w:val="single" w:sz="8" w:space="0" w:color="FCC63A"/>
            </w:tcBorders>
            <w:shd w:val="clear" w:color="auto" w:fill="FEF3D7"/>
            <w:vAlign w:val="center"/>
          </w:tcPr>
          <w:p w14:paraId="5518A0FA" w14:textId="77777777" w:rsidR="00C96710" w:rsidRPr="00C96710" w:rsidRDefault="00C96710" w:rsidP="00C96710">
            <w:pPr>
              <w:spacing w:line="276" w:lineRule="auto"/>
              <w:jc w:val="center"/>
              <w:rPr>
                <w:rFonts w:ascii="Marianne" w:hAnsi="Marianne" w:cs="Times New Roman"/>
                <w:color w:val="000000"/>
                <w:sz w:val="20"/>
                <w:szCs w:val="20"/>
              </w:rPr>
            </w:pPr>
            <w:r w:rsidRPr="00C96710">
              <w:rPr>
                <w:rFonts w:ascii="Marianne" w:hAnsi="Marianne" w:cs="Times New Roman"/>
                <w:color w:val="000000"/>
                <w:sz w:val="20"/>
                <w:szCs w:val="20"/>
              </w:rPr>
              <w:t xml:space="preserve">84,3 (+6,6 % en </w:t>
            </w:r>
            <w:proofErr w:type="spellStart"/>
            <w:r w:rsidRPr="00C96710">
              <w:rPr>
                <w:rFonts w:ascii="Marianne" w:hAnsi="Marianne" w:cs="Times New Roman"/>
                <w:color w:val="000000"/>
                <w:sz w:val="20"/>
                <w:szCs w:val="20"/>
              </w:rPr>
              <w:t>g.a</w:t>
            </w:r>
            <w:proofErr w:type="spellEnd"/>
            <w:r w:rsidRPr="00C96710">
              <w:rPr>
                <w:rFonts w:ascii="Marianne" w:hAnsi="Marianne" w:cs="Times New Roman"/>
                <w:color w:val="000000"/>
                <w:sz w:val="20"/>
                <w:szCs w:val="20"/>
              </w:rPr>
              <w:t>.)</w:t>
            </w:r>
          </w:p>
        </w:tc>
      </w:tr>
      <w:tr w:rsidR="00C96710" w:rsidRPr="00C96710" w14:paraId="02837FCF" w14:textId="77777777" w:rsidTr="00C96710">
        <w:tc>
          <w:tcPr>
            <w:tcW w:w="2460" w:type="pct"/>
            <w:tcBorders>
              <w:top w:val="nil"/>
              <w:left w:val="single" w:sz="8" w:space="0" w:color="FCC63A"/>
              <w:bottom w:val="nil"/>
            </w:tcBorders>
            <w:noWrap/>
          </w:tcPr>
          <w:p w14:paraId="525E3998" w14:textId="77777777" w:rsidR="00C96710" w:rsidRPr="00725E04" w:rsidRDefault="00C96710" w:rsidP="00C96710">
            <w:pPr>
              <w:rPr>
                <w:rFonts w:ascii="Marianne" w:hAnsi="Marianne" w:cs="Times New Roman"/>
                <w:color w:val="000091"/>
                <w:sz w:val="8"/>
                <w:szCs w:val="8"/>
              </w:rPr>
            </w:pPr>
          </w:p>
        </w:tc>
        <w:tc>
          <w:tcPr>
            <w:tcW w:w="2540" w:type="pct"/>
            <w:tcBorders>
              <w:bottom w:val="nil"/>
              <w:right w:val="single" w:sz="8" w:space="0" w:color="FCC63A"/>
            </w:tcBorders>
            <w:shd w:val="clear" w:color="auto" w:fill="FEF3D7"/>
            <w:vAlign w:val="center"/>
          </w:tcPr>
          <w:p w14:paraId="03D44C65" w14:textId="77777777" w:rsidR="00C96710" w:rsidRPr="00C96710" w:rsidRDefault="00C96710" w:rsidP="002946BD">
            <w:pPr>
              <w:spacing w:line="276" w:lineRule="auto"/>
              <w:rPr>
                <w:rFonts w:ascii="Marianne" w:hAnsi="Marianne" w:cs="Times New Roman"/>
                <w:sz w:val="20"/>
                <w:szCs w:val="20"/>
              </w:rPr>
            </w:pPr>
          </w:p>
        </w:tc>
      </w:tr>
      <w:tr w:rsidR="00C96710" w:rsidRPr="00C96710" w14:paraId="09A22A57" w14:textId="77777777" w:rsidTr="00C96710">
        <w:tc>
          <w:tcPr>
            <w:tcW w:w="2460" w:type="pct"/>
            <w:tcBorders>
              <w:top w:val="nil"/>
              <w:left w:val="single" w:sz="8" w:space="0" w:color="FCC63A"/>
              <w:bottom w:val="nil"/>
            </w:tcBorders>
            <w:noWrap/>
          </w:tcPr>
          <w:p w14:paraId="09CAD5C2" w14:textId="77777777" w:rsidR="00C96710" w:rsidRPr="00725E04" w:rsidRDefault="00C96710" w:rsidP="00C96710">
            <w:pPr>
              <w:rPr>
                <w:rFonts w:ascii="Marianne" w:hAnsi="Marianne" w:cs="Times New Roman"/>
                <w:color w:val="000091"/>
                <w:sz w:val="20"/>
                <w:szCs w:val="20"/>
              </w:rPr>
            </w:pPr>
            <w:r w:rsidRPr="00725E04">
              <w:rPr>
                <w:rFonts w:ascii="Marianne" w:hAnsi="Marianne" w:cs="Times New Roman"/>
                <w:color w:val="000091"/>
                <w:sz w:val="20"/>
                <w:szCs w:val="20"/>
              </w:rPr>
              <w:t>Exportations de services (Md€)</w:t>
            </w:r>
          </w:p>
        </w:tc>
        <w:tc>
          <w:tcPr>
            <w:tcW w:w="2540" w:type="pct"/>
            <w:tcBorders>
              <w:bottom w:val="nil"/>
              <w:right w:val="single" w:sz="8" w:space="0" w:color="FCC63A"/>
            </w:tcBorders>
            <w:shd w:val="clear" w:color="auto" w:fill="FEF3D7"/>
            <w:vAlign w:val="center"/>
          </w:tcPr>
          <w:p w14:paraId="457737BD" w14:textId="77777777" w:rsidR="00C96710" w:rsidRPr="00C96710" w:rsidRDefault="00C96710" w:rsidP="00C96710">
            <w:pPr>
              <w:spacing w:line="276" w:lineRule="auto"/>
              <w:jc w:val="center"/>
              <w:rPr>
                <w:rFonts w:ascii="Marianne" w:hAnsi="Marianne" w:cs="Times New Roman"/>
                <w:color w:val="auto"/>
                <w:sz w:val="20"/>
                <w:szCs w:val="20"/>
              </w:rPr>
            </w:pPr>
            <w:r w:rsidRPr="00C96710">
              <w:rPr>
                <w:rFonts w:ascii="Marianne" w:hAnsi="Marianne" w:cs="Times New Roman"/>
                <w:color w:val="auto"/>
                <w:sz w:val="20"/>
                <w:szCs w:val="20"/>
              </w:rPr>
              <w:t xml:space="preserve">46,4 (-4,7 % en </w:t>
            </w:r>
            <w:proofErr w:type="spellStart"/>
            <w:r w:rsidRPr="00C96710">
              <w:rPr>
                <w:rFonts w:ascii="Marianne" w:hAnsi="Marianne" w:cs="Times New Roman"/>
                <w:color w:val="auto"/>
                <w:sz w:val="20"/>
                <w:szCs w:val="20"/>
              </w:rPr>
              <w:t>g.a</w:t>
            </w:r>
            <w:proofErr w:type="spellEnd"/>
            <w:r w:rsidRPr="00C96710">
              <w:rPr>
                <w:rFonts w:ascii="Marianne" w:hAnsi="Marianne" w:cs="Times New Roman"/>
                <w:color w:val="auto"/>
                <w:sz w:val="20"/>
                <w:szCs w:val="20"/>
              </w:rPr>
              <w:t>.)</w:t>
            </w:r>
          </w:p>
        </w:tc>
      </w:tr>
      <w:tr w:rsidR="00C96710" w:rsidRPr="00C96710" w14:paraId="4743F712" w14:textId="77777777" w:rsidTr="00C96710">
        <w:trPr>
          <w:cnfStyle w:val="010000000000" w:firstRow="0" w:lastRow="1" w:firstColumn="0" w:lastColumn="0" w:oddVBand="0" w:evenVBand="0" w:oddHBand="0" w:evenHBand="0" w:firstRowFirstColumn="0" w:firstRowLastColumn="0" w:lastRowFirstColumn="0" w:lastRowLastColumn="0"/>
        </w:trPr>
        <w:tc>
          <w:tcPr>
            <w:tcW w:w="2460" w:type="pct"/>
            <w:tcBorders>
              <w:top w:val="nil"/>
              <w:left w:val="single" w:sz="8" w:space="0" w:color="FCC63A"/>
              <w:bottom w:val="single" w:sz="12" w:space="0" w:color="FCC63A"/>
            </w:tcBorders>
            <w:shd w:val="clear" w:color="auto" w:fill="auto"/>
            <w:noWrap/>
          </w:tcPr>
          <w:p w14:paraId="2D3F0A3F" w14:textId="77777777" w:rsidR="00C96710" w:rsidRPr="00725E04" w:rsidRDefault="00C96710" w:rsidP="00C96710">
            <w:pPr>
              <w:rPr>
                <w:rFonts w:ascii="Marianne" w:hAnsi="Marianne" w:cs="Times New Roman"/>
                <w:b w:val="0"/>
                <w:bCs w:val="0"/>
                <w:color w:val="000091"/>
                <w:sz w:val="20"/>
                <w:szCs w:val="20"/>
              </w:rPr>
            </w:pPr>
            <w:r w:rsidRPr="00725E04">
              <w:rPr>
                <w:rFonts w:ascii="Marianne" w:hAnsi="Marianne" w:cs="Times New Roman"/>
                <w:b w:val="0"/>
                <w:bCs w:val="0"/>
                <w:color w:val="000091"/>
                <w:sz w:val="20"/>
                <w:szCs w:val="20"/>
              </w:rPr>
              <w:t>Importations de services (Md€)</w:t>
            </w:r>
          </w:p>
        </w:tc>
        <w:tc>
          <w:tcPr>
            <w:tcW w:w="2540" w:type="pct"/>
            <w:tcBorders>
              <w:top w:val="nil"/>
              <w:bottom w:val="single" w:sz="8" w:space="0" w:color="FCC63A"/>
              <w:right w:val="single" w:sz="8" w:space="0" w:color="FCC63A"/>
            </w:tcBorders>
            <w:shd w:val="clear" w:color="auto" w:fill="FEF3D7"/>
            <w:vAlign w:val="center"/>
          </w:tcPr>
          <w:p w14:paraId="6678E707" w14:textId="77777777" w:rsidR="00C96710" w:rsidRPr="002946BD" w:rsidRDefault="00C96710" w:rsidP="00C96710">
            <w:pPr>
              <w:jc w:val="center"/>
              <w:rPr>
                <w:rFonts w:ascii="Marianne" w:hAnsi="Marianne" w:cs="Times New Roman"/>
                <w:b w:val="0"/>
                <w:bCs w:val="0"/>
                <w:color w:val="auto"/>
                <w:sz w:val="20"/>
                <w:szCs w:val="20"/>
              </w:rPr>
            </w:pPr>
            <w:r w:rsidRPr="002946BD">
              <w:rPr>
                <w:rFonts w:ascii="Marianne" w:hAnsi="Marianne" w:cs="Times New Roman"/>
                <w:b w:val="0"/>
                <w:bCs w:val="0"/>
                <w:color w:val="auto"/>
                <w:sz w:val="20"/>
                <w:szCs w:val="20"/>
              </w:rPr>
              <w:t xml:space="preserve">20,05 (-3,4 % en </w:t>
            </w:r>
            <w:proofErr w:type="spellStart"/>
            <w:r w:rsidRPr="002946BD">
              <w:rPr>
                <w:rFonts w:ascii="Marianne" w:hAnsi="Marianne" w:cs="Times New Roman"/>
                <w:b w:val="0"/>
                <w:bCs w:val="0"/>
                <w:color w:val="auto"/>
                <w:sz w:val="20"/>
                <w:szCs w:val="20"/>
              </w:rPr>
              <w:t>g.a</w:t>
            </w:r>
            <w:proofErr w:type="spellEnd"/>
            <w:r w:rsidRPr="002946BD">
              <w:rPr>
                <w:rFonts w:ascii="Marianne" w:hAnsi="Marianne" w:cs="Times New Roman"/>
                <w:b w:val="0"/>
                <w:bCs w:val="0"/>
                <w:color w:val="auto"/>
                <w:sz w:val="20"/>
                <w:szCs w:val="20"/>
              </w:rPr>
              <w:t>.)</w:t>
            </w:r>
          </w:p>
        </w:tc>
      </w:tr>
    </w:tbl>
    <w:p w14:paraId="156A4D3A" w14:textId="2008A9B8" w:rsidR="00C96710" w:rsidRPr="00C96710" w:rsidRDefault="00C96710" w:rsidP="00C96710">
      <w:pPr>
        <w:spacing w:after="120" w:line="259" w:lineRule="auto"/>
        <w:ind w:left="851" w:right="992"/>
        <w:jc w:val="right"/>
        <w:rPr>
          <w:rFonts w:ascii="Marianne Light" w:eastAsia="Calibri" w:hAnsi="Marianne Light" w:cs="Times New Roman"/>
          <w:sz w:val="18"/>
          <w:szCs w:val="18"/>
          <w:lang w:eastAsia="en-US"/>
        </w:rPr>
      </w:pPr>
      <w:r w:rsidRPr="00C96710">
        <w:rPr>
          <w:rFonts w:ascii="Marianne Light" w:eastAsia="Calibri" w:hAnsi="Marianne Light" w:cs="Times New Roman"/>
          <w:sz w:val="18"/>
          <w:szCs w:val="18"/>
          <w:u w:val="single"/>
          <w:lang w:eastAsia="en-US"/>
        </w:rPr>
        <w:t>Source</w:t>
      </w:r>
      <w:r w:rsidRPr="00C96710">
        <w:rPr>
          <w:rFonts w:eastAsia="Calibri"/>
          <w:sz w:val="18"/>
          <w:szCs w:val="18"/>
          <w:lang w:eastAsia="en-US"/>
        </w:rPr>
        <w:t xml:space="preserve"> </w:t>
      </w:r>
      <w:r w:rsidRPr="00C96710">
        <w:rPr>
          <w:rFonts w:ascii="Marianne Light" w:eastAsia="Calibri" w:hAnsi="Marianne Light" w:cs="Times New Roman"/>
          <w:sz w:val="18"/>
          <w:szCs w:val="18"/>
          <w:lang w:eastAsia="en-US"/>
        </w:rPr>
        <w:t xml:space="preserve">: Banque du Portugal, </w:t>
      </w:r>
      <w:r w:rsidR="002946BD">
        <w:rPr>
          <w:rFonts w:ascii="Marianne Light" w:eastAsia="Calibri" w:hAnsi="Marianne Light" w:cs="Times New Roman"/>
          <w:sz w:val="18"/>
          <w:szCs w:val="18"/>
          <w:lang w:eastAsia="en-US"/>
        </w:rPr>
        <w:t>Décembre</w:t>
      </w:r>
      <w:r w:rsidRPr="00C96710">
        <w:rPr>
          <w:rFonts w:ascii="Marianne Light" w:eastAsia="Calibri" w:hAnsi="Marianne Light" w:cs="Times New Roman"/>
          <w:sz w:val="18"/>
          <w:szCs w:val="18"/>
          <w:lang w:eastAsia="en-US"/>
        </w:rPr>
        <w:t xml:space="preserve"> 2025</w:t>
      </w:r>
    </w:p>
    <w:p w14:paraId="51467CA2" w14:textId="77777777" w:rsidR="00C96710" w:rsidRDefault="00C96710" w:rsidP="00614EEF">
      <w:pPr>
        <w:rPr>
          <w:rFonts w:ascii="Marianne" w:eastAsia="Times New Roman" w:hAnsi="Marianne" w:cstheme="minorHAnsi"/>
          <w:b/>
          <w:bCs/>
          <w:color w:val="002060"/>
          <w:u w:val="single"/>
        </w:rPr>
      </w:pPr>
    </w:p>
    <w:p w14:paraId="57EB581C" w14:textId="77777777" w:rsidR="00C96710" w:rsidRDefault="00C96710" w:rsidP="00614EEF">
      <w:pPr>
        <w:rPr>
          <w:rFonts w:ascii="Marianne" w:eastAsia="Times New Roman" w:hAnsi="Marianne" w:cstheme="minorHAnsi"/>
          <w:b/>
          <w:bCs/>
          <w:color w:val="002060"/>
          <w:u w:val="single"/>
        </w:rPr>
      </w:pPr>
    </w:p>
    <w:p w14:paraId="7A8B9388" w14:textId="110A7F91" w:rsidR="0075616B" w:rsidRPr="00725E04" w:rsidRDefault="000D6365" w:rsidP="00614EEF">
      <w:pPr>
        <w:rPr>
          <w:rFonts w:ascii="Marianne ExtraBold" w:eastAsia="Times New Roman" w:hAnsi="Marianne ExtraBold" w:cstheme="minorHAnsi"/>
          <w:color w:val="E4A503"/>
          <w:sz w:val="28"/>
          <w:szCs w:val="28"/>
        </w:rPr>
      </w:pPr>
      <w:r w:rsidRPr="00725E04">
        <w:rPr>
          <w:rFonts w:ascii="Marianne ExtraBold" w:eastAsia="Times New Roman" w:hAnsi="Marianne ExtraBold" w:cstheme="minorHAnsi"/>
          <w:color w:val="E4A503"/>
          <w:sz w:val="28"/>
          <w:szCs w:val="28"/>
        </w:rPr>
        <w:t>Le Portugal et la convergence européenne</w:t>
      </w:r>
    </w:p>
    <w:p w14:paraId="5769270C" w14:textId="77777777" w:rsidR="000D6365" w:rsidRPr="00A0469D" w:rsidRDefault="000D6365" w:rsidP="00614EEF">
      <w:pPr>
        <w:rPr>
          <w:rFonts w:ascii="Marianne Light" w:eastAsia="Times New Roman" w:hAnsi="Marianne Light" w:cstheme="minorHAnsi"/>
          <w:b/>
          <w:bCs/>
          <w:color w:val="E4A503"/>
          <w:sz w:val="24"/>
          <w:szCs w:val="24"/>
        </w:rPr>
      </w:pPr>
    </w:p>
    <w:p w14:paraId="0276CE11" w14:textId="22F3EA84" w:rsidR="000D6365" w:rsidRPr="00A0469D" w:rsidRDefault="00B653C5" w:rsidP="002E6965">
      <w:pPr>
        <w:jc w:val="both"/>
        <w:rPr>
          <w:rFonts w:ascii="Marianne Light" w:eastAsia="Times New Roman" w:hAnsi="Marianne Light" w:cstheme="minorHAnsi"/>
        </w:rPr>
      </w:pPr>
      <w:r w:rsidRPr="00A0469D">
        <w:rPr>
          <w:rFonts w:ascii="Marianne Medium" w:eastAsia="Times New Roman" w:hAnsi="Marianne Medium" w:cstheme="minorHAnsi"/>
        </w:rPr>
        <w:t xml:space="preserve">À </w:t>
      </w:r>
      <w:r w:rsidR="00774504" w:rsidRPr="00A0469D">
        <w:rPr>
          <w:rFonts w:ascii="Marianne Medium" w:eastAsia="Times New Roman" w:hAnsi="Marianne Medium" w:cstheme="minorHAnsi"/>
        </w:rPr>
        <w:t>la s</w:t>
      </w:r>
      <w:r w:rsidR="000D6365" w:rsidRPr="00A0469D">
        <w:rPr>
          <w:rFonts w:ascii="Marianne Medium" w:eastAsia="Times New Roman" w:hAnsi="Marianne Medium" w:cstheme="minorHAnsi"/>
        </w:rPr>
        <w:t xml:space="preserve">uite </w:t>
      </w:r>
      <w:r w:rsidR="00774504" w:rsidRPr="00A0469D">
        <w:rPr>
          <w:rFonts w:ascii="Marianne Medium" w:eastAsia="Times New Roman" w:hAnsi="Marianne Medium" w:cstheme="minorHAnsi"/>
        </w:rPr>
        <w:t>de</w:t>
      </w:r>
      <w:r w:rsidR="000D6365" w:rsidRPr="00A0469D">
        <w:rPr>
          <w:rFonts w:ascii="Marianne Medium" w:eastAsia="Times New Roman" w:hAnsi="Marianne Medium" w:cstheme="minorHAnsi"/>
        </w:rPr>
        <w:t xml:space="preserve"> son entrée dans l'Union européenne en 1986, le Portugal a connu une quinzaine d'années de rattrapage économique,</w:t>
      </w:r>
      <w:r w:rsidR="000D6365" w:rsidRPr="00A0469D">
        <w:rPr>
          <w:rFonts w:ascii="Marianne Light" w:eastAsia="Times New Roman" w:hAnsi="Marianne Light" w:cstheme="minorHAnsi"/>
        </w:rPr>
        <w:t xml:space="preserve"> enregistrant des taux de croissance du PIB supérieurs à ceux de la moyenne européenne. Ce processus s'est ensuite interrompu </w:t>
      </w:r>
      <w:r w:rsidR="002E6965" w:rsidRPr="00A0469D">
        <w:rPr>
          <w:rFonts w:ascii="Marianne Light" w:eastAsia="Times New Roman" w:hAnsi="Marianne Light" w:cstheme="minorHAnsi"/>
        </w:rPr>
        <w:t>au début des années 2000. L’histoire économique récente du Portugal reste marquée par l’intervention douloureuse</w:t>
      </w:r>
      <w:r w:rsidRPr="00A0469D">
        <w:rPr>
          <w:rFonts w:ascii="Marianne Light" w:eastAsia="Times New Roman" w:hAnsi="Marianne Light" w:cstheme="minorHAnsi"/>
        </w:rPr>
        <w:t>,</w:t>
      </w:r>
      <w:r w:rsidR="008B51A0" w:rsidRPr="00A0469D">
        <w:rPr>
          <w:rFonts w:ascii="Marianne Light" w:eastAsia="Times New Roman" w:hAnsi="Marianne Light" w:cstheme="minorHAnsi"/>
        </w:rPr>
        <w:t xml:space="preserve"> sur le plan social</w:t>
      </w:r>
      <w:r w:rsidRPr="00A0469D">
        <w:rPr>
          <w:rFonts w:ascii="Marianne Light" w:eastAsia="Times New Roman" w:hAnsi="Marianne Light" w:cstheme="minorHAnsi"/>
        </w:rPr>
        <w:t>,</w:t>
      </w:r>
      <w:r w:rsidR="002E6965" w:rsidRPr="00A0469D">
        <w:rPr>
          <w:rFonts w:ascii="Marianne Light" w:eastAsia="Times New Roman" w:hAnsi="Marianne Light" w:cstheme="minorHAnsi"/>
        </w:rPr>
        <w:t xml:space="preserve"> de la Troïka (2011 - 2014) lors de la crise de la dette</w:t>
      </w:r>
      <w:r w:rsidRPr="00A0469D">
        <w:rPr>
          <w:rFonts w:ascii="Marianne Light" w:eastAsia="Times New Roman" w:hAnsi="Marianne Light" w:cstheme="minorHAnsi"/>
        </w:rPr>
        <w:t>.</w:t>
      </w:r>
    </w:p>
    <w:p w14:paraId="5DB45EB5" w14:textId="77777777" w:rsidR="00030579" w:rsidRDefault="00030579" w:rsidP="002E6965">
      <w:pPr>
        <w:jc w:val="both"/>
        <w:rPr>
          <w:rFonts w:ascii="Marianne Light" w:eastAsia="Times New Roman" w:hAnsi="Marianne Light" w:cstheme="minorHAnsi"/>
        </w:rPr>
      </w:pPr>
    </w:p>
    <w:p w14:paraId="1EE5BF56" w14:textId="063DA3B5" w:rsidR="00526AE7" w:rsidRPr="00A0469D" w:rsidRDefault="00526AE7" w:rsidP="002E6965">
      <w:pPr>
        <w:jc w:val="both"/>
        <w:rPr>
          <w:rFonts w:ascii="Marianne Light" w:eastAsia="Times New Roman" w:hAnsi="Marianne Light" w:cstheme="minorHAnsi"/>
        </w:rPr>
      </w:pPr>
      <w:r w:rsidRPr="00A0469D">
        <w:rPr>
          <w:rFonts w:ascii="Marianne Medium" w:eastAsia="Times New Roman" w:hAnsi="Marianne Medium" w:cstheme="minorHAnsi"/>
        </w:rPr>
        <w:t xml:space="preserve">L’histoire économique récente du Portugal reste marquée par l’intervention douloureuse de la Troïka (2011 - 2014) lors de la crise de la dette, et l’assainissement </w:t>
      </w:r>
      <w:r w:rsidRPr="00A0469D">
        <w:rPr>
          <w:rFonts w:ascii="Marianne Medium" w:eastAsia="Times New Roman" w:hAnsi="Marianne Medium" w:cstheme="minorHAnsi"/>
        </w:rPr>
        <w:lastRenderedPageBreak/>
        <w:t>des finances du pays depuis.</w:t>
      </w:r>
      <w:r w:rsidRPr="00A0469D">
        <w:rPr>
          <w:rFonts w:ascii="Marianne Light" w:eastAsia="Times New Roman" w:hAnsi="Marianne Light" w:cstheme="minorHAnsi"/>
        </w:rPr>
        <w:t xml:space="preserve"> Après le plan d’ajustement, le pays a poursuivi sa consolidation budgétaire, résultant à une baisse du déficit public sous les 3% du PIB dès 2016 – hormis pour 2020 (-5,8%) – et l’apparition d’excédents budgétaires en 2019, 2023 (1,2% du PIB) et 2024. La dette publique s’est réduite à 95,3% du PIB en 2024 (97,9% en 2023) alors qu’elle s’établissait lors de la pandémie à 135 % du PIB. Les notations de la dette souveraine sont relevées depuis 2022, et le pays peut emprunter à des conditions favorables. Le budget adopté pour 202</w:t>
      </w:r>
      <w:r w:rsidR="00E41D98">
        <w:rPr>
          <w:rFonts w:ascii="Marianne Light" w:eastAsia="Times New Roman" w:hAnsi="Marianne Light" w:cstheme="minorHAnsi"/>
        </w:rPr>
        <w:t>6</w:t>
      </w:r>
      <w:r w:rsidRPr="00A0469D">
        <w:rPr>
          <w:rFonts w:ascii="Marianne Light" w:eastAsia="Times New Roman" w:hAnsi="Marianne Light" w:cstheme="minorHAnsi"/>
        </w:rPr>
        <w:t xml:space="preserve"> poursuit cette tendance, et connaîtra à nouveau un excédent (0,3 % attendus par le gouvernement). Les projections du Plan budgétaire et structurel à moyen terme du Portugal maintiennent la trajectoire de réduction de la dette publique</w:t>
      </w:r>
      <w:r w:rsidR="002946BD">
        <w:rPr>
          <w:rFonts w:ascii="Marianne Light" w:eastAsia="Times New Roman" w:hAnsi="Marianne Light" w:cstheme="minorHAnsi"/>
        </w:rPr>
        <w:t xml:space="preserve">. </w:t>
      </w:r>
      <w:r w:rsidRPr="00A0469D">
        <w:rPr>
          <w:rFonts w:ascii="Marianne Light" w:eastAsia="Times New Roman" w:hAnsi="Marianne Light" w:cstheme="minorHAnsi"/>
        </w:rPr>
        <w:t xml:space="preserve"> </w:t>
      </w:r>
    </w:p>
    <w:p w14:paraId="087ECF55" w14:textId="77777777" w:rsidR="000D6365" w:rsidRPr="00A0469D" w:rsidRDefault="000D6365" w:rsidP="00614EEF">
      <w:pPr>
        <w:jc w:val="both"/>
        <w:rPr>
          <w:rFonts w:ascii="Marianne Light" w:eastAsia="Times New Roman" w:hAnsi="Marianne Light" w:cstheme="minorHAnsi"/>
        </w:rPr>
      </w:pPr>
    </w:p>
    <w:p w14:paraId="79047DF5" w14:textId="2E50E13E" w:rsidR="0075616B" w:rsidRPr="00A0469D" w:rsidRDefault="000D6365" w:rsidP="00614EEF">
      <w:pPr>
        <w:jc w:val="both"/>
        <w:rPr>
          <w:rFonts w:ascii="Marianne Light" w:eastAsia="Times New Roman" w:hAnsi="Marianne Light" w:cstheme="minorHAnsi"/>
        </w:rPr>
      </w:pPr>
      <w:r w:rsidRPr="00725E04">
        <w:rPr>
          <w:rFonts w:ascii="Marianne Medium" w:eastAsia="Times New Roman" w:hAnsi="Marianne Medium" w:cstheme="minorHAnsi"/>
        </w:rPr>
        <w:t xml:space="preserve">La période 2017-2019 est considérée comme </w:t>
      </w:r>
      <w:r w:rsidR="00B653C5" w:rsidRPr="00725E04">
        <w:rPr>
          <w:rFonts w:ascii="Marianne Medium" w:eastAsia="Times New Roman" w:hAnsi="Marianne Medium" w:cstheme="minorHAnsi"/>
        </w:rPr>
        <w:t>celle du</w:t>
      </w:r>
      <w:r w:rsidRPr="00725E04">
        <w:rPr>
          <w:rFonts w:ascii="Marianne Medium" w:eastAsia="Times New Roman" w:hAnsi="Marianne Medium" w:cstheme="minorHAnsi"/>
        </w:rPr>
        <w:t xml:space="preserve"> « miracle économique portugais »,</w:t>
      </w:r>
      <w:r w:rsidRPr="00A0469D">
        <w:rPr>
          <w:rFonts w:ascii="Marianne Light" w:eastAsia="Times New Roman" w:hAnsi="Marianne Light" w:cstheme="minorHAnsi"/>
        </w:rPr>
        <w:t xml:space="preserve"> avec le retour </w:t>
      </w:r>
      <w:r w:rsidR="00B653C5" w:rsidRPr="00A0469D">
        <w:rPr>
          <w:rFonts w:ascii="Marianne Light" w:eastAsia="Times New Roman" w:hAnsi="Marianne Light" w:cstheme="minorHAnsi"/>
        </w:rPr>
        <w:t>sur le</w:t>
      </w:r>
      <w:r w:rsidRPr="00A0469D">
        <w:rPr>
          <w:rFonts w:ascii="Marianne Light" w:eastAsia="Times New Roman" w:hAnsi="Marianne Light" w:cstheme="minorHAnsi"/>
        </w:rPr>
        <w:t xml:space="preserve"> sentier de convergence vers la moyenne européenne, rendu possible par une meilleure attractivité auprès des investisseurs étrangers et des touristes. Le processus a été interrompu par l’émergence de la pandémie de Covid-19. Le rapport du PIB par habitant portugais au PIB par habitant européen (en parité de pouvoir d’achat) a diminué de plus de 9 points de pourcentage entre 2000 (85,5</w:t>
      </w:r>
      <w:r w:rsidR="00F4550A" w:rsidRPr="00A0469D">
        <w:rPr>
          <w:rFonts w:ascii="Marianne Light" w:eastAsia="Times New Roman" w:hAnsi="Marianne Light" w:cstheme="minorHAnsi"/>
        </w:rPr>
        <w:t xml:space="preserve"> </w:t>
      </w:r>
      <w:r w:rsidRPr="00A0469D">
        <w:rPr>
          <w:rFonts w:ascii="Marianne Light" w:eastAsia="Times New Roman" w:hAnsi="Marianne Light" w:cstheme="minorHAnsi"/>
        </w:rPr>
        <w:t>%) et 2021 (74,1</w:t>
      </w:r>
      <w:r w:rsidR="00F4550A" w:rsidRPr="00A0469D">
        <w:rPr>
          <w:rFonts w:ascii="Marianne Light" w:eastAsia="Times New Roman" w:hAnsi="Marianne Light" w:cstheme="minorHAnsi"/>
        </w:rPr>
        <w:t xml:space="preserve"> </w:t>
      </w:r>
      <w:r w:rsidRPr="00A0469D">
        <w:rPr>
          <w:rFonts w:ascii="Marianne Light" w:eastAsia="Times New Roman" w:hAnsi="Marianne Light" w:cstheme="minorHAnsi"/>
        </w:rPr>
        <w:t>%).</w:t>
      </w:r>
    </w:p>
    <w:p w14:paraId="6D6E8DEA" w14:textId="77777777" w:rsidR="000D6365" w:rsidRPr="00A0469D" w:rsidRDefault="000D6365" w:rsidP="00614EEF">
      <w:pPr>
        <w:rPr>
          <w:rFonts w:ascii="Marianne Light" w:hAnsi="Marianne Light" w:cstheme="minorHAnsi"/>
          <w:b/>
          <w:bCs/>
        </w:rPr>
      </w:pPr>
    </w:p>
    <w:p w14:paraId="53FCA67C" w14:textId="7A37EC9D" w:rsidR="00B32618" w:rsidRPr="00492D7B" w:rsidRDefault="000D6365" w:rsidP="00614EEF">
      <w:pPr>
        <w:jc w:val="both"/>
        <w:rPr>
          <w:rFonts w:ascii="Marianne Light" w:hAnsi="Marianne Light" w:cstheme="minorHAnsi"/>
        </w:rPr>
      </w:pPr>
      <w:r w:rsidRPr="00725E04">
        <w:rPr>
          <w:rFonts w:ascii="Marianne Medium" w:hAnsi="Marianne Medium" w:cstheme="minorHAnsi"/>
        </w:rPr>
        <w:t>En 2020, l’économie portugaise a connu une chute historique de son PIB</w:t>
      </w:r>
      <w:r w:rsidR="00492D7B" w:rsidRPr="00725E04">
        <w:rPr>
          <w:rFonts w:ascii="Marianne Medium" w:hAnsi="Marianne Medium" w:cstheme="minorHAnsi"/>
        </w:rPr>
        <w:t xml:space="preserve">. </w:t>
      </w:r>
      <w:r w:rsidRPr="00725E04">
        <w:rPr>
          <w:rFonts w:ascii="Marianne Light" w:hAnsi="Marianne Light" w:cstheme="minorHAnsi"/>
        </w:rPr>
        <w:t xml:space="preserve"> </w:t>
      </w:r>
      <w:r w:rsidRPr="00725E04">
        <w:rPr>
          <w:rFonts w:ascii="Marianne Medium" w:hAnsi="Marianne Medium" w:cstheme="minorHAnsi"/>
        </w:rPr>
        <w:t xml:space="preserve">La reprise </w:t>
      </w:r>
      <w:proofErr w:type="spellStart"/>
      <w:r w:rsidRPr="00725E04">
        <w:rPr>
          <w:rFonts w:ascii="Marianne Medium" w:hAnsi="Marianne Medium" w:cstheme="minorHAnsi"/>
        </w:rPr>
        <w:t>post</w:t>
      </w:r>
      <w:r w:rsidR="00692F11" w:rsidRPr="00725E04">
        <w:rPr>
          <w:rFonts w:ascii="Marianne Medium" w:hAnsi="Marianne Medium" w:cstheme="minorHAnsi"/>
        </w:rPr>
        <w:t>-</w:t>
      </w:r>
      <w:r w:rsidRPr="00725E04">
        <w:rPr>
          <w:rFonts w:ascii="Marianne Medium" w:hAnsi="Marianne Medium" w:cstheme="minorHAnsi"/>
        </w:rPr>
        <w:t>pandémie</w:t>
      </w:r>
      <w:proofErr w:type="spellEnd"/>
      <w:r w:rsidRPr="00725E04">
        <w:rPr>
          <w:rFonts w:ascii="Marianne Medium" w:hAnsi="Marianne Medium" w:cstheme="minorHAnsi"/>
        </w:rPr>
        <w:t xml:space="preserve"> a été rapide, tirée par</w:t>
      </w:r>
      <w:r w:rsidR="00492D7B" w:rsidRPr="00725E04">
        <w:rPr>
          <w:rFonts w:ascii="Marianne Medium" w:hAnsi="Marianne Medium" w:cstheme="minorHAnsi"/>
        </w:rPr>
        <w:t xml:space="preserve"> le tourisme</w:t>
      </w:r>
      <w:r w:rsidRPr="00725E04">
        <w:rPr>
          <w:rFonts w:ascii="Marianne Medium" w:hAnsi="Marianne Medium" w:cstheme="minorHAnsi"/>
        </w:rPr>
        <w:t>, la résilience du marché du travail et par l’impact modéré des mesures de soutien sur les finances publiques.</w:t>
      </w:r>
      <w:r w:rsidRPr="00A0469D">
        <w:rPr>
          <w:rFonts w:ascii="Marianne Light" w:hAnsi="Marianne Light" w:cstheme="minorHAnsi"/>
        </w:rPr>
        <w:t xml:space="preserve"> En 2021, l’économie portugaise (+5,5</w:t>
      </w:r>
      <w:r w:rsidR="002E6965" w:rsidRPr="00A0469D">
        <w:rPr>
          <w:rFonts w:ascii="Marianne Light" w:hAnsi="Marianne Light" w:cstheme="minorHAnsi"/>
        </w:rPr>
        <w:t xml:space="preserve"> </w:t>
      </w:r>
      <w:r w:rsidRPr="00A0469D">
        <w:rPr>
          <w:rFonts w:ascii="Marianne Light" w:hAnsi="Marianne Light" w:cstheme="minorHAnsi"/>
        </w:rPr>
        <w:t>%) a connu une reprise légèrement supérieure à la moyenne européenne (+5,4</w:t>
      </w:r>
      <w:r w:rsidR="002E6965" w:rsidRPr="00A0469D">
        <w:rPr>
          <w:rFonts w:ascii="Marianne Light" w:hAnsi="Marianne Light" w:cstheme="minorHAnsi"/>
        </w:rPr>
        <w:t xml:space="preserve"> </w:t>
      </w:r>
      <w:r w:rsidRPr="00A0469D">
        <w:rPr>
          <w:rFonts w:ascii="Marianne Light" w:hAnsi="Marianne Light" w:cstheme="minorHAnsi"/>
        </w:rPr>
        <w:t>%) et à celle de la zone euro (+5,3</w:t>
      </w:r>
      <w:r w:rsidR="00102BAA" w:rsidRPr="00A0469D">
        <w:rPr>
          <w:rFonts w:ascii="Marianne Light" w:hAnsi="Marianne Light" w:cstheme="minorHAnsi"/>
        </w:rPr>
        <w:t xml:space="preserve"> </w:t>
      </w:r>
      <w:r w:rsidRPr="00A0469D">
        <w:rPr>
          <w:rFonts w:ascii="Marianne Light" w:hAnsi="Marianne Light" w:cstheme="minorHAnsi"/>
        </w:rPr>
        <w:t>%). En 2022, en dépit de l’instabilité provoquée par la guerre en Ukraine – l’inflation étant montée à 8,1</w:t>
      </w:r>
      <w:r w:rsidR="00102BAA" w:rsidRPr="00A0469D">
        <w:rPr>
          <w:rFonts w:ascii="Marianne Light" w:hAnsi="Marianne Light" w:cstheme="minorHAnsi"/>
        </w:rPr>
        <w:t xml:space="preserve"> </w:t>
      </w:r>
      <w:r w:rsidRPr="00A0469D">
        <w:rPr>
          <w:rFonts w:ascii="Marianne Light" w:hAnsi="Marianne Light" w:cstheme="minorHAnsi"/>
        </w:rPr>
        <w:t xml:space="preserve">%, le Portugal a enregistré la </w:t>
      </w:r>
      <w:r w:rsidR="008B51A0" w:rsidRPr="00A0469D">
        <w:rPr>
          <w:rFonts w:ascii="Marianne Light" w:hAnsi="Marianne Light" w:cstheme="minorHAnsi"/>
        </w:rPr>
        <w:t>3</w:t>
      </w:r>
      <w:r w:rsidR="00692F11" w:rsidRPr="00A0469D">
        <w:rPr>
          <w:rFonts w:ascii="Marianne Light" w:hAnsi="Marianne Light" w:cstheme="minorHAnsi"/>
          <w:vertAlign w:val="superscript"/>
        </w:rPr>
        <w:t>e</w:t>
      </w:r>
      <w:r w:rsidRPr="00A0469D">
        <w:rPr>
          <w:rFonts w:ascii="Marianne Light" w:hAnsi="Marianne Light" w:cstheme="minorHAnsi"/>
        </w:rPr>
        <w:t xml:space="preserve"> plus forte croissance de l’UE (6,8</w:t>
      </w:r>
      <w:r w:rsidR="00102BAA" w:rsidRPr="00A0469D">
        <w:rPr>
          <w:rFonts w:ascii="Marianne Light" w:hAnsi="Marianne Light" w:cstheme="minorHAnsi"/>
        </w:rPr>
        <w:t xml:space="preserve"> </w:t>
      </w:r>
      <w:r w:rsidRPr="00A0469D">
        <w:rPr>
          <w:rFonts w:ascii="Marianne Light" w:hAnsi="Marianne Light" w:cstheme="minorHAnsi"/>
        </w:rPr>
        <w:t>%), grâce à une activité touristique très dynamique</w:t>
      </w:r>
      <w:r w:rsidR="00692F11" w:rsidRPr="00A0469D">
        <w:rPr>
          <w:rFonts w:ascii="Marianne Light" w:hAnsi="Marianne Light" w:cstheme="minorHAnsi"/>
        </w:rPr>
        <w:t xml:space="preserve"> </w:t>
      </w:r>
      <w:r w:rsidRPr="00A0469D">
        <w:rPr>
          <w:rFonts w:ascii="Marianne Light" w:hAnsi="Marianne Light" w:cstheme="minorHAnsi"/>
        </w:rPr>
        <w:t xml:space="preserve">le marché de l’emploi est resté résilient, </w:t>
      </w:r>
      <w:r w:rsidR="00FF3C82" w:rsidRPr="00A0469D">
        <w:rPr>
          <w:rFonts w:ascii="Marianne Light" w:hAnsi="Marianne Light" w:cstheme="minorHAnsi"/>
        </w:rPr>
        <w:t xml:space="preserve">avec </w:t>
      </w:r>
      <w:r w:rsidRPr="00A0469D">
        <w:rPr>
          <w:rFonts w:ascii="Marianne Light" w:hAnsi="Marianne Light" w:cstheme="minorHAnsi"/>
        </w:rPr>
        <w:t>un taux de chômage à 6</w:t>
      </w:r>
      <w:r w:rsidR="00102BAA" w:rsidRPr="00A0469D">
        <w:rPr>
          <w:rFonts w:ascii="Marianne Light" w:hAnsi="Marianne Light" w:cstheme="minorHAnsi"/>
        </w:rPr>
        <w:t xml:space="preserve"> </w:t>
      </w:r>
      <w:r w:rsidRPr="00A0469D">
        <w:rPr>
          <w:rFonts w:ascii="Marianne Light" w:hAnsi="Marianne Light" w:cstheme="minorHAnsi"/>
        </w:rPr>
        <w:t>%, un des plus bas des deux dernières décennies.</w:t>
      </w:r>
    </w:p>
    <w:p w14:paraId="7FCAE73A" w14:textId="77777777" w:rsidR="002946BD" w:rsidRPr="00F115F1" w:rsidRDefault="002946BD" w:rsidP="00614EEF">
      <w:pPr>
        <w:jc w:val="both"/>
        <w:rPr>
          <w:rFonts w:ascii="Marianne Light" w:hAnsi="Marianne Light"/>
          <w:sz w:val="24"/>
          <w:szCs w:val="24"/>
        </w:rPr>
      </w:pPr>
    </w:p>
    <w:p w14:paraId="31F2B180" w14:textId="77777777" w:rsidR="00E41D98" w:rsidRDefault="004C11B1" w:rsidP="00725E04">
      <w:pPr>
        <w:rPr>
          <w:rFonts w:ascii="Marianne ExtraBold" w:hAnsi="Marianne ExtraBold" w:cstheme="minorHAnsi"/>
          <w:color w:val="E4A503"/>
          <w:sz w:val="28"/>
          <w:szCs w:val="28"/>
        </w:rPr>
      </w:pPr>
      <w:bookmarkStart w:id="1" w:name="_Hlk221114851"/>
      <w:r w:rsidRPr="00725E04">
        <w:rPr>
          <w:rFonts w:ascii="Marianne ExtraBold" w:hAnsi="Marianne ExtraBold" w:cstheme="minorHAnsi"/>
          <w:color w:val="E4A503"/>
          <w:sz w:val="28"/>
          <w:szCs w:val="28"/>
        </w:rPr>
        <w:t>Un</w:t>
      </w:r>
      <w:r w:rsidR="00E41D98">
        <w:rPr>
          <w:rFonts w:ascii="Marianne ExtraBold" w:hAnsi="Marianne ExtraBold" w:cstheme="minorHAnsi"/>
          <w:color w:val="E4A503"/>
          <w:sz w:val="28"/>
          <w:szCs w:val="28"/>
        </w:rPr>
        <w:t xml:space="preserve">e situation </w:t>
      </w:r>
      <w:r w:rsidRPr="00725E04">
        <w:rPr>
          <w:rFonts w:ascii="Marianne ExtraBold" w:hAnsi="Marianne ExtraBold" w:cstheme="minorHAnsi"/>
          <w:color w:val="E4A503"/>
          <w:sz w:val="28"/>
          <w:szCs w:val="28"/>
        </w:rPr>
        <w:t>macroéconomique favorable</w:t>
      </w:r>
      <w:r w:rsidR="00EB6B35" w:rsidRPr="00725E04">
        <w:rPr>
          <w:rFonts w:ascii="Marianne ExtraBold" w:hAnsi="Marianne ExtraBold" w:cstheme="minorHAnsi"/>
          <w:color w:val="E4A503"/>
          <w:sz w:val="28"/>
          <w:szCs w:val="28"/>
        </w:rPr>
        <w:t xml:space="preserve"> </w:t>
      </w:r>
    </w:p>
    <w:p w14:paraId="027A4E2C" w14:textId="1D7BD04C" w:rsidR="00A0469D" w:rsidRPr="00725E04" w:rsidRDefault="00EB6B35" w:rsidP="00725E04">
      <w:pPr>
        <w:rPr>
          <w:rFonts w:ascii="Marianne ExtraBold" w:hAnsi="Marianne ExtraBold" w:cstheme="minorHAnsi"/>
          <w:color w:val="E4A503"/>
          <w:sz w:val="28"/>
          <w:szCs w:val="28"/>
        </w:rPr>
      </w:pPr>
      <w:proofErr w:type="gramStart"/>
      <w:r w:rsidRPr="00725E04">
        <w:rPr>
          <w:rFonts w:ascii="Marianne ExtraBold" w:hAnsi="Marianne ExtraBold" w:cstheme="minorHAnsi"/>
          <w:color w:val="E4A503"/>
          <w:sz w:val="28"/>
          <w:szCs w:val="28"/>
        </w:rPr>
        <w:t>dans</w:t>
      </w:r>
      <w:proofErr w:type="gramEnd"/>
      <w:r w:rsidRPr="00725E04">
        <w:rPr>
          <w:rFonts w:ascii="Marianne ExtraBold" w:hAnsi="Marianne ExtraBold" w:cstheme="minorHAnsi"/>
          <w:color w:val="E4A503"/>
          <w:sz w:val="28"/>
          <w:szCs w:val="28"/>
        </w:rPr>
        <w:t xml:space="preserve"> un contexte</w:t>
      </w:r>
      <w:r w:rsidR="00E41D98">
        <w:rPr>
          <w:rFonts w:ascii="Marianne ExtraBold" w:hAnsi="Marianne ExtraBold" w:cstheme="minorHAnsi"/>
          <w:color w:val="E4A503"/>
          <w:sz w:val="28"/>
          <w:szCs w:val="28"/>
        </w:rPr>
        <w:t xml:space="preserve"> </w:t>
      </w:r>
      <w:r w:rsidRPr="00725E04">
        <w:rPr>
          <w:rFonts w:ascii="Marianne ExtraBold" w:hAnsi="Marianne ExtraBold" w:cstheme="minorHAnsi"/>
          <w:color w:val="E4A503"/>
          <w:sz w:val="28"/>
          <w:szCs w:val="28"/>
        </w:rPr>
        <w:t>incertain</w:t>
      </w:r>
      <w:r w:rsidR="00FA3515" w:rsidRPr="00725E04">
        <w:rPr>
          <w:rFonts w:ascii="Marianne ExtraBold" w:hAnsi="Marianne ExtraBold" w:cstheme="minorHAnsi"/>
          <w:color w:val="E4A503"/>
          <w:sz w:val="28"/>
          <w:szCs w:val="28"/>
        </w:rPr>
        <w:t xml:space="preserve"> </w:t>
      </w:r>
    </w:p>
    <w:bookmarkEnd w:id="1"/>
    <w:p w14:paraId="6B72A012" w14:textId="77777777" w:rsidR="00E87001" w:rsidRPr="00F115F1" w:rsidRDefault="00E87001" w:rsidP="005E2B49">
      <w:pPr>
        <w:jc w:val="both"/>
        <w:rPr>
          <w:rFonts w:ascii="Marianne Light" w:hAnsi="Marianne Light"/>
          <w:sz w:val="24"/>
          <w:szCs w:val="24"/>
        </w:rPr>
      </w:pPr>
    </w:p>
    <w:p w14:paraId="6CC0F964" w14:textId="7D2E59D1" w:rsidR="007D77F8" w:rsidRDefault="00492D7B" w:rsidP="00614EEF">
      <w:pPr>
        <w:jc w:val="both"/>
        <w:rPr>
          <w:rStyle w:val="Lienhypertexte"/>
          <w:rFonts w:ascii="Marianne Light" w:hAnsi="Marianne Light" w:cstheme="minorHAnsi"/>
          <w:noProof/>
          <w:color w:val="auto"/>
          <w:u w:val="none"/>
        </w:rPr>
      </w:pPr>
      <w:r w:rsidRPr="00725E04">
        <w:rPr>
          <w:rFonts w:ascii="Marianne Medium" w:hAnsi="Marianne Medium" w:cs="Segoe UI"/>
        </w:rPr>
        <w:t>Actuellement, le</w:t>
      </w:r>
      <w:r w:rsidR="004C11B1" w:rsidRPr="00725E04">
        <w:rPr>
          <w:rFonts w:ascii="Marianne Medium" w:hAnsi="Marianne Medium" w:cs="Segoe UI"/>
        </w:rPr>
        <w:t xml:space="preserve"> contexte macroéconomique du Portugal reste favorable et les grands indicateurs continuent à évoluer en territoire positif.</w:t>
      </w:r>
      <w:r w:rsidR="004C11B1" w:rsidRPr="00A0469D">
        <w:rPr>
          <w:rFonts w:ascii="Marianne Medium" w:hAnsi="Marianne Medium" w:cs="Segoe UI"/>
        </w:rPr>
        <w:t xml:space="preserve"> </w:t>
      </w:r>
      <w:r w:rsidR="004C11B1" w:rsidRPr="00A0469D">
        <w:rPr>
          <w:rFonts w:ascii="Marianne Light" w:hAnsi="Marianne Light" w:cs="Segoe UI"/>
        </w:rPr>
        <w:t xml:space="preserve">En </w:t>
      </w:r>
      <w:r>
        <w:rPr>
          <w:rFonts w:ascii="Marianne Light" w:hAnsi="Marianne Light" w:cs="Segoe UI"/>
        </w:rPr>
        <w:t>2025</w:t>
      </w:r>
      <w:r w:rsidR="004C11B1" w:rsidRPr="00A0469D">
        <w:rPr>
          <w:rFonts w:ascii="Marianne Light" w:hAnsi="Marianne Light" w:cs="Segoe UI"/>
        </w:rPr>
        <w:t>, la croissance s’est établie à 1,9</w:t>
      </w:r>
      <w:r>
        <w:rPr>
          <w:rFonts w:ascii="Marianne Light" w:hAnsi="Marianne Light" w:cs="Segoe UI"/>
        </w:rPr>
        <w:t xml:space="preserve"> </w:t>
      </w:r>
      <w:r w:rsidR="004C11B1" w:rsidRPr="00A0469D">
        <w:rPr>
          <w:rFonts w:ascii="Marianne Light" w:hAnsi="Marianne Light" w:cs="Segoe UI"/>
        </w:rPr>
        <w:t>%</w:t>
      </w:r>
      <w:r w:rsidR="007D77F8">
        <w:rPr>
          <w:rFonts w:ascii="Marianne Light" w:hAnsi="Marianne Light" w:cs="Segoe UI"/>
        </w:rPr>
        <w:t xml:space="preserve">, </w:t>
      </w:r>
      <w:r w:rsidR="004C11B1" w:rsidRPr="00A0469D">
        <w:rPr>
          <w:rFonts w:ascii="Marianne Light" w:hAnsi="Marianne Light" w:cs="Segoe UI"/>
        </w:rPr>
        <w:t xml:space="preserve">soutenue par la consommation </w:t>
      </w:r>
      <w:r>
        <w:rPr>
          <w:rFonts w:ascii="Marianne Light" w:hAnsi="Marianne Light" w:cs="Segoe UI"/>
        </w:rPr>
        <w:t>intérieure</w:t>
      </w:r>
      <w:r w:rsidR="004C11B1" w:rsidRPr="00A0469D">
        <w:rPr>
          <w:rFonts w:ascii="Marianne Light" w:hAnsi="Marianne Light" w:cs="Segoe UI"/>
        </w:rPr>
        <w:t xml:space="preserve"> et les exportations. L’année a également été marquée par une maîtrise de l’inflation qui a poursuivi sa baisse à 2,</w:t>
      </w:r>
      <w:r>
        <w:rPr>
          <w:rFonts w:ascii="Marianne Light" w:hAnsi="Marianne Light" w:cs="Segoe UI"/>
        </w:rPr>
        <w:t>3</w:t>
      </w:r>
      <w:r w:rsidR="004C11B1" w:rsidRPr="00A0469D">
        <w:rPr>
          <w:rFonts w:ascii="Marianne Light" w:hAnsi="Marianne Light" w:cs="Segoe UI"/>
        </w:rPr>
        <w:t xml:space="preserve"> % et une stabilisation de la baisse du chômage</w:t>
      </w:r>
      <w:r w:rsidR="00526AE7" w:rsidRPr="00A0469D">
        <w:rPr>
          <w:rFonts w:ascii="Marianne Light" w:hAnsi="Marianne Light" w:cs="Segoe UI"/>
        </w:rPr>
        <w:t xml:space="preserve"> </w:t>
      </w:r>
      <w:r w:rsidR="004C11B1" w:rsidRPr="00A0469D">
        <w:rPr>
          <w:rFonts w:ascii="Marianne Light" w:hAnsi="Marianne Light" w:cs="Segoe UI"/>
        </w:rPr>
        <w:t xml:space="preserve">à 6,4%. Malgré les chocs extérieurs récents – conflits internationaux, ralentissement de l’économie européenne, tensions protectionnistes –, l’économie portugaise a fait preuve de résilience en poursuivant sa </w:t>
      </w:r>
      <w:r w:rsidR="004C11B1" w:rsidRPr="00725E04">
        <w:rPr>
          <w:rFonts w:ascii="Marianne Light" w:hAnsi="Marianne Light" w:cs="Segoe UI"/>
        </w:rPr>
        <w:t>politique de réduction des déséquilibres macroéconomiques.</w:t>
      </w:r>
      <w:r w:rsidR="006018B7" w:rsidRPr="00725E04">
        <w:rPr>
          <w:rStyle w:val="Lienhypertexte"/>
          <w:rFonts w:ascii="Marianne Light" w:hAnsi="Marianne Light" w:cstheme="minorHAnsi"/>
          <w:noProof/>
          <w:color w:val="auto"/>
          <w:u w:val="none"/>
        </w:rPr>
        <w:t xml:space="preserve"> En termes budgétaires, le Portugal a poursuivi l’assainissement de ses finances publiques</w:t>
      </w:r>
      <w:r w:rsidR="00815545" w:rsidRPr="00725E04">
        <w:rPr>
          <w:rStyle w:val="Lienhypertexte"/>
          <w:rFonts w:ascii="Marianne Light" w:hAnsi="Marianne Light" w:cstheme="minorHAnsi"/>
          <w:noProof/>
          <w:color w:val="auto"/>
          <w:u w:val="none"/>
        </w:rPr>
        <w:t xml:space="preserve"> la même année</w:t>
      </w:r>
      <w:r w:rsidR="006018B7" w:rsidRPr="00725E04">
        <w:rPr>
          <w:rStyle w:val="Lienhypertexte"/>
          <w:rFonts w:ascii="Marianne Light" w:hAnsi="Marianne Light" w:cstheme="minorHAnsi"/>
          <w:noProof/>
          <w:color w:val="auto"/>
          <w:u w:val="none"/>
        </w:rPr>
        <w:t xml:space="preserve">, avec une dette publique à </w:t>
      </w:r>
      <w:r w:rsidR="007D77F8" w:rsidRPr="00725E04">
        <w:rPr>
          <w:rStyle w:val="Lienhypertexte"/>
          <w:rFonts w:ascii="Marianne Light" w:hAnsi="Marianne Light" w:cstheme="minorHAnsi"/>
          <w:noProof/>
          <w:color w:val="auto"/>
          <w:u w:val="none"/>
        </w:rPr>
        <w:t xml:space="preserve">89,7 </w:t>
      </w:r>
      <w:r w:rsidR="006018B7" w:rsidRPr="00725E04">
        <w:rPr>
          <w:rStyle w:val="Lienhypertexte"/>
          <w:rFonts w:ascii="Marianne Light" w:hAnsi="Marianne Light" w:cstheme="minorHAnsi"/>
          <w:noProof/>
          <w:color w:val="auto"/>
          <w:u w:val="none"/>
        </w:rPr>
        <w:t>% du PIB</w:t>
      </w:r>
      <w:r w:rsidR="007D77F8" w:rsidRPr="00725E04">
        <w:rPr>
          <w:rStyle w:val="Lienhypertexte"/>
          <w:rFonts w:ascii="Marianne Light" w:hAnsi="Marianne Light" w:cstheme="minorHAnsi"/>
          <w:noProof/>
          <w:color w:val="auto"/>
          <w:u w:val="none"/>
        </w:rPr>
        <w:t xml:space="preserve"> en 2025</w:t>
      </w:r>
      <w:r w:rsidR="006018B7" w:rsidRPr="00725E04">
        <w:rPr>
          <w:rStyle w:val="Lienhypertexte"/>
          <w:rFonts w:ascii="Marianne Light" w:hAnsi="Marianne Light" w:cstheme="minorHAnsi"/>
          <w:noProof/>
          <w:color w:val="auto"/>
          <w:u w:val="none"/>
        </w:rPr>
        <w:t>, et a pu dégager un nouvel excédent budgétaire de 0,7 % du PIB</w:t>
      </w:r>
      <w:r w:rsidR="007D77F8" w:rsidRPr="00725E04">
        <w:rPr>
          <w:rStyle w:val="Lienhypertexte"/>
          <w:rFonts w:ascii="Marianne Light" w:hAnsi="Marianne Light" w:cstheme="minorHAnsi"/>
          <w:noProof/>
          <w:color w:val="auto"/>
          <w:u w:val="none"/>
        </w:rPr>
        <w:t xml:space="preserve"> en 2024</w:t>
      </w:r>
      <w:r w:rsidR="006018B7" w:rsidRPr="00725E04">
        <w:rPr>
          <w:rStyle w:val="Lienhypertexte"/>
          <w:rFonts w:ascii="Marianne Light" w:hAnsi="Marianne Light" w:cstheme="minorHAnsi"/>
          <w:noProof/>
          <w:color w:val="auto"/>
          <w:u w:val="none"/>
        </w:rPr>
        <w:t>.</w:t>
      </w:r>
    </w:p>
    <w:p w14:paraId="7638A088" w14:textId="77777777" w:rsidR="00E41D98" w:rsidRDefault="00E41D98" w:rsidP="00614EEF">
      <w:pPr>
        <w:jc w:val="both"/>
        <w:rPr>
          <w:rFonts w:ascii="Marianne Light" w:hAnsi="Marianne Light" w:cstheme="minorHAnsi"/>
          <w:noProof/>
        </w:rPr>
      </w:pPr>
    </w:p>
    <w:p w14:paraId="0CDE4B52" w14:textId="72EA97F0" w:rsidR="00494797" w:rsidRDefault="004C11B1" w:rsidP="00614EEF">
      <w:pPr>
        <w:jc w:val="both"/>
        <w:rPr>
          <w:rFonts w:ascii="Marianne Light" w:eastAsia="Calibri" w:hAnsi="Marianne Light" w:cs="Segoe UI"/>
          <w:lang w:eastAsia="en-US"/>
        </w:rPr>
      </w:pPr>
      <w:r w:rsidRPr="00725E04">
        <w:rPr>
          <w:rFonts w:ascii="Marianne Medium" w:hAnsi="Marianne Medium" w:cs="Segoe UI"/>
        </w:rPr>
        <w:lastRenderedPageBreak/>
        <w:t>Les prévisions macroéconomiques pour 202</w:t>
      </w:r>
      <w:r w:rsidR="007D77F8" w:rsidRPr="00725E04">
        <w:rPr>
          <w:rFonts w:ascii="Marianne Medium" w:hAnsi="Marianne Medium" w:cs="Segoe UI"/>
        </w:rPr>
        <w:t>6</w:t>
      </w:r>
      <w:r w:rsidR="00526AE7" w:rsidRPr="00725E04">
        <w:rPr>
          <w:rFonts w:ascii="Marianne Medium" w:hAnsi="Marianne Medium" w:cs="Segoe UI"/>
        </w:rPr>
        <w:t xml:space="preserve">-2027 </w:t>
      </w:r>
      <w:r w:rsidRPr="00725E04">
        <w:rPr>
          <w:rFonts w:ascii="Marianne Medium" w:hAnsi="Marianne Medium" w:cs="Segoe UI"/>
        </w:rPr>
        <w:t xml:space="preserve">confirment </w:t>
      </w:r>
      <w:r w:rsidR="00E805B3" w:rsidRPr="00725E04">
        <w:rPr>
          <w:rFonts w:ascii="Marianne Medium" w:hAnsi="Marianne Medium" w:cs="Segoe UI"/>
        </w:rPr>
        <w:t>la stabilisation</w:t>
      </w:r>
      <w:r w:rsidRPr="00725E04">
        <w:rPr>
          <w:rFonts w:ascii="Marianne Medium" w:hAnsi="Marianne Medium" w:cs="Segoe UI"/>
          <w:i/>
          <w:iCs/>
        </w:rPr>
        <w:t xml:space="preserve"> </w:t>
      </w:r>
      <w:r w:rsidRPr="00725E04">
        <w:rPr>
          <w:rFonts w:ascii="Marianne Medium" w:hAnsi="Marianne Medium" w:cs="Segoe UI"/>
        </w:rPr>
        <w:t>de l’économie portugaise, avec une croissance</w:t>
      </w:r>
      <w:r w:rsidR="00030579" w:rsidRPr="00725E04">
        <w:rPr>
          <w:rFonts w:ascii="Marianne Medium" w:hAnsi="Marianne Medium" w:cs="Segoe UI"/>
        </w:rPr>
        <w:t xml:space="preserve"> proche</w:t>
      </w:r>
      <w:r w:rsidRPr="00725E04">
        <w:rPr>
          <w:rFonts w:ascii="Marianne Medium" w:hAnsi="Marianne Medium" w:cs="Segoe UI"/>
        </w:rPr>
        <w:t xml:space="preserve"> des 2</w:t>
      </w:r>
      <w:r w:rsidR="00030579" w:rsidRPr="00725E04">
        <w:rPr>
          <w:rFonts w:ascii="Marianne Medium" w:hAnsi="Marianne Medium" w:cs="Segoe UI"/>
        </w:rPr>
        <w:t xml:space="preserve"> </w:t>
      </w:r>
      <w:r w:rsidRPr="00725E04">
        <w:rPr>
          <w:rFonts w:ascii="Marianne Medium" w:hAnsi="Marianne Medium" w:cs="Segoe UI"/>
        </w:rPr>
        <w:t>%</w:t>
      </w:r>
      <w:r w:rsidR="007D77F8" w:rsidRPr="00725E04">
        <w:rPr>
          <w:rFonts w:ascii="Marianne Medium" w:hAnsi="Marianne Medium" w:cs="Segoe UI"/>
        </w:rPr>
        <w:t>.</w:t>
      </w:r>
      <w:r w:rsidR="007D77F8">
        <w:rPr>
          <w:rFonts w:ascii="Marianne Medium" w:hAnsi="Marianne Medium" w:cs="Segoe UI"/>
          <w:b/>
          <w:bCs/>
        </w:rPr>
        <w:t xml:space="preserve"> </w:t>
      </w:r>
      <w:r w:rsidR="007D77F8" w:rsidRPr="007D77F8">
        <w:rPr>
          <w:rFonts w:ascii="Marianne Light" w:hAnsi="Marianne Light" w:cs="Segoe UI"/>
        </w:rPr>
        <w:t xml:space="preserve">Pour 2026, l'économie portugaise devrait maintenir une croissance comprise entre 1,8 % et 2,3 %, portée par la demande intérieure, </w:t>
      </w:r>
      <w:r w:rsidR="007D77F8" w:rsidRPr="00725E04">
        <w:rPr>
          <w:rFonts w:ascii="Marianne Light" w:hAnsi="Marianne Light" w:cs="Segoe UI"/>
        </w:rPr>
        <w:t>tandis que les risques externes pèse</w:t>
      </w:r>
      <w:r w:rsidR="00030579" w:rsidRPr="00725E04">
        <w:rPr>
          <w:rFonts w:ascii="Marianne Light" w:hAnsi="Marianne Light" w:cs="Segoe UI"/>
        </w:rPr>
        <w:t>ro</w:t>
      </w:r>
      <w:r w:rsidR="007D77F8" w:rsidRPr="00725E04">
        <w:rPr>
          <w:rFonts w:ascii="Marianne Light" w:hAnsi="Marianne Light" w:cs="Segoe UI"/>
        </w:rPr>
        <w:t xml:space="preserve">nt sur les exportations. </w:t>
      </w:r>
      <w:r w:rsidR="006D1ABF" w:rsidRPr="00725E04">
        <w:rPr>
          <w:rFonts w:ascii="Marianne Light" w:hAnsi="Marianne Light" w:cstheme="minorHAnsi"/>
          <w:color w:val="212529"/>
        </w:rPr>
        <w:t xml:space="preserve">La Banque du Portugal anticipe </w:t>
      </w:r>
      <w:r w:rsidR="006D1ABF" w:rsidRPr="00725E04">
        <w:rPr>
          <w:rFonts w:ascii="Marianne Light" w:hAnsi="Marianne Light" w:cstheme="minorHAnsi"/>
        </w:rPr>
        <w:t>une reprise à 2,2 % en 2026, et à nouveau un ralentissement à 1,7 % en 2027.</w:t>
      </w:r>
      <w:r w:rsidR="006D1ABF" w:rsidRPr="00725E04">
        <w:rPr>
          <w:rFonts w:ascii="Marianne Light" w:hAnsi="Marianne Light" w:cs="Segoe UI"/>
        </w:rPr>
        <w:t xml:space="preserve"> </w:t>
      </w:r>
      <w:r w:rsidR="006D1ABF" w:rsidRPr="00725E04">
        <w:rPr>
          <w:rFonts w:ascii="Marianne Light" w:hAnsi="Marianne Light" w:cstheme="minorHAnsi"/>
        </w:rPr>
        <w:t>Ce rythme continuera de dépasser la moyenne de la zone euro</w:t>
      </w:r>
      <w:r w:rsidR="007D77F8" w:rsidRPr="00725E04">
        <w:rPr>
          <w:rFonts w:ascii="Marianne Light" w:hAnsi="Marianne Light" w:cstheme="minorHAnsi"/>
        </w:rPr>
        <w:t xml:space="preserve">, </w:t>
      </w:r>
      <w:r w:rsidR="006D1ABF" w:rsidRPr="00725E04">
        <w:rPr>
          <w:rFonts w:ascii="Marianne Light" w:hAnsi="Marianne Light" w:cstheme="minorHAnsi"/>
        </w:rPr>
        <w:t>porté par la demande intérie</w:t>
      </w:r>
      <w:r w:rsidR="006D1ABF" w:rsidRPr="00A0469D">
        <w:rPr>
          <w:rFonts w:ascii="Marianne Light" w:hAnsi="Marianne Light" w:cstheme="minorHAnsi"/>
        </w:rPr>
        <w:t xml:space="preserve">ure, et un taux d’exécution plus concentré des fonds européens (PNRR). </w:t>
      </w:r>
      <w:r w:rsidR="006D1ABF" w:rsidRPr="00A0469D">
        <w:rPr>
          <w:rFonts w:ascii="Marianne Light" w:hAnsi="Marianne Light" w:cs="Segoe UI"/>
        </w:rPr>
        <w:t xml:space="preserve">Le tourisme continuera de croître à un rythme plus soutenu que le reste des composantes des exportations du pays. Le marché du travail resterait dynamique, avec un taux </w:t>
      </w:r>
      <w:r w:rsidR="006D1ABF" w:rsidRPr="00725E04">
        <w:rPr>
          <w:rFonts w:ascii="Marianne Light" w:hAnsi="Marianne Light" w:cs="Segoe UI"/>
        </w:rPr>
        <w:t xml:space="preserve">de chômage à 6 % en 2026. </w:t>
      </w:r>
      <w:r w:rsidR="00D2301C" w:rsidRPr="00725E04">
        <w:rPr>
          <w:rFonts w:ascii="Marianne Light" w:hAnsi="Marianne Light" w:cstheme="minorHAnsi"/>
        </w:rPr>
        <w:t>Sur le plan budgétaire, les prévisions envisagent une détérioration du solde portugais</w:t>
      </w:r>
      <w:r w:rsidR="007600D9" w:rsidRPr="00725E04">
        <w:rPr>
          <w:rFonts w:ascii="Marianne Light" w:hAnsi="Marianne Light" w:cstheme="minorHAnsi"/>
        </w:rPr>
        <w:t xml:space="preserve">. </w:t>
      </w:r>
      <w:r w:rsidR="007701B7" w:rsidRPr="00725E04">
        <w:rPr>
          <w:rFonts w:ascii="Marianne Light" w:hAnsi="Marianne Light" w:cstheme="minorHAnsi"/>
        </w:rPr>
        <w:t>Le</w:t>
      </w:r>
      <w:r w:rsidR="007701B7" w:rsidRPr="00725E04">
        <w:rPr>
          <w:rFonts w:ascii="Marianne Light" w:eastAsia="Calibri" w:hAnsi="Marianne Light" w:cs="Segoe UI"/>
          <w:lang w:eastAsia="en-US"/>
        </w:rPr>
        <w:t xml:space="preserve"> gouvernement prévoit des excédents de 0,3 % du PIB en 2025 et de 0,1 % en 2026, des niveaux nettement plus optimistes que ceux anticipés par les institutions internationales.</w:t>
      </w:r>
      <w:r w:rsidR="007701B7" w:rsidRPr="007701B7">
        <w:rPr>
          <w:rFonts w:ascii="Marianne Light" w:eastAsia="Calibri" w:hAnsi="Marianne Light" w:cs="Segoe UI"/>
          <w:lang w:eastAsia="en-US"/>
        </w:rPr>
        <w:t xml:space="preserve"> </w:t>
      </w:r>
    </w:p>
    <w:p w14:paraId="2CD3CD39" w14:textId="37087BA2" w:rsidR="00D472A3" w:rsidRPr="00F115F1" w:rsidRDefault="00D472A3" w:rsidP="00614EEF">
      <w:pPr>
        <w:jc w:val="both"/>
        <w:rPr>
          <w:rFonts w:ascii="Marianne Light" w:eastAsia="Calibri" w:hAnsi="Marianne Light" w:cs="Segoe UI"/>
          <w:sz w:val="24"/>
          <w:szCs w:val="24"/>
          <w:lang w:eastAsia="en-US"/>
        </w:rPr>
      </w:pPr>
    </w:p>
    <w:p w14:paraId="1379B44F" w14:textId="3834ACE8" w:rsidR="00725E04" w:rsidRPr="00725E04" w:rsidRDefault="00E41D98" w:rsidP="00725E04">
      <w:pPr>
        <w:jc w:val="both"/>
        <w:rPr>
          <w:rFonts w:ascii="Marianne ExtraBold" w:hAnsi="Marianne ExtraBold" w:cstheme="minorHAnsi"/>
          <w:color w:val="E4A503"/>
          <w:sz w:val="28"/>
          <w:szCs w:val="28"/>
        </w:rPr>
      </w:pPr>
      <w:r>
        <w:rPr>
          <w:rFonts w:ascii="Marianne ExtraBold" w:hAnsi="Marianne ExtraBold" w:cstheme="minorHAnsi"/>
          <w:color w:val="E4A503"/>
          <w:sz w:val="28"/>
          <w:szCs w:val="28"/>
        </w:rPr>
        <w:t xml:space="preserve">Les limites du miracle portugais </w:t>
      </w:r>
    </w:p>
    <w:p w14:paraId="5B7BD742" w14:textId="115C45F7" w:rsidR="00725E04" w:rsidRPr="00F115F1" w:rsidRDefault="00725E04" w:rsidP="00614EEF">
      <w:pPr>
        <w:jc w:val="both"/>
        <w:rPr>
          <w:rFonts w:ascii="Marianne Light" w:eastAsia="Calibri" w:hAnsi="Marianne Light" w:cs="Segoe UI"/>
          <w:sz w:val="24"/>
          <w:szCs w:val="24"/>
          <w:lang w:eastAsia="en-US"/>
        </w:rPr>
      </w:pPr>
    </w:p>
    <w:p w14:paraId="1799760E" w14:textId="6CB99FB1" w:rsidR="00725E04" w:rsidRDefault="00725E04" w:rsidP="00725E04">
      <w:pPr>
        <w:jc w:val="both"/>
        <w:rPr>
          <w:rFonts w:ascii="Marianne Light" w:eastAsia="Calibri" w:hAnsi="Marianne Light" w:cs="Segoe UI"/>
          <w:lang w:eastAsia="en-US"/>
        </w:rPr>
      </w:pPr>
      <w:r w:rsidRPr="00725E04">
        <w:rPr>
          <w:rFonts w:ascii="Marianne Medium" w:eastAsia="Calibri" w:hAnsi="Marianne Medium" w:cs="Segoe UI"/>
          <w:lang w:eastAsia="en-US"/>
        </w:rPr>
        <w:t>Malgré un retour à la croissance depuis quelques années, la répartition de ses fruits reste déséquilibrée, avec des niveaux de vie bas et fortement inégaux.</w:t>
      </w:r>
      <w:r w:rsidRPr="00725E04">
        <w:rPr>
          <w:rFonts w:ascii="Marianne Light" w:eastAsia="Calibri" w:hAnsi="Marianne Light" w:cs="Segoe UI"/>
          <w:lang w:eastAsia="en-US"/>
        </w:rPr>
        <w:t xml:space="preserve"> En 2024, 19,7 % de la population était en situation de pauvreté ou d’exclusion sociale. En 2023, le Portugal occupait la 18</w:t>
      </w:r>
      <w:r w:rsidRPr="00725E04">
        <w:rPr>
          <w:rFonts w:ascii="Marianne Light" w:eastAsia="Calibri" w:hAnsi="Marianne Light" w:cs="Segoe UI"/>
          <w:vertAlign w:val="superscript"/>
          <w:lang w:eastAsia="en-US"/>
        </w:rPr>
        <w:t>ème</w:t>
      </w:r>
      <w:r w:rsidRPr="00725E04">
        <w:rPr>
          <w:rFonts w:ascii="Marianne Light" w:eastAsia="Calibri" w:hAnsi="Marianne Light" w:cs="Segoe UI"/>
          <w:lang w:eastAsia="en-US"/>
        </w:rPr>
        <w:t xml:space="preserve"> place au niveau européen en matière de salaire annuel moyen, avec 22 933 € (contre 37 900 € pour l’UE), ce qui le place parmi les pays aux plus faibles niveaux de pouvoir d’achat. Le salaire net mensuel moyen a dépassé légèrement les 1 200€ en 2025, et le salaire minimum reste également dans la fourchette basse européenne, à </w:t>
      </w:r>
      <w:r>
        <w:rPr>
          <w:rFonts w:ascii="Marianne Light" w:eastAsia="Calibri" w:hAnsi="Marianne Light" w:cs="Segoe UI"/>
          <w:lang w:eastAsia="en-US"/>
        </w:rPr>
        <w:t>920</w:t>
      </w:r>
      <w:r w:rsidRPr="00725E04">
        <w:rPr>
          <w:rFonts w:ascii="Marianne Light" w:eastAsia="Calibri" w:hAnsi="Marianne Light" w:cs="Segoe UI"/>
          <w:lang w:eastAsia="en-US"/>
        </w:rPr>
        <w:t xml:space="preserve"> € </w:t>
      </w:r>
      <w:r>
        <w:rPr>
          <w:rFonts w:ascii="Marianne Light" w:eastAsia="Calibri" w:hAnsi="Marianne Light" w:cs="Segoe UI"/>
          <w:lang w:eastAsia="en-US"/>
        </w:rPr>
        <w:t>brut</w:t>
      </w:r>
      <w:r w:rsidRPr="00725E04">
        <w:rPr>
          <w:rFonts w:ascii="Marianne Light" w:eastAsia="Calibri" w:hAnsi="Marianne Light" w:cs="Segoe UI"/>
          <w:lang w:eastAsia="en-US"/>
        </w:rPr>
        <w:t xml:space="preserve"> en 202</w:t>
      </w:r>
      <w:r>
        <w:rPr>
          <w:rFonts w:ascii="Marianne Light" w:eastAsia="Calibri" w:hAnsi="Marianne Light" w:cs="Segoe UI"/>
          <w:lang w:eastAsia="en-US"/>
        </w:rPr>
        <w:t xml:space="preserve">6. </w:t>
      </w:r>
      <w:r w:rsidRPr="00725E04">
        <w:rPr>
          <w:rFonts w:ascii="Marianne Light" w:eastAsia="Calibri" w:hAnsi="Marianne Light" w:cs="Segoe UI"/>
          <w:lang w:eastAsia="en-US"/>
        </w:rPr>
        <w:t>Le pays entretient ainsi l’image d’un « pays de salaire minimum » : 60 % des Portugais gagnent moins de 1 000 € par mois, et près de 20 % moins de 632 €. Fin 2024, un peu plus de la moitié des retraités percevaient une pension inférieure à 500 €, dont 70 % de femmes. Ces faibles revenus s’accompagnent d’importantes disparités dans leur distribution. Les 20 % les plus riches perçoivent 5,2 fois plus que les 20 % les plus pauvres, plaçant le pays à la 5</w:t>
      </w:r>
      <w:r w:rsidRPr="0069428F">
        <w:rPr>
          <w:rFonts w:ascii="Marianne Light" w:eastAsia="Calibri" w:hAnsi="Marianne Light" w:cs="Segoe UI"/>
          <w:vertAlign w:val="superscript"/>
          <w:lang w:eastAsia="en-US"/>
        </w:rPr>
        <w:t>ème</w:t>
      </w:r>
      <w:r w:rsidRPr="00725E04">
        <w:rPr>
          <w:rFonts w:ascii="Marianne Light" w:eastAsia="Calibri" w:hAnsi="Marianne Light" w:cs="Segoe UI"/>
          <w:lang w:eastAsia="en-US"/>
        </w:rPr>
        <w:t xml:space="preserve"> pire performance européenne sur cet indicateur (contre 4,6 pour l’UE). Le revenu moyen par adulte équivalent des 10 % les plus riches était environ 8,9 fois supérieur à celui des 10 % les plus pauvres en 2023. Malgré une diminution des inégalités en 2023, le Portugal demeurait en 2022 le 4</w:t>
      </w:r>
      <w:r w:rsidRPr="00725E04">
        <w:rPr>
          <w:rFonts w:ascii="Marianne Light" w:eastAsia="Calibri" w:hAnsi="Marianne Light" w:cs="Segoe UI"/>
          <w:vertAlign w:val="superscript"/>
          <w:lang w:eastAsia="en-US"/>
        </w:rPr>
        <w:t>ème</w:t>
      </w:r>
      <w:r w:rsidRPr="00725E04">
        <w:rPr>
          <w:rFonts w:ascii="Marianne Light" w:eastAsia="Calibri" w:hAnsi="Marianne Light" w:cs="Segoe UI"/>
          <w:lang w:eastAsia="en-US"/>
        </w:rPr>
        <w:t xml:space="preserve"> pays le plus inégalitaire de l’Union européenne</w:t>
      </w:r>
      <w:r w:rsidR="0069428F">
        <w:rPr>
          <w:rFonts w:ascii="Marianne Light" w:eastAsia="Calibri" w:hAnsi="Marianne Light" w:cs="Segoe UI"/>
          <w:lang w:eastAsia="en-US"/>
        </w:rPr>
        <w:t xml:space="preserve">. </w:t>
      </w:r>
    </w:p>
    <w:p w14:paraId="7529CEAA" w14:textId="77777777" w:rsidR="00725E04" w:rsidRPr="00725E04" w:rsidRDefault="00725E04" w:rsidP="00725E04">
      <w:pPr>
        <w:jc w:val="both"/>
        <w:rPr>
          <w:rFonts w:ascii="Marianne Light" w:eastAsia="Calibri" w:hAnsi="Marianne Light" w:cs="Segoe UI"/>
          <w:lang w:eastAsia="en-US"/>
        </w:rPr>
      </w:pPr>
    </w:p>
    <w:p w14:paraId="7552BA12" w14:textId="0D5BF33B" w:rsidR="00725E04" w:rsidRPr="00725E04" w:rsidRDefault="00725E04" w:rsidP="00725E04">
      <w:pPr>
        <w:jc w:val="both"/>
        <w:rPr>
          <w:rFonts w:ascii="Marianne Light" w:eastAsia="Calibri" w:hAnsi="Marianne Light" w:cs="Segoe UI"/>
          <w:lang w:eastAsia="en-US"/>
        </w:rPr>
      </w:pPr>
      <w:r w:rsidRPr="00725E04">
        <w:rPr>
          <w:rFonts w:ascii="Marianne Medium" w:eastAsia="Calibri" w:hAnsi="Marianne Medium" w:cs="Segoe UI"/>
          <w:lang w:eastAsia="en-US"/>
        </w:rPr>
        <w:t xml:space="preserve">La baisse du chômage que connait le pays depuis plusieurs années masque des dysfonctionnements sur le marché du travail et un système éducatif encore fragile. </w:t>
      </w:r>
      <w:r w:rsidRPr="00725E04">
        <w:rPr>
          <w:rFonts w:ascii="Marianne Light" w:eastAsia="Calibri" w:hAnsi="Marianne Light" w:cs="Segoe UI"/>
          <w:lang w:eastAsia="en-US"/>
        </w:rPr>
        <w:t>Certains secteurs sont particulièrement touchés par des pénuries de main-d’œuvre, comme le tourisme, la métallurgie, les TIC ou encore l’industrie automobile. En plus de ces difficultés, la segmentation du marché du travail persiste, avec une forte proportion de contrats temporaires (59 % des 15-24 ans) et de travailleurs précaires (9% des travailleurs dans la pauvreté). Le marché du travail portugais est majoritairement composé de travailleurs et d’emplois à faible qualification.</w:t>
      </w:r>
      <w:r w:rsidR="0069428F">
        <w:rPr>
          <w:rFonts w:ascii="Marianne Light" w:eastAsia="Calibri" w:hAnsi="Marianne Light" w:cs="Segoe UI"/>
          <w:lang w:eastAsia="en-US"/>
        </w:rPr>
        <w:t xml:space="preserve"> </w:t>
      </w:r>
      <w:r w:rsidRPr="00725E04">
        <w:rPr>
          <w:rFonts w:ascii="Marianne Light" w:eastAsia="Calibri" w:hAnsi="Marianne Light" w:cs="Segoe UI"/>
          <w:lang w:eastAsia="en-US"/>
        </w:rPr>
        <w:t xml:space="preserve">Ces faiblesses persistantes sont en partie le reflet d’un système éducatif encore fragile, qui peine toujours à répondre aux besoins des secteurs d’avenir. Depuis 2013, la baisse du chômage s'accompagne d'une hausse des emplois vacants, signe des difficultés des </w:t>
      </w:r>
      <w:r w:rsidRPr="00725E04">
        <w:rPr>
          <w:rFonts w:ascii="Marianne Light" w:eastAsia="Calibri" w:hAnsi="Marianne Light" w:cs="Segoe UI"/>
          <w:lang w:eastAsia="en-US"/>
        </w:rPr>
        <w:lastRenderedPageBreak/>
        <w:t>entreprises à recruter des travailleurs aux compétences adéquates. Ce déséquilibre est aggravé par la fuite des cerveaux, alors que le taux de chômage des jeunes s'établit à 23 %</w:t>
      </w:r>
      <w:r w:rsidR="0069428F">
        <w:rPr>
          <w:rFonts w:ascii="Marianne Light" w:eastAsia="Calibri" w:hAnsi="Marianne Light" w:cs="Segoe UI"/>
          <w:lang w:eastAsia="en-US"/>
        </w:rPr>
        <w:t xml:space="preserve"> </w:t>
      </w:r>
      <w:r w:rsidRPr="00725E04">
        <w:rPr>
          <w:rFonts w:ascii="Marianne Light" w:eastAsia="Calibri" w:hAnsi="Marianne Light" w:cs="Segoe UI"/>
          <w:lang w:eastAsia="en-US"/>
        </w:rPr>
        <w:t xml:space="preserve">(15 % pour l'UE). </w:t>
      </w:r>
    </w:p>
    <w:p w14:paraId="01B92D38" w14:textId="77777777" w:rsidR="00725E04" w:rsidRPr="00725E04" w:rsidRDefault="00725E04" w:rsidP="00725E04">
      <w:pPr>
        <w:jc w:val="both"/>
        <w:rPr>
          <w:rFonts w:ascii="Marianne Light" w:eastAsia="Calibri" w:hAnsi="Marianne Light" w:cs="Segoe UI"/>
          <w:lang w:eastAsia="en-US"/>
        </w:rPr>
      </w:pPr>
    </w:p>
    <w:p w14:paraId="1E1FC6AD" w14:textId="5D96FFF9" w:rsidR="00D472A3" w:rsidRDefault="00725E04" w:rsidP="00725E04">
      <w:pPr>
        <w:jc w:val="both"/>
        <w:rPr>
          <w:rFonts w:ascii="Marianne Light" w:eastAsia="Calibri" w:hAnsi="Marianne Light" w:cs="Segoe UI"/>
          <w:lang w:eastAsia="en-US"/>
        </w:rPr>
      </w:pPr>
      <w:r w:rsidRPr="0069428F">
        <w:rPr>
          <w:rFonts w:ascii="Marianne Medium" w:eastAsia="Calibri" w:hAnsi="Marianne Medium" w:cs="Segoe UI"/>
          <w:lang w:eastAsia="en-US"/>
        </w:rPr>
        <w:t xml:space="preserve">Le Portugal connait de fortes inégalités de développement économique et social, avec des disparités entre la région de Lisbonne et les régions intérieures. </w:t>
      </w:r>
      <w:r w:rsidRPr="00725E04">
        <w:rPr>
          <w:rFonts w:ascii="Marianne Light" w:eastAsia="Calibri" w:hAnsi="Marianne Light" w:cs="Segoe UI"/>
          <w:lang w:eastAsia="en-US"/>
        </w:rPr>
        <w:t>Elles s’insèrent tant dans l'accès à l'éducation et aux services publics, que dans la répartition des emplois, des revenus, et des niveaux de pauvreté. La région de Lisbonne, plus compétitive que le reste du pays, concentre une grande partie des emplois qualifiés et des opportunités socio-économiques. En 2022, elle était la seule région dont le PIB par habitant était supérieur à la moyenne de l'UE, contre moins de 75</w:t>
      </w:r>
      <w:r w:rsidR="0069428F">
        <w:rPr>
          <w:rFonts w:ascii="Marianne Light" w:eastAsia="Calibri" w:hAnsi="Marianne Light" w:cs="Segoe UI"/>
          <w:lang w:eastAsia="en-US"/>
        </w:rPr>
        <w:t xml:space="preserve"> </w:t>
      </w:r>
      <w:r w:rsidRPr="00725E04">
        <w:rPr>
          <w:rFonts w:ascii="Marianne Light" w:eastAsia="Calibri" w:hAnsi="Marianne Light" w:cs="Segoe UI"/>
          <w:lang w:eastAsia="en-US"/>
        </w:rPr>
        <w:t>% dans 4 régions sur 7. Aussi, les améliorations du système éducatif depuis les années 2000 sont géographiquement différenciées, avec une concentration des établissements dans les grandes villes, et des zones rurales qui connaissent des taux d'abandon scolaire plus élevés. Si l'apport des fonds structurels au cours des dernières décennies a été indéniable dans le processus de convergence du Portugal, l</w:t>
      </w:r>
      <w:r w:rsidR="0069428F">
        <w:rPr>
          <w:rFonts w:ascii="Marianne Light" w:eastAsia="Calibri" w:hAnsi="Marianne Light" w:cs="Segoe UI"/>
          <w:lang w:eastAsia="en-US"/>
        </w:rPr>
        <w:t>a</w:t>
      </w:r>
      <w:r w:rsidRPr="00725E04">
        <w:rPr>
          <w:rFonts w:ascii="Marianne Light" w:eastAsia="Calibri" w:hAnsi="Marianne Light" w:cs="Segoe UI"/>
          <w:lang w:eastAsia="en-US"/>
        </w:rPr>
        <w:t xml:space="preserve"> dépendance qui en a résulté a eu des effets pervers, en contribuant à la concentration de la croissance dans les grandes villes au détriment des régions périphériques.</w:t>
      </w:r>
    </w:p>
    <w:p w14:paraId="0EA7E249" w14:textId="59A0D1C6" w:rsidR="00D472A3" w:rsidRPr="00F115F1" w:rsidRDefault="00D472A3" w:rsidP="00614EEF">
      <w:pPr>
        <w:jc w:val="both"/>
        <w:rPr>
          <w:rFonts w:ascii="Marianne Light" w:eastAsia="Calibri" w:hAnsi="Marianne Light" w:cs="Segoe UI"/>
          <w:sz w:val="24"/>
          <w:szCs w:val="24"/>
          <w:lang w:eastAsia="en-US"/>
        </w:rPr>
      </w:pPr>
    </w:p>
    <w:p w14:paraId="5B44E179" w14:textId="3A9730D1" w:rsidR="0043450A" w:rsidRDefault="0043450A" w:rsidP="0043450A">
      <w:pPr>
        <w:rPr>
          <w:rFonts w:ascii="Marianne ExtraBold" w:hAnsi="Marianne ExtraBold" w:cstheme="minorHAnsi"/>
          <w:color w:val="E4A503"/>
          <w:sz w:val="28"/>
          <w:szCs w:val="28"/>
        </w:rPr>
      </w:pPr>
      <w:r>
        <w:rPr>
          <w:rFonts w:ascii="Marianne ExtraBold" w:hAnsi="Marianne ExtraBold" w:cstheme="minorHAnsi"/>
          <w:color w:val="E4A503"/>
          <w:sz w:val="28"/>
          <w:szCs w:val="28"/>
        </w:rPr>
        <w:t xml:space="preserve">Le Portugal et l’économie internationale </w:t>
      </w:r>
    </w:p>
    <w:p w14:paraId="15C8BDA3" w14:textId="77777777" w:rsidR="0043450A" w:rsidRPr="00F115F1" w:rsidRDefault="0043450A" w:rsidP="0043450A">
      <w:pPr>
        <w:jc w:val="both"/>
        <w:rPr>
          <w:rFonts w:ascii="Marianne Medium" w:eastAsia="Calibri" w:hAnsi="Marianne Medium" w:cs="Segoe UI"/>
          <w:sz w:val="24"/>
          <w:szCs w:val="24"/>
          <w:lang w:eastAsia="en-US"/>
        </w:rPr>
      </w:pPr>
    </w:p>
    <w:p w14:paraId="7E5291FC" w14:textId="511FE4BD" w:rsidR="0043450A" w:rsidRP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 xml:space="preserve">Le commerce extérieur du Portugal présente </w:t>
      </w:r>
      <w:proofErr w:type="gramStart"/>
      <w:r w:rsidRPr="007B31B5">
        <w:rPr>
          <w:rFonts w:ascii="Marianne Medium" w:eastAsia="Calibri" w:hAnsi="Marianne Medium" w:cs="Segoe UI"/>
          <w:lang w:eastAsia="en-US"/>
        </w:rPr>
        <w:t>une double dynamique</w:t>
      </w:r>
      <w:proofErr w:type="gramEnd"/>
      <w:r w:rsidRPr="007B31B5">
        <w:rPr>
          <w:rFonts w:ascii="Marianne Medium" w:eastAsia="Calibri" w:hAnsi="Marianne Medium" w:cs="Segoe UI"/>
          <w:lang w:eastAsia="en-US"/>
        </w:rPr>
        <w:t xml:space="preserve"> : d’un côté, un déficit de la balance des biens, et de l’autre, un excédent de la balance des services. </w:t>
      </w:r>
      <w:r w:rsidRPr="0043450A">
        <w:rPr>
          <w:rFonts w:ascii="Marianne Light" w:eastAsia="Calibri" w:hAnsi="Marianne Light" w:cs="Segoe UI"/>
          <w:lang w:eastAsia="en-US"/>
        </w:rPr>
        <w:t xml:space="preserve">Le pays reste structurellement déficitaire, en raison de sa forte dépendance aux approvisionnements extérieurs. En 2024, ce déficit commercial s’est stabilisé à -28,3 Md€. Tous les secteurs sont concernés, mais la situation est particulièrement préoccupante dans l’agroalimentaire : le Portugal importe environ les trois quarts de sa consommation en céréales, poissons et viande. On note malgré tout quelques excédents commerciaux, notamment vis-à-vis des États-Unis, du Royaume-Uni, de la France, et des PALOP, les pays africains de langue portugaise. </w:t>
      </w:r>
    </w:p>
    <w:p w14:paraId="40B776F8" w14:textId="77777777" w:rsidR="0043450A" w:rsidRPr="0043450A" w:rsidRDefault="0043450A" w:rsidP="0043450A">
      <w:pPr>
        <w:jc w:val="both"/>
        <w:rPr>
          <w:rFonts w:ascii="Marianne Light" w:eastAsia="Calibri" w:hAnsi="Marianne Light" w:cs="Segoe UI"/>
          <w:lang w:eastAsia="en-US"/>
        </w:rPr>
      </w:pPr>
    </w:p>
    <w:p w14:paraId="595BDCD6" w14:textId="77777777" w:rsidR="0043450A" w:rsidRP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En 2024, les exportations portugaises ont atteint 79,3 Md€, dont 71 % à destination du marché européen.</w:t>
      </w:r>
      <w:r w:rsidRPr="0043450A">
        <w:rPr>
          <w:rFonts w:ascii="Marianne Light" w:eastAsia="Calibri" w:hAnsi="Marianne Light" w:cs="Segoe UI"/>
          <w:lang w:eastAsia="en-US"/>
        </w:rPr>
        <w:t xml:space="preserve"> Dans l’ensemble, les exportations progressent faiblement, à 2,5 %, du fait du ralentissement de la demande européenne et de la crise dans la filière automobile. Le Portugal reste toutefois compétitif sur plusieurs filières : composants et véhicules automobiles, vin, huile d’olive, fruits et légumes, produits pharmaceutiques, textile, maroquinerie, ainsi que bois, liège, meubles et plastiques. Les importations, quant à elles, s’élèvent à 107,2 Md€, avec 74,5 % en provenance du reste de l’Europe. Enfin, la balance des services est structurellement excédentaire, et a atteint en 2024 un record à 31,9 Md€, grâce au tourisme. </w:t>
      </w:r>
    </w:p>
    <w:p w14:paraId="466343F6" w14:textId="70DE8D41" w:rsidR="0043450A" w:rsidRPr="0043450A" w:rsidRDefault="0043450A" w:rsidP="0043450A">
      <w:pPr>
        <w:jc w:val="both"/>
        <w:rPr>
          <w:rFonts w:ascii="Marianne Light" w:eastAsia="Calibri" w:hAnsi="Marianne Light" w:cs="Segoe UI"/>
          <w:lang w:eastAsia="en-US"/>
        </w:rPr>
      </w:pPr>
      <w:r w:rsidRPr="0043450A">
        <w:rPr>
          <w:rFonts w:ascii="Marianne Light" w:eastAsia="Calibri" w:hAnsi="Marianne Light" w:cs="Segoe UI"/>
          <w:lang w:eastAsia="en-US"/>
        </w:rPr>
        <w:t xml:space="preserve"> </w:t>
      </w:r>
    </w:p>
    <w:p w14:paraId="66E5B6BA" w14:textId="77777777" w:rsidR="0043450A" w:rsidRP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La balance des services est à l’inverse structurellement excédentaire.</w:t>
      </w:r>
      <w:r w:rsidRPr="0043450A">
        <w:rPr>
          <w:rFonts w:ascii="Marianne Light" w:eastAsia="Calibri" w:hAnsi="Marianne Light" w:cs="Segoe UI"/>
          <w:lang w:eastAsia="en-US"/>
        </w:rPr>
        <w:t xml:space="preserve"> Après avoir enregistré un excédent record de 31,9 Md€ en 2024, la tendance à la hausse se poursuit en 2025 avec un excédent supplémentaire de 235 M€ au T2, tiré par la croissance du </w:t>
      </w:r>
      <w:r w:rsidRPr="0043450A">
        <w:rPr>
          <w:rFonts w:ascii="Marianne Light" w:eastAsia="Calibri" w:hAnsi="Marianne Light" w:cs="Segoe UI"/>
          <w:lang w:eastAsia="en-US"/>
        </w:rPr>
        <w:lastRenderedPageBreak/>
        <w:t>solde des voyages et du tourisme, ainsi que des services techniques liés au commerce et autre prestations fournies par les entreprises.</w:t>
      </w:r>
    </w:p>
    <w:p w14:paraId="159FDDA2" w14:textId="77777777" w:rsidR="0043450A" w:rsidRPr="00F115F1" w:rsidRDefault="0043450A" w:rsidP="0043450A">
      <w:pPr>
        <w:jc w:val="both"/>
        <w:rPr>
          <w:rFonts w:ascii="Marianne Light" w:eastAsia="Calibri" w:hAnsi="Marianne Light" w:cs="Segoe UI"/>
          <w:sz w:val="24"/>
          <w:szCs w:val="24"/>
          <w:lang w:eastAsia="en-US"/>
        </w:rPr>
      </w:pPr>
    </w:p>
    <w:p w14:paraId="5B52A80B" w14:textId="6DEC3157" w:rsidR="0043450A" w:rsidRPr="007B31B5" w:rsidRDefault="007B31B5" w:rsidP="007B31B5">
      <w:pPr>
        <w:rPr>
          <w:rFonts w:ascii="Marianne ExtraBold" w:hAnsi="Marianne ExtraBold" w:cstheme="minorHAnsi"/>
          <w:color w:val="E4A503"/>
          <w:sz w:val="28"/>
          <w:szCs w:val="28"/>
        </w:rPr>
      </w:pPr>
      <w:r>
        <w:rPr>
          <w:rFonts w:ascii="Marianne ExtraBold" w:hAnsi="Marianne ExtraBold" w:cstheme="minorHAnsi"/>
          <w:color w:val="E4A503"/>
          <w:sz w:val="28"/>
          <w:szCs w:val="28"/>
        </w:rPr>
        <w:t xml:space="preserve">La France, partenaire de premier plan du Portugal </w:t>
      </w:r>
    </w:p>
    <w:p w14:paraId="37244580" w14:textId="77777777" w:rsidR="007B31B5" w:rsidRPr="00F115F1" w:rsidRDefault="007B31B5" w:rsidP="0043450A">
      <w:pPr>
        <w:jc w:val="both"/>
        <w:rPr>
          <w:rFonts w:ascii="Marianne Light" w:eastAsia="Calibri" w:hAnsi="Marianne Light" w:cs="Segoe UI"/>
          <w:sz w:val="24"/>
          <w:szCs w:val="24"/>
          <w:lang w:eastAsia="en-US"/>
        </w:rPr>
      </w:pPr>
    </w:p>
    <w:p w14:paraId="64BCE83E" w14:textId="05BD883E" w:rsid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La France est un partenaire commercial de premier plan du Portugal : 3ème client et 3ème fournisseur de bien</w:t>
      </w:r>
      <w:r w:rsidR="007B31B5">
        <w:rPr>
          <w:rFonts w:ascii="Marianne Medium" w:eastAsia="Calibri" w:hAnsi="Marianne Medium" w:cs="Segoe UI"/>
          <w:lang w:eastAsia="en-US"/>
        </w:rPr>
        <w:t>s</w:t>
      </w:r>
      <w:r w:rsidRPr="007B31B5">
        <w:rPr>
          <w:rFonts w:ascii="Marianne Medium" w:eastAsia="Calibri" w:hAnsi="Marianne Medium" w:cs="Segoe UI"/>
          <w:lang w:eastAsia="en-US"/>
        </w:rPr>
        <w:t>.</w:t>
      </w:r>
      <w:r w:rsidRPr="0043450A">
        <w:rPr>
          <w:rFonts w:ascii="Marianne Light" w:eastAsia="Calibri" w:hAnsi="Marianne Light" w:cs="Segoe UI"/>
          <w:lang w:eastAsia="en-US"/>
        </w:rPr>
        <w:t xml:space="preserve"> Le Portugal reste en revanche un partenaire commercial secondaire pour la France : 15ème client et 19ème fournisseur. Depuis les années 2010, la balance commerciale des biens est structurellement déficitaire en défaveur de la France.  Après avoir atteint son plus haut niveau de la période postpandémique en 2022 (-3 Md€), notre déficit commercial avec le Portugal se réduit, ayant atteint son plus bas niveau en 2024 (-1,8 Md€). Cette tendance à la baisse s’explique par une contraction des exportations portugaises vers la France (de -5% sur les biens entre 2023-2024 et de -2% sur les biens et services).</w:t>
      </w:r>
      <w:r>
        <w:rPr>
          <w:rFonts w:ascii="Marianne Light" w:eastAsia="Calibri" w:hAnsi="Marianne Light" w:cs="Segoe UI"/>
          <w:lang w:eastAsia="en-US"/>
        </w:rPr>
        <w:t xml:space="preserve"> </w:t>
      </w:r>
    </w:p>
    <w:p w14:paraId="1FA92B6A" w14:textId="77777777" w:rsidR="0043450A" w:rsidRPr="0043450A" w:rsidRDefault="0043450A" w:rsidP="0043450A">
      <w:pPr>
        <w:jc w:val="both"/>
        <w:rPr>
          <w:rFonts w:ascii="Marianne Light" w:eastAsia="Calibri" w:hAnsi="Marianne Light" w:cs="Segoe UI"/>
          <w:lang w:eastAsia="en-US"/>
        </w:rPr>
      </w:pPr>
    </w:p>
    <w:p w14:paraId="37F34DDC" w14:textId="53205EBB" w:rsidR="0043450A" w:rsidRP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Les échanges de biens illustrent l’importance du secteur automobile dans la relation bilatérale :</w:t>
      </w:r>
      <w:r w:rsidRPr="0043450A">
        <w:rPr>
          <w:rFonts w:ascii="Marianne Light" w:eastAsia="Calibri" w:hAnsi="Marianne Light" w:cs="Segoe UI"/>
          <w:lang w:eastAsia="en-US"/>
        </w:rPr>
        <w:t xml:space="preserve"> les produits de la construction automobile occupent la première place de nos exportations (13% du total en 2024) et de nos importations (12,1%). Le commerce bilatéral est cohérent avec les points forts de nos économies respectives : la France exporte des produits pharmaceutiques, engins aérospatiaux ainsi que des céréales vers le Portugal, duquel elle importe des équipements et composants automobiles, chaussures et habillement, meubles et produits plastiques. </w:t>
      </w:r>
    </w:p>
    <w:p w14:paraId="69C2C5BA" w14:textId="77777777" w:rsidR="007B31B5" w:rsidRPr="0043450A" w:rsidRDefault="007B31B5" w:rsidP="0043450A">
      <w:pPr>
        <w:jc w:val="both"/>
        <w:rPr>
          <w:rFonts w:ascii="Marianne Light" w:eastAsia="Calibri" w:hAnsi="Marianne Light" w:cs="Segoe UI"/>
          <w:lang w:eastAsia="en-US"/>
        </w:rPr>
      </w:pPr>
    </w:p>
    <w:p w14:paraId="7E4B42EF" w14:textId="52C6D5E3" w:rsid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La France entretient une présence économique ancienne, massive et diversifiée au Portugal, qui en fait l’un de ses principaux partenaires européens sur le plan des investissements directs et des implantations.</w:t>
      </w:r>
      <w:r w:rsidRPr="0043450A">
        <w:rPr>
          <w:rFonts w:ascii="Marianne Light" w:eastAsia="Calibri" w:hAnsi="Marianne Light" w:cs="Segoe UI"/>
          <w:lang w:eastAsia="en-US"/>
        </w:rPr>
        <w:t xml:space="preserve"> </w:t>
      </w:r>
      <w:r w:rsidR="007B31B5">
        <w:rPr>
          <w:rFonts w:ascii="Marianne Light" w:eastAsia="Calibri" w:hAnsi="Marianne Light" w:cs="Segoe UI"/>
          <w:lang w:eastAsia="en-US"/>
        </w:rPr>
        <w:t>Près</w:t>
      </w:r>
      <w:r w:rsidRPr="0043450A">
        <w:rPr>
          <w:rFonts w:ascii="Marianne Light" w:eastAsia="Calibri" w:hAnsi="Marianne Light" w:cs="Segoe UI"/>
          <w:lang w:eastAsia="en-US"/>
        </w:rPr>
        <w:t xml:space="preserve"> de 1600 filiales françaises sont actuellement présentes au Portugal, employant 132 336 personnes (1er employeur étranger). 38 des 40 entreprises du CAC40 opèrent dans le pays. En termes de valeur ajoutée brute, la France est le pays qui contribue le plus (6 Md€) au VAB de différents secteurs de l’économie portugaise, notamment les transports et stockage (40,9 %), et la construction et activités immobilières (21,6 %).</w:t>
      </w:r>
    </w:p>
    <w:p w14:paraId="574AD254" w14:textId="77777777" w:rsidR="007B31B5" w:rsidRPr="0043450A" w:rsidRDefault="007B31B5" w:rsidP="0043450A">
      <w:pPr>
        <w:jc w:val="both"/>
        <w:rPr>
          <w:rFonts w:ascii="Marianne Light" w:eastAsia="Calibri" w:hAnsi="Marianne Light" w:cs="Segoe UI"/>
          <w:lang w:eastAsia="en-US"/>
        </w:rPr>
      </w:pPr>
    </w:p>
    <w:p w14:paraId="2853D73E" w14:textId="3D8E527E" w:rsidR="0043450A" w:rsidRPr="0043450A" w:rsidRDefault="0043450A" w:rsidP="0043450A">
      <w:pPr>
        <w:jc w:val="both"/>
        <w:rPr>
          <w:rFonts w:ascii="Marianne Light" w:eastAsia="Calibri" w:hAnsi="Marianne Light" w:cs="Segoe UI"/>
          <w:lang w:eastAsia="en-US"/>
        </w:rPr>
      </w:pPr>
      <w:r w:rsidRPr="007B31B5">
        <w:rPr>
          <w:rFonts w:ascii="Marianne Medium" w:eastAsia="Calibri" w:hAnsi="Marianne Medium" w:cs="Segoe UI"/>
          <w:lang w:eastAsia="en-US"/>
        </w:rPr>
        <w:t xml:space="preserve">Les entreprises françaises interviennent dans l’ensemble des secteurs les plus importants de l’économie portugaise : automobile, aéronautique, services, numérique, tourisme, immobilier, hôtellerie, énergies renouvelables, grande distribution, textile, </w:t>
      </w:r>
      <w:r w:rsidR="007B31B5" w:rsidRPr="007B31B5">
        <w:rPr>
          <w:rFonts w:ascii="Marianne Medium" w:eastAsia="Calibri" w:hAnsi="Marianne Medium" w:cs="Segoe UI"/>
          <w:lang w:eastAsia="en-US"/>
        </w:rPr>
        <w:t>maroquinerie</w:t>
      </w:r>
      <w:r w:rsidRPr="007B31B5">
        <w:rPr>
          <w:rFonts w:ascii="Marianne Medium" w:eastAsia="Calibri" w:hAnsi="Marianne Medium" w:cs="Segoe UI"/>
          <w:lang w:eastAsia="en-US"/>
        </w:rPr>
        <w:t>.</w:t>
      </w:r>
      <w:r w:rsidRPr="0043450A">
        <w:rPr>
          <w:rFonts w:ascii="Marianne Light" w:eastAsia="Calibri" w:hAnsi="Marianne Light" w:cs="Segoe UI"/>
          <w:lang w:eastAsia="en-US"/>
        </w:rPr>
        <w:t xml:space="preserve"> Fin 2025, le stock d’IDE français au Portugal dépassait les 17 Md€, faisant de la France le 3ème investisseur étranger final au Portugal (8 % du stock total), derrière le Royaume-Uni. Parmi les grands investissements récents figure l’acquisition par BPCE (2ème groupe bancaire français) de la banque portugaise Novo Banco pour 6,4 Md€. Cet investissement est la plus importante opération dans le secteur bancaire de la zone euro depuis dix ans, ainsi que le plus important investissement français au Portugal. Autre investissement notable dans le domaine des énergies renouvelables est l’inauguration du plus grand parc d’énergie solaire au Portugal par l’entreprise française </w:t>
      </w:r>
      <w:proofErr w:type="spellStart"/>
      <w:r w:rsidRPr="0043450A">
        <w:rPr>
          <w:rFonts w:ascii="Marianne Light" w:eastAsia="Calibri" w:hAnsi="Marianne Light" w:cs="Segoe UI"/>
          <w:lang w:eastAsia="en-US"/>
        </w:rPr>
        <w:t>Neoen</w:t>
      </w:r>
      <w:proofErr w:type="spellEnd"/>
      <w:r w:rsidRPr="0043450A">
        <w:rPr>
          <w:rFonts w:ascii="Marianne Light" w:eastAsia="Calibri" w:hAnsi="Marianne Light" w:cs="Segoe UI"/>
          <w:lang w:eastAsia="en-US"/>
        </w:rPr>
        <w:t xml:space="preserve"> en juin 2025.</w:t>
      </w:r>
    </w:p>
    <w:p w14:paraId="5A34FC31" w14:textId="77777777" w:rsidR="007B31B5" w:rsidRDefault="007B31B5" w:rsidP="0043450A">
      <w:pPr>
        <w:jc w:val="both"/>
        <w:rPr>
          <w:rFonts w:ascii="Marianne Light" w:eastAsia="Calibri" w:hAnsi="Marianne Light" w:cs="Segoe UI"/>
          <w:lang w:eastAsia="en-US"/>
        </w:rPr>
      </w:pPr>
    </w:p>
    <w:p w14:paraId="735EBC06" w14:textId="5384A832" w:rsidR="007B31B5" w:rsidRPr="00E41D98" w:rsidRDefault="00E41D98" w:rsidP="0043450A">
      <w:pPr>
        <w:jc w:val="both"/>
        <w:rPr>
          <w:rFonts w:ascii="Marianne Medium" w:eastAsia="Calibri" w:hAnsi="Marianne Medium" w:cs="Segoe UI"/>
          <w:color w:val="000091"/>
          <w:sz w:val="20"/>
          <w:szCs w:val="20"/>
          <w:lang w:eastAsia="en-US"/>
        </w:rPr>
      </w:pPr>
      <w:r w:rsidRPr="00E41D98">
        <w:rPr>
          <w:rFonts w:ascii="Marianne ExtraBold" w:hAnsi="Marianne ExtraBold"/>
          <w:noProof/>
          <w:color w:val="000091"/>
          <w:sz w:val="18"/>
          <w:szCs w:val="18"/>
        </w:rPr>
        <w:lastRenderedPageBreak/>
        <mc:AlternateContent>
          <mc:Choice Requires="wps">
            <w:drawing>
              <wp:anchor distT="0" distB="0" distL="114300" distR="114300" simplePos="0" relativeHeight="251674624" behindDoc="1" locked="0" layoutInCell="1" allowOverlap="1" wp14:anchorId="7595A39F" wp14:editId="036C71BD">
                <wp:simplePos x="0" y="0"/>
                <wp:positionH relativeFrom="margin">
                  <wp:posOffset>-86995</wp:posOffset>
                </wp:positionH>
                <wp:positionV relativeFrom="paragraph">
                  <wp:posOffset>-53128</wp:posOffset>
                </wp:positionV>
                <wp:extent cx="5994047" cy="2206244"/>
                <wp:effectExtent l="0" t="0" r="6985" b="3810"/>
                <wp:wrapNone/>
                <wp:docPr id="7" name="Rectangle 7"/>
                <wp:cNvGraphicFramePr/>
                <a:graphic xmlns:a="http://schemas.openxmlformats.org/drawingml/2006/main">
                  <a:graphicData uri="http://schemas.microsoft.com/office/word/2010/wordprocessingShape">
                    <wps:wsp>
                      <wps:cNvSpPr/>
                      <wps:spPr>
                        <a:xfrm>
                          <a:off x="0" y="0"/>
                          <a:ext cx="5994047" cy="2206244"/>
                        </a:xfrm>
                        <a:prstGeom prst="rect">
                          <a:avLst/>
                        </a:prstGeom>
                        <a:solidFill>
                          <a:srgbClr val="FCC63A">
                            <a:lumMod val="20000"/>
                            <a:lumOff val="80000"/>
                          </a:srgbClr>
                        </a:solidFill>
                        <a:ln w="19050" cap="flat" cmpd="sng" algn="ctr">
                          <a:noFill/>
                          <a:prstDash val="solid"/>
                          <a:miter lim="800000"/>
                        </a:ln>
                        <a:effectLst/>
                      </wps:spPr>
                      <wps:txbx>
                        <w:txbxContent>
                          <w:p w14:paraId="6CD5620F" w14:textId="77777777" w:rsidR="00E41D98" w:rsidRDefault="00E41D98" w:rsidP="00E41D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5A39F" id="Rectangle 7" o:spid="_x0000_s1026" style="position:absolute;left:0;text-align:left;margin-left:-6.85pt;margin-top:-4.2pt;width:471.95pt;height:173.7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" fillcolor="#fef4d8" stroked="f" strokeweight="1.5pt">
                <v:textbox>
                  <w:txbxContent>
                    <w:p w14:paraId="6CD5620F" w14:textId="77777777" w:rsidR="00E41D98" w:rsidRDefault="00E41D98" w:rsidP="00E41D98">
                      <w:pPr>
                        <w:jc w:val="center"/>
                      </w:pPr>
                    </w:p>
                  </w:txbxContent>
                </v:textbox>
                <w10:wrap anchorx="margin"/>
              </v:rect>
            </w:pict>
          </mc:Fallback>
        </mc:AlternateContent>
      </w:r>
      <w:r w:rsidR="007B31B5" w:rsidRPr="00E41D98">
        <w:rPr>
          <w:rFonts w:ascii="Marianne Medium" w:eastAsia="Calibri" w:hAnsi="Marianne Medium" w:cs="Segoe UI"/>
          <w:color w:val="000091"/>
          <w:sz w:val="20"/>
          <w:szCs w:val="20"/>
          <w:lang w:eastAsia="en-US"/>
        </w:rPr>
        <w:t>Les grands</w:t>
      </w:r>
      <w:r w:rsidR="0043450A" w:rsidRPr="00E41D98">
        <w:rPr>
          <w:rFonts w:ascii="Marianne Medium" w:eastAsia="Calibri" w:hAnsi="Marianne Medium" w:cs="Segoe UI"/>
          <w:color w:val="000091"/>
          <w:sz w:val="20"/>
          <w:szCs w:val="20"/>
          <w:lang w:eastAsia="en-US"/>
        </w:rPr>
        <w:t xml:space="preserve"> groupes français présents au Portugal : </w:t>
      </w:r>
    </w:p>
    <w:p w14:paraId="20D0C70B" w14:textId="77777777" w:rsidR="007B31B5" w:rsidRPr="007B31B5" w:rsidRDefault="007B31B5" w:rsidP="007B31B5">
      <w:pPr>
        <w:rPr>
          <w:rFonts w:ascii="Marianne Medium" w:eastAsia="Calibri" w:hAnsi="Marianne Medium" w:cs="Segoe UI"/>
          <w:sz w:val="20"/>
          <w:szCs w:val="20"/>
          <w:lang w:eastAsia="en-US"/>
        </w:rPr>
      </w:pPr>
    </w:p>
    <w:p w14:paraId="30974C4A" w14:textId="3BC018D0"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Secteur financier :</w:t>
      </w:r>
      <w:r w:rsidRPr="007B31B5">
        <w:rPr>
          <w:rFonts w:ascii="Marianne Light" w:eastAsia="Calibri" w:hAnsi="Marianne Light" w:cs="Segoe UI"/>
          <w:sz w:val="20"/>
          <w:szCs w:val="20"/>
          <w:lang w:eastAsia="en-US"/>
        </w:rPr>
        <w:t xml:space="preserve"> BNP Paribas, Euronext, </w:t>
      </w:r>
      <w:r w:rsidR="007B31B5" w:rsidRPr="007B31B5">
        <w:rPr>
          <w:rFonts w:ascii="Marianne Light" w:eastAsia="Calibri" w:hAnsi="Marianne Light" w:cs="Segoe UI"/>
          <w:sz w:val="20"/>
          <w:szCs w:val="20"/>
          <w:lang w:eastAsia="en-US"/>
        </w:rPr>
        <w:t>Natixis</w:t>
      </w:r>
      <w:r w:rsidRPr="007B31B5">
        <w:rPr>
          <w:rFonts w:ascii="Marianne Light" w:eastAsia="Calibri" w:hAnsi="Marianne Light" w:cs="Segoe UI"/>
          <w:sz w:val="20"/>
          <w:szCs w:val="20"/>
          <w:lang w:eastAsia="en-US"/>
        </w:rPr>
        <w:t>, BPCE.</w:t>
      </w:r>
    </w:p>
    <w:p w14:paraId="37568F92" w14:textId="42A1988D"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Distribution :</w:t>
      </w:r>
      <w:r w:rsidRPr="007B31B5">
        <w:rPr>
          <w:rFonts w:ascii="Marianne Light" w:eastAsia="Calibri" w:hAnsi="Marianne Light" w:cs="Segoe UI"/>
          <w:sz w:val="20"/>
          <w:szCs w:val="20"/>
          <w:lang w:eastAsia="en-US"/>
        </w:rPr>
        <w:t xml:space="preserve"> Leroy Merlin, Decathlon, Conforama, La Redoute, Fnac.</w:t>
      </w:r>
    </w:p>
    <w:p w14:paraId="0ECEA1F8" w14:textId="3A63E9B5"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Infrastructures :</w:t>
      </w:r>
      <w:r w:rsidRPr="007B31B5">
        <w:rPr>
          <w:rFonts w:ascii="Marianne Light" w:eastAsia="Calibri" w:hAnsi="Marianne Light" w:cs="Segoe UI"/>
          <w:sz w:val="20"/>
          <w:szCs w:val="20"/>
          <w:lang w:eastAsia="en-US"/>
        </w:rPr>
        <w:t xml:space="preserve"> </w:t>
      </w:r>
      <w:proofErr w:type="spellStart"/>
      <w:r w:rsidRPr="007B31B5">
        <w:rPr>
          <w:rFonts w:ascii="Marianne Light" w:eastAsia="Calibri" w:hAnsi="Marianne Light" w:cs="Segoe UI"/>
          <w:sz w:val="20"/>
          <w:szCs w:val="20"/>
          <w:lang w:eastAsia="en-US"/>
        </w:rPr>
        <w:t>Neoen</w:t>
      </w:r>
      <w:proofErr w:type="spellEnd"/>
      <w:r w:rsidRPr="007B31B5">
        <w:rPr>
          <w:rFonts w:ascii="Marianne Light" w:eastAsia="Calibri" w:hAnsi="Marianne Light" w:cs="Segoe UI"/>
          <w:sz w:val="20"/>
          <w:szCs w:val="20"/>
          <w:lang w:eastAsia="en-US"/>
        </w:rPr>
        <w:t xml:space="preserve">, </w:t>
      </w:r>
      <w:proofErr w:type="spellStart"/>
      <w:r w:rsidRPr="007B31B5">
        <w:rPr>
          <w:rFonts w:ascii="Marianne Light" w:eastAsia="Calibri" w:hAnsi="Marianne Light" w:cs="Segoe UI"/>
          <w:sz w:val="20"/>
          <w:szCs w:val="20"/>
          <w:lang w:eastAsia="en-US"/>
        </w:rPr>
        <w:t>Voltalia</w:t>
      </w:r>
      <w:proofErr w:type="spellEnd"/>
      <w:r w:rsidRPr="007B31B5">
        <w:rPr>
          <w:rFonts w:ascii="Marianne Light" w:eastAsia="Calibri" w:hAnsi="Marianne Light" w:cs="Segoe UI"/>
          <w:sz w:val="20"/>
          <w:szCs w:val="20"/>
          <w:lang w:eastAsia="en-US"/>
        </w:rPr>
        <w:t xml:space="preserve">, </w:t>
      </w:r>
      <w:proofErr w:type="spellStart"/>
      <w:r w:rsidRPr="007B31B5">
        <w:rPr>
          <w:rFonts w:ascii="Marianne Light" w:eastAsia="Calibri" w:hAnsi="Marianne Light" w:cs="Segoe UI"/>
          <w:sz w:val="20"/>
          <w:szCs w:val="20"/>
          <w:lang w:eastAsia="en-US"/>
        </w:rPr>
        <w:t>Akuo</w:t>
      </w:r>
      <w:proofErr w:type="spellEnd"/>
      <w:r w:rsidRPr="007B31B5">
        <w:rPr>
          <w:rFonts w:ascii="Marianne Light" w:eastAsia="Calibri" w:hAnsi="Marianne Light" w:cs="Segoe UI"/>
          <w:sz w:val="20"/>
          <w:szCs w:val="20"/>
          <w:lang w:eastAsia="en-US"/>
        </w:rPr>
        <w:t xml:space="preserve">, Engie, Vinci, Airbus, </w:t>
      </w:r>
      <w:proofErr w:type="spellStart"/>
      <w:r w:rsidRPr="007B31B5">
        <w:rPr>
          <w:rFonts w:ascii="Marianne Light" w:eastAsia="Calibri" w:hAnsi="Marianne Light" w:cs="Segoe UI"/>
          <w:sz w:val="20"/>
          <w:szCs w:val="20"/>
          <w:lang w:eastAsia="en-US"/>
        </w:rPr>
        <w:t>Mecachrom</w:t>
      </w:r>
      <w:r w:rsidR="007B31B5" w:rsidRPr="007B31B5">
        <w:rPr>
          <w:rFonts w:ascii="Marianne Light" w:eastAsia="Calibri" w:hAnsi="Marianne Light" w:cs="Segoe UI"/>
          <w:sz w:val="20"/>
          <w:szCs w:val="20"/>
          <w:lang w:eastAsia="en-US"/>
        </w:rPr>
        <w:t>e</w:t>
      </w:r>
      <w:proofErr w:type="spellEnd"/>
      <w:r w:rsidR="007B31B5" w:rsidRPr="007B31B5">
        <w:rPr>
          <w:rFonts w:ascii="Marianne Light" w:eastAsia="Calibri" w:hAnsi="Marianne Light" w:cs="Segoe UI"/>
          <w:sz w:val="20"/>
          <w:szCs w:val="20"/>
          <w:lang w:eastAsia="en-US"/>
        </w:rPr>
        <w:t xml:space="preserve">, </w:t>
      </w:r>
      <w:proofErr w:type="spellStart"/>
      <w:r w:rsidRPr="007B31B5">
        <w:rPr>
          <w:rFonts w:ascii="Marianne Light" w:eastAsia="Calibri" w:hAnsi="Marianne Light" w:cs="Segoe UI"/>
          <w:sz w:val="20"/>
          <w:szCs w:val="20"/>
          <w:lang w:eastAsia="en-US"/>
        </w:rPr>
        <w:t>Lauak</w:t>
      </w:r>
      <w:proofErr w:type="spellEnd"/>
      <w:r w:rsidRPr="007B31B5">
        <w:rPr>
          <w:rFonts w:ascii="Marianne Light" w:eastAsia="Calibri" w:hAnsi="Marianne Light" w:cs="Segoe UI"/>
          <w:sz w:val="20"/>
          <w:szCs w:val="20"/>
          <w:lang w:eastAsia="en-US"/>
        </w:rPr>
        <w:t>.</w:t>
      </w:r>
    </w:p>
    <w:p w14:paraId="282856FA" w14:textId="586E80F4"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Télécommunications et tech :</w:t>
      </w:r>
      <w:r w:rsidRPr="007B31B5">
        <w:rPr>
          <w:rFonts w:ascii="Marianne Light" w:eastAsia="Calibri" w:hAnsi="Marianne Light" w:cs="Segoe UI"/>
          <w:sz w:val="20"/>
          <w:szCs w:val="20"/>
          <w:lang w:eastAsia="en-US"/>
        </w:rPr>
        <w:t xml:space="preserve"> Altice, Lydia, </w:t>
      </w:r>
      <w:proofErr w:type="spellStart"/>
      <w:r w:rsidRPr="007B31B5">
        <w:rPr>
          <w:rFonts w:ascii="Marianne Light" w:eastAsia="Calibri" w:hAnsi="Marianne Light" w:cs="Segoe UI"/>
          <w:sz w:val="20"/>
          <w:szCs w:val="20"/>
          <w:lang w:eastAsia="en-US"/>
        </w:rPr>
        <w:t>Qonto</w:t>
      </w:r>
      <w:proofErr w:type="spellEnd"/>
      <w:r w:rsidRPr="007B31B5">
        <w:rPr>
          <w:rFonts w:ascii="Marianne Light" w:eastAsia="Calibri" w:hAnsi="Marianne Light" w:cs="Segoe UI"/>
          <w:sz w:val="20"/>
          <w:szCs w:val="20"/>
          <w:lang w:eastAsia="en-US"/>
        </w:rPr>
        <w:t xml:space="preserve">, Blablacar, </w:t>
      </w:r>
      <w:proofErr w:type="spellStart"/>
      <w:r w:rsidRPr="007B31B5">
        <w:rPr>
          <w:rFonts w:ascii="Marianne Light" w:eastAsia="Calibri" w:hAnsi="Marianne Light" w:cs="Segoe UI"/>
          <w:sz w:val="20"/>
          <w:szCs w:val="20"/>
          <w:lang w:eastAsia="en-US"/>
        </w:rPr>
        <w:t>Backmarket</w:t>
      </w:r>
      <w:proofErr w:type="spellEnd"/>
      <w:r w:rsidRPr="007B31B5">
        <w:rPr>
          <w:rFonts w:ascii="Marianne Light" w:eastAsia="Calibri" w:hAnsi="Marianne Light" w:cs="Segoe UI"/>
          <w:sz w:val="20"/>
          <w:szCs w:val="20"/>
          <w:lang w:eastAsia="en-US"/>
        </w:rPr>
        <w:t>, Capgemini</w:t>
      </w:r>
      <w:r w:rsidR="007B31B5">
        <w:rPr>
          <w:rFonts w:ascii="Marianne Light" w:eastAsia="Calibri" w:hAnsi="Marianne Light" w:cs="Segoe UI"/>
          <w:sz w:val="20"/>
          <w:szCs w:val="20"/>
          <w:lang w:eastAsia="en-US"/>
        </w:rPr>
        <w:t xml:space="preserve">, </w:t>
      </w:r>
      <w:proofErr w:type="spellStart"/>
      <w:r w:rsidRPr="007B31B5">
        <w:rPr>
          <w:rFonts w:ascii="Marianne Light" w:eastAsia="Calibri" w:hAnsi="Marianne Light" w:cs="Segoe UI"/>
          <w:sz w:val="20"/>
          <w:szCs w:val="20"/>
          <w:lang w:eastAsia="en-US"/>
        </w:rPr>
        <w:t>Teleperformance</w:t>
      </w:r>
      <w:proofErr w:type="spellEnd"/>
      <w:r w:rsidRPr="007B31B5">
        <w:rPr>
          <w:rFonts w:ascii="Marianne Light" w:eastAsia="Calibri" w:hAnsi="Marianne Light" w:cs="Segoe UI"/>
          <w:sz w:val="20"/>
          <w:szCs w:val="20"/>
          <w:lang w:eastAsia="en-US"/>
        </w:rPr>
        <w:t>.</w:t>
      </w:r>
    </w:p>
    <w:p w14:paraId="2E9D6AEC" w14:textId="0F820EFE"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Automobile :</w:t>
      </w:r>
      <w:r w:rsidRPr="007B31B5">
        <w:rPr>
          <w:rFonts w:ascii="Marianne Light" w:eastAsia="Calibri" w:hAnsi="Marianne Light" w:cs="Segoe UI"/>
          <w:sz w:val="20"/>
          <w:szCs w:val="20"/>
          <w:lang w:eastAsia="en-US"/>
        </w:rPr>
        <w:t xml:space="preserve"> Faurecia, </w:t>
      </w:r>
      <w:proofErr w:type="spellStart"/>
      <w:r w:rsidRPr="007B31B5">
        <w:rPr>
          <w:rFonts w:ascii="Marianne Light" w:eastAsia="Calibri" w:hAnsi="Marianne Light" w:cs="Segoe UI"/>
          <w:sz w:val="20"/>
          <w:szCs w:val="20"/>
          <w:lang w:eastAsia="en-US"/>
        </w:rPr>
        <w:t>Stellantis</w:t>
      </w:r>
      <w:proofErr w:type="spellEnd"/>
      <w:r w:rsidRPr="007B31B5">
        <w:rPr>
          <w:rFonts w:ascii="Marianne Light" w:eastAsia="Calibri" w:hAnsi="Marianne Light" w:cs="Segoe UI"/>
          <w:sz w:val="20"/>
          <w:szCs w:val="20"/>
          <w:lang w:eastAsia="en-US"/>
        </w:rPr>
        <w:t>, Horse (groupe Renault).</w:t>
      </w:r>
    </w:p>
    <w:p w14:paraId="681B98C1" w14:textId="1E3A1729"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Agro</w:t>
      </w:r>
      <w:r w:rsidR="007B31B5" w:rsidRPr="007B31B5">
        <w:rPr>
          <w:rFonts w:ascii="Marianne Light" w:eastAsia="Calibri" w:hAnsi="Marianne Light" w:cs="Segoe UI"/>
          <w:b/>
          <w:bCs/>
          <w:sz w:val="20"/>
          <w:szCs w:val="20"/>
          <w:lang w:eastAsia="en-US"/>
        </w:rPr>
        <w:t>alimentaire</w:t>
      </w:r>
      <w:r w:rsidRPr="007B31B5">
        <w:rPr>
          <w:rFonts w:ascii="Marianne Light" w:eastAsia="Calibri" w:hAnsi="Marianne Light" w:cs="Segoe UI"/>
          <w:b/>
          <w:bCs/>
          <w:sz w:val="20"/>
          <w:szCs w:val="20"/>
          <w:lang w:eastAsia="en-US"/>
        </w:rPr>
        <w:t xml:space="preserve"> :</w:t>
      </w:r>
      <w:r w:rsidRPr="007B31B5">
        <w:rPr>
          <w:rFonts w:ascii="Marianne Light" w:eastAsia="Calibri" w:hAnsi="Marianne Light" w:cs="Segoe UI"/>
          <w:sz w:val="20"/>
          <w:szCs w:val="20"/>
          <w:lang w:eastAsia="en-US"/>
        </w:rPr>
        <w:t xml:space="preserve"> La Martiniquaise, </w:t>
      </w:r>
      <w:proofErr w:type="spellStart"/>
      <w:r w:rsidRPr="007B31B5">
        <w:rPr>
          <w:rFonts w:ascii="Marianne Light" w:eastAsia="Calibri" w:hAnsi="Marianne Light" w:cs="Segoe UI"/>
          <w:sz w:val="20"/>
          <w:szCs w:val="20"/>
          <w:lang w:eastAsia="en-US"/>
        </w:rPr>
        <w:t>Vranken</w:t>
      </w:r>
      <w:proofErr w:type="spellEnd"/>
      <w:r w:rsidRPr="007B31B5">
        <w:rPr>
          <w:rFonts w:ascii="Marianne Light" w:eastAsia="Calibri" w:hAnsi="Marianne Light" w:cs="Segoe UI"/>
          <w:sz w:val="20"/>
          <w:szCs w:val="20"/>
          <w:lang w:eastAsia="en-US"/>
        </w:rPr>
        <w:t xml:space="preserve"> Pommery Roederer, Pernod-Ricard, Bel, Bonduelle, Lactalis, Danone.</w:t>
      </w:r>
    </w:p>
    <w:p w14:paraId="05C006B9" w14:textId="75006265" w:rsidR="0043450A" w:rsidRPr="007B31B5" w:rsidRDefault="0043450A" w:rsidP="007B31B5">
      <w:pPr>
        <w:pStyle w:val="Paragraphedeliste"/>
        <w:numPr>
          <w:ilvl w:val="0"/>
          <w:numId w:val="2"/>
        </w:numPr>
        <w:rPr>
          <w:rFonts w:ascii="Marianne Light" w:eastAsia="Calibri" w:hAnsi="Marianne Light" w:cs="Segoe UI"/>
          <w:sz w:val="20"/>
          <w:szCs w:val="20"/>
          <w:lang w:eastAsia="en-US"/>
        </w:rPr>
      </w:pPr>
      <w:r w:rsidRPr="007B31B5">
        <w:rPr>
          <w:rFonts w:ascii="Marianne Light" w:eastAsia="Calibri" w:hAnsi="Marianne Light" w:cs="Segoe UI"/>
          <w:b/>
          <w:bCs/>
          <w:sz w:val="20"/>
          <w:szCs w:val="20"/>
          <w:lang w:eastAsia="en-US"/>
        </w:rPr>
        <w:t>Grande distribution :</w:t>
      </w:r>
      <w:r w:rsidRPr="007B31B5">
        <w:rPr>
          <w:rFonts w:ascii="Marianne Light" w:eastAsia="Calibri" w:hAnsi="Marianne Light" w:cs="Segoe UI"/>
          <w:sz w:val="20"/>
          <w:szCs w:val="20"/>
          <w:lang w:eastAsia="en-US"/>
        </w:rPr>
        <w:t xml:space="preserve"> Auchan, Intermarché, </w:t>
      </w:r>
      <w:proofErr w:type="gramStart"/>
      <w:r w:rsidRPr="007B31B5">
        <w:rPr>
          <w:rFonts w:ascii="Marianne Light" w:eastAsia="Calibri" w:hAnsi="Marianne Light" w:cs="Segoe UI"/>
          <w:sz w:val="20"/>
          <w:szCs w:val="20"/>
          <w:lang w:eastAsia="en-US"/>
        </w:rPr>
        <w:t>E.Leclerc</w:t>
      </w:r>
      <w:proofErr w:type="gramEnd"/>
      <w:r w:rsidRPr="007B31B5">
        <w:rPr>
          <w:rFonts w:ascii="Marianne Light" w:eastAsia="Calibri" w:hAnsi="Marianne Light" w:cs="Segoe UI"/>
          <w:sz w:val="20"/>
          <w:szCs w:val="20"/>
          <w:lang w:eastAsia="en-US"/>
        </w:rPr>
        <w:t>.</w:t>
      </w:r>
    </w:p>
    <w:p w14:paraId="099C8F2C" w14:textId="618E17CE" w:rsidR="00D472A3" w:rsidRPr="007B31B5" w:rsidRDefault="0043450A" w:rsidP="007B31B5">
      <w:pPr>
        <w:pStyle w:val="Paragraphedeliste"/>
        <w:numPr>
          <w:ilvl w:val="0"/>
          <w:numId w:val="2"/>
        </w:numPr>
        <w:rPr>
          <w:rFonts w:ascii="Marianne Light" w:eastAsia="Calibri" w:hAnsi="Marianne Light" w:cs="Segoe UI"/>
          <w:b/>
          <w:bCs/>
          <w:sz w:val="20"/>
          <w:szCs w:val="20"/>
          <w:lang w:eastAsia="en-US"/>
        </w:rPr>
      </w:pPr>
      <w:r w:rsidRPr="007B31B5">
        <w:rPr>
          <w:rFonts w:ascii="Marianne Light" w:eastAsia="Calibri" w:hAnsi="Marianne Light" w:cs="Segoe UI"/>
          <w:sz w:val="20"/>
          <w:szCs w:val="20"/>
          <w:lang w:eastAsia="en-US"/>
        </w:rPr>
        <w:t xml:space="preserve">Autres secteurs où la France se démarque : </w:t>
      </w:r>
      <w:r w:rsidRPr="007B31B5">
        <w:rPr>
          <w:rFonts w:ascii="Marianne Light" w:eastAsia="Calibri" w:hAnsi="Marianne Light" w:cs="Segoe UI"/>
          <w:b/>
          <w:bCs/>
          <w:sz w:val="20"/>
          <w:szCs w:val="20"/>
          <w:lang w:eastAsia="en-US"/>
        </w:rPr>
        <w:t>hôtellerie, immobilier et luxe.</w:t>
      </w:r>
    </w:p>
    <w:p w14:paraId="03FD822D" w14:textId="77777777" w:rsidR="00575DA7" w:rsidRPr="00A0469D" w:rsidRDefault="00575DA7" w:rsidP="00614EEF">
      <w:pPr>
        <w:jc w:val="both"/>
        <w:rPr>
          <w:rFonts w:ascii="Marianne Light" w:eastAsia="Times New Roman" w:hAnsi="Marianne Light" w:cstheme="minorHAnsi"/>
        </w:rPr>
      </w:pPr>
    </w:p>
    <w:p w14:paraId="6BF1458C" w14:textId="77777777" w:rsidR="00722060" w:rsidRPr="00A0469D" w:rsidRDefault="00722060" w:rsidP="00722060">
      <w:pPr>
        <w:jc w:val="both"/>
        <w:rPr>
          <w:rFonts w:ascii="Marianne Light" w:hAnsi="Marianne Light" w:cstheme="minorHAnsi"/>
        </w:rPr>
      </w:pPr>
    </w:p>
    <w:p w14:paraId="582A0BAF" w14:textId="4225858E" w:rsidR="00722060" w:rsidRDefault="00722060" w:rsidP="00F115F1">
      <w:pPr>
        <w:jc w:val="center"/>
        <w:rPr>
          <w:rFonts w:ascii="Marianne Medium" w:eastAsia="Times New Roman" w:hAnsi="Marianne Medium" w:cstheme="minorHAnsi"/>
          <w:b/>
          <w:bCs/>
          <w:color w:val="E4A503"/>
        </w:rPr>
      </w:pPr>
      <w:r w:rsidRPr="0017230F">
        <w:rPr>
          <w:rFonts w:ascii="Marianne Medium" w:eastAsia="Times New Roman" w:hAnsi="Marianne Medium" w:cstheme="minorHAnsi"/>
          <w:b/>
          <w:bCs/>
          <w:color w:val="E4A503"/>
        </w:rPr>
        <w:t xml:space="preserve">Projections macroéconomiques </w:t>
      </w:r>
      <w:r w:rsidR="00F115F1">
        <w:rPr>
          <w:rFonts w:ascii="Marianne Medium" w:eastAsia="Times New Roman" w:hAnsi="Marianne Medium" w:cstheme="minorHAnsi"/>
          <w:b/>
          <w:bCs/>
          <w:color w:val="E4A503"/>
        </w:rPr>
        <w:t>pour le Portugal</w:t>
      </w:r>
    </w:p>
    <w:p w14:paraId="4522DA91" w14:textId="77777777" w:rsidR="00F115F1" w:rsidRPr="00F115F1" w:rsidRDefault="00F115F1" w:rsidP="00F115F1">
      <w:pPr>
        <w:jc w:val="center"/>
        <w:rPr>
          <w:rFonts w:ascii="Marianne Medium" w:eastAsia="Times New Roman" w:hAnsi="Marianne Medium" w:cstheme="minorHAnsi"/>
          <w:b/>
          <w:bCs/>
          <w:color w:val="E4A503"/>
          <w:sz w:val="10"/>
          <w:szCs w:val="10"/>
        </w:rPr>
      </w:pPr>
    </w:p>
    <w:tbl>
      <w:tblPr>
        <w:tblStyle w:val="TableauGrille5Fonc-Accentuation4"/>
        <w:tblW w:w="9431" w:type="dxa"/>
        <w:tblInd w:w="-147" w:type="dxa"/>
        <w:tblLook w:val="04A0" w:firstRow="1" w:lastRow="0" w:firstColumn="1" w:lastColumn="0" w:noHBand="0" w:noVBand="1"/>
      </w:tblPr>
      <w:tblGrid>
        <w:gridCol w:w="1547"/>
        <w:gridCol w:w="619"/>
        <w:gridCol w:w="647"/>
        <w:gridCol w:w="649"/>
        <w:gridCol w:w="757"/>
        <w:gridCol w:w="648"/>
        <w:gridCol w:w="783"/>
        <w:gridCol w:w="606"/>
        <w:gridCol w:w="69"/>
        <w:gridCol w:w="880"/>
        <w:gridCol w:w="648"/>
        <w:gridCol w:w="44"/>
        <w:gridCol w:w="738"/>
        <w:gridCol w:w="796"/>
      </w:tblGrid>
      <w:tr w:rsidR="00F115F1" w:rsidRPr="00F115F1" w14:paraId="56E05535" w14:textId="77777777" w:rsidTr="00F115F1">
        <w:trPr>
          <w:cnfStyle w:val="100000000000" w:firstRow="1" w:lastRow="0" w:firstColumn="0" w:lastColumn="0" w:oddVBand="0" w:evenVBand="0" w:oddHBand="0"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547" w:type="dxa"/>
            <w:tcBorders>
              <w:top w:val="single" w:sz="4" w:space="0" w:color="BF8F00" w:themeColor="accent4" w:themeShade="BF"/>
              <w:left w:val="single" w:sz="4" w:space="0" w:color="BF8F00" w:themeColor="accent4" w:themeShade="BF"/>
              <w:bottom w:val="single" w:sz="4" w:space="0" w:color="FFFFFF" w:themeColor="background1"/>
            </w:tcBorders>
            <w:shd w:val="clear" w:color="auto" w:fill="BF8F00" w:themeFill="accent4" w:themeFillShade="BF"/>
            <w:noWrap/>
            <w:vAlign w:val="center"/>
            <w:hideMark/>
          </w:tcPr>
          <w:p w14:paraId="600F30C2" w14:textId="77777777" w:rsidR="00722060" w:rsidRPr="00F115F1" w:rsidRDefault="00722060" w:rsidP="00CE3297">
            <w:pPr>
              <w:jc w:val="both"/>
              <w:rPr>
                <w:rFonts w:ascii="Marianne Light" w:eastAsia="Times New Roman" w:hAnsi="Marianne Light" w:cstheme="minorHAnsi"/>
                <w:sz w:val="14"/>
                <w:szCs w:val="18"/>
              </w:rPr>
            </w:pPr>
          </w:p>
        </w:tc>
        <w:tc>
          <w:tcPr>
            <w:tcW w:w="619" w:type="dxa"/>
            <w:tcBorders>
              <w:top w:val="single" w:sz="4" w:space="0" w:color="BF8F00" w:themeColor="accent4" w:themeShade="BF"/>
              <w:right w:val="single" w:sz="4" w:space="0" w:color="BF8F00" w:themeColor="accent4" w:themeShade="BF"/>
            </w:tcBorders>
            <w:shd w:val="clear" w:color="auto" w:fill="BF8F00" w:themeFill="accent4" w:themeFillShade="BF"/>
            <w:noWrap/>
            <w:vAlign w:val="center"/>
            <w:hideMark/>
          </w:tcPr>
          <w:p w14:paraId="41CE69CE"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p>
        </w:tc>
        <w:tc>
          <w:tcPr>
            <w:tcW w:w="1296" w:type="dxa"/>
            <w:gridSpan w:val="2"/>
            <w:tcBorders>
              <w:top w:val="single" w:sz="4" w:space="0" w:color="BF8F00" w:themeColor="accent4" w:themeShade="BF"/>
              <w:left w:val="single" w:sz="4" w:space="0" w:color="BF8F00" w:themeColor="accent4" w:themeShade="BF"/>
              <w:right w:val="single" w:sz="4" w:space="0" w:color="BF8F00" w:themeColor="accent4" w:themeShade="BF"/>
            </w:tcBorders>
            <w:shd w:val="clear" w:color="auto" w:fill="BF8F00" w:themeFill="accent4" w:themeFillShade="BF"/>
            <w:noWrap/>
            <w:vAlign w:val="center"/>
            <w:hideMark/>
          </w:tcPr>
          <w:p w14:paraId="26BDC9D2"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hAnsi="Marianne Light"/>
                <w:sz w:val="14"/>
                <w:szCs w:val="18"/>
              </w:rPr>
            </w:pPr>
            <w:r w:rsidRPr="00F115F1">
              <w:rPr>
                <w:rFonts w:ascii="Marianne Light" w:hAnsi="Marianne Light"/>
                <w:sz w:val="14"/>
                <w:szCs w:val="18"/>
              </w:rPr>
              <w:t>Croissance du PIB</w:t>
            </w:r>
          </w:p>
        </w:tc>
        <w:tc>
          <w:tcPr>
            <w:tcW w:w="1405" w:type="dxa"/>
            <w:gridSpan w:val="2"/>
            <w:tcBorders>
              <w:top w:val="single" w:sz="4" w:space="0" w:color="BF8F00" w:themeColor="accent4" w:themeShade="BF"/>
              <w:left w:val="single" w:sz="4" w:space="0" w:color="BF8F00" w:themeColor="accent4" w:themeShade="BF"/>
              <w:right w:val="single" w:sz="4" w:space="0" w:color="BF8F00" w:themeColor="accent4" w:themeShade="BF"/>
            </w:tcBorders>
            <w:shd w:val="clear" w:color="auto" w:fill="BF8F00" w:themeFill="accent4" w:themeFillShade="BF"/>
            <w:noWrap/>
            <w:vAlign w:val="center"/>
            <w:hideMark/>
          </w:tcPr>
          <w:p w14:paraId="59F449CA"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hAnsi="Marianne Light"/>
                <w:sz w:val="14"/>
                <w:szCs w:val="18"/>
              </w:rPr>
            </w:pPr>
            <w:r w:rsidRPr="00F115F1">
              <w:rPr>
                <w:rFonts w:ascii="Marianne Light" w:hAnsi="Marianne Light"/>
                <w:sz w:val="14"/>
                <w:szCs w:val="18"/>
              </w:rPr>
              <w:t>Inflation (IPCH)</w:t>
            </w:r>
          </w:p>
        </w:tc>
        <w:tc>
          <w:tcPr>
            <w:tcW w:w="1389" w:type="dxa"/>
            <w:gridSpan w:val="2"/>
            <w:tcBorders>
              <w:top w:val="single" w:sz="4" w:space="0" w:color="BF8F00" w:themeColor="accent4" w:themeShade="BF"/>
              <w:left w:val="single" w:sz="4" w:space="0" w:color="BF8F00" w:themeColor="accent4" w:themeShade="BF"/>
              <w:right w:val="single" w:sz="4" w:space="0" w:color="BF8F00" w:themeColor="accent4" w:themeShade="BF"/>
            </w:tcBorders>
            <w:shd w:val="clear" w:color="auto" w:fill="BF8F00" w:themeFill="accent4" w:themeFillShade="BF"/>
            <w:noWrap/>
            <w:vAlign w:val="center"/>
            <w:hideMark/>
          </w:tcPr>
          <w:p w14:paraId="0BBFB5AF"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hAnsi="Marianne Light"/>
                <w:sz w:val="14"/>
                <w:szCs w:val="18"/>
              </w:rPr>
            </w:pPr>
            <w:r w:rsidRPr="00F115F1">
              <w:rPr>
                <w:rFonts w:ascii="Marianne Light" w:hAnsi="Marianne Light"/>
                <w:sz w:val="14"/>
                <w:szCs w:val="18"/>
              </w:rPr>
              <w:t>Taux de chômage</w:t>
            </w:r>
          </w:p>
        </w:tc>
        <w:tc>
          <w:tcPr>
            <w:tcW w:w="1597" w:type="dxa"/>
            <w:gridSpan w:val="3"/>
            <w:tcBorders>
              <w:top w:val="single" w:sz="4" w:space="0" w:color="BF8F00" w:themeColor="accent4" w:themeShade="BF"/>
              <w:left w:val="single" w:sz="4" w:space="0" w:color="BF8F00" w:themeColor="accent4" w:themeShade="BF"/>
              <w:right w:val="single" w:sz="4" w:space="0" w:color="BF8F00" w:themeColor="accent4" w:themeShade="BF"/>
            </w:tcBorders>
            <w:shd w:val="clear" w:color="auto" w:fill="BF8F00" w:themeFill="accent4" w:themeFillShade="BF"/>
            <w:noWrap/>
            <w:vAlign w:val="center"/>
            <w:hideMark/>
          </w:tcPr>
          <w:p w14:paraId="54A9B23F"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hAnsi="Marianne Light"/>
                <w:sz w:val="14"/>
                <w:szCs w:val="18"/>
              </w:rPr>
            </w:pPr>
            <w:r w:rsidRPr="00F115F1">
              <w:rPr>
                <w:rFonts w:ascii="Marianne Light" w:hAnsi="Marianne Light"/>
                <w:sz w:val="14"/>
                <w:szCs w:val="18"/>
              </w:rPr>
              <w:t>Dette publique / PIB</w:t>
            </w:r>
          </w:p>
        </w:tc>
        <w:tc>
          <w:tcPr>
            <w:tcW w:w="1578" w:type="dxa"/>
            <w:gridSpan w:val="3"/>
            <w:tcBorders>
              <w:top w:val="single" w:sz="4" w:space="0" w:color="BF8F00" w:themeColor="accent4" w:themeShade="BF"/>
              <w:left w:val="single" w:sz="4" w:space="0" w:color="BF8F00" w:themeColor="accent4" w:themeShade="BF"/>
              <w:right w:val="single" w:sz="4" w:space="0" w:color="BF8F00" w:themeColor="accent4" w:themeShade="BF"/>
            </w:tcBorders>
            <w:shd w:val="clear" w:color="auto" w:fill="BF8F00" w:themeFill="accent4" w:themeFillShade="BF"/>
            <w:noWrap/>
            <w:vAlign w:val="center"/>
            <w:hideMark/>
          </w:tcPr>
          <w:p w14:paraId="0D27F328"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eastAsia="Times New Roman" w:hAnsi="Marianne Light" w:cstheme="minorHAnsi"/>
                <w:b w:val="0"/>
                <w:bCs w:val="0"/>
                <w:sz w:val="14"/>
                <w:szCs w:val="18"/>
              </w:rPr>
            </w:pPr>
            <w:r w:rsidRPr="00F115F1">
              <w:rPr>
                <w:rFonts w:ascii="Marianne Light" w:hAnsi="Marianne Light"/>
                <w:sz w:val="14"/>
                <w:szCs w:val="18"/>
              </w:rPr>
              <w:t xml:space="preserve">Solde public </w:t>
            </w:r>
          </w:p>
          <w:p w14:paraId="50A7F7F5" w14:textId="77777777" w:rsidR="00722060" w:rsidRPr="00F115F1" w:rsidRDefault="00722060" w:rsidP="00CE3297">
            <w:pPr>
              <w:jc w:val="center"/>
              <w:cnfStyle w:val="100000000000" w:firstRow="1" w:lastRow="0" w:firstColumn="0" w:lastColumn="0" w:oddVBand="0" w:evenVBand="0" w:oddHBand="0" w:evenHBand="0" w:firstRowFirstColumn="0" w:firstRowLastColumn="0" w:lastRowFirstColumn="0" w:lastRowLastColumn="0"/>
              <w:rPr>
                <w:rFonts w:ascii="Marianne Light" w:hAnsi="Marianne Light"/>
                <w:sz w:val="14"/>
                <w:szCs w:val="18"/>
              </w:rPr>
            </w:pPr>
            <w:r w:rsidRPr="00F115F1">
              <w:rPr>
                <w:rFonts w:ascii="Marianne Light" w:hAnsi="Marianne Light"/>
                <w:sz w:val="14"/>
                <w:szCs w:val="18"/>
              </w:rPr>
              <w:t>/ PIB</w:t>
            </w:r>
          </w:p>
        </w:tc>
      </w:tr>
      <w:tr w:rsidR="00F115F1" w:rsidRPr="00F115F1" w14:paraId="7D7C8529" w14:textId="77777777" w:rsidTr="00F115F1">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bottom w:val="single" w:sz="4" w:space="0" w:color="FFFFFF" w:themeColor="background1"/>
            </w:tcBorders>
            <w:shd w:val="clear" w:color="auto" w:fill="BF8F00" w:themeFill="accent4" w:themeFillShade="BF"/>
            <w:noWrap/>
            <w:vAlign w:val="center"/>
            <w:hideMark/>
          </w:tcPr>
          <w:p w14:paraId="7731BEF9"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Sources</w:t>
            </w:r>
          </w:p>
        </w:tc>
        <w:tc>
          <w:tcPr>
            <w:tcW w:w="619" w:type="dxa"/>
            <w:tcBorders>
              <w:right w:val="single" w:sz="4" w:space="0" w:color="BF8F00" w:themeColor="accent4" w:themeShade="BF"/>
            </w:tcBorders>
            <w:noWrap/>
            <w:vAlign w:val="center"/>
            <w:hideMark/>
          </w:tcPr>
          <w:p w14:paraId="4A7845CD"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i/>
                <w:iCs/>
                <w:color w:val="806000" w:themeColor="accent4" w:themeShade="80"/>
                <w:sz w:val="14"/>
                <w:szCs w:val="18"/>
              </w:rPr>
            </w:pPr>
            <w:r w:rsidRPr="00F115F1">
              <w:rPr>
                <w:rFonts w:ascii="Marianne Light" w:eastAsia="Times New Roman" w:hAnsi="Marianne Light" w:cstheme="minorHAnsi"/>
                <w:b/>
                <w:bCs/>
                <w:i/>
                <w:iCs/>
                <w:color w:val="806000" w:themeColor="accent4" w:themeShade="80"/>
                <w:sz w:val="14"/>
                <w:szCs w:val="18"/>
              </w:rPr>
              <w:t>Date</w:t>
            </w:r>
          </w:p>
        </w:tc>
        <w:tc>
          <w:tcPr>
            <w:tcW w:w="647" w:type="dxa"/>
            <w:tcBorders>
              <w:left w:val="single" w:sz="4" w:space="0" w:color="BF8F00" w:themeColor="accent4" w:themeShade="BF"/>
            </w:tcBorders>
            <w:noWrap/>
            <w:vAlign w:val="center"/>
            <w:hideMark/>
          </w:tcPr>
          <w:p w14:paraId="031AA052"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2025</w:t>
            </w:r>
          </w:p>
        </w:tc>
        <w:tc>
          <w:tcPr>
            <w:tcW w:w="648" w:type="dxa"/>
            <w:tcBorders>
              <w:right w:val="single" w:sz="4" w:space="0" w:color="BF8F00" w:themeColor="accent4" w:themeShade="BF"/>
            </w:tcBorders>
            <w:noWrap/>
            <w:vAlign w:val="center"/>
            <w:hideMark/>
          </w:tcPr>
          <w:p w14:paraId="2F850AE9"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hAnsi="Marianne Light"/>
                <w:b/>
                <w:sz w:val="14"/>
                <w:szCs w:val="18"/>
              </w:rPr>
              <w:t>2026</w:t>
            </w:r>
          </w:p>
        </w:tc>
        <w:tc>
          <w:tcPr>
            <w:tcW w:w="757" w:type="dxa"/>
            <w:tcBorders>
              <w:left w:val="single" w:sz="4" w:space="0" w:color="BF8F00" w:themeColor="accent4" w:themeShade="BF"/>
            </w:tcBorders>
            <w:noWrap/>
            <w:vAlign w:val="center"/>
            <w:hideMark/>
          </w:tcPr>
          <w:p w14:paraId="1E004B11"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2025</w:t>
            </w:r>
          </w:p>
        </w:tc>
        <w:tc>
          <w:tcPr>
            <w:tcW w:w="648" w:type="dxa"/>
            <w:tcBorders>
              <w:right w:val="single" w:sz="4" w:space="0" w:color="BF8F00" w:themeColor="accent4" w:themeShade="BF"/>
            </w:tcBorders>
            <w:noWrap/>
            <w:vAlign w:val="center"/>
            <w:hideMark/>
          </w:tcPr>
          <w:p w14:paraId="0C4C7B0F"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2026</w:t>
            </w:r>
          </w:p>
        </w:tc>
        <w:tc>
          <w:tcPr>
            <w:tcW w:w="783" w:type="dxa"/>
            <w:tcBorders>
              <w:left w:val="single" w:sz="4" w:space="0" w:color="BF8F00" w:themeColor="accent4" w:themeShade="BF"/>
            </w:tcBorders>
            <w:noWrap/>
            <w:vAlign w:val="center"/>
            <w:hideMark/>
          </w:tcPr>
          <w:p w14:paraId="6D19A48C"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2025</w:t>
            </w:r>
          </w:p>
        </w:tc>
        <w:tc>
          <w:tcPr>
            <w:tcW w:w="675" w:type="dxa"/>
            <w:gridSpan w:val="2"/>
            <w:tcBorders>
              <w:right w:val="single" w:sz="4" w:space="0" w:color="BF8F00" w:themeColor="accent4" w:themeShade="BF"/>
            </w:tcBorders>
            <w:noWrap/>
            <w:vAlign w:val="center"/>
            <w:hideMark/>
          </w:tcPr>
          <w:p w14:paraId="0BCA6E3F"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2026</w:t>
            </w:r>
          </w:p>
        </w:tc>
        <w:tc>
          <w:tcPr>
            <w:tcW w:w="880" w:type="dxa"/>
            <w:tcBorders>
              <w:left w:val="single" w:sz="4" w:space="0" w:color="BF8F00" w:themeColor="accent4" w:themeShade="BF"/>
            </w:tcBorders>
            <w:noWrap/>
            <w:vAlign w:val="center"/>
            <w:hideMark/>
          </w:tcPr>
          <w:p w14:paraId="6FF42334"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2025</w:t>
            </w:r>
          </w:p>
        </w:tc>
        <w:tc>
          <w:tcPr>
            <w:tcW w:w="692" w:type="dxa"/>
            <w:gridSpan w:val="2"/>
            <w:tcBorders>
              <w:right w:val="single" w:sz="4" w:space="0" w:color="BF8F00" w:themeColor="accent4" w:themeShade="BF"/>
            </w:tcBorders>
            <w:noWrap/>
            <w:vAlign w:val="center"/>
            <w:hideMark/>
          </w:tcPr>
          <w:p w14:paraId="03F76433"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2026</w:t>
            </w:r>
          </w:p>
        </w:tc>
        <w:tc>
          <w:tcPr>
            <w:tcW w:w="738" w:type="dxa"/>
            <w:tcBorders>
              <w:left w:val="single" w:sz="4" w:space="0" w:color="BF8F00" w:themeColor="accent4" w:themeShade="BF"/>
            </w:tcBorders>
            <w:noWrap/>
            <w:vAlign w:val="center"/>
            <w:hideMark/>
          </w:tcPr>
          <w:p w14:paraId="44CBB7FE"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2025</w:t>
            </w:r>
          </w:p>
        </w:tc>
        <w:tc>
          <w:tcPr>
            <w:tcW w:w="794" w:type="dxa"/>
            <w:tcBorders>
              <w:right w:val="single" w:sz="4" w:space="0" w:color="BF8F00" w:themeColor="accent4" w:themeShade="BF"/>
            </w:tcBorders>
            <w:noWrap/>
            <w:vAlign w:val="center"/>
            <w:hideMark/>
          </w:tcPr>
          <w:p w14:paraId="565E5F58"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b/>
                <w:bCs/>
                <w:sz w:val="14"/>
                <w:szCs w:val="18"/>
              </w:rPr>
            </w:pPr>
            <w:r w:rsidRPr="00F115F1">
              <w:rPr>
                <w:rFonts w:ascii="Marianne Light" w:eastAsia="Times New Roman" w:hAnsi="Marianne Light" w:cstheme="minorHAnsi"/>
                <w:b/>
                <w:bCs/>
                <w:sz w:val="14"/>
                <w:szCs w:val="18"/>
              </w:rPr>
              <w:t>2026</w:t>
            </w:r>
          </w:p>
        </w:tc>
      </w:tr>
      <w:tr w:rsidR="00F115F1" w:rsidRPr="00F115F1" w14:paraId="0131498F" w14:textId="77777777" w:rsidTr="00F115F1">
        <w:trPr>
          <w:trHeight w:val="181"/>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bottom w:val="single" w:sz="4" w:space="0" w:color="FFFFFF" w:themeColor="background1"/>
            </w:tcBorders>
            <w:shd w:val="clear" w:color="auto" w:fill="BF8F00" w:themeFill="accent4" w:themeFillShade="BF"/>
            <w:noWrap/>
            <w:vAlign w:val="center"/>
          </w:tcPr>
          <w:p w14:paraId="2D0D8010"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OCDE</w:t>
            </w:r>
          </w:p>
        </w:tc>
        <w:tc>
          <w:tcPr>
            <w:tcW w:w="619" w:type="dxa"/>
            <w:tcBorders>
              <w:right w:val="single" w:sz="4" w:space="0" w:color="BF8F00" w:themeColor="accent4" w:themeShade="BF"/>
            </w:tcBorders>
            <w:noWrap/>
            <w:vAlign w:val="center"/>
          </w:tcPr>
          <w:p w14:paraId="79F6BD8D"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r w:rsidRPr="00F115F1">
              <w:rPr>
                <w:rFonts w:ascii="Marianne Light" w:eastAsia="Times New Roman" w:hAnsi="Marianne Light" w:cstheme="minorHAnsi"/>
                <w:i/>
                <w:iCs/>
                <w:color w:val="806000" w:themeColor="accent4" w:themeShade="80"/>
                <w:sz w:val="14"/>
                <w:szCs w:val="18"/>
              </w:rPr>
              <w:t>Juin 2025</w:t>
            </w:r>
          </w:p>
        </w:tc>
        <w:tc>
          <w:tcPr>
            <w:tcW w:w="647" w:type="dxa"/>
            <w:tcBorders>
              <w:left w:val="single" w:sz="4" w:space="0" w:color="BF8F00" w:themeColor="accent4" w:themeShade="BF"/>
            </w:tcBorders>
            <w:noWrap/>
            <w:vAlign w:val="center"/>
          </w:tcPr>
          <w:p w14:paraId="09D2BEF7"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1,9%</w:t>
            </w:r>
          </w:p>
        </w:tc>
        <w:tc>
          <w:tcPr>
            <w:tcW w:w="648" w:type="dxa"/>
            <w:tcBorders>
              <w:right w:val="single" w:sz="4" w:space="0" w:color="BF8F00" w:themeColor="accent4" w:themeShade="BF"/>
            </w:tcBorders>
            <w:noWrap/>
            <w:vAlign w:val="center"/>
          </w:tcPr>
          <w:p w14:paraId="74F4BD34"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1,9%</w:t>
            </w:r>
          </w:p>
        </w:tc>
        <w:tc>
          <w:tcPr>
            <w:tcW w:w="757" w:type="dxa"/>
            <w:tcBorders>
              <w:left w:val="single" w:sz="4" w:space="0" w:color="BF8F00" w:themeColor="accent4" w:themeShade="BF"/>
            </w:tcBorders>
            <w:noWrap/>
            <w:vAlign w:val="center"/>
          </w:tcPr>
          <w:p w14:paraId="6C0B6BEC"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2,4%</w:t>
            </w:r>
          </w:p>
        </w:tc>
        <w:tc>
          <w:tcPr>
            <w:tcW w:w="648" w:type="dxa"/>
            <w:tcBorders>
              <w:right w:val="single" w:sz="4" w:space="0" w:color="BF8F00" w:themeColor="accent4" w:themeShade="BF"/>
            </w:tcBorders>
            <w:noWrap/>
            <w:vAlign w:val="center"/>
          </w:tcPr>
          <w:p w14:paraId="0D383CA4"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2,2%</w:t>
            </w:r>
          </w:p>
        </w:tc>
        <w:tc>
          <w:tcPr>
            <w:tcW w:w="783" w:type="dxa"/>
            <w:tcBorders>
              <w:left w:val="single" w:sz="4" w:space="0" w:color="BF8F00" w:themeColor="accent4" w:themeShade="BF"/>
            </w:tcBorders>
            <w:noWrap/>
            <w:vAlign w:val="center"/>
          </w:tcPr>
          <w:p w14:paraId="417B1574"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6,4%</w:t>
            </w:r>
          </w:p>
        </w:tc>
        <w:tc>
          <w:tcPr>
            <w:tcW w:w="675" w:type="dxa"/>
            <w:gridSpan w:val="2"/>
            <w:tcBorders>
              <w:right w:val="single" w:sz="4" w:space="0" w:color="BF8F00" w:themeColor="accent4" w:themeShade="BF"/>
            </w:tcBorders>
            <w:noWrap/>
            <w:vAlign w:val="center"/>
          </w:tcPr>
          <w:p w14:paraId="29F2CD9F"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6,4%</w:t>
            </w:r>
          </w:p>
        </w:tc>
        <w:tc>
          <w:tcPr>
            <w:tcW w:w="880" w:type="dxa"/>
            <w:tcBorders>
              <w:left w:val="single" w:sz="4" w:space="0" w:color="BF8F00" w:themeColor="accent4" w:themeShade="BF"/>
            </w:tcBorders>
            <w:noWrap/>
            <w:vAlign w:val="center"/>
          </w:tcPr>
          <w:p w14:paraId="62C7155E"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95,4%</w:t>
            </w:r>
          </w:p>
        </w:tc>
        <w:tc>
          <w:tcPr>
            <w:tcW w:w="692" w:type="dxa"/>
            <w:gridSpan w:val="2"/>
            <w:tcBorders>
              <w:right w:val="single" w:sz="4" w:space="0" w:color="BF8F00" w:themeColor="accent4" w:themeShade="BF"/>
            </w:tcBorders>
            <w:noWrap/>
            <w:vAlign w:val="center"/>
          </w:tcPr>
          <w:p w14:paraId="0A8B915E"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89,8%</w:t>
            </w:r>
          </w:p>
        </w:tc>
        <w:tc>
          <w:tcPr>
            <w:tcW w:w="738" w:type="dxa"/>
            <w:tcBorders>
              <w:left w:val="single" w:sz="4" w:space="0" w:color="BF8F00" w:themeColor="accent4" w:themeShade="BF"/>
            </w:tcBorders>
            <w:noWrap/>
            <w:vAlign w:val="center"/>
          </w:tcPr>
          <w:p w14:paraId="27546AF0"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0,2%</w:t>
            </w:r>
          </w:p>
        </w:tc>
        <w:tc>
          <w:tcPr>
            <w:tcW w:w="794" w:type="dxa"/>
            <w:tcBorders>
              <w:right w:val="single" w:sz="4" w:space="0" w:color="BF8F00" w:themeColor="accent4" w:themeShade="BF"/>
            </w:tcBorders>
            <w:noWrap/>
            <w:vAlign w:val="center"/>
          </w:tcPr>
          <w:p w14:paraId="6C973DF8"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-0,3%</w:t>
            </w:r>
          </w:p>
        </w:tc>
      </w:tr>
      <w:tr w:rsidR="00F115F1" w:rsidRPr="00F115F1" w14:paraId="25174121" w14:textId="77777777" w:rsidTr="00F115F1">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bottom w:val="single" w:sz="4" w:space="0" w:color="FFFFFF" w:themeColor="background1"/>
            </w:tcBorders>
            <w:shd w:val="clear" w:color="auto" w:fill="BF8F00" w:themeFill="accent4" w:themeFillShade="BF"/>
            <w:noWrap/>
            <w:vAlign w:val="center"/>
            <w:hideMark/>
          </w:tcPr>
          <w:p w14:paraId="5ADFAD2B"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Commission européenne</w:t>
            </w:r>
          </w:p>
        </w:tc>
        <w:tc>
          <w:tcPr>
            <w:tcW w:w="619" w:type="dxa"/>
            <w:tcBorders>
              <w:right w:val="single" w:sz="4" w:space="0" w:color="BF8F00" w:themeColor="accent4" w:themeShade="BF"/>
            </w:tcBorders>
            <w:noWrap/>
            <w:vAlign w:val="center"/>
            <w:hideMark/>
          </w:tcPr>
          <w:p w14:paraId="520329A1"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r w:rsidRPr="00F115F1">
              <w:rPr>
                <w:rFonts w:ascii="Marianne Light" w:eastAsia="Times New Roman" w:hAnsi="Marianne Light" w:cstheme="minorHAnsi"/>
                <w:i/>
                <w:iCs/>
                <w:color w:val="806000" w:themeColor="accent4" w:themeShade="80"/>
                <w:sz w:val="14"/>
                <w:szCs w:val="18"/>
              </w:rPr>
              <w:t>Mai 2025</w:t>
            </w:r>
          </w:p>
        </w:tc>
        <w:tc>
          <w:tcPr>
            <w:tcW w:w="647" w:type="dxa"/>
            <w:tcBorders>
              <w:left w:val="single" w:sz="4" w:space="0" w:color="BF8F00" w:themeColor="accent4" w:themeShade="BF"/>
            </w:tcBorders>
            <w:noWrap/>
            <w:vAlign w:val="center"/>
            <w:hideMark/>
          </w:tcPr>
          <w:p w14:paraId="5E60F714"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1,9%</w:t>
            </w:r>
          </w:p>
        </w:tc>
        <w:tc>
          <w:tcPr>
            <w:tcW w:w="648" w:type="dxa"/>
            <w:tcBorders>
              <w:right w:val="single" w:sz="4" w:space="0" w:color="BF8F00" w:themeColor="accent4" w:themeShade="BF"/>
            </w:tcBorders>
            <w:noWrap/>
            <w:vAlign w:val="center"/>
            <w:hideMark/>
          </w:tcPr>
          <w:p w14:paraId="48F3A231"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1,8%</w:t>
            </w:r>
          </w:p>
        </w:tc>
        <w:tc>
          <w:tcPr>
            <w:tcW w:w="757" w:type="dxa"/>
            <w:tcBorders>
              <w:left w:val="single" w:sz="4" w:space="0" w:color="BF8F00" w:themeColor="accent4" w:themeShade="BF"/>
            </w:tcBorders>
            <w:noWrap/>
            <w:vAlign w:val="center"/>
            <w:hideMark/>
          </w:tcPr>
          <w:p w14:paraId="45A2092B"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2,7%</w:t>
            </w:r>
          </w:p>
        </w:tc>
        <w:tc>
          <w:tcPr>
            <w:tcW w:w="648" w:type="dxa"/>
            <w:tcBorders>
              <w:right w:val="single" w:sz="4" w:space="0" w:color="BF8F00" w:themeColor="accent4" w:themeShade="BF"/>
            </w:tcBorders>
            <w:noWrap/>
            <w:vAlign w:val="center"/>
            <w:hideMark/>
          </w:tcPr>
          <w:p w14:paraId="74468884"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2,1%</w:t>
            </w:r>
          </w:p>
        </w:tc>
        <w:tc>
          <w:tcPr>
            <w:tcW w:w="783" w:type="dxa"/>
            <w:tcBorders>
              <w:left w:val="single" w:sz="4" w:space="0" w:color="BF8F00" w:themeColor="accent4" w:themeShade="BF"/>
            </w:tcBorders>
            <w:noWrap/>
            <w:vAlign w:val="center"/>
            <w:hideMark/>
          </w:tcPr>
          <w:p w14:paraId="50F01E3F"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6,4%</w:t>
            </w:r>
          </w:p>
        </w:tc>
        <w:tc>
          <w:tcPr>
            <w:tcW w:w="675" w:type="dxa"/>
            <w:gridSpan w:val="2"/>
            <w:tcBorders>
              <w:right w:val="single" w:sz="4" w:space="0" w:color="BF8F00" w:themeColor="accent4" w:themeShade="BF"/>
            </w:tcBorders>
            <w:noWrap/>
            <w:vAlign w:val="center"/>
            <w:hideMark/>
          </w:tcPr>
          <w:p w14:paraId="26C53F1D"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6,4%</w:t>
            </w:r>
          </w:p>
        </w:tc>
        <w:tc>
          <w:tcPr>
            <w:tcW w:w="880" w:type="dxa"/>
            <w:tcBorders>
              <w:left w:val="single" w:sz="4" w:space="0" w:color="BF8F00" w:themeColor="accent4" w:themeShade="BF"/>
            </w:tcBorders>
            <w:noWrap/>
            <w:vAlign w:val="center"/>
            <w:hideMark/>
          </w:tcPr>
          <w:p w14:paraId="78130869"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94,9%</w:t>
            </w:r>
          </w:p>
        </w:tc>
        <w:tc>
          <w:tcPr>
            <w:tcW w:w="692" w:type="dxa"/>
            <w:gridSpan w:val="2"/>
            <w:tcBorders>
              <w:right w:val="single" w:sz="4" w:space="0" w:color="BF8F00" w:themeColor="accent4" w:themeShade="BF"/>
            </w:tcBorders>
            <w:noWrap/>
            <w:vAlign w:val="center"/>
            <w:hideMark/>
          </w:tcPr>
          <w:p w14:paraId="0D368BEC"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89,7%</w:t>
            </w:r>
          </w:p>
        </w:tc>
        <w:tc>
          <w:tcPr>
            <w:tcW w:w="738" w:type="dxa"/>
            <w:tcBorders>
              <w:left w:val="single" w:sz="4" w:space="0" w:color="BF8F00" w:themeColor="accent4" w:themeShade="BF"/>
            </w:tcBorders>
            <w:noWrap/>
            <w:vAlign w:val="center"/>
            <w:hideMark/>
          </w:tcPr>
          <w:p w14:paraId="00A2A63E"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0,1%</w:t>
            </w:r>
          </w:p>
        </w:tc>
        <w:tc>
          <w:tcPr>
            <w:tcW w:w="794" w:type="dxa"/>
            <w:tcBorders>
              <w:right w:val="single" w:sz="4" w:space="0" w:color="BF8F00" w:themeColor="accent4" w:themeShade="BF"/>
            </w:tcBorders>
            <w:noWrap/>
            <w:vAlign w:val="center"/>
            <w:hideMark/>
          </w:tcPr>
          <w:p w14:paraId="7AD05344"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-0,6%</w:t>
            </w:r>
          </w:p>
        </w:tc>
      </w:tr>
      <w:tr w:rsidR="00F115F1" w:rsidRPr="00F115F1" w14:paraId="1AEF3D40" w14:textId="77777777" w:rsidTr="00F115F1">
        <w:trPr>
          <w:trHeight w:val="181"/>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bottom w:val="single" w:sz="4" w:space="0" w:color="FFFFFF" w:themeColor="background1"/>
            </w:tcBorders>
            <w:shd w:val="clear" w:color="auto" w:fill="BF8F00" w:themeFill="accent4" w:themeFillShade="BF"/>
            <w:noWrap/>
            <w:vAlign w:val="center"/>
            <w:hideMark/>
          </w:tcPr>
          <w:p w14:paraId="082A63E3"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Banque du Portugal</w:t>
            </w:r>
          </w:p>
        </w:tc>
        <w:tc>
          <w:tcPr>
            <w:tcW w:w="619" w:type="dxa"/>
            <w:tcBorders>
              <w:bottom w:val="single" w:sz="4" w:space="0" w:color="FFFFFF" w:themeColor="background1"/>
              <w:right w:val="single" w:sz="4" w:space="0" w:color="BF8F00" w:themeColor="accent4" w:themeShade="BF"/>
            </w:tcBorders>
            <w:noWrap/>
            <w:vAlign w:val="center"/>
            <w:hideMark/>
          </w:tcPr>
          <w:p w14:paraId="5D46A739"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proofErr w:type="spellStart"/>
            <w:r w:rsidRPr="00F115F1">
              <w:rPr>
                <w:rFonts w:ascii="Marianne Light" w:eastAsia="Times New Roman" w:hAnsi="Marianne Light" w:cstheme="minorHAnsi"/>
                <w:i/>
                <w:iCs/>
                <w:color w:val="806000" w:themeColor="accent4" w:themeShade="80"/>
                <w:sz w:val="14"/>
                <w:szCs w:val="18"/>
              </w:rPr>
              <w:t>Oct</w:t>
            </w:r>
            <w:proofErr w:type="spellEnd"/>
            <w:r w:rsidRPr="00F115F1">
              <w:rPr>
                <w:rFonts w:ascii="Marianne Light" w:eastAsia="Times New Roman" w:hAnsi="Marianne Light" w:cstheme="minorHAnsi"/>
                <w:i/>
                <w:iCs/>
                <w:color w:val="806000" w:themeColor="accent4" w:themeShade="80"/>
                <w:sz w:val="14"/>
                <w:szCs w:val="18"/>
              </w:rPr>
              <w:t xml:space="preserve"> 2025</w:t>
            </w:r>
          </w:p>
        </w:tc>
        <w:tc>
          <w:tcPr>
            <w:tcW w:w="647" w:type="dxa"/>
            <w:tcBorders>
              <w:left w:val="single" w:sz="4" w:space="0" w:color="BF8F00" w:themeColor="accent4" w:themeShade="BF"/>
              <w:bottom w:val="single" w:sz="4" w:space="0" w:color="FFFFFF" w:themeColor="background1"/>
            </w:tcBorders>
            <w:noWrap/>
            <w:vAlign w:val="center"/>
            <w:hideMark/>
          </w:tcPr>
          <w:p w14:paraId="7A8A128A"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1,9%</w:t>
            </w:r>
          </w:p>
        </w:tc>
        <w:tc>
          <w:tcPr>
            <w:tcW w:w="648" w:type="dxa"/>
            <w:tcBorders>
              <w:bottom w:val="single" w:sz="4" w:space="0" w:color="FFFFFF" w:themeColor="background1"/>
              <w:right w:val="single" w:sz="4" w:space="0" w:color="BF8F00" w:themeColor="accent4" w:themeShade="BF"/>
            </w:tcBorders>
            <w:noWrap/>
            <w:vAlign w:val="center"/>
            <w:hideMark/>
          </w:tcPr>
          <w:p w14:paraId="1DF63A5C"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2,1%</w:t>
            </w:r>
          </w:p>
        </w:tc>
        <w:tc>
          <w:tcPr>
            <w:tcW w:w="757" w:type="dxa"/>
            <w:tcBorders>
              <w:left w:val="single" w:sz="4" w:space="0" w:color="BF8F00" w:themeColor="accent4" w:themeShade="BF"/>
              <w:bottom w:val="single" w:sz="4" w:space="0" w:color="FFFFFF" w:themeColor="background1"/>
            </w:tcBorders>
            <w:noWrap/>
            <w:vAlign w:val="center"/>
            <w:hideMark/>
          </w:tcPr>
          <w:p w14:paraId="0A29A993"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2,6%</w:t>
            </w:r>
          </w:p>
        </w:tc>
        <w:tc>
          <w:tcPr>
            <w:tcW w:w="648" w:type="dxa"/>
            <w:tcBorders>
              <w:bottom w:val="single" w:sz="4" w:space="0" w:color="FFFFFF" w:themeColor="background1"/>
              <w:right w:val="single" w:sz="4" w:space="0" w:color="BF8F00" w:themeColor="accent4" w:themeShade="BF"/>
            </w:tcBorders>
            <w:noWrap/>
            <w:vAlign w:val="center"/>
            <w:hideMark/>
          </w:tcPr>
          <w:p w14:paraId="7B5B312F"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2,0%</w:t>
            </w:r>
          </w:p>
        </w:tc>
        <w:tc>
          <w:tcPr>
            <w:tcW w:w="783" w:type="dxa"/>
            <w:tcBorders>
              <w:left w:val="single" w:sz="4" w:space="0" w:color="BF8F00" w:themeColor="accent4" w:themeShade="BF"/>
              <w:bottom w:val="single" w:sz="4" w:space="0" w:color="FFFFFF" w:themeColor="background1"/>
            </w:tcBorders>
            <w:noWrap/>
            <w:vAlign w:val="center"/>
            <w:hideMark/>
          </w:tcPr>
          <w:p w14:paraId="747ACE88"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6,2%</w:t>
            </w:r>
          </w:p>
        </w:tc>
        <w:tc>
          <w:tcPr>
            <w:tcW w:w="675" w:type="dxa"/>
            <w:gridSpan w:val="2"/>
            <w:tcBorders>
              <w:bottom w:val="single" w:sz="4" w:space="0" w:color="FFFFFF" w:themeColor="background1"/>
              <w:right w:val="single" w:sz="4" w:space="0" w:color="BF8F00" w:themeColor="accent4" w:themeShade="BF"/>
            </w:tcBorders>
            <w:noWrap/>
            <w:vAlign w:val="center"/>
            <w:hideMark/>
          </w:tcPr>
          <w:p w14:paraId="26523E5B"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6,3%</w:t>
            </w:r>
          </w:p>
        </w:tc>
        <w:tc>
          <w:tcPr>
            <w:tcW w:w="880" w:type="dxa"/>
            <w:tcBorders>
              <w:left w:val="single" w:sz="4" w:space="0" w:color="BF8F00" w:themeColor="accent4" w:themeShade="BF"/>
              <w:bottom w:val="single" w:sz="4" w:space="0" w:color="FFFFFF" w:themeColor="background1"/>
            </w:tcBorders>
            <w:noWrap/>
            <w:vAlign w:val="center"/>
            <w:hideMark/>
          </w:tcPr>
          <w:p w14:paraId="3C2EE1C8"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w:t>
            </w:r>
          </w:p>
        </w:tc>
        <w:tc>
          <w:tcPr>
            <w:tcW w:w="692" w:type="dxa"/>
            <w:gridSpan w:val="2"/>
            <w:tcBorders>
              <w:bottom w:val="single" w:sz="4" w:space="0" w:color="FFFFFF" w:themeColor="background1"/>
              <w:right w:val="single" w:sz="4" w:space="0" w:color="BF8F00" w:themeColor="accent4" w:themeShade="BF"/>
            </w:tcBorders>
            <w:noWrap/>
            <w:vAlign w:val="center"/>
            <w:hideMark/>
          </w:tcPr>
          <w:p w14:paraId="6D987C63"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w:t>
            </w:r>
          </w:p>
        </w:tc>
        <w:tc>
          <w:tcPr>
            <w:tcW w:w="738" w:type="dxa"/>
            <w:tcBorders>
              <w:left w:val="single" w:sz="4" w:space="0" w:color="BF8F00" w:themeColor="accent4" w:themeShade="BF"/>
              <w:bottom w:val="single" w:sz="4" w:space="0" w:color="FFFFFF" w:themeColor="background1"/>
            </w:tcBorders>
            <w:noWrap/>
            <w:vAlign w:val="center"/>
            <w:hideMark/>
          </w:tcPr>
          <w:p w14:paraId="0DE8CDCA"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w:t>
            </w:r>
          </w:p>
        </w:tc>
        <w:tc>
          <w:tcPr>
            <w:tcW w:w="794" w:type="dxa"/>
            <w:tcBorders>
              <w:bottom w:val="single" w:sz="4" w:space="0" w:color="FFFFFF" w:themeColor="background1"/>
              <w:right w:val="single" w:sz="4" w:space="0" w:color="BF8F00" w:themeColor="accent4" w:themeShade="BF"/>
            </w:tcBorders>
            <w:noWrap/>
            <w:vAlign w:val="center"/>
            <w:hideMark/>
          </w:tcPr>
          <w:p w14:paraId="372B808C"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w:t>
            </w:r>
          </w:p>
        </w:tc>
      </w:tr>
      <w:tr w:rsidR="00F115F1" w:rsidRPr="00F115F1" w14:paraId="1ED01E59" w14:textId="77777777" w:rsidTr="00F115F1">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tcBorders>
            <w:shd w:val="clear" w:color="auto" w:fill="BF8F00" w:themeFill="accent4" w:themeFillShade="BF"/>
            <w:noWrap/>
            <w:vAlign w:val="center"/>
            <w:hideMark/>
          </w:tcPr>
          <w:p w14:paraId="670D712D"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FMI</w:t>
            </w:r>
          </w:p>
        </w:tc>
        <w:tc>
          <w:tcPr>
            <w:tcW w:w="619" w:type="dxa"/>
            <w:tcBorders>
              <w:right w:val="single" w:sz="4" w:space="0" w:color="BF8F00" w:themeColor="accent4" w:themeShade="BF"/>
            </w:tcBorders>
            <w:noWrap/>
            <w:vAlign w:val="center"/>
            <w:hideMark/>
          </w:tcPr>
          <w:p w14:paraId="09BBBCA5"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r w:rsidRPr="00F115F1">
              <w:rPr>
                <w:rFonts w:ascii="Marianne Light" w:eastAsia="Times New Roman" w:hAnsi="Marianne Light" w:cstheme="minorHAnsi"/>
                <w:i/>
                <w:iCs/>
                <w:color w:val="806000" w:themeColor="accent4" w:themeShade="80"/>
                <w:sz w:val="14"/>
                <w:szCs w:val="18"/>
              </w:rPr>
              <w:t>Avril 2025</w:t>
            </w:r>
          </w:p>
        </w:tc>
        <w:tc>
          <w:tcPr>
            <w:tcW w:w="647" w:type="dxa"/>
            <w:tcBorders>
              <w:left w:val="single" w:sz="4" w:space="0" w:color="BF8F00" w:themeColor="accent4" w:themeShade="BF"/>
            </w:tcBorders>
            <w:noWrap/>
            <w:vAlign w:val="center"/>
            <w:hideMark/>
          </w:tcPr>
          <w:p w14:paraId="0240ABA2"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w:t>
            </w:r>
          </w:p>
        </w:tc>
        <w:tc>
          <w:tcPr>
            <w:tcW w:w="648" w:type="dxa"/>
            <w:tcBorders>
              <w:right w:val="single" w:sz="4" w:space="0" w:color="BF8F00" w:themeColor="accent4" w:themeShade="BF"/>
            </w:tcBorders>
            <w:noWrap/>
            <w:vAlign w:val="center"/>
            <w:hideMark/>
          </w:tcPr>
          <w:p w14:paraId="06052758"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1,7%</w:t>
            </w:r>
          </w:p>
        </w:tc>
        <w:tc>
          <w:tcPr>
            <w:tcW w:w="757" w:type="dxa"/>
            <w:tcBorders>
              <w:left w:val="single" w:sz="4" w:space="0" w:color="BF8F00" w:themeColor="accent4" w:themeShade="BF"/>
            </w:tcBorders>
            <w:noWrap/>
            <w:vAlign w:val="center"/>
            <w:hideMark/>
          </w:tcPr>
          <w:p w14:paraId="0EC30502"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1,9%</w:t>
            </w:r>
          </w:p>
        </w:tc>
        <w:tc>
          <w:tcPr>
            <w:tcW w:w="648" w:type="dxa"/>
            <w:tcBorders>
              <w:right w:val="single" w:sz="4" w:space="0" w:color="BF8F00" w:themeColor="accent4" w:themeShade="BF"/>
            </w:tcBorders>
            <w:noWrap/>
            <w:vAlign w:val="center"/>
            <w:hideMark/>
          </w:tcPr>
          <w:p w14:paraId="6AA3E45F"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2,1%</w:t>
            </w:r>
          </w:p>
        </w:tc>
        <w:tc>
          <w:tcPr>
            <w:tcW w:w="783" w:type="dxa"/>
            <w:tcBorders>
              <w:left w:val="single" w:sz="4" w:space="0" w:color="BF8F00" w:themeColor="accent4" w:themeShade="BF"/>
            </w:tcBorders>
            <w:noWrap/>
            <w:vAlign w:val="center"/>
            <w:hideMark/>
          </w:tcPr>
          <w:p w14:paraId="2C7D0C7B"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6,4%</w:t>
            </w:r>
          </w:p>
        </w:tc>
        <w:tc>
          <w:tcPr>
            <w:tcW w:w="675" w:type="dxa"/>
            <w:gridSpan w:val="2"/>
            <w:tcBorders>
              <w:right w:val="single" w:sz="4" w:space="0" w:color="BF8F00" w:themeColor="accent4" w:themeShade="BF"/>
            </w:tcBorders>
            <w:noWrap/>
            <w:vAlign w:val="center"/>
            <w:hideMark/>
          </w:tcPr>
          <w:p w14:paraId="5454A57F"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6,3%</w:t>
            </w:r>
          </w:p>
        </w:tc>
        <w:tc>
          <w:tcPr>
            <w:tcW w:w="880" w:type="dxa"/>
            <w:tcBorders>
              <w:left w:val="single" w:sz="4" w:space="0" w:color="BF8F00" w:themeColor="accent4" w:themeShade="BF"/>
            </w:tcBorders>
            <w:noWrap/>
            <w:vAlign w:val="center"/>
            <w:hideMark/>
          </w:tcPr>
          <w:p w14:paraId="4E5DD8AB"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92%</w:t>
            </w:r>
          </w:p>
        </w:tc>
        <w:tc>
          <w:tcPr>
            <w:tcW w:w="692" w:type="dxa"/>
            <w:gridSpan w:val="2"/>
            <w:tcBorders>
              <w:right w:val="single" w:sz="4" w:space="0" w:color="BF8F00" w:themeColor="accent4" w:themeShade="BF"/>
            </w:tcBorders>
            <w:noWrap/>
            <w:vAlign w:val="center"/>
            <w:hideMark/>
          </w:tcPr>
          <w:p w14:paraId="014E08AB"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88%</w:t>
            </w:r>
          </w:p>
        </w:tc>
        <w:tc>
          <w:tcPr>
            <w:tcW w:w="738" w:type="dxa"/>
            <w:tcBorders>
              <w:left w:val="single" w:sz="4" w:space="0" w:color="BF8F00" w:themeColor="accent4" w:themeShade="BF"/>
            </w:tcBorders>
            <w:noWrap/>
            <w:vAlign w:val="center"/>
            <w:hideMark/>
          </w:tcPr>
          <w:p w14:paraId="29AF34DB"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0,2%</w:t>
            </w:r>
          </w:p>
        </w:tc>
        <w:tc>
          <w:tcPr>
            <w:tcW w:w="794" w:type="dxa"/>
            <w:tcBorders>
              <w:right w:val="single" w:sz="4" w:space="0" w:color="BF8F00" w:themeColor="accent4" w:themeShade="BF"/>
            </w:tcBorders>
            <w:noWrap/>
            <w:vAlign w:val="center"/>
            <w:hideMark/>
          </w:tcPr>
          <w:p w14:paraId="418B79E5"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w:t>
            </w:r>
          </w:p>
        </w:tc>
      </w:tr>
      <w:tr w:rsidR="00F115F1" w:rsidRPr="00F115F1" w14:paraId="23B0AB7F" w14:textId="77777777" w:rsidTr="00F115F1">
        <w:trPr>
          <w:trHeight w:val="422"/>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tcBorders>
            <w:shd w:val="clear" w:color="auto" w:fill="BF8F00" w:themeFill="accent4" w:themeFillShade="BF"/>
            <w:noWrap/>
            <w:vAlign w:val="center"/>
          </w:tcPr>
          <w:p w14:paraId="3128F787"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 xml:space="preserve">Gouvernement portugais </w:t>
            </w:r>
          </w:p>
        </w:tc>
        <w:tc>
          <w:tcPr>
            <w:tcW w:w="619" w:type="dxa"/>
            <w:tcBorders>
              <w:right w:val="single" w:sz="4" w:space="0" w:color="BF8F00" w:themeColor="accent4" w:themeShade="BF"/>
            </w:tcBorders>
            <w:noWrap/>
            <w:vAlign w:val="center"/>
          </w:tcPr>
          <w:p w14:paraId="0BACBC8E"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proofErr w:type="spellStart"/>
            <w:r w:rsidRPr="00F115F1">
              <w:rPr>
                <w:rFonts w:ascii="Marianne Light" w:eastAsia="Times New Roman" w:hAnsi="Marianne Light" w:cstheme="minorHAnsi"/>
                <w:i/>
                <w:iCs/>
                <w:color w:val="806000" w:themeColor="accent4" w:themeShade="80"/>
                <w:sz w:val="14"/>
                <w:szCs w:val="18"/>
              </w:rPr>
              <w:t>Nov</w:t>
            </w:r>
            <w:proofErr w:type="spellEnd"/>
          </w:p>
          <w:p w14:paraId="7CCA4423"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r w:rsidRPr="00F115F1">
              <w:rPr>
                <w:rFonts w:ascii="Marianne Light" w:eastAsia="Times New Roman" w:hAnsi="Marianne Light" w:cstheme="minorHAnsi"/>
                <w:i/>
                <w:iCs/>
                <w:color w:val="806000" w:themeColor="accent4" w:themeShade="80"/>
                <w:sz w:val="14"/>
                <w:szCs w:val="18"/>
              </w:rPr>
              <w:t>2025</w:t>
            </w:r>
          </w:p>
        </w:tc>
        <w:tc>
          <w:tcPr>
            <w:tcW w:w="647" w:type="dxa"/>
            <w:tcBorders>
              <w:left w:val="single" w:sz="4" w:space="0" w:color="BF8F00" w:themeColor="accent4" w:themeShade="BF"/>
            </w:tcBorders>
            <w:noWrap/>
            <w:vAlign w:val="center"/>
          </w:tcPr>
          <w:p w14:paraId="76A4E786"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2,2%</w:t>
            </w:r>
          </w:p>
        </w:tc>
        <w:tc>
          <w:tcPr>
            <w:tcW w:w="648" w:type="dxa"/>
            <w:tcBorders>
              <w:right w:val="single" w:sz="4" w:space="0" w:color="BF8F00" w:themeColor="accent4" w:themeShade="BF"/>
            </w:tcBorders>
            <w:noWrap/>
            <w:vAlign w:val="center"/>
          </w:tcPr>
          <w:p w14:paraId="2F5306C7"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2,6%</w:t>
            </w:r>
          </w:p>
        </w:tc>
        <w:tc>
          <w:tcPr>
            <w:tcW w:w="757" w:type="dxa"/>
            <w:tcBorders>
              <w:left w:val="single" w:sz="4" w:space="0" w:color="BF8F00" w:themeColor="accent4" w:themeShade="BF"/>
            </w:tcBorders>
            <w:noWrap/>
            <w:vAlign w:val="center"/>
          </w:tcPr>
          <w:p w14:paraId="1F37C6F4"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2,6%</w:t>
            </w:r>
          </w:p>
        </w:tc>
        <w:tc>
          <w:tcPr>
            <w:tcW w:w="648" w:type="dxa"/>
            <w:tcBorders>
              <w:right w:val="single" w:sz="4" w:space="0" w:color="BF8F00" w:themeColor="accent4" w:themeShade="BF"/>
            </w:tcBorders>
            <w:noWrap/>
            <w:vAlign w:val="center"/>
          </w:tcPr>
          <w:p w14:paraId="39D83D22"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2,3%</w:t>
            </w:r>
          </w:p>
        </w:tc>
        <w:tc>
          <w:tcPr>
            <w:tcW w:w="783" w:type="dxa"/>
            <w:tcBorders>
              <w:left w:val="single" w:sz="4" w:space="0" w:color="BF8F00" w:themeColor="accent4" w:themeShade="BF"/>
            </w:tcBorders>
            <w:noWrap/>
            <w:vAlign w:val="center"/>
          </w:tcPr>
          <w:p w14:paraId="37AE078F"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6,6%</w:t>
            </w:r>
          </w:p>
        </w:tc>
        <w:tc>
          <w:tcPr>
            <w:tcW w:w="675" w:type="dxa"/>
            <w:gridSpan w:val="2"/>
            <w:tcBorders>
              <w:right w:val="single" w:sz="4" w:space="0" w:color="BF8F00" w:themeColor="accent4" w:themeShade="BF"/>
            </w:tcBorders>
            <w:noWrap/>
            <w:vAlign w:val="center"/>
          </w:tcPr>
          <w:p w14:paraId="2A64DA5C"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6,5%</w:t>
            </w:r>
          </w:p>
        </w:tc>
        <w:tc>
          <w:tcPr>
            <w:tcW w:w="880" w:type="dxa"/>
            <w:tcBorders>
              <w:left w:val="single" w:sz="4" w:space="0" w:color="BF8F00" w:themeColor="accent4" w:themeShade="BF"/>
            </w:tcBorders>
            <w:noWrap/>
            <w:vAlign w:val="center"/>
          </w:tcPr>
          <w:p w14:paraId="7A19B3FD"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91,5%</w:t>
            </w:r>
          </w:p>
        </w:tc>
        <w:tc>
          <w:tcPr>
            <w:tcW w:w="692" w:type="dxa"/>
            <w:gridSpan w:val="2"/>
            <w:tcBorders>
              <w:right w:val="single" w:sz="4" w:space="0" w:color="BF8F00" w:themeColor="accent4" w:themeShade="BF"/>
            </w:tcBorders>
            <w:noWrap/>
            <w:vAlign w:val="center"/>
          </w:tcPr>
          <w:p w14:paraId="471AF66F"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87,2%</w:t>
            </w:r>
          </w:p>
        </w:tc>
        <w:tc>
          <w:tcPr>
            <w:tcW w:w="738" w:type="dxa"/>
            <w:tcBorders>
              <w:left w:val="single" w:sz="4" w:space="0" w:color="BF8F00" w:themeColor="accent4" w:themeShade="BF"/>
            </w:tcBorders>
            <w:noWrap/>
            <w:vAlign w:val="center"/>
          </w:tcPr>
          <w:p w14:paraId="706CCE2C"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0,3%</w:t>
            </w:r>
          </w:p>
        </w:tc>
        <w:tc>
          <w:tcPr>
            <w:tcW w:w="794" w:type="dxa"/>
            <w:tcBorders>
              <w:right w:val="single" w:sz="4" w:space="0" w:color="BF8F00" w:themeColor="accent4" w:themeShade="BF"/>
            </w:tcBorders>
            <w:noWrap/>
            <w:vAlign w:val="center"/>
          </w:tcPr>
          <w:p w14:paraId="192E63A0" w14:textId="77777777" w:rsidR="00722060" w:rsidRPr="00F115F1" w:rsidRDefault="00722060" w:rsidP="00CE3297">
            <w:pPr>
              <w:jc w:val="center"/>
              <w:cnfStyle w:val="000000000000" w:firstRow="0" w:lastRow="0" w:firstColumn="0" w:lastColumn="0" w:oddVBand="0" w:evenVBand="0" w:oddHBand="0"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0,1%</w:t>
            </w:r>
          </w:p>
        </w:tc>
      </w:tr>
      <w:tr w:rsidR="00874B47" w:rsidRPr="00F115F1" w14:paraId="7EA4D9C6" w14:textId="77777777" w:rsidTr="00F115F1">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547" w:type="dxa"/>
            <w:tcBorders>
              <w:left w:val="single" w:sz="4" w:space="0" w:color="BF8F00" w:themeColor="accent4" w:themeShade="BF"/>
              <w:bottom w:val="single" w:sz="4" w:space="0" w:color="BF8F00" w:themeColor="accent4" w:themeShade="BF"/>
            </w:tcBorders>
            <w:shd w:val="clear" w:color="auto" w:fill="BF8F00" w:themeFill="accent4" w:themeFillShade="BF"/>
            <w:noWrap/>
            <w:vAlign w:val="center"/>
          </w:tcPr>
          <w:p w14:paraId="4BAFEDB8" w14:textId="77777777" w:rsidR="00722060" w:rsidRPr="00F115F1" w:rsidRDefault="00722060" w:rsidP="00CE3297">
            <w:pPr>
              <w:jc w:val="center"/>
              <w:rPr>
                <w:rFonts w:ascii="Marianne Light" w:hAnsi="Marianne Light"/>
                <w:sz w:val="14"/>
                <w:szCs w:val="18"/>
              </w:rPr>
            </w:pPr>
            <w:r w:rsidRPr="00F115F1">
              <w:rPr>
                <w:rFonts w:ascii="Marianne Light" w:hAnsi="Marianne Light"/>
                <w:sz w:val="14"/>
                <w:szCs w:val="18"/>
              </w:rPr>
              <w:t>Conseil des Finances Publiques portugais</w:t>
            </w:r>
          </w:p>
        </w:tc>
        <w:tc>
          <w:tcPr>
            <w:tcW w:w="619" w:type="dxa"/>
            <w:tcBorders>
              <w:bottom w:val="single" w:sz="4" w:space="0" w:color="BF8F00" w:themeColor="accent4" w:themeShade="BF"/>
              <w:right w:val="single" w:sz="4" w:space="0" w:color="BF8F00" w:themeColor="accent4" w:themeShade="BF"/>
            </w:tcBorders>
            <w:noWrap/>
            <w:vAlign w:val="center"/>
          </w:tcPr>
          <w:p w14:paraId="373F89BB"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i/>
                <w:iCs/>
                <w:color w:val="806000" w:themeColor="accent4" w:themeShade="80"/>
                <w:sz w:val="14"/>
                <w:szCs w:val="18"/>
              </w:rPr>
            </w:pPr>
            <w:r w:rsidRPr="00F115F1">
              <w:rPr>
                <w:rFonts w:ascii="Marianne Light" w:eastAsia="Times New Roman" w:hAnsi="Marianne Light" w:cstheme="minorHAnsi"/>
                <w:i/>
                <w:iCs/>
                <w:color w:val="806000" w:themeColor="accent4" w:themeShade="80"/>
                <w:sz w:val="14"/>
                <w:szCs w:val="18"/>
              </w:rPr>
              <w:t>Sept 2025</w:t>
            </w:r>
          </w:p>
        </w:tc>
        <w:tc>
          <w:tcPr>
            <w:tcW w:w="647" w:type="dxa"/>
            <w:tcBorders>
              <w:left w:val="single" w:sz="4" w:space="0" w:color="BF8F00" w:themeColor="accent4" w:themeShade="BF"/>
              <w:bottom w:val="single" w:sz="4" w:space="0" w:color="BF8F00" w:themeColor="accent4" w:themeShade="BF"/>
            </w:tcBorders>
            <w:noWrap/>
            <w:vAlign w:val="center"/>
          </w:tcPr>
          <w:p w14:paraId="1B939544"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w:t>
            </w:r>
            <w:r w:rsidRPr="00F115F1">
              <w:rPr>
                <w:rFonts w:ascii="Marianne Light" w:eastAsia="Times New Roman" w:hAnsi="Marianne Light"/>
                <w:sz w:val="14"/>
                <w:szCs w:val="18"/>
              </w:rPr>
              <w:t>,1</w:t>
            </w:r>
            <w:r w:rsidRPr="00F115F1">
              <w:rPr>
                <w:rFonts w:ascii="Marianne Light" w:eastAsia="Times New Roman" w:hAnsi="Marianne Light" w:cstheme="minorHAnsi"/>
                <w:sz w:val="14"/>
                <w:szCs w:val="18"/>
              </w:rPr>
              <w:t>%</w:t>
            </w:r>
          </w:p>
        </w:tc>
        <w:tc>
          <w:tcPr>
            <w:tcW w:w="648" w:type="dxa"/>
            <w:tcBorders>
              <w:bottom w:val="single" w:sz="4" w:space="0" w:color="BF8F00" w:themeColor="accent4" w:themeShade="BF"/>
              <w:right w:val="single" w:sz="4" w:space="0" w:color="BF8F00" w:themeColor="accent4" w:themeShade="BF"/>
            </w:tcBorders>
            <w:noWrap/>
            <w:vAlign w:val="center"/>
          </w:tcPr>
          <w:p w14:paraId="07D20C60"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1,8%</w:t>
            </w:r>
          </w:p>
        </w:tc>
        <w:tc>
          <w:tcPr>
            <w:tcW w:w="757" w:type="dxa"/>
            <w:tcBorders>
              <w:left w:val="single" w:sz="4" w:space="0" w:color="BF8F00" w:themeColor="accent4" w:themeShade="BF"/>
              <w:bottom w:val="single" w:sz="4" w:space="0" w:color="BF8F00" w:themeColor="accent4" w:themeShade="BF"/>
            </w:tcBorders>
            <w:noWrap/>
            <w:vAlign w:val="center"/>
          </w:tcPr>
          <w:p w14:paraId="20317AF8"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2,3%</w:t>
            </w:r>
          </w:p>
        </w:tc>
        <w:tc>
          <w:tcPr>
            <w:tcW w:w="648" w:type="dxa"/>
            <w:tcBorders>
              <w:bottom w:val="single" w:sz="4" w:space="0" w:color="BF8F00" w:themeColor="accent4" w:themeShade="BF"/>
              <w:right w:val="single" w:sz="4" w:space="0" w:color="BF8F00" w:themeColor="accent4" w:themeShade="BF"/>
            </w:tcBorders>
            <w:noWrap/>
            <w:vAlign w:val="center"/>
          </w:tcPr>
          <w:p w14:paraId="2547497F"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2,1%</w:t>
            </w:r>
          </w:p>
        </w:tc>
        <w:tc>
          <w:tcPr>
            <w:tcW w:w="783" w:type="dxa"/>
            <w:tcBorders>
              <w:left w:val="single" w:sz="4" w:space="0" w:color="BF8F00" w:themeColor="accent4" w:themeShade="BF"/>
              <w:bottom w:val="single" w:sz="4" w:space="0" w:color="BF8F00" w:themeColor="accent4" w:themeShade="BF"/>
            </w:tcBorders>
            <w:noWrap/>
            <w:vAlign w:val="center"/>
          </w:tcPr>
          <w:p w14:paraId="3ADB58F7"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6,1%</w:t>
            </w:r>
          </w:p>
        </w:tc>
        <w:tc>
          <w:tcPr>
            <w:tcW w:w="675" w:type="dxa"/>
            <w:gridSpan w:val="2"/>
            <w:tcBorders>
              <w:bottom w:val="single" w:sz="4" w:space="0" w:color="BF8F00" w:themeColor="accent4" w:themeShade="BF"/>
              <w:right w:val="single" w:sz="4" w:space="0" w:color="BF8F00" w:themeColor="accent4" w:themeShade="BF"/>
            </w:tcBorders>
            <w:noWrap/>
            <w:vAlign w:val="center"/>
          </w:tcPr>
          <w:p w14:paraId="0BF0CEAE"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6%</w:t>
            </w:r>
          </w:p>
        </w:tc>
        <w:tc>
          <w:tcPr>
            <w:tcW w:w="880" w:type="dxa"/>
            <w:tcBorders>
              <w:left w:val="single" w:sz="4" w:space="0" w:color="BF8F00" w:themeColor="accent4" w:themeShade="BF"/>
              <w:bottom w:val="single" w:sz="4" w:space="0" w:color="BF8F00" w:themeColor="accent4" w:themeShade="BF"/>
            </w:tcBorders>
            <w:noWrap/>
            <w:vAlign w:val="center"/>
          </w:tcPr>
          <w:p w14:paraId="30359F9C"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91</w:t>
            </w:r>
            <w:r w:rsidRPr="00F115F1">
              <w:rPr>
                <w:rFonts w:ascii="Marianne Light" w:eastAsia="Times New Roman" w:hAnsi="Marianne Light"/>
                <w:sz w:val="14"/>
                <w:szCs w:val="18"/>
              </w:rPr>
              <w:t>,2%</w:t>
            </w:r>
          </w:p>
        </w:tc>
        <w:tc>
          <w:tcPr>
            <w:tcW w:w="692" w:type="dxa"/>
            <w:gridSpan w:val="2"/>
            <w:tcBorders>
              <w:bottom w:val="single" w:sz="4" w:space="0" w:color="BF8F00" w:themeColor="accent4" w:themeShade="BF"/>
              <w:right w:val="single" w:sz="4" w:space="0" w:color="BF8F00" w:themeColor="accent4" w:themeShade="BF"/>
            </w:tcBorders>
            <w:noWrap/>
            <w:vAlign w:val="center"/>
          </w:tcPr>
          <w:p w14:paraId="1438F892"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89,4%</w:t>
            </w:r>
          </w:p>
        </w:tc>
        <w:tc>
          <w:tcPr>
            <w:tcW w:w="738" w:type="dxa"/>
            <w:tcBorders>
              <w:left w:val="single" w:sz="4" w:space="0" w:color="BF8F00" w:themeColor="accent4" w:themeShade="BF"/>
              <w:bottom w:val="single" w:sz="4" w:space="0" w:color="BF8F00" w:themeColor="accent4" w:themeShade="BF"/>
            </w:tcBorders>
            <w:noWrap/>
            <w:vAlign w:val="center"/>
          </w:tcPr>
          <w:p w14:paraId="68A4A4CC" w14:textId="77777777" w:rsidR="00722060" w:rsidRPr="00F115F1" w:rsidRDefault="00722060" w:rsidP="00CE3297">
            <w:pPr>
              <w:jc w:val="cente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w:t>
            </w:r>
          </w:p>
        </w:tc>
        <w:tc>
          <w:tcPr>
            <w:tcW w:w="794" w:type="dxa"/>
            <w:tcBorders>
              <w:bottom w:val="single" w:sz="4" w:space="0" w:color="BF8F00" w:themeColor="accent4" w:themeShade="BF"/>
              <w:right w:val="single" w:sz="4" w:space="0" w:color="BF8F00" w:themeColor="accent4" w:themeShade="BF"/>
            </w:tcBorders>
            <w:noWrap/>
            <w:vAlign w:val="center"/>
          </w:tcPr>
          <w:p w14:paraId="0F5302F3" w14:textId="77777777" w:rsidR="00722060" w:rsidRPr="00F115F1" w:rsidRDefault="00722060" w:rsidP="00CE3297">
            <w:pPr>
              <w:cnfStyle w:val="000000100000" w:firstRow="0" w:lastRow="0" w:firstColumn="0" w:lastColumn="0" w:oddVBand="0" w:evenVBand="0" w:oddHBand="1" w:evenHBand="0" w:firstRowFirstColumn="0" w:firstRowLastColumn="0" w:lastRowFirstColumn="0" w:lastRowLastColumn="0"/>
              <w:rPr>
                <w:rFonts w:ascii="Marianne Light" w:eastAsia="Times New Roman" w:hAnsi="Marianne Light" w:cstheme="minorHAnsi"/>
                <w:sz w:val="14"/>
                <w:szCs w:val="18"/>
              </w:rPr>
            </w:pPr>
            <w:r w:rsidRPr="00F115F1">
              <w:rPr>
                <w:rFonts w:ascii="Marianne Light" w:eastAsia="Times New Roman" w:hAnsi="Marianne Light" w:cstheme="minorHAnsi"/>
                <w:sz w:val="14"/>
                <w:szCs w:val="18"/>
              </w:rPr>
              <w:t>-0</w:t>
            </w:r>
            <w:r w:rsidRPr="00F115F1">
              <w:rPr>
                <w:rFonts w:ascii="Marianne Light" w:eastAsia="Times New Roman" w:hAnsi="Marianne Light"/>
                <w:sz w:val="14"/>
                <w:szCs w:val="18"/>
              </w:rPr>
              <w:t>,6%</w:t>
            </w:r>
          </w:p>
        </w:tc>
      </w:tr>
    </w:tbl>
    <w:p w14:paraId="79C22144" w14:textId="77777777" w:rsidR="00F115F1" w:rsidRDefault="00F115F1" w:rsidP="00F115F1">
      <w:pPr>
        <w:jc w:val="center"/>
        <w:rPr>
          <w:rFonts w:ascii="Marianne Medium" w:eastAsia="Times New Roman" w:hAnsi="Marianne Medium" w:cstheme="minorHAnsi"/>
          <w:b/>
          <w:bCs/>
          <w:color w:val="E4A503"/>
        </w:rPr>
      </w:pPr>
    </w:p>
    <w:p w14:paraId="6E45B1DF" w14:textId="1E523A7F" w:rsidR="00F115F1" w:rsidRDefault="00722060" w:rsidP="00F115F1">
      <w:pPr>
        <w:jc w:val="center"/>
        <w:rPr>
          <w:rFonts w:ascii="Marianne Medium" w:eastAsia="Times New Roman" w:hAnsi="Marianne Medium" w:cstheme="minorHAnsi"/>
          <w:b/>
          <w:bCs/>
          <w:color w:val="E4A503"/>
        </w:rPr>
      </w:pPr>
      <w:r w:rsidRPr="00722060">
        <w:rPr>
          <w:rFonts w:ascii="Marianne Medium" w:eastAsia="Times New Roman" w:hAnsi="Marianne Medium" w:cstheme="minorHAnsi"/>
          <w:b/>
          <w:bCs/>
          <w:color w:val="E4A503"/>
        </w:rPr>
        <w:t>Evolution de la croissance du PIB du Portugal (1980-2024, en %)</w:t>
      </w:r>
    </w:p>
    <w:p w14:paraId="669C3F6C" w14:textId="788B97FA" w:rsidR="00F115F1" w:rsidRPr="00F115F1" w:rsidRDefault="00F115F1" w:rsidP="00F115F1">
      <w:pPr>
        <w:jc w:val="center"/>
        <w:rPr>
          <w:rFonts w:ascii="Marianne Medium" w:eastAsia="Times New Roman" w:hAnsi="Marianne Medium" w:cstheme="minorHAnsi"/>
          <w:b/>
          <w:bCs/>
          <w:color w:val="E4A503"/>
          <w:sz w:val="10"/>
          <w:szCs w:val="10"/>
          <w:u w:val="single"/>
        </w:rPr>
      </w:pPr>
      <w:r w:rsidRPr="00722060">
        <w:rPr>
          <w:rFonts w:ascii="Marianne Medium" w:eastAsia="Times New Roman" w:hAnsi="Marianne Medium" w:cstheme="minorHAnsi"/>
          <w:b/>
          <w:bCs/>
          <w:noProof/>
          <w:color w:val="E4A503"/>
          <w:sz w:val="24"/>
          <w:szCs w:val="24"/>
          <w:u w:val="single"/>
        </w:rPr>
        <w:drawing>
          <wp:anchor distT="0" distB="0" distL="114300" distR="114300" simplePos="0" relativeHeight="251670528" behindDoc="0" locked="0" layoutInCell="1" allowOverlap="1" wp14:anchorId="1897EF25" wp14:editId="72C63CCC">
            <wp:simplePos x="0" y="0"/>
            <wp:positionH relativeFrom="margin">
              <wp:posOffset>401955</wp:posOffset>
            </wp:positionH>
            <wp:positionV relativeFrom="paragraph">
              <wp:posOffset>157480</wp:posOffset>
            </wp:positionV>
            <wp:extent cx="4947285" cy="2576195"/>
            <wp:effectExtent l="19050" t="19050" r="24765" b="1460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t="8313"/>
                    <a:stretch/>
                  </pic:blipFill>
                  <pic:spPr bwMode="auto">
                    <a:xfrm>
                      <a:off x="0" y="0"/>
                      <a:ext cx="4947285" cy="2576195"/>
                    </a:xfrm>
                    <a:prstGeom prst="rect">
                      <a:avLst/>
                    </a:prstGeom>
                    <a:noFill/>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7B8FF2" w14:textId="10D529D6" w:rsidR="00F115F1" w:rsidRDefault="00722060" w:rsidP="00F115F1">
      <w:pPr>
        <w:jc w:val="center"/>
        <w:rPr>
          <w:rFonts w:ascii="Marianne Light" w:eastAsia="Times New Roman" w:hAnsi="Marianne Light" w:cstheme="minorHAnsi"/>
          <w:i/>
          <w:iCs/>
          <w:sz w:val="16"/>
          <w:szCs w:val="16"/>
        </w:rPr>
      </w:pPr>
      <w:r w:rsidRPr="00F115F1">
        <w:rPr>
          <w:rFonts w:ascii="Marianne Light" w:eastAsia="Times New Roman" w:hAnsi="Marianne Light" w:cstheme="minorHAnsi"/>
          <w:i/>
          <w:iCs/>
          <w:sz w:val="16"/>
          <w:szCs w:val="16"/>
          <w:u w:val="single"/>
        </w:rPr>
        <w:t>Sources</w:t>
      </w:r>
      <w:r w:rsidRPr="00F115F1">
        <w:rPr>
          <w:rFonts w:ascii="Marianne Light" w:eastAsia="Times New Roman" w:hAnsi="Marianne Light" w:cstheme="minorHAnsi"/>
          <w:i/>
          <w:iCs/>
          <w:sz w:val="16"/>
          <w:szCs w:val="16"/>
        </w:rPr>
        <w:t xml:space="preserve"> : Banque Mondiale, IN</w:t>
      </w:r>
      <w:r w:rsidR="00A87994" w:rsidRPr="00F115F1">
        <w:rPr>
          <w:rFonts w:ascii="Marianne Light" w:eastAsia="Times New Roman" w:hAnsi="Marianne Light" w:cstheme="minorHAnsi"/>
          <w:i/>
          <w:iCs/>
          <w:sz w:val="16"/>
          <w:szCs w:val="16"/>
        </w:rPr>
        <w:t>E</w:t>
      </w:r>
    </w:p>
    <w:p w14:paraId="5CB2A75F" w14:textId="4CCBBCEE" w:rsidR="00F115F1" w:rsidRDefault="00F115F1" w:rsidP="00F115F1">
      <w:pPr>
        <w:jc w:val="center"/>
        <w:rPr>
          <w:rFonts w:ascii="Marianne Light" w:eastAsia="Times New Roman" w:hAnsi="Marianne Light" w:cstheme="minorHAnsi"/>
          <w:i/>
          <w:iCs/>
          <w:sz w:val="16"/>
          <w:szCs w:val="16"/>
        </w:rPr>
      </w:pPr>
    </w:p>
    <w:p w14:paraId="3F1BD2FF" w14:textId="297A66FE" w:rsidR="00F115F1" w:rsidRDefault="00F115F1" w:rsidP="00F115F1">
      <w:pPr>
        <w:jc w:val="center"/>
        <w:rPr>
          <w:rFonts w:ascii="Marianne Light" w:eastAsia="Times New Roman" w:hAnsi="Marianne Light" w:cstheme="minorHAnsi"/>
          <w:i/>
          <w:iCs/>
          <w:sz w:val="16"/>
          <w:szCs w:val="16"/>
        </w:rPr>
      </w:pPr>
    </w:p>
    <w:p w14:paraId="57CDD665" w14:textId="0EA6BC68" w:rsidR="00F115F1" w:rsidRDefault="00F115F1" w:rsidP="00F115F1">
      <w:pPr>
        <w:jc w:val="center"/>
        <w:rPr>
          <w:rFonts w:ascii="Marianne Light" w:eastAsia="Times New Roman" w:hAnsi="Marianne Light" w:cstheme="minorHAnsi"/>
          <w:i/>
          <w:iCs/>
          <w:sz w:val="16"/>
          <w:szCs w:val="16"/>
        </w:rPr>
      </w:pPr>
    </w:p>
    <w:p w14:paraId="2D96A1D9" w14:textId="06CBC0ED" w:rsidR="00F115F1" w:rsidRDefault="00F115F1" w:rsidP="00F115F1">
      <w:pPr>
        <w:jc w:val="center"/>
        <w:rPr>
          <w:rFonts w:ascii="Marianne Light" w:eastAsia="Times New Roman" w:hAnsi="Marianne Light" w:cstheme="minorHAnsi"/>
          <w:i/>
          <w:iCs/>
          <w:sz w:val="16"/>
          <w:szCs w:val="16"/>
        </w:rPr>
      </w:pPr>
    </w:p>
    <w:p w14:paraId="51B4F553" w14:textId="77777777" w:rsidR="00F115F1" w:rsidRDefault="00F115F1" w:rsidP="00F115F1">
      <w:pPr>
        <w:jc w:val="center"/>
        <w:rPr>
          <w:rFonts w:ascii="Marianne Light" w:eastAsia="Times New Roman" w:hAnsi="Marianne Light" w:cstheme="minorHAnsi"/>
          <w:i/>
          <w:iCs/>
          <w:sz w:val="16"/>
          <w:szCs w:val="16"/>
        </w:rPr>
      </w:pPr>
    </w:p>
    <w:p w14:paraId="069720F9" w14:textId="77777777" w:rsidR="00F115F1" w:rsidRDefault="00722060" w:rsidP="00F115F1">
      <w:pPr>
        <w:jc w:val="center"/>
        <w:rPr>
          <w:rFonts w:ascii="Marianne Medium" w:hAnsi="Marianne Medium" w:cs="Segoe UI"/>
          <w:b/>
          <w:bCs/>
          <w:color w:val="E4A503"/>
        </w:rPr>
      </w:pPr>
      <w:r w:rsidRPr="00722060">
        <w:rPr>
          <w:rFonts w:ascii="Marianne Medium" w:hAnsi="Marianne Medium" w:cs="Segoe UI"/>
          <w:b/>
          <w:bCs/>
          <w:color w:val="E4A503"/>
        </w:rPr>
        <w:lastRenderedPageBreak/>
        <w:t>Evolution de la notation de la dette souveraine portugaise depuis 2013</w:t>
      </w:r>
    </w:p>
    <w:p w14:paraId="76ACCD5B" w14:textId="485D681F" w:rsidR="00722060" w:rsidRPr="00F115F1" w:rsidRDefault="00F115F1" w:rsidP="00F115F1">
      <w:pPr>
        <w:jc w:val="center"/>
        <w:rPr>
          <w:rFonts w:ascii="Marianne Medium" w:hAnsi="Marianne Medium" w:cs="Segoe UI"/>
          <w:b/>
          <w:bCs/>
          <w:color w:val="E4A503"/>
          <w:sz w:val="10"/>
          <w:szCs w:val="10"/>
        </w:rPr>
      </w:pPr>
      <w:r w:rsidRPr="00F115F1">
        <w:rPr>
          <w:rFonts w:ascii="Marianne Medium" w:hAnsi="Marianne Medium" w:cs="Segoe UI"/>
          <w:i/>
          <w:iCs/>
          <w:noProof/>
          <w:color w:val="E4A503"/>
          <w:sz w:val="10"/>
          <w:szCs w:val="10"/>
        </w:rPr>
        <w:drawing>
          <wp:anchor distT="0" distB="0" distL="114300" distR="114300" simplePos="0" relativeHeight="251669504" behindDoc="0" locked="0" layoutInCell="1" allowOverlap="1" wp14:anchorId="7545ED90" wp14:editId="084CF3CB">
            <wp:simplePos x="0" y="0"/>
            <wp:positionH relativeFrom="margin">
              <wp:posOffset>-11430</wp:posOffset>
            </wp:positionH>
            <wp:positionV relativeFrom="paragraph">
              <wp:posOffset>107950</wp:posOffset>
            </wp:positionV>
            <wp:extent cx="5757545" cy="1818640"/>
            <wp:effectExtent l="19050" t="19050" r="14605" b="1016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7545" cy="1818640"/>
                    </a:xfrm>
                    <a:prstGeom prst="rect">
                      <a:avLst/>
                    </a:prstGeom>
                    <a:noFill/>
                    <a:ln>
                      <a:solidFill>
                        <a:srgbClr val="4472C4"/>
                      </a:solidFill>
                    </a:ln>
                  </pic:spPr>
                </pic:pic>
              </a:graphicData>
            </a:graphic>
            <wp14:sizeRelH relativeFrom="page">
              <wp14:pctWidth>0</wp14:pctWidth>
            </wp14:sizeRelH>
            <wp14:sizeRelV relativeFrom="page">
              <wp14:pctHeight>0</wp14:pctHeight>
            </wp14:sizeRelV>
          </wp:anchor>
        </w:drawing>
      </w:r>
    </w:p>
    <w:p w14:paraId="5E4F05A2" w14:textId="528B62E2" w:rsidR="00722060" w:rsidRPr="00F115F1" w:rsidRDefault="00722060" w:rsidP="00722060">
      <w:pPr>
        <w:jc w:val="center"/>
        <w:rPr>
          <w:rFonts w:ascii="Marianne Light" w:hAnsi="Marianne Light"/>
          <w:i/>
          <w:sz w:val="18"/>
          <w:szCs w:val="20"/>
        </w:rPr>
      </w:pPr>
      <w:r w:rsidRPr="00F115F1">
        <w:rPr>
          <w:rFonts w:ascii="Marianne Light" w:hAnsi="Marianne Light"/>
          <w:i/>
          <w:sz w:val="16"/>
          <w:szCs w:val="20"/>
          <w:u w:val="single"/>
        </w:rPr>
        <w:t>Source</w:t>
      </w:r>
      <w:r w:rsidRPr="00F115F1">
        <w:rPr>
          <w:i/>
          <w:sz w:val="16"/>
          <w:szCs w:val="20"/>
        </w:rPr>
        <w:t> </w:t>
      </w:r>
      <w:r w:rsidRPr="00F115F1">
        <w:rPr>
          <w:rFonts w:ascii="Marianne Light" w:hAnsi="Marianne Light"/>
          <w:i/>
          <w:sz w:val="16"/>
          <w:szCs w:val="20"/>
        </w:rPr>
        <w:t>: Agence de Gestion de la Trésorerie et de la Dette Publique</w:t>
      </w:r>
    </w:p>
    <w:p w14:paraId="00E2E650" w14:textId="77777777" w:rsidR="00722060" w:rsidRPr="00A0469D" w:rsidRDefault="00722060" w:rsidP="00614EEF">
      <w:pPr>
        <w:jc w:val="both"/>
        <w:rPr>
          <w:rFonts w:ascii="Marianne Light" w:eastAsia="Times New Roman" w:hAnsi="Marianne Light" w:cstheme="minorHAnsi"/>
        </w:rPr>
      </w:pPr>
    </w:p>
    <w:p w14:paraId="48A9B784" w14:textId="31F21FCA" w:rsidR="000D2E8C" w:rsidRPr="00A0469D" w:rsidRDefault="000D2E8C" w:rsidP="00614EEF">
      <w:pPr>
        <w:jc w:val="both"/>
        <w:rPr>
          <w:rFonts w:ascii="Marianne Light" w:eastAsia="Times New Roman" w:hAnsi="Marianne Light" w:cstheme="minorHAnsi"/>
        </w:rPr>
      </w:pPr>
    </w:p>
    <w:p w14:paraId="76C739A1" w14:textId="749E8CEC" w:rsidR="000D2E8C" w:rsidRPr="00722060" w:rsidRDefault="000D2E8C" w:rsidP="00614EEF">
      <w:pPr>
        <w:jc w:val="both"/>
        <w:rPr>
          <w:rFonts w:ascii="Marianne Medium" w:eastAsia="Times New Roman" w:hAnsi="Marianne Medium" w:cstheme="minorHAnsi"/>
          <w:b/>
          <w:bCs/>
          <w:color w:val="E4A503"/>
          <w:sz w:val="24"/>
          <w:szCs w:val="24"/>
        </w:rPr>
      </w:pPr>
      <w:r w:rsidRPr="00722060">
        <w:rPr>
          <w:rFonts w:ascii="Marianne Medium" w:eastAsia="Times New Roman" w:hAnsi="Marianne Medium" w:cstheme="minorHAnsi"/>
          <w:b/>
          <w:bCs/>
          <w:color w:val="E4A503"/>
          <w:sz w:val="24"/>
          <w:szCs w:val="24"/>
        </w:rPr>
        <w:t>Pour aller plus loin :</w:t>
      </w:r>
    </w:p>
    <w:p w14:paraId="01913931" w14:textId="77777777" w:rsidR="00494797" w:rsidRPr="00A0469D" w:rsidRDefault="00494797" w:rsidP="00614EEF">
      <w:pPr>
        <w:jc w:val="both"/>
        <w:rPr>
          <w:rFonts w:ascii="Marianne Light" w:eastAsia="Times New Roman" w:hAnsi="Marianne Light" w:cstheme="minorHAnsi"/>
        </w:rPr>
      </w:pPr>
    </w:p>
    <w:p w14:paraId="53FAD70A" w14:textId="77777777" w:rsidR="000D2E8C" w:rsidRPr="00A0469D" w:rsidRDefault="00B9086D" w:rsidP="00614EEF">
      <w:pPr>
        <w:jc w:val="both"/>
        <w:rPr>
          <w:rFonts w:ascii="Marianne Light" w:eastAsia="Times New Roman" w:hAnsi="Marianne Light" w:cstheme="minorHAnsi"/>
        </w:rPr>
      </w:pPr>
      <w:hyperlink r:id="rId15" w:history="1">
        <w:r w:rsidR="000D2E8C" w:rsidRPr="00A0469D">
          <w:rPr>
            <w:rStyle w:val="Lienhypertexte"/>
            <w:rFonts w:ascii="Marianne Light" w:eastAsia="Times New Roman" w:hAnsi="Marianne Light" w:cstheme="minorHAnsi"/>
          </w:rPr>
          <w:t>Économie du Portugal en un coup d’œil - OCDE (oecd.org)</w:t>
        </w:r>
      </w:hyperlink>
    </w:p>
    <w:p w14:paraId="30E93723" w14:textId="77777777" w:rsidR="000D2E8C" w:rsidRPr="00A0469D" w:rsidRDefault="00B9086D" w:rsidP="00614EEF">
      <w:pPr>
        <w:jc w:val="both"/>
        <w:rPr>
          <w:rFonts w:ascii="Marianne Light" w:hAnsi="Marianne Light" w:cstheme="minorHAnsi"/>
          <w:lang w:val="pt-PT"/>
        </w:rPr>
      </w:pPr>
      <w:hyperlink r:id="rId16" w:history="1">
        <w:r w:rsidR="000D2E8C" w:rsidRPr="00A0469D">
          <w:rPr>
            <w:rStyle w:val="Lienhypertexte"/>
            <w:rFonts w:ascii="Marianne Light" w:hAnsi="Marianne Light" w:cstheme="minorHAnsi"/>
            <w:lang w:val="pt-PT"/>
          </w:rPr>
          <w:t>Economic forecast for Portugal (europa.eu)</w:t>
        </w:r>
      </w:hyperlink>
    </w:p>
    <w:p w14:paraId="08EA4D22" w14:textId="77777777" w:rsidR="0015771E" w:rsidRPr="00A0469D" w:rsidRDefault="00B9086D" w:rsidP="0015771E">
      <w:pPr>
        <w:jc w:val="both"/>
        <w:rPr>
          <w:rFonts w:ascii="Marianne Light" w:hAnsi="Marianne Light"/>
          <w:lang w:val="pt-PT"/>
        </w:rPr>
      </w:pPr>
      <w:hyperlink r:id="rId17" w:history="1">
        <w:r w:rsidR="0015771E" w:rsidRPr="00A0469D">
          <w:rPr>
            <w:rStyle w:val="Lienhypertexte"/>
            <w:rFonts w:ascii="Marianne Light" w:hAnsi="Marianne Light"/>
            <w:lang w:val="pt-PT"/>
          </w:rPr>
          <w:t>Portugal and the IMF</w:t>
        </w:r>
      </w:hyperlink>
    </w:p>
    <w:p w14:paraId="38097BA8" w14:textId="77777777" w:rsidR="0015771E" w:rsidRPr="00A0469D" w:rsidRDefault="00B9086D" w:rsidP="0015771E">
      <w:pPr>
        <w:jc w:val="both"/>
        <w:rPr>
          <w:rStyle w:val="Lienhypertexte"/>
          <w:rFonts w:ascii="Marianne Light" w:hAnsi="Marianne Light"/>
          <w:lang w:val="pt-PT"/>
        </w:rPr>
      </w:pPr>
      <w:hyperlink r:id="rId18" w:history="1">
        <w:r w:rsidR="0015771E" w:rsidRPr="00A0469D">
          <w:rPr>
            <w:rStyle w:val="Lienhypertexte"/>
            <w:rFonts w:ascii="Marianne Light" w:hAnsi="Marianne Light"/>
            <w:lang w:val="pt-PT"/>
          </w:rPr>
          <w:t>PORDATA - Portugal Database</w:t>
        </w:r>
      </w:hyperlink>
    </w:p>
    <w:p w14:paraId="36AB37DE" w14:textId="68B91005" w:rsidR="0015771E" w:rsidRPr="00A0469D" w:rsidRDefault="00B9086D" w:rsidP="00614EEF">
      <w:pPr>
        <w:jc w:val="both"/>
        <w:rPr>
          <w:rFonts w:ascii="Marianne Light" w:hAnsi="Marianne Light"/>
          <w:color w:val="0000FF"/>
          <w:u w:val="single"/>
          <w:lang w:val="en-GB"/>
        </w:rPr>
      </w:pPr>
      <w:hyperlink r:id="rId19" w:history="1">
        <w:r w:rsidR="000A6931" w:rsidRPr="00A0469D">
          <w:rPr>
            <w:rStyle w:val="Lienhypertexte"/>
            <w:rFonts w:ascii="Marianne Light" w:hAnsi="Marianne Light"/>
            <w:lang w:val="en-GB"/>
          </w:rPr>
          <w:t>Analysis of the Draft State Budget for 202</w:t>
        </w:r>
        <w:r w:rsidR="0015771E" w:rsidRPr="00A0469D">
          <w:rPr>
            <w:rStyle w:val="Lienhypertexte"/>
            <w:rFonts w:ascii="Marianne Light" w:hAnsi="Marianne Light"/>
            <w:lang w:val="en-GB"/>
          </w:rPr>
          <w:t>5</w:t>
        </w:r>
      </w:hyperlink>
    </w:p>
    <w:p w14:paraId="504582EC" w14:textId="5A00D277" w:rsidR="0015771E" w:rsidRPr="00A0469D" w:rsidRDefault="00B9086D" w:rsidP="00614EEF">
      <w:pPr>
        <w:jc w:val="both"/>
        <w:rPr>
          <w:rFonts w:ascii="Marianne Light" w:eastAsia="Times New Roman" w:hAnsi="Marianne Light" w:cstheme="minorHAnsi"/>
        </w:rPr>
      </w:pPr>
      <w:hyperlink r:id="rId20" w:history="1">
        <w:r w:rsidR="0015771E" w:rsidRPr="00A0469D">
          <w:rPr>
            <w:rStyle w:val="Lienhypertexte"/>
            <w:rFonts w:ascii="Marianne Light" w:eastAsia="Times New Roman" w:hAnsi="Marianne Light" w:cstheme="minorHAnsi"/>
          </w:rPr>
          <w:t>Plan budgétaire et structurel à moyen terme</w:t>
        </w:r>
      </w:hyperlink>
      <w:r w:rsidR="0015771E" w:rsidRPr="00A0469D">
        <w:rPr>
          <w:rStyle w:val="Lienhypertexte"/>
          <w:rFonts w:ascii="Marianne Light" w:eastAsia="Times New Roman" w:hAnsi="Marianne Light" w:cstheme="minorHAnsi"/>
        </w:rPr>
        <w:t xml:space="preserve"> du Portugal</w:t>
      </w:r>
    </w:p>
    <w:p w14:paraId="4CBB8451" w14:textId="4F409665" w:rsidR="00BE2A23" w:rsidRPr="00A0469D" w:rsidRDefault="00B9086D" w:rsidP="00614EEF">
      <w:pPr>
        <w:jc w:val="both"/>
        <w:rPr>
          <w:rFonts w:ascii="Marianne Light" w:hAnsi="Marianne Light"/>
          <w:lang w:val="pt-PT"/>
        </w:rPr>
      </w:pPr>
      <w:hyperlink r:id="rId21" w:history="1">
        <w:r w:rsidR="0015771E" w:rsidRPr="00A0469D">
          <w:rPr>
            <w:rStyle w:val="Lienhypertexte"/>
            <w:rFonts w:ascii="Marianne Light" w:hAnsi="Marianne Light"/>
            <w:lang w:val="pt-PT"/>
          </w:rPr>
          <w:t xml:space="preserve">Site du PNRR Portugais - </w:t>
        </w:r>
        <w:r w:rsidR="00494797" w:rsidRPr="00A0469D">
          <w:rPr>
            <w:rStyle w:val="Lienhypertexte"/>
            <w:rFonts w:ascii="Marianne Light" w:hAnsi="Marianne Light"/>
            <w:lang w:val="pt-PT"/>
          </w:rPr>
          <w:t>Recuperar Portugal</w:t>
        </w:r>
      </w:hyperlink>
    </w:p>
    <w:p w14:paraId="73687861" w14:textId="2A8BB56B" w:rsidR="00BE2A23" w:rsidRPr="00A0469D" w:rsidRDefault="00BE2A23" w:rsidP="00614EEF">
      <w:pPr>
        <w:jc w:val="both"/>
        <w:rPr>
          <w:rFonts w:ascii="Marianne Light" w:hAnsi="Marianne Light"/>
          <w:lang w:val="pt-PT"/>
        </w:rPr>
      </w:pPr>
      <w:r w:rsidRPr="00A0469D">
        <w:rPr>
          <w:rFonts w:ascii="Marianne Light" w:hAnsi="Marianne Light"/>
          <w:lang w:val="pt-PT"/>
        </w:rPr>
        <w:t xml:space="preserve"> </w:t>
      </w:r>
    </w:p>
    <w:p w14:paraId="09D05205" w14:textId="09D61F9C" w:rsidR="00B95E8A" w:rsidRPr="00A0469D" w:rsidRDefault="00B95E8A" w:rsidP="00614EEF">
      <w:pPr>
        <w:jc w:val="both"/>
        <w:rPr>
          <w:rFonts w:ascii="Marianne Light" w:hAnsi="Marianne Light"/>
          <w:lang w:val="pt-PT"/>
        </w:rPr>
      </w:pPr>
      <w:r w:rsidRPr="00A0469D">
        <w:rPr>
          <w:rFonts w:ascii="Marianne Light" w:hAnsi="Marianne Light"/>
          <w:lang w:val="pt-PT"/>
        </w:rPr>
        <w:t xml:space="preserve"> </w:t>
      </w:r>
    </w:p>
    <w:p w14:paraId="208C1EAC" w14:textId="7687532C" w:rsidR="00137139" w:rsidRPr="00A0469D" w:rsidRDefault="00A87994" w:rsidP="00787F6B">
      <w:pPr>
        <w:jc w:val="both"/>
        <w:rPr>
          <w:rFonts w:ascii="Marianne Light" w:hAnsi="Marianne Light"/>
          <w:lang w:val="pt-PT"/>
        </w:rPr>
      </w:pPr>
      <w:r w:rsidRPr="00A87994">
        <w:rPr>
          <w:rFonts w:ascii="Marianne Light" w:eastAsia="Calibri" w:hAnsi="Marianne Light" w:cs="Times New Roman"/>
          <w:noProof/>
          <w:lang w:eastAsia="en-US"/>
        </w:rPr>
        <mc:AlternateContent>
          <mc:Choice Requires="wps">
            <w:drawing>
              <wp:anchor distT="0" distB="0" distL="114300" distR="114300" simplePos="0" relativeHeight="251672576" behindDoc="0" locked="0" layoutInCell="1" hidden="0" allowOverlap="1" wp14:anchorId="072B3D1A" wp14:editId="414D9FF4">
                <wp:simplePos x="0" y="0"/>
                <wp:positionH relativeFrom="page">
                  <wp:posOffset>-100584</wp:posOffset>
                </wp:positionH>
                <wp:positionV relativeFrom="page">
                  <wp:posOffset>8860536</wp:posOffset>
                </wp:positionV>
                <wp:extent cx="7927848" cy="1856359"/>
                <wp:effectExtent l="0" t="0" r="0" b="0"/>
                <wp:wrapTopAndBottom distT="0" distB="0"/>
                <wp:docPr id="55510464" name="Rectangle 55510464"/>
                <wp:cNvGraphicFramePr/>
                <a:graphic xmlns:a="http://schemas.openxmlformats.org/drawingml/2006/main">
                  <a:graphicData uri="http://schemas.microsoft.com/office/word/2010/wordprocessingShape">
                    <wps:wsp>
                      <wps:cNvSpPr/>
                      <wps:spPr>
                        <a:xfrm>
                          <a:off x="0" y="0"/>
                          <a:ext cx="7927848" cy="1856359"/>
                        </a:xfrm>
                        <a:prstGeom prst="rect">
                          <a:avLst/>
                        </a:prstGeom>
                        <a:solidFill>
                          <a:srgbClr val="FCC63A"/>
                        </a:solidFill>
                        <a:ln>
                          <a:noFill/>
                        </a:ln>
                      </wps:spPr>
                      <wps:txbx>
                        <w:txbxContent>
                          <w:p w14:paraId="43348409" w14:textId="77777777" w:rsidR="00A87994" w:rsidRDefault="00A87994" w:rsidP="00A87994">
                            <w:pPr>
                              <w:spacing w:after="120"/>
                              <w:ind w:left="567"/>
                              <w:textDirection w:val="btLr"/>
                            </w:pPr>
                            <w:r>
                              <w:rPr>
                                <w:rFonts w:ascii="Marianne" w:eastAsia="Marianne" w:hAnsi="Marianne" w:cs="Marianne"/>
                                <w:color w:val="000048"/>
                                <w:sz w:val="18"/>
                              </w:rPr>
                              <w:t xml:space="preserve">La Direction générale du Trésor est présente dans plus de 100 pays à travers ses Services économiques. </w:t>
                            </w:r>
                            <w:r>
                              <w:rPr>
                                <w:rFonts w:ascii="Marianne" w:eastAsia="Marianne" w:hAnsi="Marianne" w:cs="Marianne"/>
                                <w:color w:val="000048"/>
                                <w:sz w:val="18"/>
                              </w:rPr>
                              <w:br/>
                              <w:t xml:space="preserve">Pour en savoir plus sur ses missions et ses implantations : </w:t>
                            </w:r>
                            <w:r>
                              <w:rPr>
                                <w:rFonts w:ascii="Marianne" w:eastAsia="Marianne" w:hAnsi="Marianne" w:cs="Marianne"/>
                                <w:color w:val="000048"/>
                                <w:sz w:val="18"/>
                              </w:rPr>
                              <w:br/>
                            </w:r>
                            <w:r>
                              <w:rPr>
                                <w:rFonts w:ascii="Marianne" w:eastAsia="Marianne" w:hAnsi="Marianne" w:cs="Marianne"/>
                                <w:color w:val="0000FF"/>
                                <w:sz w:val="18"/>
                                <w:u w:val="single"/>
                              </w:rPr>
                              <w:t>www.tresor.economie.gouv.fr/tresor-internationa</w:t>
                            </w:r>
                            <w:r>
                              <w:rPr>
                                <w:rFonts w:ascii="Marianne" w:eastAsia="Marianne" w:hAnsi="Marianne" w:cs="Marianne"/>
                                <w:color w:val="2424FF"/>
                                <w:sz w:val="18"/>
                                <w:u w:val="single"/>
                              </w:rPr>
                              <w:t>l</w:t>
                            </w:r>
                          </w:p>
                          <w:p w14:paraId="50BA1919" w14:textId="77777777" w:rsidR="00A87994" w:rsidRDefault="00A87994" w:rsidP="00A87994">
                            <w:pPr>
                              <w:spacing w:after="120"/>
                              <w:ind w:left="567"/>
                              <w:textDirection w:val="btLr"/>
                            </w:pPr>
                            <w:r>
                              <w:rPr>
                                <w:rFonts w:ascii="Marianne" w:eastAsia="Marianne" w:hAnsi="Marianne" w:cs="Marianne"/>
                                <w:color w:val="000048"/>
                                <w:sz w:val="18"/>
                              </w:rPr>
                              <w:t>Responsable de la publication</w:t>
                            </w:r>
                            <w:r>
                              <w:rPr>
                                <w:rFonts w:eastAsia="Calibri"/>
                                <w:color w:val="000048"/>
                                <w:sz w:val="18"/>
                              </w:rPr>
                              <w:t> </w:t>
                            </w:r>
                            <w:r>
                              <w:rPr>
                                <w:rFonts w:ascii="Marianne" w:eastAsia="Marianne" w:hAnsi="Marianne" w:cs="Marianne"/>
                                <w:color w:val="000048"/>
                                <w:sz w:val="18"/>
                              </w:rPr>
                              <w:t xml:space="preserve">: Diane </w:t>
                            </w:r>
                            <w:proofErr w:type="spellStart"/>
                            <w:r>
                              <w:rPr>
                                <w:rFonts w:ascii="Marianne" w:eastAsia="Marianne" w:hAnsi="Marianne" w:cs="Marianne"/>
                                <w:color w:val="000048"/>
                                <w:sz w:val="18"/>
                              </w:rPr>
                              <w:t>Fattelay</w:t>
                            </w:r>
                            <w:proofErr w:type="spellEnd"/>
                          </w:p>
                          <w:p w14:paraId="0E61A708" w14:textId="77777777" w:rsidR="00A87994" w:rsidRDefault="00A87994" w:rsidP="00A87994">
                            <w:pPr>
                              <w:spacing w:after="120"/>
                              <w:ind w:left="567"/>
                              <w:textDirection w:val="btLr"/>
                            </w:pPr>
                            <w:r>
                              <w:rPr>
                                <w:rFonts w:ascii="Marianne" w:eastAsia="Marianne" w:hAnsi="Marianne" w:cs="Marianne"/>
                                <w:color w:val="000048"/>
                                <w:sz w:val="18"/>
                              </w:rPr>
                              <w:t>Rédaction</w:t>
                            </w:r>
                            <w:r>
                              <w:rPr>
                                <w:rFonts w:eastAsia="Calibri"/>
                                <w:color w:val="000048"/>
                                <w:sz w:val="18"/>
                              </w:rPr>
                              <w:t> </w:t>
                            </w:r>
                            <w:r>
                              <w:rPr>
                                <w:rFonts w:ascii="Marianne" w:eastAsia="Marianne" w:hAnsi="Marianne" w:cs="Marianne"/>
                                <w:color w:val="000048"/>
                                <w:sz w:val="18"/>
                              </w:rPr>
                              <w:t xml:space="preserve">: Abdesslam </w:t>
                            </w:r>
                            <w:proofErr w:type="spellStart"/>
                            <w:r>
                              <w:rPr>
                                <w:rFonts w:ascii="Marianne" w:eastAsia="Marianne" w:hAnsi="Marianne" w:cs="Marianne"/>
                                <w:color w:val="000048"/>
                                <w:sz w:val="18"/>
                              </w:rPr>
                              <w:t>Nagi</w:t>
                            </w:r>
                            <w:proofErr w:type="spellEnd"/>
                          </w:p>
                          <w:p w14:paraId="5351944E" w14:textId="77777777" w:rsidR="00A87994" w:rsidRDefault="00A87994" w:rsidP="00A87994">
                            <w:pPr>
                              <w:spacing w:after="120"/>
                              <w:ind w:left="567"/>
                              <w:textDirection w:val="btLr"/>
                            </w:pPr>
                            <w:r>
                              <w:rPr>
                                <w:rFonts w:ascii="Marianne" w:eastAsia="Marianne" w:hAnsi="Marianne" w:cs="Marianne"/>
                                <w:color w:val="2424FF"/>
                                <w:sz w:val="18"/>
                              </w:rPr>
                              <w:t>Abonnez-vous</w:t>
                            </w:r>
                            <w:r>
                              <w:rPr>
                                <w:rFonts w:eastAsia="Calibri"/>
                                <w:color w:val="2424FF"/>
                                <w:sz w:val="18"/>
                              </w:rPr>
                              <w:t> </w:t>
                            </w:r>
                            <w:r>
                              <w:rPr>
                                <w:rFonts w:ascii="Marianne" w:eastAsia="Marianne" w:hAnsi="Marianne" w:cs="Marianne"/>
                                <w:color w:val="2424FF"/>
                                <w:sz w:val="18"/>
                              </w:rPr>
                              <w:t xml:space="preserve">: </w:t>
                            </w:r>
                            <w:r>
                              <w:rPr>
                                <w:rFonts w:ascii="Marianne" w:eastAsia="Marianne" w:hAnsi="Marianne" w:cs="Marianne"/>
                                <w:color w:val="2424FF"/>
                                <w:sz w:val="18"/>
                                <w:u w:val="single"/>
                              </w:rPr>
                              <w:t>lisbonne@dgtresor.gouv.fr</w:t>
                            </w:r>
                          </w:p>
                          <w:p w14:paraId="7BB3493A" w14:textId="77777777" w:rsidR="00A87994" w:rsidRDefault="00A87994" w:rsidP="00A87994">
                            <w:pPr>
                              <w:spacing w:line="258" w:lineRule="auto"/>
                              <w:jc w:val="center"/>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072B3D1A" id="Rectangle 55510464" o:spid="_x0000_s1027" style="position:absolute;left:0;text-align:left;margin-left:-7.9pt;margin-top:697.7pt;width:624.25pt;height:146.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" fillcolor="#fcc63a" stroked="f">
                <v:textbox inset="2.53958mm,1.2694mm,2.53958mm,1.2694mm">
                  <w:txbxContent>
                    <w:p w14:paraId="43348409" w14:textId="77777777" w:rsidR="00A87994" w:rsidRDefault="00A87994" w:rsidP="00A87994">
                      <w:pPr>
                        <w:spacing w:after="120"/>
                        <w:ind w:left="567"/>
                        <w:textDirection w:val="btLr"/>
                      </w:pPr>
                      <w:r>
                        <w:rPr>
                          <w:rFonts w:ascii="Marianne" w:eastAsia="Marianne" w:hAnsi="Marianne" w:cs="Marianne"/>
                          <w:color w:val="000048"/>
                          <w:sz w:val="18"/>
                        </w:rPr>
                        <w:t xml:space="preserve">La Direction générale du Trésor est présente dans plus de 100 pays à travers ses Services économiques. </w:t>
                      </w:r>
                      <w:r>
                        <w:rPr>
                          <w:rFonts w:ascii="Marianne" w:eastAsia="Marianne" w:hAnsi="Marianne" w:cs="Marianne"/>
                          <w:color w:val="000048"/>
                          <w:sz w:val="18"/>
                        </w:rPr>
                        <w:br/>
                        <w:t xml:space="preserve">Pour en savoir plus sur ses missions et ses implantations : </w:t>
                      </w:r>
                      <w:r>
                        <w:rPr>
                          <w:rFonts w:ascii="Marianne" w:eastAsia="Marianne" w:hAnsi="Marianne" w:cs="Marianne"/>
                          <w:color w:val="000048"/>
                          <w:sz w:val="18"/>
                        </w:rPr>
                        <w:br/>
                      </w:r>
                      <w:r>
                        <w:rPr>
                          <w:rFonts w:ascii="Marianne" w:eastAsia="Marianne" w:hAnsi="Marianne" w:cs="Marianne"/>
                          <w:color w:val="0000FF"/>
                          <w:sz w:val="18"/>
                          <w:u w:val="single"/>
                        </w:rPr>
                        <w:t>www.tresor.economie.gouv.fr/tresor-internationa</w:t>
                      </w:r>
                      <w:r>
                        <w:rPr>
                          <w:rFonts w:ascii="Marianne" w:eastAsia="Marianne" w:hAnsi="Marianne" w:cs="Marianne"/>
                          <w:color w:val="2424FF"/>
                          <w:sz w:val="18"/>
                          <w:u w:val="single"/>
                        </w:rPr>
                        <w:t>l</w:t>
                      </w:r>
                    </w:p>
                    <w:p w14:paraId="50BA1919" w14:textId="77777777" w:rsidR="00A87994" w:rsidRDefault="00A87994" w:rsidP="00A87994">
                      <w:pPr>
                        <w:spacing w:after="120"/>
                        <w:ind w:left="567"/>
                        <w:textDirection w:val="btLr"/>
                      </w:pPr>
                      <w:r>
                        <w:rPr>
                          <w:rFonts w:ascii="Marianne" w:eastAsia="Marianne" w:hAnsi="Marianne" w:cs="Marianne"/>
                          <w:color w:val="000048"/>
                          <w:sz w:val="18"/>
                        </w:rPr>
                        <w:t>Responsable de la publication</w:t>
                      </w:r>
                      <w:r>
                        <w:rPr>
                          <w:rFonts w:eastAsia="Calibri"/>
                          <w:color w:val="000048"/>
                          <w:sz w:val="18"/>
                        </w:rPr>
                        <w:t> </w:t>
                      </w:r>
                      <w:r>
                        <w:rPr>
                          <w:rFonts w:ascii="Marianne" w:eastAsia="Marianne" w:hAnsi="Marianne" w:cs="Marianne"/>
                          <w:color w:val="000048"/>
                          <w:sz w:val="18"/>
                        </w:rPr>
                        <w:t xml:space="preserve">: Diane </w:t>
                      </w:r>
                      <w:proofErr w:type="spellStart"/>
                      <w:r>
                        <w:rPr>
                          <w:rFonts w:ascii="Marianne" w:eastAsia="Marianne" w:hAnsi="Marianne" w:cs="Marianne"/>
                          <w:color w:val="000048"/>
                          <w:sz w:val="18"/>
                        </w:rPr>
                        <w:t>Fattelay</w:t>
                      </w:r>
                      <w:proofErr w:type="spellEnd"/>
                    </w:p>
                    <w:p w14:paraId="0E61A708" w14:textId="77777777" w:rsidR="00A87994" w:rsidRDefault="00A87994" w:rsidP="00A87994">
                      <w:pPr>
                        <w:spacing w:after="120"/>
                        <w:ind w:left="567"/>
                        <w:textDirection w:val="btLr"/>
                      </w:pPr>
                      <w:r>
                        <w:rPr>
                          <w:rFonts w:ascii="Marianne" w:eastAsia="Marianne" w:hAnsi="Marianne" w:cs="Marianne"/>
                          <w:color w:val="000048"/>
                          <w:sz w:val="18"/>
                        </w:rPr>
                        <w:t>Rédaction</w:t>
                      </w:r>
                      <w:r>
                        <w:rPr>
                          <w:rFonts w:eastAsia="Calibri"/>
                          <w:color w:val="000048"/>
                          <w:sz w:val="18"/>
                        </w:rPr>
                        <w:t> </w:t>
                      </w:r>
                      <w:r>
                        <w:rPr>
                          <w:rFonts w:ascii="Marianne" w:eastAsia="Marianne" w:hAnsi="Marianne" w:cs="Marianne"/>
                          <w:color w:val="000048"/>
                          <w:sz w:val="18"/>
                        </w:rPr>
                        <w:t xml:space="preserve">: Abdesslam </w:t>
                      </w:r>
                      <w:proofErr w:type="spellStart"/>
                      <w:r>
                        <w:rPr>
                          <w:rFonts w:ascii="Marianne" w:eastAsia="Marianne" w:hAnsi="Marianne" w:cs="Marianne"/>
                          <w:color w:val="000048"/>
                          <w:sz w:val="18"/>
                        </w:rPr>
                        <w:t>Nagi</w:t>
                      </w:r>
                      <w:proofErr w:type="spellEnd"/>
                    </w:p>
                    <w:p w14:paraId="5351944E" w14:textId="77777777" w:rsidR="00A87994" w:rsidRDefault="00A87994" w:rsidP="00A87994">
                      <w:pPr>
                        <w:spacing w:after="120"/>
                        <w:ind w:left="567"/>
                        <w:textDirection w:val="btLr"/>
                      </w:pPr>
                      <w:r>
                        <w:rPr>
                          <w:rFonts w:ascii="Marianne" w:eastAsia="Marianne" w:hAnsi="Marianne" w:cs="Marianne"/>
                          <w:color w:val="2424FF"/>
                          <w:sz w:val="18"/>
                        </w:rPr>
                        <w:t>Abonnez-vous</w:t>
                      </w:r>
                      <w:r>
                        <w:rPr>
                          <w:rFonts w:eastAsia="Calibri"/>
                          <w:color w:val="2424FF"/>
                          <w:sz w:val="18"/>
                        </w:rPr>
                        <w:t> </w:t>
                      </w:r>
                      <w:r>
                        <w:rPr>
                          <w:rFonts w:ascii="Marianne" w:eastAsia="Marianne" w:hAnsi="Marianne" w:cs="Marianne"/>
                          <w:color w:val="2424FF"/>
                          <w:sz w:val="18"/>
                        </w:rPr>
                        <w:t xml:space="preserve">: </w:t>
                      </w:r>
                      <w:r>
                        <w:rPr>
                          <w:rFonts w:ascii="Marianne" w:eastAsia="Marianne" w:hAnsi="Marianne" w:cs="Marianne"/>
                          <w:color w:val="2424FF"/>
                          <w:sz w:val="18"/>
                          <w:u w:val="single"/>
                        </w:rPr>
                        <w:t>lisbonne@dgtresor.gouv.fr</w:t>
                      </w:r>
                    </w:p>
                    <w:p w14:paraId="7BB3493A" w14:textId="77777777" w:rsidR="00A87994" w:rsidRDefault="00A87994" w:rsidP="00A87994">
                      <w:pPr>
                        <w:spacing w:line="258" w:lineRule="auto"/>
                        <w:jc w:val="center"/>
                        <w:textDirection w:val="btLr"/>
                      </w:pPr>
                    </w:p>
                  </w:txbxContent>
                </v:textbox>
                <w10:wrap type="topAndBottom" anchorx="page" anchory="page"/>
              </v:rect>
            </w:pict>
          </mc:Fallback>
        </mc:AlternateContent>
      </w:r>
      <w:r w:rsidR="0075616B" w:rsidRPr="00A0469D">
        <w:rPr>
          <w:rFonts w:ascii="Marianne Light" w:hAnsi="Marianne Light"/>
          <w:lang w:val="pt-PT"/>
        </w:rPr>
        <w:br/>
      </w:r>
    </w:p>
    <w:sectPr w:rsidR="00137139" w:rsidRPr="00A0469D" w:rsidSect="00DD1321">
      <w:headerReference w:type="default" r:id="rId22"/>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D65558" w14:textId="77777777" w:rsidR="00B9086D" w:rsidRDefault="00B9086D" w:rsidP="00CA279F">
      <w:r>
        <w:separator/>
      </w:r>
    </w:p>
  </w:endnote>
  <w:endnote w:type="continuationSeparator" w:id="0">
    <w:p w14:paraId="04CE4BC6" w14:textId="77777777" w:rsidR="00B9086D" w:rsidRDefault="00B9086D" w:rsidP="00CA279F">
      <w:r>
        <w:continuationSeparator/>
      </w:r>
    </w:p>
  </w:endnote>
  <w:endnote w:type="continuationNotice" w:id="1">
    <w:p w14:paraId="4B0FB7AB" w14:textId="77777777" w:rsidR="00B9086D" w:rsidRDefault="00B908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Marianne Medium">
    <w:panose1 w:val="02000000000000000000"/>
    <w:charset w:val="00"/>
    <w:family w:val="auto"/>
    <w:pitch w:val="variable"/>
    <w:sig w:usb0="0000000F"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Marianne ExtraBold">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4E021" w14:textId="77777777" w:rsidR="00DD5669" w:rsidRDefault="00DD566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214F7" w14:textId="77777777" w:rsidR="00B9086D" w:rsidRDefault="00B9086D" w:rsidP="00CA279F">
      <w:r>
        <w:separator/>
      </w:r>
    </w:p>
  </w:footnote>
  <w:footnote w:type="continuationSeparator" w:id="0">
    <w:p w14:paraId="34058645" w14:textId="77777777" w:rsidR="00B9086D" w:rsidRDefault="00B9086D" w:rsidP="00CA279F">
      <w:r>
        <w:continuationSeparator/>
      </w:r>
    </w:p>
  </w:footnote>
  <w:footnote w:type="continuationNotice" w:id="1">
    <w:p w14:paraId="4AD7D241" w14:textId="77777777" w:rsidR="00B9086D" w:rsidRDefault="00B908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4711" w14:textId="77777777" w:rsidR="00DD5669" w:rsidRDefault="00DD566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671D0"/>
    <w:multiLevelType w:val="hybridMultilevel"/>
    <w:tmpl w:val="05BE986E"/>
    <w:lvl w:ilvl="0" w:tplc="AF54A320">
      <w:start w:val="1"/>
      <w:numFmt w:val="bullet"/>
      <w:lvlText w:val=""/>
      <w:lvlJc w:val="left"/>
      <w:pPr>
        <w:ind w:left="720" w:hanging="360"/>
      </w:pPr>
      <w:rPr>
        <w:rFonts w:ascii="Wingdings" w:hAnsi="Wingdings" w:hint="default"/>
        <w:color w:val="00339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353D81"/>
    <w:multiLevelType w:val="hybridMultilevel"/>
    <w:tmpl w:val="79122FFC"/>
    <w:lvl w:ilvl="0" w:tplc="A6A829AE">
      <w:numFmt w:val="bullet"/>
      <w:lvlText w:val="-"/>
      <w:lvlJc w:val="left"/>
      <w:pPr>
        <w:ind w:left="720" w:hanging="360"/>
      </w:pPr>
      <w:rPr>
        <w:rFonts w:ascii="Marianne" w:eastAsia="Times New Roman" w:hAnsi="Marianne"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6B"/>
    <w:rsid w:val="000058A8"/>
    <w:rsid w:val="000171CE"/>
    <w:rsid w:val="000260E1"/>
    <w:rsid w:val="00030579"/>
    <w:rsid w:val="00065455"/>
    <w:rsid w:val="00083E5A"/>
    <w:rsid w:val="000879F6"/>
    <w:rsid w:val="000A6931"/>
    <w:rsid w:val="000D2E8C"/>
    <w:rsid w:val="000D6365"/>
    <w:rsid w:val="000E6C44"/>
    <w:rsid w:val="000F39D6"/>
    <w:rsid w:val="00102BAA"/>
    <w:rsid w:val="0013142B"/>
    <w:rsid w:val="00137139"/>
    <w:rsid w:val="001563D7"/>
    <w:rsid w:val="0015771E"/>
    <w:rsid w:val="00170B96"/>
    <w:rsid w:val="0017230F"/>
    <w:rsid w:val="00183B5D"/>
    <w:rsid w:val="001943D3"/>
    <w:rsid w:val="001B11B2"/>
    <w:rsid w:val="001B1ACA"/>
    <w:rsid w:val="001B201F"/>
    <w:rsid w:val="001C0573"/>
    <w:rsid w:val="001D6090"/>
    <w:rsid w:val="001D6AA1"/>
    <w:rsid w:val="001E280B"/>
    <w:rsid w:val="001E6B40"/>
    <w:rsid w:val="001F2D9E"/>
    <w:rsid w:val="0020190F"/>
    <w:rsid w:val="002442BD"/>
    <w:rsid w:val="00257CB1"/>
    <w:rsid w:val="00275864"/>
    <w:rsid w:val="0028310B"/>
    <w:rsid w:val="00285BB1"/>
    <w:rsid w:val="002946BD"/>
    <w:rsid w:val="002C3CE2"/>
    <w:rsid w:val="002C4FE7"/>
    <w:rsid w:val="002E6965"/>
    <w:rsid w:val="002F57B1"/>
    <w:rsid w:val="00307277"/>
    <w:rsid w:val="00315B02"/>
    <w:rsid w:val="0031695A"/>
    <w:rsid w:val="003432E0"/>
    <w:rsid w:val="003517DB"/>
    <w:rsid w:val="00367201"/>
    <w:rsid w:val="00381276"/>
    <w:rsid w:val="003A4C8D"/>
    <w:rsid w:val="003C625E"/>
    <w:rsid w:val="003D647E"/>
    <w:rsid w:val="003E6F85"/>
    <w:rsid w:val="00412331"/>
    <w:rsid w:val="00427393"/>
    <w:rsid w:val="00430BD9"/>
    <w:rsid w:val="0043450A"/>
    <w:rsid w:val="00441607"/>
    <w:rsid w:val="00455A67"/>
    <w:rsid w:val="0046285C"/>
    <w:rsid w:val="004718DB"/>
    <w:rsid w:val="00473DD4"/>
    <w:rsid w:val="00492D7B"/>
    <w:rsid w:val="00494018"/>
    <w:rsid w:val="00494797"/>
    <w:rsid w:val="00495757"/>
    <w:rsid w:val="004C11B1"/>
    <w:rsid w:val="004C21C7"/>
    <w:rsid w:val="004F5974"/>
    <w:rsid w:val="00526AE7"/>
    <w:rsid w:val="00531E45"/>
    <w:rsid w:val="0053585E"/>
    <w:rsid w:val="00561EBB"/>
    <w:rsid w:val="00565B0A"/>
    <w:rsid w:val="00575DA7"/>
    <w:rsid w:val="0058065A"/>
    <w:rsid w:val="00591FD9"/>
    <w:rsid w:val="005A0E77"/>
    <w:rsid w:val="005B76AE"/>
    <w:rsid w:val="005C178B"/>
    <w:rsid w:val="005C747E"/>
    <w:rsid w:val="005D0241"/>
    <w:rsid w:val="005E2B49"/>
    <w:rsid w:val="005F1663"/>
    <w:rsid w:val="005F546C"/>
    <w:rsid w:val="006018B7"/>
    <w:rsid w:val="00603D0B"/>
    <w:rsid w:val="00605081"/>
    <w:rsid w:val="00614EEF"/>
    <w:rsid w:val="00623559"/>
    <w:rsid w:val="00635D8B"/>
    <w:rsid w:val="006522B2"/>
    <w:rsid w:val="00653E56"/>
    <w:rsid w:val="00686649"/>
    <w:rsid w:val="00692F11"/>
    <w:rsid w:val="0069426C"/>
    <w:rsid w:val="0069428F"/>
    <w:rsid w:val="006A06BD"/>
    <w:rsid w:val="006D1ABF"/>
    <w:rsid w:val="006E70E8"/>
    <w:rsid w:val="00712D12"/>
    <w:rsid w:val="00722060"/>
    <w:rsid w:val="00725E04"/>
    <w:rsid w:val="00730570"/>
    <w:rsid w:val="00755A2F"/>
    <w:rsid w:val="0075616B"/>
    <w:rsid w:val="007600D9"/>
    <w:rsid w:val="0076481A"/>
    <w:rsid w:val="007701B7"/>
    <w:rsid w:val="00774504"/>
    <w:rsid w:val="0077461D"/>
    <w:rsid w:val="00787F6B"/>
    <w:rsid w:val="007B31B5"/>
    <w:rsid w:val="007C2EDF"/>
    <w:rsid w:val="007D77F8"/>
    <w:rsid w:val="007E33EC"/>
    <w:rsid w:val="007E70DA"/>
    <w:rsid w:val="008036E0"/>
    <w:rsid w:val="00815545"/>
    <w:rsid w:val="008324D4"/>
    <w:rsid w:val="00874B47"/>
    <w:rsid w:val="0088086C"/>
    <w:rsid w:val="00884A0F"/>
    <w:rsid w:val="00893913"/>
    <w:rsid w:val="008954A5"/>
    <w:rsid w:val="008B51A0"/>
    <w:rsid w:val="008B6714"/>
    <w:rsid w:val="008E3379"/>
    <w:rsid w:val="008F492B"/>
    <w:rsid w:val="0091580B"/>
    <w:rsid w:val="009411CE"/>
    <w:rsid w:val="009A2715"/>
    <w:rsid w:val="009A43B3"/>
    <w:rsid w:val="009C3FAD"/>
    <w:rsid w:val="009F6B10"/>
    <w:rsid w:val="00A007FB"/>
    <w:rsid w:val="00A0469D"/>
    <w:rsid w:val="00A046B8"/>
    <w:rsid w:val="00A1346E"/>
    <w:rsid w:val="00A5126A"/>
    <w:rsid w:val="00A51F50"/>
    <w:rsid w:val="00A87994"/>
    <w:rsid w:val="00AA1436"/>
    <w:rsid w:val="00AF046D"/>
    <w:rsid w:val="00B0001A"/>
    <w:rsid w:val="00B03CC9"/>
    <w:rsid w:val="00B03F25"/>
    <w:rsid w:val="00B10B59"/>
    <w:rsid w:val="00B12033"/>
    <w:rsid w:val="00B158ED"/>
    <w:rsid w:val="00B160AB"/>
    <w:rsid w:val="00B32618"/>
    <w:rsid w:val="00B653C5"/>
    <w:rsid w:val="00B81454"/>
    <w:rsid w:val="00B90477"/>
    <w:rsid w:val="00B9052A"/>
    <w:rsid w:val="00B9086D"/>
    <w:rsid w:val="00B95E8A"/>
    <w:rsid w:val="00BA02A8"/>
    <w:rsid w:val="00BA7C99"/>
    <w:rsid w:val="00BD4D82"/>
    <w:rsid w:val="00BE2A23"/>
    <w:rsid w:val="00BE2A81"/>
    <w:rsid w:val="00C064F4"/>
    <w:rsid w:val="00C065A9"/>
    <w:rsid w:val="00C077D4"/>
    <w:rsid w:val="00C16847"/>
    <w:rsid w:val="00C34554"/>
    <w:rsid w:val="00C43435"/>
    <w:rsid w:val="00C96710"/>
    <w:rsid w:val="00CA279F"/>
    <w:rsid w:val="00CE0874"/>
    <w:rsid w:val="00D2301C"/>
    <w:rsid w:val="00D472A3"/>
    <w:rsid w:val="00D56E4B"/>
    <w:rsid w:val="00D6243D"/>
    <w:rsid w:val="00D749A4"/>
    <w:rsid w:val="00D81459"/>
    <w:rsid w:val="00D83F1C"/>
    <w:rsid w:val="00D95540"/>
    <w:rsid w:val="00DA74DC"/>
    <w:rsid w:val="00DD108B"/>
    <w:rsid w:val="00DD1321"/>
    <w:rsid w:val="00DD5669"/>
    <w:rsid w:val="00DD7122"/>
    <w:rsid w:val="00DF51BC"/>
    <w:rsid w:val="00E04CDA"/>
    <w:rsid w:val="00E16C2B"/>
    <w:rsid w:val="00E41D98"/>
    <w:rsid w:val="00E56E98"/>
    <w:rsid w:val="00E805B3"/>
    <w:rsid w:val="00E87001"/>
    <w:rsid w:val="00E91696"/>
    <w:rsid w:val="00E97937"/>
    <w:rsid w:val="00EB6B35"/>
    <w:rsid w:val="00ED3CBF"/>
    <w:rsid w:val="00EE09F8"/>
    <w:rsid w:val="00F04C7C"/>
    <w:rsid w:val="00F115F1"/>
    <w:rsid w:val="00F13362"/>
    <w:rsid w:val="00F4550A"/>
    <w:rsid w:val="00F56135"/>
    <w:rsid w:val="00F65709"/>
    <w:rsid w:val="00F76DDE"/>
    <w:rsid w:val="00F93995"/>
    <w:rsid w:val="00F974F8"/>
    <w:rsid w:val="00FA3515"/>
    <w:rsid w:val="00FF3C82"/>
    <w:rsid w:val="00FF3E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7CC2"/>
  <w15:chartTrackingRefBased/>
  <w15:docId w15:val="{80B62004-6D86-4260-9F7D-155D8CE5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0A"/>
    <w:pPr>
      <w:spacing w:after="0" w:line="240" w:lineRule="auto"/>
    </w:pPr>
    <w:rPr>
      <w:rFonts w:ascii="Calibri" w:hAnsi="Calibri" w:cs="Calibri"/>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75616B"/>
    <w:rPr>
      <w:color w:val="0563C1" w:themeColor="hyperlink"/>
      <w:u w:val="single"/>
    </w:rPr>
  </w:style>
  <w:style w:type="character" w:styleId="Mentionnonrsolue">
    <w:name w:val="Unresolved Mention"/>
    <w:basedOn w:val="Policepardfaut"/>
    <w:uiPriority w:val="99"/>
    <w:semiHidden/>
    <w:unhideWhenUsed/>
    <w:rsid w:val="0075616B"/>
    <w:rPr>
      <w:color w:val="605E5C"/>
      <w:shd w:val="clear" w:color="auto" w:fill="E1DFDD"/>
    </w:rPr>
  </w:style>
  <w:style w:type="character" w:styleId="Lienhypertextesuivivisit">
    <w:name w:val="FollowedHyperlink"/>
    <w:basedOn w:val="Policepardfaut"/>
    <w:uiPriority w:val="99"/>
    <w:semiHidden/>
    <w:unhideWhenUsed/>
    <w:rsid w:val="00CE0874"/>
    <w:rPr>
      <w:color w:val="954F72" w:themeColor="followedHyperlink"/>
      <w:u w:val="single"/>
    </w:rPr>
  </w:style>
  <w:style w:type="character" w:styleId="Marquedecommentaire">
    <w:name w:val="annotation reference"/>
    <w:basedOn w:val="Policepardfaut"/>
    <w:uiPriority w:val="99"/>
    <w:semiHidden/>
    <w:unhideWhenUsed/>
    <w:rsid w:val="00ED3CBF"/>
    <w:rPr>
      <w:sz w:val="16"/>
      <w:szCs w:val="16"/>
    </w:rPr>
  </w:style>
  <w:style w:type="paragraph" w:styleId="Commentaire">
    <w:name w:val="annotation text"/>
    <w:basedOn w:val="Normal"/>
    <w:link w:val="CommentaireCar"/>
    <w:uiPriority w:val="99"/>
    <w:semiHidden/>
    <w:unhideWhenUsed/>
    <w:rsid w:val="00ED3CBF"/>
    <w:rPr>
      <w:sz w:val="20"/>
      <w:szCs w:val="20"/>
    </w:rPr>
  </w:style>
  <w:style w:type="character" w:customStyle="1" w:styleId="CommentaireCar">
    <w:name w:val="Commentaire Car"/>
    <w:basedOn w:val="Policepardfaut"/>
    <w:link w:val="Commentaire"/>
    <w:uiPriority w:val="99"/>
    <w:semiHidden/>
    <w:rsid w:val="00ED3CBF"/>
    <w:rPr>
      <w:rFonts w:ascii="Calibri" w:hAnsi="Calibri" w:cs="Calibri"/>
      <w:sz w:val="20"/>
      <w:szCs w:val="20"/>
      <w:lang w:eastAsia="fr-FR"/>
    </w:rPr>
  </w:style>
  <w:style w:type="paragraph" w:styleId="Objetducommentaire">
    <w:name w:val="annotation subject"/>
    <w:basedOn w:val="Commentaire"/>
    <w:next w:val="Commentaire"/>
    <w:link w:val="ObjetducommentaireCar"/>
    <w:uiPriority w:val="99"/>
    <w:semiHidden/>
    <w:unhideWhenUsed/>
    <w:rsid w:val="00ED3CBF"/>
    <w:rPr>
      <w:b/>
      <w:bCs/>
    </w:rPr>
  </w:style>
  <w:style w:type="character" w:customStyle="1" w:styleId="ObjetducommentaireCar">
    <w:name w:val="Objet du commentaire Car"/>
    <w:basedOn w:val="CommentaireCar"/>
    <w:link w:val="Objetducommentaire"/>
    <w:uiPriority w:val="99"/>
    <w:semiHidden/>
    <w:rsid w:val="00ED3CBF"/>
    <w:rPr>
      <w:rFonts w:ascii="Calibri" w:hAnsi="Calibri" w:cs="Calibri"/>
      <w:b/>
      <w:bCs/>
      <w:sz w:val="20"/>
      <w:szCs w:val="20"/>
      <w:lang w:eastAsia="fr-FR"/>
    </w:rPr>
  </w:style>
  <w:style w:type="table" w:styleId="Grilledutableau">
    <w:name w:val="Table Grid"/>
    <w:basedOn w:val="TableauNormal"/>
    <w:uiPriority w:val="39"/>
    <w:rsid w:val="00B00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Grille5Fonc-Accentuation1">
    <w:name w:val="Grid Table 5 Dark Accent 1"/>
    <w:basedOn w:val="TableauNormal"/>
    <w:uiPriority w:val="50"/>
    <w:rsid w:val="00B000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Grille5Fonc-Accentuation2">
    <w:name w:val="Grid Table 5 Dark Accent 2"/>
    <w:basedOn w:val="TableauNormal"/>
    <w:uiPriority w:val="50"/>
    <w:rsid w:val="00603D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auGrille5Fonc-Accentuation4">
    <w:name w:val="Grid Table 5 Dark Accent 4"/>
    <w:basedOn w:val="TableauNormal"/>
    <w:uiPriority w:val="50"/>
    <w:rsid w:val="00603D0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styleId="Notedebasdepage">
    <w:name w:val="footnote text"/>
    <w:aliases w:val="fn,Footnotes,Footnote ak,Reference,footnote text,Footnote,Fußnote,FSR footnote,lábléc,Footnote Text Char Char,Note de bas de page Car1 Car,Note de bas de page Car Car Car,Note de bas de page Car Car Car Car Car,fn1,footnote text1,fn2"/>
    <w:basedOn w:val="Normal"/>
    <w:link w:val="NotedebasdepageCar"/>
    <w:uiPriority w:val="99"/>
    <w:unhideWhenUsed/>
    <w:qFormat/>
    <w:rsid w:val="00CA279F"/>
    <w:rPr>
      <w:rFonts w:asciiTheme="minorHAnsi" w:hAnsiTheme="minorHAnsi" w:cstheme="minorBidi"/>
      <w:sz w:val="20"/>
      <w:szCs w:val="20"/>
      <w:lang w:eastAsia="en-US"/>
    </w:rPr>
  </w:style>
  <w:style w:type="character" w:customStyle="1" w:styleId="NotedebasdepageCar">
    <w:name w:val="Note de bas de page Car"/>
    <w:aliases w:val="fn Car,Footnotes Car,Footnote ak Car,Reference Car,footnote text Car,Footnote Car,Fußnote Car,FSR footnote Car,lábléc Car,Footnote Text Char Char Car,Note de bas de page Car1 Car Car,Note de bas de page Car Car Car Car,fn1 Car"/>
    <w:basedOn w:val="Policepardfaut"/>
    <w:link w:val="Notedebasdepage"/>
    <w:uiPriority w:val="99"/>
    <w:qFormat/>
    <w:rsid w:val="00CA279F"/>
    <w:rPr>
      <w:sz w:val="20"/>
      <w:szCs w:val="20"/>
    </w:rPr>
  </w:style>
  <w:style w:type="character" w:styleId="Appelnotedebasdep">
    <w:name w:val="footnote reference"/>
    <w:aliases w:val="BVI fnr,ftref,16 Point,Superscript 6 Point,Footnotes refss,Footnote Reference Number,nota pié di pagina,Times 10 Point,Exposant 3 Point,Footnote symbol,Footnote reference number,EN Footnote Reference,Ref,R,note TESI,SUPERS,N,f"/>
    <w:basedOn w:val="Policepardfaut"/>
    <w:link w:val="FootnotesymbolCarZchn"/>
    <w:uiPriority w:val="99"/>
    <w:unhideWhenUsed/>
    <w:qFormat/>
    <w:rsid w:val="00CA279F"/>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Appelnotedebasdep"/>
    <w:uiPriority w:val="99"/>
    <w:qFormat/>
    <w:rsid w:val="00575DA7"/>
    <w:pPr>
      <w:spacing w:after="160" w:line="240" w:lineRule="exact"/>
      <w:ind w:left="357" w:hanging="357"/>
    </w:pPr>
    <w:rPr>
      <w:rFonts w:asciiTheme="minorHAnsi" w:hAnsiTheme="minorHAnsi" w:cstheme="minorBidi"/>
      <w:vertAlign w:val="superscript"/>
      <w:lang w:eastAsia="en-US"/>
    </w:rPr>
  </w:style>
  <w:style w:type="paragraph" w:styleId="En-tte">
    <w:name w:val="header"/>
    <w:basedOn w:val="Normal"/>
    <w:link w:val="En-tteCar"/>
    <w:uiPriority w:val="99"/>
    <w:unhideWhenUsed/>
    <w:rsid w:val="00DD5669"/>
    <w:pPr>
      <w:tabs>
        <w:tab w:val="center" w:pos="4536"/>
        <w:tab w:val="right" w:pos="9072"/>
      </w:tabs>
    </w:pPr>
  </w:style>
  <w:style w:type="character" w:customStyle="1" w:styleId="En-tteCar">
    <w:name w:val="En-tête Car"/>
    <w:basedOn w:val="Policepardfaut"/>
    <w:link w:val="En-tte"/>
    <w:uiPriority w:val="99"/>
    <w:rsid w:val="00DD5669"/>
    <w:rPr>
      <w:rFonts w:ascii="Calibri" w:hAnsi="Calibri" w:cs="Calibri"/>
      <w:lang w:eastAsia="fr-FR"/>
    </w:rPr>
  </w:style>
  <w:style w:type="paragraph" w:styleId="Pieddepage">
    <w:name w:val="footer"/>
    <w:basedOn w:val="Normal"/>
    <w:link w:val="PieddepageCar"/>
    <w:uiPriority w:val="99"/>
    <w:unhideWhenUsed/>
    <w:rsid w:val="00DD5669"/>
    <w:pPr>
      <w:tabs>
        <w:tab w:val="center" w:pos="4536"/>
        <w:tab w:val="right" w:pos="9072"/>
      </w:tabs>
    </w:pPr>
  </w:style>
  <w:style w:type="character" w:customStyle="1" w:styleId="PieddepageCar">
    <w:name w:val="Pied de page Car"/>
    <w:basedOn w:val="Policepardfaut"/>
    <w:link w:val="Pieddepage"/>
    <w:uiPriority w:val="99"/>
    <w:rsid w:val="00DD5669"/>
    <w:rPr>
      <w:rFonts w:ascii="Calibri" w:hAnsi="Calibri" w:cs="Calibri"/>
      <w:lang w:eastAsia="fr-FR"/>
    </w:rPr>
  </w:style>
  <w:style w:type="paragraph" w:styleId="Rvision">
    <w:name w:val="Revision"/>
    <w:hidden/>
    <w:uiPriority w:val="99"/>
    <w:semiHidden/>
    <w:rsid w:val="00DD5669"/>
    <w:pPr>
      <w:spacing w:after="0" w:line="240" w:lineRule="auto"/>
    </w:pPr>
    <w:rPr>
      <w:rFonts w:ascii="Calibri" w:hAnsi="Calibri" w:cs="Calibri"/>
      <w:lang w:eastAsia="fr-FR"/>
    </w:rPr>
  </w:style>
  <w:style w:type="table" w:customStyle="1" w:styleId="Trameclaire-Accent11">
    <w:name w:val="Trame claire - Accent 11"/>
    <w:basedOn w:val="TableauNormal"/>
    <w:next w:val="Trameclaire-Accent1"/>
    <w:uiPriority w:val="60"/>
    <w:rsid w:val="00C96710"/>
    <w:pPr>
      <w:spacing w:after="0" w:line="240" w:lineRule="auto"/>
    </w:pPr>
    <w:rPr>
      <w:rFonts w:eastAsia="Times New Roman"/>
      <w:color w:val="006B60"/>
      <w:lang w:eastAsia="fr-FR"/>
    </w:rPr>
    <w:tblPr>
      <w:tblStyleRowBandSize w:val="1"/>
      <w:tblStyleColBandSize w:val="1"/>
      <w:tblBorders>
        <w:top w:val="single" w:sz="8" w:space="0" w:color="009081"/>
        <w:bottom w:val="single" w:sz="8" w:space="0" w:color="009081"/>
      </w:tblBorders>
    </w:tblPr>
    <w:tblStylePr w:type="firstRow">
      <w:pPr>
        <w:spacing w:before="0" w:after="0" w:line="240" w:lineRule="auto"/>
      </w:pPr>
      <w:rPr>
        <w:b/>
        <w:bCs/>
      </w:rPr>
      <w:tblPr/>
      <w:tcPr>
        <w:tcBorders>
          <w:top w:val="single" w:sz="8" w:space="0" w:color="009081"/>
          <w:left w:val="nil"/>
          <w:bottom w:val="single" w:sz="8" w:space="0" w:color="009081"/>
          <w:right w:val="nil"/>
          <w:insideH w:val="nil"/>
          <w:insideV w:val="nil"/>
        </w:tcBorders>
      </w:tcPr>
    </w:tblStylePr>
    <w:tblStylePr w:type="lastRow">
      <w:pPr>
        <w:spacing w:before="0" w:after="0" w:line="240" w:lineRule="auto"/>
      </w:pPr>
      <w:rPr>
        <w:b/>
        <w:bCs/>
      </w:rPr>
      <w:tblPr/>
      <w:tcPr>
        <w:tcBorders>
          <w:top w:val="single" w:sz="8" w:space="0" w:color="009081"/>
          <w:left w:val="nil"/>
          <w:bottom w:val="single" w:sz="8" w:space="0" w:color="00908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cPr>
    </w:tblStylePr>
    <w:tblStylePr w:type="band1Horz">
      <w:tblPr/>
      <w:tcPr>
        <w:tcBorders>
          <w:left w:val="nil"/>
          <w:right w:val="nil"/>
          <w:insideH w:val="nil"/>
          <w:insideV w:val="nil"/>
        </w:tcBorders>
        <w:shd w:val="clear" w:color="auto" w:fill="A4FFF5"/>
      </w:tcPr>
    </w:tblStylePr>
  </w:style>
  <w:style w:type="table" w:styleId="Trameclaire-Accent1">
    <w:name w:val="Light Shading Accent 1"/>
    <w:basedOn w:val="TableauNormal"/>
    <w:uiPriority w:val="60"/>
    <w:semiHidden/>
    <w:unhideWhenUsed/>
    <w:rsid w:val="00C96710"/>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Paragraphedeliste">
    <w:name w:val="List Paragraph"/>
    <w:basedOn w:val="Normal"/>
    <w:uiPriority w:val="34"/>
    <w:qFormat/>
    <w:rsid w:val="00787F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761503">
      <w:bodyDiv w:val="1"/>
      <w:marLeft w:val="0"/>
      <w:marRight w:val="0"/>
      <w:marTop w:val="0"/>
      <w:marBottom w:val="0"/>
      <w:divBdr>
        <w:top w:val="none" w:sz="0" w:space="0" w:color="auto"/>
        <w:left w:val="none" w:sz="0" w:space="0" w:color="auto"/>
        <w:bottom w:val="none" w:sz="0" w:space="0" w:color="auto"/>
        <w:right w:val="none" w:sz="0" w:space="0" w:color="auto"/>
      </w:divBdr>
    </w:div>
    <w:div w:id="708720908">
      <w:bodyDiv w:val="1"/>
      <w:marLeft w:val="0"/>
      <w:marRight w:val="0"/>
      <w:marTop w:val="0"/>
      <w:marBottom w:val="0"/>
      <w:divBdr>
        <w:top w:val="none" w:sz="0" w:space="0" w:color="auto"/>
        <w:left w:val="none" w:sz="0" w:space="0" w:color="auto"/>
        <w:bottom w:val="none" w:sz="0" w:space="0" w:color="auto"/>
        <w:right w:val="none" w:sz="0" w:space="0" w:color="auto"/>
      </w:divBdr>
    </w:div>
    <w:div w:id="949046434">
      <w:bodyDiv w:val="1"/>
      <w:marLeft w:val="0"/>
      <w:marRight w:val="0"/>
      <w:marTop w:val="0"/>
      <w:marBottom w:val="0"/>
      <w:divBdr>
        <w:top w:val="none" w:sz="0" w:space="0" w:color="auto"/>
        <w:left w:val="none" w:sz="0" w:space="0" w:color="auto"/>
        <w:bottom w:val="none" w:sz="0" w:space="0" w:color="auto"/>
        <w:right w:val="none" w:sz="0" w:space="0" w:color="auto"/>
      </w:divBdr>
    </w:div>
    <w:div w:id="2015645727">
      <w:bodyDiv w:val="1"/>
      <w:marLeft w:val="0"/>
      <w:marRight w:val="0"/>
      <w:marTop w:val="0"/>
      <w:marBottom w:val="0"/>
      <w:divBdr>
        <w:top w:val="none" w:sz="0" w:space="0" w:color="auto"/>
        <w:left w:val="none" w:sz="0" w:space="0" w:color="auto"/>
        <w:bottom w:val="none" w:sz="0" w:space="0" w:color="auto"/>
        <w:right w:val="none" w:sz="0" w:space="0" w:color="auto"/>
      </w:divBdr>
    </w:div>
    <w:div w:id="2023894955">
      <w:bodyDiv w:val="1"/>
      <w:marLeft w:val="0"/>
      <w:marRight w:val="0"/>
      <w:marTop w:val="0"/>
      <w:marBottom w:val="0"/>
      <w:divBdr>
        <w:top w:val="none" w:sz="0" w:space="0" w:color="auto"/>
        <w:left w:val="none" w:sz="0" w:space="0" w:color="auto"/>
        <w:bottom w:val="none" w:sz="0" w:space="0" w:color="auto"/>
        <w:right w:val="none" w:sz="0" w:space="0" w:color="auto"/>
      </w:divBdr>
    </w:div>
    <w:div w:id="206078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pordata.pt/en/Portugal" TargetMode="External"/><Relationship Id="rId3" Type="http://schemas.openxmlformats.org/officeDocument/2006/relationships/customXml" Target="../customXml/item3.xml"/><Relationship Id="rId21" Type="http://schemas.openxmlformats.org/officeDocument/2006/relationships/hyperlink" Target="https://recuperarportugal.gov.pt/monitorizacao/"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mf.org/en/Countries/PR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conomy-finance.ec.europa.eu/economic-surveillance-eu-economies/portugal/economic-forecast-portugal_en" TargetMode="External"/><Relationship Id="rId20" Type="http://schemas.openxmlformats.org/officeDocument/2006/relationships/hyperlink" Target="https://economy-finance.ec.europa.eu/document/download/16528114-81f6-40b8-8ec2-344757c77f16_en?filename=national_medium-term_fiscal-structural_plan_portugal_e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ecd.org/fr/economie/portugal-en-un-coup-d-oeil/"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fp.pt/en/publications/state-budget/analysis-of-the-draft-state-budget-for-202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28829BDF35B242AA87F952B165D13F" ma:contentTypeVersion="1" ma:contentTypeDescription="Crée un document." ma:contentTypeScope="" ma:versionID="24b2a7d26f2e2f3dba7fb41c8a929435">
  <xsd:schema xmlns:xsd="http://www.w3.org/2001/XMLSchema" xmlns:xs="http://www.w3.org/2001/XMLSchema" xmlns:p="http://schemas.microsoft.com/office/2006/metadata/properties" xmlns:ns2="6581d643-1400-4b43-ba37-ec4c1eab9b3e" targetNamespace="http://schemas.microsoft.com/office/2006/metadata/properties" ma:root="true" ma:fieldsID="e1e99aaafebe8fda725b8aac0eab0721" ns2:_="">
    <xsd:import namespace="6581d643-1400-4b43-ba37-ec4c1eab9b3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1d643-1400-4b43-ba37-ec4c1eab9b3e"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22C5F518473FB45894FDC0990BC0CCB" ma:contentTypeVersion="1" ma:contentTypeDescription="Crée un document." ma:contentTypeScope="" ma:versionID="b82d3e2a02400e7e6f772c1fd623a1d7">
  <xsd:schema xmlns:xsd="http://www.w3.org/2001/XMLSchema" xmlns:xs="http://www.w3.org/2001/XMLSchema" xmlns:p="http://schemas.microsoft.com/office/2006/metadata/properties" xmlns:ns2="6581d643-1400-4b43-ba37-ec4c1eab9b3e" targetNamespace="http://schemas.microsoft.com/office/2006/metadata/properties" ma:root="true" ma:fieldsID="f6a434c44cd743e5644565f73aac6b57" ns2:_="">
    <xsd:import namespace="6581d643-1400-4b43-ba37-ec4c1eab9b3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1d643-1400-4b43-ba37-ec4c1eab9b3e"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A2CBEE-D706-4B09-9487-A8ED7BD6D5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3C3504-865E-4C05-93F2-5525CA7DE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1d643-1400-4b43-ba37-ec4c1eab9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1D9F15-CE1D-4859-A230-3B45DE66A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1d643-1400-4b43-ba37-ec4c1eab9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776A99-91B3-40BF-AEF4-5DF2F11C4A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2565</Words>
  <Characters>14109</Characters>
  <Application>Microsoft Office Word</Application>
  <DocSecurity>0</DocSecurity>
  <Lines>117</Lines>
  <Paragraphs>33</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VENETZ Ronan</dc:creator>
  <cp:keywords/>
  <dc:description/>
  <cp:lastModifiedBy>GONÇALVES Clarinda</cp:lastModifiedBy>
  <cp:revision>2</cp:revision>
  <dcterms:created xsi:type="dcterms:W3CDTF">2026-08-04T09:43:00Z</dcterms:created>
  <dcterms:modified xsi:type="dcterms:W3CDTF">2026-08-04T09:43:00Z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0x010100E22C5F518473FB45894FDC0990BC0CCB</vt:lpwstr>
  </property>
</Properties>
</file>