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67990" w14:textId="7617269B" w:rsidR="00E45988" w:rsidRDefault="003748E0" w:rsidP="00B4279C">
      <w:pPr>
        <w:spacing w:after="0"/>
        <w:rPr>
          <w:rFonts w:ascii="Segoe UI" w:hAnsi="Segoe UI" w:cs="Segoe UI"/>
          <w:b/>
          <w:bCs/>
          <w:color w:val="000091" w:themeColor="text1"/>
          <w:spacing w:val="-6"/>
          <w:sz w:val="32"/>
          <w:szCs w:val="20"/>
        </w:rPr>
      </w:pPr>
      <w:r w:rsidRPr="0076026A">
        <w:rPr>
          <w:rFonts w:ascii="Segoe UI" w:hAnsi="Segoe UI" w:cs="Segoe UI"/>
          <w:noProof/>
          <w:color w:val="000091" w:themeColor="text1"/>
          <w:spacing w:val="-6"/>
        </w:rPr>
        <mc:AlternateContent>
          <mc:Choice Requires="wps">
            <w:drawing>
              <wp:anchor distT="0" distB="0" distL="114300" distR="114300" simplePos="0" relativeHeight="251657215" behindDoc="0" locked="0" layoutInCell="1" allowOverlap="1" wp14:anchorId="71112931" wp14:editId="71310F8D">
                <wp:simplePos x="0" y="0"/>
                <wp:positionH relativeFrom="margin">
                  <wp:align>right</wp:align>
                </wp:positionH>
                <wp:positionV relativeFrom="paragraph">
                  <wp:posOffset>308610</wp:posOffset>
                </wp:positionV>
                <wp:extent cx="7058025" cy="457200"/>
                <wp:effectExtent l="0" t="0" r="9525" b="0"/>
                <wp:wrapTopAndBottom/>
                <wp:docPr id="2" name="Rectangle 2"/>
                <wp:cNvGraphicFramePr/>
                <a:graphic xmlns:a="http://schemas.openxmlformats.org/drawingml/2006/main">
                  <a:graphicData uri="http://schemas.microsoft.com/office/word/2010/wordprocessingShape">
                    <wps:wsp>
                      <wps:cNvSpPr/>
                      <wps:spPr>
                        <a:xfrm>
                          <a:off x="0" y="0"/>
                          <a:ext cx="7058025" cy="4572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5BAA03C8"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9753D7">
                              <w:rPr>
                                <w:rFonts w:ascii="Segoe UI" w:hAnsi="Segoe UI" w:cs="Segoe UI"/>
                                <w:bCs/>
                                <w:color w:val="000091" w:themeColor="text1"/>
                                <w:sz w:val="18"/>
                                <w:szCs w:val="18"/>
                                <w:lang w:eastAsia="ja-JP"/>
                              </w:rPr>
                              <w:t>France au Mexique</w:t>
                            </w:r>
                          </w:p>
                          <w:p w14:paraId="3D62CBBB" w14:textId="0044E693"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9753D7">
                              <w:rPr>
                                <w:rFonts w:ascii="Segoe UI" w:hAnsi="Segoe UI" w:cs="Segoe UI"/>
                                <w:bCs/>
                                <w:color w:val="000091" w:themeColor="text1"/>
                                <w:sz w:val="18"/>
                                <w:szCs w:val="18"/>
                                <w:lang w:eastAsia="ja-JP"/>
                              </w:rPr>
                              <w:t xml:space="preserve"> régional </w:t>
                            </w:r>
                            <w:r w:rsidR="008A3AD5" w:rsidRPr="00532CE3">
                              <w:rPr>
                                <w:rFonts w:ascii="Arial" w:hAnsi="Arial" w:cs="Arial"/>
                                <w:bCs/>
                              </w:rPr>
                              <w:tab/>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12931" id="Rectangle 2" o:spid="_x0000_s1026" style="position:absolute;margin-left:504.55pt;margin-top:24.3pt;width:555.75pt;height:36pt;z-index:25165721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" fillcolor="#fde8b0 [1301]" stroked="f" strokeweight="1pt">
                <v:textbox>
                  <w:txbxContent>
                    <w:p w14:paraId="7465B737" w14:textId="5BAA03C8"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9753D7">
                        <w:rPr>
                          <w:rFonts w:ascii="Segoe UI" w:hAnsi="Segoe UI" w:cs="Segoe UI"/>
                          <w:bCs/>
                          <w:color w:val="000091" w:themeColor="text1"/>
                          <w:sz w:val="18"/>
                          <w:szCs w:val="18"/>
                          <w:lang w:eastAsia="ja-JP"/>
                        </w:rPr>
                        <w:t>France au Mexique</w:t>
                      </w:r>
                    </w:p>
                    <w:p w14:paraId="3D62CBBB" w14:textId="0044E693"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9753D7">
                        <w:rPr>
                          <w:rFonts w:ascii="Segoe UI" w:hAnsi="Segoe UI" w:cs="Segoe UI"/>
                          <w:bCs/>
                          <w:color w:val="000091" w:themeColor="text1"/>
                          <w:sz w:val="18"/>
                          <w:szCs w:val="18"/>
                          <w:lang w:eastAsia="ja-JP"/>
                        </w:rPr>
                        <w:t xml:space="preserve"> régional </w:t>
                      </w:r>
                      <w:r w:rsidR="008A3AD5" w:rsidRPr="00532CE3">
                        <w:rPr>
                          <w:rFonts w:ascii="Arial" w:hAnsi="Arial" w:cs="Arial"/>
                          <w:bCs/>
                        </w:rPr>
                        <w:tab/>
                      </w:r>
                      <w:r w:rsidR="008A3AD5" w:rsidRPr="00A0743B">
                        <w:rPr>
                          <w:rFonts w:ascii="Arial" w:hAnsi="Arial" w:cs="Arial"/>
                          <w:b/>
                          <w:bCs/>
                          <w:sz w:val="20"/>
                          <w:szCs w:val="20"/>
                        </w:rPr>
                        <w:t xml:space="preserve"> </w:t>
                      </w:r>
                    </w:p>
                  </w:txbxContent>
                </v:textbox>
                <w10:wrap type="topAndBottom" anchorx="margin"/>
              </v:rect>
            </w:pict>
          </mc:Fallback>
        </mc:AlternateContent>
      </w:r>
      <w:r w:rsidR="004A037B" w:rsidRPr="0076026A">
        <w:rPr>
          <w:rFonts w:ascii="Segoe UI" w:hAnsi="Segoe UI" w:cs="Segoe UI"/>
          <w:noProof/>
          <w:color w:val="000091" w:themeColor="text1"/>
          <w:spacing w:val="-6"/>
        </w:rPr>
        <mc:AlternateContent>
          <mc:Choice Requires="wps">
            <w:drawing>
              <wp:anchor distT="0" distB="0" distL="114300" distR="114300" simplePos="0" relativeHeight="251659264" behindDoc="0" locked="0" layoutInCell="1" allowOverlap="1" wp14:anchorId="585DE714" wp14:editId="03461EEE">
                <wp:simplePos x="0" y="0"/>
                <wp:positionH relativeFrom="margin">
                  <wp:posOffset>3321050</wp:posOffset>
                </wp:positionH>
                <wp:positionV relativeFrom="paragraph">
                  <wp:posOffset>342265</wp:posOffset>
                </wp:positionV>
                <wp:extent cx="3194050"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3194050" cy="400050"/>
                        </a:xfrm>
                        <a:prstGeom prst="rect">
                          <a:avLst/>
                        </a:prstGeom>
                        <a:noFill/>
                        <a:ln w="6350">
                          <a:noFill/>
                        </a:ln>
                      </wps:spPr>
                      <wps:txbx>
                        <w:txbxContent>
                          <w:p w14:paraId="397E66F8" w14:textId="5F3F4C2E" w:rsidR="004A037B" w:rsidRDefault="004A037B" w:rsidP="004A037B">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Pr>
                                <w:rFonts w:ascii="Segoe UI" w:hAnsi="Segoe UI" w:cs="Segoe UI"/>
                                <w:color w:val="000091" w:themeColor="text1"/>
                                <w:sz w:val="17"/>
                                <w:szCs w:val="17"/>
                                <w:lang w:eastAsia="ja-JP"/>
                              </w:rPr>
                              <w:t> : Morgane MONJOUR</w:t>
                            </w:r>
                            <w:r w:rsidR="004B1124">
                              <w:rPr>
                                <w:rFonts w:ascii="Segoe UI" w:hAnsi="Segoe UI" w:cs="Segoe UI"/>
                                <w:color w:val="000091" w:themeColor="text1"/>
                                <w:sz w:val="17"/>
                                <w:szCs w:val="17"/>
                                <w:lang w:eastAsia="ja-JP"/>
                              </w:rPr>
                              <w:t>,</w:t>
                            </w:r>
                            <w:r w:rsidR="004B1124" w:rsidRPr="004B1124">
                              <w:rPr>
                                <w:rFonts w:ascii="Segoe UI" w:hAnsi="Segoe UI" w:cs="Segoe UI"/>
                                <w:color w:val="000091" w:themeColor="text1"/>
                                <w:sz w:val="17"/>
                                <w:szCs w:val="17"/>
                                <w:lang w:eastAsia="ja-JP"/>
                              </w:rPr>
                              <w:t xml:space="preserve"> </w:t>
                            </w:r>
                            <w:r w:rsidR="004B1124">
                              <w:rPr>
                                <w:rFonts w:ascii="Segoe UI" w:hAnsi="Segoe UI" w:cs="Segoe UI"/>
                                <w:color w:val="000091" w:themeColor="text1"/>
                                <w:sz w:val="17"/>
                                <w:szCs w:val="17"/>
                                <w:lang w:eastAsia="ja-JP"/>
                              </w:rPr>
                              <w:t>Lisa SICA DE MORAES</w:t>
                            </w:r>
                          </w:p>
                          <w:p w14:paraId="41410B1D" w14:textId="08629331" w:rsidR="004A037B" w:rsidRPr="00A7004D" w:rsidRDefault="004A037B" w:rsidP="004A037B">
                            <w:pPr>
                              <w:tabs>
                                <w:tab w:val="left" w:pos="3969"/>
                              </w:tabs>
                              <w:spacing w:after="0"/>
                              <w:jc w:val="right"/>
                              <w:rPr>
                                <w:rFonts w:ascii="Segoe UI" w:hAnsi="Segoe UI" w:cs="Segoe UI"/>
                                <w:color w:val="000091" w:themeColor="text1"/>
                                <w:sz w:val="17"/>
                                <w:szCs w:val="17"/>
                                <w:lang w:eastAsia="ja-JP"/>
                              </w:rPr>
                            </w:pPr>
                            <w:r>
                              <w:rPr>
                                <w:rFonts w:ascii="Segoe UI" w:hAnsi="Segoe UI" w:cs="Segoe UI"/>
                                <w:color w:val="000091" w:themeColor="text1"/>
                                <w:sz w:val="17"/>
                                <w:szCs w:val="17"/>
                                <w:lang w:eastAsia="ja-JP"/>
                              </w:rPr>
                              <w:t xml:space="preserve">Revue par : </w:t>
                            </w:r>
                            <w:r w:rsidR="004B1124">
                              <w:rPr>
                                <w:rFonts w:ascii="Segoe UI" w:hAnsi="Segoe UI" w:cs="Segoe UI"/>
                                <w:color w:val="000091" w:themeColor="text1"/>
                                <w:sz w:val="17"/>
                                <w:szCs w:val="17"/>
                                <w:lang w:eastAsia="ja-JP"/>
                              </w:rPr>
                              <w:t>Anne JAUBERTIE</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7" type="#_x0000_t202" style="position:absolute;margin-left:261.5pt;margin-top:26.95pt;width:251.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" filled="f" stroked="f" strokeweight=".5pt">
                <v:textbox>
                  <w:txbxContent>
                    <w:p w14:paraId="397E66F8" w14:textId="5F3F4C2E" w:rsidR="004A037B" w:rsidRDefault="004A037B" w:rsidP="004A037B">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Pr>
                          <w:rFonts w:ascii="Segoe UI" w:hAnsi="Segoe UI" w:cs="Segoe UI"/>
                          <w:color w:val="000091" w:themeColor="text1"/>
                          <w:sz w:val="17"/>
                          <w:szCs w:val="17"/>
                          <w:lang w:eastAsia="ja-JP"/>
                        </w:rPr>
                        <w:t> : Morgane MONJOUR</w:t>
                      </w:r>
                      <w:r w:rsidR="004B1124">
                        <w:rPr>
                          <w:rFonts w:ascii="Segoe UI" w:hAnsi="Segoe UI" w:cs="Segoe UI"/>
                          <w:color w:val="000091" w:themeColor="text1"/>
                          <w:sz w:val="17"/>
                          <w:szCs w:val="17"/>
                          <w:lang w:eastAsia="ja-JP"/>
                        </w:rPr>
                        <w:t>,</w:t>
                      </w:r>
                      <w:r w:rsidR="004B1124" w:rsidRPr="004B1124">
                        <w:rPr>
                          <w:rFonts w:ascii="Segoe UI" w:hAnsi="Segoe UI" w:cs="Segoe UI"/>
                          <w:color w:val="000091" w:themeColor="text1"/>
                          <w:sz w:val="17"/>
                          <w:szCs w:val="17"/>
                          <w:lang w:eastAsia="ja-JP"/>
                        </w:rPr>
                        <w:t xml:space="preserve"> </w:t>
                      </w:r>
                      <w:r w:rsidR="004B1124">
                        <w:rPr>
                          <w:rFonts w:ascii="Segoe UI" w:hAnsi="Segoe UI" w:cs="Segoe UI"/>
                          <w:color w:val="000091" w:themeColor="text1"/>
                          <w:sz w:val="17"/>
                          <w:szCs w:val="17"/>
                          <w:lang w:eastAsia="ja-JP"/>
                        </w:rPr>
                        <w:t>Lisa SICA DE MORAES</w:t>
                      </w:r>
                    </w:p>
                    <w:p w14:paraId="41410B1D" w14:textId="08629331" w:rsidR="004A037B" w:rsidRPr="00A7004D" w:rsidRDefault="004A037B" w:rsidP="004A037B">
                      <w:pPr>
                        <w:tabs>
                          <w:tab w:val="left" w:pos="3969"/>
                        </w:tabs>
                        <w:spacing w:after="0"/>
                        <w:jc w:val="right"/>
                        <w:rPr>
                          <w:rFonts w:ascii="Segoe UI" w:hAnsi="Segoe UI" w:cs="Segoe UI"/>
                          <w:color w:val="000091" w:themeColor="text1"/>
                          <w:sz w:val="17"/>
                          <w:szCs w:val="17"/>
                          <w:lang w:eastAsia="ja-JP"/>
                        </w:rPr>
                      </w:pPr>
                      <w:r>
                        <w:rPr>
                          <w:rFonts w:ascii="Segoe UI" w:hAnsi="Segoe UI" w:cs="Segoe UI"/>
                          <w:color w:val="000091" w:themeColor="text1"/>
                          <w:sz w:val="17"/>
                          <w:szCs w:val="17"/>
                          <w:lang w:eastAsia="ja-JP"/>
                        </w:rPr>
                        <w:t xml:space="preserve">Revue par : </w:t>
                      </w:r>
                      <w:r w:rsidR="004B1124">
                        <w:rPr>
                          <w:rFonts w:ascii="Segoe UI" w:hAnsi="Segoe UI" w:cs="Segoe UI"/>
                          <w:color w:val="000091" w:themeColor="text1"/>
                          <w:sz w:val="17"/>
                          <w:szCs w:val="17"/>
                          <w:lang w:eastAsia="ja-JP"/>
                        </w:rPr>
                        <w:t>Anne JAUBERTIE</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anchorx="margin"/>
              </v:shape>
            </w:pict>
          </mc:Fallback>
        </mc:AlternateContent>
      </w:r>
      <w:r w:rsidR="0027666C" w:rsidRPr="0076026A">
        <w:rPr>
          <w:rFonts w:ascii="Segoe UI" w:hAnsi="Segoe UI" w:cs="Segoe UI"/>
          <w:noProof/>
          <w:color w:val="000091" w:themeColor="text1"/>
          <w:spacing w:val="-6"/>
        </w:rPr>
        <w:drawing>
          <wp:anchor distT="0" distB="0" distL="114300" distR="114300" simplePos="0" relativeHeight="251658240" behindDoc="1" locked="0" layoutInCell="1" allowOverlap="1" wp14:anchorId="56177B8F" wp14:editId="13F32B61">
            <wp:simplePos x="0" y="0"/>
            <wp:positionH relativeFrom="column">
              <wp:posOffset>-481330</wp:posOffset>
            </wp:positionH>
            <wp:positionV relativeFrom="page">
              <wp:posOffset>152400</wp:posOffset>
            </wp:positionV>
            <wp:extent cx="2340610" cy="552450"/>
            <wp:effectExtent l="0" t="0" r="2540"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340610" cy="552450"/>
                    </a:xfrm>
                    <a:prstGeom prst="rect">
                      <a:avLst/>
                    </a:prstGeom>
                  </pic:spPr>
                </pic:pic>
              </a:graphicData>
            </a:graphic>
            <wp14:sizeRelH relativeFrom="margin">
              <wp14:pctWidth>0</wp14:pctWidth>
            </wp14:sizeRelH>
            <wp14:sizeRelV relativeFrom="margin">
              <wp14:pctHeight>0</wp14:pctHeight>
            </wp14:sizeRelV>
          </wp:anchor>
        </w:drawing>
      </w:r>
      <w:r w:rsidR="007E60A1" w:rsidRPr="0076026A">
        <w:rPr>
          <w:rFonts w:ascii="Segoe UI" w:hAnsi="Segoe UI" w:cs="Segoe UI"/>
          <w:noProof/>
          <w:color w:val="000091" w:themeColor="text1"/>
          <w:spacing w:val="-6"/>
        </w:rPr>
        <mc:AlternateContent>
          <mc:Choice Requires="wps">
            <w:drawing>
              <wp:anchor distT="0" distB="0" distL="114300" distR="114300" simplePos="0" relativeHeight="251656190" behindDoc="0" locked="0" layoutInCell="1" allowOverlap="1" wp14:anchorId="16D250F6" wp14:editId="62A53790">
                <wp:simplePos x="0" y="0"/>
                <wp:positionH relativeFrom="margin">
                  <wp:posOffset>-500380</wp:posOffset>
                </wp:positionH>
                <wp:positionV relativeFrom="paragraph">
                  <wp:posOffset>725805</wp:posOffset>
                </wp:positionV>
                <wp:extent cx="7058025" cy="352425"/>
                <wp:effectExtent l="0" t="0" r="9525" b="9525"/>
                <wp:wrapNone/>
                <wp:docPr id="4" name="Rectangle 4"/>
                <wp:cNvGraphicFramePr/>
                <a:graphic xmlns:a="http://schemas.openxmlformats.org/drawingml/2006/main">
                  <a:graphicData uri="http://schemas.microsoft.com/office/word/2010/wordprocessingShape">
                    <wps:wsp>
                      <wps:cNvSpPr/>
                      <wps:spPr>
                        <a:xfrm>
                          <a:off x="0" y="0"/>
                          <a:ext cx="7058025" cy="352425"/>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483EB6" w14:textId="77777777" w:rsidR="00BC7D1A" w:rsidRPr="0076026A" w:rsidRDefault="00BC7D1A" w:rsidP="00BC7D1A">
                            <w:pPr>
                              <w:spacing w:after="0"/>
                              <w:ind w:left="-567" w:right="143"/>
                              <w:jc w:val="center"/>
                              <w:rPr>
                                <w:rFonts w:ascii="Segoe UI" w:hAnsi="Segoe UI" w:cs="Segoe UI"/>
                                <w:noProof/>
                                <w:color w:val="000091" w:themeColor="text1"/>
                                <w:sz w:val="30"/>
                                <w:szCs w:val="30"/>
                                <w:lang w:eastAsia="fr-FR"/>
                              </w:rPr>
                            </w:pPr>
                            <w:r w:rsidRPr="0076026A">
                              <w:rPr>
                                <w:rFonts w:ascii="Segoe UI" w:hAnsi="Segoe UI" w:cs="Segoe UI"/>
                                <w:b/>
                                <w:bCs/>
                                <w:color w:val="000091" w:themeColor="text1"/>
                                <w:sz w:val="30"/>
                                <w:szCs w:val="30"/>
                              </w:rPr>
                              <w:t>Mexique : Note de situation économique et financière</w:t>
                            </w:r>
                            <w:r>
                              <w:rPr>
                                <w:rFonts w:ascii="Segoe UI" w:hAnsi="Segoe UI" w:cs="Segoe UI"/>
                                <w:b/>
                                <w:bCs/>
                                <w:color w:val="000091" w:themeColor="text1"/>
                                <w:sz w:val="30"/>
                                <w:szCs w:val="30"/>
                              </w:rPr>
                              <w:t xml:space="preserve"> </w:t>
                            </w:r>
                          </w:p>
                          <w:p w14:paraId="2ED3FE0E" w14:textId="0F720D99" w:rsidR="00532CE3" w:rsidRPr="0076026A" w:rsidRDefault="00532CE3" w:rsidP="00532CE3">
                            <w:pPr>
                              <w:jc w:val="center"/>
                              <w:rPr>
                                <w:sz w:val="30"/>
                                <w:szCs w:val="3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8" style="position:absolute;margin-left:-39.4pt;margin-top:57.15pt;width:555.75pt;height:27.75pt;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" fillcolor="#fcc63a" stroked="f" strokeweight="1pt">
                <v:textbox>
                  <w:txbxContent>
                    <w:p w14:paraId="17483EB6" w14:textId="77777777" w:rsidR="00BC7D1A" w:rsidRPr="0076026A" w:rsidRDefault="00BC7D1A" w:rsidP="00BC7D1A">
                      <w:pPr>
                        <w:spacing w:after="0"/>
                        <w:ind w:left="-567" w:right="143"/>
                        <w:jc w:val="center"/>
                        <w:rPr>
                          <w:rFonts w:ascii="Segoe UI" w:hAnsi="Segoe UI" w:cs="Segoe UI"/>
                          <w:noProof/>
                          <w:color w:val="000091" w:themeColor="text1"/>
                          <w:sz w:val="30"/>
                          <w:szCs w:val="30"/>
                          <w:lang w:eastAsia="fr-FR"/>
                        </w:rPr>
                      </w:pPr>
                      <w:r w:rsidRPr="0076026A">
                        <w:rPr>
                          <w:rFonts w:ascii="Segoe UI" w:hAnsi="Segoe UI" w:cs="Segoe UI"/>
                          <w:b/>
                          <w:bCs/>
                          <w:color w:val="000091" w:themeColor="text1"/>
                          <w:sz w:val="30"/>
                          <w:szCs w:val="30"/>
                        </w:rPr>
                        <w:t>Mexique : Note de situation économique et financière</w:t>
                      </w:r>
                      <w:r>
                        <w:rPr>
                          <w:rFonts w:ascii="Segoe UI" w:hAnsi="Segoe UI" w:cs="Segoe UI"/>
                          <w:b/>
                          <w:bCs/>
                          <w:color w:val="000091" w:themeColor="text1"/>
                          <w:sz w:val="30"/>
                          <w:szCs w:val="30"/>
                        </w:rPr>
                        <w:t xml:space="preserve"> </w:t>
                      </w:r>
                    </w:p>
                    <w:p w14:paraId="2ED3FE0E" w14:textId="0F720D99" w:rsidR="00532CE3" w:rsidRPr="0076026A" w:rsidRDefault="00532CE3" w:rsidP="00532CE3">
                      <w:pPr>
                        <w:jc w:val="center"/>
                        <w:rPr>
                          <w:sz w:val="30"/>
                          <w:szCs w:val="30"/>
                        </w:rPr>
                      </w:pPr>
                    </w:p>
                  </w:txbxContent>
                </v:textbox>
                <w10:wrap anchorx="margin"/>
              </v:rect>
            </w:pict>
          </mc:Fallback>
        </mc:AlternateContent>
      </w:r>
      <w:r w:rsidR="00945F27" w:rsidRPr="0076026A">
        <w:rPr>
          <w:rFonts w:ascii="Segoe UI" w:hAnsi="Segoe UI" w:cs="Segoe UI"/>
          <w:noProof/>
          <w:color w:val="000091" w:themeColor="text1"/>
          <w:spacing w:val="-6"/>
        </w:rPr>
        <mc:AlternateContent>
          <mc:Choice Requires="wps">
            <w:drawing>
              <wp:anchor distT="45720" distB="45720" distL="114300" distR="114300" simplePos="0" relativeHeight="251661312" behindDoc="0" locked="0" layoutInCell="1" allowOverlap="1" wp14:anchorId="5987A5E4" wp14:editId="5FA54193">
                <wp:simplePos x="0" y="0"/>
                <wp:positionH relativeFrom="margin">
                  <wp:posOffset>4035425</wp:posOffset>
                </wp:positionH>
                <wp:positionV relativeFrom="paragraph">
                  <wp:posOffset>0</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3F6E57BF" w:rsidR="00490B3C" w:rsidRPr="00532CE3" w:rsidRDefault="009753D7"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Mexico city</w:t>
                            </w:r>
                            <w:r w:rsidR="00490B3C" w:rsidRPr="00532CE3">
                              <w:rPr>
                                <w:rFonts w:ascii="Segoe UI" w:hAnsi="Segoe UI" w:cs="Segoe UI"/>
                                <w:color w:val="986E02" w:themeColor="accent2" w:themeShade="80"/>
                                <w:sz w:val="17"/>
                                <w:szCs w:val="17"/>
                                <w:lang w:eastAsia="ja-JP"/>
                              </w:rPr>
                              <w:t xml:space="preserve">, </w:t>
                            </w:r>
                            <w:r w:rsidR="00272A51">
                              <w:rPr>
                                <w:rFonts w:ascii="Segoe UI" w:hAnsi="Segoe UI" w:cs="Segoe UI"/>
                                <w:color w:val="986E02" w:themeColor="accent2" w:themeShade="80"/>
                                <w:sz w:val="17"/>
                                <w:szCs w:val="17"/>
                                <w:lang w:eastAsia="ja-JP"/>
                              </w:rPr>
                              <w:t>le</w:t>
                            </w:r>
                            <w:r w:rsidR="00B15145">
                              <w:rPr>
                                <w:rFonts w:ascii="Segoe UI" w:hAnsi="Segoe UI" w:cs="Segoe UI"/>
                                <w:color w:val="986E02" w:themeColor="accent2" w:themeShade="80"/>
                                <w:sz w:val="17"/>
                                <w:szCs w:val="17"/>
                                <w:lang w:eastAsia="ja-JP"/>
                              </w:rPr>
                              <w:t xml:space="preserve"> </w:t>
                            </w:r>
                            <w:r w:rsidR="00D20125">
                              <w:rPr>
                                <w:rFonts w:ascii="Segoe UI" w:hAnsi="Segoe UI" w:cs="Segoe UI"/>
                                <w:color w:val="986E02" w:themeColor="accent2" w:themeShade="80"/>
                                <w:sz w:val="17"/>
                                <w:szCs w:val="17"/>
                                <w:lang w:eastAsia="ja-JP"/>
                              </w:rPr>
                              <w:t>10</w:t>
                            </w:r>
                            <w:r w:rsidR="00497E25">
                              <w:rPr>
                                <w:rFonts w:ascii="Segoe UI" w:hAnsi="Segoe UI" w:cs="Segoe UI"/>
                                <w:color w:val="986E02" w:themeColor="accent2" w:themeShade="80"/>
                                <w:sz w:val="17"/>
                                <w:szCs w:val="17"/>
                                <w:lang w:eastAsia="ja-JP"/>
                              </w:rPr>
                              <w:t>/0</w:t>
                            </w:r>
                            <w:r w:rsidR="00B2795F">
                              <w:rPr>
                                <w:rFonts w:ascii="Segoe UI" w:hAnsi="Segoe UI" w:cs="Segoe UI"/>
                                <w:color w:val="986E02" w:themeColor="accent2" w:themeShade="80"/>
                                <w:sz w:val="17"/>
                                <w:szCs w:val="17"/>
                                <w:lang w:eastAsia="ja-JP"/>
                              </w:rPr>
                              <w:t>9</w:t>
                            </w:r>
                            <w:r w:rsidR="00497E25">
                              <w:rPr>
                                <w:rFonts w:ascii="Segoe UI" w:hAnsi="Segoe UI" w:cs="Segoe UI"/>
                                <w:color w:val="986E02" w:themeColor="accent2" w:themeShade="80"/>
                                <w:sz w:val="17"/>
                                <w:szCs w:val="17"/>
                                <w:lang w:eastAsia="ja-JP"/>
                              </w:rPr>
                              <w:t>/202</w:t>
                            </w:r>
                            <w:r w:rsidR="00500959">
                              <w:rPr>
                                <w:rFonts w:ascii="Segoe UI" w:hAnsi="Segoe UI" w:cs="Segoe UI"/>
                                <w:color w:val="986E02" w:themeColor="accent2" w:themeShade="80"/>
                                <w:sz w:val="17"/>
                                <w:szCs w:val="17"/>
                                <w:lang w:eastAsia="ja-JP"/>
                              </w:rPr>
                              <w:t>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9" type="#_x0000_t202" style="position:absolute;margin-left:317.75pt;margin-top:0;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" filled="f" stroked="f">
                <v:textbox>
                  <w:txbxContent>
                    <w:p w14:paraId="44111769" w14:textId="3F6E57BF" w:rsidR="00490B3C" w:rsidRPr="00532CE3" w:rsidRDefault="009753D7"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Mexico city</w:t>
                      </w:r>
                      <w:r w:rsidR="00490B3C" w:rsidRPr="00532CE3">
                        <w:rPr>
                          <w:rFonts w:ascii="Segoe UI" w:hAnsi="Segoe UI" w:cs="Segoe UI"/>
                          <w:color w:val="986E02" w:themeColor="accent2" w:themeShade="80"/>
                          <w:sz w:val="17"/>
                          <w:szCs w:val="17"/>
                          <w:lang w:eastAsia="ja-JP"/>
                        </w:rPr>
                        <w:t xml:space="preserve">, </w:t>
                      </w:r>
                      <w:r w:rsidR="00272A51">
                        <w:rPr>
                          <w:rFonts w:ascii="Segoe UI" w:hAnsi="Segoe UI" w:cs="Segoe UI"/>
                          <w:color w:val="986E02" w:themeColor="accent2" w:themeShade="80"/>
                          <w:sz w:val="17"/>
                          <w:szCs w:val="17"/>
                          <w:lang w:eastAsia="ja-JP"/>
                        </w:rPr>
                        <w:t>le</w:t>
                      </w:r>
                      <w:r w:rsidR="00B15145">
                        <w:rPr>
                          <w:rFonts w:ascii="Segoe UI" w:hAnsi="Segoe UI" w:cs="Segoe UI"/>
                          <w:color w:val="986E02" w:themeColor="accent2" w:themeShade="80"/>
                          <w:sz w:val="17"/>
                          <w:szCs w:val="17"/>
                          <w:lang w:eastAsia="ja-JP"/>
                        </w:rPr>
                        <w:t xml:space="preserve"> </w:t>
                      </w:r>
                      <w:r w:rsidR="00D20125">
                        <w:rPr>
                          <w:rFonts w:ascii="Segoe UI" w:hAnsi="Segoe UI" w:cs="Segoe UI"/>
                          <w:color w:val="986E02" w:themeColor="accent2" w:themeShade="80"/>
                          <w:sz w:val="17"/>
                          <w:szCs w:val="17"/>
                          <w:lang w:eastAsia="ja-JP"/>
                        </w:rPr>
                        <w:t>10</w:t>
                      </w:r>
                      <w:r w:rsidR="00497E25">
                        <w:rPr>
                          <w:rFonts w:ascii="Segoe UI" w:hAnsi="Segoe UI" w:cs="Segoe UI"/>
                          <w:color w:val="986E02" w:themeColor="accent2" w:themeShade="80"/>
                          <w:sz w:val="17"/>
                          <w:szCs w:val="17"/>
                          <w:lang w:eastAsia="ja-JP"/>
                        </w:rPr>
                        <w:t>/0</w:t>
                      </w:r>
                      <w:r w:rsidR="00B2795F">
                        <w:rPr>
                          <w:rFonts w:ascii="Segoe UI" w:hAnsi="Segoe UI" w:cs="Segoe UI"/>
                          <w:color w:val="986E02" w:themeColor="accent2" w:themeShade="80"/>
                          <w:sz w:val="17"/>
                          <w:szCs w:val="17"/>
                          <w:lang w:eastAsia="ja-JP"/>
                        </w:rPr>
                        <w:t>9</w:t>
                      </w:r>
                      <w:r w:rsidR="00497E25">
                        <w:rPr>
                          <w:rFonts w:ascii="Segoe UI" w:hAnsi="Segoe UI" w:cs="Segoe UI"/>
                          <w:color w:val="986E02" w:themeColor="accent2" w:themeShade="80"/>
                          <w:sz w:val="17"/>
                          <w:szCs w:val="17"/>
                          <w:lang w:eastAsia="ja-JP"/>
                        </w:rPr>
                        <w:t>/202</w:t>
                      </w:r>
                      <w:r w:rsidR="00500959">
                        <w:rPr>
                          <w:rFonts w:ascii="Segoe UI" w:hAnsi="Segoe UI" w:cs="Segoe UI"/>
                          <w:color w:val="986E02" w:themeColor="accent2" w:themeShade="80"/>
                          <w:sz w:val="17"/>
                          <w:szCs w:val="17"/>
                          <w:lang w:eastAsia="ja-JP"/>
                        </w:rPr>
                        <w:t>5</w:t>
                      </w:r>
                    </w:p>
                    <w:p w14:paraId="36A3B918" w14:textId="266F4991" w:rsidR="00490B3C" w:rsidRPr="00490B3C" w:rsidRDefault="00490B3C">
                      <w:pPr>
                        <w:rPr>
                          <w:sz w:val="28"/>
                          <w:szCs w:val="28"/>
                        </w:rPr>
                      </w:pPr>
                    </w:p>
                  </w:txbxContent>
                </v:textbox>
                <w10:wrap type="square" anchorx="margin"/>
              </v:shape>
            </w:pict>
          </mc:Fallback>
        </mc:AlternateContent>
      </w:r>
      <w:r w:rsidR="00FC52B7">
        <w:rPr>
          <w:rFonts w:ascii="Segoe UI" w:hAnsi="Segoe UI" w:cs="Segoe UI"/>
          <w:b/>
          <w:bCs/>
          <w:color w:val="000091" w:themeColor="text1"/>
          <w:spacing w:val="-6"/>
          <w:sz w:val="32"/>
          <w:szCs w:val="20"/>
        </w:rPr>
        <w:t>*</w:t>
      </w:r>
    </w:p>
    <w:p w14:paraId="6BD1F3C5" w14:textId="134C176E" w:rsidR="00B4279C" w:rsidRPr="002C2932" w:rsidRDefault="00B4279C" w:rsidP="00B4279C">
      <w:pPr>
        <w:spacing w:after="0"/>
        <w:ind w:left="-851"/>
        <w:jc w:val="both"/>
        <w:rPr>
          <w:rFonts w:ascii="Segoe UI" w:hAnsi="Segoe UI" w:cs="Segoe UI"/>
          <w:i/>
          <w:iCs/>
          <w:color w:val="000091" w:themeColor="text1"/>
          <w:spacing w:val="-6"/>
          <w:sz w:val="4"/>
          <w:szCs w:val="4"/>
        </w:rPr>
      </w:pPr>
    </w:p>
    <w:p w14:paraId="33A5F846" w14:textId="7DB7EDC1" w:rsidR="00995AEF" w:rsidRPr="00B64CB2" w:rsidRDefault="00A070E2" w:rsidP="00F23ED7">
      <w:pPr>
        <w:spacing w:after="0"/>
        <w:ind w:left="-851" w:right="142"/>
        <w:jc w:val="both"/>
        <w:rPr>
          <w:rFonts w:ascii="Segoe UI" w:hAnsi="Segoe UI" w:cs="Segoe UI"/>
          <w:i/>
          <w:iCs/>
          <w:noProof/>
          <w:color w:val="000091" w:themeColor="text1"/>
          <w:spacing w:val="-6"/>
          <w:sz w:val="19"/>
          <w:szCs w:val="19"/>
          <w:lang w:eastAsia="fr-FR"/>
        </w:rPr>
      </w:pPr>
      <w:r w:rsidRPr="0076026A">
        <w:rPr>
          <w:rFonts w:ascii="Segoe UI" w:hAnsi="Segoe UI" w:cs="Segoe UI"/>
          <w:i/>
          <w:iCs/>
          <w:noProof/>
          <w:color w:val="000091" w:themeColor="text1"/>
          <w:spacing w:val="-6"/>
          <w:sz w:val="19"/>
          <w:szCs w:val="19"/>
          <w:lang w:eastAsia="fr-FR"/>
        </w:rPr>
        <w:t>Après une croissance du PIB soutenue en 2023 (3,</w:t>
      </w:r>
      <w:r w:rsidR="00414263">
        <w:rPr>
          <w:rFonts w:ascii="Segoe UI" w:hAnsi="Segoe UI" w:cs="Segoe UI"/>
          <w:i/>
          <w:iCs/>
          <w:noProof/>
          <w:color w:val="000091" w:themeColor="text1"/>
          <w:spacing w:val="-6"/>
          <w:sz w:val="19"/>
          <w:szCs w:val="19"/>
          <w:lang w:eastAsia="fr-FR"/>
        </w:rPr>
        <w:t>4</w:t>
      </w:r>
      <w:r w:rsidRPr="0076026A">
        <w:rPr>
          <w:rFonts w:ascii="Segoe UI" w:hAnsi="Segoe UI" w:cs="Segoe UI"/>
          <w:i/>
          <w:iCs/>
          <w:noProof/>
          <w:color w:val="000091" w:themeColor="text1"/>
          <w:spacing w:val="-6"/>
          <w:sz w:val="19"/>
          <w:szCs w:val="19"/>
          <w:lang w:eastAsia="fr-FR"/>
        </w:rPr>
        <w:t xml:space="preserve"> %), </w:t>
      </w:r>
      <w:r w:rsidR="002C6C77">
        <w:rPr>
          <w:rFonts w:ascii="Segoe UI" w:hAnsi="Segoe UI" w:cs="Segoe UI"/>
          <w:i/>
          <w:iCs/>
          <w:noProof/>
          <w:color w:val="000091" w:themeColor="text1"/>
          <w:spacing w:val="-6"/>
          <w:sz w:val="19"/>
          <w:szCs w:val="19"/>
          <w:lang w:eastAsia="fr-FR"/>
        </w:rPr>
        <w:t>la</w:t>
      </w:r>
      <w:r w:rsidRPr="0076026A">
        <w:rPr>
          <w:rFonts w:ascii="Segoe UI" w:hAnsi="Segoe UI" w:cs="Segoe UI"/>
          <w:i/>
          <w:iCs/>
          <w:noProof/>
          <w:color w:val="000091" w:themeColor="text1"/>
          <w:spacing w:val="-6"/>
          <w:sz w:val="19"/>
          <w:szCs w:val="19"/>
          <w:lang w:eastAsia="fr-FR"/>
        </w:rPr>
        <w:t xml:space="preserve"> croissance </w:t>
      </w:r>
      <w:r w:rsidR="002C6C77">
        <w:rPr>
          <w:rFonts w:ascii="Segoe UI" w:hAnsi="Segoe UI" w:cs="Segoe UI"/>
          <w:i/>
          <w:iCs/>
          <w:noProof/>
          <w:color w:val="000091" w:themeColor="text1"/>
          <w:spacing w:val="-6"/>
          <w:sz w:val="19"/>
          <w:szCs w:val="19"/>
          <w:lang w:eastAsia="fr-FR"/>
        </w:rPr>
        <w:t>s’est nettement</w:t>
      </w:r>
      <w:r w:rsidRPr="0076026A">
        <w:rPr>
          <w:rFonts w:ascii="Segoe UI" w:hAnsi="Segoe UI" w:cs="Segoe UI"/>
          <w:i/>
          <w:iCs/>
          <w:noProof/>
          <w:color w:val="000091" w:themeColor="text1"/>
          <w:spacing w:val="-6"/>
          <w:sz w:val="19"/>
          <w:szCs w:val="19"/>
          <w:lang w:eastAsia="fr-FR"/>
        </w:rPr>
        <w:t xml:space="preserve"> </w:t>
      </w:r>
      <w:r w:rsidR="002C6C77">
        <w:rPr>
          <w:rFonts w:ascii="Segoe UI" w:hAnsi="Segoe UI" w:cs="Segoe UI"/>
          <w:i/>
          <w:iCs/>
          <w:noProof/>
          <w:color w:val="000091" w:themeColor="text1"/>
          <w:spacing w:val="-6"/>
          <w:sz w:val="19"/>
          <w:szCs w:val="19"/>
          <w:lang w:eastAsia="fr-FR"/>
        </w:rPr>
        <w:t xml:space="preserve">modérée </w:t>
      </w:r>
      <w:r w:rsidRPr="0076026A">
        <w:rPr>
          <w:rFonts w:ascii="Segoe UI" w:hAnsi="Segoe UI" w:cs="Segoe UI"/>
          <w:i/>
          <w:iCs/>
          <w:noProof/>
          <w:color w:val="000091" w:themeColor="text1"/>
          <w:spacing w:val="-6"/>
          <w:sz w:val="19"/>
          <w:szCs w:val="19"/>
          <w:lang w:eastAsia="fr-FR"/>
        </w:rPr>
        <w:t>en 2024</w:t>
      </w:r>
      <w:r w:rsidR="002C6C77">
        <w:rPr>
          <w:rFonts w:ascii="Segoe UI" w:hAnsi="Segoe UI" w:cs="Segoe UI"/>
          <w:i/>
          <w:iCs/>
          <w:noProof/>
          <w:color w:val="000091" w:themeColor="text1"/>
          <w:spacing w:val="-6"/>
          <w:sz w:val="19"/>
          <w:szCs w:val="19"/>
          <w:lang w:eastAsia="fr-FR"/>
        </w:rPr>
        <w:t xml:space="preserve"> (1,</w:t>
      </w:r>
      <w:r w:rsidR="00A93475">
        <w:rPr>
          <w:rFonts w:ascii="Segoe UI" w:hAnsi="Segoe UI" w:cs="Segoe UI"/>
          <w:i/>
          <w:iCs/>
          <w:noProof/>
          <w:color w:val="000091" w:themeColor="text1"/>
          <w:spacing w:val="-6"/>
          <w:sz w:val="19"/>
          <w:szCs w:val="19"/>
          <w:lang w:eastAsia="fr-FR"/>
        </w:rPr>
        <w:t>4</w:t>
      </w:r>
      <w:r w:rsidR="002C6C77">
        <w:rPr>
          <w:rFonts w:ascii="Segoe UI" w:hAnsi="Segoe UI" w:cs="Segoe UI"/>
          <w:i/>
          <w:iCs/>
          <w:noProof/>
          <w:color w:val="000091" w:themeColor="text1"/>
          <w:spacing w:val="-6"/>
          <w:sz w:val="19"/>
          <w:szCs w:val="19"/>
          <w:lang w:eastAsia="fr-FR"/>
        </w:rPr>
        <w:t xml:space="preserve"> %)</w:t>
      </w:r>
      <w:r w:rsidR="00E14F50">
        <w:rPr>
          <w:rFonts w:ascii="Segoe UI" w:hAnsi="Segoe UI" w:cs="Segoe UI"/>
          <w:i/>
          <w:iCs/>
          <w:noProof/>
          <w:color w:val="000091" w:themeColor="text1"/>
          <w:spacing w:val="-6"/>
          <w:sz w:val="19"/>
          <w:szCs w:val="19"/>
          <w:lang w:eastAsia="fr-FR"/>
        </w:rPr>
        <w:t xml:space="preserve">, année </w:t>
      </w:r>
      <w:r w:rsidR="00166129">
        <w:rPr>
          <w:rFonts w:ascii="Segoe UI" w:hAnsi="Segoe UI" w:cs="Segoe UI"/>
          <w:i/>
          <w:iCs/>
          <w:noProof/>
          <w:color w:val="000091" w:themeColor="text1"/>
          <w:spacing w:val="-6"/>
          <w:sz w:val="19"/>
          <w:szCs w:val="19"/>
          <w:lang w:eastAsia="fr-FR"/>
        </w:rPr>
        <w:t xml:space="preserve">d’incertitudes </w:t>
      </w:r>
      <w:r w:rsidR="00E14F50">
        <w:rPr>
          <w:rFonts w:ascii="Segoe UI" w:hAnsi="Segoe UI" w:cs="Segoe UI"/>
          <w:i/>
          <w:iCs/>
          <w:noProof/>
          <w:color w:val="000091" w:themeColor="text1"/>
          <w:spacing w:val="-6"/>
          <w:sz w:val="19"/>
          <w:szCs w:val="19"/>
          <w:lang w:eastAsia="fr-FR"/>
        </w:rPr>
        <w:t>électorale</w:t>
      </w:r>
      <w:r w:rsidR="00166129">
        <w:rPr>
          <w:rFonts w:ascii="Segoe UI" w:hAnsi="Segoe UI" w:cs="Segoe UI"/>
          <w:i/>
          <w:iCs/>
          <w:noProof/>
          <w:color w:val="000091" w:themeColor="text1"/>
          <w:spacing w:val="-6"/>
          <w:sz w:val="19"/>
          <w:szCs w:val="19"/>
          <w:lang w:eastAsia="fr-FR"/>
        </w:rPr>
        <w:t>s</w:t>
      </w:r>
      <w:r w:rsidR="00E14F50">
        <w:rPr>
          <w:rFonts w:ascii="Segoe UI" w:hAnsi="Segoe UI" w:cs="Segoe UI"/>
          <w:i/>
          <w:iCs/>
          <w:noProof/>
          <w:color w:val="000091" w:themeColor="text1"/>
          <w:spacing w:val="-6"/>
          <w:sz w:val="19"/>
          <w:szCs w:val="19"/>
          <w:lang w:eastAsia="fr-FR"/>
        </w:rPr>
        <w:t xml:space="preserve"> </w:t>
      </w:r>
      <w:r w:rsidR="00166129">
        <w:rPr>
          <w:rFonts w:ascii="Segoe UI" w:hAnsi="Segoe UI" w:cs="Segoe UI"/>
          <w:i/>
          <w:iCs/>
          <w:noProof/>
          <w:color w:val="000091" w:themeColor="text1"/>
          <w:spacing w:val="-6"/>
          <w:sz w:val="19"/>
          <w:szCs w:val="19"/>
          <w:lang w:eastAsia="fr-FR"/>
        </w:rPr>
        <w:t>au Mexique et aux Etats-Unis</w:t>
      </w:r>
      <w:r w:rsidR="001A3F60">
        <w:rPr>
          <w:rFonts w:ascii="Segoe UI" w:hAnsi="Segoe UI" w:cs="Segoe UI"/>
          <w:i/>
          <w:iCs/>
          <w:noProof/>
          <w:color w:val="000091" w:themeColor="text1"/>
          <w:spacing w:val="-6"/>
          <w:sz w:val="19"/>
          <w:szCs w:val="19"/>
          <w:lang w:eastAsia="fr-FR"/>
        </w:rPr>
        <w:t xml:space="preserve">. </w:t>
      </w:r>
      <w:r w:rsidR="00671E1D">
        <w:rPr>
          <w:rFonts w:ascii="Segoe UI" w:hAnsi="Segoe UI" w:cs="Segoe UI"/>
          <w:i/>
          <w:iCs/>
          <w:noProof/>
          <w:color w:val="000091" w:themeColor="text1"/>
          <w:spacing w:val="-6"/>
          <w:sz w:val="19"/>
          <w:szCs w:val="19"/>
          <w:lang w:eastAsia="fr-FR"/>
        </w:rPr>
        <w:t>E</w:t>
      </w:r>
      <w:r w:rsidR="004C21DC">
        <w:rPr>
          <w:rFonts w:ascii="Segoe UI" w:hAnsi="Segoe UI" w:cs="Segoe UI"/>
          <w:i/>
          <w:iCs/>
          <w:noProof/>
          <w:color w:val="000091" w:themeColor="text1"/>
          <w:spacing w:val="-6"/>
          <w:sz w:val="19"/>
          <w:szCs w:val="19"/>
          <w:lang w:eastAsia="fr-FR"/>
        </w:rPr>
        <w:t>n 2025</w:t>
      </w:r>
      <w:r w:rsidR="00671E1D">
        <w:rPr>
          <w:rFonts w:ascii="Segoe UI" w:hAnsi="Segoe UI" w:cs="Segoe UI"/>
          <w:i/>
          <w:iCs/>
          <w:noProof/>
          <w:color w:val="000091" w:themeColor="text1"/>
          <w:spacing w:val="-6"/>
          <w:sz w:val="19"/>
          <w:szCs w:val="19"/>
          <w:lang w:eastAsia="fr-FR"/>
        </w:rPr>
        <w:t>,</w:t>
      </w:r>
      <w:r w:rsidR="004C21DC">
        <w:rPr>
          <w:rFonts w:ascii="Segoe UI" w:hAnsi="Segoe UI" w:cs="Segoe UI"/>
          <w:i/>
          <w:iCs/>
          <w:noProof/>
          <w:color w:val="000091" w:themeColor="text1"/>
          <w:spacing w:val="-6"/>
          <w:sz w:val="19"/>
          <w:szCs w:val="19"/>
          <w:lang w:eastAsia="fr-FR"/>
        </w:rPr>
        <w:t xml:space="preserve"> </w:t>
      </w:r>
      <w:r w:rsidR="001A3F60">
        <w:rPr>
          <w:rFonts w:ascii="Segoe UI" w:hAnsi="Segoe UI" w:cs="Segoe UI"/>
          <w:i/>
          <w:iCs/>
          <w:noProof/>
          <w:color w:val="000091" w:themeColor="text1"/>
          <w:spacing w:val="-6"/>
          <w:sz w:val="19"/>
          <w:szCs w:val="19"/>
          <w:lang w:eastAsia="fr-FR"/>
        </w:rPr>
        <w:t>l</w:t>
      </w:r>
      <w:r w:rsidR="00680DC3">
        <w:rPr>
          <w:rFonts w:ascii="Segoe UI" w:hAnsi="Segoe UI" w:cs="Segoe UI"/>
          <w:i/>
          <w:iCs/>
          <w:noProof/>
          <w:color w:val="000091" w:themeColor="text1"/>
          <w:spacing w:val="-6"/>
          <w:sz w:val="19"/>
          <w:szCs w:val="19"/>
          <w:lang w:eastAsia="fr-FR"/>
        </w:rPr>
        <w:t xml:space="preserve">es incertitudes politiques et commerciales internationales ainsi que la </w:t>
      </w:r>
      <w:r w:rsidR="006B3A44">
        <w:rPr>
          <w:rFonts w:ascii="Segoe UI" w:hAnsi="Segoe UI" w:cs="Segoe UI"/>
          <w:i/>
          <w:iCs/>
          <w:noProof/>
          <w:color w:val="000091" w:themeColor="text1"/>
          <w:spacing w:val="-6"/>
          <w:sz w:val="19"/>
          <w:szCs w:val="19"/>
          <w:lang w:eastAsia="fr-FR"/>
        </w:rPr>
        <w:t xml:space="preserve">priorité accordée à la consolidation </w:t>
      </w:r>
      <w:r w:rsidR="00680DC3">
        <w:rPr>
          <w:rFonts w:ascii="Segoe UI" w:hAnsi="Segoe UI" w:cs="Segoe UI"/>
          <w:i/>
          <w:iCs/>
          <w:noProof/>
          <w:color w:val="000091" w:themeColor="text1"/>
          <w:spacing w:val="-6"/>
          <w:sz w:val="19"/>
          <w:szCs w:val="19"/>
          <w:lang w:eastAsia="fr-FR"/>
        </w:rPr>
        <w:t>budgétaire</w:t>
      </w:r>
      <w:r w:rsidR="006B3A44">
        <w:rPr>
          <w:rFonts w:ascii="Segoe UI" w:hAnsi="Segoe UI" w:cs="Segoe UI"/>
          <w:i/>
          <w:iCs/>
          <w:noProof/>
          <w:color w:val="000091" w:themeColor="text1"/>
          <w:spacing w:val="-6"/>
          <w:sz w:val="19"/>
          <w:szCs w:val="19"/>
          <w:lang w:eastAsia="fr-FR"/>
        </w:rPr>
        <w:t xml:space="preserve"> </w:t>
      </w:r>
      <w:r w:rsidR="00330581">
        <w:rPr>
          <w:rFonts w:ascii="Segoe UI" w:hAnsi="Segoe UI" w:cs="Segoe UI"/>
          <w:i/>
          <w:iCs/>
          <w:noProof/>
          <w:color w:val="000091" w:themeColor="text1"/>
          <w:spacing w:val="-6"/>
          <w:sz w:val="19"/>
          <w:szCs w:val="19"/>
          <w:lang w:eastAsia="fr-FR"/>
        </w:rPr>
        <w:t>pèsent</w:t>
      </w:r>
      <w:r w:rsidR="00680DC3">
        <w:rPr>
          <w:rFonts w:ascii="Segoe UI" w:hAnsi="Segoe UI" w:cs="Segoe UI"/>
          <w:i/>
          <w:iCs/>
          <w:noProof/>
          <w:color w:val="000091" w:themeColor="text1"/>
          <w:spacing w:val="-6"/>
          <w:sz w:val="19"/>
          <w:szCs w:val="19"/>
          <w:lang w:eastAsia="fr-FR"/>
        </w:rPr>
        <w:t xml:space="preserve"> sur la croissance mexicaine</w:t>
      </w:r>
      <w:r w:rsidR="00D1028A">
        <w:rPr>
          <w:rFonts w:ascii="Segoe UI" w:hAnsi="Segoe UI" w:cs="Segoe UI"/>
          <w:i/>
          <w:iCs/>
          <w:noProof/>
          <w:color w:val="000091" w:themeColor="text1"/>
          <w:spacing w:val="-6"/>
          <w:sz w:val="19"/>
          <w:szCs w:val="19"/>
          <w:lang w:eastAsia="fr-FR"/>
        </w:rPr>
        <w:t> : elle</w:t>
      </w:r>
      <w:r w:rsidR="00FD3125">
        <w:rPr>
          <w:rFonts w:ascii="Segoe UI" w:hAnsi="Segoe UI" w:cs="Segoe UI"/>
          <w:i/>
          <w:iCs/>
          <w:noProof/>
          <w:color w:val="000091" w:themeColor="text1"/>
          <w:spacing w:val="-6"/>
          <w:sz w:val="19"/>
          <w:szCs w:val="19"/>
          <w:lang w:eastAsia="fr-FR"/>
        </w:rPr>
        <w:t xml:space="preserve"> devrait être fragile</w:t>
      </w:r>
      <w:r w:rsidR="00330581">
        <w:rPr>
          <w:rFonts w:ascii="Segoe UI" w:hAnsi="Segoe UI" w:cs="Segoe UI"/>
          <w:i/>
          <w:iCs/>
          <w:noProof/>
          <w:color w:val="000091" w:themeColor="text1"/>
          <w:spacing w:val="-6"/>
          <w:sz w:val="19"/>
          <w:szCs w:val="19"/>
          <w:lang w:eastAsia="fr-FR"/>
        </w:rPr>
        <w:t xml:space="preserve"> (proche ½ % selon les différentes prévisions)</w:t>
      </w:r>
      <w:r w:rsidR="007F046D">
        <w:rPr>
          <w:rFonts w:ascii="Segoe UI" w:hAnsi="Segoe UI" w:cs="Segoe UI"/>
          <w:i/>
          <w:iCs/>
          <w:noProof/>
          <w:color w:val="000091" w:themeColor="text1"/>
          <w:spacing w:val="-6"/>
          <w:sz w:val="19"/>
          <w:szCs w:val="19"/>
          <w:lang w:eastAsia="fr-FR"/>
        </w:rPr>
        <w:t>,</w:t>
      </w:r>
      <w:r w:rsidR="00FD3125">
        <w:rPr>
          <w:rFonts w:ascii="Segoe UI" w:hAnsi="Segoe UI" w:cs="Segoe UI"/>
          <w:i/>
          <w:iCs/>
          <w:noProof/>
          <w:color w:val="000091" w:themeColor="text1"/>
          <w:spacing w:val="-6"/>
          <w:sz w:val="19"/>
          <w:szCs w:val="19"/>
          <w:lang w:eastAsia="fr-FR"/>
        </w:rPr>
        <w:t xml:space="preserve"> même si</w:t>
      </w:r>
      <w:r w:rsidR="00D42DD5">
        <w:rPr>
          <w:rFonts w:ascii="Segoe UI" w:hAnsi="Segoe UI" w:cs="Segoe UI"/>
          <w:i/>
          <w:iCs/>
          <w:noProof/>
          <w:color w:val="000091" w:themeColor="text1"/>
          <w:spacing w:val="-6"/>
          <w:sz w:val="19"/>
          <w:szCs w:val="19"/>
          <w:lang w:eastAsia="fr-FR"/>
        </w:rPr>
        <w:t xml:space="preserve"> </w:t>
      </w:r>
      <w:r w:rsidR="00FD3125">
        <w:rPr>
          <w:rFonts w:ascii="Segoe UI" w:hAnsi="Segoe UI" w:cs="Segoe UI"/>
          <w:i/>
          <w:iCs/>
          <w:noProof/>
          <w:color w:val="000091" w:themeColor="text1"/>
          <w:spacing w:val="-6"/>
          <w:sz w:val="19"/>
          <w:szCs w:val="19"/>
          <w:lang w:eastAsia="fr-FR"/>
        </w:rPr>
        <w:t>l</w:t>
      </w:r>
      <w:r w:rsidR="00D42DD5">
        <w:rPr>
          <w:rFonts w:ascii="Segoe UI" w:hAnsi="Segoe UI" w:cs="Segoe UI"/>
          <w:i/>
          <w:iCs/>
          <w:noProof/>
          <w:color w:val="000091" w:themeColor="text1"/>
          <w:spacing w:val="-6"/>
          <w:sz w:val="19"/>
          <w:szCs w:val="19"/>
          <w:lang w:eastAsia="fr-FR"/>
        </w:rPr>
        <w:t>e</w:t>
      </w:r>
      <w:r w:rsidR="00680DC3">
        <w:rPr>
          <w:rFonts w:ascii="Segoe UI" w:hAnsi="Segoe UI" w:cs="Segoe UI"/>
          <w:i/>
          <w:iCs/>
          <w:noProof/>
          <w:color w:val="000091" w:themeColor="text1"/>
          <w:spacing w:val="-6"/>
          <w:sz w:val="19"/>
          <w:szCs w:val="19"/>
          <w:lang w:eastAsia="fr-FR"/>
        </w:rPr>
        <w:t xml:space="preserve"> risque </w:t>
      </w:r>
      <w:r w:rsidR="00D1028A">
        <w:rPr>
          <w:rFonts w:ascii="Segoe UI" w:hAnsi="Segoe UI" w:cs="Segoe UI"/>
          <w:i/>
          <w:iCs/>
          <w:noProof/>
          <w:color w:val="000091" w:themeColor="text1"/>
          <w:spacing w:val="-6"/>
          <w:sz w:val="19"/>
          <w:szCs w:val="19"/>
          <w:lang w:eastAsia="fr-FR"/>
        </w:rPr>
        <w:t>d’une baisse de l’activité par rapport à 2024</w:t>
      </w:r>
      <w:r w:rsidR="00680DC3">
        <w:rPr>
          <w:rFonts w:ascii="Segoe UI" w:hAnsi="Segoe UI" w:cs="Segoe UI"/>
          <w:i/>
          <w:iCs/>
          <w:noProof/>
          <w:color w:val="000091" w:themeColor="text1"/>
          <w:spacing w:val="-6"/>
          <w:sz w:val="19"/>
          <w:szCs w:val="19"/>
          <w:lang w:eastAsia="fr-FR"/>
        </w:rPr>
        <w:t xml:space="preserve"> semble</w:t>
      </w:r>
      <w:r w:rsidR="00D42DD5">
        <w:rPr>
          <w:rFonts w:ascii="Segoe UI" w:hAnsi="Segoe UI" w:cs="Segoe UI"/>
          <w:i/>
          <w:iCs/>
          <w:noProof/>
          <w:color w:val="000091" w:themeColor="text1"/>
          <w:spacing w:val="-6"/>
          <w:sz w:val="19"/>
          <w:szCs w:val="19"/>
          <w:lang w:eastAsia="fr-FR"/>
        </w:rPr>
        <w:t xml:space="preserve"> </w:t>
      </w:r>
      <w:r w:rsidR="00FD3125">
        <w:rPr>
          <w:rFonts w:ascii="Segoe UI" w:hAnsi="Segoe UI" w:cs="Segoe UI"/>
          <w:i/>
          <w:iCs/>
          <w:noProof/>
          <w:color w:val="000091" w:themeColor="text1"/>
          <w:spacing w:val="-6"/>
          <w:sz w:val="19"/>
          <w:szCs w:val="19"/>
          <w:lang w:eastAsia="fr-FR"/>
        </w:rPr>
        <w:t xml:space="preserve">désormais </w:t>
      </w:r>
      <w:r w:rsidR="00680DC3">
        <w:rPr>
          <w:rFonts w:ascii="Segoe UI" w:hAnsi="Segoe UI" w:cs="Segoe UI"/>
          <w:i/>
          <w:iCs/>
          <w:noProof/>
          <w:color w:val="000091" w:themeColor="text1"/>
          <w:spacing w:val="-6"/>
          <w:sz w:val="19"/>
          <w:szCs w:val="19"/>
          <w:lang w:eastAsia="fr-FR"/>
        </w:rPr>
        <w:t xml:space="preserve">écarté. Dans ce contexte, </w:t>
      </w:r>
      <w:r w:rsidR="007C7E22">
        <w:rPr>
          <w:rFonts w:ascii="Segoe UI" w:hAnsi="Segoe UI" w:cs="Segoe UI"/>
          <w:i/>
          <w:iCs/>
          <w:noProof/>
          <w:color w:val="000091" w:themeColor="text1"/>
          <w:spacing w:val="-6"/>
          <w:sz w:val="19"/>
          <w:szCs w:val="19"/>
          <w:lang w:eastAsia="fr-FR"/>
        </w:rPr>
        <w:t>la Banque centrale a accéléré son</w:t>
      </w:r>
      <w:r w:rsidR="002C6C77">
        <w:rPr>
          <w:rFonts w:ascii="Segoe UI" w:hAnsi="Segoe UI" w:cs="Segoe UI"/>
          <w:i/>
          <w:iCs/>
          <w:noProof/>
          <w:color w:val="000091" w:themeColor="text1"/>
          <w:spacing w:val="-6"/>
          <w:sz w:val="19"/>
          <w:szCs w:val="19"/>
          <w:lang w:eastAsia="fr-FR"/>
        </w:rPr>
        <w:t xml:space="preserve"> cycle d’assouplissement </w:t>
      </w:r>
      <w:r w:rsidR="007C7E22">
        <w:rPr>
          <w:rFonts w:ascii="Segoe UI" w:hAnsi="Segoe UI" w:cs="Segoe UI"/>
          <w:i/>
          <w:iCs/>
          <w:noProof/>
          <w:color w:val="000091" w:themeColor="text1"/>
          <w:spacing w:val="-6"/>
          <w:sz w:val="19"/>
          <w:szCs w:val="19"/>
          <w:lang w:eastAsia="fr-FR"/>
        </w:rPr>
        <w:t>bien que la tendance à la désinflation observée en 2024 montre des signes d’essouf</w:t>
      </w:r>
      <w:r w:rsidR="00837EBD">
        <w:rPr>
          <w:rFonts w:ascii="Segoe UI" w:hAnsi="Segoe UI" w:cs="Segoe UI"/>
          <w:i/>
          <w:iCs/>
          <w:noProof/>
          <w:color w:val="000091" w:themeColor="text1"/>
          <w:spacing w:val="-6"/>
          <w:sz w:val="19"/>
          <w:szCs w:val="19"/>
          <w:lang w:eastAsia="fr-FR"/>
        </w:rPr>
        <w:t>f</w:t>
      </w:r>
      <w:r w:rsidR="007C7E22">
        <w:rPr>
          <w:rFonts w:ascii="Segoe UI" w:hAnsi="Segoe UI" w:cs="Segoe UI"/>
          <w:i/>
          <w:iCs/>
          <w:noProof/>
          <w:color w:val="000091" w:themeColor="text1"/>
          <w:spacing w:val="-6"/>
          <w:sz w:val="19"/>
          <w:szCs w:val="19"/>
          <w:lang w:eastAsia="fr-FR"/>
        </w:rPr>
        <w:t>lement. Le</w:t>
      </w:r>
      <w:r w:rsidR="00680DC3">
        <w:rPr>
          <w:rFonts w:ascii="Segoe UI" w:hAnsi="Segoe UI" w:cs="Segoe UI"/>
          <w:i/>
          <w:iCs/>
          <w:noProof/>
          <w:color w:val="000091" w:themeColor="text1"/>
          <w:spacing w:val="-6"/>
          <w:sz w:val="19"/>
          <w:szCs w:val="19"/>
          <w:lang w:eastAsia="fr-FR"/>
        </w:rPr>
        <w:t xml:space="preserve"> peso mexicain s’est </w:t>
      </w:r>
      <w:r w:rsidR="007C7E22">
        <w:rPr>
          <w:rFonts w:ascii="Segoe UI" w:hAnsi="Segoe UI" w:cs="Segoe UI"/>
          <w:i/>
          <w:iCs/>
          <w:noProof/>
          <w:color w:val="000091" w:themeColor="text1"/>
          <w:spacing w:val="-6"/>
          <w:sz w:val="19"/>
          <w:szCs w:val="19"/>
          <w:lang w:eastAsia="fr-FR"/>
        </w:rPr>
        <w:t xml:space="preserve">par ailleurs </w:t>
      </w:r>
      <w:r w:rsidR="00680DC3">
        <w:rPr>
          <w:rFonts w:ascii="Segoe UI" w:hAnsi="Segoe UI" w:cs="Segoe UI"/>
          <w:i/>
          <w:iCs/>
          <w:noProof/>
          <w:color w:val="000091" w:themeColor="text1"/>
          <w:spacing w:val="-6"/>
          <w:sz w:val="19"/>
          <w:szCs w:val="19"/>
          <w:lang w:eastAsia="fr-FR"/>
        </w:rPr>
        <w:t>renforc</w:t>
      </w:r>
      <w:r w:rsidR="007C7E22">
        <w:rPr>
          <w:rFonts w:ascii="Segoe UI" w:hAnsi="Segoe UI" w:cs="Segoe UI"/>
          <w:i/>
          <w:iCs/>
          <w:noProof/>
          <w:color w:val="000091" w:themeColor="text1"/>
          <w:spacing w:val="-6"/>
          <w:sz w:val="19"/>
          <w:szCs w:val="19"/>
          <w:lang w:eastAsia="fr-FR"/>
        </w:rPr>
        <w:t xml:space="preserve">é depuis le début de l’année, affichant une </w:t>
      </w:r>
      <w:r w:rsidR="00FB5E41">
        <w:rPr>
          <w:rFonts w:ascii="Segoe UI" w:hAnsi="Segoe UI" w:cs="Segoe UI"/>
          <w:i/>
          <w:iCs/>
          <w:noProof/>
          <w:color w:val="000091" w:themeColor="text1"/>
          <w:spacing w:val="-6"/>
          <w:sz w:val="19"/>
          <w:szCs w:val="19"/>
          <w:lang w:eastAsia="fr-FR"/>
        </w:rPr>
        <w:t>résilience</w:t>
      </w:r>
      <w:r w:rsidR="007C7E22">
        <w:rPr>
          <w:rFonts w:ascii="Segoe UI" w:hAnsi="Segoe UI" w:cs="Segoe UI"/>
          <w:i/>
          <w:iCs/>
          <w:noProof/>
          <w:color w:val="000091" w:themeColor="text1"/>
          <w:spacing w:val="-6"/>
          <w:sz w:val="19"/>
          <w:szCs w:val="19"/>
          <w:lang w:eastAsia="fr-FR"/>
        </w:rPr>
        <w:t xml:space="preserve"> notable malgré le contexte adverse. </w:t>
      </w:r>
    </w:p>
    <w:p w14:paraId="6C3EFDCD" w14:textId="3AB593BC" w:rsidR="00422438" w:rsidRPr="00825C5D" w:rsidRDefault="00422438" w:rsidP="00995AEF">
      <w:pPr>
        <w:pStyle w:val="Briefinglist1"/>
        <w:numPr>
          <w:ilvl w:val="0"/>
          <w:numId w:val="0"/>
        </w:numPr>
        <w:spacing w:after="0"/>
        <w:ind w:left="-851" w:right="1"/>
        <w:rPr>
          <w:rFonts w:ascii="Segoe UI" w:hAnsi="Segoe UI" w:cs="Segoe UI"/>
          <w:noProof/>
          <w:color w:val="000091" w:themeColor="text1"/>
          <w:spacing w:val="-6"/>
          <w:sz w:val="2"/>
          <w:szCs w:val="2"/>
          <w:lang w:val="fr-FR" w:eastAsia="fr-FR"/>
        </w:rPr>
      </w:pPr>
    </w:p>
    <w:p w14:paraId="58925D13" w14:textId="2BA778FE" w:rsidR="002C2932" w:rsidRPr="00825C5D" w:rsidRDefault="002C2932" w:rsidP="002C2932">
      <w:pPr>
        <w:pStyle w:val="Briefinglist1"/>
        <w:numPr>
          <w:ilvl w:val="0"/>
          <w:numId w:val="0"/>
        </w:numPr>
        <w:spacing w:after="0"/>
        <w:ind w:left="-851" w:right="1"/>
        <w:rPr>
          <w:rFonts w:ascii="Segoe UI" w:hAnsi="Segoe UI" w:cs="Segoe UI"/>
          <w:b/>
          <w:color w:val="000091" w:themeColor="text1"/>
          <w:spacing w:val="-6"/>
          <w:sz w:val="2"/>
          <w:szCs w:val="2"/>
          <w:lang w:val="fr-FR"/>
        </w:rPr>
      </w:pPr>
    </w:p>
    <w:p w14:paraId="26886397" w14:textId="0BF55C23" w:rsidR="00F91D18" w:rsidRPr="00C0091E" w:rsidRDefault="0090717D" w:rsidP="00E73329">
      <w:pPr>
        <w:pStyle w:val="Briefinglist1"/>
        <w:numPr>
          <w:ilvl w:val="0"/>
          <w:numId w:val="0"/>
        </w:numPr>
        <w:spacing w:after="0"/>
        <w:ind w:left="-993" w:right="1"/>
        <w:rPr>
          <w:rFonts w:ascii="Segoe UI" w:hAnsi="Segoe UI" w:cs="Segoe UI"/>
          <w:color w:val="000091" w:themeColor="text1"/>
          <w:spacing w:val="-6"/>
          <w:szCs w:val="20"/>
          <w:lang w:val="fr-FR" w:eastAsia="fr-FR"/>
        </w:rPr>
      </w:pPr>
      <w:r w:rsidRPr="00FE5C47">
        <w:rPr>
          <w:noProof/>
        </w:rPr>
        <w:drawing>
          <wp:anchor distT="0" distB="0" distL="114300" distR="114300" simplePos="0" relativeHeight="251725824" behindDoc="0" locked="0" layoutInCell="1" allowOverlap="1" wp14:anchorId="7EE10B66" wp14:editId="787D3562">
            <wp:simplePos x="0" y="0"/>
            <wp:positionH relativeFrom="column">
              <wp:posOffset>-626110</wp:posOffset>
            </wp:positionH>
            <wp:positionV relativeFrom="paragraph">
              <wp:posOffset>240665</wp:posOffset>
            </wp:positionV>
            <wp:extent cx="3174365" cy="294640"/>
            <wp:effectExtent l="0" t="0" r="6985" b="0"/>
            <wp:wrapSquare wrapText="bothSides"/>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4365"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91349">
        <w:rPr>
          <w:rFonts w:ascii="Segoe UI" w:hAnsi="Segoe UI" w:cs="Segoe UI"/>
          <w:b/>
          <w:color w:val="000091" w:themeColor="text1"/>
          <w:spacing w:val="-6"/>
          <w:szCs w:val="20"/>
          <w:lang w:val="fr-FR"/>
        </w:rPr>
        <w:t>Activité</w:t>
      </w:r>
      <w:r w:rsidR="00A070E2" w:rsidRPr="00C0091E">
        <w:rPr>
          <w:rFonts w:ascii="Segoe UI" w:hAnsi="Segoe UI" w:cs="Segoe UI"/>
          <w:b/>
          <w:color w:val="000091" w:themeColor="text1"/>
          <w:spacing w:val="-6"/>
          <w:szCs w:val="20"/>
          <w:lang w:val="fr-FR"/>
        </w:rPr>
        <w:t xml:space="preserve"> économique | </w:t>
      </w:r>
      <w:r w:rsidR="006C7B91">
        <w:rPr>
          <w:rFonts w:ascii="Segoe UI" w:hAnsi="Segoe UI" w:cs="Segoe UI"/>
          <w:b/>
          <w:color w:val="000091" w:themeColor="text1"/>
          <w:spacing w:val="-6"/>
          <w:szCs w:val="20"/>
          <w:lang w:val="fr-FR"/>
        </w:rPr>
        <w:t xml:space="preserve">Après une forte modération en 2024, </w:t>
      </w:r>
      <w:r w:rsidR="003F7CB4">
        <w:rPr>
          <w:rFonts w:ascii="Segoe UI" w:hAnsi="Segoe UI" w:cs="Segoe UI"/>
          <w:b/>
          <w:color w:val="000091" w:themeColor="text1"/>
          <w:spacing w:val="-6"/>
          <w:szCs w:val="20"/>
          <w:lang w:val="fr-FR"/>
        </w:rPr>
        <w:t>une</w:t>
      </w:r>
      <w:r w:rsidR="006C7B91">
        <w:rPr>
          <w:rFonts w:ascii="Segoe UI" w:hAnsi="Segoe UI" w:cs="Segoe UI"/>
          <w:b/>
          <w:color w:val="000091" w:themeColor="text1"/>
          <w:spacing w:val="-6"/>
          <w:szCs w:val="20"/>
          <w:lang w:val="fr-FR"/>
        </w:rPr>
        <w:t xml:space="preserve"> croissance </w:t>
      </w:r>
      <w:r w:rsidR="003F7CB4">
        <w:rPr>
          <w:rFonts w:ascii="Segoe UI" w:hAnsi="Segoe UI" w:cs="Segoe UI"/>
          <w:b/>
          <w:color w:val="000091" w:themeColor="text1"/>
          <w:spacing w:val="-6"/>
          <w:szCs w:val="20"/>
          <w:lang w:val="fr-FR"/>
        </w:rPr>
        <w:t xml:space="preserve">qui </w:t>
      </w:r>
      <w:r w:rsidR="00004149">
        <w:rPr>
          <w:rFonts w:ascii="Segoe UI" w:hAnsi="Segoe UI" w:cs="Segoe UI"/>
          <w:b/>
          <w:color w:val="000091" w:themeColor="text1"/>
          <w:spacing w:val="-6"/>
          <w:szCs w:val="20"/>
          <w:lang w:val="fr-FR"/>
        </w:rPr>
        <w:t xml:space="preserve">devrait </w:t>
      </w:r>
      <w:r w:rsidR="00FD3125">
        <w:rPr>
          <w:rFonts w:ascii="Segoe UI" w:hAnsi="Segoe UI" w:cs="Segoe UI"/>
          <w:b/>
          <w:color w:val="000091" w:themeColor="text1"/>
          <w:spacing w:val="-6"/>
          <w:szCs w:val="20"/>
          <w:lang w:val="fr-FR"/>
        </w:rPr>
        <w:t xml:space="preserve">être </w:t>
      </w:r>
      <w:r w:rsidR="00D1028A">
        <w:rPr>
          <w:rFonts w:ascii="Segoe UI" w:hAnsi="Segoe UI" w:cs="Segoe UI"/>
          <w:b/>
          <w:color w:val="000091" w:themeColor="text1"/>
          <w:spacing w:val="-6"/>
          <w:szCs w:val="20"/>
          <w:lang w:val="fr-FR"/>
        </w:rPr>
        <w:t xml:space="preserve">limitée </w:t>
      </w:r>
      <w:r w:rsidR="00004149">
        <w:rPr>
          <w:rFonts w:ascii="Segoe UI" w:hAnsi="Segoe UI" w:cs="Segoe UI"/>
          <w:b/>
          <w:color w:val="000091" w:themeColor="text1"/>
          <w:spacing w:val="-6"/>
          <w:szCs w:val="20"/>
          <w:lang w:val="fr-FR"/>
        </w:rPr>
        <w:t xml:space="preserve">en 2025 </w:t>
      </w:r>
    </w:p>
    <w:p w14:paraId="0BD11F5C" w14:textId="138A2A0C" w:rsidR="00FF5E6B" w:rsidRDefault="0090717D" w:rsidP="007F046D">
      <w:pPr>
        <w:pStyle w:val="Brvesco-Normal"/>
        <w:tabs>
          <w:tab w:val="left" w:pos="9639"/>
        </w:tabs>
        <w:spacing w:line="240" w:lineRule="auto"/>
        <w:ind w:left="4111" w:right="143"/>
        <w:rPr>
          <w:rFonts w:ascii="Segoe UI" w:hAnsi="Segoe UI" w:cs="Segoe UI"/>
          <w:iCs/>
          <w:color w:val="auto"/>
          <w:spacing w:val="-6"/>
          <w:sz w:val="19"/>
          <w:szCs w:val="19"/>
          <w:lang w:eastAsia="ja-JP"/>
        </w:rPr>
      </w:pPr>
      <w:r>
        <w:rPr>
          <w:rFonts w:ascii="Segoe UI" w:hAnsi="Segoe UI" w:cs="Segoe UI"/>
          <w:iCs/>
          <w:noProof/>
          <w:color w:val="auto"/>
          <w:spacing w:val="-6"/>
          <w:sz w:val="19"/>
          <w:szCs w:val="19"/>
          <w:lang w:eastAsia="ja-JP"/>
        </w:rPr>
        <w:drawing>
          <wp:anchor distT="0" distB="0" distL="114300" distR="114300" simplePos="0" relativeHeight="251724800" behindDoc="0" locked="0" layoutInCell="1" allowOverlap="1" wp14:anchorId="633053ED" wp14:editId="48197260">
            <wp:simplePos x="0" y="0"/>
            <wp:positionH relativeFrom="page">
              <wp:posOffset>304800</wp:posOffset>
            </wp:positionH>
            <wp:positionV relativeFrom="paragraph">
              <wp:posOffset>382270</wp:posOffset>
            </wp:positionV>
            <wp:extent cx="3063240" cy="1668780"/>
            <wp:effectExtent l="0" t="0" r="3810" b="762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63240" cy="166878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75578295"/>
      <w:r w:rsidR="00402B84" w:rsidRPr="00402B84">
        <w:rPr>
          <w:rFonts w:ascii="Segoe UI" w:hAnsi="Segoe UI" w:cs="Segoe UI"/>
          <w:b/>
          <w:bCs/>
          <w:noProof/>
          <w:color w:val="000091" w:themeColor="text1"/>
          <w:spacing w:val="-6"/>
          <w:sz w:val="19"/>
          <w:szCs w:val="19"/>
          <w:lang w:eastAsia="fr-FR"/>
        </w:rPr>
        <w:t>Croissance</w:t>
      </w:r>
      <w:r w:rsidR="00FF5E6B">
        <w:rPr>
          <w:rFonts w:ascii="Segoe UI" w:hAnsi="Segoe UI" w:cs="Segoe UI"/>
          <w:b/>
          <w:bCs/>
          <w:noProof/>
          <w:color w:val="000091" w:themeColor="text1"/>
          <w:spacing w:val="-6"/>
          <w:sz w:val="19"/>
          <w:szCs w:val="19"/>
          <w:lang w:eastAsia="fr-FR"/>
        </w:rPr>
        <w:t xml:space="preserve"> au S1 2025 </w:t>
      </w:r>
      <w:r w:rsidR="00E60834" w:rsidRPr="0076026A">
        <w:rPr>
          <w:rFonts w:ascii="Segoe UI" w:hAnsi="Segoe UI" w:cs="Segoe UI"/>
          <w:b/>
          <w:color w:val="000091" w:themeColor="text1"/>
          <w:spacing w:val="-6"/>
          <w:sz w:val="19"/>
          <w:szCs w:val="19"/>
        </w:rPr>
        <w:t>|</w:t>
      </w:r>
      <w:bookmarkStart w:id="1" w:name="_Hlk175671770"/>
      <w:r w:rsidR="00B15145" w:rsidRPr="0076026A">
        <w:rPr>
          <w:rFonts w:ascii="Segoe UI" w:hAnsi="Segoe UI" w:cs="Segoe UI"/>
          <w:iCs/>
          <w:color w:val="auto"/>
          <w:spacing w:val="-6"/>
          <w:sz w:val="19"/>
          <w:szCs w:val="19"/>
          <w:lang w:eastAsia="ja-JP"/>
        </w:rPr>
        <w:t xml:space="preserve"> </w:t>
      </w:r>
      <w:bookmarkEnd w:id="1"/>
      <w:r w:rsidR="00A02B41" w:rsidRPr="00D1028A">
        <w:rPr>
          <w:rFonts w:ascii="Segoe UI" w:hAnsi="Segoe UI" w:cs="Segoe UI"/>
          <w:b/>
          <w:bCs/>
          <w:iCs/>
          <w:color w:val="auto"/>
          <w:spacing w:val="-6"/>
          <w:sz w:val="19"/>
          <w:szCs w:val="19"/>
          <w:lang w:eastAsia="ja-JP"/>
        </w:rPr>
        <w:t xml:space="preserve">La croissance est redevenue positive au premier semestre de l’année, avec une amélioration enregistrée au T2 </w:t>
      </w:r>
      <w:r w:rsidR="00DE3104">
        <w:rPr>
          <w:rFonts w:ascii="Segoe UI" w:hAnsi="Segoe UI" w:cs="Segoe UI"/>
          <w:b/>
          <w:bCs/>
          <w:iCs/>
          <w:color w:val="auto"/>
          <w:spacing w:val="-6"/>
          <w:sz w:val="19"/>
          <w:szCs w:val="19"/>
          <w:lang w:eastAsia="ja-JP"/>
        </w:rPr>
        <w:t xml:space="preserve">2025 </w:t>
      </w:r>
      <w:r w:rsidR="00A02B41" w:rsidRPr="00D1028A">
        <w:rPr>
          <w:rFonts w:ascii="Segoe UI" w:hAnsi="Segoe UI" w:cs="Segoe UI"/>
          <w:b/>
          <w:bCs/>
          <w:iCs/>
          <w:color w:val="auto"/>
          <w:spacing w:val="-6"/>
          <w:sz w:val="19"/>
          <w:szCs w:val="19"/>
          <w:lang w:eastAsia="ja-JP"/>
        </w:rPr>
        <w:t>(</w:t>
      </w:r>
      <w:r w:rsidR="00A02B41" w:rsidRPr="00DE3104">
        <w:rPr>
          <w:rFonts w:ascii="Segoe UI" w:hAnsi="Segoe UI" w:cs="Segoe UI"/>
          <w:b/>
          <w:bCs/>
          <w:iCs/>
          <w:color w:val="auto"/>
          <w:spacing w:val="-6"/>
          <w:sz w:val="19"/>
          <w:szCs w:val="19"/>
          <w:lang w:eastAsia="ja-JP"/>
        </w:rPr>
        <w:t>0,6 % g.t</w:t>
      </w:r>
      <w:r w:rsidR="00D92D72">
        <w:rPr>
          <w:rFonts w:ascii="Segoe UI" w:hAnsi="Segoe UI" w:cs="Segoe UI"/>
          <w:b/>
          <w:bCs/>
          <w:iCs/>
          <w:color w:val="auto"/>
          <w:spacing w:val="-6"/>
          <w:sz w:val="19"/>
          <w:szCs w:val="19"/>
          <w:lang w:eastAsia="ja-JP"/>
        </w:rPr>
        <w:t>.</w:t>
      </w:r>
      <w:r w:rsidR="00A02B41" w:rsidRPr="00DE3104">
        <w:rPr>
          <w:rFonts w:ascii="Segoe UI" w:hAnsi="Segoe UI" w:cs="Segoe UI"/>
          <w:b/>
          <w:bCs/>
          <w:iCs/>
          <w:color w:val="auto"/>
          <w:spacing w:val="-6"/>
          <w:sz w:val="19"/>
          <w:szCs w:val="19"/>
          <w:lang w:eastAsia="ja-JP"/>
        </w:rPr>
        <w:t>)</w:t>
      </w:r>
      <w:r w:rsidR="00A02B41" w:rsidRPr="00D1028A">
        <w:rPr>
          <w:rFonts w:ascii="Segoe UI" w:hAnsi="Segoe UI" w:cs="Segoe UI"/>
          <w:b/>
          <w:bCs/>
          <w:iCs/>
          <w:color w:val="auto"/>
          <w:spacing w:val="-6"/>
          <w:sz w:val="19"/>
          <w:szCs w:val="19"/>
          <w:lang w:eastAsia="ja-JP"/>
        </w:rPr>
        <w:t xml:space="preserve"> par rapport au T1</w:t>
      </w:r>
      <w:r w:rsidR="00DE3104">
        <w:rPr>
          <w:rFonts w:ascii="Segoe UI" w:hAnsi="Segoe UI" w:cs="Segoe UI"/>
          <w:b/>
          <w:bCs/>
          <w:iCs/>
          <w:color w:val="auto"/>
          <w:spacing w:val="-6"/>
          <w:sz w:val="19"/>
          <w:szCs w:val="19"/>
          <w:lang w:eastAsia="ja-JP"/>
        </w:rPr>
        <w:t xml:space="preserve"> 2025</w:t>
      </w:r>
      <w:r w:rsidR="00A02B41" w:rsidRPr="00D1028A">
        <w:rPr>
          <w:rFonts w:ascii="Segoe UI" w:hAnsi="Segoe UI" w:cs="Segoe UI"/>
          <w:b/>
          <w:bCs/>
          <w:iCs/>
          <w:color w:val="auto"/>
          <w:spacing w:val="-6"/>
          <w:sz w:val="19"/>
          <w:szCs w:val="19"/>
          <w:lang w:eastAsia="ja-JP"/>
        </w:rPr>
        <w:t xml:space="preserve"> (</w:t>
      </w:r>
      <w:r w:rsidR="00A02B41" w:rsidRPr="00DE3104">
        <w:rPr>
          <w:rFonts w:ascii="Segoe UI" w:hAnsi="Segoe UI" w:cs="Segoe UI"/>
          <w:b/>
          <w:bCs/>
          <w:iCs/>
          <w:color w:val="auto"/>
          <w:spacing w:val="-6"/>
          <w:sz w:val="19"/>
          <w:szCs w:val="19"/>
          <w:lang w:eastAsia="ja-JP"/>
        </w:rPr>
        <w:t>0,</w:t>
      </w:r>
      <w:r w:rsidR="00D14A2A">
        <w:rPr>
          <w:rFonts w:ascii="Segoe UI" w:hAnsi="Segoe UI" w:cs="Segoe UI"/>
          <w:b/>
          <w:bCs/>
          <w:iCs/>
          <w:color w:val="auto"/>
          <w:spacing w:val="-6"/>
          <w:sz w:val="19"/>
          <w:szCs w:val="19"/>
          <w:lang w:eastAsia="ja-JP"/>
        </w:rPr>
        <w:t>3</w:t>
      </w:r>
      <w:r w:rsidR="00A02B41" w:rsidRPr="00DE3104">
        <w:rPr>
          <w:rFonts w:ascii="Segoe UI" w:hAnsi="Segoe UI" w:cs="Segoe UI"/>
          <w:b/>
          <w:bCs/>
          <w:iCs/>
          <w:color w:val="auto"/>
          <w:spacing w:val="-6"/>
          <w:sz w:val="19"/>
          <w:szCs w:val="19"/>
          <w:lang w:eastAsia="ja-JP"/>
        </w:rPr>
        <w:t xml:space="preserve"> % g.t).</w:t>
      </w:r>
      <w:r w:rsidR="00A02B41">
        <w:rPr>
          <w:rFonts w:ascii="Segoe UI" w:hAnsi="Segoe UI" w:cs="Segoe UI"/>
          <w:iCs/>
          <w:color w:val="auto"/>
          <w:spacing w:val="-6"/>
          <w:sz w:val="19"/>
          <w:szCs w:val="19"/>
          <w:lang w:eastAsia="ja-JP"/>
        </w:rPr>
        <w:t xml:space="preserve"> </w:t>
      </w:r>
      <w:r w:rsidR="00814B97">
        <w:rPr>
          <w:rFonts w:ascii="Segoe UI" w:hAnsi="Segoe UI" w:cs="Segoe UI"/>
          <w:iCs/>
          <w:color w:val="auto"/>
          <w:spacing w:val="-6"/>
          <w:sz w:val="19"/>
          <w:szCs w:val="19"/>
          <w:lang w:eastAsia="ja-JP"/>
        </w:rPr>
        <w:t>Du côté de l’offre, l</w:t>
      </w:r>
      <w:r w:rsidR="00477C89" w:rsidRPr="00C11466">
        <w:rPr>
          <w:rFonts w:ascii="Segoe UI" w:hAnsi="Segoe UI" w:cs="Segoe UI"/>
          <w:iCs/>
          <w:color w:val="auto"/>
          <w:spacing w:val="-6"/>
          <w:sz w:val="19"/>
          <w:szCs w:val="19"/>
          <w:lang w:eastAsia="ja-JP"/>
        </w:rPr>
        <w:t xml:space="preserve">’activité </w:t>
      </w:r>
      <w:r w:rsidR="007450CB">
        <w:rPr>
          <w:rFonts w:ascii="Segoe UI" w:hAnsi="Segoe UI" w:cs="Segoe UI"/>
          <w:iCs/>
          <w:color w:val="auto"/>
          <w:spacing w:val="-6"/>
          <w:sz w:val="19"/>
          <w:szCs w:val="19"/>
          <w:lang w:eastAsia="ja-JP"/>
        </w:rPr>
        <w:t>a</w:t>
      </w:r>
      <w:r w:rsidR="007450CB" w:rsidRPr="00691C17">
        <w:rPr>
          <w:rFonts w:ascii="Segoe UI" w:hAnsi="Segoe UI" w:cs="Segoe UI"/>
          <w:iCs/>
          <w:color w:val="auto"/>
          <w:spacing w:val="-6"/>
          <w:sz w:val="19"/>
          <w:szCs w:val="19"/>
          <w:lang w:eastAsia="ja-JP"/>
        </w:rPr>
        <w:t xml:space="preserve"> </w:t>
      </w:r>
      <w:r w:rsidR="00477C89" w:rsidRPr="00691C17">
        <w:rPr>
          <w:rFonts w:ascii="Segoe UI" w:hAnsi="Segoe UI" w:cs="Segoe UI"/>
          <w:iCs/>
          <w:color w:val="auto"/>
          <w:spacing w:val="-6"/>
          <w:sz w:val="19"/>
          <w:szCs w:val="19"/>
          <w:lang w:eastAsia="ja-JP"/>
        </w:rPr>
        <w:t xml:space="preserve">été soutenue par le secteur des services et le secteur agricole </w:t>
      </w:r>
      <w:r w:rsidR="00EE68C0" w:rsidRPr="00691C17">
        <w:rPr>
          <w:rFonts w:ascii="Segoe UI" w:hAnsi="Segoe UI" w:cs="Segoe UI"/>
          <w:iCs/>
          <w:color w:val="auto"/>
          <w:spacing w:val="-6"/>
          <w:sz w:val="19"/>
          <w:szCs w:val="19"/>
          <w:lang w:eastAsia="ja-JP"/>
        </w:rPr>
        <w:t>tandis que</w:t>
      </w:r>
      <w:r w:rsidR="00C11466" w:rsidRPr="00691C17">
        <w:rPr>
          <w:rFonts w:ascii="Segoe UI" w:hAnsi="Segoe UI" w:cs="Segoe UI"/>
          <w:iCs/>
          <w:color w:val="auto"/>
          <w:spacing w:val="-6"/>
          <w:sz w:val="19"/>
          <w:szCs w:val="19"/>
          <w:lang w:eastAsia="ja-JP"/>
        </w:rPr>
        <w:t xml:space="preserve"> le secteur industriel</w:t>
      </w:r>
      <w:r w:rsidR="0039613D">
        <w:rPr>
          <w:rFonts w:ascii="Segoe UI" w:hAnsi="Segoe UI" w:cs="Segoe UI"/>
          <w:iCs/>
          <w:color w:val="auto"/>
          <w:spacing w:val="-6"/>
          <w:sz w:val="19"/>
          <w:szCs w:val="19"/>
          <w:lang w:eastAsia="ja-JP"/>
        </w:rPr>
        <w:t xml:space="preserve"> </w:t>
      </w:r>
      <w:r w:rsidR="00FF5E6B">
        <w:rPr>
          <w:rFonts w:ascii="Segoe UI" w:hAnsi="Segoe UI" w:cs="Segoe UI"/>
          <w:iCs/>
          <w:color w:val="auto"/>
          <w:spacing w:val="-6"/>
          <w:sz w:val="19"/>
          <w:szCs w:val="19"/>
          <w:lang w:eastAsia="ja-JP"/>
        </w:rPr>
        <w:t>s’est contracté</w:t>
      </w:r>
      <w:r w:rsidR="00496056">
        <w:rPr>
          <w:rFonts w:ascii="Segoe UI" w:hAnsi="Segoe UI" w:cs="Segoe UI"/>
          <w:iCs/>
          <w:color w:val="auto"/>
          <w:spacing w:val="-6"/>
          <w:sz w:val="19"/>
          <w:szCs w:val="19"/>
          <w:lang w:eastAsia="ja-JP"/>
        </w:rPr>
        <w:t xml:space="preserve"> dans un contexte de fortes incertitudes</w:t>
      </w:r>
      <w:r w:rsidR="00FF5E6B">
        <w:rPr>
          <w:rFonts w:ascii="Segoe UI" w:hAnsi="Segoe UI" w:cs="Segoe UI"/>
          <w:iCs/>
          <w:color w:val="auto"/>
          <w:spacing w:val="-6"/>
          <w:sz w:val="19"/>
          <w:szCs w:val="19"/>
          <w:lang w:eastAsia="ja-JP"/>
        </w:rPr>
        <w:t xml:space="preserve">. </w:t>
      </w:r>
      <w:r w:rsidR="00A709D3" w:rsidRPr="00691C17">
        <w:rPr>
          <w:rFonts w:ascii="Segoe UI" w:hAnsi="Segoe UI" w:cs="Segoe UI"/>
          <w:iCs/>
          <w:color w:val="auto"/>
          <w:spacing w:val="-6"/>
          <w:sz w:val="19"/>
          <w:szCs w:val="19"/>
          <w:lang w:eastAsia="ja-JP"/>
        </w:rPr>
        <w:t xml:space="preserve">Du côté de la demande, la progression de l’activité économique </w:t>
      </w:r>
      <w:r w:rsidR="007450CB">
        <w:rPr>
          <w:rFonts w:ascii="Segoe UI" w:hAnsi="Segoe UI" w:cs="Segoe UI"/>
          <w:iCs/>
          <w:color w:val="auto"/>
          <w:spacing w:val="-6"/>
          <w:sz w:val="19"/>
          <w:szCs w:val="19"/>
          <w:lang w:eastAsia="ja-JP"/>
        </w:rPr>
        <w:t>a</w:t>
      </w:r>
      <w:r w:rsidR="007450CB" w:rsidRPr="00691C17">
        <w:rPr>
          <w:rFonts w:ascii="Segoe UI" w:hAnsi="Segoe UI" w:cs="Segoe UI"/>
          <w:iCs/>
          <w:color w:val="auto"/>
          <w:spacing w:val="-6"/>
          <w:sz w:val="19"/>
          <w:szCs w:val="19"/>
          <w:lang w:eastAsia="ja-JP"/>
        </w:rPr>
        <w:t xml:space="preserve"> </w:t>
      </w:r>
      <w:r w:rsidR="00A709D3" w:rsidRPr="00691C17">
        <w:rPr>
          <w:rFonts w:ascii="Segoe UI" w:hAnsi="Segoe UI" w:cs="Segoe UI"/>
          <w:iCs/>
          <w:color w:val="auto"/>
          <w:spacing w:val="-6"/>
          <w:sz w:val="19"/>
          <w:szCs w:val="19"/>
          <w:lang w:eastAsia="ja-JP"/>
        </w:rPr>
        <w:t xml:space="preserve">été stimulée par </w:t>
      </w:r>
      <w:r w:rsidR="007450CB">
        <w:rPr>
          <w:rFonts w:ascii="Segoe UI" w:hAnsi="Segoe UI" w:cs="Segoe UI"/>
          <w:iCs/>
          <w:color w:val="auto"/>
          <w:spacing w:val="-6"/>
          <w:sz w:val="19"/>
          <w:szCs w:val="19"/>
          <w:lang w:eastAsia="ja-JP"/>
        </w:rPr>
        <w:t>l</w:t>
      </w:r>
      <w:r w:rsidR="00A709D3" w:rsidRPr="00691C17">
        <w:rPr>
          <w:rFonts w:ascii="Segoe UI" w:hAnsi="Segoe UI" w:cs="Segoe UI"/>
          <w:iCs/>
          <w:color w:val="auto"/>
          <w:spacing w:val="-6"/>
          <w:sz w:val="19"/>
          <w:szCs w:val="19"/>
          <w:lang w:eastAsia="ja-JP"/>
        </w:rPr>
        <w:t>es exportations et par la consommation privée, tandis que l’investissement – privé et public – reste déprimé.</w:t>
      </w:r>
      <w:r w:rsidR="00B62A7C" w:rsidRPr="00691C17">
        <w:rPr>
          <w:rFonts w:ascii="Segoe UI" w:hAnsi="Segoe UI" w:cs="Segoe UI"/>
          <w:iCs/>
          <w:color w:val="auto"/>
          <w:spacing w:val="-6"/>
          <w:sz w:val="19"/>
          <w:szCs w:val="19"/>
          <w:lang w:eastAsia="ja-JP"/>
        </w:rPr>
        <w:t xml:space="preserve"> </w:t>
      </w:r>
      <w:r w:rsidR="00814B97">
        <w:rPr>
          <w:rFonts w:ascii="Segoe UI" w:hAnsi="Segoe UI" w:cs="Segoe UI"/>
          <w:iCs/>
          <w:color w:val="auto"/>
          <w:spacing w:val="-6"/>
          <w:sz w:val="19"/>
          <w:szCs w:val="19"/>
          <w:lang w:eastAsia="ja-JP"/>
        </w:rPr>
        <w:t xml:space="preserve">L’acquis de croissance à </w:t>
      </w:r>
      <w:r w:rsidR="00D01ADB">
        <w:rPr>
          <w:rFonts w:ascii="Segoe UI" w:hAnsi="Segoe UI" w:cs="Segoe UI"/>
          <w:iCs/>
          <w:color w:val="auto"/>
          <w:spacing w:val="-6"/>
          <w:sz w:val="19"/>
          <w:szCs w:val="19"/>
          <w:lang w:eastAsia="ja-JP"/>
        </w:rPr>
        <w:t>mi-2025</w:t>
      </w:r>
      <w:r w:rsidR="004F0ECE">
        <w:rPr>
          <w:rFonts w:ascii="Segoe UI" w:hAnsi="Segoe UI" w:cs="Segoe UI"/>
          <w:iCs/>
          <w:color w:val="auto"/>
          <w:spacing w:val="-6"/>
          <w:sz w:val="19"/>
          <w:szCs w:val="19"/>
          <w:lang w:eastAsia="ja-JP"/>
        </w:rPr>
        <w:t>, soit la croissance qui serait enregistrée en 2025 en cas de croissance nulle du PIB</w:t>
      </w:r>
      <w:r w:rsidR="00464E25">
        <w:rPr>
          <w:rFonts w:ascii="Segoe UI" w:hAnsi="Segoe UI" w:cs="Segoe UI"/>
          <w:iCs/>
          <w:color w:val="auto"/>
          <w:spacing w:val="-6"/>
          <w:sz w:val="19"/>
          <w:szCs w:val="19"/>
          <w:lang w:eastAsia="ja-JP"/>
        </w:rPr>
        <w:t xml:space="preserve"> aux T3 et T4 2024, </w:t>
      </w:r>
      <w:r w:rsidR="00007959">
        <w:rPr>
          <w:rFonts w:ascii="Segoe UI" w:hAnsi="Segoe UI" w:cs="Segoe UI"/>
          <w:iCs/>
          <w:color w:val="auto"/>
          <w:spacing w:val="-6"/>
          <w:sz w:val="19"/>
          <w:szCs w:val="19"/>
          <w:lang w:eastAsia="ja-JP"/>
        </w:rPr>
        <w:t>s’établirait à</w:t>
      </w:r>
      <w:r w:rsidR="00464E25">
        <w:rPr>
          <w:rFonts w:ascii="Segoe UI" w:hAnsi="Segoe UI" w:cs="Segoe UI"/>
          <w:iCs/>
          <w:color w:val="auto"/>
          <w:spacing w:val="-6"/>
          <w:sz w:val="19"/>
          <w:szCs w:val="19"/>
          <w:lang w:eastAsia="ja-JP"/>
        </w:rPr>
        <w:t xml:space="preserve"> </w:t>
      </w:r>
      <w:r w:rsidR="00E46D07">
        <w:rPr>
          <w:rFonts w:ascii="Segoe UI" w:hAnsi="Segoe UI" w:cs="Segoe UI"/>
          <w:iCs/>
          <w:color w:val="auto"/>
          <w:spacing w:val="-6"/>
          <w:sz w:val="19"/>
          <w:szCs w:val="19"/>
          <w:lang w:eastAsia="ja-JP"/>
        </w:rPr>
        <w:t>un peu plus de ½ %</w:t>
      </w:r>
      <w:r w:rsidR="00464E25">
        <w:rPr>
          <w:rFonts w:ascii="Segoe UI" w:hAnsi="Segoe UI" w:cs="Segoe UI"/>
          <w:iCs/>
          <w:color w:val="auto"/>
          <w:spacing w:val="-6"/>
          <w:sz w:val="19"/>
          <w:szCs w:val="19"/>
          <w:lang w:eastAsia="ja-JP"/>
        </w:rPr>
        <w:t xml:space="preserve">. </w:t>
      </w:r>
    </w:p>
    <w:p w14:paraId="63F1DA67" w14:textId="7E64DFED" w:rsidR="000836F6" w:rsidRPr="00B62A7C" w:rsidRDefault="0090717D" w:rsidP="007F046D">
      <w:pPr>
        <w:pStyle w:val="Brvesco-Normal"/>
        <w:tabs>
          <w:tab w:val="left" w:pos="9639"/>
        </w:tabs>
        <w:spacing w:line="240" w:lineRule="auto"/>
        <w:ind w:left="4111" w:right="143"/>
        <w:rPr>
          <w:rFonts w:ascii="Segoe UI" w:hAnsi="Segoe UI" w:cs="Segoe UI"/>
          <w:iCs/>
          <w:color w:val="auto"/>
          <w:spacing w:val="-6"/>
          <w:sz w:val="19"/>
          <w:szCs w:val="19"/>
          <w:lang w:eastAsia="ja-JP"/>
        </w:rPr>
      </w:pPr>
      <w:r>
        <w:rPr>
          <w:rFonts w:ascii="Segoe UI" w:hAnsi="Segoe UI" w:cs="Segoe UI"/>
          <w:iCs/>
          <w:noProof/>
          <w:color w:val="auto"/>
          <w:spacing w:val="-6"/>
          <w:sz w:val="19"/>
          <w:szCs w:val="19"/>
          <w:lang w:eastAsia="ja-JP"/>
        </w:rPr>
        <w:drawing>
          <wp:anchor distT="0" distB="0" distL="114300" distR="114300" simplePos="0" relativeHeight="251727872" behindDoc="0" locked="0" layoutInCell="1" allowOverlap="1" wp14:anchorId="4F37B466" wp14:editId="58426F8A">
            <wp:simplePos x="0" y="0"/>
            <wp:positionH relativeFrom="page">
              <wp:posOffset>121920</wp:posOffset>
            </wp:positionH>
            <wp:positionV relativeFrom="paragraph">
              <wp:posOffset>484505</wp:posOffset>
            </wp:positionV>
            <wp:extent cx="3258185" cy="1356360"/>
            <wp:effectExtent l="0" t="0" r="0" b="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58185" cy="1356360"/>
                    </a:xfrm>
                    <a:prstGeom prst="rect">
                      <a:avLst/>
                    </a:prstGeom>
                    <a:noFill/>
                  </pic:spPr>
                </pic:pic>
              </a:graphicData>
            </a:graphic>
            <wp14:sizeRelH relativeFrom="page">
              <wp14:pctWidth>0</wp14:pctWidth>
            </wp14:sizeRelH>
            <wp14:sizeRelV relativeFrom="page">
              <wp14:pctHeight>0</wp14:pctHeight>
            </wp14:sizeRelV>
          </wp:anchor>
        </w:drawing>
      </w:r>
      <w:r w:rsidR="00FF5E6B">
        <w:rPr>
          <w:rFonts w:ascii="Segoe UI" w:hAnsi="Segoe UI" w:cs="Segoe UI"/>
          <w:b/>
          <w:bCs/>
          <w:noProof/>
          <w:color w:val="000091" w:themeColor="text1"/>
          <w:spacing w:val="-6"/>
          <w:sz w:val="19"/>
          <w:szCs w:val="19"/>
          <w:lang w:eastAsia="fr-FR"/>
        </w:rPr>
        <w:t xml:space="preserve">Prévisions pour 2025 </w:t>
      </w:r>
      <w:r w:rsidR="00FF5E6B" w:rsidRPr="0076026A">
        <w:rPr>
          <w:rFonts w:ascii="Segoe UI" w:hAnsi="Segoe UI" w:cs="Segoe UI"/>
          <w:b/>
          <w:color w:val="000091" w:themeColor="text1"/>
          <w:spacing w:val="-6"/>
          <w:sz w:val="19"/>
          <w:szCs w:val="19"/>
        </w:rPr>
        <w:t>|</w:t>
      </w:r>
      <w:r w:rsidR="00FF5E6B" w:rsidRPr="0076026A">
        <w:rPr>
          <w:rFonts w:ascii="Segoe UI" w:hAnsi="Segoe UI" w:cs="Segoe UI"/>
          <w:iCs/>
          <w:color w:val="auto"/>
          <w:spacing w:val="-6"/>
          <w:sz w:val="19"/>
          <w:szCs w:val="19"/>
          <w:lang w:eastAsia="ja-JP"/>
        </w:rPr>
        <w:t xml:space="preserve"> </w:t>
      </w:r>
      <w:r w:rsidR="007A7A73" w:rsidRPr="007A7A73">
        <w:rPr>
          <w:rFonts w:ascii="Segoe UI" w:hAnsi="Segoe UI" w:cs="Segoe UI"/>
          <w:b/>
          <w:bCs/>
          <w:iCs/>
          <w:spacing w:val="-6"/>
          <w:sz w:val="19"/>
          <w:szCs w:val="19"/>
          <w:lang w:eastAsia="ja-JP"/>
        </w:rPr>
        <w:t>Les perspectives pour l’ensemble de l’année 2025 demeurent fragiles, même si le risque de recul de l’activité semble désormais écarté.</w:t>
      </w:r>
      <w:r w:rsidR="007A7A73">
        <w:rPr>
          <w:rFonts w:ascii="Segoe UI" w:hAnsi="Segoe UI" w:cs="Segoe UI"/>
          <w:iCs/>
          <w:color w:val="auto"/>
          <w:spacing w:val="-6"/>
          <w:sz w:val="19"/>
          <w:szCs w:val="19"/>
          <w:lang w:eastAsia="ja-JP"/>
        </w:rPr>
        <w:t xml:space="preserve"> </w:t>
      </w:r>
      <w:r w:rsidR="00D01ADB">
        <w:rPr>
          <w:rFonts w:ascii="Segoe UI" w:hAnsi="Segoe UI" w:cs="Segoe UI"/>
          <w:iCs/>
          <w:color w:val="auto"/>
          <w:spacing w:val="-6"/>
          <w:sz w:val="19"/>
          <w:szCs w:val="19"/>
          <w:lang w:eastAsia="ja-JP"/>
        </w:rPr>
        <w:t>Le contexte de consolidation budgétaire</w:t>
      </w:r>
      <w:r w:rsidR="002F698E">
        <w:rPr>
          <w:rFonts w:ascii="Segoe UI" w:hAnsi="Segoe UI" w:cs="Segoe UI"/>
          <w:iCs/>
          <w:color w:val="auto"/>
          <w:spacing w:val="-6"/>
          <w:sz w:val="19"/>
          <w:szCs w:val="19"/>
          <w:lang w:eastAsia="ja-JP"/>
        </w:rPr>
        <w:t xml:space="preserve"> et les incertitudes entourant les évolutions de politiques commerciales</w:t>
      </w:r>
      <w:r w:rsidR="00D01ADB">
        <w:rPr>
          <w:rFonts w:ascii="Segoe UI" w:hAnsi="Segoe UI" w:cs="Segoe UI"/>
          <w:iCs/>
          <w:color w:val="auto"/>
          <w:spacing w:val="-6"/>
          <w:sz w:val="19"/>
          <w:szCs w:val="19"/>
          <w:lang w:eastAsia="ja-JP"/>
        </w:rPr>
        <w:t xml:space="preserve"> v</w:t>
      </w:r>
      <w:r w:rsidR="002F698E">
        <w:rPr>
          <w:rFonts w:ascii="Segoe UI" w:hAnsi="Segoe UI" w:cs="Segoe UI"/>
          <w:iCs/>
          <w:color w:val="auto"/>
          <w:spacing w:val="-6"/>
          <w:sz w:val="19"/>
          <w:szCs w:val="19"/>
          <w:lang w:eastAsia="ja-JP"/>
        </w:rPr>
        <w:t>ont</w:t>
      </w:r>
      <w:r w:rsidR="00D01ADB">
        <w:rPr>
          <w:rFonts w:ascii="Segoe UI" w:hAnsi="Segoe UI" w:cs="Segoe UI"/>
          <w:iCs/>
          <w:color w:val="auto"/>
          <w:spacing w:val="-6"/>
          <w:sz w:val="19"/>
          <w:szCs w:val="19"/>
          <w:lang w:eastAsia="ja-JP"/>
        </w:rPr>
        <w:t xml:space="preserve"> continuer de peser sur l’activité</w:t>
      </w:r>
      <w:r w:rsidR="00B62A7C" w:rsidRPr="00691C17">
        <w:rPr>
          <w:rFonts w:ascii="Segoe UI" w:hAnsi="Segoe UI" w:cs="Segoe UI"/>
          <w:iCs/>
          <w:color w:val="auto"/>
          <w:spacing w:val="-6"/>
          <w:sz w:val="19"/>
          <w:szCs w:val="19"/>
          <w:lang w:eastAsia="ja-JP"/>
        </w:rPr>
        <w:t xml:space="preserve">. </w:t>
      </w:r>
      <w:r w:rsidR="0000211B">
        <w:rPr>
          <w:rFonts w:ascii="Segoe UI" w:hAnsi="Segoe UI" w:cs="Segoe UI"/>
          <w:iCs/>
          <w:color w:val="auto"/>
          <w:spacing w:val="-6"/>
          <w:sz w:val="19"/>
          <w:szCs w:val="19"/>
          <w:lang w:eastAsia="ja-JP"/>
        </w:rPr>
        <w:t xml:space="preserve">Compte tenu des chiffres observés sur la première moitié de l’année, la croissance serait proche de ½ % en 2025, avec une stagnation voire une légère baisse de l’activité au S2. </w:t>
      </w:r>
      <w:r w:rsidR="00004149" w:rsidRPr="00691C17">
        <w:rPr>
          <w:rFonts w:ascii="Segoe UI" w:hAnsi="Segoe UI" w:cs="Segoe UI"/>
          <w:iCs/>
          <w:color w:val="auto"/>
          <w:spacing w:val="-6"/>
          <w:sz w:val="19"/>
          <w:szCs w:val="19"/>
          <w:lang w:eastAsia="ja-JP"/>
        </w:rPr>
        <w:t>L</w:t>
      </w:r>
      <w:r w:rsidR="008B35FC">
        <w:rPr>
          <w:rFonts w:ascii="Segoe UI" w:hAnsi="Segoe UI" w:cs="Segoe UI"/>
          <w:iCs/>
          <w:color w:val="auto"/>
          <w:spacing w:val="-6"/>
          <w:sz w:val="19"/>
          <w:szCs w:val="19"/>
          <w:lang w:eastAsia="ja-JP"/>
        </w:rPr>
        <w:t xml:space="preserve">es prévisions </w:t>
      </w:r>
      <w:r w:rsidR="00A707B9">
        <w:rPr>
          <w:rFonts w:ascii="Segoe UI" w:hAnsi="Segoe UI" w:cs="Segoe UI"/>
          <w:iCs/>
          <w:color w:val="auto"/>
          <w:spacing w:val="-6"/>
          <w:sz w:val="19"/>
          <w:szCs w:val="19"/>
          <w:lang w:eastAsia="ja-JP"/>
        </w:rPr>
        <w:t>de croissance pour 2025</w:t>
      </w:r>
      <w:r w:rsidR="008B35FC">
        <w:rPr>
          <w:rFonts w:ascii="Segoe UI" w:hAnsi="Segoe UI" w:cs="Segoe UI"/>
          <w:iCs/>
          <w:color w:val="auto"/>
          <w:spacing w:val="-6"/>
          <w:sz w:val="19"/>
          <w:szCs w:val="19"/>
          <w:lang w:eastAsia="ja-JP"/>
        </w:rPr>
        <w:t xml:space="preserve"> </w:t>
      </w:r>
      <w:r w:rsidR="00BD4659">
        <w:rPr>
          <w:rFonts w:ascii="Segoe UI" w:hAnsi="Segoe UI" w:cs="Segoe UI"/>
          <w:iCs/>
          <w:color w:val="auto"/>
          <w:spacing w:val="-6"/>
          <w:sz w:val="19"/>
          <w:szCs w:val="19"/>
          <w:lang w:eastAsia="ja-JP"/>
        </w:rPr>
        <w:t xml:space="preserve">du </w:t>
      </w:r>
      <w:r w:rsidR="00004149" w:rsidRPr="00691C17">
        <w:rPr>
          <w:rFonts w:ascii="Segoe UI" w:hAnsi="Segoe UI" w:cs="Segoe UI"/>
          <w:iCs/>
          <w:color w:val="auto"/>
          <w:spacing w:val="-6"/>
          <w:sz w:val="19"/>
          <w:szCs w:val="19"/>
          <w:lang w:eastAsia="ja-JP"/>
        </w:rPr>
        <w:t>consensus de marché (0,</w:t>
      </w:r>
      <w:r w:rsidR="008B35FC">
        <w:rPr>
          <w:rFonts w:ascii="Segoe UI" w:hAnsi="Segoe UI" w:cs="Segoe UI"/>
          <w:iCs/>
          <w:color w:val="auto"/>
          <w:spacing w:val="-6"/>
          <w:sz w:val="19"/>
          <w:szCs w:val="19"/>
          <w:lang w:eastAsia="ja-JP"/>
        </w:rPr>
        <w:t>5</w:t>
      </w:r>
      <w:r w:rsidR="00004149" w:rsidRPr="00691C17">
        <w:rPr>
          <w:rFonts w:ascii="Segoe UI" w:hAnsi="Segoe UI" w:cs="Segoe UI"/>
          <w:iCs/>
          <w:color w:val="auto"/>
          <w:spacing w:val="-6"/>
          <w:sz w:val="19"/>
          <w:szCs w:val="19"/>
          <w:lang w:eastAsia="ja-JP"/>
        </w:rPr>
        <w:t xml:space="preserve"> %)</w:t>
      </w:r>
      <w:r w:rsidR="002D0F6B">
        <w:rPr>
          <w:rFonts w:ascii="Segoe UI" w:hAnsi="Segoe UI" w:cs="Segoe UI"/>
          <w:iCs/>
          <w:color w:val="auto"/>
          <w:spacing w:val="-6"/>
          <w:sz w:val="19"/>
          <w:szCs w:val="19"/>
          <w:lang w:eastAsia="ja-JP"/>
        </w:rPr>
        <w:t xml:space="preserve"> et</w:t>
      </w:r>
      <w:r w:rsidR="00EB4D91">
        <w:rPr>
          <w:rFonts w:ascii="Segoe UI" w:hAnsi="Segoe UI" w:cs="Segoe UI"/>
          <w:iCs/>
          <w:color w:val="auto"/>
          <w:spacing w:val="-6"/>
          <w:sz w:val="19"/>
          <w:szCs w:val="19"/>
          <w:lang w:eastAsia="ja-JP"/>
        </w:rPr>
        <w:t xml:space="preserve"> </w:t>
      </w:r>
      <w:r w:rsidR="00004149" w:rsidRPr="00691C17">
        <w:rPr>
          <w:rFonts w:ascii="Segoe UI" w:hAnsi="Segoe UI" w:cs="Segoe UI"/>
          <w:iCs/>
          <w:color w:val="auto"/>
          <w:spacing w:val="-6"/>
          <w:sz w:val="19"/>
          <w:szCs w:val="19"/>
          <w:lang w:eastAsia="ja-JP"/>
        </w:rPr>
        <w:t>de la Banque centrale (0,</w:t>
      </w:r>
      <w:r w:rsidR="00AC0CC1">
        <w:rPr>
          <w:rFonts w:ascii="Segoe UI" w:hAnsi="Segoe UI" w:cs="Segoe UI"/>
          <w:iCs/>
          <w:color w:val="auto"/>
          <w:spacing w:val="-6"/>
          <w:sz w:val="19"/>
          <w:szCs w:val="19"/>
          <w:lang w:eastAsia="ja-JP"/>
        </w:rPr>
        <w:t>6</w:t>
      </w:r>
      <w:r w:rsidR="00004149" w:rsidRPr="00691C17">
        <w:rPr>
          <w:rFonts w:ascii="Segoe UI" w:hAnsi="Segoe UI" w:cs="Segoe UI"/>
          <w:iCs/>
          <w:color w:val="auto"/>
          <w:spacing w:val="-6"/>
          <w:sz w:val="19"/>
          <w:szCs w:val="19"/>
          <w:lang w:eastAsia="ja-JP"/>
        </w:rPr>
        <w:t xml:space="preserve"> %)</w:t>
      </w:r>
      <w:r w:rsidR="0000211B">
        <w:rPr>
          <w:rFonts w:ascii="Segoe UI" w:hAnsi="Segoe UI" w:cs="Segoe UI"/>
          <w:iCs/>
          <w:color w:val="auto"/>
          <w:spacing w:val="-6"/>
          <w:sz w:val="19"/>
          <w:szCs w:val="19"/>
          <w:lang w:eastAsia="ja-JP"/>
        </w:rPr>
        <w:t xml:space="preserve"> sont légèrement plus optimistes que celles du FMI, actualisées avant l’observation des chiffres du second trimestre (+0,2 %). Elles sont cohérentes avec la fourchette basse de la dernière</w:t>
      </w:r>
      <w:r w:rsidR="00004149" w:rsidRPr="00691C17">
        <w:rPr>
          <w:rFonts w:ascii="Segoe UI" w:hAnsi="Segoe UI" w:cs="Segoe UI"/>
          <w:iCs/>
          <w:color w:val="auto"/>
          <w:spacing w:val="-6"/>
          <w:sz w:val="19"/>
          <w:szCs w:val="19"/>
          <w:lang w:eastAsia="ja-JP"/>
        </w:rPr>
        <w:t xml:space="preserve"> </w:t>
      </w:r>
      <w:r w:rsidR="0000211B">
        <w:rPr>
          <w:rFonts w:ascii="Segoe UI" w:hAnsi="Segoe UI" w:cs="Segoe UI"/>
          <w:iCs/>
          <w:color w:val="auto"/>
          <w:spacing w:val="-6"/>
          <w:sz w:val="19"/>
          <w:szCs w:val="19"/>
          <w:lang w:eastAsia="ja-JP"/>
        </w:rPr>
        <w:t>prévision</w:t>
      </w:r>
      <w:r w:rsidR="0000211B" w:rsidRPr="00691C17">
        <w:rPr>
          <w:rFonts w:ascii="Segoe UI" w:hAnsi="Segoe UI" w:cs="Segoe UI"/>
          <w:iCs/>
          <w:color w:val="auto"/>
          <w:spacing w:val="-6"/>
          <w:sz w:val="19"/>
          <w:szCs w:val="19"/>
          <w:lang w:eastAsia="ja-JP"/>
        </w:rPr>
        <w:t xml:space="preserve"> </w:t>
      </w:r>
      <w:r w:rsidR="002055A0" w:rsidRPr="00691C17">
        <w:rPr>
          <w:rFonts w:ascii="Segoe UI" w:hAnsi="Segoe UI" w:cs="Segoe UI"/>
          <w:iCs/>
          <w:color w:val="auto"/>
          <w:spacing w:val="-6"/>
          <w:sz w:val="19"/>
          <w:szCs w:val="19"/>
          <w:lang w:eastAsia="ja-JP"/>
        </w:rPr>
        <w:t xml:space="preserve">du </w:t>
      </w:r>
      <w:r w:rsidR="004F295E">
        <w:rPr>
          <w:rFonts w:ascii="Segoe UI" w:hAnsi="Segoe UI" w:cs="Segoe UI"/>
          <w:iCs/>
          <w:color w:val="auto"/>
          <w:spacing w:val="-6"/>
          <w:sz w:val="19"/>
          <w:szCs w:val="19"/>
          <w:lang w:eastAsia="ja-JP"/>
        </w:rPr>
        <w:t>ministère des Finances</w:t>
      </w:r>
      <w:r w:rsidR="00755963">
        <w:rPr>
          <w:rFonts w:ascii="Segoe UI" w:hAnsi="Segoe UI" w:cs="Segoe UI"/>
          <w:iCs/>
          <w:color w:val="auto"/>
          <w:spacing w:val="-6"/>
          <w:sz w:val="19"/>
          <w:szCs w:val="19"/>
          <w:lang w:eastAsia="ja-JP"/>
        </w:rPr>
        <w:t xml:space="preserve"> (</w:t>
      </w:r>
      <w:r w:rsidR="002055A0" w:rsidRPr="00691C17">
        <w:rPr>
          <w:rFonts w:ascii="Segoe UI" w:hAnsi="Segoe UI" w:cs="Segoe UI"/>
          <w:iCs/>
          <w:color w:val="auto"/>
          <w:spacing w:val="-6"/>
          <w:sz w:val="19"/>
          <w:szCs w:val="19"/>
          <w:lang w:eastAsia="ja-JP"/>
        </w:rPr>
        <w:t xml:space="preserve">comprise entre </w:t>
      </w:r>
      <w:r w:rsidR="00EB4D91">
        <w:rPr>
          <w:rFonts w:ascii="Segoe UI" w:hAnsi="Segoe UI" w:cs="Segoe UI"/>
          <w:iCs/>
          <w:color w:val="auto"/>
          <w:spacing w:val="-6"/>
          <w:sz w:val="19"/>
          <w:szCs w:val="19"/>
          <w:lang w:eastAsia="ja-JP"/>
        </w:rPr>
        <w:t>0</w:t>
      </w:r>
      <w:r w:rsidR="002055A0" w:rsidRPr="00691C17">
        <w:rPr>
          <w:rFonts w:ascii="Segoe UI" w:hAnsi="Segoe UI" w:cs="Segoe UI"/>
          <w:iCs/>
          <w:color w:val="auto"/>
          <w:spacing w:val="-6"/>
          <w:sz w:val="19"/>
          <w:szCs w:val="19"/>
          <w:lang w:eastAsia="ja-JP"/>
        </w:rPr>
        <w:t>,5 et</w:t>
      </w:r>
      <w:r w:rsidR="00EB4D91">
        <w:rPr>
          <w:rFonts w:ascii="Segoe UI" w:hAnsi="Segoe UI" w:cs="Segoe UI"/>
          <w:iCs/>
          <w:color w:val="auto"/>
          <w:spacing w:val="-6"/>
          <w:sz w:val="19"/>
          <w:szCs w:val="19"/>
          <w:lang w:eastAsia="ja-JP"/>
        </w:rPr>
        <w:t xml:space="preserve"> 1</w:t>
      </w:r>
      <w:r w:rsidR="002055A0" w:rsidRPr="00691C17">
        <w:rPr>
          <w:rFonts w:ascii="Segoe UI" w:hAnsi="Segoe UI" w:cs="Segoe UI"/>
          <w:iCs/>
          <w:color w:val="auto"/>
          <w:spacing w:val="-6"/>
          <w:sz w:val="19"/>
          <w:szCs w:val="19"/>
          <w:lang w:eastAsia="ja-JP"/>
        </w:rPr>
        <w:t>,</w:t>
      </w:r>
      <w:r w:rsidR="00EB4D91">
        <w:rPr>
          <w:rFonts w:ascii="Segoe UI" w:hAnsi="Segoe UI" w:cs="Segoe UI"/>
          <w:iCs/>
          <w:color w:val="auto"/>
          <w:spacing w:val="-6"/>
          <w:sz w:val="19"/>
          <w:szCs w:val="19"/>
          <w:lang w:eastAsia="ja-JP"/>
        </w:rPr>
        <w:t>5</w:t>
      </w:r>
      <w:r w:rsidR="002055A0" w:rsidRPr="00691C17">
        <w:rPr>
          <w:rFonts w:ascii="Segoe UI" w:hAnsi="Segoe UI" w:cs="Segoe UI"/>
          <w:iCs/>
          <w:color w:val="auto"/>
          <w:spacing w:val="-6"/>
          <w:sz w:val="19"/>
          <w:szCs w:val="19"/>
          <w:lang w:eastAsia="ja-JP"/>
        </w:rPr>
        <w:t xml:space="preserve"> %</w:t>
      </w:r>
      <w:r w:rsidR="00755963">
        <w:rPr>
          <w:rFonts w:ascii="Segoe UI" w:hAnsi="Segoe UI" w:cs="Segoe UI"/>
          <w:iCs/>
          <w:color w:val="auto"/>
          <w:spacing w:val="-6"/>
          <w:sz w:val="19"/>
          <w:szCs w:val="19"/>
          <w:lang w:eastAsia="ja-JP"/>
        </w:rPr>
        <w:t>)</w:t>
      </w:r>
      <w:r w:rsidR="0000211B">
        <w:rPr>
          <w:rFonts w:ascii="Segoe UI" w:hAnsi="Segoe UI" w:cs="Segoe UI"/>
          <w:iCs/>
          <w:color w:val="auto"/>
          <w:spacing w:val="-6"/>
          <w:sz w:val="19"/>
          <w:szCs w:val="19"/>
          <w:lang w:eastAsia="ja-JP"/>
        </w:rPr>
        <w:t>.</w:t>
      </w:r>
      <w:r w:rsidR="008B35FC">
        <w:rPr>
          <w:rFonts w:ascii="Segoe UI" w:hAnsi="Segoe UI" w:cs="Segoe UI"/>
          <w:iCs/>
          <w:color w:val="auto"/>
          <w:spacing w:val="-6"/>
          <w:sz w:val="19"/>
          <w:szCs w:val="19"/>
          <w:lang w:eastAsia="ja-JP"/>
        </w:rPr>
        <w:t xml:space="preserve"> </w:t>
      </w:r>
    </w:p>
    <w:p w14:paraId="390D2352" w14:textId="36EA3D22" w:rsidR="00A070E2" w:rsidRPr="00B64CB2" w:rsidRDefault="00A070E2" w:rsidP="00311E4D">
      <w:pPr>
        <w:pStyle w:val="Brvesco-Normal"/>
        <w:tabs>
          <w:tab w:val="left" w:pos="9639"/>
        </w:tabs>
        <w:spacing w:line="240" w:lineRule="auto"/>
        <w:ind w:left="-993" w:right="143"/>
        <w:rPr>
          <w:rFonts w:ascii="Segoe UI" w:hAnsi="Segoe UI" w:cs="Segoe UI"/>
          <w:iCs/>
          <w:spacing w:val="-6"/>
          <w:sz w:val="19"/>
          <w:szCs w:val="19"/>
          <w:lang w:eastAsia="ja-JP"/>
        </w:rPr>
      </w:pPr>
      <w:r w:rsidRPr="0076026A">
        <w:rPr>
          <w:rFonts w:ascii="Segoe UI" w:hAnsi="Segoe UI" w:cs="Segoe UI"/>
          <w:b/>
          <w:bCs/>
          <w:iCs/>
          <w:color w:val="000091" w:themeColor="text1"/>
          <w:spacing w:val="-6"/>
          <w:sz w:val="19"/>
          <w:szCs w:val="19"/>
          <w:lang w:eastAsia="ja-JP"/>
        </w:rPr>
        <w:t xml:space="preserve">Taux de chômage | </w:t>
      </w:r>
      <w:r w:rsidRPr="0076026A">
        <w:rPr>
          <w:rFonts w:ascii="Segoe UI" w:hAnsi="Segoe UI" w:cs="Segoe UI"/>
          <w:b/>
          <w:bCs/>
          <w:iCs/>
          <w:spacing w:val="-6"/>
          <w:sz w:val="19"/>
          <w:szCs w:val="19"/>
          <w:lang w:eastAsia="ja-JP"/>
        </w:rPr>
        <w:t xml:space="preserve">Le taux de chômage </w:t>
      </w:r>
      <w:r w:rsidR="00ED016A">
        <w:rPr>
          <w:rFonts w:ascii="Segoe UI" w:hAnsi="Segoe UI" w:cs="Segoe UI"/>
          <w:b/>
          <w:bCs/>
          <w:iCs/>
          <w:spacing w:val="-6"/>
          <w:sz w:val="19"/>
          <w:szCs w:val="19"/>
          <w:lang w:eastAsia="ja-JP"/>
        </w:rPr>
        <w:t>s’est établit à 2,7</w:t>
      </w:r>
      <w:r w:rsidR="005834B6">
        <w:rPr>
          <w:rFonts w:ascii="Segoe UI" w:hAnsi="Segoe UI" w:cs="Segoe UI"/>
          <w:b/>
          <w:bCs/>
          <w:iCs/>
          <w:spacing w:val="-6"/>
          <w:sz w:val="19"/>
          <w:szCs w:val="19"/>
          <w:lang w:eastAsia="ja-JP"/>
        </w:rPr>
        <w:t xml:space="preserve"> %</w:t>
      </w:r>
      <w:r w:rsidR="00ED016A">
        <w:rPr>
          <w:rFonts w:ascii="Segoe UI" w:hAnsi="Segoe UI" w:cs="Segoe UI"/>
          <w:b/>
          <w:bCs/>
          <w:iCs/>
          <w:spacing w:val="-6"/>
          <w:sz w:val="19"/>
          <w:szCs w:val="19"/>
          <w:lang w:eastAsia="ja-JP"/>
        </w:rPr>
        <w:t xml:space="preserve"> au T2 2025, </w:t>
      </w:r>
      <w:r w:rsidR="00A10B55">
        <w:rPr>
          <w:rFonts w:ascii="Segoe UI" w:hAnsi="Segoe UI" w:cs="Segoe UI"/>
          <w:b/>
          <w:bCs/>
          <w:iCs/>
          <w:spacing w:val="-6"/>
          <w:sz w:val="19"/>
          <w:szCs w:val="19"/>
          <w:lang w:eastAsia="ja-JP"/>
        </w:rPr>
        <w:t>globalement stable depuis la fin de l’année 2023</w:t>
      </w:r>
      <w:r w:rsidRPr="0076026A">
        <w:rPr>
          <w:rFonts w:ascii="Segoe UI" w:hAnsi="Segoe UI" w:cs="Segoe UI"/>
          <w:b/>
          <w:bCs/>
          <w:iCs/>
          <w:spacing w:val="-6"/>
          <w:sz w:val="19"/>
          <w:szCs w:val="19"/>
          <w:lang w:eastAsia="ja-JP"/>
        </w:rPr>
        <w:t xml:space="preserve">. </w:t>
      </w:r>
      <w:r w:rsidR="002C6B5C">
        <w:rPr>
          <w:rFonts w:ascii="Segoe UI" w:hAnsi="Segoe UI" w:cs="Segoe UI"/>
          <w:iCs/>
          <w:spacing w:val="-6"/>
          <w:sz w:val="19"/>
          <w:szCs w:val="19"/>
          <w:lang w:eastAsia="ja-JP"/>
        </w:rPr>
        <w:t>Alors</w:t>
      </w:r>
      <w:r w:rsidR="00670630" w:rsidRPr="00670630">
        <w:rPr>
          <w:rFonts w:ascii="Segoe UI" w:hAnsi="Segoe UI" w:cs="Segoe UI"/>
          <w:iCs/>
          <w:spacing w:val="-6"/>
          <w:sz w:val="19"/>
          <w:szCs w:val="19"/>
          <w:lang w:eastAsia="ja-JP"/>
        </w:rPr>
        <w:t xml:space="preserve"> que</w:t>
      </w:r>
      <w:r w:rsidR="00670630">
        <w:rPr>
          <w:rFonts w:ascii="Segoe UI" w:hAnsi="Segoe UI" w:cs="Segoe UI"/>
          <w:iCs/>
          <w:spacing w:val="-6"/>
          <w:sz w:val="19"/>
          <w:szCs w:val="19"/>
          <w:lang w:eastAsia="ja-JP"/>
        </w:rPr>
        <w:t xml:space="preserve"> le salaire minimum </w:t>
      </w:r>
      <w:r w:rsidR="002C6B5C">
        <w:rPr>
          <w:rFonts w:ascii="Segoe UI" w:hAnsi="Segoe UI" w:cs="Segoe UI"/>
          <w:iCs/>
          <w:spacing w:val="-6"/>
          <w:sz w:val="19"/>
          <w:szCs w:val="19"/>
          <w:lang w:eastAsia="ja-JP"/>
        </w:rPr>
        <w:t>a</w:t>
      </w:r>
      <w:r w:rsidR="00670630">
        <w:rPr>
          <w:rFonts w:ascii="Segoe UI" w:hAnsi="Segoe UI" w:cs="Segoe UI"/>
          <w:iCs/>
          <w:spacing w:val="-6"/>
          <w:sz w:val="19"/>
          <w:szCs w:val="19"/>
          <w:lang w:eastAsia="ja-JP"/>
        </w:rPr>
        <w:t xml:space="preserve"> continué à augmenter (+</w:t>
      </w:r>
      <w:r w:rsidR="005D3677">
        <w:rPr>
          <w:rFonts w:ascii="Segoe UI" w:hAnsi="Segoe UI" w:cs="Segoe UI"/>
          <w:iCs/>
          <w:spacing w:val="-6"/>
          <w:sz w:val="19"/>
          <w:szCs w:val="19"/>
          <w:lang w:eastAsia="ja-JP"/>
        </w:rPr>
        <w:t>12</w:t>
      </w:r>
      <w:r w:rsidR="00670630">
        <w:rPr>
          <w:rFonts w:ascii="Segoe UI" w:hAnsi="Segoe UI" w:cs="Segoe UI"/>
          <w:iCs/>
          <w:spacing w:val="-6"/>
          <w:sz w:val="19"/>
          <w:szCs w:val="19"/>
          <w:lang w:eastAsia="ja-JP"/>
        </w:rPr>
        <w:t xml:space="preserve"> % </w:t>
      </w:r>
      <w:r w:rsidR="009E72D2">
        <w:rPr>
          <w:rFonts w:ascii="Segoe UI" w:hAnsi="Segoe UI" w:cs="Segoe UI"/>
          <w:iCs/>
          <w:spacing w:val="-6"/>
          <w:sz w:val="19"/>
          <w:szCs w:val="19"/>
          <w:lang w:eastAsia="ja-JP"/>
        </w:rPr>
        <w:t xml:space="preserve">en janvier </w:t>
      </w:r>
      <w:r w:rsidR="00670630">
        <w:rPr>
          <w:rFonts w:ascii="Segoe UI" w:hAnsi="Segoe UI" w:cs="Segoe UI"/>
          <w:iCs/>
          <w:spacing w:val="-6"/>
          <w:sz w:val="19"/>
          <w:szCs w:val="19"/>
          <w:lang w:eastAsia="ja-JP"/>
        </w:rPr>
        <w:t>202</w:t>
      </w:r>
      <w:r w:rsidR="005D3677">
        <w:rPr>
          <w:rFonts w:ascii="Segoe UI" w:hAnsi="Segoe UI" w:cs="Segoe UI"/>
          <w:iCs/>
          <w:spacing w:val="-6"/>
          <w:sz w:val="19"/>
          <w:szCs w:val="19"/>
          <w:lang w:eastAsia="ja-JP"/>
        </w:rPr>
        <w:t>5</w:t>
      </w:r>
      <w:r w:rsidR="009E72D2">
        <w:rPr>
          <w:rFonts w:ascii="Segoe UI" w:hAnsi="Segoe UI" w:cs="Segoe UI"/>
          <w:iCs/>
          <w:spacing w:val="-6"/>
          <w:sz w:val="19"/>
          <w:szCs w:val="19"/>
          <w:lang w:eastAsia="ja-JP"/>
        </w:rPr>
        <w:t xml:space="preserve"> par rapport à 2024</w:t>
      </w:r>
      <w:r w:rsidR="00670630">
        <w:rPr>
          <w:rFonts w:ascii="Segoe UI" w:hAnsi="Segoe UI" w:cs="Segoe UI"/>
          <w:iCs/>
          <w:spacing w:val="-6"/>
          <w:sz w:val="19"/>
          <w:szCs w:val="19"/>
          <w:lang w:eastAsia="ja-JP"/>
        </w:rPr>
        <w:t> ; +1</w:t>
      </w:r>
      <w:r w:rsidR="008059CD">
        <w:rPr>
          <w:rFonts w:ascii="Segoe UI" w:hAnsi="Segoe UI" w:cs="Segoe UI"/>
          <w:iCs/>
          <w:spacing w:val="-6"/>
          <w:sz w:val="19"/>
          <w:szCs w:val="19"/>
          <w:lang w:eastAsia="ja-JP"/>
        </w:rPr>
        <w:t>35</w:t>
      </w:r>
      <w:r w:rsidR="00670630">
        <w:rPr>
          <w:rFonts w:ascii="Segoe UI" w:hAnsi="Segoe UI" w:cs="Segoe UI"/>
          <w:iCs/>
          <w:spacing w:val="-6"/>
          <w:sz w:val="19"/>
          <w:szCs w:val="19"/>
          <w:lang w:eastAsia="ja-JP"/>
        </w:rPr>
        <w:t xml:space="preserve"> %</w:t>
      </w:r>
      <w:r w:rsidR="00C56DA7">
        <w:rPr>
          <w:rFonts w:ascii="Segoe UI" w:hAnsi="Segoe UI" w:cs="Segoe UI"/>
          <w:iCs/>
          <w:spacing w:val="-6"/>
          <w:sz w:val="19"/>
          <w:szCs w:val="19"/>
          <w:lang w:eastAsia="ja-JP"/>
        </w:rPr>
        <w:t xml:space="preserve"> </w:t>
      </w:r>
      <w:r w:rsidR="00670630">
        <w:rPr>
          <w:rFonts w:ascii="Segoe UI" w:hAnsi="Segoe UI" w:cs="Segoe UI"/>
          <w:iCs/>
          <w:spacing w:val="-6"/>
          <w:sz w:val="19"/>
          <w:szCs w:val="19"/>
          <w:lang w:eastAsia="ja-JP"/>
        </w:rPr>
        <w:t xml:space="preserve">depuis 2018), </w:t>
      </w:r>
      <w:r w:rsidRPr="0076026A">
        <w:rPr>
          <w:rFonts w:ascii="Segoe UI" w:hAnsi="Segoe UI" w:cs="Segoe UI"/>
          <w:iCs/>
          <w:spacing w:val="-6"/>
          <w:sz w:val="19"/>
          <w:szCs w:val="19"/>
          <w:lang w:eastAsia="ja-JP"/>
        </w:rPr>
        <w:t xml:space="preserve">l’informalité </w:t>
      </w:r>
      <w:r w:rsidR="00F95CF9">
        <w:rPr>
          <w:rFonts w:ascii="Segoe UI" w:hAnsi="Segoe UI" w:cs="Segoe UI"/>
          <w:iCs/>
          <w:spacing w:val="-6"/>
          <w:sz w:val="19"/>
          <w:szCs w:val="19"/>
          <w:lang w:eastAsia="ja-JP"/>
        </w:rPr>
        <w:t>touche</w:t>
      </w:r>
      <w:r w:rsidR="002C6B5C">
        <w:rPr>
          <w:rFonts w:ascii="Segoe UI" w:hAnsi="Segoe UI" w:cs="Segoe UI"/>
          <w:iCs/>
          <w:spacing w:val="-6"/>
          <w:sz w:val="19"/>
          <w:szCs w:val="19"/>
          <w:lang w:eastAsia="ja-JP"/>
        </w:rPr>
        <w:t xml:space="preserve"> toujours</w:t>
      </w:r>
      <w:r w:rsidR="00F95CF9">
        <w:rPr>
          <w:rFonts w:ascii="Segoe UI" w:hAnsi="Segoe UI" w:cs="Segoe UI"/>
          <w:iCs/>
          <w:spacing w:val="-6"/>
          <w:sz w:val="19"/>
          <w:szCs w:val="19"/>
          <w:lang w:eastAsia="ja-JP"/>
        </w:rPr>
        <w:t xml:space="preserve"> </w:t>
      </w:r>
      <w:r w:rsidRPr="0076026A">
        <w:rPr>
          <w:rFonts w:ascii="Segoe UI" w:hAnsi="Segoe UI" w:cs="Segoe UI"/>
          <w:iCs/>
          <w:spacing w:val="-6"/>
          <w:sz w:val="19"/>
          <w:szCs w:val="19"/>
          <w:lang w:eastAsia="ja-JP"/>
        </w:rPr>
        <w:t>plus d’un travailleur sur deux (</w:t>
      </w:r>
      <w:r w:rsidR="00ED016A">
        <w:rPr>
          <w:rFonts w:ascii="Segoe UI" w:hAnsi="Segoe UI" w:cs="Segoe UI"/>
          <w:iCs/>
          <w:spacing w:val="-6"/>
          <w:sz w:val="19"/>
          <w:szCs w:val="19"/>
          <w:lang w:eastAsia="ja-JP"/>
        </w:rPr>
        <w:t xml:space="preserve">54,8 % </w:t>
      </w:r>
      <w:r w:rsidR="00ED016A" w:rsidRPr="00B64CB2">
        <w:rPr>
          <w:rFonts w:ascii="Segoe UI" w:hAnsi="Segoe UI" w:cs="Segoe UI"/>
          <w:iCs/>
          <w:spacing w:val="-6"/>
          <w:sz w:val="19"/>
          <w:szCs w:val="19"/>
          <w:lang w:eastAsia="ja-JP"/>
        </w:rPr>
        <w:t>de la population</w:t>
      </w:r>
      <w:r w:rsidR="00773931">
        <w:rPr>
          <w:rFonts w:ascii="Segoe UI" w:hAnsi="Segoe UI" w:cs="Segoe UI"/>
          <w:iCs/>
          <w:spacing w:val="-6"/>
          <w:sz w:val="19"/>
          <w:szCs w:val="19"/>
          <w:lang w:eastAsia="ja-JP"/>
        </w:rPr>
        <w:t xml:space="preserve"> </w:t>
      </w:r>
      <w:r w:rsidR="00773931" w:rsidRPr="00773931">
        <w:rPr>
          <w:rFonts w:ascii="Segoe UI" w:hAnsi="Segoe UI" w:cs="Segoe UI"/>
          <w:iCs/>
          <w:spacing w:val="-6"/>
          <w:sz w:val="19"/>
          <w:szCs w:val="19"/>
          <w:lang w:eastAsia="ja-JP"/>
        </w:rPr>
        <w:t>a</w:t>
      </w:r>
      <w:r w:rsidR="008059CD" w:rsidRPr="00773931">
        <w:rPr>
          <w:rFonts w:ascii="Segoe UI" w:hAnsi="Segoe UI" w:cs="Segoe UI"/>
          <w:iCs/>
          <w:spacing w:val="-6"/>
          <w:sz w:val="19"/>
          <w:szCs w:val="19"/>
          <w:lang w:eastAsia="ja-JP"/>
        </w:rPr>
        <w:t>cti</w:t>
      </w:r>
      <w:r w:rsidR="008059CD" w:rsidRPr="00B64CB2">
        <w:rPr>
          <w:rFonts w:ascii="Segoe UI" w:hAnsi="Segoe UI" w:cs="Segoe UI"/>
          <w:iCs/>
          <w:spacing w:val="-6"/>
          <w:sz w:val="19"/>
          <w:szCs w:val="19"/>
          <w:lang w:eastAsia="ja-JP"/>
        </w:rPr>
        <w:t>v</w:t>
      </w:r>
      <w:r w:rsidR="008059CD">
        <w:rPr>
          <w:rFonts w:ascii="Segoe UI" w:hAnsi="Segoe UI" w:cs="Segoe UI"/>
          <w:iCs/>
          <w:spacing w:val="-6"/>
          <w:sz w:val="19"/>
          <w:szCs w:val="19"/>
          <w:lang w:eastAsia="ja-JP"/>
        </w:rPr>
        <w:t xml:space="preserve">e au </w:t>
      </w:r>
      <w:r w:rsidR="00ED016A">
        <w:rPr>
          <w:rFonts w:ascii="Segoe UI" w:hAnsi="Segoe UI" w:cs="Segoe UI"/>
          <w:iCs/>
          <w:spacing w:val="-6"/>
          <w:sz w:val="19"/>
          <w:szCs w:val="19"/>
          <w:lang w:eastAsia="ja-JP"/>
        </w:rPr>
        <w:t xml:space="preserve">T2 2025, en légère augmentation par rapport </w:t>
      </w:r>
      <w:r w:rsidR="008059CD">
        <w:rPr>
          <w:rFonts w:ascii="Segoe UI" w:hAnsi="Segoe UI" w:cs="Segoe UI"/>
          <w:iCs/>
          <w:spacing w:val="-6"/>
          <w:sz w:val="19"/>
          <w:szCs w:val="19"/>
          <w:lang w:eastAsia="ja-JP"/>
        </w:rPr>
        <w:t>au taux de 5</w:t>
      </w:r>
      <w:r w:rsidR="00EC094B">
        <w:rPr>
          <w:rFonts w:ascii="Segoe UI" w:hAnsi="Segoe UI" w:cs="Segoe UI"/>
          <w:iCs/>
          <w:spacing w:val="-6"/>
          <w:sz w:val="19"/>
          <w:szCs w:val="19"/>
          <w:lang w:eastAsia="ja-JP"/>
        </w:rPr>
        <w:t>4</w:t>
      </w:r>
      <w:r w:rsidR="008059CD">
        <w:rPr>
          <w:rFonts w:ascii="Segoe UI" w:hAnsi="Segoe UI" w:cs="Segoe UI"/>
          <w:iCs/>
          <w:spacing w:val="-6"/>
          <w:sz w:val="19"/>
          <w:szCs w:val="19"/>
          <w:lang w:eastAsia="ja-JP"/>
        </w:rPr>
        <w:t>,</w:t>
      </w:r>
      <w:r w:rsidR="00EC094B">
        <w:rPr>
          <w:rFonts w:ascii="Segoe UI" w:hAnsi="Segoe UI" w:cs="Segoe UI"/>
          <w:iCs/>
          <w:spacing w:val="-6"/>
          <w:sz w:val="19"/>
          <w:szCs w:val="19"/>
          <w:lang w:eastAsia="ja-JP"/>
        </w:rPr>
        <w:t>5</w:t>
      </w:r>
      <w:r w:rsidR="008059CD">
        <w:rPr>
          <w:rFonts w:ascii="Segoe UI" w:hAnsi="Segoe UI" w:cs="Segoe UI"/>
          <w:iCs/>
          <w:spacing w:val="-6"/>
          <w:sz w:val="19"/>
          <w:szCs w:val="19"/>
          <w:lang w:eastAsia="ja-JP"/>
        </w:rPr>
        <w:t xml:space="preserve"> % enregistré</w:t>
      </w:r>
      <w:r w:rsidR="00ED016A">
        <w:rPr>
          <w:rFonts w:ascii="Segoe UI" w:hAnsi="Segoe UI" w:cs="Segoe UI"/>
          <w:iCs/>
          <w:spacing w:val="-6"/>
          <w:sz w:val="19"/>
          <w:szCs w:val="19"/>
          <w:lang w:eastAsia="ja-JP"/>
        </w:rPr>
        <w:t xml:space="preserve"> </w:t>
      </w:r>
      <w:r w:rsidR="0090717D">
        <w:rPr>
          <w:rFonts w:ascii="Segoe UI" w:hAnsi="Segoe UI" w:cs="Segoe UI"/>
          <w:iCs/>
          <w:spacing w:val="-6"/>
          <w:sz w:val="19"/>
          <w:szCs w:val="19"/>
          <w:lang w:eastAsia="ja-JP"/>
        </w:rPr>
        <w:t xml:space="preserve">au T4 </w:t>
      </w:r>
      <w:r w:rsidR="00ED016A">
        <w:rPr>
          <w:rFonts w:ascii="Segoe UI" w:hAnsi="Segoe UI" w:cs="Segoe UI"/>
          <w:iCs/>
          <w:spacing w:val="-6"/>
          <w:sz w:val="19"/>
          <w:szCs w:val="19"/>
          <w:lang w:eastAsia="ja-JP"/>
        </w:rPr>
        <w:t>2024</w:t>
      </w:r>
      <w:r w:rsidRPr="0076026A">
        <w:rPr>
          <w:rFonts w:ascii="Segoe UI" w:hAnsi="Segoe UI" w:cs="Segoe UI"/>
          <w:iCs/>
          <w:spacing w:val="-6"/>
          <w:sz w:val="19"/>
          <w:szCs w:val="19"/>
          <w:lang w:eastAsia="ja-JP"/>
        </w:rPr>
        <w:t>).</w:t>
      </w:r>
    </w:p>
    <w:p w14:paraId="67E7B8E4" w14:textId="7917D55B" w:rsidR="00A070E2" w:rsidRPr="00773931" w:rsidRDefault="00A070E2" w:rsidP="00773931">
      <w:pPr>
        <w:pStyle w:val="Brvesco-Normal"/>
        <w:tabs>
          <w:tab w:val="left" w:pos="9639"/>
        </w:tabs>
        <w:spacing w:line="240" w:lineRule="auto"/>
        <w:ind w:left="-993" w:right="143"/>
        <w:rPr>
          <w:rFonts w:ascii="Segoe UI" w:hAnsi="Segoe UI" w:cs="Segoe UI"/>
          <w:iCs/>
          <w:color w:val="auto"/>
          <w:spacing w:val="-6"/>
          <w:sz w:val="2"/>
          <w:szCs w:val="2"/>
          <w:lang w:eastAsia="ja-JP"/>
        </w:rPr>
      </w:pPr>
    </w:p>
    <w:p w14:paraId="0515B227" w14:textId="355AF34B" w:rsidR="006C08D4" w:rsidRDefault="00A070E2" w:rsidP="00BB3B94">
      <w:pPr>
        <w:pStyle w:val="Briefinglist1"/>
        <w:numPr>
          <w:ilvl w:val="0"/>
          <w:numId w:val="0"/>
        </w:numPr>
        <w:tabs>
          <w:tab w:val="left" w:pos="9639"/>
        </w:tabs>
        <w:spacing w:after="0"/>
        <w:ind w:left="-993" w:right="142"/>
        <w:rPr>
          <w:rFonts w:ascii="Segoe UI" w:hAnsi="Segoe UI" w:cs="Segoe UI"/>
          <w:noProof/>
          <w:color w:val="000091" w:themeColor="text1"/>
          <w:spacing w:val="-6"/>
          <w:sz w:val="20"/>
          <w:szCs w:val="20"/>
          <w:lang w:val="fr-FR" w:eastAsia="fr-FR"/>
        </w:rPr>
      </w:pPr>
      <w:r w:rsidRPr="0076026A">
        <w:rPr>
          <w:rFonts w:ascii="Segoe UI" w:hAnsi="Segoe UI" w:cs="Segoe UI"/>
          <w:b/>
          <w:color w:val="000091" w:themeColor="text1"/>
          <w:spacing w:val="-6"/>
          <w:szCs w:val="20"/>
          <w:lang w:val="fr-FR"/>
        </w:rPr>
        <w:t>Finances publiques | Un</w:t>
      </w:r>
      <w:r w:rsidR="003F7CB4">
        <w:rPr>
          <w:rFonts w:ascii="Segoe UI" w:hAnsi="Segoe UI" w:cs="Segoe UI"/>
          <w:b/>
          <w:color w:val="000091" w:themeColor="text1"/>
          <w:spacing w:val="-6"/>
          <w:szCs w:val="20"/>
          <w:lang w:val="fr-FR"/>
        </w:rPr>
        <w:t xml:space="preserve">e année 2025 sous le signe de la consolidation budgétaire </w:t>
      </w:r>
    </w:p>
    <w:p w14:paraId="0C6B8A93" w14:textId="0D581197" w:rsidR="006B0634" w:rsidRDefault="0072166F" w:rsidP="006C08D4">
      <w:pPr>
        <w:pStyle w:val="Briefinglist1"/>
        <w:numPr>
          <w:ilvl w:val="0"/>
          <w:numId w:val="0"/>
        </w:numPr>
        <w:tabs>
          <w:tab w:val="left" w:pos="9639"/>
        </w:tabs>
        <w:spacing w:after="0"/>
        <w:ind w:left="-993" w:right="142"/>
        <w:rPr>
          <w:rFonts w:ascii="Segoe UI" w:hAnsi="Segoe UI" w:cs="Segoe UI"/>
          <w:iCs/>
          <w:spacing w:val="-6"/>
          <w:sz w:val="19"/>
          <w:szCs w:val="19"/>
          <w:lang w:val="fr-FR" w:eastAsia="ja-JP"/>
        </w:rPr>
      </w:pPr>
      <w:r>
        <w:rPr>
          <w:rFonts w:ascii="Segoe UI" w:hAnsi="Segoe UI" w:cs="Segoe UI"/>
          <w:b/>
          <w:bCs/>
          <w:iCs/>
          <w:noProof/>
          <w:spacing w:val="-6"/>
          <w:sz w:val="19"/>
          <w:szCs w:val="19"/>
          <w:lang w:val="fr-FR" w:eastAsia="ja-JP"/>
        </w:rPr>
        <w:drawing>
          <wp:anchor distT="0" distB="0" distL="114300" distR="114300" simplePos="0" relativeHeight="251729920" behindDoc="0" locked="0" layoutInCell="1" allowOverlap="1" wp14:anchorId="1B89778F" wp14:editId="3BD487BD">
            <wp:simplePos x="0" y="0"/>
            <wp:positionH relativeFrom="column">
              <wp:posOffset>-580390</wp:posOffset>
            </wp:positionH>
            <wp:positionV relativeFrom="paragraph">
              <wp:posOffset>205740</wp:posOffset>
            </wp:positionV>
            <wp:extent cx="2651760" cy="1216660"/>
            <wp:effectExtent l="0" t="0" r="0" b="254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1760" cy="1216660"/>
                    </a:xfrm>
                    <a:prstGeom prst="rect">
                      <a:avLst/>
                    </a:prstGeom>
                    <a:noFill/>
                  </pic:spPr>
                </pic:pic>
              </a:graphicData>
            </a:graphic>
            <wp14:sizeRelH relativeFrom="page">
              <wp14:pctWidth>0</wp14:pctWidth>
            </wp14:sizeRelH>
            <wp14:sizeRelV relativeFrom="page">
              <wp14:pctHeight>0</wp14:pctHeight>
            </wp14:sizeRelV>
          </wp:anchor>
        </w:drawing>
      </w:r>
      <w:r w:rsidR="00FC133D" w:rsidRPr="009A7ACB">
        <w:rPr>
          <w:rFonts w:ascii="Segoe UI" w:hAnsi="Segoe UI" w:cs="Segoe UI"/>
          <w:b/>
          <w:bCs/>
          <w:iCs/>
          <w:color w:val="000091" w:themeColor="text1"/>
          <w:spacing w:val="-6"/>
          <w:sz w:val="19"/>
          <w:szCs w:val="19"/>
          <w:lang w:val="fr-FR" w:eastAsia="ja-JP"/>
        </w:rPr>
        <w:t xml:space="preserve">Politique budgétaire | </w:t>
      </w:r>
      <w:r w:rsidR="00FC133D" w:rsidRPr="009A7ACB">
        <w:rPr>
          <w:rFonts w:ascii="Segoe UI" w:hAnsi="Segoe UI" w:cs="Segoe UI"/>
          <w:b/>
          <w:bCs/>
          <w:iCs/>
          <w:spacing w:val="-6"/>
          <w:sz w:val="19"/>
          <w:szCs w:val="19"/>
          <w:lang w:val="fr-FR" w:eastAsia="ja-JP"/>
        </w:rPr>
        <w:t xml:space="preserve">Le </w:t>
      </w:r>
      <w:r>
        <w:rPr>
          <w:rFonts w:ascii="Segoe UI" w:hAnsi="Segoe UI" w:cs="Segoe UI"/>
          <w:b/>
          <w:bCs/>
          <w:iCs/>
          <w:spacing w:val="-6"/>
          <w:sz w:val="19"/>
          <w:szCs w:val="19"/>
          <w:lang w:val="fr-FR" w:eastAsia="ja-JP"/>
        </w:rPr>
        <w:t>gouvernement</w:t>
      </w:r>
      <w:r w:rsidR="00FC133D" w:rsidRPr="009A7ACB">
        <w:rPr>
          <w:rFonts w:ascii="Segoe UI" w:hAnsi="Segoe UI" w:cs="Segoe UI"/>
          <w:b/>
          <w:bCs/>
          <w:iCs/>
          <w:spacing w:val="-6"/>
          <w:sz w:val="19"/>
          <w:szCs w:val="19"/>
          <w:lang w:val="fr-FR" w:eastAsia="ja-JP"/>
        </w:rPr>
        <w:t xml:space="preserve"> </w:t>
      </w:r>
      <w:r w:rsidR="00B84BF4">
        <w:rPr>
          <w:rFonts w:ascii="Segoe UI" w:hAnsi="Segoe UI" w:cs="Segoe UI"/>
          <w:b/>
          <w:bCs/>
          <w:iCs/>
          <w:spacing w:val="-6"/>
          <w:sz w:val="19"/>
          <w:szCs w:val="19"/>
          <w:lang w:val="fr-FR" w:eastAsia="ja-JP"/>
        </w:rPr>
        <w:t>a mis</w:t>
      </w:r>
      <w:r w:rsidR="00FC133D" w:rsidRPr="009A7ACB">
        <w:rPr>
          <w:rFonts w:ascii="Segoe UI" w:hAnsi="Segoe UI" w:cs="Segoe UI"/>
          <w:b/>
          <w:bCs/>
          <w:iCs/>
          <w:spacing w:val="-6"/>
          <w:sz w:val="19"/>
          <w:szCs w:val="19"/>
          <w:lang w:val="fr-FR" w:eastAsia="ja-JP"/>
        </w:rPr>
        <w:t xml:space="preserve"> l’accent sur la consolidation </w:t>
      </w:r>
      <w:r w:rsidR="006D3410">
        <w:rPr>
          <w:rFonts w:ascii="Segoe UI" w:hAnsi="Segoe UI" w:cs="Segoe UI"/>
          <w:b/>
          <w:bCs/>
          <w:iCs/>
          <w:spacing w:val="-6"/>
          <w:sz w:val="19"/>
          <w:szCs w:val="19"/>
          <w:lang w:val="fr-FR" w:eastAsia="ja-JP"/>
        </w:rPr>
        <w:t>budgétaire</w:t>
      </w:r>
      <w:r w:rsidR="00FC133D" w:rsidRPr="009A7ACB">
        <w:rPr>
          <w:rFonts w:ascii="Segoe UI" w:hAnsi="Segoe UI" w:cs="Segoe UI"/>
          <w:b/>
          <w:bCs/>
          <w:iCs/>
          <w:spacing w:val="-6"/>
          <w:sz w:val="19"/>
          <w:szCs w:val="19"/>
          <w:lang w:val="fr-FR" w:eastAsia="ja-JP"/>
        </w:rPr>
        <w:t xml:space="preserve">, prévoyant de ramener le déficit </w:t>
      </w:r>
      <w:r w:rsidR="00B84BF4">
        <w:rPr>
          <w:rFonts w:ascii="Segoe UI" w:hAnsi="Segoe UI" w:cs="Segoe UI"/>
          <w:b/>
          <w:bCs/>
          <w:iCs/>
          <w:spacing w:val="-6"/>
          <w:sz w:val="19"/>
          <w:szCs w:val="19"/>
          <w:lang w:val="fr-FR" w:eastAsia="ja-JP"/>
        </w:rPr>
        <w:t xml:space="preserve">public </w:t>
      </w:r>
      <w:r>
        <w:rPr>
          <w:rFonts w:ascii="Segoe UI" w:hAnsi="Segoe UI" w:cs="Segoe UI"/>
          <w:b/>
          <w:bCs/>
          <w:iCs/>
          <w:spacing w:val="-6"/>
          <w:sz w:val="19"/>
          <w:szCs w:val="19"/>
          <w:lang w:val="fr-FR" w:eastAsia="ja-JP"/>
        </w:rPr>
        <w:t>à 4,3</w:t>
      </w:r>
      <w:r w:rsidR="00440E6C">
        <w:rPr>
          <w:rFonts w:ascii="Segoe UI" w:hAnsi="Segoe UI" w:cs="Segoe UI"/>
          <w:b/>
          <w:bCs/>
          <w:iCs/>
          <w:spacing w:val="-6"/>
          <w:sz w:val="19"/>
          <w:szCs w:val="19"/>
          <w:lang w:val="fr-FR" w:eastAsia="ja-JP"/>
        </w:rPr>
        <w:t xml:space="preserve"> </w:t>
      </w:r>
      <w:r w:rsidR="00FC133D" w:rsidRPr="009A7ACB">
        <w:rPr>
          <w:rFonts w:ascii="Segoe UI" w:hAnsi="Segoe UI" w:cs="Segoe UI"/>
          <w:b/>
          <w:bCs/>
          <w:iCs/>
          <w:spacing w:val="-6"/>
          <w:sz w:val="19"/>
          <w:szCs w:val="19"/>
          <w:lang w:val="fr-FR" w:eastAsia="ja-JP"/>
        </w:rPr>
        <w:t>% du PIB</w:t>
      </w:r>
      <w:r w:rsidR="00BA3543">
        <w:rPr>
          <w:rFonts w:ascii="Segoe UI" w:hAnsi="Segoe UI" w:cs="Segoe UI"/>
          <w:b/>
          <w:bCs/>
          <w:iCs/>
          <w:spacing w:val="-6"/>
          <w:sz w:val="19"/>
          <w:szCs w:val="19"/>
          <w:lang w:val="fr-FR" w:eastAsia="ja-JP"/>
        </w:rPr>
        <w:t xml:space="preserve"> en 2025</w:t>
      </w:r>
      <w:r w:rsidR="00921B83">
        <w:rPr>
          <w:rFonts w:ascii="Segoe UI" w:hAnsi="Segoe UI" w:cs="Segoe UI"/>
          <w:b/>
          <w:bCs/>
          <w:iCs/>
          <w:spacing w:val="-6"/>
          <w:sz w:val="19"/>
          <w:szCs w:val="19"/>
          <w:lang w:val="fr-FR" w:eastAsia="ja-JP"/>
        </w:rPr>
        <w:t xml:space="preserve"> (la dette </w:t>
      </w:r>
      <w:r w:rsidR="0048370E">
        <w:rPr>
          <w:rFonts w:ascii="Segoe UI" w:hAnsi="Segoe UI" w:cs="Segoe UI"/>
          <w:b/>
          <w:bCs/>
          <w:iCs/>
          <w:spacing w:val="-6"/>
          <w:sz w:val="19"/>
          <w:szCs w:val="19"/>
          <w:lang w:val="fr-FR" w:eastAsia="ja-JP"/>
        </w:rPr>
        <w:t>atteindrait</w:t>
      </w:r>
      <w:r w:rsidR="00921B83">
        <w:rPr>
          <w:rFonts w:ascii="Segoe UI" w:hAnsi="Segoe UI" w:cs="Segoe UI"/>
          <w:b/>
          <w:bCs/>
          <w:iCs/>
          <w:spacing w:val="-6"/>
          <w:sz w:val="19"/>
          <w:szCs w:val="19"/>
          <w:lang w:val="fr-FR" w:eastAsia="ja-JP"/>
        </w:rPr>
        <w:t xml:space="preserve"> 52,3 % du PIB fin 2025)</w:t>
      </w:r>
      <w:r w:rsidR="00457785">
        <w:rPr>
          <w:rFonts w:ascii="Segoe UI" w:hAnsi="Segoe UI" w:cs="Segoe UI"/>
          <w:b/>
          <w:bCs/>
          <w:iCs/>
          <w:spacing w:val="-6"/>
          <w:sz w:val="19"/>
          <w:szCs w:val="19"/>
          <w:lang w:val="fr-FR" w:eastAsia="ja-JP"/>
        </w:rPr>
        <w:t>.</w:t>
      </w:r>
      <w:r w:rsidR="00FC133D" w:rsidRPr="009A7ACB">
        <w:rPr>
          <w:rFonts w:ascii="Segoe UI" w:hAnsi="Segoe UI" w:cs="Segoe UI"/>
          <w:b/>
          <w:bCs/>
          <w:iCs/>
          <w:spacing w:val="-6"/>
          <w:sz w:val="19"/>
          <w:szCs w:val="19"/>
          <w:lang w:val="fr-FR" w:eastAsia="ja-JP"/>
        </w:rPr>
        <w:t xml:space="preserve"> </w:t>
      </w:r>
      <w:r w:rsidR="00457785" w:rsidRPr="005235D4">
        <w:rPr>
          <w:rFonts w:ascii="Segoe UI" w:hAnsi="Segoe UI" w:cs="Segoe UI"/>
          <w:iCs/>
          <w:spacing w:val="-6"/>
          <w:sz w:val="19"/>
          <w:szCs w:val="19"/>
          <w:lang w:val="fr-FR" w:eastAsia="ja-JP"/>
        </w:rPr>
        <w:t>A</w:t>
      </w:r>
      <w:r w:rsidR="00457785" w:rsidRPr="00457785">
        <w:rPr>
          <w:rFonts w:ascii="Segoe UI" w:hAnsi="Segoe UI" w:cs="Segoe UI"/>
          <w:iCs/>
          <w:spacing w:val="-6"/>
          <w:sz w:val="19"/>
          <w:szCs w:val="19"/>
          <w:lang w:val="fr-FR" w:eastAsia="ja-JP"/>
        </w:rPr>
        <w:t>près un déficit record enregistré en 2024 (5,7 %</w:t>
      </w:r>
      <w:r w:rsidR="00857C6B">
        <w:rPr>
          <w:rFonts w:ascii="Segoe UI" w:hAnsi="Segoe UI" w:cs="Segoe UI"/>
          <w:iCs/>
          <w:spacing w:val="-6"/>
          <w:sz w:val="19"/>
          <w:szCs w:val="19"/>
          <w:lang w:val="fr-FR" w:eastAsia="ja-JP"/>
        </w:rPr>
        <w:t xml:space="preserve"> du PIB</w:t>
      </w:r>
      <w:r w:rsidR="00457785" w:rsidRPr="00457785">
        <w:rPr>
          <w:rFonts w:ascii="Segoe UI" w:hAnsi="Segoe UI" w:cs="Segoe UI"/>
          <w:iCs/>
          <w:spacing w:val="-6"/>
          <w:sz w:val="19"/>
          <w:szCs w:val="19"/>
          <w:lang w:val="fr-FR" w:eastAsia="ja-JP"/>
        </w:rPr>
        <w:t>)</w:t>
      </w:r>
      <w:r w:rsidR="00457785">
        <w:rPr>
          <w:rFonts w:ascii="Segoe UI" w:hAnsi="Segoe UI" w:cs="Segoe UI"/>
          <w:iCs/>
          <w:spacing w:val="-6"/>
          <w:sz w:val="19"/>
          <w:szCs w:val="19"/>
          <w:lang w:val="fr-FR" w:eastAsia="ja-JP"/>
        </w:rPr>
        <w:t xml:space="preserve">, </w:t>
      </w:r>
      <w:r w:rsidR="005235D4">
        <w:rPr>
          <w:rFonts w:ascii="Segoe UI" w:hAnsi="Segoe UI" w:cs="Segoe UI"/>
          <w:iCs/>
          <w:spacing w:val="-6"/>
          <w:sz w:val="19"/>
          <w:szCs w:val="19"/>
          <w:lang w:val="fr-FR" w:eastAsia="ja-JP"/>
        </w:rPr>
        <w:t xml:space="preserve">la présidente </w:t>
      </w:r>
      <w:r w:rsidR="00FC133D">
        <w:rPr>
          <w:rFonts w:ascii="Segoe UI" w:hAnsi="Segoe UI" w:cs="Segoe UI"/>
          <w:iCs/>
          <w:spacing w:val="-6"/>
          <w:sz w:val="19"/>
          <w:szCs w:val="19"/>
          <w:lang w:val="fr-FR" w:eastAsia="ja-JP"/>
        </w:rPr>
        <w:t>Claudia Sheinbaum</w:t>
      </w:r>
      <w:r w:rsidR="005235D4">
        <w:rPr>
          <w:rFonts w:ascii="Segoe UI" w:hAnsi="Segoe UI" w:cs="Segoe UI"/>
          <w:iCs/>
          <w:spacing w:val="-6"/>
          <w:sz w:val="19"/>
          <w:szCs w:val="19"/>
          <w:lang w:val="fr-FR" w:eastAsia="ja-JP"/>
        </w:rPr>
        <w:t xml:space="preserve"> a mis l’accent sur l’assainissement des finances publiques. </w:t>
      </w:r>
      <w:r w:rsidR="00857C6B">
        <w:rPr>
          <w:rFonts w:ascii="Segoe UI" w:hAnsi="Segoe UI" w:cs="Segoe UI"/>
          <w:iCs/>
          <w:spacing w:val="-6"/>
          <w:sz w:val="19"/>
          <w:szCs w:val="19"/>
          <w:lang w:val="fr-FR" w:eastAsia="ja-JP"/>
        </w:rPr>
        <w:t xml:space="preserve">Le budget 2025 mise </w:t>
      </w:r>
      <w:r w:rsidR="00440E6C">
        <w:rPr>
          <w:rFonts w:ascii="Segoe UI" w:hAnsi="Segoe UI" w:cs="Segoe UI"/>
          <w:iCs/>
          <w:spacing w:val="-6"/>
          <w:sz w:val="19"/>
          <w:szCs w:val="19"/>
          <w:lang w:val="fr-FR" w:eastAsia="ja-JP"/>
        </w:rPr>
        <w:t xml:space="preserve">ainsi </w:t>
      </w:r>
      <w:r w:rsidR="00857C6B">
        <w:rPr>
          <w:rFonts w:ascii="Segoe UI" w:hAnsi="Segoe UI" w:cs="Segoe UI"/>
          <w:iCs/>
          <w:spacing w:val="-6"/>
          <w:sz w:val="19"/>
          <w:szCs w:val="19"/>
          <w:lang w:val="fr-FR" w:eastAsia="ja-JP"/>
        </w:rPr>
        <w:t>sur</w:t>
      </w:r>
      <w:r w:rsidR="00FC133D" w:rsidRPr="008818D1">
        <w:rPr>
          <w:rFonts w:ascii="Segoe UI" w:hAnsi="Segoe UI" w:cs="Segoe UI"/>
          <w:iCs/>
          <w:spacing w:val="-6"/>
          <w:sz w:val="19"/>
          <w:szCs w:val="19"/>
          <w:lang w:val="fr-FR" w:eastAsia="ja-JP"/>
        </w:rPr>
        <w:t xml:space="preserve"> une baisse des dépenses (-1,9 % en termes réels par rapport au budget 2024), et une hausse des recettes (+5,4 %)</w:t>
      </w:r>
      <w:r w:rsidR="00773931">
        <w:rPr>
          <w:rFonts w:ascii="Segoe UI" w:hAnsi="Segoe UI" w:cs="Segoe UI"/>
          <w:iCs/>
          <w:spacing w:val="-6"/>
          <w:sz w:val="19"/>
          <w:szCs w:val="19"/>
          <w:lang w:val="fr-FR" w:eastAsia="ja-JP"/>
        </w:rPr>
        <w:t xml:space="preserve">, </w:t>
      </w:r>
      <w:r w:rsidR="00857C6B">
        <w:rPr>
          <w:rFonts w:ascii="Segoe UI" w:hAnsi="Segoe UI" w:cs="Segoe UI"/>
          <w:iCs/>
          <w:spacing w:val="-6"/>
          <w:sz w:val="19"/>
          <w:szCs w:val="19"/>
          <w:lang w:val="fr-FR" w:eastAsia="ja-JP"/>
        </w:rPr>
        <w:t>devant</w:t>
      </w:r>
      <w:r w:rsidR="00FC133D" w:rsidRPr="008818D1">
        <w:rPr>
          <w:rFonts w:ascii="Segoe UI" w:hAnsi="Segoe UI" w:cs="Segoe UI"/>
          <w:iCs/>
          <w:spacing w:val="-6"/>
          <w:sz w:val="19"/>
          <w:szCs w:val="19"/>
          <w:lang w:val="fr-FR" w:eastAsia="ja-JP"/>
        </w:rPr>
        <w:t xml:space="preserve"> permettre de dégager un solde primaire positif. </w:t>
      </w:r>
      <w:r w:rsidR="007E3004">
        <w:rPr>
          <w:rFonts w:ascii="Segoe UI" w:hAnsi="Segoe UI" w:cs="Segoe UI"/>
          <w:iCs/>
          <w:spacing w:val="-6"/>
          <w:sz w:val="19"/>
          <w:szCs w:val="19"/>
          <w:lang w:val="fr-FR" w:eastAsia="ja-JP"/>
        </w:rPr>
        <w:t>Au</w:t>
      </w:r>
      <w:r w:rsidR="001E5ED7">
        <w:rPr>
          <w:rFonts w:ascii="Segoe UI" w:hAnsi="Segoe UI" w:cs="Segoe UI"/>
          <w:iCs/>
          <w:spacing w:val="-6"/>
          <w:sz w:val="19"/>
          <w:szCs w:val="19"/>
          <w:lang w:val="fr-FR" w:eastAsia="ja-JP"/>
        </w:rPr>
        <w:t>-delà d’une réforme concernant les droits de douane, au</w:t>
      </w:r>
      <w:r w:rsidR="007E3004">
        <w:rPr>
          <w:rFonts w:ascii="Segoe UI" w:hAnsi="Segoe UI" w:cs="Segoe UI"/>
          <w:iCs/>
          <w:spacing w:val="-6"/>
          <w:sz w:val="19"/>
          <w:szCs w:val="19"/>
          <w:lang w:val="fr-FR" w:eastAsia="ja-JP"/>
        </w:rPr>
        <w:t>cune</w:t>
      </w:r>
      <w:r w:rsidR="007E3004" w:rsidRPr="008818D1">
        <w:rPr>
          <w:rFonts w:ascii="Segoe UI" w:hAnsi="Segoe UI" w:cs="Segoe UI"/>
          <w:iCs/>
          <w:spacing w:val="-6"/>
          <w:sz w:val="19"/>
          <w:szCs w:val="19"/>
          <w:lang w:val="fr-FR" w:eastAsia="ja-JP"/>
        </w:rPr>
        <w:t xml:space="preserve"> réforme fiscale</w:t>
      </w:r>
      <w:r w:rsidR="007E3004">
        <w:rPr>
          <w:rFonts w:ascii="Segoe UI" w:hAnsi="Segoe UI" w:cs="Segoe UI"/>
          <w:iCs/>
          <w:spacing w:val="-6"/>
          <w:sz w:val="19"/>
          <w:szCs w:val="19"/>
          <w:lang w:val="fr-FR" w:eastAsia="ja-JP"/>
        </w:rPr>
        <w:t xml:space="preserve"> </w:t>
      </w:r>
      <w:r w:rsidR="006A25EA">
        <w:rPr>
          <w:rFonts w:ascii="Segoe UI" w:hAnsi="Segoe UI" w:cs="Segoe UI"/>
          <w:iCs/>
          <w:spacing w:val="-6"/>
          <w:sz w:val="19"/>
          <w:szCs w:val="19"/>
          <w:lang w:val="fr-FR" w:eastAsia="ja-JP"/>
        </w:rPr>
        <w:t xml:space="preserve">d’envergure </w:t>
      </w:r>
      <w:r w:rsidR="007E3004" w:rsidRPr="008818D1">
        <w:rPr>
          <w:rFonts w:ascii="Segoe UI" w:hAnsi="Segoe UI" w:cs="Segoe UI"/>
          <w:iCs/>
          <w:spacing w:val="-6"/>
          <w:sz w:val="19"/>
          <w:szCs w:val="19"/>
          <w:lang w:val="fr-FR" w:eastAsia="ja-JP"/>
        </w:rPr>
        <w:t>n’est à l’ordre du jour</w:t>
      </w:r>
      <w:r w:rsidR="007E3004">
        <w:rPr>
          <w:rFonts w:ascii="Segoe UI" w:hAnsi="Segoe UI" w:cs="Segoe UI"/>
          <w:iCs/>
          <w:spacing w:val="-6"/>
          <w:sz w:val="19"/>
          <w:szCs w:val="19"/>
          <w:lang w:val="fr-FR" w:eastAsia="ja-JP"/>
        </w:rPr>
        <w:t xml:space="preserve"> : </w:t>
      </w:r>
      <w:r w:rsidR="006A25EA">
        <w:rPr>
          <w:rFonts w:ascii="Segoe UI" w:hAnsi="Segoe UI" w:cs="Segoe UI"/>
          <w:iCs/>
          <w:spacing w:val="-6"/>
          <w:sz w:val="19"/>
          <w:szCs w:val="19"/>
          <w:lang w:val="fr-FR" w:eastAsia="ja-JP"/>
        </w:rPr>
        <w:t>une</w:t>
      </w:r>
      <w:r w:rsidR="007E3004">
        <w:rPr>
          <w:rFonts w:ascii="Segoe UI" w:hAnsi="Segoe UI" w:cs="Segoe UI"/>
          <w:iCs/>
          <w:spacing w:val="-6"/>
          <w:sz w:val="19"/>
          <w:szCs w:val="19"/>
          <w:lang w:val="fr-FR" w:eastAsia="ja-JP"/>
        </w:rPr>
        <w:t xml:space="preserve"> </w:t>
      </w:r>
      <w:r w:rsidR="001E5ED7">
        <w:rPr>
          <w:rFonts w:ascii="Segoe UI" w:hAnsi="Segoe UI" w:cs="Segoe UI"/>
          <w:iCs/>
          <w:spacing w:val="-6"/>
          <w:sz w:val="19"/>
          <w:szCs w:val="19"/>
          <w:lang w:val="fr-FR" w:eastAsia="ja-JP"/>
        </w:rPr>
        <w:t xml:space="preserve">telle </w:t>
      </w:r>
      <w:r w:rsidR="007E3004">
        <w:rPr>
          <w:rFonts w:ascii="Segoe UI" w:hAnsi="Segoe UI" w:cs="Segoe UI"/>
          <w:iCs/>
          <w:spacing w:val="-6"/>
          <w:sz w:val="19"/>
          <w:szCs w:val="19"/>
          <w:lang w:val="fr-FR" w:eastAsia="ja-JP"/>
        </w:rPr>
        <w:t xml:space="preserve">réforme semble toutefois </w:t>
      </w:r>
      <w:r w:rsidR="007E3004" w:rsidRPr="008818D1">
        <w:rPr>
          <w:rFonts w:ascii="Segoe UI" w:hAnsi="Segoe UI" w:cs="Segoe UI"/>
          <w:iCs/>
          <w:spacing w:val="-6"/>
          <w:sz w:val="19"/>
          <w:szCs w:val="19"/>
          <w:lang w:val="fr-FR" w:eastAsia="ja-JP"/>
        </w:rPr>
        <w:t xml:space="preserve">nécessaire pour garantir </w:t>
      </w:r>
      <w:r w:rsidR="007E3004">
        <w:rPr>
          <w:rFonts w:ascii="Segoe UI" w:hAnsi="Segoe UI" w:cs="Segoe UI"/>
          <w:iCs/>
          <w:spacing w:val="-6"/>
          <w:sz w:val="19"/>
          <w:szCs w:val="19"/>
          <w:lang w:val="fr-FR" w:eastAsia="ja-JP"/>
        </w:rPr>
        <w:t>un niveau adéquat de</w:t>
      </w:r>
      <w:r w:rsidR="007E3004" w:rsidRPr="008818D1">
        <w:rPr>
          <w:rFonts w:ascii="Segoe UI" w:hAnsi="Segoe UI" w:cs="Segoe UI"/>
          <w:iCs/>
          <w:spacing w:val="-6"/>
          <w:sz w:val="19"/>
          <w:szCs w:val="19"/>
          <w:lang w:val="fr-FR" w:eastAsia="ja-JP"/>
        </w:rPr>
        <w:t xml:space="preserve"> dépenses sociales et d’investissement</w:t>
      </w:r>
      <w:r w:rsidR="007E3004">
        <w:rPr>
          <w:rFonts w:ascii="Segoe UI" w:hAnsi="Segoe UI" w:cs="Segoe UI"/>
          <w:iCs/>
          <w:spacing w:val="-6"/>
          <w:sz w:val="19"/>
          <w:szCs w:val="19"/>
          <w:lang w:val="fr-FR" w:eastAsia="ja-JP"/>
        </w:rPr>
        <w:t>,</w:t>
      </w:r>
      <w:r w:rsidR="007E3004" w:rsidRPr="008818D1">
        <w:rPr>
          <w:rFonts w:ascii="Segoe UI" w:hAnsi="Segoe UI" w:cs="Segoe UI"/>
          <w:iCs/>
          <w:spacing w:val="-6"/>
          <w:sz w:val="19"/>
          <w:szCs w:val="19"/>
          <w:lang w:val="fr-FR" w:eastAsia="ja-JP"/>
        </w:rPr>
        <w:t xml:space="preserve"> en baisse dans le budget 2025.</w:t>
      </w:r>
    </w:p>
    <w:p w14:paraId="66F5189F" w14:textId="75A98BB6" w:rsidR="0042617A" w:rsidRPr="0042617A" w:rsidRDefault="00641787" w:rsidP="00DC1380">
      <w:pPr>
        <w:pStyle w:val="Briefinglist1"/>
        <w:numPr>
          <w:ilvl w:val="0"/>
          <w:numId w:val="0"/>
        </w:numPr>
        <w:tabs>
          <w:tab w:val="left" w:pos="9639"/>
        </w:tabs>
        <w:spacing w:after="0"/>
        <w:ind w:left="-993" w:right="142"/>
        <w:rPr>
          <w:rFonts w:ascii="Segoe UI" w:hAnsi="Segoe UI" w:cs="Segoe UI"/>
          <w:iCs/>
          <w:spacing w:val="-6"/>
          <w:sz w:val="19"/>
          <w:szCs w:val="19"/>
          <w:lang w:val="fr-FR" w:eastAsia="ja-JP"/>
        </w:rPr>
      </w:pPr>
      <w:r w:rsidRPr="0076026A">
        <w:rPr>
          <w:rFonts w:ascii="Segoe UI" w:hAnsi="Segoe UI" w:cs="Segoe UI"/>
          <w:b/>
          <w:bCs/>
          <w:iCs/>
          <w:color w:val="000091" w:themeColor="text1"/>
          <w:spacing w:val="-6"/>
          <w:sz w:val="19"/>
          <w:szCs w:val="19"/>
          <w:lang w:val="fr-FR" w:eastAsia="ja-JP"/>
        </w:rPr>
        <w:t>Finances publiques</w:t>
      </w:r>
      <w:r w:rsidR="007B68A1">
        <w:rPr>
          <w:rFonts w:ascii="Segoe UI" w:hAnsi="Segoe UI" w:cs="Segoe UI"/>
          <w:b/>
          <w:bCs/>
          <w:iCs/>
          <w:color w:val="000091" w:themeColor="text1"/>
          <w:spacing w:val="-6"/>
          <w:sz w:val="19"/>
          <w:szCs w:val="19"/>
          <w:lang w:val="fr-FR" w:eastAsia="ja-JP"/>
        </w:rPr>
        <w:t xml:space="preserve"> </w:t>
      </w:r>
      <w:r w:rsidR="00FF5E6B">
        <w:rPr>
          <w:rFonts w:ascii="Segoe UI" w:hAnsi="Segoe UI" w:cs="Segoe UI"/>
          <w:b/>
          <w:bCs/>
          <w:iCs/>
          <w:color w:val="000091" w:themeColor="text1"/>
          <w:spacing w:val="-6"/>
          <w:sz w:val="19"/>
          <w:szCs w:val="19"/>
          <w:lang w:val="fr-FR" w:eastAsia="ja-JP"/>
        </w:rPr>
        <w:t xml:space="preserve">au S1 </w:t>
      </w:r>
      <w:r w:rsidR="007B68A1">
        <w:rPr>
          <w:rFonts w:ascii="Segoe UI" w:hAnsi="Segoe UI" w:cs="Segoe UI"/>
          <w:b/>
          <w:bCs/>
          <w:iCs/>
          <w:color w:val="000091" w:themeColor="text1"/>
          <w:spacing w:val="-6"/>
          <w:sz w:val="19"/>
          <w:szCs w:val="19"/>
          <w:lang w:val="fr-FR" w:eastAsia="ja-JP"/>
        </w:rPr>
        <w:t>202</w:t>
      </w:r>
      <w:r w:rsidR="00FC133D">
        <w:rPr>
          <w:rFonts w:ascii="Segoe UI" w:hAnsi="Segoe UI" w:cs="Segoe UI"/>
          <w:b/>
          <w:bCs/>
          <w:iCs/>
          <w:color w:val="000091" w:themeColor="text1"/>
          <w:spacing w:val="-6"/>
          <w:sz w:val="19"/>
          <w:szCs w:val="19"/>
          <w:lang w:val="fr-FR" w:eastAsia="ja-JP"/>
        </w:rPr>
        <w:t>5</w:t>
      </w:r>
      <w:r w:rsidRPr="0076026A">
        <w:rPr>
          <w:rFonts w:ascii="Segoe UI" w:hAnsi="Segoe UI" w:cs="Segoe UI"/>
          <w:b/>
          <w:bCs/>
          <w:iCs/>
          <w:color w:val="000091" w:themeColor="text1"/>
          <w:spacing w:val="-6"/>
          <w:sz w:val="19"/>
          <w:szCs w:val="19"/>
          <w:lang w:val="fr-FR" w:eastAsia="ja-JP"/>
        </w:rPr>
        <w:t xml:space="preserve"> | </w:t>
      </w:r>
      <w:r w:rsidR="00652E3D">
        <w:rPr>
          <w:rFonts w:ascii="Segoe UI" w:hAnsi="Segoe UI" w:cs="Segoe UI"/>
          <w:b/>
          <w:bCs/>
          <w:iCs/>
          <w:spacing w:val="-6"/>
          <w:sz w:val="19"/>
          <w:szCs w:val="19"/>
          <w:lang w:val="fr-FR" w:eastAsia="ja-JP"/>
        </w:rPr>
        <w:t>Le</w:t>
      </w:r>
      <w:r w:rsidR="000E0E6C">
        <w:rPr>
          <w:rFonts w:ascii="Segoe UI" w:hAnsi="Segoe UI" w:cs="Segoe UI"/>
          <w:b/>
          <w:bCs/>
          <w:iCs/>
          <w:spacing w:val="-6"/>
          <w:sz w:val="19"/>
          <w:szCs w:val="19"/>
          <w:lang w:val="fr-FR" w:eastAsia="ja-JP"/>
        </w:rPr>
        <w:t xml:space="preserve"> gouvernement </w:t>
      </w:r>
      <w:r w:rsidR="00652E3D">
        <w:rPr>
          <w:rFonts w:ascii="Segoe UI" w:hAnsi="Segoe UI" w:cs="Segoe UI"/>
          <w:b/>
          <w:bCs/>
          <w:iCs/>
          <w:spacing w:val="-6"/>
          <w:sz w:val="19"/>
          <w:szCs w:val="19"/>
          <w:lang w:val="fr-FR" w:eastAsia="ja-JP"/>
        </w:rPr>
        <w:t>a consolidé ses finances publiques au premier semestre mais a dû revoir à la hausse s</w:t>
      </w:r>
      <w:r w:rsidR="0056142F">
        <w:rPr>
          <w:rFonts w:ascii="Segoe UI" w:hAnsi="Segoe UI" w:cs="Segoe UI"/>
          <w:b/>
          <w:bCs/>
          <w:iCs/>
          <w:spacing w:val="-6"/>
          <w:sz w:val="19"/>
          <w:szCs w:val="19"/>
          <w:lang w:val="fr-FR" w:eastAsia="ja-JP"/>
        </w:rPr>
        <w:t>a cible de déficit budgétaire pour 2025</w:t>
      </w:r>
      <w:r w:rsidR="000E0E6C" w:rsidRPr="001E5ED7">
        <w:rPr>
          <w:rFonts w:ascii="Segoe UI" w:hAnsi="Segoe UI" w:cs="Segoe UI"/>
          <w:iCs/>
          <w:spacing w:val="-6"/>
          <w:sz w:val="19"/>
          <w:szCs w:val="19"/>
          <w:lang w:val="fr-FR" w:eastAsia="ja-JP"/>
        </w:rPr>
        <w:t>.</w:t>
      </w:r>
      <w:r w:rsidR="000E0E6C">
        <w:rPr>
          <w:rFonts w:ascii="Segoe UI" w:hAnsi="Segoe UI" w:cs="Segoe UI"/>
          <w:b/>
          <w:bCs/>
          <w:iCs/>
          <w:spacing w:val="-6"/>
          <w:sz w:val="19"/>
          <w:szCs w:val="19"/>
          <w:lang w:val="fr-FR" w:eastAsia="ja-JP"/>
        </w:rPr>
        <w:t xml:space="preserve"> </w:t>
      </w:r>
      <w:r w:rsidR="000E0E6C">
        <w:rPr>
          <w:rFonts w:ascii="Segoe UI" w:hAnsi="Segoe UI" w:cs="Segoe UI"/>
          <w:iCs/>
          <w:spacing w:val="-6"/>
          <w:sz w:val="19"/>
          <w:szCs w:val="19"/>
          <w:lang w:val="fr-FR" w:eastAsia="ja-JP"/>
        </w:rPr>
        <w:t>Les recettes ont progressé de 3,4 % et les dépenses ont diminué de 3,8 % (</w:t>
      </w:r>
      <w:proofErr w:type="spellStart"/>
      <w:r w:rsidR="000E0E6C">
        <w:rPr>
          <w:rFonts w:ascii="Segoe UI" w:hAnsi="Segoe UI" w:cs="Segoe UI"/>
          <w:iCs/>
          <w:spacing w:val="-6"/>
          <w:sz w:val="19"/>
          <w:szCs w:val="19"/>
          <w:lang w:val="fr-FR" w:eastAsia="ja-JP"/>
        </w:rPr>
        <w:t>g.a</w:t>
      </w:r>
      <w:proofErr w:type="spellEnd"/>
      <w:r w:rsidR="000E0E6C">
        <w:rPr>
          <w:rFonts w:ascii="Segoe UI" w:hAnsi="Segoe UI" w:cs="Segoe UI"/>
          <w:iCs/>
          <w:spacing w:val="-6"/>
          <w:sz w:val="19"/>
          <w:szCs w:val="19"/>
          <w:lang w:val="fr-FR" w:eastAsia="ja-JP"/>
        </w:rPr>
        <w:t>., en termes réels) au S1 2025.</w:t>
      </w:r>
      <w:r w:rsidR="006F5295" w:rsidRPr="006F5295">
        <w:rPr>
          <w:rFonts w:ascii="Segoe UI" w:hAnsi="Segoe UI" w:cs="Segoe UI"/>
          <w:b/>
          <w:bCs/>
          <w:iCs/>
          <w:spacing w:val="-6"/>
          <w:sz w:val="19"/>
          <w:szCs w:val="19"/>
          <w:lang w:val="fr-FR" w:eastAsia="ja-JP"/>
        </w:rPr>
        <w:t xml:space="preserve"> </w:t>
      </w:r>
      <w:bookmarkStart w:id="2" w:name="_Hlk175823759"/>
      <w:r w:rsidR="00365E19" w:rsidRPr="00365E19">
        <w:rPr>
          <w:rFonts w:ascii="Segoe UI" w:hAnsi="Segoe UI" w:cs="Segoe UI"/>
          <w:iCs/>
          <w:spacing w:val="-6"/>
          <w:sz w:val="19"/>
          <w:szCs w:val="19"/>
          <w:lang w:val="fr-FR" w:eastAsia="ja-JP"/>
        </w:rPr>
        <w:t>L</w:t>
      </w:r>
      <w:r w:rsidR="000E0E6C">
        <w:rPr>
          <w:rFonts w:ascii="Segoe UI" w:hAnsi="Segoe UI" w:cs="Segoe UI"/>
          <w:iCs/>
          <w:spacing w:val="-6"/>
          <w:sz w:val="19"/>
          <w:szCs w:val="19"/>
          <w:lang w:val="fr-FR" w:eastAsia="ja-JP"/>
        </w:rPr>
        <w:t xml:space="preserve">e dynamisme </w:t>
      </w:r>
      <w:r w:rsidR="00773931">
        <w:rPr>
          <w:rFonts w:ascii="Segoe UI" w:hAnsi="Segoe UI" w:cs="Segoe UI"/>
          <w:iCs/>
          <w:spacing w:val="-6"/>
          <w:sz w:val="19"/>
          <w:szCs w:val="19"/>
          <w:lang w:val="fr-FR" w:eastAsia="ja-JP"/>
        </w:rPr>
        <w:t>des recettes fiscales</w:t>
      </w:r>
      <w:r w:rsidR="00365E19" w:rsidRPr="00365E19">
        <w:rPr>
          <w:rFonts w:ascii="Segoe UI" w:hAnsi="Segoe UI" w:cs="Segoe UI"/>
          <w:iCs/>
          <w:spacing w:val="-6"/>
          <w:sz w:val="19"/>
          <w:szCs w:val="19"/>
          <w:lang w:val="fr-FR" w:eastAsia="ja-JP"/>
        </w:rPr>
        <w:t xml:space="preserve"> </w:t>
      </w:r>
      <w:r w:rsidR="00A3753A">
        <w:rPr>
          <w:rFonts w:ascii="Segoe UI" w:hAnsi="Segoe UI" w:cs="Segoe UI"/>
          <w:iCs/>
          <w:spacing w:val="-6"/>
          <w:sz w:val="19"/>
          <w:szCs w:val="19"/>
          <w:lang w:val="fr-FR" w:eastAsia="ja-JP"/>
        </w:rPr>
        <w:t>a compensé la faiblesse des recettes pétrolières qui ont continué à décroitre</w:t>
      </w:r>
      <w:r w:rsidR="000E0E6C">
        <w:rPr>
          <w:rFonts w:ascii="Segoe UI" w:hAnsi="Segoe UI" w:cs="Segoe UI"/>
          <w:iCs/>
          <w:spacing w:val="-6"/>
          <w:sz w:val="19"/>
          <w:szCs w:val="19"/>
          <w:lang w:val="fr-FR" w:eastAsia="ja-JP"/>
        </w:rPr>
        <w:t xml:space="preserve"> sur la période</w:t>
      </w:r>
      <w:r w:rsidR="00FC133D">
        <w:rPr>
          <w:rFonts w:ascii="Segoe UI" w:hAnsi="Segoe UI" w:cs="Segoe UI"/>
          <w:iCs/>
          <w:spacing w:val="-6"/>
          <w:sz w:val="19"/>
          <w:szCs w:val="19"/>
          <w:lang w:val="fr-FR" w:eastAsia="ja-JP"/>
        </w:rPr>
        <w:t>.</w:t>
      </w:r>
      <w:r w:rsidR="00FC133D" w:rsidRPr="00FC133D">
        <w:rPr>
          <w:lang w:val="fr-FR"/>
        </w:rPr>
        <w:t xml:space="preserve"> </w:t>
      </w:r>
      <w:r w:rsidR="00FC133D">
        <w:rPr>
          <w:rFonts w:ascii="Segoe UI" w:hAnsi="Segoe UI" w:cs="Segoe UI"/>
          <w:iCs/>
          <w:spacing w:val="-6"/>
          <w:sz w:val="19"/>
          <w:szCs w:val="19"/>
          <w:lang w:val="fr-FR" w:eastAsia="ja-JP"/>
        </w:rPr>
        <w:t xml:space="preserve">La réduction des dépenses, </w:t>
      </w:r>
      <w:r w:rsidR="00773931">
        <w:rPr>
          <w:rFonts w:ascii="Segoe UI" w:hAnsi="Segoe UI" w:cs="Segoe UI"/>
          <w:iCs/>
          <w:spacing w:val="-6"/>
          <w:sz w:val="19"/>
          <w:szCs w:val="19"/>
          <w:lang w:val="fr-FR" w:eastAsia="ja-JP"/>
        </w:rPr>
        <w:t>en partie liée à une sous-exécution du budget</w:t>
      </w:r>
      <w:r w:rsidR="00FC133D">
        <w:rPr>
          <w:rFonts w:ascii="Segoe UI" w:hAnsi="Segoe UI" w:cs="Segoe UI"/>
          <w:iCs/>
          <w:spacing w:val="-6"/>
          <w:sz w:val="19"/>
          <w:szCs w:val="19"/>
          <w:lang w:val="fr-FR" w:eastAsia="ja-JP"/>
        </w:rPr>
        <w:t>, a conduit à d’importantes coupes dans les secteurs des infrastructures</w:t>
      </w:r>
      <w:r w:rsidR="0042617A">
        <w:rPr>
          <w:rFonts w:ascii="Segoe UI" w:hAnsi="Segoe UI" w:cs="Segoe UI"/>
          <w:iCs/>
          <w:spacing w:val="-6"/>
          <w:sz w:val="19"/>
          <w:szCs w:val="19"/>
          <w:lang w:val="fr-FR" w:eastAsia="ja-JP"/>
        </w:rPr>
        <w:t xml:space="preserve"> mais également </w:t>
      </w:r>
      <w:r w:rsidR="00FC133D">
        <w:rPr>
          <w:rFonts w:ascii="Segoe UI" w:hAnsi="Segoe UI" w:cs="Segoe UI"/>
          <w:iCs/>
          <w:spacing w:val="-6"/>
          <w:sz w:val="19"/>
          <w:szCs w:val="19"/>
          <w:lang w:val="fr-FR" w:eastAsia="ja-JP"/>
        </w:rPr>
        <w:t>de la santé et de l’éducation</w:t>
      </w:r>
      <w:r w:rsidR="00382FCA">
        <w:rPr>
          <w:rFonts w:ascii="Segoe UI" w:hAnsi="Segoe UI" w:cs="Segoe UI"/>
          <w:iCs/>
          <w:spacing w:val="-6"/>
          <w:sz w:val="19"/>
          <w:szCs w:val="19"/>
          <w:lang w:val="fr-FR" w:eastAsia="ja-JP"/>
        </w:rPr>
        <w:t>, compensant l</w:t>
      </w:r>
      <w:r w:rsidR="00F70841">
        <w:rPr>
          <w:rFonts w:ascii="Segoe UI" w:hAnsi="Segoe UI" w:cs="Segoe UI"/>
          <w:iCs/>
          <w:spacing w:val="-6"/>
          <w:sz w:val="19"/>
          <w:szCs w:val="19"/>
          <w:lang w:val="fr-FR" w:eastAsia="ja-JP"/>
        </w:rPr>
        <w:t xml:space="preserve">a </w:t>
      </w:r>
      <w:r w:rsidR="00382FCA">
        <w:rPr>
          <w:rFonts w:ascii="Segoe UI" w:hAnsi="Segoe UI" w:cs="Segoe UI"/>
          <w:iCs/>
          <w:spacing w:val="-6"/>
          <w:sz w:val="19"/>
          <w:szCs w:val="19"/>
          <w:lang w:val="fr-FR" w:eastAsia="ja-JP"/>
        </w:rPr>
        <w:t>hausse du</w:t>
      </w:r>
      <w:r w:rsidR="00FC133D">
        <w:rPr>
          <w:rFonts w:ascii="Segoe UI" w:hAnsi="Segoe UI" w:cs="Segoe UI"/>
          <w:iCs/>
          <w:spacing w:val="-6"/>
          <w:sz w:val="19"/>
          <w:szCs w:val="19"/>
          <w:lang w:val="fr-FR" w:eastAsia="ja-JP"/>
        </w:rPr>
        <w:t xml:space="preserve"> </w:t>
      </w:r>
      <w:r w:rsidR="0042617A">
        <w:rPr>
          <w:rFonts w:ascii="Segoe UI" w:hAnsi="Segoe UI" w:cs="Segoe UI"/>
          <w:iCs/>
          <w:spacing w:val="-6"/>
          <w:sz w:val="19"/>
          <w:szCs w:val="19"/>
          <w:lang w:val="fr-FR" w:eastAsia="ja-JP"/>
        </w:rPr>
        <w:t>coût financier de la dette</w:t>
      </w:r>
      <w:r w:rsidR="00382FCA">
        <w:rPr>
          <w:rFonts w:ascii="Segoe UI" w:hAnsi="Segoe UI" w:cs="Segoe UI"/>
          <w:iCs/>
          <w:spacing w:val="-6"/>
          <w:sz w:val="19"/>
          <w:szCs w:val="19"/>
          <w:lang w:val="fr-FR" w:eastAsia="ja-JP"/>
        </w:rPr>
        <w:t>. L</w:t>
      </w:r>
      <w:r w:rsidR="00300752">
        <w:rPr>
          <w:rFonts w:ascii="Segoe UI" w:hAnsi="Segoe UI" w:cs="Segoe UI"/>
          <w:iCs/>
          <w:spacing w:val="-6"/>
          <w:sz w:val="19"/>
          <w:szCs w:val="19"/>
          <w:lang w:val="fr-FR" w:eastAsia="ja-JP"/>
        </w:rPr>
        <w:t>e</w:t>
      </w:r>
      <w:r w:rsidR="00382FCA">
        <w:rPr>
          <w:rFonts w:ascii="Segoe UI" w:hAnsi="Segoe UI" w:cs="Segoe UI"/>
          <w:iCs/>
          <w:spacing w:val="-6"/>
          <w:sz w:val="19"/>
          <w:szCs w:val="19"/>
          <w:lang w:val="fr-FR" w:eastAsia="ja-JP"/>
        </w:rPr>
        <w:t xml:space="preserve"> </w:t>
      </w:r>
      <w:r w:rsidR="002000E4">
        <w:rPr>
          <w:rFonts w:ascii="Segoe UI" w:hAnsi="Segoe UI" w:cs="Segoe UI"/>
          <w:iCs/>
          <w:spacing w:val="-6"/>
          <w:sz w:val="19"/>
          <w:szCs w:val="19"/>
          <w:lang w:val="fr-FR" w:eastAsia="ja-JP"/>
        </w:rPr>
        <w:t>niveau de la dette publique a</w:t>
      </w:r>
      <w:r w:rsidR="00406CDD">
        <w:rPr>
          <w:rFonts w:ascii="Segoe UI" w:hAnsi="Segoe UI" w:cs="Segoe UI"/>
          <w:iCs/>
          <w:spacing w:val="-6"/>
          <w:sz w:val="19"/>
          <w:szCs w:val="19"/>
          <w:lang w:val="fr-FR" w:eastAsia="ja-JP"/>
        </w:rPr>
        <w:t xml:space="preserve"> </w:t>
      </w:r>
      <w:r w:rsidR="0060581C">
        <w:rPr>
          <w:rFonts w:ascii="Segoe UI" w:hAnsi="Segoe UI" w:cs="Segoe UI"/>
          <w:iCs/>
          <w:spacing w:val="-6"/>
          <w:sz w:val="19"/>
          <w:szCs w:val="19"/>
          <w:lang w:val="fr-FR" w:eastAsia="ja-JP"/>
        </w:rPr>
        <w:t>ainsi</w:t>
      </w:r>
      <w:r w:rsidR="002000E4">
        <w:rPr>
          <w:rFonts w:ascii="Segoe UI" w:hAnsi="Segoe UI" w:cs="Segoe UI"/>
          <w:iCs/>
          <w:spacing w:val="-6"/>
          <w:sz w:val="19"/>
          <w:szCs w:val="19"/>
          <w:lang w:val="fr-FR" w:eastAsia="ja-JP"/>
        </w:rPr>
        <w:t xml:space="preserve"> diminué au cours du S1 2025, atteignant </w:t>
      </w:r>
      <w:r w:rsidR="00406CDD">
        <w:rPr>
          <w:rFonts w:ascii="Segoe UI" w:hAnsi="Segoe UI" w:cs="Segoe UI"/>
          <w:iCs/>
          <w:spacing w:val="-6"/>
          <w:sz w:val="19"/>
          <w:szCs w:val="19"/>
          <w:lang w:val="fr-FR" w:eastAsia="ja-JP"/>
        </w:rPr>
        <w:t>49,5 %</w:t>
      </w:r>
      <w:r w:rsidR="00BD4659">
        <w:rPr>
          <w:rFonts w:ascii="Segoe UI" w:hAnsi="Segoe UI" w:cs="Segoe UI"/>
          <w:iCs/>
          <w:spacing w:val="-6"/>
          <w:sz w:val="19"/>
          <w:szCs w:val="19"/>
          <w:lang w:val="fr-FR" w:eastAsia="ja-JP"/>
        </w:rPr>
        <w:t xml:space="preserve"> du PIB</w:t>
      </w:r>
      <w:r w:rsidR="00406CDD">
        <w:rPr>
          <w:rFonts w:ascii="Segoe UI" w:hAnsi="Segoe UI" w:cs="Segoe UI"/>
          <w:iCs/>
          <w:spacing w:val="-6"/>
          <w:sz w:val="19"/>
          <w:szCs w:val="19"/>
          <w:lang w:val="fr-FR" w:eastAsia="ja-JP"/>
        </w:rPr>
        <w:t xml:space="preserve"> (contre 51,4 % fin 2024).</w:t>
      </w:r>
      <w:r w:rsidR="00AE3025" w:rsidRPr="00AE3025">
        <w:rPr>
          <w:rFonts w:ascii="Segoe UI" w:hAnsi="Segoe UI" w:cs="Segoe UI"/>
          <w:iCs/>
          <w:spacing w:val="-6"/>
          <w:sz w:val="19"/>
          <w:szCs w:val="19"/>
          <w:lang w:val="fr-FR" w:eastAsia="ja-JP"/>
        </w:rPr>
        <w:t xml:space="preserve"> </w:t>
      </w:r>
      <w:r w:rsidR="00167AB8">
        <w:rPr>
          <w:rFonts w:ascii="Segoe UI" w:hAnsi="Segoe UI" w:cs="Segoe UI"/>
          <w:iCs/>
          <w:spacing w:val="-6"/>
          <w:sz w:val="19"/>
          <w:szCs w:val="19"/>
          <w:lang w:val="fr-FR" w:eastAsia="ja-JP"/>
        </w:rPr>
        <w:t xml:space="preserve">Alors </w:t>
      </w:r>
      <w:r w:rsidR="001D4761">
        <w:rPr>
          <w:rFonts w:ascii="Segoe UI" w:hAnsi="Segoe UI" w:cs="Segoe UI"/>
          <w:iCs/>
          <w:spacing w:val="-6"/>
          <w:sz w:val="19"/>
          <w:szCs w:val="19"/>
          <w:lang w:val="fr-FR" w:eastAsia="ja-JP"/>
        </w:rPr>
        <w:t>que</w:t>
      </w:r>
      <w:r w:rsidR="00140930">
        <w:rPr>
          <w:rFonts w:ascii="Segoe UI" w:hAnsi="Segoe UI" w:cs="Segoe UI"/>
          <w:iCs/>
          <w:spacing w:val="-6"/>
          <w:sz w:val="19"/>
          <w:szCs w:val="19"/>
          <w:lang w:val="fr-FR" w:eastAsia="ja-JP"/>
        </w:rPr>
        <w:t xml:space="preserve"> </w:t>
      </w:r>
      <w:r w:rsidR="00167AB8">
        <w:rPr>
          <w:rFonts w:ascii="Segoe UI" w:hAnsi="Segoe UI" w:cs="Segoe UI"/>
          <w:iCs/>
          <w:spacing w:val="-6"/>
          <w:sz w:val="19"/>
          <w:szCs w:val="19"/>
          <w:lang w:val="fr-FR" w:eastAsia="ja-JP"/>
        </w:rPr>
        <w:t>l</w:t>
      </w:r>
      <w:r w:rsidR="00AE3025" w:rsidRPr="00440E6C">
        <w:rPr>
          <w:rFonts w:ascii="Segoe UI" w:hAnsi="Segoe UI" w:cs="Segoe UI"/>
          <w:iCs/>
          <w:spacing w:val="-6"/>
          <w:sz w:val="19"/>
          <w:szCs w:val="19"/>
          <w:lang w:val="fr-FR" w:eastAsia="ja-JP"/>
        </w:rPr>
        <w:t xml:space="preserve">’objectif de réduction du déficit </w:t>
      </w:r>
      <w:r w:rsidR="0007375D">
        <w:rPr>
          <w:rFonts w:ascii="Segoe UI" w:hAnsi="Segoe UI" w:cs="Segoe UI"/>
          <w:iCs/>
          <w:spacing w:val="-6"/>
          <w:sz w:val="19"/>
          <w:szCs w:val="19"/>
          <w:lang w:val="fr-FR" w:eastAsia="ja-JP"/>
        </w:rPr>
        <w:t>à</w:t>
      </w:r>
      <w:r w:rsidR="00AE3025" w:rsidRPr="00440E6C">
        <w:rPr>
          <w:rFonts w:ascii="Segoe UI" w:hAnsi="Segoe UI" w:cs="Segoe UI"/>
          <w:iCs/>
          <w:spacing w:val="-6"/>
          <w:sz w:val="19"/>
          <w:szCs w:val="19"/>
          <w:lang w:val="fr-FR" w:eastAsia="ja-JP"/>
        </w:rPr>
        <w:t xml:space="preserve"> 3,9 % </w:t>
      </w:r>
      <w:r w:rsidR="0007375D">
        <w:rPr>
          <w:rFonts w:ascii="Segoe UI" w:hAnsi="Segoe UI" w:cs="Segoe UI"/>
          <w:iCs/>
          <w:spacing w:val="-6"/>
          <w:sz w:val="19"/>
          <w:szCs w:val="19"/>
          <w:lang w:val="fr-FR" w:eastAsia="ja-JP"/>
        </w:rPr>
        <w:t>du PIB initialement prévu dans le budget 2025 semblait</w:t>
      </w:r>
      <w:r w:rsidR="00AE3025" w:rsidRPr="00440E6C">
        <w:rPr>
          <w:rFonts w:ascii="Segoe UI" w:hAnsi="Segoe UI" w:cs="Segoe UI"/>
          <w:iCs/>
          <w:spacing w:val="-6"/>
          <w:sz w:val="19"/>
          <w:szCs w:val="19"/>
          <w:lang w:val="fr-FR" w:eastAsia="ja-JP"/>
        </w:rPr>
        <w:t xml:space="preserve"> ambitieux</w:t>
      </w:r>
      <w:r w:rsidR="002556CC">
        <w:rPr>
          <w:rFonts w:ascii="Segoe UI" w:hAnsi="Segoe UI" w:cs="Segoe UI"/>
          <w:iCs/>
          <w:spacing w:val="-6"/>
          <w:sz w:val="19"/>
          <w:szCs w:val="19"/>
          <w:lang w:val="fr-FR" w:eastAsia="ja-JP"/>
        </w:rPr>
        <w:t xml:space="preserve"> compte tenu des prévisions de croissance optimiste</w:t>
      </w:r>
      <w:r w:rsidR="00167AB8">
        <w:rPr>
          <w:rFonts w:ascii="Segoe UI" w:hAnsi="Segoe UI" w:cs="Segoe UI"/>
          <w:iCs/>
          <w:spacing w:val="-6"/>
          <w:sz w:val="19"/>
          <w:szCs w:val="19"/>
          <w:lang w:val="fr-FR" w:eastAsia="ja-JP"/>
        </w:rPr>
        <w:t xml:space="preserve">, </w:t>
      </w:r>
      <w:r w:rsidR="0007375D">
        <w:rPr>
          <w:rFonts w:ascii="Segoe UI" w:hAnsi="Segoe UI" w:cs="Segoe UI"/>
          <w:iCs/>
          <w:spacing w:val="-6"/>
          <w:sz w:val="19"/>
          <w:szCs w:val="19"/>
          <w:lang w:val="fr-FR" w:eastAsia="ja-JP"/>
        </w:rPr>
        <w:t>la révision dans le budget 2026 de la cible à 4,3 % semble désormais plus réaliste</w:t>
      </w:r>
      <w:r w:rsidR="00167AB8">
        <w:rPr>
          <w:rFonts w:ascii="Segoe UI" w:hAnsi="Segoe UI" w:cs="Segoe UI"/>
          <w:iCs/>
          <w:spacing w:val="-6"/>
          <w:sz w:val="19"/>
          <w:szCs w:val="19"/>
          <w:lang w:val="fr-FR" w:eastAsia="ja-JP"/>
        </w:rPr>
        <w:t>.</w:t>
      </w:r>
    </w:p>
    <w:p w14:paraId="43B226A2" w14:textId="0DB6695A" w:rsidR="00995AEF" w:rsidRPr="00B865C8" w:rsidRDefault="004809C9" w:rsidP="00E373ED">
      <w:pPr>
        <w:pStyle w:val="Briefinglist1"/>
        <w:numPr>
          <w:ilvl w:val="0"/>
          <w:numId w:val="0"/>
        </w:numPr>
        <w:tabs>
          <w:tab w:val="left" w:pos="9639"/>
        </w:tabs>
        <w:spacing w:after="0"/>
        <w:ind w:left="-993" w:right="142"/>
        <w:rPr>
          <w:rFonts w:ascii="Segoe UI" w:hAnsi="Segoe UI" w:cs="Segoe UI"/>
          <w:iCs/>
          <w:spacing w:val="-6"/>
          <w:sz w:val="19"/>
          <w:szCs w:val="19"/>
          <w:lang w:val="fr-FR" w:eastAsia="ja-JP"/>
        </w:rPr>
      </w:pPr>
      <w:r>
        <w:rPr>
          <w:rFonts w:ascii="Segoe UI" w:hAnsi="Segoe UI" w:cs="Segoe UI"/>
          <w:iCs/>
          <w:noProof/>
          <w:spacing w:val="-6"/>
          <w:sz w:val="19"/>
          <w:szCs w:val="19"/>
          <w:lang w:val="fr-FR" w:eastAsia="ja-JP"/>
        </w:rPr>
        <w:lastRenderedPageBreak/>
        <w:drawing>
          <wp:anchor distT="0" distB="0" distL="114300" distR="114300" simplePos="0" relativeHeight="251728896" behindDoc="0" locked="0" layoutInCell="1" allowOverlap="1" wp14:anchorId="330EC1AE" wp14:editId="055DED9D">
            <wp:simplePos x="0" y="0"/>
            <wp:positionH relativeFrom="page">
              <wp:posOffset>213360</wp:posOffset>
            </wp:positionH>
            <wp:positionV relativeFrom="paragraph">
              <wp:posOffset>235585</wp:posOffset>
            </wp:positionV>
            <wp:extent cx="3276600" cy="16827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76600" cy="1682750"/>
                    </a:xfrm>
                    <a:prstGeom prst="rect">
                      <a:avLst/>
                    </a:prstGeom>
                    <a:noFill/>
                  </pic:spPr>
                </pic:pic>
              </a:graphicData>
            </a:graphic>
            <wp14:sizeRelH relativeFrom="page">
              <wp14:pctWidth>0</wp14:pctWidth>
            </wp14:sizeRelH>
            <wp14:sizeRelV relativeFrom="page">
              <wp14:pctHeight>0</wp14:pctHeight>
            </wp14:sizeRelV>
          </wp:anchor>
        </w:drawing>
      </w:r>
      <w:r w:rsidR="00641787" w:rsidRPr="0076026A">
        <w:rPr>
          <w:rFonts w:ascii="Segoe UI" w:hAnsi="Segoe UI" w:cs="Segoe UI"/>
          <w:b/>
          <w:color w:val="000091" w:themeColor="text1"/>
          <w:spacing w:val="-6"/>
          <w:szCs w:val="20"/>
          <w:lang w:val="fr-FR"/>
        </w:rPr>
        <w:t xml:space="preserve">Inflation | </w:t>
      </w:r>
      <w:r w:rsidR="00B30F2F">
        <w:rPr>
          <w:rFonts w:ascii="Segoe UI" w:hAnsi="Segoe UI" w:cs="Segoe UI"/>
          <w:b/>
          <w:color w:val="000091" w:themeColor="text1"/>
          <w:spacing w:val="-6"/>
          <w:szCs w:val="20"/>
          <w:lang w:val="fr-FR"/>
        </w:rPr>
        <w:t xml:space="preserve">Une </w:t>
      </w:r>
      <w:bookmarkEnd w:id="2"/>
      <w:r w:rsidR="00631280">
        <w:rPr>
          <w:rFonts w:ascii="Segoe UI" w:hAnsi="Segoe UI" w:cs="Segoe UI"/>
          <w:b/>
          <w:color w:val="000091" w:themeColor="text1"/>
          <w:spacing w:val="-6"/>
          <w:szCs w:val="20"/>
          <w:lang w:val="fr-FR"/>
        </w:rPr>
        <w:t>intensification de</w:t>
      </w:r>
      <w:r w:rsidR="00681927">
        <w:rPr>
          <w:rFonts w:ascii="Segoe UI" w:hAnsi="Segoe UI" w:cs="Segoe UI"/>
          <w:b/>
          <w:color w:val="000091" w:themeColor="text1"/>
          <w:spacing w:val="-6"/>
          <w:szCs w:val="20"/>
          <w:lang w:val="fr-FR"/>
        </w:rPr>
        <w:t xml:space="preserve"> l’assouplissement monétaire </w:t>
      </w:r>
      <w:r w:rsidR="003F7CB4">
        <w:rPr>
          <w:rFonts w:ascii="Segoe UI" w:hAnsi="Segoe UI" w:cs="Segoe UI"/>
          <w:b/>
          <w:color w:val="000091" w:themeColor="text1"/>
          <w:spacing w:val="-6"/>
          <w:szCs w:val="20"/>
          <w:lang w:val="fr-FR"/>
        </w:rPr>
        <w:t xml:space="preserve">sur fond </w:t>
      </w:r>
      <w:r w:rsidR="0056710C">
        <w:rPr>
          <w:rFonts w:ascii="Segoe UI" w:hAnsi="Segoe UI" w:cs="Segoe UI"/>
          <w:b/>
          <w:color w:val="000091" w:themeColor="text1"/>
          <w:spacing w:val="-6"/>
          <w:szCs w:val="20"/>
          <w:lang w:val="fr-FR"/>
        </w:rPr>
        <w:t>de pressions inflationnistes persistantes </w:t>
      </w:r>
    </w:p>
    <w:p w14:paraId="2B82D433" w14:textId="69B5D08A" w:rsidR="00B50D33" w:rsidRPr="009E1318" w:rsidRDefault="00B50D33" w:rsidP="00AF2A84">
      <w:pPr>
        <w:pStyle w:val="Briefinglist1"/>
        <w:numPr>
          <w:ilvl w:val="0"/>
          <w:numId w:val="0"/>
        </w:numPr>
        <w:tabs>
          <w:tab w:val="left" w:pos="9639"/>
        </w:tabs>
        <w:spacing w:after="0"/>
        <w:ind w:left="-709"/>
        <w:rPr>
          <w:rFonts w:ascii="Segoe UI" w:hAnsi="Segoe UI" w:cs="Segoe UI"/>
          <w:b/>
          <w:bCs/>
          <w:iCs/>
          <w:color w:val="000091" w:themeColor="text1"/>
          <w:spacing w:val="-6"/>
          <w:sz w:val="2"/>
          <w:szCs w:val="2"/>
          <w:lang w:val="fr-FR" w:eastAsia="ja-JP"/>
        </w:rPr>
      </w:pPr>
    </w:p>
    <w:p w14:paraId="60EC2AE8" w14:textId="06A78275" w:rsidR="00A44A99" w:rsidRDefault="00052CFE" w:rsidP="00D43FAA">
      <w:pPr>
        <w:pStyle w:val="Briefinglist1"/>
        <w:numPr>
          <w:ilvl w:val="0"/>
          <w:numId w:val="0"/>
        </w:numPr>
        <w:tabs>
          <w:tab w:val="left" w:pos="9639"/>
        </w:tabs>
        <w:spacing w:after="0"/>
        <w:ind w:left="-993"/>
        <w:rPr>
          <w:rFonts w:ascii="Segoe UI" w:hAnsi="Segoe UI" w:cs="Segoe UI"/>
          <w:iCs/>
          <w:spacing w:val="-6"/>
          <w:sz w:val="20"/>
          <w:szCs w:val="20"/>
          <w:lang w:val="fr-FR" w:eastAsia="ja-JP"/>
        </w:rPr>
      </w:pPr>
      <w:r>
        <w:rPr>
          <w:rFonts w:ascii="Segoe UI" w:hAnsi="Segoe UI" w:cs="Segoe UI"/>
          <w:iCs/>
          <w:noProof/>
          <w:spacing w:val="-6"/>
          <w:sz w:val="2"/>
          <w:szCs w:val="2"/>
          <w:lang w:val="fr-FR" w:eastAsia="ja-JP"/>
        </w:rPr>
        <w:drawing>
          <wp:anchor distT="0" distB="0" distL="114300" distR="114300" simplePos="0" relativeHeight="251711488" behindDoc="0" locked="0" layoutInCell="1" allowOverlap="1" wp14:anchorId="63E9A315" wp14:editId="3956D254">
            <wp:simplePos x="0" y="0"/>
            <wp:positionH relativeFrom="page">
              <wp:posOffset>251460</wp:posOffset>
            </wp:positionH>
            <wp:positionV relativeFrom="paragraph">
              <wp:posOffset>1823720</wp:posOffset>
            </wp:positionV>
            <wp:extent cx="3246120" cy="1689735"/>
            <wp:effectExtent l="0" t="0" r="0" b="571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6120" cy="1689735"/>
                    </a:xfrm>
                    <a:prstGeom prst="rect">
                      <a:avLst/>
                    </a:prstGeom>
                    <a:noFill/>
                  </pic:spPr>
                </pic:pic>
              </a:graphicData>
            </a:graphic>
            <wp14:sizeRelH relativeFrom="page">
              <wp14:pctWidth>0</wp14:pctWidth>
            </wp14:sizeRelH>
            <wp14:sizeRelV relativeFrom="page">
              <wp14:pctHeight>0</wp14:pctHeight>
            </wp14:sizeRelV>
          </wp:anchor>
        </w:drawing>
      </w:r>
      <w:r w:rsidR="00974FC1" w:rsidRPr="0076026A">
        <w:rPr>
          <w:rFonts w:ascii="Segoe UI" w:hAnsi="Segoe UI" w:cs="Segoe UI"/>
          <w:b/>
          <w:bCs/>
          <w:iCs/>
          <w:color w:val="000091" w:themeColor="text1"/>
          <w:spacing w:val="-6"/>
          <w:sz w:val="19"/>
          <w:szCs w:val="19"/>
          <w:lang w:val="fr-FR" w:eastAsia="ja-JP"/>
        </w:rPr>
        <w:t xml:space="preserve">Inflation | </w:t>
      </w:r>
      <w:r w:rsidR="00FD3BC3">
        <w:rPr>
          <w:rFonts w:ascii="Segoe UI" w:hAnsi="Segoe UI" w:cs="Segoe UI"/>
          <w:iCs/>
          <w:color w:val="000091" w:themeColor="text1"/>
          <w:spacing w:val="-6"/>
          <w:sz w:val="19"/>
          <w:szCs w:val="19"/>
          <w:lang w:val="fr-FR" w:eastAsia="ja-JP"/>
        </w:rPr>
        <w:t xml:space="preserve">Août </w:t>
      </w:r>
      <w:r w:rsidR="00974FC1" w:rsidRPr="0076026A">
        <w:rPr>
          <w:rFonts w:ascii="Segoe UI" w:hAnsi="Segoe UI" w:cs="Segoe UI"/>
          <w:iCs/>
          <w:color w:val="000091" w:themeColor="text1"/>
          <w:spacing w:val="-6"/>
          <w:sz w:val="19"/>
          <w:szCs w:val="19"/>
          <w:lang w:val="fr-FR" w:eastAsia="ja-JP"/>
        </w:rPr>
        <w:t>202</w:t>
      </w:r>
      <w:r w:rsidR="00AC6E8B">
        <w:rPr>
          <w:rFonts w:ascii="Segoe UI" w:hAnsi="Segoe UI" w:cs="Segoe UI"/>
          <w:iCs/>
          <w:color w:val="000091" w:themeColor="text1"/>
          <w:spacing w:val="-6"/>
          <w:sz w:val="19"/>
          <w:szCs w:val="19"/>
          <w:lang w:val="fr-FR" w:eastAsia="ja-JP"/>
        </w:rPr>
        <w:t>5</w:t>
      </w:r>
      <w:r w:rsidR="00974FC1" w:rsidRPr="0076026A">
        <w:rPr>
          <w:rFonts w:ascii="Segoe UI" w:hAnsi="Segoe UI" w:cs="Segoe UI"/>
          <w:iCs/>
          <w:color w:val="000091" w:themeColor="text1"/>
          <w:spacing w:val="-6"/>
          <w:sz w:val="19"/>
          <w:szCs w:val="19"/>
          <w:lang w:val="fr-FR" w:eastAsia="ja-JP"/>
        </w:rPr>
        <w:t xml:space="preserve"> –</w:t>
      </w:r>
      <w:r w:rsidR="00974FC1" w:rsidRPr="0076026A">
        <w:rPr>
          <w:rFonts w:ascii="Segoe UI" w:hAnsi="Segoe UI" w:cs="Segoe UI"/>
          <w:b/>
          <w:bCs/>
          <w:iCs/>
          <w:color w:val="000091" w:themeColor="text1"/>
          <w:spacing w:val="-6"/>
          <w:sz w:val="19"/>
          <w:szCs w:val="19"/>
          <w:lang w:val="fr-FR" w:eastAsia="ja-JP"/>
        </w:rPr>
        <w:t xml:space="preserve"> </w:t>
      </w:r>
      <w:r w:rsidR="00974FC1" w:rsidRPr="0076026A">
        <w:rPr>
          <w:rFonts w:ascii="Segoe UI" w:hAnsi="Segoe UI" w:cs="Segoe UI"/>
          <w:iCs/>
          <w:color w:val="000091" w:themeColor="text1"/>
          <w:spacing w:val="-6"/>
          <w:sz w:val="19"/>
          <w:szCs w:val="19"/>
          <w:lang w:val="fr-FR" w:eastAsia="ja-JP"/>
        </w:rPr>
        <w:t>inflation globale : +</w:t>
      </w:r>
      <w:r w:rsidR="00AC6E8B">
        <w:rPr>
          <w:rFonts w:ascii="Segoe UI" w:hAnsi="Segoe UI" w:cs="Segoe UI"/>
          <w:iCs/>
          <w:color w:val="000091" w:themeColor="text1"/>
          <w:spacing w:val="-6"/>
          <w:sz w:val="19"/>
          <w:szCs w:val="19"/>
          <w:lang w:val="fr-FR" w:eastAsia="ja-JP"/>
        </w:rPr>
        <w:t>3</w:t>
      </w:r>
      <w:r w:rsidR="00974FC1" w:rsidRPr="0076026A">
        <w:rPr>
          <w:rFonts w:ascii="Segoe UI" w:hAnsi="Segoe UI" w:cs="Segoe UI"/>
          <w:iCs/>
          <w:color w:val="000091" w:themeColor="text1"/>
          <w:spacing w:val="-6"/>
          <w:sz w:val="19"/>
          <w:szCs w:val="19"/>
          <w:lang w:val="fr-FR" w:eastAsia="ja-JP"/>
        </w:rPr>
        <w:t>,</w:t>
      </w:r>
      <w:r w:rsidR="005807C0">
        <w:rPr>
          <w:rFonts w:ascii="Segoe UI" w:hAnsi="Segoe UI" w:cs="Segoe UI"/>
          <w:iCs/>
          <w:color w:val="000091" w:themeColor="text1"/>
          <w:spacing w:val="-6"/>
          <w:sz w:val="19"/>
          <w:szCs w:val="19"/>
          <w:lang w:val="fr-FR" w:eastAsia="ja-JP"/>
        </w:rPr>
        <w:t>5</w:t>
      </w:r>
      <w:r w:rsidR="00FD3BC3">
        <w:rPr>
          <w:rFonts w:ascii="Segoe UI" w:hAnsi="Segoe UI" w:cs="Segoe UI"/>
          <w:iCs/>
          <w:color w:val="000091" w:themeColor="text1"/>
          <w:spacing w:val="-6"/>
          <w:sz w:val="19"/>
          <w:szCs w:val="19"/>
          <w:lang w:val="fr-FR" w:eastAsia="ja-JP"/>
        </w:rPr>
        <w:t>7</w:t>
      </w:r>
      <w:r w:rsidR="00974FC1" w:rsidRPr="0076026A">
        <w:rPr>
          <w:rFonts w:ascii="Segoe UI" w:hAnsi="Segoe UI" w:cs="Segoe UI"/>
          <w:iCs/>
          <w:color w:val="000091" w:themeColor="text1"/>
          <w:spacing w:val="-6"/>
          <w:sz w:val="19"/>
          <w:szCs w:val="19"/>
          <w:lang w:val="fr-FR" w:eastAsia="ja-JP"/>
        </w:rPr>
        <w:t xml:space="preserve"> % </w:t>
      </w:r>
      <w:proofErr w:type="spellStart"/>
      <w:r w:rsidR="00974FC1" w:rsidRPr="0076026A">
        <w:rPr>
          <w:rFonts w:ascii="Segoe UI" w:hAnsi="Segoe UI" w:cs="Segoe UI"/>
          <w:iCs/>
          <w:color w:val="000091" w:themeColor="text1"/>
          <w:spacing w:val="-6"/>
          <w:sz w:val="19"/>
          <w:szCs w:val="19"/>
          <w:lang w:val="fr-FR" w:eastAsia="ja-JP"/>
        </w:rPr>
        <w:t>g.a</w:t>
      </w:r>
      <w:proofErr w:type="spellEnd"/>
      <w:r w:rsidR="00393CFE">
        <w:rPr>
          <w:rFonts w:ascii="Segoe UI" w:hAnsi="Segoe UI" w:cs="Segoe UI"/>
          <w:iCs/>
          <w:color w:val="000091" w:themeColor="text1"/>
          <w:spacing w:val="-6"/>
          <w:sz w:val="19"/>
          <w:szCs w:val="19"/>
          <w:lang w:val="fr-FR" w:eastAsia="ja-JP"/>
        </w:rPr>
        <w:t>.</w:t>
      </w:r>
      <w:r w:rsidR="00974FC1" w:rsidRPr="0076026A">
        <w:rPr>
          <w:rFonts w:ascii="Segoe UI" w:hAnsi="Segoe UI" w:cs="Segoe UI"/>
          <w:iCs/>
          <w:color w:val="000091" w:themeColor="text1"/>
          <w:spacing w:val="-6"/>
          <w:sz w:val="19"/>
          <w:szCs w:val="19"/>
          <w:lang w:val="fr-FR" w:eastAsia="ja-JP"/>
        </w:rPr>
        <w:t xml:space="preserve"> </w:t>
      </w:r>
      <w:r w:rsidR="00974FC1" w:rsidRPr="008A416A">
        <w:rPr>
          <w:rFonts w:ascii="Segoe UI" w:hAnsi="Segoe UI" w:cs="Segoe UI"/>
          <w:b/>
          <w:bCs/>
          <w:iCs/>
          <w:color w:val="000091" w:themeColor="text1"/>
          <w:spacing w:val="-6"/>
          <w:sz w:val="19"/>
          <w:szCs w:val="19"/>
          <w:lang w:val="fr-FR" w:eastAsia="ja-JP"/>
        </w:rPr>
        <w:t xml:space="preserve">| </w:t>
      </w:r>
      <w:bookmarkStart w:id="3" w:name="_Hlk190085171"/>
      <w:r w:rsidR="00A2155D" w:rsidRPr="00A2155D">
        <w:rPr>
          <w:rFonts w:ascii="Segoe UI" w:hAnsi="Segoe UI" w:cs="Segoe UI"/>
          <w:b/>
          <w:bCs/>
          <w:iCs/>
          <w:spacing w:val="-6"/>
          <w:sz w:val="19"/>
          <w:szCs w:val="19"/>
          <w:lang w:val="fr-FR" w:eastAsia="ja-JP"/>
        </w:rPr>
        <w:t xml:space="preserve">Après avoir </w:t>
      </w:r>
      <w:r w:rsidR="00A2155D" w:rsidRPr="00022F85">
        <w:rPr>
          <w:rFonts w:ascii="Segoe UI" w:hAnsi="Segoe UI" w:cs="Segoe UI"/>
          <w:b/>
          <w:bCs/>
          <w:iCs/>
          <w:spacing w:val="-6"/>
          <w:sz w:val="19"/>
          <w:szCs w:val="19"/>
          <w:lang w:val="fr-FR" w:eastAsia="ja-JP"/>
        </w:rPr>
        <w:t xml:space="preserve">réintégré </w:t>
      </w:r>
      <w:r w:rsidR="001A7B1C">
        <w:rPr>
          <w:rFonts w:ascii="Segoe UI" w:hAnsi="Segoe UI" w:cs="Segoe UI"/>
          <w:b/>
          <w:bCs/>
          <w:iCs/>
          <w:spacing w:val="-6"/>
          <w:sz w:val="19"/>
          <w:szCs w:val="19"/>
          <w:lang w:val="fr-FR" w:eastAsia="ja-JP"/>
        </w:rPr>
        <w:t xml:space="preserve">la fourchette cible de la Banque centrale en janvier 2025 </w:t>
      </w:r>
      <w:r w:rsidR="001A7B1C" w:rsidRPr="001A7B1C">
        <w:rPr>
          <w:rFonts w:ascii="Segoe UI" w:hAnsi="Segoe UI" w:cs="Segoe UI"/>
          <w:b/>
          <w:bCs/>
          <w:iCs/>
          <w:spacing w:val="-6"/>
          <w:sz w:val="19"/>
          <w:szCs w:val="19"/>
          <w:lang w:val="fr-FR" w:eastAsia="ja-JP"/>
        </w:rPr>
        <w:t>(3 % ± 1)</w:t>
      </w:r>
      <w:r w:rsidR="00684ED0">
        <w:rPr>
          <w:rFonts w:ascii="Segoe UI" w:hAnsi="Segoe UI" w:cs="Segoe UI"/>
          <w:b/>
          <w:bCs/>
          <w:iCs/>
          <w:spacing w:val="-6"/>
          <w:sz w:val="19"/>
          <w:szCs w:val="19"/>
          <w:lang w:val="fr-FR" w:eastAsia="ja-JP"/>
        </w:rPr>
        <w:t xml:space="preserve">, l’inflation a enregistré une tendance à </w:t>
      </w:r>
      <w:r w:rsidR="001F4353">
        <w:rPr>
          <w:rFonts w:ascii="Segoe UI" w:hAnsi="Segoe UI" w:cs="Segoe UI"/>
          <w:b/>
          <w:bCs/>
          <w:iCs/>
          <w:spacing w:val="-6"/>
          <w:sz w:val="19"/>
          <w:szCs w:val="19"/>
          <w:lang w:val="fr-FR" w:eastAsia="ja-JP"/>
        </w:rPr>
        <w:t xml:space="preserve">la hausse </w:t>
      </w:r>
      <w:r w:rsidR="00684ED0">
        <w:rPr>
          <w:rFonts w:ascii="Segoe UI" w:hAnsi="Segoe UI" w:cs="Segoe UI"/>
          <w:b/>
          <w:bCs/>
          <w:iCs/>
          <w:spacing w:val="-6"/>
          <w:sz w:val="19"/>
          <w:szCs w:val="19"/>
          <w:lang w:val="fr-FR" w:eastAsia="ja-JP"/>
        </w:rPr>
        <w:t>au cours du S1 2025</w:t>
      </w:r>
      <w:r w:rsidR="00A2155D" w:rsidRPr="00022F85">
        <w:rPr>
          <w:rFonts w:ascii="Segoe UI" w:hAnsi="Segoe UI" w:cs="Segoe UI"/>
          <w:b/>
          <w:bCs/>
          <w:iCs/>
          <w:spacing w:val="-6"/>
          <w:sz w:val="19"/>
          <w:szCs w:val="19"/>
          <w:lang w:val="fr-FR" w:eastAsia="ja-JP"/>
        </w:rPr>
        <w:t>.</w:t>
      </w:r>
      <w:bookmarkStart w:id="4" w:name="_Hlk175839886"/>
      <w:bookmarkEnd w:id="3"/>
      <w:r w:rsidR="001A2C9D">
        <w:rPr>
          <w:rFonts w:ascii="Segoe UI" w:hAnsi="Segoe UI" w:cs="Segoe UI"/>
          <w:iCs/>
          <w:spacing w:val="-6"/>
          <w:sz w:val="19"/>
          <w:szCs w:val="19"/>
          <w:lang w:val="fr-FR" w:eastAsia="ja-JP"/>
        </w:rPr>
        <w:t xml:space="preserve"> L</w:t>
      </w:r>
      <w:r w:rsidR="00C001C8">
        <w:rPr>
          <w:rFonts w:ascii="Segoe UI" w:hAnsi="Segoe UI" w:cs="Segoe UI"/>
          <w:iCs/>
          <w:spacing w:val="-6"/>
          <w:sz w:val="19"/>
          <w:szCs w:val="19"/>
          <w:lang w:val="fr-FR" w:eastAsia="ja-JP"/>
        </w:rPr>
        <w:t>e taux d’</w:t>
      </w:r>
      <w:r w:rsidR="001A2C9D">
        <w:rPr>
          <w:rFonts w:ascii="Segoe UI" w:hAnsi="Segoe UI" w:cs="Segoe UI"/>
          <w:iCs/>
          <w:spacing w:val="-6"/>
          <w:sz w:val="19"/>
          <w:szCs w:val="19"/>
          <w:lang w:val="fr-FR" w:eastAsia="ja-JP"/>
        </w:rPr>
        <w:t>inflation a</w:t>
      </w:r>
      <w:r w:rsidR="00684ED0">
        <w:rPr>
          <w:rFonts w:ascii="Segoe UI" w:hAnsi="Segoe UI" w:cs="Segoe UI"/>
          <w:iCs/>
          <w:spacing w:val="-6"/>
          <w:sz w:val="19"/>
          <w:szCs w:val="19"/>
          <w:lang w:val="fr-FR" w:eastAsia="ja-JP"/>
        </w:rPr>
        <w:t xml:space="preserve"> dépassé la borne supérieure de</w:t>
      </w:r>
      <w:r w:rsidR="001A2C9D">
        <w:rPr>
          <w:rFonts w:ascii="Segoe UI" w:hAnsi="Segoe UI" w:cs="Segoe UI"/>
          <w:iCs/>
          <w:spacing w:val="-6"/>
          <w:sz w:val="19"/>
          <w:szCs w:val="19"/>
          <w:lang w:val="fr-FR" w:eastAsia="ja-JP"/>
        </w:rPr>
        <w:t xml:space="preserve"> la fourchette cible</w:t>
      </w:r>
      <w:r w:rsidR="001F4353">
        <w:rPr>
          <w:rFonts w:ascii="Segoe UI" w:hAnsi="Segoe UI" w:cs="Segoe UI"/>
          <w:iCs/>
          <w:spacing w:val="-6"/>
          <w:sz w:val="19"/>
          <w:szCs w:val="19"/>
          <w:lang w:val="fr-FR" w:eastAsia="ja-JP"/>
        </w:rPr>
        <w:t xml:space="preserve"> (4 %)</w:t>
      </w:r>
      <w:r w:rsidR="00636E05">
        <w:rPr>
          <w:rFonts w:ascii="Segoe UI" w:hAnsi="Segoe UI" w:cs="Segoe UI"/>
          <w:iCs/>
          <w:spacing w:val="-6"/>
          <w:sz w:val="19"/>
          <w:szCs w:val="19"/>
          <w:lang w:val="fr-FR" w:eastAsia="ja-JP"/>
        </w:rPr>
        <w:t xml:space="preserve"> en mai et juin 2025</w:t>
      </w:r>
      <w:r w:rsidR="00391213">
        <w:rPr>
          <w:rFonts w:ascii="Segoe UI" w:hAnsi="Segoe UI" w:cs="Segoe UI"/>
          <w:iCs/>
          <w:spacing w:val="-6"/>
          <w:sz w:val="19"/>
          <w:szCs w:val="19"/>
          <w:lang w:val="fr-FR" w:eastAsia="ja-JP"/>
        </w:rPr>
        <w:t xml:space="preserve">, avant que </w:t>
      </w:r>
      <w:r w:rsidR="000A6BEC">
        <w:rPr>
          <w:rFonts w:ascii="Segoe UI" w:hAnsi="Segoe UI" w:cs="Segoe UI"/>
          <w:iCs/>
          <w:spacing w:val="-6"/>
          <w:sz w:val="19"/>
          <w:szCs w:val="19"/>
          <w:lang w:val="fr-FR" w:eastAsia="ja-JP"/>
        </w:rPr>
        <w:t xml:space="preserve">de </w:t>
      </w:r>
      <w:r w:rsidR="00391213">
        <w:rPr>
          <w:rFonts w:ascii="Segoe UI" w:hAnsi="Segoe UI" w:cs="Segoe UI"/>
          <w:iCs/>
          <w:spacing w:val="-6"/>
          <w:sz w:val="19"/>
          <w:szCs w:val="19"/>
          <w:lang w:val="fr-FR" w:eastAsia="ja-JP"/>
        </w:rPr>
        <w:t>la réintégrer en juillet.</w:t>
      </w:r>
      <w:r w:rsidR="000A6BEC">
        <w:rPr>
          <w:rFonts w:ascii="Segoe UI" w:hAnsi="Segoe UI" w:cs="Segoe UI"/>
          <w:iCs/>
          <w:spacing w:val="-6"/>
          <w:sz w:val="19"/>
          <w:szCs w:val="19"/>
          <w:lang w:val="fr-FR" w:eastAsia="ja-JP"/>
        </w:rPr>
        <w:t xml:space="preserve"> </w:t>
      </w:r>
      <w:r w:rsidR="00805C32" w:rsidRPr="00DC1380">
        <w:rPr>
          <w:rFonts w:ascii="Segoe UI" w:hAnsi="Segoe UI" w:cs="Segoe UI"/>
          <w:iCs/>
          <w:spacing w:val="-6"/>
          <w:sz w:val="19"/>
          <w:szCs w:val="19"/>
          <w:lang w:val="fr-FR" w:eastAsia="ja-JP"/>
        </w:rPr>
        <w:t xml:space="preserve">La composante sous-jacente de l’inflation, qui élimine de son calcul les biens et services dont les prix sont les plus volatils, a commencé à augmenter en décembre 2024 après 22 mois consécutifs de baisse. Elle a atteint son plus haut niveau au cours des douze derniers mois en juin 2025 (4,24 % </w:t>
      </w:r>
      <w:proofErr w:type="spellStart"/>
      <w:r w:rsidR="00805C32" w:rsidRPr="00DC1380">
        <w:rPr>
          <w:rFonts w:ascii="Segoe UI" w:hAnsi="Segoe UI" w:cs="Segoe UI"/>
          <w:iCs/>
          <w:spacing w:val="-6"/>
          <w:sz w:val="19"/>
          <w:szCs w:val="19"/>
          <w:lang w:val="fr-FR" w:eastAsia="ja-JP"/>
        </w:rPr>
        <w:t>g.a</w:t>
      </w:r>
      <w:proofErr w:type="spellEnd"/>
      <w:r w:rsidR="00805C32" w:rsidRPr="00DC1380">
        <w:rPr>
          <w:rFonts w:ascii="Segoe UI" w:hAnsi="Segoe UI" w:cs="Segoe UI"/>
          <w:iCs/>
          <w:spacing w:val="-6"/>
          <w:sz w:val="19"/>
          <w:szCs w:val="19"/>
          <w:lang w:val="fr-FR" w:eastAsia="ja-JP"/>
        </w:rPr>
        <w:t>.)</w:t>
      </w:r>
      <w:r w:rsidR="00393CFE">
        <w:rPr>
          <w:rFonts w:ascii="Segoe UI" w:hAnsi="Segoe UI" w:cs="Segoe UI"/>
          <w:iCs/>
          <w:spacing w:val="-6"/>
          <w:sz w:val="19"/>
          <w:szCs w:val="19"/>
          <w:lang w:val="fr-FR" w:eastAsia="ja-JP"/>
        </w:rPr>
        <w:t xml:space="preserve"> et </w:t>
      </w:r>
      <w:r w:rsidR="00FD3BC3">
        <w:rPr>
          <w:rFonts w:ascii="Segoe UI" w:hAnsi="Segoe UI" w:cs="Segoe UI"/>
          <w:iCs/>
          <w:spacing w:val="-6"/>
          <w:sz w:val="19"/>
          <w:szCs w:val="19"/>
          <w:lang w:val="fr-FR" w:eastAsia="ja-JP"/>
        </w:rPr>
        <w:t xml:space="preserve">est </w:t>
      </w:r>
      <w:r w:rsidR="00393CFE">
        <w:rPr>
          <w:rFonts w:ascii="Segoe UI" w:hAnsi="Segoe UI" w:cs="Segoe UI"/>
          <w:iCs/>
          <w:spacing w:val="-6"/>
          <w:sz w:val="19"/>
          <w:szCs w:val="19"/>
          <w:lang w:val="fr-FR" w:eastAsia="ja-JP"/>
        </w:rPr>
        <w:t>rest</w:t>
      </w:r>
      <w:r w:rsidR="00FD3BC3">
        <w:rPr>
          <w:rFonts w:ascii="Segoe UI" w:hAnsi="Segoe UI" w:cs="Segoe UI"/>
          <w:iCs/>
          <w:spacing w:val="-6"/>
          <w:sz w:val="19"/>
          <w:szCs w:val="19"/>
          <w:lang w:val="fr-FR" w:eastAsia="ja-JP"/>
        </w:rPr>
        <w:t>ée</w:t>
      </w:r>
      <w:r w:rsidR="00393CFE">
        <w:rPr>
          <w:rFonts w:ascii="Segoe UI" w:hAnsi="Segoe UI" w:cs="Segoe UI"/>
          <w:iCs/>
          <w:spacing w:val="-6"/>
          <w:sz w:val="19"/>
          <w:szCs w:val="19"/>
          <w:lang w:val="fr-FR" w:eastAsia="ja-JP"/>
        </w:rPr>
        <w:t xml:space="preserve"> à un niveau proche </w:t>
      </w:r>
      <w:r w:rsidR="00FD3BC3">
        <w:rPr>
          <w:rFonts w:ascii="Segoe UI" w:hAnsi="Segoe UI" w:cs="Segoe UI"/>
          <w:iCs/>
          <w:spacing w:val="-6"/>
          <w:sz w:val="19"/>
          <w:szCs w:val="19"/>
          <w:lang w:val="fr-FR" w:eastAsia="ja-JP"/>
        </w:rPr>
        <w:t>depuis</w:t>
      </w:r>
      <w:r w:rsidR="00805C32">
        <w:rPr>
          <w:rFonts w:ascii="Segoe UI" w:hAnsi="Segoe UI" w:cs="Segoe UI"/>
          <w:iCs/>
          <w:spacing w:val="-6"/>
          <w:sz w:val="19"/>
          <w:szCs w:val="19"/>
          <w:lang w:val="fr-FR" w:eastAsia="ja-JP"/>
        </w:rPr>
        <w:t xml:space="preserve">. </w:t>
      </w:r>
      <w:r w:rsidR="00DB01BC">
        <w:rPr>
          <w:rFonts w:ascii="Segoe UI" w:hAnsi="Segoe UI" w:cs="Segoe UI"/>
          <w:iCs/>
          <w:spacing w:val="-6"/>
          <w:sz w:val="19"/>
          <w:szCs w:val="19"/>
          <w:lang w:val="fr-FR" w:eastAsia="ja-JP"/>
        </w:rPr>
        <w:t>L</w:t>
      </w:r>
      <w:r w:rsidR="00F45009">
        <w:rPr>
          <w:rFonts w:ascii="Segoe UI" w:hAnsi="Segoe UI" w:cs="Segoe UI"/>
          <w:iCs/>
          <w:spacing w:val="-6"/>
          <w:sz w:val="19"/>
          <w:szCs w:val="19"/>
          <w:lang w:val="fr-FR" w:eastAsia="ja-JP"/>
        </w:rPr>
        <w:t xml:space="preserve">’inflation </w:t>
      </w:r>
      <w:r w:rsidR="00A2155D" w:rsidRPr="00022F85">
        <w:rPr>
          <w:rFonts w:ascii="Segoe UI" w:hAnsi="Segoe UI" w:cs="Segoe UI"/>
          <w:iCs/>
          <w:spacing w:val="-6"/>
          <w:sz w:val="19"/>
          <w:szCs w:val="19"/>
          <w:lang w:val="fr-FR" w:eastAsia="ja-JP"/>
        </w:rPr>
        <w:t>non sous-jacente</w:t>
      </w:r>
      <w:r w:rsidR="00484F25">
        <w:rPr>
          <w:rFonts w:ascii="Segoe UI" w:hAnsi="Segoe UI" w:cs="Segoe UI"/>
          <w:iCs/>
          <w:spacing w:val="-6"/>
          <w:sz w:val="19"/>
          <w:szCs w:val="19"/>
          <w:lang w:val="fr-FR" w:eastAsia="ja-JP"/>
        </w:rPr>
        <w:t xml:space="preserve"> </w:t>
      </w:r>
      <w:r w:rsidR="00A2155D" w:rsidRPr="00022F85">
        <w:rPr>
          <w:rFonts w:ascii="Segoe UI" w:hAnsi="Segoe UI" w:cs="Segoe UI"/>
          <w:iCs/>
          <w:spacing w:val="-6"/>
          <w:sz w:val="19"/>
          <w:szCs w:val="19"/>
          <w:lang w:val="fr-FR" w:eastAsia="ja-JP"/>
        </w:rPr>
        <w:t xml:space="preserve">a </w:t>
      </w:r>
      <w:r w:rsidR="00B87824">
        <w:rPr>
          <w:rFonts w:ascii="Segoe UI" w:hAnsi="Segoe UI" w:cs="Segoe UI"/>
          <w:iCs/>
          <w:spacing w:val="-6"/>
          <w:sz w:val="19"/>
          <w:szCs w:val="19"/>
          <w:lang w:val="fr-FR" w:eastAsia="ja-JP"/>
        </w:rPr>
        <w:t>fortement baissé</w:t>
      </w:r>
      <w:r w:rsidR="00F45009">
        <w:rPr>
          <w:rFonts w:ascii="Segoe UI" w:hAnsi="Segoe UI" w:cs="Segoe UI"/>
          <w:iCs/>
          <w:spacing w:val="-6"/>
          <w:sz w:val="19"/>
          <w:szCs w:val="19"/>
          <w:lang w:val="fr-FR" w:eastAsia="ja-JP"/>
        </w:rPr>
        <w:t xml:space="preserve"> </w:t>
      </w:r>
      <w:r w:rsidR="00484F25">
        <w:rPr>
          <w:rFonts w:ascii="Segoe UI" w:hAnsi="Segoe UI" w:cs="Segoe UI"/>
          <w:iCs/>
          <w:spacing w:val="-6"/>
          <w:sz w:val="19"/>
          <w:szCs w:val="19"/>
          <w:lang w:val="fr-FR" w:eastAsia="ja-JP"/>
        </w:rPr>
        <w:t>en juillet</w:t>
      </w:r>
      <w:r w:rsidR="00A2155D" w:rsidRPr="00022F85">
        <w:rPr>
          <w:rFonts w:ascii="Segoe UI" w:hAnsi="Segoe UI" w:cs="Segoe UI"/>
          <w:iCs/>
          <w:spacing w:val="-6"/>
          <w:sz w:val="19"/>
          <w:szCs w:val="19"/>
          <w:lang w:val="fr-FR" w:eastAsia="ja-JP"/>
        </w:rPr>
        <w:t xml:space="preserve">, s’établissant à </w:t>
      </w:r>
      <w:r w:rsidR="00484F25">
        <w:rPr>
          <w:rFonts w:ascii="Segoe UI" w:hAnsi="Segoe UI" w:cs="Segoe UI"/>
          <w:iCs/>
          <w:spacing w:val="-6"/>
          <w:sz w:val="19"/>
          <w:szCs w:val="19"/>
          <w:lang w:val="fr-FR" w:eastAsia="ja-JP"/>
        </w:rPr>
        <w:t xml:space="preserve">1,14 </w:t>
      </w:r>
      <w:r w:rsidR="00A2155D" w:rsidRPr="00022F85">
        <w:rPr>
          <w:rFonts w:ascii="Segoe UI" w:hAnsi="Segoe UI" w:cs="Segoe UI"/>
          <w:iCs/>
          <w:spacing w:val="-6"/>
          <w:sz w:val="19"/>
          <w:szCs w:val="19"/>
          <w:lang w:val="fr-FR" w:eastAsia="ja-JP"/>
        </w:rPr>
        <w:t xml:space="preserve">% </w:t>
      </w:r>
      <w:proofErr w:type="spellStart"/>
      <w:r w:rsidR="00A2155D" w:rsidRPr="00022F85">
        <w:rPr>
          <w:rFonts w:ascii="Segoe UI" w:hAnsi="Segoe UI" w:cs="Segoe UI"/>
          <w:iCs/>
          <w:spacing w:val="-6"/>
          <w:sz w:val="19"/>
          <w:szCs w:val="19"/>
          <w:lang w:val="fr-FR" w:eastAsia="ja-JP"/>
        </w:rPr>
        <w:t>g.a</w:t>
      </w:r>
      <w:proofErr w:type="spellEnd"/>
      <w:r w:rsidR="00A2155D" w:rsidRPr="00022F85">
        <w:rPr>
          <w:rFonts w:ascii="Segoe UI" w:hAnsi="Segoe UI" w:cs="Segoe UI"/>
          <w:iCs/>
          <w:spacing w:val="-6"/>
          <w:sz w:val="19"/>
          <w:szCs w:val="19"/>
          <w:lang w:val="fr-FR" w:eastAsia="ja-JP"/>
        </w:rPr>
        <w:t>.</w:t>
      </w:r>
      <w:r w:rsidR="00484F25">
        <w:rPr>
          <w:rFonts w:ascii="Segoe UI" w:hAnsi="Segoe UI" w:cs="Segoe UI"/>
          <w:iCs/>
          <w:spacing w:val="-6"/>
          <w:sz w:val="19"/>
          <w:szCs w:val="19"/>
          <w:lang w:val="fr-FR" w:eastAsia="ja-JP"/>
        </w:rPr>
        <w:t xml:space="preserve"> (contre 4,33 % </w:t>
      </w:r>
      <w:proofErr w:type="spellStart"/>
      <w:r w:rsidR="00484F25">
        <w:rPr>
          <w:rFonts w:ascii="Segoe UI" w:hAnsi="Segoe UI" w:cs="Segoe UI"/>
          <w:iCs/>
          <w:spacing w:val="-6"/>
          <w:sz w:val="19"/>
          <w:szCs w:val="19"/>
          <w:lang w:val="fr-FR" w:eastAsia="ja-JP"/>
        </w:rPr>
        <w:t>g.a</w:t>
      </w:r>
      <w:proofErr w:type="spellEnd"/>
      <w:r w:rsidR="00484F25">
        <w:rPr>
          <w:rFonts w:ascii="Segoe UI" w:hAnsi="Segoe UI" w:cs="Segoe UI"/>
          <w:iCs/>
          <w:spacing w:val="-6"/>
          <w:sz w:val="19"/>
          <w:szCs w:val="19"/>
          <w:lang w:val="fr-FR" w:eastAsia="ja-JP"/>
        </w:rPr>
        <w:t xml:space="preserve">. </w:t>
      </w:r>
      <w:r w:rsidR="00F45009">
        <w:rPr>
          <w:rFonts w:ascii="Segoe UI" w:hAnsi="Segoe UI" w:cs="Segoe UI"/>
          <w:iCs/>
          <w:spacing w:val="-6"/>
          <w:sz w:val="19"/>
          <w:szCs w:val="19"/>
          <w:lang w:val="fr-FR" w:eastAsia="ja-JP"/>
        </w:rPr>
        <w:t xml:space="preserve">enregistré </w:t>
      </w:r>
      <w:r w:rsidR="00484F25">
        <w:rPr>
          <w:rFonts w:ascii="Segoe UI" w:hAnsi="Segoe UI" w:cs="Segoe UI"/>
          <w:iCs/>
          <w:spacing w:val="-6"/>
          <w:sz w:val="19"/>
          <w:szCs w:val="19"/>
          <w:lang w:val="fr-FR" w:eastAsia="ja-JP"/>
        </w:rPr>
        <w:t>le mois précédent)</w:t>
      </w:r>
      <w:r w:rsidR="00805C32">
        <w:rPr>
          <w:rFonts w:ascii="Segoe UI" w:hAnsi="Segoe UI" w:cs="Segoe UI"/>
          <w:iCs/>
          <w:spacing w:val="-6"/>
          <w:sz w:val="19"/>
          <w:szCs w:val="19"/>
          <w:lang w:val="fr-FR" w:eastAsia="ja-JP"/>
        </w:rPr>
        <w:t xml:space="preserve"> en raison d’une forte décélération des prix des fruits et légumes</w:t>
      </w:r>
      <w:r w:rsidR="00484F25">
        <w:rPr>
          <w:rFonts w:ascii="Segoe UI" w:hAnsi="Segoe UI" w:cs="Segoe UI"/>
          <w:iCs/>
          <w:spacing w:val="-6"/>
          <w:sz w:val="19"/>
          <w:szCs w:val="19"/>
          <w:lang w:val="fr-FR" w:eastAsia="ja-JP"/>
        </w:rPr>
        <w:t xml:space="preserve">. Banxico estime que l’inflation s’établira à un taux moyen de 3,7 % </w:t>
      </w:r>
      <w:proofErr w:type="spellStart"/>
      <w:r w:rsidR="00484F25">
        <w:rPr>
          <w:rFonts w:ascii="Segoe UI" w:hAnsi="Segoe UI" w:cs="Segoe UI"/>
          <w:iCs/>
          <w:spacing w:val="-6"/>
          <w:sz w:val="19"/>
          <w:szCs w:val="19"/>
          <w:lang w:val="fr-FR" w:eastAsia="ja-JP"/>
        </w:rPr>
        <w:t>g.a</w:t>
      </w:r>
      <w:proofErr w:type="spellEnd"/>
      <w:r w:rsidR="00484F25">
        <w:rPr>
          <w:rFonts w:ascii="Segoe UI" w:hAnsi="Segoe UI" w:cs="Segoe UI"/>
          <w:iCs/>
          <w:spacing w:val="-6"/>
          <w:sz w:val="19"/>
          <w:szCs w:val="19"/>
          <w:lang w:val="fr-FR" w:eastAsia="ja-JP"/>
        </w:rPr>
        <w:t xml:space="preserve">. au T4 2025, avant de </w:t>
      </w:r>
      <w:r w:rsidR="00B87824">
        <w:rPr>
          <w:rFonts w:ascii="Segoe UI" w:hAnsi="Segoe UI" w:cs="Segoe UI"/>
          <w:iCs/>
          <w:spacing w:val="-6"/>
          <w:sz w:val="19"/>
          <w:szCs w:val="19"/>
          <w:lang w:val="fr-FR" w:eastAsia="ja-JP"/>
        </w:rPr>
        <w:t xml:space="preserve">diminuer </w:t>
      </w:r>
      <w:r w:rsidR="00484F25">
        <w:rPr>
          <w:rFonts w:ascii="Segoe UI" w:hAnsi="Segoe UI" w:cs="Segoe UI"/>
          <w:iCs/>
          <w:spacing w:val="-6"/>
          <w:sz w:val="19"/>
          <w:szCs w:val="19"/>
          <w:lang w:val="fr-FR" w:eastAsia="ja-JP"/>
        </w:rPr>
        <w:t xml:space="preserve">progressivement et d’atteindre </w:t>
      </w:r>
      <w:r w:rsidR="00A2155D" w:rsidRPr="00022F85">
        <w:rPr>
          <w:rFonts w:ascii="Segoe UI" w:hAnsi="Segoe UI" w:cs="Segoe UI"/>
          <w:iCs/>
          <w:spacing w:val="-6"/>
          <w:sz w:val="19"/>
          <w:szCs w:val="19"/>
          <w:lang w:val="fr-FR" w:eastAsia="ja-JP"/>
        </w:rPr>
        <w:t>la cible de 3 % au T3 2026</w:t>
      </w:r>
      <w:r w:rsidR="00A2155D" w:rsidRPr="00A2155D">
        <w:rPr>
          <w:rFonts w:ascii="Segoe UI" w:hAnsi="Segoe UI" w:cs="Segoe UI"/>
          <w:iCs/>
          <w:spacing w:val="-6"/>
          <w:sz w:val="20"/>
          <w:szCs w:val="20"/>
          <w:lang w:val="fr-FR" w:eastAsia="ja-JP"/>
        </w:rPr>
        <w:t>.</w:t>
      </w:r>
    </w:p>
    <w:p w14:paraId="2E36DFF5" w14:textId="09CFA79F" w:rsidR="00A31B32" w:rsidRPr="00A31B32" w:rsidRDefault="00A31B32" w:rsidP="00C33585">
      <w:pPr>
        <w:pStyle w:val="Briefinglist1"/>
        <w:numPr>
          <w:ilvl w:val="0"/>
          <w:numId w:val="0"/>
        </w:numPr>
        <w:tabs>
          <w:tab w:val="left" w:pos="9639"/>
        </w:tabs>
        <w:spacing w:after="0"/>
        <w:ind w:left="-993"/>
        <w:rPr>
          <w:rFonts w:ascii="Segoe UI" w:hAnsi="Segoe UI" w:cs="Segoe UI"/>
          <w:iCs/>
          <w:spacing w:val="-6"/>
          <w:sz w:val="2"/>
          <w:szCs w:val="2"/>
          <w:lang w:val="fr-FR" w:eastAsia="ja-JP"/>
        </w:rPr>
      </w:pPr>
    </w:p>
    <w:p w14:paraId="108D9A74" w14:textId="57600DF9" w:rsidR="00974FC1" w:rsidRDefault="00974FC1" w:rsidP="003B6206">
      <w:pPr>
        <w:pStyle w:val="Briefinglist1"/>
        <w:numPr>
          <w:ilvl w:val="0"/>
          <w:numId w:val="0"/>
        </w:numPr>
        <w:tabs>
          <w:tab w:val="left" w:pos="9639"/>
        </w:tabs>
        <w:spacing w:after="0"/>
        <w:ind w:left="-993"/>
        <w:rPr>
          <w:rFonts w:ascii="Segoe UI" w:hAnsi="Segoe UI" w:cs="Segoe UI"/>
          <w:iCs/>
          <w:spacing w:val="-6"/>
          <w:sz w:val="19"/>
          <w:szCs w:val="19"/>
          <w:lang w:val="fr-FR" w:eastAsia="ja-JP"/>
        </w:rPr>
      </w:pPr>
      <w:r w:rsidRPr="0076026A">
        <w:rPr>
          <w:rFonts w:ascii="Segoe UI" w:hAnsi="Segoe UI" w:cs="Segoe UI"/>
          <w:b/>
          <w:bCs/>
          <w:iCs/>
          <w:color w:val="000091" w:themeColor="text1"/>
          <w:spacing w:val="-6"/>
          <w:sz w:val="19"/>
          <w:szCs w:val="19"/>
          <w:lang w:val="fr-FR" w:eastAsia="ja-JP"/>
        </w:rPr>
        <w:t xml:space="preserve">Politique monétaire | </w:t>
      </w:r>
      <w:r w:rsidR="00584709">
        <w:rPr>
          <w:rFonts w:ascii="Segoe UI" w:hAnsi="Segoe UI" w:cs="Segoe UI"/>
          <w:iCs/>
          <w:color w:val="000091" w:themeColor="text1"/>
          <w:spacing w:val="-6"/>
          <w:sz w:val="19"/>
          <w:szCs w:val="19"/>
          <w:lang w:val="fr-FR" w:eastAsia="ja-JP"/>
        </w:rPr>
        <w:t>Août</w:t>
      </w:r>
      <w:r w:rsidR="000E40F0">
        <w:rPr>
          <w:rFonts w:ascii="Segoe UI" w:hAnsi="Segoe UI" w:cs="Segoe UI"/>
          <w:iCs/>
          <w:color w:val="000091" w:themeColor="text1"/>
          <w:spacing w:val="-6"/>
          <w:sz w:val="19"/>
          <w:szCs w:val="19"/>
          <w:lang w:val="fr-FR" w:eastAsia="ja-JP"/>
        </w:rPr>
        <w:t xml:space="preserve"> </w:t>
      </w:r>
      <w:r w:rsidRPr="0076026A">
        <w:rPr>
          <w:rFonts w:ascii="Segoe UI" w:hAnsi="Segoe UI" w:cs="Segoe UI"/>
          <w:iCs/>
          <w:color w:val="000091" w:themeColor="text1"/>
          <w:spacing w:val="-6"/>
          <w:sz w:val="19"/>
          <w:szCs w:val="19"/>
          <w:lang w:val="fr-FR" w:eastAsia="ja-JP"/>
        </w:rPr>
        <w:t>202</w:t>
      </w:r>
      <w:r w:rsidR="007B381D">
        <w:rPr>
          <w:rFonts w:ascii="Segoe UI" w:hAnsi="Segoe UI" w:cs="Segoe UI"/>
          <w:iCs/>
          <w:color w:val="000091" w:themeColor="text1"/>
          <w:spacing w:val="-6"/>
          <w:sz w:val="19"/>
          <w:szCs w:val="19"/>
          <w:lang w:val="fr-FR" w:eastAsia="ja-JP"/>
        </w:rPr>
        <w:t>5</w:t>
      </w:r>
      <w:r w:rsidRPr="0076026A">
        <w:rPr>
          <w:rFonts w:ascii="Segoe UI" w:hAnsi="Segoe UI" w:cs="Segoe UI"/>
          <w:iCs/>
          <w:color w:val="000091" w:themeColor="text1"/>
          <w:spacing w:val="-6"/>
          <w:sz w:val="19"/>
          <w:szCs w:val="19"/>
          <w:lang w:val="fr-FR" w:eastAsia="ja-JP"/>
        </w:rPr>
        <w:t xml:space="preserve"> – taux directeur : </w:t>
      </w:r>
      <w:r w:rsidR="00584709">
        <w:rPr>
          <w:rFonts w:ascii="Segoe UI" w:hAnsi="Segoe UI" w:cs="Segoe UI"/>
          <w:iCs/>
          <w:color w:val="000091" w:themeColor="text1"/>
          <w:spacing w:val="-6"/>
          <w:sz w:val="19"/>
          <w:szCs w:val="19"/>
          <w:lang w:val="fr-FR" w:eastAsia="ja-JP"/>
        </w:rPr>
        <w:t>7</w:t>
      </w:r>
      <w:r w:rsidR="00767C64">
        <w:rPr>
          <w:rFonts w:ascii="Segoe UI" w:hAnsi="Segoe UI" w:cs="Segoe UI"/>
          <w:iCs/>
          <w:color w:val="000091" w:themeColor="text1"/>
          <w:spacing w:val="-6"/>
          <w:sz w:val="19"/>
          <w:szCs w:val="19"/>
          <w:lang w:val="fr-FR" w:eastAsia="ja-JP"/>
        </w:rPr>
        <w:t>,</w:t>
      </w:r>
      <w:r w:rsidR="00584709">
        <w:rPr>
          <w:rFonts w:ascii="Segoe UI" w:hAnsi="Segoe UI" w:cs="Segoe UI"/>
          <w:iCs/>
          <w:color w:val="000091" w:themeColor="text1"/>
          <w:spacing w:val="-6"/>
          <w:sz w:val="19"/>
          <w:szCs w:val="19"/>
          <w:lang w:val="fr-FR" w:eastAsia="ja-JP"/>
        </w:rPr>
        <w:t>7</w:t>
      </w:r>
      <w:r w:rsidR="00767C64">
        <w:rPr>
          <w:rFonts w:ascii="Segoe UI" w:hAnsi="Segoe UI" w:cs="Segoe UI"/>
          <w:iCs/>
          <w:color w:val="000091" w:themeColor="text1"/>
          <w:spacing w:val="-6"/>
          <w:sz w:val="19"/>
          <w:szCs w:val="19"/>
          <w:lang w:val="fr-FR" w:eastAsia="ja-JP"/>
        </w:rPr>
        <w:t>5</w:t>
      </w:r>
      <w:r w:rsidR="000E40F0">
        <w:rPr>
          <w:rFonts w:ascii="Segoe UI" w:hAnsi="Segoe UI" w:cs="Segoe UI"/>
          <w:iCs/>
          <w:color w:val="000091" w:themeColor="text1"/>
          <w:spacing w:val="-6"/>
          <w:sz w:val="19"/>
          <w:szCs w:val="19"/>
          <w:lang w:val="fr-FR" w:eastAsia="ja-JP"/>
        </w:rPr>
        <w:t xml:space="preserve"> </w:t>
      </w:r>
      <w:r w:rsidRPr="0076026A">
        <w:rPr>
          <w:rFonts w:ascii="Segoe UI" w:hAnsi="Segoe UI" w:cs="Segoe UI"/>
          <w:iCs/>
          <w:color w:val="000091" w:themeColor="text1"/>
          <w:spacing w:val="-6"/>
          <w:sz w:val="19"/>
          <w:szCs w:val="19"/>
          <w:lang w:val="fr-FR" w:eastAsia="ja-JP"/>
        </w:rPr>
        <w:t xml:space="preserve">% </w:t>
      </w:r>
      <w:r w:rsidRPr="0076026A">
        <w:rPr>
          <w:rFonts w:ascii="Segoe UI" w:hAnsi="Segoe UI" w:cs="Segoe UI"/>
          <w:b/>
          <w:bCs/>
          <w:iCs/>
          <w:color w:val="000091" w:themeColor="text1"/>
          <w:spacing w:val="-6"/>
          <w:sz w:val="19"/>
          <w:szCs w:val="19"/>
          <w:lang w:val="fr-FR" w:eastAsia="ja-JP"/>
        </w:rPr>
        <w:t xml:space="preserve">| </w:t>
      </w:r>
      <w:r w:rsidR="00871C6B" w:rsidRPr="00871C6B">
        <w:rPr>
          <w:rFonts w:ascii="Segoe UI" w:hAnsi="Segoe UI" w:cs="Segoe UI"/>
          <w:b/>
          <w:bCs/>
          <w:iCs/>
          <w:spacing w:val="-6"/>
          <w:sz w:val="19"/>
          <w:szCs w:val="19"/>
          <w:lang w:val="fr-FR" w:eastAsia="ja-JP"/>
        </w:rPr>
        <w:t xml:space="preserve">Banxico a </w:t>
      </w:r>
      <w:r w:rsidR="0060090A">
        <w:rPr>
          <w:rFonts w:ascii="Segoe UI" w:hAnsi="Segoe UI" w:cs="Segoe UI"/>
          <w:b/>
          <w:bCs/>
          <w:iCs/>
          <w:spacing w:val="-6"/>
          <w:sz w:val="19"/>
          <w:szCs w:val="19"/>
          <w:lang w:val="fr-FR" w:eastAsia="ja-JP"/>
        </w:rPr>
        <w:t>intensifié ses baisses de taux au</w:t>
      </w:r>
      <w:r w:rsidR="00871C6B">
        <w:rPr>
          <w:rFonts w:ascii="Segoe UI" w:hAnsi="Segoe UI" w:cs="Segoe UI"/>
          <w:b/>
          <w:bCs/>
          <w:iCs/>
          <w:spacing w:val="-6"/>
          <w:sz w:val="19"/>
          <w:szCs w:val="19"/>
          <w:lang w:val="fr-FR" w:eastAsia="ja-JP"/>
        </w:rPr>
        <w:t xml:space="preserve"> S1 2025. </w:t>
      </w:r>
      <w:r w:rsidR="005F1A76">
        <w:rPr>
          <w:rFonts w:ascii="Segoe UI" w:hAnsi="Segoe UI" w:cs="Segoe UI"/>
          <w:iCs/>
          <w:spacing w:val="-6"/>
          <w:sz w:val="19"/>
          <w:szCs w:val="19"/>
          <w:lang w:val="fr-FR" w:eastAsia="ja-JP"/>
        </w:rPr>
        <w:t>B</w:t>
      </w:r>
      <w:r w:rsidR="005B0306" w:rsidRPr="005F1A76">
        <w:rPr>
          <w:rFonts w:ascii="Segoe UI" w:hAnsi="Segoe UI" w:cs="Segoe UI"/>
          <w:iCs/>
          <w:spacing w:val="-6"/>
          <w:sz w:val="19"/>
          <w:szCs w:val="19"/>
          <w:lang w:val="fr-FR" w:eastAsia="ja-JP"/>
        </w:rPr>
        <w:t xml:space="preserve">anxico </w:t>
      </w:r>
      <w:r w:rsidR="00282B46" w:rsidRPr="005F1A76">
        <w:rPr>
          <w:rFonts w:ascii="Segoe UI" w:hAnsi="Segoe UI" w:cs="Segoe UI"/>
          <w:iCs/>
          <w:spacing w:val="-6"/>
          <w:sz w:val="19"/>
          <w:szCs w:val="19"/>
          <w:lang w:val="fr-FR" w:eastAsia="ja-JP"/>
        </w:rPr>
        <w:t xml:space="preserve">a </w:t>
      </w:r>
      <w:r w:rsidR="005F1A76" w:rsidRPr="005F1A76">
        <w:rPr>
          <w:rFonts w:ascii="Segoe UI" w:hAnsi="Segoe UI" w:cs="Segoe UI"/>
          <w:iCs/>
          <w:spacing w:val="-6"/>
          <w:sz w:val="19"/>
          <w:szCs w:val="19"/>
          <w:lang w:val="fr-FR" w:eastAsia="ja-JP"/>
        </w:rPr>
        <w:t>amorcé</w:t>
      </w:r>
      <w:r w:rsidR="00282B46" w:rsidRPr="005F1A76">
        <w:rPr>
          <w:rFonts w:ascii="Segoe UI" w:hAnsi="Segoe UI" w:cs="Segoe UI"/>
          <w:iCs/>
          <w:spacing w:val="-6"/>
          <w:sz w:val="19"/>
          <w:szCs w:val="19"/>
          <w:lang w:val="fr-FR" w:eastAsia="ja-JP"/>
        </w:rPr>
        <w:t xml:space="preserve"> son cycle d’assouplissement en 2024, procédant </w:t>
      </w:r>
      <w:r w:rsidR="005B0306" w:rsidRPr="005F1A76">
        <w:rPr>
          <w:rFonts w:ascii="Segoe UI" w:hAnsi="Segoe UI" w:cs="Segoe UI"/>
          <w:iCs/>
          <w:spacing w:val="-6"/>
          <w:sz w:val="19"/>
          <w:szCs w:val="19"/>
          <w:lang w:val="fr-FR" w:eastAsia="ja-JP"/>
        </w:rPr>
        <w:t>à 5 baisses de taux de 25</w:t>
      </w:r>
      <w:r w:rsidR="0060090A">
        <w:rPr>
          <w:rFonts w:ascii="Segoe UI" w:hAnsi="Segoe UI" w:cs="Segoe UI"/>
          <w:iCs/>
          <w:spacing w:val="-6"/>
          <w:sz w:val="19"/>
          <w:szCs w:val="19"/>
          <w:lang w:val="fr-FR" w:eastAsia="ja-JP"/>
        </w:rPr>
        <w:t xml:space="preserve"> points de base</w:t>
      </w:r>
      <w:r w:rsidR="005B0306" w:rsidRPr="005F1A76">
        <w:rPr>
          <w:rFonts w:ascii="Segoe UI" w:hAnsi="Segoe UI" w:cs="Segoe UI"/>
          <w:iCs/>
          <w:spacing w:val="-6"/>
          <w:sz w:val="19"/>
          <w:szCs w:val="19"/>
          <w:lang w:val="fr-FR" w:eastAsia="ja-JP"/>
        </w:rPr>
        <w:t xml:space="preserve"> </w:t>
      </w:r>
      <w:r w:rsidR="0060090A">
        <w:rPr>
          <w:rFonts w:ascii="Segoe UI" w:hAnsi="Segoe UI" w:cs="Segoe UI"/>
          <w:iCs/>
          <w:spacing w:val="-6"/>
          <w:sz w:val="19"/>
          <w:szCs w:val="19"/>
          <w:lang w:val="fr-FR" w:eastAsia="ja-JP"/>
        </w:rPr>
        <w:t>(</w:t>
      </w:r>
      <w:r w:rsidR="00282B46" w:rsidRPr="005F1A76">
        <w:rPr>
          <w:rFonts w:ascii="Segoe UI" w:hAnsi="Segoe UI" w:cs="Segoe UI"/>
          <w:iCs/>
          <w:spacing w:val="-6"/>
          <w:sz w:val="19"/>
          <w:szCs w:val="19"/>
          <w:lang w:val="fr-FR" w:eastAsia="ja-JP"/>
        </w:rPr>
        <w:t>pdb</w:t>
      </w:r>
      <w:r w:rsidR="0060090A">
        <w:rPr>
          <w:rFonts w:ascii="Segoe UI" w:hAnsi="Segoe UI" w:cs="Segoe UI"/>
          <w:iCs/>
          <w:spacing w:val="-6"/>
          <w:sz w:val="19"/>
          <w:szCs w:val="19"/>
          <w:lang w:val="fr-FR" w:eastAsia="ja-JP"/>
        </w:rPr>
        <w:t>)</w:t>
      </w:r>
      <w:r w:rsidR="00282B46" w:rsidRPr="005F1A76">
        <w:rPr>
          <w:rFonts w:ascii="Segoe UI" w:hAnsi="Segoe UI" w:cs="Segoe UI"/>
          <w:iCs/>
          <w:spacing w:val="-6"/>
          <w:sz w:val="19"/>
          <w:szCs w:val="19"/>
          <w:lang w:val="fr-FR" w:eastAsia="ja-JP"/>
        </w:rPr>
        <w:t xml:space="preserve"> qui ont ramené le taux d’</w:t>
      </w:r>
      <w:r w:rsidR="00BB35B8" w:rsidRPr="005F1A76">
        <w:rPr>
          <w:rFonts w:ascii="Segoe UI" w:hAnsi="Segoe UI" w:cs="Segoe UI"/>
          <w:iCs/>
          <w:spacing w:val="-6"/>
          <w:sz w:val="19"/>
          <w:szCs w:val="19"/>
          <w:lang w:val="fr-FR" w:eastAsia="ja-JP"/>
        </w:rPr>
        <w:t>intérêt</w:t>
      </w:r>
      <w:r w:rsidR="00282B46" w:rsidRPr="005F1A76">
        <w:rPr>
          <w:rFonts w:ascii="Segoe UI" w:hAnsi="Segoe UI" w:cs="Segoe UI"/>
          <w:iCs/>
          <w:spacing w:val="-6"/>
          <w:sz w:val="19"/>
          <w:szCs w:val="19"/>
          <w:lang w:val="fr-FR" w:eastAsia="ja-JP"/>
        </w:rPr>
        <w:t xml:space="preserve"> directeur </w:t>
      </w:r>
      <w:r w:rsidR="005F1A76" w:rsidRPr="005F1A76">
        <w:rPr>
          <w:rFonts w:ascii="Segoe UI" w:hAnsi="Segoe UI" w:cs="Segoe UI"/>
          <w:iCs/>
          <w:spacing w:val="-6"/>
          <w:sz w:val="19"/>
          <w:szCs w:val="19"/>
          <w:lang w:val="fr-FR" w:eastAsia="ja-JP"/>
        </w:rPr>
        <w:t>à</w:t>
      </w:r>
      <w:r w:rsidR="00282B46" w:rsidRPr="005F1A76">
        <w:rPr>
          <w:rFonts w:ascii="Segoe UI" w:hAnsi="Segoe UI" w:cs="Segoe UI"/>
          <w:iCs/>
          <w:spacing w:val="-6"/>
          <w:sz w:val="19"/>
          <w:szCs w:val="19"/>
          <w:lang w:val="fr-FR" w:eastAsia="ja-JP"/>
        </w:rPr>
        <w:t xml:space="preserve"> </w:t>
      </w:r>
      <w:r w:rsidR="005B0306" w:rsidRPr="005F1A76">
        <w:rPr>
          <w:rFonts w:ascii="Segoe UI" w:hAnsi="Segoe UI" w:cs="Segoe UI"/>
          <w:iCs/>
          <w:spacing w:val="-6"/>
          <w:sz w:val="19"/>
          <w:szCs w:val="19"/>
          <w:lang w:val="fr-FR" w:eastAsia="ja-JP"/>
        </w:rPr>
        <w:t>10 %</w:t>
      </w:r>
      <w:r w:rsidR="00A6312B">
        <w:rPr>
          <w:rFonts w:ascii="Segoe UI" w:hAnsi="Segoe UI" w:cs="Segoe UI"/>
          <w:iCs/>
          <w:spacing w:val="-6"/>
          <w:sz w:val="19"/>
          <w:szCs w:val="19"/>
          <w:lang w:val="fr-FR" w:eastAsia="ja-JP"/>
        </w:rPr>
        <w:t xml:space="preserve"> fin 2024</w:t>
      </w:r>
      <w:r w:rsidR="005B0306" w:rsidRPr="005F1A76">
        <w:rPr>
          <w:rFonts w:ascii="Segoe UI" w:hAnsi="Segoe UI" w:cs="Segoe UI"/>
          <w:iCs/>
          <w:spacing w:val="-6"/>
          <w:sz w:val="19"/>
          <w:szCs w:val="19"/>
          <w:lang w:val="fr-FR" w:eastAsia="ja-JP"/>
        </w:rPr>
        <w:t xml:space="preserve">. </w:t>
      </w:r>
      <w:r w:rsidR="005F1A76">
        <w:rPr>
          <w:rFonts w:ascii="Segoe UI" w:hAnsi="Segoe UI" w:cs="Segoe UI"/>
          <w:iCs/>
          <w:spacing w:val="-6"/>
          <w:sz w:val="19"/>
          <w:szCs w:val="19"/>
          <w:lang w:val="fr-FR" w:eastAsia="ja-JP"/>
        </w:rPr>
        <w:t>Dès février 2025,</w:t>
      </w:r>
      <w:r w:rsidR="0060090A">
        <w:rPr>
          <w:rFonts w:ascii="Segoe UI" w:hAnsi="Segoe UI" w:cs="Segoe UI"/>
          <w:iCs/>
          <w:spacing w:val="-6"/>
          <w:sz w:val="19"/>
          <w:szCs w:val="19"/>
          <w:lang w:val="fr-FR" w:eastAsia="ja-JP"/>
        </w:rPr>
        <w:t xml:space="preserve"> </w:t>
      </w:r>
      <w:r w:rsidR="008975BF" w:rsidRPr="005F1A76">
        <w:rPr>
          <w:rFonts w:ascii="Segoe UI" w:hAnsi="Segoe UI" w:cs="Segoe UI"/>
          <w:iCs/>
          <w:spacing w:val="-6"/>
          <w:sz w:val="19"/>
          <w:szCs w:val="19"/>
          <w:lang w:val="fr-FR" w:eastAsia="ja-JP"/>
        </w:rPr>
        <w:t xml:space="preserve">Banxico a </w:t>
      </w:r>
      <w:r w:rsidR="005F1A76">
        <w:rPr>
          <w:rFonts w:ascii="Segoe UI" w:hAnsi="Segoe UI" w:cs="Segoe UI"/>
          <w:iCs/>
          <w:spacing w:val="-6"/>
          <w:sz w:val="19"/>
          <w:szCs w:val="19"/>
          <w:lang w:val="fr-FR" w:eastAsia="ja-JP"/>
        </w:rPr>
        <w:t xml:space="preserve">augmenté l’ampleur </w:t>
      </w:r>
      <w:r w:rsidR="008925C9">
        <w:rPr>
          <w:rFonts w:ascii="Segoe UI" w:hAnsi="Segoe UI" w:cs="Segoe UI"/>
          <w:iCs/>
          <w:spacing w:val="-6"/>
          <w:sz w:val="19"/>
          <w:szCs w:val="19"/>
          <w:lang w:val="fr-FR" w:eastAsia="ja-JP"/>
        </w:rPr>
        <w:t>des baisses</w:t>
      </w:r>
      <w:r w:rsidR="005F1A76">
        <w:rPr>
          <w:rFonts w:ascii="Segoe UI" w:hAnsi="Segoe UI" w:cs="Segoe UI"/>
          <w:iCs/>
          <w:spacing w:val="-6"/>
          <w:sz w:val="19"/>
          <w:szCs w:val="19"/>
          <w:lang w:val="fr-FR" w:eastAsia="ja-JP"/>
        </w:rPr>
        <w:t xml:space="preserve"> du taux d’intérêt directeur</w:t>
      </w:r>
      <w:r w:rsidR="0060090A">
        <w:rPr>
          <w:rFonts w:ascii="Segoe UI" w:hAnsi="Segoe UI" w:cs="Segoe UI"/>
          <w:iCs/>
          <w:spacing w:val="-6"/>
          <w:sz w:val="19"/>
          <w:szCs w:val="19"/>
          <w:lang w:val="fr-FR" w:eastAsia="ja-JP"/>
        </w:rPr>
        <w:t xml:space="preserve"> (4 baisses de 50 pdb)</w:t>
      </w:r>
      <w:r w:rsidR="007749F7">
        <w:rPr>
          <w:rFonts w:ascii="Segoe UI" w:hAnsi="Segoe UI" w:cs="Segoe UI"/>
          <w:iCs/>
          <w:spacing w:val="-6"/>
          <w:sz w:val="19"/>
          <w:szCs w:val="19"/>
          <w:lang w:val="fr-FR" w:eastAsia="ja-JP"/>
        </w:rPr>
        <w:t>. Une nouvelle baisse de</w:t>
      </w:r>
      <w:r w:rsidR="002556CC">
        <w:rPr>
          <w:rFonts w:ascii="Segoe UI" w:hAnsi="Segoe UI" w:cs="Segoe UI"/>
          <w:iCs/>
          <w:spacing w:val="-6"/>
          <w:sz w:val="19"/>
          <w:szCs w:val="19"/>
          <w:lang w:val="fr-FR" w:eastAsia="ja-JP"/>
        </w:rPr>
        <w:t xml:space="preserve"> </w:t>
      </w:r>
      <w:r w:rsidR="007749F7">
        <w:rPr>
          <w:rFonts w:ascii="Segoe UI" w:hAnsi="Segoe UI" w:cs="Segoe UI"/>
          <w:iCs/>
          <w:spacing w:val="-6"/>
          <w:sz w:val="19"/>
          <w:szCs w:val="19"/>
          <w:lang w:val="fr-FR" w:eastAsia="ja-JP"/>
        </w:rPr>
        <w:t>25 pdb, abaissant le taux à 7,75 %, a été effectuée en août</w:t>
      </w:r>
      <w:r w:rsidR="009E7FDE">
        <w:rPr>
          <w:rFonts w:ascii="Segoe UI" w:hAnsi="Segoe UI" w:cs="Segoe UI"/>
          <w:iCs/>
          <w:spacing w:val="-6"/>
          <w:sz w:val="19"/>
          <w:szCs w:val="19"/>
          <w:lang w:val="fr-FR" w:eastAsia="ja-JP"/>
        </w:rPr>
        <w:t xml:space="preserve"> et d</w:t>
      </w:r>
      <w:r w:rsidR="003B6206">
        <w:rPr>
          <w:rFonts w:ascii="Segoe UI" w:hAnsi="Segoe UI" w:cs="Segoe UI"/>
          <w:iCs/>
          <w:spacing w:val="-6"/>
          <w:sz w:val="19"/>
          <w:szCs w:val="19"/>
          <w:lang w:val="fr-FR" w:eastAsia="ja-JP"/>
        </w:rPr>
        <w:t xml:space="preserve">’après les </w:t>
      </w:r>
      <w:r w:rsidR="000D1CE7">
        <w:rPr>
          <w:rFonts w:ascii="Segoe UI" w:hAnsi="Segoe UI" w:cs="Segoe UI"/>
          <w:iCs/>
          <w:spacing w:val="-6"/>
          <w:sz w:val="19"/>
          <w:szCs w:val="19"/>
          <w:lang w:val="fr-FR" w:eastAsia="ja-JP"/>
        </w:rPr>
        <w:t>prévisions</w:t>
      </w:r>
      <w:r w:rsidR="003B6206">
        <w:rPr>
          <w:rFonts w:ascii="Segoe UI" w:hAnsi="Segoe UI" w:cs="Segoe UI"/>
          <w:iCs/>
          <w:spacing w:val="-6"/>
          <w:sz w:val="19"/>
          <w:szCs w:val="19"/>
          <w:lang w:val="fr-FR" w:eastAsia="ja-JP"/>
        </w:rPr>
        <w:t xml:space="preserve"> du consensus de marché, il</w:t>
      </w:r>
      <w:r w:rsidR="007622B9">
        <w:rPr>
          <w:rFonts w:ascii="Segoe UI" w:hAnsi="Segoe UI" w:cs="Segoe UI"/>
          <w:iCs/>
          <w:spacing w:val="-6"/>
          <w:sz w:val="19"/>
          <w:szCs w:val="19"/>
          <w:lang w:val="fr-FR" w:eastAsia="ja-JP"/>
        </w:rPr>
        <w:t xml:space="preserve"> devrait atteindre 7,</w:t>
      </w:r>
      <w:r w:rsidR="0024664B">
        <w:rPr>
          <w:rFonts w:ascii="Segoe UI" w:hAnsi="Segoe UI" w:cs="Segoe UI"/>
          <w:iCs/>
          <w:spacing w:val="-6"/>
          <w:sz w:val="19"/>
          <w:szCs w:val="19"/>
          <w:lang w:val="fr-FR" w:eastAsia="ja-JP"/>
        </w:rPr>
        <w:t>2</w:t>
      </w:r>
      <w:r w:rsidR="007622B9">
        <w:rPr>
          <w:rFonts w:ascii="Segoe UI" w:hAnsi="Segoe UI" w:cs="Segoe UI"/>
          <w:iCs/>
          <w:spacing w:val="-6"/>
          <w:sz w:val="19"/>
          <w:szCs w:val="19"/>
          <w:lang w:val="fr-FR" w:eastAsia="ja-JP"/>
        </w:rPr>
        <w:t xml:space="preserve">5 % d’ici la fin de l’année. </w:t>
      </w:r>
      <w:r w:rsidR="008925C9">
        <w:rPr>
          <w:rFonts w:ascii="Segoe UI" w:hAnsi="Segoe UI" w:cs="Segoe UI"/>
          <w:iCs/>
          <w:spacing w:val="-6"/>
          <w:sz w:val="19"/>
          <w:szCs w:val="19"/>
          <w:lang w:val="fr-FR" w:eastAsia="ja-JP"/>
        </w:rPr>
        <w:t xml:space="preserve">Le différentiel de taux avec la </w:t>
      </w:r>
      <w:r w:rsidR="0060090A">
        <w:rPr>
          <w:rFonts w:ascii="Segoe UI" w:hAnsi="Segoe UI" w:cs="Segoe UI"/>
          <w:iCs/>
          <w:spacing w:val="-6"/>
          <w:sz w:val="19"/>
          <w:szCs w:val="19"/>
          <w:lang w:val="fr-FR" w:eastAsia="ja-JP"/>
        </w:rPr>
        <w:t>Réserve fédérale américaine</w:t>
      </w:r>
      <w:r w:rsidR="008925C9">
        <w:rPr>
          <w:rFonts w:ascii="Segoe UI" w:hAnsi="Segoe UI" w:cs="Segoe UI"/>
          <w:iCs/>
          <w:spacing w:val="-6"/>
          <w:sz w:val="19"/>
          <w:szCs w:val="19"/>
          <w:lang w:val="fr-FR" w:eastAsia="ja-JP"/>
        </w:rPr>
        <w:t xml:space="preserve"> </w:t>
      </w:r>
      <w:r w:rsidR="00605663">
        <w:rPr>
          <w:rFonts w:ascii="Segoe UI" w:hAnsi="Segoe UI" w:cs="Segoe UI"/>
          <w:iCs/>
          <w:spacing w:val="-6"/>
          <w:sz w:val="19"/>
          <w:szCs w:val="19"/>
          <w:lang w:val="fr-FR" w:eastAsia="ja-JP"/>
        </w:rPr>
        <w:t xml:space="preserve">s’est </w:t>
      </w:r>
      <w:r w:rsidR="0060090A">
        <w:rPr>
          <w:rFonts w:ascii="Segoe UI" w:hAnsi="Segoe UI" w:cs="Segoe UI"/>
          <w:iCs/>
          <w:spacing w:val="-6"/>
          <w:sz w:val="19"/>
          <w:szCs w:val="19"/>
          <w:lang w:val="fr-FR" w:eastAsia="ja-JP"/>
        </w:rPr>
        <w:t xml:space="preserve">ainsi </w:t>
      </w:r>
      <w:r w:rsidR="00605663">
        <w:rPr>
          <w:rFonts w:ascii="Segoe UI" w:hAnsi="Segoe UI" w:cs="Segoe UI"/>
          <w:iCs/>
          <w:spacing w:val="-6"/>
          <w:sz w:val="19"/>
          <w:szCs w:val="19"/>
          <w:lang w:val="fr-FR" w:eastAsia="ja-JP"/>
        </w:rPr>
        <w:t>creusé</w:t>
      </w:r>
      <w:r w:rsidR="008925C9">
        <w:rPr>
          <w:rFonts w:ascii="Segoe UI" w:hAnsi="Segoe UI" w:cs="Segoe UI"/>
          <w:iCs/>
          <w:spacing w:val="-6"/>
          <w:sz w:val="19"/>
          <w:szCs w:val="19"/>
          <w:lang w:val="fr-FR" w:eastAsia="ja-JP"/>
        </w:rPr>
        <w:t xml:space="preserve"> au cours de l’année</w:t>
      </w:r>
      <w:r w:rsidR="006842CE">
        <w:rPr>
          <w:rFonts w:ascii="Segoe UI" w:hAnsi="Segoe UI" w:cs="Segoe UI"/>
          <w:iCs/>
          <w:spacing w:val="-6"/>
          <w:sz w:val="19"/>
          <w:szCs w:val="19"/>
          <w:lang w:val="fr-FR" w:eastAsia="ja-JP"/>
        </w:rPr>
        <w:t xml:space="preserve"> 2025</w:t>
      </w:r>
      <w:r w:rsidR="008925C9">
        <w:rPr>
          <w:rFonts w:ascii="Segoe UI" w:hAnsi="Segoe UI" w:cs="Segoe UI"/>
          <w:iCs/>
          <w:spacing w:val="-6"/>
          <w:sz w:val="19"/>
          <w:szCs w:val="19"/>
          <w:lang w:val="fr-FR" w:eastAsia="ja-JP"/>
        </w:rPr>
        <w:t xml:space="preserve">, passant de 550 à 325 pdb et </w:t>
      </w:r>
      <w:r w:rsidR="003B6206">
        <w:rPr>
          <w:rFonts w:ascii="Segoe UI" w:hAnsi="Segoe UI" w:cs="Segoe UI"/>
          <w:iCs/>
          <w:spacing w:val="-6"/>
          <w:sz w:val="19"/>
          <w:szCs w:val="19"/>
          <w:lang w:val="fr-FR" w:eastAsia="ja-JP"/>
        </w:rPr>
        <w:t>scellant</w:t>
      </w:r>
      <w:r w:rsidR="008925C9">
        <w:rPr>
          <w:rFonts w:ascii="Segoe UI" w:hAnsi="Segoe UI" w:cs="Segoe UI"/>
          <w:iCs/>
          <w:spacing w:val="-6"/>
          <w:sz w:val="19"/>
          <w:szCs w:val="19"/>
          <w:lang w:val="fr-FR" w:eastAsia="ja-JP"/>
        </w:rPr>
        <w:t xml:space="preserve"> un découplage </w:t>
      </w:r>
      <w:r w:rsidR="001C7C32">
        <w:rPr>
          <w:rFonts w:ascii="Segoe UI" w:hAnsi="Segoe UI" w:cs="Segoe UI"/>
          <w:iCs/>
          <w:spacing w:val="-6"/>
          <w:sz w:val="19"/>
          <w:szCs w:val="19"/>
          <w:lang w:val="fr-FR" w:eastAsia="ja-JP"/>
        </w:rPr>
        <w:t>entre les</w:t>
      </w:r>
      <w:r w:rsidR="008925C9">
        <w:rPr>
          <w:rFonts w:ascii="Segoe UI" w:hAnsi="Segoe UI" w:cs="Segoe UI"/>
          <w:iCs/>
          <w:spacing w:val="-6"/>
          <w:sz w:val="19"/>
          <w:szCs w:val="19"/>
          <w:lang w:val="fr-FR" w:eastAsia="ja-JP"/>
        </w:rPr>
        <w:t xml:space="preserve"> politiques monétaires américaine et mexicaine</w:t>
      </w:r>
      <w:r w:rsidR="001C7C32">
        <w:rPr>
          <w:rFonts w:ascii="Segoe UI" w:hAnsi="Segoe UI" w:cs="Segoe UI"/>
          <w:iCs/>
          <w:spacing w:val="-6"/>
          <w:sz w:val="19"/>
          <w:szCs w:val="19"/>
          <w:lang w:val="fr-FR" w:eastAsia="ja-JP"/>
        </w:rPr>
        <w:t>. L</w:t>
      </w:r>
      <w:r w:rsidR="008925C9">
        <w:rPr>
          <w:rFonts w:ascii="Segoe UI" w:hAnsi="Segoe UI" w:cs="Segoe UI"/>
          <w:iCs/>
          <w:spacing w:val="-6"/>
          <w:sz w:val="19"/>
          <w:szCs w:val="19"/>
          <w:lang w:val="fr-FR" w:eastAsia="ja-JP"/>
        </w:rPr>
        <w:t xml:space="preserve">a </w:t>
      </w:r>
      <w:r w:rsidR="00C41D7F">
        <w:rPr>
          <w:rFonts w:ascii="Segoe UI" w:hAnsi="Segoe UI" w:cs="Segoe UI"/>
          <w:iCs/>
          <w:spacing w:val="-6"/>
          <w:sz w:val="19"/>
          <w:szCs w:val="19"/>
          <w:lang w:val="fr-FR" w:eastAsia="ja-JP"/>
        </w:rPr>
        <w:t xml:space="preserve">politique monétaire </w:t>
      </w:r>
      <w:r w:rsidR="00605663">
        <w:rPr>
          <w:rFonts w:ascii="Segoe UI" w:hAnsi="Segoe UI" w:cs="Segoe UI"/>
          <w:iCs/>
          <w:spacing w:val="-6"/>
          <w:sz w:val="19"/>
          <w:szCs w:val="19"/>
          <w:lang w:val="fr-FR" w:eastAsia="ja-JP"/>
        </w:rPr>
        <w:t>mexicaine</w:t>
      </w:r>
      <w:r w:rsidR="008925C9">
        <w:rPr>
          <w:rFonts w:ascii="Segoe UI" w:hAnsi="Segoe UI" w:cs="Segoe UI"/>
          <w:iCs/>
          <w:spacing w:val="-6"/>
          <w:sz w:val="19"/>
          <w:szCs w:val="19"/>
          <w:lang w:val="fr-FR" w:eastAsia="ja-JP"/>
        </w:rPr>
        <w:t xml:space="preserve"> reste</w:t>
      </w:r>
      <w:r w:rsidR="00372565" w:rsidRPr="008975BF">
        <w:rPr>
          <w:rFonts w:ascii="Segoe UI" w:hAnsi="Segoe UI" w:cs="Segoe UI"/>
          <w:iCs/>
          <w:spacing w:val="-6"/>
          <w:sz w:val="19"/>
          <w:szCs w:val="19"/>
          <w:lang w:val="fr-FR" w:eastAsia="ja-JP"/>
        </w:rPr>
        <w:t xml:space="preserve"> </w:t>
      </w:r>
      <w:r w:rsidR="001C7C32">
        <w:rPr>
          <w:rFonts w:ascii="Segoe UI" w:hAnsi="Segoe UI" w:cs="Segoe UI"/>
          <w:iCs/>
          <w:spacing w:val="-6"/>
          <w:sz w:val="19"/>
          <w:szCs w:val="19"/>
          <w:lang w:val="fr-FR" w:eastAsia="ja-JP"/>
        </w:rPr>
        <w:t xml:space="preserve">cependant </w:t>
      </w:r>
      <w:r w:rsidR="00372565" w:rsidRPr="008975BF">
        <w:rPr>
          <w:rFonts w:ascii="Segoe UI" w:hAnsi="Segoe UI" w:cs="Segoe UI"/>
          <w:iCs/>
          <w:spacing w:val="-6"/>
          <w:sz w:val="19"/>
          <w:szCs w:val="19"/>
          <w:lang w:val="fr-FR" w:eastAsia="ja-JP"/>
        </w:rPr>
        <w:t>restrictive.</w:t>
      </w:r>
    </w:p>
    <w:p w14:paraId="2375932C" w14:textId="70953CCA" w:rsidR="002C2932" w:rsidRPr="00B64CB2" w:rsidRDefault="00974FC1" w:rsidP="00C33585">
      <w:pPr>
        <w:pStyle w:val="Briefinglist1"/>
        <w:numPr>
          <w:ilvl w:val="0"/>
          <w:numId w:val="0"/>
        </w:numPr>
        <w:tabs>
          <w:tab w:val="left" w:pos="9639"/>
        </w:tabs>
        <w:spacing w:after="0"/>
        <w:ind w:left="-993"/>
        <w:rPr>
          <w:rFonts w:ascii="Segoe UI" w:hAnsi="Segoe UI" w:cs="Segoe UI"/>
          <w:iCs/>
          <w:spacing w:val="-6"/>
          <w:sz w:val="19"/>
          <w:szCs w:val="19"/>
          <w:lang w:val="fr-FR" w:eastAsia="ja-JP"/>
        </w:rPr>
      </w:pPr>
      <w:bookmarkStart w:id="5" w:name="_Hlk175839906"/>
      <w:bookmarkEnd w:id="4"/>
      <w:r w:rsidRPr="0076026A">
        <w:rPr>
          <w:rFonts w:ascii="Segoe UI" w:hAnsi="Segoe UI" w:cs="Segoe UI"/>
          <w:b/>
          <w:bCs/>
          <w:iCs/>
          <w:color w:val="000091" w:themeColor="text1"/>
          <w:spacing w:val="-6"/>
          <w:sz w:val="19"/>
          <w:szCs w:val="19"/>
          <w:lang w:val="fr-FR" w:eastAsia="ja-JP"/>
        </w:rPr>
        <w:t xml:space="preserve">Taux de change | </w:t>
      </w:r>
      <w:r w:rsidR="00BA0FF4">
        <w:rPr>
          <w:rFonts w:ascii="Segoe UI" w:hAnsi="Segoe UI" w:cs="Segoe UI"/>
          <w:b/>
          <w:bCs/>
          <w:iCs/>
          <w:spacing w:val="-6"/>
          <w:sz w:val="19"/>
          <w:szCs w:val="19"/>
          <w:lang w:val="fr-FR" w:eastAsia="ja-JP"/>
        </w:rPr>
        <w:t xml:space="preserve">Après </w:t>
      </w:r>
      <w:r w:rsidR="00FD5926">
        <w:rPr>
          <w:rFonts w:ascii="Segoe UI" w:hAnsi="Segoe UI" w:cs="Segoe UI"/>
          <w:b/>
          <w:bCs/>
          <w:iCs/>
          <w:spacing w:val="-6"/>
          <w:sz w:val="19"/>
          <w:szCs w:val="19"/>
          <w:lang w:val="fr-FR" w:eastAsia="ja-JP"/>
        </w:rPr>
        <w:t xml:space="preserve">une forte </w:t>
      </w:r>
      <w:r w:rsidR="00BA0FF4">
        <w:rPr>
          <w:rFonts w:ascii="Segoe UI" w:hAnsi="Segoe UI" w:cs="Segoe UI"/>
          <w:b/>
          <w:bCs/>
          <w:iCs/>
          <w:spacing w:val="-6"/>
          <w:sz w:val="19"/>
          <w:szCs w:val="19"/>
          <w:lang w:val="fr-FR" w:eastAsia="ja-JP"/>
        </w:rPr>
        <w:t>dépréci</w:t>
      </w:r>
      <w:r w:rsidR="00FD5926">
        <w:rPr>
          <w:rFonts w:ascii="Segoe UI" w:hAnsi="Segoe UI" w:cs="Segoe UI"/>
          <w:b/>
          <w:bCs/>
          <w:iCs/>
          <w:spacing w:val="-6"/>
          <w:sz w:val="19"/>
          <w:szCs w:val="19"/>
          <w:lang w:val="fr-FR" w:eastAsia="ja-JP"/>
        </w:rPr>
        <w:t>ation</w:t>
      </w:r>
      <w:r w:rsidR="00BA0FF4">
        <w:rPr>
          <w:rFonts w:ascii="Segoe UI" w:hAnsi="Segoe UI" w:cs="Segoe UI"/>
          <w:b/>
          <w:bCs/>
          <w:iCs/>
          <w:spacing w:val="-6"/>
          <w:sz w:val="19"/>
          <w:szCs w:val="19"/>
          <w:lang w:val="fr-FR" w:eastAsia="ja-JP"/>
        </w:rPr>
        <w:t xml:space="preserve"> </w:t>
      </w:r>
      <w:r w:rsidR="00745C55" w:rsidRPr="00745C55">
        <w:rPr>
          <w:rFonts w:ascii="Segoe UI" w:hAnsi="Segoe UI" w:cs="Segoe UI"/>
          <w:b/>
          <w:bCs/>
          <w:iCs/>
          <w:spacing w:val="-6"/>
          <w:sz w:val="19"/>
          <w:szCs w:val="19"/>
          <w:lang w:val="fr-FR" w:eastAsia="ja-JP"/>
        </w:rPr>
        <w:t xml:space="preserve">en 2024, </w:t>
      </w:r>
      <w:r w:rsidR="00BA0FF4">
        <w:rPr>
          <w:rFonts w:ascii="Segoe UI" w:hAnsi="Segoe UI" w:cs="Segoe UI"/>
          <w:b/>
          <w:bCs/>
          <w:iCs/>
          <w:spacing w:val="-6"/>
          <w:sz w:val="19"/>
          <w:szCs w:val="19"/>
          <w:lang w:val="fr-FR" w:eastAsia="ja-JP"/>
        </w:rPr>
        <w:t xml:space="preserve">le peso </w:t>
      </w:r>
      <w:r w:rsidR="00FD5926">
        <w:rPr>
          <w:rFonts w:ascii="Segoe UI" w:hAnsi="Segoe UI" w:cs="Segoe UI"/>
          <w:b/>
          <w:bCs/>
          <w:iCs/>
          <w:spacing w:val="-6"/>
          <w:sz w:val="19"/>
          <w:szCs w:val="19"/>
          <w:lang w:val="fr-FR" w:eastAsia="ja-JP"/>
        </w:rPr>
        <w:t>s</w:t>
      </w:r>
      <w:r w:rsidR="00BA0FF4">
        <w:rPr>
          <w:rFonts w:ascii="Segoe UI" w:hAnsi="Segoe UI" w:cs="Segoe UI"/>
          <w:b/>
          <w:bCs/>
          <w:iCs/>
          <w:spacing w:val="-6"/>
          <w:sz w:val="19"/>
          <w:szCs w:val="19"/>
          <w:lang w:val="fr-FR" w:eastAsia="ja-JP"/>
        </w:rPr>
        <w:t>’appréci</w:t>
      </w:r>
      <w:r w:rsidR="00FD5926">
        <w:rPr>
          <w:rFonts w:ascii="Segoe UI" w:hAnsi="Segoe UI" w:cs="Segoe UI"/>
          <w:b/>
          <w:bCs/>
          <w:iCs/>
          <w:spacing w:val="-6"/>
          <w:sz w:val="19"/>
          <w:szCs w:val="19"/>
          <w:lang w:val="fr-FR" w:eastAsia="ja-JP"/>
        </w:rPr>
        <w:t>e</w:t>
      </w:r>
      <w:r w:rsidR="00BA0FF4">
        <w:rPr>
          <w:rFonts w:ascii="Segoe UI" w:hAnsi="Segoe UI" w:cs="Segoe UI"/>
          <w:b/>
          <w:bCs/>
          <w:iCs/>
          <w:spacing w:val="-6"/>
          <w:sz w:val="19"/>
          <w:szCs w:val="19"/>
          <w:lang w:val="fr-FR" w:eastAsia="ja-JP"/>
        </w:rPr>
        <w:t xml:space="preserve"> au cours du S1 2025</w:t>
      </w:r>
      <w:r w:rsidR="00924D73">
        <w:rPr>
          <w:rFonts w:ascii="Segoe UI" w:hAnsi="Segoe UI" w:cs="Segoe UI"/>
          <w:b/>
          <w:bCs/>
          <w:iCs/>
          <w:spacing w:val="-6"/>
          <w:sz w:val="19"/>
          <w:szCs w:val="19"/>
          <w:lang w:val="fr-FR" w:eastAsia="ja-JP"/>
        </w:rPr>
        <w:t xml:space="preserve"> et regagne une partie de sa valeur</w:t>
      </w:r>
      <w:r w:rsidR="00745C55" w:rsidRPr="00745C55">
        <w:rPr>
          <w:rFonts w:ascii="Segoe UI" w:hAnsi="Segoe UI" w:cs="Segoe UI"/>
          <w:b/>
          <w:bCs/>
          <w:iCs/>
          <w:spacing w:val="-6"/>
          <w:sz w:val="19"/>
          <w:szCs w:val="19"/>
          <w:lang w:val="fr-FR" w:eastAsia="ja-JP"/>
        </w:rPr>
        <w:t>.</w:t>
      </w:r>
      <w:bookmarkEnd w:id="5"/>
      <w:r w:rsidR="00745C55">
        <w:rPr>
          <w:rFonts w:ascii="Segoe UI" w:hAnsi="Segoe UI" w:cs="Segoe UI"/>
          <w:b/>
          <w:bCs/>
          <w:iCs/>
          <w:spacing w:val="-6"/>
          <w:sz w:val="19"/>
          <w:szCs w:val="19"/>
          <w:lang w:val="fr-FR" w:eastAsia="ja-JP"/>
        </w:rPr>
        <w:t xml:space="preserve"> </w:t>
      </w:r>
      <w:r w:rsidR="00355D09">
        <w:rPr>
          <w:rFonts w:ascii="Segoe UI" w:hAnsi="Segoe UI" w:cs="Segoe UI"/>
          <w:iCs/>
          <w:spacing w:val="-6"/>
          <w:sz w:val="19"/>
          <w:szCs w:val="19"/>
          <w:lang w:val="fr-FR" w:eastAsia="ja-JP"/>
        </w:rPr>
        <w:t>Alors que l’année 2024 a été marquée par d’importants épisodes de volatilité du peso</w:t>
      </w:r>
      <w:r w:rsidR="00FD5926">
        <w:rPr>
          <w:rFonts w:ascii="Segoe UI" w:hAnsi="Segoe UI" w:cs="Segoe UI"/>
          <w:iCs/>
          <w:spacing w:val="-6"/>
          <w:sz w:val="19"/>
          <w:szCs w:val="19"/>
          <w:lang w:val="fr-FR" w:eastAsia="ja-JP"/>
        </w:rPr>
        <w:t xml:space="preserve"> (dépréciation d’environ 22 %</w:t>
      </w:r>
      <w:r w:rsidR="000570B8">
        <w:rPr>
          <w:rFonts w:ascii="Segoe UI" w:hAnsi="Segoe UI" w:cs="Segoe UI"/>
          <w:iCs/>
          <w:spacing w:val="-6"/>
          <w:sz w:val="19"/>
          <w:szCs w:val="19"/>
          <w:lang w:val="fr-FR" w:eastAsia="ja-JP"/>
        </w:rPr>
        <w:t xml:space="preserve"> face au dollar</w:t>
      </w:r>
      <w:r w:rsidR="00FD5926">
        <w:rPr>
          <w:rFonts w:ascii="Segoe UI" w:hAnsi="Segoe UI" w:cs="Segoe UI"/>
          <w:iCs/>
          <w:spacing w:val="-6"/>
          <w:sz w:val="19"/>
          <w:szCs w:val="19"/>
          <w:lang w:val="fr-FR" w:eastAsia="ja-JP"/>
        </w:rPr>
        <w:t>)</w:t>
      </w:r>
      <w:r w:rsidR="00355D09">
        <w:rPr>
          <w:rFonts w:ascii="Segoe UI" w:hAnsi="Segoe UI" w:cs="Segoe UI"/>
          <w:iCs/>
          <w:spacing w:val="-6"/>
          <w:sz w:val="19"/>
          <w:szCs w:val="19"/>
          <w:lang w:val="fr-FR" w:eastAsia="ja-JP"/>
        </w:rPr>
        <w:t>, la monnaie mexicaine</w:t>
      </w:r>
      <w:r w:rsidR="00CB6171">
        <w:rPr>
          <w:rFonts w:ascii="Segoe UI" w:hAnsi="Segoe UI" w:cs="Segoe UI"/>
          <w:iCs/>
          <w:spacing w:val="-6"/>
          <w:sz w:val="19"/>
          <w:szCs w:val="19"/>
          <w:lang w:val="fr-FR" w:eastAsia="ja-JP"/>
        </w:rPr>
        <w:t xml:space="preserve"> </w:t>
      </w:r>
      <w:r w:rsidR="00355D09">
        <w:rPr>
          <w:rFonts w:ascii="Segoe UI" w:hAnsi="Segoe UI" w:cs="Segoe UI"/>
          <w:iCs/>
          <w:spacing w:val="-6"/>
          <w:sz w:val="19"/>
          <w:szCs w:val="19"/>
          <w:lang w:val="fr-FR" w:eastAsia="ja-JP"/>
        </w:rPr>
        <w:t>affiche une forte résilience</w:t>
      </w:r>
      <w:r w:rsidR="00605663">
        <w:rPr>
          <w:rFonts w:ascii="Segoe UI" w:hAnsi="Segoe UI" w:cs="Segoe UI"/>
          <w:iCs/>
          <w:spacing w:val="-6"/>
          <w:sz w:val="19"/>
          <w:szCs w:val="19"/>
          <w:lang w:val="fr-FR" w:eastAsia="ja-JP"/>
        </w:rPr>
        <w:t xml:space="preserve"> depuis le début de l’année 2025</w:t>
      </w:r>
      <w:r w:rsidR="008D17F5">
        <w:rPr>
          <w:rFonts w:ascii="Segoe UI" w:hAnsi="Segoe UI" w:cs="Segoe UI"/>
          <w:iCs/>
          <w:spacing w:val="-6"/>
          <w:sz w:val="19"/>
          <w:szCs w:val="19"/>
          <w:lang w:val="fr-FR" w:eastAsia="ja-JP"/>
        </w:rPr>
        <w:t xml:space="preserve"> </w:t>
      </w:r>
      <w:r w:rsidR="005F595C">
        <w:rPr>
          <w:rFonts w:ascii="Segoe UI" w:hAnsi="Segoe UI" w:cs="Segoe UI"/>
          <w:iCs/>
          <w:spacing w:val="-6"/>
          <w:sz w:val="19"/>
          <w:szCs w:val="19"/>
          <w:lang w:val="fr-FR" w:eastAsia="ja-JP"/>
        </w:rPr>
        <w:t xml:space="preserve">malgré </w:t>
      </w:r>
      <w:r w:rsidR="00CB6171">
        <w:rPr>
          <w:rFonts w:ascii="Segoe UI" w:hAnsi="Segoe UI" w:cs="Segoe UI"/>
          <w:iCs/>
          <w:spacing w:val="-6"/>
          <w:sz w:val="19"/>
          <w:szCs w:val="19"/>
          <w:lang w:val="fr-FR" w:eastAsia="ja-JP"/>
        </w:rPr>
        <w:t>les vagues d’annonces tarifaires américaines</w:t>
      </w:r>
      <w:r w:rsidR="00605663">
        <w:rPr>
          <w:rFonts w:ascii="Segoe UI" w:hAnsi="Segoe UI" w:cs="Segoe UI"/>
          <w:iCs/>
          <w:spacing w:val="-6"/>
          <w:sz w:val="19"/>
          <w:szCs w:val="19"/>
          <w:lang w:val="fr-FR" w:eastAsia="ja-JP"/>
        </w:rPr>
        <w:t>. Elle</w:t>
      </w:r>
      <w:r w:rsidR="00CB6171">
        <w:rPr>
          <w:rFonts w:ascii="Segoe UI" w:hAnsi="Segoe UI" w:cs="Segoe UI"/>
          <w:iCs/>
          <w:spacing w:val="-6"/>
          <w:sz w:val="19"/>
          <w:szCs w:val="19"/>
          <w:lang w:val="fr-FR" w:eastAsia="ja-JP"/>
        </w:rPr>
        <w:t xml:space="preserve"> </w:t>
      </w:r>
      <w:r w:rsidR="007A1D87">
        <w:rPr>
          <w:rFonts w:ascii="Segoe UI" w:hAnsi="Segoe UI" w:cs="Segoe UI"/>
          <w:iCs/>
          <w:spacing w:val="-6"/>
          <w:sz w:val="19"/>
          <w:szCs w:val="19"/>
          <w:lang w:val="fr-FR" w:eastAsia="ja-JP"/>
        </w:rPr>
        <w:t>s’est renforcée</w:t>
      </w:r>
      <w:r w:rsidR="00605663">
        <w:rPr>
          <w:rFonts w:ascii="Segoe UI" w:hAnsi="Segoe UI" w:cs="Segoe UI"/>
          <w:iCs/>
          <w:spacing w:val="-6"/>
          <w:sz w:val="19"/>
          <w:szCs w:val="19"/>
          <w:lang w:val="fr-FR" w:eastAsia="ja-JP"/>
        </w:rPr>
        <w:t xml:space="preserve"> au premier semestre</w:t>
      </w:r>
      <w:r w:rsidR="007A1D87">
        <w:rPr>
          <w:rFonts w:ascii="Segoe UI" w:hAnsi="Segoe UI" w:cs="Segoe UI"/>
          <w:iCs/>
          <w:spacing w:val="-6"/>
          <w:sz w:val="19"/>
          <w:szCs w:val="19"/>
          <w:lang w:val="fr-FR" w:eastAsia="ja-JP"/>
        </w:rPr>
        <w:t xml:space="preserve"> </w:t>
      </w:r>
      <w:r w:rsidR="00CB6171">
        <w:rPr>
          <w:rFonts w:ascii="Segoe UI" w:hAnsi="Segoe UI" w:cs="Segoe UI"/>
          <w:iCs/>
          <w:spacing w:val="-6"/>
          <w:sz w:val="19"/>
          <w:szCs w:val="19"/>
          <w:lang w:val="fr-FR" w:eastAsia="ja-JP"/>
        </w:rPr>
        <w:t>face</w:t>
      </w:r>
      <w:r w:rsidR="008D17F5">
        <w:rPr>
          <w:rFonts w:ascii="Segoe UI" w:hAnsi="Segoe UI" w:cs="Segoe UI"/>
          <w:iCs/>
          <w:spacing w:val="-6"/>
          <w:sz w:val="19"/>
          <w:szCs w:val="19"/>
          <w:lang w:val="fr-FR" w:eastAsia="ja-JP"/>
        </w:rPr>
        <w:t xml:space="preserve"> </w:t>
      </w:r>
      <w:r w:rsidR="007A1D87">
        <w:rPr>
          <w:rFonts w:ascii="Segoe UI" w:hAnsi="Segoe UI" w:cs="Segoe UI"/>
          <w:iCs/>
          <w:spacing w:val="-6"/>
          <w:sz w:val="19"/>
          <w:szCs w:val="19"/>
          <w:lang w:val="fr-FR" w:eastAsia="ja-JP"/>
        </w:rPr>
        <w:t>à</w:t>
      </w:r>
      <w:r w:rsidR="008D17F5">
        <w:rPr>
          <w:rFonts w:ascii="Segoe UI" w:hAnsi="Segoe UI" w:cs="Segoe UI"/>
          <w:iCs/>
          <w:spacing w:val="-6"/>
          <w:sz w:val="19"/>
          <w:szCs w:val="19"/>
          <w:lang w:val="fr-FR" w:eastAsia="ja-JP"/>
        </w:rPr>
        <w:t xml:space="preserve"> l’affaiblissement du dollar américain</w:t>
      </w:r>
      <w:r w:rsidR="00DB374B">
        <w:rPr>
          <w:rFonts w:ascii="Segoe UI" w:hAnsi="Segoe UI" w:cs="Segoe UI"/>
          <w:iCs/>
          <w:spacing w:val="-6"/>
          <w:sz w:val="19"/>
          <w:szCs w:val="19"/>
          <w:lang w:val="fr-FR" w:eastAsia="ja-JP"/>
        </w:rPr>
        <w:t xml:space="preserve"> (+8 %)</w:t>
      </w:r>
      <w:r w:rsidR="00FD5926">
        <w:rPr>
          <w:rFonts w:ascii="Segoe UI" w:hAnsi="Segoe UI" w:cs="Segoe UI"/>
          <w:iCs/>
          <w:spacing w:val="-6"/>
          <w:sz w:val="19"/>
          <w:szCs w:val="19"/>
          <w:lang w:val="fr-FR" w:eastAsia="ja-JP"/>
        </w:rPr>
        <w:t xml:space="preserve">, et </w:t>
      </w:r>
      <w:r w:rsidR="00D40159">
        <w:rPr>
          <w:rFonts w:ascii="Segoe UI" w:hAnsi="Segoe UI" w:cs="Segoe UI"/>
          <w:iCs/>
          <w:spacing w:val="-6"/>
          <w:sz w:val="19"/>
          <w:szCs w:val="19"/>
          <w:lang w:val="fr-FR" w:eastAsia="ja-JP"/>
        </w:rPr>
        <w:t xml:space="preserve">a </w:t>
      </w:r>
      <w:r w:rsidR="00FD5926">
        <w:rPr>
          <w:rFonts w:ascii="Segoe UI" w:hAnsi="Segoe UI" w:cs="Segoe UI"/>
          <w:iCs/>
          <w:spacing w:val="-6"/>
          <w:sz w:val="19"/>
          <w:szCs w:val="19"/>
          <w:lang w:val="fr-FR" w:eastAsia="ja-JP"/>
        </w:rPr>
        <w:t>oscill</w:t>
      </w:r>
      <w:r w:rsidR="00D40159">
        <w:rPr>
          <w:rFonts w:ascii="Segoe UI" w:hAnsi="Segoe UI" w:cs="Segoe UI"/>
          <w:iCs/>
          <w:spacing w:val="-6"/>
          <w:sz w:val="19"/>
          <w:szCs w:val="19"/>
          <w:lang w:val="fr-FR" w:eastAsia="ja-JP"/>
        </w:rPr>
        <w:t>é</w:t>
      </w:r>
      <w:r w:rsidR="00FD5926">
        <w:rPr>
          <w:rFonts w:ascii="Segoe UI" w:hAnsi="Segoe UI" w:cs="Segoe UI"/>
          <w:iCs/>
          <w:spacing w:val="-6"/>
          <w:sz w:val="19"/>
          <w:szCs w:val="19"/>
          <w:lang w:val="fr-FR" w:eastAsia="ja-JP"/>
        </w:rPr>
        <w:t xml:space="preserve"> dans une fourchette </w:t>
      </w:r>
      <w:r w:rsidR="00DB374B">
        <w:rPr>
          <w:rFonts w:ascii="Segoe UI" w:hAnsi="Segoe UI" w:cs="Segoe UI"/>
          <w:iCs/>
          <w:spacing w:val="-6"/>
          <w:sz w:val="19"/>
          <w:szCs w:val="19"/>
          <w:lang w:val="fr-FR" w:eastAsia="ja-JP"/>
        </w:rPr>
        <w:t xml:space="preserve">comprise entre </w:t>
      </w:r>
      <w:r w:rsidR="00FD5926">
        <w:rPr>
          <w:rFonts w:ascii="Segoe UI" w:hAnsi="Segoe UI" w:cs="Segoe UI"/>
          <w:iCs/>
          <w:spacing w:val="-6"/>
          <w:sz w:val="19"/>
          <w:szCs w:val="19"/>
          <w:lang w:val="fr-FR" w:eastAsia="ja-JP"/>
        </w:rPr>
        <w:t>18,87 et 20,85 MXN/USD</w:t>
      </w:r>
      <w:r w:rsidR="008D17F5">
        <w:rPr>
          <w:rFonts w:ascii="Segoe UI" w:hAnsi="Segoe UI" w:cs="Segoe UI"/>
          <w:iCs/>
          <w:spacing w:val="-6"/>
          <w:sz w:val="19"/>
          <w:szCs w:val="19"/>
          <w:lang w:val="fr-FR" w:eastAsia="ja-JP"/>
        </w:rPr>
        <w:t xml:space="preserve">. </w:t>
      </w:r>
    </w:p>
    <w:p w14:paraId="511AA2C3" w14:textId="41B5CB0C" w:rsidR="009E1318" w:rsidRPr="00117453" w:rsidRDefault="009E1318" w:rsidP="00C33585">
      <w:pPr>
        <w:pStyle w:val="Briefinglist1"/>
        <w:numPr>
          <w:ilvl w:val="0"/>
          <w:numId w:val="0"/>
        </w:numPr>
        <w:tabs>
          <w:tab w:val="left" w:pos="9639"/>
        </w:tabs>
        <w:spacing w:after="0"/>
        <w:ind w:left="-993" w:firstLine="284"/>
        <w:rPr>
          <w:rFonts w:ascii="Segoe UI" w:hAnsi="Segoe UI" w:cs="Segoe UI"/>
          <w:iCs/>
          <w:spacing w:val="-6"/>
          <w:sz w:val="2"/>
          <w:szCs w:val="2"/>
          <w:lang w:val="fr-FR" w:eastAsia="ja-JP"/>
        </w:rPr>
      </w:pPr>
    </w:p>
    <w:p w14:paraId="20AFA61F" w14:textId="27CA0B53" w:rsidR="001753F8" w:rsidRPr="00B64CB2" w:rsidRDefault="001753F8" w:rsidP="00C33585">
      <w:pPr>
        <w:pStyle w:val="Briefinglist1"/>
        <w:numPr>
          <w:ilvl w:val="0"/>
          <w:numId w:val="0"/>
        </w:numPr>
        <w:tabs>
          <w:tab w:val="left" w:pos="9639"/>
        </w:tabs>
        <w:spacing w:after="0"/>
        <w:ind w:left="-993" w:firstLine="284"/>
        <w:rPr>
          <w:rFonts w:ascii="Segoe UI" w:hAnsi="Segoe UI" w:cs="Segoe UI"/>
          <w:b/>
          <w:color w:val="000091" w:themeColor="text1"/>
          <w:spacing w:val="-6"/>
          <w:sz w:val="2"/>
          <w:szCs w:val="2"/>
          <w:lang w:val="fr-FR"/>
        </w:rPr>
      </w:pPr>
    </w:p>
    <w:p w14:paraId="70D3BBE9" w14:textId="7E286BD6" w:rsidR="00A44A99" w:rsidRDefault="00974FC1" w:rsidP="006D3E0C">
      <w:pPr>
        <w:pStyle w:val="Briefinglist1"/>
        <w:numPr>
          <w:ilvl w:val="0"/>
          <w:numId w:val="0"/>
        </w:numPr>
        <w:tabs>
          <w:tab w:val="left" w:pos="9639"/>
        </w:tabs>
        <w:spacing w:after="0"/>
        <w:ind w:left="-993"/>
        <w:rPr>
          <w:rFonts w:ascii="Segoe UI" w:hAnsi="Segoe UI" w:cs="Segoe UI"/>
          <w:b/>
          <w:color w:val="000091" w:themeColor="text1"/>
          <w:spacing w:val="-6"/>
          <w:szCs w:val="20"/>
          <w:lang w:val="fr-FR"/>
        </w:rPr>
      </w:pPr>
      <w:r w:rsidRPr="0076026A">
        <w:rPr>
          <w:rFonts w:ascii="Segoe UI" w:hAnsi="Segoe UI" w:cs="Segoe UI"/>
          <w:b/>
          <w:color w:val="000091" w:themeColor="text1"/>
          <w:spacing w:val="-6"/>
          <w:szCs w:val="20"/>
          <w:lang w:val="fr-FR"/>
        </w:rPr>
        <w:t xml:space="preserve">Commerce extérieur | </w:t>
      </w:r>
      <w:r w:rsidR="00015B3E">
        <w:rPr>
          <w:rFonts w:ascii="Segoe UI" w:hAnsi="Segoe UI" w:cs="Segoe UI"/>
          <w:b/>
          <w:color w:val="000091" w:themeColor="text1"/>
          <w:spacing w:val="-6"/>
          <w:szCs w:val="20"/>
          <w:lang w:val="fr-FR"/>
        </w:rPr>
        <w:t>Une hausse des exportations</w:t>
      </w:r>
      <w:r w:rsidR="00B75CD3">
        <w:rPr>
          <w:rFonts w:ascii="Segoe UI" w:hAnsi="Segoe UI" w:cs="Segoe UI"/>
          <w:b/>
          <w:color w:val="000091" w:themeColor="text1"/>
          <w:spacing w:val="-6"/>
          <w:szCs w:val="20"/>
          <w:lang w:val="fr-FR"/>
        </w:rPr>
        <w:t xml:space="preserve"> </w:t>
      </w:r>
      <w:r w:rsidR="00015B3E">
        <w:rPr>
          <w:rFonts w:ascii="Segoe UI" w:hAnsi="Segoe UI" w:cs="Segoe UI"/>
          <w:b/>
          <w:color w:val="000091" w:themeColor="text1"/>
          <w:spacing w:val="-6"/>
          <w:szCs w:val="20"/>
          <w:lang w:val="fr-FR"/>
        </w:rPr>
        <w:t>vers</w:t>
      </w:r>
      <w:r w:rsidR="00B75CD3">
        <w:rPr>
          <w:rFonts w:ascii="Segoe UI" w:hAnsi="Segoe UI" w:cs="Segoe UI"/>
          <w:b/>
          <w:color w:val="000091" w:themeColor="text1"/>
          <w:spacing w:val="-6"/>
          <w:szCs w:val="20"/>
          <w:lang w:val="fr-FR"/>
        </w:rPr>
        <w:t xml:space="preserve"> les</w:t>
      </w:r>
      <w:r w:rsidRPr="0076026A">
        <w:rPr>
          <w:rFonts w:ascii="Segoe UI" w:hAnsi="Segoe UI" w:cs="Segoe UI"/>
          <w:b/>
          <w:color w:val="000091" w:themeColor="text1"/>
          <w:spacing w:val="-6"/>
          <w:szCs w:val="20"/>
          <w:lang w:val="fr-FR"/>
        </w:rPr>
        <w:t xml:space="preserve"> Etats-Unis</w:t>
      </w:r>
      <w:r w:rsidR="00746F28">
        <w:rPr>
          <w:rFonts w:ascii="Segoe UI" w:hAnsi="Segoe UI" w:cs="Segoe UI"/>
          <w:b/>
          <w:color w:val="000091" w:themeColor="text1"/>
          <w:spacing w:val="-6"/>
          <w:szCs w:val="20"/>
          <w:lang w:val="fr-FR"/>
        </w:rPr>
        <w:t xml:space="preserve"> </w:t>
      </w:r>
      <w:r w:rsidR="00015B3E">
        <w:rPr>
          <w:rFonts w:ascii="Segoe UI" w:hAnsi="Segoe UI" w:cs="Segoe UI"/>
          <w:b/>
          <w:color w:val="000091" w:themeColor="text1"/>
          <w:spacing w:val="-6"/>
          <w:szCs w:val="20"/>
          <w:lang w:val="fr-FR"/>
        </w:rPr>
        <w:t>au premier semestre, en anticipation de tensions commerciales renforcées</w:t>
      </w:r>
    </w:p>
    <w:p w14:paraId="12E284ED" w14:textId="44E27F1B" w:rsidR="00102DFA" w:rsidRPr="00102DFA" w:rsidRDefault="00102DFA" w:rsidP="00C33585">
      <w:pPr>
        <w:pStyle w:val="Briefinglist1"/>
        <w:numPr>
          <w:ilvl w:val="0"/>
          <w:numId w:val="0"/>
        </w:numPr>
        <w:tabs>
          <w:tab w:val="left" w:pos="9639"/>
        </w:tabs>
        <w:spacing w:after="0"/>
        <w:ind w:left="-993"/>
        <w:rPr>
          <w:rFonts w:ascii="Segoe UI" w:hAnsi="Segoe UI" w:cs="Segoe UI"/>
          <w:b/>
          <w:color w:val="000091" w:themeColor="text1"/>
          <w:spacing w:val="-6"/>
          <w:sz w:val="2"/>
          <w:szCs w:val="2"/>
          <w:lang w:val="fr-FR"/>
        </w:rPr>
      </w:pPr>
    </w:p>
    <w:p w14:paraId="6870FAA4" w14:textId="3BE533CA" w:rsidR="00A44A99" w:rsidRPr="0091082B" w:rsidRDefault="00EC1BA9" w:rsidP="0091082B">
      <w:pPr>
        <w:pStyle w:val="Briefinglist1"/>
        <w:numPr>
          <w:ilvl w:val="0"/>
          <w:numId w:val="0"/>
        </w:numPr>
        <w:tabs>
          <w:tab w:val="left" w:pos="9639"/>
        </w:tabs>
        <w:spacing w:after="0"/>
        <w:ind w:left="-993"/>
        <w:rPr>
          <w:rFonts w:ascii="Segoe UI" w:hAnsi="Segoe UI" w:cs="Segoe UI"/>
          <w:b/>
          <w:bCs/>
          <w:iCs/>
          <w:spacing w:val="-6"/>
          <w:sz w:val="19"/>
          <w:szCs w:val="19"/>
          <w:lang w:val="fr-FR" w:eastAsia="ja-JP"/>
        </w:rPr>
      </w:pPr>
      <w:r>
        <w:rPr>
          <w:rFonts w:ascii="Segoe UI" w:hAnsi="Segoe UI" w:cs="Segoe UI"/>
          <w:b/>
          <w:bCs/>
          <w:iCs/>
          <w:color w:val="000091" w:themeColor="text1"/>
          <w:spacing w:val="-6"/>
          <w:sz w:val="19"/>
          <w:szCs w:val="19"/>
          <w:lang w:val="fr-FR" w:eastAsia="ja-JP"/>
        </w:rPr>
        <w:t xml:space="preserve">Total des </w:t>
      </w:r>
      <w:r w:rsidR="004F3BB4" w:rsidRPr="0076026A">
        <w:rPr>
          <w:rFonts w:ascii="Segoe UI" w:hAnsi="Segoe UI" w:cs="Segoe UI"/>
          <w:b/>
          <w:bCs/>
          <w:iCs/>
          <w:color w:val="000091" w:themeColor="text1"/>
          <w:spacing w:val="-6"/>
          <w:sz w:val="19"/>
          <w:szCs w:val="19"/>
          <w:lang w:val="fr-FR" w:eastAsia="ja-JP"/>
        </w:rPr>
        <w:t xml:space="preserve">échanges commerciaux | </w:t>
      </w:r>
      <w:r w:rsidR="0091082B" w:rsidRPr="0091082B">
        <w:rPr>
          <w:rFonts w:ascii="Segoe UI" w:hAnsi="Segoe UI" w:cs="Segoe UI"/>
          <w:b/>
          <w:bCs/>
          <w:iCs/>
          <w:spacing w:val="-6"/>
          <w:sz w:val="19"/>
          <w:szCs w:val="19"/>
          <w:lang w:val="fr-FR" w:eastAsia="ja-JP"/>
        </w:rPr>
        <w:t>Les exportations de marchandises mexicaines ont</w:t>
      </w:r>
      <w:r w:rsidR="00225022">
        <w:rPr>
          <w:rFonts w:ascii="Segoe UI" w:hAnsi="Segoe UI" w:cs="Segoe UI"/>
          <w:b/>
          <w:bCs/>
          <w:iCs/>
          <w:spacing w:val="-6"/>
          <w:sz w:val="19"/>
          <w:szCs w:val="19"/>
          <w:lang w:val="fr-FR" w:eastAsia="ja-JP"/>
        </w:rPr>
        <w:t xml:space="preserve"> augmenté de 4,4 % </w:t>
      </w:r>
      <w:proofErr w:type="spellStart"/>
      <w:r w:rsidR="00225022">
        <w:rPr>
          <w:rFonts w:ascii="Segoe UI" w:hAnsi="Segoe UI" w:cs="Segoe UI"/>
          <w:b/>
          <w:bCs/>
          <w:iCs/>
          <w:spacing w:val="-6"/>
          <w:sz w:val="19"/>
          <w:szCs w:val="19"/>
          <w:lang w:val="fr-FR" w:eastAsia="ja-JP"/>
        </w:rPr>
        <w:t>g.a</w:t>
      </w:r>
      <w:proofErr w:type="spellEnd"/>
      <w:r w:rsidR="00225022">
        <w:rPr>
          <w:rFonts w:ascii="Segoe UI" w:hAnsi="Segoe UI" w:cs="Segoe UI"/>
          <w:b/>
          <w:bCs/>
          <w:iCs/>
          <w:spacing w:val="-6"/>
          <w:sz w:val="19"/>
          <w:szCs w:val="19"/>
          <w:lang w:val="fr-FR" w:eastAsia="ja-JP"/>
        </w:rPr>
        <w:t>. au S1 2025</w:t>
      </w:r>
      <w:r w:rsidR="0091082B" w:rsidRPr="0091082B">
        <w:rPr>
          <w:rFonts w:ascii="Segoe UI" w:hAnsi="Segoe UI" w:cs="Segoe UI"/>
          <w:b/>
          <w:bCs/>
          <w:iCs/>
          <w:spacing w:val="-6"/>
          <w:sz w:val="19"/>
          <w:szCs w:val="19"/>
          <w:lang w:val="fr-FR" w:eastAsia="ja-JP"/>
        </w:rPr>
        <w:t xml:space="preserve">, atteignant un montant total de </w:t>
      </w:r>
      <w:r w:rsidR="00225022">
        <w:rPr>
          <w:rFonts w:ascii="Segoe UI" w:hAnsi="Segoe UI" w:cs="Segoe UI"/>
          <w:b/>
          <w:bCs/>
          <w:iCs/>
          <w:spacing w:val="-6"/>
          <w:sz w:val="19"/>
          <w:szCs w:val="19"/>
          <w:lang w:val="fr-FR" w:eastAsia="ja-JP"/>
        </w:rPr>
        <w:t>312</w:t>
      </w:r>
      <w:r w:rsidR="0091082B" w:rsidRPr="0091082B">
        <w:rPr>
          <w:rFonts w:ascii="Segoe UI" w:hAnsi="Segoe UI" w:cs="Segoe UI"/>
          <w:b/>
          <w:bCs/>
          <w:iCs/>
          <w:spacing w:val="-6"/>
          <w:sz w:val="19"/>
          <w:szCs w:val="19"/>
          <w:lang w:val="fr-FR" w:eastAsia="ja-JP"/>
        </w:rPr>
        <w:t xml:space="preserve"> Mds USD.</w:t>
      </w:r>
      <w:r w:rsidR="004F3BB4" w:rsidRPr="0076026A">
        <w:rPr>
          <w:rFonts w:ascii="Segoe UI" w:hAnsi="Segoe UI" w:cs="Segoe UI"/>
          <w:b/>
          <w:bCs/>
          <w:iCs/>
          <w:spacing w:val="-6"/>
          <w:sz w:val="19"/>
          <w:szCs w:val="19"/>
          <w:lang w:val="fr-FR" w:eastAsia="ja-JP"/>
        </w:rPr>
        <w:t xml:space="preserve"> </w:t>
      </w:r>
      <w:r w:rsidR="009C309F">
        <w:rPr>
          <w:rFonts w:ascii="Segoe UI" w:hAnsi="Segoe UI" w:cs="Segoe UI"/>
          <w:b/>
          <w:bCs/>
          <w:iCs/>
          <w:spacing w:val="-6"/>
          <w:sz w:val="19"/>
          <w:szCs w:val="19"/>
          <w:lang w:val="fr-FR" w:eastAsia="ja-JP"/>
        </w:rPr>
        <w:t xml:space="preserve"> </w:t>
      </w:r>
      <w:r w:rsidR="0091082B" w:rsidRPr="0091082B">
        <w:rPr>
          <w:rFonts w:ascii="Segoe UI" w:hAnsi="Segoe UI" w:cs="Segoe UI"/>
          <w:iCs/>
          <w:spacing w:val="-6"/>
          <w:sz w:val="19"/>
          <w:szCs w:val="19"/>
          <w:lang w:val="fr-FR" w:eastAsia="ja-JP"/>
        </w:rPr>
        <w:t xml:space="preserve">Les importations </w:t>
      </w:r>
      <w:r w:rsidR="00015B3E">
        <w:rPr>
          <w:rFonts w:ascii="Segoe UI" w:hAnsi="Segoe UI" w:cs="Segoe UI"/>
          <w:iCs/>
          <w:spacing w:val="-6"/>
          <w:sz w:val="19"/>
          <w:szCs w:val="19"/>
          <w:lang w:val="fr-FR" w:eastAsia="ja-JP"/>
        </w:rPr>
        <w:t>ont quant à elles stagné</w:t>
      </w:r>
      <w:r w:rsidR="001A6A5A">
        <w:rPr>
          <w:rFonts w:ascii="Segoe UI" w:hAnsi="Segoe UI" w:cs="Segoe UI"/>
          <w:iCs/>
          <w:spacing w:val="-6"/>
          <w:sz w:val="19"/>
          <w:szCs w:val="19"/>
          <w:lang w:val="fr-FR" w:eastAsia="ja-JP"/>
        </w:rPr>
        <w:t xml:space="preserve"> </w:t>
      </w:r>
      <w:r w:rsidR="006F7B3E">
        <w:rPr>
          <w:rFonts w:ascii="Segoe UI" w:hAnsi="Segoe UI" w:cs="Segoe UI"/>
          <w:iCs/>
          <w:spacing w:val="-6"/>
          <w:sz w:val="19"/>
          <w:szCs w:val="19"/>
          <w:lang w:val="fr-FR" w:eastAsia="ja-JP"/>
        </w:rPr>
        <w:t>au S1</w:t>
      </w:r>
      <w:r w:rsidR="00EA6FAD">
        <w:rPr>
          <w:rFonts w:ascii="Segoe UI" w:hAnsi="Segoe UI" w:cs="Segoe UI"/>
          <w:iCs/>
          <w:spacing w:val="-6"/>
          <w:sz w:val="19"/>
          <w:szCs w:val="19"/>
          <w:lang w:val="fr-FR" w:eastAsia="ja-JP"/>
        </w:rPr>
        <w:t xml:space="preserve"> 2025</w:t>
      </w:r>
      <w:r w:rsidR="00094B78">
        <w:rPr>
          <w:rFonts w:ascii="Segoe UI" w:hAnsi="Segoe UI" w:cs="Segoe UI"/>
          <w:iCs/>
          <w:spacing w:val="-6"/>
          <w:sz w:val="19"/>
          <w:szCs w:val="19"/>
          <w:lang w:val="fr-FR" w:eastAsia="ja-JP"/>
        </w:rPr>
        <w:t xml:space="preserve"> (+0,2</w:t>
      </w:r>
      <w:r w:rsidR="00094B78" w:rsidRPr="0091082B">
        <w:rPr>
          <w:rFonts w:ascii="Segoe UI" w:hAnsi="Segoe UI" w:cs="Segoe UI"/>
          <w:iCs/>
          <w:spacing w:val="-6"/>
          <w:sz w:val="19"/>
          <w:szCs w:val="19"/>
          <w:lang w:val="fr-FR" w:eastAsia="ja-JP"/>
        </w:rPr>
        <w:t xml:space="preserve"> %</w:t>
      </w:r>
      <w:r w:rsidR="006F7B3E">
        <w:rPr>
          <w:rFonts w:ascii="Segoe UI" w:hAnsi="Segoe UI" w:cs="Segoe UI"/>
          <w:iCs/>
          <w:spacing w:val="-6"/>
          <w:sz w:val="19"/>
          <w:szCs w:val="19"/>
          <w:lang w:val="fr-FR" w:eastAsia="ja-JP"/>
        </w:rPr>
        <w:t xml:space="preserve"> </w:t>
      </w:r>
      <w:proofErr w:type="spellStart"/>
      <w:r w:rsidR="006F7B3E">
        <w:rPr>
          <w:rFonts w:ascii="Segoe UI" w:hAnsi="Segoe UI" w:cs="Segoe UI"/>
          <w:iCs/>
          <w:spacing w:val="-6"/>
          <w:sz w:val="19"/>
          <w:szCs w:val="19"/>
          <w:lang w:val="fr-FR" w:eastAsia="ja-JP"/>
        </w:rPr>
        <w:t>g.a</w:t>
      </w:r>
      <w:proofErr w:type="spellEnd"/>
      <w:r w:rsidR="006F7B3E">
        <w:rPr>
          <w:rFonts w:ascii="Segoe UI" w:hAnsi="Segoe UI" w:cs="Segoe UI"/>
          <w:iCs/>
          <w:spacing w:val="-6"/>
          <w:sz w:val="19"/>
          <w:szCs w:val="19"/>
          <w:lang w:val="fr-FR" w:eastAsia="ja-JP"/>
        </w:rPr>
        <w:t>.</w:t>
      </w:r>
      <w:r w:rsidR="00094B78" w:rsidRPr="0091082B">
        <w:rPr>
          <w:rFonts w:ascii="Segoe UI" w:hAnsi="Segoe UI" w:cs="Segoe UI"/>
          <w:iCs/>
          <w:spacing w:val="-6"/>
          <w:sz w:val="19"/>
          <w:szCs w:val="19"/>
          <w:lang w:val="fr-FR" w:eastAsia="ja-JP"/>
        </w:rPr>
        <w:t>)</w:t>
      </w:r>
      <w:r w:rsidR="001A6A5A">
        <w:rPr>
          <w:rFonts w:ascii="Segoe UI" w:hAnsi="Segoe UI" w:cs="Segoe UI"/>
          <w:iCs/>
          <w:spacing w:val="-6"/>
          <w:sz w:val="19"/>
          <w:szCs w:val="19"/>
          <w:lang w:val="fr-FR" w:eastAsia="ja-JP"/>
        </w:rPr>
        <w:t>,</w:t>
      </w:r>
      <w:r w:rsidR="00AE5205">
        <w:rPr>
          <w:rFonts w:ascii="Segoe UI" w:hAnsi="Segoe UI" w:cs="Segoe UI"/>
          <w:iCs/>
          <w:spacing w:val="-6"/>
          <w:sz w:val="19"/>
          <w:szCs w:val="19"/>
          <w:lang w:val="fr-FR" w:eastAsia="ja-JP"/>
        </w:rPr>
        <w:t xml:space="preserve"> </w:t>
      </w:r>
      <w:r w:rsidR="00685480">
        <w:rPr>
          <w:rFonts w:ascii="Segoe UI" w:hAnsi="Segoe UI" w:cs="Segoe UI"/>
          <w:iCs/>
          <w:spacing w:val="-6"/>
          <w:sz w:val="19"/>
          <w:szCs w:val="19"/>
          <w:lang w:val="fr-FR" w:eastAsia="ja-JP"/>
        </w:rPr>
        <w:t>ce qui a permis au pays de consolider un excédent commercial de 1,5 Md USD</w:t>
      </w:r>
      <w:r w:rsidR="0091082B" w:rsidRPr="0091082B">
        <w:rPr>
          <w:rFonts w:ascii="Segoe UI" w:hAnsi="Segoe UI" w:cs="Segoe UI"/>
          <w:iCs/>
          <w:spacing w:val="-6"/>
          <w:sz w:val="19"/>
          <w:szCs w:val="19"/>
          <w:lang w:val="fr-FR" w:eastAsia="ja-JP"/>
        </w:rPr>
        <w:t>. Dans le détail,</w:t>
      </w:r>
      <w:r w:rsidR="00AE5205">
        <w:rPr>
          <w:rFonts w:ascii="Segoe UI" w:hAnsi="Segoe UI" w:cs="Segoe UI"/>
          <w:iCs/>
          <w:spacing w:val="-6"/>
          <w:sz w:val="19"/>
          <w:szCs w:val="19"/>
          <w:lang w:val="fr-FR" w:eastAsia="ja-JP"/>
        </w:rPr>
        <w:t xml:space="preserve"> les exportations de produits manufacturiers ont été les plus dynamiques (+6,2 % </w:t>
      </w:r>
      <w:proofErr w:type="spellStart"/>
      <w:r w:rsidR="00AE5205">
        <w:rPr>
          <w:rFonts w:ascii="Segoe UI" w:hAnsi="Segoe UI" w:cs="Segoe UI"/>
          <w:iCs/>
          <w:spacing w:val="-6"/>
          <w:sz w:val="19"/>
          <w:szCs w:val="19"/>
          <w:lang w:val="fr-FR" w:eastAsia="ja-JP"/>
        </w:rPr>
        <w:t>g.a</w:t>
      </w:r>
      <w:proofErr w:type="spellEnd"/>
      <w:r w:rsidR="00AE5205">
        <w:rPr>
          <w:rFonts w:ascii="Segoe UI" w:hAnsi="Segoe UI" w:cs="Segoe UI"/>
          <w:iCs/>
          <w:spacing w:val="-6"/>
          <w:sz w:val="19"/>
          <w:szCs w:val="19"/>
          <w:lang w:val="fr-FR" w:eastAsia="ja-JP"/>
        </w:rPr>
        <w:t>.)</w:t>
      </w:r>
      <w:r w:rsidR="00015B3E">
        <w:rPr>
          <w:rFonts w:ascii="Segoe UI" w:hAnsi="Segoe UI" w:cs="Segoe UI"/>
          <w:iCs/>
          <w:spacing w:val="-6"/>
          <w:sz w:val="19"/>
          <w:szCs w:val="19"/>
          <w:lang w:val="fr-FR" w:eastAsia="ja-JP"/>
        </w:rPr>
        <w:t>,</w:t>
      </w:r>
      <w:r w:rsidR="00AE5205">
        <w:rPr>
          <w:rFonts w:ascii="Segoe UI" w:hAnsi="Segoe UI" w:cs="Segoe UI"/>
          <w:iCs/>
          <w:spacing w:val="-6"/>
          <w:sz w:val="19"/>
          <w:szCs w:val="19"/>
          <w:lang w:val="fr-FR" w:eastAsia="ja-JP"/>
        </w:rPr>
        <w:t xml:space="preserve"> tandis que les </w:t>
      </w:r>
      <w:r w:rsidR="0091082B" w:rsidRPr="0091082B">
        <w:rPr>
          <w:rFonts w:ascii="Segoe UI" w:hAnsi="Segoe UI" w:cs="Segoe UI"/>
          <w:iCs/>
          <w:spacing w:val="-6"/>
          <w:sz w:val="19"/>
          <w:szCs w:val="19"/>
          <w:lang w:val="fr-FR" w:eastAsia="ja-JP"/>
        </w:rPr>
        <w:t xml:space="preserve">exportations pétrolières </w:t>
      </w:r>
      <w:r w:rsidR="00AE5205">
        <w:rPr>
          <w:rFonts w:ascii="Segoe UI" w:hAnsi="Segoe UI" w:cs="Segoe UI"/>
          <w:iCs/>
          <w:spacing w:val="-6"/>
          <w:sz w:val="19"/>
          <w:szCs w:val="19"/>
          <w:lang w:val="fr-FR" w:eastAsia="ja-JP"/>
        </w:rPr>
        <w:t xml:space="preserve">ont enregistré une chute marquée de </w:t>
      </w:r>
      <w:r w:rsidR="00AA2B74">
        <w:rPr>
          <w:rFonts w:ascii="Segoe UI" w:hAnsi="Segoe UI" w:cs="Segoe UI"/>
          <w:iCs/>
          <w:spacing w:val="-6"/>
          <w:sz w:val="19"/>
          <w:szCs w:val="19"/>
          <w:lang w:val="fr-FR" w:eastAsia="ja-JP"/>
        </w:rPr>
        <w:t>-</w:t>
      </w:r>
      <w:r w:rsidR="00AE5205">
        <w:rPr>
          <w:rFonts w:ascii="Segoe UI" w:hAnsi="Segoe UI" w:cs="Segoe UI"/>
          <w:iCs/>
          <w:spacing w:val="-6"/>
          <w:sz w:val="19"/>
          <w:szCs w:val="19"/>
          <w:lang w:val="fr-FR" w:eastAsia="ja-JP"/>
        </w:rPr>
        <w:t xml:space="preserve">25 % </w:t>
      </w:r>
      <w:proofErr w:type="spellStart"/>
      <w:proofErr w:type="gramStart"/>
      <w:r w:rsidR="00AE5205">
        <w:rPr>
          <w:rFonts w:ascii="Segoe UI" w:hAnsi="Segoe UI" w:cs="Segoe UI"/>
          <w:iCs/>
          <w:spacing w:val="-6"/>
          <w:sz w:val="19"/>
          <w:szCs w:val="19"/>
          <w:lang w:val="fr-FR" w:eastAsia="ja-JP"/>
        </w:rPr>
        <w:t>g.a</w:t>
      </w:r>
      <w:proofErr w:type="spellEnd"/>
      <w:r w:rsidR="00AE5205">
        <w:rPr>
          <w:rFonts w:ascii="Segoe UI" w:hAnsi="Segoe UI" w:cs="Segoe UI"/>
          <w:iCs/>
          <w:spacing w:val="-6"/>
          <w:sz w:val="19"/>
          <w:szCs w:val="19"/>
          <w:lang w:val="fr-FR" w:eastAsia="ja-JP"/>
        </w:rPr>
        <w:t>..</w:t>
      </w:r>
      <w:proofErr w:type="gramEnd"/>
    </w:p>
    <w:p w14:paraId="255D6B52" w14:textId="67DBB332" w:rsidR="00A31B32" w:rsidRPr="00B64CB2" w:rsidRDefault="00A31B32" w:rsidP="00C33585">
      <w:pPr>
        <w:pStyle w:val="Briefinglist1"/>
        <w:numPr>
          <w:ilvl w:val="0"/>
          <w:numId w:val="0"/>
        </w:numPr>
        <w:tabs>
          <w:tab w:val="left" w:pos="9639"/>
        </w:tabs>
        <w:spacing w:after="0"/>
        <w:ind w:left="-993"/>
        <w:rPr>
          <w:rFonts w:ascii="Segoe UI" w:hAnsi="Segoe UI" w:cs="Segoe UI"/>
          <w:b/>
          <w:color w:val="000091" w:themeColor="text1"/>
          <w:spacing w:val="-6"/>
          <w:sz w:val="6"/>
          <w:szCs w:val="6"/>
          <w:lang w:val="fr-FR"/>
        </w:rPr>
      </w:pPr>
    </w:p>
    <w:p w14:paraId="11EA5E66" w14:textId="3EF54E73" w:rsidR="006C1975" w:rsidRDefault="004F3BB4" w:rsidP="00C33585">
      <w:pPr>
        <w:pStyle w:val="Briefinglist1"/>
        <w:numPr>
          <w:ilvl w:val="0"/>
          <w:numId w:val="0"/>
        </w:numPr>
        <w:tabs>
          <w:tab w:val="left" w:pos="9639"/>
        </w:tabs>
        <w:spacing w:after="0"/>
        <w:ind w:left="-993"/>
        <w:rPr>
          <w:rFonts w:ascii="Segoe UI" w:hAnsi="Segoe UI" w:cs="Segoe UI"/>
          <w:spacing w:val="-8"/>
          <w:sz w:val="20"/>
          <w:szCs w:val="20"/>
          <w:lang w:val="fr-FR"/>
        </w:rPr>
      </w:pPr>
      <w:r w:rsidRPr="0076026A">
        <w:rPr>
          <w:rFonts w:ascii="Segoe UI" w:hAnsi="Segoe UI" w:cs="Segoe UI"/>
          <w:b/>
          <w:bCs/>
          <w:iCs/>
          <w:color w:val="000091" w:themeColor="text1"/>
          <w:spacing w:val="-6"/>
          <w:sz w:val="19"/>
          <w:szCs w:val="19"/>
          <w:lang w:val="fr-FR" w:eastAsia="ja-JP"/>
        </w:rPr>
        <w:t xml:space="preserve">Relation bilatérale Mexique-Etats-Unis | </w:t>
      </w:r>
      <w:r w:rsidR="005C4861">
        <w:rPr>
          <w:rFonts w:ascii="Segoe UI" w:hAnsi="Segoe UI" w:cs="Segoe UI"/>
          <w:b/>
          <w:bCs/>
          <w:iCs/>
          <w:spacing w:val="-6"/>
          <w:sz w:val="19"/>
          <w:szCs w:val="19"/>
          <w:lang w:val="fr-FR" w:eastAsia="ja-JP"/>
        </w:rPr>
        <w:t>Malgré les tensions commerciales entre les deux pays, l</w:t>
      </w:r>
      <w:r w:rsidR="009C7237" w:rsidRPr="009C7237">
        <w:rPr>
          <w:rFonts w:ascii="Segoe UI" w:hAnsi="Segoe UI" w:cs="Segoe UI"/>
          <w:b/>
          <w:bCs/>
          <w:iCs/>
          <w:spacing w:val="-6"/>
          <w:sz w:val="19"/>
          <w:szCs w:val="19"/>
          <w:lang w:val="fr-FR" w:eastAsia="ja-JP"/>
        </w:rPr>
        <w:t xml:space="preserve">e Mexique </w:t>
      </w:r>
      <w:r w:rsidR="005C4861">
        <w:rPr>
          <w:rFonts w:ascii="Segoe UI" w:hAnsi="Segoe UI" w:cs="Segoe UI"/>
          <w:b/>
          <w:bCs/>
          <w:iCs/>
          <w:spacing w:val="-6"/>
          <w:sz w:val="19"/>
          <w:szCs w:val="19"/>
          <w:lang w:val="fr-FR" w:eastAsia="ja-JP"/>
        </w:rPr>
        <w:t xml:space="preserve">a augmenté ses exportations vers les Etats-Unis au S1 2025 (+6,2 % </w:t>
      </w:r>
      <w:proofErr w:type="spellStart"/>
      <w:r w:rsidR="005C4861">
        <w:rPr>
          <w:rFonts w:ascii="Segoe UI" w:hAnsi="Segoe UI" w:cs="Segoe UI"/>
          <w:b/>
          <w:bCs/>
          <w:iCs/>
          <w:spacing w:val="-6"/>
          <w:sz w:val="19"/>
          <w:szCs w:val="19"/>
          <w:lang w:val="fr-FR" w:eastAsia="ja-JP"/>
        </w:rPr>
        <w:t>g.a</w:t>
      </w:r>
      <w:proofErr w:type="spellEnd"/>
      <w:r w:rsidR="005C4861">
        <w:rPr>
          <w:rFonts w:ascii="Segoe UI" w:hAnsi="Segoe UI" w:cs="Segoe UI"/>
          <w:b/>
          <w:bCs/>
          <w:iCs/>
          <w:spacing w:val="-6"/>
          <w:sz w:val="19"/>
          <w:szCs w:val="19"/>
          <w:lang w:val="fr-FR" w:eastAsia="ja-JP"/>
        </w:rPr>
        <w:t xml:space="preserve">.), conservant sa position de premier fournisseur du marché </w:t>
      </w:r>
      <w:r w:rsidR="00AA2B74">
        <w:rPr>
          <w:rFonts w:ascii="Segoe UI" w:hAnsi="Segoe UI" w:cs="Segoe UI"/>
          <w:b/>
          <w:bCs/>
          <w:iCs/>
          <w:spacing w:val="-6"/>
          <w:sz w:val="19"/>
          <w:szCs w:val="19"/>
          <w:lang w:val="fr-FR" w:eastAsia="ja-JP"/>
        </w:rPr>
        <w:t xml:space="preserve">américain </w:t>
      </w:r>
      <w:r w:rsidR="00C85AE8">
        <w:rPr>
          <w:rFonts w:ascii="Segoe UI" w:hAnsi="Segoe UI" w:cs="Segoe UI"/>
          <w:b/>
          <w:bCs/>
          <w:iCs/>
          <w:spacing w:val="-6"/>
          <w:sz w:val="19"/>
          <w:szCs w:val="19"/>
          <w:lang w:val="fr-FR" w:eastAsia="ja-JP"/>
        </w:rPr>
        <w:t>et son excédent commercial</w:t>
      </w:r>
      <w:r w:rsidR="009C7237" w:rsidRPr="009C7237">
        <w:rPr>
          <w:rFonts w:ascii="Segoe UI" w:hAnsi="Segoe UI" w:cs="Segoe UI"/>
          <w:b/>
          <w:bCs/>
          <w:iCs/>
          <w:spacing w:val="-6"/>
          <w:sz w:val="19"/>
          <w:szCs w:val="19"/>
          <w:lang w:val="fr-FR" w:eastAsia="ja-JP"/>
        </w:rPr>
        <w:t xml:space="preserve">. </w:t>
      </w:r>
      <w:r w:rsidR="00313C41">
        <w:rPr>
          <w:rFonts w:ascii="Segoe UI" w:hAnsi="Segoe UI" w:cs="Segoe UI"/>
          <w:iCs/>
          <w:spacing w:val="-6"/>
          <w:sz w:val="19"/>
          <w:szCs w:val="19"/>
          <w:lang w:val="fr-FR" w:eastAsia="ja-JP"/>
        </w:rPr>
        <w:t>Alors que</w:t>
      </w:r>
      <w:r w:rsidR="000F24E9">
        <w:rPr>
          <w:rFonts w:ascii="Segoe UI" w:hAnsi="Segoe UI" w:cs="Segoe UI"/>
          <w:iCs/>
          <w:spacing w:val="-6"/>
          <w:sz w:val="19"/>
          <w:szCs w:val="19"/>
          <w:lang w:val="fr-FR" w:eastAsia="ja-JP"/>
        </w:rPr>
        <w:t xml:space="preserve"> d</w:t>
      </w:r>
      <w:r w:rsidR="00AA2B74">
        <w:rPr>
          <w:rFonts w:ascii="Segoe UI" w:hAnsi="Segoe UI" w:cs="Segoe UI"/>
          <w:iCs/>
          <w:spacing w:val="-6"/>
          <w:sz w:val="19"/>
          <w:szCs w:val="19"/>
          <w:lang w:val="fr-FR" w:eastAsia="ja-JP"/>
        </w:rPr>
        <w:t xml:space="preserve">es droits de douane sectoriels et sur les produits non conformes au T-MEC </w:t>
      </w:r>
      <w:r w:rsidR="00313C41">
        <w:rPr>
          <w:rFonts w:ascii="Segoe UI" w:hAnsi="Segoe UI" w:cs="Segoe UI"/>
          <w:iCs/>
          <w:spacing w:val="-6"/>
          <w:sz w:val="19"/>
          <w:szCs w:val="19"/>
          <w:lang w:val="fr-FR" w:eastAsia="ja-JP"/>
        </w:rPr>
        <w:t xml:space="preserve">ont été </w:t>
      </w:r>
      <w:r w:rsidR="00AA2B74">
        <w:rPr>
          <w:rFonts w:ascii="Segoe UI" w:hAnsi="Segoe UI" w:cs="Segoe UI"/>
          <w:iCs/>
          <w:spacing w:val="-6"/>
          <w:sz w:val="19"/>
          <w:szCs w:val="19"/>
          <w:lang w:val="fr-FR" w:eastAsia="ja-JP"/>
        </w:rPr>
        <w:t xml:space="preserve">imposés par les Etats-Unis </w:t>
      </w:r>
      <w:r w:rsidR="00C85AE8">
        <w:rPr>
          <w:rFonts w:ascii="Segoe UI" w:hAnsi="Segoe UI" w:cs="Segoe UI"/>
          <w:iCs/>
          <w:spacing w:val="-6"/>
          <w:sz w:val="19"/>
          <w:szCs w:val="19"/>
          <w:lang w:val="fr-FR" w:eastAsia="ja-JP"/>
        </w:rPr>
        <w:t>au</w:t>
      </w:r>
      <w:r w:rsidR="00AA2B74">
        <w:rPr>
          <w:rFonts w:ascii="Segoe UI" w:hAnsi="Segoe UI" w:cs="Segoe UI"/>
          <w:iCs/>
          <w:spacing w:val="-6"/>
          <w:sz w:val="19"/>
          <w:szCs w:val="19"/>
          <w:lang w:val="fr-FR" w:eastAsia="ja-JP"/>
        </w:rPr>
        <w:t xml:space="preserve"> S1</w:t>
      </w:r>
      <w:r w:rsidR="00313C41">
        <w:rPr>
          <w:rFonts w:ascii="Segoe UI" w:hAnsi="Segoe UI" w:cs="Segoe UI"/>
          <w:iCs/>
          <w:spacing w:val="-6"/>
          <w:sz w:val="19"/>
          <w:szCs w:val="19"/>
          <w:lang w:val="fr-FR" w:eastAsia="ja-JP"/>
        </w:rPr>
        <w:t xml:space="preserve"> 2025, les exportations mexicaines vers les Etats-Unis</w:t>
      </w:r>
      <w:r w:rsidR="006C1975">
        <w:rPr>
          <w:rFonts w:ascii="Segoe UI" w:hAnsi="Segoe UI" w:cs="Segoe UI"/>
          <w:iCs/>
          <w:spacing w:val="-6"/>
          <w:sz w:val="19"/>
          <w:szCs w:val="19"/>
          <w:lang w:val="fr-FR" w:eastAsia="ja-JP"/>
        </w:rPr>
        <w:t xml:space="preserve">, qui ont atteint 264 Mds USD, </w:t>
      </w:r>
      <w:r w:rsidR="00313C41">
        <w:rPr>
          <w:rFonts w:ascii="Segoe UI" w:hAnsi="Segoe UI" w:cs="Segoe UI"/>
          <w:iCs/>
          <w:spacing w:val="-6"/>
          <w:sz w:val="19"/>
          <w:szCs w:val="19"/>
          <w:lang w:val="fr-FR" w:eastAsia="ja-JP"/>
        </w:rPr>
        <w:t>semblent avoir été stimulées par un phénomène d’anticipation</w:t>
      </w:r>
      <w:r w:rsidR="00C85AE8">
        <w:rPr>
          <w:rFonts w:ascii="Segoe UI" w:hAnsi="Segoe UI" w:cs="Segoe UI"/>
          <w:iCs/>
          <w:spacing w:val="-6"/>
          <w:sz w:val="19"/>
          <w:szCs w:val="19"/>
          <w:lang w:val="fr-FR" w:eastAsia="ja-JP"/>
        </w:rPr>
        <w:t xml:space="preserve"> de l’entrée en vigueur des nouve</w:t>
      </w:r>
      <w:r w:rsidR="00015B3E">
        <w:rPr>
          <w:rFonts w:ascii="Segoe UI" w:hAnsi="Segoe UI" w:cs="Segoe UI"/>
          <w:iCs/>
          <w:spacing w:val="-6"/>
          <w:sz w:val="19"/>
          <w:szCs w:val="19"/>
          <w:lang w:val="fr-FR" w:eastAsia="ja-JP"/>
        </w:rPr>
        <w:t>lles</w:t>
      </w:r>
      <w:r w:rsidR="00C85AE8">
        <w:rPr>
          <w:rFonts w:ascii="Segoe UI" w:hAnsi="Segoe UI" w:cs="Segoe UI"/>
          <w:iCs/>
          <w:spacing w:val="-6"/>
          <w:sz w:val="19"/>
          <w:szCs w:val="19"/>
          <w:lang w:val="fr-FR" w:eastAsia="ja-JP"/>
        </w:rPr>
        <w:t xml:space="preserve"> ta</w:t>
      </w:r>
      <w:r w:rsidR="00015B3E">
        <w:rPr>
          <w:rFonts w:ascii="Segoe UI" w:hAnsi="Segoe UI" w:cs="Segoe UI"/>
          <w:iCs/>
          <w:spacing w:val="-6"/>
          <w:sz w:val="19"/>
          <w:szCs w:val="19"/>
          <w:lang w:val="fr-FR" w:eastAsia="ja-JP"/>
        </w:rPr>
        <w:t>xe</w:t>
      </w:r>
      <w:r w:rsidR="00C85AE8">
        <w:rPr>
          <w:rFonts w:ascii="Segoe UI" w:hAnsi="Segoe UI" w:cs="Segoe UI"/>
          <w:iCs/>
          <w:spacing w:val="-6"/>
          <w:sz w:val="19"/>
          <w:szCs w:val="19"/>
          <w:lang w:val="fr-FR" w:eastAsia="ja-JP"/>
        </w:rPr>
        <w:t>s</w:t>
      </w:r>
      <w:r w:rsidR="00313C41">
        <w:rPr>
          <w:rFonts w:ascii="Segoe UI" w:hAnsi="Segoe UI" w:cs="Segoe UI"/>
          <w:iCs/>
          <w:spacing w:val="-6"/>
          <w:sz w:val="19"/>
          <w:szCs w:val="19"/>
          <w:lang w:val="fr-FR" w:eastAsia="ja-JP"/>
        </w:rPr>
        <w:t xml:space="preserve">. </w:t>
      </w:r>
      <w:r w:rsidR="00EA6FAD">
        <w:rPr>
          <w:rFonts w:ascii="Segoe UI" w:hAnsi="Segoe UI" w:cs="Segoe UI"/>
          <w:iCs/>
          <w:spacing w:val="-6"/>
          <w:sz w:val="19"/>
          <w:szCs w:val="19"/>
          <w:lang w:val="fr-FR" w:eastAsia="ja-JP"/>
        </w:rPr>
        <w:t>Les estimations quant à la part des exportations mexicaines qui aurait bénéficié des avantages tarifaires offerts par le T-MEC au cours de la période varie</w:t>
      </w:r>
      <w:r w:rsidR="00CA0939">
        <w:rPr>
          <w:rFonts w:ascii="Segoe UI" w:hAnsi="Segoe UI" w:cs="Segoe UI"/>
          <w:iCs/>
          <w:spacing w:val="-6"/>
          <w:sz w:val="19"/>
          <w:szCs w:val="19"/>
          <w:lang w:val="fr-FR" w:eastAsia="ja-JP"/>
        </w:rPr>
        <w:t>nt</w:t>
      </w:r>
      <w:r w:rsidR="00EA6FAD">
        <w:rPr>
          <w:rFonts w:ascii="Segoe UI" w:hAnsi="Segoe UI" w:cs="Segoe UI"/>
          <w:iCs/>
          <w:spacing w:val="-6"/>
          <w:sz w:val="19"/>
          <w:szCs w:val="19"/>
          <w:lang w:val="fr-FR" w:eastAsia="ja-JP"/>
        </w:rPr>
        <w:t xml:space="preserve"> </w:t>
      </w:r>
      <w:r w:rsidR="00CA0939">
        <w:rPr>
          <w:rFonts w:ascii="Segoe UI" w:hAnsi="Segoe UI" w:cs="Segoe UI"/>
          <w:iCs/>
          <w:spacing w:val="-6"/>
          <w:sz w:val="19"/>
          <w:szCs w:val="19"/>
          <w:lang w:val="fr-FR" w:eastAsia="ja-JP"/>
        </w:rPr>
        <w:t>considérablement</w:t>
      </w:r>
      <w:r w:rsidR="00EA6FAD">
        <w:rPr>
          <w:rFonts w:ascii="Segoe UI" w:hAnsi="Segoe UI" w:cs="Segoe UI"/>
          <w:iCs/>
          <w:spacing w:val="-6"/>
          <w:sz w:val="19"/>
          <w:szCs w:val="19"/>
          <w:lang w:val="fr-FR" w:eastAsia="ja-JP"/>
        </w:rPr>
        <w:t xml:space="preserve"> selon les sources, de 85 % </w:t>
      </w:r>
      <w:r w:rsidR="00CA0939">
        <w:rPr>
          <w:rFonts w:ascii="Segoe UI" w:hAnsi="Segoe UI" w:cs="Segoe UI"/>
          <w:iCs/>
          <w:spacing w:val="-6"/>
          <w:sz w:val="19"/>
          <w:szCs w:val="19"/>
          <w:lang w:val="fr-FR" w:eastAsia="ja-JP"/>
        </w:rPr>
        <w:t xml:space="preserve">environ </w:t>
      </w:r>
      <w:r w:rsidR="00EA6FAD">
        <w:rPr>
          <w:rFonts w:ascii="Segoe UI" w:hAnsi="Segoe UI" w:cs="Segoe UI"/>
          <w:iCs/>
          <w:spacing w:val="-6"/>
          <w:sz w:val="19"/>
          <w:szCs w:val="19"/>
          <w:lang w:val="fr-FR" w:eastAsia="ja-JP"/>
        </w:rPr>
        <w:t xml:space="preserve">selon les </w:t>
      </w:r>
      <w:r w:rsidR="00CA0939">
        <w:rPr>
          <w:rFonts w:ascii="Segoe UI" w:hAnsi="Segoe UI" w:cs="Segoe UI"/>
          <w:iCs/>
          <w:spacing w:val="-6"/>
          <w:sz w:val="19"/>
          <w:szCs w:val="19"/>
          <w:lang w:val="fr-FR" w:eastAsia="ja-JP"/>
        </w:rPr>
        <w:t>autorités</w:t>
      </w:r>
      <w:r w:rsidR="00EA6FAD">
        <w:rPr>
          <w:rFonts w:ascii="Segoe UI" w:hAnsi="Segoe UI" w:cs="Segoe UI"/>
          <w:iCs/>
          <w:spacing w:val="-6"/>
          <w:sz w:val="19"/>
          <w:szCs w:val="19"/>
          <w:lang w:val="fr-FR" w:eastAsia="ja-JP"/>
        </w:rPr>
        <w:t xml:space="preserve"> mexicaines à un peu moins de 50 % selon des experts indépendants. </w:t>
      </w:r>
    </w:p>
    <w:p w14:paraId="50387E86" w14:textId="69E1C486" w:rsidR="00A31B32" w:rsidRPr="00A31B32" w:rsidRDefault="00A31B32" w:rsidP="00C33585">
      <w:pPr>
        <w:pStyle w:val="Briefinglist1"/>
        <w:numPr>
          <w:ilvl w:val="0"/>
          <w:numId w:val="0"/>
        </w:numPr>
        <w:tabs>
          <w:tab w:val="left" w:pos="9639"/>
        </w:tabs>
        <w:spacing w:after="0"/>
        <w:ind w:left="-993"/>
        <w:rPr>
          <w:rFonts w:ascii="Segoe UI" w:hAnsi="Segoe UI" w:cs="Segoe UI"/>
          <w:b/>
          <w:color w:val="000091" w:themeColor="text1"/>
          <w:spacing w:val="-6"/>
          <w:sz w:val="2"/>
          <w:szCs w:val="2"/>
          <w:lang w:val="fr-FR"/>
        </w:rPr>
      </w:pPr>
    </w:p>
    <w:p w14:paraId="2642B005" w14:textId="0F47B808" w:rsidR="00A44A99" w:rsidRPr="00A44A99" w:rsidRDefault="004F3BB4" w:rsidP="00C33585">
      <w:pPr>
        <w:pStyle w:val="Briefinglist1"/>
        <w:numPr>
          <w:ilvl w:val="0"/>
          <w:numId w:val="0"/>
        </w:numPr>
        <w:tabs>
          <w:tab w:val="left" w:pos="9639"/>
        </w:tabs>
        <w:spacing w:after="0"/>
        <w:ind w:left="-993"/>
        <w:rPr>
          <w:rFonts w:ascii="Segoe UI" w:hAnsi="Segoe UI" w:cs="Segoe UI"/>
          <w:b/>
          <w:color w:val="000091" w:themeColor="text1"/>
          <w:spacing w:val="-6"/>
          <w:szCs w:val="20"/>
          <w:lang w:val="fr-FR"/>
        </w:rPr>
      </w:pPr>
      <w:r w:rsidRPr="0076026A">
        <w:rPr>
          <w:rFonts w:ascii="Segoe UI" w:hAnsi="Segoe UI" w:cs="Segoe UI"/>
          <w:b/>
          <w:color w:val="000091" w:themeColor="text1"/>
          <w:spacing w:val="-6"/>
          <w:szCs w:val="20"/>
          <w:lang w:val="fr-FR"/>
        </w:rPr>
        <w:t xml:space="preserve">Investissements directs étrangers | </w:t>
      </w:r>
      <w:r w:rsidR="00D60466">
        <w:rPr>
          <w:rFonts w:ascii="Segoe UI" w:hAnsi="Segoe UI" w:cs="Segoe UI"/>
          <w:b/>
          <w:color w:val="000091" w:themeColor="text1"/>
          <w:spacing w:val="-6"/>
          <w:szCs w:val="20"/>
          <w:lang w:val="fr-FR"/>
        </w:rPr>
        <w:t xml:space="preserve">Des </w:t>
      </w:r>
      <w:r w:rsidRPr="0076026A">
        <w:rPr>
          <w:rFonts w:ascii="Segoe UI" w:hAnsi="Segoe UI" w:cs="Segoe UI"/>
          <w:b/>
          <w:color w:val="000091" w:themeColor="text1"/>
          <w:spacing w:val="-6"/>
          <w:szCs w:val="20"/>
          <w:lang w:val="fr-FR"/>
        </w:rPr>
        <w:t xml:space="preserve">IDE </w:t>
      </w:r>
      <w:r w:rsidR="00D60466">
        <w:rPr>
          <w:rFonts w:ascii="Segoe UI" w:hAnsi="Segoe UI" w:cs="Segoe UI"/>
          <w:b/>
          <w:color w:val="000091" w:themeColor="text1"/>
          <w:spacing w:val="-6"/>
          <w:szCs w:val="20"/>
          <w:lang w:val="fr-FR"/>
        </w:rPr>
        <w:t xml:space="preserve">dynamiques malgré la récente remise en cause du </w:t>
      </w:r>
      <w:r w:rsidRPr="0076026A">
        <w:rPr>
          <w:rFonts w:ascii="Segoe UI" w:hAnsi="Segoe UI" w:cs="Segoe UI"/>
          <w:b/>
          <w:i/>
          <w:iCs/>
          <w:color w:val="000091" w:themeColor="text1"/>
          <w:spacing w:val="-6"/>
          <w:szCs w:val="20"/>
          <w:lang w:val="fr-FR"/>
        </w:rPr>
        <w:t>nearshoring</w:t>
      </w:r>
    </w:p>
    <w:p w14:paraId="4E6A3ECE" w14:textId="6FDBFFA4" w:rsidR="0062553E" w:rsidRDefault="004F3BB4" w:rsidP="0062553E">
      <w:pPr>
        <w:pStyle w:val="Briefinglist1"/>
        <w:numPr>
          <w:ilvl w:val="0"/>
          <w:numId w:val="0"/>
        </w:numPr>
        <w:spacing w:after="0"/>
        <w:ind w:left="-993" w:right="-142"/>
        <w:rPr>
          <w:rFonts w:ascii="Segoe UI" w:hAnsi="Segoe UI" w:cs="Segoe UI"/>
          <w:bCs/>
          <w:spacing w:val="-6"/>
          <w:sz w:val="19"/>
          <w:szCs w:val="19"/>
          <w:lang w:val="fr-FR"/>
        </w:rPr>
      </w:pPr>
      <w:r w:rsidRPr="0076026A">
        <w:rPr>
          <w:rFonts w:ascii="Segoe UI" w:hAnsi="Segoe UI" w:cs="Segoe UI"/>
          <w:b/>
          <w:color w:val="000091" w:themeColor="text1"/>
          <w:spacing w:val="-6"/>
          <w:sz w:val="19"/>
          <w:szCs w:val="19"/>
          <w:lang w:val="fr-FR"/>
        </w:rPr>
        <w:t>Flux d’IDE |</w:t>
      </w:r>
      <w:r w:rsidRPr="0076026A">
        <w:rPr>
          <w:rFonts w:ascii="Segoe UI" w:hAnsi="Segoe UI" w:cs="Segoe UI"/>
          <w:b/>
          <w:spacing w:val="-6"/>
          <w:sz w:val="19"/>
          <w:szCs w:val="19"/>
          <w:lang w:val="fr-FR"/>
        </w:rPr>
        <w:t xml:space="preserve"> </w:t>
      </w:r>
      <w:r w:rsidR="000D24BE">
        <w:rPr>
          <w:rFonts w:ascii="Segoe UI" w:hAnsi="Segoe UI" w:cs="Segoe UI"/>
          <w:b/>
          <w:spacing w:val="-6"/>
          <w:sz w:val="19"/>
          <w:szCs w:val="19"/>
          <w:lang w:val="fr-FR"/>
        </w:rPr>
        <w:t>L</w:t>
      </w:r>
      <w:r w:rsidRPr="0076026A">
        <w:rPr>
          <w:rFonts w:ascii="Segoe UI" w:hAnsi="Segoe UI" w:cs="Segoe UI"/>
          <w:b/>
          <w:spacing w:val="-6"/>
          <w:sz w:val="19"/>
          <w:szCs w:val="19"/>
          <w:lang w:val="fr-FR"/>
        </w:rPr>
        <w:t>es flux d’IDE</w:t>
      </w:r>
      <w:r w:rsidR="000D24BE">
        <w:rPr>
          <w:rFonts w:ascii="Segoe UI" w:hAnsi="Segoe UI" w:cs="Segoe UI"/>
          <w:b/>
          <w:spacing w:val="-6"/>
          <w:sz w:val="19"/>
          <w:szCs w:val="19"/>
          <w:lang w:val="fr-FR"/>
        </w:rPr>
        <w:t xml:space="preserve"> </w:t>
      </w:r>
      <w:r w:rsidRPr="0076026A">
        <w:rPr>
          <w:rFonts w:ascii="Segoe UI" w:hAnsi="Segoe UI" w:cs="Segoe UI"/>
          <w:b/>
          <w:spacing w:val="-6"/>
          <w:sz w:val="19"/>
          <w:szCs w:val="19"/>
          <w:lang w:val="fr-FR"/>
        </w:rPr>
        <w:t>ont enregistré un nouveau record</w:t>
      </w:r>
      <w:r w:rsidR="000D24BE">
        <w:rPr>
          <w:rFonts w:ascii="Segoe UI" w:hAnsi="Segoe UI" w:cs="Segoe UI"/>
          <w:b/>
          <w:spacing w:val="-6"/>
          <w:sz w:val="19"/>
          <w:szCs w:val="19"/>
          <w:lang w:val="fr-FR"/>
        </w:rPr>
        <w:t xml:space="preserve"> au S1 2025, mais une chute notable a été observée dans </w:t>
      </w:r>
      <w:r w:rsidR="00E05474">
        <w:rPr>
          <w:rFonts w:ascii="Segoe UI" w:hAnsi="Segoe UI" w:cs="Segoe UI"/>
          <w:b/>
          <w:spacing w:val="-6"/>
          <w:sz w:val="19"/>
          <w:szCs w:val="19"/>
          <w:lang w:val="fr-FR"/>
        </w:rPr>
        <w:t xml:space="preserve">les </w:t>
      </w:r>
      <w:r w:rsidR="000D24BE">
        <w:rPr>
          <w:rFonts w:ascii="Segoe UI" w:hAnsi="Segoe UI" w:cs="Segoe UI"/>
          <w:b/>
          <w:spacing w:val="-6"/>
          <w:sz w:val="19"/>
          <w:szCs w:val="19"/>
          <w:lang w:val="fr-FR"/>
        </w:rPr>
        <w:t>flux à destination du secteur manufacturier</w:t>
      </w:r>
      <w:r w:rsidRPr="0076026A">
        <w:rPr>
          <w:rFonts w:ascii="Segoe UI" w:hAnsi="Segoe UI" w:cs="Segoe UI"/>
          <w:b/>
          <w:spacing w:val="-6"/>
          <w:sz w:val="19"/>
          <w:szCs w:val="19"/>
          <w:lang w:val="fr-FR"/>
        </w:rPr>
        <w:t xml:space="preserve">. </w:t>
      </w:r>
      <w:r w:rsidR="006F7B3E">
        <w:rPr>
          <w:rFonts w:ascii="Segoe UI" w:hAnsi="Segoe UI" w:cs="Segoe UI"/>
          <w:bCs/>
          <w:spacing w:val="-6"/>
          <w:sz w:val="19"/>
          <w:szCs w:val="19"/>
          <w:lang w:val="fr-FR"/>
        </w:rPr>
        <w:t>L</w:t>
      </w:r>
      <w:r w:rsidR="00A61D27" w:rsidRPr="00A61D27">
        <w:rPr>
          <w:rFonts w:ascii="Segoe UI" w:hAnsi="Segoe UI" w:cs="Segoe UI"/>
          <w:bCs/>
          <w:spacing w:val="-6"/>
          <w:sz w:val="19"/>
          <w:szCs w:val="19"/>
          <w:lang w:val="fr-FR"/>
        </w:rPr>
        <w:t xml:space="preserve">a </w:t>
      </w:r>
      <w:r w:rsidR="00473802" w:rsidRPr="00A61D27">
        <w:rPr>
          <w:rFonts w:ascii="Segoe UI" w:hAnsi="Segoe UI" w:cs="Segoe UI"/>
          <w:bCs/>
          <w:spacing w:val="-6"/>
          <w:sz w:val="19"/>
          <w:szCs w:val="19"/>
          <w:lang w:val="fr-FR"/>
        </w:rPr>
        <w:t>croissance des IDE s’est accélérée par rapport aux années précédentes</w:t>
      </w:r>
      <w:r w:rsidR="00D46E46">
        <w:rPr>
          <w:rFonts w:ascii="Segoe UI" w:hAnsi="Segoe UI" w:cs="Segoe UI"/>
          <w:bCs/>
          <w:spacing w:val="-6"/>
          <w:sz w:val="19"/>
          <w:szCs w:val="19"/>
          <w:lang w:val="fr-FR"/>
        </w:rPr>
        <w:t xml:space="preserve"> (34,3 Mds USD, +10 % </w:t>
      </w:r>
      <w:proofErr w:type="spellStart"/>
      <w:r w:rsidR="00D46E46">
        <w:rPr>
          <w:rFonts w:ascii="Segoe UI" w:hAnsi="Segoe UI" w:cs="Segoe UI"/>
          <w:bCs/>
          <w:spacing w:val="-6"/>
          <w:sz w:val="19"/>
          <w:szCs w:val="19"/>
          <w:lang w:val="fr-FR"/>
        </w:rPr>
        <w:t>g.a</w:t>
      </w:r>
      <w:proofErr w:type="spellEnd"/>
      <w:r w:rsidR="00D46E46">
        <w:rPr>
          <w:rFonts w:ascii="Segoe UI" w:hAnsi="Segoe UI" w:cs="Segoe UI"/>
          <w:bCs/>
          <w:spacing w:val="-6"/>
          <w:sz w:val="19"/>
          <w:szCs w:val="19"/>
          <w:lang w:val="fr-FR"/>
        </w:rPr>
        <w:t>.)</w:t>
      </w:r>
      <w:r w:rsidR="00A61D27" w:rsidRPr="00A61D27">
        <w:rPr>
          <w:rFonts w:ascii="Segoe UI" w:hAnsi="Segoe UI" w:cs="Segoe UI"/>
          <w:bCs/>
          <w:spacing w:val="-6"/>
          <w:sz w:val="19"/>
          <w:szCs w:val="19"/>
          <w:lang w:val="fr-FR"/>
        </w:rPr>
        <w:t xml:space="preserve">, </w:t>
      </w:r>
      <w:r w:rsidR="00AB61B0">
        <w:rPr>
          <w:rFonts w:ascii="Segoe UI" w:hAnsi="Segoe UI" w:cs="Segoe UI"/>
          <w:bCs/>
          <w:spacing w:val="-6"/>
          <w:sz w:val="19"/>
          <w:szCs w:val="19"/>
          <w:lang w:val="fr-FR"/>
        </w:rPr>
        <w:t xml:space="preserve">et ce </w:t>
      </w:r>
      <w:r w:rsidR="00E05474">
        <w:rPr>
          <w:rFonts w:ascii="Segoe UI" w:hAnsi="Segoe UI" w:cs="Segoe UI"/>
          <w:bCs/>
          <w:spacing w:val="-6"/>
          <w:sz w:val="19"/>
          <w:szCs w:val="19"/>
          <w:lang w:val="fr-FR"/>
        </w:rPr>
        <w:t xml:space="preserve">malgré les </w:t>
      </w:r>
      <w:r w:rsidR="00A61D27" w:rsidRPr="00A61D27">
        <w:rPr>
          <w:rFonts w:ascii="Segoe UI" w:hAnsi="Segoe UI" w:cs="Segoe UI"/>
          <w:bCs/>
          <w:spacing w:val="-6"/>
          <w:sz w:val="19"/>
          <w:szCs w:val="19"/>
          <w:lang w:val="fr-FR"/>
        </w:rPr>
        <w:t>incertitudes internationales accrues</w:t>
      </w:r>
      <w:r w:rsidR="006F7B3E">
        <w:rPr>
          <w:rFonts w:ascii="Segoe UI" w:hAnsi="Segoe UI" w:cs="Segoe UI"/>
          <w:bCs/>
          <w:spacing w:val="-6"/>
          <w:sz w:val="19"/>
          <w:szCs w:val="19"/>
          <w:lang w:val="fr-FR"/>
        </w:rPr>
        <w:t>.</w:t>
      </w:r>
      <w:r w:rsidR="00A61D27" w:rsidRPr="00A61D27">
        <w:rPr>
          <w:rFonts w:ascii="Segoe UI" w:hAnsi="Segoe UI" w:cs="Segoe UI"/>
          <w:bCs/>
          <w:spacing w:val="-6"/>
          <w:sz w:val="19"/>
          <w:szCs w:val="19"/>
          <w:lang w:val="fr-FR"/>
        </w:rPr>
        <w:t xml:space="preserve"> </w:t>
      </w:r>
      <w:r w:rsidR="006F7B3E">
        <w:rPr>
          <w:rFonts w:ascii="Segoe UI" w:hAnsi="Segoe UI" w:cs="Segoe UI"/>
          <w:bCs/>
          <w:spacing w:val="-6"/>
          <w:sz w:val="19"/>
          <w:szCs w:val="19"/>
          <w:lang w:val="fr-FR"/>
        </w:rPr>
        <w:t>U</w:t>
      </w:r>
      <w:r w:rsidR="00A61D27" w:rsidRPr="00A61D27">
        <w:rPr>
          <w:rFonts w:ascii="Segoe UI" w:hAnsi="Segoe UI" w:cs="Segoe UI"/>
          <w:bCs/>
          <w:spacing w:val="-6"/>
          <w:sz w:val="19"/>
          <w:szCs w:val="19"/>
          <w:lang w:val="fr-FR"/>
        </w:rPr>
        <w:t>ne réorientation sectorielle des</w:t>
      </w:r>
      <w:r w:rsidR="00A61D27">
        <w:rPr>
          <w:rFonts w:ascii="Segoe UI" w:hAnsi="Segoe UI" w:cs="Segoe UI"/>
          <w:bCs/>
          <w:spacing w:val="-6"/>
          <w:sz w:val="19"/>
          <w:szCs w:val="19"/>
          <w:lang w:val="fr-FR"/>
        </w:rPr>
        <w:t xml:space="preserve"> </w:t>
      </w:r>
      <w:r w:rsidR="00A61D27" w:rsidRPr="00A61D27">
        <w:rPr>
          <w:rFonts w:ascii="Segoe UI" w:hAnsi="Segoe UI" w:cs="Segoe UI"/>
          <w:bCs/>
          <w:spacing w:val="-6"/>
          <w:sz w:val="19"/>
          <w:szCs w:val="19"/>
          <w:lang w:val="fr-FR"/>
        </w:rPr>
        <w:t xml:space="preserve">flux d’IDE </w:t>
      </w:r>
      <w:r w:rsidR="006F7B3E">
        <w:rPr>
          <w:rFonts w:ascii="Segoe UI" w:hAnsi="Segoe UI" w:cs="Segoe UI"/>
          <w:bCs/>
          <w:spacing w:val="-6"/>
          <w:sz w:val="19"/>
          <w:szCs w:val="19"/>
          <w:lang w:val="fr-FR"/>
        </w:rPr>
        <w:t>est toutefois</w:t>
      </w:r>
      <w:r w:rsidR="00A61D27" w:rsidRPr="00A61D27">
        <w:rPr>
          <w:rFonts w:ascii="Segoe UI" w:hAnsi="Segoe UI" w:cs="Segoe UI"/>
          <w:bCs/>
          <w:spacing w:val="-6"/>
          <w:sz w:val="19"/>
          <w:szCs w:val="19"/>
          <w:lang w:val="fr-FR"/>
        </w:rPr>
        <w:t xml:space="preserve"> observée</w:t>
      </w:r>
      <w:r w:rsidR="00A61D27">
        <w:rPr>
          <w:rFonts w:ascii="Segoe UI" w:hAnsi="Segoe UI" w:cs="Segoe UI"/>
          <w:bCs/>
          <w:spacing w:val="-6"/>
          <w:sz w:val="19"/>
          <w:szCs w:val="19"/>
          <w:lang w:val="fr-FR"/>
        </w:rPr>
        <w:t>. Le</w:t>
      </w:r>
      <w:r w:rsidR="00D46E46">
        <w:rPr>
          <w:rFonts w:ascii="Segoe UI" w:hAnsi="Segoe UI" w:cs="Segoe UI"/>
          <w:bCs/>
          <w:spacing w:val="-6"/>
          <w:sz w:val="19"/>
          <w:szCs w:val="19"/>
          <w:lang w:val="fr-FR"/>
        </w:rPr>
        <w:t>s IDE à destination du</w:t>
      </w:r>
      <w:r w:rsidR="00A61D27">
        <w:rPr>
          <w:rFonts w:ascii="Segoe UI" w:hAnsi="Segoe UI" w:cs="Segoe UI"/>
          <w:bCs/>
          <w:spacing w:val="-6"/>
          <w:sz w:val="19"/>
          <w:szCs w:val="19"/>
          <w:lang w:val="fr-FR"/>
        </w:rPr>
        <w:t xml:space="preserve"> secteur manufacturier</w:t>
      </w:r>
      <w:r w:rsidR="00D46E46">
        <w:rPr>
          <w:rFonts w:ascii="Segoe UI" w:hAnsi="Segoe UI" w:cs="Segoe UI"/>
          <w:bCs/>
          <w:spacing w:val="-6"/>
          <w:sz w:val="19"/>
          <w:szCs w:val="19"/>
          <w:lang w:val="fr-FR"/>
        </w:rPr>
        <w:t xml:space="preserve"> ont baissé de 26 % </w:t>
      </w:r>
      <w:proofErr w:type="spellStart"/>
      <w:r w:rsidR="00D46E46">
        <w:rPr>
          <w:rFonts w:ascii="Segoe UI" w:hAnsi="Segoe UI" w:cs="Segoe UI"/>
          <w:bCs/>
          <w:spacing w:val="-6"/>
          <w:sz w:val="19"/>
          <w:szCs w:val="19"/>
          <w:lang w:val="fr-FR"/>
        </w:rPr>
        <w:t>g.a</w:t>
      </w:r>
      <w:proofErr w:type="spellEnd"/>
      <w:r w:rsidR="00D46E46">
        <w:rPr>
          <w:rFonts w:ascii="Segoe UI" w:hAnsi="Segoe UI" w:cs="Segoe UI"/>
          <w:bCs/>
          <w:spacing w:val="-6"/>
          <w:sz w:val="19"/>
          <w:szCs w:val="19"/>
          <w:lang w:val="fr-FR"/>
        </w:rPr>
        <w:t>. au S1. Le secteur</w:t>
      </w:r>
      <w:r w:rsidR="00A61D27">
        <w:rPr>
          <w:rFonts w:ascii="Segoe UI" w:hAnsi="Segoe UI" w:cs="Segoe UI"/>
          <w:bCs/>
          <w:spacing w:val="-6"/>
          <w:sz w:val="19"/>
          <w:szCs w:val="19"/>
          <w:lang w:val="fr-FR"/>
        </w:rPr>
        <w:t xml:space="preserve"> reste </w:t>
      </w:r>
      <w:r w:rsidR="00D46E46">
        <w:rPr>
          <w:rFonts w:ascii="Segoe UI" w:hAnsi="Segoe UI" w:cs="Segoe UI"/>
          <w:bCs/>
          <w:spacing w:val="-6"/>
          <w:sz w:val="19"/>
          <w:szCs w:val="19"/>
          <w:lang w:val="fr-FR"/>
        </w:rPr>
        <w:t>celui</w:t>
      </w:r>
      <w:r w:rsidR="00A61D27">
        <w:rPr>
          <w:rFonts w:ascii="Segoe UI" w:hAnsi="Segoe UI" w:cs="Segoe UI"/>
          <w:bCs/>
          <w:spacing w:val="-6"/>
          <w:sz w:val="19"/>
          <w:szCs w:val="19"/>
          <w:lang w:val="fr-FR"/>
        </w:rPr>
        <w:t xml:space="preserve"> recevant le plus d’IDE, mais </w:t>
      </w:r>
      <w:r w:rsidR="00D46E46">
        <w:rPr>
          <w:rFonts w:ascii="Segoe UI" w:hAnsi="Segoe UI" w:cs="Segoe UI"/>
          <w:bCs/>
          <w:spacing w:val="-6"/>
          <w:sz w:val="19"/>
          <w:szCs w:val="19"/>
          <w:lang w:val="fr-FR"/>
        </w:rPr>
        <w:t xml:space="preserve">il </w:t>
      </w:r>
      <w:r w:rsidR="00A61D27">
        <w:rPr>
          <w:rFonts w:ascii="Segoe UI" w:hAnsi="Segoe UI" w:cs="Segoe UI"/>
          <w:bCs/>
          <w:spacing w:val="-6"/>
          <w:sz w:val="19"/>
          <w:szCs w:val="19"/>
          <w:lang w:val="fr-FR"/>
        </w:rPr>
        <w:t xml:space="preserve">représente désormais moins de la moitié </w:t>
      </w:r>
      <w:r w:rsidR="00E05474">
        <w:rPr>
          <w:rFonts w:ascii="Segoe UI" w:hAnsi="Segoe UI" w:cs="Segoe UI"/>
          <w:bCs/>
          <w:spacing w:val="-6"/>
          <w:sz w:val="19"/>
          <w:szCs w:val="19"/>
          <w:lang w:val="fr-FR"/>
        </w:rPr>
        <w:t xml:space="preserve">des flux </w:t>
      </w:r>
      <w:r w:rsidR="00A61D27">
        <w:rPr>
          <w:rFonts w:ascii="Segoe UI" w:hAnsi="Segoe UI" w:cs="Segoe UI"/>
          <w:bCs/>
          <w:spacing w:val="-6"/>
          <w:sz w:val="19"/>
          <w:szCs w:val="19"/>
          <w:lang w:val="fr-FR"/>
        </w:rPr>
        <w:t>(36 % contre 54 % au S1 2024)</w:t>
      </w:r>
      <w:r w:rsidR="00F914A8">
        <w:rPr>
          <w:rFonts w:ascii="Segoe UI" w:hAnsi="Segoe UI" w:cs="Segoe UI"/>
          <w:bCs/>
          <w:spacing w:val="-6"/>
          <w:sz w:val="19"/>
          <w:szCs w:val="19"/>
          <w:lang w:val="fr-FR"/>
        </w:rPr>
        <w:t xml:space="preserve">. </w:t>
      </w:r>
      <w:r w:rsidRPr="0076026A">
        <w:rPr>
          <w:rFonts w:ascii="Segoe UI" w:hAnsi="Segoe UI" w:cs="Segoe UI"/>
          <w:bCs/>
          <w:spacing w:val="-6"/>
          <w:sz w:val="19"/>
          <w:szCs w:val="19"/>
          <w:lang w:val="fr-FR"/>
        </w:rPr>
        <w:t xml:space="preserve">Les Etats-Unis </w:t>
      </w:r>
      <w:r w:rsidR="00E05474">
        <w:rPr>
          <w:rFonts w:ascii="Segoe UI" w:hAnsi="Segoe UI" w:cs="Segoe UI"/>
          <w:bCs/>
          <w:spacing w:val="-6"/>
          <w:sz w:val="19"/>
          <w:szCs w:val="19"/>
          <w:lang w:val="fr-FR"/>
        </w:rPr>
        <w:t>demeurent</w:t>
      </w:r>
      <w:r w:rsidRPr="0076026A">
        <w:rPr>
          <w:rFonts w:ascii="Segoe UI" w:hAnsi="Segoe UI" w:cs="Segoe UI"/>
          <w:bCs/>
          <w:spacing w:val="-6"/>
          <w:sz w:val="19"/>
          <w:szCs w:val="19"/>
          <w:lang w:val="fr-FR"/>
        </w:rPr>
        <w:t xml:space="preserve"> les premiers investisseurs étrangers</w:t>
      </w:r>
      <w:r w:rsidR="00F914A8">
        <w:rPr>
          <w:rFonts w:ascii="Segoe UI" w:hAnsi="Segoe UI" w:cs="Segoe UI"/>
          <w:bCs/>
          <w:spacing w:val="-6"/>
          <w:sz w:val="19"/>
          <w:szCs w:val="19"/>
          <w:lang w:val="fr-FR"/>
        </w:rPr>
        <w:t xml:space="preserve">, avec des flux en hausse de 7 % </w:t>
      </w:r>
      <w:proofErr w:type="spellStart"/>
      <w:r w:rsidR="00F914A8">
        <w:rPr>
          <w:rFonts w:ascii="Segoe UI" w:hAnsi="Segoe UI" w:cs="Segoe UI"/>
          <w:bCs/>
          <w:spacing w:val="-6"/>
          <w:sz w:val="19"/>
          <w:szCs w:val="19"/>
          <w:lang w:val="fr-FR"/>
        </w:rPr>
        <w:t>g.a</w:t>
      </w:r>
      <w:proofErr w:type="spellEnd"/>
      <w:r w:rsidR="00F914A8">
        <w:rPr>
          <w:rFonts w:ascii="Segoe UI" w:hAnsi="Segoe UI" w:cs="Segoe UI"/>
          <w:bCs/>
          <w:spacing w:val="-6"/>
          <w:sz w:val="19"/>
          <w:szCs w:val="19"/>
          <w:lang w:val="fr-FR"/>
        </w:rPr>
        <w:t xml:space="preserve">. et représentant </w:t>
      </w:r>
      <w:r w:rsidRPr="0076026A">
        <w:rPr>
          <w:rFonts w:ascii="Segoe UI" w:hAnsi="Segoe UI" w:cs="Segoe UI"/>
          <w:bCs/>
          <w:spacing w:val="-6"/>
          <w:sz w:val="19"/>
          <w:szCs w:val="19"/>
          <w:lang w:val="fr-FR"/>
        </w:rPr>
        <w:t>4</w:t>
      </w:r>
      <w:r w:rsidR="00F914A8">
        <w:rPr>
          <w:rFonts w:ascii="Segoe UI" w:hAnsi="Segoe UI" w:cs="Segoe UI"/>
          <w:bCs/>
          <w:spacing w:val="-6"/>
          <w:sz w:val="19"/>
          <w:szCs w:val="19"/>
          <w:lang w:val="fr-FR"/>
        </w:rPr>
        <w:t>3</w:t>
      </w:r>
      <w:r w:rsidRPr="0076026A">
        <w:rPr>
          <w:rFonts w:ascii="Segoe UI" w:hAnsi="Segoe UI" w:cs="Segoe UI"/>
          <w:bCs/>
          <w:spacing w:val="-6"/>
          <w:sz w:val="19"/>
          <w:szCs w:val="19"/>
          <w:lang w:val="fr-FR"/>
        </w:rPr>
        <w:t xml:space="preserve"> % </w:t>
      </w:r>
      <w:r w:rsidR="00FB2FED">
        <w:rPr>
          <w:rFonts w:ascii="Segoe UI" w:hAnsi="Segoe UI" w:cs="Segoe UI"/>
          <w:bCs/>
          <w:spacing w:val="-6"/>
          <w:sz w:val="19"/>
          <w:szCs w:val="19"/>
          <w:lang w:val="fr-FR"/>
        </w:rPr>
        <w:t>du total</w:t>
      </w:r>
      <w:r w:rsidRPr="0076026A">
        <w:rPr>
          <w:rFonts w:ascii="Segoe UI" w:hAnsi="Segoe UI" w:cs="Segoe UI"/>
          <w:bCs/>
          <w:spacing w:val="-6"/>
          <w:sz w:val="19"/>
          <w:szCs w:val="19"/>
          <w:lang w:val="fr-FR"/>
        </w:rPr>
        <w:t xml:space="preserve">, suivis </w:t>
      </w:r>
      <w:r w:rsidR="00FB2FED">
        <w:rPr>
          <w:rFonts w:ascii="Segoe UI" w:hAnsi="Segoe UI" w:cs="Segoe UI"/>
          <w:bCs/>
          <w:spacing w:val="-6"/>
          <w:sz w:val="19"/>
          <w:szCs w:val="19"/>
          <w:lang w:val="fr-FR"/>
        </w:rPr>
        <w:t>par l’Espagne</w:t>
      </w:r>
      <w:r w:rsidRPr="0076026A">
        <w:rPr>
          <w:rFonts w:ascii="Segoe UI" w:hAnsi="Segoe UI" w:cs="Segoe UI"/>
          <w:bCs/>
          <w:spacing w:val="-6"/>
          <w:sz w:val="19"/>
          <w:szCs w:val="19"/>
          <w:lang w:val="fr-FR"/>
        </w:rPr>
        <w:t xml:space="preserve"> </w:t>
      </w:r>
      <w:r w:rsidR="00B65551">
        <w:rPr>
          <w:rFonts w:ascii="Segoe UI" w:hAnsi="Segoe UI" w:cs="Segoe UI"/>
          <w:bCs/>
          <w:spacing w:val="-6"/>
          <w:sz w:val="19"/>
          <w:szCs w:val="19"/>
          <w:lang w:val="fr-FR"/>
        </w:rPr>
        <w:t>(1</w:t>
      </w:r>
      <w:r w:rsidR="00FB2FED">
        <w:rPr>
          <w:rFonts w:ascii="Segoe UI" w:hAnsi="Segoe UI" w:cs="Segoe UI"/>
          <w:bCs/>
          <w:spacing w:val="-6"/>
          <w:sz w:val="19"/>
          <w:szCs w:val="19"/>
          <w:lang w:val="fr-FR"/>
        </w:rPr>
        <w:t>7</w:t>
      </w:r>
      <w:r w:rsidR="00EF05AC">
        <w:rPr>
          <w:rFonts w:ascii="Segoe UI" w:hAnsi="Segoe UI" w:cs="Segoe UI"/>
          <w:bCs/>
          <w:spacing w:val="-6"/>
          <w:sz w:val="19"/>
          <w:szCs w:val="19"/>
          <w:lang w:val="fr-FR"/>
        </w:rPr>
        <w:t xml:space="preserve"> </w:t>
      </w:r>
      <w:r w:rsidR="00B65551">
        <w:rPr>
          <w:rFonts w:ascii="Segoe UI" w:hAnsi="Segoe UI" w:cs="Segoe UI"/>
          <w:bCs/>
          <w:spacing w:val="-6"/>
          <w:sz w:val="19"/>
          <w:szCs w:val="19"/>
          <w:lang w:val="fr-FR"/>
        </w:rPr>
        <w:t>%)</w:t>
      </w:r>
      <w:r w:rsidR="00FB2FED">
        <w:rPr>
          <w:rFonts w:ascii="Segoe UI" w:hAnsi="Segoe UI" w:cs="Segoe UI"/>
          <w:bCs/>
          <w:spacing w:val="-6"/>
          <w:sz w:val="19"/>
          <w:szCs w:val="19"/>
          <w:lang w:val="fr-FR"/>
        </w:rPr>
        <w:t xml:space="preserve">, le </w:t>
      </w:r>
      <w:r w:rsidR="00EF05AC">
        <w:rPr>
          <w:rFonts w:ascii="Segoe UI" w:hAnsi="Segoe UI" w:cs="Segoe UI"/>
          <w:bCs/>
          <w:spacing w:val="-6"/>
          <w:sz w:val="19"/>
          <w:szCs w:val="19"/>
          <w:lang w:val="fr-FR"/>
        </w:rPr>
        <w:t>Canada (</w:t>
      </w:r>
      <w:r w:rsidR="00FB2FED">
        <w:rPr>
          <w:rFonts w:ascii="Segoe UI" w:hAnsi="Segoe UI" w:cs="Segoe UI"/>
          <w:bCs/>
          <w:spacing w:val="-6"/>
          <w:sz w:val="19"/>
          <w:szCs w:val="19"/>
          <w:lang w:val="fr-FR"/>
        </w:rPr>
        <w:t>5</w:t>
      </w:r>
      <w:r w:rsidR="00EF05AC">
        <w:rPr>
          <w:rFonts w:ascii="Segoe UI" w:hAnsi="Segoe UI" w:cs="Segoe UI"/>
          <w:bCs/>
          <w:spacing w:val="-6"/>
          <w:sz w:val="19"/>
          <w:szCs w:val="19"/>
          <w:lang w:val="fr-FR"/>
        </w:rPr>
        <w:t xml:space="preserve"> %)</w:t>
      </w:r>
      <w:r w:rsidR="00FB2FED">
        <w:rPr>
          <w:rFonts w:ascii="Segoe UI" w:hAnsi="Segoe UI" w:cs="Segoe UI"/>
          <w:bCs/>
          <w:spacing w:val="-6"/>
          <w:sz w:val="19"/>
          <w:szCs w:val="19"/>
          <w:lang w:val="fr-FR"/>
        </w:rPr>
        <w:t>, le Japon et l’Allemagne</w:t>
      </w:r>
      <w:r w:rsidR="00B65551">
        <w:rPr>
          <w:rFonts w:ascii="Segoe UI" w:hAnsi="Segoe UI" w:cs="Segoe UI"/>
          <w:bCs/>
          <w:spacing w:val="-6"/>
          <w:sz w:val="19"/>
          <w:szCs w:val="19"/>
          <w:lang w:val="fr-FR"/>
        </w:rPr>
        <w:t>.</w:t>
      </w:r>
      <w:r w:rsidR="009E1318" w:rsidRPr="00B64CB2">
        <w:rPr>
          <w:rFonts w:ascii="Segoe UI" w:hAnsi="Segoe UI" w:cs="Segoe UI"/>
          <w:bCs/>
          <w:spacing w:val="-6"/>
          <w:sz w:val="19"/>
          <w:szCs w:val="19"/>
          <w:lang w:val="fr-FR"/>
        </w:rPr>
        <w:t xml:space="preserve"> </w:t>
      </w:r>
    </w:p>
    <w:p w14:paraId="17BEE8C4" w14:textId="7120558C" w:rsidR="003F7AF2" w:rsidRPr="00B2264A" w:rsidRDefault="004F3BB4" w:rsidP="004831A0">
      <w:pPr>
        <w:pStyle w:val="Briefinglist1"/>
        <w:numPr>
          <w:ilvl w:val="0"/>
          <w:numId w:val="0"/>
        </w:numPr>
        <w:spacing w:after="0"/>
        <w:ind w:left="-993" w:right="-142"/>
        <w:rPr>
          <w:rFonts w:ascii="Segoe UI" w:hAnsi="Segoe UI" w:cs="Segoe UI"/>
          <w:bCs/>
          <w:spacing w:val="-6"/>
          <w:sz w:val="19"/>
          <w:szCs w:val="19"/>
          <w:lang w:val="fr-FR"/>
        </w:rPr>
      </w:pPr>
      <w:r w:rsidRPr="00C33585">
        <w:rPr>
          <w:rFonts w:ascii="Segoe UI" w:hAnsi="Segoe UI" w:cs="Segoe UI"/>
          <w:b/>
          <w:bCs/>
          <w:iCs/>
          <w:color w:val="000091" w:themeColor="text1"/>
          <w:spacing w:val="-6"/>
          <w:sz w:val="19"/>
          <w:szCs w:val="19"/>
          <w:lang w:val="fr-FR" w:eastAsia="ja-JP"/>
        </w:rPr>
        <w:t xml:space="preserve">Nearshoring | </w:t>
      </w:r>
      <w:r w:rsidRPr="00C33585">
        <w:rPr>
          <w:rFonts w:ascii="Segoe UI" w:hAnsi="Segoe UI" w:cs="Segoe UI"/>
          <w:b/>
          <w:bCs/>
          <w:iCs/>
          <w:spacing w:val="-6"/>
          <w:sz w:val="19"/>
          <w:szCs w:val="19"/>
          <w:lang w:val="fr-FR" w:eastAsia="ja-JP"/>
        </w:rPr>
        <w:t>La relocalisation des chaînes de valeur mondiale (</w:t>
      </w:r>
      <w:r w:rsidRPr="00C33585">
        <w:rPr>
          <w:rFonts w:ascii="Segoe UI" w:hAnsi="Segoe UI" w:cs="Segoe UI"/>
          <w:b/>
          <w:bCs/>
          <w:i/>
          <w:spacing w:val="-6"/>
          <w:sz w:val="19"/>
          <w:szCs w:val="19"/>
          <w:lang w:val="fr-FR" w:eastAsia="ja-JP"/>
        </w:rPr>
        <w:t>nearshoring</w:t>
      </w:r>
      <w:r w:rsidRPr="00C33585">
        <w:rPr>
          <w:rFonts w:ascii="Segoe UI" w:hAnsi="Segoe UI" w:cs="Segoe UI"/>
          <w:b/>
          <w:bCs/>
          <w:iCs/>
          <w:spacing w:val="-6"/>
          <w:sz w:val="19"/>
          <w:szCs w:val="19"/>
          <w:lang w:val="fr-FR" w:eastAsia="ja-JP"/>
        </w:rPr>
        <w:t xml:space="preserve">) </w:t>
      </w:r>
      <w:r w:rsidR="00B26D2B">
        <w:rPr>
          <w:rFonts w:ascii="Segoe UI" w:hAnsi="Segoe UI" w:cs="Segoe UI"/>
          <w:b/>
          <w:bCs/>
          <w:iCs/>
          <w:spacing w:val="-6"/>
          <w:sz w:val="19"/>
          <w:szCs w:val="19"/>
          <w:lang w:val="fr-FR" w:eastAsia="ja-JP"/>
        </w:rPr>
        <w:t xml:space="preserve">qui </w:t>
      </w:r>
      <w:r w:rsidRPr="00C33585">
        <w:rPr>
          <w:rFonts w:ascii="Segoe UI" w:hAnsi="Segoe UI" w:cs="Segoe UI"/>
          <w:b/>
          <w:bCs/>
          <w:iCs/>
          <w:spacing w:val="-6"/>
          <w:sz w:val="19"/>
          <w:szCs w:val="19"/>
          <w:lang w:val="fr-FR" w:eastAsia="ja-JP"/>
        </w:rPr>
        <w:t>représente une opportunité majeure</w:t>
      </w:r>
      <w:r w:rsidR="00B26D2B">
        <w:rPr>
          <w:rFonts w:ascii="Segoe UI" w:hAnsi="Segoe UI" w:cs="Segoe UI"/>
          <w:b/>
          <w:bCs/>
          <w:iCs/>
          <w:spacing w:val="-6"/>
          <w:sz w:val="19"/>
          <w:szCs w:val="19"/>
          <w:lang w:val="fr-FR" w:eastAsia="ja-JP"/>
        </w:rPr>
        <w:t xml:space="preserve"> pour le Mexique est remise en cause par la nouvelle administration américaine</w:t>
      </w:r>
      <w:r w:rsidRPr="00C33585">
        <w:rPr>
          <w:rFonts w:ascii="Segoe UI" w:hAnsi="Segoe UI" w:cs="Segoe UI"/>
          <w:b/>
          <w:bCs/>
          <w:iCs/>
          <w:spacing w:val="-6"/>
          <w:sz w:val="19"/>
          <w:szCs w:val="19"/>
          <w:lang w:val="fr-FR" w:eastAsia="ja-JP"/>
        </w:rPr>
        <w:t xml:space="preserve">. </w:t>
      </w:r>
      <w:r w:rsidR="002D542B" w:rsidRPr="00CA0939">
        <w:rPr>
          <w:rFonts w:ascii="Segoe UI" w:hAnsi="Segoe UI" w:cs="Segoe UI"/>
          <w:iCs/>
          <w:spacing w:val="-6"/>
          <w:sz w:val="19"/>
          <w:szCs w:val="19"/>
          <w:lang w:val="fr-FR" w:eastAsia="ja-JP"/>
        </w:rPr>
        <w:t xml:space="preserve">La part des nouveaux investissements </w:t>
      </w:r>
      <w:r w:rsidRPr="00C33585">
        <w:rPr>
          <w:rFonts w:ascii="Segoe UI" w:hAnsi="Segoe UI" w:cs="Segoe UI"/>
          <w:bCs/>
          <w:spacing w:val="-6"/>
          <w:sz w:val="19"/>
          <w:szCs w:val="19"/>
          <w:lang w:val="fr-FR"/>
        </w:rPr>
        <w:t xml:space="preserve">dans le total des IDE </w:t>
      </w:r>
      <w:r w:rsidR="002D542B">
        <w:rPr>
          <w:rFonts w:ascii="Segoe UI" w:hAnsi="Segoe UI" w:cs="Segoe UI"/>
          <w:bCs/>
          <w:spacing w:val="-6"/>
          <w:sz w:val="19"/>
          <w:szCs w:val="19"/>
          <w:lang w:val="fr-FR"/>
        </w:rPr>
        <w:t>est restée stable au S1 2025 par rapport à</w:t>
      </w:r>
      <w:r w:rsidR="00AB6119">
        <w:rPr>
          <w:rFonts w:ascii="Segoe UI" w:hAnsi="Segoe UI" w:cs="Segoe UI"/>
          <w:bCs/>
          <w:spacing w:val="-6"/>
          <w:sz w:val="19"/>
          <w:szCs w:val="19"/>
          <w:lang w:val="fr-FR"/>
        </w:rPr>
        <w:t xml:space="preserve"> 2024</w:t>
      </w:r>
      <w:r w:rsidR="002D542B">
        <w:rPr>
          <w:rFonts w:ascii="Segoe UI" w:hAnsi="Segoe UI" w:cs="Segoe UI"/>
          <w:bCs/>
          <w:spacing w:val="-6"/>
          <w:sz w:val="19"/>
          <w:szCs w:val="19"/>
          <w:lang w:val="fr-FR"/>
        </w:rPr>
        <w:t xml:space="preserve">, </w:t>
      </w:r>
      <w:r w:rsidR="00AB6119">
        <w:rPr>
          <w:rFonts w:ascii="Segoe UI" w:hAnsi="Segoe UI" w:cs="Segoe UI"/>
          <w:bCs/>
          <w:spacing w:val="-6"/>
          <w:sz w:val="19"/>
          <w:szCs w:val="19"/>
          <w:lang w:val="fr-FR"/>
        </w:rPr>
        <w:t>autour de 9</w:t>
      </w:r>
      <w:r w:rsidR="00C3323D">
        <w:rPr>
          <w:rFonts w:ascii="Segoe UI" w:hAnsi="Segoe UI" w:cs="Segoe UI"/>
          <w:bCs/>
          <w:spacing w:val="-6"/>
          <w:sz w:val="19"/>
          <w:szCs w:val="19"/>
          <w:lang w:val="fr-FR"/>
        </w:rPr>
        <w:t xml:space="preserve"> %. Ces niveaux sont toutefois</w:t>
      </w:r>
      <w:r w:rsidR="00AB6119">
        <w:rPr>
          <w:rFonts w:ascii="Segoe UI" w:hAnsi="Segoe UI" w:cs="Segoe UI"/>
          <w:bCs/>
          <w:spacing w:val="-6"/>
          <w:sz w:val="19"/>
          <w:szCs w:val="19"/>
          <w:lang w:val="fr-FR"/>
        </w:rPr>
        <w:t xml:space="preserve"> </w:t>
      </w:r>
      <w:r w:rsidR="00C3323D">
        <w:rPr>
          <w:rFonts w:ascii="Segoe UI" w:hAnsi="Segoe UI" w:cs="Segoe UI"/>
          <w:bCs/>
          <w:spacing w:val="-6"/>
          <w:sz w:val="19"/>
          <w:szCs w:val="19"/>
          <w:lang w:val="fr-FR"/>
        </w:rPr>
        <w:t>loin de ceux observés en 2021 et 2022 (</w:t>
      </w:r>
      <w:r w:rsidR="00AB6119">
        <w:rPr>
          <w:rFonts w:ascii="Segoe UI" w:hAnsi="Segoe UI" w:cs="Segoe UI"/>
          <w:bCs/>
          <w:spacing w:val="-6"/>
          <w:sz w:val="19"/>
          <w:szCs w:val="19"/>
          <w:lang w:val="fr-FR"/>
        </w:rPr>
        <w:t>20 et 15 % respectivement</w:t>
      </w:r>
      <w:r w:rsidR="00C3323D">
        <w:rPr>
          <w:rFonts w:ascii="Segoe UI" w:hAnsi="Segoe UI" w:cs="Segoe UI"/>
          <w:bCs/>
          <w:spacing w:val="-6"/>
          <w:sz w:val="19"/>
          <w:szCs w:val="19"/>
          <w:lang w:val="fr-FR"/>
        </w:rPr>
        <w:t>) du fait du contexte d’incertitudes sur la politique commerciale américaine</w:t>
      </w:r>
      <w:bookmarkEnd w:id="0"/>
      <w:r w:rsidR="00ED055B" w:rsidRPr="00B2264A">
        <w:rPr>
          <w:rFonts w:ascii="Segoe UI" w:hAnsi="Segoe UI" w:cs="Segoe UI"/>
          <w:bCs/>
          <w:spacing w:val="-6"/>
          <w:sz w:val="19"/>
          <w:szCs w:val="19"/>
          <w:lang w:val="fr-FR"/>
        </w:rPr>
        <w:t xml:space="preserve">. </w:t>
      </w:r>
      <w:r w:rsidR="00C32B8E">
        <w:rPr>
          <w:rFonts w:ascii="Segoe UI" w:hAnsi="Segoe UI" w:cs="Segoe UI"/>
          <w:bCs/>
          <w:spacing w:val="-6"/>
          <w:sz w:val="19"/>
          <w:szCs w:val="19"/>
          <w:lang w:val="fr-FR"/>
        </w:rPr>
        <w:t>En outre, bien que les exportations et les IDE se soient montrés dynamiques</w:t>
      </w:r>
      <w:r w:rsidR="00B2264A" w:rsidRPr="00B2264A">
        <w:rPr>
          <w:rFonts w:ascii="Segoe UI" w:hAnsi="Segoe UI" w:cs="Segoe UI"/>
          <w:bCs/>
          <w:spacing w:val="-6"/>
          <w:sz w:val="19"/>
          <w:szCs w:val="19"/>
          <w:lang w:val="fr-FR"/>
        </w:rPr>
        <w:t xml:space="preserve"> au S1 2025, la baisse de la demande de surfaces dans les parcs industriels, habituellement saturés</w:t>
      </w:r>
      <w:r w:rsidR="00B64D4E">
        <w:rPr>
          <w:rFonts w:ascii="Segoe UI" w:hAnsi="Segoe UI" w:cs="Segoe UI"/>
          <w:bCs/>
          <w:spacing w:val="-6"/>
          <w:sz w:val="19"/>
          <w:szCs w:val="19"/>
          <w:lang w:val="fr-FR"/>
        </w:rPr>
        <w:t>,</w:t>
      </w:r>
      <w:r w:rsidR="00B2264A" w:rsidRPr="00B2264A">
        <w:rPr>
          <w:rFonts w:ascii="Segoe UI" w:hAnsi="Segoe UI" w:cs="Segoe UI"/>
          <w:bCs/>
          <w:spacing w:val="-6"/>
          <w:sz w:val="19"/>
          <w:szCs w:val="19"/>
          <w:lang w:val="fr-FR"/>
        </w:rPr>
        <w:t xml:space="preserve"> ainsi que le gel de certains projets d’</w:t>
      </w:r>
      <w:r w:rsidR="00AB6119" w:rsidRPr="00B2264A">
        <w:rPr>
          <w:rFonts w:ascii="Segoe UI" w:hAnsi="Segoe UI" w:cs="Segoe UI"/>
          <w:bCs/>
          <w:spacing w:val="-6"/>
          <w:sz w:val="19"/>
          <w:szCs w:val="19"/>
          <w:lang w:val="fr-FR"/>
        </w:rPr>
        <w:t>investissement, pourraient</w:t>
      </w:r>
      <w:r w:rsidR="00B2264A" w:rsidRPr="00B2264A">
        <w:rPr>
          <w:rFonts w:ascii="Segoe UI" w:hAnsi="Segoe UI" w:cs="Segoe UI"/>
          <w:bCs/>
          <w:spacing w:val="-6"/>
          <w:sz w:val="19"/>
          <w:szCs w:val="19"/>
          <w:lang w:val="fr-FR"/>
        </w:rPr>
        <w:t xml:space="preserve"> </w:t>
      </w:r>
      <w:r w:rsidR="00B637E9">
        <w:rPr>
          <w:rFonts w:ascii="Segoe UI" w:hAnsi="Segoe UI" w:cs="Segoe UI"/>
          <w:bCs/>
          <w:spacing w:val="-6"/>
          <w:sz w:val="19"/>
          <w:szCs w:val="19"/>
          <w:lang w:val="fr-FR"/>
        </w:rPr>
        <w:t xml:space="preserve">témoigner d’un phénomène d’attentisme par rapport aux stratégies </w:t>
      </w:r>
      <w:r w:rsidR="00B2264A" w:rsidRPr="00B2264A">
        <w:rPr>
          <w:rFonts w:ascii="Segoe UI" w:hAnsi="Segoe UI" w:cs="Segoe UI"/>
          <w:bCs/>
          <w:spacing w:val="-6"/>
          <w:sz w:val="19"/>
          <w:szCs w:val="19"/>
          <w:lang w:val="fr-FR"/>
        </w:rPr>
        <w:t xml:space="preserve">de </w:t>
      </w:r>
      <w:r w:rsidR="00B2264A" w:rsidRPr="00C32B8E">
        <w:rPr>
          <w:rFonts w:ascii="Segoe UI" w:hAnsi="Segoe UI" w:cs="Segoe UI"/>
          <w:bCs/>
          <w:i/>
          <w:iCs/>
          <w:spacing w:val="-6"/>
          <w:sz w:val="19"/>
          <w:szCs w:val="19"/>
          <w:lang w:val="fr-FR"/>
        </w:rPr>
        <w:t>nearshoring</w:t>
      </w:r>
      <w:r w:rsidR="00B2264A" w:rsidRPr="00B2264A">
        <w:rPr>
          <w:rFonts w:ascii="Segoe UI" w:hAnsi="Segoe UI" w:cs="Segoe UI"/>
          <w:bCs/>
          <w:spacing w:val="-6"/>
          <w:sz w:val="19"/>
          <w:szCs w:val="19"/>
          <w:lang w:val="fr-FR"/>
        </w:rPr>
        <w:t xml:space="preserve"> en 2025</w:t>
      </w:r>
      <w:r w:rsidR="00B2264A">
        <w:rPr>
          <w:rFonts w:ascii="Segoe UI" w:hAnsi="Segoe UI" w:cs="Segoe UI"/>
          <w:bCs/>
          <w:spacing w:val="-6"/>
          <w:sz w:val="19"/>
          <w:szCs w:val="19"/>
          <w:lang w:val="fr-FR"/>
        </w:rPr>
        <w:t>.</w:t>
      </w:r>
    </w:p>
    <w:sectPr w:rsidR="003F7AF2" w:rsidRPr="00B2264A" w:rsidSect="00311E4D">
      <w:endnotePr>
        <w:numFmt w:val="decimal"/>
      </w:endnotePr>
      <w:pgSz w:w="12240" w:h="15840" w:code="1"/>
      <w:pgMar w:top="709" w:right="474"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84B34" w14:textId="77777777" w:rsidR="008067D5" w:rsidRDefault="008067D5" w:rsidP="001C2361">
      <w:pPr>
        <w:spacing w:after="0" w:line="240" w:lineRule="auto"/>
      </w:pPr>
      <w:r>
        <w:separator/>
      </w:r>
    </w:p>
  </w:endnote>
  <w:endnote w:type="continuationSeparator" w:id="0">
    <w:p w14:paraId="0C1C82A4" w14:textId="77777777" w:rsidR="008067D5" w:rsidRDefault="008067D5"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0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Times New Roman (Corp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2A7C6" w14:textId="77777777" w:rsidR="008067D5" w:rsidRDefault="008067D5" w:rsidP="001C2361">
      <w:pPr>
        <w:spacing w:after="0" w:line="240" w:lineRule="auto"/>
      </w:pPr>
      <w:r>
        <w:separator/>
      </w:r>
    </w:p>
  </w:footnote>
  <w:footnote w:type="continuationSeparator" w:id="0">
    <w:p w14:paraId="3601F7DE" w14:textId="77777777" w:rsidR="008067D5" w:rsidRDefault="008067D5"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E77"/>
    <w:multiLevelType w:val="hybridMultilevel"/>
    <w:tmpl w:val="376463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2"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C0E49BB"/>
    <w:multiLevelType w:val="hybridMultilevel"/>
    <w:tmpl w:val="F52A0E0E"/>
    <w:lvl w:ilvl="0" w:tplc="810ACED2">
      <w:start w:val="210"/>
      <w:numFmt w:val="bullet"/>
      <w:lvlText w:val="-"/>
      <w:lvlJc w:val="left"/>
      <w:pPr>
        <w:ind w:left="-207" w:hanging="360"/>
      </w:pPr>
      <w:rPr>
        <w:rFonts w:ascii="Segoe UI" w:eastAsiaTheme="minorHAnsi" w:hAnsi="Segoe UI" w:cs="Segoe UI" w:hint="default"/>
        <w:b/>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8"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0"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211100"/>
    <w:multiLevelType w:val="hybridMultilevel"/>
    <w:tmpl w:val="FA08CF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3F061F0"/>
    <w:multiLevelType w:val="hybridMultilevel"/>
    <w:tmpl w:val="70AAA1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A922D61"/>
    <w:multiLevelType w:val="multilevel"/>
    <w:tmpl w:val="1E7A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0"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0"/>
  </w:num>
  <w:num w:numId="6">
    <w:abstractNumId w:val="18"/>
  </w:num>
  <w:num w:numId="7">
    <w:abstractNumId w:val="6"/>
  </w:num>
  <w:num w:numId="8">
    <w:abstractNumId w:val="5"/>
  </w:num>
  <w:num w:numId="9">
    <w:abstractNumId w:val="2"/>
  </w:num>
  <w:num w:numId="10">
    <w:abstractNumId w:val="11"/>
  </w:num>
  <w:num w:numId="11">
    <w:abstractNumId w:val="8"/>
  </w:num>
  <w:num w:numId="12">
    <w:abstractNumId w:val="1"/>
  </w:num>
  <w:num w:numId="13">
    <w:abstractNumId w:val="3"/>
  </w:num>
  <w:num w:numId="14">
    <w:abstractNumId w:val="15"/>
  </w:num>
  <w:num w:numId="15">
    <w:abstractNumId w:val="9"/>
  </w:num>
  <w:num w:numId="16">
    <w:abstractNumId w:val="17"/>
  </w:num>
  <w:num w:numId="17">
    <w:abstractNumId w:val="7"/>
  </w:num>
  <w:num w:numId="18">
    <w:abstractNumId w:val="4"/>
  </w:num>
  <w:num w:numId="19">
    <w:abstractNumId w:val="0"/>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0E49"/>
    <w:rsid w:val="0000211B"/>
    <w:rsid w:val="00004149"/>
    <w:rsid w:val="00005480"/>
    <w:rsid w:val="000064C1"/>
    <w:rsid w:val="00006D9E"/>
    <w:rsid w:val="00006E50"/>
    <w:rsid w:val="00007566"/>
    <w:rsid w:val="00007959"/>
    <w:rsid w:val="00007E8F"/>
    <w:rsid w:val="000119A6"/>
    <w:rsid w:val="0001210C"/>
    <w:rsid w:val="00015104"/>
    <w:rsid w:val="00015B3E"/>
    <w:rsid w:val="00020EE2"/>
    <w:rsid w:val="00021487"/>
    <w:rsid w:val="00022880"/>
    <w:rsid w:val="00022F44"/>
    <w:rsid w:val="00022F85"/>
    <w:rsid w:val="00031533"/>
    <w:rsid w:val="0003190A"/>
    <w:rsid w:val="00032209"/>
    <w:rsid w:val="00032591"/>
    <w:rsid w:val="00032E20"/>
    <w:rsid w:val="000330B9"/>
    <w:rsid w:val="00033B01"/>
    <w:rsid w:val="000369C1"/>
    <w:rsid w:val="00040158"/>
    <w:rsid w:val="00044269"/>
    <w:rsid w:val="00045CF8"/>
    <w:rsid w:val="00050225"/>
    <w:rsid w:val="00052CFE"/>
    <w:rsid w:val="000534EC"/>
    <w:rsid w:val="000570B8"/>
    <w:rsid w:val="00064115"/>
    <w:rsid w:val="000654F8"/>
    <w:rsid w:val="0006646B"/>
    <w:rsid w:val="000676F2"/>
    <w:rsid w:val="00067AEE"/>
    <w:rsid w:val="0007182F"/>
    <w:rsid w:val="00071ACF"/>
    <w:rsid w:val="00071D43"/>
    <w:rsid w:val="00071E91"/>
    <w:rsid w:val="00071F97"/>
    <w:rsid w:val="00072022"/>
    <w:rsid w:val="0007375D"/>
    <w:rsid w:val="000763B3"/>
    <w:rsid w:val="00080037"/>
    <w:rsid w:val="00080FF7"/>
    <w:rsid w:val="000836F6"/>
    <w:rsid w:val="00084B9F"/>
    <w:rsid w:val="00085B98"/>
    <w:rsid w:val="000870BA"/>
    <w:rsid w:val="0009009A"/>
    <w:rsid w:val="000903BB"/>
    <w:rsid w:val="0009161B"/>
    <w:rsid w:val="00091679"/>
    <w:rsid w:val="00091D99"/>
    <w:rsid w:val="000937D5"/>
    <w:rsid w:val="0009405E"/>
    <w:rsid w:val="00094B78"/>
    <w:rsid w:val="00095CC9"/>
    <w:rsid w:val="00097713"/>
    <w:rsid w:val="00097777"/>
    <w:rsid w:val="000A0289"/>
    <w:rsid w:val="000A17DA"/>
    <w:rsid w:val="000A1918"/>
    <w:rsid w:val="000A2024"/>
    <w:rsid w:val="000A61B7"/>
    <w:rsid w:val="000A6BEC"/>
    <w:rsid w:val="000A7366"/>
    <w:rsid w:val="000B0D4F"/>
    <w:rsid w:val="000B0F91"/>
    <w:rsid w:val="000B1E97"/>
    <w:rsid w:val="000C14EF"/>
    <w:rsid w:val="000C1794"/>
    <w:rsid w:val="000C2084"/>
    <w:rsid w:val="000C2CB7"/>
    <w:rsid w:val="000D0EFF"/>
    <w:rsid w:val="000D1CE7"/>
    <w:rsid w:val="000D24BE"/>
    <w:rsid w:val="000D47ED"/>
    <w:rsid w:val="000D5F89"/>
    <w:rsid w:val="000D6C24"/>
    <w:rsid w:val="000D7F95"/>
    <w:rsid w:val="000E0E6C"/>
    <w:rsid w:val="000E1E2F"/>
    <w:rsid w:val="000E40F0"/>
    <w:rsid w:val="000E5B9B"/>
    <w:rsid w:val="000E5E29"/>
    <w:rsid w:val="000E7793"/>
    <w:rsid w:val="000F24E9"/>
    <w:rsid w:val="000F2C4E"/>
    <w:rsid w:val="000F419E"/>
    <w:rsid w:val="000F4DB3"/>
    <w:rsid w:val="000F64D7"/>
    <w:rsid w:val="00100569"/>
    <w:rsid w:val="00100C95"/>
    <w:rsid w:val="001018E2"/>
    <w:rsid w:val="00102DFA"/>
    <w:rsid w:val="00103C61"/>
    <w:rsid w:val="00105FED"/>
    <w:rsid w:val="001105E1"/>
    <w:rsid w:val="0011081E"/>
    <w:rsid w:val="001109EF"/>
    <w:rsid w:val="00111C32"/>
    <w:rsid w:val="0011236D"/>
    <w:rsid w:val="0011568B"/>
    <w:rsid w:val="00116F20"/>
    <w:rsid w:val="00117453"/>
    <w:rsid w:val="001235FB"/>
    <w:rsid w:val="0012430D"/>
    <w:rsid w:val="00124BFF"/>
    <w:rsid w:val="001260DF"/>
    <w:rsid w:val="00134DE8"/>
    <w:rsid w:val="00135B08"/>
    <w:rsid w:val="001360A8"/>
    <w:rsid w:val="00140930"/>
    <w:rsid w:val="00142F65"/>
    <w:rsid w:val="001438C2"/>
    <w:rsid w:val="00147754"/>
    <w:rsid w:val="001505C0"/>
    <w:rsid w:val="00152C27"/>
    <w:rsid w:val="0015377D"/>
    <w:rsid w:val="00155FD6"/>
    <w:rsid w:val="00160045"/>
    <w:rsid w:val="001640A5"/>
    <w:rsid w:val="00166129"/>
    <w:rsid w:val="001664D0"/>
    <w:rsid w:val="00166634"/>
    <w:rsid w:val="00167AB8"/>
    <w:rsid w:val="001709CB"/>
    <w:rsid w:val="0017296D"/>
    <w:rsid w:val="00174961"/>
    <w:rsid w:val="001753F8"/>
    <w:rsid w:val="001753FA"/>
    <w:rsid w:val="00175E92"/>
    <w:rsid w:val="0018040C"/>
    <w:rsid w:val="00184135"/>
    <w:rsid w:val="0018442E"/>
    <w:rsid w:val="0019173B"/>
    <w:rsid w:val="0019280B"/>
    <w:rsid w:val="00193339"/>
    <w:rsid w:val="001974A0"/>
    <w:rsid w:val="001A1A43"/>
    <w:rsid w:val="001A1CD5"/>
    <w:rsid w:val="001A2C9D"/>
    <w:rsid w:val="001A3F60"/>
    <w:rsid w:val="001A5A37"/>
    <w:rsid w:val="001A6A5A"/>
    <w:rsid w:val="001A6FB1"/>
    <w:rsid w:val="001A7599"/>
    <w:rsid w:val="001A7B1C"/>
    <w:rsid w:val="001B1CF0"/>
    <w:rsid w:val="001B23E3"/>
    <w:rsid w:val="001B25D6"/>
    <w:rsid w:val="001B41C4"/>
    <w:rsid w:val="001B4716"/>
    <w:rsid w:val="001B4DC0"/>
    <w:rsid w:val="001C100F"/>
    <w:rsid w:val="001C1560"/>
    <w:rsid w:val="001C1E4E"/>
    <w:rsid w:val="001C2361"/>
    <w:rsid w:val="001C65BC"/>
    <w:rsid w:val="001C67B2"/>
    <w:rsid w:val="001C7C32"/>
    <w:rsid w:val="001D4761"/>
    <w:rsid w:val="001D482C"/>
    <w:rsid w:val="001D4BF6"/>
    <w:rsid w:val="001D6B82"/>
    <w:rsid w:val="001D6D1F"/>
    <w:rsid w:val="001E1AE2"/>
    <w:rsid w:val="001E362F"/>
    <w:rsid w:val="001E4D67"/>
    <w:rsid w:val="001E5ED7"/>
    <w:rsid w:val="001E60F8"/>
    <w:rsid w:val="001E7264"/>
    <w:rsid w:val="001E7787"/>
    <w:rsid w:val="001E7CCD"/>
    <w:rsid w:val="001F20EA"/>
    <w:rsid w:val="001F2112"/>
    <w:rsid w:val="001F235A"/>
    <w:rsid w:val="001F2D7C"/>
    <w:rsid w:val="001F4353"/>
    <w:rsid w:val="001F5AF9"/>
    <w:rsid w:val="001F625B"/>
    <w:rsid w:val="002000E4"/>
    <w:rsid w:val="002002BD"/>
    <w:rsid w:val="00204F02"/>
    <w:rsid w:val="002055A0"/>
    <w:rsid w:val="00206161"/>
    <w:rsid w:val="002078EF"/>
    <w:rsid w:val="0021072E"/>
    <w:rsid w:val="002135E1"/>
    <w:rsid w:val="00213943"/>
    <w:rsid w:val="002157D4"/>
    <w:rsid w:val="002200D8"/>
    <w:rsid w:val="0022120E"/>
    <w:rsid w:val="002213CF"/>
    <w:rsid w:val="00222AF9"/>
    <w:rsid w:val="00222F0E"/>
    <w:rsid w:val="0022331F"/>
    <w:rsid w:val="00223554"/>
    <w:rsid w:val="002238E7"/>
    <w:rsid w:val="0022447F"/>
    <w:rsid w:val="00225022"/>
    <w:rsid w:val="00225798"/>
    <w:rsid w:val="0022648C"/>
    <w:rsid w:val="00226CC0"/>
    <w:rsid w:val="002306BA"/>
    <w:rsid w:val="00236DBB"/>
    <w:rsid w:val="00237ABA"/>
    <w:rsid w:val="00242682"/>
    <w:rsid w:val="00245384"/>
    <w:rsid w:val="0024664B"/>
    <w:rsid w:val="00246C65"/>
    <w:rsid w:val="00247F51"/>
    <w:rsid w:val="00250F27"/>
    <w:rsid w:val="0025213F"/>
    <w:rsid w:val="002550BB"/>
    <w:rsid w:val="002556CC"/>
    <w:rsid w:val="00255F30"/>
    <w:rsid w:val="0025629D"/>
    <w:rsid w:val="00257E48"/>
    <w:rsid w:val="0027025E"/>
    <w:rsid w:val="0027049F"/>
    <w:rsid w:val="00271326"/>
    <w:rsid w:val="002713D0"/>
    <w:rsid w:val="00272A51"/>
    <w:rsid w:val="002762C9"/>
    <w:rsid w:val="0027666C"/>
    <w:rsid w:val="00277CA3"/>
    <w:rsid w:val="00281BCD"/>
    <w:rsid w:val="00282B46"/>
    <w:rsid w:val="00284999"/>
    <w:rsid w:val="00286460"/>
    <w:rsid w:val="00286888"/>
    <w:rsid w:val="00286986"/>
    <w:rsid w:val="00287839"/>
    <w:rsid w:val="00287EED"/>
    <w:rsid w:val="00292FBB"/>
    <w:rsid w:val="00296428"/>
    <w:rsid w:val="002A0F84"/>
    <w:rsid w:val="002A7952"/>
    <w:rsid w:val="002B2790"/>
    <w:rsid w:val="002B3776"/>
    <w:rsid w:val="002C2932"/>
    <w:rsid w:val="002C5AE3"/>
    <w:rsid w:val="002C6372"/>
    <w:rsid w:val="002C6A2A"/>
    <w:rsid w:val="002C6B5C"/>
    <w:rsid w:val="002C6C77"/>
    <w:rsid w:val="002D08CF"/>
    <w:rsid w:val="002D0F6B"/>
    <w:rsid w:val="002D13A2"/>
    <w:rsid w:val="002D4C04"/>
    <w:rsid w:val="002D542B"/>
    <w:rsid w:val="002D673C"/>
    <w:rsid w:val="002D7732"/>
    <w:rsid w:val="002D7E38"/>
    <w:rsid w:val="002E001B"/>
    <w:rsid w:val="002E67B8"/>
    <w:rsid w:val="002E6890"/>
    <w:rsid w:val="002E735E"/>
    <w:rsid w:val="002E7383"/>
    <w:rsid w:val="002E75BB"/>
    <w:rsid w:val="002F210F"/>
    <w:rsid w:val="002F2482"/>
    <w:rsid w:val="002F29DC"/>
    <w:rsid w:val="002F32EA"/>
    <w:rsid w:val="002F4DED"/>
    <w:rsid w:val="002F582D"/>
    <w:rsid w:val="002F698E"/>
    <w:rsid w:val="002F7EAC"/>
    <w:rsid w:val="0030017B"/>
    <w:rsid w:val="00300752"/>
    <w:rsid w:val="003007C9"/>
    <w:rsid w:val="00301021"/>
    <w:rsid w:val="0030148A"/>
    <w:rsid w:val="003019A8"/>
    <w:rsid w:val="00305819"/>
    <w:rsid w:val="003067FB"/>
    <w:rsid w:val="003078A6"/>
    <w:rsid w:val="003109F1"/>
    <w:rsid w:val="00311E4D"/>
    <w:rsid w:val="00313C41"/>
    <w:rsid w:val="00317870"/>
    <w:rsid w:val="003201E1"/>
    <w:rsid w:val="00321D52"/>
    <w:rsid w:val="00323679"/>
    <w:rsid w:val="00323A4A"/>
    <w:rsid w:val="0032494F"/>
    <w:rsid w:val="003257BD"/>
    <w:rsid w:val="003261EB"/>
    <w:rsid w:val="00327CA3"/>
    <w:rsid w:val="0033036F"/>
    <w:rsid w:val="00330428"/>
    <w:rsid w:val="00330581"/>
    <w:rsid w:val="00332310"/>
    <w:rsid w:val="003339CE"/>
    <w:rsid w:val="00333A2E"/>
    <w:rsid w:val="00334FFD"/>
    <w:rsid w:val="00337012"/>
    <w:rsid w:val="00337F5D"/>
    <w:rsid w:val="003400E6"/>
    <w:rsid w:val="003407BF"/>
    <w:rsid w:val="00341985"/>
    <w:rsid w:val="00341E94"/>
    <w:rsid w:val="00341EC1"/>
    <w:rsid w:val="0034223D"/>
    <w:rsid w:val="00343113"/>
    <w:rsid w:val="00344131"/>
    <w:rsid w:val="00345720"/>
    <w:rsid w:val="00347190"/>
    <w:rsid w:val="00347F9E"/>
    <w:rsid w:val="00350C04"/>
    <w:rsid w:val="00351E1C"/>
    <w:rsid w:val="00355D09"/>
    <w:rsid w:val="00357C4B"/>
    <w:rsid w:val="00357E9D"/>
    <w:rsid w:val="003617B3"/>
    <w:rsid w:val="00361B77"/>
    <w:rsid w:val="00365E19"/>
    <w:rsid w:val="003667CE"/>
    <w:rsid w:val="00367740"/>
    <w:rsid w:val="00367D13"/>
    <w:rsid w:val="00372565"/>
    <w:rsid w:val="00372758"/>
    <w:rsid w:val="003748E0"/>
    <w:rsid w:val="00376632"/>
    <w:rsid w:val="00377143"/>
    <w:rsid w:val="00377431"/>
    <w:rsid w:val="0038288B"/>
    <w:rsid w:val="00382FCA"/>
    <w:rsid w:val="00383119"/>
    <w:rsid w:val="003847EC"/>
    <w:rsid w:val="00386DEC"/>
    <w:rsid w:val="003906BC"/>
    <w:rsid w:val="00391213"/>
    <w:rsid w:val="00391349"/>
    <w:rsid w:val="00392BE0"/>
    <w:rsid w:val="00393330"/>
    <w:rsid w:val="00393CFE"/>
    <w:rsid w:val="0039613D"/>
    <w:rsid w:val="00396E0A"/>
    <w:rsid w:val="003A062A"/>
    <w:rsid w:val="003A1D94"/>
    <w:rsid w:val="003A2BF8"/>
    <w:rsid w:val="003A7E7B"/>
    <w:rsid w:val="003A7EB8"/>
    <w:rsid w:val="003B1A22"/>
    <w:rsid w:val="003B2479"/>
    <w:rsid w:val="003B33D3"/>
    <w:rsid w:val="003B39F1"/>
    <w:rsid w:val="003B4515"/>
    <w:rsid w:val="003B6206"/>
    <w:rsid w:val="003B7AA8"/>
    <w:rsid w:val="003C5FFE"/>
    <w:rsid w:val="003C7D7B"/>
    <w:rsid w:val="003C7FED"/>
    <w:rsid w:val="003D2AD3"/>
    <w:rsid w:val="003D5550"/>
    <w:rsid w:val="003D6537"/>
    <w:rsid w:val="003D6750"/>
    <w:rsid w:val="003E4871"/>
    <w:rsid w:val="003F298B"/>
    <w:rsid w:val="003F2C6C"/>
    <w:rsid w:val="003F490B"/>
    <w:rsid w:val="003F7AF2"/>
    <w:rsid w:val="003F7CB4"/>
    <w:rsid w:val="004000A5"/>
    <w:rsid w:val="0040277C"/>
    <w:rsid w:val="00402B84"/>
    <w:rsid w:val="0040330E"/>
    <w:rsid w:val="00406CDD"/>
    <w:rsid w:val="00406D60"/>
    <w:rsid w:val="00414263"/>
    <w:rsid w:val="00415F39"/>
    <w:rsid w:val="0041642D"/>
    <w:rsid w:val="00416870"/>
    <w:rsid w:val="00422438"/>
    <w:rsid w:val="0042617A"/>
    <w:rsid w:val="00427E77"/>
    <w:rsid w:val="004311AF"/>
    <w:rsid w:val="00432A52"/>
    <w:rsid w:val="004341DF"/>
    <w:rsid w:val="004348EE"/>
    <w:rsid w:val="00434FBD"/>
    <w:rsid w:val="004365B0"/>
    <w:rsid w:val="004372C1"/>
    <w:rsid w:val="00440E6C"/>
    <w:rsid w:val="004500EC"/>
    <w:rsid w:val="00450D73"/>
    <w:rsid w:val="004516E2"/>
    <w:rsid w:val="00452C51"/>
    <w:rsid w:val="00456B36"/>
    <w:rsid w:val="00457785"/>
    <w:rsid w:val="00457B18"/>
    <w:rsid w:val="00463378"/>
    <w:rsid w:val="00464E25"/>
    <w:rsid w:val="00467969"/>
    <w:rsid w:val="00470825"/>
    <w:rsid w:val="00470E28"/>
    <w:rsid w:val="0047127D"/>
    <w:rsid w:val="00471442"/>
    <w:rsid w:val="00471470"/>
    <w:rsid w:val="004716CD"/>
    <w:rsid w:val="00471702"/>
    <w:rsid w:val="00472C6F"/>
    <w:rsid w:val="00473802"/>
    <w:rsid w:val="00473898"/>
    <w:rsid w:val="00474928"/>
    <w:rsid w:val="00474FB8"/>
    <w:rsid w:val="00476AFC"/>
    <w:rsid w:val="00476AFD"/>
    <w:rsid w:val="00477C89"/>
    <w:rsid w:val="004809C9"/>
    <w:rsid w:val="00482845"/>
    <w:rsid w:val="00482DD5"/>
    <w:rsid w:val="004831A0"/>
    <w:rsid w:val="0048370E"/>
    <w:rsid w:val="00483FE2"/>
    <w:rsid w:val="00484F25"/>
    <w:rsid w:val="00486618"/>
    <w:rsid w:val="004908E5"/>
    <w:rsid w:val="00490B3C"/>
    <w:rsid w:val="004915EF"/>
    <w:rsid w:val="0049535D"/>
    <w:rsid w:val="00496056"/>
    <w:rsid w:val="00496D10"/>
    <w:rsid w:val="00497E25"/>
    <w:rsid w:val="004A037B"/>
    <w:rsid w:val="004A28DB"/>
    <w:rsid w:val="004B1124"/>
    <w:rsid w:val="004B28D1"/>
    <w:rsid w:val="004C0199"/>
    <w:rsid w:val="004C140C"/>
    <w:rsid w:val="004C21DC"/>
    <w:rsid w:val="004C3273"/>
    <w:rsid w:val="004C7A8C"/>
    <w:rsid w:val="004C7B8E"/>
    <w:rsid w:val="004D0B3F"/>
    <w:rsid w:val="004D145F"/>
    <w:rsid w:val="004D31E6"/>
    <w:rsid w:val="004D33C0"/>
    <w:rsid w:val="004D444C"/>
    <w:rsid w:val="004D7C76"/>
    <w:rsid w:val="004E001F"/>
    <w:rsid w:val="004E6C1A"/>
    <w:rsid w:val="004E6DB3"/>
    <w:rsid w:val="004E7972"/>
    <w:rsid w:val="004F0ECE"/>
    <w:rsid w:val="004F211B"/>
    <w:rsid w:val="004F295E"/>
    <w:rsid w:val="004F311F"/>
    <w:rsid w:val="004F34C6"/>
    <w:rsid w:val="004F367E"/>
    <w:rsid w:val="004F3BB4"/>
    <w:rsid w:val="004F5517"/>
    <w:rsid w:val="004F721A"/>
    <w:rsid w:val="00500959"/>
    <w:rsid w:val="00501486"/>
    <w:rsid w:val="00505D9D"/>
    <w:rsid w:val="005077FB"/>
    <w:rsid w:val="00511DEF"/>
    <w:rsid w:val="00513936"/>
    <w:rsid w:val="00515023"/>
    <w:rsid w:val="005208AB"/>
    <w:rsid w:val="005235D4"/>
    <w:rsid w:val="00526731"/>
    <w:rsid w:val="00526D71"/>
    <w:rsid w:val="00530684"/>
    <w:rsid w:val="00532CDF"/>
    <w:rsid w:val="00532CE3"/>
    <w:rsid w:val="00533C10"/>
    <w:rsid w:val="00537356"/>
    <w:rsid w:val="00537DFF"/>
    <w:rsid w:val="00541291"/>
    <w:rsid w:val="00541AB4"/>
    <w:rsid w:val="00543CA9"/>
    <w:rsid w:val="00545FE6"/>
    <w:rsid w:val="005462B7"/>
    <w:rsid w:val="0054642A"/>
    <w:rsid w:val="00557E89"/>
    <w:rsid w:val="0056142F"/>
    <w:rsid w:val="00561CC4"/>
    <w:rsid w:val="00562749"/>
    <w:rsid w:val="0056710C"/>
    <w:rsid w:val="00570982"/>
    <w:rsid w:val="00570D3F"/>
    <w:rsid w:val="00574868"/>
    <w:rsid w:val="005751E3"/>
    <w:rsid w:val="00575F99"/>
    <w:rsid w:val="005806A2"/>
    <w:rsid w:val="005807C0"/>
    <w:rsid w:val="00580CFC"/>
    <w:rsid w:val="005824C1"/>
    <w:rsid w:val="005834B6"/>
    <w:rsid w:val="0058424B"/>
    <w:rsid w:val="00584709"/>
    <w:rsid w:val="00584799"/>
    <w:rsid w:val="00585A24"/>
    <w:rsid w:val="00585B6B"/>
    <w:rsid w:val="0058683A"/>
    <w:rsid w:val="00587E8A"/>
    <w:rsid w:val="00590894"/>
    <w:rsid w:val="00591EEF"/>
    <w:rsid w:val="00591FE2"/>
    <w:rsid w:val="0059242E"/>
    <w:rsid w:val="00592CAC"/>
    <w:rsid w:val="00594E16"/>
    <w:rsid w:val="00595003"/>
    <w:rsid w:val="005A01D5"/>
    <w:rsid w:val="005A0CE7"/>
    <w:rsid w:val="005A1ECF"/>
    <w:rsid w:val="005A3DB1"/>
    <w:rsid w:val="005A3F79"/>
    <w:rsid w:val="005A436D"/>
    <w:rsid w:val="005A5D69"/>
    <w:rsid w:val="005A7175"/>
    <w:rsid w:val="005A73F6"/>
    <w:rsid w:val="005B0306"/>
    <w:rsid w:val="005B0E1E"/>
    <w:rsid w:val="005B255E"/>
    <w:rsid w:val="005B28D9"/>
    <w:rsid w:val="005B3D40"/>
    <w:rsid w:val="005B785E"/>
    <w:rsid w:val="005C185E"/>
    <w:rsid w:val="005C4861"/>
    <w:rsid w:val="005C52DA"/>
    <w:rsid w:val="005C5F18"/>
    <w:rsid w:val="005C6571"/>
    <w:rsid w:val="005D3677"/>
    <w:rsid w:val="005D5331"/>
    <w:rsid w:val="005D6B74"/>
    <w:rsid w:val="005D70A1"/>
    <w:rsid w:val="005E6FED"/>
    <w:rsid w:val="005F182B"/>
    <w:rsid w:val="005F1A76"/>
    <w:rsid w:val="005F3966"/>
    <w:rsid w:val="005F4F98"/>
    <w:rsid w:val="005F5386"/>
    <w:rsid w:val="005F595C"/>
    <w:rsid w:val="005F6235"/>
    <w:rsid w:val="0060090A"/>
    <w:rsid w:val="00602C9A"/>
    <w:rsid w:val="00605663"/>
    <w:rsid w:val="0060581C"/>
    <w:rsid w:val="00610942"/>
    <w:rsid w:val="006143D9"/>
    <w:rsid w:val="0061577F"/>
    <w:rsid w:val="00616EE2"/>
    <w:rsid w:val="00621531"/>
    <w:rsid w:val="006235DA"/>
    <w:rsid w:val="00624D55"/>
    <w:rsid w:val="0062553E"/>
    <w:rsid w:val="00627753"/>
    <w:rsid w:val="00631280"/>
    <w:rsid w:val="0063246E"/>
    <w:rsid w:val="00632692"/>
    <w:rsid w:val="00636E05"/>
    <w:rsid w:val="00637DAF"/>
    <w:rsid w:val="00641787"/>
    <w:rsid w:val="00641868"/>
    <w:rsid w:val="006452AF"/>
    <w:rsid w:val="006476F4"/>
    <w:rsid w:val="006477A2"/>
    <w:rsid w:val="006500CE"/>
    <w:rsid w:val="00650CC7"/>
    <w:rsid w:val="00652E3D"/>
    <w:rsid w:val="00653723"/>
    <w:rsid w:val="006569D6"/>
    <w:rsid w:val="006600F3"/>
    <w:rsid w:val="006613B9"/>
    <w:rsid w:val="00662699"/>
    <w:rsid w:val="006652F3"/>
    <w:rsid w:val="00670630"/>
    <w:rsid w:val="00670D26"/>
    <w:rsid w:val="00671E1D"/>
    <w:rsid w:val="00680CDF"/>
    <w:rsid w:val="00680DC3"/>
    <w:rsid w:val="00681927"/>
    <w:rsid w:val="0068242A"/>
    <w:rsid w:val="0068261C"/>
    <w:rsid w:val="006831C3"/>
    <w:rsid w:val="006842CE"/>
    <w:rsid w:val="00684ED0"/>
    <w:rsid w:val="00685480"/>
    <w:rsid w:val="0068564A"/>
    <w:rsid w:val="00691515"/>
    <w:rsid w:val="00691C17"/>
    <w:rsid w:val="00693523"/>
    <w:rsid w:val="00693EAE"/>
    <w:rsid w:val="0069485B"/>
    <w:rsid w:val="006A0293"/>
    <w:rsid w:val="006A089B"/>
    <w:rsid w:val="006A20E9"/>
    <w:rsid w:val="006A25EA"/>
    <w:rsid w:val="006A3795"/>
    <w:rsid w:val="006B0634"/>
    <w:rsid w:val="006B3A44"/>
    <w:rsid w:val="006B4AE0"/>
    <w:rsid w:val="006B5511"/>
    <w:rsid w:val="006B74E9"/>
    <w:rsid w:val="006C08D4"/>
    <w:rsid w:val="006C1975"/>
    <w:rsid w:val="006C3DF8"/>
    <w:rsid w:val="006C6CBC"/>
    <w:rsid w:val="006C7B91"/>
    <w:rsid w:val="006C7F07"/>
    <w:rsid w:val="006D06B4"/>
    <w:rsid w:val="006D209E"/>
    <w:rsid w:val="006D3410"/>
    <w:rsid w:val="006D3E0C"/>
    <w:rsid w:val="006D4D83"/>
    <w:rsid w:val="006D5079"/>
    <w:rsid w:val="006E0C24"/>
    <w:rsid w:val="006E0FA5"/>
    <w:rsid w:val="006E3ACD"/>
    <w:rsid w:val="006E40BB"/>
    <w:rsid w:val="006E4128"/>
    <w:rsid w:val="006E4911"/>
    <w:rsid w:val="006E4E39"/>
    <w:rsid w:val="006E510B"/>
    <w:rsid w:val="006E574E"/>
    <w:rsid w:val="006E6805"/>
    <w:rsid w:val="006E6FA7"/>
    <w:rsid w:val="006E7C55"/>
    <w:rsid w:val="006F0CCF"/>
    <w:rsid w:val="006F4CCE"/>
    <w:rsid w:val="006F5295"/>
    <w:rsid w:val="006F6043"/>
    <w:rsid w:val="006F7B3E"/>
    <w:rsid w:val="00701738"/>
    <w:rsid w:val="007034A3"/>
    <w:rsid w:val="0070554E"/>
    <w:rsid w:val="00706D2B"/>
    <w:rsid w:val="007079C0"/>
    <w:rsid w:val="00710C98"/>
    <w:rsid w:val="00713D95"/>
    <w:rsid w:val="00714347"/>
    <w:rsid w:val="007146B9"/>
    <w:rsid w:val="007209E2"/>
    <w:rsid w:val="0072166F"/>
    <w:rsid w:val="007241D4"/>
    <w:rsid w:val="0072766D"/>
    <w:rsid w:val="00727D83"/>
    <w:rsid w:val="007304B4"/>
    <w:rsid w:val="007325ED"/>
    <w:rsid w:val="0073368B"/>
    <w:rsid w:val="0073377D"/>
    <w:rsid w:val="00733B08"/>
    <w:rsid w:val="00733CCE"/>
    <w:rsid w:val="0073637C"/>
    <w:rsid w:val="0073727A"/>
    <w:rsid w:val="00743DD2"/>
    <w:rsid w:val="007450CB"/>
    <w:rsid w:val="00745853"/>
    <w:rsid w:val="00745C55"/>
    <w:rsid w:val="00745F19"/>
    <w:rsid w:val="00746F28"/>
    <w:rsid w:val="00751AF4"/>
    <w:rsid w:val="00752A4D"/>
    <w:rsid w:val="00753686"/>
    <w:rsid w:val="007540BB"/>
    <w:rsid w:val="00754E36"/>
    <w:rsid w:val="00754E7E"/>
    <w:rsid w:val="00755148"/>
    <w:rsid w:val="00755963"/>
    <w:rsid w:val="00756A18"/>
    <w:rsid w:val="0076026A"/>
    <w:rsid w:val="00760FCB"/>
    <w:rsid w:val="00762022"/>
    <w:rsid w:val="007622B9"/>
    <w:rsid w:val="00763D55"/>
    <w:rsid w:val="007644C0"/>
    <w:rsid w:val="00767C64"/>
    <w:rsid w:val="00770496"/>
    <w:rsid w:val="0077062A"/>
    <w:rsid w:val="0077186B"/>
    <w:rsid w:val="00773931"/>
    <w:rsid w:val="00773D4E"/>
    <w:rsid w:val="007749F7"/>
    <w:rsid w:val="0077520D"/>
    <w:rsid w:val="00776C9A"/>
    <w:rsid w:val="00776DF9"/>
    <w:rsid w:val="00777884"/>
    <w:rsid w:val="00777D68"/>
    <w:rsid w:val="00781BFC"/>
    <w:rsid w:val="0078229D"/>
    <w:rsid w:val="007849BB"/>
    <w:rsid w:val="007855F6"/>
    <w:rsid w:val="00786241"/>
    <w:rsid w:val="00787921"/>
    <w:rsid w:val="00790411"/>
    <w:rsid w:val="00791423"/>
    <w:rsid w:val="007930CD"/>
    <w:rsid w:val="007952D4"/>
    <w:rsid w:val="00797604"/>
    <w:rsid w:val="007A1D87"/>
    <w:rsid w:val="007A1F40"/>
    <w:rsid w:val="007A352F"/>
    <w:rsid w:val="007A4E85"/>
    <w:rsid w:val="007A571C"/>
    <w:rsid w:val="007A59B0"/>
    <w:rsid w:val="007A727C"/>
    <w:rsid w:val="007A7A73"/>
    <w:rsid w:val="007B0159"/>
    <w:rsid w:val="007B26EB"/>
    <w:rsid w:val="007B2E0C"/>
    <w:rsid w:val="007B381D"/>
    <w:rsid w:val="007B41D6"/>
    <w:rsid w:val="007B4BC5"/>
    <w:rsid w:val="007B68A1"/>
    <w:rsid w:val="007B74A6"/>
    <w:rsid w:val="007C0C09"/>
    <w:rsid w:val="007C2F8A"/>
    <w:rsid w:val="007C3111"/>
    <w:rsid w:val="007C5BC8"/>
    <w:rsid w:val="007C7510"/>
    <w:rsid w:val="007C7C4E"/>
    <w:rsid w:val="007C7E22"/>
    <w:rsid w:val="007D407F"/>
    <w:rsid w:val="007D4113"/>
    <w:rsid w:val="007D5E16"/>
    <w:rsid w:val="007E2F9B"/>
    <w:rsid w:val="007E3004"/>
    <w:rsid w:val="007E386A"/>
    <w:rsid w:val="007E456F"/>
    <w:rsid w:val="007E60A1"/>
    <w:rsid w:val="007E6D56"/>
    <w:rsid w:val="007E79D9"/>
    <w:rsid w:val="007F046D"/>
    <w:rsid w:val="007F0880"/>
    <w:rsid w:val="007F2DBF"/>
    <w:rsid w:val="007F4001"/>
    <w:rsid w:val="007F4AEE"/>
    <w:rsid w:val="007F55EB"/>
    <w:rsid w:val="007F6278"/>
    <w:rsid w:val="007F632E"/>
    <w:rsid w:val="00801B31"/>
    <w:rsid w:val="008029D3"/>
    <w:rsid w:val="00802D45"/>
    <w:rsid w:val="008059CD"/>
    <w:rsid w:val="00805C32"/>
    <w:rsid w:val="008062D6"/>
    <w:rsid w:val="008067D5"/>
    <w:rsid w:val="0080692F"/>
    <w:rsid w:val="00810E99"/>
    <w:rsid w:val="00811187"/>
    <w:rsid w:val="00811665"/>
    <w:rsid w:val="00814B97"/>
    <w:rsid w:val="008152F5"/>
    <w:rsid w:val="00816CD2"/>
    <w:rsid w:val="0082025A"/>
    <w:rsid w:val="008232A9"/>
    <w:rsid w:val="008234C1"/>
    <w:rsid w:val="00825C5D"/>
    <w:rsid w:val="008270A5"/>
    <w:rsid w:val="008277A4"/>
    <w:rsid w:val="0083002D"/>
    <w:rsid w:val="008301A9"/>
    <w:rsid w:val="00836C4F"/>
    <w:rsid w:val="00837EBD"/>
    <w:rsid w:val="00842EF7"/>
    <w:rsid w:val="00847CE8"/>
    <w:rsid w:val="0085216E"/>
    <w:rsid w:val="00853762"/>
    <w:rsid w:val="00854CCC"/>
    <w:rsid w:val="008563A5"/>
    <w:rsid w:val="00856E7C"/>
    <w:rsid w:val="00857C6B"/>
    <w:rsid w:val="008612FD"/>
    <w:rsid w:val="008618CC"/>
    <w:rsid w:val="008641FA"/>
    <w:rsid w:val="0086698A"/>
    <w:rsid w:val="00866F1F"/>
    <w:rsid w:val="0087119E"/>
    <w:rsid w:val="00871C6B"/>
    <w:rsid w:val="00872358"/>
    <w:rsid w:val="008728BB"/>
    <w:rsid w:val="008739B1"/>
    <w:rsid w:val="0087431C"/>
    <w:rsid w:val="00875109"/>
    <w:rsid w:val="00877AB4"/>
    <w:rsid w:val="008818D1"/>
    <w:rsid w:val="0088232B"/>
    <w:rsid w:val="00883182"/>
    <w:rsid w:val="00890CBC"/>
    <w:rsid w:val="00890E59"/>
    <w:rsid w:val="008918AF"/>
    <w:rsid w:val="008924BF"/>
    <w:rsid w:val="00892545"/>
    <w:rsid w:val="008925C9"/>
    <w:rsid w:val="00892B6B"/>
    <w:rsid w:val="008975BF"/>
    <w:rsid w:val="008A1002"/>
    <w:rsid w:val="008A299F"/>
    <w:rsid w:val="008A385E"/>
    <w:rsid w:val="008A3AD5"/>
    <w:rsid w:val="008A416A"/>
    <w:rsid w:val="008B35FC"/>
    <w:rsid w:val="008B4464"/>
    <w:rsid w:val="008B45D4"/>
    <w:rsid w:val="008B697B"/>
    <w:rsid w:val="008B69DD"/>
    <w:rsid w:val="008B7F38"/>
    <w:rsid w:val="008C04DE"/>
    <w:rsid w:val="008C1916"/>
    <w:rsid w:val="008C208F"/>
    <w:rsid w:val="008D0B8D"/>
    <w:rsid w:val="008D0CB7"/>
    <w:rsid w:val="008D17F5"/>
    <w:rsid w:val="008D5C71"/>
    <w:rsid w:val="008E048F"/>
    <w:rsid w:val="008E1707"/>
    <w:rsid w:val="008E3942"/>
    <w:rsid w:val="008E4B12"/>
    <w:rsid w:val="008E6E10"/>
    <w:rsid w:val="008E7FC1"/>
    <w:rsid w:val="008F2D87"/>
    <w:rsid w:val="008F466B"/>
    <w:rsid w:val="008F78E4"/>
    <w:rsid w:val="008F7A1E"/>
    <w:rsid w:val="00902401"/>
    <w:rsid w:val="0090717D"/>
    <w:rsid w:val="0091060E"/>
    <w:rsid w:val="0091082B"/>
    <w:rsid w:val="00914523"/>
    <w:rsid w:val="00915FA8"/>
    <w:rsid w:val="0091707F"/>
    <w:rsid w:val="009200DA"/>
    <w:rsid w:val="009205A8"/>
    <w:rsid w:val="00920915"/>
    <w:rsid w:val="009210BC"/>
    <w:rsid w:val="00921788"/>
    <w:rsid w:val="00921B83"/>
    <w:rsid w:val="009233E1"/>
    <w:rsid w:val="00924D73"/>
    <w:rsid w:val="00924ECB"/>
    <w:rsid w:val="0092634F"/>
    <w:rsid w:val="00935AB2"/>
    <w:rsid w:val="00945F27"/>
    <w:rsid w:val="0095084F"/>
    <w:rsid w:val="00952A36"/>
    <w:rsid w:val="00953111"/>
    <w:rsid w:val="00953502"/>
    <w:rsid w:val="00953E2B"/>
    <w:rsid w:val="00957E6E"/>
    <w:rsid w:val="00962CF5"/>
    <w:rsid w:val="00965841"/>
    <w:rsid w:val="00965A65"/>
    <w:rsid w:val="0096625D"/>
    <w:rsid w:val="009715FB"/>
    <w:rsid w:val="00971B84"/>
    <w:rsid w:val="00974FC1"/>
    <w:rsid w:val="009753D7"/>
    <w:rsid w:val="0097563A"/>
    <w:rsid w:val="009758DD"/>
    <w:rsid w:val="00976112"/>
    <w:rsid w:val="009770F2"/>
    <w:rsid w:val="00980729"/>
    <w:rsid w:val="00981726"/>
    <w:rsid w:val="00981CA9"/>
    <w:rsid w:val="00983D61"/>
    <w:rsid w:val="00985384"/>
    <w:rsid w:val="009854A7"/>
    <w:rsid w:val="00985A53"/>
    <w:rsid w:val="00991572"/>
    <w:rsid w:val="0099257B"/>
    <w:rsid w:val="00995AEF"/>
    <w:rsid w:val="009A2F1F"/>
    <w:rsid w:val="009A4FAE"/>
    <w:rsid w:val="009A5114"/>
    <w:rsid w:val="009A5732"/>
    <w:rsid w:val="009A5CB7"/>
    <w:rsid w:val="009A77FE"/>
    <w:rsid w:val="009A7ACB"/>
    <w:rsid w:val="009B1D6C"/>
    <w:rsid w:val="009B229E"/>
    <w:rsid w:val="009B37C3"/>
    <w:rsid w:val="009B40F7"/>
    <w:rsid w:val="009B61AE"/>
    <w:rsid w:val="009B6F27"/>
    <w:rsid w:val="009B7F35"/>
    <w:rsid w:val="009C07ED"/>
    <w:rsid w:val="009C309F"/>
    <w:rsid w:val="009C7237"/>
    <w:rsid w:val="009D0BA4"/>
    <w:rsid w:val="009D4C13"/>
    <w:rsid w:val="009D65B6"/>
    <w:rsid w:val="009E11EC"/>
    <w:rsid w:val="009E1318"/>
    <w:rsid w:val="009E72D2"/>
    <w:rsid w:val="009E7FDE"/>
    <w:rsid w:val="009F118B"/>
    <w:rsid w:val="009F11EA"/>
    <w:rsid w:val="009F1D02"/>
    <w:rsid w:val="009F3A05"/>
    <w:rsid w:val="009F70D0"/>
    <w:rsid w:val="009F7505"/>
    <w:rsid w:val="00A0197D"/>
    <w:rsid w:val="00A01FD1"/>
    <w:rsid w:val="00A02B41"/>
    <w:rsid w:val="00A0327A"/>
    <w:rsid w:val="00A05694"/>
    <w:rsid w:val="00A05879"/>
    <w:rsid w:val="00A06279"/>
    <w:rsid w:val="00A070E2"/>
    <w:rsid w:val="00A073CB"/>
    <w:rsid w:val="00A0743B"/>
    <w:rsid w:val="00A10214"/>
    <w:rsid w:val="00A10594"/>
    <w:rsid w:val="00A10B55"/>
    <w:rsid w:val="00A13882"/>
    <w:rsid w:val="00A149AD"/>
    <w:rsid w:val="00A164E0"/>
    <w:rsid w:val="00A16E6F"/>
    <w:rsid w:val="00A172FD"/>
    <w:rsid w:val="00A17BF3"/>
    <w:rsid w:val="00A2007D"/>
    <w:rsid w:val="00A2155D"/>
    <w:rsid w:val="00A233D7"/>
    <w:rsid w:val="00A24DD8"/>
    <w:rsid w:val="00A25B79"/>
    <w:rsid w:val="00A27EA0"/>
    <w:rsid w:val="00A31B32"/>
    <w:rsid w:val="00A35142"/>
    <w:rsid w:val="00A3753A"/>
    <w:rsid w:val="00A37E2D"/>
    <w:rsid w:val="00A40605"/>
    <w:rsid w:val="00A40791"/>
    <w:rsid w:val="00A407C9"/>
    <w:rsid w:val="00A413F3"/>
    <w:rsid w:val="00A43FA6"/>
    <w:rsid w:val="00A44A99"/>
    <w:rsid w:val="00A52411"/>
    <w:rsid w:val="00A52541"/>
    <w:rsid w:val="00A528F2"/>
    <w:rsid w:val="00A52C86"/>
    <w:rsid w:val="00A5771D"/>
    <w:rsid w:val="00A57C85"/>
    <w:rsid w:val="00A57F34"/>
    <w:rsid w:val="00A613C3"/>
    <w:rsid w:val="00A61D27"/>
    <w:rsid w:val="00A62813"/>
    <w:rsid w:val="00A6312B"/>
    <w:rsid w:val="00A6526E"/>
    <w:rsid w:val="00A66553"/>
    <w:rsid w:val="00A707B9"/>
    <w:rsid w:val="00A709D3"/>
    <w:rsid w:val="00A70DAD"/>
    <w:rsid w:val="00A75697"/>
    <w:rsid w:val="00A77C61"/>
    <w:rsid w:val="00A81219"/>
    <w:rsid w:val="00A8132A"/>
    <w:rsid w:val="00A815D6"/>
    <w:rsid w:val="00A82E8A"/>
    <w:rsid w:val="00A904D2"/>
    <w:rsid w:val="00A91A17"/>
    <w:rsid w:val="00A92617"/>
    <w:rsid w:val="00A93475"/>
    <w:rsid w:val="00A94476"/>
    <w:rsid w:val="00AA020A"/>
    <w:rsid w:val="00AA0D05"/>
    <w:rsid w:val="00AA2B74"/>
    <w:rsid w:val="00AA47C6"/>
    <w:rsid w:val="00AA5DA2"/>
    <w:rsid w:val="00AA684E"/>
    <w:rsid w:val="00AB1A5C"/>
    <w:rsid w:val="00AB3252"/>
    <w:rsid w:val="00AB3818"/>
    <w:rsid w:val="00AB48A8"/>
    <w:rsid w:val="00AB6119"/>
    <w:rsid w:val="00AB61B0"/>
    <w:rsid w:val="00AB6299"/>
    <w:rsid w:val="00AB6DDD"/>
    <w:rsid w:val="00AC0CC1"/>
    <w:rsid w:val="00AC17E1"/>
    <w:rsid w:val="00AC41E3"/>
    <w:rsid w:val="00AC632E"/>
    <w:rsid w:val="00AC6E8B"/>
    <w:rsid w:val="00AC7F5E"/>
    <w:rsid w:val="00AD5536"/>
    <w:rsid w:val="00AD69BB"/>
    <w:rsid w:val="00AE00C8"/>
    <w:rsid w:val="00AE3025"/>
    <w:rsid w:val="00AE355C"/>
    <w:rsid w:val="00AE5205"/>
    <w:rsid w:val="00AE701A"/>
    <w:rsid w:val="00AF08C0"/>
    <w:rsid w:val="00AF21D6"/>
    <w:rsid w:val="00AF2A84"/>
    <w:rsid w:val="00AF58B5"/>
    <w:rsid w:val="00B006C1"/>
    <w:rsid w:val="00B02AE3"/>
    <w:rsid w:val="00B1191B"/>
    <w:rsid w:val="00B12112"/>
    <w:rsid w:val="00B15145"/>
    <w:rsid w:val="00B1685F"/>
    <w:rsid w:val="00B16C2B"/>
    <w:rsid w:val="00B21137"/>
    <w:rsid w:val="00B2264A"/>
    <w:rsid w:val="00B25B48"/>
    <w:rsid w:val="00B2686E"/>
    <w:rsid w:val="00B26D2B"/>
    <w:rsid w:val="00B2795F"/>
    <w:rsid w:val="00B302F5"/>
    <w:rsid w:val="00B30489"/>
    <w:rsid w:val="00B30F2F"/>
    <w:rsid w:val="00B323AD"/>
    <w:rsid w:val="00B343C4"/>
    <w:rsid w:val="00B34AF1"/>
    <w:rsid w:val="00B34AF7"/>
    <w:rsid w:val="00B41C4B"/>
    <w:rsid w:val="00B421EC"/>
    <w:rsid w:val="00B4279C"/>
    <w:rsid w:val="00B454D0"/>
    <w:rsid w:val="00B4624C"/>
    <w:rsid w:val="00B469E1"/>
    <w:rsid w:val="00B50D33"/>
    <w:rsid w:val="00B55E13"/>
    <w:rsid w:val="00B56630"/>
    <w:rsid w:val="00B6020F"/>
    <w:rsid w:val="00B61168"/>
    <w:rsid w:val="00B61931"/>
    <w:rsid w:val="00B61C73"/>
    <w:rsid w:val="00B62A7C"/>
    <w:rsid w:val="00B637E9"/>
    <w:rsid w:val="00B64CB2"/>
    <w:rsid w:val="00B64D4E"/>
    <w:rsid w:val="00B64E21"/>
    <w:rsid w:val="00B65551"/>
    <w:rsid w:val="00B6555F"/>
    <w:rsid w:val="00B66791"/>
    <w:rsid w:val="00B6708C"/>
    <w:rsid w:val="00B74705"/>
    <w:rsid w:val="00B75CD3"/>
    <w:rsid w:val="00B771B5"/>
    <w:rsid w:val="00B77797"/>
    <w:rsid w:val="00B848F9"/>
    <w:rsid w:val="00B84BF4"/>
    <w:rsid w:val="00B8611F"/>
    <w:rsid w:val="00B865C8"/>
    <w:rsid w:val="00B86AA9"/>
    <w:rsid w:val="00B86E68"/>
    <w:rsid w:val="00B8709B"/>
    <w:rsid w:val="00B87150"/>
    <w:rsid w:val="00B8729B"/>
    <w:rsid w:val="00B87824"/>
    <w:rsid w:val="00B92CCE"/>
    <w:rsid w:val="00B9304C"/>
    <w:rsid w:val="00B946C3"/>
    <w:rsid w:val="00B94D1B"/>
    <w:rsid w:val="00B95CDB"/>
    <w:rsid w:val="00BA0D7E"/>
    <w:rsid w:val="00BA0FF4"/>
    <w:rsid w:val="00BA2009"/>
    <w:rsid w:val="00BA3543"/>
    <w:rsid w:val="00BA5B80"/>
    <w:rsid w:val="00BA5EF8"/>
    <w:rsid w:val="00BA5F3E"/>
    <w:rsid w:val="00BA7283"/>
    <w:rsid w:val="00BA72DD"/>
    <w:rsid w:val="00BB069D"/>
    <w:rsid w:val="00BB0DAD"/>
    <w:rsid w:val="00BB12C7"/>
    <w:rsid w:val="00BB1EA4"/>
    <w:rsid w:val="00BB35B8"/>
    <w:rsid w:val="00BB3B94"/>
    <w:rsid w:val="00BB5E82"/>
    <w:rsid w:val="00BC0AD5"/>
    <w:rsid w:val="00BC2472"/>
    <w:rsid w:val="00BC4709"/>
    <w:rsid w:val="00BC588A"/>
    <w:rsid w:val="00BC7655"/>
    <w:rsid w:val="00BC7D1A"/>
    <w:rsid w:val="00BD20BD"/>
    <w:rsid w:val="00BD3668"/>
    <w:rsid w:val="00BD4659"/>
    <w:rsid w:val="00BD4726"/>
    <w:rsid w:val="00BD56D5"/>
    <w:rsid w:val="00BE2C8A"/>
    <w:rsid w:val="00BE313D"/>
    <w:rsid w:val="00BE4FDB"/>
    <w:rsid w:val="00BE76FC"/>
    <w:rsid w:val="00BE7CCA"/>
    <w:rsid w:val="00BF0458"/>
    <w:rsid w:val="00BF3B1E"/>
    <w:rsid w:val="00BF4E9B"/>
    <w:rsid w:val="00BF754D"/>
    <w:rsid w:val="00C001C8"/>
    <w:rsid w:val="00C0091E"/>
    <w:rsid w:val="00C02746"/>
    <w:rsid w:val="00C05A2C"/>
    <w:rsid w:val="00C10749"/>
    <w:rsid w:val="00C11466"/>
    <w:rsid w:val="00C14F67"/>
    <w:rsid w:val="00C17103"/>
    <w:rsid w:val="00C17508"/>
    <w:rsid w:val="00C17F94"/>
    <w:rsid w:val="00C2280F"/>
    <w:rsid w:val="00C231E5"/>
    <w:rsid w:val="00C24FFD"/>
    <w:rsid w:val="00C264C8"/>
    <w:rsid w:val="00C26A1B"/>
    <w:rsid w:val="00C26DF7"/>
    <w:rsid w:val="00C274D4"/>
    <w:rsid w:val="00C3287B"/>
    <w:rsid w:val="00C32B8E"/>
    <w:rsid w:val="00C3323D"/>
    <w:rsid w:val="00C33585"/>
    <w:rsid w:val="00C34A5E"/>
    <w:rsid w:val="00C3555F"/>
    <w:rsid w:val="00C35C15"/>
    <w:rsid w:val="00C366A2"/>
    <w:rsid w:val="00C406C8"/>
    <w:rsid w:val="00C41D7F"/>
    <w:rsid w:val="00C41E6D"/>
    <w:rsid w:val="00C42AD3"/>
    <w:rsid w:val="00C43F3A"/>
    <w:rsid w:val="00C44956"/>
    <w:rsid w:val="00C44F5F"/>
    <w:rsid w:val="00C55C15"/>
    <w:rsid w:val="00C56DA7"/>
    <w:rsid w:val="00C61CBD"/>
    <w:rsid w:val="00C61D01"/>
    <w:rsid w:val="00C63A46"/>
    <w:rsid w:val="00C64F70"/>
    <w:rsid w:val="00C65617"/>
    <w:rsid w:val="00C663B2"/>
    <w:rsid w:val="00C6658F"/>
    <w:rsid w:val="00C666E0"/>
    <w:rsid w:val="00C73562"/>
    <w:rsid w:val="00C739C6"/>
    <w:rsid w:val="00C742A8"/>
    <w:rsid w:val="00C745A9"/>
    <w:rsid w:val="00C7463A"/>
    <w:rsid w:val="00C7621D"/>
    <w:rsid w:val="00C768F9"/>
    <w:rsid w:val="00C821B9"/>
    <w:rsid w:val="00C8270A"/>
    <w:rsid w:val="00C84F51"/>
    <w:rsid w:val="00C85485"/>
    <w:rsid w:val="00C85656"/>
    <w:rsid w:val="00C85AE8"/>
    <w:rsid w:val="00C907E2"/>
    <w:rsid w:val="00C908C1"/>
    <w:rsid w:val="00C9258F"/>
    <w:rsid w:val="00C934D6"/>
    <w:rsid w:val="00C9503E"/>
    <w:rsid w:val="00C95499"/>
    <w:rsid w:val="00CA0084"/>
    <w:rsid w:val="00CA0939"/>
    <w:rsid w:val="00CA0BF9"/>
    <w:rsid w:val="00CA18C2"/>
    <w:rsid w:val="00CA2F60"/>
    <w:rsid w:val="00CA50BD"/>
    <w:rsid w:val="00CA5F26"/>
    <w:rsid w:val="00CB0183"/>
    <w:rsid w:val="00CB51F4"/>
    <w:rsid w:val="00CB6171"/>
    <w:rsid w:val="00CB6668"/>
    <w:rsid w:val="00CB6DF2"/>
    <w:rsid w:val="00CC0076"/>
    <w:rsid w:val="00CC1270"/>
    <w:rsid w:val="00CC3768"/>
    <w:rsid w:val="00CC37AF"/>
    <w:rsid w:val="00CC579C"/>
    <w:rsid w:val="00CD1F5E"/>
    <w:rsid w:val="00CD7102"/>
    <w:rsid w:val="00CE00C6"/>
    <w:rsid w:val="00CE3C3B"/>
    <w:rsid w:val="00CE74BB"/>
    <w:rsid w:val="00CF292A"/>
    <w:rsid w:val="00CF2A11"/>
    <w:rsid w:val="00CF49B9"/>
    <w:rsid w:val="00CF53F2"/>
    <w:rsid w:val="00CF60C5"/>
    <w:rsid w:val="00CF6978"/>
    <w:rsid w:val="00D01ADB"/>
    <w:rsid w:val="00D02248"/>
    <w:rsid w:val="00D042C8"/>
    <w:rsid w:val="00D047A7"/>
    <w:rsid w:val="00D1028A"/>
    <w:rsid w:val="00D11685"/>
    <w:rsid w:val="00D11E72"/>
    <w:rsid w:val="00D13547"/>
    <w:rsid w:val="00D14A2A"/>
    <w:rsid w:val="00D14F8B"/>
    <w:rsid w:val="00D20125"/>
    <w:rsid w:val="00D21565"/>
    <w:rsid w:val="00D272EF"/>
    <w:rsid w:val="00D309B8"/>
    <w:rsid w:val="00D3767B"/>
    <w:rsid w:val="00D40159"/>
    <w:rsid w:val="00D40898"/>
    <w:rsid w:val="00D42DD5"/>
    <w:rsid w:val="00D43801"/>
    <w:rsid w:val="00D43FAA"/>
    <w:rsid w:val="00D446DA"/>
    <w:rsid w:val="00D44F08"/>
    <w:rsid w:val="00D45C55"/>
    <w:rsid w:val="00D46E46"/>
    <w:rsid w:val="00D50CA2"/>
    <w:rsid w:val="00D531F7"/>
    <w:rsid w:val="00D534A9"/>
    <w:rsid w:val="00D5577B"/>
    <w:rsid w:val="00D60466"/>
    <w:rsid w:val="00D60B5A"/>
    <w:rsid w:val="00D61178"/>
    <w:rsid w:val="00D6187C"/>
    <w:rsid w:val="00D6189D"/>
    <w:rsid w:val="00D62F34"/>
    <w:rsid w:val="00D647F8"/>
    <w:rsid w:val="00D7272C"/>
    <w:rsid w:val="00D73139"/>
    <w:rsid w:val="00D7382E"/>
    <w:rsid w:val="00D744A0"/>
    <w:rsid w:val="00D75547"/>
    <w:rsid w:val="00D75FA1"/>
    <w:rsid w:val="00D7794E"/>
    <w:rsid w:val="00D80FD5"/>
    <w:rsid w:val="00D82E2E"/>
    <w:rsid w:val="00D8590D"/>
    <w:rsid w:val="00D87853"/>
    <w:rsid w:val="00D90661"/>
    <w:rsid w:val="00D91063"/>
    <w:rsid w:val="00D91814"/>
    <w:rsid w:val="00D92D72"/>
    <w:rsid w:val="00D932D8"/>
    <w:rsid w:val="00D93333"/>
    <w:rsid w:val="00D9438C"/>
    <w:rsid w:val="00D96ECB"/>
    <w:rsid w:val="00D973F4"/>
    <w:rsid w:val="00DA0158"/>
    <w:rsid w:val="00DA0888"/>
    <w:rsid w:val="00DA218D"/>
    <w:rsid w:val="00DA3E0A"/>
    <w:rsid w:val="00DA4F65"/>
    <w:rsid w:val="00DA4F75"/>
    <w:rsid w:val="00DA5FBF"/>
    <w:rsid w:val="00DB01BC"/>
    <w:rsid w:val="00DB2B9C"/>
    <w:rsid w:val="00DB374B"/>
    <w:rsid w:val="00DB3A59"/>
    <w:rsid w:val="00DB3E4A"/>
    <w:rsid w:val="00DB44CF"/>
    <w:rsid w:val="00DB4B5B"/>
    <w:rsid w:val="00DB62BB"/>
    <w:rsid w:val="00DB6425"/>
    <w:rsid w:val="00DB7DB1"/>
    <w:rsid w:val="00DC06E6"/>
    <w:rsid w:val="00DC1380"/>
    <w:rsid w:val="00DC4885"/>
    <w:rsid w:val="00DD42FA"/>
    <w:rsid w:val="00DE2BEB"/>
    <w:rsid w:val="00DE3104"/>
    <w:rsid w:val="00DE5AE7"/>
    <w:rsid w:val="00DF60AE"/>
    <w:rsid w:val="00DF6409"/>
    <w:rsid w:val="00DF752C"/>
    <w:rsid w:val="00E01524"/>
    <w:rsid w:val="00E02AB0"/>
    <w:rsid w:val="00E05474"/>
    <w:rsid w:val="00E07DE5"/>
    <w:rsid w:val="00E10004"/>
    <w:rsid w:val="00E12D9E"/>
    <w:rsid w:val="00E13D53"/>
    <w:rsid w:val="00E14F50"/>
    <w:rsid w:val="00E15FFA"/>
    <w:rsid w:val="00E162C6"/>
    <w:rsid w:val="00E17060"/>
    <w:rsid w:val="00E17D80"/>
    <w:rsid w:val="00E215B2"/>
    <w:rsid w:val="00E2222E"/>
    <w:rsid w:val="00E23C6C"/>
    <w:rsid w:val="00E26432"/>
    <w:rsid w:val="00E273AF"/>
    <w:rsid w:val="00E277CA"/>
    <w:rsid w:val="00E3609B"/>
    <w:rsid w:val="00E36A7B"/>
    <w:rsid w:val="00E373ED"/>
    <w:rsid w:val="00E406E7"/>
    <w:rsid w:val="00E40931"/>
    <w:rsid w:val="00E4183A"/>
    <w:rsid w:val="00E45988"/>
    <w:rsid w:val="00E46D07"/>
    <w:rsid w:val="00E55039"/>
    <w:rsid w:val="00E55867"/>
    <w:rsid w:val="00E55AF5"/>
    <w:rsid w:val="00E5652E"/>
    <w:rsid w:val="00E57A90"/>
    <w:rsid w:val="00E60834"/>
    <w:rsid w:val="00E60D84"/>
    <w:rsid w:val="00E620BE"/>
    <w:rsid w:val="00E62C76"/>
    <w:rsid w:val="00E64961"/>
    <w:rsid w:val="00E650DB"/>
    <w:rsid w:val="00E66657"/>
    <w:rsid w:val="00E70A67"/>
    <w:rsid w:val="00E73329"/>
    <w:rsid w:val="00E73C4E"/>
    <w:rsid w:val="00E73D15"/>
    <w:rsid w:val="00E751CB"/>
    <w:rsid w:val="00E7724E"/>
    <w:rsid w:val="00E8007F"/>
    <w:rsid w:val="00E81403"/>
    <w:rsid w:val="00E81492"/>
    <w:rsid w:val="00E81BD4"/>
    <w:rsid w:val="00E84E73"/>
    <w:rsid w:val="00E85721"/>
    <w:rsid w:val="00E909BE"/>
    <w:rsid w:val="00E91912"/>
    <w:rsid w:val="00E92413"/>
    <w:rsid w:val="00E95F3D"/>
    <w:rsid w:val="00E96B60"/>
    <w:rsid w:val="00E971D8"/>
    <w:rsid w:val="00EA29CF"/>
    <w:rsid w:val="00EA2A11"/>
    <w:rsid w:val="00EA2C21"/>
    <w:rsid w:val="00EA31C5"/>
    <w:rsid w:val="00EA47DB"/>
    <w:rsid w:val="00EA6FAD"/>
    <w:rsid w:val="00EA738E"/>
    <w:rsid w:val="00EA7468"/>
    <w:rsid w:val="00EB1FBA"/>
    <w:rsid w:val="00EB2FCA"/>
    <w:rsid w:val="00EB462E"/>
    <w:rsid w:val="00EB4D91"/>
    <w:rsid w:val="00EB5A4B"/>
    <w:rsid w:val="00EC094B"/>
    <w:rsid w:val="00EC1BA9"/>
    <w:rsid w:val="00EC3104"/>
    <w:rsid w:val="00EC6882"/>
    <w:rsid w:val="00EC769F"/>
    <w:rsid w:val="00ED016A"/>
    <w:rsid w:val="00ED055B"/>
    <w:rsid w:val="00ED2CD7"/>
    <w:rsid w:val="00ED7BA8"/>
    <w:rsid w:val="00EE01F1"/>
    <w:rsid w:val="00EE19C4"/>
    <w:rsid w:val="00EE67B0"/>
    <w:rsid w:val="00EE68C0"/>
    <w:rsid w:val="00EF05AC"/>
    <w:rsid w:val="00EF11C2"/>
    <w:rsid w:val="00EF3971"/>
    <w:rsid w:val="00EF56D8"/>
    <w:rsid w:val="00EF7882"/>
    <w:rsid w:val="00F03280"/>
    <w:rsid w:val="00F03768"/>
    <w:rsid w:val="00F05AE8"/>
    <w:rsid w:val="00F063F5"/>
    <w:rsid w:val="00F07B0D"/>
    <w:rsid w:val="00F07E27"/>
    <w:rsid w:val="00F1031D"/>
    <w:rsid w:val="00F13073"/>
    <w:rsid w:val="00F14FA1"/>
    <w:rsid w:val="00F15ADF"/>
    <w:rsid w:val="00F16B31"/>
    <w:rsid w:val="00F206C7"/>
    <w:rsid w:val="00F21505"/>
    <w:rsid w:val="00F23ED7"/>
    <w:rsid w:val="00F245E3"/>
    <w:rsid w:val="00F26F38"/>
    <w:rsid w:val="00F26F9A"/>
    <w:rsid w:val="00F27F4C"/>
    <w:rsid w:val="00F32FC3"/>
    <w:rsid w:val="00F4255E"/>
    <w:rsid w:val="00F43D4E"/>
    <w:rsid w:val="00F44858"/>
    <w:rsid w:val="00F45009"/>
    <w:rsid w:val="00F4500C"/>
    <w:rsid w:val="00F50970"/>
    <w:rsid w:val="00F52655"/>
    <w:rsid w:val="00F541CE"/>
    <w:rsid w:val="00F60966"/>
    <w:rsid w:val="00F61170"/>
    <w:rsid w:val="00F61C21"/>
    <w:rsid w:val="00F66CFE"/>
    <w:rsid w:val="00F676DD"/>
    <w:rsid w:val="00F70841"/>
    <w:rsid w:val="00F71088"/>
    <w:rsid w:val="00F74361"/>
    <w:rsid w:val="00F77131"/>
    <w:rsid w:val="00F85DC5"/>
    <w:rsid w:val="00F8704C"/>
    <w:rsid w:val="00F90486"/>
    <w:rsid w:val="00F90A47"/>
    <w:rsid w:val="00F914A8"/>
    <w:rsid w:val="00F91D18"/>
    <w:rsid w:val="00F93864"/>
    <w:rsid w:val="00F95787"/>
    <w:rsid w:val="00F95CF9"/>
    <w:rsid w:val="00F960AA"/>
    <w:rsid w:val="00FA5CBA"/>
    <w:rsid w:val="00FA73D8"/>
    <w:rsid w:val="00FA7ACA"/>
    <w:rsid w:val="00FB12B0"/>
    <w:rsid w:val="00FB2FED"/>
    <w:rsid w:val="00FB3378"/>
    <w:rsid w:val="00FB5E41"/>
    <w:rsid w:val="00FC10FE"/>
    <w:rsid w:val="00FC133D"/>
    <w:rsid w:val="00FC1D4B"/>
    <w:rsid w:val="00FC52B7"/>
    <w:rsid w:val="00FD06D8"/>
    <w:rsid w:val="00FD0E87"/>
    <w:rsid w:val="00FD2C7A"/>
    <w:rsid w:val="00FD3125"/>
    <w:rsid w:val="00FD3287"/>
    <w:rsid w:val="00FD3BC3"/>
    <w:rsid w:val="00FD50E5"/>
    <w:rsid w:val="00FD5926"/>
    <w:rsid w:val="00FD6573"/>
    <w:rsid w:val="00FD7798"/>
    <w:rsid w:val="00FE0055"/>
    <w:rsid w:val="00FE0C91"/>
    <w:rsid w:val="00FE2134"/>
    <w:rsid w:val="00FE2300"/>
    <w:rsid w:val="00FE4314"/>
    <w:rsid w:val="00FE5C47"/>
    <w:rsid w:val="00FE74C6"/>
    <w:rsid w:val="00FF1271"/>
    <w:rsid w:val="00FF33CC"/>
    <w:rsid w:val="00FF544A"/>
    <w:rsid w:val="00FF5E6B"/>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5FBF"/>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qFormat/>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unhideWhenUsed/>
    <w:rsid w:val="00981726"/>
    <w:pPr>
      <w:spacing w:line="240" w:lineRule="auto"/>
    </w:pPr>
    <w:rPr>
      <w:sz w:val="20"/>
      <w:szCs w:val="20"/>
    </w:rPr>
  </w:style>
  <w:style w:type="character" w:customStyle="1" w:styleId="CommentaireCar">
    <w:name w:val="Commentaire Car"/>
    <w:basedOn w:val="Policepardfaut"/>
    <w:link w:val="Commentaire"/>
    <w:uiPriority w:val="99"/>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457B18"/>
    <w:pPr>
      <w:spacing w:before="240" w:after="80" w:line="240" w:lineRule="auto"/>
      <w:ind w:left="-284"/>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457B18"/>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rsid w:val="004311AF"/>
    <w:pPr>
      <w:ind w:left="720"/>
      <w:contextualSpacing/>
    </w:p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paragraph" w:customStyle="1" w:styleId="Briefinglist1">
    <w:name w:val="Briefing list 1"/>
    <w:basedOn w:val="Normal"/>
    <w:rsid w:val="00B15145"/>
    <w:pPr>
      <w:keepLines/>
      <w:numPr>
        <w:numId w:val="18"/>
      </w:numPr>
      <w:spacing w:after="120" w:line="240" w:lineRule="auto"/>
      <w:jc w:val="both"/>
    </w:pPr>
    <w:rPr>
      <w:rFonts w:ascii="Arial" w:eastAsia="SimSun" w:hAnsi="Arial" w:cs="Arial"/>
      <w:szCs w:val="24"/>
      <w:lang w:val="en-GB"/>
    </w:rPr>
  </w:style>
  <w:style w:type="paragraph" w:customStyle="1" w:styleId="TableParagraph">
    <w:name w:val="Table Paragraph"/>
    <w:basedOn w:val="Normal"/>
    <w:uiPriority w:val="1"/>
    <w:qFormat/>
    <w:rsid w:val="00F91D18"/>
    <w:pPr>
      <w:widowControl w:val="0"/>
      <w:autoSpaceDE w:val="0"/>
      <w:autoSpaceDN w:val="0"/>
      <w:spacing w:after="0" w:line="240" w:lineRule="auto"/>
    </w:pPr>
    <w:rPr>
      <w:rFonts w:ascii="Segoe UI" w:eastAsia="Segoe UI" w:hAnsi="Segoe UI" w:cs="Segoe UI"/>
    </w:rPr>
  </w:style>
  <w:style w:type="table" w:customStyle="1" w:styleId="TableNormal">
    <w:name w:val="Table Normal"/>
    <w:uiPriority w:val="2"/>
    <w:semiHidden/>
    <w:qFormat/>
    <w:rsid w:val="00F91D1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Rvision">
    <w:name w:val="Revision"/>
    <w:hidden/>
    <w:uiPriority w:val="99"/>
    <w:semiHidden/>
    <w:rsid w:val="002C2932"/>
    <w:pPr>
      <w:spacing w:after="0" w:line="240" w:lineRule="auto"/>
    </w:pPr>
  </w:style>
  <w:style w:type="character" w:styleId="Mentionnonrsolue">
    <w:name w:val="Unresolved Mention"/>
    <w:basedOn w:val="Policepardfaut"/>
    <w:uiPriority w:val="99"/>
    <w:semiHidden/>
    <w:unhideWhenUsed/>
    <w:rsid w:val="00BB5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7155">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07074444">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47957292">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670567593">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03641820">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422262277">
      <w:bodyDiv w:val="1"/>
      <w:marLeft w:val="0"/>
      <w:marRight w:val="0"/>
      <w:marTop w:val="0"/>
      <w:marBottom w:val="0"/>
      <w:divBdr>
        <w:top w:val="none" w:sz="0" w:space="0" w:color="auto"/>
        <w:left w:val="none" w:sz="0" w:space="0" w:color="auto"/>
        <w:bottom w:val="none" w:sz="0" w:space="0" w:color="auto"/>
        <w:right w:val="none" w:sz="0" w:space="0" w:color="auto"/>
      </w:divBdr>
    </w:div>
    <w:div w:id="1529021668">
      <w:bodyDiv w:val="1"/>
      <w:marLeft w:val="0"/>
      <w:marRight w:val="0"/>
      <w:marTop w:val="0"/>
      <w:marBottom w:val="0"/>
      <w:divBdr>
        <w:top w:val="none" w:sz="0" w:space="0" w:color="auto"/>
        <w:left w:val="none" w:sz="0" w:space="0" w:color="auto"/>
        <w:bottom w:val="none" w:sz="0" w:space="0" w:color="auto"/>
        <w:right w:val="none" w:sz="0" w:space="0" w:color="auto"/>
      </w:divBdr>
    </w:div>
    <w:div w:id="1812601424">
      <w:bodyDiv w:val="1"/>
      <w:marLeft w:val="0"/>
      <w:marRight w:val="0"/>
      <w:marTop w:val="0"/>
      <w:marBottom w:val="0"/>
      <w:divBdr>
        <w:top w:val="none" w:sz="0" w:space="0" w:color="auto"/>
        <w:left w:val="none" w:sz="0" w:space="0" w:color="auto"/>
        <w:bottom w:val="none" w:sz="0" w:space="0" w:color="auto"/>
        <w:right w:val="none" w:sz="0" w:space="0" w:color="auto"/>
      </w:divBdr>
    </w:div>
    <w:div w:id="1859537435">
      <w:bodyDiv w:val="1"/>
      <w:marLeft w:val="0"/>
      <w:marRight w:val="0"/>
      <w:marTop w:val="0"/>
      <w:marBottom w:val="0"/>
      <w:divBdr>
        <w:top w:val="none" w:sz="0" w:space="0" w:color="auto"/>
        <w:left w:val="none" w:sz="0" w:space="0" w:color="auto"/>
        <w:bottom w:val="none" w:sz="0" w:space="0" w:color="auto"/>
        <w:right w:val="none" w:sz="0" w:space="0" w:color="auto"/>
      </w:divBdr>
    </w:div>
    <w:div w:id="1978993825">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E70A4-4068-4A2A-B461-0F496D4F37F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3.xml><?xml version="1.0" encoding="utf-8"?>
<ds:datastoreItem xmlns:ds="http://schemas.openxmlformats.org/officeDocument/2006/customXml" ds:itemID="{EB247683-4EEA-48B5-BAEB-ED72EA5D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89C39-B73A-4C06-BD6A-F911CC705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1648</Words>
  <Characters>9069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Laurent AUCLAIR</cp:lastModifiedBy>
  <cp:revision>2</cp:revision>
  <cp:lastPrinted>2024-09-05T18:05:00Z</cp:lastPrinted>
  <dcterms:created xsi:type="dcterms:W3CDTF">2025-09-18T18:18:00Z</dcterms:created>
  <dcterms:modified xsi:type="dcterms:W3CDTF">2025-09-18T18:18:00Z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