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5B16" w14:textId="77777777" w:rsidR="006A6814" w:rsidRDefault="004432FE" w:rsidP="004432FE">
      <w:pPr>
        <w:tabs>
          <w:tab w:val="left" w:pos="3969"/>
        </w:tabs>
        <w:spacing w:after="0"/>
      </w:pPr>
      <w:r>
        <w:tab/>
      </w:r>
    </w:p>
    <w:tbl>
      <w:tblPr>
        <w:tblStyle w:val="Grilledutableau"/>
        <w:tblW w:w="0" w:type="auto"/>
        <w:tblLook w:val="04A0" w:firstRow="1" w:lastRow="0" w:firstColumn="1" w:lastColumn="0" w:noHBand="0" w:noVBand="1"/>
      </w:tblPr>
      <w:tblGrid>
        <w:gridCol w:w="5812"/>
        <w:gridCol w:w="3250"/>
      </w:tblGrid>
      <w:tr w:rsidR="006A6814" w14:paraId="20C95B1C" w14:textId="77777777" w:rsidTr="00382580">
        <w:tc>
          <w:tcPr>
            <w:tcW w:w="5812" w:type="dxa"/>
            <w:tcBorders>
              <w:top w:val="nil"/>
              <w:left w:val="nil"/>
              <w:bottom w:val="nil"/>
              <w:right w:val="nil"/>
            </w:tcBorders>
          </w:tcPr>
          <w:p w14:paraId="20C95B17" w14:textId="38EEE5FC" w:rsidR="006A6814" w:rsidRPr="00E7604C" w:rsidRDefault="006A6814" w:rsidP="006A6814">
            <w:pPr>
              <w:tabs>
                <w:tab w:val="left" w:pos="3969"/>
              </w:tabs>
              <w:rPr>
                <w:rFonts w:ascii="Segoe UI" w:eastAsia="SimSun" w:hAnsi="Segoe UI" w:cs="Segoe UI"/>
                <w:b/>
                <w:color w:val="000000" w:themeColor="text1"/>
                <w:lang w:eastAsia="ja-JP"/>
              </w:rPr>
            </w:pPr>
            <w:r w:rsidRPr="00E7604C">
              <w:rPr>
                <w:rFonts w:ascii="Segoe UI" w:eastAsia="SimSun" w:hAnsi="Segoe UI" w:cs="Segoe UI"/>
                <w:b/>
                <w:color w:val="000000" w:themeColor="text1"/>
                <w:lang w:eastAsia="ja-JP"/>
              </w:rPr>
              <w:t xml:space="preserve">Ambassade de France en </w:t>
            </w:r>
            <w:r w:rsidR="00A27CDD">
              <w:rPr>
                <w:rFonts w:ascii="Segoe UI" w:eastAsia="SimSun" w:hAnsi="Segoe UI" w:cs="Segoe UI"/>
                <w:b/>
                <w:color w:val="000000" w:themeColor="text1"/>
                <w:lang w:eastAsia="ja-JP"/>
              </w:rPr>
              <w:t>Tanzanie</w:t>
            </w:r>
          </w:p>
          <w:p w14:paraId="20C95B19" w14:textId="755910FA" w:rsidR="00A4105D" w:rsidRPr="00C3528B" w:rsidRDefault="006A6814" w:rsidP="00C3528B">
            <w:pPr>
              <w:tabs>
                <w:tab w:val="left" w:pos="3969"/>
              </w:tabs>
              <w:rPr>
                <w:rFonts w:ascii="Segoe UI" w:eastAsia="SimSun" w:hAnsi="Segoe UI" w:cs="Segoe UI"/>
                <w:b/>
                <w:color w:val="000000" w:themeColor="text1"/>
                <w:lang w:eastAsia="ja-JP"/>
              </w:rPr>
            </w:pPr>
            <w:r w:rsidRPr="00E7604C">
              <w:rPr>
                <w:rFonts w:ascii="Segoe UI" w:eastAsia="SimSun" w:hAnsi="Segoe UI" w:cs="Segoe UI"/>
                <w:b/>
                <w:color w:val="000000" w:themeColor="text1"/>
                <w:lang w:eastAsia="ja-JP"/>
              </w:rPr>
              <w:t xml:space="preserve">Service économique de </w:t>
            </w:r>
            <w:r w:rsidR="00A27CDD">
              <w:rPr>
                <w:rFonts w:ascii="Segoe UI" w:eastAsia="SimSun" w:hAnsi="Segoe UI" w:cs="Segoe UI"/>
                <w:b/>
                <w:color w:val="000000" w:themeColor="text1"/>
                <w:lang w:eastAsia="ja-JP"/>
              </w:rPr>
              <w:t>Dar es Salam</w:t>
            </w:r>
          </w:p>
        </w:tc>
        <w:tc>
          <w:tcPr>
            <w:tcW w:w="3250" w:type="dxa"/>
            <w:tcBorders>
              <w:top w:val="nil"/>
              <w:left w:val="nil"/>
              <w:bottom w:val="nil"/>
              <w:right w:val="nil"/>
            </w:tcBorders>
          </w:tcPr>
          <w:p w14:paraId="77D2360F" w14:textId="77777777" w:rsidR="00A4105D" w:rsidRDefault="00A4105D" w:rsidP="00CB3B85">
            <w:pPr>
              <w:tabs>
                <w:tab w:val="left" w:pos="3969"/>
              </w:tabs>
              <w:rPr>
                <w:rFonts w:ascii="Segoe UI" w:eastAsia="SimSun" w:hAnsi="Segoe UI" w:cs="Segoe UI"/>
                <w:color w:val="000000" w:themeColor="text1"/>
                <w:sz w:val="18"/>
                <w:szCs w:val="18"/>
                <w:lang w:eastAsia="ja-JP"/>
              </w:rPr>
            </w:pPr>
          </w:p>
          <w:p w14:paraId="20C95B1B" w14:textId="0942D68B" w:rsidR="00A4105D" w:rsidRDefault="00A4105D" w:rsidP="00CB3B85">
            <w:pPr>
              <w:tabs>
                <w:tab w:val="left" w:pos="3969"/>
              </w:tabs>
            </w:pPr>
          </w:p>
        </w:tc>
      </w:tr>
      <w:tr w:rsidR="006A6814" w:rsidRPr="00904EBC" w14:paraId="20C95B1F" w14:textId="77777777" w:rsidTr="006A6814">
        <w:tc>
          <w:tcPr>
            <w:tcW w:w="9062" w:type="dxa"/>
            <w:gridSpan w:val="2"/>
            <w:tcBorders>
              <w:top w:val="nil"/>
              <w:left w:val="nil"/>
              <w:bottom w:val="nil"/>
              <w:right w:val="nil"/>
            </w:tcBorders>
          </w:tcPr>
          <w:p w14:paraId="20C95B1E" w14:textId="74AAD2C7" w:rsidR="00904EBC" w:rsidRPr="00904EBC" w:rsidRDefault="00904EBC" w:rsidP="008C5485">
            <w:pPr>
              <w:tabs>
                <w:tab w:val="left" w:pos="3969"/>
              </w:tabs>
              <w:rPr>
                <w:rFonts w:ascii="Segoe UI" w:eastAsia="Calibri" w:hAnsi="Segoe UI" w:cs="Segoe UI"/>
                <w:color w:val="006CE5"/>
                <w:sz w:val="32"/>
                <w:szCs w:val="32"/>
                <w:lang w:eastAsia="fr-FR"/>
              </w:rPr>
            </w:pPr>
          </w:p>
        </w:tc>
      </w:tr>
    </w:tbl>
    <w:p w14:paraId="72DEBB11" w14:textId="0A54AF26" w:rsidR="00A86F61" w:rsidRDefault="00A4105D" w:rsidP="00202153">
      <w:pPr>
        <w:jc w:val="center"/>
        <w:rPr>
          <w:rFonts w:ascii="Segoe UI" w:hAnsi="Segoe UI" w:cs="Segoe UI"/>
          <w:color w:val="0070C0"/>
          <w:sz w:val="32"/>
          <w:szCs w:val="32"/>
          <w:lang w:eastAsia="ja-JP"/>
        </w:rPr>
      </w:pPr>
      <w:r w:rsidRPr="00A4105D">
        <w:rPr>
          <w:rFonts w:ascii="Segoe UI" w:hAnsi="Segoe UI" w:cs="Segoe UI"/>
          <w:color w:val="0070C0"/>
          <w:sz w:val="32"/>
          <w:szCs w:val="32"/>
          <w:lang w:eastAsia="ja-JP"/>
        </w:rPr>
        <w:t>Point</w:t>
      </w:r>
      <w:r w:rsidR="00DB0850" w:rsidRPr="00DB0850">
        <w:rPr>
          <w:rFonts w:ascii="Segoe UI" w:hAnsi="Segoe UI" w:cs="Segoe UI"/>
          <w:color w:val="0070C0"/>
          <w:sz w:val="32"/>
          <w:szCs w:val="32"/>
          <w:lang w:eastAsia="ja-JP"/>
        </w:rPr>
        <w:t xml:space="preserve"> de situation économique et financière (</w:t>
      </w:r>
      <w:r w:rsidR="0017337A">
        <w:rPr>
          <w:rFonts w:ascii="Segoe UI" w:hAnsi="Segoe UI" w:cs="Segoe UI"/>
          <w:color w:val="0070C0"/>
          <w:sz w:val="32"/>
          <w:szCs w:val="32"/>
          <w:lang w:eastAsia="ja-JP"/>
        </w:rPr>
        <w:t>j</w:t>
      </w:r>
      <w:r w:rsidR="00DB0850">
        <w:rPr>
          <w:rFonts w:ascii="Segoe UI" w:hAnsi="Segoe UI" w:cs="Segoe UI"/>
          <w:color w:val="0070C0"/>
          <w:sz w:val="32"/>
          <w:szCs w:val="32"/>
          <w:lang w:eastAsia="ja-JP"/>
        </w:rPr>
        <w:t>uillet</w:t>
      </w:r>
      <w:r w:rsidR="00DB0850" w:rsidRPr="00DB0850">
        <w:rPr>
          <w:rFonts w:ascii="Segoe UI" w:hAnsi="Segoe UI" w:cs="Segoe UI"/>
          <w:color w:val="0070C0"/>
          <w:sz w:val="32"/>
          <w:szCs w:val="32"/>
          <w:lang w:eastAsia="ja-JP"/>
        </w:rPr>
        <w:t xml:space="preserve"> 202</w:t>
      </w:r>
      <w:r w:rsidR="00DB0850">
        <w:rPr>
          <w:rFonts w:ascii="Segoe UI" w:hAnsi="Segoe UI" w:cs="Segoe UI"/>
          <w:color w:val="0070C0"/>
          <w:sz w:val="32"/>
          <w:szCs w:val="32"/>
          <w:lang w:eastAsia="ja-JP"/>
        </w:rPr>
        <w:t>2)</w:t>
      </w:r>
    </w:p>
    <w:tbl>
      <w:tblPr>
        <w:tblStyle w:val="Grilledutableau"/>
        <w:tblW w:w="0" w:type="auto"/>
        <w:tblLook w:val="04A0" w:firstRow="1" w:lastRow="0" w:firstColumn="1" w:lastColumn="0" w:noHBand="0" w:noVBand="1"/>
      </w:tblPr>
      <w:tblGrid>
        <w:gridCol w:w="9062"/>
      </w:tblGrid>
      <w:tr w:rsidR="008C3C57" w:rsidRPr="00904EBC" w14:paraId="7CFF1249" w14:textId="77777777" w:rsidTr="00001290">
        <w:tc>
          <w:tcPr>
            <w:tcW w:w="9062" w:type="dxa"/>
            <w:tcBorders>
              <w:top w:val="nil"/>
              <w:left w:val="nil"/>
              <w:bottom w:val="nil"/>
              <w:right w:val="nil"/>
            </w:tcBorders>
          </w:tcPr>
          <w:p w14:paraId="230B2109" w14:textId="77777777" w:rsidR="008C3C57" w:rsidRPr="00904EBC" w:rsidRDefault="008C3C57" w:rsidP="00001290">
            <w:pPr>
              <w:tabs>
                <w:tab w:val="left" w:pos="3969"/>
              </w:tabs>
              <w:jc w:val="right"/>
              <w:rPr>
                <w:rFonts w:ascii="Segoe UI" w:eastAsia="Calibri" w:hAnsi="Segoe UI" w:cs="Segoe UI"/>
                <w:color w:val="006CE5"/>
                <w:sz w:val="32"/>
                <w:szCs w:val="32"/>
                <w:lang w:eastAsia="fr-FR"/>
              </w:rPr>
            </w:pPr>
            <w:r>
              <w:rPr>
                <w:rFonts w:ascii="Segoe UI" w:eastAsia="Calibri" w:hAnsi="Segoe UI" w:cs="Segoe UI"/>
                <w:noProof/>
                <w:color w:val="006CE5"/>
                <w:sz w:val="32"/>
                <w:szCs w:val="32"/>
                <w:lang w:eastAsia="fr-FR"/>
              </w:rPr>
              <mc:AlternateContent>
                <mc:Choice Requires="wps">
                  <w:drawing>
                    <wp:anchor distT="0" distB="0" distL="114300" distR="114300" simplePos="0" relativeHeight="251641344" behindDoc="0" locked="0" layoutInCell="1" allowOverlap="1" wp14:anchorId="606D6750" wp14:editId="60215E5F">
                      <wp:simplePos x="0" y="0"/>
                      <wp:positionH relativeFrom="column">
                        <wp:posOffset>4241800</wp:posOffset>
                      </wp:positionH>
                      <wp:positionV relativeFrom="paragraph">
                        <wp:posOffset>72390</wp:posOffset>
                      </wp:positionV>
                      <wp:extent cx="13525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33647" id="Connecteur droit 2"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34pt,5.7pt" to="44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" strokecolor="#5b9bd5 [3204]" strokeweight=".5pt">
                      <v:stroke joinstyle="miter"/>
                    </v:line>
                  </w:pict>
                </mc:Fallback>
              </mc:AlternateContent>
            </w:r>
          </w:p>
        </w:tc>
      </w:tr>
    </w:tbl>
    <w:p w14:paraId="1CB3A7BF" w14:textId="21F56F39" w:rsidR="00F041A9" w:rsidRDefault="00422105" w:rsidP="006A1452">
      <w:pPr>
        <w:spacing w:after="120" w:line="240" w:lineRule="auto"/>
        <w:jc w:val="both"/>
        <w:rPr>
          <w:rFonts w:ascii="Segoe UI" w:hAnsi="Segoe UI" w:cs="Segoe UI"/>
          <w:color w:val="0070C0"/>
        </w:rPr>
      </w:pPr>
      <w:r w:rsidRPr="00422105">
        <w:rPr>
          <w:rFonts w:ascii="Segoe UI" w:hAnsi="Segoe UI" w:cs="Segoe UI"/>
          <w:color w:val="0070C0"/>
        </w:rPr>
        <w:t xml:space="preserve">L'économie tanzanienne se remet progressivement des effets négatifs de la pandémie de COVID-19. </w:t>
      </w:r>
      <w:r w:rsidR="00DA3001" w:rsidRPr="00340A46">
        <w:rPr>
          <w:rFonts w:ascii="Segoe UI" w:hAnsi="Segoe UI" w:cs="Segoe UI"/>
          <w:color w:val="0070C0"/>
        </w:rPr>
        <w:t xml:space="preserve">La croissance annuelle </w:t>
      </w:r>
      <w:r w:rsidR="001160BF">
        <w:rPr>
          <w:rFonts w:ascii="Segoe UI" w:hAnsi="Segoe UI" w:cs="Segoe UI"/>
          <w:color w:val="0070C0"/>
        </w:rPr>
        <w:t xml:space="preserve">moyenne </w:t>
      </w:r>
      <w:r w:rsidR="00DA3001" w:rsidRPr="00340A46">
        <w:rPr>
          <w:rFonts w:ascii="Segoe UI" w:hAnsi="Segoe UI" w:cs="Segoe UI"/>
          <w:color w:val="0070C0"/>
        </w:rPr>
        <w:t>de 6,4% entre 2000 et 2018 a permis la multiplication par 2,5 du PIB par habitant</w:t>
      </w:r>
      <w:r w:rsidR="001160BF">
        <w:rPr>
          <w:rFonts w:ascii="Segoe UI" w:hAnsi="Segoe UI" w:cs="Segoe UI"/>
          <w:color w:val="0070C0"/>
        </w:rPr>
        <w:t>. La croissance est restée soutenue</w:t>
      </w:r>
      <w:r w:rsidR="003E09F5">
        <w:rPr>
          <w:rFonts w:ascii="Segoe UI" w:hAnsi="Segoe UI" w:cs="Segoe UI"/>
          <w:color w:val="0070C0"/>
        </w:rPr>
        <w:t xml:space="preserve"> </w:t>
      </w:r>
      <w:r w:rsidR="001160BF" w:rsidRPr="00340A46">
        <w:rPr>
          <w:rFonts w:ascii="Segoe UI" w:hAnsi="Segoe UI" w:cs="Segoe UI"/>
          <w:color w:val="0070C0"/>
        </w:rPr>
        <w:t xml:space="preserve">sur la période 2019-2020 </w:t>
      </w:r>
      <w:r w:rsidR="003E09F5">
        <w:rPr>
          <w:rFonts w:ascii="Segoe UI" w:hAnsi="Segoe UI" w:cs="Segoe UI"/>
          <w:color w:val="0070C0"/>
        </w:rPr>
        <w:t xml:space="preserve">à 5,9% </w:t>
      </w:r>
      <w:r w:rsidR="001160BF" w:rsidRPr="00340A46">
        <w:rPr>
          <w:rFonts w:ascii="Segoe UI" w:hAnsi="Segoe UI" w:cs="Segoe UI"/>
          <w:color w:val="0070C0"/>
        </w:rPr>
        <w:t xml:space="preserve">et </w:t>
      </w:r>
      <w:r w:rsidR="003E09F5">
        <w:rPr>
          <w:rFonts w:ascii="Segoe UI" w:hAnsi="Segoe UI" w:cs="Segoe UI"/>
          <w:color w:val="0070C0"/>
        </w:rPr>
        <w:t xml:space="preserve">a atteint </w:t>
      </w:r>
      <w:r w:rsidR="001160BF" w:rsidRPr="00340A46">
        <w:rPr>
          <w:rFonts w:ascii="Segoe UI" w:hAnsi="Segoe UI" w:cs="Segoe UI"/>
          <w:color w:val="0070C0"/>
        </w:rPr>
        <w:t xml:space="preserve">4,9% en 2020-2021, </w:t>
      </w:r>
      <w:r w:rsidR="001160BF">
        <w:rPr>
          <w:rFonts w:ascii="Segoe UI" w:hAnsi="Segoe UI" w:cs="Segoe UI"/>
          <w:color w:val="0070C0"/>
        </w:rPr>
        <w:t>malgré la crise sanitaire</w:t>
      </w:r>
      <w:r w:rsidR="001160BF" w:rsidRPr="00340A46">
        <w:rPr>
          <w:rFonts w:ascii="Segoe UI" w:hAnsi="Segoe UI" w:cs="Segoe UI"/>
          <w:color w:val="0070C0"/>
        </w:rPr>
        <w:t>.</w:t>
      </w:r>
      <w:r w:rsidR="005B26F9">
        <w:rPr>
          <w:rFonts w:ascii="Segoe UI" w:hAnsi="Segoe UI" w:cs="Segoe UI"/>
          <w:color w:val="0070C0"/>
        </w:rPr>
        <w:t xml:space="preserve"> Le</w:t>
      </w:r>
      <w:r w:rsidRPr="00422105">
        <w:rPr>
          <w:rFonts w:ascii="Segoe UI" w:hAnsi="Segoe UI" w:cs="Segoe UI"/>
          <w:color w:val="0070C0"/>
        </w:rPr>
        <w:t xml:space="preserve"> financement d'urgence </w:t>
      </w:r>
      <w:r w:rsidRPr="00262C8D">
        <w:rPr>
          <w:rFonts w:ascii="Segoe UI" w:hAnsi="Segoe UI" w:cs="Segoe UI"/>
          <w:color w:val="0070C0"/>
        </w:rPr>
        <w:t>du FMI en</w:t>
      </w:r>
      <w:r w:rsidRPr="00422105">
        <w:rPr>
          <w:rFonts w:ascii="Segoe UI" w:hAnsi="Segoe UI" w:cs="Segoe UI"/>
          <w:color w:val="0070C0"/>
        </w:rPr>
        <w:t xml:space="preserve"> 2021 a aidé à faire face aux pressions budgétaires, à préserver la stabilité et à financer la réponse économique et sanitaire des autorités à la COVID-19, </w:t>
      </w:r>
      <w:r w:rsidR="00A64834">
        <w:rPr>
          <w:rFonts w:ascii="Segoe UI" w:hAnsi="Segoe UI" w:cs="Segoe UI"/>
          <w:color w:val="0070C0"/>
        </w:rPr>
        <w:t>mais le pays</w:t>
      </w:r>
      <w:r w:rsidRPr="00422105">
        <w:rPr>
          <w:rFonts w:ascii="Segoe UI" w:hAnsi="Segoe UI" w:cs="Segoe UI"/>
          <w:color w:val="0070C0"/>
        </w:rPr>
        <w:t xml:space="preserve"> </w:t>
      </w:r>
      <w:r w:rsidR="002F2DC7">
        <w:rPr>
          <w:rFonts w:ascii="Segoe UI" w:hAnsi="Segoe UI" w:cs="Segoe UI"/>
          <w:color w:val="0070C0"/>
        </w:rPr>
        <w:t>reste confronté</w:t>
      </w:r>
      <w:r w:rsidRPr="00422105">
        <w:rPr>
          <w:rFonts w:ascii="Segoe UI" w:hAnsi="Segoe UI" w:cs="Segoe UI"/>
          <w:color w:val="0070C0"/>
        </w:rPr>
        <w:t xml:space="preserve"> à des défis de développement et de réforme</w:t>
      </w:r>
      <w:r w:rsidR="00D14EA7">
        <w:rPr>
          <w:rFonts w:ascii="Segoe UI" w:hAnsi="Segoe UI" w:cs="Segoe UI"/>
          <w:color w:val="0070C0"/>
        </w:rPr>
        <w:t>s</w:t>
      </w:r>
      <w:r w:rsidRPr="00422105">
        <w:rPr>
          <w:rFonts w:ascii="Segoe UI" w:hAnsi="Segoe UI" w:cs="Segoe UI"/>
          <w:color w:val="0070C0"/>
        </w:rPr>
        <w:t xml:space="preserve"> pour libérer son potentiel économique. </w:t>
      </w:r>
      <w:r w:rsidR="005B26F9" w:rsidRPr="00340A46">
        <w:rPr>
          <w:rFonts w:ascii="Segoe UI" w:hAnsi="Segoe UI" w:cs="Segoe UI"/>
          <w:color w:val="0070C0"/>
        </w:rPr>
        <w:t xml:space="preserve">Les grands chantiers d’infrastructures en cours tels que le barrage Julius Nyerere et </w:t>
      </w:r>
      <w:r w:rsidR="00D14EA7">
        <w:rPr>
          <w:rFonts w:ascii="Segoe UI" w:hAnsi="Segoe UI" w:cs="Segoe UI"/>
          <w:color w:val="0070C0"/>
        </w:rPr>
        <w:t>la voie ferrée</w:t>
      </w:r>
      <w:r w:rsidR="00D14EA7" w:rsidRPr="00340A46">
        <w:rPr>
          <w:rFonts w:ascii="Segoe UI" w:hAnsi="Segoe UI" w:cs="Segoe UI"/>
          <w:color w:val="0070C0"/>
        </w:rPr>
        <w:t xml:space="preserve"> </w:t>
      </w:r>
      <w:r w:rsidR="005B26F9" w:rsidRPr="00340A46">
        <w:rPr>
          <w:rFonts w:ascii="Segoe UI" w:hAnsi="Segoe UI" w:cs="Segoe UI"/>
          <w:color w:val="0070C0"/>
        </w:rPr>
        <w:t>Standard-Gauge Railway - SGR soutiendraient la croissance à moyen terme.</w:t>
      </w:r>
    </w:p>
    <w:p w14:paraId="5FB89082" w14:textId="77777777" w:rsidR="00202153" w:rsidRPr="00340A46" w:rsidRDefault="00202153" w:rsidP="006A1452">
      <w:pPr>
        <w:spacing w:after="120" w:line="240" w:lineRule="auto"/>
        <w:jc w:val="both"/>
        <w:rPr>
          <w:rFonts w:ascii="Segoe UI" w:hAnsi="Segoe UI" w:cs="Segoe UI"/>
          <w:color w:val="0070C0"/>
        </w:rPr>
      </w:pPr>
    </w:p>
    <w:p w14:paraId="5326B87B" w14:textId="628554AA" w:rsidR="00CD1135" w:rsidRPr="00F041A9" w:rsidRDefault="00F041A9" w:rsidP="006A1452">
      <w:pPr>
        <w:spacing w:after="120" w:line="240" w:lineRule="auto"/>
        <w:jc w:val="both"/>
        <w:rPr>
          <w:rFonts w:ascii="Segoe UI" w:hAnsi="Segoe UI" w:cs="Segoe UI"/>
        </w:rPr>
      </w:pPr>
      <w:r w:rsidRPr="0062615D">
        <w:rPr>
          <w:rFonts w:ascii="Segoe UI" w:hAnsi="Segoe UI" w:cs="Segoe UI"/>
          <w:noProof/>
          <w:lang w:eastAsia="fr-FR"/>
        </w:rPr>
        <mc:AlternateContent>
          <mc:Choice Requires="wps">
            <w:drawing>
              <wp:inline distT="0" distB="0" distL="0" distR="0" wp14:anchorId="300DD799" wp14:editId="39520DD8">
                <wp:extent cx="5760720" cy="508958"/>
                <wp:effectExtent l="0" t="0" r="0" b="571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08958"/>
                        </a:xfrm>
                        <a:prstGeom prst="rect">
                          <a:avLst/>
                        </a:prstGeom>
                        <a:solidFill>
                          <a:srgbClr val="006CE5"/>
                        </a:solidFill>
                        <a:ln w="9525">
                          <a:noFill/>
                          <a:miter lim="800000"/>
                          <a:headEnd/>
                          <a:tailEnd/>
                        </a:ln>
                      </wps:spPr>
                      <wps:txbx>
                        <w:txbxContent>
                          <w:p w14:paraId="5BC03224" w14:textId="7A7573F3" w:rsidR="00F041A9" w:rsidRPr="00492C67" w:rsidRDefault="00EB0A09" w:rsidP="00F041A9">
                            <w:pPr>
                              <w:rPr>
                                <w:rFonts w:ascii="Segoe UI Historic" w:hAnsi="Segoe UI Historic" w:cs="Segoe UI Historic"/>
                                <w:color w:val="FFFFFF" w:themeColor="background1"/>
                                <w:sz w:val="24"/>
                                <w:szCs w:val="24"/>
                              </w:rPr>
                            </w:pPr>
                            <w:r w:rsidRPr="00EB0A09">
                              <w:rPr>
                                <w:rFonts w:ascii="Segoe UI Historic" w:hAnsi="Segoe UI Historic" w:cs="Segoe UI Historic"/>
                                <w:color w:val="FFFFFF" w:themeColor="background1"/>
                                <w:sz w:val="24"/>
                                <w:szCs w:val="24"/>
                              </w:rPr>
                              <w:t xml:space="preserve">Le </w:t>
                            </w:r>
                            <w:r w:rsidR="00D14EA7">
                              <w:rPr>
                                <w:rFonts w:ascii="Segoe UI Historic" w:hAnsi="Segoe UI Historic" w:cs="Segoe UI Historic"/>
                                <w:color w:val="FFFFFF" w:themeColor="background1"/>
                                <w:sz w:val="24"/>
                                <w:szCs w:val="24"/>
                              </w:rPr>
                              <w:t>T</w:t>
                            </w:r>
                            <w:r w:rsidRPr="00EB0A09">
                              <w:rPr>
                                <w:rFonts w:ascii="Segoe UI Historic" w:hAnsi="Segoe UI Historic" w:cs="Segoe UI Historic"/>
                                <w:color w:val="FFFFFF" w:themeColor="background1"/>
                                <w:sz w:val="24"/>
                                <w:szCs w:val="24"/>
                              </w:rPr>
                              <w:t xml:space="preserve">roisième plan </w:t>
                            </w:r>
                            <w:r w:rsidR="00FF55D2">
                              <w:rPr>
                                <w:rFonts w:ascii="Segoe UI Historic" w:hAnsi="Segoe UI Historic" w:cs="Segoe UI Historic"/>
                                <w:color w:val="FFFFFF" w:themeColor="background1"/>
                                <w:sz w:val="24"/>
                                <w:szCs w:val="24"/>
                              </w:rPr>
                              <w:t xml:space="preserve">quinquennal de </w:t>
                            </w:r>
                            <w:r w:rsidRPr="00EB0A09">
                              <w:rPr>
                                <w:rFonts w:ascii="Segoe UI Historic" w:hAnsi="Segoe UI Historic" w:cs="Segoe UI Historic"/>
                                <w:color w:val="FFFFFF" w:themeColor="background1"/>
                                <w:sz w:val="24"/>
                                <w:szCs w:val="24"/>
                              </w:rPr>
                              <w:t>développement visant à accélérer la croissance économique</w:t>
                            </w:r>
                            <w:r w:rsidR="005B32AB">
                              <w:rPr>
                                <w:rFonts w:ascii="Segoe UI Historic" w:hAnsi="Segoe UI Historic" w:cs="Segoe UI Historic"/>
                                <w:color w:val="FFFFFF" w:themeColor="background1"/>
                                <w:sz w:val="24"/>
                                <w:szCs w:val="24"/>
                              </w:rPr>
                              <w:t xml:space="preserve"> et </w:t>
                            </w:r>
                            <w:r w:rsidR="005B32AB" w:rsidRPr="005B32AB">
                              <w:rPr>
                                <w:rFonts w:ascii="Segoe UI Historic" w:hAnsi="Segoe UI Historic" w:cs="Segoe UI Historic"/>
                                <w:color w:val="FFFFFF" w:themeColor="background1"/>
                                <w:sz w:val="24"/>
                                <w:szCs w:val="24"/>
                              </w:rPr>
                              <w:t>améliorer l'environnement des affaires</w:t>
                            </w:r>
                          </w:p>
                        </w:txbxContent>
                      </wps:txbx>
                      <wps:bodyPr rot="0" vert="horz" wrap="square" lIns="91440" tIns="45720" rIns="91440" bIns="45720" anchor="t" anchorCtr="0">
                        <a:noAutofit/>
                      </wps:bodyPr>
                    </wps:wsp>
                  </a:graphicData>
                </a:graphic>
              </wp:inline>
            </w:drawing>
          </mc:Choice>
          <mc:Fallback>
            <w:pict>
              <v:shapetype w14:anchorId="300DD799" id="_x0000_t202" coordsize="21600,21600" o:spt="202" path="m,l,21600r21600,l21600,xe">
                <v:stroke joinstyle="miter"/>
                <v:path gradientshapeok="t" o:connecttype="rect"/>
              </v:shapetype>
              <v:shape id="Zone de texte 2" o:spid="_x0000_s1026" type="#_x0000_t202" style="width:453.6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" fillcolor="#006ce5" stroked="f">
                <v:textbox>
                  <w:txbxContent>
                    <w:p w14:paraId="5BC03224" w14:textId="7A7573F3" w:rsidR="00F041A9" w:rsidRPr="00492C67" w:rsidRDefault="00EB0A09" w:rsidP="00F041A9">
                      <w:pPr>
                        <w:rPr>
                          <w:rFonts w:ascii="Segoe UI Historic" w:hAnsi="Segoe UI Historic" w:cs="Segoe UI Historic"/>
                          <w:color w:val="FFFFFF" w:themeColor="background1"/>
                          <w:sz w:val="24"/>
                          <w:szCs w:val="24"/>
                        </w:rPr>
                      </w:pPr>
                      <w:r w:rsidRPr="00EB0A09">
                        <w:rPr>
                          <w:rFonts w:ascii="Segoe UI Historic" w:hAnsi="Segoe UI Historic" w:cs="Segoe UI Historic"/>
                          <w:color w:val="FFFFFF" w:themeColor="background1"/>
                          <w:sz w:val="24"/>
                          <w:szCs w:val="24"/>
                        </w:rPr>
                        <w:t xml:space="preserve">Le </w:t>
                      </w:r>
                      <w:r w:rsidR="00D14EA7">
                        <w:rPr>
                          <w:rFonts w:ascii="Segoe UI Historic" w:hAnsi="Segoe UI Historic" w:cs="Segoe UI Historic"/>
                          <w:color w:val="FFFFFF" w:themeColor="background1"/>
                          <w:sz w:val="24"/>
                          <w:szCs w:val="24"/>
                        </w:rPr>
                        <w:t>T</w:t>
                      </w:r>
                      <w:r w:rsidRPr="00EB0A09">
                        <w:rPr>
                          <w:rFonts w:ascii="Segoe UI Historic" w:hAnsi="Segoe UI Historic" w:cs="Segoe UI Historic"/>
                          <w:color w:val="FFFFFF" w:themeColor="background1"/>
                          <w:sz w:val="24"/>
                          <w:szCs w:val="24"/>
                        </w:rPr>
                        <w:t xml:space="preserve">roisième plan </w:t>
                      </w:r>
                      <w:r w:rsidR="00FF55D2">
                        <w:rPr>
                          <w:rFonts w:ascii="Segoe UI Historic" w:hAnsi="Segoe UI Historic" w:cs="Segoe UI Historic"/>
                          <w:color w:val="FFFFFF" w:themeColor="background1"/>
                          <w:sz w:val="24"/>
                          <w:szCs w:val="24"/>
                        </w:rPr>
                        <w:t xml:space="preserve">quinquennal de </w:t>
                      </w:r>
                      <w:r w:rsidRPr="00EB0A09">
                        <w:rPr>
                          <w:rFonts w:ascii="Segoe UI Historic" w:hAnsi="Segoe UI Historic" w:cs="Segoe UI Historic"/>
                          <w:color w:val="FFFFFF" w:themeColor="background1"/>
                          <w:sz w:val="24"/>
                          <w:szCs w:val="24"/>
                        </w:rPr>
                        <w:t>développement visant à accélérer la croissance économique</w:t>
                      </w:r>
                      <w:r w:rsidR="005B32AB">
                        <w:rPr>
                          <w:rFonts w:ascii="Segoe UI Historic" w:hAnsi="Segoe UI Historic" w:cs="Segoe UI Historic"/>
                          <w:color w:val="FFFFFF" w:themeColor="background1"/>
                          <w:sz w:val="24"/>
                          <w:szCs w:val="24"/>
                        </w:rPr>
                        <w:t xml:space="preserve"> et </w:t>
                      </w:r>
                      <w:r w:rsidR="005B32AB" w:rsidRPr="005B32AB">
                        <w:rPr>
                          <w:rFonts w:ascii="Segoe UI Historic" w:hAnsi="Segoe UI Historic" w:cs="Segoe UI Historic"/>
                          <w:color w:val="FFFFFF" w:themeColor="background1"/>
                          <w:sz w:val="24"/>
                          <w:szCs w:val="24"/>
                        </w:rPr>
                        <w:t>améliorer l'environnement des affaires</w:t>
                      </w:r>
                    </w:p>
                  </w:txbxContent>
                </v:textbox>
                <w10:anchorlock/>
              </v:shape>
            </w:pict>
          </mc:Fallback>
        </mc:AlternateContent>
      </w:r>
    </w:p>
    <w:p w14:paraId="690D9EF1" w14:textId="4C41EA3B" w:rsidR="00F041A9" w:rsidRPr="005B32AB" w:rsidRDefault="00EB0A09" w:rsidP="006A1452">
      <w:pPr>
        <w:tabs>
          <w:tab w:val="left" w:pos="0"/>
          <w:tab w:val="left" w:pos="426"/>
        </w:tabs>
        <w:spacing w:after="120" w:line="240" w:lineRule="auto"/>
        <w:jc w:val="both"/>
        <w:rPr>
          <w:rFonts w:ascii="Segoe UI" w:eastAsia="Times New Roman" w:hAnsi="Segoe UI" w:cs="Segoe UI"/>
          <w:color w:val="222222"/>
          <w:lang w:eastAsia="fr-FR"/>
        </w:rPr>
      </w:pPr>
      <w:r w:rsidRPr="00391B59">
        <w:rPr>
          <w:rFonts w:ascii="Segoe UI" w:eastAsia="Times New Roman" w:hAnsi="Segoe UI" w:cs="Segoe UI"/>
          <w:b/>
          <w:bCs/>
          <w:color w:val="222222"/>
          <w:lang w:eastAsia="fr-FR"/>
        </w:rPr>
        <w:t xml:space="preserve">Le </w:t>
      </w:r>
      <w:r w:rsidR="00D14EA7">
        <w:rPr>
          <w:rFonts w:ascii="Segoe UI" w:eastAsia="Times New Roman" w:hAnsi="Segoe UI" w:cs="Segoe UI"/>
          <w:b/>
          <w:bCs/>
          <w:color w:val="222222"/>
          <w:lang w:eastAsia="fr-FR"/>
        </w:rPr>
        <w:t>T</w:t>
      </w:r>
      <w:r w:rsidRPr="00391B59">
        <w:rPr>
          <w:rFonts w:ascii="Segoe UI" w:eastAsia="Times New Roman" w:hAnsi="Segoe UI" w:cs="Segoe UI"/>
          <w:b/>
          <w:bCs/>
          <w:color w:val="222222"/>
          <w:lang w:eastAsia="fr-FR"/>
        </w:rPr>
        <w:t xml:space="preserve">roisième plan </w:t>
      </w:r>
      <w:r w:rsidR="00FF55D2" w:rsidRPr="00391B59">
        <w:rPr>
          <w:rFonts w:ascii="Segoe UI" w:eastAsia="Times New Roman" w:hAnsi="Segoe UI" w:cs="Segoe UI"/>
          <w:b/>
          <w:bCs/>
          <w:color w:val="222222"/>
          <w:lang w:eastAsia="fr-FR"/>
        </w:rPr>
        <w:t xml:space="preserve">quinquennal </w:t>
      </w:r>
      <w:r w:rsidRPr="00391B59">
        <w:rPr>
          <w:rFonts w:ascii="Segoe UI" w:eastAsia="Times New Roman" w:hAnsi="Segoe UI" w:cs="Segoe UI"/>
          <w:b/>
          <w:bCs/>
          <w:color w:val="222222"/>
          <w:lang w:eastAsia="fr-FR"/>
        </w:rPr>
        <w:t>de développement de la Tanzanie 2021/22 - 2025/26 (FYDPIII) vise à accélérer l</w:t>
      </w:r>
      <w:r w:rsidR="00FF55D2">
        <w:rPr>
          <w:rFonts w:ascii="Segoe UI" w:eastAsia="Times New Roman" w:hAnsi="Segoe UI" w:cs="Segoe UI"/>
          <w:b/>
          <w:bCs/>
          <w:color w:val="222222"/>
          <w:lang w:eastAsia="fr-FR"/>
        </w:rPr>
        <w:t xml:space="preserve">a transition vers un </w:t>
      </w:r>
      <w:r w:rsidRPr="00391B59">
        <w:rPr>
          <w:rFonts w:ascii="Segoe UI" w:eastAsia="Times New Roman" w:hAnsi="Segoe UI" w:cs="Segoe UI"/>
          <w:b/>
          <w:bCs/>
          <w:color w:val="222222"/>
          <w:lang w:eastAsia="fr-FR"/>
        </w:rPr>
        <w:t xml:space="preserve">pays </w:t>
      </w:r>
      <w:r w:rsidR="002F2DC7" w:rsidRPr="00391B59">
        <w:rPr>
          <w:rFonts w:ascii="Segoe UI" w:eastAsia="Times New Roman" w:hAnsi="Segoe UI" w:cs="Segoe UI"/>
          <w:b/>
          <w:bCs/>
          <w:color w:val="222222"/>
          <w:lang w:eastAsia="fr-FR"/>
        </w:rPr>
        <w:t>à revenu intermédiaire</w:t>
      </w:r>
      <w:r w:rsidR="002F2DC7">
        <w:rPr>
          <w:rFonts w:ascii="Segoe UI" w:eastAsia="Times New Roman" w:hAnsi="Segoe UI" w:cs="Segoe UI"/>
          <w:b/>
          <w:bCs/>
          <w:color w:val="222222"/>
          <w:lang w:eastAsia="fr-FR"/>
        </w:rPr>
        <w:t xml:space="preserve">, </w:t>
      </w:r>
      <w:r w:rsidRPr="00391B59">
        <w:rPr>
          <w:rFonts w:ascii="Segoe UI" w:eastAsia="Times New Roman" w:hAnsi="Segoe UI" w:cs="Segoe UI"/>
          <w:b/>
          <w:bCs/>
          <w:color w:val="222222"/>
          <w:lang w:eastAsia="fr-FR"/>
        </w:rPr>
        <w:t>semi-industrialisé</w:t>
      </w:r>
      <w:r w:rsidR="002F2DC7">
        <w:rPr>
          <w:rFonts w:ascii="Segoe UI" w:eastAsia="Times New Roman" w:hAnsi="Segoe UI" w:cs="Segoe UI"/>
          <w:b/>
          <w:bCs/>
          <w:color w:val="222222"/>
          <w:lang w:eastAsia="fr-FR"/>
        </w:rPr>
        <w:t xml:space="preserve"> et compétitif</w:t>
      </w:r>
      <w:r w:rsidRPr="00391B59">
        <w:rPr>
          <w:rFonts w:ascii="Segoe UI" w:eastAsia="Times New Roman" w:hAnsi="Segoe UI" w:cs="Segoe UI"/>
          <w:b/>
          <w:bCs/>
          <w:color w:val="222222"/>
          <w:lang w:eastAsia="fr-FR"/>
        </w:rPr>
        <w:t>,</w:t>
      </w:r>
      <w:r w:rsidRPr="005B32AB">
        <w:rPr>
          <w:rFonts w:ascii="Segoe UI" w:eastAsia="Times New Roman" w:hAnsi="Segoe UI" w:cs="Segoe UI"/>
          <w:color w:val="222222"/>
          <w:lang w:eastAsia="fr-FR"/>
        </w:rPr>
        <w:t xml:space="preserve"> tout en renforçant le capital humain et en assurant une croissance inclusive. Le plan vise à </w:t>
      </w:r>
      <w:r w:rsidR="002F2DC7">
        <w:rPr>
          <w:rFonts w:ascii="Segoe UI" w:eastAsia="Times New Roman" w:hAnsi="Segoe UI" w:cs="Segoe UI"/>
          <w:color w:val="222222"/>
          <w:lang w:eastAsia="fr-FR"/>
        </w:rPr>
        <w:t>renforcer</w:t>
      </w:r>
      <w:r w:rsidRPr="005B32AB">
        <w:rPr>
          <w:rFonts w:ascii="Segoe UI" w:eastAsia="Times New Roman" w:hAnsi="Segoe UI" w:cs="Segoe UI"/>
          <w:color w:val="222222"/>
          <w:lang w:eastAsia="fr-FR"/>
        </w:rPr>
        <w:t xml:space="preserve"> la croissance économique à une moyenne supérieure à 8 % à moyen terme</w:t>
      </w:r>
      <w:r w:rsidR="002F2DC7">
        <w:rPr>
          <w:rFonts w:ascii="Segoe UI" w:eastAsia="Times New Roman" w:hAnsi="Segoe UI" w:cs="Segoe UI"/>
          <w:color w:val="222222"/>
          <w:lang w:eastAsia="fr-FR"/>
        </w:rPr>
        <w:t>, à</w:t>
      </w:r>
      <w:r w:rsidRPr="005B32AB">
        <w:rPr>
          <w:rFonts w:ascii="Segoe UI" w:eastAsia="Times New Roman" w:hAnsi="Segoe UI" w:cs="Segoe UI"/>
          <w:color w:val="222222"/>
          <w:lang w:eastAsia="fr-FR"/>
        </w:rPr>
        <w:t xml:space="preserve"> améliorer l'environnement des affaires, les recettes publiques et les exportations</w:t>
      </w:r>
      <w:r w:rsidR="009A09D0">
        <w:rPr>
          <w:rFonts w:ascii="Segoe UI" w:eastAsia="Times New Roman" w:hAnsi="Segoe UI" w:cs="Segoe UI"/>
          <w:color w:val="222222"/>
          <w:lang w:eastAsia="fr-FR"/>
        </w:rPr>
        <w:t xml:space="preserve">, </w:t>
      </w:r>
      <w:r w:rsidR="002F2DC7">
        <w:rPr>
          <w:rFonts w:ascii="Segoe UI" w:eastAsia="Times New Roman" w:hAnsi="Segoe UI" w:cs="Segoe UI"/>
          <w:color w:val="222222"/>
          <w:lang w:eastAsia="fr-FR"/>
        </w:rPr>
        <w:t xml:space="preserve">à </w:t>
      </w:r>
      <w:r w:rsidR="005B32AB" w:rsidRPr="005B32AB">
        <w:rPr>
          <w:rFonts w:ascii="Segoe UI" w:eastAsia="Times New Roman" w:hAnsi="Segoe UI" w:cs="Segoe UI"/>
          <w:color w:val="222222"/>
          <w:lang w:eastAsia="fr-FR"/>
        </w:rPr>
        <w:t>r</w:t>
      </w:r>
      <w:r w:rsidRPr="005B32AB">
        <w:rPr>
          <w:rFonts w:ascii="Segoe UI" w:eastAsia="Times New Roman" w:hAnsi="Segoe UI" w:cs="Segoe UI"/>
          <w:color w:val="222222"/>
          <w:lang w:eastAsia="fr-FR"/>
        </w:rPr>
        <w:t>éduire la pauvreté</w:t>
      </w:r>
      <w:r w:rsidR="009A09D0">
        <w:rPr>
          <w:rFonts w:ascii="Segoe UI" w:eastAsia="Times New Roman" w:hAnsi="Segoe UI" w:cs="Segoe UI"/>
          <w:color w:val="222222"/>
          <w:lang w:eastAsia="fr-FR"/>
        </w:rPr>
        <w:t xml:space="preserve">, </w:t>
      </w:r>
      <w:r w:rsidR="002F2DC7">
        <w:rPr>
          <w:rFonts w:ascii="Segoe UI" w:eastAsia="Times New Roman" w:hAnsi="Segoe UI" w:cs="Segoe UI"/>
          <w:color w:val="222222"/>
          <w:lang w:eastAsia="fr-FR"/>
        </w:rPr>
        <w:t xml:space="preserve">à </w:t>
      </w:r>
      <w:r w:rsidRPr="005B32AB">
        <w:rPr>
          <w:rFonts w:ascii="Segoe UI" w:eastAsia="Times New Roman" w:hAnsi="Segoe UI" w:cs="Segoe UI"/>
          <w:color w:val="222222"/>
          <w:lang w:eastAsia="fr-FR"/>
        </w:rPr>
        <w:t xml:space="preserve">améliorer l'indice de développement humain et </w:t>
      </w:r>
      <w:r w:rsidR="002F2DC7">
        <w:rPr>
          <w:rFonts w:ascii="Segoe UI" w:eastAsia="Times New Roman" w:hAnsi="Segoe UI" w:cs="Segoe UI"/>
          <w:color w:val="222222"/>
          <w:lang w:eastAsia="fr-FR"/>
        </w:rPr>
        <w:t xml:space="preserve">à </w:t>
      </w:r>
      <w:r w:rsidRPr="005B32AB">
        <w:rPr>
          <w:rFonts w:ascii="Segoe UI" w:eastAsia="Times New Roman" w:hAnsi="Segoe UI" w:cs="Segoe UI"/>
          <w:color w:val="222222"/>
          <w:lang w:eastAsia="fr-FR"/>
        </w:rPr>
        <w:t>réduire la mortalité.</w:t>
      </w:r>
    </w:p>
    <w:p w14:paraId="439E95AD" w14:textId="6D31B1C6" w:rsidR="00EB0A09" w:rsidRPr="000F66F3" w:rsidRDefault="00EB0A09" w:rsidP="006A1452">
      <w:pPr>
        <w:overflowPunct w:val="0"/>
        <w:autoSpaceDE w:val="0"/>
        <w:autoSpaceDN w:val="0"/>
        <w:adjustRightInd w:val="0"/>
        <w:spacing w:after="120" w:line="240" w:lineRule="auto"/>
        <w:jc w:val="both"/>
        <w:textAlignment w:val="baseline"/>
        <w:rPr>
          <w:rFonts w:ascii="Segoe UI" w:eastAsia="Times New Roman" w:hAnsi="Segoe UI" w:cs="Segoe UI"/>
          <w:color w:val="222222"/>
          <w:lang w:eastAsia="fr-FR"/>
        </w:rPr>
      </w:pPr>
      <w:r w:rsidRPr="000F66F3">
        <w:rPr>
          <w:rFonts w:ascii="Segoe UI" w:eastAsia="Times New Roman" w:hAnsi="Segoe UI" w:cs="Segoe UI"/>
          <w:b/>
          <w:color w:val="222222"/>
          <w:lang w:eastAsia="fr-FR"/>
        </w:rPr>
        <w:t>Toutefois, la transformation en une économie semi-industrielle peine à se concrétiser.</w:t>
      </w:r>
      <w:r w:rsidRPr="000F66F3">
        <w:rPr>
          <w:rFonts w:ascii="Segoe UI" w:eastAsia="Times New Roman" w:hAnsi="Segoe UI" w:cs="Segoe UI"/>
          <w:color w:val="222222"/>
          <w:lang w:eastAsia="fr-FR"/>
        </w:rPr>
        <w:t xml:space="preserve"> L’agriculture, majoritairement de subsistance, représent</w:t>
      </w:r>
      <w:r w:rsidR="002F2DC7">
        <w:rPr>
          <w:rFonts w:ascii="Segoe UI" w:eastAsia="Times New Roman" w:hAnsi="Segoe UI" w:cs="Segoe UI"/>
          <w:color w:val="222222"/>
          <w:lang w:eastAsia="fr-FR"/>
        </w:rPr>
        <w:t>e</w:t>
      </w:r>
      <w:r w:rsidRPr="000F66F3">
        <w:rPr>
          <w:rFonts w:ascii="Segoe UI" w:eastAsia="Times New Roman" w:hAnsi="Segoe UI" w:cs="Segoe UI"/>
          <w:color w:val="222222"/>
          <w:lang w:eastAsia="fr-FR"/>
        </w:rPr>
        <w:t xml:space="preserve"> 30% du PIB </w:t>
      </w:r>
      <w:r w:rsidR="002F2DC7">
        <w:rPr>
          <w:rFonts w:ascii="Segoe UI" w:eastAsia="Times New Roman" w:hAnsi="Segoe UI" w:cs="Segoe UI"/>
          <w:color w:val="222222"/>
          <w:lang w:eastAsia="fr-FR"/>
        </w:rPr>
        <w:t>(</w:t>
      </w:r>
      <w:r w:rsidRPr="000F66F3">
        <w:rPr>
          <w:rFonts w:ascii="Segoe UI" w:eastAsia="Times New Roman" w:hAnsi="Segoe UI" w:cs="Segoe UI"/>
          <w:color w:val="222222"/>
          <w:lang w:eastAsia="fr-FR"/>
        </w:rPr>
        <w:t>65% de la population active en 2019</w:t>
      </w:r>
      <w:r w:rsidR="002F2DC7">
        <w:rPr>
          <w:rFonts w:ascii="Segoe UI" w:eastAsia="Times New Roman" w:hAnsi="Segoe UI" w:cs="Segoe UI"/>
          <w:color w:val="222222"/>
          <w:lang w:eastAsia="fr-FR"/>
        </w:rPr>
        <w:t>)</w:t>
      </w:r>
      <w:r w:rsidRPr="000F66F3">
        <w:rPr>
          <w:rFonts w:ascii="Segoe UI" w:eastAsia="Times New Roman" w:hAnsi="Segoe UI" w:cs="Segoe UI"/>
          <w:color w:val="222222"/>
          <w:lang w:eastAsia="fr-FR"/>
        </w:rPr>
        <w:t>. Le pays est le 5</w:t>
      </w:r>
      <w:r w:rsidRPr="000F66F3">
        <w:rPr>
          <w:rFonts w:ascii="Segoe UI" w:eastAsia="Times New Roman" w:hAnsi="Segoe UI" w:cs="Segoe UI"/>
          <w:color w:val="222222"/>
          <w:vertAlign w:val="superscript"/>
          <w:lang w:eastAsia="fr-FR"/>
        </w:rPr>
        <w:t>ème</w:t>
      </w:r>
      <w:r w:rsidRPr="000F66F3">
        <w:rPr>
          <w:rFonts w:ascii="Segoe UI" w:eastAsia="Times New Roman" w:hAnsi="Segoe UI" w:cs="Segoe UI"/>
          <w:color w:val="222222"/>
          <w:lang w:eastAsia="fr-FR"/>
        </w:rPr>
        <w:t xml:space="preserve"> producteur d’or du continent en 2021, </w:t>
      </w:r>
      <w:r w:rsidR="002F2DC7">
        <w:rPr>
          <w:rFonts w:ascii="Segoe UI" w:eastAsia="Times New Roman" w:hAnsi="Segoe UI" w:cs="Segoe UI"/>
          <w:color w:val="222222"/>
          <w:lang w:eastAsia="fr-FR"/>
        </w:rPr>
        <w:t>mais enregistre un recul de</w:t>
      </w:r>
      <w:r w:rsidRPr="000F66F3">
        <w:rPr>
          <w:rFonts w:ascii="Segoe UI" w:eastAsia="Times New Roman" w:hAnsi="Segoe UI" w:cs="Segoe UI"/>
          <w:color w:val="222222"/>
          <w:lang w:eastAsia="fr-FR"/>
        </w:rPr>
        <w:t>s exportations de 7,4% par rapport à 2020. Les services</w:t>
      </w:r>
      <w:r w:rsidR="00D14EA7">
        <w:rPr>
          <w:rFonts w:ascii="Segoe UI" w:eastAsia="Times New Roman" w:hAnsi="Segoe UI" w:cs="Segoe UI"/>
          <w:color w:val="222222"/>
          <w:lang w:eastAsia="fr-FR"/>
        </w:rPr>
        <w:t xml:space="preserve">, </w:t>
      </w:r>
      <w:r w:rsidRPr="000F66F3">
        <w:rPr>
          <w:rFonts w:ascii="Segoe UI" w:eastAsia="Times New Roman" w:hAnsi="Segoe UI" w:cs="Segoe UI"/>
          <w:color w:val="222222"/>
          <w:lang w:eastAsia="fr-FR"/>
        </w:rPr>
        <w:t>41% du PIB</w:t>
      </w:r>
      <w:r w:rsidR="00D14EA7">
        <w:rPr>
          <w:rFonts w:ascii="Segoe UI" w:eastAsia="Times New Roman" w:hAnsi="Segoe UI" w:cs="Segoe UI"/>
          <w:color w:val="222222"/>
          <w:lang w:eastAsia="fr-FR"/>
        </w:rPr>
        <w:t xml:space="preserve">, </w:t>
      </w:r>
      <w:r w:rsidRPr="000F66F3">
        <w:rPr>
          <w:rFonts w:ascii="Segoe UI" w:eastAsia="Times New Roman" w:hAnsi="Segoe UI" w:cs="Segoe UI"/>
          <w:color w:val="222222"/>
          <w:lang w:eastAsia="fr-FR"/>
        </w:rPr>
        <w:t>sont dominés par le petit commerce employant 17 % de la population</w:t>
      </w:r>
      <w:r w:rsidR="009A09D0">
        <w:rPr>
          <w:rStyle w:val="Appelnotedebasdep"/>
          <w:rFonts w:ascii="Segoe UI" w:eastAsia="Times New Roman" w:hAnsi="Segoe UI" w:cs="Segoe UI"/>
          <w:color w:val="222222"/>
          <w:lang w:eastAsia="fr-FR"/>
        </w:rPr>
        <w:footnoteReference w:id="1"/>
      </w:r>
      <w:r w:rsidRPr="000F66F3">
        <w:rPr>
          <w:rFonts w:ascii="Segoe UI" w:eastAsia="Times New Roman" w:hAnsi="Segoe UI" w:cs="Segoe UI"/>
          <w:color w:val="222222"/>
          <w:lang w:eastAsia="fr-FR"/>
        </w:rPr>
        <w:t xml:space="preserve">. </w:t>
      </w:r>
    </w:p>
    <w:p w14:paraId="3ED7743E" w14:textId="6A933D7F" w:rsidR="006A1452" w:rsidRDefault="00EB0A09" w:rsidP="006A1452">
      <w:pPr>
        <w:pStyle w:val="NormalWeb"/>
        <w:spacing w:before="0" w:beforeAutospacing="0" w:after="120" w:afterAutospacing="0"/>
        <w:jc w:val="both"/>
      </w:pPr>
      <w:r w:rsidRPr="000F66F3">
        <w:rPr>
          <w:rFonts w:ascii="Segoe UI" w:eastAsia="Times New Roman" w:hAnsi="Segoe UI" w:cs="Segoe UI"/>
          <w:b/>
          <w:color w:val="222222"/>
        </w:rPr>
        <w:t>La croissance démographique pèse sur les efforts de lutte contre la pauvreté.</w:t>
      </w:r>
      <w:r w:rsidRPr="000F66F3">
        <w:rPr>
          <w:rFonts w:ascii="Segoe UI" w:eastAsia="Times New Roman" w:hAnsi="Segoe UI" w:cs="Segoe UI"/>
          <w:color w:val="222222"/>
        </w:rPr>
        <w:t xml:space="preserve"> Avec 4,9 enfants par femme, la population croît de 3% </w:t>
      </w:r>
      <w:r w:rsidRPr="00FC04BC">
        <w:rPr>
          <w:rFonts w:ascii="Segoe UI" w:eastAsia="Times New Roman" w:hAnsi="Segoe UI" w:cs="Segoe UI"/>
          <w:color w:val="222222"/>
        </w:rPr>
        <w:t>par an. La pauvreté baisse en relatif mais augmente en valeur absolue</w:t>
      </w:r>
      <w:r w:rsidR="00360C3B" w:rsidRPr="00FC04BC">
        <w:rPr>
          <w:rFonts w:ascii="Segoe UI" w:eastAsia="Times New Roman" w:hAnsi="Segoe UI" w:cs="Segoe UI"/>
          <w:color w:val="222222"/>
        </w:rPr>
        <w:t xml:space="preserve"> avec un plus grand nombre de pauvres</w:t>
      </w:r>
      <w:r w:rsidRPr="00FC04BC">
        <w:rPr>
          <w:rFonts w:ascii="Segoe UI" w:eastAsia="Times New Roman" w:hAnsi="Segoe UI" w:cs="Segoe UI"/>
          <w:color w:val="222222"/>
        </w:rPr>
        <w:t xml:space="preserve">. </w:t>
      </w:r>
      <w:r w:rsidR="00D14EA7" w:rsidRPr="00FC04BC">
        <w:rPr>
          <w:rFonts w:ascii="Segoe UI" w:eastAsia="Times New Roman" w:hAnsi="Segoe UI" w:cs="Segoe UI"/>
          <w:color w:val="222222"/>
        </w:rPr>
        <w:t>L</w:t>
      </w:r>
      <w:r w:rsidRPr="00FC04BC">
        <w:rPr>
          <w:rFonts w:ascii="Segoe UI" w:eastAsia="Times New Roman" w:hAnsi="Segoe UI" w:cs="Segoe UI"/>
          <w:color w:val="222222"/>
        </w:rPr>
        <w:t xml:space="preserve">e développement des infrastructures demeure une priorité de </w:t>
      </w:r>
      <w:r w:rsidR="009A09D0" w:rsidRPr="00FC04BC">
        <w:rPr>
          <w:rFonts w:ascii="Segoe UI" w:eastAsia="Times New Roman" w:hAnsi="Segoe UI" w:cs="Segoe UI"/>
          <w:color w:val="222222"/>
        </w:rPr>
        <w:t xml:space="preserve">la </w:t>
      </w:r>
      <w:r w:rsidRPr="00FC04BC">
        <w:rPr>
          <w:rFonts w:ascii="Segoe UI" w:eastAsia="Times New Roman" w:hAnsi="Segoe UI" w:cs="Segoe UI"/>
          <w:color w:val="222222"/>
        </w:rPr>
        <w:t>présidente</w:t>
      </w:r>
      <w:r w:rsidR="005B32AB">
        <w:rPr>
          <w:rFonts w:ascii="Segoe UI" w:eastAsia="Times New Roman" w:hAnsi="Segoe UI" w:cs="Segoe UI"/>
          <w:color w:val="222222"/>
        </w:rPr>
        <w:t xml:space="preserve"> Samia</w:t>
      </w:r>
      <w:r w:rsidRPr="000F66F3">
        <w:rPr>
          <w:rFonts w:ascii="Segoe UI" w:eastAsia="Times New Roman" w:hAnsi="Segoe UI" w:cs="Segoe UI"/>
          <w:color w:val="222222"/>
        </w:rPr>
        <w:t xml:space="preserve">, </w:t>
      </w:r>
      <w:r w:rsidR="00D14EA7">
        <w:rPr>
          <w:rFonts w:ascii="Segoe UI" w:eastAsia="Times New Roman" w:hAnsi="Segoe UI" w:cs="Segoe UI"/>
          <w:color w:val="222222"/>
        </w:rPr>
        <w:t xml:space="preserve">mais </w:t>
      </w:r>
      <w:r w:rsidRPr="000F66F3">
        <w:rPr>
          <w:rFonts w:ascii="Segoe UI" w:eastAsia="Times New Roman" w:hAnsi="Segoe UI" w:cs="Segoe UI"/>
          <w:color w:val="222222"/>
        </w:rPr>
        <w:t xml:space="preserve">le déficit de capacités dans les transports et l’énergie pèse sur l’essor du pays. Seulement 55% de la population a accès à un point d’eau </w:t>
      </w:r>
      <w:r w:rsidRPr="003610FB">
        <w:rPr>
          <w:rFonts w:ascii="Segoe UI" w:eastAsia="Times New Roman" w:hAnsi="Segoe UI" w:cs="Segoe UI"/>
          <w:color w:val="222222"/>
        </w:rPr>
        <w:t>amélioré</w:t>
      </w:r>
      <w:r w:rsidR="003610FB">
        <w:rPr>
          <w:rFonts w:ascii="Segoe UI" w:eastAsia="Times New Roman" w:hAnsi="Segoe UI" w:cs="Segoe UI"/>
          <w:color w:val="222222"/>
        </w:rPr>
        <w:t xml:space="preserve"> (</w:t>
      </w:r>
      <w:r w:rsidRPr="003610FB">
        <w:rPr>
          <w:rFonts w:ascii="Segoe UI" w:eastAsia="Times New Roman" w:hAnsi="Segoe UI" w:cs="Segoe UI"/>
          <w:color w:val="222222"/>
        </w:rPr>
        <w:t>contre 68% dans la CAE</w:t>
      </w:r>
      <w:r w:rsidR="003610FB">
        <w:rPr>
          <w:rFonts w:ascii="Segoe UI" w:eastAsia="Times New Roman" w:hAnsi="Segoe UI" w:cs="Segoe UI"/>
          <w:color w:val="222222"/>
        </w:rPr>
        <w:t xml:space="preserve">, </w:t>
      </w:r>
      <w:r w:rsidRPr="003610FB">
        <w:rPr>
          <w:rFonts w:ascii="Segoe UI" w:eastAsia="Times New Roman" w:hAnsi="Segoe UI" w:cs="Segoe UI"/>
          <w:color w:val="222222"/>
        </w:rPr>
        <w:t>hors R</w:t>
      </w:r>
      <w:r w:rsidR="00BE1D2A" w:rsidRPr="003610FB">
        <w:rPr>
          <w:rFonts w:ascii="Segoe UI" w:eastAsia="Times New Roman" w:hAnsi="Segoe UI" w:cs="Segoe UI"/>
          <w:color w:val="222222"/>
        </w:rPr>
        <w:t xml:space="preserve">épublique </w:t>
      </w:r>
      <w:r w:rsidRPr="003610FB">
        <w:rPr>
          <w:rFonts w:ascii="Segoe UI" w:eastAsia="Times New Roman" w:hAnsi="Segoe UI" w:cs="Segoe UI"/>
          <w:color w:val="222222"/>
        </w:rPr>
        <w:t>D</w:t>
      </w:r>
      <w:r w:rsidR="00BE1D2A" w:rsidRPr="003610FB">
        <w:rPr>
          <w:rFonts w:ascii="Segoe UI" w:eastAsia="Times New Roman" w:hAnsi="Segoe UI" w:cs="Segoe UI"/>
          <w:color w:val="222222"/>
        </w:rPr>
        <w:t xml:space="preserve">émocratique du </w:t>
      </w:r>
      <w:r w:rsidRPr="003610FB">
        <w:rPr>
          <w:rFonts w:ascii="Segoe UI" w:eastAsia="Times New Roman" w:hAnsi="Segoe UI" w:cs="Segoe UI"/>
          <w:color w:val="222222"/>
        </w:rPr>
        <w:t>C</w:t>
      </w:r>
      <w:r w:rsidR="00BE1D2A" w:rsidRPr="003610FB">
        <w:rPr>
          <w:rFonts w:ascii="Segoe UI" w:eastAsia="Times New Roman" w:hAnsi="Segoe UI" w:cs="Segoe UI"/>
          <w:color w:val="222222"/>
        </w:rPr>
        <w:t>ongo</w:t>
      </w:r>
      <w:r w:rsidRPr="003610FB">
        <w:rPr>
          <w:rFonts w:ascii="Segoe UI" w:eastAsia="Times New Roman" w:hAnsi="Segoe UI" w:cs="Segoe UI"/>
          <w:color w:val="222222"/>
        </w:rPr>
        <w:t>)</w:t>
      </w:r>
      <w:r w:rsidR="003610FB">
        <w:rPr>
          <w:rFonts w:ascii="Segoe UI" w:eastAsia="Times New Roman" w:hAnsi="Segoe UI" w:cs="Segoe UI"/>
          <w:color w:val="222222"/>
        </w:rPr>
        <w:t xml:space="preserve">, </w:t>
      </w:r>
      <w:r w:rsidRPr="003610FB">
        <w:rPr>
          <w:rFonts w:ascii="Segoe UI" w:eastAsia="Times New Roman" w:hAnsi="Segoe UI" w:cs="Segoe UI"/>
          <w:color w:val="222222"/>
        </w:rPr>
        <w:t>25% des Tanzaniens sont raccordés à un système d’assainissement</w:t>
      </w:r>
      <w:r w:rsidR="003610FB">
        <w:rPr>
          <w:rFonts w:ascii="Segoe UI" w:eastAsia="Times New Roman" w:hAnsi="Segoe UI" w:cs="Segoe UI"/>
          <w:color w:val="222222"/>
        </w:rPr>
        <w:t xml:space="preserve"> et le taux d’accès à l’électricité, est loin d’être total, </w:t>
      </w:r>
      <w:r w:rsidR="003610FB" w:rsidRPr="003610FB">
        <w:rPr>
          <w:rFonts w:ascii="Segoe UI" w:eastAsia="Times New Roman" w:hAnsi="Segoe UI" w:cs="Segoe UI"/>
          <w:color w:val="222222"/>
        </w:rPr>
        <w:t>73% en zone urbaine et 24,5% en zone rurale (2020).</w:t>
      </w:r>
      <w:r w:rsidR="003610FB">
        <w:t xml:space="preserve"> </w:t>
      </w:r>
    </w:p>
    <w:p w14:paraId="2ED6277F" w14:textId="6603CBB3" w:rsidR="00B255B3" w:rsidRPr="00B255B3" w:rsidRDefault="00DB382C" w:rsidP="006A1452">
      <w:pPr>
        <w:spacing w:after="120" w:line="240" w:lineRule="auto"/>
        <w:jc w:val="both"/>
        <w:rPr>
          <w:rFonts w:ascii="Segoe UI" w:hAnsi="Segoe UI" w:cs="Segoe UI"/>
        </w:rPr>
      </w:pPr>
      <w:r w:rsidRPr="00B51565">
        <w:rPr>
          <w:rFonts w:ascii="Segoe UI" w:hAnsi="Segoe UI" w:cs="Segoe UI"/>
          <w:noProof/>
          <w:lang w:eastAsia="fr-FR"/>
        </w:rPr>
        <w:lastRenderedPageBreak/>
        <mc:AlternateContent>
          <mc:Choice Requires="wps">
            <w:drawing>
              <wp:inline distT="0" distB="0" distL="0" distR="0" wp14:anchorId="47066BC4" wp14:editId="31BA55E6">
                <wp:extent cx="5780405" cy="533400"/>
                <wp:effectExtent l="0" t="0" r="0" b="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533400"/>
                        </a:xfrm>
                        <a:prstGeom prst="rect">
                          <a:avLst/>
                        </a:prstGeom>
                        <a:solidFill>
                          <a:srgbClr val="006CE5"/>
                        </a:solidFill>
                        <a:ln w="9525">
                          <a:noFill/>
                          <a:miter lim="800000"/>
                          <a:headEnd/>
                          <a:tailEnd/>
                        </a:ln>
                      </wps:spPr>
                      <wps:txbx>
                        <w:txbxContent>
                          <w:p w14:paraId="7A175628" w14:textId="623409B4" w:rsidR="00DB382C" w:rsidRPr="00B255B3" w:rsidRDefault="00B255B3" w:rsidP="00DB382C">
                            <w:pPr>
                              <w:rPr>
                                <w:rFonts w:ascii="Segoe UI Historic" w:hAnsi="Segoe UI Historic" w:cs="Segoe UI Historic"/>
                                <w:color w:val="FFFFFF" w:themeColor="background1"/>
                                <w:sz w:val="24"/>
                                <w:szCs w:val="24"/>
                              </w:rPr>
                            </w:pPr>
                            <w:r w:rsidRPr="00B255B3">
                              <w:rPr>
                                <w:rFonts w:ascii="Segoe UI Historic" w:hAnsi="Segoe UI Historic" w:cs="Segoe UI Historic"/>
                                <w:color w:val="FFFFFF" w:themeColor="background1"/>
                                <w:sz w:val="24"/>
                                <w:szCs w:val="24"/>
                              </w:rPr>
                              <w:t>La Tanzanie est confrontée à des défis de développement, exacerbés par la pandémie et les retombées de la guerre en Ukraine</w:t>
                            </w:r>
                          </w:p>
                        </w:txbxContent>
                      </wps:txbx>
                      <wps:bodyPr rot="0" vert="horz" wrap="square" lIns="91440" tIns="45720" rIns="91440" bIns="45720" anchor="t" anchorCtr="0">
                        <a:noAutofit/>
                      </wps:bodyPr>
                    </wps:wsp>
                  </a:graphicData>
                </a:graphic>
              </wp:inline>
            </w:drawing>
          </mc:Choice>
          <mc:Fallback>
            <w:pict>
              <v:shapetype w14:anchorId="47066BC4" id="_x0000_t202" coordsize="21600,21600" o:spt="202" path="m,l,21600r21600,l21600,xe">
                <v:stroke joinstyle="miter"/>
                <v:path gradientshapeok="t" o:connecttype="rect"/>
              </v:shapetype>
              <v:shape id="_x0000_s1027" type="#_x0000_t202" style="width:455.1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" fillcolor="#006ce5" stroked="f">
                <v:textbox>
                  <w:txbxContent>
                    <w:p w14:paraId="7A175628" w14:textId="623409B4" w:rsidR="00DB382C" w:rsidRPr="00B255B3" w:rsidRDefault="00B255B3" w:rsidP="00DB382C">
                      <w:pPr>
                        <w:rPr>
                          <w:rFonts w:ascii="Segoe UI Historic" w:hAnsi="Segoe UI Historic" w:cs="Segoe UI Historic"/>
                          <w:color w:val="FFFFFF" w:themeColor="background1"/>
                          <w:sz w:val="24"/>
                          <w:szCs w:val="24"/>
                        </w:rPr>
                      </w:pPr>
                      <w:r w:rsidRPr="00B255B3">
                        <w:rPr>
                          <w:rFonts w:ascii="Segoe UI Historic" w:hAnsi="Segoe UI Historic" w:cs="Segoe UI Historic"/>
                          <w:color w:val="FFFFFF" w:themeColor="background1"/>
                          <w:sz w:val="24"/>
                          <w:szCs w:val="24"/>
                        </w:rPr>
                        <w:t>La Tanzanie est confrontée à des défis de développement, exacerbés par la pandémie et les retombées de la guerre en Ukraine</w:t>
                      </w:r>
                    </w:p>
                  </w:txbxContent>
                </v:textbox>
                <w10:anchorlock/>
              </v:shape>
            </w:pict>
          </mc:Fallback>
        </mc:AlternateContent>
      </w:r>
    </w:p>
    <w:p w14:paraId="471F115C" w14:textId="77777777" w:rsidR="003F5381" w:rsidRDefault="00B255B3" w:rsidP="006A1452">
      <w:pPr>
        <w:spacing w:after="120" w:line="240" w:lineRule="auto"/>
        <w:jc w:val="both"/>
        <w:rPr>
          <w:rFonts w:ascii="Segoe UI" w:eastAsia="Times New Roman" w:hAnsi="Segoe UI" w:cs="Segoe UI"/>
          <w:color w:val="222222"/>
          <w:lang w:eastAsia="fr-FR"/>
        </w:rPr>
      </w:pPr>
      <w:r w:rsidRPr="003F5381">
        <w:rPr>
          <w:rFonts w:ascii="Segoe UI" w:eastAsia="Times New Roman" w:hAnsi="Segoe UI" w:cs="Segoe UI"/>
          <w:color w:val="222222"/>
          <w:lang w:eastAsia="fr-FR"/>
        </w:rPr>
        <w:t>La Tanzanie possède d'abondantes ressources naturelles</w:t>
      </w:r>
      <w:r w:rsidR="008B7C47" w:rsidRPr="003F5381">
        <w:rPr>
          <w:rFonts w:ascii="Segoe UI" w:eastAsia="Times New Roman" w:hAnsi="Segoe UI" w:cs="Segoe UI"/>
          <w:color w:val="222222"/>
          <w:lang w:eastAsia="fr-FR"/>
        </w:rPr>
        <w:t xml:space="preserve"> </w:t>
      </w:r>
      <w:r w:rsidR="003F5381" w:rsidRPr="003F5381">
        <w:rPr>
          <w:rFonts w:ascii="Segoe UI" w:eastAsia="Times New Roman" w:hAnsi="Segoe UI" w:cs="Segoe UI"/>
          <w:color w:val="222222"/>
          <w:lang w:eastAsia="fr-FR"/>
        </w:rPr>
        <w:t xml:space="preserve">et minières </w:t>
      </w:r>
      <w:r w:rsidR="008B7C47" w:rsidRPr="003F5381">
        <w:rPr>
          <w:rFonts w:ascii="Segoe UI" w:eastAsia="Times New Roman" w:hAnsi="Segoe UI" w:cs="Segoe UI"/>
          <w:color w:val="222222"/>
          <w:lang w:eastAsia="fr-FR"/>
        </w:rPr>
        <w:t>(</w:t>
      </w:r>
      <w:r w:rsidRPr="003F5381">
        <w:rPr>
          <w:rFonts w:ascii="Segoe UI" w:eastAsia="Times New Roman" w:hAnsi="Segoe UI" w:cs="Segoe UI"/>
          <w:color w:val="222222"/>
          <w:lang w:eastAsia="fr-FR"/>
        </w:rPr>
        <w:t>notamment or et gaz naturel</w:t>
      </w:r>
      <w:r w:rsidR="008B7C47" w:rsidRPr="003F5381">
        <w:rPr>
          <w:rFonts w:ascii="Segoe UI" w:eastAsia="Times New Roman" w:hAnsi="Segoe UI" w:cs="Segoe UI"/>
          <w:color w:val="222222"/>
          <w:lang w:eastAsia="fr-FR"/>
        </w:rPr>
        <w:t>)</w:t>
      </w:r>
      <w:r w:rsidRPr="003F5381">
        <w:rPr>
          <w:rFonts w:ascii="Segoe UI" w:eastAsia="Times New Roman" w:hAnsi="Segoe UI" w:cs="Segoe UI"/>
          <w:color w:val="222222"/>
          <w:lang w:eastAsia="fr-FR"/>
        </w:rPr>
        <w:t xml:space="preserve"> et s</w:t>
      </w:r>
      <w:r w:rsidR="00BE1D2A" w:rsidRPr="003F5381">
        <w:rPr>
          <w:rFonts w:ascii="Segoe UI" w:eastAsia="Times New Roman" w:hAnsi="Segoe UI" w:cs="Segoe UI"/>
          <w:color w:val="222222"/>
          <w:lang w:eastAsia="fr-FR"/>
        </w:rPr>
        <w:t xml:space="preserve">a position géographique en fait </w:t>
      </w:r>
      <w:r w:rsidRPr="003F5381">
        <w:rPr>
          <w:rFonts w:ascii="Segoe UI" w:eastAsia="Times New Roman" w:hAnsi="Segoe UI" w:cs="Segoe UI"/>
          <w:color w:val="222222"/>
          <w:lang w:eastAsia="fr-FR"/>
        </w:rPr>
        <w:t xml:space="preserve">une porte d'entrée pour le commerce régional. </w:t>
      </w:r>
      <w:r w:rsidR="008B7C47" w:rsidRPr="003F5381">
        <w:rPr>
          <w:rFonts w:ascii="Segoe UI" w:eastAsia="Times New Roman" w:hAnsi="Segoe UI" w:cs="Segoe UI"/>
          <w:color w:val="222222"/>
          <w:lang w:eastAsia="fr-FR"/>
        </w:rPr>
        <w:t xml:space="preserve">La faiblesse du capital </w:t>
      </w:r>
      <w:r w:rsidRPr="003F5381">
        <w:rPr>
          <w:rFonts w:ascii="Segoe UI" w:eastAsia="Times New Roman" w:hAnsi="Segoe UI" w:cs="Segoe UI"/>
          <w:color w:val="222222"/>
          <w:lang w:eastAsia="fr-FR"/>
        </w:rPr>
        <w:t>humain et un déficit d'infrastructures limitent le potentiel de croissance du pays</w:t>
      </w:r>
      <w:r w:rsidR="003F5381" w:rsidRPr="003F5381">
        <w:rPr>
          <w:rFonts w:ascii="Segoe UI" w:eastAsia="Times New Roman" w:hAnsi="Segoe UI" w:cs="Segoe UI"/>
          <w:color w:val="222222"/>
          <w:lang w:eastAsia="fr-FR"/>
        </w:rPr>
        <w:t xml:space="preserve">. </w:t>
      </w:r>
    </w:p>
    <w:p w14:paraId="27EA525A" w14:textId="239C8821" w:rsidR="00B255B3" w:rsidRPr="00340A46" w:rsidRDefault="00B255B3" w:rsidP="006A1452">
      <w:pPr>
        <w:spacing w:after="120" w:line="240" w:lineRule="auto"/>
        <w:jc w:val="both"/>
        <w:rPr>
          <w:rFonts w:ascii="Segoe UI" w:eastAsia="Times New Roman" w:hAnsi="Segoe UI" w:cs="Segoe UI"/>
          <w:color w:val="222222"/>
          <w:lang w:eastAsia="fr-FR"/>
        </w:rPr>
      </w:pPr>
      <w:r w:rsidRPr="00340A46">
        <w:rPr>
          <w:rFonts w:ascii="Segoe UI" w:eastAsia="Times New Roman" w:hAnsi="Segoe UI" w:cs="Segoe UI"/>
          <w:b/>
          <w:bCs/>
          <w:color w:val="222222"/>
          <w:lang w:eastAsia="fr-FR"/>
        </w:rPr>
        <w:t>Les retombées de la guerre en Ukraine freinent la reprise progressive de l'économie après la pandémie de COVID-19</w:t>
      </w:r>
      <w:r w:rsidR="008B7C47">
        <w:rPr>
          <w:rFonts w:ascii="Segoe UI" w:eastAsia="Times New Roman" w:hAnsi="Segoe UI" w:cs="Segoe UI"/>
          <w:b/>
          <w:bCs/>
          <w:color w:val="222222"/>
          <w:lang w:eastAsia="fr-FR"/>
        </w:rPr>
        <w:t xml:space="preserve"> à laquelle l’économie avait plutôt bien résisté. </w:t>
      </w:r>
      <w:r w:rsidRPr="00340A46">
        <w:rPr>
          <w:rFonts w:ascii="Segoe UI" w:eastAsia="Times New Roman" w:hAnsi="Segoe UI" w:cs="Segoe UI"/>
          <w:color w:val="222222"/>
          <w:lang w:eastAsia="fr-FR"/>
        </w:rPr>
        <w:t xml:space="preserve">Après </w:t>
      </w:r>
      <w:r w:rsidR="00FC04BC">
        <w:rPr>
          <w:rFonts w:ascii="Segoe UI" w:eastAsia="Times New Roman" w:hAnsi="Segoe UI" w:cs="Segoe UI"/>
          <w:color w:val="222222"/>
          <w:lang w:eastAsia="fr-FR"/>
        </w:rPr>
        <w:t>un</w:t>
      </w:r>
      <w:r w:rsidRPr="00340A46">
        <w:rPr>
          <w:rFonts w:ascii="Segoe UI" w:eastAsia="Times New Roman" w:hAnsi="Segoe UI" w:cs="Segoe UI"/>
          <w:color w:val="222222"/>
          <w:lang w:eastAsia="fr-FR"/>
        </w:rPr>
        <w:t xml:space="preserve"> ralenti</w:t>
      </w:r>
      <w:r w:rsidR="00FC04BC">
        <w:rPr>
          <w:rFonts w:ascii="Segoe UI" w:eastAsia="Times New Roman" w:hAnsi="Segoe UI" w:cs="Segoe UI"/>
          <w:color w:val="222222"/>
          <w:lang w:eastAsia="fr-FR"/>
        </w:rPr>
        <w:t>ssement</w:t>
      </w:r>
      <w:r w:rsidRPr="00340A46">
        <w:rPr>
          <w:rFonts w:ascii="Segoe UI" w:eastAsia="Times New Roman" w:hAnsi="Segoe UI" w:cs="Segoe UI"/>
          <w:color w:val="222222"/>
          <w:lang w:eastAsia="fr-FR"/>
        </w:rPr>
        <w:t xml:space="preserve"> à 4,</w:t>
      </w:r>
      <w:r w:rsidR="008C5485">
        <w:rPr>
          <w:rFonts w:ascii="Segoe UI" w:eastAsia="Times New Roman" w:hAnsi="Segoe UI" w:cs="Segoe UI"/>
          <w:color w:val="222222"/>
          <w:lang w:eastAsia="fr-FR"/>
        </w:rPr>
        <w:t>9</w:t>
      </w:r>
      <w:r w:rsidRPr="00340A46">
        <w:rPr>
          <w:rFonts w:ascii="Segoe UI" w:eastAsia="Times New Roman" w:hAnsi="Segoe UI" w:cs="Segoe UI"/>
          <w:color w:val="222222"/>
          <w:lang w:eastAsia="fr-FR"/>
        </w:rPr>
        <w:t>% en 202</w:t>
      </w:r>
      <w:r w:rsidR="008C5485">
        <w:rPr>
          <w:rFonts w:ascii="Segoe UI" w:eastAsia="Times New Roman" w:hAnsi="Segoe UI" w:cs="Segoe UI"/>
          <w:color w:val="222222"/>
          <w:lang w:eastAsia="fr-FR"/>
        </w:rPr>
        <w:t>1</w:t>
      </w:r>
      <w:r w:rsidRPr="00340A46">
        <w:rPr>
          <w:rFonts w:ascii="Segoe UI" w:eastAsia="Times New Roman" w:hAnsi="Segoe UI" w:cs="Segoe UI"/>
          <w:color w:val="222222"/>
          <w:lang w:eastAsia="fr-FR"/>
        </w:rPr>
        <w:t xml:space="preserve">, les autorités estiment </w:t>
      </w:r>
      <w:r w:rsidR="00FC04BC">
        <w:rPr>
          <w:rFonts w:ascii="Segoe UI" w:eastAsia="Times New Roman" w:hAnsi="Segoe UI" w:cs="Segoe UI"/>
          <w:color w:val="222222"/>
          <w:lang w:eastAsia="fr-FR"/>
        </w:rPr>
        <w:t xml:space="preserve">la croissance </w:t>
      </w:r>
      <w:r w:rsidRPr="00340A46">
        <w:rPr>
          <w:rFonts w:ascii="Segoe UI" w:eastAsia="Times New Roman" w:hAnsi="Segoe UI" w:cs="Segoe UI"/>
          <w:color w:val="222222"/>
          <w:lang w:eastAsia="fr-FR"/>
        </w:rPr>
        <w:t>à 4,</w:t>
      </w:r>
      <w:r w:rsidR="008C5485">
        <w:rPr>
          <w:rFonts w:ascii="Segoe UI" w:eastAsia="Times New Roman" w:hAnsi="Segoe UI" w:cs="Segoe UI"/>
          <w:color w:val="222222"/>
          <w:lang w:eastAsia="fr-FR"/>
        </w:rPr>
        <w:t>8</w:t>
      </w:r>
      <w:r w:rsidRPr="00340A46">
        <w:rPr>
          <w:rFonts w:ascii="Segoe UI" w:eastAsia="Times New Roman" w:hAnsi="Segoe UI" w:cs="Segoe UI"/>
          <w:color w:val="222222"/>
          <w:lang w:eastAsia="fr-FR"/>
        </w:rPr>
        <w:t>% en 202</w:t>
      </w:r>
      <w:r w:rsidR="008C5485">
        <w:rPr>
          <w:rFonts w:ascii="Segoe UI" w:eastAsia="Times New Roman" w:hAnsi="Segoe UI" w:cs="Segoe UI"/>
          <w:color w:val="222222"/>
          <w:lang w:eastAsia="fr-FR"/>
        </w:rPr>
        <w:t>2</w:t>
      </w:r>
      <w:r w:rsidR="00FC04BC">
        <w:rPr>
          <w:rFonts w:ascii="Segoe UI" w:eastAsia="Times New Roman" w:hAnsi="Segoe UI" w:cs="Segoe UI"/>
          <w:color w:val="222222"/>
          <w:lang w:eastAsia="fr-FR"/>
        </w:rPr>
        <w:t xml:space="preserve">, prévision confortée par 5,4% de croissance enregistrée au premier trimestre 2022. </w:t>
      </w:r>
      <w:r w:rsidRPr="00340A46">
        <w:rPr>
          <w:rFonts w:ascii="Segoe UI" w:eastAsia="Times New Roman" w:hAnsi="Segoe UI" w:cs="Segoe UI"/>
          <w:color w:val="222222"/>
          <w:lang w:eastAsia="fr-FR"/>
        </w:rPr>
        <w:t>La reprise économique en 2021 a également été soutenue par une politique monétaire accommodante, qui a aidé la croissance du crédit au secteur privé à atteindre 13,4 % en avril 2022</w:t>
      </w:r>
      <w:r w:rsidR="001278F4" w:rsidRPr="00340A46">
        <w:rPr>
          <w:rFonts w:ascii="Segoe UI" w:eastAsia="Times New Roman" w:hAnsi="Segoe UI" w:cs="Segoe UI"/>
          <w:color w:val="222222"/>
          <w:lang w:eastAsia="fr-FR"/>
        </w:rPr>
        <w:t xml:space="preserve"> (</w:t>
      </w:r>
      <w:r w:rsidRPr="00340A46">
        <w:rPr>
          <w:rFonts w:ascii="Segoe UI" w:eastAsia="Times New Roman" w:hAnsi="Segoe UI" w:cs="Segoe UI"/>
          <w:color w:val="222222"/>
          <w:lang w:eastAsia="fr-FR"/>
        </w:rPr>
        <w:t>moins de 5% pendant la majeure partie de 2021</w:t>
      </w:r>
      <w:r w:rsidR="001278F4" w:rsidRPr="00340A46">
        <w:rPr>
          <w:rFonts w:ascii="Segoe UI" w:eastAsia="Times New Roman" w:hAnsi="Segoe UI" w:cs="Segoe UI"/>
          <w:color w:val="222222"/>
          <w:lang w:eastAsia="fr-FR"/>
        </w:rPr>
        <w:t>)</w:t>
      </w:r>
      <w:r w:rsidRPr="00340A46">
        <w:rPr>
          <w:rFonts w:ascii="Segoe UI" w:eastAsia="Times New Roman" w:hAnsi="Segoe UI" w:cs="Segoe UI"/>
          <w:color w:val="222222"/>
          <w:lang w:eastAsia="fr-FR"/>
        </w:rPr>
        <w:t>.</w:t>
      </w:r>
    </w:p>
    <w:p w14:paraId="63660BDA" w14:textId="04384C15" w:rsidR="00B255B3" w:rsidRPr="00340A46" w:rsidRDefault="00B255B3" w:rsidP="006A1452">
      <w:pPr>
        <w:spacing w:after="120" w:line="240" w:lineRule="auto"/>
        <w:jc w:val="both"/>
        <w:rPr>
          <w:rFonts w:ascii="Segoe UI" w:eastAsia="Times New Roman" w:hAnsi="Segoe UI" w:cs="Segoe UI"/>
          <w:color w:val="222222"/>
          <w:lang w:eastAsia="fr-FR"/>
        </w:rPr>
      </w:pPr>
      <w:r w:rsidRPr="00340A46">
        <w:rPr>
          <w:rFonts w:ascii="Segoe UI" w:eastAsia="Times New Roman" w:hAnsi="Segoe UI" w:cs="Segoe UI"/>
          <w:color w:val="222222"/>
          <w:lang w:eastAsia="fr-FR"/>
        </w:rPr>
        <w:t>La guerre en Ukraine devrait ralentir la reprise en 2022 en raison de la hausse des prix d</w:t>
      </w:r>
      <w:r w:rsidR="0063427D">
        <w:rPr>
          <w:rFonts w:ascii="Segoe UI" w:eastAsia="Times New Roman" w:hAnsi="Segoe UI" w:cs="Segoe UI"/>
          <w:color w:val="222222"/>
          <w:lang w:eastAsia="fr-FR"/>
        </w:rPr>
        <w:t>es</w:t>
      </w:r>
      <w:r w:rsidRPr="00340A46">
        <w:rPr>
          <w:rFonts w:ascii="Segoe UI" w:eastAsia="Times New Roman" w:hAnsi="Segoe UI" w:cs="Segoe UI"/>
          <w:color w:val="222222"/>
          <w:lang w:eastAsia="fr-FR"/>
        </w:rPr>
        <w:t xml:space="preserve"> carburant et des denrées alimentaires et des perturbations des marchés des engrais et des pesticides. </w:t>
      </w:r>
      <w:r w:rsidR="00E03FCA">
        <w:rPr>
          <w:rFonts w:ascii="Segoe UI" w:eastAsia="Times New Roman" w:hAnsi="Segoe UI" w:cs="Segoe UI"/>
          <w:color w:val="222222"/>
          <w:lang w:eastAsia="fr-FR"/>
        </w:rPr>
        <w:t>Les flux touristiques paraissent moins impactés qu’attendu.</w:t>
      </w:r>
      <w:r w:rsidR="00E87298" w:rsidRPr="00E87298">
        <w:rPr>
          <w:rFonts w:ascii="Segoe UI" w:eastAsia="Times New Roman" w:hAnsi="Segoe UI" w:cs="Segoe UI"/>
          <w:color w:val="222222"/>
          <w:lang w:eastAsia="fr-FR"/>
        </w:rPr>
        <w:t xml:space="preserve"> </w:t>
      </w:r>
      <w:r w:rsidR="00E87298" w:rsidRPr="00340A46">
        <w:rPr>
          <w:rFonts w:ascii="Segoe UI" w:eastAsia="Times New Roman" w:hAnsi="Segoe UI" w:cs="Segoe UI"/>
          <w:color w:val="222222"/>
          <w:lang w:eastAsia="fr-FR"/>
        </w:rPr>
        <w:t xml:space="preserve">L'inflation </w:t>
      </w:r>
      <w:r w:rsidR="00E87298">
        <w:rPr>
          <w:rFonts w:ascii="Segoe UI" w:eastAsia="Times New Roman" w:hAnsi="Segoe UI" w:cs="Segoe UI"/>
          <w:color w:val="222222"/>
          <w:lang w:eastAsia="fr-FR"/>
        </w:rPr>
        <w:t>se situ</w:t>
      </w:r>
      <w:r w:rsidR="00202153">
        <w:rPr>
          <w:rFonts w:ascii="Segoe UI" w:eastAsia="Times New Roman" w:hAnsi="Segoe UI" w:cs="Segoe UI"/>
          <w:color w:val="222222"/>
          <w:lang w:eastAsia="fr-FR"/>
        </w:rPr>
        <w:t>ait</w:t>
      </w:r>
      <w:r w:rsidR="00E87298">
        <w:rPr>
          <w:rFonts w:ascii="Segoe UI" w:eastAsia="Times New Roman" w:hAnsi="Segoe UI" w:cs="Segoe UI"/>
          <w:color w:val="222222"/>
          <w:lang w:eastAsia="fr-FR"/>
        </w:rPr>
        <w:t xml:space="preserve"> à </w:t>
      </w:r>
      <w:r w:rsidR="00E87298" w:rsidRPr="00340A46">
        <w:rPr>
          <w:rFonts w:ascii="Segoe UI" w:eastAsia="Times New Roman" w:hAnsi="Segoe UI" w:cs="Segoe UI"/>
          <w:color w:val="222222"/>
          <w:lang w:eastAsia="fr-FR"/>
        </w:rPr>
        <w:t xml:space="preserve">4% en mai </w:t>
      </w:r>
      <w:r w:rsidR="00E87298">
        <w:rPr>
          <w:rFonts w:ascii="Segoe UI" w:eastAsia="Times New Roman" w:hAnsi="Segoe UI" w:cs="Segoe UI"/>
          <w:color w:val="222222"/>
          <w:lang w:eastAsia="fr-FR"/>
        </w:rPr>
        <w:t xml:space="preserve">et </w:t>
      </w:r>
      <w:r w:rsidR="00202153">
        <w:rPr>
          <w:rFonts w:ascii="Segoe UI" w:eastAsia="Times New Roman" w:hAnsi="Segoe UI" w:cs="Segoe UI"/>
          <w:color w:val="222222"/>
          <w:lang w:eastAsia="fr-FR"/>
        </w:rPr>
        <w:t xml:space="preserve">à </w:t>
      </w:r>
      <w:r w:rsidR="00E87298">
        <w:rPr>
          <w:rFonts w:ascii="Segoe UI" w:eastAsia="Times New Roman" w:hAnsi="Segoe UI" w:cs="Segoe UI"/>
          <w:color w:val="222222"/>
          <w:lang w:eastAsia="fr-FR"/>
        </w:rPr>
        <w:t>4,5% en juillet</w:t>
      </w:r>
      <w:r w:rsidR="00E87298" w:rsidRPr="00340A46">
        <w:rPr>
          <w:rFonts w:ascii="Segoe UI" w:eastAsia="Times New Roman" w:hAnsi="Segoe UI" w:cs="Segoe UI"/>
          <w:color w:val="222222"/>
          <w:lang w:eastAsia="fr-FR"/>
        </w:rPr>
        <w:t xml:space="preserve"> 2022 contre 3,2% </w:t>
      </w:r>
      <w:r w:rsidR="00E87298">
        <w:rPr>
          <w:rFonts w:ascii="Segoe UI" w:eastAsia="Times New Roman" w:hAnsi="Segoe UI" w:cs="Segoe UI"/>
          <w:color w:val="222222"/>
          <w:lang w:eastAsia="fr-FR"/>
        </w:rPr>
        <w:t xml:space="preserve">un an plus tôt. Le gouvernement </w:t>
      </w:r>
      <w:r w:rsidR="0063427D">
        <w:rPr>
          <w:rFonts w:ascii="Segoe UI" w:eastAsia="Times New Roman" w:hAnsi="Segoe UI" w:cs="Segoe UI"/>
          <w:color w:val="222222"/>
          <w:lang w:eastAsia="fr-FR"/>
        </w:rPr>
        <w:t xml:space="preserve">multiplie les annonces d’initiatives pour soutenir les agriculteurs et développer les cultures de riz, blé, canne à sucre, avec l’appui des bailleurs de fonds. </w:t>
      </w:r>
    </w:p>
    <w:p w14:paraId="5CE19D22" w14:textId="5B8A713C" w:rsidR="00B255B3" w:rsidRPr="00340A46" w:rsidRDefault="00B255B3" w:rsidP="006A1452">
      <w:pPr>
        <w:spacing w:after="120" w:line="240" w:lineRule="auto"/>
        <w:jc w:val="both"/>
        <w:rPr>
          <w:rFonts w:ascii="Segoe UI" w:eastAsia="Times New Roman" w:hAnsi="Segoe UI" w:cs="Segoe UI"/>
          <w:color w:val="222222"/>
          <w:lang w:eastAsia="fr-FR"/>
        </w:rPr>
      </w:pPr>
      <w:r w:rsidRPr="00340A46">
        <w:rPr>
          <w:rFonts w:ascii="Segoe UI" w:eastAsia="Times New Roman" w:hAnsi="Segoe UI" w:cs="Segoe UI"/>
          <w:b/>
          <w:bCs/>
          <w:color w:val="222222"/>
          <w:lang w:eastAsia="fr-FR"/>
        </w:rPr>
        <w:t>Le déficit du compte courant s'est creusé en 2021, la hausse des importations ayant plus que compensé la reprise des exportations.</w:t>
      </w:r>
      <w:r w:rsidRPr="00340A46">
        <w:rPr>
          <w:rFonts w:ascii="Segoe UI" w:eastAsia="Times New Roman" w:hAnsi="Segoe UI" w:cs="Segoe UI"/>
          <w:color w:val="222222"/>
          <w:lang w:eastAsia="fr-FR"/>
        </w:rPr>
        <w:t xml:space="preserve"> Le déficit du compte courant s'est creusé à 3% du PIB en 2021</w:t>
      </w:r>
      <w:r w:rsidR="00E03FCA">
        <w:rPr>
          <w:rFonts w:ascii="Segoe UI" w:eastAsia="Times New Roman" w:hAnsi="Segoe UI" w:cs="Segoe UI"/>
          <w:color w:val="222222"/>
          <w:lang w:eastAsia="fr-FR"/>
        </w:rPr>
        <w:t xml:space="preserve"> (</w:t>
      </w:r>
      <w:r w:rsidRPr="00340A46">
        <w:rPr>
          <w:rFonts w:ascii="Segoe UI" w:eastAsia="Times New Roman" w:hAnsi="Segoe UI" w:cs="Segoe UI"/>
          <w:color w:val="222222"/>
          <w:lang w:eastAsia="fr-FR"/>
        </w:rPr>
        <w:t>contre 1,8% du PIB en 2020</w:t>
      </w:r>
      <w:r w:rsidR="00E03FCA">
        <w:rPr>
          <w:rFonts w:ascii="Segoe UI" w:eastAsia="Times New Roman" w:hAnsi="Segoe UI" w:cs="Segoe UI"/>
          <w:color w:val="222222"/>
          <w:lang w:eastAsia="fr-FR"/>
        </w:rPr>
        <w:t>)</w:t>
      </w:r>
      <w:r w:rsidRPr="00340A46">
        <w:rPr>
          <w:rFonts w:ascii="Segoe UI" w:eastAsia="Times New Roman" w:hAnsi="Segoe UI" w:cs="Segoe UI"/>
          <w:color w:val="222222"/>
          <w:lang w:eastAsia="fr-FR"/>
        </w:rPr>
        <w:t>. Les exportations manufacturières et une reprise des recettes touristiques (qui ont presque doublé en 2021 mais sont restées à environ 50% du niveau d'avant la pandémie) ont soutenu les exportations.</w:t>
      </w:r>
      <w:r w:rsidR="001278F4" w:rsidRPr="00340A46">
        <w:rPr>
          <w:rFonts w:ascii="Segoe UI" w:eastAsia="Times New Roman" w:hAnsi="Segoe UI" w:cs="Segoe UI"/>
          <w:color w:val="222222"/>
          <w:lang w:eastAsia="fr-FR"/>
        </w:rPr>
        <w:t xml:space="preserve"> </w:t>
      </w:r>
      <w:r w:rsidRPr="00340A46">
        <w:rPr>
          <w:rFonts w:ascii="Segoe UI" w:eastAsia="Times New Roman" w:hAnsi="Segoe UI" w:cs="Segoe UI"/>
          <w:color w:val="222222"/>
          <w:lang w:eastAsia="fr-FR"/>
        </w:rPr>
        <w:t>Les importations de biens et de services ont fortement augmenté</w:t>
      </w:r>
      <w:r w:rsidR="00E03FCA">
        <w:rPr>
          <w:rFonts w:ascii="Segoe UI" w:eastAsia="Times New Roman" w:hAnsi="Segoe UI" w:cs="Segoe UI"/>
          <w:color w:val="222222"/>
          <w:lang w:eastAsia="fr-FR"/>
        </w:rPr>
        <w:t xml:space="preserve">, </w:t>
      </w:r>
      <w:r w:rsidRPr="00340A46">
        <w:rPr>
          <w:rFonts w:ascii="Segoe UI" w:eastAsia="Times New Roman" w:hAnsi="Segoe UI" w:cs="Segoe UI"/>
          <w:color w:val="222222"/>
          <w:lang w:eastAsia="fr-FR"/>
        </w:rPr>
        <w:t xml:space="preserve">de 27,4% en glissement annuel en 2021, </w:t>
      </w:r>
      <w:r w:rsidR="00BE1D2A">
        <w:rPr>
          <w:rFonts w:ascii="Segoe UI" w:eastAsia="Times New Roman" w:hAnsi="Segoe UI" w:cs="Segoe UI"/>
          <w:color w:val="222222"/>
          <w:lang w:eastAsia="fr-FR"/>
        </w:rPr>
        <w:t>du fait</w:t>
      </w:r>
      <w:r w:rsidRPr="00340A46">
        <w:rPr>
          <w:rFonts w:ascii="Segoe UI" w:eastAsia="Times New Roman" w:hAnsi="Segoe UI" w:cs="Segoe UI"/>
          <w:color w:val="222222"/>
          <w:lang w:eastAsia="fr-FR"/>
        </w:rPr>
        <w:t xml:space="preserve"> d'importations importantes de biens de construction et de consommation, et d'une facture pétrolière beaucoup plus importante en raison de la hausse des prix du pétrole. Au 1er trimestre 2022, le solde du compte courant a continué de se détériorer. Bien qu'elles aient été stimulées par de nouvelles allocations de DTS et des décaissements de FCR en 2021, les réserves internationales brutes ont diminué d'environ 1,2 </w:t>
      </w:r>
      <w:r w:rsidR="00340A46">
        <w:rPr>
          <w:rFonts w:ascii="Segoe UI" w:eastAsia="Times New Roman" w:hAnsi="Segoe UI" w:cs="Segoe UI"/>
          <w:color w:val="222222"/>
          <w:lang w:eastAsia="fr-FR"/>
        </w:rPr>
        <w:t>Md USD</w:t>
      </w:r>
      <w:r w:rsidRPr="00340A46">
        <w:rPr>
          <w:rFonts w:ascii="Segoe UI" w:eastAsia="Times New Roman" w:hAnsi="Segoe UI" w:cs="Segoe UI"/>
          <w:color w:val="222222"/>
          <w:lang w:eastAsia="fr-FR"/>
        </w:rPr>
        <w:t xml:space="preserve"> depuis septembre dernier pour atteindre environ 5,5 </w:t>
      </w:r>
      <w:r w:rsidR="00477349" w:rsidRPr="00340A46">
        <w:rPr>
          <w:rFonts w:ascii="Segoe UI" w:eastAsia="Times New Roman" w:hAnsi="Segoe UI" w:cs="Segoe UI"/>
          <w:color w:val="222222"/>
          <w:lang w:eastAsia="fr-FR"/>
        </w:rPr>
        <w:t>Md USD</w:t>
      </w:r>
      <w:r w:rsidRPr="00340A46">
        <w:rPr>
          <w:rFonts w:ascii="Segoe UI" w:eastAsia="Times New Roman" w:hAnsi="Segoe UI" w:cs="Segoe UI"/>
          <w:color w:val="222222"/>
          <w:lang w:eastAsia="fr-FR"/>
        </w:rPr>
        <w:t xml:space="preserve"> en avril 2022 (4,8 mois d'importations potentielles).</w:t>
      </w:r>
    </w:p>
    <w:p w14:paraId="5656139E" w14:textId="3472E5B1" w:rsidR="00B255B3" w:rsidRPr="00340A46" w:rsidRDefault="00B255B3" w:rsidP="006A1452">
      <w:pPr>
        <w:spacing w:after="120" w:line="240" w:lineRule="auto"/>
        <w:jc w:val="both"/>
        <w:rPr>
          <w:rFonts w:ascii="Segoe UI" w:eastAsia="Times New Roman" w:hAnsi="Segoe UI" w:cs="Segoe UI"/>
          <w:color w:val="222222"/>
          <w:lang w:eastAsia="fr-FR"/>
        </w:rPr>
      </w:pPr>
      <w:r w:rsidRPr="007816F9">
        <w:rPr>
          <w:rFonts w:ascii="Segoe UI" w:eastAsia="Times New Roman" w:hAnsi="Segoe UI" w:cs="Segoe UI"/>
          <w:b/>
          <w:bCs/>
          <w:color w:val="222222"/>
          <w:lang w:eastAsia="fr-FR"/>
        </w:rPr>
        <w:t>La réponse à la pandémie de COVID-19 et l'impulsion donnée pour faire avancer les grands projets d'infrastructure</w:t>
      </w:r>
      <w:r w:rsidR="00E03FCA">
        <w:rPr>
          <w:rFonts w:ascii="Segoe UI" w:eastAsia="Times New Roman" w:hAnsi="Segoe UI" w:cs="Segoe UI"/>
          <w:b/>
          <w:bCs/>
          <w:color w:val="222222"/>
          <w:lang w:eastAsia="fr-FR"/>
        </w:rPr>
        <w:t>s</w:t>
      </w:r>
      <w:r w:rsidRPr="007816F9">
        <w:rPr>
          <w:rFonts w:ascii="Segoe UI" w:eastAsia="Times New Roman" w:hAnsi="Segoe UI" w:cs="Segoe UI"/>
          <w:b/>
          <w:bCs/>
          <w:color w:val="222222"/>
          <w:lang w:eastAsia="fr-FR"/>
        </w:rPr>
        <w:t xml:space="preserve"> publi</w:t>
      </w:r>
      <w:r w:rsidR="00E03FCA">
        <w:rPr>
          <w:rFonts w:ascii="Segoe UI" w:eastAsia="Times New Roman" w:hAnsi="Segoe UI" w:cs="Segoe UI"/>
          <w:b/>
          <w:bCs/>
          <w:color w:val="222222"/>
          <w:lang w:eastAsia="fr-FR"/>
        </w:rPr>
        <w:t>cs</w:t>
      </w:r>
      <w:r w:rsidRPr="007816F9">
        <w:rPr>
          <w:rFonts w:ascii="Segoe UI" w:eastAsia="Times New Roman" w:hAnsi="Segoe UI" w:cs="Segoe UI"/>
          <w:b/>
          <w:bCs/>
          <w:color w:val="222222"/>
          <w:lang w:eastAsia="fr-FR"/>
        </w:rPr>
        <w:t xml:space="preserve"> ont augmenté le déficit budgétaire au cours de l'exercice 2020/21.</w:t>
      </w:r>
      <w:r w:rsidRPr="00340A46">
        <w:rPr>
          <w:rFonts w:ascii="Segoe UI" w:eastAsia="Times New Roman" w:hAnsi="Segoe UI" w:cs="Segoe UI"/>
          <w:color w:val="222222"/>
          <w:lang w:eastAsia="fr-FR"/>
        </w:rPr>
        <w:t xml:space="preserve"> </w:t>
      </w:r>
      <w:r w:rsidR="0011741C">
        <w:rPr>
          <w:rFonts w:ascii="Segoe UI" w:eastAsia="Times New Roman" w:hAnsi="Segoe UI" w:cs="Segoe UI"/>
          <w:color w:val="222222"/>
          <w:lang w:eastAsia="fr-FR"/>
        </w:rPr>
        <w:t>Selon le FMI, l</w:t>
      </w:r>
      <w:r w:rsidRPr="00340A46">
        <w:rPr>
          <w:rFonts w:ascii="Segoe UI" w:eastAsia="Times New Roman" w:hAnsi="Segoe UI" w:cs="Segoe UI"/>
          <w:color w:val="222222"/>
          <w:lang w:eastAsia="fr-FR"/>
        </w:rPr>
        <w:t xml:space="preserve">e déficit de l'exercice 2020/21 s'est creusé de 2 points de pourcentage (pp) à 3,9% du PIB, les revenus se contractant de 1,3 pp du PIB et les dépenses de développement augmentant (0,7 pp du PIB). Les autorités et les services prévoient un déficit global pour l'exercice 2021/22 de 2,8% du PIB. La collecte des recettes totales et fiscales s'est redressée d'environ 1,1 pp du PIB, malgré l'accélération du rythme des remboursements de TVA (0,4 pp du PIB). Les dons devraient augmenter de 0,2 pp du PIB, tandis que les recettes non fiscales resteront stables. Du côté des dépenses, les dépenses totales devraient augmenter d'environ 0,2 pp du PIB, avec une </w:t>
      </w:r>
      <w:r w:rsidR="008A7619">
        <w:rPr>
          <w:rFonts w:ascii="Segoe UI" w:eastAsia="Times New Roman" w:hAnsi="Segoe UI" w:cs="Segoe UI"/>
          <w:color w:val="222222"/>
          <w:lang w:eastAsia="fr-FR"/>
        </w:rPr>
        <w:t>hausse</w:t>
      </w:r>
      <w:r w:rsidR="008A7619" w:rsidRPr="00340A46">
        <w:rPr>
          <w:rFonts w:ascii="Segoe UI" w:eastAsia="Times New Roman" w:hAnsi="Segoe UI" w:cs="Segoe UI"/>
          <w:color w:val="222222"/>
          <w:lang w:eastAsia="fr-FR"/>
        </w:rPr>
        <w:t xml:space="preserve"> </w:t>
      </w:r>
      <w:r w:rsidRPr="00340A46">
        <w:rPr>
          <w:rFonts w:ascii="Segoe UI" w:eastAsia="Times New Roman" w:hAnsi="Segoe UI" w:cs="Segoe UI"/>
          <w:color w:val="222222"/>
          <w:lang w:eastAsia="fr-FR"/>
        </w:rPr>
        <w:t>plus importante des dépenses en biens et services que des dépenses de développement.</w:t>
      </w:r>
    </w:p>
    <w:p w14:paraId="6A1A197F" w14:textId="3C90D2EF" w:rsidR="00B255B3" w:rsidRDefault="00B255B3" w:rsidP="006A1452">
      <w:pPr>
        <w:spacing w:after="120" w:line="240" w:lineRule="auto"/>
        <w:jc w:val="both"/>
        <w:rPr>
          <w:rFonts w:ascii="Segoe UI" w:eastAsia="Times New Roman" w:hAnsi="Segoe UI" w:cs="Segoe UI"/>
          <w:color w:val="222222"/>
          <w:lang w:eastAsia="fr-FR"/>
        </w:rPr>
      </w:pPr>
      <w:r w:rsidRPr="007816F9">
        <w:rPr>
          <w:rFonts w:ascii="Segoe UI" w:eastAsia="Times New Roman" w:hAnsi="Segoe UI" w:cs="Segoe UI"/>
          <w:b/>
          <w:bCs/>
          <w:color w:val="222222"/>
          <w:lang w:eastAsia="fr-FR"/>
        </w:rPr>
        <w:t>Les vulnérabilités du secteur bancaire persistent, malgré les efforts de réforme en cours.</w:t>
      </w:r>
      <w:r w:rsidR="00391B59">
        <w:rPr>
          <w:rFonts w:ascii="Segoe UI" w:eastAsia="Times New Roman" w:hAnsi="Segoe UI" w:cs="Segoe UI"/>
          <w:b/>
          <w:bCs/>
          <w:color w:val="222222"/>
          <w:lang w:eastAsia="fr-FR"/>
        </w:rPr>
        <w:t xml:space="preserve"> </w:t>
      </w:r>
      <w:r w:rsidR="002B24FD" w:rsidRPr="002B24FD">
        <w:rPr>
          <w:rFonts w:ascii="Segoe UI" w:eastAsia="Times New Roman" w:hAnsi="Segoe UI" w:cs="Segoe UI"/>
          <w:color w:val="222222"/>
          <w:lang w:eastAsia="fr-FR"/>
        </w:rPr>
        <w:t>Le secteur bancaire se compose de 46 institutions financières</w:t>
      </w:r>
      <w:r w:rsidR="001004FB">
        <w:rPr>
          <w:rFonts w:ascii="Segoe UI" w:eastAsia="Times New Roman" w:hAnsi="Segoe UI" w:cs="Segoe UI"/>
          <w:color w:val="222222"/>
          <w:lang w:eastAsia="fr-FR"/>
        </w:rPr>
        <w:t xml:space="preserve"> : </w:t>
      </w:r>
      <w:r w:rsidR="001004FB" w:rsidRPr="00391B59">
        <w:rPr>
          <w:rFonts w:ascii="Segoe UI" w:eastAsia="Times New Roman" w:hAnsi="Segoe UI" w:cs="Segoe UI"/>
          <w:color w:val="222222"/>
          <w:lang w:eastAsia="fr-FR"/>
        </w:rPr>
        <w:t xml:space="preserve">34 banques commerciales, 5 </w:t>
      </w:r>
      <w:r w:rsidR="001004FB" w:rsidRPr="00391B59">
        <w:rPr>
          <w:rFonts w:ascii="Segoe UI" w:eastAsia="Times New Roman" w:hAnsi="Segoe UI" w:cs="Segoe UI"/>
          <w:color w:val="222222"/>
          <w:lang w:eastAsia="fr-FR"/>
        </w:rPr>
        <w:lastRenderedPageBreak/>
        <w:t>banques communautaires, 5 institutions de microfinance et 2 banques de développement</w:t>
      </w:r>
      <w:r w:rsidR="001004FB">
        <w:rPr>
          <w:rFonts w:ascii="Segoe UI" w:eastAsia="Times New Roman" w:hAnsi="Segoe UI" w:cs="Segoe UI"/>
          <w:color w:val="222222"/>
          <w:lang w:eastAsia="fr-FR"/>
        </w:rPr>
        <w:t xml:space="preserve">. Il </w:t>
      </w:r>
      <w:r w:rsidR="002B24FD" w:rsidRPr="002B24FD">
        <w:rPr>
          <w:rFonts w:ascii="Segoe UI" w:eastAsia="Times New Roman" w:hAnsi="Segoe UI" w:cs="Segoe UI"/>
          <w:color w:val="222222"/>
          <w:lang w:eastAsia="fr-FR"/>
        </w:rPr>
        <w:t>est fortement concentré, en particulier dans les activités bancaires commerciales</w:t>
      </w:r>
      <w:r w:rsidR="00E03FCA">
        <w:rPr>
          <w:rFonts w:ascii="Segoe UI" w:eastAsia="Times New Roman" w:hAnsi="Segoe UI" w:cs="Segoe UI"/>
          <w:color w:val="222222"/>
          <w:lang w:eastAsia="fr-FR"/>
        </w:rPr>
        <w:t>, les</w:t>
      </w:r>
      <w:r w:rsidR="002B24FD" w:rsidRPr="00391B59">
        <w:rPr>
          <w:rFonts w:ascii="Segoe UI" w:eastAsia="Times New Roman" w:hAnsi="Segoe UI" w:cs="Segoe UI"/>
          <w:b/>
          <w:bCs/>
          <w:color w:val="222222"/>
          <w:lang w:eastAsia="fr-FR"/>
        </w:rPr>
        <w:t xml:space="preserve"> </w:t>
      </w:r>
      <w:r w:rsidR="00544C7A">
        <w:rPr>
          <w:rFonts w:ascii="Segoe UI" w:eastAsia="Times New Roman" w:hAnsi="Segoe UI" w:cs="Segoe UI"/>
          <w:b/>
          <w:bCs/>
          <w:color w:val="222222"/>
          <w:lang w:eastAsia="fr-FR"/>
        </w:rPr>
        <w:t>quatre</w:t>
      </w:r>
      <w:r w:rsidR="002B24FD" w:rsidRPr="00391B59">
        <w:rPr>
          <w:rFonts w:ascii="Segoe UI" w:eastAsia="Times New Roman" w:hAnsi="Segoe UI" w:cs="Segoe UI"/>
          <w:b/>
          <w:bCs/>
          <w:color w:val="222222"/>
          <w:lang w:eastAsia="fr-FR"/>
        </w:rPr>
        <w:t xml:space="preserve"> premières banques représent</w:t>
      </w:r>
      <w:r w:rsidR="00E03FCA">
        <w:rPr>
          <w:rFonts w:ascii="Segoe UI" w:eastAsia="Times New Roman" w:hAnsi="Segoe UI" w:cs="Segoe UI"/>
          <w:b/>
          <w:bCs/>
          <w:color w:val="222222"/>
          <w:lang w:eastAsia="fr-FR"/>
        </w:rPr>
        <w:t>a</w:t>
      </w:r>
      <w:r w:rsidR="002B24FD" w:rsidRPr="00391B59">
        <w:rPr>
          <w:rFonts w:ascii="Segoe UI" w:eastAsia="Times New Roman" w:hAnsi="Segoe UI" w:cs="Segoe UI"/>
          <w:b/>
          <w:bCs/>
          <w:color w:val="222222"/>
          <w:lang w:eastAsia="fr-FR"/>
        </w:rPr>
        <w:t>nt plus de 50% du capital.</w:t>
      </w:r>
      <w:r w:rsidR="002B24FD" w:rsidRPr="00391B59">
        <w:rPr>
          <w:rFonts w:ascii="Segoe UI" w:eastAsia="Times New Roman" w:hAnsi="Segoe UI" w:cs="Segoe UI"/>
          <w:color w:val="222222"/>
          <w:lang w:eastAsia="fr-FR"/>
        </w:rPr>
        <w:t xml:space="preserve"> </w:t>
      </w:r>
      <w:r w:rsidRPr="00391B59">
        <w:rPr>
          <w:rFonts w:ascii="Segoe UI" w:eastAsia="Times New Roman" w:hAnsi="Segoe UI" w:cs="Segoe UI"/>
          <w:color w:val="222222"/>
          <w:lang w:eastAsia="fr-FR"/>
        </w:rPr>
        <w:t>Un important programme de réforme</w:t>
      </w:r>
      <w:r w:rsidRPr="00340A46">
        <w:rPr>
          <w:rFonts w:ascii="Segoe UI" w:eastAsia="Times New Roman" w:hAnsi="Segoe UI" w:cs="Segoe UI"/>
          <w:color w:val="222222"/>
          <w:lang w:eastAsia="fr-FR"/>
        </w:rPr>
        <w:t xml:space="preserve"> du secteur financier a été entrepris </w:t>
      </w:r>
      <w:r w:rsidR="00E03FCA">
        <w:rPr>
          <w:rFonts w:ascii="Segoe UI" w:eastAsia="Times New Roman" w:hAnsi="Segoe UI" w:cs="Segoe UI"/>
          <w:color w:val="222222"/>
          <w:lang w:eastAsia="fr-FR"/>
        </w:rPr>
        <w:t xml:space="preserve">en </w:t>
      </w:r>
      <w:r w:rsidRPr="00340A46">
        <w:rPr>
          <w:rFonts w:ascii="Segoe UI" w:eastAsia="Times New Roman" w:hAnsi="Segoe UI" w:cs="Segoe UI"/>
          <w:color w:val="222222"/>
          <w:lang w:eastAsia="fr-FR"/>
        </w:rPr>
        <w:t>2018</w:t>
      </w:r>
      <w:r w:rsidR="00E03FCA">
        <w:rPr>
          <w:rFonts w:ascii="Segoe UI" w:eastAsia="Times New Roman" w:hAnsi="Segoe UI" w:cs="Segoe UI"/>
          <w:color w:val="222222"/>
          <w:lang w:eastAsia="fr-FR"/>
        </w:rPr>
        <w:t xml:space="preserve"> conduisant à une amélioration de l</w:t>
      </w:r>
      <w:r w:rsidRPr="00340A46">
        <w:rPr>
          <w:rFonts w:ascii="Segoe UI" w:eastAsia="Times New Roman" w:hAnsi="Segoe UI" w:cs="Segoe UI"/>
          <w:color w:val="222222"/>
          <w:lang w:eastAsia="fr-FR"/>
        </w:rPr>
        <w:t xml:space="preserve">a qualité de la collecte de données et </w:t>
      </w:r>
      <w:r w:rsidR="00E03FCA">
        <w:rPr>
          <w:rFonts w:ascii="Segoe UI" w:eastAsia="Times New Roman" w:hAnsi="Segoe UI" w:cs="Segoe UI"/>
          <w:color w:val="222222"/>
          <w:lang w:eastAsia="fr-FR"/>
        </w:rPr>
        <w:t>la mise sur pied de</w:t>
      </w:r>
      <w:r w:rsidRPr="00340A46">
        <w:rPr>
          <w:rFonts w:ascii="Segoe UI" w:eastAsia="Times New Roman" w:hAnsi="Segoe UI" w:cs="Segoe UI"/>
          <w:color w:val="222222"/>
          <w:lang w:eastAsia="fr-FR"/>
        </w:rPr>
        <w:t xml:space="preserve"> tests de résistance du système. La </w:t>
      </w:r>
      <w:r w:rsidR="008A7619">
        <w:rPr>
          <w:rFonts w:ascii="Segoe UI" w:eastAsia="Times New Roman" w:hAnsi="Segoe UI" w:cs="Segoe UI"/>
          <w:color w:val="222222"/>
          <w:lang w:eastAsia="fr-FR"/>
        </w:rPr>
        <w:t>b</w:t>
      </w:r>
      <w:r w:rsidRPr="00340A46">
        <w:rPr>
          <w:rFonts w:ascii="Segoe UI" w:eastAsia="Times New Roman" w:hAnsi="Segoe UI" w:cs="Segoe UI"/>
          <w:color w:val="222222"/>
          <w:lang w:eastAsia="fr-FR"/>
        </w:rPr>
        <w:t xml:space="preserve">anque </w:t>
      </w:r>
      <w:r w:rsidR="008A7619">
        <w:rPr>
          <w:rFonts w:ascii="Segoe UI" w:eastAsia="Times New Roman" w:hAnsi="Segoe UI" w:cs="Segoe UI"/>
          <w:color w:val="222222"/>
          <w:lang w:eastAsia="fr-FR"/>
        </w:rPr>
        <w:t xml:space="preserve">centrale </w:t>
      </w:r>
      <w:r w:rsidRPr="00340A46">
        <w:rPr>
          <w:rFonts w:ascii="Segoe UI" w:eastAsia="Times New Roman" w:hAnsi="Segoe UI" w:cs="Segoe UI"/>
          <w:color w:val="222222"/>
          <w:lang w:eastAsia="fr-FR"/>
        </w:rPr>
        <w:t>de Tanzanie (B</w:t>
      </w:r>
      <w:r w:rsidR="008A7619">
        <w:rPr>
          <w:rFonts w:ascii="Segoe UI" w:eastAsia="Times New Roman" w:hAnsi="Segoe UI" w:cs="Segoe UI"/>
          <w:color w:val="222222"/>
          <w:lang w:eastAsia="fr-FR"/>
        </w:rPr>
        <w:t xml:space="preserve">ank of </w:t>
      </w:r>
      <w:r w:rsidR="001004FB">
        <w:rPr>
          <w:rFonts w:ascii="Segoe UI" w:eastAsia="Times New Roman" w:hAnsi="Segoe UI" w:cs="Segoe UI"/>
          <w:color w:val="222222"/>
          <w:lang w:eastAsia="fr-FR"/>
        </w:rPr>
        <w:t>T</w:t>
      </w:r>
      <w:r w:rsidR="008A7619">
        <w:rPr>
          <w:rFonts w:ascii="Segoe UI" w:eastAsia="Times New Roman" w:hAnsi="Segoe UI" w:cs="Segoe UI"/>
          <w:color w:val="222222"/>
          <w:lang w:eastAsia="fr-FR"/>
        </w:rPr>
        <w:t>anzania</w:t>
      </w:r>
      <w:r w:rsidRPr="00340A46">
        <w:rPr>
          <w:rFonts w:ascii="Segoe UI" w:eastAsia="Times New Roman" w:hAnsi="Segoe UI" w:cs="Segoe UI"/>
          <w:color w:val="222222"/>
          <w:lang w:eastAsia="fr-FR"/>
        </w:rPr>
        <w:t>) a également</w:t>
      </w:r>
      <w:r w:rsidR="008A7619">
        <w:rPr>
          <w:rFonts w:ascii="Segoe UI" w:eastAsia="Times New Roman" w:hAnsi="Segoe UI" w:cs="Segoe UI"/>
          <w:color w:val="222222"/>
          <w:lang w:eastAsia="fr-FR"/>
        </w:rPr>
        <w:t xml:space="preserve"> ordonné la fusion</w:t>
      </w:r>
      <w:r w:rsidR="001004FB">
        <w:rPr>
          <w:rFonts w:ascii="Segoe UI" w:eastAsia="Times New Roman" w:hAnsi="Segoe UI" w:cs="Segoe UI"/>
          <w:color w:val="222222"/>
          <w:lang w:eastAsia="fr-FR"/>
        </w:rPr>
        <w:t xml:space="preserve"> </w:t>
      </w:r>
      <w:r w:rsidRPr="00340A46">
        <w:rPr>
          <w:rFonts w:ascii="Segoe UI" w:eastAsia="Times New Roman" w:hAnsi="Segoe UI" w:cs="Segoe UI"/>
          <w:color w:val="222222"/>
          <w:lang w:eastAsia="fr-FR"/>
        </w:rPr>
        <w:t>de petites banques sous-capitalisées. Malgré les mesures politiques de soutien qui ont amorti les effets de la pandémie, maintenu la liquidité du système et soutenu la rentabilité des banques, certaines faiblesses subsistent</w:t>
      </w:r>
      <w:r w:rsidR="00262C8D">
        <w:rPr>
          <w:rFonts w:ascii="Segoe UI" w:eastAsia="Times New Roman" w:hAnsi="Segoe UI" w:cs="Segoe UI"/>
          <w:color w:val="222222"/>
          <w:lang w:eastAsia="fr-FR"/>
        </w:rPr>
        <w:t> (</w:t>
      </w:r>
      <w:r w:rsidRPr="00340A46">
        <w:rPr>
          <w:rFonts w:ascii="Segoe UI" w:eastAsia="Times New Roman" w:hAnsi="Segoe UI" w:cs="Segoe UI"/>
          <w:color w:val="222222"/>
          <w:lang w:eastAsia="fr-FR"/>
        </w:rPr>
        <w:t>prêts non performants élevés, sous-capitalisation des petites banques</w:t>
      </w:r>
      <w:r w:rsidR="00262C8D">
        <w:rPr>
          <w:rFonts w:ascii="Segoe UI" w:eastAsia="Times New Roman" w:hAnsi="Segoe UI" w:cs="Segoe UI"/>
          <w:color w:val="222222"/>
          <w:lang w:eastAsia="fr-FR"/>
        </w:rPr>
        <w:t xml:space="preserve">, </w:t>
      </w:r>
      <w:r w:rsidRPr="00340A46">
        <w:rPr>
          <w:rFonts w:ascii="Segoe UI" w:eastAsia="Times New Roman" w:hAnsi="Segoe UI" w:cs="Segoe UI"/>
          <w:color w:val="222222"/>
          <w:lang w:eastAsia="fr-FR"/>
        </w:rPr>
        <w:t>vulnérabilités de change dans le système bancaire dollarisé</w:t>
      </w:r>
      <w:r w:rsidR="00262C8D">
        <w:rPr>
          <w:rFonts w:ascii="Segoe UI" w:eastAsia="Times New Roman" w:hAnsi="Segoe UI" w:cs="Segoe UI"/>
          <w:color w:val="222222"/>
          <w:lang w:eastAsia="fr-FR"/>
        </w:rPr>
        <w:t xml:space="preserve">). </w:t>
      </w:r>
    </w:p>
    <w:p w14:paraId="1AF8DE30" w14:textId="77777777" w:rsidR="006A1452" w:rsidRPr="002B24FD" w:rsidRDefault="006A1452" w:rsidP="006A1452">
      <w:pPr>
        <w:spacing w:after="120" w:line="240" w:lineRule="auto"/>
        <w:jc w:val="both"/>
        <w:rPr>
          <w:rFonts w:ascii="Segoe UI" w:eastAsia="Times New Roman" w:hAnsi="Segoe UI" w:cs="Segoe UI"/>
          <w:b/>
          <w:bCs/>
          <w:color w:val="222222"/>
          <w:lang w:eastAsia="fr-FR"/>
        </w:rPr>
      </w:pPr>
    </w:p>
    <w:p w14:paraId="20C95B22" w14:textId="1CFBA89C" w:rsidR="00904EBC" w:rsidRDefault="004432FE" w:rsidP="006A1452">
      <w:pPr>
        <w:spacing w:after="120" w:line="240" w:lineRule="auto"/>
        <w:jc w:val="both"/>
        <w:rPr>
          <w:rFonts w:ascii="Segoe UI" w:eastAsia="Times New Roman" w:hAnsi="Segoe UI" w:cs="Segoe UI"/>
          <w:color w:val="222222"/>
          <w:lang w:eastAsia="fr-FR"/>
        </w:rPr>
      </w:pPr>
      <w:r w:rsidRPr="0062615D">
        <w:rPr>
          <w:rFonts w:ascii="Segoe UI" w:hAnsi="Segoe UI" w:cs="Segoe UI"/>
          <w:noProof/>
          <w:lang w:eastAsia="fr-FR"/>
        </w:rPr>
        <mc:AlternateContent>
          <mc:Choice Requires="wps">
            <w:drawing>
              <wp:inline distT="0" distB="0" distL="0" distR="0" wp14:anchorId="20C95B44" wp14:editId="208D2335">
                <wp:extent cx="5780599" cy="525439"/>
                <wp:effectExtent l="0" t="0" r="0" b="825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9" cy="525439"/>
                        </a:xfrm>
                        <a:prstGeom prst="rect">
                          <a:avLst/>
                        </a:prstGeom>
                        <a:solidFill>
                          <a:srgbClr val="006CE5"/>
                        </a:solidFill>
                        <a:ln w="9525">
                          <a:noFill/>
                          <a:miter lim="800000"/>
                          <a:headEnd/>
                          <a:tailEnd/>
                        </a:ln>
                      </wps:spPr>
                      <wps:txbx>
                        <w:txbxContent>
                          <w:p w14:paraId="20C95B63" w14:textId="45E53111" w:rsidR="00904EBC" w:rsidRPr="00492C67" w:rsidRDefault="007816F9" w:rsidP="004432FE">
                            <w:pPr>
                              <w:rPr>
                                <w:rFonts w:ascii="Segoe UI Historic" w:hAnsi="Segoe UI Historic" w:cs="Segoe UI Historic"/>
                                <w:color w:val="FFFFFF" w:themeColor="background1"/>
                                <w:sz w:val="24"/>
                                <w:szCs w:val="24"/>
                              </w:rPr>
                            </w:pPr>
                            <w:r w:rsidRPr="007816F9">
                              <w:rPr>
                                <w:rFonts w:ascii="Segoe UI" w:hAnsi="Segoe UI" w:cs="Segoe UI"/>
                                <w:color w:val="FFFFFF" w:themeColor="background1"/>
                                <w:sz w:val="24"/>
                                <w:szCs w:val="24"/>
                              </w:rPr>
                              <w:t xml:space="preserve">La dette publique </w:t>
                            </w:r>
                            <w:r w:rsidR="00262C8D">
                              <w:rPr>
                                <w:rFonts w:ascii="Segoe UI" w:hAnsi="Segoe UI" w:cs="Segoe UI"/>
                                <w:color w:val="FFFFFF" w:themeColor="background1"/>
                                <w:sz w:val="24"/>
                                <w:szCs w:val="24"/>
                              </w:rPr>
                              <w:t xml:space="preserve">présente un </w:t>
                            </w:r>
                            <w:r w:rsidRPr="007816F9">
                              <w:rPr>
                                <w:rFonts w:ascii="Segoe UI" w:hAnsi="Segoe UI" w:cs="Segoe UI"/>
                                <w:color w:val="FFFFFF" w:themeColor="background1"/>
                                <w:sz w:val="24"/>
                                <w:szCs w:val="24"/>
                              </w:rPr>
                              <w:t xml:space="preserve">risque modéré sur la soutenabilité selon le FMI, principalement </w:t>
                            </w:r>
                            <w:r w:rsidR="00C07C8B">
                              <w:rPr>
                                <w:rFonts w:ascii="Segoe UI" w:hAnsi="Segoe UI" w:cs="Segoe UI"/>
                                <w:color w:val="FFFFFF" w:themeColor="background1"/>
                                <w:sz w:val="24"/>
                                <w:szCs w:val="24"/>
                              </w:rPr>
                              <w:t>en raison de</w:t>
                            </w:r>
                            <w:r w:rsidRPr="007816F9">
                              <w:rPr>
                                <w:rFonts w:ascii="Segoe UI" w:hAnsi="Segoe UI" w:cs="Segoe UI"/>
                                <w:color w:val="FFFFFF" w:themeColor="background1"/>
                                <w:sz w:val="24"/>
                                <w:szCs w:val="24"/>
                              </w:rPr>
                              <w:t xml:space="preserve"> facteurs conjoncturels</w:t>
                            </w:r>
                          </w:p>
                        </w:txbxContent>
                      </wps:txbx>
                      <wps:bodyPr rot="0" vert="horz" wrap="square" lIns="91440" tIns="45720" rIns="91440" bIns="45720" anchor="t" anchorCtr="0">
                        <a:noAutofit/>
                      </wps:bodyPr>
                    </wps:wsp>
                  </a:graphicData>
                </a:graphic>
              </wp:inline>
            </w:drawing>
          </mc:Choice>
          <mc:Fallback>
            <w:pict>
              <v:shape w14:anchorId="20C95B44" id="_x0000_s1028" type="#_x0000_t202" style="width:455.1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" fillcolor="#006ce5" stroked="f">
                <v:textbox>
                  <w:txbxContent>
                    <w:p w14:paraId="20C95B63" w14:textId="45E53111" w:rsidR="00904EBC" w:rsidRPr="00492C67" w:rsidRDefault="007816F9" w:rsidP="004432FE">
                      <w:pPr>
                        <w:rPr>
                          <w:rFonts w:ascii="Segoe UI Historic" w:hAnsi="Segoe UI Historic" w:cs="Segoe UI Historic"/>
                          <w:color w:val="FFFFFF" w:themeColor="background1"/>
                          <w:sz w:val="24"/>
                          <w:szCs w:val="24"/>
                        </w:rPr>
                      </w:pPr>
                      <w:r w:rsidRPr="007816F9">
                        <w:rPr>
                          <w:rFonts w:ascii="Segoe UI" w:hAnsi="Segoe UI" w:cs="Segoe UI"/>
                          <w:color w:val="FFFFFF" w:themeColor="background1"/>
                          <w:sz w:val="24"/>
                          <w:szCs w:val="24"/>
                        </w:rPr>
                        <w:t xml:space="preserve">La dette publique </w:t>
                      </w:r>
                      <w:r w:rsidR="00262C8D">
                        <w:rPr>
                          <w:rFonts w:ascii="Segoe UI" w:hAnsi="Segoe UI" w:cs="Segoe UI"/>
                          <w:color w:val="FFFFFF" w:themeColor="background1"/>
                          <w:sz w:val="24"/>
                          <w:szCs w:val="24"/>
                        </w:rPr>
                        <w:t xml:space="preserve">présente un </w:t>
                      </w:r>
                      <w:r w:rsidRPr="007816F9">
                        <w:rPr>
                          <w:rFonts w:ascii="Segoe UI" w:hAnsi="Segoe UI" w:cs="Segoe UI"/>
                          <w:color w:val="FFFFFF" w:themeColor="background1"/>
                          <w:sz w:val="24"/>
                          <w:szCs w:val="24"/>
                        </w:rPr>
                        <w:t xml:space="preserve">risque modéré sur la soutenabilité selon le FMI, principalement </w:t>
                      </w:r>
                      <w:r w:rsidR="00C07C8B">
                        <w:rPr>
                          <w:rFonts w:ascii="Segoe UI" w:hAnsi="Segoe UI" w:cs="Segoe UI"/>
                          <w:color w:val="FFFFFF" w:themeColor="background1"/>
                          <w:sz w:val="24"/>
                          <w:szCs w:val="24"/>
                        </w:rPr>
                        <w:t>en raison de</w:t>
                      </w:r>
                      <w:r w:rsidRPr="007816F9">
                        <w:rPr>
                          <w:rFonts w:ascii="Segoe UI" w:hAnsi="Segoe UI" w:cs="Segoe UI"/>
                          <w:color w:val="FFFFFF" w:themeColor="background1"/>
                          <w:sz w:val="24"/>
                          <w:szCs w:val="24"/>
                        </w:rPr>
                        <w:t xml:space="preserve"> facteurs conjoncturels</w:t>
                      </w:r>
                    </w:p>
                  </w:txbxContent>
                </v:textbox>
                <w10:anchorlock/>
              </v:shape>
            </w:pict>
          </mc:Fallback>
        </mc:AlternateContent>
      </w:r>
      <w:r>
        <w:rPr>
          <w:rFonts w:ascii="Segoe UI" w:eastAsia="Times New Roman" w:hAnsi="Segoe UI" w:cs="Segoe UI"/>
          <w:color w:val="222222"/>
          <w:lang w:eastAsia="fr-FR"/>
        </w:rPr>
        <w:t xml:space="preserve"> </w:t>
      </w:r>
    </w:p>
    <w:p w14:paraId="651CB8F9" w14:textId="7CA0755B" w:rsidR="007816F9" w:rsidRPr="00B255B3" w:rsidRDefault="007816F9" w:rsidP="006A1452">
      <w:pPr>
        <w:spacing w:after="120" w:line="240" w:lineRule="auto"/>
        <w:jc w:val="both"/>
      </w:pPr>
      <w:r w:rsidRPr="000F66F3">
        <w:rPr>
          <w:rFonts w:ascii="Segoe UI" w:hAnsi="Segoe UI" w:cs="Segoe UI"/>
          <w:bCs/>
        </w:rPr>
        <w:t>La dette publique a augmenté de 27,2% du PIB en 2010 à 4</w:t>
      </w:r>
      <w:r w:rsidR="002B5196">
        <w:rPr>
          <w:rFonts w:ascii="Segoe UI" w:hAnsi="Segoe UI" w:cs="Segoe UI"/>
          <w:bCs/>
        </w:rPr>
        <w:t>1</w:t>
      </w:r>
      <w:r w:rsidRPr="000F66F3">
        <w:rPr>
          <w:rFonts w:ascii="Segoe UI" w:hAnsi="Segoe UI" w:cs="Segoe UI"/>
          <w:bCs/>
        </w:rPr>
        <w:t>,</w:t>
      </w:r>
      <w:r w:rsidR="002B5196">
        <w:rPr>
          <w:rFonts w:ascii="Segoe UI" w:hAnsi="Segoe UI" w:cs="Segoe UI"/>
          <w:bCs/>
        </w:rPr>
        <w:t>5</w:t>
      </w:r>
      <w:r w:rsidRPr="000F66F3">
        <w:rPr>
          <w:rFonts w:ascii="Segoe UI" w:hAnsi="Segoe UI" w:cs="Segoe UI"/>
          <w:bCs/>
        </w:rPr>
        <w:t>% en 2021 et devrait, d’après le FMI, s’inscrire dans une tendance à la baisse à moyen terme pour atteindre 39,</w:t>
      </w:r>
      <w:r w:rsidR="002B5196">
        <w:rPr>
          <w:rFonts w:ascii="Segoe UI" w:hAnsi="Segoe UI" w:cs="Segoe UI"/>
          <w:bCs/>
        </w:rPr>
        <w:t>5</w:t>
      </w:r>
      <w:r w:rsidRPr="000F66F3">
        <w:rPr>
          <w:rFonts w:ascii="Segoe UI" w:hAnsi="Segoe UI" w:cs="Segoe UI"/>
          <w:bCs/>
        </w:rPr>
        <w:t>% en 2022.</w:t>
      </w:r>
      <w:r w:rsidRPr="000F66F3">
        <w:t xml:space="preserve"> </w:t>
      </w:r>
      <w:r w:rsidRPr="000F66F3">
        <w:rPr>
          <w:rFonts w:ascii="Segoe UI" w:hAnsi="Segoe UI" w:cs="Segoe UI"/>
          <w:b/>
        </w:rPr>
        <w:t>En vingt ans, la dette extérieure publique en part du PIB a été divisée par deux, passant de 44,7% du PIB en 2000 à 22,4% en 2019.</w:t>
      </w:r>
      <w:r w:rsidRPr="000F66F3">
        <w:rPr>
          <w:rFonts w:ascii="Segoe UI" w:hAnsi="Segoe UI" w:cs="Segoe UI"/>
          <w:bCs/>
        </w:rPr>
        <w:t xml:space="preserve"> Sur cette période, elle a augmenté en montant de 136,6% pour atteindre 14,2 Md USD en 2019, après avoir chuté de manière significative à 2,5 Md USD en 2006. Selon la </w:t>
      </w:r>
      <w:r w:rsidR="003610FB">
        <w:rPr>
          <w:rFonts w:ascii="Segoe UI" w:hAnsi="Segoe UI" w:cs="Segoe UI"/>
          <w:bCs/>
        </w:rPr>
        <w:t>Bank of T</w:t>
      </w:r>
      <w:r w:rsidRPr="000F66F3">
        <w:rPr>
          <w:rFonts w:ascii="Segoe UI" w:hAnsi="Segoe UI" w:cs="Segoe UI"/>
          <w:bCs/>
        </w:rPr>
        <w:t>anzani</w:t>
      </w:r>
      <w:r w:rsidR="003610FB">
        <w:rPr>
          <w:rFonts w:ascii="Segoe UI" w:hAnsi="Segoe UI" w:cs="Segoe UI"/>
          <w:bCs/>
        </w:rPr>
        <w:t>a</w:t>
      </w:r>
      <w:r w:rsidRPr="000F66F3">
        <w:rPr>
          <w:rFonts w:ascii="Segoe UI" w:hAnsi="Segoe UI" w:cs="Segoe UI"/>
          <w:bCs/>
        </w:rPr>
        <w:t>, l'augmentation est notamment due à la dépréciation du dollar américain par rapport aux autres devises dans lesquelles la dette extérieure est libellée.</w:t>
      </w:r>
    </w:p>
    <w:p w14:paraId="7EA76EE6" w14:textId="74ED46A5" w:rsidR="006E6F2B" w:rsidRDefault="007816F9" w:rsidP="006A1452">
      <w:pPr>
        <w:spacing w:after="120" w:line="240" w:lineRule="auto"/>
        <w:contextualSpacing/>
        <w:jc w:val="both"/>
        <w:rPr>
          <w:rFonts w:ascii="Segoe UI" w:hAnsi="Segoe UI" w:cs="Segoe UI"/>
        </w:rPr>
      </w:pPr>
      <w:r w:rsidRPr="00F66747">
        <w:rPr>
          <w:rFonts w:ascii="Segoe UI" w:hAnsi="Segoe UI" w:cs="Segoe UI"/>
          <w:b/>
          <w:bCs/>
        </w:rPr>
        <w:t>Le</w:t>
      </w:r>
      <w:r w:rsidRPr="000F66F3">
        <w:rPr>
          <w:rFonts w:ascii="Segoe UI" w:hAnsi="Segoe UI" w:cs="Segoe UI"/>
          <w:b/>
          <w:bCs/>
        </w:rPr>
        <w:t xml:space="preserve"> risque de surendettement sur la dette externe de la Tanzanie est passé de « faible » à « modéré » en septembre 2021. </w:t>
      </w:r>
      <w:r w:rsidRPr="000F66F3">
        <w:rPr>
          <w:rFonts w:ascii="Segoe UI" w:hAnsi="Segoe UI" w:cs="Segoe UI"/>
        </w:rPr>
        <w:t xml:space="preserve">Selon </w:t>
      </w:r>
      <w:r>
        <w:rPr>
          <w:rFonts w:ascii="Segoe UI" w:hAnsi="Segoe UI" w:cs="Segoe UI"/>
        </w:rPr>
        <w:t>le</w:t>
      </w:r>
      <w:r w:rsidRPr="000F66F3">
        <w:rPr>
          <w:rFonts w:ascii="Segoe UI" w:hAnsi="Segoe UI" w:cs="Segoe UI"/>
        </w:rPr>
        <w:t xml:space="preserve"> FMI, cette dégradation provient essentiellement de deux facteurs, qui, combinés, ont entraîné la classification du risque de surendettement de la Tanzanie à modéré faisant passer le ratio service de la dette/exportations légèrement au-dessus du seuil limite (15,1% contre un seuil de 15%).</w:t>
      </w:r>
    </w:p>
    <w:p w14:paraId="3D139336" w14:textId="55198A0C" w:rsidR="006E6F2B" w:rsidRPr="006E6F2B" w:rsidRDefault="006E6F2B" w:rsidP="00920BC7">
      <w:pPr>
        <w:rPr>
          <w:rFonts w:ascii="Segoe UI" w:hAnsi="Segoe UI" w:cs="Segoe UI"/>
        </w:rPr>
      </w:pPr>
    </w:p>
    <w:sectPr w:rsidR="006E6F2B" w:rsidRPr="006E6F2B" w:rsidSect="004432FE">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7695" w14:textId="77777777" w:rsidR="00704B64" w:rsidRDefault="00704B64" w:rsidP="004432FE">
      <w:pPr>
        <w:spacing w:after="0" w:line="240" w:lineRule="auto"/>
      </w:pPr>
      <w:r>
        <w:separator/>
      </w:r>
    </w:p>
  </w:endnote>
  <w:endnote w:type="continuationSeparator" w:id="0">
    <w:p w14:paraId="22F63A0C" w14:textId="77777777" w:rsidR="00704B64" w:rsidRDefault="00704B64" w:rsidP="0044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278981"/>
      <w:docPartObj>
        <w:docPartGallery w:val="Page Numbers (Bottom of Page)"/>
        <w:docPartUnique/>
      </w:docPartObj>
    </w:sdtPr>
    <w:sdtEndPr>
      <w:rPr>
        <w:rFonts w:ascii="Segoe UI" w:hAnsi="Segoe UI" w:cs="Segoe UI"/>
        <w:sz w:val="20"/>
        <w:szCs w:val="20"/>
      </w:rPr>
    </w:sdtEndPr>
    <w:sdtContent>
      <w:p w14:paraId="20C95B50" w14:textId="77777777" w:rsidR="00904EBC" w:rsidRPr="004F6F24" w:rsidRDefault="00904EBC">
        <w:pPr>
          <w:pStyle w:val="Pieddepage"/>
          <w:jc w:val="right"/>
          <w:rPr>
            <w:rFonts w:ascii="Segoe UI" w:hAnsi="Segoe UI" w:cs="Segoe UI"/>
            <w:sz w:val="20"/>
            <w:szCs w:val="20"/>
          </w:rPr>
        </w:pPr>
        <w:r w:rsidRPr="004F6F24">
          <w:rPr>
            <w:rFonts w:ascii="Segoe UI" w:hAnsi="Segoe UI" w:cs="Segoe UI"/>
            <w:sz w:val="20"/>
            <w:szCs w:val="20"/>
          </w:rPr>
          <w:fldChar w:fldCharType="begin"/>
        </w:r>
        <w:r w:rsidRPr="004F6F24">
          <w:rPr>
            <w:rFonts w:ascii="Segoe UI" w:hAnsi="Segoe UI" w:cs="Segoe UI"/>
            <w:sz w:val="20"/>
            <w:szCs w:val="20"/>
          </w:rPr>
          <w:instrText>PAGE   \* MERGEFORMAT</w:instrText>
        </w:r>
        <w:r w:rsidRPr="004F6F24">
          <w:rPr>
            <w:rFonts w:ascii="Segoe UI" w:hAnsi="Segoe UI" w:cs="Segoe UI"/>
            <w:sz w:val="20"/>
            <w:szCs w:val="20"/>
          </w:rPr>
          <w:fldChar w:fldCharType="separate"/>
        </w:r>
        <w:r w:rsidR="00180C00">
          <w:rPr>
            <w:rFonts w:ascii="Segoe UI" w:hAnsi="Segoe UI" w:cs="Segoe UI"/>
            <w:noProof/>
            <w:sz w:val="20"/>
            <w:szCs w:val="20"/>
          </w:rPr>
          <w:t>3</w:t>
        </w:r>
        <w:r w:rsidRPr="004F6F24">
          <w:rPr>
            <w:rFonts w:ascii="Segoe UI" w:hAnsi="Segoe UI" w:cs="Segoe UI"/>
            <w:sz w:val="20"/>
            <w:szCs w:val="20"/>
          </w:rPr>
          <w:fldChar w:fldCharType="end"/>
        </w:r>
      </w:p>
    </w:sdtContent>
  </w:sdt>
  <w:p w14:paraId="20C95B51" w14:textId="77777777" w:rsidR="004432FE" w:rsidRDefault="004432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B53" w14:textId="3BF84B09" w:rsidR="00ED108C" w:rsidRDefault="004F6F24" w:rsidP="007E6B29">
    <w:pPr>
      <w:pStyle w:val="Pieddepage"/>
      <w:jc w:val="center"/>
    </w:pPr>
    <w:r>
      <w:rPr>
        <w:rFonts w:ascii="Segoe UI" w:hAnsi="Segoe UI" w:cs="Segoe UI"/>
        <w:noProof/>
        <w:color w:val="006CE5"/>
        <w:sz w:val="24"/>
        <w:szCs w:val="24"/>
        <w:u w:val="single"/>
        <w:lang w:eastAsia="fr-FR"/>
      </w:rPr>
      <w:drawing>
        <wp:anchor distT="0" distB="0" distL="114300" distR="114300" simplePos="0" relativeHeight="251660288" behindDoc="0" locked="0" layoutInCell="1" allowOverlap="1" wp14:anchorId="20C95B5C" wp14:editId="20C95B5D">
          <wp:simplePos x="0" y="0"/>
          <wp:positionH relativeFrom="column">
            <wp:posOffset>-658826</wp:posOffset>
          </wp:positionH>
          <wp:positionV relativeFrom="paragraph">
            <wp:posOffset>-23495</wp:posOffset>
          </wp:positionV>
          <wp:extent cx="809625" cy="409575"/>
          <wp:effectExtent l="0" t="0" r="9525" b="9525"/>
          <wp:wrapNone/>
          <wp:docPr id="9" name="Imag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t="24706" b="24706"/>
                  <a:stretch>
                    <a:fillRect/>
                  </a:stretch>
                </pic:blipFill>
                <pic:spPr bwMode="auto">
                  <a:xfrm>
                    <a:off x="0" y="0"/>
                    <a:ext cx="8096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color w:val="006CE5"/>
        <w:sz w:val="44"/>
        <w:szCs w:val="44"/>
        <w:lang w:eastAsia="fr-FR"/>
      </w:rPr>
      <mc:AlternateContent>
        <mc:Choice Requires="wps">
          <w:drawing>
            <wp:anchor distT="0" distB="0" distL="114300" distR="114300" simplePos="0" relativeHeight="251662336" behindDoc="0" locked="0" layoutInCell="1" allowOverlap="1" wp14:anchorId="20C95B5E" wp14:editId="20C95B5F">
              <wp:simplePos x="0" y="0"/>
              <wp:positionH relativeFrom="column">
                <wp:posOffset>333375</wp:posOffset>
              </wp:positionH>
              <wp:positionV relativeFrom="paragraph">
                <wp:posOffset>38431</wp:posOffset>
              </wp:positionV>
              <wp:extent cx="0" cy="436245"/>
              <wp:effectExtent l="0" t="0" r="19050" b="20955"/>
              <wp:wrapNone/>
              <wp:docPr id="10" name="Connecteur droit 10"/>
              <wp:cNvGraphicFramePr/>
              <a:graphic xmlns:a="http://schemas.openxmlformats.org/drawingml/2006/main">
                <a:graphicData uri="http://schemas.microsoft.com/office/word/2010/wordprocessingShape">
                  <wps:wsp>
                    <wps:cNvCnPr/>
                    <wps:spPr>
                      <a:xfrm>
                        <a:off x="0" y="0"/>
                        <a:ext cx="0" cy="436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C4F04" id="Connecteur droit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25pt,3.05pt" to="26.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" strokecolor="#5b9bd5 [3204]" strokeweight=".5pt">
              <v:stroke joinstyle="miter"/>
            </v:line>
          </w:pict>
        </mc:Fallback>
      </mc:AlternateContent>
    </w:r>
    <w:r>
      <w:rPr>
        <w:rFonts w:ascii="Segoe UI" w:hAnsi="Segoe UI" w:cs="Segoe UI"/>
        <w:b/>
        <w:noProof/>
        <w:color w:val="006CE5"/>
        <w:sz w:val="44"/>
        <w:szCs w:val="44"/>
        <w:lang w:eastAsia="fr-FR"/>
      </w:rPr>
      <mc:AlternateContent>
        <mc:Choice Requires="wps">
          <w:drawing>
            <wp:anchor distT="0" distB="0" distL="114300" distR="114300" simplePos="0" relativeHeight="251658240" behindDoc="0" locked="0" layoutInCell="1" allowOverlap="1" wp14:anchorId="20C95B60" wp14:editId="20C95B61">
              <wp:simplePos x="0" y="0"/>
              <wp:positionH relativeFrom="page">
                <wp:align>left</wp:align>
              </wp:positionH>
              <wp:positionV relativeFrom="page">
                <wp:align>bottom</wp:align>
              </wp:positionV>
              <wp:extent cx="7779224" cy="12283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7779224" cy="122830"/>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5E8BD" id="Rectangle 4" o:spid="_x0000_s1026" style="position:absolute;margin-left:0;margin-top:0;width:612.55pt;height:9.6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" fillcolor="#006ce5" stroked="f" strokeweight="1pt">
              <w10:wrap type="square" anchorx="page" anchory="page"/>
            </v:rect>
          </w:pict>
        </mc:Fallback>
      </mc:AlternateContent>
    </w:r>
    <w:r w:rsidR="006330E9">
      <w:t xml:space="preserve">Ambassade de France </w:t>
    </w:r>
    <w:r w:rsidR="00C81934">
      <w:t>–</w:t>
    </w:r>
    <w:r w:rsidR="006330E9">
      <w:t xml:space="preserve"> </w:t>
    </w:r>
    <w:r w:rsidR="00C81934">
      <w:t xml:space="preserve">7 rue Ali Hassan </w:t>
    </w:r>
    <w:proofErr w:type="spellStart"/>
    <w:r w:rsidR="00C81934">
      <w:t>Mwinyi</w:t>
    </w:r>
    <w:proofErr w:type="spellEnd"/>
  </w:p>
  <w:p w14:paraId="3F636FB6" w14:textId="682D8DBD" w:rsidR="00C81934" w:rsidRDefault="00C81934" w:rsidP="007E6B29">
    <w:pPr>
      <w:pStyle w:val="Pieddepage"/>
      <w:jc w:val="center"/>
    </w:pPr>
    <w:r>
      <w:t>BP 2349 Dar es Salam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FAB8" w14:textId="77777777" w:rsidR="00704B64" w:rsidRDefault="00704B64" w:rsidP="004432FE">
      <w:pPr>
        <w:spacing w:after="0" w:line="240" w:lineRule="auto"/>
      </w:pPr>
      <w:r>
        <w:separator/>
      </w:r>
    </w:p>
  </w:footnote>
  <w:footnote w:type="continuationSeparator" w:id="0">
    <w:p w14:paraId="23ACC6FE" w14:textId="77777777" w:rsidR="00704B64" w:rsidRDefault="00704B64" w:rsidP="004432FE">
      <w:pPr>
        <w:spacing w:after="0" w:line="240" w:lineRule="auto"/>
      </w:pPr>
      <w:r>
        <w:continuationSeparator/>
      </w:r>
    </w:p>
  </w:footnote>
  <w:footnote w:id="1">
    <w:p w14:paraId="475DC5F0" w14:textId="2C9344CD" w:rsidR="009A09D0" w:rsidRPr="009A09D0" w:rsidRDefault="009A09D0">
      <w:pPr>
        <w:pStyle w:val="Notedebasdepage"/>
        <w:rPr>
          <w:lang w:val="en-US"/>
        </w:rPr>
      </w:pPr>
      <w:r>
        <w:rPr>
          <w:rStyle w:val="Appelnotedebasdep"/>
        </w:rPr>
        <w:footnoteRef/>
      </w:r>
      <w:r w:rsidRPr="009A09D0">
        <w:rPr>
          <w:lang w:val="en-US"/>
        </w:rPr>
        <w:t xml:space="preserve"> FMI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B4E" w14:textId="77777777" w:rsidR="004432FE" w:rsidRDefault="004432FE" w:rsidP="004432FE">
    <w:pPr>
      <w:pStyle w:val="En-tte"/>
    </w:pPr>
    <w:r>
      <w:rPr>
        <w:rFonts w:ascii="Segoe UI" w:hAnsi="Segoe UI" w:cs="Segoe UI"/>
        <w:noProof/>
        <w:color w:val="006CE5"/>
        <w:sz w:val="24"/>
        <w:szCs w:val="24"/>
        <w:u w:val="single"/>
        <w:lang w:eastAsia="fr-FR"/>
      </w:rPr>
      <w:drawing>
        <wp:anchor distT="0" distB="0" distL="114300" distR="114300" simplePos="0" relativeHeight="251656192" behindDoc="0" locked="0" layoutInCell="1" allowOverlap="1" wp14:anchorId="20C95B54" wp14:editId="20C95B55">
          <wp:simplePos x="0" y="0"/>
          <wp:positionH relativeFrom="column">
            <wp:posOffset>-666750</wp:posOffset>
          </wp:positionH>
          <wp:positionV relativeFrom="paragraph">
            <wp:posOffset>-242172</wp:posOffset>
          </wp:positionV>
          <wp:extent cx="809625" cy="409575"/>
          <wp:effectExtent l="0" t="0" r="9525" b="9525"/>
          <wp:wrapNone/>
          <wp:docPr id="21" name="Imag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t="24706" b="24706"/>
                  <a:stretch>
                    <a:fillRect/>
                  </a:stretch>
                </pic:blipFill>
                <pic:spPr bwMode="auto">
                  <a:xfrm>
                    <a:off x="0" y="0"/>
                    <a:ext cx="8096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color w:val="006CE5"/>
        <w:sz w:val="44"/>
        <w:szCs w:val="44"/>
        <w:lang w:eastAsia="fr-FR"/>
      </w:rPr>
      <mc:AlternateContent>
        <mc:Choice Requires="wps">
          <w:drawing>
            <wp:anchor distT="0" distB="0" distL="114300" distR="114300" simplePos="0" relativeHeight="251654144" behindDoc="0" locked="0" layoutInCell="1" allowOverlap="1" wp14:anchorId="20C95B56" wp14:editId="20C95B57">
              <wp:simplePos x="0" y="0"/>
              <wp:positionH relativeFrom="column">
                <wp:posOffset>347980</wp:posOffset>
              </wp:positionH>
              <wp:positionV relativeFrom="paragraph">
                <wp:posOffset>-324798</wp:posOffset>
              </wp:positionV>
              <wp:extent cx="0" cy="436245"/>
              <wp:effectExtent l="0" t="0" r="19050" b="20955"/>
              <wp:wrapNone/>
              <wp:docPr id="3" name="Connecteur droit 3"/>
              <wp:cNvGraphicFramePr/>
              <a:graphic xmlns:a="http://schemas.openxmlformats.org/drawingml/2006/main">
                <a:graphicData uri="http://schemas.microsoft.com/office/word/2010/wordprocessingShape">
                  <wps:wsp>
                    <wps:cNvCnPr/>
                    <wps:spPr>
                      <a:xfrm>
                        <a:off x="0" y="0"/>
                        <a:ext cx="0" cy="436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82521" id="Connecteur droit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7.4pt,-25.55pt" to="27.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" strokecolor="#5b9bd5 [3204]" strokeweight=".5pt">
              <v:stroke joinstyle="miter"/>
            </v:line>
          </w:pict>
        </mc:Fallback>
      </mc:AlternateContent>
    </w:r>
    <w:r>
      <w:rPr>
        <w:rFonts w:ascii="Segoe UI" w:hAnsi="Segoe UI" w:cs="Segoe UI"/>
        <w:b/>
        <w:noProof/>
        <w:color w:val="006CE5"/>
        <w:sz w:val="44"/>
        <w:szCs w:val="44"/>
        <w:lang w:eastAsia="fr-FR"/>
      </w:rPr>
      <mc:AlternateContent>
        <mc:Choice Requires="wps">
          <w:drawing>
            <wp:anchor distT="0" distB="0" distL="114300" distR="114300" simplePos="0" relativeHeight="251652096" behindDoc="0" locked="0" layoutInCell="1" allowOverlap="1" wp14:anchorId="20C95B58" wp14:editId="20C95B59">
              <wp:simplePos x="0" y="0"/>
              <wp:positionH relativeFrom="page">
                <wp:posOffset>-1583</wp:posOffset>
              </wp:positionH>
              <wp:positionV relativeFrom="page">
                <wp:posOffset>10795</wp:posOffset>
              </wp:positionV>
              <wp:extent cx="7779224" cy="12283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779224" cy="122830"/>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B076A" id="Rectangle 1" o:spid="_x0000_s1026" style="position:absolute;margin-left:-.1pt;margin-top:.85pt;width:612.55pt;height:9.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" fillcolor="#006ce5" stroked="f" strokeweight="1pt">
              <w10:wrap type="square" anchorx="page" anchory="page"/>
            </v:rect>
          </w:pict>
        </mc:Fallback>
      </mc:AlternateContent>
    </w:r>
  </w:p>
  <w:p w14:paraId="20C95B4F" w14:textId="77777777" w:rsidR="004432FE" w:rsidRDefault="004432FE" w:rsidP="004432F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B52" w14:textId="77777777" w:rsidR="004432FE" w:rsidRDefault="004432FE" w:rsidP="004432FE">
    <w:pPr>
      <w:pStyle w:val="En-tte"/>
      <w:jc w:val="center"/>
    </w:pPr>
    <w:r>
      <w:rPr>
        <w:noProof/>
        <w:lang w:eastAsia="fr-FR"/>
      </w:rPr>
      <w:drawing>
        <wp:inline distT="0" distB="0" distL="0" distR="0" wp14:anchorId="20C95B5A" wp14:editId="20C95B5B">
          <wp:extent cx="914400" cy="542925"/>
          <wp:effectExtent l="0" t="0" r="0" b="9525"/>
          <wp:docPr id="23" name="Image 23"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Panto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7A"/>
    <w:multiLevelType w:val="hybridMultilevel"/>
    <w:tmpl w:val="78F24274"/>
    <w:lvl w:ilvl="0" w:tplc="65D87EEA">
      <w:start w:val="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14C45"/>
    <w:multiLevelType w:val="hybridMultilevel"/>
    <w:tmpl w:val="70501B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600AE"/>
    <w:multiLevelType w:val="hybridMultilevel"/>
    <w:tmpl w:val="7E48EF4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8F7275"/>
    <w:multiLevelType w:val="hybridMultilevel"/>
    <w:tmpl w:val="4EF8D602"/>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CC069C"/>
    <w:multiLevelType w:val="hybridMultilevel"/>
    <w:tmpl w:val="59D25B68"/>
    <w:lvl w:ilvl="0" w:tplc="54D4DFAC">
      <w:start w:val="1"/>
      <w:numFmt w:val="decimal"/>
      <w:lvlText w:val="%1."/>
      <w:lvlJc w:val="left"/>
      <w:pPr>
        <w:ind w:left="720" w:hanging="360"/>
      </w:pPr>
      <w:rPr>
        <w:b/>
        <w:i w:val="0"/>
      </w:rPr>
    </w:lvl>
    <w:lvl w:ilvl="1" w:tplc="040C0003">
      <w:start w:val="1"/>
      <w:numFmt w:val="bullet"/>
      <w:lvlText w:val="o"/>
      <w:lvlJc w:val="left"/>
      <w:pPr>
        <w:ind w:left="1069" w:hanging="360"/>
      </w:pPr>
      <w:rPr>
        <w:rFonts w:ascii="Courier New" w:hAnsi="Courier New" w:cs="Courier New" w:hint="default"/>
      </w:rPr>
    </w:lvl>
    <w:lvl w:ilvl="2" w:tplc="040C0001">
      <w:start w:val="1"/>
      <w:numFmt w:val="bullet"/>
      <w:lvlText w:val=""/>
      <w:lvlJc w:val="left"/>
      <w:pPr>
        <w:ind w:left="2160" w:hanging="180"/>
      </w:pPr>
      <w:rPr>
        <w:rFonts w:ascii="Symbol" w:hAnsi="Symbol" w:hint="default"/>
      </w:rPr>
    </w:lvl>
    <w:lvl w:ilvl="3" w:tplc="9F368A70">
      <w:numFmt w:val="bullet"/>
      <w:lvlText w:val="·"/>
      <w:lvlJc w:val="left"/>
      <w:pPr>
        <w:ind w:left="3000" w:hanging="480"/>
      </w:pPr>
      <w:rPr>
        <w:rFonts w:ascii="Calibri" w:eastAsia="Calibri" w:hAnsi="Calibri" w:cs="Calibri" w:hint="default"/>
        <w:b w:val="0"/>
        <w:color w:val="000000"/>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621F79ED"/>
    <w:multiLevelType w:val="hybridMultilevel"/>
    <w:tmpl w:val="9D96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FE"/>
    <w:rsid w:val="00002E78"/>
    <w:rsid w:val="00003B44"/>
    <w:rsid w:val="00005554"/>
    <w:rsid w:val="00006D02"/>
    <w:rsid w:val="00014599"/>
    <w:rsid w:val="000419BB"/>
    <w:rsid w:val="00047D4E"/>
    <w:rsid w:val="00062A5C"/>
    <w:rsid w:val="00064FB4"/>
    <w:rsid w:val="00072826"/>
    <w:rsid w:val="00072D84"/>
    <w:rsid w:val="000804EF"/>
    <w:rsid w:val="00082875"/>
    <w:rsid w:val="00091B4F"/>
    <w:rsid w:val="00092C97"/>
    <w:rsid w:val="000A56F1"/>
    <w:rsid w:val="000C176D"/>
    <w:rsid w:val="000C5174"/>
    <w:rsid w:val="000D7169"/>
    <w:rsid w:val="000D72E0"/>
    <w:rsid w:val="001004FB"/>
    <w:rsid w:val="00105B67"/>
    <w:rsid w:val="00105C04"/>
    <w:rsid w:val="001160BF"/>
    <w:rsid w:val="0011687D"/>
    <w:rsid w:val="0011741C"/>
    <w:rsid w:val="00125EBD"/>
    <w:rsid w:val="00126A87"/>
    <w:rsid w:val="001278F4"/>
    <w:rsid w:val="0015590C"/>
    <w:rsid w:val="0015764D"/>
    <w:rsid w:val="00160D31"/>
    <w:rsid w:val="0017337A"/>
    <w:rsid w:val="001779FC"/>
    <w:rsid w:val="00180C00"/>
    <w:rsid w:val="001C2EF0"/>
    <w:rsid w:val="001E7004"/>
    <w:rsid w:val="00202153"/>
    <w:rsid w:val="00205200"/>
    <w:rsid w:val="00210AC5"/>
    <w:rsid w:val="002330BD"/>
    <w:rsid w:val="00233A55"/>
    <w:rsid w:val="0024493F"/>
    <w:rsid w:val="00244D74"/>
    <w:rsid w:val="00262C8D"/>
    <w:rsid w:val="002A2CD9"/>
    <w:rsid w:val="002A3670"/>
    <w:rsid w:val="002A7CEC"/>
    <w:rsid w:val="002B24FD"/>
    <w:rsid w:val="002B339B"/>
    <w:rsid w:val="002B5196"/>
    <w:rsid w:val="002C48D1"/>
    <w:rsid w:val="002C7E51"/>
    <w:rsid w:val="002D7565"/>
    <w:rsid w:val="002E380C"/>
    <w:rsid w:val="002F2DC7"/>
    <w:rsid w:val="002F794B"/>
    <w:rsid w:val="00304C0E"/>
    <w:rsid w:val="00337765"/>
    <w:rsid w:val="00340A46"/>
    <w:rsid w:val="00343422"/>
    <w:rsid w:val="00357A23"/>
    <w:rsid w:val="00360131"/>
    <w:rsid w:val="0036050E"/>
    <w:rsid w:val="00360C3B"/>
    <w:rsid w:val="003610FB"/>
    <w:rsid w:val="003728C0"/>
    <w:rsid w:val="00382580"/>
    <w:rsid w:val="00384CB8"/>
    <w:rsid w:val="00386CED"/>
    <w:rsid w:val="00386D5D"/>
    <w:rsid w:val="00391B59"/>
    <w:rsid w:val="003C37A2"/>
    <w:rsid w:val="003E09F5"/>
    <w:rsid w:val="003F1186"/>
    <w:rsid w:val="003F5381"/>
    <w:rsid w:val="003F731E"/>
    <w:rsid w:val="00412587"/>
    <w:rsid w:val="0041488A"/>
    <w:rsid w:val="004165B3"/>
    <w:rsid w:val="00421CC1"/>
    <w:rsid w:val="00422105"/>
    <w:rsid w:val="0042533A"/>
    <w:rsid w:val="00425FC1"/>
    <w:rsid w:val="00430329"/>
    <w:rsid w:val="004432FE"/>
    <w:rsid w:val="0044520B"/>
    <w:rsid w:val="0044613D"/>
    <w:rsid w:val="00455D4D"/>
    <w:rsid w:val="00457BCF"/>
    <w:rsid w:val="00477349"/>
    <w:rsid w:val="00486576"/>
    <w:rsid w:val="004C43DC"/>
    <w:rsid w:val="004F6F24"/>
    <w:rsid w:val="00503D62"/>
    <w:rsid w:val="00514F74"/>
    <w:rsid w:val="0054123B"/>
    <w:rsid w:val="00544C7A"/>
    <w:rsid w:val="00547685"/>
    <w:rsid w:val="00552D18"/>
    <w:rsid w:val="00565E51"/>
    <w:rsid w:val="005B0A68"/>
    <w:rsid w:val="005B26F9"/>
    <w:rsid w:val="005B32AB"/>
    <w:rsid w:val="005C6B45"/>
    <w:rsid w:val="005E39B5"/>
    <w:rsid w:val="005E6645"/>
    <w:rsid w:val="005F48EC"/>
    <w:rsid w:val="00605C0E"/>
    <w:rsid w:val="0061274A"/>
    <w:rsid w:val="00617243"/>
    <w:rsid w:val="006330E9"/>
    <w:rsid w:val="0063427D"/>
    <w:rsid w:val="006348F2"/>
    <w:rsid w:val="00671C67"/>
    <w:rsid w:val="0068266C"/>
    <w:rsid w:val="006A1452"/>
    <w:rsid w:val="006A6814"/>
    <w:rsid w:val="006C4851"/>
    <w:rsid w:val="006E6F2B"/>
    <w:rsid w:val="00703EFA"/>
    <w:rsid w:val="00704B64"/>
    <w:rsid w:val="00705EF4"/>
    <w:rsid w:val="0071326E"/>
    <w:rsid w:val="007147BA"/>
    <w:rsid w:val="00715388"/>
    <w:rsid w:val="00723913"/>
    <w:rsid w:val="007274BE"/>
    <w:rsid w:val="007334B4"/>
    <w:rsid w:val="00734F0C"/>
    <w:rsid w:val="0074092F"/>
    <w:rsid w:val="00740E4D"/>
    <w:rsid w:val="0074248E"/>
    <w:rsid w:val="00750C7A"/>
    <w:rsid w:val="00762472"/>
    <w:rsid w:val="0076753B"/>
    <w:rsid w:val="007816F9"/>
    <w:rsid w:val="007869ED"/>
    <w:rsid w:val="007E0350"/>
    <w:rsid w:val="007E6B29"/>
    <w:rsid w:val="007F021A"/>
    <w:rsid w:val="00800EF8"/>
    <w:rsid w:val="00801484"/>
    <w:rsid w:val="00831006"/>
    <w:rsid w:val="008438C9"/>
    <w:rsid w:val="0084394C"/>
    <w:rsid w:val="00850621"/>
    <w:rsid w:val="008575F1"/>
    <w:rsid w:val="0089427D"/>
    <w:rsid w:val="008A1CE9"/>
    <w:rsid w:val="008A7619"/>
    <w:rsid w:val="008B7C47"/>
    <w:rsid w:val="008C3C57"/>
    <w:rsid w:val="008C5485"/>
    <w:rsid w:val="00900C89"/>
    <w:rsid w:val="00904EBC"/>
    <w:rsid w:val="00920BC7"/>
    <w:rsid w:val="0092438C"/>
    <w:rsid w:val="00931253"/>
    <w:rsid w:val="0096054F"/>
    <w:rsid w:val="0098214B"/>
    <w:rsid w:val="00993E6B"/>
    <w:rsid w:val="009A09D0"/>
    <w:rsid w:val="009A7CD8"/>
    <w:rsid w:val="009B4CB5"/>
    <w:rsid w:val="009C14C2"/>
    <w:rsid w:val="009C2C26"/>
    <w:rsid w:val="009F648A"/>
    <w:rsid w:val="00A00963"/>
    <w:rsid w:val="00A2662E"/>
    <w:rsid w:val="00A27CDD"/>
    <w:rsid w:val="00A27D66"/>
    <w:rsid w:val="00A4105D"/>
    <w:rsid w:val="00A6374C"/>
    <w:rsid w:val="00A64834"/>
    <w:rsid w:val="00A83228"/>
    <w:rsid w:val="00A86F61"/>
    <w:rsid w:val="00A928F9"/>
    <w:rsid w:val="00A92B07"/>
    <w:rsid w:val="00AB1BB7"/>
    <w:rsid w:val="00AB1F0D"/>
    <w:rsid w:val="00B255B3"/>
    <w:rsid w:val="00B25B40"/>
    <w:rsid w:val="00B51565"/>
    <w:rsid w:val="00B8170A"/>
    <w:rsid w:val="00B96DD1"/>
    <w:rsid w:val="00BA6BA0"/>
    <w:rsid w:val="00BE1689"/>
    <w:rsid w:val="00BE1D2A"/>
    <w:rsid w:val="00BF361E"/>
    <w:rsid w:val="00C02249"/>
    <w:rsid w:val="00C03481"/>
    <w:rsid w:val="00C07C8B"/>
    <w:rsid w:val="00C1388C"/>
    <w:rsid w:val="00C21FC6"/>
    <w:rsid w:val="00C3528B"/>
    <w:rsid w:val="00C62CB6"/>
    <w:rsid w:val="00C81934"/>
    <w:rsid w:val="00C929EB"/>
    <w:rsid w:val="00CA2B4F"/>
    <w:rsid w:val="00CA3380"/>
    <w:rsid w:val="00CA4BC5"/>
    <w:rsid w:val="00CB0900"/>
    <w:rsid w:val="00CB3B85"/>
    <w:rsid w:val="00CD1135"/>
    <w:rsid w:val="00CE0742"/>
    <w:rsid w:val="00D14EA7"/>
    <w:rsid w:val="00D213DF"/>
    <w:rsid w:val="00D34961"/>
    <w:rsid w:val="00D4713A"/>
    <w:rsid w:val="00D72AA7"/>
    <w:rsid w:val="00D93BA3"/>
    <w:rsid w:val="00D955AF"/>
    <w:rsid w:val="00D963E9"/>
    <w:rsid w:val="00DA3001"/>
    <w:rsid w:val="00DB0850"/>
    <w:rsid w:val="00DB382C"/>
    <w:rsid w:val="00DC22EF"/>
    <w:rsid w:val="00DE509F"/>
    <w:rsid w:val="00DF584D"/>
    <w:rsid w:val="00DF741F"/>
    <w:rsid w:val="00E02BC3"/>
    <w:rsid w:val="00E03FCA"/>
    <w:rsid w:val="00E123B9"/>
    <w:rsid w:val="00E2062D"/>
    <w:rsid w:val="00E25F9C"/>
    <w:rsid w:val="00E34345"/>
    <w:rsid w:val="00E3487C"/>
    <w:rsid w:val="00E349E7"/>
    <w:rsid w:val="00E7536C"/>
    <w:rsid w:val="00E7604C"/>
    <w:rsid w:val="00E87298"/>
    <w:rsid w:val="00E92880"/>
    <w:rsid w:val="00E9471C"/>
    <w:rsid w:val="00EA2C0A"/>
    <w:rsid w:val="00EB0A09"/>
    <w:rsid w:val="00EB6447"/>
    <w:rsid w:val="00EB6F7A"/>
    <w:rsid w:val="00ED108C"/>
    <w:rsid w:val="00ED4E4C"/>
    <w:rsid w:val="00EE352D"/>
    <w:rsid w:val="00F02D8C"/>
    <w:rsid w:val="00F041A9"/>
    <w:rsid w:val="00F2203F"/>
    <w:rsid w:val="00F44C62"/>
    <w:rsid w:val="00F534F4"/>
    <w:rsid w:val="00F70874"/>
    <w:rsid w:val="00F8071D"/>
    <w:rsid w:val="00F902C6"/>
    <w:rsid w:val="00FA106F"/>
    <w:rsid w:val="00FA4964"/>
    <w:rsid w:val="00FB2DF8"/>
    <w:rsid w:val="00FC04BC"/>
    <w:rsid w:val="00FC3090"/>
    <w:rsid w:val="00FC4054"/>
    <w:rsid w:val="00FC41F8"/>
    <w:rsid w:val="00FD5903"/>
    <w:rsid w:val="00FF5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5B16"/>
  <w15:chartTrackingRefBased/>
  <w15:docId w15:val="{0C364D6C-3651-4DB1-B7F3-619FED11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432FE"/>
    <w:pPr>
      <w:tabs>
        <w:tab w:val="center" w:pos="4536"/>
        <w:tab w:val="right" w:pos="9072"/>
      </w:tabs>
      <w:spacing w:after="0" w:line="240" w:lineRule="auto"/>
    </w:pPr>
  </w:style>
  <w:style w:type="character" w:customStyle="1" w:styleId="En-tteCar">
    <w:name w:val="En-tête Car"/>
    <w:basedOn w:val="Policepardfaut"/>
    <w:link w:val="En-tte"/>
    <w:uiPriority w:val="99"/>
    <w:rsid w:val="004432FE"/>
  </w:style>
  <w:style w:type="paragraph" w:styleId="Pieddepage">
    <w:name w:val="footer"/>
    <w:basedOn w:val="Normal"/>
    <w:link w:val="PieddepageCar"/>
    <w:uiPriority w:val="99"/>
    <w:unhideWhenUsed/>
    <w:rsid w:val="00443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FE"/>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4432FE"/>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4432FE"/>
  </w:style>
  <w:style w:type="paragraph" w:customStyle="1" w:styleId="Briefinglist1">
    <w:name w:val="Briefing list 1"/>
    <w:basedOn w:val="Normal"/>
    <w:rsid w:val="004432FE"/>
    <w:pPr>
      <w:keepLines/>
      <w:numPr>
        <w:numId w:val="1"/>
      </w:numPr>
      <w:spacing w:after="120" w:line="240" w:lineRule="auto"/>
      <w:jc w:val="both"/>
    </w:pPr>
    <w:rPr>
      <w:rFonts w:ascii="Arial" w:eastAsia="SimSun" w:hAnsi="Arial" w:cs="Arial"/>
      <w:szCs w:val="24"/>
      <w:lang w:val="en-GB"/>
    </w:rPr>
  </w:style>
  <w:style w:type="paragraph" w:styleId="Textedebulles">
    <w:name w:val="Balloon Text"/>
    <w:basedOn w:val="Normal"/>
    <w:link w:val="TextedebullesCar"/>
    <w:semiHidden/>
    <w:rsid w:val="004432FE"/>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432FE"/>
    <w:rPr>
      <w:rFonts w:ascii="Tahoma" w:eastAsia="Times New Roman" w:hAnsi="Tahoma" w:cs="Tahoma"/>
      <w:sz w:val="16"/>
      <w:szCs w:val="16"/>
      <w:lang w:eastAsia="fr-FR"/>
    </w:rPr>
  </w:style>
  <w:style w:type="character" w:customStyle="1" w:styleId="affaire-suiviepar">
    <w:name w:val="affaire-suivie par"/>
    <w:basedOn w:val="Policepardfaut"/>
    <w:uiPriority w:val="1"/>
    <w:rsid w:val="004432FE"/>
    <w:rPr>
      <w:rFonts w:ascii="Times New Roman" w:hAnsi="Times New Roman"/>
      <w:sz w:val="18"/>
    </w:rPr>
  </w:style>
  <w:style w:type="paragraph" w:styleId="Sansinterligne">
    <w:name w:val="No Spacing"/>
    <w:uiPriority w:val="1"/>
    <w:qFormat/>
    <w:rsid w:val="004432FE"/>
    <w:pPr>
      <w:spacing w:after="0" w:line="240" w:lineRule="auto"/>
    </w:pPr>
  </w:style>
  <w:style w:type="table" w:styleId="Grilledutableau">
    <w:name w:val="Table Grid"/>
    <w:basedOn w:val="TableauNormal"/>
    <w:uiPriority w:val="39"/>
    <w:rsid w:val="006A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0874"/>
    <w:rPr>
      <w:sz w:val="16"/>
      <w:szCs w:val="16"/>
    </w:rPr>
  </w:style>
  <w:style w:type="paragraph" w:styleId="Commentaire">
    <w:name w:val="annotation text"/>
    <w:basedOn w:val="Normal"/>
    <w:link w:val="CommentaireCar"/>
    <w:uiPriority w:val="99"/>
    <w:semiHidden/>
    <w:unhideWhenUsed/>
    <w:rsid w:val="00F70874"/>
    <w:pPr>
      <w:spacing w:line="240" w:lineRule="auto"/>
    </w:pPr>
    <w:rPr>
      <w:sz w:val="20"/>
      <w:szCs w:val="20"/>
    </w:rPr>
  </w:style>
  <w:style w:type="character" w:customStyle="1" w:styleId="CommentaireCar">
    <w:name w:val="Commentaire Car"/>
    <w:basedOn w:val="Policepardfaut"/>
    <w:link w:val="Commentaire"/>
    <w:uiPriority w:val="99"/>
    <w:semiHidden/>
    <w:rsid w:val="00F70874"/>
    <w:rPr>
      <w:sz w:val="20"/>
      <w:szCs w:val="20"/>
    </w:rPr>
  </w:style>
  <w:style w:type="paragraph" w:styleId="Objetducommentaire">
    <w:name w:val="annotation subject"/>
    <w:basedOn w:val="Commentaire"/>
    <w:next w:val="Commentaire"/>
    <w:link w:val="ObjetducommentaireCar"/>
    <w:uiPriority w:val="99"/>
    <w:semiHidden/>
    <w:unhideWhenUsed/>
    <w:rsid w:val="00F70874"/>
    <w:rPr>
      <w:b/>
      <w:bCs/>
    </w:rPr>
  </w:style>
  <w:style w:type="character" w:customStyle="1" w:styleId="ObjetducommentaireCar">
    <w:name w:val="Objet du commentaire Car"/>
    <w:basedOn w:val="CommentaireCar"/>
    <w:link w:val="Objetducommentaire"/>
    <w:uiPriority w:val="99"/>
    <w:semiHidden/>
    <w:rsid w:val="00F70874"/>
    <w:rPr>
      <w:b/>
      <w:bCs/>
      <w:sz w:val="20"/>
      <w:szCs w:val="20"/>
    </w:rPr>
  </w:style>
  <w:style w:type="character" w:styleId="Lienhypertexte">
    <w:name w:val="Hyperlink"/>
    <w:basedOn w:val="Policepardfaut"/>
    <w:uiPriority w:val="99"/>
    <w:unhideWhenUsed/>
    <w:rsid w:val="005E39B5"/>
    <w:rPr>
      <w:color w:val="0563C1" w:themeColor="hyperlink"/>
      <w:u w:val="single"/>
    </w:rPr>
  </w:style>
  <w:style w:type="character" w:customStyle="1" w:styleId="tlid-translation">
    <w:name w:val="tlid-translation"/>
    <w:basedOn w:val="Policepardfaut"/>
    <w:rsid w:val="000A56F1"/>
  </w:style>
  <w:style w:type="paragraph" w:customStyle="1" w:styleId="gmail-msolistparagraph">
    <w:name w:val="gmail-msolistparagraph"/>
    <w:basedOn w:val="Normal"/>
    <w:rsid w:val="00705EF4"/>
    <w:pPr>
      <w:spacing w:before="100" w:beforeAutospacing="1" w:after="100" w:afterAutospacing="1" w:line="240" w:lineRule="auto"/>
    </w:pPr>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278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78F4"/>
    <w:rPr>
      <w:sz w:val="20"/>
      <w:szCs w:val="20"/>
    </w:rPr>
  </w:style>
  <w:style w:type="character" w:styleId="Appelnotedebasdep">
    <w:name w:val="footnote reference"/>
    <w:basedOn w:val="Policepardfaut"/>
    <w:uiPriority w:val="99"/>
    <w:semiHidden/>
    <w:unhideWhenUsed/>
    <w:rsid w:val="001278F4"/>
    <w:rPr>
      <w:vertAlign w:val="superscript"/>
    </w:rPr>
  </w:style>
  <w:style w:type="paragraph" w:styleId="NormalWeb">
    <w:name w:val="Normal (Web)"/>
    <w:basedOn w:val="Normal"/>
    <w:uiPriority w:val="99"/>
    <w:semiHidden/>
    <w:unhideWhenUsed/>
    <w:rsid w:val="003610FB"/>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702">
      <w:bodyDiv w:val="1"/>
      <w:marLeft w:val="0"/>
      <w:marRight w:val="0"/>
      <w:marTop w:val="0"/>
      <w:marBottom w:val="0"/>
      <w:divBdr>
        <w:top w:val="none" w:sz="0" w:space="0" w:color="auto"/>
        <w:left w:val="none" w:sz="0" w:space="0" w:color="auto"/>
        <w:bottom w:val="none" w:sz="0" w:space="0" w:color="auto"/>
        <w:right w:val="none" w:sz="0" w:space="0" w:color="auto"/>
      </w:divBdr>
    </w:div>
    <w:div w:id="340476856">
      <w:bodyDiv w:val="1"/>
      <w:marLeft w:val="0"/>
      <w:marRight w:val="0"/>
      <w:marTop w:val="0"/>
      <w:marBottom w:val="0"/>
      <w:divBdr>
        <w:top w:val="none" w:sz="0" w:space="0" w:color="auto"/>
        <w:left w:val="none" w:sz="0" w:space="0" w:color="auto"/>
        <w:bottom w:val="none" w:sz="0" w:space="0" w:color="auto"/>
        <w:right w:val="none" w:sz="0" w:space="0" w:color="auto"/>
      </w:divBdr>
    </w:div>
    <w:div w:id="500776315">
      <w:bodyDiv w:val="1"/>
      <w:marLeft w:val="0"/>
      <w:marRight w:val="0"/>
      <w:marTop w:val="0"/>
      <w:marBottom w:val="0"/>
      <w:divBdr>
        <w:top w:val="none" w:sz="0" w:space="0" w:color="auto"/>
        <w:left w:val="none" w:sz="0" w:space="0" w:color="auto"/>
        <w:bottom w:val="none" w:sz="0" w:space="0" w:color="auto"/>
        <w:right w:val="none" w:sz="0" w:space="0" w:color="auto"/>
      </w:divBdr>
    </w:div>
    <w:div w:id="685255749">
      <w:bodyDiv w:val="1"/>
      <w:marLeft w:val="0"/>
      <w:marRight w:val="0"/>
      <w:marTop w:val="0"/>
      <w:marBottom w:val="0"/>
      <w:divBdr>
        <w:top w:val="none" w:sz="0" w:space="0" w:color="auto"/>
        <w:left w:val="none" w:sz="0" w:space="0" w:color="auto"/>
        <w:bottom w:val="none" w:sz="0" w:space="0" w:color="auto"/>
        <w:right w:val="none" w:sz="0" w:space="0" w:color="auto"/>
      </w:divBdr>
    </w:div>
    <w:div w:id="1176651696">
      <w:bodyDiv w:val="1"/>
      <w:marLeft w:val="0"/>
      <w:marRight w:val="0"/>
      <w:marTop w:val="0"/>
      <w:marBottom w:val="0"/>
      <w:divBdr>
        <w:top w:val="none" w:sz="0" w:space="0" w:color="auto"/>
        <w:left w:val="none" w:sz="0" w:space="0" w:color="auto"/>
        <w:bottom w:val="none" w:sz="0" w:space="0" w:color="auto"/>
        <w:right w:val="none" w:sz="0" w:space="0" w:color="auto"/>
      </w:divBdr>
    </w:div>
    <w:div w:id="1301886544">
      <w:bodyDiv w:val="1"/>
      <w:marLeft w:val="0"/>
      <w:marRight w:val="0"/>
      <w:marTop w:val="0"/>
      <w:marBottom w:val="0"/>
      <w:divBdr>
        <w:top w:val="none" w:sz="0" w:space="0" w:color="auto"/>
        <w:left w:val="none" w:sz="0" w:space="0" w:color="auto"/>
        <w:bottom w:val="none" w:sz="0" w:space="0" w:color="auto"/>
        <w:right w:val="none" w:sz="0" w:space="0" w:color="auto"/>
      </w:divBdr>
    </w:div>
    <w:div w:id="1538663296">
      <w:bodyDiv w:val="1"/>
      <w:marLeft w:val="0"/>
      <w:marRight w:val="0"/>
      <w:marTop w:val="0"/>
      <w:marBottom w:val="0"/>
      <w:divBdr>
        <w:top w:val="none" w:sz="0" w:space="0" w:color="auto"/>
        <w:left w:val="none" w:sz="0" w:space="0" w:color="auto"/>
        <w:bottom w:val="none" w:sz="0" w:space="0" w:color="auto"/>
        <w:right w:val="none" w:sz="0" w:space="0" w:color="auto"/>
      </w:divBdr>
    </w:div>
    <w:div w:id="1820417306">
      <w:bodyDiv w:val="1"/>
      <w:marLeft w:val="0"/>
      <w:marRight w:val="0"/>
      <w:marTop w:val="0"/>
      <w:marBottom w:val="0"/>
      <w:divBdr>
        <w:top w:val="none" w:sz="0" w:space="0" w:color="auto"/>
        <w:left w:val="none" w:sz="0" w:space="0" w:color="auto"/>
        <w:bottom w:val="none" w:sz="0" w:space="0" w:color="auto"/>
        <w:right w:val="none" w:sz="0" w:space="0" w:color="auto"/>
      </w:divBdr>
    </w:div>
    <w:div w:id="19645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CE7DABF2F6E4CBAF6578C65AC54D6" ma:contentTypeVersion="1" ma:contentTypeDescription="Crée un document." ma:contentTypeScope="" ma:versionID="777818a52340348276ba9a31f33855a2">
  <xsd:schema xmlns:xsd="http://www.w3.org/2001/XMLSchema" xmlns:xs="http://www.w3.org/2001/XMLSchema" xmlns:p="http://schemas.microsoft.com/office/2006/metadata/properties" xmlns:ns2="69ccdbba-c6ef-4283-9190-92aee3bc150c" targetNamespace="http://schemas.microsoft.com/office/2006/metadata/properties" ma:root="true" ma:fieldsID="58fb6e8ec5b737d521491289373eec99" ns2:_="">
    <xsd:import namespace="69ccdbba-c6ef-4283-9190-92aee3bc150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cdbba-c6ef-4283-9190-92aee3bc150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AB02-2D51-44B7-B8A1-B68A46385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E5945-1B3A-462C-AD67-3625F7348EFA}">
  <ds:schemaRefs>
    <ds:schemaRef ds:uri="http://schemas.microsoft.com/sharepoint/v3/contenttype/forms"/>
  </ds:schemaRefs>
</ds:datastoreItem>
</file>

<file path=customXml/itemProps3.xml><?xml version="1.0" encoding="utf-8"?>
<ds:datastoreItem xmlns:ds="http://schemas.openxmlformats.org/officeDocument/2006/customXml" ds:itemID="{F9C9AE19-A5A5-40D1-A755-E678EE34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cdbba-c6ef-4283-9190-92aee3bc1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653A3-6FF2-4C12-925E-6B3E9600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6916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 Aude</dc:creator>
  <cp:keywords/>
  <dc:description/>
  <cp:lastModifiedBy>NTOBELA Mashaka Sabini</cp:lastModifiedBy>
  <cp:revision>2</cp:revision>
  <cp:lastPrinted>2022-07-19T14:09:00Z</cp:lastPrinted>
  <dcterms:created xsi:type="dcterms:W3CDTF">2022-09-21T09:10:00Z</dcterms:created>
  <dcterms:modified xsi:type="dcterms:W3CDTF">2022-09-21T09:10:00Z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0x010100051CE7DABF2F6E4CBAF6578C65AC54D6</vt:lpwstr>
  </property>
</Properties>
</file>