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stheme="minorBidi"/>
          <w:b w:val="0"/>
          <w:noProof w:val="0"/>
          <w:color w:val="auto"/>
          <w:szCs w:val="26"/>
        </w:rPr>
        <w:id w:val="-483546785"/>
        <w:docPartObj>
          <w:docPartGallery w:val="Table of Contents"/>
          <w:docPartUnique/>
        </w:docPartObj>
      </w:sdtPr>
      <w:sdtEndPr>
        <w:rPr>
          <w:bCs/>
          <w:szCs w:val="22"/>
        </w:rPr>
      </w:sdtEndPr>
      <w:sdtContent>
        <w:p w14:paraId="7285268F" w14:textId="3518F163" w:rsidR="00D07EAD" w:rsidRPr="00D07EAD" w:rsidRDefault="00732F00">
          <w:pPr>
            <w:pStyle w:val="TM1"/>
            <w:rPr>
              <w:rFonts w:asciiTheme="minorHAnsi" w:eastAsiaTheme="minorEastAsia" w:hAnsiTheme="minorHAnsi" w:cstheme="minorBidi"/>
              <w:b w:val="0"/>
              <w:bCs/>
              <w:color w:val="auto"/>
              <w:sz w:val="22"/>
              <w:szCs w:val="22"/>
              <w:lang w:eastAsia="fr-FR"/>
            </w:rPr>
          </w:pPr>
          <w:r w:rsidRPr="00D07EAD">
            <w:rPr>
              <w:b w:val="0"/>
              <w:bCs/>
            </w:rPr>
            <w:fldChar w:fldCharType="begin"/>
          </w:r>
          <w:r w:rsidRPr="00D07EAD">
            <w:rPr>
              <w:b w:val="0"/>
              <w:bCs/>
            </w:rPr>
            <w:instrText xml:space="preserve"> TOC \o "1-2" \n \h \z \u </w:instrText>
          </w:r>
          <w:r w:rsidRPr="00D07EAD">
            <w:rPr>
              <w:b w:val="0"/>
              <w:bCs/>
            </w:rPr>
            <w:fldChar w:fldCharType="separate"/>
          </w:r>
          <w:hyperlink w:anchor="_Toc233878660" w:history="1">
            <w:r w:rsidR="00D07EAD" w:rsidRPr="00D07EAD">
              <w:rPr>
                <w:rStyle w:val="Lienhypertexte"/>
                <w:b w:val="0"/>
                <w:bCs/>
              </w:rPr>
              <w:t>Région</w:t>
            </w:r>
          </w:hyperlink>
        </w:p>
        <w:p w14:paraId="79251DE1" w14:textId="769D2033" w:rsidR="00D07EAD" w:rsidRPr="00D07EAD" w:rsidRDefault="00B158E3">
          <w:pPr>
            <w:pStyle w:val="TM2"/>
            <w:rPr>
              <w:rFonts w:asciiTheme="minorHAnsi" w:eastAsiaTheme="minorEastAsia" w:hAnsiTheme="minorHAnsi" w:cstheme="minorBidi"/>
              <w:b w:val="0"/>
              <w:sz w:val="22"/>
              <w:szCs w:val="22"/>
              <w:lang w:eastAsia="fr-FR"/>
            </w:rPr>
          </w:pPr>
          <w:hyperlink w:anchor="_Toc233878661" w:history="1">
            <w:r w:rsidR="00D07EAD" w:rsidRPr="00D07EAD">
              <w:rPr>
                <w:rStyle w:val="Lienhypertexte"/>
                <w:b w:val="0"/>
              </w:rPr>
              <w:t>Financement - 6 000 Md FCFA de l’Union économique et monétaire ouest africaine (UEMOA) pour soutenir la transformation structurelle du secteur agricole.</w:t>
            </w:r>
          </w:hyperlink>
        </w:p>
        <w:p w14:paraId="1FF82A2A" w14:textId="01E7E3BD" w:rsidR="00D07EAD" w:rsidRPr="00D07EAD" w:rsidRDefault="00B158E3">
          <w:pPr>
            <w:pStyle w:val="TM2"/>
            <w:rPr>
              <w:rFonts w:asciiTheme="minorHAnsi" w:eastAsiaTheme="minorEastAsia" w:hAnsiTheme="minorHAnsi" w:cstheme="minorBidi"/>
              <w:b w:val="0"/>
              <w:sz w:val="22"/>
              <w:szCs w:val="22"/>
              <w:lang w:eastAsia="fr-FR"/>
            </w:rPr>
          </w:pPr>
          <w:hyperlink w:anchor="_Toc233878662" w:history="1">
            <w:r w:rsidR="00D07EAD" w:rsidRPr="00D07EAD">
              <w:rPr>
                <w:rStyle w:val="Lienhypertexte"/>
                <w:b w:val="0"/>
              </w:rPr>
              <w:t>Sécurité alimentaire - La disponibilité de l’eau pourrait diminuer de 40% d’ici 2050 en Afrique de l’Ouest avec de fortes conséquences sur la production agricole.</w:t>
            </w:r>
          </w:hyperlink>
        </w:p>
        <w:p w14:paraId="0E76569E" w14:textId="1F62CF6F" w:rsidR="00D07EAD" w:rsidRPr="00D07EAD" w:rsidRDefault="00B158E3">
          <w:pPr>
            <w:pStyle w:val="TM2"/>
            <w:rPr>
              <w:rFonts w:asciiTheme="minorHAnsi" w:eastAsiaTheme="minorEastAsia" w:hAnsiTheme="minorHAnsi" w:cstheme="minorBidi"/>
              <w:b w:val="0"/>
              <w:sz w:val="22"/>
              <w:szCs w:val="22"/>
              <w:lang w:eastAsia="fr-FR"/>
            </w:rPr>
          </w:pPr>
          <w:hyperlink w:anchor="_Toc233878663" w:history="1">
            <w:r w:rsidR="00D07EAD" w:rsidRPr="00D07EAD">
              <w:rPr>
                <w:rStyle w:val="Lienhypertexte"/>
                <w:b w:val="0"/>
              </w:rPr>
              <w:t>Coton - Stratégie de campagne 2026/2027 des principaux pays producteurs d’Afrique de l’Ouest.</w:t>
            </w:r>
          </w:hyperlink>
        </w:p>
        <w:p w14:paraId="6CE59834" w14:textId="59AA9D31" w:rsidR="00D07EAD" w:rsidRPr="00D07EAD" w:rsidRDefault="00B158E3">
          <w:pPr>
            <w:pStyle w:val="TM2"/>
            <w:rPr>
              <w:rFonts w:asciiTheme="minorHAnsi" w:eastAsiaTheme="minorEastAsia" w:hAnsiTheme="minorHAnsi" w:cstheme="minorBidi"/>
              <w:b w:val="0"/>
              <w:sz w:val="22"/>
              <w:szCs w:val="22"/>
              <w:lang w:eastAsia="fr-FR"/>
            </w:rPr>
          </w:pPr>
          <w:hyperlink w:anchor="_Toc233878664" w:history="1">
            <w:r w:rsidR="00D07EAD" w:rsidRPr="00D07EAD">
              <w:rPr>
                <w:rStyle w:val="Lienhypertexte"/>
                <w:b w:val="0"/>
              </w:rPr>
              <w:t>Cacao - La Côte d’Ivoire et le Ghana veulent élargir le cartel du cacao au Nigeria et au Cameroun.</w:t>
            </w:r>
          </w:hyperlink>
        </w:p>
        <w:p w14:paraId="3F0CF48F" w14:textId="73FDD073" w:rsidR="00D07EAD" w:rsidRPr="00D07EAD" w:rsidRDefault="00B158E3">
          <w:pPr>
            <w:pStyle w:val="TM2"/>
            <w:rPr>
              <w:rFonts w:asciiTheme="minorHAnsi" w:eastAsiaTheme="minorEastAsia" w:hAnsiTheme="minorHAnsi" w:cstheme="minorBidi"/>
              <w:b w:val="0"/>
              <w:sz w:val="22"/>
              <w:szCs w:val="22"/>
              <w:lang w:eastAsia="fr-FR"/>
            </w:rPr>
          </w:pPr>
          <w:hyperlink w:anchor="_Toc233878665" w:history="1">
            <w:r w:rsidR="00D07EAD" w:rsidRPr="00D07EAD">
              <w:rPr>
                <w:rStyle w:val="Lienhypertexte"/>
                <w:rFonts w:eastAsia="Times New Roman" w:cs="Arial"/>
                <w:b w:val="0"/>
                <w:lang w:eastAsia="fr-FR"/>
              </w:rPr>
              <w:t>Cacao - Montée en puissance du « faux chocolat ».</w:t>
            </w:r>
          </w:hyperlink>
        </w:p>
        <w:p w14:paraId="6F0EDA8D" w14:textId="15698940" w:rsidR="00D07EAD" w:rsidRPr="00D07EAD" w:rsidRDefault="00B158E3">
          <w:pPr>
            <w:pStyle w:val="TM2"/>
            <w:rPr>
              <w:rFonts w:asciiTheme="minorHAnsi" w:eastAsiaTheme="minorEastAsia" w:hAnsiTheme="minorHAnsi" w:cstheme="minorBidi"/>
              <w:b w:val="0"/>
              <w:sz w:val="22"/>
              <w:szCs w:val="22"/>
              <w:lang w:eastAsia="fr-FR"/>
            </w:rPr>
          </w:pPr>
          <w:hyperlink w:anchor="_Toc233878666" w:history="1">
            <w:r w:rsidR="00D07EAD" w:rsidRPr="00D07EAD">
              <w:rPr>
                <w:rStyle w:val="Lienhypertexte"/>
                <w:rFonts w:eastAsia="Times New Roman" w:cs="Arial"/>
                <w:b w:val="0"/>
                <w:lang w:eastAsia="fr-FR"/>
              </w:rPr>
              <w:t>Riz - Table ronde sur l’investissement rizicole en Afrique de l’Ouest.</w:t>
            </w:r>
          </w:hyperlink>
        </w:p>
        <w:p w14:paraId="27E353CD" w14:textId="33AF13B1" w:rsidR="00D07EAD" w:rsidRPr="00D07EAD" w:rsidRDefault="00B158E3">
          <w:pPr>
            <w:pStyle w:val="TM2"/>
            <w:rPr>
              <w:rFonts w:asciiTheme="minorHAnsi" w:eastAsiaTheme="minorEastAsia" w:hAnsiTheme="minorHAnsi" w:cstheme="minorBidi"/>
              <w:b w:val="0"/>
              <w:sz w:val="22"/>
              <w:szCs w:val="22"/>
              <w:lang w:eastAsia="fr-FR"/>
            </w:rPr>
          </w:pPr>
          <w:hyperlink w:anchor="_Toc233878667" w:history="1">
            <w:r w:rsidR="00D07EAD" w:rsidRPr="00D07EAD">
              <w:rPr>
                <w:rStyle w:val="Lienhypertexte"/>
                <w:rFonts w:eastAsia="Times New Roman" w:cs="Arial"/>
                <w:b w:val="0"/>
                <w:lang w:eastAsia="fr-FR"/>
              </w:rPr>
              <w:t>Anacarde – La Chine simplifie l’accès à son marché pour l’anacarde africaine.</w:t>
            </w:r>
          </w:hyperlink>
        </w:p>
        <w:p w14:paraId="5712AD9F" w14:textId="4EBBF430" w:rsidR="00D07EAD" w:rsidRPr="00D07EAD" w:rsidRDefault="00B158E3">
          <w:pPr>
            <w:pStyle w:val="TM2"/>
            <w:rPr>
              <w:rFonts w:asciiTheme="minorHAnsi" w:eastAsiaTheme="minorEastAsia" w:hAnsiTheme="minorHAnsi" w:cstheme="minorBidi"/>
              <w:b w:val="0"/>
              <w:sz w:val="22"/>
              <w:szCs w:val="22"/>
              <w:lang w:eastAsia="fr-FR"/>
            </w:rPr>
          </w:pPr>
          <w:hyperlink w:anchor="_Toc233878668" w:history="1">
            <w:r w:rsidR="00D07EAD" w:rsidRPr="00D07EAD">
              <w:rPr>
                <w:rStyle w:val="Lienhypertexte"/>
                <w:rFonts w:eastAsia="Times New Roman" w:cs="Arial"/>
                <w:b w:val="0"/>
                <w:lang w:eastAsia="fr-FR"/>
              </w:rPr>
              <w:t>Karité - Record des exportations de beurre de karité au 1</w:t>
            </w:r>
            <w:r w:rsidR="00D07EAD" w:rsidRPr="00D07EAD">
              <w:rPr>
                <w:rStyle w:val="Lienhypertexte"/>
                <w:rFonts w:eastAsia="Times New Roman" w:cs="Arial"/>
                <w:b w:val="0"/>
                <w:vertAlign w:val="superscript"/>
                <w:lang w:eastAsia="fr-FR"/>
              </w:rPr>
              <w:t>er</w:t>
            </w:r>
            <w:r w:rsidR="00D07EAD" w:rsidRPr="00D07EAD">
              <w:rPr>
                <w:rStyle w:val="Lienhypertexte"/>
                <w:rFonts w:eastAsia="Times New Roman" w:cs="Arial"/>
                <w:b w:val="0"/>
                <w:lang w:eastAsia="fr-FR"/>
              </w:rPr>
              <w:t xml:space="preserve"> trimestre 2026.</w:t>
            </w:r>
          </w:hyperlink>
        </w:p>
        <w:p w14:paraId="029B97EA" w14:textId="0B0B903A" w:rsidR="00D07EAD" w:rsidRPr="00D07EAD" w:rsidRDefault="00B158E3">
          <w:pPr>
            <w:pStyle w:val="TM2"/>
            <w:rPr>
              <w:rFonts w:asciiTheme="minorHAnsi" w:eastAsiaTheme="minorEastAsia" w:hAnsiTheme="minorHAnsi" w:cstheme="minorBidi"/>
              <w:b w:val="0"/>
              <w:sz w:val="22"/>
              <w:szCs w:val="22"/>
              <w:lang w:eastAsia="fr-FR"/>
            </w:rPr>
          </w:pPr>
          <w:hyperlink w:anchor="_Toc233878669" w:history="1">
            <w:r w:rsidR="00D07EAD" w:rsidRPr="00D07EAD">
              <w:rPr>
                <w:rStyle w:val="Lienhypertexte"/>
                <w:rFonts w:eastAsia="Times New Roman" w:cs="Arial"/>
                <w:b w:val="0"/>
                <w:lang w:eastAsia="fr-FR"/>
              </w:rPr>
              <w:t>Soja - L’Inde se tourne vers l’Afrique de l’Ouest pour ses approvisionnements.</w:t>
            </w:r>
          </w:hyperlink>
        </w:p>
        <w:p w14:paraId="261F95BF" w14:textId="46A153D2" w:rsidR="00D07EAD" w:rsidRPr="00D07EAD" w:rsidRDefault="00B158E3">
          <w:pPr>
            <w:pStyle w:val="TM2"/>
            <w:rPr>
              <w:rFonts w:asciiTheme="minorHAnsi" w:eastAsiaTheme="minorEastAsia" w:hAnsiTheme="minorHAnsi" w:cstheme="minorBidi"/>
              <w:b w:val="0"/>
              <w:sz w:val="22"/>
              <w:szCs w:val="22"/>
              <w:lang w:eastAsia="fr-FR"/>
            </w:rPr>
          </w:pPr>
          <w:hyperlink w:anchor="_Toc233878670" w:history="1">
            <w:r w:rsidR="00D07EAD" w:rsidRPr="00D07EAD">
              <w:rPr>
                <w:rStyle w:val="Lienhypertexte"/>
                <w:rFonts w:eastAsia="Times New Roman" w:cs="Arial"/>
                <w:b w:val="0"/>
                <w:lang w:eastAsia="fr-FR"/>
              </w:rPr>
              <w:t>Pêche</w:t>
            </w:r>
            <w:r w:rsidR="00D07EAD" w:rsidRPr="00D07EAD">
              <w:rPr>
                <w:rStyle w:val="Lienhypertexte"/>
                <w:b w:val="0"/>
              </w:rPr>
              <w:t xml:space="preserve"> </w:t>
            </w:r>
            <w:r w:rsidR="00D07EAD" w:rsidRPr="00D07EAD">
              <w:rPr>
                <w:rStyle w:val="Lienhypertexte"/>
                <w:rFonts w:eastAsia="Times New Roman" w:cs="Arial"/>
                <w:b w:val="0"/>
                <w:lang w:eastAsia="fr-FR"/>
              </w:rPr>
              <w:t>- Initiatives ouest-africaines majeures de lutte contre la pêche</w:t>
            </w:r>
            <w:r w:rsidR="00D07EAD" w:rsidRPr="00D07EAD">
              <w:rPr>
                <w:rStyle w:val="Lienhypertexte"/>
                <w:b w:val="0"/>
              </w:rPr>
              <w:t xml:space="preserve"> </w:t>
            </w:r>
            <w:r w:rsidR="00D07EAD" w:rsidRPr="00D07EAD">
              <w:rPr>
                <w:rStyle w:val="Lienhypertexte"/>
                <w:rFonts w:eastAsia="Times New Roman" w:cs="Arial"/>
                <w:b w:val="0"/>
                <w:lang w:eastAsia="fr-FR"/>
              </w:rPr>
              <w:t>illicite, non déclarée et non réglementée (INN) au 1</w:t>
            </w:r>
            <w:r w:rsidR="00D07EAD" w:rsidRPr="00D07EAD">
              <w:rPr>
                <w:rStyle w:val="Lienhypertexte"/>
                <w:rFonts w:eastAsia="Times New Roman" w:cs="Arial"/>
                <w:b w:val="0"/>
                <w:vertAlign w:val="superscript"/>
                <w:lang w:eastAsia="fr-FR"/>
              </w:rPr>
              <w:t>er</w:t>
            </w:r>
            <w:r w:rsidR="00D07EAD" w:rsidRPr="00D07EAD">
              <w:rPr>
                <w:rStyle w:val="Lienhypertexte"/>
                <w:rFonts w:eastAsia="Times New Roman" w:cs="Arial"/>
                <w:b w:val="0"/>
                <w:lang w:eastAsia="fr-FR"/>
              </w:rPr>
              <w:t xml:space="preserve"> semestre 2026.</w:t>
            </w:r>
          </w:hyperlink>
        </w:p>
        <w:p w14:paraId="24C07A89" w14:textId="0B17AF5A" w:rsidR="00D07EAD" w:rsidRPr="00D07EAD" w:rsidRDefault="00B158E3">
          <w:pPr>
            <w:pStyle w:val="TM2"/>
            <w:rPr>
              <w:rFonts w:asciiTheme="minorHAnsi" w:eastAsiaTheme="minorEastAsia" w:hAnsiTheme="minorHAnsi" w:cstheme="minorBidi"/>
              <w:b w:val="0"/>
              <w:sz w:val="22"/>
              <w:szCs w:val="22"/>
              <w:lang w:eastAsia="fr-FR"/>
            </w:rPr>
          </w:pPr>
          <w:hyperlink w:anchor="_Toc233878671" w:history="1">
            <w:r w:rsidR="00D07EAD" w:rsidRPr="00D07EAD">
              <w:rPr>
                <w:rStyle w:val="Lienhypertexte"/>
                <w:rFonts w:eastAsia="Times New Roman" w:cs="Arial"/>
                <w:b w:val="0"/>
                <w:lang w:eastAsia="fr-FR"/>
              </w:rPr>
              <w:t>Elevage - 14</w:t>
            </w:r>
            <w:r w:rsidR="00D07EAD" w:rsidRPr="00D07EAD">
              <w:rPr>
                <w:rStyle w:val="Lienhypertexte"/>
                <w:rFonts w:eastAsia="Times New Roman" w:cs="Arial"/>
                <w:b w:val="0"/>
                <w:vertAlign w:val="superscript"/>
                <w:lang w:eastAsia="fr-FR"/>
              </w:rPr>
              <w:t>ème</w:t>
            </w:r>
            <w:r w:rsidR="00D07EAD" w:rsidRPr="00D07EAD">
              <w:rPr>
                <w:rStyle w:val="Lienhypertexte"/>
                <w:rFonts w:eastAsia="Times New Roman" w:cs="Arial"/>
                <w:b w:val="0"/>
                <w:lang w:eastAsia="fr-FR"/>
              </w:rPr>
              <w:t xml:space="preserve"> réunion du Programme mondial pour un élevage durable (GASL).</w:t>
            </w:r>
          </w:hyperlink>
        </w:p>
        <w:p w14:paraId="0729A274" w14:textId="1AF7EFD9" w:rsidR="00D07EAD" w:rsidRPr="00D07EAD" w:rsidRDefault="00B158E3">
          <w:pPr>
            <w:pStyle w:val="TM2"/>
            <w:rPr>
              <w:rFonts w:asciiTheme="minorHAnsi" w:eastAsiaTheme="minorEastAsia" w:hAnsiTheme="minorHAnsi" w:cstheme="minorBidi"/>
              <w:b w:val="0"/>
              <w:sz w:val="22"/>
              <w:szCs w:val="22"/>
              <w:lang w:eastAsia="fr-FR"/>
            </w:rPr>
          </w:pPr>
          <w:hyperlink w:anchor="_Toc233878672" w:history="1">
            <w:r w:rsidR="00D07EAD" w:rsidRPr="00D07EAD">
              <w:rPr>
                <w:rStyle w:val="Lienhypertexte"/>
                <w:b w:val="0"/>
                <w:lang w:eastAsia="fr-FR"/>
              </w:rPr>
              <w:t xml:space="preserve">Santé animale – Résurgence </w:t>
            </w:r>
            <w:r w:rsidR="00D07EAD" w:rsidRPr="00D07EAD">
              <w:rPr>
                <w:rStyle w:val="Lienhypertexte"/>
                <w:rFonts w:eastAsia="Times New Roman" w:cs="Arial"/>
                <w:b w:val="0"/>
                <w:lang w:eastAsia="fr-FR"/>
              </w:rPr>
              <w:t>de l’Influenza aviaire hautement pathogène.</w:t>
            </w:r>
          </w:hyperlink>
        </w:p>
        <w:p w14:paraId="6349F6F5" w14:textId="3A1625D2" w:rsidR="00D07EAD" w:rsidRPr="00D07EAD" w:rsidRDefault="00B158E3">
          <w:pPr>
            <w:pStyle w:val="TM2"/>
            <w:rPr>
              <w:rFonts w:asciiTheme="minorHAnsi" w:eastAsiaTheme="minorEastAsia" w:hAnsiTheme="minorHAnsi" w:cstheme="minorBidi"/>
              <w:b w:val="0"/>
              <w:sz w:val="22"/>
              <w:szCs w:val="22"/>
              <w:lang w:eastAsia="fr-FR"/>
            </w:rPr>
          </w:pPr>
          <w:hyperlink w:anchor="_Toc233878673" w:history="1">
            <w:r w:rsidR="00D07EAD" w:rsidRPr="00D07EAD">
              <w:rPr>
                <w:rStyle w:val="Lienhypertexte"/>
                <w:rFonts w:eastAsia="Times New Roman" w:cs="Arial"/>
                <w:b w:val="0"/>
                <w:lang w:eastAsia="fr-FR"/>
              </w:rPr>
              <w:t>Santé animale – Un nouveau vecteur de l’influence russe dans l’agriculture en Afrique.</w:t>
            </w:r>
          </w:hyperlink>
        </w:p>
        <w:p w14:paraId="27940566" w14:textId="1C50EE94" w:rsidR="00D07EAD" w:rsidRPr="00D07EAD" w:rsidRDefault="00B158E3">
          <w:pPr>
            <w:pStyle w:val="TM1"/>
            <w:rPr>
              <w:rFonts w:asciiTheme="minorHAnsi" w:eastAsiaTheme="minorEastAsia" w:hAnsiTheme="minorHAnsi" w:cstheme="minorBidi"/>
              <w:b w:val="0"/>
              <w:bCs/>
              <w:color w:val="auto"/>
              <w:sz w:val="22"/>
              <w:szCs w:val="22"/>
              <w:lang w:eastAsia="fr-FR"/>
            </w:rPr>
          </w:pPr>
          <w:hyperlink w:anchor="_Toc233878674" w:history="1">
            <w:r w:rsidR="00D07EAD" w:rsidRPr="00D07EAD">
              <w:rPr>
                <w:rStyle w:val="Lienhypertexte"/>
                <w:b w:val="0"/>
                <w:bCs/>
              </w:rPr>
              <w:t>Côte d’Ivoire</w:t>
            </w:r>
          </w:hyperlink>
        </w:p>
        <w:p w14:paraId="749FDF36" w14:textId="34769405" w:rsidR="00D07EAD" w:rsidRPr="00D07EAD" w:rsidRDefault="00B158E3">
          <w:pPr>
            <w:pStyle w:val="TM2"/>
            <w:rPr>
              <w:rFonts w:asciiTheme="minorHAnsi" w:eastAsiaTheme="minorEastAsia" w:hAnsiTheme="minorHAnsi" w:cstheme="minorBidi"/>
              <w:b w:val="0"/>
              <w:sz w:val="22"/>
              <w:szCs w:val="22"/>
              <w:lang w:eastAsia="fr-FR"/>
            </w:rPr>
          </w:pPr>
          <w:hyperlink w:anchor="_Toc233878675" w:history="1">
            <w:r w:rsidR="00D07EAD" w:rsidRPr="00D07EAD">
              <w:rPr>
                <w:rStyle w:val="Lienhypertexte"/>
                <w:rFonts w:eastAsia="Times New Roman" w:cs="Arial"/>
                <w:b w:val="0"/>
                <w:lang w:eastAsia="fr-FR"/>
              </w:rPr>
              <w:t>Politique agricole - Lancement du Processus de formulation du Programme national d’investissement agricole de troisième génération (PNIA 3).</w:t>
            </w:r>
          </w:hyperlink>
        </w:p>
        <w:p w14:paraId="34430D8F" w14:textId="1AD796F7" w:rsidR="00D07EAD" w:rsidRPr="00D07EAD" w:rsidRDefault="00B158E3">
          <w:pPr>
            <w:pStyle w:val="TM2"/>
            <w:rPr>
              <w:rFonts w:asciiTheme="minorHAnsi" w:eastAsiaTheme="minorEastAsia" w:hAnsiTheme="minorHAnsi" w:cstheme="minorBidi"/>
              <w:b w:val="0"/>
              <w:sz w:val="22"/>
              <w:szCs w:val="22"/>
              <w:lang w:eastAsia="fr-FR"/>
            </w:rPr>
          </w:pPr>
          <w:hyperlink w:anchor="_Toc233878676" w:history="1">
            <w:r w:rsidR="00D07EAD" w:rsidRPr="00D07EAD">
              <w:rPr>
                <w:rStyle w:val="Lienhypertexte"/>
                <w:rFonts w:eastAsia="Times New Roman" w:cs="Arial"/>
                <w:b w:val="0"/>
                <w:lang w:eastAsia="fr-FR"/>
              </w:rPr>
              <w:t>Politique agricole - Le ministre de l'agriculture, du développement rural et des productions vivrières, M. Bruno Nabagné Koné, mise sur la transformation et la digitalisation.</w:t>
            </w:r>
          </w:hyperlink>
        </w:p>
        <w:p w14:paraId="0B6BF301" w14:textId="082257F5" w:rsidR="00D07EAD" w:rsidRPr="00D07EAD" w:rsidRDefault="00B158E3">
          <w:pPr>
            <w:pStyle w:val="TM2"/>
            <w:rPr>
              <w:rFonts w:asciiTheme="minorHAnsi" w:eastAsiaTheme="minorEastAsia" w:hAnsiTheme="minorHAnsi" w:cstheme="minorBidi"/>
              <w:b w:val="0"/>
              <w:sz w:val="22"/>
              <w:szCs w:val="22"/>
              <w:lang w:eastAsia="fr-FR"/>
            </w:rPr>
          </w:pPr>
          <w:hyperlink w:anchor="_Toc233878677" w:history="1">
            <w:r w:rsidR="00D07EAD" w:rsidRPr="00D07EAD">
              <w:rPr>
                <w:rStyle w:val="Lienhypertexte"/>
                <w:rFonts w:eastAsia="Times New Roman" w:cs="Arial"/>
                <w:b w:val="0"/>
                <w:lang w:eastAsia="fr-FR"/>
              </w:rPr>
              <w:t>Sécurité alimentaire – Evaluation du Projet de renforcement des moyens de subsistance des petits exploitants et des femmes (PREMOPEF).</w:t>
            </w:r>
          </w:hyperlink>
        </w:p>
        <w:p w14:paraId="47562EDA" w14:textId="7AAC3293" w:rsidR="00D07EAD" w:rsidRPr="00D07EAD" w:rsidRDefault="00B158E3">
          <w:pPr>
            <w:pStyle w:val="TM2"/>
            <w:rPr>
              <w:rFonts w:asciiTheme="minorHAnsi" w:eastAsiaTheme="minorEastAsia" w:hAnsiTheme="minorHAnsi" w:cstheme="minorBidi"/>
              <w:b w:val="0"/>
              <w:sz w:val="22"/>
              <w:szCs w:val="22"/>
              <w:lang w:eastAsia="fr-FR"/>
            </w:rPr>
          </w:pPr>
          <w:hyperlink w:anchor="_Toc233878678" w:history="1">
            <w:r w:rsidR="00D07EAD" w:rsidRPr="00D07EAD">
              <w:rPr>
                <w:rStyle w:val="Lienhypertexte"/>
                <w:rFonts w:eastAsia="Times New Roman" w:cs="Arial"/>
                <w:b w:val="0"/>
                <w:lang w:eastAsia="fr-FR"/>
              </w:rPr>
              <w:t>Cacao - Rapport AfroInvest sur la crise ivoirienne.</w:t>
            </w:r>
          </w:hyperlink>
        </w:p>
        <w:p w14:paraId="50503198" w14:textId="66B1FF55" w:rsidR="00D07EAD" w:rsidRPr="00D07EAD" w:rsidRDefault="00B158E3">
          <w:pPr>
            <w:pStyle w:val="TM2"/>
            <w:rPr>
              <w:rFonts w:asciiTheme="minorHAnsi" w:eastAsiaTheme="minorEastAsia" w:hAnsiTheme="minorHAnsi" w:cstheme="minorBidi"/>
              <w:b w:val="0"/>
              <w:sz w:val="22"/>
              <w:szCs w:val="22"/>
              <w:lang w:eastAsia="fr-FR"/>
            </w:rPr>
          </w:pPr>
          <w:hyperlink w:anchor="_Toc233878679" w:history="1">
            <w:r w:rsidR="00D07EAD" w:rsidRPr="00D07EAD">
              <w:rPr>
                <w:rStyle w:val="Lienhypertexte"/>
                <w:rFonts w:eastAsia="Times New Roman" w:cs="Arial"/>
                <w:b w:val="0"/>
                <w:lang w:eastAsia="fr-FR"/>
              </w:rPr>
              <w:t>Cacao - Opération de diagnostic et de catégorisation des sociétés coopératives.</w:t>
            </w:r>
          </w:hyperlink>
        </w:p>
        <w:p w14:paraId="2F8B6A3D" w14:textId="114AF981" w:rsidR="00D07EAD" w:rsidRPr="00D07EAD" w:rsidRDefault="00B158E3">
          <w:pPr>
            <w:pStyle w:val="TM2"/>
            <w:rPr>
              <w:rFonts w:asciiTheme="minorHAnsi" w:eastAsiaTheme="minorEastAsia" w:hAnsiTheme="minorHAnsi" w:cstheme="minorBidi"/>
              <w:b w:val="0"/>
              <w:sz w:val="22"/>
              <w:szCs w:val="22"/>
              <w:lang w:eastAsia="fr-FR"/>
            </w:rPr>
          </w:pPr>
          <w:hyperlink w:anchor="_Toc233878680" w:history="1">
            <w:r w:rsidR="00D07EAD" w:rsidRPr="00D07EAD">
              <w:rPr>
                <w:rStyle w:val="Lienhypertexte"/>
                <w:rFonts w:eastAsia="Times New Roman" w:cs="Arial"/>
                <w:b w:val="0"/>
                <w:lang w:eastAsia="fr-FR"/>
              </w:rPr>
              <w:t>Cacao - L’Institut national polytechnique-Félix Houphouët-Boigny (INP-HB) et l’Université Harvard posent les bases d’un partenariat scientifique autour de la cacao-culture.</w:t>
            </w:r>
          </w:hyperlink>
        </w:p>
        <w:p w14:paraId="12776DB8" w14:textId="6A8E3090" w:rsidR="00D07EAD" w:rsidRPr="00D07EAD" w:rsidRDefault="00B158E3">
          <w:pPr>
            <w:pStyle w:val="TM2"/>
            <w:rPr>
              <w:rFonts w:asciiTheme="minorHAnsi" w:eastAsiaTheme="minorEastAsia" w:hAnsiTheme="minorHAnsi" w:cstheme="minorBidi"/>
              <w:b w:val="0"/>
              <w:sz w:val="22"/>
              <w:szCs w:val="22"/>
              <w:lang w:eastAsia="fr-FR"/>
            </w:rPr>
          </w:pPr>
          <w:hyperlink w:anchor="_Toc233878681" w:history="1">
            <w:r w:rsidR="00D07EAD" w:rsidRPr="00D07EAD">
              <w:rPr>
                <w:rStyle w:val="Lienhypertexte"/>
                <w:rFonts w:eastAsia="Times New Roman" w:cs="Arial"/>
                <w:b w:val="0"/>
                <w:lang w:eastAsia="fr-FR"/>
              </w:rPr>
              <w:t>Cacao - Save the Children et International Cocoa Initiative (ICI) renforcent leur partenariat pour lutter contre le travail des enfants.</w:t>
            </w:r>
          </w:hyperlink>
        </w:p>
        <w:p w14:paraId="0AB8F13B" w14:textId="0718E30A" w:rsidR="00D07EAD" w:rsidRPr="00D07EAD" w:rsidRDefault="00B158E3">
          <w:pPr>
            <w:pStyle w:val="TM2"/>
            <w:rPr>
              <w:rFonts w:asciiTheme="minorHAnsi" w:eastAsiaTheme="minorEastAsia" w:hAnsiTheme="minorHAnsi" w:cstheme="minorBidi"/>
              <w:b w:val="0"/>
              <w:sz w:val="22"/>
              <w:szCs w:val="22"/>
              <w:lang w:eastAsia="fr-FR"/>
            </w:rPr>
          </w:pPr>
          <w:hyperlink w:anchor="_Toc233878682" w:history="1">
            <w:r w:rsidR="00D07EAD" w:rsidRPr="00D07EAD">
              <w:rPr>
                <w:rStyle w:val="Lienhypertexte"/>
                <w:rFonts w:eastAsia="Times New Roman" w:cs="Arial"/>
                <w:b w:val="0"/>
                <w:lang w:eastAsia="fr-FR"/>
              </w:rPr>
              <w:t>Cacao / Café – L’Organisation interprofessionnelle agricole de la filière Café-Cacao (OIA</w:t>
            </w:r>
            <w:r w:rsidR="00D07EAD" w:rsidRPr="00D07EAD">
              <w:rPr>
                <w:rStyle w:val="Lienhypertexte"/>
                <w:b w:val="0"/>
              </w:rPr>
              <w:t xml:space="preserve"> </w:t>
            </w:r>
            <w:r w:rsidR="00D07EAD" w:rsidRPr="00D07EAD">
              <w:rPr>
                <w:rStyle w:val="Lienhypertexte"/>
                <w:rFonts w:eastAsia="Times New Roman" w:cs="Arial"/>
                <w:b w:val="0"/>
                <w:lang w:eastAsia="fr-FR"/>
              </w:rPr>
              <w:t>Café-Cacao) se dote d’un budget de 15,8 Md FCFA.</w:t>
            </w:r>
          </w:hyperlink>
        </w:p>
        <w:p w14:paraId="740B1F8D" w14:textId="5BF7EE4E" w:rsidR="00D07EAD" w:rsidRPr="00D07EAD" w:rsidRDefault="00B158E3">
          <w:pPr>
            <w:pStyle w:val="TM2"/>
            <w:rPr>
              <w:rFonts w:asciiTheme="minorHAnsi" w:eastAsiaTheme="minorEastAsia" w:hAnsiTheme="minorHAnsi" w:cstheme="minorBidi"/>
              <w:b w:val="0"/>
              <w:sz w:val="22"/>
              <w:szCs w:val="22"/>
              <w:lang w:eastAsia="fr-FR"/>
            </w:rPr>
          </w:pPr>
          <w:hyperlink w:anchor="_Toc233878683" w:history="1">
            <w:r w:rsidR="00D07EAD" w:rsidRPr="00D07EAD">
              <w:rPr>
                <w:rStyle w:val="Lienhypertexte"/>
                <w:rFonts w:eastAsia="Times New Roman" w:cs="Arial"/>
                <w:b w:val="0"/>
                <w:lang w:eastAsia="fr-FR"/>
              </w:rPr>
              <w:t>Cacao / Café – Renforcement de la traçabilité pour conquérir les marchés européens.</w:t>
            </w:r>
          </w:hyperlink>
        </w:p>
        <w:p w14:paraId="69C64A1F" w14:textId="6C5D730C" w:rsidR="00D07EAD" w:rsidRPr="00D07EAD" w:rsidRDefault="00B158E3">
          <w:pPr>
            <w:pStyle w:val="TM2"/>
            <w:rPr>
              <w:rFonts w:asciiTheme="minorHAnsi" w:eastAsiaTheme="minorEastAsia" w:hAnsiTheme="minorHAnsi" w:cstheme="minorBidi"/>
              <w:b w:val="0"/>
              <w:sz w:val="22"/>
              <w:szCs w:val="22"/>
              <w:lang w:eastAsia="fr-FR"/>
            </w:rPr>
          </w:pPr>
          <w:hyperlink w:anchor="_Toc233878684" w:history="1">
            <w:r w:rsidR="00D07EAD" w:rsidRPr="00D07EAD">
              <w:rPr>
                <w:rStyle w:val="Lienhypertexte"/>
                <w:b w:val="0"/>
              </w:rPr>
              <w:t>Anacarde – Baisse de production attendue</w:t>
            </w:r>
            <w:r w:rsidR="00D07EAD" w:rsidRPr="00D07EAD">
              <w:rPr>
                <w:rStyle w:val="Lienhypertexte"/>
                <w:rFonts w:eastAsiaTheme="minorHAnsi"/>
                <w:b w:val="0"/>
              </w:rPr>
              <w:t>.</w:t>
            </w:r>
          </w:hyperlink>
        </w:p>
        <w:p w14:paraId="771688A9" w14:textId="01A391FA" w:rsidR="00D07EAD" w:rsidRPr="00D07EAD" w:rsidRDefault="00B158E3">
          <w:pPr>
            <w:pStyle w:val="TM2"/>
            <w:rPr>
              <w:rFonts w:asciiTheme="minorHAnsi" w:eastAsiaTheme="minorEastAsia" w:hAnsiTheme="minorHAnsi" w:cstheme="minorBidi"/>
              <w:b w:val="0"/>
              <w:sz w:val="22"/>
              <w:szCs w:val="22"/>
              <w:lang w:eastAsia="fr-FR"/>
            </w:rPr>
          </w:pPr>
          <w:hyperlink w:anchor="_Toc233878685" w:history="1">
            <w:r w:rsidR="00D07EAD" w:rsidRPr="00D07EAD">
              <w:rPr>
                <w:rStyle w:val="Lienhypertexte"/>
                <w:rFonts w:eastAsia="Times New Roman" w:cs="Arial"/>
                <w:b w:val="0"/>
                <w:lang w:eastAsia="fr-FR"/>
              </w:rPr>
              <w:t>Anacarde – 1 000 Md FCFA de recettes.</w:t>
            </w:r>
          </w:hyperlink>
        </w:p>
        <w:p w14:paraId="3685AFD6" w14:textId="2A7A1F9A" w:rsidR="00D07EAD" w:rsidRPr="00D07EAD" w:rsidRDefault="00B158E3">
          <w:pPr>
            <w:pStyle w:val="TM2"/>
            <w:rPr>
              <w:rFonts w:asciiTheme="minorHAnsi" w:eastAsiaTheme="minorEastAsia" w:hAnsiTheme="minorHAnsi" w:cstheme="minorBidi"/>
              <w:b w:val="0"/>
              <w:sz w:val="22"/>
              <w:szCs w:val="22"/>
              <w:lang w:eastAsia="fr-FR"/>
            </w:rPr>
          </w:pPr>
          <w:hyperlink w:anchor="_Toc233878686" w:history="1">
            <w:r w:rsidR="00D07EAD" w:rsidRPr="00D07EAD">
              <w:rPr>
                <w:rStyle w:val="Lienhypertexte"/>
                <w:rFonts w:eastAsia="Times New Roman" w:cs="Arial"/>
                <w:b w:val="0"/>
                <w:lang w:eastAsia="fr-FR"/>
              </w:rPr>
              <w:t>Anacarde – Instauration d’un cadre permanent de concertation.</w:t>
            </w:r>
          </w:hyperlink>
        </w:p>
        <w:p w14:paraId="41B762B5" w14:textId="6CE9C632" w:rsidR="00D07EAD" w:rsidRPr="00D07EAD" w:rsidRDefault="00B158E3">
          <w:pPr>
            <w:pStyle w:val="TM2"/>
            <w:rPr>
              <w:rFonts w:asciiTheme="minorHAnsi" w:eastAsiaTheme="minorEastAsia" w:hAnsiTheme="minorHAnsi" w:cstheme="minorBidi"/>
              <w:b w:val="0"/>
              <w:sz w:val="22"/>
              <w:szCs w:val="22"/>
              <w:lang w:eastAsia="fr-FR"/>
            </w:rPr>
          </w:pPr>
          <w:hyperlink w:anchor="_Toc233878687" w:history="1">
            <w:r w:rsidR="00D07EAD" w:rsidRPr="00D07EAD">
              <w:rPr>
                <w:rStyle w:val="Lienhypertexte"/>
                <w:rFonts w:eastAsia="Times New Roman" w:cs="Arial"/>
                <w:b w:val="0"/>
                <w:lang w:eastAsia="fr-FR"/>
              </w:rPr>
              <w:t>Anacarde - Un partenariat signé pour accélérer la transformation locale.</w:t>
            </w:r>
          </w:hyperlink>
        </w:p>
        <w:p w14:paraId="33529BE9" w14:textId="4C0A5CCC" w:rsidR="00D07EAD" w:rsidRPr="00D07EAD" w:rsidRDefault="00B158E3">
          <w:pPr>
            <w:pStyle w:val="TM2"/>
            <w:rPr>
              <w:rFonts w:asciiTheme="minorHAnsi" w:eastAsiaTheme="minorEastAsia" w:hAnsiTheme="minorHAnsi" w:cstheme="minorBidi"/>
              <w:b w:val="0"/>
              <w:sz w:val="22"/>
              <w:szCs w:val="22"/>
              <w:lang w:eastAsia="fr-FR"/>
            </w:rPr>
          </w:pPr>
          <w:hyperlink w:anchor="_Toc233878688" w:history="1">
            <w:r w:rsidR="00D07EAD" w:rsidRPr="00D07EAD">
              <w:rPr>
                <w:rStyle w:val="Lienhypertexte"/>
                <w:rFonts w:eastAsia="Times New Roman" w:cs="Arial"/>
                <w:b w:val="0"/>
                <w:lang w:eastAsia="fr-FR"/>
              </w:rPr>
              <w:t>Anacarde – Exploration du potentiel du marché carbone pour financer une croissance durable.</w:t>
            </w:r>
          </w:hyperlink>
        </w:p>
        <w:p w14:paraId="0334118A" w14:textId="6C685A1B" w:rsidR="00D07EAD" w:rsidRPr="00D07EAD" w:rsidRDefault="00B158E3">
          <w:pPr>
            <w:pStyle w:val="TM2"/>
            <w:rPr>
              <w:rFonts w:asciiTheme="minorHAnsi" w:eastAsiaTheme="minorEastAsia" w:hAnsiTheme="minorHAnsi" w:cstheme="minorBidi"/>
              <w:b w:val="0"/>
              <w:sz w:val="22"/>
              <w:szCs w:val="22"/>
              <w:lang w:eastAsia="fr-FR"/>
            </w:rPr>
          </w:pPr>
          <w:hyperlink w:anchor="_Toc233878689" w:history="1">
            <w:r w:rsidR="00D07EAD" w:rsidRPr="00D07EAD">
              <w:rPr>
                <w:rStyle w:val="Lienhypertexte"/>
                <w:rFonts w:eastAsia="Times New Roman" w:cs="Arial"/>
                <w:b w:val="0"/>
                <w:lang w:eastAsia="fr-FR"/>
              </w:rPr>
              <w:t>Anacarde - Inauguration de la première usine de biochar.</w:t>
            </w:r>
          </w:hyperlink>
        </w:p>
        <w:p w14:paraId="7F919114" w14:textId="46982890" w:rsidR="00D07EAD" w:rsidRPr="00D07EAD" w:rsidRDefault="00B158E3">
          <w:pPr>
            <w:pStyle w:val="TM2"/>
            <w:rPr>
              <w:rFonts w:asciiTheme="minorHAnsi" w:eastAsiaTheme="minorEastAsia" w:hAnsiTheme="minorHAnsi" w:cstheme="minorBidi"/>
              <w:b w:val="0"/>
              <w:sz w:val="22"/>
              <w:szCs w:val="22"/>
              <w:lang w:eastAsia="fr-FR"/>
            </w:rPr>
          </w:pPr>
          <w:hyperlink w:anchor="_Toc233878690" w:history="1">
            <w:r w:rsidR="00D07EAD" w:rsidRPr="00D07EAD">
              <w:rPr>
                <w:rStyle w:val="Lienhypertexte"/>
                <w:rFonts w:eastAsia="Times New Roman" w:cs="Arial"/>
                <w:b w:val="0"/>
                <w:lang w:eastAsia="fr-FR"/>
              </w:rPr>
              <w:t>Hévéa - La campagne 2026 démarre sous de bons auspices.</w:t>
            </w:r>
          </w:hyperlink>
        </w:p>
        <w:p w14:paraId="0E77A415" w14:textId="2ED97CFA" w:rsidR="00D07EAD" w:rsidRPr="00D07EAD" w:rsidRDefault="00B158E3">
          <w:pPr>
            <w:pStyle w:val="TM2"/>
            <w:rPr>
              <w:rFonts w:asciiTheme="minorHAnsi" w:eastAsiaTheme="minorEastAsia" w:hAnsiTheme="minorHAnsi" w:cstheme="minorBidi"/>
              <w:b w:val="0"/>
              <w:sz w:val="22"/>
              <w:szCs w:val="22"/>
              <w:lang w:eastAsia="fr-FR"/>
            </w:rPr>
          </w:pPr>
          <w:hyperlink w:anchor="_Toc233878691" w:history="1">
            <w:r w:rsidR="00D07EAD" w:rsidRPr="00D07EAD">
              <w:rPr>
                <w:rStyle w:val="Lienhypertexte"/>
                <w:rFonts w:eastAsia="Times New Roman" w:cs="Arial"/>
                <w:b w:val="0"/>
                <w:lang w:eastAsia="fr-FR"/>
              </w:rPr>
              <w:t>Coton - La filière en quête d’un nouvel essor.</w:t>
            </w:r>
          </w:hyperlink>
        </w:p>
        <w:p w14:paraId="1EDE6EC1" w14:textId="5167D365" w:rsidR="00D07EAD" w:rsidRPr="00D07EAD" w:rsidRDefault="00B158E3">
          <w:pPr>
            <w:pStyle w:val="TM2"/>
            <w:rPr>
              <w:rFonts w:asciiTheme="minorHAnsi" w:eastAsiaTheme="minorEastAsia" w:hAnsiTheme="minorHAnsi" w:cstheme="minorBidi"/>
              <w:b w:val="0"/>
              <w:sz w:val="22"/>
              <w:szCs w:val="22"/>
              <w:lang w:eastAsia="fr-FR"/>
            </w:rPr>
          </w:pPr>
          <w:hyperlink w:anchor="_Toc233878692" w:history="1">
            <w:r w:rsidR="00D07EAD" w:rsidRPr="00D07EAD">
              <w:rPr>
                <w:rStyle w:val="Lienhypertexte"/>
                <w:rFonts w:eastAsia="Times New Roman" w:cs="Arial"/>
                <w:b w:val="0"/>
                <w:lang w:eastAsia="fr-FR"/>
              </w:rPr>
              <w:t>Noix de coco - La nuciculture menacée par le jaunissement mortel du cocotier.</w:t>
            </w:r>
          </w:hyperlink>
        </w:p>
        <w:p w14:paraId="564BB3A2" w14:textId="198C6F41" w:rsidR="00D07EAD" w:rsidRPr="00D07EAD" w:rsidRDefault="00B158E3">
          <w:pPr>
            <w:pStyle w:val="TM2"/>
            <w:rPr>
              <w:rFonts w:asciiTheme="minorHAnsi" w:eastAsiaTheme="minorEastAsia" w:hAnsiTheme="minorHAnsi" w:cstheme="minorBidi"/>
              <w:b w:val="0"/>
              <w:sz w:val="22"/>
              <w:szCs w:val="22"/>
              <w:lang w:eastAsia="fr-FR"/>
            </w:rPr>
          </w:pPr>
          <w:hyperlink w:anchor="_Toc233878693" w:history="1">
            <w:r w:rsidR="00D07EAD" w:rsidRPr="00D07EAD">
              <w:rPr>
                <w:rStyle w:val="Lienhypertexte"/>
                <w:rFonts w:eastAsia="Times New Roman" w:cs="Arial"/>
                <w:b w:val="0"/>
                <w:lang w:eastAsia="fr-FR"/>
              </w:rPr>
              <w:t>Vivrier - Le Centre national de recherche agronomique (CNRA) mise sur la patate douce à chair orange pour renforcer la sécurité alimentaire.</w:t>
            </w:r>
          </w:hyperlink>
        </w:p>
        <w:p w14:paraId="31373FAB" w14:textId="56D72525" w:rsidR="00D07EAD" w:rsidRPr="00D07EAD" w:rsidRDefault="00B158E3">
          <w:pPr>
            <w:pStyle w:val="TM2"/>
            <w:rPr>
              <w:rFonts w:asciiTheme="minorHAnsi" w:eastAsiaTheme="minorEastAsia" w:hAnsiTheme="minorHAnsi" w:cstheme="minorBidi"/>
              <w:b w:val="0"/>
              <w:sz w:val="22"/>
              <w:szCs w:val="22"/>
              <w:lang w:eastAsia="fr-FR"/>
            </w:rPr>
          </w:pPr>
          <w:hyperlink w:anchor="_Toc233878694" w:history="1">
            <w:r w:rsidR="00D07EAD" w:rsidRPr="00D07EAD">
              <w:rPr>
                <w:rStyle w:val="Lienhypertexte"/>
                <w:rFonts w:eastAsia="Times New Roman" w:cs="Arial"/>
                <w:b w:val="0"/>
                <w:lang w:eastAsia="fr-FR"/>
              </w:rPr>
              <w:t>Riz - 5 Md FCFA à la disposition des producteurs.</w:t>
            </w:r>
          </w:hyperlink>
        </w:p>
        <w:p w14:paraId="2F925997" w14:textId="4DC1C5A7" w:rsidR="00D07EAD" w:rsidRPr="00D07EAD" w:rsidRDefault="00B158E3">
          <w:pPr>
            <w:pStyle w:val="TM2"/>
            <w:rPr>
              <w:rFonts w:asciiTheme="minorHAnsi" w:eastAsiaTheme="minorEastAsia" w:hAnsiTheme="minorHAnsi" w:cstheme="minorBidi"/>
              <w:b w:val="0"/>
              <w:sz w:val="22"/>
              <w:szCs w:val="22"/>
              <w:lang w:eastAsia="fr-FR"/>
            </w:rPr>
          </w:pPr>
          <w:hyperlink w:anchor="_Toc233878695" w:history="1">
            <w:r w:rsidR="00D07EAD" w:rsidRPr="00D07EAD">
              <w:rPr>
                <w:rStyle w:val="Lienhypertexte"/>
                <w:b w:val="0"/>
              </w:rPr>
              <w:t xml:space="preserve">Riz - </w:t>
            </w:r>
            <w:r w:rsidR="00D07EAD" w:rsidRPr="00D07EAD">
              <w:rPr>
                <w:rStyle w:val="Lienhypertexte"/>
                <w:rFonts w:eastAsiaTheme="minorHAnsi"/>
                <w:b w:val="0"/>
              </w:rPr>
              <w:t>Le gouvernement cible les petits exploitants.</w:t>
            </w:r>
          </w:hyperlink>
        </w:p>
        <w:p w14:paraId="1C83C0DC" w14:textId="2F0A8AA4" w:rsidR="00D07EAD" w:rsidRPr="00D07EAD" w:rsidRDefault="00B158E3">
          <w:pPr>
            <w:pStyle w:val="TM2"/>
            <w:rPr>
              <w:rFonts w:asciiTheme="minorHAnsi" w:eastAsiaTheme="minorEastAsia" w:hAnsiTheme="minorHAnsi" w:cstheme="minorBidi"/>
              <w:b w:val="0"/>
              <w:sz w:val="22"/>
              <w:szCs w:val="22"/>
              <w:lang w:eastAsia="fr-FR"/>
            </w:rPr>
          </w:pPr>
          <w:hyperlink w:anchor="_Toc233878696" w:history="1">
            <w:r w:rsidR="00D07EAD" w:rsidRPr="00D07EAD">
              <w:rPr>
                <w:rStyle w:val="Lienhypertexte"/>
                <w:rFonts w:eastAsia="Times New Roman" w:cs="Arial"/>
                <w:b w:val="0"/>
                <w:lang w:eastAsia="fr-FR"/>
              </w:rPr>
              <w:t>Riz - Le Centre national de recherche agronomique (CNRA) et le Centre du riz pour l’Afrique (AfricaRice) révisent les profils variétaux pour aligner la production sur les besoins du marché.</w:t>
            </w:r>
          </w:hyperlink>
        </w:p>
        <w:p w14:paraId="058A8AF2" w14:textId="2F17FB11" w:rsidR="00D07EAD" w:rsidRPr="00D07EAD" w:rsidRDefault="00B158E3">
          <w:pPr>
            <w:pStyle w:val="TM2"/>
            <w:rPr>
              <w:rFonts w:asciiTheme="minorHAnsi" w:eastAsiaTheme="minorEastAsia" w:hAnsiTheme="minorHAnsi" w:cstheme="minorBidi"/>
              <w:b w:val="0"/>
              <w:sz w:val="22"/>
              <w:szCs w:val="22"/>
              <w:lang w:eastAsia="fr-FR"/>
            </w:rPr>
          </w:pPr>
          <w:hyperlink w:anchor="_Toc233878697" w:history="1">
            <w:r w:rsidR="00D07EAD" w:rsidRPr="00D07EAD">
              <w:rPr>
                <w:rStyle w:val="Lienhypertexte"/>
                <w:rFonts w:eastAsia="Times New Roman" w:cs="Arial"/>
                <w:b w:val="0"/>
                <w:lang w:eastAsia="fr-FR"/>
              </w:rPr>
              <w:t>Manioc – Tournée nationale du président de l’interprofession pour renforcer la gouvernance de la filière.</w:t>
            </w:r>
          </w:hyperlink>
        </w:p>
        <w:p w14:paraId="2F012348" w14:textId="2AC75951" w:rsidR="00D07EAD" w:rsidRPr="00D07EAD" w:rsidRDefault="00B158E3">
          <w:pPr>
            <w:pStyle w:val="TM2"/>
            <w:rPr>
              <w:rFonts w:asciiTheme="minorHAnsi" w:eastAsiaTheme="minorEastAsia" w:hAnsiTheme="minorHAnsi" w:cstheme="minorBidi"/>
              <w:b w:val="0"/>
              <w:sz w:val="22"/>
              <w:szCs w:val="22"/>
              <w:lang w:eastAsia="fr-FR"/>
            </w:rPr>
          </w:pPr>
          <w:hyperlink w:anchor="_Toc233878698" w:history="1">
            <w:r w:rsidR="00D07EAD" w:rsidRPr="00D07EAD">
              <w:rPr>
                <w:rStyle w:val="Lienhypertexte"/>
                <w:rFonts w:eastAsia="Times New Roman" w:cs="Arial"/>
                <w:b w:val="0"/>
                <w:lang w:eastAsia="fr-FR"/>
              </w:rPr>
              <w:t>Elevage – La filière volaille en pleine expansion.</w:t>
            </w:r>
          </w:hyperlink>
        </w:p>
        <w:p w14:paraId="59B351ED" w14:textId="52A24FFF" w:rsidR="00D07EAD" w:rsidRPr="00D07EAD" w:rsidRDefault="00B158E3">
          <w:pPr>
            <w:pStyle w:val="TM2"/>
            <w:rPr>
              <w:rFonts w:asciiTheme="minorHAnsi" w:eastAsiaTheme="minorEastAsia" w:hAnsiTheme="minorHAnsi" w:cstheme="minorBidi"/>
              <w:b w:val="0"/>
              <w:sz w:val="22"/>
              <w:szCs w:val="22"/>
              <w:lang w:eastAsia="fr-FR"/>
            </w:rPr>
          </w:pPr>
          <w:hyperlink w:anchor="_Toc233878699" w:history="1">
            <w:r w:rsidR="00D07EAD" w:rsidRPr="00D07EAD">
              <w:rPr>
                <w:rStyle w:val="Lienhypertexte"/>
                <w:rFonts w:eastAsia="Times New Roman" w:cs="Arial"/>
                <w:b w:val="0"/>
                <w:lang w:eastAsia="fr-FR"/>
              </w:rPr>
              <w:t>Pêche – Lancement de la construction d’un nouveau Centre de surveillance des pêches.</w:t>
            </w:r>
          </w:hyperlink>
        </w:p>
        <w:p w14:paraId="4F5AE9F5" w14:textId="37C93140" w:rsidR="00D07EAD" w:rsidRPr="00D07EAD" w:rsidRDefault="00B158E3">
          <w:pPr>
            <w:pStyle w:val="TM2"/>
            <w:rPr>
              <w:rFonts w:asciiTheme="minorHAnsi" w:eastAsiaTheme="minorEastAsia" w:hAnsiTheme="minorHAnsi" w:cstheme="minorBidi"/>
              <w:b w:val="0"/>
              <w:sz w:val="22"/>
              <w:szCs w:val="22"/>
              <w:lang w:eastAsia="fr-FR"/>
            </w:rPr>
          </w:pPr>
          <w:hyperlink w:anchor="_Toc233878700" w:history="1">
            <w:r w:rsidR="00D07EAD" w:rsidRPr="00D07EAD">
              <w:rPr>
                <w:rStyle w:val="Lienhypertexte"/>
                <w:rFonts w:eastAsia="Times New Roman" w:cs="Arial"/>
                <w:b w:val="0"/>
                <w:lang w:eastAsia="fr-FR"/>
              </w:rPr>
              <w:t>Vétérinaire - Renforcement de la coopération en matière de santé publique vétérinaire.</w:t>
            </w:r>
          </w:hyperlink>
        </w:p>
        <w:p w14:paraId="6DCE3551" w14:textId="2D4CBC94" w:rsidR="00D07EAD" w:rsidRPr="00D07EAD" w:rsidRDefault="00B158E3">
          <w:pPr>
            <w:pStyle w:val="TM2"/>
            <w:rPr>
              <w:rFonts w:asciiTheme="minorHAnsi" w:eastAsiaTheme="minorEastAsia" w:hAnsiTheme="minorHAnsi" w:cstheme="minorBidi"/>
              <w:b w:val="0"/>
              <w:sz w:val="22"/>
              <w:szCs w:val="22"/>
              <w:lang w:eastAsia="fr-FR"/>
            </w:rPr>
          </w:pPr>
          <w:hyperlink w:anchor="_Toc233878701" w:history="1">
            <w:r w:rsidR="00D07EAD" w:rsidRPr="00D07EAD">
              <w:rPr>
                <w:rStyle w:val="Lienhypertexte"/>
                <w:b w:val="0"/>
              </w:rPr>
              <w:t xml:space="preserve">Forêt – </w:t>
            </w:r>
            <w:r w:rsidR="00D07EAD" w:rsidRPr="00D07EAD">
              <w:rPr>
                <w:rStyle w:val="Lienhypertexte"/>
                <w:rFonts w:eastAsiaTheme="minorHAnsi"/>
                <w:b w:val="0"/>
              </w:rPr>
              <w:t>Renforcement du partenariat avec l’Union européenne pour un bois légal et traçable.</w:t>
            </w:r>
          </w:hyperlink>
        </w:p>
        <w:p w14:paraId="1AE0520C" w14:textId="24E4FF24" w:rsidR="00D07EAD" w:rsidRPr="00D07EAD" w:rsidRDefault="00B158E3">
          <w:pPr>
            <w:pStyle w:val="TM2"/>
            <w:rPr>
              <w:rFonts w:asciiTheme="minorHAnsi" w:eastAsiaTheme="minorEastAsia" w:hAnsiTheme="minorHAnsi" w:cstheme="minorBidi"/>
              <w:b w:val="0"/>
              <w:sz w:val="22"/>
              <w:szCs w:val="22"/>
              <w:lang w:eastAsia="fr-FR"/>
            </w:rPr>
          </w:pPr>
          <w:hyperlink w:anchor="_Toc233878702" w:history="1">
            <w:r w:rsidR="00D07EAD" w:rsidRPr="00D07EAD">
              <w:rPr>
                <w:rStyle w:val="Lienhypertexte"/>
                <w:rFonts w:eastAsia="Times New Roman" w:cs="Arial"/>
                <w:b w:val="0"/>
                <w:lang w:eastAsia="fr-FR"/>
              </w:rPr>
              <w:t>Formation - 1000 femmes vont bénéficier d'un accompagnement dans le secteur de la transformation agroalimentaire.</w:t>
            </w:r>
          </w:hyperlink>
        </w:p>
        <w:p w14:paraId="2AB8664F" w14:textId="69D28291" w:rsidR="00D07EAD" w:rsidRPr="00D07EAD" w:rsidRDefault="00B158E3">
          <w:pPr>
            <w:pStyle w:val="TM2"/>
            <w:rPr>
              <w:rFonts w:asciiTheme="minorHAnsi" w:eastAsiaTheme="minorEastAsia" w:hAnsiTheme="minorHAnsi" w:cstheme="minorBidi"/>
              <w:b w:val="0"/>
              <w:sz w:val="22"/>
              <w:szCs w:val="22"/>
              <w:lang w:eastAsia="fr-FR"/>
            </w:rPr>
          </w:pPr>
          <w:hyperlink w:anchor="_Toc233878703" w:history="1">
            <w:r w:rsidR="00D07EAD" w:rsidRPr="00D07EAD">
              <w:rPr>
                <w:rStyle w:val="Lienhypertexte"/>
                <w:rFonts w:eastAsia="Times New Roman" w:cs="Arial"/>
                <w:b w:val="0"/>
                <w:lang w:eastAsia="fr-FR"/>
              </w:rPr>
              <w:t>Intrants – TVA sur les engrais toujours en vigueur.</w:t>
            </w:r>
          </w:hyperlink>
        </w:p>
        <w:p w14:paraId="7F39B744" w14:textId="186BACAF" w:rsidR="00D07EAD" w:rsidRPr="00D07EAD" w:rsidRDefault="00B158E3">
          <w:pPr>
            <w:pStyle w:val="TM2"/>
            <w:rPr>
              <w:rFonts w:asciiTheme="minorHAnsi" w:eastAsiaTheme="minorEastAsia" w:hAnsiTheme="minorHAnsi" w:cstheme="minorBidi"/>
              <w:b w:val="0"/>
              <w:sz w:val="22"/>
              <w:szCs w:val="22"/>
              <w:lang w:eastAsia="fr-FR"/>
            </w:rPr>
          </w:pPr>
          <w:hyperlink w:anchor="_Toc233878704" w:history="1">
            <w:r w:rsidR="00D07EAD" w:rsidRPr="00D07EAD">
              <w:rPr>
                <w:rStyle w:val="Lienhypertexte"/>
                <w:rFonts w:eastAsia="Times New Roman" w:cs="Arial"/>
                <w:b w:val="0"/>
                <w:lang w:eastAsia="fr-FR"/>
              </w:rPr>
              <w:t>Equipements - Coopération décentralisée Bondoukou–Fraize.</w:t>
            </w:r>
          </w:hyperlink>
        </w:p>
        <w:p w14:paraId="6438B259" w14:textId="4098CA5B" w:rsidR="00D07EAD" w:rsidRPr="00D07EAD" w:rsidRDefault="00B158E3">
          <w:pPr>
            <w:pStyle w:val="TM2"/>
            <w:rPr>
              <w:rFonts w:asciiTheme="minorHAnsi" w:eastAsiaTheme="minorEastAsia" w:hAnsiTheme="minorHAnsi" w:cstheme="minorBidi"/>
              <w:b w:val="0"/>
              <w:sz w:val="22"/>
              <w:szCs w:val="22"/>
              <w:lang w:eastAsia="fr-FR"/>
            </w:rPr>
          </w:pPr>
          <w:hyperlink w:anchor="_Toc233878705" w:history="1">
            <w:r w:rsidR="00D07EAD" w:rsidRPr="00D07EAD">
              <w:rPr>
                <w:rStyle w:val="Lienhypertexte"/>
                <w:rFonts w:eastAsia="Times New Roman" w:cs="Arial"/>
                <w:b w:val="0"/>
                <w:lang w:eastAsia="fr-FR"/>
              </w:rPr>
              <w:t>Coopération – Les Pays-Bas veulent accompagner la montée en productivité de la Côte d’Ivoire.</w:t>
            </w:r>
          </w:hyperlink>
        </w:p>
        <w:p w14:paraId="6E1EE9E7" w14:textId="1E856143" w:rsidR="00D07EAD" w:rsidRPr="00D07EAD" w:rsidRDefault="00B158E3">
          <w:pPr>
            <w:pStyle w:val="TM2"/>
            <w:rPr>
              <w:rFonts w:asciiTheme="minorHAnsi" w:eastAsiaTheme="minorEastAsia" w:hAnsiTheme="minorHAnsi" w:cstheme="minorBidi"/>
              <w:b w:val="0"/>
              <w:sz w:val="22"/>
              <w:szCs w:val="22"/>
              <w:lang w:eastAsia="fr-FR"/>
            </w:rPr>
          </w:pPr>
          <w:hyperlink w:anchor="_Toc233878706" w:history="1">
            <w:r w:rsidR="00D07EAD" w:rsidRPr="00D07EAD">
              <w:rPr>
                <w:rStyle w:val="Lienhypertexte"/>
                <w:rFonts w:eastAsia="Times New Roman" w:cs="Arial"/>
                <w:b w:val="0"/>
                <w:lang w:eastAsia="fr-FR"/>
              </w:rPr>
              <w:t>Evènement – 5</w:t>
            </w:r>
            <w:r w:rsidR="00D07EAD" w:rsidRPr="00D07EAD">
              <w:rPr>
                <w:rStyle w:val="Lienhypertexte"/>
                <w:rFonts w:eastAsia="Times New Roman" w:cs="Arial"/>
                <w:b w:val="0"/>
                <w:vertAlign w:val="superscript"/>
                <w:lang w:eastAsia="fr-FR"/>
              </w:rPr>
              <w:t>ème</w:t>
            </w:r>
            <w:r w:rsidR="00D07EAD" w:rsidRPr="00D07EAD">
              <w:rPr>
                <w:rStyle w:val="Lienhypertexte"/>
                <w:rFonts w:eastAsia="Times New Roman" w:cs="Arial"/>
                <w:b w:val="0"/>
                <w:lang w:eastAsia="fr-FR"/>
              </w:rPr>
              <w:t xml:space="preserve"> </w:t>
            </w:r>
            <w:r w:rsidR="00D07EAD" w:rsidRPr="00D07EAD">
              <w:rPr>
                <w:rStyle w:val="Lienhypertexte"/>
                <w:rFonts w:eastAsia="Times New Roman" w:cs="Marianne"/>
                <w:b w:val="0"/>
                <w:lang w:eastAsia="fr-FR"/>
              </w:rPr>
              <w:t>é</w:t>
            </w:r>
            <w:r w:rsidR="00D07EAD" w:rsidRPr="00D07EAD">
              <w:rPr>
                <w:rStyle w:val="Lienhypertexte"/>
                <w:rFonts w:eastAsia="Times New Roman" w:cs="Arial"/>
                <w:b w:val="0"/>
                <w:lang w:eastAsia="fr-FR"/>
              </w:rPr>
              <w:t xml:space="preserve">dition du Salon International des </w:t>
            </w:r>
            <w:r w:rsidR="00D07EAD" w:rsidRPr="00D07EAD">
              <w:rPr>
                <w:rStyle w:val="Lienhypertexte"/>
                <w:rFonts w:eastAsia="Times New Roman" w:cs="Marianne"/>
                <w:b w:val="0"/>
                <w:lang w:eastAsia="fr-FR"/>
              </w:rPr>
              <w:t>É</w:t>
            </w:r>
            <w:r w:rsidR="00D07EAD" w:rsidRPr="00D07EAD">
              <w:rPr>
                <w:rStyle w:val="Lienhypertexte"/>
                <w:rFonts w:eastAsia="Times New Roman" w:cs="Arial"/>
                <w:b w:val="0"/>
                <w:lang w:eastAsia="fr-FR"/>
              </w:rPr>
              <w:t>quipements et des Technologies de Transformation de l</w:t>
            </w:r>
            <w:r w:rsidR="00D07EAD" w:rsidRPr="00D07EAD">
              <w:rPr>
                <w:rStyle w:val="Lienhypertexte"/>
                <w:rFonts w:eastAsia="Times New Roman" w:cs="Marianne"/>
                <w:b w:val="0"/>
                <w:lang w:eastAsia="fr-FR"/>
              </w:rPr>
              <w:t>’</w:t>
            </w:r>
            <w:r w:rsidR="00D07EAD" w:rsidRPr="00D07EAD">
              <w:rPr>
                <w:rStyle w:val="Lienhypertexte"/>
                <w:rFonts w:eastAsia="Times New Roman" w:cs="Arial"/>
                <w:b w:val="0"/>
                <w:lang w:eastAsia="fr-FR"/>
              </w:rPr>
              <w:t>Anacarde (SIETTA) prévue du 12 au 14 novembre 2026.</w:t>
            </w:r>
          </w:hyperlink>
        </w:p>
        <w:p w14:paraId="33004080" w14:textId="230C1BFE" w:rsidR="00D07EAD" w:rsidRPr="00D07EAD" w:rsidRDefault="00B158E3">
          <w:pPr>
            <w:pStyle w:val="TM1"/>
            <w:rPr>
              <w:rFonts w:asciiTheme="minorHAnsi" w:eastAsiaTheme="minorEastAsia" w:hAnsiTheme="minorHAnsi" w:cstheme="minorBidi"/>
              <w:b w:val="0"/>
              <w:bCs/>
              <w:color w:val="auto"/>
              <w:sz w:val="22"/>
              <w:szCs w:val="22"/>
              <w:lang w:eastAsia="fr-FR"/>
            </w:rPr>
          </w:pPr>
          <w:hyperlink w:anchor="_Toc233878707" w:history="1">
            <w:r w:rsidR="00D07EAD" w:rsidRPr="00D07EAD">
              <w:rPr>
                <w:rStyle w:val="Lienhypertexte"/>
                <w:b w:val="0"/>
                <w:bCs/>
              </w:rPr>
              <w:t>Sénégal</w:t>
            </w:r>
          </w:hyperlink>
        </w:p>
        <w:p w14:paraId="2BB73276" w14:textId="231E71D5" w:rsidR="00D07EAD" w:rsidRPr="00D07EAD" w:rsidRDefault="00B158E3">
          <w:pPr>
            <w:pStyle w:val="TM2"/>
            <w:rPr>
              <w:rFonts w:asciiTheme="minorHAnsi" w:eastAsiaTheme="minorEastAsia" w:hAnsiTheme="minorHAnsi" w:cstheme="minorBidi"/>
              <w:b w:val="0"/>
              <w:sz w:val="22"/>
              <w:szCs w:val="22"/>
              <w:lang w:eastAsia="fr-FR"/>
            </w:rPr>
          </w:pPr>
          <w:hyperlink w:anchor="_Toc233878708" w:history="1">
            <w:r w:rsidR="00D07EAD" w:rsidRPr="00D07EAD">
              <w:rPr>
                <w:rStyle w:val="Lienhypertexte"/>
                <w:b w:val="0"/>
              </w:rPr>
              <w:t>Politique agricole - 130 Md FCFA mo</w:t>
            </w:r>
            <w:r w:rsidR="00D07EAD" w:rsidRPr="00D07EAD">
              <w:rPr>
                <w:rStyle w:val="Lienhypertexte"/>
                <w:b w:val="0"/>
              </w:rPr>
              <w:t>b</w:t>
            </w:r>
            <w:r w:rsidR="00D07EAD" w:rsidRPr="00D07EAD">
              <w:rPr>
                <w:rStyle w:val="Lienhypertexte"/>
                <w:b w:val="0"/>
              </w:rPr>
              <w:t>ilisés pour la campagne agricole 2026-2027.</w:t>
            </w:r>
          </w:hyperlink>
        </w:p>
        <w:p w14:paraId="2E17A90B" w14:textId="77CB63F7" w:rsidR="00D07EAD" w:rsidRPr="00D07EAD" w:rsidRDefault="00B158E3">
          <w:pPr>
            <w:pStyle w:val="TM2"/>
            <w:rPr>
              <w:rFonts w:asciiTheme="minorHAnsi" w:eastAsiaTheme="minorEastAsia" w:hAnsiTheme="minorHAnsi" w:cstheme="minorBidi"/>
              <w:b w:val="0"/>
              <w:sz w:val="22"/>
              <w:szCs w:val="22"/>
              <w:lang w:eastAsia="fr-FR"/>
            </w:rPr>
          </w:pPr>
          <w:hyperlink w:anchor="_Toc233878709" w:history="1">
            <w:r w:rsidR="00D07EAD" w:rsidRPr="00D07EAD">
              <w:rPr>
                <w:rStyle w:val="Lienhypertexte"/>
                <w:b w:val="0"/>
              </w:rPr>
              <w:t>Agropoles – 90 Md FCFA pour leur développement en Casamance.</w:t>
            </w:r>
          </w:hyperlink>
        </w:p>
        <w:p w14:paraId="5CBCCC1B" w14:textId="7BBAFE65" w:rsidR="00D07EAD" w:rsidRPr="00D07EAD" w:rsidRDefault="00B158E3">
          <w:pPr>
            <w:pStyle w:val="TM2"/>
            <w:rPr>
              <w:rFonts w:asciiTheme="minorHAnsi" w:eastAsiaTheme="minorEastAsia" w:hAnsiTheme="minorHAnsi" w:cstheme="minorBidi"/>
              <w:b w:val="0"/>
              <w:sz w:val="22"/>
              <w:szCs w:val="22"/>
              <w:lang w:eastAsia="fr-FR"/>
            </w:rPr>
          </w:pPr>
          <w:hyperlink w:anchor="_Toc233878710" w:history="1">
            <w:r w:rsidR="00D07EAD" w:rsidRPr="00D07EAD">
              <w:rPr>
                <w:rStyle w:val="Lienhypertexte"/>
                <w:b w:val="0"/>
              </w:rPr>
              <w:t>Pêche - Plus de 100 licences délivrées au titre de l’année 2026.</w:t>
            </w:r>
          </w:hyperlink>
        </w:p>
        <w:p w14:paraId="51EF2217" w14:textId="58B674E6" w:rsidR="00D07EAD" w:rsidRPr="00D07EAD" w:rsidRDefault="00B158E3">
          <w:pPr>
            <w:pStyle w:val="TM2"/>
            <w:rPr>
              <w:rFonts w:asciiTheme="minorHAnsi" w:eastAsiaTheme="minorEastAsia" w:hAnsiTheme="minorHAnsi" w:cstheme="minorBidi"/>
              <w:b w:val="0"/>
              <w:sz w:val="22"/>
              <w:szCs w:val="22"/>
              <w:lang w:eastAsia="fr-FR"/>
            </w:rPr>
          </w:pPr>
          <w:hyperlink w:anchor="_Toc233878711" w:history="1">
            <w:r w:rsidR="00D07EAD" w:rsidRPr="00D07EAD">
              <w:rPr>
                <w:rStyle w:val="Lienhypertexte"/>
                <w:b w:val="0"/>
              </w:rPr>
              <w:t>Elevage – 35% du PIB du secteur primaire.</w:t>
            </w:r>
          </w:hyperlink>
        </w:p>
        <w:p w14:paraId="5DFBB6FA" w14:textId="681D9686" w:rsidR="00D07EAD" w:rsidRPr="00D07EAD" w:rsidRDefault="00B158E3">
          <w:pPr>
            <w:pStyle w:val="TM2"/>
            <w:rPr>
              <w:rFonts w:asciiTheme="minorHAnsi" w:eastAsiaTheme="minorEastAsia" w:hAnsiTheme="minorHAnsi" w:cstheme="minorBidi"/>
              <w:b w:val="0"/>
              <w:sz w:val="22"/>
              <w:szCs w:val="22"/>
              <w:lang w:eastAsia="fr-FR"/>
            </w:rPr>
          </w:pPr>
          <w:hyperlink w:anchor="_Toc233878712" w:history="1">
            <w:r w:rsidR="00D07EAD" w:rsidRPr="00D07EAD">
              <w:rPr>
                <w:rStyle w:val="Lienhypertexte"/>
                <w:b w:val="0"/>
              </w:rPr>
              <w:t xml:space="preserve">Elevage - Le </w:t>
            </w:r>
            <w:r w:rsidR="00D07EAD" w:rsidRPr="00D07EAD">
              <w:rPr>
                <w:rStyle w:val="Lienhypertexte"/>
                <w:b w:val="0"/>
              </w:rPr>
              <w:t>m</w:t>
            </w:r>
            <w:r w:rsidR="00D07EAD" w:rsidRPr="00D07EAD">
              <w:rPr>
                <w:rStyle w:val="Lienhypertexte"/>
                <w:b w:val="0"/>
              </w:rPr>
              <w:t>arché sénégalais de la volaille entre dans une phase de concurrence accrue.</w:t>
            </w:r>
          </w:hyperlink>
        </w:p>
        <w:p w14:paraId="1CA780DF" w14:textId="5FE19CBF" w:rsidR="00D07EAD" w:rsidRPr="00D07EAD" w:rsidRDefault="00B158E3">
          <w:pPr>
            <w:pStyle w:val="TM2"/>
            <w:rPr>
              <w:rFonts w:asciiTheme="minorHAnsi" w:eastAsiaTheme="minorEastAsia" w:hAnsiTheme="minorHAnsi" w:cstheme="minorBidi"/>
              <w:b w:val="0"/>
              <w:sz w:val="22"/>
              <w:szCs w:val="22"/>
              <w:lang w:eastAsia="fr-FR"/>
            </w:rPr>
          </w:pPr>
          <w:hyperlink w:anchor="_Toc233878713" w:history="1">
            <w:r w:rsidR="00D07EAD" w:rsidRPr="00D07EAD">
              <w:rPr>
                <w:rStyle w:val="Lienhypertexte"/>
                <w:b w:val="0"/>
              </w:rPr>
              <w:t>Elevage - 1,3 Md FCFA pour développer l’entreprise avicole La Ripaille.</w:t>
            </w:r>
          </w:hyperlink>
        </w:p>
        <w:p w14:paraId="61079BA3" w14:textId="600F7559" w:rsidR="00D07EAD" w:rsidRPr="00D07EAD" w:rsidRDefault="00B158E3">
          <w:pPr>
            <w:pStyle w:val="TM2"/>
            <w:rPr>
              <w:rFonts w:asciiTheme="minorHAnsi" w:eastAsiaTheme="minorEastAsia" w:hAnsiTheme="minorHAnsi" w:cstheme="minorBidi"/>
              <w:b w:val="0"/>
              <w:sz w:val="22"/>
              <w:szCs w:val="22"/>
              <w:lang w:eastAsia="fr-FR"/>
            </w:rPr>
          </w:pPr>
          <w:hyperlink w:anchor="_Toc233878714" w:history="1">
            <w:r w:rsidR="00D07EAD" w:rsidRPr="00D07EAD">
              <w:rPr>
                <w:rStyle w:val="Lienhypertexte"/>
                <w:b w:val="0"/>
              </w:rPr>
              <w:t>Elevage – Cherté de l’alimentation du bétail et cheptel insuffisant font flamber les prix de la viande à Dakar.</w:t>
            </w:r>
          </w:hyperlink>
        </w:p>
        <w:p w14:paraId="7BEAB7FE" w14:textId="7B84C540" w:rsidR="00D07EAD" w:rsidRPr="00D07EAD" w:rsidRDefault="00B158E3">
          <w:pPr>
            <w:pStyle w:val="TM2"/>
            <w:rPr>
              <w:rFonts w:asciiTheme="minorHAnsi" w:eastAsiaTheme="minorEastAsia" w:hAnsiTheme="minorHAnsi" w:cstheme="minorBidi"/>
              <w:b w:val="0"/>
              <w:sz w:val="22"/>
              <w:szCs w:val="22"/>
              <w:lang w:eastAsia="fr-FR"/>
            </w:rPr>
          </w:pPr>
          <w:hyperlink w:anchor="_Toc233878715" w:history="1">
            <w:r w:rsidR="00D07EAD" w:rsidRPr="00D07EAD">
              <w:rPr>
                <w:rStyle w:val="Lienhypertexte"/>
                <w:b w:val="0"/>
              </w:rPr>
              <w:t>Coton - Objectif de 40% de croissance de la production en 2026/2027.</w:t>
            </w:r>
          </w:hyperlink>
        </w:p>
        <w:p w14:paraId="76A18E2C" w14:textId="4827BEFE" w:rsidR="00D07EAD" w:rsidRPr="00D07EAD" w:rsidRDefault="00B158E3">
          <w:pPr>
            <w:pStyle w:val="TM2"/>
            <w:rPr>
              <w:rFonts w:asciiTheme="minorHAnsi" w:eastAsiaTheme="minorEastAsia" w:hAnsiTheme="minorHAnsi" w:cstheme="minorBidi"/>
              <w:b w:val="0"/>
              <w:sz w:val="22"/>
              <w:szCs w:val="22"/>
              <w:lang w:eastAsia="fr-FR"/>
            </w:rPr>
          </w:pPr>
          <w:hyperlink w:anchor="_Toc233878716" w:history="1">
            <w:r w:rsidR="00D07EAD" w:rsidRPr="00D07EAD">
              <w:rPr>
                <w:rStyle w:val="Lienhypertexte"/>
                <w:b w:val="0"/>
              </w:rPr>
              <w:t>Coton - Usine textile de 6 Md FCFA.</w:t>
            </w:r>
          </w:hyperlink>
        </w:p>
        <w:p w14:paraId="2ED8146A" w14:textId="4A538AE4" w:rsidR="00D07EAD" w:rsidRPr="00D07EAD" w:rsidRDefault="00B158E3">
          <w:pPr>
            <w:pStyle w:val="TM2"/>
            <w:rPr>
              <w:rFonts w:asciiTheme="minorHAnsi" w:eastAsiaTheme="minorEastAsia" w:hAnsiTheme="minorHAnsi" w:cstheme="minorBidi"/>
              <w:b w:val="0"/>
              <w:sz w:val="22"/>
              <w:szCs w:val="22"/>
              <w:lang w:eastAsia="fr-FR"/>
            </w:rPr>
          </w:pPr>
          <w:hyperlink w:anchor="_Toc233878717" w:history="1">
            <w:r w:rsidR="00D07EAD" w:rsidRPr="00D07EAD">
              <w:rPr>
                <w:rStyle w:val="Lienhypertexte"/>
                <w:b w:val="0"/>
              </w:rPr>
              <w:t>Anacarde – Taxes à l’exportation maintenues.</w:t>
            </w:r>
          </w:hyperlink>
        </w:p>
        <w:p w14:paraId="3293E5AC" w14:textId="73692A02" w:rsidR="00D07EAD" w:rsidRPr="00D07EAD" w:rsidRDefault="00B158E3">
          <w:pPr>
            <w:pStyle w:val="TM2"/>
            <w:rPr>
              <w:rFonts w:asciiTheme="minorHAnsi" w:eastAsiaTheme="minorEastAsia" w:hAnsiTheme="minorHAnsi" w:cstheme="minorBidi"/>
              <w:b w:val="0"/>
              <w:sz w:val="22"/>
              <w:szCs w:val="22"/>
              <w:lang w:eastAsia="fr-FR"/>
            </w:rPr>
          </w:pPr>
          <w:hyperlink w:anchor="_Toc233878718" w:history="1">
            <w:r w:rsidR="00D07EAD" w:rsidRPr="00D07EAD">
              <w:rPr>
                <w:rStyle w:val="Lienhypertexte"/>
                <w:b w:val="0"/>
              </w:rPr>
              <w:t>Riz – Les producteurs toujours en difficulté.</w:t>
            </w:r>
          </w:hyperlink>
        </w:p>
        <w:p w14:paraId="6EDED60B" w14:textId="7CDBEBFF" w:rsidR="00D07EAD" w:rsidRPr="00D07EAD" w:rsidRDefault="00B158E3">
          <w:pPr>
            <w:pStyle w:val="TM2"/>
            <w:rPr>
              <w:rFonts w:asciiTheme="minorHAnsi" w:eastAsiaTheme="minorEastAsia" w:hAnsiTheme="minorHAnsi" w:cstheme="minorBidi"/>
              <w:b w:val="0"/>
              <w:sz w:val="22"/>
              <w:szCs w:val="22"/>
              <w:lang w:eastAsia="fr-FR"/>
            </w:rPr>
          </w:pPr>
          <w:hyperlink w:anchor="_Toc233878719" w:history="1">
            <w:r w:rsidR="00D07EAD" w:rsidRPr="00D07EAD">
              <w:rPr>
                <w:rStyle w:val="Lienhypertexte"/>
                <w:b w:val="0"/>
              </w:rPr>
              <w:t>Semence - L’Institut sénégalais de recherches agricoles (ISRA) intensifie la production de semences.</w:t>
            </w:r>
          </w:hyperlink>
        </w:p>
        <w:p w14:paraId="75C646AC" w14:textId="4FFC1607" w:rsidR="00D07EAD" w:rsidRPr="00D07EAD" w:rsidRDefault="00B158E3">
          <w:pPr>
            <w:pStyle w:val="TM2"/>
            <w:rPr>
              <w:rFonts w:asciiTheme="minorHAnsi" w:eastAsiaTheme="minorEastAsia" w:hAnsiTheme="minorHAnsi" w:cstheme="minorBidi"/>
              <w:b w:val="0"/>
              <w:sz w:val="22"/>
              <w:szCs w:val="22"/>
              <w:lang w:eastAsia="fr-FR"/>
            </w:rPr>
          </w:pPr>
          <w:hyperlink w:anchor="_Toc233878720" w:history="1">
            <w:r w:rsidR="00D07EAD" w:rsidRPr="00D07EAD">
              <w:rPr>
                <w:rStyle w:val="Lienhypertexte"/>
                <w:b w:val="0"/>
              </w:rPr>
              <w:t>Semence - Les Industries chimiques du Sénégal (ICS) misent sur la qualité semencière pour augmenter les rendements.</w:t>
            </w:r>
          </w:hyperlink>
        </w:p>
        <w:p w14:paraId="52923D3A" w14:textId="5462DF28" w:rsidR="00D07EAD" w:rsidRPr="00D07EAD" w:rsidRDefault="00B158E3">
          <w:pPr>
            <w:pStyle w:val="TM2"/>
            <w:rPr>
              <w:rFonts w:asciiTheme="minorHAnsi" w:eastAsiaTheme="minorEastAsia" w:hAnsiTheme="minorHAnsi" w:cstheme="minorBidi"/>
              <w:b w:val="0"/>
              <w:sz w:val="22"/>
              <w:szCs w:val="22"/>
              <w:lang w:eastAsia="fr-FR"/>
            </w:rPr>
          </w:pPr>
          <w:hyperlink w:anchor="_Toc233878721" w:history="1">
            <w:r w:rsidR="00D07EAD" w:rsidRPr="00D07EAD">
              <w:rPr>
                <w:rStyle w:val="Lienhypertexte"/>
                <w:b w:val="0"/>
              </w:rPr>
              <w:t>Intrants - Le périlleux pari du gouvernement sur les engrais.</w:t>
            </w:r>
          </w:hyperlink>
        </w:p>
        <w:p w14:paraId="4F43C6F1" w14:textId="61D6D42F" w:rsidR="00D07EAD" w:rsidRPr="00D07EAD" w:rsidRDefault="00B158E3">
          <w:pPr>
            <w:pStyle w:val="TM2"/>
            <w:rPr>
              <w:rFonts w:asciiTheme="minorHAnsi" w:eastAsiaTheme="minorEastAsia" w:hAnsiTheme="minorHAnsi" w:cstheme="minorBidi"/>
              <w:b w:val="0"/>
              <w:sz w:val="22"/>
              <w:szCs w:val="22"/>
              <w:lang w:eastAsia="fr-FR"/>
            </w:rPr>
          </w:pPr>
          <w:hyperlink w:anchor="_Toc233878722" w:history="1">
            <w:r w:rsidR="00D07EAD" w:rsidRPr="00D07EAD">
              <w:rPr>
                <w:rStyle w:val="Lienhypertexte"/>
                <w:b w:val="0"/>
              </w:rPr>
              <w:t>Infrastructures - Appui allemand de 100 M EUR pour renforcer le stockage frigorifique.</w:t>
            </w:r>
          </w:hyperlink>
        </w:p>
        <w:p w14:paraId="7633E277" w14:textId="02D5EC9B" w:rsidR="00D07EAD" w:rsidRPr="00D07EAD" w:rsidRDefault="00B158E3">
          <w:pPr>
            <w:pStyle w:val="TM2"/>
            <w:rPr>
              <w:rFonts w:asciiTheme="minorHAnsi" w:eastAsiaTheme="minorEastAsia" w:hAnsiTheme="minorHAnsi" w:cstheme="minorBidi"/>
              <w:b w:val="0"/>
              <w:sz w:val="22"/>
              <w:szCs w:val="22"/>
              <w:lang w:eastAsia="fr-FR"/>
            </w:rPr>
          </w:pPr>
          <w:hyperlink w:anchor="_Toc233878723" w:history="1">
            <w:r w:rsidR="00D07EAD" w:rsidRPr="00D07EAD">
              <w:rPr>
                <w:rStyle w:val="Lienhypertexte"/>
                <w:b w:val="0"/>
              </w:rPr>
              <w:t>Distribution – Projet gouvernemental de 2 000 boutiques de référence.</w:t>
            </w:r>
          </w:hyperlink>
        </w:p>
        <w:p w14:paraId="3F83E40B" w14:textId="0C0AF981" w:rsidR="00D07EAD" w:rsidRPr="00D07EAD" w:rsidRDefault="00B158E3">
          <w:pPr>
            <w:pStyle w:val="TM2"/>
            <w:rPr>
              <w:rFonts w:asciiTheme="minorHAnsi" w:eastAsiaTheme="minorEastAsia" w:hAnsiTheme="minorHAnsi" w:cstheme="minorBidi"/>
              <w:b w:val="0"/>
              <w:sz w:val="22"/>
              <w:szCs w:val="22"/>
              <w:lang w:eastAsia="fr-FR"/>
            </w:rPr>
          </w:pPr>
          <w:hyperlink w:anchor="_Toc233878724" w:history="1">
            <w:r w:rsidR="00D07EAD" w:rsidRPr="00D07EAD">
              <w:rPr>
                <w:rStyle w:val="Lienhypertexte"/>
                <w:b w:val="0"/>
              </w:rPr>
              <w:t>Vie des sociétés - La Compagnie agricole de Saint-Louis (CASL) risque une liquidation judiciaire.</w:t>
            </w:r>
          </w:hyperlink>
        </w:p>
        <w:p w14:paraId="41D05ABB" w14:textId="0D595908" w:rsidR="00D07EAD" w:rsidRPr="00D07EAD" w:rsidRDefault="00B158E3">
          <w:pPr>
            <w:pStyle w:val="TM1"/>
            <w:rPr>
              <w:rFonts w:asciiTheme="minorHAnsi" w:eastAsiaTheme="minorEastAsia" w:hAnsiTheme="minorHAnsi" w:cstheme="minorBidi"/>
              <w:b w:val="0"/>
              <w:bCs/>
              <w:color w:val="auto"/>
              <w:sz w:val="22"/>
              <w:szCs w:val="22"/>
              <w:lang w:eastAsia="fr-FR"/>
            </w:rPr>
          </w:pPr>
          <w:hyperlink w:anchor="_Toc233878725" w:history="1">
            <w:r w:rsidR="00D07EAD" w:rsidRPr="00D07EAD">
              <w:rPr>
                <w:rStyle w:val="Lienhypertexte"/>
                <w:b w:val="0"/>
                <w:bCs/>
              </w:rPr>
              <w:t>Benin</w:t>
            </w:r>
          </w:hyperlink>
        </w:p>
        <w:p w14:paraId="71357E83" w14:textId="5619E7F0" w:rsidR="00D07EAD" w:rsidRPr="00D07EAD" w:rsidRDefault="00B158E3">
          <w:pPr>
            <w:pStyle w:val="TM2"/>
            <w:rPr>
              <w:rFonts w:asciiTheme="minorHAnsi" w:eastAsiaTheme="minorEastAsia" w:hAnsiTheme="minorHAnsi" w:cstheme="minorBidi"/>
              <w:b w:val="0"/>
              <w:sz w:val="22"/>
              <w:szCs w:val="22"/>
              <w:lang w:eastAsia="fr-FR"/>
            </w:rPr>
          </w:pPr>
          <w:hyperlink w:anchor="_Toc233878726" w:history="1">
            <w:r w:rsidR="00D07EAD" w:rsidRPr="00D07EAD">
              <w:rPr>
                <w:rStyle w:val="Lienhypertexte"/>
                <w:b w:val="0"/>
              </w:rPr>
              <w:t>Sécurité alimentaire – 12,2 Md FCFA de la Banque islamique de développement.</w:t>
            </w:r>
          </w:hyperlink>
        </w:p>
        <w:p w14:paraId="2C436BD7" w14:textId="51689F68" w:rsidR="00D07EAD" w:rsidRPr="00D07EAD" w:rsidRDefault="00B158E3">
          <w:pPr>
            <w:pStyle w:val="TM2"/>
            <w:rPr>
              <w:rFonts w:asciiTheme="minorHAnsi" w:eastAsiaTheme="minorEastAsia" w:hAnsiTheme="minorHAnsi" w:cstheme="minorBidi"/>
              <w:b w:val="0"/>
              <w:sz w:val="22"/>
              <w:szCs w:val="22"/>
              <w:lang w:eastAsia="fr-FR"/>
            </w:rPr>
          </w:pPr>
          <w:hyperlink w:anchor="_Toc233878727" w:history="1">
            <w:r w:rsidR="00D07EAD" w:rsidRPr="00D07EAD">
              <w:rPr>
                <w:rStyle w:val="Lienhypertexte"/>
                <w:b w:val="0"/>
              </w:rPr>
              <w:t>Coton - Prime pour soutenir la croissance de la production.</w:t>
            </w:r>
          </w:hyperlink>
        </w:p>
        <w:p w14:paraId="318CE183" w14:textId="78F612D9" w:rsidR="00D07EAD" w:rsidRPr="00D07EAD" w:rsidRDefault="00B158E3">
          <w:pPr>
            <w:pStyle w:val="TM2"/>
            <w:rPr>
              <w:rFonts w:asciiTheme="minorHAnsi" w:eastAsiaTheme="minorEastAsia" w:hAnsiTheme="minorHAnsi" w:cstheme="minorBidi"/>
              <w:b w:val="0"/>
              <w:sz w:val="22"/>
              <w:szCs w:val="22"/>
              <w:lang w:eastAsia="fr-FR"/>
            </w:rPr>
          </w:pPr>
          <w:hyperlink w:anchor="_Toc233878728" w:history="1">
            <w:r w:rsidR="00D07EAD" w:rsidRPr="00D07EAD">
              <w:rPr>
                <w:rStyle w:val="Lienhypertexte"/>
                <w:b w:val="0"/>
              </w:rPr>
              <w:t>Anacarde – L’interdiction des exportations de noix brutes n’a pas encore favorisé la transformation locale.</w:t>
            </w:r>
          </w:hyperlink>
        </w:p>
        <w:p w14:paraId="04B4203B" w14:textId="5040ADAB" w:rsidR="00D07EAD" w:rsidRPr="00D07EAD" w:rsidRDefault="00B158E3">
          <w:pPr>
            <w:pStyle w:val="TM2"/>
            <w:rPr>
              <w:rFonts w:asciiTheme="minorHAnsi" w:eastAsiaTheme="minorEastAsia" w:hAnsiTheme="minorHAnsi" w:cstheme="minorBidi"/>
              <w:b w:val="0"/>
              <w:sz w:val="22"/>
              <w:szCs w:val="22"/>
              <w:lang w:eastAsia="fr-FR"/>
            </w:rPr>
          </w:pPr>
          <w:hyperlink w:anchor="_Toc233878729" w:history="1">
            <w:r w:rsidR="00D07EAD" w:rsidRPr="00D07EAD">
              <w:rPr>
                <w:rStyle w:val="Lienhypertexte"/>
                <w:b w:val="0"/>
              </w:rPr>
              <w:t>Intrants – Démarrage du projet régional contre les pesticides hautement dangereux.</w:t>
            </w:r>
          </w:hyperlink>
        </w:p>
        <w:p w14:paraId="0D452F69" w14:textId="01F62C50" w:rsidR="00D07EAD" w:rsidRPr="00D07EAD" w:rsidRDefault="00B158E3">
          <w:pPr>
            <w:pStyle w:val="TM2"/>
            <w:rPr>
              <w:rFonts w:asciiTheme="minorHAnsi" w:eastAsiaTheme="minorEastAsia" w:hAnsiTheme="minorHAnsi" w:cstheme="minorBidi"/>
              <w:b w:val="0"/>
              <w:sz w:val="22"/>
              <w:szCs w:val="22"/>
              <w:lang w:eastAsia="fr-FR"/>
            </w:rPr>
          </w:pPr>
          <w:hyperlink w:anchor="_Toc233878730" w:history="1">
            <w:r w:rsidR="00D07EAD" w:rsidRPr="00D07EAD">
              <w:rPr>
                <w:rStyle w:val="Lienhypertexte"/>
                <w:b w:val="0"/>
              </w:rPr>
              <w:t>Irrigation - 656 M FCFA de la Banque Africaine de Développement (BAD) pour le bassin du Mono.</w:t>
            </w:r>
          </w:hyperlink>
        </w:p>
        <w:p w14:paraId="3238768F" w14:textId="39F55C32" w:rsidR="00D07EAD" w:rsidRPr="00D07EAD" w:rsidRDefault="00B158E3">
          <w:pPr>
            <w:pStyle w:val="TM2"/>
            <w:rPr>
              <w:rFonts w:asciiTheme="minorHAnsi" w:eastAsiaTheme="minorEastAsia" w:hAnsiTheme="minorHAnsi" w:cstheme="minorBidi"/>
              <w:b w:val="0"/>
              <w:sz w:val="22"/>
              <w:szCs w:val="22"/>
              <w:lang w:eastAsia="fr-FR"/>
            </w:rPr>
          </w:pPr>
          <w:hyperlink w:anchor="_Toc233878731" w:history="1">
            <w:r w:rsidR="00D07EAD" w:rsidRPr="00D07EAD">
              <w:rPr>
                <w:rStyle w:val="Lienhypertexte"/>
                <w:b w:val="0"/>
              </w:rPr>
              <w:t>Vie des société - Le Singapourien Wilmar et le Nigérian Tropical General Investments Group (TGI) s’allient dans une coentreprise.</w:t>
            </w:r>
          </w:hyperlink>
        </w:p>
        <w:p w14:paraId="3B291441" w14:textId="408DF1FC" w:rsidR="00D07EAD" w:rsidRPr="00D07EAD" w:rsidRDefault="00B158E3">
          <w:pPr>
            <w:pStyle w:val="TM1"/>
            <w:rPr>
              <w:rFonts w:asciiTheme="minorHAnsi" w:eastAsiaTheme="minorEastAsia" w:hAnsiTheme="minorHAnsi" w:cstheme="minorBidi"/>
              <w:b w:val="0"/>
              <w:bCs/>
              <w:color w:val="auto"/>
              <w:sz w:val="22"/>
              <w:szCs w:val="22"/>
              <w:lang w:eastAsia="fr-FR"/>
            </w:rPr>
          </w:pPr>
          <w:hyperlink w:anchor="_Toc233878732" w:history="1">
            <w:r w:rsidR="00D07EAD" w:rsidRPr="00D07EAD">
              <w:rPr>
                <w:rStyle w:val="Lienhypertexte"/>
                <w:b w:val="0"/>
                <w:bCs/>
              </w:rPr>
              <w:t>Burkina Faso</w:t>
            </w:r>
          </w:hyperlink>
        </w:p>
        <w:p w14:paraId="31FAE651" w14:textId="48C46E4B" w:rsidR="00D07EAD" w:rsidRPr="00D07EAD" w:rsidRDefault="00B158E3">
          <w:pPr>
            <w:pStyle w:val="TM2"/>
            <w:rPr>
              <w:rFonts w:asciiTheme="minorHAnsi" w:eastAsiaTheme="minorEastAsia" w:hAnsiTheme="minorHAnsi" w:cstheme="minorBidi"/>
              <w:b w:val="0"/>
              <w:sz w:val="22"/>
              <w:szCs w:val="22"/>
              <w:lang w:eastAsia="fr-FR"/>
            </w:rPr>
          </w:pPr>
          <w:hyperlink w:anchor="_Toc233878733" w:history="1">
            <w:r w:rsidR="00D07EAD" w:rsidRPr="00D07EAD">
              <w:rPr>
                <w:rStyle w:val="Lienhypertexte"/>
                <w:b w:val="0"/>
              </w:rPr>
              <w:t>Coton – Ambition d’une récolte record de plus de 534 000 tonnes de coton pour la campagne 2026-2027.</w:t>
            </w:r>
          </w:hyperlink>
        </w:p>
        <w:p w14:paraId="01629010" w14:textId="3ED6203C" w:rsidR="00D07EAD" w:rsidRPr="00D07EAD" w:rsidRDefault="00B158E3">
          <w:pPr>
            <w:pStyle w:val="TM2"/>
            <w:rPr>
              <w:rFonts w:asciiTheme="minorHAnsi" w:eastAsiaTheme="minorEastAsia" w:hAnsiTheme="minorHAnsi" w:cstheme="minorBidi"/>
              <w:b w:val="0"/>
              <w:sz w:val="22"/>
              <w:szCs w:val="22"/>
              <w:lang w:eastAsia="fr-FR"/>
            </w:rPr>
          </w:pPr>
          <w:hyperlink w:anchor="_Toc233878734" w:history="1">
            <w:r w:rsidR="00D07EAD" w:rsidRPr="00D07EAD">
              <w:rPr>
                <w:rStyle w:val="Lienhypertexte"/>
                <w:b w:val="0"/>
              </w:rPr>
              <w:t>Anacarde - La fili</w:t>
            </w:r>
            <w:r w:rsidR="00D07EAD" w:rsidRPr="00D07EAD">
              <w:rPr>
                <w:rStyle w:val="Lienhypertexte"/>
                <w:rFonts w:cs="Marianne"/>
                <w:b w:val="0"/>
              </w:rPr>
              <w:t>è</w:t>
            </w:r>
            <w:r w:rsidR="00D07EAD" w:rsidRPr="00D07EAD">
              <w:rPr>
                <w:rStyle w:val="Lienhypertexte"/>
                <w:b w:val="0"/>
              </w:rPr>
              <w:t>re se renforce avec une nouvelle unité de transformation.</w:t>
            </w:r>
          </w:hyperlink>
        </w:p>
        <w:p w14:paraId="3D3D7919" w14:textId="7B617E06" w:rsidR="00D07EAD" w:rsidRPr="00D07EAD" w:rsidRDefault="00B158E3">
          <w:pPr>
            <w:pStyle w:val="TM2"/>
            <w:rPr>
              <w:rFonts w:asciiTheme="minorHAnsi" w:eastAsiaTheme="minorEastAsia" w:hAnsiTheme="minorHAnsi" w:cstheme="minorBidi"/>
              <w:b w:val="0"/>
              <w:sz w:val="22"/>
              <w:szCs w:val="22"/>
              <w:lang w:eastAsia="fr-FR"/>
            </w:rPr>
          </w:pPr>
          <w:hyperlink w:anchor="_Toc233878735" w:history="1">
            <w:r w:rsidR="00D07EAD" w:rsidRPr="00D07EAD">
              <w:rPr>
                <w:rStyle w:val="Lienhypertexte"/>
                <w:b w:val="0"/>
              </w:rPr>
              <w:t>Mangue – Lutte contre les mouches des fruits.</w:t>
            </w:r>
          </w:hyperlink>
        </w:p>
        <w:p w14:paraId="7A5B9244" w14:textId="5790E35E" w:rsidR="00D07EAD" w:rsidRPr="00D07EAD" w:rsidRDefault="00B158E3">
          <w:pPr>
            <w:pStyle w:val="TM2"/>
            <w:rPr>
              <w:rFonts w:asciiTheme="minorHAnsi" w:eastAsiaTheme="minorEastAsia" w:hAnsiTheme="minorHAnsi" w:cstheme="minorBidi"/>
              <w:b w:val="0"/>
              <w:sz w:val="22"/>
              <w:szCs w:val="22"/>
              <w:lang w:eastAsia="fr-FR"/>
            </w:rPr>
          </w:pPr>
          <w:hyperlink w:anchor="_Toc233878736" w:history="1">
            <w:r w:rsidR="00D07EAD" w:rsidRPr="00D07EAD">
              <w:rPr>
                <w:rStyle w:val="Lienhypertexte"/>
                <w:b w:val="0"/>
              </w:rPr>
              <w:t>Maraichage – Augmentation de 14,4% de la production.</w:t>
            </w:r>
          </w:hyperlink>
        </w:p>
        <w:p w14:paraId="26072C5F" w14:textId="0D2177CC" w:rsidR="00D07EAD" w:rsidRPr="00D07EAD" w:rsidRDefault="00B158E3">
          <w:pPr>
            <w:pStyle w:val="TM2"/>
            <w:rPr>
              <w:rFonts w:asciiTheme="minorHAnsi" w:eastAsiaTheme="minorEastAsia" w:hAnsiTheme="minorHAnsi" w:cstheme="minorBidi"/>
              <w:b w:val="0"/>
              <w:sz w:val="22"/>
              <w:szCs w:val="22"/>
              <w:lang w:eastAsia="fr-FR"/>
            </w:rPr>
          </w:pPr>
          <w:hyperlink w:anchor="_Toc233878737" w:history="1">
            <w:r w:rsidR="00D07EAD" w:rsidRPr="00D07EAD">
              <w:rPr>
                <w:rStyle w:val="Lienhypertexte"/>
                <w:b w:val="0"/>
              </w:rPr>
              <w:t>Semences – 3</w:t>
            </w:r>
            <w:r w:rsidR="00D07EAD" w:rsidRPr="00D07EAD">
              <w:rPr>
                <w:rStyle w:val="Lienhypertexte"/>
                <w:b w:val="0"/>
                <w:vertAlign w:val="superscript"/>
              </w:rPr>
              <w:t>ème</w:t>
            </w:r>
            <w:r w:rsidR="00D07EAD" w:rsidRPr="00D07EAD">
              <w:rPr>
                <w:rStyle w:val="Lienhypertexte"/>
                <w:b w:val="0"/>
              </w:rPr>
              <w:t xml:space="preserve"> Foire aux semences améliorées certifiées.</w:t>
            </w:r>
          </w:hyperlink>
        </w:p>
        <w:p w14:paraId="7C3E011D" w14:textId="311E647B" w:rsidR="00D07EAD" w:rsidRPr="00D07EAD" w:rsidRDefault="00B158E3">
          <w:pPr>
            <w:pStyle w:val="TM2"/>
            <w:rPr>
              <w:rFonts w:asciiTheme="minorHAnsi" w:eastAsiaTheme="minorEastAsia" w:hAnsiTheme="minorHAnsi" w:cstheme="minorBidi"/>
              <w:b w:val="0"/>
              <w:sz w:val="22"/>
              <w:szCs w:val="22"/>
              <w:lang w:eastAsia="fr-FR"/>
            </w:rPr>
          </w:pPr>
          <w:hyperlink w:anchor="_Toc233878738" w:history="1">
            <w:r w:rsidR="00D07EAD" w:rsidRPr="00D07EAD">
              <w:rPr>
                <w:rStyle w:val="Lienhypertexte"/>
                <w:b w:val="0"/>
              </w:rPr>
              <w:t>Elevage – Distribution de kits d’aviculture.</w:t>
            </w:r>
          </w:hyperlink>
        </w:p>
        <w:p w14:paraId="71BDB61C" w14:textId="322D0869" w:rsidR="00D07EAD" w:rsidRPr="00D07EAD" w:rsidRDefault="00B158E3">
          <w:pPr>
            <w:pStyle w:val="TM2"/>
            <w:rPr>
              <w:rFonts w:asciiTheme="minorHAnsi" w:eastAsiaTheme="minorEastAsia" w:hAnsiTheme="minorHAnsi" w:cstheme="minorBidi"/>
              <w:b w:val="0"/>
              <w:sz w:val="22"/>
              <w:szCs w:val="22"/>
              <w:lang w:eastAsia="fr-FR"/>
            </w:rPr>
          </w:pPr>
          <w:hyperlink w:anchor="_Toc233878739" w:history="1">
            <w:r w:rsidR="00D07EAD" w:rsidRPr="00D07EAD">
              <w:rPr>
                <w:rStyle w:val="Lienhypertexte"/>
                <w:b w:val="0"/>
              </w:rPr>
              <w:t>Irrigation – 11 774 ha de périmètres irrigués aménagés en trois ans.</w:t>
            </w:r>
          </w:hyperlink>
        </w:p>
        <w:p w14:paraId="160044B0" w14:textId="4E550576" w:rsidR="00D07EAD" w:rsidRPr="00D07EAD" w:rsidRDefault="00B158E3">
          <w:pPr>
            <w:pStyle w:val="TM2"/>
            <w:rPr>
              <w:rFonts w:asciiTheme="minorHAnsi" w:eastAsiaTheme="minorEastAsia" w:hAnsiTheme="minorHAnsi" w:cstheme="minorBidi"/>
              <w:b w:val="0"/>
              <w:sz w:val="22"/>
              <w:szCs w:val="22"/>
              <w:lang w:eastAsia="fr-FR"/>
            </w:rPr>
          </w:pPr>
          <w:hyperlink w:anchor="_Toc233878740" w:history="1">
            <w:r w:rsidR="00D07EAD" w:rsidRPr="00D07EAD">
              <w:rPr>
                <w:rStyle w:val="Lienhypertexte"/>
                <w:b w:val="0"/>
              </w:rPr>
              <w:t>Financement – La Société internationale islamique de financement du commerce (ITFC) finance l'agriculture.</w:t>
            </w:r>
          </w:hyperlink>
        </w:p>
        <w:p w14:paraId="2357D8CC" w14:textId="7DE7062A" w:rsidR="00D07EAD" w:rsidRPr="00D07EAD" w:rsidRDefault="00B158E3">
          <w:pPr>
            <w:pStyle w:val="TM1"/>
            <w:rPr>
              <w:rFonts w:asciiTheme="minorHAnsi" w:eastAsiaTheme="minorEastAsia" w:hAnsiTheme="minorHAnsi" w:cstheme="minorBidi"/>
              <w:b w:val="0"/>
              <w:bCs/>
              <w:color w:val="auto"/>
              <w:sz w:val="22"/>
              <w:szCs w:val="22"/>
              <w:lang w:eastAsia="fr-FR"/>
            </w:rPr>
          </w:pPr>
          <w:hyperlink w:anchor="_Toc233878741" w:history="1">
            <w:r w:rsidR="00D07EAD" w:rsidRPr="00D07EAD">
              <w:rPr>
                <w:rStyle w:val="Lienhypertexte"/>
                <w:b w:val="0"/>
                <w:bCs/>
              </w:rPr>
              <w:t>Cap Vert</w:t>
            </w:r>
          </w:hyperlink>
        </w:p>
        <w:p w14:paraId="7C24E12C" w14:textId="30C7049E" w:rsidR="00D07EAD" w:rsidRPr="00D07EAD" w:rsidRDefault="00B158E3">
          <w:pPr>
            <w:pStyle w:val="TM2"/>
            <w:rPr>
              <w:rFonts w:asciiTheme="minorHAnsi" w:eastAsiaTheme="minorEastAsia" w:hAnsiTheme="minorHAnsi" w:cstheme="minorBidi"/>
              <w:b w:val="0"/>
              <w:sz w:val="22"/>
              <w:szCs w:val="22"/>
              <w:lang w:eastAsia="fr-FR"/>
            </w:rPr>
          </w:pPr>
          <w:hyperlink w:anchor="_Toc233878742" w:history="1">
            <w:r w:rsidR="00D07EAD" w:rsidRPr="00D07EAD">
              <w:rPr>
                <w:rStyle w:val="Lienhypertexte"/>
                <w:b w:val="0"/>
              </w:rPr>
              <w:t>Pêche - 4</w:t>
            </w:r>
            <w:r w:rsidR="00D07EAD" w:rsidRPr="00D07EAD">
              <w:rPr>
                <w:rStyle w:val="Lienhypertexte"/>
                <w:b w:val="0"/>
                <w:vertAlign w:val="superscript"/>
              </w:rPr>
              <w:t>ème</w:t>
            </w:r>
            <w:r w:rsidR="00D07EAD" w:rsidRPr="00D07EAD">
              <w:rPr>
                <w:rStyle w:val="Lienhypertexte"/>
                <w:b w:val="0"/>
              </w:rPr>
              <w:t xml:space="preserve"> réunion de la coopération maritime au sein de la Communauté des pays lusophones (CPLP).</w:t>
            </w:r>
          </w:hyperlink>
        </w:p>
        <w:p w14:paraId="2DDF57BC" w14:textId="177BDD47" w:rsidR="00D07EAD" w:rsidRPr="00D07EAD" w:rsidRDefault="00B158E3">
          <w:pPr>
            <w:pStyle w:val="TM2"/>
            <w:rPr>
              <w:rFonts w:asciiTheme="minorHAnsi" w:eastAsiaTheme="minorEastAsia" w:hAnsiTheme="minorHAnsi" w:cstheme="minorBidi"/>
              <w:b w:val="0"/>
              <w:sz w:val="22"/>
              <w:szCs w:val="22"/>
              <w:lang w:eastAsia="fr-FR"/>
            </w:rPr>
          </w:pPr>
          <w:hyperlink w:anchor="_Toc233878743" w:history="1">
            <w:r w:rsidR="00D07EAD" w:rsidRPr="00D07EAD">
              <w:rPr>
                <w:rStyle w:val="Lienhypertexte"/>
                <w:b w:val="0"/>
              </w:rPr>
              <w:t>Viticulture - Médaille d'argent au concours mondial de Bruxelles pour le vin rouge Chã 2024 de l’île de Fogo.</w:t>
            </w:r>
          </w:hyperlink>
        </w:p>
        <w:p w14:paraId="6C359FC9" w14:textId="30919578" w:rsidR="00D07EAD" w:rsidRPr="00D07EAD" w:rsidRDefault="00B158E3">
          <w:pPr>
            <w:pStyle w:val="TM1"/>
            <w:rPr>
              <w:rFonts w:asciiTheme="minorHAnsi" w:eastAsiaTheme="minorEastAsia" w:hAnsiTheme="minorHAnsi" w:cstheme="minorBidi"/>
              <w:b w:val="0"/>
              <w:bCs/>
              <w:color w:val="auto"/>
              <w:sz w:val="22"/>
              <w:szCs w:val="22"/>
              <w:lang w:eastAsia="fr-FR"/>
            </w:rPr>
          </w:pPr>
          <w:hyperlink w:anchor="_Toc233878744" w:history="1">
            <w:r w:rsidR="00D07EAD" w:rsidRPr="00D07EAD">
              <w:rPr>
                <w:rStyle w:val="Lienhypertexte"/>
                <w:b w:val="0"/>
                <w:bCs/>
              </w:rPr>
              <w:t>Gambie</w:t>
            </w:r>
          </w:hyperlink>
        </w:p>
        <w:p w14:paraId="603FCFB7" w14:textId="5123F329" w:rsidR="00D07EAD" w:rsidRPr="00D07EAD" w:rsidRDefault="00B158E3">
          <w:pPr>
            <w:pStyle w:val="TM2"/>
            <w:rPr>
              <w:rFonts w:asciiTheme="minorHAnsi" w:eastAsiaTheme="minorEastAsia" w:hAnsiTheme="minorHAnsi" w:cstheme="minorBidi"/>
              <w:b w:val="0"/>
              <w:sz w:val="22"/>
              <w:szCs w:val="22"/>
              <w:lang w:eastAsia="fr-FR"/>
            </w:rPr>
          </w:pPr>
          <w:hyperlink w:anchor="_Toc233878745" w:history="1">
            <w:r w:rsidR="00D07EAD" w:rsidRPr="00D07EAD">
              <w:rPr>
                <w:rStyle w:val="Lienhypertexte"/>
                <w:b w:val="0"/>
              </w:rPr>
              <w:t>Intrants – Maintient du prix des engrais.</w:t>
            </w:r>
          </w:hyperlink>
        </w:p>
        <w:p w14:paraId="0B107653" w14:textId="4F21F1F1" w:rsidR="00D07EAD" w:rsidRPr="00D07EAD" w:rsidRDefault="00B158E3">
          <w:pPr>
            <w:pStyle w:val="TM1"/>
            <w:rPr>
              <w:rFonts w:asciiTheme="minorHAnsi" w:eastAsiaTheme="minorEastAsia" w:hAnsiTheme="minorHAnsi" w:cstheme="minorBidi"/>
              <w:b w:val="0"/>
              <w:bCs/>
              <w:color w:val="auto"/>
              <w:sz w:val="22"/>
              <w:szCs w:val="22"/>
              <w:lang w:eastAsia="fr-FR"/>
            </w:rPr>
          </w:pPr>
          <w:hyperlink w:anchor="_Toc233878746" w:history="1">
            <w:r w:rsidR="00D07EAD" w:rsidRPr="00D07EAD">
              <w:rPr>
                <w:rStyle w:val="Lienhypertexte"/>
                <w:b w:val="0"/>
                <w:bCs/>
              </w:rPr>
              <w:t>Guinée</w:t>
            </w:r>
          </w:hyperlink>
        </w:p>
        <w:p w14:paraId="119815A3" w14:textId="42C9237B" w:rsidR="00D07EAD" w:rsidRPr="00D07EAD" w:rsidRDefault="00B158E3">
          <w:pPr>
            <w:pStyle w:val="TM2"/>
            <w:rPr>
              <w:rFonts w:asciiTheme="minorHAnsi" w:eastAsiaTheme="minorEastAsia" w:hAnsiTheme="minorHAnsi" w:cstheme="minorBidi"/>
              <w:b w:val="0"/>
              <w:sz w:val="22"/>
              <w:szCs w:val="22"/>
              <w:lang w:eastAsia="fr-FR"/>
            </w:rPr>
          </w:pPr>
          <w:hyperlink w:anchor="_Toc233878747" w:history="1">
            <w:r w:rsidR="00D07EAD" w:rsidRPr="00D07EAD">
              <w:rPr>
                <w:rStyle w:val="Lienhypertexte"/>
                <w:b w:val="0"/>
              </w:rPr>
              <w:t>Politique agricole – Le ministère de l’agriculture lance une mission d’évaluation et d’actions au service des producteurs.</w:t>
            </w:r>
          </w:hyperlink>
        </w:p>
        <w:p w14:paraId="1282CCA2" w14:textId="23DAE168" w:rsidR="00D07EAD" w:rsidRPr="00D07EAD" w:rsidRDefault="00B158E3">
          <w:pPr>
            <w:pStyle w:val="TM2"/>
            <w:rPr>
              <w:rFonts w:asciiTheme="minorHAnsi" w:eastAsiaTheme="minorEastAsia" w:hAnsiTheme="minorHAnsi" w:cstheme="minorBidi"/>
              <w:b w:val="0"/>
              <w:sz w:val="22"/>
              <w:szCs w:val="22"/>
              <w:lang w:eastAsia="fr-FR"/>
            </w:rPr>
          </w:pPr>
          <w:hyperlink w:anchor="_Toc233878748" w:history="1">
            <w:r w:rsidR="00D07EAD" w:rsidRPr="00D07EAD">
              <w:rPr>
                <w:rStyle w:val="Lienhypertexte"/>
                <w:b w:val="0"/>
              </w:rPr>
              <w:t>Elevage – Str</w:t>
            </w:r>
            <w:r w:rsidR="00D07EAD" w:rsidRPr="00D07EAD">
              <w:rPr>
                <w:rStyle w:val="Lienhypertexte"/>
                <w:b w:val="0"/>
              </w:rPr>
              <w:t>a</w:t>
            </w:r>
            <w:r w:rsidR="00D07EAD" w:rsidRPr="00D07EAD">
              <w:rPr>
                <w:rStyle w:val="Lienhypertexte"/>
                <w:b w:val="0"/>
              </w:rPr>
              <w:t>tégie nationale de</w:t>
            </w:r>
            <w:r w:rsidR="00D07EAD" w:rsidRPr="00D07EAD">
              <w:rPr>
                <w:rStyle w:val="Lienhypertexte"/>
                <w:rFonts w:ascii="Times New Roman" w:hAnsi="Times New Roman" w:cs="Times New Roman"/>
                <w:b w:val="0"/>
              </w:rPr>
              <w:t> </w:t>
            </w:r>
            <w:r w:rsidR="00D07EAD" w:rsidRPr="00D07EAD">
              <w:rPr>
                <w:rStyle w:val="Lienhypertexte"/>
                <w:b w:val="0"/>
              </w:rPr>
              <w:t>5 124 Md GNF pour relancer la production avicole.</w:t>
            </w:r>
          </w:hyperlink>
        </w:p>
        <w:p w14:paraId="3EF12217" w14:textId="4ABCA381" w:rsidR="00D07EAD" w:rsidRPr="00D07EAD" w:rsidRDefault="00B158E3">
          <w:pPr>
            <w:pStyle w:val="TM2"/>
            <w:rPr>
              <w:rFonts w:asciiTheme="minorHAnsi" w:eastAsiaTheme="minorEastAsia" w:hAnsiTheme="minorHAnsi" w:cstheme="minorBidi"/>
              <w:b w:val="0"/>
              <w:sz w:val="22"/>
              <w:szCs w:val="22"/>
              <w:lang w:eastAsia="fr-FR"/>
            </w:rPr>
          </w:pPr>
          <w:hyperlink w:anchor="_Toc233878749" w:history="1">
            <w:r w:rsidR="00D07EAD" w:rsidRPr="00D07EAD">
              <w:rPr>
                <w:rStyle w:val="Lienhypertexte"/>
                <w:b w:val="0"/>
              </w:rPr>
              <w:t>Elevage - Vigilance renforcée après la réapparition de l’Influenza aviaire hautement pathogène en Côte d’Ivoire et au Sénégal.</w:t>
            </w:r>
          </w:hyperlink>
        </w:p>
        <w:p w14:paraId="43B5B1E2" w14:textId="4A704F76" w:rsidR="00D07EAD" w:rsidRPr="00D07EAD" w:rsidRDefault="00B158E3">
          <w:pPr>
            <w:pStyle w:val="TM2"/>
            <w:rPr>
              <w:rFonts w:asciiTheme="minorHAnsi" w:eastAsiaTheme="minorEastAsia" w:hAnsiTheme="minorHAnsi" w:cstheme="minorBidi"/>
              <w:b w:val="0"/>
              <w:sz w:val="22"/>
              <w:szCs w:val="22"/>
              <w:lang w:eastAsia="fr-FR"/>
            </w:rPr>
          </w:pPr>
          <w:hyperlink w:anchor="_Toc233878750" w:history="1">
            <w:r w:rsidR="00D07EAD" w:rsidRPr="00D07EAD">
              <w:rPr>
                <w:rStyle w:val="Lienhypertexte"/>
                <w:b w:val="0"/>
              </w:rPr>
              <w:t>Mécanisation - Les coopératives agricoles accèdent aux premiers tracteurs du programme de mécanisation.</w:t>
            </w:r>
          </w:hyperlink>
        </w:p>
        <w:p w14:paraId="2C7609AA" w14:textId="4B85D9B3" w:rsidR="00D07EAD" w:rsidRPr="00D07EAD" w:rsidRDefault="00B158E3">
          <w:pPr>
            <w:pStyle w:val="TM1"/>
            <w:rPr>
              <w:rFonts w:asciiTheme="minorHAnsi" w:eastAsiaTheme="minorEastAsia" w:hAnsiTheme="minorHAnsi" w:cstheme="minorBidi"/>
              <w:b w:val="0"/>
              <w:bCs/>
              <w:color w:val="auto"/>
              <w:sz w:val="22"/>
              <w:szCs w:val="22"/>
              <w:lang w:eastAsia="fr-FR"/>
            </w:rPr>
          </w:pPr>
          <w:hyperlink w:anchor="_Toc233878751" w:history="1">
            <w:r w:rsidR="00D07EAD" w:rsidRPr="00D07EAD">
              <w:rPr>
                <w:rStyle w:val="Lienhypertexte"/>
                <w:b w:val="0"/>
                <w:bCs/>
              </w:rPr>
              <w:t>Guinée-Bissau</w:t>
            </w:r>
          </w:hyperlink>
        </w:p>
        <w:p w14:paraId="475D7B13" w14:textId="62BC18AD" w:rsidR="00D07EAD" w:rsidRPr="00D07EAD" w:rsidRDefault="00B158E3">
          <w:pPr>
            <w:pStyle w:val="TM2"/>
            <w:rPr>
              <w:rFonts w:asciiTheme="minorHAnsi" w:eastAsiaTheme="minorEastAsia" w:hAnsiTheme="minorHAnsi" w:cstheme="minorBidi"/>
              <w:b w:val="0"/>
              <w:sz w:val="22"/>
              <w:szCs w:val="22"/>
              <w:lang w:eastAsia="fr-FR"/>
            </w:rPr>
          </w:pPr>
          <w:hyperlink w:anchor="_Toc233878752" w:history="1">
            <w:r w:rsidR="00D07EAD" w:rsidRPr="00D07EAD">
              <w:rPr>
                <w:rStyle w:val="Lienhypertexte"/>
                <w:b w:val="0"/>
              </w:rPr>
              <w:t>Anacarde - Nouvelles règles de contrôle pour les exportations.</w:t>
            </w:r>
          </w:hyperlink>
        </w:p>
        <w:p w14:paraId="68476A35" w14:textId="09F8BEB6" w:rsidR="00D07EAD" w:rsidRPr="00D07EAD" w:rsidRDefault="00B158E3">
          <w:pPr>
            <w:pStyle w:val="TM2"/>
            <w:rPr>
              <w:rFonts w:asciiTheme="minorHAnsi" w:eastAsiaTheme="minorEastAsia" w:hAnsiTheme="minorHAnsi" w:cstheme="minorBidi"/>
              <w:b w:val="0"/>
              <w:sz w:val="22"/>
              <w:szCs w:val="22"/>
              <w:lang w:eastAsia="fr-FR"/>
            </w:rPr>
          </w:pPr>
          <w:hyperlink w:anchor="_Toc233878753" w:history="1">
            <w:r w:rsidR="00D07EAD" w:rsidRPr="00D07EAD">
              <w:rPr>
                <w:rStyle w:val="Lienhypertexte"/>
                <w:b w:val="0"/>
              </w:rPr>
              <w:t>Anacarde - La campagne de commercialisation dépasse l’objectif de 200 000 tonnes.</w:t>
            </w:r>
          </w:hyperlink>
        </w:p>
        <w:p w14:paraId="16C25916" w14:textId="209A0E42" w:rsidR="00D07EAD" w:rsidRPr="00D07EAD" w:rsidRDefault="00B158E3">
          <w:pPr>
            <w:pStyle w:val="TM2"/>
            <w:rPr>
              <w:rFonts w:asciiTheme="minorHAnsi" w:eastAsiaTheme="minorEastAsia" w:hAnsiTheme="minorHAnsi" w:cstheme="minorBidi"/>
              <w:b w:val="0"/>
              <w:sz w:val="22"/>
              <w:szCs w:val="22"/>
              <w:lang w:eastAsia="fr-FR"/>
            </w:rPr>
          </w:pPr>
          <w:hyperlink w:anchor="_Toc233878754" w:history="1">
            <w:r w:rsidR="00D07EAD" w:rsidRPr="00D07EAD">
              <w:rPr>
                <w:rStyle w:val="Lienhypertexte"/>
                <w:b w:val="0"/>
              </w:rPr>
              <w:t>Recherche – Manque de ressources de l’Institut national de recherche agraire (INPA).</w:t>
            </w:r>
          </w:hyperlink>
        </w:p>
        <w:p w14:paraId="38E04EB3" w14:textId="156C7CC7" w:rsidR="00D07EAD" w:rsidRPr="00D07EAD" w:rsidRDefault="00B158E3">
          <w:pPr>
            <w:pStyle w:val="TM1"/>
            <w:rPr>
              <w:rFonts w:asciiTheme="minorHAnsi" w:eastAsiaTheme="minorEastAsia" w:hAnsiTheme="minorHAnsi" w:cstheme="minorBidi"/>
              <w:b w:val="0"/>
              <w:bCs/>
              <w:color w:val="auto"/>
              <w:sz w:val="22"/>
              <w:szCs w:val="22"/>
              <w:lang w:eastAsia="fr-FR"/>
            </w:rPr>
          </w:pPr>
          <w:hyperlink w:anchor="_Toc233878755" w:history="1">
            <w:r w:rsidR="00D07EAD" w:rsidRPr="00D07EAD">
              <w:rPr>
                <w:rStyle w:val="Lienhypertexte"/>
                <w:b w:val="0"/>
                <w:bCs/>
              </w:rPr>
              <w:t>Libéria</w:t>
            </w:r>
          </w:hyperlink>
        </w:p>
        <w:p w14:paraId="1037FB3A" w14:textId="3AEB1802" w:rsidR="00D07EAD" w:rsidRPr="00D07EAD" w:rsidRDefault="00B158E3">
          <w:pPr>
            <w:pStyle w:val="TM2"/>
            <w:rPr>
              <w:rFonts w:asciiTheme="minorHAnsi" w:eastAsiaTheme="minorEastAsia" w:hAnsiTheme="minorHAnsi" w:cstheme="minorBidi"/>
              <w:b w:val="0"/>
              <w:sz w:val="22"/>
              <w:szCs w:val="22"/>
              <w:lang w:eastAsia="fr-FR"/>
            </w:rPr>
          </w:pPr>
          <w:hyperlink w:anchor="_Toc233878756" w:history="1">
            <w:r w:rsidR="00D07EAD" w:rsidRPr="00D07EAD">
              <w:rPr>
                <w:rStyle w:val="Lienhypertexte"/>
                <w:b w:val="0"/>
              </w:rPr>
              <w:t>Politique agricole – Publication du nouveau recensement agricole 2022/23 et de l’enquête annuelle sur l’agriculture 2024.</w:t>
            </w:r>
          </w:hyperlink>
        </w:p>
        <w:p w14:paraId="4EAD9D83" w14:textId="1F4B21CC" w:rsidR="00D07EAD" w:rsidRPr="00D07EAD" w:rsidRDefault="00B158E3">
          <w:pPr>
            <w:pStyle w:val="TM2"/>
            <w:rPr>
              <w:rFonts w:asciiTheme="minorHAnsi" w:eastAsiaTheme="minorEastAsia" w:hAnsiTheme="minorHAnsi" w:cstheme="minorBidi"/>
              <w:b w:val="0"/>
              <w:sz w:val="22"/>
              <w:szCs w:val="22"/>
              <w:lang w:eastAsia="fr-FR"/>
            </w:rPr>
          </w:pPr>
          <w:hyperlink w:anchor="_Toc233878757" w:history="1">
            <w:r w:rsidR="00D07EAD" w:rsidRPr="00D07EAD">
              <w:rPr>
                <w:rStyle w:val="Lienhypertexte"/>
                <w:b w:val="0"/>
              </w:rPr>
              <w:t>Foncier – Nouveaux formulaires sécurisés de propriété foncière.</w:t>
            </w:r>
          </w:hyperlink>
        </w:p>
        <w:p w14:paraId="75808254" w14:textId="0FD1F664" w:rsidR="00D07EAD" w:rsidRPr="00D07EAD" w:rsidRDefault="00B158E3">
          <w:pPr>
            <w:pStyle w:val="TM2"/>
            <w:rPr>
              <w:rFonts w:asciiTheme="minorHAnsi" w:eastAsiaTheme="minorEastAsia" w:hAnsiTheme="minorHAnsi" w:cstheme="minorBidi"/>
              <w:b w:val="0"/>
              <w:sz w:val="22"/>
              <w:szCs w:val="22"/>
              <w:lang w:eastAsia="fr-FR"/>
            </w:rPr>
          </w:pPr>
          <w:hyperlink w:anchor="_Toc233878758" w:history="1">
            <w:r w:rsidR="00D07EAD" w:rsidRPr="00D07EAD">
              <w:rPr>
                <w:rStyle w:val="Lienhypertexte"/>
                <w:b w:val="0"/>
              </w:rPr>
              <w:t>Hévéa - Incitations à l’investissement pour les transformateurs locaux de caoutchouc naturel.</w:t>
            </w:r>
          </w:hyperlink>
        </w:p>
        <w:p w14:paraId="5E14C541" w14:textId="07FFF145" w:rsidR="00D07EAD" w:rsidRPr="00D07EAD" w:rsidRDefault="00B158E3">
          <w:pPr>
            <w:pStyle w:val="TM2"/>
            <w:rPr>
              <w:rFonts w:asciiTheme="minorHAnsi" w:eastAsiaTheme="minorEastAsia" w:hAnsiTheme="minorHAnsi" w:cstheme="minorBidi"/>
              <w:b w:val="0"/>
              <w:sz w:val="22"/>
              <w:szCs w:val="22"/>
              <w:lang w:eastAsia="fr-FR"/>
            </w:rPr>
          </w:pPr>
          <w:hyperlink w:anchor="_Toc233878759" w:history="1">
            <w:r w:rsidR="00D07EAD" w:rsidRPr="00D07EAD">
              <w:rPr>
                <w:rStyle w:val="Lienhypertexte"/>
                <w:b w:val="0"/>
              </w:rPr>
              <w:t>Café - Partenarial de 60 M USD avec une entreprise nigériane.</w:t>
            </w:r>
          </w:hyperlink>
        </w:p>
        <w:p w14:paraId="5DE02873" w14:textId="6C5BA475" w:rsidR="00D07EAD" w:rsidRPr="00D07EAD" w:rsidRDefault="00B158E3">
          <w:pPr>
            <w:pStyle w:val="TM2"/>
            <w:rPr>
              <w:rFonts w:asciiTheme="minorHAnsi" w:eastAsiaTheme="minorEastAsia" w:hAnsiTheme="minorHAnsi" w:cstheme="minorBidi"/>
              <w:b w:val="0"/>
              <w:sz w:val="22"/>
              <w:szCs w:val="22"/>
              <w:lang w:eastAsia="fr-FR"/>
            </w:rPr>
          </w:pPr>
          <w:hyperlink w:anchor="_Toc233878760" w:history="1">
            <w:r w:rsidR="00D07EAD" w:rsidRPr="00D07EAD">
              <w:rPr>
                <w:rStyle w:val="Lienhypertexte"/>
                <w:b w:val="0"/>
              </w:rPr>
              <w:t>Cacao - 50 000 plants mis à disposition des producteurs par une coopérative de femmes.</w:t>
            </w:r>
          </w:hyperlink>
        </w:p>
        <w:p w14:paraId="7B7CBBCF" w14:textId="108661F2" w:rsidR="00D07EAD" w:rsidRPr="00D07EAD" w:rsidRDefault="00B158E3">
          <w:pPr>
            <w:pStyle w:val="TM2"/>
            <w:rPr>
              <w:rFonts w:asciiTheme="minorHAnsi" w:eastAsiaTheme="minorEastAsia" w:hAnsiTheme="minorHAnsi" w:cstheme="minorBidi"/>
              <w:b w:val="0"/>
              <w:sz w:val="22"/>
              <w:szCs w:val="22"/>
              <w:lang w:eastAsia="fr-FR"/>
            </w:rPr>
          </w:pPr>
          <w:hyperlink w:anchor="_Toc233878761" w:history="1">
            <w:r w:rsidR="00D07EAD" w:rsidRPr="00D07EAD">
              <w:rPr>
                <w:rStyle w:val="Lienhypertexte"/>
                <w:b w:val="0"/>
              </w:rPr>
              <w:t xml:space="preserve">Palmier à huile – Dépôt de plainte contre l’entreprise </w:t>
            </w:r>
            <w:r w:rsidR="00D07EAD" w:rsidRPr="00D07EAD">
              <w:rPr>
                <w:rStyle w:val="Lienhypertexte"/>
                <w:b w:val="0"/>
                <w:i/>
                <w:iCs/>
              </w:rPr>
              <w:t>Golden Veroleum Liberia</w:t>
            </w:r>
            <w:r w:rsidR="00D07EAD" w:rsidRPr="00D07EAD">
              <w:rPr>
                <w:rStyle w:val="Lienhypertexte"/>
                <w:b w:val="0"/>
              </w:rPr>
              <w:t xml:space="preserve"> (GVL) pour la destruction de 1 000 ha de forêts.</w:t>
            </w:r>
          </w:hyperlink>
        </w:p>
        <w:p w14:paraId="7B3DF3F3" w14:textId="510776F8" w:rsidR="00D07EAD" w:rsidRPr="00D07EAD" w:rsidRDefault="00B158E3">
          <w:pPr>
            <w:pStyle w:val="TM2"/>
            <w:rPr>
              <w:rFonts w:asciiTheme="minorHAnsi" w:eastAsiaTheme="minorEastAsia" w:hAnsiTheme="minorHAnsi" w:cstheme="minorBidi"/>
              <w:b w:val="0"/>
              <w:sz w:val="22"/>
              <w:szCs w:val="22"/>
              <w:lang w:eastAsia="fr-FR"/>
            </w:rPr>
          </w:pPr>
          <w:hyperlink w:anchor="_Toc233878762" w:history="1">
            <w:r w:rsidR="00D07EAD" w:rsidRPr="00D07EAD">
              <w:rPr>
                <w:rStyle w:val="Lienhypertexte"/>
                <w:b w:val="0"/>
              </w:rPr>
              <w:t>Forêt - L’Union européenne met fin à l’accord sur l’exploitation forestière illégale avec le Libéria et suspend son aide.</w:t>
            </w:r>
          </w:hyperlink>
        </w:p>
        <w:p w14:paraId="12C4A5F2" w14:textId="16DDDBEF" w:rsidR="00D07EAD" w:rsidRPr="00D07EAD" w:rsidRDefault="00B158E3">
          <w:pPr>
            <w:pStyle w:val="TM1"/>
            <w:rPr>
              <w:rFonts w:asciiTheme="minorHAnsi" w:eastAsiaTheme="minorEastAsia" w:hAnsiTheme="minorHAnsi" w:cstheme="minorBidi"/>
              <w:b w:val="0"/>
              <w:bCs/>
              <w:color w:val="auto"/>
              <w:sz w:val="22"/>
              <w:szCs w:val="22"/>
              <w:lang w:eastAsia="fr-FR"/>
            </w:rPr>
          </w:pPr>
          <w:hyperlink w:anchor="_Toc233878763" w:history="1">
            <w:r w:rsidR="00D07EAD" w:rsidRPr="00D07EAD">
              <w:rPr>
                <w:rStyle w:val="Lienhypertexte"/>
                <w:b w:val="0"/>
                <w:bCs/>
              </w:rPr>
              <w:t>Mali</w:t>
            </w:r>
          </w:hyperlink>
        </w:p>
        <w:p w14:paraId="1D1EE159" w14:textId="55C28507" w:rsidR="00D07EAD" w:rsidRPr="00D07EAD" w:rsidRDefault="00B158E3">
          <w:pPr>
            <w:pStyle w:val="TM2"/>
            <w:rPr>
              <w:rFonts w:asciiTheme="minorHAnsi" w:eastAsiaTheme="minorEastAsia" w:hAnsiTheme="minorHAnsi" w:cstheme="minorBidi"/>
              <w:b w:val="0"/>
              <w:sz w:val="22"/>
              <w:szCs w:val="22"/>
              <w:lang w:eastAsia="fr-FR"/>
            </w:rPr>
          </w:pPr>
          <w:hyperlink w:anchor="_Toc233878764" w:history="1">
            <w:r w:rsidR="00D07EAD" w:rsidRPr="00D07EAD">
              <w:rPr>
                <w:rStyle w:val="Lienhypertexte"/>
                <w:b w:val="0"/>
              </w:rPr>
              <w:t>Politique agricole - Plus de 164 Md FCFA mobilisés pour la campagne agricole 2026-2027.</w:t>
            </w:r>
          </w:hyperlink>
        </w:p>
        <w:p w14:paraId="44B7E228" w14:textId="2E73828A" w:rsidR="00D07EAD" w:rsidRPr="00D07EAD" w:rsidRDefault="00B158E3">
          <w:pPr>
            <w:pStyle w:val="TM2"/>
            <w:rPr>
              <w:rFonts w:asciiTheme="minorHAnsi" w:eastAsiaTheme="minorEastAsia" w:hAnsiTheme="minorHAnsi" w:cstheme="minorBidi"/>
              <w:b w:val="0"/>
              <w:sz w:val="22"/>
              <w:szCs w:val="22"/>
              <w:lang w:eastAsia="fr-FR"/>
            </w:rPr>
          </w:pPr>
          <w:hyperlink w:anchor="_Toc233878765" w:history="1">
            <w:r w:rsidR="00D07EAD" w:rsidRPr="00D07EAD">
              <w:rPr>
                <w:rStyle w:val="Lienhypertexte"/>
                <w:b w:val="0"/>
              </w:rPr>
              <w:t>Campagne agricole - Le Conseil supérieur de l’agriculture (CSA) confirme son soutien aux producteurs.</w:t>
            </w:r>
          </w:hyperlink>
        </w:p>
        <w:p w14:paraId="5D6BF5AA" w14:textId="2BD938DE" w:rsidR="00D07EAD" w:rsidRPr="00D07EAD" w:rsidRDefault="00B158E3">
          <w:pPr>
            <w:pStyle w:val="TM1"/>
            <w:rPr>
              <w:rFonts w:asciiTheme="minorHAnsi" w:eastAsiaTheme="minorEastAsia" w:hAnsiTheme="minorHAnsi" w:cstheme="minorBidi"/>
              <w:b w:val="0"/>
              <w:bCs/>
              <w:color w:val="auto"/>
              <w:sz w:val="22"/>
              <w:szCs w:val="22"/>
              <w:lang w:eastAsia="fr-FR"/>
            </w:rPr>
          </w:pPr>
          <w:hyperlink w:anchor="_Toc233878766" w:history="1">
            <w:r w:rsidR="00D07EAD" w:rsidRPr="00D07EAD">
              <w:rPr>
                <w:rStyle w:val="Lienhypertexte"/>
                <w:b w:val="0"/>
                <w:bCs/>
              </w:rPr>
              <w:t>Mauritanie</w:t>
            </w:r>
          </w:hyperlink>
        </w:p>
        <w:p w14:paraId="11BC727F" w14:textId="6393351C" w:rsidR="00D07EAD" w:rsidRPr="00D07EAD" w:rsidRDefault="00B158E3">
          <w:pPr>
            <w:pStyle w:val="TM2"/>
            <w:rPr>
              <w:rFonts w:asciiTheme="minorHAnsi" w:eastAsiaTheme="minorEastAsia" w:hAnsiTheme="minorHAnsi" w:cstheme="minorBidi"/>
              <w:b w:val="0"/>
              <w:sz w:val="22"/>
              <w:szCs w:val="22"/>
              <w:lang w:eastAsia="fr-FR"/>
            </w:rPr>
          </w:pPr>
          <w:hyperlink w:anchor="_Toc233878767" w:history="1">
            <w:r w:rsidR="00D07EAD" w:rsidRPr="00D07EAD">
              <w:rPr>
                <w:rStyle w:val="Lienhypertexte"/>
                <w:b w:val="0"/>
              </w:rPr>
              <w:t>Campagne agricole - La production agricole a atteint 985 000 tonnes.</w:t>
            </w:r>
          </w:hyperlink>
        </w:p>
        <w:p w14:paraId="05812FA8" w14:textId="64E96224" w:rsidR="00D07EAD" w:rsidRPr="00D07EAD" w:rsidRDefault="00B158E3">
          <w:pPr>
            <w:pStyle w:val="TM2"/>
            <w:rPr>
              <w:rFonts w:asciiTheme="minorHAnsi" w:eastAsiaTheme="minorEastAsia" w:hAnsiTheme="minorHAnsi" w:cstheme="minorBidi"/>
              <w:b w:val="0"/>
              <w:sz w:val="22"/>
              <w:szCs w:val="22"/>
              <w:lang w:eastAsia="fr-FR"/>
            </w:rPr>
          </w:pPr>
          <w:hyperlink w:anchor="_Toc233878768" w:history="1">
            <w:r w:rsidR="00D07EAD" w:rsidRPr="00D07EAD">
              <w:rPr>
                <w:rStyle w:val="Lienhypertexte"/>
                <w:b w:val="0"/>
              </w:rPr>
              <w:t>Pêche - L’Agence mauritanienne des affaires maritimes (AMAM) appelle à la régularisation de la situation des marins embarqués sur les navires de pêche.</w:t>
            </w:r>
          </w:hyperlink>
        </w:p>
        <w:p w14:paraId="480DF861" w14:textId="4F4B8222" w:rsidR="00D07EAD" w:rsidRPr="00D07EAD" w:rsidRDefault="00B158E3">
          <w:pPr>
            <w:pStyle w:val="TM2"/>
            <w:rPr>
              <w:rFonts w:asciiTheme="minorHAnsi" w:eastAsiaTheme="minorEastAsia" w:hAnsiTheme="minorHAnsi" w:cstheme="minorBidi"/>
              <w:b w:val="0"/>
              <w:sz w:val="22"/>
              <w:szCs w:val="22"/>
              <w:lang w:eastAsia="fr-FR"/>
            </w:rPr>
          </w:pPr>
          <w:hyperlink w:anchor="_Toc233878769" w:history="1">
            <w:r w:rsidR="00D07EAD" w:rsidRPr="00D07EAD">
              <w:rPr>
                <w:rStyle w:val="Lienhypertexte"/>
                <w:b w:val="0"/>
              </w:rPr>
              <w:t>Pêche - Nouvelle session de négociations avec l’Union européenne pour le renouvellement de l’accord de pêche.</w:t>
            </w:r>
          </w:hyperlink>
        </w:p>
        <w:p w14:paraId="5AFE6B7E" w14:textId="1B96F0A7" w:rsidR="00D07EAD" w:rsidRPr="00D07EAD" w:rsidRDefault="00B158E3">
          <w:pPr>
            <w:pStyle w:val="TM2"/>
            <w:rPr>
              <w:rFonts w:asciiTheme="minorHAnsi" w:eastAsiaTheme="minorEastAsia" w:hAnsiTheme="minorHAnsi" w:cstheme="minorBidi"/>
              <w:b w:val="0"/>
              <w:sz w:val="22"/>
              <w:szCs w:val="22"/>
              <w:lang w:eastAsia="fr-FR"/>
            </w:rPr>
          </w:pPr>
          <w:hyperlink w:anchor="_Toc233878770" w:history="1">
            <w:r w:rsidR="00D07EAD" w:rsidRPr="00D07EAD">
              <w:rPr>
                <w:rStyle w:val="Lienhypertexte"/>
                <w:b w:val="0"/>
              </w:rPr>
              <w:t>Pêche – L’arrêt biologique de la pêche au poulpe prolongé jusqu’au 15 juillet prochain.</w:t>
            </w:r>
          </w:hyperlink>
        </w:p>
        <w:p w14:paraId="6D6E9AD6" w14:textId="3E11D134" w:rsidR="00D07EAD" w:rsidRPr="00D07EAD" w:rsidRDefault="00B158E3">
          <w:pPr>
            <w:pStyle w:val="TM2"/>
            <w:rPr>
              <w:rFonts w:asciiTheme="minorHAnsi" w:eastAsiaTheme="minorEastAsia" w:hAnsiTheme="minorHAnsi" w:cstheme="minorBidi"/>
              <w:b w:val="0"/>
              <w:sz w:val="22"/>
              <w:szCs w:val="22"/>
              <w:lang w:eastAsia="fr-FR"/>
            </w:rPr>
          </w:pPr>
          <w:hyperlink w:anchor="_Toc233878771" w:history="1">
            <w:r w:rsidR="00D07EAD" w:rsidRPr="00D07EAD">
              <w:rPr>
                <w:rStyle w:val="Lienhypertexte"/>
                <w:b w:val="0"/>
              </w:rPr>
              <w:t>Foncier – Dénonciation autour d’un projet agricole avec la République populaire de Chine.</w:t>
            </w:r>
          </w:hyperlink>
        </w:p>
        <w:p w14:paraId="4736EA52" w14:textId="5372EE4E" w:rsidR="00D07EAD" w:rsidRPr="00D07EAD" w:rsidRDefault="00B158E3">
          <w:pPr>
            <w:pStyle w:val="TM2"/>
            <w:rPr>
              <w:rFonts w:asciiTheme="minorHAnsi" w:eastAsiaTheme="minorEastAsia" w:hAnsiTheme="minorHAnsi" w:cstheme="minorBidi"/>
              <w:b w:val="0"/>
              <w:sz w:val="22"/>
              <w:szCs w:val="22"/>
              <w:lang w:eastAsia="fr-FR"/>
            </w:rPr>
          </w:pPr>
          <w:hyperlink w:anchor="_Toc233878772" w:history="1">
            <w:r w:rsidR="00D07EAD" w:rsidRPr="00D07EAD">
              <w:rPr>
                <w:rStyle w:val="Lienhypertexte"/>
                <w:b w:val="0"/>
              </w:rPr>
              <w:t>Coopération bilatérale – Négociations avancées avec l’Italie sur un projet d’aménagement et d’investissement agricole.</w:t>
            </w:r>
          </w:hyperlink>
        </w:p>
        <w:p w14:paraId="20C818E4" w14:textId="08AEAD0C" w:rsidR="00D07EAD" w:rsidRPr="00D07EAD" w:rsidRDefault="00B158E3">
          <w:pPr>
            <w:pStyle w:val="TM1"/>
            <w:rPr>
              <w:rFonts w:asciiTheme="minorHAnsi" w:eastAsiaTheme="minorEastAsia" w:hAnsiTheme="minorHAnsi" w:cstheme="minorBidi"/>
              <w:b w:val="0"/>
              <w:bCs/>
              <w:color w:val="auto"/>
              <w:sz w:val="22"/>
              <w:szCs w:val="22"/>
              <w:lang w:eastAsia="fr-FR"/>
            </w:rPr>
          </w:pPr>
          <w:hyperlink w:anchor="_Toc233878773" w:history="1">
            <w:r w:rsidR="00D07EAD" w:rsidRPr="00D07EAD">
              <w:rPr>
                <w:rStyle w:val="Lienhypertexte"/>
                <w:b w:val="0"/>
                <w:bCs/>
              </w:rPr>
              <w:t>Niger</w:t>
            </w:r>
          </w:hyperlink>
        </w:p>
        <w:p w14:paraId="376FB925" w14:textId="73267903" w:rsidR="00D07EAD" w:rsidRPr="00D07EAD" w:rsidRDefault="00B158E3">
          <w:pPr>
            <w:pStyle w:val="TM2"/>
            <w:rPr>
              <w:rFonts w:asciiTheme="minorHAnsi" w:eastAsiaTheme="minorEastAsia" w:hAnsiTheme="minorHAnsi" w:cstheme="minorBidi"/>
              <w:b w:val="0"/>
              <w:sz w:val="22"/>
              <w:szCs w:val="22"/>
              <w:lang w:eastAsia="fr-FR"/>
            </w:rPr>
          </w:pPr>
          <w:hyperlink w:anchor="_Toc233878774" w:history="1">
            <w:r w:rsidR="00D07EAD" w:rsidRPr="00D07EAD">
              <w:rPr>
                <w:rStyle w:val="Lienhypertexte"/>
                <w:b w:val="0"/>
              </w:rPr>
              <w:t>Recherche – 5</w:t>
            </w:r>
            <w:r w:rsidR="00D07EAD" w:rsidRPr="00D07EAD">
              <w:rPr>
                <w:rStyle w:val="Lienhypertexte"/>
                <w:b w:val="0"/>
                <w:vertAlign w:val="superscript"/>
              </w:rPr>
              <w:t>ème</w:t>
            </w:r>
            <w:r w:rsidR="00D07EAD" w:rsidRPr="00D07EAD">
              <w:rPr>
                <w:rStyle w:val="Lienhypertexte"/>
                <w:b w:val="0"/>
              </w:rPr>
              <w:t xml:space="preserve"> édition de la Journée de la recherche agronomique.</w:t>
            </w:r>
          </w:hyperlink>
        </w:p>
        <w:p w14:paraId="541EA3DF" w14:textId="02387DCB" w:rsidR="00D07EAD" w:rsidRPr="00D07EAD" w:rsidRDefault="00B158E3">
          <w:pPr>
            <w:pStyle w:val="TM2"/>
            <w:rPr>
              <w:rFonts w:asciiTheme="minorHAnsi" w:eastAsiaTheme="minorEastAsia" w:hAnsiTheme="minorHAnsi" w:cstheme="minorBidi"/>
              <w:b w:val="0"/>
              <w:sz w:val="22"/>
              <w:szCs w:val="22"/>
              <w:lang w:eastAsia="fr-FR"/>
            </w:rPr>
          </w:pPr>
          <w:hyperlink w:anchor="_Toc233878775" w:history="1">
            <w:r w:rsidR="00D07EAD" w:rsidRPr="00D07EAD">
              <w:rPr>
                <w:rStyle w:val="Lienhypertexte"/>
                <w:b w:val="0"/>
              </w:rPr>
              <w:t>Recherche - Une mission de l’Organisation des Nations Unies pour l’alimentation et l’agriculture (FAO) évalue les résultats de ses appuis à la recherche agronomique et à l’élevage.</w:t>
            </w:r>
          </w:hyperlink>
        </w:p>
        <w:p w14:paraId="36817D46" w14:textId="18444A21" w:rsidR="00D07EAD" w:rsidRPr="00D07EAD" w:rsidRDefault="00B158E3">
          <w:pPr>
            <w:pStyle w:val="TM2"/>
            <w:rPr>
              <w:rFonts w:asciiTheme="minorHAnsi" w:eastAsiaTheme="minorEastAsia" w:hAnsiTheme="minorHAnsi" w:cstheme="minorBidi"/>
              <w:b w:val="0"/>
              <w:sz w:val="22"/>
              <w:szCs w:val="22"/>
              <w:lang w:eastAsia="fr-FR"/>
            </w:rPr>
          </w:pPr>
          <w:hyperlink w:anchor="_Toc233878776" w:history="1">
            <w:r w:rsidR="00D07EAD" w:rsidRPr="00D07EAD">
              <w:rPr>
                <w:rStyle w:val="Lienhypertexte"/>
                <w:b w:val="0"/>
              </w:rPr>
              <w:t>Tomate - 2 Md FCFA pour dynamiser la filière.</w:t>
            </w:r>
          </w:hyperlink>
        </w:p>
        <w:p w14:paraId="12CE98F7" w14:textId="4CA32A08" w:rsidR="00D07EAD" w:rsidRPr="00D07EAD" w:rsidRDefault="00B158E3">
          <w:pPr>
            <w:pStyle w:val="TM1"/>
            <w:rPr>
              <w:rFonts w:asciiTheme="minorHAnsi" w:eastAsiaTheme="minorEastAsia" w:hAnsiTheme="minorHAnsi" w:cstheme="minorBidi"/>
              <w:b w:val="0"/>
              <w:bCs/>
              <w:color w:val="auto"/>
              <w:sz w:val="22"/>
              <w:szCs w:val="22"/>
              <w:lang w:eastAsia="fr-FR"/>
            </w:rPr>
          </w:pPr>
          <w:hyperlink w:anchor="_Toc233878778" w:history="1">
            <w:r w:rsidR="00D07EAD" w:rsidRPr="00D07EAD">
              <w:rPr>
                <w:rStyle w:val="Lienhypertexte"/>
                <w:b w:val="0"/>
                <w:bCs/>
              </w:rPr>
              <w:t>Togo</w:t>
            </w:r>
          </w:hyperlink>
        </w:p>
        <w:p w14:paraId="1ACEEAB7" w14:textId="7CAB4CBF" w:rsidR="00D07EAD" w:rsidRPr="00D07EAD" w:rsidRDefault="00B158E3">
          <w:pPr>
            <w:pStyle w:val="TM2"/>
            <w:rPr>
              <w:rFonts w:asciiTheme="minorHAnsi" w:eastAsiaTheme="minorEastAsia" w:hAnsiTheme="minorHAnsi" w:cstheme="minorBidi"/>
              <w:b w:val="0"/>
              <w:sz w:val="22"/>
              <w:szCs w:val="22"/>
              <w:lang w:eastAsia="fr-FR"/>
            </w:rPr>
          </w:pPr>
          <w:hyperlink w:anchor="_Toc233878779" w:history="1">
            <w:r w:rsidR="00D07EAD" w:rsidRPr="00D07EAD">
              <w:rPr>
                <w:rStyle w:val="Lienhypertexte"/>
                <w:b w:val="0"/>
              </w:rPr>
              <w:t>Cacao / Café - Distribution de près de 400 000 plants pour soutenir la relance des filières.</w:t>
            </w:r>
          </w:hyperlink>
        </w:p>
        <w:p w14:paraId="0F0F1DB0" w14:textId="32D3347C" w:rsidR="00D07EAD" w:rsidRPr="00D07EAD" w:rsidRDefault="00B158E3">
          <w:pPr>
            <w:pStyle w:val="TM2"/>
            <w:rPr>
              <w:rFonts w:asciiTheme="minorHAnsi" w:eastAsiaTheme="minorEastAsia" w:hAnsiTheme="minorHAnsi" w:cstheme="minorBidi"/>
              <w:b w:val="0"/>
              <w:sz w:val="22"/>
              <w:szCs w:val="22"/>
              <w:lang w:eastAsia="fr-FR"/>
            </w:rPr>
          </w:pPr>
          <w:hyperlink w:anchor="_Toc233878780" w:history="1">
            <w:r w:rsidR="00D07EAD" w:rsidRPr="00D07EAD">
              <w:rPr>
                <w:rStyle w:val="Lienhypertexte"/>
                <w:b w:val="0"/>
              </w:rPr>
              <w:t>Cacao – Inauguration d’un centre d’excellence.</w:t>
            </w:r>
          </w:hyperlink>
        </w:p>
        <w:p w14:paraId="51F2AD0C" w14:textId="404E09D6" w:rsidR="00D07EAD" w:rsidRPr="00D07EAD" w:rsidRDefault="00B158E3">
          <w:pPr>
            <w:pStyle w:val="TM2"/>
            <w:rPr>
              <w:rFonts w:asciiTheme="minorHAnsi" w:eastAsiaTheme="minorEastAsia" w:hAnsiTheme="minorHAnsi" w:cstheme="minorBidi"/>
              <w:b w:val="0"/>
              <w:sz w:val="22"/>
              <w:szCs w:val="22"/>
              <w:lang w:eastAsia="fr-FR"/>
            </w:rPr>
          </w:pPr>
          <w:hyperlink w:anchor="_Toc233878781" w:history="1">
            <w:r w:rsidR="00D07EAD" w:rsidRPr="00D07EAD">
              <w:rPr>
                <w:rStyle w:val="Lienhypertexte"/>
                <w:b w:val="0"/>
              </w:rPr>
              <w:t>Coton - Objectif de production fixé à 105 000 tonnes pour la campagne 2026-2027.</w:t>
            </w:r>
          </w:hyperlink>
        </w:p>
        <w:p w14:paraId="65E58378" w14:textId="768592B2" w:rsidR="00D07EAD" w:rsidRPr="00D07EAD" w:rsidRDefault="00B158E3">
          <w:pPr>
            <w:pStyle w:val="TM2"/>
            <w:rPr>
              <w:rFonts w:asciiTheme="minorHAnsi" w:eastAsiaTheme="minorEastAsia" w:hAnsiTheme="minorHAnsi" w:cstheme="minorBidi"/>
              <w:b w:val="0"/>
              <w:sz w:val="22"/>
              <w:szCs w:val="22"/>
              <w:lang w:eastAsia="fr-FR"/>
            </w:rPr>
          </w:pPr>
          <w:hyperlink w:anchor="_Toc233878782" w:history="1">
            <w:r w:rsidR="00D07EAD" w:rsidRPr="00D07EAD">
              <w:rPr>
                <w:rStyle w:val="Lienhypertexte"/>
                <w:b w:val="0"/>
              </w:rPr>
              <w:t>Coton - Fin du conflit avec OLAM ?</w:t>
            </w:r>
          </w:hyperlink>
        </w:p>
        <w:p w14:paraId="30F171D4" w14:textId="72651B73" w:rsidR="00D07EAD" w:rsidRPr="00D07EAD" w:rsidRDefault="00B158E3">
          <w:pPr>
            <w:pStyle w:val="TM2"/>
            <w:rPr>
              <w:rFonts w:asciiTheme="minorHAnsi" w:eastAsiaTheme="minorEastAsia" w:hAnsiTheme="minorHAnsi" w:cstheme="minorBidi"/>
              <w:b w:val="0"/>
              <w:sz w:val="22"/>
              <w:szCs w:val="22"/>
              <w:lang w:eastAsia="fr-FR"/>
            </w:rPr>
          </w:pPr>
          <w:hyperlink w:anchor="_Toc233878783" w:history="1">
            <w:r w:rsidR="00D07EAD" w:rsidRPr="00D07EAD">
              <w:rPr>
                <w:rStyle w:val="Lienhypertexte"/>
                <w:b w:val="0"/>
              </w:rPr>
              <w:t>Coton - Convention cadre de partenariat pour un accès à l’eau potable des communautés productrices.</w:t>
            </w:r>
          </w:hyperlink>
        </w:p>
        <w:p w14:paraId="39A8A6AF" w14:textId="0B07EA8A" w:rsidR="00D07EAD" w:rsidRPr="00D07EAD" w:rsidRDefault="00B158E3">
          <w:pPr>
            <w:pStyle w:val="TM2"/>
            <w:rPr>
              <w:rFonts w:asciiTheme="minorHAnsi" w:eastAsiaTheme="minorEastAsia" w:hAnsiTheme="minorHAnsi" w:cstheme="minorBidi"/>
              <w:b w:val="0"/>
              <w:sz w:val="22"/>
              <w:szCs w:val="22"/>
              <w:lang w:eastAsia="fr-FR"/>
            </w:rPr>
          </w:pPr>
          <w:hyperlink w:anchor="_Toc233878784" w:history="1">
            <w:r w:rsidR="00D07EAD" w:rsidRPr="00D07EAD">
              <w:rPr>
                <w:rStyle w:val="Lienhypertexte"/>
                <w:b w:val="0"/>
              </w:rPr>
              <w:t>Anacarde – Procédure à l’export jugée pénalisante.</w:t>
            </w:r>
          </w:hyperlink>
        </w:p>
        <w:p w14:paraId="160F6B28" w14:textId="0429EC40" w:rsidR="00D07EAD" w:rsidRPr="00D07EAD" w:rsidRDefault="00B158E3">
          <w:pPr>
            <w:pStyle w:val="TM2"/>
            <w:rPr>
              <w:rFonts w:asciiTheme="minorHAnsi" w:eastAsiaTheme="minorEastAsia" w:hAnsiTheme="minorHAnsi" w:cstheme="minorBidi"/>
              <w:b w:val="0"/>
              <w:sz w:val="22"/>
              <w:szCs w:val="22"/>
              <w:lang w:eastAsia="fr-FR"/>
            </w:rPr>
          </w:pPr>
          <w:hyperlink w:anchor="_Toc233878785" w:history="1">
            <w:r w:rsidR="00D07EAD" w:rsidRPr="00D07EAD">
              <w:rPr>
                <w:rStyle w:val="Lienhypertexte"/>
                <w:b w:val="0"/>
              </w:rPr>
              <w:t>Soja - Financement absent, producteurs démotivés.</w:t>
            </w:r>
          </w:hyperlink>
        </w:p>
        <w:p w14:paraId="688EA05D" w14:textId="0C588B46" w:rsidR="00D07EAD" w:rsidRPr="00D07EAD" w:rsidRDefault="00B158E3">
          <w:pPr>
            <w:pStyle w:val="TM2"/>
            <w:rPr>
              <w:rFonts w:asciiTheme="minorHAnsi" w:eastAsiaTheme="minorEastAsia" w:hAnsiTheme="minorHAnsi" w:cstheme="minorBidi"/>
              <w:b w:val="0"/>
              <w:sz w:val="22"/>
              <w:szCs w:val="22"/>
              <w:lang w:eastAsia="fr-FR"/>
            </w:rPr>
          </w:pPr>
          <w:hyperlink w:anchor="_Toc233878786" w:history="1">
            <w:r w:rsidR="00D07EAD" w:rsidRPr="00D07EAD">
              <w:rPr>
                <w:rStyle w:val="Lienhypertexte"/>
                <w:b w:val="0"/>
              </w:rPr>
              <w:t>Maïs – Les stocks invendus plombent le lancement de la nouvelle campagne.</w:t>
            </w:r>
          </w:hyperlink>
        </w:p>
        <w:p w14:paraId="42AB10E3" w14:textId="28C08A61" w:rsidR="00D07EAD" w:rsidRPr="00D07EAD" w:rsidRDefault="00B158E3">
          <w:pPr>
            <w:pStyle w:val="TM2"/>
            <w:rPr>
              <w:rFonts w:asciiTheme="minorHAnsi" w:eastAsiaTheme="minorEastAsia" w:hAnsiTheme="minorHAnsi" w:cstheme="minorBidi"/>
              <w:b w:val="0"/>
              <w:sz w:val="22"/>
              <w:szCs w:val="22"/>
              <w:lang w:eastAsia="fr-FR"/>
            </w:rPr>
          </w:pPr>
          <w:hyperlink w:anchor="_Toc233878787" w:history="1">
            <w:r w:rsidR="00D07EAD" w:rsidRPr="00D07EAD">
              <w:rPr>
                <w:rStyle w:val="Lienhypertexte"/>
                <w:b w:val="0"/>
              </w:rPr>
              <w:t>Karité - Projet de 2 000 ha pour structurer la filière.</w:t>
            </w:r>
          </w:hyperlink>
        </w:p>
        <w:p w14:paraId="37B3AD08" w14:textId="1AFD78E7" w:rsidR="00D07EAD" w:rsidRPr="00D07EAD" w:rsidRDefault="00B158E3">
          <w:pPr>
            <w:pStyle w:val="TM2"/>
            <w:rPr>
              <w:rFonts w:asciiTheme="minorHAnsi" w:eastAsiaTheme="minorEastAsia" w:hAnsiTheme="minorHAnsi" w:cstheme="minorBidi"/>
              <w:b w:val="0"/>
              <w:sz w:val="22"/>
              <w:szCs w:val="22"/>
              <w:lang w:eastAsia="fr-FR"/>
            </w:rPr>
          </w:pPr>
          <w:hyperlink w:anchor="_Toc233878788" w:history="1">
            <w:r w:rsidR="00D07EAD" w:rsidRPr="00D07EAD">
              <w:rPr>
                <w:rStyle w:val="Lienhypertexte"/>
                <w:b w:val="0"/>
              </w:rPr>
              <w:t>Pêche - Stratégie de modernisation de la pêche artisanale.</w:t>
            </w:r>
          </w:hyperlink>
        </w:p>
        <w:p w14:paraId="0301DA36" w14:textId="5FA22EAF" w:rsidR="00D07EAD" w:rsidRPr="00D07EAD" w:rsidRDefault="00B158E3">
          <w:pPr>
            <w:pStyle w:val="TM2"/>
            <w:rPr>
              <w:rFonts w:asciiTheme="minorHAnsi" w:eastAsiaTheme="minorEastAsia" w:hAnsiTheme="minorHAnsi" w:cstheme="minorBidi"/>
              <w:b w:val="0"/>
              <w:sz w:val="22"/>
              <w:szCs w:val="22"/>
              <w:lang w:eastAsia="fr-FR"/>
            </w:rPr>
          </w:pPr>
          <w:hyperlink w:anchor="_Toc233878789" w:history="1">
            <w:r w:rsidR="00D07EAD" w:rsidRPr="00D07EAD">
              <w:rPr>
                <w:rStyle w:val="Lienhypertexte"/>
                <w:b w:val="0"/>
              </w:rPr>
              <w:t>Aquaculture – Fonds revolving de 655 M FCFA au profit des jeunes.</w:t>
            </w:r>
          </w:hyperlink>
        </w:p>
        <w:p w14:paraId="791CF5F9" w14:textId="6C86157C" w:rsidR="00D07EAD" w:rsidRPr="00D07EAD" w:rsidRDefault="00B158E3">
          <w:pPr>
            <w:pStyle w:val="TM2"/>
            <w:rPr>
              <w:rFonts w:asciiTheme="minorHAnsi" w:eastAsiaTheme="minorEastAsia" w:hAnsiTheme="minorHAnsi" w:cstheme="minorBidi"/>
              <w:b w:val="0"/>
              <w:sz w:val="22"/>
              <w:szCs w:val="22"/>
              <w:lang w:eastAsia="fr-FR"/>
            </w:rPr>
          </w:pPr>
          <w:hyperlink w:anchor="_Toc233878790" w:history="1">
            <w:r w:rsidR="00D07EAD" w:rsidRPr="00D07EAD">
              <w:rPr>
                <w:rStyle w:val="Lienhypertexte"/>
                <w:b w:val="0"/>
              </w:rPr>
              <w:t>Apiculture – Apiculture et reboisement pour lutter contre le changement climatique.</w:t>
            </w:r>
          </w:hyperlink>
        </w:p>
        <w:p w14:paraId="67153FAD" w14:textId="7FAF3272" w:rsidR="00D07EAD" w:rsidRPr="00D07EAD" w:rsidRDefault="00B158E3">
          <w:pPr>
            <w:pStyle w:val="TM2"/>
            <w:rPr>
              <w:rFonts w:asciiTheme="minorHAnsi" w:eastAsiaTheme="minorEastAsia" w:hAnsiTheme="minorHAnsi" w:cstheme="minorBidi"/>
              <w:b w:val="0"/>
              <w:sz w:val="22"/>
              <w:szCs w:val="22"/>
              <w:lang w:eastAsia="fr-FR"/>
            </w:rPr>
          </w:pPr>
          <w:hyperlink w:anchor="_Toc233878791" w:history="1">
            <w:r w:rsidR="00D07EAD" w:rsidRPr="00D07EAD">
              <w:rPr>
                <w:rStyle w:val="Lienhypertexte"/>
                <w:b w:val="0"/>
              </w:rPr>
              <w:t>Agroforesterie - Le Conseil interprofessionnel de régulation et de promotion des essences forestières (CIRPEF) promeut l’agroforesterie pour restaurer les terres agricoles.</w:t>
            </w:r>
          </w:hyperlink>
        </w:p>
        <w:p w14:paraId="3538C81C" w14:textId="542F508E" w:rsidR="00D07EAD" w:rsidRPr="00D07EAD" w:rsidRDefault="00B158E3">
          <w:pPr>
            <w:pStyle w:val="TM2"/>
            <w:rPr>
              <w:rFonts w:asciiTheme="minorHAnsi" w:eastAsiaTheme="minorEastAsia" w:hAnsiTheme="minorHAnsi" w:cstheme="minorBidi"/>
              <w:b w:val="0"/>
              <w:sz w:val="22"/>
              <w:szCs w:val="22"/>
              <w:lang w:eastAsia="fr-FR"/>
            </w:rPr>
          </w:pPr>
          <w:hyperlink w:anchor="_Toc233878792" w:history="1">
            <w:r w:rsidR="00D07EAD" w:rsidRPr="00D07EAD">
              <w:rPr>
                <w:rStyle w:val="Lienhypertexte"/>
                <w:b w:val="0"/>
              </w:rPr>
              <w:t>Pêche – Renforcement de l’arsenal contre la pêche illicite, non déclarée et non réglementée (INN).</w:t>
            </w:r>
          </w:hyperlink>
        </w:p>
        <w:p w14:paraId="5E61A21A" w14:textId="41DACF06" w:rsidR="00D07EAD" w:rsidRPr="00D07EAD" w:rsidRDefault="00B158E3">
          <w:pPr>
            <w:pStyle w:val="TM2"/>
            <w:rPr>
              <w:rFonts w:asciiTheme="minorHAnsi" w:eastAsiaTheme="minorEastAsia" w:hAnsiTheme="minorHAnsi" w:cstheme="minorBidi"/>
              <w:b w:val="0"/>
              <w:sz w:val="22"/>
              <w:szCs w:val="22"/>
              <w:lang w:eastAsia="fr-FR"/>
            </w:rPr>
          </w:pPr>
          <w:hyperlink w:anchor="_Toc233878793" w:history="1">
            <w:r w:rsidR="00D07EAD" w:rsidRPr="00D07EAD">
              <w:rPr>
                <w:rStyle w:val="Lienhypertexte"/>
                <w:b w:val="0"/>
              </w:rPr>
              <w:t>Formation – Inauguration d’un centre de ressources et de formation agricole et rurale.</w:t>
            </w:r>
          </w:hyperlink>
        </w:p>
        <w:p w14:paraId="6294A7AB" w14:textId="2A769521" w:rsidR="00D07EAD" w:rsidRPr="00D07EAD" w:rsidRDefault="00B158E3">
          <w:pPr>
            <w:pStyle w:val="TM2"/>
            <w:rPr>
              <w:rFonts w:asciiTheme="minorHAnsi" w:eastAsiaTheme="minorEastAsia" w:hAnsiTheme="minorHAnsi" w:cstheme="minorBidi"/>
              <w:b w:val="0"/>
              <w:sz w:val="22"/>
              <w:szCs w:val="22"/>
              <w:lang w:eastAsia="fr-FR"/>
            </w:rPr>
          </w:pPr>
          <w:hyperlink w:anchor="_Toc233878794" w:history="1">
            <w:r w:rsidR="00D07EAD" w:rsidRPr="00D07EAD">
              <w:rPr>
                <w:rStyle w:val="Lienhypertexte"/>
                <w:b w:val="0"/>
              </w:rPr>
              <w:t>Mécanisation – Financement de plus de 100 M EUR d’Africa Finance Corporation (AFC).</w:t>
            </w:r>
          </w:hyperlink>
        </w:p>
        <w:p w14:paraId="7BF13E5C" w14:textId="1E411EFA" w:rsidR="00D07EAD" w:rsidRPr="00D07EAD" w:rsidRDefault="00B158E3">
          <w:pPr>
            <w:pStyle w:val="TM2"/>
            <w:rPr>
              <w:rFonts w:asciiTheme="minorHAnsi" w:eastAsiaTheme="minorEastAsia" w:hAnsiTheme="minorHAnsi" w:cstheme="minorBidi"/>
              <w:b w:val="0"/>
              <w:sz w:val="22"/>
              <w:szCs w:val="22"/>
              <w:lang w:eastAsia="fr-FR"/>
            </w:rPr>
          </w:pPr>
          <w:hyperlink w:anchor="_Toc233878795" w:history="1">
            <w:r w:rsidR="00D07EAD" w:rsidRPr="00D07EAD">
              <w:rPr>
                <w:rStyle w:val="Lienhypertexte"/>
                <w:b w:val="0"/>
              </w:rPr>
              <w:t>Mécanisation - La Banque ouest-africaine de développement (BOAD) porte à 60 Md FCFA son appui au programme de mécanisation agricole.</w:t>
            </w:r>
          </w:hyperlink>
        </w:p>
        <w:p w14:paraId="70F23732" w14:textId="24E264A3" w:rsidR="00D07EAD" w:rsidRPr="00D07EAD" w:rsidRDefault="00B158E3">
          <w:pPr>
            <w:pStyle w:val="TM2"/>
            <w:rPr>
              <w:rFonts w:asciiTheme="minorHAnsi" w:eastAsiaTheme="minorEastAsia" w:hAnsiTheme="minorHAnsi" w:cstheme="minorBidi"/>
              <w:b w:val="0"/>
              <w:sz w:val="22"/>
              <w:szCs w:val="22"/>
              <w:lang w:eastAsia="fr-FR"/>
            </w:rPr>
          </w:pPr>
          <w:hyperlink w:anchor="_Toc233878796" w:history="1">
            <w:r w:rsidR="00D07EAD" w:rsidRPr="00D07EAD">
              <w:rPr>
                <w:rStyle w:val="Lienhypertexte"/>
                <w:b w:val="0"/>
              </w:rPr>
              <w:t>Agro-industrie - La Plateforme industrielle d'Adétikopé (PIA) affiche un bilan encourageant.</w:t>
            </w:r>
          </w:hyperlink>
        </w:p>
        <w:p w14:paraId="694217DB" w14:textId="0C61EACD" w:rsidR="00A3385A" w:rsidRPr="00D07EAD" w:rsidRDefault="00732F00" w:rsidP="00D07EAD">
          <w:pPr>
            <w:rPr>
              <w:b/>
              <w:szCs w:val="32"/>
            </w:rPr>
          </w:pPr>
          <w:r w:rsidRPr="00D07EAD">
            <w:rPr>
              <w:bCs/>
            </w:rPr>
            <w:fldChar w:fldCharType="end"/>
          </w:r>
        </w:p>
      </w:sdtContent>
    </w:sdt>
    <w:bookmarkStart w:id="0" w:name="_Toc207887316" w:displacedByCustomXml="prev"/>
    <w:bookmarkEnd w:id="0" w:displacedByCustomXml="prev"/>
    <w:bookmarkStart w:id="1" w:name="_Toc207887158" w:displacedByCustomXml="prev"/>
    <w:bookmarkEnd w:id="1" w:displacedByCustomXml="prev"/>
    <w:p w14:paraId="581D680B" w14:textId="5C5EF926" w:rsidR="002E5727" w:rsidRDefault="002E5727" w:rsidP="00C25A71">
      <w:pPr>
        <w:tabs>
          <w:tab w:val="left" w:pos="3410"/>
        </w:tabs>
        <w:rPr>
          <w:rFonts w:eastAsia="Calibri" w:cs="Times New Roman"/>
          <w:szCs w:val="20"/>
        </w:rPr>
      </w:pPr>
      <w:r w:rsidRPr="001612F3">
        <w:rPr>
          <w:rFonts w:eastAsia="Calibri" w:cs="Times New Roman"/>
          <w:b/>
          <w:szCs w:val="20"/>
        </w:rPr>
        <w:t>Sources des articles</w:t>
      </w:r>
      <w:r w:rsidRPr="001612F3">
        <w:rPr>
          <w:rFonts w:ascii="Calibri" w:eastAsia="Calibri" w:hAnsi="Calibri" w:cs="Calibri"/>
          <w:b/>
          <w:szCs w:val="20"/>
        </w:rPr>
        <w:t> </w:t>
      </w:r>
      <w:r w:rsidRPr="001612F3">
        <w:rPr>
          <w:rFonts w:eastAsia="Calibri" w:cs="Times New Roman"/>
          <w:b/>
          <w:szCs w:val="20"/>
        </w:rPr>
        <w:t>:</w:t>
      </w:r>
      <w:r w:rsidR="00345377">
        <w:rPr>
          <w:rFonts w:eastAsia="Calibri" w:cs="Times New Roman"/>
          <w:b/>
          <w:szCs w:val="20"/>
        </w:rPr>
        <w:tab/>
      </w:r>
    </w:p>
    <w:p w14:paraId="7B2D5E9C" w14:textId="77777777" w:rsidR="002E5727" w:rsidRPr="002E5727" w:rsidRDefault="002E5727" w:rsidP="002E5727">
      <w:pPr>
        <w:spacing w:after="0"/>
        <w:jc w:val="left"/>
        <w:rPr>
          <w:rFonts w:eastAsia="Calibri" w:cs="Times New Roman"/>
          <w:szCs w:val="20"/>
        </w:rPr>
      </w:pPr>
      <w:r w:rsidRPr="00DB6003">
        <w:rPr>
          <w:b/>
          <w:bCs/>
        </w:rPr>
        <w:t>Région</w:t>
      </w:r>
      <w:r w:rsidRPr="00BD1E42">
        <w:rPr>
          <w:rFonts w:eastAsia="Calibri" w:cs="Times New Roman"/>
          <w:b/>
          <w:bCs/>
          <w:szCs w:val="20"/>
        </w:rPr>
        <w:t> :</w:t>
      </w:r>
      <w:r w:rsidRPr="00BD1E42">
        <w:rPr>
          <w:rFonts w:eastAsia="Calibri" w:cs="Times New Roman"/>
          <w:color w:val="2F5496" w:themeColor="accent1" w:themeShade="BF"/>
          <w:szCs w:val="20"/>
        </w:rPr>
        <w:t xml:space="preserve"> </w:t>
      </w:r>
      <w:hyperlink r:id="rId8" w:history="1">
        <w:r w:rsidRPr="002E5727">
          <w:rPr>
            <w:rFonts w:eastAsia="Calibri" w:cs="Times New Roman"/>
            <w:color w:val="2F5496" w:themeColor="accent1" w:themeShade="BF"/>
            <w:szCs w:val="20"/>
          </w:rPr>
          <w:t>https://www.agenceecofin.com/agro</w:t>
        </w:r>
      </w:hyperlink>
      <w:r w:rsidRPr="002E5727">
        <w:rPr>
          <w:rFonts w:eastAsia="Calibri" w:cs="Times New Roman"/>
          <w:color w:val="2F5496" w:themeColor="accent1" w:themeShade="BF"/>
          <w:szCs w:val="20"/>
        </w:rPr>
        <w:t xml:space="preserve">,  </w:t>
      </w:r>
      <w:hyperlink r:id="rId9" w:history="1">
        <w:r w:rsidRPr="002E5727">
          <w:rPr>
            <w:rFonts w:eastAsia="Calibri" w:cs="Times New Roman"/>
            <w:color w:val="2F5496" w:themeColor="accent1" w:themeShade="BF"/>
            <w:szCs w:val="20"/>
          </w:rPr>
          <w:t>https://news.abidjan.net</w:t>
        </w:r>
      </w:hyperlink>
      <w:r w:rsidRPr="002E5727">
        <w:rPr>
          <w:rFonts w:eastAsia="Calibri" w:cs="Times New Roman"/>
          <w:color w:val="2F5496" w:themeColor="accent1" w:themeShade="BF"/>
          <w:szCs w:val="20"/>
        </w:rPr>
        <w:t xml:space="preserve">, </w:t>
      </w:r>
      <w:hyperlink r:id="rId10" w:history="1">
        <w:r w:rsidRPr="002E5727">
          <w:rPr>
            <w:rFonts w:eastAsia="Calibri" w:cs="Times New Roman"/>
            <w:color w:val="2F5496" w:themeColor="accent1" w:themeShade="BF"/>
            <w:szCs w:val="20"/>
          </w:rPr>
          <w:t>https://www.rfi.fr</w:t>
        </w:r>
      </w:hyperlink>
      <w:r w:rsidRPr="002E5727">
        <w:rPr>
          <w:rFonts w:eastAsia="Calibri" w:cs="Times New Roman"/>
          <w:color w:val="2F5496" w:themeColor="accent1" w:themeShade="BF"/>
          <w:szCs w:val="20"/>
        </w:rPr>
        <w:t>,</w:t>
      </w:r>
      <w:r w:rsidRPr="002E5727">
        <w:t xml:space="preserve"> </w:t>
      </w:r>
      <w:hyperlink r:id="rId11" w:history="1">
        <w:r w:rsidRPr="002E5727">
          <w:rPr>
            <w:rFonts w:eastAsia="Calibri" w:cs="Times New Roman"/>
            <w:color w:val="2F5496" w:themeColor="accent1" w:themeShade="BF"/>
            <w:szCs w:val="20"/>
          </w:rPr>
          <w:t>https://www.jeuneafrique.com</w:t>
        </w:r>
      </w:hyperlink>
      <w:r w:rsidRPr="002E5727">
        <w:rPr>
          <w:rFonts w:eastAsia="Calibri" w:cs="Times New Roman"/>
          <w:color w:val="2F5496" w:themeColor="accent1" w:themeShade="BF"/>
          <w:szCs w:val="20"/>
        </w:rPr>
        <w:t xml:space="preserve">, </w:t>
      </w:r>
      <w:hyperlink r:id="rId12" w:history="1">
        <w:r w:rsidRPr="002E5727">
          <w:rPr>
            <w:rStyle w:val="Lienhypertexte"/>
            <w:rFonts w:eastAsia="Calibri" w:cs="Times New Roman"/>
            <w:szCs w:val="20"/>
            <w:u w:val="none"/>
          </w:rPr>
          <w:t>https://fr.apanews.net</w:t>
        </w:r>
      </w:hyperlink>
      <w:r w:rsidRPr="002E5727">
        <w:rPr>
          <w:rFonts w:eastAsia="Calibri" w:cs="Times New Roman"/>
          <w:color w:val="2F5496" w:themeColor="accent1" w:themeShade="BF"/>
          <w:szCs w:val="20"/>
        </w:rPr>
        <w:t>,</w:t>
      </w:r>
      <w:r w:rsidRPr="002E5727">
        <w:t xml:space="preserve"> </w:t>
      </w:r>
      <w:hyperlink r:id="rId13" w:history="1">
        <w:r w:rsidRPr="002E5727">
          <w:rPr>
            <w:rFonts w:eastAsia="Calibri" w:cs="Times New Roman"/>
            <w:color w:val="2F5496" w:themeColor="accent1" w:themeShade="BF"/>
            <w:szCs w:val="20"/>
          </w:rPr>
          <w:t>https://www.sikafinance.com/</w:t>
        </w:r>
      </w:hyperlink>
      <w:r w:rsidRPr="002E5727">
        <w:rPr>
          <w:rFonts w:eastAsia="Calibri" w:cs="Times New Roman"/>
          <w:color w:val="2F5496" w:themeColor="accent1" w:themeShade="BF"/>
          <w:szCs w:val="20"/>
        </w:rPr>
        <w:t>,</w:t>
      </w:r>
    </w:p>
    <w:p w14:paraId="1693871A" w14:textId="77777777" w:rsidR="002E5727" w:rsidRPr="002E5727" w:rsidRDefault="002E5727" w:rsidP="002E5727">
      <w:pPr>
        <w:spacing w:after="0"/>
        <w:jc w:val="left"/>
        <w:rPr>
          <w:rFonts w:eastAsia="Calibri" w:cs="Times New Roman"/>
          <w:color w:val="2F5496" w:themeColor="accent1" w:themeShade="BF"/>
          <w:szCs w:val="20"/>
        </w:rPr>
      </w:pPr>
      <w:r w:rsidRPr="002E5727">
        <w:rPr>
          <w:rFonts w:eastAsia="Calibri" w:cs="Times New Roman"/>
          <w:b/>
          <w:bCs/>
          <w:szCs w:val="20"/>
        </w:rPr>
        <w:t>Côte d’Ivoire :</w:t>
      </w:r>
      <w:r w:rsidRPr="002E5727">
        <w:rPr>
          <w:rFonts w:eastAsia="Calibri" w:cs="Times New Roman"/>
          <w:szCs w:val="20"/>
        </w:rPr>
        <w:t xml:space="preserve"> </w:t>
      </w:r>
      <w:hyperlink r:id="rId14" w:history="1">
        <w:r w:rsidRPr="002E5727">
          <w:rPr>
            <w:rStyle w:val="Lienhypertexte"/>
            <w:rFonts w:eastAsia="Calibri" w:cs="Times New Roman"/>
            <w:szCs w:val="20"/>
            <w:u w:val="none"/>
          </w:rPr>
          <w:t>https://www.aip.ci</w:t>
        </w:r>
      </w:hyperlink>
      <w:r w:rsidRPr="002E5727">
        <w:rPr>
          <w:rFonts w:eastAsia="Calibri" w:cs="Times New Roman"/>
          <w:color w:val="2F5496" w:themeColor="accent1" w:themeShade="BF"/>
          <w:szCs w:val="20"/>
        </w:rPr>
        <w:t>,</w:t>
      </w:r>
      <w:r w:rsidRPr="002E5727">
        <w:t xml:space="preserve"> </w:t>
      </w:r>
      <w:hyperlink r:id="rId15" w:history="1">
        <w:r w:rsidRPr="002E5727">
          <w:rPr>
            <w:rFonts w:eastAsia="Calibri" w:cs="Times New Roman"/>
            <w:color w:val="2F5496" w:themeColor="accent1" w:themeShade="BF"/>
            <w:szCs w:val="20"/>
          </w:rPr>
          <w:t>https://connectionivoirienne.net</w:t>
        </w:r>
      </w:hyperlink>
      <w:r w:rsidRPr="002E5727">
        <w:rPr>
          <w:rFonts w:eastAsia="Calibri" w:cs="Times New Roman"/>
          <w:color w:val="2F5496" w:themeColor="accent1" w:themeShade="BF"/>
          <w:szCs w:val="20"/>
        </w:rPr>
        <w:t xml:space="preserve">, </w:t>
      </w:r>
      <w:hyperlink r:id="rId16" w:history="1">
        <w:r w:rsidRPr="002E5727">
          <w:rPr>
            <w:rFonts w:eastAsia="Calibri" w:cs="Times New Roman"/>
            <w:color w:val="2F5496" w:themeColor="accent1" w:themeShade="BF"/>
            <w:szCs w:val="20"/>
          </w:rPr>
          <w:t>https://www.linfodrome.com</w:t>
        </w:r>
      </w:hyperlink>
      <w:r w:rsidRPr="002E5727">
        <w:rPr>
          <w:rFonts w:eastAsia="Calibri" w:cs="Times New Roman"/>
          <w:color w:val="2F5496" w:themeColor="accent1" w:themeShade="BF"/>
          <w:szCs w:val="20"/>
        </w:rPr>
        <w:t>,</w:t>
      </w:r>
      <w:r w:rsidRPr="002E5727">
        <w:t xml:space="preserve"> </w:t>
      </w:r>
      <w:hyperlink r:id="rId17" w:history="1">
        <w:r w:rsidRPr="002E5727">
          <w:rPr>
            <w:rStyle w:val="Lienhypertexte"/>
            <w:rFonts w:eastAsia="Calibri" w:cs="Times New Roman"/>
            <w:szCs w:val="20"/>
            <w:u w:val="none"/>
          </w:rPr>
          <w:t>https://www.fratmat.info/morearticles/economie?pgno=6</w:t>
        </w:r>
      </w:hyperlink>
      <w:r w:rsidRPr="002E5727">
        <w:rPr>
          <w:rFonts w:eastAsia="Calibri" w:cs="Times New Roman"/>
          <w:color w:val="2F5496" w:themeColor="accent1" w:themeShade="BF"/>
          <w:szCs w:val="20"/>
        </w:rPr>
        <w:t xml:space="preserve">, </w:t>
      </w:r>
      <w:hyperlink r:id="rId18" w:history="1">
        <w:r w:rsidRPr="002E5727">
          <w:rPr>
            <w:rFonts w:eastAsia="Calibri" w:cs="Times New Roman"/>
            <w:color w:val="2F5496" w:themeColor="accent1" w:themeShade="BF"/>
            <w:szCs w:val="20"/>
          </w:rPr>
          <w:t>https://www.koaci.com</w:t>
        </w:r>
      </w:hyperlink>
      <w:r w:rsidRPr="002E5727">
        <w:rPr>
          <w:rFonts w:eastAsia="Calibri" w:cs="Times New Roman"/>
          <w:color w:val="2F5496" w:themeColor="accent1" w:themeShade="BF"/>
          <w:szCs w:val="20"/>
        </w:rPr>
        <w:t>,</w:t>
      </w:r>
      <w:r w:rsidRPr="002E5727">
        <w:t xml:space="preserve"> </w:t>
      </w:r>
      <w:hyperlink r:id="rId19" w:history="1">
        <w:r w:rsidRPr="002E5727">
          <w:rPr>
            <w:rFonts w:eastAsia="Calibri" w:cs="Times New Roman"/>
            <w:color w:val="2F5496" w:themeColor="accent1" w:themeShade="BF"/>
            <w:szCs w:val="20"/>
          </w:rPr>
          <w:t>https://www.7info.ci</w:t>
        </w:r>
      </w:hyperlink>
      <w:r w:rsidRPr="002E5727">
        <w:rPr>
          <w:rFonts w:eastAsia="Calibri" w:cs="Times New Roman"/>
          <w:color w:val="2F5496" w:themeColor="accent1" w:themeShade="BF"/>
          <w:szCs w:val="20"/>
        </w:rPr>
        <w:t>,</w:t>
      </w:r>
    </w:p>
    <w:p w14:paraId="34B2B0CF" w14:textId="77777777" w:rsidR="002E5727" w:rsidRPr="002E5727" w:rsidRDefault="002E5727" w:rsidP="002E5727">
      <w:pPr>
        <w:spacing w:after="0"/>
        <w:jc w:val="left"/>
        <w:rPr>
          <w:rFonts w:eastAsia="Calibri" w:cs="Times New Roman"/>
          <w:color w:val="2F5496" w:themeColor="accent1" w:themeShade="BF"/>
          <w:szCs w:val="20"/>
        </w:rPr>
      </w:pPr>
      <w:r w:rsidRPr="002E5727">
        <w:rPr>
          <w:rFonts w:eastAsia="Calibri" w:cs="Times New Roman"/>
          <w:b/>
          <w:bCs/>
          <w:szCs w:val="20"/>
        </w:rPr>
        <w:t>Sénégal :</w:t>
      </w:r>
      <w:r w:rsidRPr="002E5727">
        <w:rPr>
          <w:rFonts w:eastAsia="Calibri" w:cs="Times New Roman"/>
          <w:color w:val="2F5496" w:themeColor="accent1" w:themeShade="BF"/>
          <w:szCs w:val="20"/>
        </w:rPr>
        <w:t xml:space="preserve"> </w:t>
      </w:r>
      <w:hyperlink r:id="rId20" w:history="1">
        <w:r w:rsidRPr="002E5727">
          <w:rPr>
            <w:rStyle w:val="Lienhypertexte"/>
            <w:rFonts w:eastAsia="Calibri" w:cs="Times New Roman"/>
            <w:szCs w:val="20"/>
            <w:u w:val="none"/>
          </w:rPr>
          <w:t>https://aps.sn</w:t>
        </w:r>
      </w:hyperlink>
      <w:r w:rsidRPr="002E5727">
        <w:rPr>
          <w:rFonts w:eastAsia="Calibri" w:cs="Times New Roman"/>
          <w:color w:val="2F5496" w:themeColor="accent1" w:themeShade="BF"/>
          <w:szCs w:val="20"/>
        </w:rPr>
        <w:t>,</w:t>
      </w:r>
      <w:r w:rsidRPr="002E5727">
        <w:t xml:space="preserve"> </w:t>
      </w:r>
      <w:hyperlink r:id="rId21" w:history="1">
        <w:r w:rsidRPr="002E5727">
          <w:rPr>
            <w:rStyle w:val="Lienhypertexte"/>
            <w:rFonts w:eastAsia="Calibri" w:cs="Times New Roman"/>
            <w:szCs w:val="20"/>
            <w:u w:val="none"/>
          </w:rPr>
          <w:t>https://lesoleil.sn/rubriques/actualites/economie/</w:t>
        </w:r>
      </w:hyperlink>
      <w:r w:rsidRPr="002E5727">
        <w:rPr>
          <w:rStyle w:val="Lienhypertexte"/>
          <w:rFonts w:eastAsia="Calibri" w:cs="Times New Roman"/>
          <w:szCs w:val="20"/>
          <w:u w:val="none"/>
        </w:rPr>
        <w:t xml:space="preserve">, </w:t>
      </w:r>
      <w:r w:rsidRPr="002E5727">
        <w:rPr>
          <w:rFonts w:eastAsia="Calibri" w:cs="Times New Roman"/>
          <w:color w:val="2F5496" w:themeColor="accent1" w:themeShade="BF"/>
          <w:szCs w:val="20"/>
        </w:rPr>
        <w:t xml:space="preserve"> </w:t>
      </w:r>
      <w:hyperlink r:id="rId22" w:history="1">
        <w:r w:rsidRPr="002E5727">
          <w:rPr>
            <w:rFonts w:eastAsia="Calibri" w:cs="Times New Roman"/>
            <w:color w:val="2F5496" w:themeColor="accent1" w:themeShade="BF"/>
            <w:szCs w:val="20"/>
          </w:rPr>
          <w:t>https://www.seneweb.com/news/Economie/</w:t>
        </w:r>
      </w:hyperlink>
      <w:r w:rsidRPr="002E5727">
        <w:rPr>
          <w:rFonts w:eastAsia="Calibri" w:cs="Times New Roman"/>
          <w:color w:val="2F5496" w:themeColor="accent1" w:themeShade="BF"/>
          <w:szCs w:val="20"/>
        </w:rPr>
        <w:t>,</w:t>
      </w:r>
    </w:p>
    <w:p w14:paraId="4635D02A" w14:textId="6C7E5D32" w:rsidR="002E5727" w:rsidRPr="006135AB" w:rsidRDefault="002E5727" w:rsidP="002E5727">
      <w:pPr>
        <w:spacing w:after="0"/>
        <w:jc w:val="left"/>
        <w:rPr>
          <w:rFonts w:eastAsia="Calibri" w:cs="Times New Roman"/>
          <w:b/>
          <w:szCs w:val="20"/>
        </w:rPr>
      </w:pPr>
      <w:r w:rsidRPr="002E5727">
        <w:rPr>
          <w:rFonts w:eastAsia="Calibri" w:cs="Times New Roman"/>
          <w:b/>
          <w:bCs/>
          <w:szCs w:val="20"/>
        </w:rPr>
        <w:t>Cap vert :</w:t>
      </w:r>
      <w:r w:rsidRPr="002E5727">
        <w:rPr>
          <w:rFonts w:eastAsia="Calibri" w:cs="Times New Roman"/>
          <w:szCs w:val="20"/>
        </w:rPr>
        <w:t xml:space="preserve"> </w:t>
      </w:r>
      <w:hyperlink r:id="rId23" w:history="1">
        <w:r w:rsidR="005A11F9" w:rsidRPr="00EB035A">
          <w:rPr>
            <w:rStyle w:val="Lienhypertexte"/>
            <w:rFonts w:eastAsia="Calibri" w:cs="Times New Roman"/>
            <w:szCs w:val="20"/>
            <w:u w:val="none"/>
          </w:rPr>
          <w:t>https://www.governo.cv/</w:t>
        </w:r>
      </w:hyperlink>
      <w:r w:rsidR="005A11F9" w:rsidRPr="00EB035A">
        <w:rPr>
          <w:rFonts w:eastAsia="Calibri" w:cs="Times New Roman"/>
          <w:color w:val="2F5496" w:themeColor="accent1" w:themeShade="BF"/>
          <w:szCs w:val="20"/>
        </w:rPr>
        <w:t>,</w:t>
      </w:r>
      <w:r w:rsidR="005A11F9" w:rsidRPr="00EB035A">
        <w:t xml:space="preserve"> </w:t>
      </w:r>
      <w:hyperlink r:id="rId24" w:history="1">
        <w:r w:rsidR="005A11F9" w:rsidRPr="006135AB">
          <w:rPr>
            <w:rStyle w:val="Lienhypertexte"/>
            <w:rFonts w:eastAsia="Calibri" w:cs="Times New Roman"/>
            <w:szCs w:val="20"/>
            <w:u w:val="none"/>
          </w:rPr>
          <w:t>https://www.inforpress.cv/fr/tags/economy</w:t>
        </w:r>
      </w:hyperlink>
      <w:r w:rsidR="005A11F9" w:rsidRPr="006135AB">
        <w:rPr>
          <w:rFonts w:eastAsia="Calibri" w:cs="Times New Roman"/>
          <w:color w:val="2F5496" w:themeColor="accent1" w:themeShade="BF"/>
          <w:szCs w:val="20"/>
        </w:rPr>
        <w:t>,</w:t>
      </w:r>
    </w:p>
    <w:p w14:paraId="197FA25E" w14:textId="77777777" w:rsidR="002E5727" w:rsidRPr="002E5727" w:rsidRDefault="002E5727" w:rsidP="002E5727">
      <w:pPr>
        <w:spacing w:after="0"/>
        <w:jc w:val="left"/>
        <w:rPr>
          <w:rFonts w:eastAsia="Calibri" w:cs="Times New Roman"/>
          <w:b/>
          <w:bCs/>
          <w:szCs w:val="20"/>
        </w:rPr>
      </w:pPr>
      <w:r w:rsidRPr="002E5727">
        <w:rPr>
          <w:rFonts w:eastAsia="Calibri" w:cs="Times New Roman"/>
          <w:b/>
          <w:bCs/>
          <w:szCs w:val="20"/>
        </w:rPr>
        <w:t>Bénin :</w:t>
      </w:r>
      <w:r w:rsidRPr="002E5727">
        <w:rPr>
          <w:rFonts w:eastAsia="Calibri" w:cs="Times New Roman"/>
          <w:color w:val="2F5496" w:themeColor="accent1" w:themeShade="BF"/>
          <w:szCs w:val="20"/>
        </w:rPr>
        <w:t xml:space="preserve"> </w:t>
      </w:r>
      <w:hyperlink r:id="rId25" w:history="1">
        <w:r w:rsidRPr="002E5727">
          <w:rPr>
            <w:rStyle w:val="Lienhypertexte"/>
            <w:rFonts w:eastAsia="Calibri" w:cs="Times New Roman"/>
            <w:szCs w:val="20"/>
            <w:u w:val="none"/>
          </w:rPr>
          <w:t>https://matinlibre.com/category/benin/national-economie/</w:t>
        </w:r>
      </w:hyperlink>
      <w:r w:rsidRPr="002E5727">
        <w:rPr>
          <w:rFonts w:eastAsia="Calibri" w:cs="Times New Roman"/>
          <w:color w:val="2F5496" w:themeColor="accent1" w:themeShade="BF"/>
          <w:szCs w:val="20"/>
        </w:rPr>
        <w:t>,</w:t>
      </w:r>
    </w:p>
    <w:p w14:paraId="5084B216" w14:textId="77777777" w:rsidR="002E5727" w:rsidRPr="002E5727" w:rsidRDefault="002E5727" w:rsidP="002E5727">
      <w:pPr>
        <w:spacing w:after="0"/>
        <w:jc w:val="left"/>
        <w:rPr>
          <w:rFonts w:eastAsia="Calibri" w:cs="Times New Roman"/>
          <w:color w:val="2F5496" w:themeColor="accent1" w:themeShade="BF"/>
          <w:szCs w:val="20"/>
        </w:rPr>
      </w:pPr>
      <w:r w:rsidRPr="002E5727">
        <w:rPr>
          <w:rFonts w:eastAsia="Calibri" w:cs="Times New Roman"/>
          <w:b/>
          <w:bCs/>
          <w:szCs w:val="20"/>
        </w:rPr>
        <w:t>Burkina Faso :</w:t>
      </w:r>
      <w:r w:rsidRPr="002E5727">
        <w:rPr>
          <w:rFonts w:eastAsia="Calibri" w:cs="Times New Roman"/>
          <w:szCs w:val="20"/>
        </w:rPr>
        <w:t xml:space="preserve"> </w:t>
      </w:r>
      <w:hyperlink r:id="rId26" w:history="1">
        <w:r w:rsidRPr="002E5727">
          <w:rPr>
            <w:rStyle w:val="Lienhypertexte"/>
            <w:rFonts w:eastAsia="Calibri" w:cs="Times New Roman"/>
            <w:szCs w:val="20"/>
            <w:u w:val="none"/>
          </w:rPr>
          <w:t>https://www.aib.media</w:t>
        </w:r>
      </w:hyperlink>
      <w:r w:rsidRPr="002E5727">
        <w:rPr>
          <w:rFonts w:eastAsia="Calibri" w:cs="Times New Roman"/>
          <w:color w:val="2F5496" w:themeColor="accent1" w:themeShade="BF"/>
          <w:szCs w:val="20"/>
        </w:rPr>
        <w:t xml:space="preserve">, </w:t>
      </w:r>
      <w:hyperlink r:id="rId27" w:history="1">
        <w:r w:rsidRPr="002E5727">
          <w:rPr>
            <w:rStyle w:val="Lienhypertexte"/>
            <w:rFonts w:eastAsia="Calibri" w:cs="Times New Roman"/>
            <w:szCs w:val="20"/>
            <w:u w:val="none"/>
          </w:rPr>
          <w:t>https://www.sidwaya.info/bfcategories/economie/</w:t>
        </w:r>
      </w:hyperlink>
      <w:r w:rsidRPr="002E5727">
        <w:rPr>
          <w:rFonts w:eastAsia="Calibri" w:cs="Times New Roman"/>
          <w:color w:val="2F5496" w:themeColor="accent1" w:themeShade="BF"/>
          <w:szCs w:val="20"/>
        </w:rPr>
        <w:t xml:space="preserve">, </w:t>
      </w:r>
      <w:hyperlink r:id="rId28" w:history="1">
        <w:r w:rsidRPr="002E5727">
          <w:rPr>
            <w:rStyle w:val="Lienhypertexte"/>
            <w:rFonts w:eastAsia="Calibri" w:cs="Times New Roman"/>
            <w:szCs w:val="20"/>
            <w:u w:val="none"/>
          </w:rPr>
          <w:t>https://lefaso.net/spip.php?rubrique3</w:t>
        </w:r>
      </w:hyperlink>
      <w:r w:rsidRPr="002E5727">
        <w:rPr>
          <w:rFonts w:eastAsia="Calibri" w:cs="Times New Roman"/>
          <w:color w:val="2F5496" w:themeColor="accent1" w:themeShade="BF"/>
          <w:szCs w:val="20"/>
        </w:rPr>
        <w:t>,</w:t>
      </w:r>
    </w:p>
    <w:p w14:paraId="0DB0C9D7" w14:textId="77777777" w:rsidR="002E5727" w:rsidRPr="002E5727" w:rsidRDefault="002E5727" w:rsidP="002E5727">
      <w:pPr>
        <w:spacing w:after="0"/>
        <w:jc w:val="left"/>
        <w:rPr>
          <w:rFonts w:eastAsia="Calibri" w:cs="Times New Roman"/>
          <w:b/>
          <w:bCs/>
          <w:szCs w:val="20"/>
        </w:rPr>
      </w:pPr>
      <w:r w:rsidRPr="002E5727">
        <w:rPr>
          <w:rFonts w:eastAsia="Calibri" w:cs="Times New Roman"/>
          <w:b/>
          <w:bCs/>
          <w:szCs w:val="20"/>
        </w:rPr>
        <w:t>Gambie :</w:t>
      </w:r>
      <w:r w:rsidRPr="002E5727">
        <w:rPr>
          <w:rFonts w:eastAsia="Calibri" w:cs="Times New Roman"/>
          <w:szCs w:val="20"/>
        </w:rPr>
        <w:t xml:space="preserve"> </w:t>
      </w:r>
      <w:hyperlink r:id="rId29" w:history="1">
        <w:r w:rsidRPr="002E5727">
          <w:rPr>
            <w:rStyle w:val="Lienhypertexte"/>
            <w:rFonts w:eastAsia="Calibri" w:cs="Times New Roman"/>
            <w:szCs w:val="20"/>
            <w:u w:val="none"/>
          </w:rPr>
          <w:t>https://standard.gm/all-news/</w:t>
        </w:r>
      </w:hyperlink>
      <w:r w:rsidRPr="002E5727">
        <w:rPr>
          <w:rFonts w:eastAsia="Calibri" w:cs="Times New Roman"/>
          <w:color w:val="2F5496" w:themeColor="accent1" w:themeShade="BF"/>
          <w:szCs w:val="20"/>
        </w:rPr>
        <w:t>,</w:t>
      </w:r>
    </w:p>
    <w:p w14:paraId="523BFA65" w14:textId="77777777" w:rsidR="002E5727" w:rsidRPr="002E5727" w:rsidRDefault="002E5727" w:rsidP="002E5727">
      <w:pPr>
        <w:spacing w:after="0"/>
        <w:jc w:val="left"/>
        <w:rPr>
          <w:rFonts w:eastAsia="Calibri" w:cs="Times New Roman"/>
          <w:color w:val="2F5496" w:themeColor="accent1" w:themeShade="BF"/>
          <w:szCs w:val="20"/>
        </w:rPr>
      </w:pPr>
      <w:bookmarkStart w:id="2" w:name="_Hlk226046831"/>
      <w:r w:rsidRPr="002E5727">
        <w:rPr>
          <w:rFonts w:eastAsia="Calibri" w:cs="Times New Roman"/>
          <w:b/>
          <w:bCs/>
          <w:szCs w:val="20"/>
        </w:rPr>
        <w:t>Guinée :</w:t>
      </w:r>
      <w:bookmarkEnd w:id="2"/>
      <w:r w:rsidRPr="002E5727">
        <w:rPr>
          <w:rFonts w:eastAsia="Calibri" w:cs="Times New Roman"/>
          <w:color w:val="2F5496" w:themeColor="accent1" w:themeShade="BF"/>
          <w:szCs w:val="20"/>
        </w:rPr>
        <w:t xml:space="preserve"> </w:t>
      </w:r>
      <w:hyperlink r:id="rId30" w:history="1">
        <w:r w:rsidRPr="002E5727">
          <w:rPr>
            <w:rStyle w:val="Lienhypertexte"/>
            <w:rFonts w:eastAsia="Calibri" w:cs="Times New Roman"/>
            <w:szCs w:val="20"/>
            <w:u w:val="none"/>
          </w:rPr>
          <w:t>https://agpguinee.com</w:t>
        </w:r>
      </w:hyperlink>
      <w:r w:rsidRPr="002E5727">
        <w:rPr>
          <w:rFonts w:eastAsia="Calibri" w:cs="Times New Roman"/>
          <w:color w:val="2F5496" w:themeColor="accent1" w:themeShade="BF"/>
          <w:szCs w:val="20"/>
        </w:rPr>
        <w:t xml:space="preserve">, </w:t>
      </w:r>
      <w:hyperlink r:id="rId31" w:history="1">
        <w:r w:rsidRPr="002E5727">
          <w:rPr>
            <w:rFonts w:eastAsia="Calibri" w:cs="Times New Roman"/>
            <w:color w:val="2F5496" w:themeColor="accent1" w:themeShade="BF"/>
            <w:szCs w:val="20"/>
          </w:rPr>
          <w:t>https://presidence.gov.gn/actualite/</w:t>
        </w:r>
      </w:hyperlink>
      <w:r w:rsidRPr="002E5727">
        <w:rPr>
          <w:rFonts w:eastAsia="Calibri" w:cs="Times New Roman"/>
          <w:color w:val="2F5496" w:themeColor="accent1" w:themeShade="BF"/>
          <w:szCs w:val="20"/>
        </w:rPr>
        <w:t xml:space="preserve">, </w:t>
      </w:r>
      <w:hyperlink r:id="rId32" w:history="1">
        <w:r w:rsidRPr="002E5727">
          <w:rPr>
            <w:rStyle w:val="Lienhypertexte"/>
            <w:rFonts w:eastAsia="Calibri" w:cs="Times New Roman"/>
            <w:szCs w:val="20"/>
            <w:u w:val="none"/>
          </w:rPr>
          <w:t>https://guineenews.org/category/news/economie/</w:t>
        </w:r>
      </w:hyperlink>
      <w:r w:rsidRPr="002E5727">
        <w:rPr>
          <w:rFonts w:eastAsia="Calibri" w:cs="Times New Roman"/>
          <w:color w:val="2F5496" w:themeColor="accent1" w:themeShade="BF"/>
          <w:szCs w:val="20"/>
        </w:rPr>
        <w:t>,</w:t>
      </w:r>
    </w:p>
    <w:p w14:paraId="6201E4DB" w14:textId="77777777" w:rsidR="002E5727" w:rsidRPr="002E5727" w:rsidRDefault="002E5727" w:rsidP="002E5727">
      <w:pPr>
        <w:spacing w:after="0"/>
        <w:jc w:val="left"/>
        <w:rPr>
          <w:rFonts w:eastAsia="Calibri" w:cs="Times New Roman"/>
          <w:color w:val="2F5496" w:themeColor="accent1" w:themeShade="BF"/>
          <w:szCs w:val="20"/>
        </w:rPr>
      </w:pPr>
      <w:r w:rsidRPr="002E5727">
        <w:rPr>
          <w:rFonts w:eastAsia="Calibri" w:cs="Times New Roman"/>
          <w:b/>
          <w:bCs/>
          <w:szCs w:val="20"/>
        </w:rPr>
        <w:t xml:space="preserve">Guinée Bissau : </w:t>
      </w:r>
      <w:hyperlink r:id="rId33" w:history="1">
        <w:r w:rsidRPr="002E5727">
          <w:rPr>
            <w:rStyle w:val="Lienhypertexte"/>
            <w:rFonts w:eastAsia="Calibri" w:cs="Times New Roman"/>
            <w:szCs w:val="20"/>
            <w:u w:val="none"/>
          </w:rPr>
          <w:t>https://www.odemocratagb.com/?cat=23</w:t>
        </w:r>
      </w:hyperlink>
      <w:r w:rsidRPr="002E5727">
        <w:rPr>
          <w:rFonts w:eastAsia="Calibri" w:cs="Times New Roman"/>
          <w:color w:val="2F5496" w:themeColor="accent1" w:themeShade="BF"/>
          <w:szCs w:val="20"/>
        </w:rPr>
        <w:t xml:space="preserve"> </w:t>
      </w:r>
    </w:p>
    <w:p w14:paraId="7DB5A289" w14:textId="77777777" w:rsidR="002E5727" w:rsidRPr="002E5727" w:rsidRDefault="002E5727" w:rsidP="002E5727">
      <w:pPr>
        <w:spacing w:after="0"/>
        <w:jc w:val="left"/>
      </w:pPr>
      <w:r w:rsidRPr="002E5727">
        <w:rPr>
          <w:b/>
          <w:bCs/>
        </w:rPr>
        <w:t>Libéria :</w:t>
      </w:r>
      <w:r w:rsidRPr="002E5727">
        <w:t xml:space="preserve"> </w:t>
      </w:r>
      <w:hyperlink r:id="rId34" w:history="1">
        <w:r w:rsidRPr="002E5727">
          <w:rPr>
            <w:rStyle w:val="Lienhypertexte"/>
            <w:rFonts w:eastAsia="Calibri" w:cs="Times New Roman"/>
            <w:szCs w:val="20"/>
            <w:u w:val="none"/>
          </w:rPr>
          <w:t>https://www.moa.gov.lr/media/press-releases</w:t>
        </w:r>
      </w:hyperlink>
      <w:r w:rsidRPr="002E5727">
        <w:rPr>
          <w:rFonts w:eastAsia="Calibri" w:cs="Times New Roman"/>
          <w:color w:val="2F5496" w:themeColor="accent1" w:themeShade="BF"/>
          <w:szCs w:val="20"/>
        </w:rPr>
        <w:t>,</w:t>
      </w:r>
      <w:r w:rsidRPr="002E5727">
        <w:t xml:space="preserve"> </w:t>
      </w:r>
    </w:p>
    <w:p w14:paraId="3C296113" w14:textId="77777777" w:rsidR="002E5727" w:rsidRPr="002E5727" w:rsidRDefault="00B158E3" w:rsidP="002E5727">
      <w:pPr>
        <w:spacing w:after="0"/>
        <w:jc w:val="left"/>
        <w:rPr>
          <w:rFonts w:eastAsia="Calibri" w:cs="Times New Roman"/>
          <w:color w:val="2F5496" w:themeColor="accent1" w:themeShade="BF"/>
          <w:szCs w:val="20"/>
        </w:rPr>
      </w:pPr>
      <w:hyperlink r:id="rId35" w:history="1">
        <w:r w:rsidR="002E5727" w:rsidRPr="002E5727">
          <w:rPr>
            <w:rStyle w:val="Lienhypertexte"/>
            <w:rFonts w:eastAsia="Calibri" w:cs="Times New Roman"/>
            <w:szCs w:val="20"/>
            <w:u w:val="none"/>
          </w:rPr>
          <w:t>https://www.liberianobserver.com/farm/</w:t>
        </w:r>
      </w:hyperlink>
      <w:r w:rsidR="002E5727" w:rsidRPr="002E5727">
        <w:rPr>
          <w:rFonts w:eastAsia="Calibri" w:cs="Times New Roman"/>
          <w:color w:val="2F5496" w:themeColor="accent1" w:themeShade="BF"/>
          <w:szCs w:val="20"/>
        </w:rPr>
        <w:t xml:space="preserve">, </w:t>
      </w:r>
      <w:hyperlink r:id="rId36" w:history="1">
        <w:r w:rsidR="002E5727" w:rsidRPr="002E5727">
          <w:rPr>
            <w:rStyle w:val="Lienhypertexte"/>
            <w:rFonts w:eastAsia="Calibri" w:cs="Times New Roman"/>
            <w:szCs w:val="20"/>
            <w:u w:val="none"/>
          </w:rPr>
          <w:t>https://frontpageafricaonline.com/category/news/</w:t>
        </w:r>
      </w:hyperlink>
      <w:r w:rsidR="002E5727" w:rsidRPr="002E5727">
        <w:rPr>
          <w:rFonts w:eastAsia="Calibri" w:cs="Times New Roman"/>
          <w:color w:val="2F5496" w:themeColor="accent1" w:themeShade="BF"/>
          <w:szCs w:val="20"/>
        </w:rPr>
        <w:t xml:space="preserve">, </w:t>
      </w:r>
    </w:p>
    <w:p w14:paraId="1A7DE0C2" w14:textId="77777777" w:rsidR="002E5727" w:rsidRPr="002E5727" w:rsidRDefault="002E5727" w:rsidP="002E5727">
      <w:pPr>
        <w:spacing w:after="0"/>
        <w:jc w:val="left"/>
        <w:rPr>
          <w:rFonts w:eastAsia="Calibri" w:cs="Times New Roman"/>
          <w:color w:val="2F5496" w:themeColor="accent1" w:themeShade="BF"/>
          <w:szCs w:val="20"/>
        </w:rPr>
      </w:pPr>
      <w:r w:rsidRPr="002E5727">
        <w:rPr>
          <w:rFonts w:eastAsia="Calibri" w:cs="Times New Roman"/>
          <w:b/>
          <w:bCs/>
          <w:szCs w:val="20"/>
        </w:rPr>
        <w:t xml:space="preserve">Mali : </w:t>
      </w:r>
      <w:hyperlink r:id="rId37" w:history="1">
        <w:r w:rsidRPr="002E5727">
          <w:rPr>
            <w:rStyle w:val="Lienhypertexte"/>
            <w:rFonts w:eastAsia="Calibri" w:cs="Times New Roman"/>
            <w:szCs w:val="20"/>
            <w:u w:val="none"/>
          </w:rPr>
          <w:t>https://bamada.net/category/economie</w:t>
        </w:r>
      </w:hyperlink>
      <w:r w:rsidRPr="002E5727">
        <w:rPr>
          <w:rFonts w:eastAsia="Calibri" w:cs="Times New Roman"/>
          <w:color w:val="2F5496" w:themeColor="accent1" w:themeShade="BF"/>
          <w:szCs w:val="20"/>
        </w:rPr>
        <w:t>,</w:t>
      </w:r>
    </w:p>
    <w:p w14:paraId="6A24378F" w14:textId="77777777" w:rsidR="002E5727" w:rsidRPr="002E5727" w:rsidRDefault="002E5727" w:rsidP="002E5727">
      <w:pPr>
        <w:spacing w:after="0"/>
        <w:jc w:val="left"/>
        <w:rPr>
          <w:rFonts w:eastAsia="Calibri" w:cs="Times New Roman"/>
          <w:color w:val="2F5496" w:themeColor="accent1" w:themeShade="BF"/>
          <w:szCs w:val="20"/>
        </w:rPr>
      </w:pPr>
      <w:r w:rsidRPr="002E5727">
        <w:rPr>
          <w:b/>
          <w:bCs/>
        </w:rPr>
        <w:t>Mauritanie :</w:t>
      </w:r>
      <w:r w:rsidRPr="002E5727">
        <w:t xml:space="preserve"> </w:t>
      </w:r>
      <w:hyperlink r:id="rId38" w:history="1">
        <w:r w:rsidRPr="002E5727">
          <w:rPr>
            <w:rStyle w:val="Lienhypertexte"/>
            <w:rFonts w:eastAsia="Calibri" w:cs="Times New Roman"/>
            <w:szCs w:val="20"/>
            <w:u w:val="none"/>
          </w:rPr>
          <w:t>https://www.cridem.org/C_InfoCat.php?cat=16</w:t>
        </w:r>
      </w:hyperlink>
      <w:r w:rsidRPr="002E5727">
        <w:rPr>
          <w:rFonts w:eastAsia="Calibri" w:cs="Times New Roman"/>
          <w:color w:val="2F5496" w:themeColor="accent1" w:themeShade="BF"/>
          <w:szCs w:val="20"/>
        </w:rPr>
        <w:t xml:space="preserve">, </w:t>
      </w:r>
    </w:p>
    <w:p w14:paraId="0A7454ED" w14:textId="77777777" w:rsidR="002E5727" w:rsidRPr="002E5727" w:rsidRDefault="00B158E3" w:rsidP="002E5727">
      <w:pPr>
        <w:spacing w:after="0"/>
        <w:jc w:val="left"/>
        <w:rPr>
          <w:rFonts w:eastAsia="Calibri" w:cs="Times New Roman"/>
          <w:color w:val="2F5496" w:themeColor="accent1" w:themeShade="BF"/>
          <w:szCs w:val="20"/>
        </w:rPr>
      </w:pPr>
      <w:hyperlink r:id="rId39" w:history="1">
        <w:r w:rsidR="002E5727" w:rsidRPr="002E5727">
          <w:rPr>
            <w:rStyle w:val="Lienhypertexte"/>
            <w:rFonts w:eastAsia="Calibri" w:cs="Times New Roman"/>
            <w:szCs w:val="20"/>
            <w:u w:val="none"/>
          </w:rPr>
          <w:t>https://www.journaltahalil.com/category/economie/</w:t>
        </w:r>
      </w:hyperlink>
      <w:r w:rsidR="002E5727" w:rsidRPr="002E5727">
        <w:rPr>
          <w:rFonts w:eastAsia="Calibri" w:cs="Times New Roman"/>
          <w:color w:val="2F5496" w:themeColor="accent1" w:themeShade="BF"/>
          <w:szCs w:val="20"/>
        </w:rPr>
        <w:t>,</w:t>
      </w:r>
    </w:p>
    <w:p w14:paraId="2BEAB1C2" w14:textId="73BCB433" w:rsidR="002E5727" w:rsidRPr="002E5727" w:rsidRDefault="002E5727" w:rsidP="002E5727">
      <w:pPr>
        <w:spacing w:after="0"/>
        <w:jc w:val="left"/>
        <w:rPr>
          <w:rFonts w:eastAsia="Calibri" w:cs="Times New Roman"/>
          <w:b/>
          <w:bCs/>
          <w:szCs w:val="20"/>
        </w:rPr>
      </w:pPr>
      <w:bookmarkStart w:id="3" w:name="_Hlk226046474"/>
      <w:r w:rsidRPr="002E5727">
        <w:rPr>
          <w:b/>
          <w:bCs/>
        </w:rPr>
        <w:t>Niger :</w:t>
      </w:r>
      <w:r w:rsidRPr="002E5727">
        <w:t xml:space="preserve"> </w:t>
      </w:r>
      <w:hyperlink r:id="rId40" w:history="1">
        <w:r w:rsidRPr="002E5727">
          <w:rPr>
            <w:rStyle w:val="Lienhypertexte"/>
            <w:rFonts w:eastAsia="Calibri" w:cs="Times New Roman"/>
            <w:szCs w:val="20"/>
            <w:u w:val="none"/>
          </w:rPr>
          <w:t>https://www.lesahel.org/category/economie/</w:t>
        </w:r>
      </w:hyperlink>
      <w:r w:rsidRPr="002E5727">
        <w:rPr>
          <w:rFonts w:eastAsia="Calibri" w:cs="Times New Roman"/>
          <w:color w:val="2F5496" w:themeColor="accent1" w:themeShade="BF"/>
          <w:szCs w:val="20"/>
        </w:rPr>
        <w:t>,</w:t>
      </w:r>
      <w:r w:rsidR="00155204" w:rsidRPr="00155204">
        <w:t xml:space="preserve"> </w:t>
      </w:r>
      <w:r w:rsidR="00155204" w:rsidRPr="00155204">
        <w:rPr>
          <w:rFonts w:eastAsia="Calibri" w:cs="Times New Roman"/>
          <w:color w:val="2F5496" w:themeColor="accent1" w:themeShade="BF"/>
          <w:szCs w:val="20"/>
        </w:rPr>
        <w:t>https://anp.ne/</w:t>
      </w:r>
    </w:p>
    <w:bookmarkEnd w:id="3"/>
    <w:p w14:paraId="65B23904" w14:textId="77777777" w:rsidR="002E5727" w:rsidRPr="002E5727" w:rsidRDefault="002E5727" w:rsidP="002E5727">
      <w:pPr>
        <w:spacing w:after="0"/>
        <w:jc w:val="left"/>
        <w:rPr>
          <w:rFonts w:eastAsia="Calibri" w:cs="Times New Roman"/>
          <w:szCs w:val="20"/>
        </w:rPr>
      </w:pPr>
      <w:r w:rsidRPr="002E5727">
        <w:rPr>
          <w:rFonts w:eastAsia="Calibri" w:cs="Times New Roman"/>
          <w:b/>
          <w:bCs/>
          <w:szCs w:val="20"/>
        </w:rPr>
        <w:t xml:space="preserve">Sierra Léone : </w:t>
      </w:r>
      <w:hyperlink r:id="rId41" w:history="1">
        <w:r w:rsidRPr="002E5727">
          <w:rPr>
            <w:rStyle w:val="Lienhypertexte"/>
            <w:rFonts w:eastAsia="Calibri" w:cs="Times New Roman"/>
            <w:szCs w:val="20"/>
            <w:u w:val="none"/>
          </w:rPr>
          <w:t>https://www.thesierraleonetelegraph.com/</w:t>
        </w:r>
      </w:hyperlink>
      <w:r w:rsidRPr="002E5727">
        <w:rPr>
          <w:rFonts w:eastAsia="Calibri" w:cs="Times New Roman"/>
          <w:szCs w:val="20"/>
        </w:rPr>
        <w:t xml:space="preserve"> </w:t>
      </w:r>
    </w:p>
    <w:p w14:paraId="01422A9E" w14:textId="77777777" w:rsidR="002E5727" w:rsidRPr="002E5727" w:rsidRDefault="002E5727" w:rsidP="002E5727">
      <w:pPr>
        <w:spacing w:after="0"/>
        <w:jc w:val="left"/>
        <w:rPr>
          <w:rStyle w:val="Lienhypertexte"/>
          <w:rFonts w:eastAsia="Calibri" w:cs="Times New Roman"/>
          <w:color w:val="2F5496" w:themeColor="accent1" w:themeShade="BF"/>
          <w:szCs w:val="20"/>
          <w:u w:val="none"/>
        </w:rPr>
      </w:pPr>
      <w:r w:rsidRPr="002E5727">
        <w:rPr>
          <w:rFonts w:eastAsia="Calibri" w:cs="Times New Roman"/>
          <w:b/>
          <w:bCs/>
          <w:szCs w:val="20"/>
        </w:rPr>
        <w:t>Togo :</w:t>
      </w:r>
      <w:r w:rsidRPr="002E5727">
        <w:rPr>
          <w:rFonts w:eastAsia="Calibri" w:cs="Times New Roman"/>
          <w:szCs w:val="20"/>
        </w:rPr>
        <w:t xml:space="preserve"> </w:t>
      </w:r>
      <w:hyperlink r:id="rId42" w:history="1">
        <w:r w:rsidRPr="002E5727">
          <w:rPr>
            <w:rStyle w:val="Lienhypertexte"/>
            <w:rFonts w:eastAsia="Calibri" w:cs="Times New Roman"/>
            <w:szCs w:val="20"/>
            <w:u w:val="none"/>
          </w:rPr>
          <w:t>https://atop.tg</w:t>
        </w:r>
      </w:hyperlink>
      <w:r w:rsidRPr="002E5727">
        <w:rPr>
          <w:rFonts w:eastAsia="Calibri" w:cs="Times New Roman"/>
          <w:color w:val="2F5496" w:themeColor="accent1" w:themeShade="BF"/>
          <w:szCs w:val="20"/>
        </w:rPr>
        <w:t>, https://agriculture.gouv.tg,</w:t>
      </w:r>
      <w:r w:rsidRPr="002E5727">
        <w:t xml:space="preserve"> </w:t>
      </w:r>
      <w:hyperlink r:id="rId43" w:history="1">
        <w:r w:rsidRPr="002E5727">
          <w:rPr>
            <w:rStyle w:val="Lienhypertexte"/>
            <w:rFonts w:eastAsia="Calibri" w:cs="Times New Roman"/>
            <w:color w:val="2F5496" w:themeColor="accent1" w:themeShade="BF"/>
            <w:szCs w:val="20"/>
            <w:u w:val="none"/>
          </w:rPr>
          <w:t>https://www.republicoftogo.com/</w:t>
        </w:r>
      </w:hyperlink>
      <w:r w:rsidRPr="002E5727">
        <w:rPr>
          <w:rStyle w:val="Lienhypertexte"/>
          <w:rFonts w:eastAsia="Calibri" w:cs="Times New Roman"/>
          <w:color w:val="2F5496" w:themeColor="accent1" w:themeShade="BF"/>
          <w:szCs w:val="20"/>
          <w:u w:val="none"/>
        </w:rPr>
        <w:t>,</w:t>
      </w:r>
      <w:r w:rsidRPr="002E5727">
        <w:rPr>
          <w:rFonts w:eastAsia="Calibri" w:cs="Times New Roman"/>
          <w:color w:val="2F5496" w:themeColor="accent1" w:themeShade="BF"/>
          <w:szCs w:val="20"/>
        </w:rPr>
        <w:t xml:space="preserve"> </w:t>
      </w:r>
      <w:hyperlink r:id="rId44" w:history="1">
        <w:r w:rsidRPr="002E5727">
          <w:rPr>
            <w:rStyle w:val="Lienhypertexte"/>
            <w:rFonts w:eastAsia="Calibri" w:cs="Times New Roman"/>
            <w:szCs w:val="20"/>
            <w:u w:val="none"/>
          </w:rPr>
          <w:t>https://www.republiquetogolaise.com/agro/</w:t>
        </w:r>
      </w:hyperlink>
      <w:r w:rsidRPr="002E5727">
        <w:rPr>
          <w:rFonts w:eastAsia="Calibri" w:cs="Times New Roman"/>
          <w:color w:val="2F5496" w:themeColor="accent1" w:themeShade="BF"/>
          <w:szCs w:val="20"/>
        </w:rPr>
        <w:t xml:space="preserve">, </w:t>
      </w:r>
      <w:hyperlink r:id="rId45" w:history="1">
        <w:r w:rsidRPr="002E5727">
          <w:rPr>
            <w:rStyle w:val="Lienhypertexte"/>
            <w:rFonts w:eastAsia="Calibri" w:cs="Times New Roman"/>
            <w:color w:val="2F5496" w:themeColor="accent1" w:themeShade="BF"/>
            <w:szCs w:val="20"/>
            <w:u w:val="none"/>
          </w:rPr>
          <w:t>https://www.agridigitale.net/</w:t>
        </w:r>
      </w:hyperlink>
    </w:p>
    <w:p w14:paraId="5F8CA7B8" w14:textId="23796F73" w:rsidR="009B1242" w:rsidRPr="00D07EAD" w:rsidRDefault="00DB6003" w:rsidP="00D07EAD">
      <w:pPr>
        <w:jc w:val="left"/>
        <w:rPr>
          <w:b/>
          <w:bCs/>
          <w:color w:val="FFC000"/>
          <w:sz w:val="32"/>
          <w:szCs w:val="36"/>
        </w:rPr>
      </w:pPr>
      <w:bookmarkStart w:id="4" w:name="_Toc207812030"/>
      <w:bookmarkStart w:id="5" w:name="_Toc207812898"/>
      <w:bookmarkStart w:id="6" w:name="_Toc207813060"/>
      <w:bookmarkStart w:id="7" w:name="_Toc207887317"/>
      <w:bookmarkStart w:id="8" w:name="_Toc228478320"/>
      <w:bookmarkStart w:id="9" w:name="_Toc230690699"/>
      <w:r>
        <w:rPr>
          <w:b/>
          <w:bCs/>
          <w:color w:val="FFC000"/>
          <w:sz w:val="32"/>
          <w:szCs w:val="36"/>
        </w:rPr>
        <w:br w:type="page"/>
      </w:r>
      <w:r w:rsidR="009D0F96" w:rsidRPr="00DB6003">
        <w:rPr>
          <w:b/>
          <w:bCs/>
          <w:color w:val="FFC000"/>
          <w:sz w:val="32"/>
          <w:szCs w:val="36"/>
        </w:rPr>
        <w:lastRenderedPageBreak/>
        <w:t>Région</w:t>
      </w:r>
      <w:bookmarkStart w:id="10" w:name="_Toc226623148"/>
      <w:bookmarkStart w:id="11" w:name="_Toc207806845"/>
      <w:bookmarkStart w:id="12" w:name="_Toc207806911"/>
      <w:bookmarkStart w:id="13" w:name="_Toc207807290"/>
      <w:bookmarkStart w:id="14" w:name="_Toc207812033"/>
      <w:bookmarkStart w:id="15" w:name="_Toc207812901"/>
      <w:bookmarkStart w:id="16" w:name="_Toc207813063"/>
      <w:bookmarkEnd w:id="4"/>
      <w:bookmarkEnd w:id="5"/>
      <w:bookmarkEnd w:id="6"/>
      <w:bookmarkEnd w:id="7"/>
      <w:bookmarkEnd w:id="8"/>
      <w:bookmarkEnd w:id="9"/>
    </w:p>
    <w:p w14:paraId="60BE72FA" w14:textId="2FFD11BB" w:rsidR="007F26A7" w:rsidRPr="00D42B1B" w:rsidRDefault="001A4C72" w:rsidP="007F26A7">
      <w:pPr>
        <w:spacing w:after="0" w:line="240" w:lineRule="auto"/>
        <w:outlineLvl w:val="1"/>
        <w:rPr>
          <w:rFonts w:eastAsia="Times New Roman" w:cs="Times New Roman"/>
          <w:b/>
          <w:bCs/>
          <w:szCs w:val="20"/>
          <w:lang w:eastAsia="fr-FR"/>
        </w:rPr>
      </w:pPr>
      <w:bookmarkStart w:id="17" w:name="_Toc233878661"/>
      <w:bookmarkStart w:id="18" w:name="_Hlk233547225"/>
      <w:r w:rsidRPr="00D42B1B">
        <w:rPr>
          <w:b/>
          <w:bCs/>
        </w:rPr>
        <w:t>Financement - 6 000 Md FCFA de l’Union économique et monétaire ouest africaine (UEMOA) pour soutenir la transformation structurelle du secteur agricole.</w:t>
      </w:r>
      <w:bookmarkEnd w:id="17"/>
    </w:p>
    <w:bookmarkEnd w:id="18"/>
    <w:p w14:paraId="352B0EB1" w14:textId="723058CD" w:rsidR="001A4C72" w:rsidRPr="00D42B1B" w:rsidRDefault="00D01F1C" w:rsidP="001A4C72">
      <w:pPr>
        <w:spacing w:after="0"/>
      </w:pPr>
      <w:r w:rsidRPr="00D42B1B">
        <w:t>L’agriculture contribue à hauteur de 21% du PIB et emploie environ 53% de la population active au sein de l’Union économique et monétaire ouest</w:t>
      </w:r>
      <w:r w:rsidR="007F26A7" w:rsidRPr="00D42B1B">
        <w:t>-</w:t>
      </w:r>
      <w:r w:rsidRPr="00D42B1B">
        <w:t>africaine. Face aux enjeux de sécurité et de souveraineté alimentaires,</w:t>
      </w:r>
      <w:r w:rsidR="001A4C72" w:rsidRPr="00D42B1B">
        <w:t xml:space="preserve"> </w:t>
      </w:r>
      <w:bookmarkStart w:id="19" w:name="_Hlk231583273"/>
      <w:r w:rsidR="001A4C72" w:rsidRPr="00D42B1B">
        <w:t>l</w:t>
      </w:r>
      <w:r w:rsidRPr="00D42B1B">
        <w:t>’Union économique et monétaire ouest africaine (UEMOA) a déclaré le 1</w:t>
      </w:r>
      <w:r w:rsidRPr="00D42B1B">
        <w:rPr>
          <w:vertAlign w:val="superscript"/>
        </w:rPr>
        <w:t>er</w:t>
      </w:r>
      <w:r w:rsidRPr="00D42B1B">
        <w:t xml:space="preserve"> juin vouloir soutenir la transformation structurelle du secteur agricole à travers un portefeuille de projets estimé à 6 000 Md FCFA à l’horizon 2040. </w:t>
      </w:r>
      <w:bookmarkEnd w:id="19"/>
      <w:r w:rsidRPr="00D42B1B">
        <w:t>Ce montant correspond à un portefeuille de projets identifiés dans le cadre d’un livre blanc consacré aux filières agricoles prioritaires, actuellement promu par l’organisation régionale auprès des États membres. Ce document élaboré par l’UEMOA s’articule autour de trois chaînes de valeur considérées comme structurantes pour les économies agricoles de la région : le phosphate et les engrais, le riz et le coton textile. En amont de la production agricole, la question de l’accès à des engrais à des prix compétitifs est cruciale. Comme dans la plupart des pays d’Afrique subsaharienne, la production locale reste limitée, ce qui contraint les États membres de l’UEMOA à recourir massivement aux importations pour satisfaire leurs besoins. Une dépendance qui les expose de fait aux fluctuations des prix internationaux.</w:t>
      </w:r>
      <w:r w:rsidR="001A4C72" w:rsidRPr="00D42B1B">
        <w:t xml:space="preserve"> </w:t>
      </w:r>
      <w:r w:rsidRPr="00D42B1B">
        <w:t xml:space="preserve">Selon la BCEAO, les importations d’engrais dans l’Union se sont élevées à 543,5 </w:t>
      </w:r>
      <w:r w:rsidR="001A4C72" w:rsidRPr="00D42B1B">
        <w:t xml:space="preserve">Md </w:t>
      </w:r>
      <w:r w:rsidRPr="00D42B1B">
        <w:t>FCFA en moyenne par an entre 2020 et 2024, avec une demande particulièrement portée par la Côte d’Ivoire, le Mali et le Sénégal.</w:t>
      </w:r>
      <w:r w:rsidR="001A4C72" w:rsidRPr="00D42B1B">
        <w:t xml:space="preserve"> </w:t>
      </w:r>
      <w:r w:rsidRPr="00D42B1B">
        <w:t>Cette dépendance aux marchés extérieurs se retrouve également sur le segment des produits alimentaires comme le riz. Céréale de base largement consommée dans la région, aux côtés du maïs, du mil et du sorgho, le riz illustre les défis persistants d’autosuffisance alimentaire dans l’UEMOA.</w:t>
      </w:r>
      <w:r w:rsidR="001A4C72" w:rsidRPr="00D42B1B">
        <w:t xml:space="preserve"> </w:t>
      </w:r>
      <w:r w:rsidRPr="00D42B1B">
        <w:t>Malgré un fort potentiel agricole affiché dans certains pays, la production locale ne parvient toujours pas à suivre la croissance rapide de la demande. Le recours aux importations demeure donc structurel, principalement en provenance de pays asiatiques comme l’Inde ou la Thaïlande. D’après la BCEAO, le riz est de loin le premier produit alimentaire importé dans l’UEMOA, avec des achats estimés à 1</w:t>
      </w:r>
      <w:r w:rsidR="001A4C72" w:rsidRPr="00D42B1B">
        <w:t> </w:t>
      </w:r>
      <w:r w:rsidRPr="00D42B1B">
        <w:t xml:space="preserve">627,42 </w:t>
      </w:r>
      <w:r w:rsidR="001A4C72" w:rsidRPr="00D42B1B">
        <w:t xml:space="preserve">Md FCFA </w:t>
      </w:r>
      <w:r w:rsidRPr="00D42B1B">
        <w:t>en moyenne par an entre 2020 et 2024, concentrés notamment en Côte d’Ivoire, au Bénin et au Sénégal.</w:t>
      </w:r>
      <w:r w:rsidR="001A4C72" w:rsidRPr="00D42B1B">
        <w:t xml:space="preserve"> A</w:t>
      </w:r>
      <w:r w:rsidRPr="00D42B1B">
        <w:t xml:space="preserve"> l’opposé de ces deux filières, fortement dépendantes des importations, le coton occupe une position singulière dans l’économie agricole régionale. Culture de rente tournée vers l’exportation, il constitue une source importante de devises pour plusieurs États membres figurant parmi les principaux producteurs africains, notamment le Mali, le Bénin, la Côte d’Ivoire et le Burkina Faso.</w:t>
      </w:r>
      <w:r w:rsidR="001A4C72" w:rsidRPr="00D42B1B">
        <w:t xml:space="preserve"> </w:t>
      </w:r>
      <w:r w:rsidRPr="00D42B1B">
        <w:t xml:space="preserve">En 2024, les exportations de fibre de coton ont généré environ 1 011 </w:t>
      </w:r>
      <w:r w:rsidR="001A4C72" w:rsidRPr="00D42B1B">
        <w:t xml:space="preserve">Md </w:t>
      </w:r>
      <w:r w:rsidRPr="00D42B1B">
        <w:t xml:space="preserve">FCFA selon la BCEAO, faisant de cette filière la troisième source de recettes agricoles de l’Union après le cacao et le caoutchouc naturel. Cette performance repose notamment sur le poids des principaux producteurs régionaux. Selon la FAO, les pays membres de l’UEMOA ont concentré près de la moitié de la production africaine de coton graine estimée à environ 5 </w:t>
      </w:r>
      <w:r w:rsidR="001A4C72" w:rsidRPr="00D42B1B">
        <w:t xml:space="preserve">M </w:t>
      </w:r>
      <w:r w:rsidRPr="00D42B1B">
        <w:t>de tonnes en 2024. Cependant, le secteur demeure faiblement industrialisé, laissant encore échapper une part importante de la valeur ajoutée.</w:t>
      </w:r>
      <w:r w:rsidR="001A4C72" w:rsidRPr="00D42B1B">
        <w:t xml:space="preserve"> </w:t>
      </w:r>
      <w:r w:rsidRPr="00D42B1B">
        <w:t xml:space="preserve">Selon les autorités, l’élaboration du livre blanc vise à renforcer la production et la productivité dans les filières agricoles ciblées au sein des </w:t>
      </w:r>
      <w:r w:rsidR="001A4C72" w:rsidRPr="00D42B1B">
        <w:t>E</w:t>
      </w:r>
      <w:r w:rsidRPr="00D42B1B">
        <w:t>tats membres. Cette initiative qui couvre une période de 15 ans (2026–2040), traduit une volonté de structuration progressive des investissements dans les chaînes de valeur agricoles.</w:t>
      </w:r>
      <w:r w:rsidR="001A4C72" w:rsidRPr="00D42B1B">
        <w:t xml:space="preserve"> </w:t>
      </w:r>
      <w:r w:rsidRPr="00D42B1B">
        <w:t xml:space="preserve">Si l’ampleur du portefeuille annoncé témoigne d’une ambition régionale affirmée, sa mise en œuvre dépendra toutefois de la capacité des </w:t>
      </w:r>
      <w:r w:rsidR="001A4C72" w:rsidRPr="00D42B1B">
        <w:t>E</w:t>
      </w:r>
      <w:r w:rsidRPr="00D42B1B">
        <w:t>tats membres à coordonner leurs politiques agricoles, à mobiliser les financements nécessaires et à attirer davantage le secteur privé.</w:t>
      </w:r>
      <w:r w:rsidR="001A4C72" w:rsidRPr="00D42B1B">
        <w:t xml:space="preserve"> </w:t>
      </w:r>
      <w:r w:rsidRPr="00D42B1B">
        <w:t xml:space="preserve">Dans un contexte où l’Afrique </w:t>
      </w:r>
      <w:r w:rsidRPr="00D42B1B">
        <w:lastRenderedPageBreak/>
        <w:t>de l’Ouest cherche simultanément à réduire sa dépendance aux importations alimentaires et à accroître la transformation locale de ses matières premières agricoles, ce portefeuille de projets peut contribuer à orienter davantage les investissements vers des filières stratégiques pour la sécurité alimentaire, la compétitivité agricole et la transformation industrielle de la région.</w:t>
      </w:r>
    </w:p>
    <w:p w14:paraId="43CBA8F5" w14:textId="771D9BD6" w:rsidR="00DA322D" w:rsidRPr="00D42B1B" w:rsidRDefault="00DA322D" w:rsidP="001A4C72">
      <w:pPr>
        <w:spacing w:after="0"/>
      </w:pPr>
    </w:p>
    <w:p w14:paraId="53303F26" w14:textId="6D31EEDC" w:rsidR="00DA322D" w:rsidRPr="00D42B1B" w:rsidRDefault="00C81D95" w:rsidP="00023B64">
      <w:pPr>
        <w:spacing w:after="0" w:line="240" w:lineRule="auto"/>
        <w:outlineLvl w:val="1"/>
        <w:rPr>
          <w:rFonts w:eastAsia="Times New Roman" w:cs="Times New Roman"/>
          <w:b/>
          <w:bCs/>
          <w:szCs w:val="20"/>
          <w:lang w:eastAsia="fr-FR"/>
        </w:rPr>
      </w:pPr>
      <w:bookmarkStart w:id="20" w:name="_Toc233878662"/>
      <w:r w:rsidRPr="00D42B1B">
        <w:rPr>
          <w:b/>
          <w:bCs/>
        </w:rPr>
        <w:t>Sécurité alimentaire</w:t>
      </w:r>
      <w:r w:rsidR="00DA322D" w:rsidRPr="00D42B1B">
        <w:rPr>
          <w:b/>
          <w:bCs/>
        </w:rPr>
        <w:t xml:space="preserve"> - </w:t>
      </w:r>
      <w:r w:rsidR="00023B64" w:rsidRPr="00D42B1B">
        <w:rPr>
          <w:b/>
          <w:bCs/>
        </w:rPr>
        <w:t>La disponibilité de l’eau pourrait diminuer de 40% d’ici 2050 en Afrique de l’Ouest avec de fortes conséquences sur la production agricole.</w:t>
      </w:r>
      <w:bookmarkEnd w:id="20"/>
    </w:p>
    <w:p w14:paraId="11FBF87A" w14:textId="46DF84A5" w:rsidR="00DA322D" w:rsidRPr="00D42B1B" w:rsidRDefault="00DA322D" w:rsidP="00DA322D">
      <w:pPr>
        <w:spacing w:after="0"/>
      </w:pPr>
      <w:r w:rsidRPr="00D42B1B">
        <w:t xml:space="preserve">Selon le rapport Water Beyond </w:t>
      </w:r>
      <w:proofErr w:type="spellStart"/>
      <w:r w:rsidRPr="00D42B1B">
        <w:t>Borders</w:t>
      </w:r>
      <w:proofErr w:type="spellEnd"/>
      <w:r w:rsidRPr="00D42B1B">
        <w:t xml:space="preserve">, la région est confrontée à une situation où la demande en eau dépasse progressivement les capacités naturelles de renouvellement des ressources disponibles. Cette réalité, que les auteurs qualifient de </w:t>
      </w:r>
      <w:r w:rsidR="00C81D95" w:rsidRPr="00D42B1B">
        <w:t>« </w:t>
      </w:r>
      <w:r w:rsidRPr="00D42B1B">
        <w:t>faillite hydrique</w:t>
      </w:r>
      <w:r w:rsidR="00C81D95" w:rsidRPr="00D42B1B">
        <w:t> »</w:t>
      </w:r>
      <w:r w:rsidRPr="00D42B1B">
        <w:t>, traduit une dégradation simultanée des quantités disponibles, de la qualité des ressources et des mécanismes de gouvernance censés les protéger.</w:t>
      </w:r>
      <w:r w:rsidR="00C81D95" w:rsidRPr="00D42B1B">
        <w:t xml:space="preserve"> </w:t>
      </w:r>
      <w:r w:rsidRPr="00D42B1B">
        <w:t>Le document souligne que la crise ne relève pas uniquement d’un enjeu écologique mais devient un risque économique systémique. Lorsque les réserves d’eau diminuent plus rapidement qu’elles ne se reconstituent, l’ensemble des activités productives se retrouve fragilisé.</w:t>
      </w:r>
      <w:r w:rsidR="00C81D95" w:rsidRPr="00D42B1B">
        <w:t xml:space="preserve"> </w:t>
      </w:r>
      <w:r w:rsidRPr="00D42B1B">
        <w:t>Cette situation est d’autant plus préoccupante que les ressources hydriques de la région sont profondément interconnectées. Selon le rapport, plus de 400 millions de personnes dépendent directement de ressources en eau transfrontalières, ce qui signifie que les décisions prises dans un pays peuvent avoir des conséquences immédiates sur plusieurs autres.</w:t>
      </w:r>
      <w:r w:rsidR="00C81D95" w:rsidRPr="00D42B1B">
        <w:t xml:space="preserve"> </w:t>
      </w:r>
      <w:r w:rsidRPr="00D42B1B">
        <w:t>Les auteurs de l’étude identifient plusieurs facteurs structurels qui accélèrent cette trajectoire vers l’insolvabilité hydrique. Le premier est démographique. La population ouest-africaine progresse de 2,7% par an, un rythme qui conduit à un doublement de la demande en eau tous les vingt-cinq ans.</w:t>
      </w:r>
      <w:r w:rsidR="00C81D95" w:rsidRPr="00D42B1B">
        <w:t xml:space="preserve"> </w:t>
      </w:r>
      <w:r w:rsidRPr="00D42B1B">
        <w:t xml:space="preserve">Cette dynamique est amplifiée par une urbanisation rapide. Le rapport prévoit l’arrivée de 50 </w:t>
      </w:r>
      <w:r w:rsidR="00C81D95" w:rsidRPr="00D42B1B">
        <w:t xml:space="preserve">M </w:t>
      </w:r>
      <w:r w:rsidRPr="00D42B1B">
        <w:t>de citadins supplémentaires à l’horizon 2030, entraînant une intensification des prélèvements dans les nappes souterraines qui alimentent déjà une grande partie des centres urbains de la région.</w:t>
      </w:r>
      <w:r w:rsidR="00C81D95" w:rsidRPr="00D42B1B">
        <w:t xml:space="preserve"> </w:t>
      </w:r>
      <w:r w:rsidRPr="00D42B1B">
        <w:t xml:space="preserve">Parallèlement, l’agriculture demeure le principal consommateur de ressources hydriques. Selon le document, l’irrigation représente à elle seule 85% des prélèvements d’eau en Afrique de l’Ouest. Cette dépendance place la </w:t>
      </w:r>
      <w:bookmarkStart w:id="21" w:name="_Hlk233546996"/>
      <w:r w:rsidRPr="00D42B1B">
        <w:t xml:space="preserve">sécurité alimentaire </w:t>
      </w:r>
      <w:bookmarkEnd w:id="21"/>
      <w:r w:rsidRPr="00D42B1B">
        <w:t>régionale dans une position particulièrement vulnérable face à toute réduction durable des disponibilités hydriques.</w:t>
      </w:r>
      <w:r w:rsidR="00C81D95" w:rsidRPr="00D42B1B">
        <w:t xml:space="preserve"> </w:t>
      </w:r>
      <w:r w:rsidRPr="00D42B1B">
        <w:t xml:space="preserve">Le changement climatique agit enfin comme un accélérateur de ces tensions. Le rapport estime que </w:t>
      </w:r>
      <w:bookmarkStart w:id="22" w:name="_Hlk233547148"/>
      <w:r w:rsidRPr="00D42B1B">
        <w:t xml:space="preserve">la disponibilité de l’eau pourrait diminuer de 40% d’ici 2050 </w:t>
      </w:r>
      <w:bookmarkEnd w:id="22"/>
      <w:r w:rsidRPr="00D42B1B">
        <w:t>sous l’effet combiné de la pression humaine et de la dégradation des conditions climatiques.</w:t>
      </w:r>
      <w:r w:rsidR="00C81D95" w:rsidRPr="00D42B1B">
        <w:t xml:space="preserve"> </w:t>
      </w:r>
      <w:r w:rsidRPr="00D42B1B">
        <w:t>La singularité de la crise ouest-africaine réside dans le rôle central joué par les eaux souterraines. D’après l’étude, plus de 70% de la population dépend de ces ressources pour ses besoins quotidiens en eau potable.</w:t>
      </w:r>
    </w:p>
    <w:p w14:paraId="45F062F8" w14:textId="64B9457B" w:rsidR="00DA322D" w:rsidRPr="00D42B1B" w:rsidRDefault="00DA322D" w:rsidP="00023B64">
      <w:pPr>
        <w:spacing w:after="0"/>
      </w:pPr>
      <w:r w:rsidRPr="00D42B1B">
        <w:t>Ces réserves constituent en quelque sorte le capital hydrique stratégique de la région. Elles assurent l’alimentation des populations rurales et urbaines, soutiennent les activités agricoles et garantissent la résilience des territoires durant les périodes de sécheresse. Pourtant, leur dégradation reste souvent invisible jusqu’au moment où les puits cessent de produire.</w:t>
      </w:r>
      <w:r w:rsidR="00023B64" w:rsidRPr="00D42B1B">
        <w:t xml:space="preserve"> </w:t>
      </w:r>
      <w:r w:rsidRPr="00D42B1B">
        <w:t>Selon les auteurs, plus de 40% des principaux systèmes aquifères de la région sont aujourd’hui surexploités ou soumis à un stress important.</w:t>
      </w:r>
      <w:r w:rsidR="00023B64" w:rsidRPr="00D42B1B">
        <w:t xml:space="preserve"> L’étude identifie un paradoxe majeur, selon lequel, l’Afrique de l’Ouest dispose d’une forte interdépendance hydrique mais d’une gouvernance encore insuffisante pour gérer cette réalité. La région compte 25 grands bassins fluviaux transfrontaliers ainsi que 13 systèmes d’aquifères partagés entre plusieurs Etats. Pourtant, selon le rapport, aucun accord régional contraignant ne régit aujourd’hui la gestion commune des eaux souterraines. Cette absence de cadre juridique favorise une logique de </w:t>
      </w:r>
      <w:r w:rsidR="00023B64" w:rsidRPr="00D42B1B">
        <w:lastRenderedPageBreak/>
        <w:t>concurrence plutôt que de coopération. Les pays exploitent les ressources disponibles sans mécanisme harmonisé de suivi, sans règles de partage clairement établies et sans dispositif de règlement des différends spécifiquement consacré aux nappes transfrontalières.</w:t>
      </w:r>
      <w:r w:rsidR="002E3C52" w:rsidRPr="00D42B1B">
        <w:t xml:space="preserve"> </w:t>
      </w:r>
      <w:r w:rsidR="00023B64" w:rsidRPr="00D42B1B">
        <w:t>Le document évoque notamment les tensions autour du bassin de la Volta, où les besoins d’irrigation en amont peuvent affecter les disponibilités en aval. Une telle situation illustre la manière dont une ressource naturelle peut devenir un facteur de vulnérabilité économique régionale lorsqu’elle n’est pas encadrée par des institutions adaptées.</w:t>
      </w:r>
      <w:r w:rsidR="002E3C52" w:rsidRPr="00D42B1B">
        <w:t xml:space="preserve"> </w:t>
      </w:r>
      <w:r w:rsidR="00023B64" w:rsidRPr="00D42B1B">
        <w:t>L’étude souligne également les destructions de terres agricoles, la hausse potentielle des importations alimentaires, ainsi que l’augmentation des conflits d’usage autour de l’eau.</w:t>
      </w:r>
    </w:p>
    <w:p w14:paraId="27F87F9E" w14:textId="77777777" w:rsidR="006918CD" w:rsidRPr="00D42B1B" w:rsidRDefault="006918CD" w:rsidP="006918CD">
      <w:pPr>
        <w:spacing w:after="0"/>
      </w:pPr>
    </w:p>
    <w:p w14:paraId="256AB83A" w14:textId="2957F9F0" w:rsidR="006918CD" w:rsidRPr="00D42B1B" w:rsidRDefault="006918CD" w:rsidP="003F34E7">
      <w:pPr>
        <w:spacing w:after="0" w:line="240" w:lineRule="auto"/>
        <w:outlineLvl w:val="1"/>
        <w:rPr>
          <w:rFonts w:eastAsia="Times New Roman" w:cs="Arial"/>
          <w:b/>
          <w:bCs/>
          <w:color w:val="444444"/>
          <w:szCs w:val="20"/>
          <w:lang w:eastAsia="fr-FR"/>
        </w:rPr>
      </w:pPr>
      <w:bookmarkStart w:id="23" w:name="_Toc233878663"/>
      <w:r w:rsidRPr="00D42B1B">
        <w:rPr>
          <w:b/>
          <w:bCs/>
        </w:rPr>
        <w:t>Coton - Stratégie de campagne 2026/2027 des principaux pays producteurs d’Afrique de l’Ouest</w:t>
      </w:r>
      <w:r w:rsidR="003F34E7" w:rsidRPr="00D42B1B">
        <w:rPr>
          <w:b/>
          <w:bCs/>
        </w:rPr>
        <w:t>.</w:t>
      </w:r>
      <w:bookmarkEnd w:id="23"/>
    </w:p>
    <w:p w14:paraId="15C8737A" w14:textId="39A7E932" w:rsidR="006918CD" w:rsidRPr="00D42B1B" w:rsidRDefault="006918CD" w:rsidP="006918CD">
      <w:pPr>
        <w:spacing w:after="0"/>
      </w:pPr>
      <w:r w:rsidRPr="00D42B1B">
        <w:t xml:space="preserve">L’Afrique de l’Ouest est la principale zone de production de coton en Afrique. Dans la région, la culture de la fibre est une source importante de recettes publiques et d’emplois en milieu rural. Après la campagne cotonnière 2025/2026, l’heure est désormais aux préparatifs pour la nouvelle saison en Afrique de l’Ouest. Pendant que certains cherchent à réaffirmer leurs positions, d’autres veulent se relancer pour rester dans la course régionale. </w:t>
      </w:r>
    </w:p>
    <w:p w14:paraId="6136DE8B" w14:textId="49D42EF9" w:rsidR="006918CD" w:rsidRPr="00D42B1B" w:rsidRDefault="006918CD" w:rsidP="006918CD">
      <w:pPr>
        <w:spacing w:after="0"/>
        <w:rPr>
          <w:u w:val="single"/>
        </w:rPr>
      </w:pPr>
      <w:r w:rsidRPr="00D42B1B">
        <w:rPr>
          <w:u w:val="single"/>
        </w:rPr>
        <w:t>Burkina Faso</w:t>
      </w:r>
      <w:r w:rsidR="00E90E52" w:rsidRPr="00D42B1B">
        <w:rPr>
          <w:u w:val="single"/>
        </w:rPr>
        <w:t> : objectifs ambitieux à confirmer</w:t>
      </w:r>
      <w:r w:rsidRPr="00D42B1B">
        <w:rPr>
          <w:u w:val="single"/>
        </w:rPr>
        <w:t>.</w:t>
      </w:r>
      <w:r w:rsidRPr="00D42B1B">
        <w:t xml:space="preserve"> C’est le 25 juin que le Burkina Faso a dévoilé ses attentes pour la campagne cotonnière 2026/2027. En Conseil des ministres, les autorités ont fixé un objectif ambitieux de 532 000 tonnes de coton graine. Ce niveau serait en hausse d’environ 69 % par rapport à l’année dernière (314 293 tonnes), soit l’une des plus fortes progressions attendues en Afrique de l’Ouest.</w:t>
      </w:r>
      <w:r w:rsidRPr="00D42B1B">
        <w:rPr>
          <w:u w:val="single"/>
        </w:rPr>
        <w:t xml:space="preserve"> </w:t>
      </w:r>
      <w:r w:rsidRPr="00D42B1B">
        <w:t xml:space="preserve">Pour soutenir ce cap, les autorités ont maintenu le prix du sac de 50 kg d’engrais à 17 500 FCFA grâce à une subvention de 15,8 Md FCFA financée par les sociétés cotonnières, en vue de limiter les coûts supportés par les producteurs.  </w:t>
      </w:r>
    </w:p>
    <w:p w14:paraId="491E28C0" w14:textId="6BFBCCCB" w:rsidR="006918CD" w:rsidRPr="00D42B1B" w:rsidRDefault="006918CD" w:rsidP="006918CD">
      <w:pPr>
        <w:spacing w:after="0"/>
      </w:pPr>
      <w:r w:rsidRPr="00D42B1B">
        <w:rPr>
          <w:u w:val="single"/>
        </w:rPr>
        <w:t>Bénin</w:t>
      </w:r>
      <w:r w:rsidR="00E90E52" w:rsidRPr="00D42B1B">
        <w:rPr>
          <w:u w:val="single"/>
        </w:rPr>
        <w:t xml:space="preserve"> : place de leader à </w:t>
      </w:r>
      <w:r w:rsidRPr="00D42B1B">
        <w:rPr>
          <w:u w:val="single"/>
        </w:rPr>
        <w:t>conforter</w:t>
      </w:r>
      <w:r w:rsidR="00E90E52" w:rsidRPr="00D42B1B">
        <w:rPr>
          <w:u w:val="single"/>
        </w:rPr>
        <w:t>.</w:t>
      </w:r>
      <w:r w:rsidR="00E90E52" w:rsidRPr="00D42B1B">
        <w:t xml:space="preserve"> </w:t>
      </w:r>
      <w:r w:rsidRPr="00D42B1B">
        <w:t>Premier producteur ouest-africain de coton en 2025/2026, le Bénin entend conserver son avance. Pour 2026/2027, les autorités visent une croissance de près de 8% de la production de coton graine pour la porter à 700 000 tonnes.</w:t>
      </w:r>
      <w:r w:rsidR="00E90E52" w:rsidRPr="00D42B1B">
        <w:t xml:space="preserve"> </w:t>
      </w:r>
      <w:r w:rsidRPr="00D42B1B">
        <w:t xml:space="preserve">Dans le cadre de cette ambition, le gouvernement a introduit au début du mois de juin une prime de 10 FCFA par kilogramme qui sera versée aux producteurs si la production nationale dépasse le seuil des 700 000 tonnes visé. Parallèlement, </w:t>
      </w:r>
      <w:r w:rsidR="00E90E52" w:rsidRPr="00D42B1B">
        <w:t xml:space="preserve">le gouvernement </w:t>
      </w:r>
      <w:r w:rsidRPr="00D42B1B">
        <w:t xml:space="preserve">a augmenté de 22,5% le budget consacré à la subvention des engrais pour la campagne 2026/2027, le portant à 31,87 </w:t>
      </w:r>
      <w:r w:rsidR="00E90E52" w:rsidRPr="00D42B1B">
        <w:t xml:space="preserve">Md </w:t>
      </w:r>
      <w:r w:rsidRPr="00D42B1B">
        <w:t>FCFA en vue de garantir l’accès à des intrants à coût abordable dans un contexte de hausse des prix sur le marché mondial.</w:t>
      </w:r>
    </w:p>
    <w:p w14:paraId="28F535D8" w14:textId="30F32EFD" w:rsidR="006918CD" w:rsidRPr="00D42B1B" w:rsidRDefault="006918CD" w:rsidP="006918CD">
      <w:pPr>
        <w:spacing w:after="0"/>
      </w:pPr>
      <w:r w:rsidRPr="00D42B1B">
        <w:rPr>
          <w:u w:val="single"/>
        </w:rPr>
        <w:t>Mali</w:t>
      </w:r>
      <w:r w:rsidR="00E90E52" w:rsidRPr="00D42B1B">
        <w:rPr>
          <w:u w:val="single"/>
        </w:rPr>
        <w:t> : position à reconquérir.</w:t>
      </w:r>
      <w:r w:rsidR="00E90E52" w:rsidRPr="00D42B1B">
        <w:t xml:space="preserve"> </w:t>
      </w:r>
      <w:r w:rsidRPr="00D42B1B">
        <w:t xml:space="preserve">Après la contre-performance enregistrée en 2025/2026 où il a perdu sa place de leader sous-régional au profit du Bénin, le Mali cherche désormais à rebondir. Pour le compte de la campagne 2026/2027, </w:t>
      </w:r>
      <w:r w:rsidR="00E90E52" w:rsidRPr="00D42B1B">
        <w:t xml:space="preserve">le pays </w:t>
      </w:r>
      <w:r w:rsidRPr="00D42B1B">
        <w:t>table sur une récolte de 598 500 tonnes de coton graine, soit près de 38% de plus que lors de la campagne précédente (433 700 tonnes).</w:t>
      </w:r>
    </w:p>
    <w:p w14:paraId="621F59FC" w14:textId="4991B24A" w:rsidR="006918CD" w:rsidRPr="00D42B1B" w:rsidRDefault="006918CD" w:rsidP="006918CD">
      <w:pPr>
        <w:spacing w:after="0"/>
      </w:pPr>
      <w:r w:rsidRPr="00D42B1B">
        <w:t>Pour y parvenir, la Compagnie malienne pour le développement des textiles (CMDT), l’entreprise publique chargée d’organiser, d’encadrer la filière et de commercialiser la fibre, mise sur une augmentation des superficies consacrées à la culture du coton de près de 18% pour atteindre 630 000 h</w:t>
      </w:r>
      <w:r w:rsidR="00E90E52" w:rsidRPr="00D42B1B">
        <w:t>a</w:t>
      </w:r>
      <w:r w:rsidRPr="00D42B1B">
        <w:t xml:space="preserve">. Cet objectif implique une augmentation des volumes d’intrants (engrais, pesticides et insecticides), généralement subventionnés par le gouvernement, mais aussi la maîtrise des ravageurs, notamment le </w:t>
      </w:r>
      <w:proofErr w:type="spellStart"/>
      <w:r w:rsidRPr="00D42B1B">
        <w:t>jasside</w:t>
      </w:r>
      <w:proofErr w:type="spellEnd"/>
      <w:r w:rsidRPr="00D42B1B">
        <w:t>, actuellement considéré comme l’un des principaux défis selon les acteurs de la filière.</w:t>
      </w:r>
    </w:p>
    <w:p w14:paraId="2BAE8B89" w14:textId="1D78D72B" w:rsidR="002E16EC" w:rsidRPr="00D42B1B" w:rsidRDefault="006918CD" w:rsidP="006918CD">
      <w:pPr>
        <w:spacing w:after="0"/>
      </w:pPr>
      <w:r w:rsidRPr="00D42B1B">
        <w:rPr>
          <w:u w:val="single"/>
        </w:rPr>
        <w:t>Côte d’Ivoire</w:t>
      </w:r>
      <w:r w:rsidR="00E90E52" w:rsidRPr="00D42B1B">
        <w:rPr>
          <w:u w:val="single"/>
        </w:rPr>
        <w:t> :</w:t>
      </w:r>
      <w:r w:rsidRPr="00D42B1B">
        <w:rPr>
          <w:u w:val="single"/>
        </w:rPr>
        <w:t xml:space="preserve"> </w:t>
      </w:r>
      <w:r w:rsidR="00E90E52" w:rsidRPr="00D42B1B">
        <w:rPr>
          <w:u w:val="single"/>
        </w:rPr>
        <w:t xml:space="preserve">retard à </w:t>
      </w:r>
      <w:r w:rsidRPr="00D42B1B">
        <w:rPr>
          <w:u w:val="single"/>
        </w:rPr>
        <w:t>réduire</w:t>
      </w:r>
      <w:r w:rsidR="00E90E52" w:rsidRPr="00D42B1B">
        <w:rPr>
          <w:u w:val="single"/>
        </w:rPr>
        <w:t>.</w:t>
      </w:r>
      <w:r w:rsidR="00E90E52" w:rsidRPr="00D42B1B">
        <w:t xml:space="preserve"> A</w:t>
      </w:r>
      <w:r w:rsidRPr="00D42B1B">
        <w:t xml:space="preserve">près deux campagnes consécutives en recul. Pour 2026/2027, l’Association Professionnelle des Sociétés Cotonnières de Côte d’Ivoire (APROCOT-CI) vise une </w:t>
      </w:r>
      <w:r w:rsidRPr="00D42B1B">
        <w:lastRenderedPageBreak/>
        <w:t>croissance de 29% de la récolte de coton graine pour la porter à 400 000 tonnes.</w:t>
      </w:r>
      <w:r w:rsidR="003F34E7" w:rsidRPr="00D42B1B">
        <w:t xml:space="preserve"> </w:t>
      </w:r>
      <w:r w:rsidRPr="00D42B1B">
        <w:t>La réussite de cette trajectoire dépendra notamment de la capacité de la filière à susciter à nouveau l’intérêt des producteurs, dont une partie s’est tournée ces dernières années vers des cultures jugées plus rémunératrices comme le soja ou la noix de cajou. Selon les données officielles, le nombre de producteurs opérant dans le secteur a chuté de près de 20%, à 79 979 personnes en 2025/2026.</w:t>
      </w:r>
    </w:p>
    <w:p w14:paraId="3FE35214" w14:textId="77777777" w:rsidR="003F34E7" w:rsidRPr="00D42B1B" w:rsidRDefault="003F34E7" w:rsidP="006918CD">
      <w:pPr>
        <w:spacing w:after="0"/>
      </w:pPr>
    </w:p>
    <w:p w14:paraId="613833B6" w14:textId="0F8E2CC3" w:rsidR="002E16EC" w:rsidRPr="00D42B1B" w:rsidRDefault="002E16EC" w:rsidP="00EF62CA">
      <w:pPr>
        <w:spacing w:after="0" w:line="240" w:lineRule="auto"/>
        <w:outlineLvl w:val="1"/>
        <w:rPr>
          <w:rFonts w:eastAsia="Times New Roman" w:cs="Arial"/>
          <w:b/>
          <w:bCs/>
          <w:color w:val="444444"/>
          <w:szCs w:val="20"/>
          <w:lang w:eastAsia="fr-FR"/>
        </w:rPr>
      </w:pPr>
      <w:bookmarkStart w:id="24" w:name="_Toc233878664"/>
      <w:bookmarkStart w:id="25" w:name="_Hlk233867573"/>
      <w:bookmarkStart w:id="26" w:name="_Hlk233192577"/>
      <w:r w:rsidRPr="00D42B1B">
        <w:rPr>
          <w:b/>
          <w:bCs/>
        </w:rPr>
        <w:t>Cacao - La Côte d’Ivoire et le Ghana veulent élargir le cartel du cacao au Nigeria et au Cameroun.</w:t>
      </w:r>
      <w:bookmarkEnd w:id="24"/>
    </w:p>
    <w:bookmarkEnd w:id="25"/>
    <w:p w14:paraId="23D56196" w14:textId="57AED8C3" w:rsidR="007F26A7" w:rsidRPr="00D42B1B" w:rsidRDefault="002E16EC" w:rsidP="002E16EC">
      <w:pPr>
        <w:spacing w:after="0"/>
      </w:pPr>
      <w:r w:rsidRPr="00D42B1B">
        <w:t>Abidjan</w:t>
      </w:r>
      <w:r w:rsidR="00EF62CA" w:rsidRPr="00D42B1B">
        <w:t xml:space="preserve"> (Côte d’Ivoire) </w:t>
      </w:r>
      <w:r w:rsidRPr="00D42B1B">
        <w:t xml:space="preserve">a accueilli </w:t>
      </w:r>
      <w:r w:rsidR="00EF62CA" w:rsidRPr="00D42B1B">
        <w:t>l</w:t>
      </w:r>
      <w:r w:rsidRPr="00D42B1B">
        <w:t>e 16 juin, un sommet de l'Initiative Cacao Côte d'Ivoire-Ghana, organisation intergouvernementale des pays producteurs de cacao, en présence du président ivoirien</w:t>
      </w:r>
      <w:r w:rsidR="00EF62CA" w:rsidRPr="00D42B1B">
        <w:t xml:space="preserve">, M. </w:t>
      </w:r>
      <w:r w:rsidRPr="00D42B1B">
        <w:t>Alassane Ouattara et de son homologue ghanéen,</w:t>
      </w:r>
      <w:r w:rsidR="00EF62CA" w:rsidRPr="00D42B1B">
        <w:t xml:space="preserve"> M. </w:t>
      </w:r>
      <w:r w:rsidRPr="00D42B1B">
        <w:t xml:space="preserve">John </w:t>
      </w:r>
      <w:proofErr w:type="spellStart"/>
      <w:r w:rsidRPr="00D42B1B">
        <w:t>Dramani</w:t>
      </w:r>
      <w:proofErr w:type="spellEnd"/>
      <w:r w:rsidRPr="00D42B1B">
        <w:t xml:space="preserve"> </w:t>
      </w:r>
      <w:proofErr w:type="spellStart"/>
      <w:r w:rsidRPr="00D42B1B">
        <w:t>Mahama</w:t>
      </w:r>
      <w:proofErr w:type="spellEnd"/>
      <w:r w:rsidRPr="00D42B1B">
        <w:t>.</w:t>
      </w:r>
      <w:r w:rsidR="00EF62CA" w:rsidRPr="00D42B1B">
        <w:t xml:space="preserve"> </w:t>
      </w:r>
      <w:r w:rsidRPr="00D42B1B">
        <w:t xml:space="preserve">Aux termes des </w:t>
      </w:r>
      <w:r w:rsidR="00EF62CA" w:rsidRPr="00D42B1B">
        <w:t>échange</w:t>
      </w:r>
      <w:r w:rsidRPr="00D42B1B">
        <w:t>s, les deux chefs d'Etat, ont réaffirmé leur volonté de renforcer davantage leur coordination et, surtout, d'élargir leur alliance à d'autres grands producteurs africains, notamment le Nigeria et le Cameroun. En outre, les</w:t>
      </w:r>
      <w:r w:rsidR="00EF62CA" w:rsidRPr="00D42B1B">
        <w:t xml:space="preserve"> deux</w:t>
      </w:r>
      <w:r w:rsidRPr="00D42B1B">
        <w:t xml:space="preserve"> </w:t>
      </w:r>
      <w:r w:rsidR="00EF62CA" w:rsidRPr="00D42B1B">
        <w:t xml:space="preserve">principaux pays producteurs de </w:t>
      </w:r>
      <w:r w:rsidRPr="00D42B1B">
        <w:t>cacao</w:t>
      </w:r>
      <w:r w:rsidR="00EF62CA" w:rsidRPr="00D42B1B">
        <w:t xml:space="preserve"> représentant environ 60% de la production mondiale</w:t>
      </w:r>
      <w:r w:rsidRPr="00D42B1B">
        <w:t>, ont pris la décision commune d'une harmonisation des prix des fèves, ainsi que de l'alignement du calendrier de la campagne de commercialisation.</w:t>
      </w:r>
      <w:r w:rsidR="00EF62CA" w:rsidRPr="00D42B1B">
        <w:t xml:space="preserve"> Cette </w:t>
      </w:r>
      <w:r w:rsidRPr="00D42B1B">
        <w:t>coordination vise à réduire les arbitrages défavorables des marchés et à renforcer le pouvoir de négociation des producteurs. Derrière cette dynamique, se dessine une ambition de structurer un front commun des pays producteurs capable d'influencer davantage les prix mondiaux et de réduire la vulnérabilité d'un secteur exposé à une forte volatilité.</w:t>
      </w:r>
      <w:r w:rsidR="00EF62CA" w:rsidRPr="00D42B1B">
        <w:t xml:space="preserve"> </w:t>
      </w:r>
      <w:r w:rsidRPr="00D42B1B">
        <w:t>Les chefs d'État ont également insisté sur la nécessité de répondre collectivement à plusieurs défis structurels qui fragilisent la filière, en l'occurrence le vieillissement des plantations, les effets du changement climatique, l'orpaillage illégal dans les zones de production, mais aussi la volatilité persistante des prix mondiaux.</w:t>
      </w:r>
      <w:r w:rsidR="00EF62CA" w:rsidRPr="00D42B1B">
        <w:t xml:space="preserve"> </w:t>
      </w:r>
      <w:r w:rsidR="00DA6C7A" w:rsidRPr="00D42B1B">
        <w:t xml:space="preserve">A ces problématiques s’ajoutent les nouvelles exigences internationales en matière de traçabilité et de durabilité, ainsi que l’apparition de produits de substitution. Selon les deux chefs d’Etat, la réponse doit être collective, avec pour priorité absolue la garantie d’une rémunération digne pour les producteurs. </w:t>
      </w:r>
      <w:r w:rsidRPr="00D42B1B">
        <w:t xml:space="preserve">Au-delà des enjeux commerciaux, le sommet a également mis en avant la dimension structurelle de la filière. Le président ghanéen a insisté sur l'urgence de mutualiser les efforts de recherche scientifique, notamment pour lutter contre des maladies destructrices comme le </w:t>
      </w:r>
      <w:proofErr w:type="spellStart"/>
      <w:r w:rsidRPr="00D42B1B">
        <w:rPr>
          <w:i/>
          <w:iCs/>
        </w:rPr>
        <w:t>Swollen</w:t>
      </w:r>
      <w:proofErr w:type="spellEnd"/>
      <w:r w:rsidRPr="00D42B1B">
        <w:rPr>
          <w:i/>
          <w:iCs/>
        </w:rPr>
        <w:t xml:space="preserve"> Shoot</w:t>
      </w:r>
      <w:r w:rsidRPr="00D42B1B">
        <w:t>, qui affecte fortement les rendements. Les deux dirigeants ont également réaffirmé leur ambition de bâtir une économie cacaoyère plus durable, répondant aux nouvelles exigences internationales en matière de traçabilité et de durabilité, de plus en plus déterminantes dans l'accès aux marchés.</w:t>
      </w:r>
      <w:r w:rsidR="00EF62CA" w:rsidRPr="00D42B1B">
        <w:t xml:space="preserve"> </w:t>
      </w:r>
      <w:r w:rsidRPr="00D42B1B">
        <w:t>Pour</w:t>
      </w:r>
      <w:r w:rsidR="00EF62CA" w:rsidRPr="00D42B1B">
        <w:t xml:space="preserve"> le Président ivoirien</w:t>
      </w:r>
      <w:r w:rsidRPr="00D42B1B">
        <w:t xml:space="preserve">, l'enjeu dépasse la simple performance économique : il s'agit d'une question de souveraineté. Le cacao, a-t-il rappelé, fait vivre plusieurs millions de personnes et constitue une source majeure de revenus, d'emplois et de financement des politiques publiques. En renforçant leur coordination et en élargissant leur initiative à d'autres producteurs majeurs, la Côte d'Ivoire et le Ghana entendent transformer leur poids productif en levier politique et économique. </w:t>
      </w:r>
      <w:r w:rsidR="00EF62CA" w:rsidRPr="00D42B1B">
        <w:t>Cette</w:t>
      </w:r>
      <w:r w:rsidRPr="00D42B1B">
        <w:t xml:space="preserve"> stratégie pourrait redéfinir les équilibres d'un marché mondial dont dépend une large part des économies rurales ouest-africaines.</w:t>
      </w:r>
      <w:r w:rsidR="00EF62CA" w:rsidRPr="00D42B1B">
        <w:t xml:space="preserve"> </w:t>
      </w:r>
      <w:r w:rsidRPr="00D42B1B">
        <w:t xml:space="preserve">Il convient </w:t>
      </w:r>
      <w:r w:rsidR="00EF62CA" w:rsidRPr="00D42B1B">
        <w:t>toutefois de rappeler</w:t>
      </w:r>
      <w:r w:rsidRPr="00D42B1B">
        <w:t xml:space="preserve"> que la décision de l'harmonisation des prix du cacao entre la Côte d'Ivoire et le Ghana, ainsi que de l'alignement du calendrier de la campagne de commercialisation n'est pas nouvelle. Cette mesure avait été adoptée au début de la création de l'Initiative réunissant les deux pays en 2018, mais sans jamais être appliquer. A titre d'exemple, pour la campagne 2025/2026 qui s'achève bientôt, le Ghana avait donné son </w:t>
      </w:r>
      <w:r w:rsidRPr="00D42B1B">
        <w:lastRenderedPageBreak/>
        <w:t>top départ début août 2025 et la Côte d'Ivoire début octobre de cette même année, avec des prix bords champs différents</w:t>
      </w:r>
      <w:r w:rsidR="00EF62CA" w:rsidRPr="00D42B1B">
        <w:t>.</w:t>
      </w:r>
    </w:p>
    <w:p w14:paraId="16AD163B" w14:textId="77777777" w:rsidR="00EF62CA" w:rsidRPr="00D42B1B" w:rsidRDefault="00EF62CA" w:rsidP="002E16EC">
      <w:pPr>
        <w:spacing w:after="0"/>
      </w:pPr>
    </w:p>
    <w:p w14:paraId="0813C338" w14:textId="46D46810" w:rsidR="007F26A7" w:rsidRPr="00D42B1B" w:rsidRDefault="007F26A7" w:rsidP="00AD7C11">
      <w:pPr>
        <w:spacing w:after="0" w:line="240" w:lineRule="auto"/>
        <w:outlineLvl w:val="1"/>
        <w:rPr>
          <w:rFonts w:eastAsia="Times New Roman" w:cs="Arial"/>
          <w:b/>
          <w:bCs/>
          <w:color w:val="444444"/>
          <w:szCs w:val="20"/>
          <w:lang w:eastAsia="fr-FR"/>
        </w:rPr>
      </w:pPr>
      <w:bookmarkStart w:id="27" w:name="_Toc233878665"/>
      <w:bookmarkStart w:id="28" w:name="_Hlk231584570"/>
      <w:bookmarkEnd w:id="10"/>
      <w:r w:rsidRPr="00D42B1B">
        <w:rPr>
          <w:rFonts w:eastAsia="Times New Roman" w:cs="Arial"/>
          <w:b/>
          <w:bCs/>
          <w:color w:val="444444"/>
          <w:szCs w:val="20"/>
          <w:lang w:eastAsia="fr-FR"/>
        </w:rPr>
        <w:t>Cacao - Montée en puissance du « faux chocolat ».</w:t>
      </w:r>
      <w:bookmarkEnd w:id="27"/>
    </w:p>
    <w:bookmarkEnd w:id="28"/>
    <w:p w14:paraId="58C0B172" w14:textId="70BD6544" w:rsidR="007F26A7" w:rsidRPr="00D42B1B" w:rsidRDefault="007F26A7" w:rsidP="007F26A7">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Considéré comme un ingrédient indispensable dans l’industrie chocolatière, le cacao voit désormais émerger une nouvelle génération d’alternatives capables d’en reproduire le goût sans utiliser une seule fève. Portées par des start-up technologiques, cette nouvelle vague d’innovation fait son chemin.</w:t>
      </w:r>
      <w:r w:rsidR="00AE0E10"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Le 14 mai dernier, le groupe agroalimentaire suisse Barry Callebaut, principal fabricant mondial de chocolat, a </w:t>
      </w:r>
      <w:r w:rsidR="00AE0E10" w:rsidRPr="00D42B1B">
        <w:rPr>
          <w:rFonts w:eastAsia="Times New Roman" w:cs="Arial"/>
          <w:color w:val="444444"/>
          <w:szCs w:val="20"/>
          <w:lang w:eastAsia="fr-FR"/>
        </w:rPr>
        <w:t xml:space="preserve">ainsi </w:t>
      </w:r>
      <w:r w:rsidRPr="00D42B1B">
        <w:rPr>
          <w:rFonts w:eastAsia="Times New Roman" w:cs="Arial"/>
          <w:color w:val="444444"/>
          <w:szCs w:val="20"/>
          <w:lang w:eastAsia="fr-FR"/>
        </w:rPr>
        <w:t xml:space="preserve">annoncé l’intégration d’un nouveau produit baptisé </w:t>
      </w:r>
      <w:proofErr w:type="spellStart"/>
      <w:r w:rsidRPr="00D42B1B">
        <w:rPr>
          <w:rFonts w:eastAsia="Times New Roman" w:cs="Arial"/>
          <w:color w:val="444444"/>
          <w:szCs w:val="20"/>
          <w:lang w:eastAsia="fr-FR"/>
        </w:rPr>
        <w:t>ChoViva</w:t>
      </w:r>
      <w:proofErr w:type="spellEnd"/>
      <w:r w:rsidRPr="00D42B1B">
        <w:rPr>
          <w:rFonts w:eastAsia="Times New Roman" w:cs="Arial"/>
          <w:color w:val="444444"/>
          <w:szCs w:val="20"/>
          <w:lang w:eastAsia="fr-FR"/>
        </w:rPr>
        <w:t xml:space="preserve"> dans son portefeuille de solutions commercialisées à grande échelle. Il s’agit d’une innovation qui se présente comme une alternative au chocolat sans cacao, capable d’imiter le goût et la texture du chocolat traditionnel.</w:t>
      </w:r>
      <w:r w:rsidR="00AE0E10" w:rsidRPr="00D42B1B">
        <w:rPr>
          <w:rFonts w:eastAsia="Times New Roman" w:cs="Arial"/>
          <w:color w:val="444444"/>
          <w:szCs w:val="20"/>
          <w:lang w:eastAsia="fr-FR"/>
        </w:rPr>
        <w:t xml:space="preserve"> </w:t>
      </w:r>
      <w:r w:rsidRPr="00D42B1B">
        <w:rPr>
          <w:rFonts w:eastAsia="Times New Roman" w:cs="Arial"/>
          <w:color w:val="444444"/>
          <w:szCs w:val="20"/>
          <w:lang w:eastAsia="fr-FR"/>
        </w:rPr>
        <w:t>Cette annonce apparaît comme un signal pour la filière cacao, car elle confirme que la fève n’est désormais plus l’unique base du goût chocolaté sur le marché mondial.</w:t>
      </w:r>
      <w:r w:rsidR="00AE0E10"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Développé par la start-up allemande Planet A </w:t>
      </w:r>
      <w:proofErr w:type="spellStart"/>
      <w:r w:rsidRPr="00D42B1B">
        <w:rPr>
          <w:rFonts w:eastAsia="Times New Roman" w:cs="Arial"/>
          <w:color w:val="444444"/>
          <w:szCs w:val="20"/>
          <w:lang w:eastAsia="fr-FR"/>
        </w:rPr>
        <w:t>Foods</w:t>
      </w:r>
      <w:proofErr w:type="spellEnd"/>
      <w:r w:rsidRPr="00D42B1B">
        <w:rPr>
          <w:rFonts w:eastAsia="Times New Roman" w:cs="Arial"/>
          <w:color w:val="444444"/>
          <w:szCs w:val="20"/>
          <w:lang w:eastAsia="fr-FR"/>
        </w:rPr>
        <w:t xml:space="preserve">, </w:t>
      </w:r>
      <w:proofErr w:type="spellStart"/>
      <w:r w:rsidRPr="00D42B1B">
        <w:rPr>
          <w:rFonts w:eastAsia="Times New Roman" w:cs="Arial"/>
          <w:color w:val="444444"/>
          <w:szCs w:val="20"/>
          <w:lang w:eastAsia="fr-FR"/>
        </w:rPr>
        <w:t>ChoViva</w:t>
      </w:r>
      <w:proofErr w:type="spellEnd"/>
      <w:r w:rsidRPr="00D42B1B">
        <w:rPr>
          <w:rFonts w:eastAsia="Times New Roman" w:cs="Arial"/>
          <w:color w:val="444444"/>
          <w:szCs w:val="20"/>
          <w:lang w:eastAsia="fr-FR"/>
        </w:rPr>
        <w:t xml:space="preserve"> est né d’un projet de recherche visant à reproduire l’expérience sensorielle du chocolat sans utiliser de cacao. L’entreprise a développé un procédé reposant sur la fermentation et la torréfaction de graines de tournesol et de pépins de raisin afin de reproduire des arômes proches du cacao, auxquels sont ajoutés du sucre, du lait et des matières grasses.</w:t>
      </w:r>
      <w:r w:rsidR="00AE0E10"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D’abord testé à petite échelle dans des applications industrielles en Europe à partir du début des années 2020, le produit a progressivement gagné en maturité technologique et commerciale. Déjà commercialisé dans des supermarchés européens depuis 2024, sa montée en puissance industrielle se confirme désormais avec </w:t>
      </w:r>
      <w:r w:rsidR="00AE0E10" w:rsidRPr="00D42B1B">
        <w:rPr>
          <w:rFonts w:eastAsia="Times New Roman" w:cs="Arial"/>
          <w:color w:val="444444"/>
          <w:szCs w:val="20"/>
          <w:lang w:eastAsia="fr-FR"/>
        </w:rPr>
        <w:t>l’intérêt confirmé</w:t>
      </w:r>
      <w:r w:rsidRPr="00D42B1B">
        <w:rPr>
          <w:rFonts w:eastAsia="Times New Roman" w:cs="Arial"/>
          <w:color w:val="444444"/>
          <w:szCs w:val="20"/>
          <w:lang w:eastAsia="fr-FR"/>
        </w:rPr>
        <w:t xml:space="preserve"> de Barry, faisant passer cette innovation du statut de niche à celui de solution industrielle destinée au marché mondial.</w:t>
      </w:r>
    </w:p>
    <w:p w14:paraId="26A375B5" w14:textId="03F8A577" w:rsidR="00070467" w:rsidRPr="00D42B1B" w:rsidRDefault="007F26A7" w:rsidP="007F26A7">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Le groupe suisse a en effet conclu un partenariat commercial avec Planet A </w:t>
      </w:r>
      <w:proofErr w:type="spellStart"/>
      <w:r w:rsidRPr="00D42B1B">
        <w:rPr>
          <w:rFonts w:eastAsia="Times New Roman" w:cs="Arial"/>
          <w:color w:val="444444"/>
          <w:szCs w:val="20"/>
          <w:lang w:eastAsia="fr-FR"/>
        </w:rPr>
        <w:t>Foods</w:t>
      </w:r>
      <w:proofErr w:type="spellEnd"/>
      <w:r w:rsidRPr="00D42B1B">
        <w:rPr>
          <w:rFonts w:eastAsia="Times New Roman" w:cs="Arial"/>
          <w:color w:val="444444"/>
          <w:szCs w:val="20"/>
          <w:lang w:eastAsia="fr-FR"/>
        </w:rPr>
        <w:t xml:space="preserve"> pour distribuer </w:t>
      </w:r>
      <w:proofErr w:type="spellStart"/>
      <w:r w:rsidRPr="00D42B1B">
        <w:rPr>
          <w:rFonts w:eastAsia="Times New Roman" w:cs="Arial"/>
          <w:color w:val="444444"/>
          <w:szCs w:val="20"/>
          <w:lang w:eastAsia="fr-FR"/>
        </w:rPr>
        <w:t>ChoViva</w:t>
      </w:r>
      <w:proofErr w:type="spellEnd"/>
      <w:r w:rsidRPr="00D42B1B">
        <w:rPr>
          <w:rFonts w:eastAsia="Times New Roman" w:cs="Arial"/>
          <w:color w:val="444444"/>
          <w:szCs w:val="20"/>
          <w:lang w:eastAsia="fr-FR"/>
        </w:rPr>
        <w:t xml:space="preserve"> en exclusivité. </w:t>
      </w:r>
      <w:proofErr w:type="spellStart"/>
      <w:r w:rsidRPr="00D42B1B">
        <w:rPr>
          <w:rFonts w:eastAsia="Times New Roman" w:cs="Arial"/>
          <w:color w:val="444444"/>
          <w:szCs w:val="20"/>
          <w:lang w:eastAsia="fr-FR"/>
        </w:rPr>
        <w:t>ChoViva</w:t>
      </w:r>
      <w:proofErr w:type="spellEnd"/>
      <w:r w:rsidRPr="00D42B1B">
        <w:rPr>
          <w:rFonts w:eastAsia="Times New Roman" w:cs="Arial"/>
          <w:color w:val="444444"/>
          <w:szCs w:val="20"/>
          <w:lang w:eastAsia="fr-FR"/>
        </w:rPr>
        <w:t xml:space="preserve"> est aujourd’hui l’une des rares alternatives déjà commercialisées à grande échelle. Mais elle s’inscrit dans un mouvement plus vaste qui voit émerger, à travers le monde, plusieurs technologies cherchant à réduire la dépendance au cacao traditionnel.</w:t>
      </w:r>
      <w:r w:rsidR="00AE0E10"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En avril dernier, </w:t>
      </w:r>
      <w:proofErr w:type="spellStart"/>
      <w:r w:rsidRPr="00D42B1B">
        <w:rPr>
          <w:rFonts w:eastAsia="Times New Roman" w:cs="Arial"/>
          <w:color w:val="444444"/>
          <w:szCs w:val="20"/>
          <w:lang w:eastAsia="fr-FR"/>
        </w:rPr>
        <w:t>Celleste</w:t>
      </w:r>
      <w:proofErr w:type="spellEnd"/>
      <w:r w:rsidRPr="00D42B1B">
        <w:rPr>
          <w:rFonts w:eastAsia="Times New Roman" w:cs="Arial"/>
          <w:color w:val="444444"/>
          <w:szCs w:val="20"/>
          <w:lang w:eastAsia="fr-FR"/>
        </w:rPr>
        <w:t xml:space="preserve"> Bio, une start-up israélienne fondée en 2022, a annoncé avoir créé les premières tablettes de chocolat au lait à base de beurre de cacao cultivé en laboratoire. Selon les informations relayées par les médias internationaux, cette technologie est développée avec l’appui de l’américain Mondel</w:t>
      </w:r>
      <w:r w:rsidR="00AE0E10" w:rsidRPr="00D42B1B">
        <w:rPr>
          <w:rFonts w:eastAsia="Times New Roman" w:cs="Arial"/>
          <w:color w:val="444444"/>
          <w:szCs w:val="20"/>
          <w:lang w:eastAsia="fr-FR"/>
        </w:rPr>
        <w:t>e</w:t>
      </w:r>
      <w:r w:rsidRPr="00D42B1B">
        <w:rPr>
          <w:rFonts w:eastAsia="Times New Roman" w:cs="Arial"/>
          <w:color w:val="444444"/>
          <w:szCs w:val="20"/>
          <w:lang w:eastAsia="fr-FR"/>
        </w:rPr>
        <w:t>z International. D’après les responsables du projet, cette innovation permet de reproduire un beurre « bio identique », testé et valid</w:t>
      </w:r>
      <w:r w:rsidRPr="00D42B1B">
        <w:rPr>
          <w:rFonts w:eastAsia="Times New Roman" w:cs="Arial" w:hint="eastAsia"/>
          <w:color w:val="444444"/>
          <w:szCs w:val="20"/>
          <w:lang w:eastAsia="fr-FR"/>
        </w:rPr>
        <w:t>é</w:t>
      </w:r>
      <w:r w:rsidRPr="00D42B1B">
        <w:rPr>
          <w:rFonts w:eastAsia="Times New Roman" w:cs="Arial"/>
          <w:color w:val="444444"/>
          <w:szCs w:val="20"/>
          <w:lang w:eastAsia="fr-FR"/>
        </w:rPr>
        <w:t xml:space="preserve"> industriellement.</w:t>
      </w:r>
      <w:r w:rsidR="00AE0E10" w:rsidRPr="00D42B1B">
        <w:rPr>
          <w:rFonts w:eastAsia="Times New Roman" w:cs="Arial"/>
          <w:color w:val="444444"/>
          <w:szCs w:val="20"/>
          <w:lang w:eastAsia="fr-FR"/>
        </w:rPr>
        <w:t xml:space="preserve"> </w:t>
      </w:r>
      <w:r w:rsidRPr="00D42B1B">
        <w:rPr>
          <w:rFonts w:eastAsia="Times New Roman" w:cs="Arial"/>
          <w:color w:val="444444"/>
          <w:szCs w:val="20"/>
          <w:lang w:eastAsia="fr-FR"/>
        </w:rPr>
        <w:t>En Suisse, la start-up Food Brewer a également entamé depuis 2022 des expérimentations pour cultiver le cacao en laboratoire à partir de cellules végétales. Selon les responsables du projet, la mise sur le marché du chocolat à base de production cellulaire est prévue d’ici la fin de l’année 2026. La start-up prévoit également de produire d’ici 2035 des dizaines de milliers de tonnes de cacao chaque année.</w:t>
      </w:r>
      <w:r w:rsidR="00AE0E10"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De même, au Royaume-Uni, la start-up britannique </w:t>
      </w:r>
      <w:proofErr w:type="spellStart"/>
      <w:r w:rsidRPr="00D42B1B">
        <w:rPr>
          <w:rFonts w:eastAsia="Times New Roman" w:cs="Arial"/>
          <w:color w:val="444444"/>
          <w:szCs w:val="20"/>
          <w:lang w:eastAsia="fr-FR"/>
        </w:rPr>
        <w:t>Nukoko</w:t>
      </w:r>
      <w:proofErr w:type="spellEnd"/>
      <w:r w:rsidRPr="00D42B1B">
        <w:rPr>
          <w:rFonts w:eastAsia="Times New Roman" w:cs="Arial"/>
          <w:color w:val="444444"/>
          <w:szCs w:val="20"/>
          <w:lang w:eastAsia="fr-FR"/>
        </w:rPr>
        <w:t xml:space="preserve"> a mis au point une technologie de fermentation brevetée qui transforme les fèves de </w:t>
      </w:r>
      <w:proofErr w:type="spellStart"/>
      <w:r w:rsidRPr="00D42B1B">
        <w:rPr>
          <w:rFonts w:eastAsia="Times New Roman" w:cs="Arial"/>
          <w:color w:val="444444"/>
          <w:szCs w:val="20"/>
          <w:lang w:eastAsia="fr-FR"/>
        </w:rPr>
        <w:t>fava</w:t>
      </w:r>
      <w:proofErr w:type="spellEnd"/>
      <w:r w:rsidRPr="00D42B1B">
        <w:rPr>
          <w:rFonts w:eastAsia="Times New Roman" w:cs="Arial"/>
          <w:color w:val="444444"/>
          <w:szCs w:val="20"/>
          <w:lang w:eastAsia="fr-FR"/>
        </w:rPr>
        <w:t xml:space="preserve"> en une alternative au chocolat, reproduisant les saveurs typiques du cacao. Fondée en 2022, elle a levé 1,5</w:t>
      </w:r>
      <w:r w:rsidRPr="00D42B1B">
        <w:rPr>
          <w:rFonts w:ascii="Times New Roman" w:eastAsia="Times New Roman" w:hAnsi="Times New Roman" w:cs="Times New Roman"/>
          <w:color w:val="444444"/>
          <w:szCs w:val="20"/>
          <w:lang w:eastAsia="fr-FR"/>
        </w:rPr>
        <w:t> </w:t>
      </w:r>
      <w:r w:rsidR="00AE0E10" w:rsidRPr="00D42B1B">
        <w:rPr>
          <w:rFonts w:eastAsia="Times New Roman" w:cs="Arial"/>
          <w:color w:val="444444"/>
          <w:szCs w:val="20"/>
          <w:lang w:eastAsia="fr-FR"/>
        </w:rPr>
        <w:t>M EUR</w:t>
      </w:r>
      <w:r w:rsidRPr="00D42B1B">
        <w:rPr>
          <w:rFonts w:eastAsia="Times New Roman" w:cs="Arial"/>
          <w:color w:val="444444"/>
          <w:szCs w:val="20"/>
          <w:lang w:eastAsia="fr-FR"/>
        </w:rPr>
        <w:t xml:space="preserve"> en 2024 et s</w:t>
      </w:r>
      <w:r w:rsidRPr="00D42B1B">
        <w:rPr>
          <w:rFonts w:eastAsia="Times New Roman" w:cs="Marianne"/>
          <w:color w:val="444444"/>
          <w:szCs w:val="20"/>
          <w:lang w:eastAsia="fr-FR"/>
        </w:rPr>
        <w:t>’</w:t>
      </w:r>
      <w:r w:rsidRPr="00D42B1B">
        <w:rPr>
          <w:rFonts w:eastAsia="Times New Roman" w:cs="Arial"/>
          <w:color w:val="444444"/>
          <w:szCs w:val="20"/>
          <w:lang w:eastAsia="fr-FR"/>
        </w:rPr>
        <w:t>est associ</w:t>
      </w:r>
      <w:r w:rsidRPr="00D42B1B">
        <w:rPr>
          <w:rFonts w:eastAsia="Times New Roman" w:cs="Marianne"/>
          <w:color w:val="444444"/>
          <w:szCs w:val="20"/>
          <w:lang w:eastAsia="fr-FR"/>
        </w:rPr>
        <w:t>é</w:t>
      </w:r>
      <w:r w:rsidRPr="00D42B1B">
        <w:rPr>
          <w:rFonts w:eastAsia="Times New Roman" w:cs="Arial"/>
          <w:color w:val="444444"/>
          <w:szCs w:val="20"/>
          <w:lang w:eastAsia="fr-FR"/>
        </w:rPr>
        <w:t xml:space="preserve">e </w:t>
      </w:r>
      <w:r w:rsidRPr="00D42B1B">
        <w:rPr>
          <w:rFonts w:eastAsia="Times New Roman" w:cs="Marianne"/>
          <w:color w:val="444444"/>
          <w:szCs w:val="20"/>
          <w:lang w:eastAsia="fr-FR"/>
        </w:rPr>
        <w:t>à</w:t>
      </w:r>
      <w:r w:rsidRPr="00D42B1B">
        <w:rPr>
          <w:rFonts w:eastAsia="Times New Roman" w:cs="Arial"/>
          <w:color w:val="444444"/>
          <w:szCs w:val="20"/>
          <w:lang w:eastAsia="fr-FR"/>
        </w:rPr>
        <w:t xml:space="preserve"> l</w:t>
      </w:r>
      <w:r w:rsidRPr="00D42B1B">
        <w:rPr>
          <w:rFonts w:eastAsia="Times New Roman" w:cs="Marianne"/>
          <w:color w:val="444444"/>
          <w:szCs w:val="20"/>
          <w:lang w:eastAsia="fr-FR"/>
        </w:rPr>
        <w:t>’</w:t>
      </w:r>
      <w:r w:rsidRPr="00D42B1B">
        <w:rPr>
          <w:rFonts w:eastAsia="Times New Roman" w:cs="Arial"/>
          <w:color w:val="444444"/>
          <w:szCs w:val="20"/>
          <w:lang w:eastAsia="fr-FR"/>
        </w:rPr>
        <w:t xml:space="preserve">entreprise agroalimentaire allemande </w:t>
      </w:r>
      <w:proofErr w:type="spellStart"/>
      <w:r w:rsidRPr="00D42B1B">
        <w:rPr>
          <w:rFonts w:eastAsia="Times New Roman" w:cs="Arial"/>
          <w:color w:val="444444"/>
          <w:szCs w:val="20"/>
          <w:lang w:eastAsia="fr-FR"/>
        </w:rPr>
        <w:t>D</w:t>
      </w:r>
      <w:r w:rsidRPr="00D42B1B">
        <w:rPr>
          <w:rFonts w:eastAsia="Times New Roman" w:cs="Marianne"/>
          <w:color w:val="444444"/>
          <w:szCs w:val="20"/>
          <w:lang w:eastAsia="fr-FR"/>
        </w:rPr>
        <w:t>ö</w:t>
      </w:r>
      <w:r w:rsidRPr="00D42B1B">
        <w:rPr>
          <w:rFonts w:eastAsia="Times New Roman" w:cs="Arial"/>
          <w:color w:val="444444"/>
          <w:szCs w:val="20"/>
          <w:lang w:eastAsia="fr-FR"/>
        </w:rPr>
        <w:t>hler</w:t>
      </w:r>
      <w:proofErr w:type="spellEnd"/>
      <w:r w:rsidRPr="00D42B1B">
        <w:rPr>
          <w:rFonts w:eastAsia="Times New Roman" w:cs="Arial"/>
          <w:color w:val="444444"/>
          <w:szCs w:val="20"/>
          <w:lang w:eastAsia="fr-FR"/>
        </w:rPr>
        <w:t>, spécialisée dans les ingrédients naturels, pour préparer l’industrialisation et la commercialisation à grande échelle de son innovation.</w:t>
      </w:r>
      <w:r w:rsidR="00AE0E10"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Plusieurs de ces projets demeurent encore au stade pilote ou </w:t>
      </w:r>
      <w:proofErr w:type="spellStart"/>
      <w:r w:rsidRPr="00D42B1B">
        <w:rPr>
          <w:rFonts w:eastAsia="Times New Roman" w:cs="Arial"/>
          <w:color w:val="444444"/>
          <w:szCs w:val="20"/>
          <w:lang w:eastAsia="fr-FR"/>
        </w:rPr>
        <w:t>précommercial</w:t>
      </w:r>
      <w:proofErr w:type="spellEnd"/>
      <w:r w:rsidRPr="00D42B1B">
        <w:rPr>
          <w:rFonts w:eastAsia="Times New Roman" w:cs="Arial"/>
          <w:color w:val="444444"/>
          <w:szCs w:val="20"/>
          <w:lang w:eastAsia="fr-FR"/>
        </w:rPr>
        <w:t xml:space="preserve">. Ils témoignent néanmoins d’un intérêt croissant des industriels pour des alternatives capables de diversifier les sources d’approvisionnement et </w:t>
      </w:r>
      <w:r w:rsidRPr="00D42B1B">
        <w:rPr>
          <w:rFonts w:eastAsia="Times New Roman" w:cs="Arial"/>
          <w:color w:val="444444"/>
          <w:szCs w:val="20"/>
          <w:lang w:eastAsia="fr-FR"/>
        </w:rPr>
        <w:lastRenderedPageBreak/>
        <w:t>garantir un approvisionnement stable en matière première.</w:t>
      </w:r>
      <w:r w:rsidR="00AE0E10" w:rsidRPr="00D42B1B">
        <w:rPr>
          <w:rFonts w:eastAsia="Times New Roman" w:cs="Arial"/>
          <w:color w:val="444444"/>
          <w:szCs w:val="20"/>
          <w:lang w:eastAsia="fr-FR"/>
        </w:rPr>
        <w:t xml:space="preserve"> </w:t>
      </w:r>
      <w:r w:rsidRPr="00D42B1B">
        <w:rPr>
          <w:rFonts w:eastAsia="Times New Roman" w:cs="Arial"/>
          <w:color w:val="444444"/>
          <w:szCs w:val="20"/>
          <w:lang w:eastAsia="fr-FR"/>
        </w:rPr>
        <w:t>L’essor de ces alternatives intervient dans un contexte particulièrement tendu pour la filière cacao mondiale. La production, concentrée en Afrique qui fournit plus de 70% de l’offre annuelle, fait face à plusieurs contraintes simultanées</w:t>
      </w:r>
      <w:r w:rsidR="00AE0E10" w:rsidRPr="00D42B1B">
        <w:rPr>
          <w:rFonts w:eastAsia="Times New Roman" w:cs="Arial"/>
          <w:color w:val="444444"/>
          <w:szCs w:val="20"/>
          <w:lang w:eastAsia="fr-FR"/>
        </w:rPr>
        <w:t xml:space="preserve"> : </w:t>
      </w:r>
      <w:r w:rsidRPr="00D42B1B">
        <w:rPr>
          <w:rFonts w:eastAsia="Times New Roman" w:cs="Arial"/>
          <w:color w:val="444444"/>
          <w:szCs w:val="20"/>
          <w:lang w:eastAsia="fr-FR"/>
        </w:rPr>
        <w:t>vieillissement des plantations, faible productivité, aléas climatiques croissants et maladies affectant les cacaoyers.</w:t>
      </w:r>
      <w:r w:rsidR="009806C6"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Ces difficultés </w:t>
      </w:r>
      <w:r w:rsidR="009806C6" w:rsidRPr="00D42B1B">
        <w:rPr>
          <w:rFonts w:eastAsia="Times New Roman" w:cs="Arial"/>
          <w:color w:val="444444"/>
          <w:szCs w:val="20"/>
          <w:lang w:eastAsia="fr-FR"/>
        </w:rPr>
        <w:t>avaient</w:t>
      </w:r>
      <w:r w:rsidRPr="00D42B1B">
        <w:rPr>
          <w:rFonts w:eastAsia="Times New Roman" w:cs="Arial"/>
          <w:color w:val="444444"/>
          <w:szCs w:val="20"/>
          <w:lang w:eastAsia="fr-FR"/>
        </w:rPr>
        <w:t xml:space="preserve"> contribué à une envolée spectaculaire des cours, qui ont culminé à 12 906 </w:t>
      </w:r>
      <w:r w:rsidR="009806C6" w:rsidRPr="00D42B1B">
        <w:rPr>
          <w:rFonts w:eastAsia="Times New Roman" w:cs="Arial"/>
          <w:color w:val="444444"/>
          <w:szCs w:val="20"/>
          <w:lang w:eastAsia="fr-FR"/>
        </w:rPr>
        <w:t xml:space="preserve">USD </w:t>
      </w:r>
      <w:r w:rsidRPr="00D42B1B">
        <w:rPr>
          <w:rFonts w:eastAsia="Times New Roman" w:cs="Arial"/>
          <w:color w:val="444444"/>
          <w:szCs w:val="20"/>
          <w:lang w:eastAsia="fr-FR"/>
        </w:rPr>
        <w:t>la tonne à New York en décembre 2024. Même si les prix ont depuis fortement reculé pour évoluer autour de 3</w:t>
      </w:r>
      <w:r w:rsidR="009806C6" w:rsidRPr="00D42B1B">
        <w:rPr>
          <w:rFonts w:eastAsia="Times New Roman" w:cs="Arial"/>
          <w:color w:val="444444"/>
          <w:szCs w:val="20"/>
          <w:lang w:eastAsia="fr-FR"/>
        </w:rPr>
        <w:t> </w:t>
      </w:r>
      <w:r w:rsidRPr="00D42B1B">
        <w:rPr>
          <w:rFonts w:eastAsia="Times New Roman" w:cs="Arial"/>
          <w:color w:val="444444"/>
          <w:szCs w:val="20"/>
          <w:lang w:eastAsia="fr-FR"/>
        </w:rPr>
        <w:t>000</w:t>
      </w:r>
      <w:r w:rsidR="009806C6" w:rsidRPr="00D42B1B">
        <w:rPr>
          <w:rFonts w:eastAsia="Times New Roman" w:cs="Arial"/>
          <w:color w:val="444444"/>
          <w:szCs w:val="20"/>
          <w:lang w:eastAsia="fr-FR"/>
        </w:rPr>
        <w:t xml:space="preserve"> USD </w:t>
      </w:r>
      <w:r w:rsidRPr="00D42B1B">
        <w:rPr>
          <w:rFonts w:eastAsia="Times New Roman" w:cs="Arial"/>
          <w:color w:val="444444"/>
          <w:szCs w:val="20"/>
          <w:lang w:eastAsia="fr-FR"/>
        </w:rPr>
        <w:t>la tonne au début de l’année 2026, cette correction ne signifie pas un retour à la normale</w:t>
      </w:r>
      <w:r w:rsidR="009806C6" w:rsidRPr="00D42B1B">
        <w:rPr>
          <w:rFonts w:eastAsia="Times New Roman" w:cs="Arial"/>
          <w:color w:val="444444"/>
          <w:szCs w:val="20"/>
          <w:lang w:eastAsia="fr-FR"/>
        </w:rPr>
        <w:t xml:space="preserve"> car </w:t>
      </w:r>
      <w:r w:rsidRPr="00D42B1B">
        <w:rPr>
          <w:rFonts w:eastAsia="Times New Roman" w:cs="Arial"/>
          <w:color w:val="444444"/>
          <w:szCs w:val="20"/>
          <w:lang w:eastAsia="fr-FR"/>
        </w:rPr>
        <w:t>il faut généralement jusqu’à 10 mois pour que les variations du prix du cacao se répercutent sur les prix du chocolat au détail, les industriels couvr</w:t>
      </w:r>
      <w:r w:rsidR="009806C6" w:rsidRPr="00D42B1B">
        <w:rPr>
          <w:rFonts w:eastAsia="Times New Roman" w:cs="Arial"/>
          <w:color w:val="444444"/>
          <w:szCs w:val="20"/>
          <w:lang w:eastAsia="fr-FR"/>
        </w:rPr>
        <w:t>a</w:t>
      </w:r>
      <w:r w:rsidRPr="00D42B1B">
        <w:rPr>
          <w:rFonts w:eastAsia="Times New Roman" w:cs="Arial"/>
          <w:color w:val="444444"/>
          <w:szCs w:val="20"/>
          <w:lang w:eastAsia="fr-FR"/>
        </w:rPr>
        <w:t>nt leurs achats plusieurs mois à l’avance et dispos</w:t>
      </w:r>
      <w:r w:rsidR="009806C6" w:rsidRPr="00D42B1B">
        <w:rPr>
          <w:rFonts w:eastAsia="Times New Roman" w:cs="Arial"/>
          <w:color w:val="444444"/>
          <w:szCs w:val="20"/>
          <w:lang w:eastAsia="fr-FR"/>
        </w:rPr>
        <w:t>a</w:t>
      </w:r>
      <w:r w:rsidRPr="00D42B1B">
        <w:rPr>
          <w:rFonts w:eastAsia="Times New Roman" w:cs="Arial"/>
          <w:color w:val="444444"/>
          <w:szCs w:val="20"/>
          <w:lang w:eastAsia="fr-FR"/>
        </w:rPr>
        <w:t>nt d’importants stocks. Cette forte volatilité illustre les difficultés du marché à retrouver un équilibre durable.</w:t>
      </w:r>
      <w:r w:rsidR="009806C6" w:rsidRPr="00D42B1B">
        <w:rPr>
          <w:rFonts w:eastAsia="Times New Roman" w:cs="Arial"/>
          <w:color w:val="444444"/>
          <w:szCs w:val="20"/>
          <w:lang w:eastAsia="fr-FR"/>
        </w:rPr>
        <w:t xml:space="preserve"> L</w:t>
      </w:r>
      <w:r w:rsidRPr="00D42B1B">
        <w:rPr>
          <w:rFonts w:eastAsia="Times New Roman" w:cs="Arial"/>
          <w:color w:val="444444"/>
          <w:szCs w:val="20"/>
          <w:lang w:eastAsia="fr-FR"/>
        </w:rPr>
        <w:t>e marché du cacao est entré dans un nouveau cycle qui se traduit également par un affaiblissement de la demande dans les principales régions consommatrices</w:t>
      </w:r>
      <w:r w:rsidR="009806C6" w:rsidRPr="00D42B1B">
        <w:rPr>
          <w:rFonts w:eastAsia="Times New Roman" w:cs="Arial"/>
          <w:color w:val="444444"/>
          <w:szCs w:val="20"/>
          <w:lang w:eastAsia="fr-FR"/>
        </w:rPr>
        <w:t xml:space="preserve"> avec </w:t>
      </w:r>
      <w:r w:rsidRPr="00D42B1B">
        <w:rPr>
          <w:rFonts w:eastAsia="Times New Roman" w:cs="Arial"/>
          <w:color w:val="444444"/>
          <w:szCs w:val="20"/>
          <w:lang w:eastAsia="fr-FR"/>
        </w:rPr>
        <w:t>un recul net du broyage et de l’utilisation du cacao en Europe, en Amérique du Nord et en Asie. Les industriels du chocolat utilisent moins de cacao et trouvent des formulations alternatives, tandis que la crise du coût de la vie pousse les ménages à réduire leurs achats de confiseries.</w:t>
      </w:r>
      <w:r w:rsidR="009806C6"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Dans ce contexte, </w:t>
      </w:r>
      <w:r w:rsidR="009806C6" w:rsidRPr="00D42B1B">
        <w:rPr>
          <w:rFonts w:eastAsia="Times New Roman" w:cs="Arial"/>
          <w:color w:val="444444"/>
          <w:szCs w:val="20"/>
          <w:lang w:eastAsia="fr-FR"/>
        </w:rPr>
        <w:t xml:space="preserve">ces innovations annonçant </w:t>
      </w:r>
      <w:r w:rsidRPr="00D42B1B">
        <w:rPr>
          <w:rFonts w:eastAsia="Times New Roman" w:cs="Arial"/>
          <w:color w:val="444444"/>
          <w:szCs w:val="20"/>
          <w:lang w:eastAsia="fr-FR"/>
        </w:rPr>
        <w:t>l’émergence du chocolat sans cacao vont-elles durablement affecter la demande mondiale de cacao ou simplement transformer sa structure ?</w:t>
      </w:r>
      <w:r w:rsidR="009806C6" w:rsidRPr="00D42B1B">
        <w:rPr>
          <w:rFonts w:eastAsia="Times New Roman" w:cs="Arial"/>
          <w:color w:val="444444"/>
          <w:szCs w:val="20"/>
          <w:lang w:eastAsia="fr-FR"/>
        </w:rPr>
        <w:t xml:space="preserve"> A</w:t>
      </w:r>
      <w:r w:rsidRPr="00D42B1B">
        <w:rPr>
          <w:rFonts w:eastAsia="Times New Roman" w:cs="Arial"/>
          <w:color w:val="444444"/>
          <w:szCs w:val="20"/>
          <w:lang w:eastAsia="fr-FR"/>
        </w:rPr>
        <w:t xml:space="preserve"> moyen terme, le principal risque réside dans la substitution progressive du cacao dans certains usages industriels, notamment dans les biscuits, les glaces, les céréales, les confiseries et d’autres produits où la saveur chocolatée peut être reproduite sans recourir à la fève de cacao.</w:t>
      </w:r>
      <w:r w:rsidR="009806C6"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Si ces alternatives deviennent plus abordables et offrent une meilleure stabilité d’approvisionnement, elles pourraient séduire une partie des consommateurs et des industriels. </w:t>
      </w:r>
      <w:r w:rsidR="009806C6" w:rsidRPr="00D42B1B">
        <w:rPr>
          <w:rFonts w:eastAsia="Times New Roman" w:cs="Arial"/>
          <w:color w:val="444444"/>
          <w:szCs w:val="20"/>
          <w:lang w:eastAsia="fr-FR"/>
        </w:rPr>
        <w:t>L</w:t>
      </w:r>
      <w:r w:rsidRPr="00D42B1B">
        <w:rPr>
          <w:rFonts w:eastAsia="Times New Roman" w:cs="Arial"/>
          <w:color w:val="444444"/>
          <w:szCs w:val="20"/>
          <w:lang w:eastAsia="fr-FR"/>
        </w:rPr>
        <w:t xml:space="preserve">a chocolaterie française </w:t>
      </w:r>
      <w:proofErr w:type="spellStart"/>
      <w:r w:rsidRPr="00D42B1B">
        <w:rPr>
          <w:rFonts w:eastAsia="Times New Roman" w:cs="Arial"/>
          <w:color w:val="444444"/>
          <w:szCs w:val="20"/>
          <w:lang w:eastAsia="fr-FR"/>
        </w:rPr>
        <w:t>Abtey</w:t>
      </w:r>
      <w:proofErr w:type="spellEnd"/>
      <w:r w:rsidRPr="00D42B1B">
        <w:rPr>
          <w:rFonts w:eastAsia="Times New Roman" w:cs="Arial"/>
          <w:color w:val="444444"/>
          <w:szCs w:val="20"/>
          <w:lang w:eastAsia="fr-FR"/>
        </w:rPr>
        <w:t xml:space="preserve"> commercialisait en 2024 ses produits à base de </w:t>
      </w:r>
      <w:proofErr w:type="spellStart"/>
      <w:r w:rsidRPr="00D42B1B">
        <w:rPr>
          <w:rFonts w:eastAsia="Times New Roman" w:cs="Arial"/>
          <w:color w:val="444444"/>
          <w:szCs w:val="20"/>
          <w:lang w:eastAsia="fr-FR"/>
        </w:rPr>
        <w:t>ChoViva</w:t>
      </w:r>
      <w:proofErr w:type="spellEnd"/>
      <w:r w:rsidRPr="00D42B1B">
        <w:rPr>
          <w:rFonts w:eastAsia="Times New Roman" w:cs="Arial"/>
          <w:color w:val="444444"/>
          <w:szCs w:val="20"/>
          <w:lang w:eastAsia="fr-FR"/>
        </w:rPr>
        <w:t xml:space="preserve"> à environ 28</w:t>
      </w:r>
      <w:r w:rsidR="009806C6" w:rsidRPr="00D42B1B">
        <w:rPr>
          <w:rFonts w:eastAsia="Times New Roman" w:cs="Arial"/>
          <w:color w:val="444444"/>
          <w:szCs w:val="20"/>
          <w:lang w:eastAsia="fr-FR"/>
        </w:rPr>
        <w:t xml:space="preserve"> EUR/kg</w:t>
      </w:r>
      <w:r w:rsidRPr="00D42B1B">
        <w:rPr>
          <w:rFonts w:eastAsia="Times New Roman" w:cs="Arial"/>
          <w:color w:val="444444"/>
          <w:szCs w:val="20"/>
          <w:lang w:eastAsia="fr-FR"/>
        </w:rPr>
        <w:t xml:space="preserve">, contre près de 48 </w:t>
      </w:r>
      <w:r w:rsidR="009806C6" w:rsidRPr="00D42B1B">
        <w:rPr>
          <w:rFonts w:eastAsia="Times New Roman" w:cs="Arial"/>
          <w:color w:val="444444"/>
          <w:szCs w:val="20"/>
          <w:lang w:eastAsia="fr-FR"/>
        </w:rPr>
        <w:t xml:space="preserve">EUR/kg </w:t>
      </w:r>
      <w:r w:rsidRPr="00D42B1B">
        <w:rPr>
          <w:rFonts w:eastAsia="Times New Roman" w:cs="Arial"/>
          <w:color w:val="444444"/>
          <w:szCs w:val="20"/>
          <w:lang w:eastAsia="fr-FR"/>
        </w:rPr>
        <w:t>pour son chocolat au lait traditionnel, illustrant le potentiel économique de ces nouvelles alternatives.</w:t>
      </w:r>
      <w:r w:rsidR="009806C6" w:rsidRPr="00D42B1B">
        <w:rPr>
          <w:rFonts w:eastAsia="Times New Roman" w:cs="Arial"/>
          <w:color w:val="444444"/>
          <w:szCs w:val="20"/>
          <w:lang w:eastAsia="fr-FR"/>
        </w:rPr>
        <w:t xml:space="preserve"> </w:t>
      </w:r>
      <w:r w:rsidRPr="00D42B1B">
        <w:rPr>
          <w:rFonts w:eastAsia="Times New Roman" w:cs="Arial"/>
          <w:color w:val="444444"/>
          <w:szCs w:val="20"/>
          <w:lang w:eastAsia="fr-FR"/>
        </w:rPr>
        <w:t>Pour les pays producteurs, notamment en Afrique de l’Ouest, cette évolution pourrait se traduire par une pression accrue sur les volumes exportés et sur les débouchés de certaines catégories de cacao. Mais ces innovations peuvent aussi produire l’effet inverse.</w:t>
      </w:r>
      <w:r w:rsidR="009806C6" w:rsidRPr="00D42B1B">
        <w:rPr>
          <w:rFonts w:eastAsia="Times New Roman" w:cs="Arial"/>
          <w:color w:val="444444"/>
          <w:szCs w:val="20"/>
          <w:lang w:eastAsia="fr-FR"/>
        </w:rPr>
        <w:t xml:space="preserve"> </w:t>
      </w:r>
      <w:r w:rsidRPr="00D42B1B">
        <w:rPr>
          <w:rFonts w:eastAsia="Times New Roman" w:cs="Arial"/>
          <w:color w:val="444444"/>
          <w:szCs w:val="20"/>
          <w:lang w:eastAsia="fr-FR"/>
        </w:rPr>
        <w:t>En rendant le cacao optionnel dans certains usages, elles pourraient inciter l’industrie à mieux valoriser le cacao de qualité supérieure, certifié, traçable et produit de manière durable.</w:t>
      </w:r>
      <w:r w:rsidR="00A72CBC" w:rsidRPr="00D42B1B">
        <w:rPr>
          <w:rFonts w:eastAsia="Times New Roman" w:cs="Arial"/>
          <w:color w:val="444444"/>
          <w:szCs w:val="20"/>
          <w:lang w:eastAsia="fr-FR"/>
        </w:rPr>
        <w:t xml:space="preserve"> </w:t>
      </w:r>
      <w:r w:rsidRPr="00D42B1B">
        <w:rPr>
          <w:rFonts w:eastAsia="Times New Roman" w:cs="Arial"/>
          <w:color w:val="444444"/>
          <w:szCs w:val="20"/>
          <w:lang w:eastAsia="fr-FR"/>
        </w:rPr>
        <w:t>Selon les normes du Codex Alimentarius (recueil international de normes alimentaires, créé en 1963 par la FAO et l’OMS pour protéger la santé des consommateurs et garantir l’équité dans le commerce mondial des denrées), un produit ne peut être commercialis</w:t>
      </w:r>
      <w:r w:rsidRPr="00D42B1B">
        <w:rPr>
          <w:rFonts w:eastAsia="Times New Roman" w:cs="Arial" w:hint="eastAsia"/>
          <w:color w:val="444444"/>
          <w:szCs w:val="20"/>
          <w:lang w:eastAsia="fr-FR"/>
        </w:rPr>
        <w:t>é</w:t>
      </w:r>
      <w:r w:rsidRPr="00D42B1B">
        <w:rPr>
          <w:rFonts w:eastAsia="Times New Roman" w:cs="Arial"/>
          <w:color w:val="444444"/>
          <w:szCs w:val="20"/>
          <w:lang w:eastAsia="fr-FR"/>
        </w:rPr>
        <w:t xml:space="preserve"> comme « chocolat » que s’il contient une proportion minimale de cacao et de beurre de cacao. Les alternatives comme </w:t>
      </w:r>
      <w:proofErr w:type="spellStart"/>
      <w:r w:rsidRPr="00D42B1B">
        <w:rPr>
          <w:rFonts w:eastAsia="Times New Roman" w:cs="Arial"/>
          <w:color w:val="444444"/>
          <w:szCs w:val="20"/>
          <w:lang w:eastAsia="fr-FR"/>
        </w:rPr>
        <w:t>ChoViva</w:t>
      </w:r>
      <w:proofErr w:type="spellEnd"/>
      <w:r w:rsidRPr="00D42B1B">
        <w:rPr>
          <w:rFonts w:eastAsia="Times New Roman" w:cs="Arial"/>
          <w:color w:val="444444"/>
          <w:szCs w:val="20"/>
          <w:lang w:eastAsia="fr-FR"/>
        </w:rPr>
        <w:t xml:space="preserve"> doivent donc être vendues sous d’autres appellations, ce qui limite pour l’instant leur capacité à remplacer totalement le chocolat traditionnel.</w:t>
      </w:r>
      <w:r w:rsidR="00A72CBC" w:rsidRPr="00D42B1B">
        <w:rPr>
          <w:rFonts w:eastAsia="Times New Roman" w:cs="Arial"/>
          <w:color w:val="444444"/>
          <w:szCs w:val="20"/>
          <w:lang w:eastAsia="fr-FR"/>
        </w:rPr>
        <w:t xml:space="preserve"> </w:t>
      </w:r>
      <w:r w:rsidRPr="00D42B1B">
        <w:rPr>
          <w:rFonts w:eastAsia="Times New Roman" w:cs="Arial"/>
          <w:color w:val="444444"/>
          <w:szCs w:val="20"/>
          <w:lang w:eastAsia="fr-FR"/>
        </w:rPr>
        <w:t>La concurrence née de l’émergence de ces alternatives pourrait également accélérer, dans les pays producteurs, les efforts en matière de traçabilité, de durabilité et de segmentation du marché entre cacao premium et cacao de masse.</w:t>
      </w:r>
      <w:r w:rsidR="00A72CBC" w:rsidRPr="00D42B1B">
        <w:rPr>
          <w:rFonts w:eastAsia="Times New Roman" w:cs="Arial"/>
          <w:color w:val="444444"/>
          <w:szCs w:val="20"/>
          <w:lang w:eastAsia="fr-FR"/>
        </w:rPr>
        <w:t xml:space="preserve"> A</w:t>
      </w:r>
      <w:r w:rsidRPr="00D42B1B">
        <w:rPr>
          <w:rFonts w:eastAsia="Times New Roman" w:cs="Arial"/>
          <w:color w:val="444444"/>
          <w:szCs w:val="20"/>
          <w:lang w:eastAsia="fr-FR"/>
        </w:rPr>
        <w:t xml:space="preserve"> court terme, le cacao demeure difficilement substituable dans sa globalité, notamment dans </w:t>
      </w:r>
      <w:proofErr w:type="gramStart"/>
      <w:r w:rsidRPr="00D42B1B">
        <w:rPr>
          <w:rFonts w:eastAsia="Times New Roman" w:cs="Arial"/>
          <w:color w:val="444444"/>
          <w:szCs w:val="20"/>
          <w:lang w:eastAsia="fr-FR"/>
        </w:rPr>
        <w:t>les produits haut</w:t>
      </w:r>
      <w:proofErr w:type="gramEnd"/>
      <w:r w:rsidRPr="00D42B1B">
        <w:rPr>
          <w:rFonts w:eastAsia="Times New Roman" w:cs="Arial"/>
          <w:color w:val="444444"/>
          <w:szCs w:val="20"/>
          <w:lang w:eastAsia="fr-FR"/>
        </w:rPr>
        <w:t xml:space="preserve"> de gamme où son profil aromatique reste une référence. Mais l’arrivée d’acteurs majeurs comme Barry Callebaut ou Mondel</w:t>
      </w:r>
      <w:r w:rsidR="00A72CBC" w:rsidRPr="00D42B1B">
        <w:rPr>
          <w:rFonts w:eastAsia="Times New Roman" w:cs="Arial"/>
          <w:color w:val="444444"/>
          <w:szCs w:val="20"/>
          <w:lang w:eastAsia="fr-FR"/>
        </w:rPr>
        <w:t>e</w:t>
      </w:r>
      <w:r w:rsidRPr="00D42B1B">
        <w:rPr>
          <w:rFonts w:eastAsia="Times New Roman" w:cs="Arial"/>
          <w:color w:val="444444"/>
          <w:szCs w:val="20"/>
          <w:lang w:eastAsia="fr-FR"/>
        </w:rPr>
        <w:t>z dans le développement et la commercialisation d’alternatives marque une rupture importante.</w:t>
      </w:r>
      <w:r w:rsidR="00A72CBC"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Pour les pays africains qui dominent aujourd’hui l’offre mondiale comme la Côte d’Ivoire et le Ghana, l’enjeu n’est </w:t>
      </w:r>
      <w:r w:rsidRPr="00D42B1B">
        <w:rPr>
          <w:rFonts w:eastAsia="Times New Roman" w:cs="Arial"/>
          <w:color w:val="444444"/>
          <w:szCs w:val="20"/>
          <w:lang w:eastAsia="fr-FR"/>
        </w:rPr>
        <w:lastRenderedPageBreak/>
        <w:t>peut-être plus seulement d’augmenter la production de fèves. Il pourrait aussi devenir celui de préserver et valoriser la singularité du cacao face à l’émergence de solutions industrielles capables d’en reproduire certaines caractéristiques à moindre coût.</w:t>
      </w:r>
    </w:p>
    <w:p w14:paraId="22B424FE" w14:textId="77777777" w:rsidR="00807E5E" w:rsidRPr="00D42B1B" w:rsidRDefault="00807E5E" w:rsidP="007F26A7">
      <w:pPr>
        <w:shd w:val="clear" w:color="auto" w:fill="FFFFFF"/>
        <w:spacing w:after="0" w:line="276" w:lineRule="auto"/>
        <w:rPr>
          <w:rFonts w:eastAsia="Times New Roman" w:cs="Arial"/>
          <w:color w:val="444444"/>
          <w:szCs w:val="20"/>
          <w:lang w:eastAsia="fr-FR"/>
        </w:rPr>
      </w:pPr>
    </w:p>
    <w:p w14:paraId="763C3D02" w14:textId="12FB83F3" w:rsidR="00A72CBC" w:rsidRPr="00D42B1B" w:rsidRDefault="00A72CBC" w:rsidP="00450BC8">
      <w:pPr>
        <w:spacing w:after="0" w:line="240" w:lineRule="auto"/>
        <w:outlineLvl w:val="1"/>
        <w:rPr>
          <w:rFonts w:eastAsia="Times New Roman" w:cs="Arial"/>
          <w:b/>
          <w:bCs/>
          <w:color w:val="444444"/>
          <w:szCs w:val="20"/>
          <w:lang w:eastAsia="fr-FR"/>
        </w:rPr>
      </w:pPr>
      <w:bookmarkStart w:id="29" w:name="_Toc233878666"/>
      <w:bookmarkStart w:id="30" w:name="_Hlk231589893"/>
      <w:r w:rsidRPr="00D42B1B">
        <w:rPr>
          <w:rFonts w:eastAsia="Times New Roman" w:cs="Arial"/>
          <w:b/>
          <w:bCs/>
          <w:color w:val="444444"/>
          <w:szCs w:val="20"/>
          <w:lang w:eastAsia="fr-FR"/>
        </w:rPr>
        <w:t>Riz - Table ronde sur l’investissement rizicole en Afrique de l’Ouest.</w:t>
      </w:r>
      <w:bookmarkEnd w:id="29"/>
    </w:p>
    <w:bookmarkEnd w:id="30"/>
    <w:p w14:paraId="48F9A372" w14:textId="7D93719D" w:rsidR="00A72CBC" w:rsidRPr="00D42B1B" w:rsidRDefault="00A72CBC" w:rsidP="00A72CBC">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En 2014, l'Offensive régionale du riz avait été lancée pour atteindre l'autosuffisance en riz en Afrique de l'Ouest. Plus d’une décennie plus tard, ce pari est relancé. </w:t>
      </w:r>
      <w:r w:rsidR="00450BC8" w:rsidRPr="00D42B1B">
        <w:rPr>
          <w:rFonts w:eastAsia="Times New Roman" w:cs="Arial"/>
          <w:color w:val="444444"/>
          <w:szCs w:val="20"/>
          <w:lang w:eastAsia="fr-FR"/>
        </w:rPr>
        <w:t>Coorganisé</w:t>
      </w:r>
      <w:r w:rsidR="00AD7C11" w:rsidRPr="00D42B1B">
        <w:rPr>
          <w:rFonts w:eastAsia="Times New Roman" w:cs="Arial"/>
          <w:color w:val="444444"/>
          <w:szCs w:val="20"/>
          <w:lang w:eastAsia="fr-FR"/>
        </w:rPr>
        <w:t>e</w:t>
      </w:r>
      <w:r w:rsidR="00450BC8" w:rsidRPr="00D42B1B">
        <w:rPr>
          <w:rFonts w:eastAsia="Times New Roman" w:cs="Arial"/>
          <w:color w:val="444444"/>
          <w:szCs w:val="20"/>
          <w:lang w:eastAsia="fr-FR"/>
        </w:rPr>
        <w:t xml:space="preserve"> par la Commission régionale de la CEDEAO, le gouvernement ghanéen et le Groupe de la Banque mondiale (WBG), </w:t>
      </w:r>
      <w:r w:rsidR="00F16C81" w:rsidRPr="00D42B1B">
        <w:rPr>
          <w:rFonts w:eastAsia="Times New Roman" w:cs="Arial"/>
          <w:color w:val="444444"/>
          <w:szCs w:val="20"/>
          <w:lang w:eastAsia="fr-FR"/>
        </w:rPr>
        <w:t xml:space="preserve">cette Table ronde </w:t>
      </w:r>
      <w:r w:rsidR="00450BC8" w:rsidRPr="00D42B1B">
        <w:rPr>
          <w:rFonts w:eastAsia="Times New Roman" w:cs="Arial"/>
          <w:color w:val="444444"/>
          <w:szCs w:val="20"/>
          <w:lang w:eastAsia="fr-FR"/>
        </w:rPr>
        <w:t xml:space="preserve">intervient après que les chefs d’État de la CEDEAO aient approuvé à Abuja (Nigeria) en décembre 2024 une Feuille de route régionale pour le riz sur la période 2025–2035, qui vise </w:t>
      </w:r>
      <w:r w:rsidR="00F16C81" w:rsidRPr="00D42B1B">
        <w:rPr>
          <w:rFonts w:eastAsia="Times New Roman" w:cs="Arial"/>
          <w:color w:val="444444"/>
          <w:szCs w:val="20"/>
          <w:lang w:eastAsia="fr-FR"/>
        </w:rPr>
        <w:t xml:space="preserve">34 M </w:t>
      </w:r>
      <w:r w:rsidR="00450BC8" w:rsidRPr="00D42B1B">
        <w:rPr>
          <w:rFonts w:eastAsia="Times New Roman" w:cs="Arial"/>
          <w:color w:val="444444"/>
          <w:szCs w:val="20"/>
          <w:lang w:eastAsia="fr-FR"/>
        </w:rPr>
        <w:t>de tonnes de riz blanchi produit, un niveau qui permettrait à la région d’être autosuffisante.</w:t>
      </w:r>
      <w:r w:rsidR="00F16C81" w:rsidRPr="00D42B1B">
        <w:rPr>
          <w:rFonts w:eastAsia="Times New Roman" w:cs="Arial"/>
          <w:color w:val="444444"/>
          <w:szCs w:val="20"/>
          <w:lang w:eastAsia="fr-FR"/>
        </w:rPr>
        <w:t xml:space="preserve"> </w:t>
      </w:r>
      <w:r w:rsidR="00450BC8" w:rsidRPr="00D42B1B">
        <w:rPr>
          <w:rFonts w:eastAsia="Times New Roman" w:cs="Arial"/>
          <w:color w:val="444444"/>
          <w:szCs w:val="20"/>
          <w:lang w:eastAsia="fr-FR"/>
        </w:rPr>
        <w:t xml:space="preserve">En outre, 13 </w:t>
      </w:r>
      <w:r w:rsidR="00F16C81" w:rsidRPr="00D42B1B">
        <w:rPr>
          <w:rFonts w:eastAsia="Times New Roman" w:cs="Arial"/>
          <w:color w:val="444444"/>
          <w:szCs w:val="20"/>
          <w:lang w:eastAsia="fr-FR"/>
        </w:rPr>
        <w:t>E</w:t>
      </w:r>
      <w:r w:rsidR="00450BC8" w:rsidRPr="00D42B1B">
        <w:rPr>
          <w:rFonts w:eastAsia="Times New Roman" w:cs="Arial"/>
          <w:color w:val="444444"/>
          <w:szCs w:val="20"/>
          <w:lang w:eastAsia="fr-FR"/>
        </w:rPr>
        <w:t>tats membres ont franchi une étape importante en élaborant et en validant un Plan d’action national d’investissement rizicole (PANIR), qui identifie des portefeuilles d’investissements bancables ainsi que des bassins de production prioritaires.</w:t>
      </w:r>
      <w:r w:rsidR="00F16C81" w:rsidRPr="00D42B1B">
        <w:rPr>
          <w:rFonts w:eastAsia="Times New Roman" w:cs="Arial"/>
          <w:color w:val="444444"/>
          <w:szCs w:val="20"/>
          <w:lang w:eastAsia="fr-FR"/>
        </w:rPr>
        <w:t xml:space="preserve"> </w:t>
      </w:r>
      <w:r w:rsidR="00450BC8" w:rsidRPr="00D42B1B">
        <w:rPr>
          <w:rFonts w:eastAsia="Times New Roman" w:cs="Arial"/>
          <w:color w:val="444444"/>
          <w:szCs w:val="20"/>
          <w:lang w:eastAsia="fr-FR"/>
        </w:rPr>
        <w:t xml:space="preserve">Dans le même temps, ces efforts régionaux ont été appuyés par l’initiative </w:t>
      </w:r>
      <w:r w:rsidR="00F16C81" w:rsidRPr="00D42B1B">
        <w:rPr>
          <w:rFonts w:eastAsia="Times New Roman" w:cs="Arial"/>
          <w:color w:val="444444"/>
          <w:szCs w:val="20"/>
          <w:lang w:eastAsia="fr-FR"/>
        </w:rPr>
        <w:t>« </w:t>
      </w:r>
      <w:proofErr w:type="spellStart"/>
      <w:r w:rsidR="00450BC8" w:rsidRPr="00D42B1B">
        <w:rPr>
          <w:rFonts w:eastAsia="Times New Roman" w:cs="Arial"/>
          <w:color w:val="444444"/>
          <w:szCs w:val="20"/>
          <w:lang w:eastAsia="fr-FR"/>
        </w:rPr>
        <w:t>AgriConnect</w:t>
      </w:r>
      <w:proofErr w:type="spellEnd"/>
      <w:r w:rsidR="00F16C81" w:rsidRPr="00D42B1B">
        <w:rPr>
          <w:rFonts w:eastAsia="Times New Roman" w:cs="Arial"/>
          <w:color w:val="444444"/>
          <w:szCs w:val="20"/>
          <w:lang w:eastAsia="fr-FR"/>
        </w:rPr>
        <w:t> »</w:t>
      </w:r>
      <w:r w:rsidR="00450BC8" w:rsidRPr="00D42B1B">
        <w:rPr>
          <w:rFonts w:eastAsia="Times New Roman" w:cs="Arial"/>
          <w:color w:val="444444"/>
          <w:szCs w:val="20"/>
          <w:lang w:eastAsia="fr-FR"/>
        </w:rPr>
        <w:t>, lancée par le Groupe de la Banque mondiale en octobre 2025.</w:t>
      </w:r>
      <w:r w:rsidR="00F16C81" w:rsidRPr="00D42B1B">
        <w:rPr>
          <w:rFonts w:eastAsia="Times New Roman" w:cs="Arial"/>
          <w:color w:val="444444"/>
          <w:szCs w:val="20"/>
          <w:lang w:eastAsia="fr-FR"/>
        </w:rPr>
        <w:t xml:space="preserve"> </w:t>
      </w:r>
      <w:r w:rsidR="00450BC8" w:rsidRPr="00D42B1B">
        <w:rPr>
          <w:rFonts w:eastAsia="Times New Roman" w:cs="Arial"/>
          <w:color w:val="444444"/>
          <w:szCs w:val="20"/>
          <w:lang w:eastAsia="fr-FR"/>
        </w:rPr>
        <w:t xml:space="preserve">Visant à transformer l’agro-industrie et à améliorer les moyens de subsistance de 250 </w:t>
      </w:r>
      <w:r w:rsidR="00F16C81" w:rsidRPr="00D42B1B">
        <w:rPr>
          <w:rFonts w:eastAsia="Times New Roman" w:cs="Arial"/>
          <w:color w:val="444444"/>
          <w:szCs w:val="20"/>
          <w:lang w:eastAsia="fr-FR"/>
        </w:rPr>
        <w:t xml:space="preserve">M </w:t>
      </w:r>
      <w:r w:rsidR="00450BC8" w:rsidRPr="00D42B1B">
        <w:rPr>
          <w:rFonts w:eastAsia="Times New Roman" w:cs="Arial"/>
          <w:color w:val="444444"/>
          <w:szCs w:val="20"/>
          <w:lang w:eastAsia="fr-FR"/>
        </w:rPr>
        <w:t>de petits exploitants agricoles dans le monde d’ici 2030, ce programme a identifié le riz comme une chaîne de valeur clé en Afrique de l’Ouest, capable de stimuler la création d’emplois, de renforcer la sécurité alimentaire et d’attirer les investissements privés.</w:t>
      </w:r>
      <w:r w:rsidR="00F16C81" w:rsidRPr="00D42B1B">
        <w:rPr>
          <w:rFonts w:eastAsia="Times New Roman" w:cs="Arial"/>
          <w:color w:val="444444"/>
          <w:szCs w:val="20"/>
          <w:lang w:eastAsia="fr-FR"/>
        </w:rPr>
        <w:t xml:space="preserve"> U</w:t>
      </w:r>
      <w:r w:rsidR="00450BC8" w:rsidRPr="00D42B1B">
        <w:rPr>
          <w:rFonts w:eastAsia="Times New Roman" w:cs="Arial"/>
          <w:color w:val="444444"/>
          <w:szCs w:val="20"/>
          <w:lang w:eastAsia="fr-FR"/>
        </w:rPr>
        <w:t xml:space="preserve">n montant maximal de 24 </w:t>
      </w:r>
      <w:r w:rsidR="00F16C81" w:rsidRPr="00D42B1B">
        <w:rPr>
          <w:rFonts w:eastAsia="Times New Roman" w:cs="Arial"/>
          <w:color w:val="444444"/>
          <w:szCs w:val="20"/>
          <w:lang w:eastAsia="fr-FR"/>
        </w:rPr>
        <w:t xml:space="preserve">Md </w:t>
      </w:r>
      <w:r w:rsidR="00450BC8" w:rsidRPr="00D42B1B">
        <w:rPr>
          <w:rFonts w:eastAsia="Times New Roman" w:cs="Arial"/>
          <w:color w:val="444444"/>
          <w:szCs w:val="20"/>
          <w:lang w:eastAsia="fr-FR"/>
        </w:rPr>
        <w:t xml:space="preserve">USD </w:t>
      </w:r>
      <w:r w:rsidR="00F16C81" w:rsidRPr="00D42B1B">
        <w:rPr>
          <w:rFonts w:eastAsia="Times New Roman" w:cs="Arial"/>
          <w:color w:val="444444"/>
          <w:szCs w:val="20"/>
          <w:lang w:eastAsia="fr-FR"/>
        </w:rPr>
        <w:t xml:space="preserve">serait </w:t>
      </w:r>
      <w:r w:rsidR="00450BC8" w:rsidRPr="00D42B1B">
        <w:rPr>
          <w:rFonts w:eastAsia="Times New Roman" w:cs="Arial"/>
          <w:color w:val="444444"/>
          <w:szCs w:val="20"/>
          <w:lang w:eastAsia="fr-FR"/>
        </w:rPr>
        <w:t xml:space="preserve">requis pour déployer la </w:t>
      </w:r>
      <w:r w:rsidR="00F16C81" w:rsidRPr="00D42B1B">
        <w:rPr>
          <w:rFonts w:eastAsia="Times New Roman" w:cs="Arial"/>
          <w:color w:val="444444"/>
          <w:szCs w:val="20"/>
          <w:lang w:eastAsia="fr-FR"/>
        </w:rPr>
        <w:t>F</w:t>
      </w:r>
      <w:r w:rsidR="00450BC8" w:rsidRPr="00D42B1B">
        <w:rPr>
          <w:rFonts w:eastAsia="Times New Roman" w:cs="Arial"/>
          <w:color w:val="444444"/>
          <w:szCs w:val="20"/>
          <w:lang w:eastAsia="fr-FR"/>
        </w:rPr>
        <w:t xml:space="preserve">euille de route régionale sur les 10 prochaines années. Cela comprend 19 </w:t>
      </w:r>
      <w:r w:rsidR="00F16C81" w:rsidRPr="00D42B1B">
        <w:rPr>
          <w:rFonts w:eastAsia="Times New Roman" w:cs="Arial"/>
          <w:color w:val="444444"/>
          <w:szCs w:val="20"/>
          <w:lang w:eastAsia="fr-FR"/>
        </w:rPr>
        <w:t xml:space="preserve">Md </w:t>
      </w:r>
      <w:r w:rsidR="00450BC8" w:rsidRPr="00D42B1B">
        <w:rPr>
          <w:rFonts w:eastAsia="Times New Roman" w:cs="Arial"/>
          <w:color w:val="444444"/>
          <w:szCs w:val="20"/>
          <w:lang w:eastAsia="fr-FR"/>
        </w:rPr>
        <w:t xml:space="preserve">USD en dépenses d’investissement </w:t>
      </w:r>
      <w:r w:rsidR="00F16C81" w:rsidRPr="00D42B1B">
        <w:rPr>
          <w:rFonts w:eastAsia="Times New Roman" w:cs="Arial"/>
          <w:color w:val="444444"/>
          <w:szCs w:val="20"/>
          <w:lang w:eastAsia="fr-FR"/>
        </w:rPr>
        <w:t xml:space="preserve">concernant </w:t>
      </w:r>
      <w:r w:rsidR="00450BC8" w:rsidRPr="00D42B1B">
        <w:rPr>
          <w:rFonts w:eastAsia="Times New Roman" w:cs="Arial"/>
          <w:color w:val="444444"/>
          <w:szCs w:val="20"/>
          <w:lang w:eastAsia="fr-FR"/>
        </w:rPr>
        <w:t xml:space="preserve">des domaines d’impact comme le stockage, la transformation, la mécanisation, et 5 </w:t>
      </w:r>
      <w:r w:rsidR="00F16C81" w:rsidRPr="00D42B1B">
        <w:rPr>
          <w:rFonts w:eastAsia="Times New Roman" w:cs="Arial"/>
          <w:color w:val="444444"/>
          <w:szCs w:val="20"/>
          <w:lang w:eastAsia="fr-FR"/>
        </w:rPr>
        <w:t xml:space="preserve">Md </w:t>
      </w:r>
      <w:r w:rsidR="00450BC8" w:rsidRPr="00D42B1B">
        <w:rPr>
          <w:rFonts w:eastAsia="Times New Roman" w:cs="Arial"/>
          <w:color w:val="444444"/>
          <w:szCs w:val="20"/>
          <w:lang w:eastAsia="fr-FR"/>
        </w:rPr>
        <w:t>USD pour les dépenses opérationnelles dans l’amélioration de l’accès au financement et aux systèmes d’intrants.</w:t>
      </w:r>
      <w:r w:rsidR="00F16C81" w:rsidRPr="00D42B1B">
        <w:rPr>
          <w:rFonts w:eastAsia="Times New Roman" w:cs="Arial"/>
          <w:color w:val="444444"/>
          <w:szCs w:val="20"/>
          <w:lang w:eastAsia="fr-FR"/>
        </w:rPr>
        <w:t xml:space="preserve"> C</w:t>
      </w:r>
      <w:r w:rsidR="00450BC8" w:rsidRPr="00D42B1B">
        <w:rPr>
          <w:rFonts w:eastAsia="Times New Roman" w:cs="Arial"/>
          <w:color w:val="444444"/>
          <w:szCs w:val="20"/>
          <w:lang w:eastAsia="fr-FR"/>
        </w:rPr>
        <w:t>ette enveloppe est d’envergure</w:t>
      </w:r>
      <w:r w:rsidR="00F16C81" w:rsidRPr="00D42B1B">
        <w:rPr>
          <w:rFonts w:eastAsia="Times New Roman" w:cs="Arial"/>
          <w:color w:val="444444"/>
          <w:szCs w:val="20"/>
          <w:lang w:eastAsia="fr-FR"/>
        </w:rPr>
        <w:t xml:space="preserve"> car</w:t>
      </w:r>
      <w:r w:rsidR="00450BC8" w:rsidRPr="00D42B1B">
        <w:rPr>
          <w:rFonts w:eastAsia="Times New Roman" w:cs="Arial"/>
          <w:color w:val="444444"/>
          <w:szCs w:val="20"/>
          <w:lang w:eastAsia="fr-FR"/>
        </w:rPr>
        <w:t xml:space="preserve"> le temps presse pour la sous-région dont la demande en riz progresse de 4% par an, contre une croissance de 3% de la production selon les données de la CEDEAO. Avec un taux d’autosuffisance d’environ 60%, la filière régionale doit non seulement se mettre en ordre de marche pour absorber la demande actuelle mais aussi celle future afin de limiter les importations qui atteignent déjà chaque année les 3,5</w:t>
      </w:r>
      <w:r w:rsidR="00AD7C11" w:rsidRPr="00D42B1B">
        <w:rPr>
          <w:rFonts w:eastAsia="Times New Roman" w:cs="Arial"/>
          <w:color w:val="444444"/>
          <w:szCs w:val="20"/>
          <w:lang w:eastAsia="fr-FR"/>
        </w:rPr>
        <w:t> </w:t>
      </w:r>
      <w:r w:rsidR="00F16C81" w:rsidRPr="00D42B1B">
        <w:rPr>
          <w:rFonts w:eastAsia="Times New Roman" w:cs="Arial"/>
          <w:color w:val="444444"/>
          <w:szCs w:val="20"/>
          <w:lang w:eastAsia="fr-FR"/>
        </w:rPr>
        <w:t>Md</w:t>
      </w:r>
      <w:r w:rsidR="00AD7C11" w:rsidRPr="00D42B1B">
        <w:rPr>
          <w:rFonts w:eastAsia="Times New Roman" w:cs="Arial"/>
          <w:color w:val="444444"/>
          <w:szCs w:val="20"/>
          <w:lang w:eastAsia="fr-FR"/>
        </w:rPr>
        <w:t> </w:t>
      </w:r>
      <w:r w:rsidR="00F16C81" w:rsidRPr="00D42B1B">
        <w:rPr>
          <w:rFonts w:eastAsia="Times New Roman" w:cs="Arial"/>
          <w:color w:val="444444"/>
          <w:szCs w:val="20"/>
          <w:lang w:eastAsia="fr-FR"/>
        </w:rPr>
        <w:t>USD</w:t>
      </w:r>
      <w:r w:rsidR="00450BC8" w:rsidRPr="00D42B1B">
        <w:rPr>
          <w:rFonts w:eastAsia="Times New Roman" w:cs="Arial"/>
          <w:color w:val="444444"/>
          <w:szCs w:val="20"/>
          <w:lang w:eastAsia="fr-FR"/>
        </w:rPr>
        <w:t>.</w:t>
      </w:r>
      <w:r w:rsidR="00F16C81" w:rsidRPr="00D42B1B">
        <w:rPr>
          <w:rFonts w:eastAsia="Times New Roman" w:cs="Arial"/>
          <w:color w:val="444444"/>
          <w:szCs w:val="20"/>
          <w:lang w:eastAsia="fr-FR"/>
        </w:rPr>
        <w:t xml:space="preserve"> </w:t>
      </w:r>
      <w:r w:rsidRPr="00D42B1B">
        <w:rPr>
          <w:rFonts w:eastAsia="Times New Roman" w:cs="Arial"/>
          <w:color w:val="444444"/>
          <w:szCs w:val="20"/>
          <w:lang w:eastAsia="fr-FR"/>
        </w:rPr>
        <w:t>A</w:t>
      </w:r>
      <w:r w:rsidR="00F16C81" w:rsidRPr="00D42B1B">
        <w:rPr>
          <w:rFonts w:eastAsia="Times New Roman" w:cs="Arial"/>
          <w:color w:val="444444"/>
          <w:szCs w:val="20"/>
          <w:lang w:eastAsia="fr-FR"/>
        </w:rPr>
        <w:t>ussi, a</w:t>
      </w:r>
      <w:r w:rsidRPr="00D42B1B">
        <w:rPr>
          <w:rFonts w:eastAsia="Times New Roman" w:cs="Arial"/>
          <w:color w:val="444444"/>
          <w:szCs w:val="20"/>
          <w:lang w:eastAsia="fr-FR"/>
        </w:rPr>
        <w:t xml:space="preserve">près deux jours d’échanges, </w:t>
      </w:r>
      <w:r w:rsidR="00AD7C11" w:rsidRPr="00D42B1B">
        <w:rPr>
          <w:rFonts w:eastAsia="Times New Roman" w:cs="Arial"/>
          <w:color w:val="444444"/>
          <w:szCs w:val="20"/>
          <w:lang w:eastAsia="fr-FR"/>
        </w:rPr>
        <w:t xml:space="preserve">qui ont </w:t>
      </w:r>
      <w:r w:rsidRPr="00D42B1B">
        <w:rPr>
          <w:rFonts w:eastAsia="Times New Roman" w:cs="Arial"/>
          <w:color w:val="444444"/>
          <w:szCs w:val="20"/>
          <w:lang w:eastAsia="fr-FR"/>
        </w:rPr>
        <w:t>réuni responsables politiques, institutions régionales, partenaires au développement et investisseurs</w:t>
      </w:r>
      <w:r w:rsidR="00AD7C11" w:rsidRPr="00D42B1B">
        <w:rPr>
          <w:rFonts w:eastAsia="Times New Roman" w:cs="Arial"/>
          <w:color w:val="444444"/>
          <w:szCs w:val="20"/>
          <w:lang w:eastAsia="fr-FR"/>
        </w:rPr>
        <w:t>, la Table ronde</w:t>
      </w:r>
      <w:r w:rsidR="00EF1B2F" w:rsidRPr="00D42B1B">
        <w:rPr>
          <w:rFonts w:eastAsia="Times New Roman" w:cs="Arial"/>
          <w:color w:val="444444"/>
          <w:szCs w:val="20"/>
          <w:lang w:eastAsia="fr-FR"/>
        </w:rPr>
        <w:t xml:space="preserve"> s’est conclue </w:t>
      </w:r>
      <w:r w:rsidR="00AD7C11" w:rsidRPr="00D42B1B">
        <w:rPr>
          <w:rFonts w:eastAsia="Times New Roman" w:cs="Arial"/>
          <w:color w:val="444444"/>
          <w:szCs w:val="20"/>
          <w:lang w:eastAsia="fr-FR"/>
        </w:rPr>
        <w:t xml:space="preserve">le 3 juin </w:t>
      </w:r>
      <w:r w:rsidR="00EF1B2F" w:rsidRPr="00D42B1B">
        <w:rPr>
          <w:rFonts w:eastAsia="Times New Roman" w:cs="Arial"/>
          <w:color w:val="444444"/>
          <w:szCs w:val="20"/>
          <w:lang w:eastAsia="fr-FR"/>
        </w:rPr>
        <w:t xml:space="preserve">par une </w:t>
      </w:r>
      <w:proofErr w:type="spellStart"/>
      <w:r w:rsidR="00EF1B2F" w:rsidRPr="00D42B1B">
        <w:rPr>
          <w:rFonts w:eastAsia="Times New Roman" w:cs="Arial"/>
          <w:color w:val="444444"/>
          <w:szCs w:val="20"/>
          <w:lang w:eastAsia="fr-FR"/>
        </w:rPr>
        <w:t>D</w:t>
      </w:r>
      <w:r w:rsidRPr="00D42B1B">
        <w:rPr>
          <w:rFonts w:eastAsia="Times New Roman" w:cs="Arial"/>
          <w:color w:val="444444"/>
          <w:szCs w:val="20"/>
          <w:lang w:eastAsia="fr-FR"/>
        </w:rPr>
        <w:t>éclaration</w:t>
      </w:r>
      <w:r w:rsidR="00EF1B2F" w:rsidRPr="00D42B1B">
        <w:rPr>
          <w:rFonts w:eastAsia="Times New Roman" w:cs="Arial"/>
          <w:color w:val="444444"/>
          <w:szCs w:val="20"/>
          <w:lang w:eastAsia="fr-FR"/>
        </w:rPr>
        <w:t>.</w:t>
      </w:r>
      <w:r w:rsidRPr="00D42B1B">
        <w:rPr>
          <w:rFonts w:eastAsia="Times New Roman" w:cs="Arial"/>
          <w:color w:val="444444"/>
          <w:szCs w:val="20"/>
          <w:lang w:eastAsia="fr-FR"/>
        </w:rPr>
        <w:t>Structuré</w:t>
      </w:r>
      <w:proofErr w:type="spellEnd"/>
      <w:r w:rsidRPr="00D42B1B">
        <w:rPr>
          <w:rFonts w:eastAsia="Times New Roman" w:cs="Arial"/>
          <w:color w:val="444444"/>
          <w:szCs w:val="20"/>
          <w:lang w:eastAsia="fr-FR"/>
        </w:rPr>
        <w:t xml:space="preserve"> en 7 chapitres, cet engagement pris par les ministres, ainsi que les représentants ministériels de 14 pays</w:t>
      </w:r>
      <w:r w:rsidR="00EF1B2F" w:rsidRPr="00D42B1B">
        <w:rPr>
          <w:rFonts w:eastAsia="Times New Roman" w:cs="Arial"/>
          <w:color w:val="444444"/>
          <w:szCs w:val="20"/>
          <w:lang w:eastAsia="fr-FR"/>
        </w:rPr>
        <w:t>,</w:t>
      </w:r>
      <w:r w:rsidRPr="00D42B1B">
        <w:rPr>
          <w:rFonts w:eastAsia="Times New Roman" w:cs="Arial"/>
          <w:color w:val="444444"/>
          <w:szCs w:val="20"/>
          <w:lang w:eastAsia="fr-FR"/>
        </w:rPr>
        <w:t xml:space="preserve"> vient entériner les différents engagements politiques</w:t>
      </w:r>
      <w:r w:rsidR="00EF1B2F" w:rsidRPr="00D42B1B">
        <w:rPr>
          <w:rFonts w:eastAsia="Times New Roman" w:cs="Arial"/>
          <w:color w:val="444444"/>
          <w:szCs w:val="20"/>
          <w:lang w:eastAsia="fr-FR"/>
        </w:rPr>
        <w:t xml:space="preserve"> visant à</w:t>
      </w:r>
      <w:r w:rsidRPr="00D42B1B">
        <w:rPr>
          <w:rFonts w:eastAsia="Times New Roman" w:cs="Arial"/>
          <w:color w:val="444444"/>
          <w:szCs w:val="20"/>
          <w:lang w:eastAsia="fr-FR"/>
        </w:rPr>
        <w:t xml:space="preserve"> bâtir d’ici 2035 un secteur rizicole autosuffisant, compétitif et résilient au climat, capable de nourrir la région tout en créant des millions d’emplois. </w:t>
      </w:r>
      <w:r w:rsidR="00EF1B2F" w:rsidRPr="00D42B1B">
        <w:rPr>
          <w:rFonts w:eastAsia="Times New Roman" w:cs="Arial"/>
          <w:color w:val="444444"/>
          <w:szCs w:val="20"/>
          <w:lang w:eastAsia="fr-FR"/>
        </w:rPr>
        <w:t>L</w:t>
      </w:r>
      <w:r w:rsidRPr="00D42B1B">
        <w:rPr>
          <w:rFonts w:eastAsia="Times New Roman" w:cs="Arial"/>
          <w:color w:val="444444"/>
          <w:szCs w:val="20"/>
          <w:lang w:eastAsia="fr-FR"/>
        </w:rPr>
        <w:t>es pays</w:t>
      </w:r>
      <w:r w:rsidR="00EF1B2F" w:rsidRPr="00D42B1B">
        <w:rPr>
          <w:rFonts w:eastAsia="Times New Roman" w:cs="Arial"/>
          <w:color w:val="444444"/>
          <w:szCs w:val="20"/>
          <w:lang w:eastAsia="fr-FR"/>
        </w:rPr>
        <w:t xml:space="preserve"> </w:t>
      </w:r>
      <w:r w:rsidRPr="00D42B1B">
        <w:rPr>
          <w:rFonts w:eastAsia="Times New Roman" w:cs="Arial"/>
          <w:color w:val="444444"/>
          <w:szCs w:val="20"/>
          <w:lang w:eastAsia="fr-FR"/>
        </w:rPr>
        <w:t>prennent des engagements chiffrés</w:t>
      </w:r>
      <w:r w:rsidR="00EF1B2F" w:rsidRPr="00D42B1B">
        <w:rPr>
          <w:rFonts w:eastAsia="Times New Roman" w:cs="Arial"/>
          <w:color w:val="444444"/>
          <w:szCs w:val="20"/>
          <w:lang w:eastAsia="fr-FR"/>
        </w:rPr>
        <w:t xml:space="preserve"> : </w:t>
      </w:r>
      <w:r w:rsidRPr="00D42B1B">
        <w:rPr>
          <w:rFonts w:eastAsia="Times New Roman" w:cs="Arial"/>
          <w:color w:val="444444"/>
          <w:szCs w:val="20"/>
          <w:lang w:eastAsia="fr-FR"/>
        </w:rPr>
        <w:t>doubler la production annuelle de paddy, faire passer les rendements moyens de 2,1</w:t>
      </w:r>
      <w:r w:rsidR="00EF1B2F" w:rsidRPr="00D42B1B">
        <w:rPr>
          <w:rFonts w:eastAsia="Times New Roman" w:cs="Arial"/>
          <w:color w:val="444444"/>
          <w:szCs w:val="20"/>
          <w:lang w:eastAsia="fr-FR"/>
        </w:rPr>
        <w:t> </w:t>
      </w:r>
      <w:r w:rsidRPr="00D42B1B">
        <w:rPr>
          <w:rFonts w:eastAsia="Times New Roman" w:cs="Arial"/>
          <w:color w:val="444444"/>
          <w:szCs w:val="20"/>
          <w:lang w:eastAsia="fr-FR"/>
        </w:rPr>
        <w:t>à</w:t>
      </w:r>
      <w:r w:rsidR="00EF1B2F" w:rsidRPr="00D42B1B">
        <w:rPr>
          <w:rFonts w:eastAsia="Times New Roman" w:cs="Arial"/>
          <w:color w:val="444444"/>
          <w:szCs w:val="20"/>
          <w:lang w:eastAsia="fr-FR"/>
        </w:rPr>
        <w:t> </w:t>
      </w:r>
      <w:r w:rsidRPr="00D42B1B">
        <w:rPr>
          <w:rFonts w:eastAsia="Times New Roman" w:cs="Arial"/>
          <w:color w:val="444444"/>
          <w:szCs w:val="20"/>
          <w:lang w:eastAsia="fr-FR"/>
        </w:rPr>
        <w:t>4,1</w:t>
      </w:r>
      <w:r w:rsidR="00EF1B2F" w:rsidRPr="00D42B1B">
        <w:rPr>
          <w:rFonts w:eastAsia="Times New Roman" w:cs="Arial"/>
          <w:color w:val="444444"/>
          <w:szCs w:val="20"/>
          <w:lang w:eastAsia="fr-FR"/>
        </w:rPr>
        <w:t> </w:t>
      </w:r>
      <w:r w:rsidRPr="00D42B1B">
        <w:rPr>
          <w:rFonts w:eastAsia="Times New Roman" w:cs="Arial"/>
          <w:color w:val="444444"/>
          <w:szCs w:val="20"/>
          <w:lang w:eastAsia="fr-FR"/>
        </w:rPr>
        <w:t>tonnes</w:t>
      </w:r>
      <w:r w:rsidR="00EF1B2F" w:rsidRPr="00D42B1B">
        <w:rPr>
          <w:rFonts w:eastAsia="Times New Roman" w:cs="Arial"/>
          <w:color w:val="444444"/>
          <w:szCs w:val="20"/>
          <w:lang w:eastAsia="fr-FR"/>
        </w:rPr>
        <w:t>/ha</w:t>
      </w:r>
      <w:r w:rsidRPr="00D42B1B">
        <w:rPr>
          <w:rFonts w:eastAsia="Times New Roman" w:cs="Arial"/>
          <w:color w:val="444444"/>
          <w:szCs w:val="20"/>
          <w:lang w:eastAsia="fr-FR"/>
        </w:rPr>
        <w:t>, réduire les pertes post récolte de 30% à moins de 10%, et ramener la dépendance aux importations à moins de 15%.</w:t>
      </w:r>
      <w:r w:rsidR="00EF1B2F"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Au-delà de l’appareil de production, la Déclaration vise la création de 15 </w:t>
      </w:r>
      <w:r w:rsidR="00EF1B2F" w:rsidRPr="00D42B1B">
        <w:rPr>
          <w:rFonts w:eastAsia="Times New Roman" w:cs="Arial"/>
          <w:color w:val="444444"/>
          <w:szCs w:val="20"/>
          <w:lang w:eastAsia="fr-FR"/>
        </w:rPr>
        <w:t xml:space="preserve">M </w:t>
      </w:r>
      <w:r w:rsidRPr="00D42B1B">
        <w:rPr>
          <w:rFonts w:eastAsia="Times New Roman" w:cs="Arial"/>
          <w:color w:val="444444"/>
          <w:szCs w:val="20"/>
          <w:lang w:eastAsia="fr-FR"/>
        </w:rPr>
        <w:t>d’emplois directs et indirects dans la chaîne de valeur, en garantissant que les femmes et les jeunes représentent au moins la moitié des bénéficiaires directs des investissements.</w:t>
      </w:r>
      <w:r w:rsidR="00EF1B2F"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Pour y parvenir, les </w:t>
      </w:r>
      <w:r w:rsidR="00EF1B2F" w:rsidRPr="00D42B1B">
        <w:rPr>
          <w:rFonts w:eastAsia="Times New Roman" w:cs="Arial"/>
          <w:color w:val="444444"/>
          <w:szCs w:val="20"/>
          <w:lang w:eastAsia="fr-FR"/>
        </w:rPr>
        <w:t>E</w:t>
      </w:r>
      <w:r w:rsidRPr="00D42B1B">
        <w:rPr>
          <w:rFonts w:eastAsia="Times New Roman" w:cs="Arial"/>
          <w:color w:val="444444"/>
          <w:szCs w:val="20"/>
          <w:lang w:eastAsia="fr-FR"/>
        </w:rPr>
        <w:t xml:space="preserve">tats misent sur un changement d’échelle financier. 14 pays ont déjà élaboré des plans nationaux d’investissement rizicole, pour un montant de 25,6 </w:t>
      </w:r>
      <w:r w:rsidR="00EF1B2F" w:rsidRPr="00D42B1B">
        <w:rPr>
          <w:rFonts w:eastAsia="Times New Roman" w:cs="Arial"/>
          <w:color w:val="444444"/>
          <w:szCs w:val="20"/>
          <w:lang w:eastAsia="fr-FR"/>
        </w:rPr>
        <w:t xml:space="preserve">Md USD </w:t>
      </w:r>
      <w:r w:rsidRPr="00D42B1B">
        <w:rPr>
          <w:rFonts w:eastAsia="Times New Roman" w:cs="Arial"/>
          <w:color w:val="444444"/>
          <w:szCs w:val="20"/>
          <w:lang w:eastAsia="fr-FR"/>
        </w:rPr>
        <w:t>sur 2026</w:t>
      </w:r>
      <w:r w:rsidR="00EF1B2F" w:rsidRPr="00D42B1B">
        <w:rPr>
          <w:rFonts w:eastAsia="Times New Roman" w:cs="Arial"/>
          <w:color w:val="444444"/>
          <w:szCs w:val="20"/>
          <w:lang w:eastAsia="fr-FR"/>
        </w:rPr>
        <w:t>-</w:t>
      </w:r>
      <w:r w:rsidRPr="00D42B1B">
        <w:rPr>
          <w:rFonts w:eastAsia="Times New Roman" w:cs="Arial"/>
          <w:color w:val="444444"/>
          <w:szCs w:val="20"/>
          <w:lang w:eastAsia="fr-FR"/>
        </w:rPr>
        <w:t>2035, intégrés dans une enveloppe régionale de 28</w:t>
      </w:r>
      <w:r w:rsidR="008B453F" w:rsidRPr="00D42B1B">
        <w:rPr>
          <w:rFonts w:eastAsia="Times New Roman" w:cs="Arial"/>
          <w:color w:val="444444"/>
          <w:szCs w:val="20"/>
          <w:lang w:eastAsia="fr-FR"/>
        </w:rPr>
        <w:t> </w:t>
      </w:r>
      <w:r w:rsidR="00EF1B2F" w:rsidRPr="00D42B1B">
        <w:rPr>
          <w:rFonts w:eastAsia="Times New Roman" w:cs="Arial"/>
          <w:color w:val="444444"/>
          <w:szCs w:val="20"/>
          <w:lang w:eastAsia="fr-FR"/>
        </w:rPr>
        <w:t>Md</w:t>
      </w:r>
      <w:r w:rsidR="008B453F" w:rsidRPr="00D42B1B">
        <w:rPr>
          <w:rFonts w:eastAsia="Times New Roman" w:cs="Arial"/>
          <w:color w:val="444444"/>
          <w:szCs w:val="20"/>
          <w:lang w:eastAsia="fr-FR"/>
        </w:rPr>
        <w:t> </w:t>
      </w:r>
      <w:r w:rsidR="00EF1B2F" w:rsidRPr="00D42B1B">
        <w:rPr>
          <w:rFonts w:eastAsia="Times New Roman" w:cs="Arial"/>
          <w:color w:val="444444"/>
          <w:szCs w:val="20"/>
          <w:lang w:eastAsia="fr-FR"/>
        </w:rPr>
        <w:t>USD</w:t>
      </w:r>
      <w:r w:rsidRPr="00D42B1B">
        <w:rPr>
          <w:rFonts w:eastAsia="Times New Roman" w:cs="Arial"/>
          <w:color w:val="444444"/>
          <w:szCs w:val="20"/>
          <w:lang w:eastAsia="fr-FR"/>
        </w:rPr>
        <w:t>.</w:t>
      </w:r>
      <w:r w:rsidR="00EF1B2F"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Cette stratégie de mobilisation repose sur une architecture financière en trois </w:t>
      </w:r>
      <w:r w:rsidRPr="00D42B1B">
        <w:rPr>
          <w:rFonts w:eastAsia="Times New Roman" w:cs="Arial"/>
          <w:color w:val="444444"/>
          <w:szCs w:val="20"/>
          <w:lang w:eastAsia="fr-FR"/>
        </w:rPr>
        <w:lastRenderedPageBreak/>
        <w:t>strates. D’abord 40</w:t>
      </w:r>
      <w:r w:rsidR="00EF1B2F" w:rsidRPr="00D42B1B">
        <w:rPr>
          <w:rFonts w:eastAsia="Times New Roman" w:cs="Arial"/>
          <w:color w:val="444444"/>
          <w:szCs w:val="20"/>
          <w:lang w:eastAsia="fr-FR"/>
        </w:rPr>
        <w:t>%</w:t>
      </w:r>
      <w:r w:rsidRPr="00D42B1B">
        <w:rPr>
          <w:rFonts w:eastAsia="Times New Roman" w:cs="Arial"/>
          <w:color w:val="444444"/>
          <w:szCs w:val="20"/>
          <w:lang w:eastAsia="fr-FR"/>
        </w:rPr>
        <w:t xml:space="preserve"> à 50% du total devront provenir de financements publics, de prêts concessionnels des institutions de financement du développement et des mécanismes climatiques, des dons de l’aide publique au développement.</w:t>
      </w:r>
      <w:r w:rsidR="00395E0E"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A cela </w:t>
      </w:r>
      <w:r w:rsidR="00395E0E" w:rsidRPr="00D42B1B">
        <w:rPr>
          <w:rFonts w:eastAsia="Times New Roman" w:cs="Arial"/>
          <w:color w:val="444444"/>
          <w:szCs w:val="20"/>
          <w:lang w:eastAsia="fr-FR"/>
        </w:rPr>
        <w:t xml:space="preserve">doivent </w:t>
      </w:r>
      <w:r w:rsidRPr="00D42B1B">
        <w:rPr>
          <w:rFonts w:eastAsia="Times New Roman" w:cs="Arial"/>
          <w:color w:val="444444"/>
          <w:szCs w:val="20"/>
          <w:lang w:eastAsia="fr-FR"/>
        </w:rPr>
        <w:t>s’ajoute</w:t>
      </w:r>
      <w:r w:rsidR="00395E0E" w:rsidRPr="00D42B1B">
        <w:rPr>
          <w:rFonts w:eastAsia="Times New Roman" w:cs="Arial"/>
          <w:color w:val="444444"/>
          <w:szCs w:val="20"/>
          <w:lang w:eastAsia="fr-FR"/>
        </w:rPr>
        <w:t>r</w:t>
      </w:r>
      <w:r w:rsidRPr="00D42B1B">
        <w:rPr>
          <w:rFonts w:eastAsia="Times New Roman" w:cs="Arial"/>
          <w:color w:val="444444"/>
          <w:szCs w:val="20"/>
          <w:lang w:eastAsia="fr-FR"/>
        </w:rPr>
        <w:t xml:space="preserve"> 20</w:t>
      </w:r>
      <w:r w:rsidR="00395E0E" w:rsidRPr="00D42B1B">
        <w:rPr>
          <w:rFonts w:eastAsia="Times New Roman" w:cs="Arial"/>
          <w:color w:val="444444"/>
          <w:szCs w:val="20"/>
          <w:lang w:eastAsia="fr-FR"/>
        </w:rPr>
        <w:t>%</w:t>
      </w:r>
      <w:r w:rsidRPr="00D42B1B">
        <w:rPr>
          <w:rFonts w:eastAsia="Times New Roman" w:cs="Arial"/>
          <w:color w:val="444444"/>
          <w:szCs w:val="20"/>
          <w:lang w:eastAsia="fr-FR"/>
        </w:rPr>
        <w:t xml:space="preserve"> à 25% de fonds provenant d’instruments de financement mixte et catalytique comme les garanties et les mécanismes de première perte pour réduire le risque, et </w:t>
      </w:r>
      <w:r w:rsidR="00395E0E" w:rsidRPr="00D42B1B">
        <w:rPr>
          <w:rFonts w:eastAsia="Times New Roman" w:cs="Arial"/>
          <w:color w:val="444444"/>
          <w:szCs w:val="20"/>
          <w:lang w:eastAsia="fr-FR"/>
        </w:rPr>
        <w:t xml:space="preserve">enfin </w:t>
      </w:r>
      <w:r w:rsidRPr="00D42B1B">
        <w:rPr>
          <w:rFonts w:eastAsia="Times New Roman" w:cs="Arial"/>
          <w:color w:val="444444"/>
          <w:szCs w:val="20"/>
          <w:lang w:eastAsia="fr-FR"/>
        </w:rPr>
        <w:t>30</w:t>
      </w:r>
      <w:r w:rsidR="00395E0E" w:rsidRPr="00D42B1B">
        <w:rPr>
          <w:rFonts w:eastAsia="Times New Roman" w:cs="Arial"/>
          <w:color w:val="444444"/>
          <w:szCs w:val="20"/>
          <w:lang w:eastAsia="fr-FR"/>
        </w:rPr>
        <w:t>%</w:t>
      </w:r>
      <w:r w:rsidRPr="00D42B1B">
        <w:rPr>
          <w:rFonts w:eastAsia="Times New Roman" w:cs="Arial"/>
          <w:color w:val="444444"/>
          <w:szCs w:val="20"/>
          <w:lang w:eastAsia="fr-FR"/>
        </w:rPr>
        <w:t xml:space="preserve"> à 35% de capitaux privés pour accélérer les efforts.</w:t>
      </w:r>
      <w:r w:rsidR="00395E0E" w:rsidRPr="00D42B1B">
        <w:rPr>
          <w:rFonts w:eastAsia="Times New Roman" w:cs="Arial"/>
          <w:color w:val="444444"/>
          <w:szCs w:val="20"/>
          <w:lang w:eastAsia="fr-FR"/>
        </w:rPr>
        <w:t xml:space="preserve"> </w:t>
      </w:r>
      <w:r w:rsidRPr="00D42B1B">
        <w:rPr>
          <w:rFonts w:eastAsia="Times New Roman" w:cs="Arial"/>
          <w:color w:val="444444"/>
          <w:szCs w:val="20"/>
          <w:lang w:eastAsia="fr-FR"/>
        </w:rPr>
        <w:t>Dans la lignée de la Déclaration, le futur compact régional d’investissement rizicole permettra d’entrer dans une phase centrée sur la coordination, le suivi et la mise en œuvre des engagements pris. Ce cadre qui devra être élaboré, soumis à consultation puis finalisé d’ici le troisième trimestre 2026, servira d’instrument commun pour transformer les ambitions politiques en actions structurées.</w:t>
      </w:r>
      <w:r w:rsidR="00395E0E"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Il constituera le repère opérationnel qui donnera une portée juridique et institutionnelle aux engagements </w:t>
      </w:r>
      <w:r w:rsidR="00395E0E" w:rsidRPr="00D42B1B">
        <w:rPr>
          <w:rFonts w:eastAsia="Times New Roman" w:cs="Arial"/>
          <w:color w:val="444444"/>
          <w:szCs w:val="20"/>
          <w:lang w:eastAsia="fr-FR"/>
        </w:rPr>
        <w:t>pris</w:t>
      </w:r>
      <w:r w:rsidRPr="00D42B1B">
        <w:rPr>
          <w:rFonts w:eastAsia="Times New Roman" w:cs="Arial"/>
          <w:color w:val="444444"/>
          <w:szCs w:val="20"/>
          <w:lang w:eastAsia="fr-FR"/>
        </w:rPr>
        <w:t xml:space="preserve">, tout en facilitant l’alignement des financements, des réformes et des projets prioritaires. Ce mécanisme doit en outre permettre de passer d’une vision partagée à une exécution effective, avec des responsabilités mieux définies entre </w:t>
      </w:r>
      <w:r w:rsidR="00395E0E" w:rsidRPr="00D42B1B">
        <w:rPr>
          <w:rFonts w:eastAsia="Times New Roman" w:cs="Arial"/>
          <w:color w:val="444444"/>
          <w:szCs w:val="20"/>
          <w:lang w:eastAsia="fr-FR"/>
        </w:rPr>
        <w:t>E</w:t>
      </w:r>
      <w:r w:rsidRPr="00D42B1B">
        <w:rPr>
          <w:rFonts w:eastAsia="Times New Roman" w:cs="Arial"/>
          <w:color w:val="444444"/>
          <w:szCs w:val="20"/>
          <w:lang w:eastAsia="fr-FR"/>
        </w:rPr>
        <w:t>tats, partenaires techniques et financiers, et secteur privé.</w:t>
      </w:r>
      <w:r w:rsidR="00395E0E" w:rsidRPr="00D42B1B">
        <w:rPr>
          <w:rFonts w:eastAsia="Times New Roman" w:cs="Arial"/>
          <w:color w:val="444444"/>
          <w:szCs w:val="20"/>
          <w:lang w:eastAsia="fr-FR"/>
        </w:rPr>
        <w:t xml:space="preserve"> </w:t>
      </w:r>
      <w:r w:rsidRPr="00D42B1B">
        <w:rPr>
          <w:rFonts w:eastAsia="Times New Roman" w:cs="Arial"/>
          <w:color w:val="444444"/>
          <w:szCs w:val="20"/>
          <w:lang w:eastAsia="fr-FR"/>
        </w:rPr>
        <w:t>L’annonce de 1,54</w:t>
      </w:r>
      <w:r w:rsidR="00395E0E" w:rsidRPr="00D42B1B">
        <w:rPr>
          <w:rFonts w:eastAsia="Times New Roman" w:cs="Arial"/>
          <w:color w:val="444444"/>
          <w:szCs w:val="20"/>
          <w:lang w:eastAsia="fr-FR"/>
        </w:rPr>
        <w:t xml:space="preserve"> Md USD </w:t>
      </w:r>
      <w:r w:rsidRPr="00D42B1B">
        <w:rPr>
          <w:rFonts w:eastAsia="Times New Roman" w:cs="Arial"/>
          <w:color w:val="444444"/>
          <w:szCs w:val="20"/>
          <w:lang w:eastAsia="fr-FR"/>
        </w:rPr>
        <w:t>d’engagements financiers, à l’issue d</w:t>
      </w:r>
      <w:r w:rsidR="00395E0E" w:rsidRPr="00D42B1B">
        <w:rPr>
          <w:rFonts w:eastAsia="Times New Roman" w:cs="Arial"/>
          <w:color w:val="444444"/>
          <w:szCs w:val="20"/>
          <w:lang w:eastAsia="fr-FR"/>
        </w:rPr>
        <w:t xml:space="preserve">es </w:t>
      </w:r>
      <w:r w:rsidRPr="00D42B1B">
        <w:rPr>
          <w:rFonts w:eastAsia="Times New Roman" w:cs="Arial"/>
          <w:color w:val="444444"/>
          <w:szCs w:val="20"/>
          <w:lang w:eastAsia="fr-FR"/>
        </w:rPr>
        <w:t xml:space="preserve">négociations entre les délégations pays et les investisseurs est sans doute le résultat le plus tangible de la table ronde. </w:t>
      </w:r>
      <w:r w:rsidR="00395E0E" w:rsidRPr="00D42B1B">
        <w:rPr>
          <w:rFonts w:eastAsia="Times New Roman" w:cs="Arial"/>
          <w:color w:val="444444"/>
          <w:szCs w:val="20"/>
          <w:lang w:eastAsia="fr-FR"/>
        </w:rPr>
        <w:t>C</w:t>
      </w:r>
      <w:r w:rsidRPr="00D42B1B">
        <w:rPr>
          <w:rFonts w:eastAsia="Times New Roman" w:cs="Arial"/>
          <w:color w:val="444444"/>
          <w:szCs w:val="20"/>
          <w:lang w:eastAsia="fr-FR"/>
        </w:rPr>
        <w:t>ette enveloppe traduit un intérêt des partenaires pour accompagner la transformation de la filière rizicole en Afrique de l’Ouest.</w:t>
      </w:r>
      <w:r w:rsidR="00395E0E"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La répartition de ces engagements révèle clairement les priorités du moment. Le thème </w:t>
      </w:r>
      <w:r w:rsidR="00D07EAD">
        <w:rPr>
          <w:rFonts w:eastAsia="Times New Roman" w:cs="Arial"/>
          <w:color w:val="444444"/>
          <w:szCs w:val="20"/>
          <w:lang w:eastAsia="fr-FR"/>
        </w:rPr>
        <w:t>« </w:t>
      </w:r>
      <w:r w:rsidRPr="00D42B1B">
        <w:rPr>
          <w:rFonts w:eastAsia="Times New Roman" w:cs="Arial"/>
          <w:color w:val="444444"/>
          <w:szCs w:val="20"/>
          <w:lang w:eastAsia="fr-FR"/>
        </w:rPr>
        <w:t>Environnement favorable et mesures transversales » capte à lui seul 964</w:t>
      </w:r>
      <w:r w:rsidR="00395E0E" w:rsidRPr="00D42B1B">
        <w:rPr>
          <w:rFonts w:eastAsia="Times New Roman" w:cs="Arial"/>
          <w:color w:val="444444"/>
          <w:szCs w:val="20"/>
          <w:lang w:eastAsia="fr-FR"/>
        </w:rPr>
        <w:t> M USD</w:t>
      </w:r>
      <w:r w:rsidRPr="00D42B1B">
        <w:rPr>
          <w:rFonts w:eastAsia="Times New Roman" w:cs="Arial"/>
          <w:color w:val="444444"/>
          <w:szCs w:val="20"/>
          <w:lang w:eastAsia="fr-FR"/>
        </w:rPr>
        <w:t>, soit la part la plus importante de l’enveloppe, ce qui montre que les réformes, la coordination, les infrastructures de soutien restent au cœur des attentes des investisseurs.</w:t>
      </w:r>
      <w:r w:rsidR="00395E0E" w:rsidRPr="00D42B1B">
        <w:rPr>
          <w:rFonts w:eastAsia="Times New Roman" w:cs="Arial"/>
          <w:color w:val="444444"/>
          <w:szCs w:val="20"/>
          <w:lang w:eastAsia="fr-FR"/>
        </w:rPr>
        <w:t xml:space="preserve"> </w:t>
      </w:r>
      <w:r w:rsidRPr="00D42B1B">
        <w:rPr>
          <w:rFonts w:eastAsia="Times New Roman" w:cs="Arial"/>
          <w:color w:val="444444"/>
          <w:szCs w:val="20"/>
          <w:lang w:eastAsia="fr-FR"/>
        </w:rPr>
        <w:t>Viennent ensuite les intrants et engrais, avec 104</w:t>
      </w:r>
      <w:r w:rsidR="00395E0E" w:rsidRPr="00D42B1B">
        <w:rPr>
          <w:rFonts w:eastAsia="Times New Roman" w:cs="Arial"/>
          <w:color w:val="444444"/>
          <w:szCs w:val="20"/>
          <w:lang w:eastAsia="fr-FR"/>
        </w:rPr>
        <w:t xml:space="preserve"> M USD</w:t>
      </w:r>
      <w:r w:rsidRPr="00D42B1B">
        <w:rPr>
          <w:rFonts w:eastAsia="Times New Roman" w:cs="Arial"/>
          <w:color w:val="444444"/>
          <w:szCs w:val="20"/>
          <w:lang w:eastAsia="fr-FR"/>
        </w:rPr>
        <w:t>, puis l’irrigation, qui mobilise 45,8</w:t>
      </w:r>
      <w:r w:rsidR="00395E0E" w:rsidRPr="00D42B1B">
        <w:rPr>
          <w:rFonts w:eastAsia="Times New Roman" w:cs="Arial"/>
          <w:color w:val="444444"/>
          <w:szCs w:val="20"/>
          <w:lang w:eastAsia="fr-FR"/>
        </w:rPr>
        <w:t> M USD</w:t>
      </w:r>
      <w:r w:rsidRPr="00D42B1B">
        <w:rPr>
          <w:rFonts w:eastAsia="Times New Roman" w:cs="Arial"/>
          <w:color w:val="444444"/>
          <w:szCs w:val="20"/>
          <w:lang w:eastAsia="fr-FR"/>
        </w:rPr>
        <w:t xml:space="preserve">. La production et l’agrégation des exploitants totalisent 40 </w:t>
      </w:r>
      <w:r w:rsidR="00395E0E" w:rsidRPr="00D42B1B">
        <w:rPr>
          <w:rFonts w:eastAsia="Times New Roman" w:cs="Arial"/>
          <w:color w:val="444444"/>
          <w:szCs w:val="20"/>
          <w:lang w:eastAsia="fr-FR"/>
        </w:rPr>
        <w:t>M USD</w:t>
      </w:r>
      <w:r w:rsidRPr="00D42B1B">
        <w:rPr>
          <w:rFonts w:eastAsia="Times New Roman" w:cs="Arial"/>
          <w:color w:val="444444"/>
          <w:szCs w:val="20"/>
          <w:lang w:eastAsia="fr-FR"/>
        </w:rPr>
        <w:t>, tandis que la transformation et l’usinage du riz ont collecté 14</w:t>
      </w:r>
      <w:r w:rsidR="00395E0E" w:rsidRPr="00D42B1B">
        <w:rPr>
          <w:rFonts w:eastAsia="Times New Roman" w:cs="Arial"/>
          <w:color w:val="444444"/>
          <w:szCs w:val="20"/>
          <w:lang w:eastAsia="fr-FR"/>
        </w:rPr>
        <w:t xml:space="preserve"> M USD</w:t>
      </w:r>
      <w:r w:rsidRPr="00D42B1B">
        <w:rPr>
          <w:rFonts w:eastAsia="Times New Roman" w:cs="Arial"/>
          <w:color w:val="444444"/>
          <w:szCs w:val="20"/>
          <w:lang w:eastAsia="fr-FR"/>
        </w:rPr>
        <w:t>.</w:t>
      </w:r>
      <w:r w:rsidR="00395E0E"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Au niveau des pays, le Togo et le Nigeria se distinguent nettement, avec 707,5 </w:t>
      </w:r>
      <w:r w:rsidR="00395E0E" w:rsidRPr="00D42B1B">
        <w:rPr>
          <w:rFonts w:eastAsia="Times New Roman" w:cs="Arial"/>
          <w:color w:val="444444"/>
          <w:szCs w:val="20"/>
          <w:lang w:eastAsia="fr-FR"/>
        </w:rPr>
        <w:t xml:space="preserve">M USD </w:t>
      </w:r>
      <w:r w:rsidRPr="00D42B1B">
        <w:rPr>
          <w:rFonts w:eastAsia="Times New Roman" w:cs="Arial"/>
          <w:color w:val="444444"/>
          <w:szCs w:val="20"/>
          <w:lang w:eastAsia="fr-FR"/>
        </w:rPr>
        <w:t>d’engagements indicatifs cumulés.</w:t>
      </w:r>
      <w:r w:rsidR="00450BC8" w:rsidRPr="00D42B1B">
        <w:rPr>
          <w:rFonts w:eastAsia="Times New Roman" w:cs="Arial"/>
          <w:color w:val="444444"/>
          <w:szCs w:val="20"/>
          <w:lang w:eastAsia="fr-FR"/>
        </w:rPr>
        <w:t xml:space="preserve"> L</w:t>
      </w:r>
      <w:r w:rsidRPr="00D42B1B">
        <w:rPr>
          <w:rFonts w:eastAsia="Times New Roman" w:cs="Arial"/>
          <w:color w:val="444444"/>
          <w:szCs w:val="20"/>
          <w:lang w:eastAsia="fr-FR"/>
        </w:rPr>
        <w:t>’Observatoire du riz de la CEDEAO (ERO) d</w:t>
      </w:r>
      <w:r w:rsidR="00450BC8" w:rsidRPr="00D42B1B">
        <w:rPr>
          <w:rFonts w:eastAsia="Times New Roman" w:cs="Arial"/>
          <w:color w:val="444444"/>
          <w:szCs w:val="20"/>
          <w:lang w:eastAsia="fr-FR"/>
        </w:rPr>
        <w:t xml:space="preserve">oit </w:t>
      </w:r>
      <w:r w:rsidRPr="00D42B1B">
        <w:rPr>
          <w:rFonts w:eastAsia="Times New Roman" w:cs="Arial"/>
          <w:color w:val="444444"/>
          <w:szCs w:val="20"/>
          <w:lang w:eastAsia="fr-FR"/>
        </w:rPr>
        <w:t>valider et classer l’ensemble des engagements.</w:t>
      </w:r>
      <w:r w:rsidR="00450BC8" w:rsidRPr="00D42B1B">
        <w:rPr>
          <w:rFonts w:eastAsia="Times New Roman" w:cs="Arial"/>
          <w:color w:val="444444"/>
          <w:szCs w:val="20"/>
          <w:lang w:eastAsia="fr-FR"/>
        </w:rPr>
        <w:t xml:space="preserve"> </w:t>
      </w:r>
      <w:r w:rsidRPr="00D42B1B">
        <w:rPr>
          <w:rFonts w:eastAsia="Times New Roman" w:cs="Arial"/>
          <w:color w:val="444444"/>
          <w:szCs w:val="20"/>
          <w:lang w:eastAsia="fr-FR"/>
        </w:rPr>
        <w:t>Des points focaux nationaux seront ensuite désignés, avec des plans d’action à communiquer. Des appels de suivi seront organisés pour les engagements les plus avancés, avant une première revue de progrès prévue en septembre 2026. Ces étapes devront désormais transformer l’élan financier en investissements effectivement réalisés.</w:t>
      </w:r>
    </w:p>
    <w:p w14:paraId="0719A19C" w14:textId="73FBDF3D" w:rsidR="008B453F" w:rsidRPr="00D42B1B" w:rsidRDefault="008B453F" w:rsidP="008B453F">
      <w:pPr>
        <w:shd w:val="clear" w:color="auto" w:fill="FFFFFF"/>
        <w:spacing w:after="0" w:line="276" w:lineRule="auto"/>
        <w:rPr>
          <w:rFonts w:eastAsia="Times New Roman" w:cs="Arial"/>
          <w:color w:val="444444"/>
          <w:szCs w:val="20"/>
          <w:lang w:eastAsia="fr-FR"/>
        </w:rPr>
      </w:pPr>
    </w:p>
    <w:p w14:paraId="5E2214D9" w14:textId="5672C3A8" w:rsidR="00807E5E" w:rsidRPr="00D42B1B" w:rsidRDefault="00807E5E" w:rsidP="009C0D4D">
      <w:pPr>
        <w:pStyle w:val="Titre2"/>
        <w:spacing w:before="0"/>
        <w:rPr>
          <w:rFonts w:eastAsiaTheme="minorHAnsi"/>
        </w:rPr>
      </w:pPr>
      <w:bookmarkStart w:id="31" w:name="_Toc233878667"/>
      <w:r w:rsidRPr="00D42B1B">
        <w:rPr>
          <w:rFonts w:eastAsia="Times New Roman" w:cs="Arial"/>
          <w:color w:val="444444"/>
          <w:szCs w:val="20"/>
          <w:lang w:eastAsia="fr-FR"/>
        </w:rPr>
        <w:t>Anacarde – La Chine simplifie l’accès à son marché pour l’anacarde africaine.</w:t>
      </w:r>
      <w:bookmarkEnd w:id="31"/>
    </w:p>
    <w:p w14:paraId="31AAB5EF" w14:textId="664F71D7" w:rsidR="00807E5E" w:rsidRPr="00D42B1B" w:rsidRDefault="00807E5E" w:rsidP="00807E5E">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La Chine vient d’adopter des règles communes pour les importations en provenance de la plupart des pays producteurs du continent, une mesure présentée comme un moyen de renforcer les échanges agricoles entre la Chine et l’Afrique. Les producteurs africains d’anacarde n’auront plus à négocier individuellement leur accès au marché chinois. Les autorités chinoises appliquent désormais les mêmes règles sanitaires à tous les pays africains ayant des relations diplomatiques avec la Chine. Jusqu’à présent, seuls quelques pays, comme la Guinée-Bissau ou encore la Gambie en Afrique de l’Ouest, disposaient d’une autorisation spécifique pour exporter leurs anacardes vers la Chine. Dorénavant, les autres pays producteurs pourront eux aussi accéder à ce marché à condition de respecter les normes fixées par les autorités chinoises. La mesure concerne un secteur stratégique pour le continent. L’Afrique</w:t>
      </w:r>
      <w:r w:rsidR="009C0D4D" w:rsidRPr="00D42B1B">
        <w:rPr>
          <w:rFonts w:eastAsia="Times New Roman" w:cs="Arial"/>
          <w:color w:val="444444"/>
          <w:szCs w:val="20"/>
          <w:lang w:eastAsia="fr-FR"/>
        </w:rPr>
        <w:t>, et les pays d’Afrique de l’Ouest en particulier,</w:t>
      </w:r>
      <w:r w:rsidRPr="00D42B1B">
        <w:rPr>
          <w:rFonts w:eastAsia="Times New Roman" w:cs="Arial"/>
          <w:color w:val="444444"/>
          <w:szCs w:val="20"/>
          <w:lang w:eastAsia="fr-FR"/>
        </w:rPr>
        <w:t xml:space="preserve"> représente aujourd’hui la principale </w:t>
      </w:r>
      <w:r w:rsidRPr="00D42B1B">
        <w:rPr>
          <w:rFonts w:eastAsia="Times New Roman" w:cs="Arial"/>
          <w:color w:val="444444"/>
          <w:szCs w:val="20"/>
          <w:lang w:eastAsia="fr-FR"/>
        </w:rPr>
        <w:lastRenderedPageBreak/>
        <w:t>région productrice d’anacardes dans le monde et assure l’essentiel de l’approvisionnement mondial en noix brutes. Pour</w:t>
      </w:r>
      <w:r w:rsidR="009C0D4D" w:rsidRPr="00D42B1B">
        <w:rPr>
          <w:rFonts w:eastAsia="Times New Roman" w:cs="Arial"/>
          <w:color w:val="444444"/>
          <w:szCs w:val="20"/>
          <w:lang w:eastAsia="fr-FR"/>
        </w:rPr>
        <w:t xml:space="preserve"> la Chine</w:t>
      </w:r>
      <w:r w:rsidRPr="00D42B1B">
        <w:rPr>
          <w:rFonts w:eastAsia="Times New Roman" w:cs="Arial"/>
          <w:color w:val="444444"/>
          <w:szCs w:val="20"/>
          <w:lang w:eastAsia="fr-FR"/>
        </w:rPr>
        <w:t>, cette simplification doit permettre de diversifier ses sources d’importation, de sécuriser ses approvisionnements et d’élargir l’offre disponible pour les consommateurs chinois.</w:t>
      </w:r>
      <w:r w:rsidR="009C0D4D" w:rsidRPr="00D42B1B">
        <w:rPr>
          <w:rFonts w:eastAsia="Times New Roman" w:cs="Arial"/>
          <w:color w:val="444444"/>
          <w:szCs w:val="20"/>
          <w:lang w:eastAsia="fr-FR"/>
        </w:rPr>
        <w:t xml:space="preserve"> </w:t>
      </w:r>
      <w:r w:rsidRPr="00D42B1B">
        <w:rPr>
          <w:rFonts w:eastAsia="Times New Roman" w:cs="Arial"/>
          <w:color w:val="444444"/>
          <w:szCs w:val="20"/>
          <w:lang w:eastAsia="fr-FR"/>
        </w:rPr>
        <w:t>Cette décision s’inscrit également dans les engagements pris par la Chine ces dernières années pour accroître ses importations agricoles africaines et rééquilibrer, au moins en partie, les échanges commerciaux avec le continent</w:t>
      </w:r>
      <w:r w:rsidR="009C0D4D" w:rsidRPr="00D42B1B">
        <w:rPr>
          <w:rFonts w:eastAsia="Times New Roman" w:cs="Arial"/>
          <w:color w:val="444444"/>
          <w:szCs w:val="20"/>
          <w:lang w:eastAsia="fr-FR"/>
        </w:rPr>
        <w:t>, u</w:t>
      </w:r>
      <w:r w:rsidRPr="00D42B1B">
        <w:rPr>
          <w:rFonts w:eastAsia="Times New Roman" w:cs="Arial"/>
          <w:color w:val="444444"/>
          <w:szCs w:val="20"/>
          <w:lang w:eastAsia="fr-FR"/>
        </w:rPr>
        <w:t>n objectif régulièrement mis en avant par Pékin lors des sommets Chine-Afrique.</w:t>
      </w:r>
    </w:p>
    <w:p w14:paraId="10CF36C6" w14:textId="77777777" w:rsidR="009C0D4D" w:rsidRPr="00D42B1B" w:rsidRDefault="009C0D4D" w:rsidP="00807E5E">
      <w:pPr>
        <w:shd w:val="clear" w:color="auto" w:fill="FFFFFF"/>
        <w:spacing w:after="0" w:line="276" w:lineRule="auto"/>
        <w:rPr>
          <w:rFonts w:eastAsia="Times New Roman" w:cs="Arial"/>
          <w:color w:val="444444"/>
          <w:szCs w:val="20"/>
          <w:lang w:eastAsia="fr-FR"/>
        </w:rPr>
      </w:pPr>
    </w:p>
    <w:p w14:paraId="794C8C64" w14:textId="7E786062" w:rsidR="008B453F" w:rsidRPr="00D42B1B" w:rsidRDefault="008B453F" w:rsidP="00FA1C91">
      <w:pPr>
        <w:pStyle w:val="Titre2"/>
        <w:spacing w:before="0"/>
        <w:rPr>
          <w:rFonts w:eastAsiaTheme="minorHAnsi"/>
        </w:rPr>
      </w:pPr>
      <w:bookmarkStart w:id="32" w:name="_Toc233878668"/>
      <w:bookmarkStart w:id="33" w:name="_Hlk233051271"/>
      <w:r w:rsidRPr="00D42B1B">
        <w:rPr>
          <w:rFonts w:eastAsia="Times New Roman" w:cs="Arial"/>
          <w:color w:val="444444"/>
          <w:szCs w:val="20"/>
          <w:lang w:eastAsia="fr-FR"/>
        </w:rPr>
        <w:t>Karité - Record des exportations de beurre de karité au 1</w:t>
      </w:r>
      <w:r w:rsidRPr="00D42B1B">
        <w:rPr>
          <w:rFonts w:eastAsia="Times New Roman" w:cs="Arial"/>
          <w:color w:val="444444"/>
          <w:szCs w:val="20"/>
          <w:vertAlign w:val="superscript"/>
          <w:lang w:eastAsia="fr-FR"/>
        </w:rPr>
        <w:t>er</w:t>
      </w:r>
      <w:r w:rsidRPr="00D42B1B">
        <w:rPr>
          <w:rFonts w:eastAsia="Times New Roman" w:cs="Arial"/>
          <w:color w:val="444444"/>
          <w:szCs w:val="20"/>
          <w:lang w:eastAsia="fr-FR"/>
        </w:rPr>
        <w:t xml:space="preserve"> trimestre 2026.</w:t>
      </w:r>
      <w:bookmarkEnd w:id="32"/>
    </w:p>
    <w:bookmarkEnd w:id="33"/>
    <w:p w14:paraId="614FB389" w14:textId="5AFE52F3" w:rsidR="00A72CBC" w:rsidRPr="00D42B1B" w:rsidRDefault="008B453F" w:rsidP="008B453F">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L’Afrique de l’Ouest est le principal foyer de l’offre des amandes de karité, matière première privilégiée dans la cosmétique et l’agroalimentaire. Les politiques nationales d’industrialisation adoptées par plusieurs pays de la région semblent déjà se répercuter sur la dynamique du marché mondial. Les achats de beurre de karité sur le marché international ont atteint 27 951 tonnes au premier trimestre 2026, signant une hausse de près de 27% par rapport aux volumes enregistrés au cours de la même période un an plus tôt (22 046 tonnes). C’est ce qu’indique le service indépendant de conseil commercial N’</w:t>
      </w:r>
      <w:proofErr w:type="spellStart"/>
      <w:r w:rsidRPr="00D42B1B">
        <w:rPr>
          <w:rFonts w:eastAsia="Times New Roman" w:cs="Arial"/>
          <w:color w:val="444444"/>
          <w:szCs w:val="20"/>
          <w:lang w:eastAsia="fr-FR"/>
        </w:rPr>
        <w:t>kalô</w:t>
      </w:r>
      <w:proofErr w:type="spellEnd"/>
      <w:r w:rsidRPr="00D42B1B">
        <w:rPr>
          <w:rFonts w:eastAsia="Times New Roman" w:cs="Arial"/>
          <w:color w:val="444444"/>
          <w:szCs w:val="20"/>
          <w:lang w:eastAsia="fr-FR"/>
        </w:rPr>
        <w:t xml:space="preserve"> dans son bulletin d’information publié le 5</w:t>
      </w:r>
      <w:r w:rsidR="00AD0691">
        <w:rPr>
          <w:rFonts w:eastAsia="Times New Roman" w:cs="Arial"/>
          <w:color w:val="444444"/>
          <w:szCs w:val="20"/>
          <w:lang w:eastAsia="fr-FR"/>
        </w:rPr>
        <w:t> </w:t>
      </w:r>
      <w:r w:rsidRPr="00D42B1B">
        <w:rPr>
          <w:rFonts w:eastAsia="Times New Roman" w:cs="Arial"/>
          <w:color w:val="444444"/>
          <w:szCs w:val="20"/>
          <w:lang w:eastAsia="fr-FR"/>
        </w:rPr>
        <w:t>juin, citant les données douanières. Avec cette progression, les achats de beurre de karité ont également atteint leur plus haut niveau en cinq ans au premier trimestre de l’année 2026. Parallèlement, les exportations d’amandes de karité (matière première sous forme brute) affichent une évolution en sens inverse. D’après le rapport, 84 705 tonnes d’amandes ont été achetées sur le marché international au premier trimestre 2026, marquant une baisse de 25% en glissement annuel et signant le plus bas niveau d’achats enregistré sur la même période depuis 2024. Pour expliquer ce contraste, le service de conseil N’</w:t>
      </w:r>
      <w:proofErr w:type="spellStart"/>
      <w:r w:rsidRPr="00D42B1B">
        <w:rPr>
          <w:rFonts w:eastAsia="Times New Roman" w:cs="Arial"/>
          <w:color w:val="444444"/>
          <w:szCs w:val="20"/>
          <w:lang w:eastAsia="fr-FR"/>
        </w:rPr>
        <w:t>kalô</w:t>
      </w:r>
      <w:proofErr w:type="spellEnd"/>
      <w:r w:rsidRPr="00D42B1B">
        <w:rPr>
          <w:rFonts w:eastAsia="Times New Roman" w:cs="Arial"/>
          <w:color w:val="444444"/>
          <w:szCs w:val="20"/>
          <w:lang w:eastAsia="fr-FR"/>
        </w:rPr>
        <w:t xml:space="preserve"> attribue cette évolution à la transformation des politiques publiques dans les principaux pays producteurs ouest-africains. Depuis 2024, en effet, plusieurs Etats ont adopté des mesures restrictives sur les exportations d’amandes de karité, avec une volonté commune de capter davantage de valeur ajoutée domestique en développant des unités industrielles locales. Après le Mali en octobre 2024, la Côte d’Ivoire et le Togo ont également décidé de suspendre les expéditions d’amandes de karité, respectivement en janvier et avril 2025. Le Nigeria, numéro</w:t>
      </w:r>
      <w:r w:rsidRPr="00D42B1B">
        <w:rPr>
          <w:rFonts w:ascii="Times New Roman" w:eastAsia="Times New Roman" w:hAnsi="Times New Roman" w:cs="Times New Roman"/>
          <w:color w:val="444444"/>
          <w:szCs w:val="20"/>
          <w:lang w:eastAsia="fr-FR"/>
        </w:rPr>
        <w:t> </w:t>
      </w:r>
      <w:r w:rsidRPr="00D42B1B">
        <w:rPr>
          <w:rFonts w:eastAsia="Times New Roman" w:cs="Arial"/>
          <w:color w:val="444444"/>
          <w:szCs w:val="20"/>
          <w:lang w:eastAsia="fr-FR"/>
        </w:rPr>
        <w:t>1 mondial de l</w:t>
      </w:r>
      <w:r w:rsidRPr="00D42B1B">
        <w:rPr>
          <w:rFonts w:eastAsia="Times New Roman" w:cs="Marianne"/>
          <w:color w:val="444444"/>
          <w:szCs w:val="20"/>
          <w:lang w:eastAsia="fr-FR"/>
        </w:rPr>
        <w:t>’</w:t>
      </w:r>
      <w:r w:rsidRPr="00D42B1B">
        <w:rPr>
          <w:rFonts w:eastAsia="Times New Roman" w:cs="Arial"/>
          <w:color w:val="444444"/>
          <w:szCs w:val="20"/>
          <w:lang w:eastAsia="fr-FR"/>
        </w:rPr>
        <w:t>offre, suit le mouvement depuis août 2025. Après avoir suspendu les exportations d’amandes en 2024, le Burkina Faso a levé cette interdiction en mai 2026, mais dans un cadre strict. Les exportateurs doivent désormais obtenir une autorisation spéciale et céder au moins 25% de leurs volumes aux transformateurs locaux. Une taxe de 200</w:t>
      </w:r>
      <w:r w:rsidRPr="00D42B1B">
        <w:rPr>
          <w:rFonts w:ascii="Times New Roman" w:eastAsia="Times New Roman" w:hAnsi="Times New Roman" w:cs="Times New Roman"/>
          <w:color w:val="444444"/>
          <w:szCs w:val="20"/>
          <w:lang w:eastAsia="fr-FR"/>
        </w:rPr>
        <w:t> </w:t>
      </w:r>
      <w:r w:rsidRPr="00D42B1B">
        <w:rPr>
          <w:rFonts w:eastAsia="Times New Roman" w:cs="Arial"/>
          <w:color w:val="444444"/>
          <w:szCs w:val="20"/>
          <w:lang w:eastAsia="fr-FR"/>
        </w:rPr>
        <w:t>FCFA par kilogramme export</w:t>
      </w:r>
      <w:r w:rsidRPr="00D42B1B">
        <w:rPr>
          <w:rFonts w:eastAsia="Times New Roman" w:cs="Marianne"/>
          <w:color w:val="444444"/>
          <w:szCs w:val="20"/>
          <w:lang w:eastAsia="fr-FR"/>
        </w:rPr>
        <w:t>é</w:t>
      </w:r>
      <w:r w:rsidRPr="00D42B1B">
        <w:rPr>
          <w:rFonts w:eastAsia="Times New Roman" w:cs="Arial"/>
          <w:color w:val="444444"/>
          <w:szCs w:val="20"/>
          <w:lang w:eastAsia="fr-FR"/>
        </w:rPr>
        <w:t xml:space="preserve"> a </w:t>
      </w:r>
      <w:r w:rsidRPr="00D42B1B">
        <w:rPr>
          <w:rFonts w:eastAsia="Times New Roman" w:cs="Marianne"/>
          <w:color w:val="444444"/>
          <w:szCs w:val="20"/>
          <w:lang w:eastAsia="fr-FR"/>
        </w:rPr>
        <w:t>é</w:t>
      </w:r>
      <w:r w:rsidRPr="00D42B1B">
        <w:rPr>
          <w:rFonts w:eastAsia="Times New Roman" w:cs="Arial"/>
          <w:color w:val="444444"/>
          <w:szCs w:val="20"/>
          <w:lang w:eastAsia="fr-FR"/>
        </w:rPr>
        <w:t xml:space="preserve">galement </w:t>
      </w:r>
      <w:r w:rsidRPr="00D42B1B">
        <w:rPr>
          <w:rFonts w:eastAsia="Times New Roman" w:cs="Marianne"/>
          <w:color w:val="444444"/>
          <w:szCs w:val="20"/>
          <w:lang w:eastAsia="fr-FR"/>
        </w:rPr>
        <w:t>é</w:t>
      </w:r>
      <w:r w:rsidRPr="00D42B1B">
        <w:rPr>
          <w:rFonts w:eastAsia="Times New Roman" w:cs="Arial"/>
          <w:color w:val="444444"/>
          <w:szCs w:val="20"/>
          <w:lang w:eastAsia="fr-FR"/>
        </w:rPr>
        <w:t>t</w:t>
      </w:r>
      <w:r w:rsidRPr="00D42B1B">
        <w:rPr>
          <w:rFonts w:eastAsia="Times New Roman" w:cs="Marianne"/>
          <w:color w:val="444444"/>
          <w:szCs w:val="20"/>
          <w:lang w:eastAsia="fr-FR"/>
        </w:rPr>
        <w:t>é</w:t>
      </w:r>
      <w:r w:rsidRPr="00D42B1B">
        <w:rPr>
          <w:rFonts w:eastAsia="Times New Roman" w:cs="Arial"/>
          <w:color w:val="444444"/>
          <w:szCs w:val="20"/>
          <w:lang w:eastAsia="fr-FR"/>
        </w:rPr>
        <w:t xml:space="preserve"> instaur</w:t>
      </w:r>
      <w:r w:rsidRPr="00D42B1B">
        <w:rPr>
          <w:rFonts w:eastAsia="Times New Roman" w:cs="Marianne"/>
          <w:color w:val="444444"/>
          <w:szCs w:val="20"/>
          <w:lang w:eastAsia="fr-FR"/>
        </w:rPr>
        <w:t>é</w:t>
      </w:r>
      <w:r w:rsidRPr="00D42B1B">
        <w:rPr>
          <w:rFonts w:eastAsia="Times New Roman" w:cs="Arial"/>
          <w:color w:val="444444"/>
          <w:szCs w:val="20"/>
          <w:lang w:eastAsia="fr-FR"/>
        </w:rPr>
        <w:t>e. Le Ghana, de son côté, met en place une restriction progressive et envisage une interdiction totale à l’horizon 2026. Cette combinaison de restrictions, d’ajustements réglementaires et de stratégies industrielles entraîne une reconfiguration des flux mondiaux. Des industriels européens achètent davantage de beurre et investissent dans la transformation sur place pour compenser la raréfaction des exportations de noix brutes. Dans ce contexte, la hausse des exportations de beurre de karité au premier trimestre 2026</w:t>
      </w:r>
      <w:r w:rsidR="00FA1C91" w:rsidRPr="00D42B1B">
        <w:rPr>
          <w:rFonts w:eastAsia="Times New Roman" w:cs="Arial"/>
          <w:color w:val="444444"/>
          <w:szCs w:val="20"/>
          <w:lang w:eastAsia="fr-FR"/>
        </w:rPr>
        <w:t>,</w:t>
      </w:r>
      <w:r w:rsidRPr="00D42B1B">
        <w:rPr>
          <w:rFonts w:eastAsia="Times New Roman" w:cs="Arial"/>
          <w:color w:val="444444"/>
          <w:szCs w:val="20"/>
          <w:lang w:eastAsia="fr-FR"/>
        </w:rPr>
        <w:t xml:space="preserve"> apparaît moins comme un simple effet conjoncturel que comme le signe d’une recomposition structurelle de la filière. Sous l’effet des restrictions sur les exportations d’amandes, la chaîne de valeur ouest-africaine se réoriente vers la transformation locale, tandis que les acheteurs internationaux ajustent leurs stratégies d’approvisionnement. </w:t>
      </w:r>
      <w:r w:rsidR="00FA1C91" w:rsidRPr="00D42B1B">
        <w:rPr>
          <w:rFonts w:eastAsia="Times New Roman" w:cs="Arial"/>
          <w:color w:val="444444"/>
          <w:szCs w:val="20"/>
          <w:lang w:eastAsia="fr-FR"/>
        </w:rPr>
        <w:t>A</w:t>
      </w:r>
      <w:r w:rsidRPr="00D42B1B">
        <w:rPr>
          <w:rFonts w:eastAsia="Times New Roman" w:cs="Arial"/>
          <w:color w:val="444444"/>
          <w:szCs w:val="20"/>
          <w:lang w:eastAsia="fr-FR"/>
        </w:rPr>
        <w:t xml:space="preserve"> terme, cette dynamique pourrait redéfinir la place de l’Afrique de l’Ouest dans la chaîne mondiale du karité, en renforçant son rôle, non plus </w:t>
      </w:r>
      <w:r w:rsidRPr="00D42B1B">
        <w:rPr>
          <w:rFonts w:eastAsia="Times New Roman" w:cs="Arial"/>
          <w:color w:val="444444"/>
          <w:szCs w:val="20"/>
          <w:lang w:eastAsia="fr-FR"/>
        </w:rPr>
        <w:lastRenderedPageBreak/>
        <w:t>seulement comme fournisseur de matière première, mais aussi comme acteur industriel intégré.</w:t>
      </w:r>
    </w:p>
    <w:p w14:paraId="20986E3E" w14:textId="12CA0FE0" w:rsidR="00FA1C91" w:rsidRPr="00D42B1B" w:rsidRDefault="00FA1C91" w:rsidP="008B453F">
      <w:pPr>
        <w:shd w:val="clear" w:color="auto" w:fill="FFFFFF"/>
        <w:spacing w:after="0" w:line="276" w:lineRule="auto"/>
        <w:rPr>
          <w:rFonts w:eastAsia="Times New Roman" w:cs="Arial"/>
          <w:color w:val="444444"/>
          <w:szCs w:val="20"/>
          <w:lang w:eastAsia="fr-FR"/>
        </w:rPr>
      </w:pPr>
    </w:p>
    <w:p w14:paraId="24B2E8BC" w14:textId="0B88862B" w:rsidR="00FA1C91" w:rsidRPr="00D42B1B" w:rsidRDefault="00FA1C91" w:rsidP="00E83AD1">
      <w:pPr>
        <w:pStyle w:val="Titre2"/>
        <w:spacing w:before="0"/>
        <w:rPr>
          <w:rFonts w:eastAsiaTheme="minorHAnsi"/>
        </w:rPr>
      </w:pPr>
      <w:bookmarkStart w:id="34" w:name="_Toc233878669"/>
      <w:r w:rsidRPr="00D42B1B">
        <w:rPr>
          <w:rFonts w:eastAsia="Times New Roman" w:cs="Arial"/>
          <w:color w:val="444444"/>
          <w:szCs w:val="20"/>
          <w:lang w:eastAsia="fr-FR"/>
        </w:rPr>
        <w:t>Soja - L’Inde se tourne vers l’Afrique</w:t>
      </w:r>
      <w:r w:rsidR="00E83AD1" w:rsidRPr="00D42B1B">
        <w:rPr>
          <w:rFonts w:eastAsia="Times New Roman" w:cs="Arial"/>
          <w:color w:val="444444"/>
          <w:szCs w:val="20"/>
          <w:lang w:eastAsia="fr-FR"/>
        </w:rPr>
        <w:t xml:space="preserve"> de l’Ouest pour ses approvisionnements</w:t>
      </w:r>
      <w:r w:rsidRPr="00D42B1B">
        <w:rPr>
          <w:rFonts w:eastAsia="Times New Roman" w:cs="Arial"/>
          <w:color w:val="444444"/>
          <w:szCs w:val="20"/>
          <w:lang w:eastAsia="fr-FR"/>
        </w:rPr>
        <w:t>.</w:t>
      </w:r>
      <w:bookmarkEnd w:id="34"/>
    </w:p>
    <w:p w14:paraId="246C9C63" w14:textId="626A1E32" w:rsidR="00FA1C91" w:rsidRPr="00D42B1B" w:rsidRDefault="00FA1C91" w:rsidP="00E91650">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Confrontée à une forte hausse des prix du soja sur son marché intérieur, l’Inde augmente ses importations en provenance </w:t>
      </w:r>
      <w:r w:rsidR="00E91650" w:rsidRPr="00D42B1B">
        <w:rPr>
          <w:rFonts w:eastAsia="Times New Roman" w:cs="Arial"/>
          <w:color w:val="444444"/>
          <w:szCs w:val="20"/>
          <w:lang w:eastAsia="fr-FR"/>
        </w:rPr>
        <w:t xml:space="preserve">des </w:t>
      </w:r>
      <w:r w:rsidRPr="00D42B1B">
        <w:rPr>
          <w:rFonts w:eastAsia="Times New Roman" w:cs="Arial"/>
          <w:color w:val="444444"/>
          <w:szCs w:val="20"/>
          <w:lang w:eastAsia="fr-FR"/>
        </w:rPr>
        <w:t>pays africains, ouvrant de nouvelles perspectives commerciales aux producteurs du continent.</w:t>
      </w:r>
      <w:r w:rsidR="00E91650" w:rsidRPr="00D42B1B">
        <w:rPr>
          <w:rFonts w:eastAsia="Times New Roman" w:cs="Arial"/>
          <w:color w:val="444444"/>
          <w:szCs w:val="20"/>
          <w:lang w:eastAsia="fr-FR"/>
        </w:rPr>
        <w:t xml:space="preserve"> L</w:t>
      </w:r>
      <w:r w:rsidRPr="00D42B1B">
        <w:rPr>
          <w:rFonts w:eastAsia="Times New Roman" w:cs="Arial"/>
          <w:color w:val="444444"/>
          <w:szCs w:val="20"/>
          <w:lang w:eastAsia="fr-FR"/>
        </w:rPr>
        <w:t xml:space="preserve">es négociants indiens ont </w:t>
      </w:r>
      <w:r w:rsidR="00E91650" w:rsidRPr="00D42B1B">
        <w:rPr>
          <w:rFonts w:eastAsia="Times New Roman" w:cs="Arial"/>
          <w:color w:val="444444"/>
          <w:szCs w:val="20"/>
          <w:lang w:eastAsia="fr-FR"/>
        </w:rPr>
        <w:t xml:space="preserve">ainsi </w:t>
      </w:r>
      <w:r w:rsidRPr="00D42B1B">
        <w:rPr>
          <w:rFonts w:eastAsia="Times New Roman" w:cs="Arial"/>
          <w:color w:val="444444"/>
          <w:szCs w:val="20"/>
          <w:lang w:eastAsia="fr-FR"/>
        </w:rPr>
        <w:t>annulé près de 25 000 tonnes de contrats d’exportation de tourteaux de soja et sécurisé l’achat d’environ 80</w:t>
      </w:r>
      <w:r w:rsidR="00E91650" w:rsidRPr="00D42B1B">
        <w:rPr>
          <w:rFonts w:eastAsia="Times New Roman" w:cs="Arial"/>
          <w:color w:val="444444"/>
          <w:szCs w:val="20"/>
          <w:lang w:eastAsia="fr-FR"/>
        </w:rPr>
        <w:t> </w:t>
      </w:r>
      <w:r w:rsidRPr="00D42B1B">
        <w:rPr>
          <w:rFonts w:eastAsia="Times New Roman" w:cs="Arial"/>
          <w:color w:val="444444"/>
          <w:szCs w:val="20"/>
          <w:lang w:eastAsia="fr-FR"/>
        </w:rPr>
        <w:t>000 tonnes de graines de soja africaines afin de faire face à la flambée des prix domestiques.</w:t>
      </w:r>
      <w:r w:rsidR="00E91650" w:rsidRPr="00D42B1B">
        <w:rPr>
          <w:rFonts w:eastAsia="Times New Roman" w:cs="Arial"/>
          <w:color w:val="444444"/>
          <w:szCs w:val="20"/>
          <w:lang w:eastAsia="fr-FR"/>
        </w:rPr>
        <w:t xml:space="preserve"> Les importations indiennes de soja pourraient atteindre un niveau record de 800 000 tonnes d’ici septembre 2026, contre seulement environ 2 000 tonnes au cours de l’année précédente, d’après les données de l’Association indienne des transformateurs de soja. </w:t>
      </w:r>
      <w:r w:rsidRPr="00D42B1B">
        <w:rPr>
          <w:rFonts w:eastAsia="Times New Roman" w:cs="Arial"/>
          <w:color w:val="444444"/>
          <w:szCs w:val="20"/>
          <w:lang w:eastAsia="fr-FR"/>
        </w:rPr>
        <w:t>Cette évolution pourrait profiter à plusieurs producteurs africains de soja non génétiquement modifié (non-OGM), seule variété autorisée à l’importation par les autorités indiennes.</w:t>
      </w:r>
      <w:r w:rsidR="00E91650" w:rsidRPr="00D42B1B">
        <w:rPr>
          <w:rFonts w:eastAsia="Times New Roman" w:cs="Arial"/>
          <w:color w:val="444444"/>
          <w:szCs w:val="20"/>
          <w:lang w:eastAsia="fr-FR"/>
        </w:rPr>
        <w:t xml:space="preserve"> La réglementation indienne réduit le nombre de fournisseurs potentiels. Parmi les principaux pays africains concernés figurent le Nigéria, le Bénin, le Niger et le Togo.</w:t>
      </w:r>
      <w:r w:rsidR="00E83AD1" w:rsidRPr="00D42B1B">
        <w:rPr>
          <w:rFonts w:eastAsia="Times New Roman" w:cs="Arial"/>
          <w:color w:val="444444"/>
          <w:szCs w:val="20"/>
          <w:lang w:eastAsia="fr-FR"/>
        </w:rPr>
        <w:t xml:space="preserve"> </w:t>
      </w:r>
      <w:r w:rsidR="00E91650" w:rsidRPr="00D42B1B">
        <w:rPr>
          <w:rFonts w:eastAsia="Times New Roman" w:cs="Arial"/>
          <w:color w:val="444444"/>
          <w:szCs w:val="20"/>
          <w:lang w:eastAsia="fr-FR"/>
        </w:rPr>
        <w:t>Pour ces producteurs, la hausse de la demande indienne représente une opportunité de renforcer leurs exportations et d’accroître leur présence sur l’un des plus importants marchés mondiaux de consommation de produits agricoles.</w:t>
      </w:r>
      <w:r w:rsidR="00E83AD1" w:rsidRPr="00D42B1B">
        <w:rPr>
          <w:rFonts w:eastAsia="Times New Roman" w:cs="Arial"/>
          <w:color w:val="444444"/>
          <w:szCs w:val="20"/>
          <w:lang w:eastAsia="fr-FR"/>
        </w:rPr>
        <w:t xml:space="preserve"> </w:t>
      </w:r>
      <w:r w:rsidR="00E91650" w:rsidRPr="00D42B1B">
        <w:rPr>
          <w:rFonts w:eastAsia="Times New Roman" w:cs="Arial"/>
          <w:color w:val="444444"/>
          <w:szCs w:val="20"/>
          <w:lang w:eastAsia="fr-FR"/>
        </w:rPr>
        <w:t>L</w:t>
      </w:r>
      <w:r w:rsidRPr="00D42B1B">
        <w:rPr>
          <w:rFonts w:eastAsia="Times New Roman" w:cs="Arial"/>
          <w:color w:val="444444"/>
          <w:szCs w:val="20"/>
          <w:lang w:eastAsia="fr-FR"/>
        </w:rPr>
        <w:t xml:space="preserve">a demande croissante de l’Inde permet </w:t>
      </w:r>
      <w:r w:rsidR="00E83AD1" w:rsidRPr="00D42B1B">
        <w:rPr>
          <w:rFonts w:eastAsia="Times New Roman" w:cs="Arial"/>
          <w:color w:val="444444"/>
          <w:szCs w:val="20"/>
          <w:lang w:eastAsia="fr-FR"/>
        </w:rPr>
        <w:t xml:space="preserve">déjà </w:t>
      </w:r>
      <w:r w:rsidRPr="00D42B1B">
        <w:rPr>
          <w:rFonts w:eastAsia="Times New Roman" w:cs="Arial"/>
          <w:color w:val="444444"/>
          <w:szCs w:val="20"/>
          <w:lang w:eastAsia="fr-FR"/>
        </w:rPr>
        <w:t>aux exportateurs africains d’obtenir des prix supérieurs aux niveaux observés sur les marchés internationaux.</w:t>
      </w:r>
    </w:p>
    <w:p w14:paraId="1C1544E6" w14:textId="7700FD99" w:rsidR="00E83AD1" w:rsidRPr="00D42B1B" w:rsidRDefault="00E83AD1" w:rsidP="00E91650">
      <w:pPr>
        <w:shd w:val="clear" w:color="auto" w:fill="FFFFFF"/>
        <w:spacing w:after="0" w:line="276" w:lineRule="auto"/>
        <w:rPr>
          <w:rFonts w:eastAsia="Times New Roman" w:cs="Arial"/>
          <w:color w:val="444444"/>
          <w:szCs w:val="20"/>
          <w:lang w:eastAsia="fr-FR"/>
        </w:rPr>
      </w:pPr>
    </w:p>
    <w:p w14:paraId="55AEBE3F" w14:textId="057EDBC6" w:rsidR="00E83AD1" w:rsidRPr="00D42B1B" w:rsidRDefault="00E83AD1" w:rsidP="00CF78CE">
      <w:pPr>
        <w:pStyle w:val="Titre2"/>
        <w:spacing w:before="0"/>
        <w:rPr>
          <w:rFonts w:eastAsiaTheme="minorHAnsi"/>
        </w:rPr>
      </w:pPr>
      <w:bookmarkStart w:id="35" w:name="_Toc233878670"/>
      <w:r w:rsidRPr="00D42B1B">
        <w:rPr>
          <w:rFonts w:eastAsia="Times New Roman" w:cs="Arial"/>
          <w:color w:val="444444"/>
          <w:szCs w:val="20"/>
          <w:lang w:eastAsia="fr-FR"/>
        </w:rPr>
        <w:t>Pêche</w:t>
      </w:r>
      <w:r w:rsidRPr="00D42B1B">
        <w:t xml:space="preserve"> </w:t>
      </w:r>
      <w:r w:rsidRPr="00D42B1B">
        <w:rPr>
          <w:rFonts w:eastAsia="Times New Roman" w:cs="Arial"/>
          <w:color w:val="444444"/>
          <w:szCs w:val="20"/>
          <w:lang w:eastAsia="fr-FR"/>
        </w:rPr>
        <w:t>- Initiatives ouest-africaines majeures de lutte contre la pêche</w:t>
      </w:r>
      <w:r w:rsidRPr="00D42B1B">
        <w:t xml:space="preserve"> </w:t>
      </w:r>
      <w:r w:rsidRPr="00D42B1B">
        <w:rPr>
          <w:rFonts w:eastAsia="Times New Roman" w:cs="Arial"/>
          <w:color w:val="444444"/>
          <w:szCs w:val="20"/>
          <w:lang w:eastAsia="fr-FR"/>
        </w:rPr>
        <w:t>illicite, non déclarée et non réglementée (INN) au 1</w:t>
      </w:r>
      <w:r w:rsidRPr="00D42B1B">
        <w:rPr>
          <w:rFonts w:eastAsia="Times New Roman" w:cs="Arial"/>
          <w:color w:val="444444"/>
          <w:szCs w:val="20"/>
          <w:vertAlign w:val="superscript"/>
          <w:lang w:eastAsia="fr-FR"/>
        </w:rPr>
        <w:t>er</w:t>
      </w:r>
      <w:r w:rsidRPr="00D42B1B">
        <w:rPr>
          <w:rFonts w:eastAsia="Times New Roman" w:cs="Arial"/>
          <w:color w:val="444444"/>
          <w:szCs w:val="20"/>
          <w:lang w:eastAsia="fr-FR"/>
        </w:rPr>
        <w:t xml:space="preserve"> semestre 2026.</w:t>
      </w:r>
      <w:bookmarkEnd w:id="35"/>
    </w:p>
    <w:p w14:paraId="7C0DD2CF" w14:textId="55E02EB1" w:rsidR="00E83AD1" w:rsidRPr="00D42B1B" w:rsidRDefault="00E83AD1" w:rsidP="00E83AD1">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En Afrique de l’Ouest, la pêche illégale représente jusqu’à 40% des captures, pour un coût annuel estimé à plus de 2,3 Md USD. Face à la pression sur les ressources halieutiques, la coopération sous-régionale se renforce contre ce phénomène qui compromet la sécurité alimentaire. Au premier semestre 2026, les initiatives de lutte contre la </w:t>
      </w:r>
      <w:bookmarkStart w:id="36" w:name="_Hlk232242882"/>
      <w:r w:rsidRPr="00D42B1B">
        <w:rPr>
          <w:rFonts w:eastAsia="Times New Roman" w:cs="Arial"/>
          <w:color w:val="444444"/>
          <w:szCs w:val="20"/>
          <w:lang w:eastAsia="fr-FR"/>
        </w:rPr>
        <w:t xml:space="preserve">pêche </w:t>
      </w:r>
      <w:bookmarkEnd w:id="36"/>
      <w:r w:rsidRPr="00D42B1B">
        <w:rPr>
          <w:rFonts w:eastAsia="Times New Roman" w:cs="Arial"/>
          <w:color w:val="444444"/>
          <w:szCs w:val="20"/>
          <w:lang w:eastAsia="fr-FR"/>
        </w:rPr>
        <w:t>INN se sont multipliées en Afrique de l’Ouest. Entre mobilisation de la société civile, opérations de surveillance maritime et renforcement de la coopération régionale, les acteurs du secteur tentent de structurer une réponse plus coordonnée face à l’ampleur des pertes. La Journée internationale de lutte contre la pêche INN, célébrée le 5 juin, a été l’occasion de revenir sur les principales dynamiques observées au cours du 1</w:t>
      </w:r>
      <w:r w:rsidRPr="00D42B1B">
        <w:rPr>
          <w:rFonts w:eastAsia="Times New Roman" w:cs="Arial"/>
          <w:color w:val="444444"/>
          <w:szCs w:val="20"/>
          <w:vertAlign w:val="superscript"/>
          <w:lang w:eastAsia="fr-FR"/>
        </w:rPr>
        <w:t>er</w:t>
      </w:r>
      <w:r w:rsidRPr="00D42B1B">
        <w:rPr>
          <w:rFonts w:eastAsia="Times New Roman" w:cs="Arial"/>
          <w:color w:val="444444"/>
          <w:szCs w:val="20"/>
          <w:lang w:eastAsia="fr-FR"/>
        </w:rPr>
        <w:t xml:space="preserve"> semestre de l’année. Le début de l’année 2026 a </w:t>
      </w:r>
      <w:r w:rsidR="00FC6358" w:rsidRPr="00D42B1B">
        <w:rPr>
          <w:rFonts w:eastAsia="Times New Roman" w:cs="Arial"/>
          <w:color w:val="444444"/>
          <w:szCs w:val="20"/>
          <w:lang w:eastAsia="fr-FR"/>
        </w:rPr>
        <w:t xml:space="preserve">ainsi </w:t>
      </w:r>
      <w:r w:rsidRPr="00D42B1B">
        <w:rPr>
          <w:rFonts w:eastAsia="Times New Roman" w:cs="Arial"/>
          <w:color w:val="444444"/>
          <w:szCs w:val="20"/>
          <w:lang w:eastAsia="fr-FR"/>
        </w:rPr>
        <w:t>été marqué par l’adoption de la Déclaration de Dakar contre la pêche INN le 13</w:t>
      </w:r>
      <w:r w:rsidR="00FC6358" w:rsidRPr="00D42B1B">
        <w:rPr>
          <w:rFonts w:eastAsia="Times New Roman" w:cs="Arial"/>
          <w:color w:val="444444"/>
          <w:szCs w:val="20"/>
          <w:lang w:eastAsia="fr-FR"/>
        </w:rPr>
        <w:t> </w:t>
      </w:r>
      <w:r w:rsidRPr="00D42B1B">
        <w:rPr>
          <w:rFonts w:eastAsia="Times New Roman" w:cs="Arial"/>
          <w:color w:val="444444"/>
          <w:szCs w:val="20"/>
          <w:lang w:eastAsia="fr-FR"/>
        </w:rPr>
        <w:t>février, à l’initiative de syndicats de travailleurs de la mer, d’organisations de pêcheurs et d’acteurs de la société civile. Ce texte ne constitue pas un cadre inter-étatique, mais introduit une dimension sociale plus marquée, en insistant sur l’intégration des communautés de pêche artisanale dans la gouvernance du secteur, souvent dominé par des acteurs industriels et exposé aux activités illégales.</w:t>
      </w:r>
      <w:r w:rsidR="00FC6358"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Dans la continuité de cette dynamique, la Commission sous-régionale des pêches (CSRP) a coordonné l’opération </w:t>
      </w:r>
      <w:r w:rsidR="00FC6358" w:rsidRPr="00D42B1B">
        <w:rPr>
          <w:rFonts w:eastAsia="Times New Roman" w:cs="Arial"/>
          <w:color w:val="444444"/>
          <w:szCs w:val="20"/>
          <w:lang w:eastAsia="fr-FR"/>
        </w:rPr>
        <w:t>« </w:t>
      </w:r>
      <w:r w:rsidRPr="00D42B1B">
        <w:rPr>
          <w:rFonts w:eastAsia="Times New Roman" w:cs="Arial"/>
          <w:color w:val="444444"/>
          <w:szCs w:val="20"/>
          <w:lang w:eastAsia="fr-FR"/>
        </w:rPr>
        <w:t>Espadon</w:t>
      </w:r>
      <w:r w:rsidR="00FC6358" w:rsidRPr="00D42B1B">
        <w:rPr>
          <w:rFonts w:eastAsia="Times New Roman" w:cs="Arial"/>
          <w:color w:val="444444"/>
          <w:szCs w:val="20"/>
          <w:lang w:eastAsia="fr-FR"/>
        </w:rPr>
        <w:t> »</w:t>
      </w:r>
      <w:r w:rsidRPr="00D42B1B">
        <w:rPr>
          <w:rFonts w:eastAsia="Times New Roman" w:cs="Arial"/>
          <w:color w:val="444444"/>
          <w:szCs w:val="20"/>
          <w:lang w:eastAsia="fr-FR"/>
        </w:rPr>
        <w:t>, soutenue par l’Union européenne à travers le projet « Agir-Inn ». Menée du 9 au 22 février, elle a mobilisé les forces navales du Sénégal, de la Mauritanie, de la Gambie et du Cap-Vert</w:t>
      </w:r>
      <w:r w:rsidR="00FC6358" w:rsidRPr="00D42B1B">
        <w:rPr>
          <w:rFonts w:eastAsia="Times New Roman" w:cs="Arial"/>
          <w:color w:val="444444"/>
          <w:szCs w:val="20"/>
          <w:lang w:eastAsia="fr-FR"/>
        </w:rPr>
        <w:t xml:space="preserve"> et </w:t>
      </w:r>
      <w:r w:rsidRPr="00D42B1B">
        <w:rPr>
          <w:rFonts w:eastAsia="Times New Roman" w:cs="Arial"/>
          <w:color w:val="444444"/>
          <w:szCs w:val="20"/>
          <w:lang w:eastAsia="fr-FR"/>
        </w:rPr>
        <w:t xml:space="preserve">a conduit à l’arraisonnement de huit navires de pêche industrielle soupçonnés d’activités illicites, grâce à une stratégie combinant suivi satellitaire et partage d’informations entre </w:t>
      </w:r>
      <w:r w:rsidR="00FC6358" w:rsidRPr="00D42B1B">
        <w:rPr>
          <w:rFonts w:eastAsia="Times New Roman" w:cs="Arial"/>
          <w:color w:val="444444"/>
          <w:szCs w:val="20"/>
          <w:lang w:eastAsia="fr-FR"/>
        </w:rPr>
        <w:t>E</w:t>
      </w:r>
      <w:r w:rsidRPr="00D42B1B">
        <w:rPr>
          <w:rFonts w:eastAsia="Times New Roman" w:cs="Arial"/>
          <w:color w:val="444444"/>
          <w:szCs w:val="20"/>
          <w:lang w:eastAsia="fr-FR"/>
        </w:rPr>
        <w:t xml:space="preserve">tats, avec l’appui de partenaires techniques européens. Les navires interceptés commettaient diverses infractions, </w:t>
      </w:r>
      <w:r w:rsidRPr="00D42B1B">
        <w:rPr>
          <w:rFonts w:eastAsia="Times New Roman" w:cs="Arial"/>
          <w:color w:val="444444"/>
          <w:szCs w:val="20"/>
          <w:lang w:eastAsia="fr-FR"/>
        </w:rPr>
        <w:lastRenderedPageBreak/>
        <w:t>allant du défaut de licence à la non-émission de signaux de suivi, en passant par l’usage de filets non conformes et le dépassement des quotas de pêche.</w:t>
      </w:r>
      <w:r w:rsidR="00FC6358" w:rsidRPr="00D42B1B">
        <w:rPr>
          <w:rFonts w:eastAsia="Times New Roman" w:cs="Arial"/>
          <w:color w:val="444444"/>
          <w:szCs w:val="20"/>
          <w:lang w:eastAsia="fr-FR"/>
        </w:rPr>
        <w:t xml:space="preserve"> </w:t>
      </w:r>
      <w:r w:rsidRPr="00D42B1B">
        <w:rPr>
          <w:rFonts w:eastAsia="Times New Roman" w:cs="Arial"/>
          <w:color w:val="444444"/>
          <w:szCs w:val="20"/>
          <w:lang w:eastAsia="fr-FR"/>
        </w:rPr>
        <w:t>Au-delà des résultats immédiats, l’opération confirme une évolution de l’approche régionale</w:t>
      </w:r>
      <w:r w:rsidR="00FC6358" w:rsidRPr="00D42B1B">
        <w:rPr>
          <w:rFonts w:eastAsia="Times New Roman" w:cs="Arial"/>
          <w:color w:val="444444"/>
          <w:szCs w:val="20"/>
          <w:lang w:eastAsia="fr-FR"/>
        </w:rPr>
        <w:t> :</w:t>
      </w:r>
      <w:r w:rsidRPr="00D42B1B">
        <w:rPr>
          <w:rFonts w:eastAsia="Times New Roman" w:cs="Arial"/>
          <w:color w:val="444444"/>
          <w:szCs w:val="20"/>
          <w:lang w:eastAsia="fr-FR"/>
        </w:rPr>
        <w:t xml:space="preserve"> le passage progressif de patrouilles classiques à des dispositifs fondés sur le renseignement maritime et l’analyse de données.</w:t>
      </w:r>
      <w:r w:rsidR="00FC6358" w:rsidRPr="00D42B1B">
        <w:rPr>
          <w:rFonts w:eastAsia="Times New Roman" w:cs="Arial"/>
          <w:color w:val="444444"/>
          <w:szCs w:val="20"/>
          <w:lang w:eastAsia="fr-FR"/>
        </w:rPr>
        <w:t xml:space="preserve"> </w:t>
      </w:r>
      <w:r w:rsidRPr="00D42B1B">
        <w:rPr>
          <w:rFonts w:eastAsia="Times New Roman" w:cs="Arial"/>
          <w:color w:val="444444"/>
          <w:szCs w:val="20"/>
          <w:lang w:eastAsia="fr-FR"/>
        </w:rPr>
        <w:t>Plus récemment, le Comité des pêches du Centre-Ouest du Golfe de Guinée (FCWC/CPCO) a organisé, du 6 au 12 avril, la première patrouille régionale conjointe de surveillance des pêches dans les zones économiques exclusives du Ghana, de la Côte d’Ivoire et du Liberia.</w:t>
      </w:r>
      <w:r w:rsidR="00FC6358" w:rsidRPr="00D42B1B">
        <w:rPr>
          <w:rFonts w:eastAsia="Times New Roman" w:cs="Arial"/>
          <w:color w:val="444444"/>
          <w:szCs w:val="20"/>
          <w:lang w:eastAsia="fr-FR"/>
        </w:rPr>
        <w:t xml:space="preserve"> </w:t>
      </w:r>
      <w:r w:rsidRPr="00D42B1B">
        <w:rPr>
          <w:rFonts w:eastAsia="Times New Roman" w:cs="Arial"/>
          <w:color w:val="444444"/>
          <w:szCs w:val="20"/>
          <w:lang w:eastAsia="fr-FR"/>
        </w:rPr>
        <w:t>Cette opération menée en partenariat avec l’Agence européenne de contrôle des pêches et le Programme de l’Afrique de l’Ouest pour un océan durable (WASOP), visait à renforcer la coopération entre les centres nationaux de surveillance, et à améliorer la coordination des moyens navals, aériens et électroniques.</w:t>
      </w:r>
      <w:r w:rsidR="00FC6358" w:rsidRPr="00D42B1B">
        <w:rPr>
          <w:rFonts w:eastAsia="Times New Roman" w:cs="Arial"/>
          <w:color w:val="444444"/>
          <w:szCs w:val="20"/>
          <w:lang w:eastAsia="fr-FR"/>
        </w:rPr>
        <w:t xml:space="preserve"> </w:t>
      </w:r>
      <w:r w:rsidRPr="00D42B1B">
        <w:rPr>
          <w:rFonts w:eastAsia="Times New Roman" w:cs="Arial"/>
          <w:color w:val="444444"/>
          <w:szCs w:val="20"/>
          <w:lang w:eastAsia="fr-FR"/>
        </w:rPr>
        <w:t>Au total, 89 navires ont été recensés durant la patrouille, incluant des navires industriels, des chalutiers et des embarcations artisanales. Quatre embarcations ont été interceptées pour infractions et remises aux autorités nationales compétentes. L’opération met en évidence une amélioration de la connaissance du domaine maritime, ainsi qu’un recours accru aux outils de surveillance partagés, notamment les systèmes satellitaires et de suivi des navires.</w:t>
      </w:r>
      <w:r w:rsidR="00FC6358" w:rsidRPr="00D42B1B">
        <w:rPr>
          <w:rFonts w:eastAsia="Times New Roman" w:cs="Arial"/>
          <w:color w:val="444444"/>
          <w:szCs w:val="20"/>
          <w:lang w:eastAsia="fr-FR"/>
        </w:rPr>
        <w:t xml:space="preserve"> </w:t>
      </w:r>
      <w:r w:rsidRPr="00D42B1B">
        <w:rPr>
          <w:rFonts w:eastAsia="Times New Roman" w:cs="Arial"/>
          <w:color w:val="444444"/>
          <w:szCs w:val="20"/>
          <w:lang w:eastAsia="fr-FR"/>
        </w:rPr>
        <w:t>Prises ensemble, ces initiatives, qu’elles soient concertées ou non, traduisent l’émergence progressive d’une architecture régionale de lutte contre la pêche INN en Afrique de l’Ouest. Elles témoignent d’un changement d’échelle dans une région où la pêche INN n’est plus uniquement perçue comme un problème de contrôle maritime, mais comme un enjeu économique, social et de sécurité alimentaire.</w:t>
      </w:r>
      <w:r w:rsidR="00CF78CE" w:rsidRPr="00D42B1B">
        <w:rPr>
          <w:rFonts w:eastAsia="Times New Roman" w:cs="Arial"/>
          <w:color w:val="444444"/>
          <w:szCs w:val="20"/>
          <w:lang w:eastAsia="fr-FR"/>
        </w:rPr>
        <w:t xml:space="preserve"> C</w:t>
      </w:r>
      <w:r w:rsidRPr="00D42B1B">
        <w:rPr>
          <w:rFonts w:eastAsia="Times New Roman" w:cs="Arial"/>
          <w:color w:val="444444"/>
          <w:szCs w:val="20"/>
          <w:lang w:eastAsia="fr-FR"/>
        </w:rPr>
        <w:t>ette architecture demeure</w:t>
      </w:r>
      <w:r w:rsidR="00CF78CE" w:rsidRPr="00D42B1B">
        <w:rPr>
          <w:rFonts w:eastAsia="Times New Roman" w:cs="Arial"/>
          <w:color w:val="444444"/>
          <w:szCs w:val="20"/>
          <w:lang w:eastAsia="fr-FR"/>
        </w:rPr>
        <w:t xml:space="preserve"> toutefois</w:t>
      </w:r>
      <w:r w:rsidRPr="00D42B1B">
        <w:rPr>
          <w:rFonts w:eastAsia="Times New Roman" w:cs="Arial"/>
          <w:color w:val="444444"/>
          <w:szCs w:val="20"/>
          <w:lang w:eastAsia="fr-FR"/>
        </w:rPr>
        <w:t xml:space="preserve"> encore fragmentée et largement dépendante d’initiatives ponctuelles et de financements extérieurs, ce qui pose la question de sa pérennisation à long terme.</w:t>
      </w:r>
    </w:p>
    <w:p w14:paraId="146C31A4" w14:textId="15B9254A" w:rsidR="00CF78CE" w:rsidRPr="00D42B1B" w:rsidRDefault="00CF78CE" w:rsidP="00E83AD1">
      <w:pPr>
        <w:shd w:val="clear" w:color="auto" w:fill="FFFFFF"/>
        <w:spacing w:after="0" w:line="276" w:lineRule="auto"/>
        <w:rPr>
          <w:rFonts w:eastAsia="Times New Roman" w:cs="Arial"/>
          <w:color w:val="444444"/>
          <w:szCs w:val="20"/>
          <w:lang w:eastAsia="fr-FR"/>
        </w:rPr>
      </w:pPr>
    </w:p>
    <w:p w14:paraId="662B759B" w14:textId="15D791CF" w:rsidR="00CF78CE" w:rsidRPr="00D42B1B" w:rsidRDefault="00CF78CE" w:rsidP="00095226">
      <w:pPr>
        <w:pStyle w:val="Titre2"/>
        <w:spacing w:before="0"/>
        <w:rPr>
          <w:rFonts w:eastAsiaTheme="minorHAnsi"/>
        </w:rPr>
      </w:pPr>
      <w:bookmarkStart w:id="37" w:name="_Toc233878671"/>
      <w:r w:rsidRPr="00D42B1B">
        <w:rPr>
          <w:rFonts w:eastAsia="Times New Roman" w:cs="Arial"/>
          <w:color w:val="444444"/>
          <w:szCs w:val="20"/>
          <w:lang w:eastAsia="fr-FR"/>
        </w:rPr>
        <w:t xml:space="preserve">Elevage - </w:t>
      </w:r>
      <w:bookmarkStart w:id="38" w:name="_Hlk232244471"/>
      <w:r w:rsidRPr="00D42B1B">
        <w:rPr>
          <w:rFonts w:eastAsia="Times New Roman" w:cs="Arial"/>
          <w:color w:val="444444"/>
          <w:szCs w:val="20"/>
          <w:lang w:eastAsia="fr-FR"/>
        </w:rPr>
        <w:t>14</w:t>
      </w:r>
      <w:r w:rsidRPr="00D42B1B">
        <w:rPr>
          <w:rFonts w:eastAsia="Times New Roman" w:cs="Arial"/>
          <w:color w:val="444444"/>
          <w:szCs w:val="20"/>
          <w:vertAlign w:val="superscript"/>
          <w:lang w:eastAsia="fr-FR"/>
        </w:rPr>
        <w:t>ème</w:t>
      </w:r>
      <w:r w:rsidRPr="00D42B1B">
        <w:rPr>
          <w:rFonts w:eastAsia="Times New Roman" w:cs="Arial"/>
          <w:color w:val="444444"/>
          <w:szCs w:val="20"/>
          <w:lang w:eastAsia="fr-FR"/>
        </w:rPr>
        <w:t xml:space="preserve"> réunion du Programme mondial pour un élevage durable (GASL).</w:t>
      </w:r>
      <w:bookmarkEnd w:id="37"/>
    </w:p>
    <w:p w14:paraId="0889B6C5" w14:textId="2A463F0F" w:rsidR="00CF78CE" w:rsidRPr="00D42B1B" w:rsidRDefault="00F92091" w:rsidP="00CF78CE">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La réunion qui s’est déroulée </w:t>
      </w:r>
      <w:r w:rsidR="00CF78CE" w:rsidRPr="00D42B1B">
        <w:rPr>
          <w:rFonts w:eastAsia="Times New Roman" w:cs="Arial"/>
          <w:color w:val="444444"/>
          <w:szCs w:val="20"/>
          <w:lang w:eastAsia="fr-FR"/>
        </w:rPr>
        <w:t>à Dakar</w:t>
      </w:r>
      <w:r w:rsidR="00062C89" w:rsidRPr="00D42B1B">
        <w:rPr>
          <w:rFonts w:eastAsia="Times New Roman" w:cs="Arial"/>
          <w:color w:val="444444"/>
          <w:szCs w:val="20"/>
          <w:lang w:eastAsia="fr-FR"/>
        </w:rPr>
        <w:t xml:space="preserve"> (Sénégal)</w:t>
      </w:r>
      <w:r w:rsidR="00CF78CE" w:rsidRPr="00D42B1B">
        <w:rPr>
          <w:rFonts w:eastAsia="Times New Roman" w:cs="Arial"/>
          <w:color w:val="444444"/>
          <w:szCs w:val="20"/>
          <w:lang w:eastAsia="fr-FR"/>
        </w:rPr>
        <w:t xml:space="preserve"> du 8 au 11 juin</w:t>
      </w:r>
      <w:bookmarkEnd w:id="38"/>
      <w:r w:rsidR="00CF78CE"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était sur le thème « Du dialogue mondial à l’action locale pour un élevage résilient et durable ». Elle était organisée par la FAO, en partenariat avec le gouvernement sénégalais et plusieurs organisations internationales </w:t>
      </w:r>
      <w:r w:rsidR="00CF78CE" w:rsidRPr="00D42B1B">
        <w:rPr>
          <w:rFonts w:eastAsia="Times New Roman" w:cs="Arial"/>
          <w:color w:val="444444"/>
          <w:szCs w:val="20"/>
          <w:lang w:eastAsia="fr-FR"/>
        </w:rPr>
        <w:t xml:space="preserve">les acteurs mondiaux de l’élevage </w:t>
      </w:r>
      <w:r w:rsidRPr="00D42B1B">
        <w:rPr>
          <w:rFonts w:eastAsia="Times New Roman" w:cs="Arial"/>
          <w:color w:val="444444"/>
          <w:szCs w:val="20"/>
          <w:lang w:eastAsia="fr-FR"/>
        </w:rPr>
        <w:t>avec la participation de délégations venues d’Afrique et d’autres régions du monde.</w:t>
      </w:r>
      <w:r w:rsidR="001564C7" w:rsidRPr="00D42B1B">
        <w:rPr>
          <w:rFonts w:eastAsia="Times New Roman" w:cs="Arial"/>
          <w:color w:val="444444"/>
          <w:szCs w:val="20"/>
          <w:lang w:eastAsia="fr-FR"/>
        </w:rPr>
        <w:t xml:space="preserve"> Les participants </w:t>
      </w:r>
      <w:r w:rsidR="00CF78CE" w:rsidRPr="00D42B1B">
        <w:rPr>
          <w:rFonts w:eastAsia="Times New Roman" w:cs="Arial"/>
          <w:color w:val="444444"/>
          <w:szCs w:val="20"/>
          <w:lang w:eastAsia="fr-FR"/>
        </w:rPr>
        <w:t>ont adopté la Déclaration de Dakar, engageant le secteur sur la voie d’une transformation inclusive et durable, au bénéfice des femmes, des jeunes et de la planète.</w:t>
      </w:r>
      <w:r w:rsidR="00062C89" w:rsidRPr="00D42B1B">
        <w:rPr>
          <w:rFonts w:eastAsia="Times New Roman" w:cs="Arial"/>
          <w:color w:val="444444"/>
          <w:szCs w:val="20"/>
          <w:lang w:eastAsia="fr-FR"/>
        </w:rPr>
        <w:t xml:space="preserve"> </w:t>
      </w:r>
      <w:r w:rsidR="001564C7" w:rsidRPr="00D42B1B">
        <w:rPr>
          <w:rFonts w:eastAsia="Times New Roman" w:cs="Arial"/>
          <w:color w:val="444444"/>
          <w:szCs w:val="20"/>
          <w:lang w:eastAsia="fr-FR"/>
        </w:rPr>
        <w:t xml:space="preserve">La déclaration place l’équité de genre et l’autonomisation des jeunes parmi ses priorités absolues. Le texte reconnaît que les femmes continuent de faire face à des obstacles structurels, notamment un accès limité à la terre et au cheptel, des rémunérations inférieures et un accès restreint au crédit, aux technologies et aux marchés rémunérateurs. Face à l’exode rural croissant des jeunes, la déclaration s’engage à promouvoir les opportunités d’emploi décent et d’entrepreneuriat offertes par le secteur, ainsi qu’à favoriser le développement des compétences et l’accès aux ressources pour cette frange de la population. </w:t>
      </w:r>
      <w:r w:rsidR="00CF78CE" w:rsidRPr="00D42B1B">
        <w:rPr>
          <w:rFonts w:eastAsia="Times New Roman" w:cs="Arial"/>
          <w:color w:val="444444"/>
          <w:szCs w:val="20"/>
          <w:lang w:eastAsia="fr-FR"/>
        </w:rPr>
        <w:t xml:space="preserve">De son côté, le président du GASL, </w:t>
      </w:r>
      <w:r w:rsidR="00062C89" w:rsidRPr="00D42B1B">
        <w:rPr>
          <w:rFonts w:eastAsia="Times New Roman" w:cs="Arial"/>
          <w:color w:val="444444"/>
          <w:szCs w:val="20"/>
          <w:lang w:eastAsia="fr-FR"/>
        </w:rPr>
        <w:t xml:space="preserve">M. </w:t>
      </w:r>
      <w:proofErr w:type="spellStart"/>
      <w:r w:rsidR="00CF78CE" w:rsidRPr="00D42B1B">
        <w:rPr>
          <w:rFonts w:eastAsia="Times New Roman" w:cs="Arial"/>
          <w:color w:val="444444"/>
          <w:szCs w:val="20"/>
          <w:lang w:eastAsia="fr-FR"/>
        </w:rPr>
        <w:t>Hsin</w:t>
      </w:r>
      <w:proofErr w:type="spellEnd"/>
      <w:r w:rsidR="00CF78CE" w:rsidRPr="00D42B1B">
        <w:rPr>
          <w:rFonts w:eastAsia="Times New Roman" w:cs="Arial"/>
          <w:color w:val="444444"/>
          <w:szCs w:val="20"/>
          <w:lang w:eastAsia="fr-FR"/>
        </w:rPr>
        <w:t xml:space="preserve"> Huang, a choisi de mettre en avant le potentiel du secteur</w:t>
      </w:r>
      <w:r w:rsidR="00062C89" w:rsidRPr="00D42B1B">
        <w:rPr>
          <w:rFonts w:eastAsia="Times New Roman" w:cs="Arial"/>
          <w:color w:val="444444"/>
          <w:szCs w:val="20"/>
          <w:lang w:eastAsia="fr-FR"/>
        </w:rPr>
        <w:t xml:space="preserve"> de l’</w:t>
      </w:r>
      <w:r w:rsidR="00CF78CE" w:rsidRPr="00D42B1B">
        <w:rPr>
          <w:rFonts w:eastAsia="Times New Roman" w:cs="Arial"/>
          <w:color w:val="444444"/>
          <w:szCs w:val="20"/>
          <w:lang w:eastAsia="fr-FR"/>
        </w:rPr>
        <w:t xml:space="preserve">élevage </w:t>
      </w:r>
      <w:r w:rsidR="00062C89" w:rsidRPr="00D42B1B">
        <w:rPr>
          <w:rFonts w:eastAsia="Times New Roman" w:cs="Arial"/>
          <w:color w:val="444444"/>
          <w:szCs w:val="20"/>
          <w:lang w:eastAsia="fr-FR"/>
        </w:rPr>
        <w:t xml:space="preserve">qui </w:t>
      </w:r>
      <w:r w:rsidR="00CF78CE" w:rsidRPr="00D42B1B">
        <w:rPr>
          <w:rFonts w:eastAsia="Times New Roman" w:cs="Arial"/>
          <w:color w:val="444444"/>
          <w:szCs w:val="20"/>
          <w:lang w:eastAsia="fr-FR"/>
        </w:rPr>
        <w:t>représente une formidable opportunité de contribuer à la résolution des grands défis mondiaux actuel, citant la sécurité alimentaire et nutritionnelle, la création d’emplois, notamment pour les jeunes, ainsi que les réponses possibles au changement climatique et à la gestion durable des ressources naturelles.</w:t>
      </w:r>
      <w:r w:rsidR="00062C89" w:rsidRPr="00D42B1B">
        <w:rPr>
          <w:rFonts w:eastAsia="Times New Roman" w:cs="Arial"/>
          <w:color w:val="444444"/>
          <w:szCs w:val="20"/>
          <w:lang w:eastAsia="fr-FR"/>
        </w:rPr>
        <w:t xml:space="preserve"> </w:t>
      </w:r>
      <w:r w:rsidR="00CF78CE" w:rsidRPr="00D42B1B">
        <w:rPr>
          <w:rFonts w:eastAsia="Times New Roman" w:cs="Arial"/>
          <w:color w:val="444444"/>
          <w:szCs w:val="20"/>
          <w:lang w:eastAsia="fr-FR"/>
        </w:rPr>
        <w:t xml:space="preserve">Le commissaire de l’Union africaine chargé de l’agriculture, du développement rural, de l’économie bleue et de l’environnement durable, </w:t>
      </w:r>
      <w:r w:rsidR="00062C89" w:rsidRPr="00D42B1B">
        <w:rPr>
          <w:rFonts w:eastAsia="Times New Roman" w:cs="Arial"/>
          <w:color w:val="444444"/>
          <w:szCs w:val="20"/>
          <w:lang w:eastAsia="fr-FR"/>
        </w:rPr>
        <w:lastRenderedPageBreak/>
        <w:t>M.</w:t>
      </w:r>
      <w:r w:rsidR="001564C7" w:rsidRPr="00D42B1B">
        <w:rPr>
          <w:rFonts w:eastAsia="Times New Roman" w:cs="Arial"/>
          <w:color w:val="444444"/>
          <w:szCs w:val="20"/>
          <w:lang w:eastAsia="fr-FR"/>
        </w:rPr>
        <w:t> </w:t>
      </w:r>
      <w:r w:rsidR="00CF78CE" w:rsidRPr="00D42B1B">
        <w:rPr>
          <w:rFonts w:eastAsia="Times New Roman" w:cs="Arial"/>
          <w:color w:val="444444"/>
          <w:szCs w:val="20"/>
          <w:lang w:eastAsia="fr-FR"/>
        </w:rPr>
        <w:t xml:space="preserve">Moses </w:t>
      </w:r>
      <w:proofErr w:type="spellStart"/>
      <w:r w:rsidR="00CF78CE" w:rsidRPr="00D42B1B">
        <w:rPr>
          <w:rFonts w:eastAsia="Times New Roman" w:cs="Arial"/>
          <w:color w:val="444444"/>
          <w:szCs w:val="20"/>
          <w:lang w:eastAsia="fr-FR"/>
        </w:rPr>
        <w:t>Vilakati</w:t>
      </w:r>
      <w:proofErr w:type="spellEnd"/>
      <w:r w:rsidR="00CF78CE" w:rsidRPr="00D42B1B">
        <w:rPr>
          <w:rFonts w:eastAsia="Times New Roman" w:cs="Arial"/>
          <w:color w:val="444444"/>
          <w:szCs w:val="20"/>
          <w:lang w:eastAsia="fr-FR"/>
        </w:rPr>
        <w:t>, a tenu à recadrer le débat mondial sur les émissions de gaz à effet de serre liées à l’élevage.</w:t>
      </w:r>
      <w:r w:rsidR="00062C89" w:rsidRPr="00D42B1B">
        <w:rPr>
          <w:rFonts w:eastAsia="Times New Roman" w:cs="Arial"/>
          <w:color w:val="444444"/>
          <w:szCs w:val="20"/>
          <w:lang w:eastAsia="fr-FR"/>
        </w:rPr>
        <w:t xml:space="preserve"> Selon lui, l</w:t>
      </w:r>
      <w:r w:rsidR="00CF78CE" w:rsidRPr="00D42B1B">
        <w:rPr>
          <w:rFonts w:eastAsia="Times New Roman" w:cs="Arial"/>
          <w:color w:val="444444"/>
          <w:szCs w:val="20"/>
          <w:lang w:eastAsia="fr-FR"/>
        </w:rPr>
        <w:t>e discours dominant suggère que l’élevage est responsable d’environ 20% des émissions mondiales de GES</w:t>
      </w:r>
      <w:r w:rsidRPr="00D42B1B">
        <w:rPr>
          <w:rFonts w:eastAsia="Times New Roman" w:cs="Arial"/>
          <w:color w:val="444444"/>
          <w:szCs w:val="20"/>
          <w:lang w:eastAsia="fr-FR"/>
        </w:rPr>
        <w:t xml:space="preserve"> mais que c</w:t>
      </w:r>
      <w:r w:rsidR="00CF78CE" w:rsidRPr="00D42B1B">
        <w:rPr>
          <w:rFonts w:eastAsia="Times New Roman" w:cs="Arial"/>
          <w:color w:val="444444"/>
          <w:szCs w:val="20"/>
          <w:lang w:eastAsia="fr-FR"/>
        </w:rPr>
        <w:t>ela ne reflète pas la réalité africaine</w:t>
      </w:r>
      <w:r w:rsidRPr="00D42B1B">
        <w:rPr>
          <w:rFonts w:eastAsia="Times New Roman" w:cs="Arial"/>
          <w:color w:val="444444"/>
          <w:szCs w:val="20"/>
          <w:lang w:eastAsia="fr-FR"/>
        </w:rPr>
        <w:t xml:space="preserve">, </w:t>
      </w:r>
      <w:r w:rsidR="00CF78CE" w:rsidRPr="00D42B1B">
        <w:rPr>
          <w:rFonts w:eastAsia="Times New Roman" w:cs="Arial"/>
          <w:color w:val="444444"/>
          <w:szCs w:val="20"/>
          <w:lang w:eastAsia="fr-FR"/>
        </w:rPr>
        <w:t>l’Afrique</w:t>
      </w:r>
      <w:r w:rsidRPr="00D42B1B">
        <w:rPr>
          <w:rFonts w:eastAsia="Times New Roman" w:cs="Arial"/>
          <w:color w:val="444444"/>
          <w:szCs w:val="20"/>
          <w:lang w:eastAsia="fr-FR"/>
        </w:rPr>
        <w:t xml:space="preserve"> qui abrite </w:t>
      </w:r>
      <w:r w:rsidR="00CF78CE" w:rsidRPr="00D42B1B">
        <w:rPr>
          <w:rFonts w:eastAsia="Times New Roman" w:cs="Arial"/>
          <w:color w:val="444444"/>
          <w:szCs w:val="20"/>
          <w:lang w:eastAsia="fr-FR"/>
        </w:rPr>
        <w:t>17% de la population mondiale, ne représent</w:t>
      </w:r>
      <w:r w:rsidRPr="00D42B1B">
        <w:rPr>
          <w:rFonts w:eastAsia="Times New Roman" w:cs="Arial"/>
          <w:color w:val="444444"/>
          <w:szCs w:val="20"/>
          <w:lang w:eastAsia="fr-FR"/>
        </w:rPr>
        <w:t>ant</w:t>
      </w:r>
      <w:r w:rsidR="00CF78CE" w:rsidRPr="00D42B1B">
        <w:rPr>
          <w:rFonts w:eastAsia="Times New Roman" w:cs="Arial"/>
          <w:color w:val="444444"/>
          <w:szCs w:val="20"/>
          <w:lang w:eastAsia="fr-FR"/>
        </w:rPr>
        <w:t xml:space="preserve"> que 4% des émissions mondiales de carbone.</w:t>
      </w:r>
      <w:r w:rsidRPr="00D42B1B">
        <w:rPr>
          <w:rFonts w:eastAsia="Times New Roman" w:cs="Arial"/>
          <w:color w:val="444444"/>
          <w:szCs w:val="20"/>
          <w:lang w:eastAsia="fr-FR"/>
        </w:rPr>
        <w:t xml:space="preserve"> </w:t>
      </w:r>
      <w:r w:rsidR="00CF78CE" w:rsidRPr="00D42B1B">
        <w:rPr>
          <w:rFonts w:eastAsia="Times New Roman" w:cs="Arial"/>
          <w:color w:val="444444"/>
          <w:szCs w:val="20"/>
          <w:lang w:eastAsia="fr-FR"/>
        </w:rPr>
        <w:t>Fort de ce constat, le commissaire a appelé l’Afrique à résister aux politiques prônant des réductions drastiques de la production animale, estimant qu’une approche uniforme à l’échelle mondiale n’est ni équitable ni réalisable et risquerait de compromettre la sécurité alimentaire du continent.</w:t>
      </w:r>
      <w:r w:rsidRPr="00D42B1B">
        <w:rPr>
          <w:rFonts w:eastAsia="Times New Roman" w:cs="Arial"/>
          <w:color w:val="444444"/>
          <w:szCs w:val="20"/>
          <w:lang w:eastAsia="fr-FR"/>
        </w:rPr>
        <w:t xml:space="preserve"> </w:t>
      </w:r>
    </w:p>
    <w:p w14:paraId="60F3AFDA" w14:textId="24CB07E1" w:rsidR="00FA1C91" w:rsidRPr="00D42B1B" w:rsidRDefault="00FA1C91" w:rsidP="008B453F">
      <w:pPr>
        <w:shd w:val="clear" w:color="auto" w:fill="FFFFFF"/>
        <w:spacing w:after="0" w:line="276" w:lineRule="auto"/>
        <w:rPr>
          <w:rFonts w:eastAsia="Times New Roman" w:cs="Arial"/>
          <w:color w:val="444444"/>
          <w:szCs w:val="20"/>
          <w:lang w:eastAsia="fr-FR"/>
        </w:rPr>
      </w:pPr>
    </w:p>
    <w:p w14:paraId="73F98C5A" w14:textId="33EADECA" w:rsidR="008529B1" w:rsidRPr="00D42B1B" w:rsidRDefault="008529B1" w:rsidP="008529B1">
      <w:pPr>
        <w:pStyle w:val="Titre2"/>
        <w:spacing w:before="0"/>
        <w:rPr>
          <w:rFonts w:eastAsia="Times New Roman" w:cs="Arial"/>
          <w:color w:val="444444"/>
          <w:szCs w:val="20"/>
          <w:lang w:eastAsia="fr-FR"/>
        </w:rPr>
      </w:pPr>
      <w:bookmarkStart w:id="39" w:name="_Toc233878672"/>
      <w:bookmarkStart w:id="40" w:name="_Hlk233546486"/>
      <w:r w:rsidRPr="00D42B1B">
        <w:rPr>
          <w:lang w:eastAsia="fr-FR"/>
        </w:rPr>
        <w:t xml:space="preserve">Santé animale – Résurgence </w:t>
      </w:r>
      <w:r w:rsidRPr="00D42B1B">
        <w:rPr>
          <w:rFonts w:eastAsia="Times New Roman" w:cs="Arial"/>
          <w:color w:val="444444"/>
          <w:szCs w:val="20"/>
          <w:lang w:eastAsia="fr-FR"/>
        </w:rPr>
        <w:t>de l’Influenza aviaire hautement pathogène</w:t>
      </w:r>
      <w:r w:rsidR="009E02C9" w:rsidRPr="00D42B1B">
        <w:rPr>
          <w:rFonts w:eastAsia="Times New Roman" w:cs="Arial"/>
          <w:color w:val="444444"/>
          <w:szCs w:val="20"/>
          <w:lang w:eastAsia="fr-FR"/>
        </w:rPr>
        <w:t>.</w:t>
      </w:r>
      <w:bookmarkEnd w:id="39"/>
    </w:p>
    <w:bookmarkEnd w:id="40"/>
    <w:p w14:paraId="203C7CC3" w14:textId="5E016754" w:rsidR="00F9799C" w:rsidRPr="00D42B1B" w:rsidRDefault="00F9799C" w:rsidP="00F9799C">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Depuis le début de l’année 2026, </w:t>
      </w:r>
      <w:r w:rsidR="00A76ABA" w:rsidRPr="00D42B1B">
        <w:rPr>
          <w:rFonts w:eastAsia="Times New Roman" w:cs="Arial"/>
          <w:color w:val="444444"/>
          <w:szCs w:val="20"/>
          <w:lang w:eastAsia="fr-FR"/>
        </w:rPr>
        <w:t xml:space="preserve">trois </w:t>
      </w:r>
      <w:r w:rsidRPr="00D42B1B">
        <w:rPr>
          <w:rFonts w:eastAsia="Times New Roman" w:cs="Arial"/>
          <w:color w:val="444444"/>
          <w:szCs w:val="20"/>
          <w:lang w:eastAsia="fr-FR"/>
        </w:rPr>
        <w:t xml:space="preserve">pays d’Afrique de l’Ouest ont signalé de nouveaux foyers </w:t>
      </w:r>
      <w:bookmarkStart w:id="41" w:name="_Hlk233052711"/>
      <w:r w:rsidRPr="00D42B1B">
        <w:rPr>
          <w:rFonts w:eastAsia="Times New Roman" w:cs="Arial"/>
          <w:color w:val="444444"/>
          <w:szCs w:val="20"/>
          <w:lang w:eastAsia="fr-FR"/>
        </w:rPr>
        <w:t>d</w:t>
      </w:r>
      <w:r w:rsidR="00A76ABA" w:rsidRPr="00D42B1B">
        <w:rPr>
          <w:rFonts w:eastAsia="Times New Roman" w:cs="Arial"/>
          <w:color w:val="444444"/>
          <w:szCs w:val="20"/>
          <w:lang w:eastAsia="fr-FR"/>
        </w:rPr>
        <w:t xml:space="preserve">’Influenza </w:t>
      </w:r>
      <w:r w:rsidRPr="00D42B1B">
        <w:rPr>
          <w:rFonts w:eastAsia="Times New Roman" w:cs="Arial"/>
          <w:color w:val="444444"/>
          <w:szCs w:val="20"/>
          <w:lang w:eastAsia="fr-FR"/>
        </w:rPr>
        <w:t xml:space="preserve">aviaire hautement pathogène </w:t>
      </w:r>
      <w:bookmarkEnd w:id="41"/>
      <w:r w:rsidRPr="00D42B1B">
        <w:rPr>
          <w:rFonts w:eastAsia="Times New Roman" w:cs="Arial"/>
          <w:color w:val="444444"/>
          <w:szCs w:val="20"/>
          <w:lang w:eastAsia="fr-FR"/>
        </w:rPr>
        <w:t>(H5N1). Cette résurgence remet en lumière un risque sanitaire ancien, mais toujours mal maîtrisé par les filières avicoles de la sous-région</w:t>
      </w:r>
      <w:r w:rsidR="008529B1" w:rsidRPr="00D42B1B">
        <w:rPr>
          <w:rFonts w:eastAsia="Times New Roman" w:cs="Arial"/>
          <w:color w:val="444444"/>
          <w:szCs w:val="20"/>
          <w:lang w:eastAsia="fr-FR"/>
        </w:rPr>
        <w:t xml:space="preserve"> où la production avicole repose encore largement sur des élevages familiaux ou semi-intensifs. </w:t>
      </w:r>
      <w:r w:rsidRPr="00D42B1B">
        <w:rPr>
          <w:rFonts w:eastAsia="Times New Roman" w:cs="Arial"/>
          <w:color w:val="444444"/>
          <w:szCs w:val="20"/>
          <w:lang w:eastAsia="fr-FR"/>
        </w:rPr>
        <w:t xml:space="preserve">Sans doute le pays le plus touché en 2026, le Nigeria a confirmé le 4 juin l’apparition de plusieurs foyers de la maladie depuis janvier 2026 </w:t>
      </w:r>
      <w:r w:rsidR="00525833" w:rsidRPr="00D42B1B">
        <w:rPr>
          <w:rFonts w:eastAsia="Times New Roman" w:cs="Arial"/>
          <w:color w:val="444444"/>
          <w:szCs w:val="20"/>
          <w:lang w:eastAsia="fr-FR"/>
        </w:rPr>
        <w:t xml:space="preserve">dans plusieurs </w:t>
      </w:r>
      <w:r w:rsidRPr="00D42B1B">
        <w:rPr>
          <w:rFonts w:eastAsia="Times New Roman" w:cs="Arial"/>
          <w:color w:val="444444"/>
          <w:szCs w:val="20"/>
          <w:lang w:eastAsia="fr-FR"/>
        </w:rPr>
        <w:t xml:space="preserve">les </w:t>
      </w:r>
      <w:r w:rsidR="00525833" w:rsidRPr="00D42B1B">
        <w:rPr>
          <w:rFonts w:eastAsia="Times New Roman" w:cs="Arial"/>
          <w:color w:val="444444"/>
          <w:szCs w:val="20"/>
          <w:lang w:eastAsia="fr-FR"/>
        </w:rPr>
        <w:t>E</w:t>
      </w:r>
      <w:r w:rsidRPr="00D42B1B">
        <w:rPr>
          <w:rFonts w:eastAsia="Times New Roman" w:cs="Arial"/>
          <w:color w:val="444444"/>
          <w:szCs w:val="20"/>
          <w:lang w:eastAsia="fr-FR"/>
        </w:rPr>
        <w:t>tats.</w:t>
      </w:r>
      <w:r w:rsidR="00525833" w:rsidRPr="00D42B1B">
        <w:rPr>
          <w:rFonts w:eastAsia="Times New Roman" w:cs="Arial"/>
          <w:color w:val="444444"/>
          <w:szCs w:val="20"/>
          <w:lang w:eastAsia="fr-FR"/>
        </w:rPr>
        <w:t xml:space="preserve"> </w:t>
      </w:r>
      <w:r w:rsidRPr="00D42B1B">
        <w:rPr>
          <w:rFonts w:eastAsia="Times New Roman" w:cs="Arial"/>
          <w:color w:val="444444"/>
          <w:szCs w:val="20"/>
          <w:lang w:eastAsia="fr-FR"/>
        </w:rPr>
        <w:t>Avant cela, c’est le Sénégal qui a notifié le 3 juin à l’Organisation mondiale de la santé animale (OMSA) l’apparition d’un foyer, marquant un retour de la maladie après trois ans d’accalmie. Selon la déclaration officielle, l’infection aurait été introduite via des canards reproducteurs achetés sur un marché local dans la région de Fatick, avant d’être confirmée dans une exploitation avicole située à Dakar.</w:t>
      </w:r>
      <w:r w:rsidR="00525833"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Quelques semaines plus tôt, le 16 avril 2026, la Côte d’Ivoire avait également signalé à l’OMSA un foyer de H5N1 dans une exploitation de </w:t>
      </w:r>
      <w:proofErr w:type="spellStart"/>
      <w:r w:rsidRPr="00D42B1B">
        <w:rPr>
          <w:rFonts w:eastAsia="Times New Roman" w:cs="Arial"/>
          <w:color w:val="444444"/>
          <w:szCs w:val="20"/>
          <w:lang w:eastAsia="fr-FR"/>
        </w:rPr>
        <w:t>Koun</w:t>
      </w:r>
      <w:proofErr w:type="spellEnd"/>
      <w:r w:rsidRPr="00D42B1B">
        <w:rPr>
          <w:rFonts w:eastAsia="Times New Roman" w:cs="Arial"/>
          <w:color w:val="444444"/>
          <w:szCs w:val="20"/>
          <w:lang w:eastAsia="fr-FR"/>
        </w:rPr>
        <w:t>-Fao. L’épisode a entraîné l</w:t>
      </w:r>
      <w:r w:rsidR="00525833" w:rsidRPr="00D42B1B">
        <w:rPr>
          <w:rFonts w:eastAsia="Times New Roman" w:cs="Arial"/>
          <w:color w:val="444444"/>
          <w:szCs w:val="20"/>
          <w:lang w:eastAsia="fr-FR"/>
        </w:rPr>
        <w:t xml:space="preserve">’abattage </w:t>
      </w:r>
      <w:r w:rsidRPr="00D42B1B">
        <w:rPr>
          <w:rFonts w:eastAsia="Times New Roman" w:cs="Arial"/>
          <w:color w:val="444444"/>
          <w:szCs w:val="20"/>
          <w:lang w:eastAsia="fr-FR"/>
        </w:rPr>
        <w:t>d’environ 95 000 volailles et marqu</w:t>
      </w:r>
      <w:r w:rsidR="00525833" w:rsidRPr="00D42B1B">
        <w:rPr>
          <w:rFonts w:eastAsia="Times New Roman" w:cs="Arial"/>
          <w:color w:val="444444"/>
          <w:szCs w:val="20"/>
          <w:lang w:eastAsia="fr-FR"/>
        </w:rPr>
        <w:t>ait</w:t>
      </w:r>
      <w:r w:rsidRPr="00D42B1B">
        <w:rPr>
          <w:rFonts w:eastAsia="Times New Roman" w:cs="Arial"/>
          <w:color w:val="444444"/>
          <w:szCs w:val="20"/>
          <w:lang w:eastAsia="fr-FR"/>
        </w:rPr>
        <w:t xml:space="preserve"> le retour du virus après plus de cinq années sans déclaration officielle.</w:t>
      </w:r>
      <w:r w:rsidR="00525833" w:rsidRPr="00D42B1B">
        <w:rPr>
          <w:rFonts w:eastAsia="Times New Roman" w:cs="Arial"/>
          <w:color w:val="444444"/>
          <w:szCs w:val="20"/>
          <w:lang w:eastAsia="fr-FR"/>
        </w:rPr>
        <w:t xml:space="preserve"> </w:t>
      </w:r>
      <w:r w:rsidRPr="00D42B1B">
        <w:rPr>
          <w:rFonts w:eastAsia="Times New Roman" w:cs="Arial"/>
          <w:color w:val="444444"/>
          <w:szCs w:val="20"/>
          <w:lang w:eastAsia="fr-FR"/>
        </w:rPr>
        <w:t>La situation actuelle en Afrique de l’Ouest s’inscrit dans une dynamique régionale observée depuis plusieurs années. Selon les données de l’OMSA, la région a connu une première vague importante en 2021 avec le signalement de nouveaux foyers de la maladie par 9 pays de la sous-région comprenant le Sénégal, la Côte d’Ivoire, le Togo, le Niger, le Mali, le Ghana, le Nigeria, le Bénin et la Mauritanie.</w:t>
      </w:r>
      <w:r w:rsidR="00525833" w:rsidRPr="00D42B1B">
        <w:rPr>
          <w:rFonts w:eastAsia="Times New Roman" w:cs="Arial"/>
          <w:color w:val="444444"/>
          <w:szCs w:val="20"/>
          <w:lang w:eastAsia="fr-FR"/>
        </w:rPr>
        <w:t xml:space="preserve"> </w:t>
      </w:r>
      <w:r w:rsidRPr="00D42B1B">
        <w:rPr>
          <w:rFonts w:eastAsia="Times New Roman" w:cs="Arial"/>
          <w:color w:val="444444"/>
          <w:szCs w:val="20"/>
          <w:lang w:eastAsia="fr-FR"/>
        </w:rPr>
        <w:t>Entre 2022 et 2023, la circulation du virus s’est poursuivie de manière intermittente, avec de nouveaux foyers signalés au Burkina Faso, au Togo, au Niger, au Sénégal, en Guinée et en Gambie, confirmant la persistance du virus dans l’écosystème avicole régional.  Entre 2024 et 2025, une nouvelle dynamique d’intensification a été observée, avec des notifications dans plusieurs pays dont le Nigeria, le Niger, le Ghana, le Togo et le Libéria, touchant aussi bien les volailles domestiques que, dans certains cas, les oiseaux sauvages.</w:t>
      </w:r>
      <w:r w:rsidR="00525833" w:rsidRPr="00D42B1B">
        <w:rPr>
          <w:rFonts w:eastAsia="Times New Roman" w:cs="Arial"/>
          <w:color w:val="444444"/>
          <w:szCs w:val="20"/>
          <w:lang w:eastAsia="fr-FR"/>
        </w:rPr>
        <w:t xml:space="preserve"> </w:t>
      </w:r>
      <w:r w:rsidRPr="00D42B1B">
        <w:rPr>
          <w:rFonts w:eastAsia="Times New Roman" w:cs="Arial"/>
          <w:color w:val="444444"/>
          <w:szCs w:val="20"/>
          <w:lang w:eastAsia="fr-FR"/>
        </w:rPr>
        <w:t>Ainsi, la grippe aviaire apparaît moins comme une succession d’épisodes isolés que comme une épizootie cyclique régionale, caractérisée par des vagues successives et des périodes d’accalmie relative depuis 2021.</w:t>
      </w:r>
      <w:r w:rsidR="00525833" w:rsidRPr="00D42B1B">
        <w:rPr>
          <w:rFonts w:eastAsia="Times New Roman" w:cs="Arial"/>
          <w:color w:val="444444"/>
          <w:szCs w:val="20"/>
          <w:lang w:eastAsia="fr-FR"/>
        </w:rPr>
        <w:t xml:space="preserve"> </w:t>
      </w:r>
      <w:r w:rsidRPr="00D42B1B">
        <w:rPr>
          <w:rFonts w:eastAsia="Times New Roman" w:cs="Arial"/>
          <w:color w:val="444444"/>
          <w:szCs w:val="20"/>
          <w:lang w:eastAsia="fr-FR"/>
        </w:rPr>
        <w:t>Face à la résurgence du virus, plusieurs pays de la sous-région, y compris ceux qui ne sont pas encore touchés, renforcent leurs dispositifs de prévention.</w:t>
      </w:r>
      <w:r w:rsidR="00525833" w:rsidRPr="00D42B1B">
        <w:rPr>
          <w:rFonts w:eastAsia="Times New Roman" w:cs="Arial"/>
          <w:color w:val="444444"/>
          <w:szCs w:val="20"/>
          <w:lang w:eastAsia="fr-FR"/>
        </w:rPr>
        <w:t xml:space="preserve"> Ainsi, e</w:t>
      </w:r>
      <w:r w:rsidRPr="00D42B1B">
        <w:rPr>
          <w:rFonts w:eastAsia="Times New Roman" w:cs="Arial"/>
          <w:color w:val="444444"/>
          <w:szCs w:val="20"/>
          <w:lang w:eastAsia="fr-FR"/>
        </w:rPr>
        <w:t>ntre le 26 avril et le 2 mai, le Burkina Faso qui possède des frontières avec la Côte d’Ivoire a mené une campagne de sensibilisation dans les postes frontaliers afin de réduire les risques d’introduction du virus sur son territoire.</w:t>
      </w:r>
      <w:r w:rsidR="00525833" w:rsidRPr="00D42B1B">
        <w:rPr>
          <w:rFonts w:eastAsia="Times New Roman" w:cs="Arial"/>
          <w:color w:val="444444"/>
          <w:szCs w:val="20"/>
          <w:lang w:eastAsia="fr-FR"/>
        </w:rPr>
        <w:t xml:space="preserve"> </w:t>
      </w:r>
      <w:r w:rsidRPr="00D42B1B">
        <w:rPr>
          <w:rFonts w:eastAsia="Times New Roman" w:cs="Arial"/>
          <w:color w:val="444444"/>
          <w:szCs w:val="20"/>
          <w:lang w:eastAsia="fr-FR"/>
        </w:rPr>
        <w:t>La Guinée a également annoncé le 4 juin, le renforcement de la surveillance épidémiologique aux frontières et dans les zones d’élevage proches du Sénégal et de la Côte d’Ivoire, deux pays actuellement touchés avec qui il partage aussi des frontières.</w:t>
      </w:r>
      <w:r w:rsidR="00525833"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Plus largement, la stratégie régionale repose sur la détection précoce des foyers, le contrôle des mouvements de volailles, le renforcement des mesures de </w:t>
      </w:r>
      <w:r w:rsidRPr="00D42B1B">
        <w:rPr>
          <w:rFonts w:eastAsia="Times New Roman" w:cs="Arial"/>
          <w:color w:val="444444"/>
          <w:szCs w:val="20"/>
          <w:lang w:eastAsia="fr-FR"/>
        </w:rPr>
        <w:lastRenderedPageBreak/>
        <w:t>biosécurité dans les exploitations et l’abattage sanitaire lorsque cela est nécessaire. Ces actions bénéficient de l’appui technique de la FAO, de l’OMSA et des services vétérinaires nationaux.</w:t>
      </w:r>
      <w:r w:rsidR="00525833" w:rsidRPr="00D42B1B">
        <w:rPr>
          <w:rFonts w:eastAsia="Times New Roman" w:cs="Arial"/>
          <w:color w:val="444444"/>
          <w:szCs w:val="20"/>
          <w:lang w:eastAsia="fr-FR"/>
        </w:rPr>
        <w:t xml:space="preserve"> </w:t>
      </w:r>
      <w:r w:rsidRPr="00D42B1B">
        <w:rPr>
          <w:rFonts w:eastAsia="Times New Roman" w:cs="Arial"/>
          <w:color w:val="444444"/>
          <w:szCs w:val="20"/>
          <w:lang w:eastAsia="fr-FR"/>
        </w:rPr>
        <w:t>Au-delà de l’enjeu sanitaire, l</w:t>
      </w:r>
      <w:r w:rsidR="00525833" w:rsidRPr="00D42B1B">
        <w:rPr>
          <w:rFonts w:eastAsia="Times New Roman" w:cs="Arial"/>
          <w:color w:val="444444"/>
          <w:szCs w:val="20"/>
          <w:lang w:eastAsia="fr-FR"/>
        </w:rPr>
        <w:t xml:space="preserve">’Influenza </w:t>
      </w:r>
      <w:r w:rsidRPr="00D42B1B">
        <w:rPr>
          <w:rFonts w:eastAsia="Times New Roman" w:cs="Arial"/>
          <w:color w:val="444444"/>
          <w:szCs w:val="20"/>
          <w:lang w:eastAsia="fr-FR"/>
        </w:rPr>
        <w:t>aviaire représente un risque économique majeur pour l’aviculture ouest-africaine.</w:t>
      </w:r>
      <w:r w:rsidR="008529B1" w:rsidRPr="00D42B1B">
        <w:rPr>
          <w:rFonts w:eastAsia="Times New Roman" w:cs="Arial"/>
          <w:color w:val="444444"/>
          <w:szCs w:val="20"/>
          <w:lang w:eastAsia="fr-FR"/>
        </w:rPr>
        <w:t xml:space="preserve"> La maladie peut rapidement fragiliser les revenus des éleveurs. </w:t>
      </w:r>
      <w:r w:rsidRPr="00D42B1B">
        <w:rPr>
          <w:rFonts w:eastAsia="Times New Roman" w:cs="Arial"/>
          <w:color w:val="444444"/>
          <w:szCs w:val="20"/>
          <w:lang w:eastAsia="fr-FR"/>
        </w:rPr>
        <w:t>L’épizootie qui a touché la Côte d’Ivoire en 2021 a, par exemple, conduit à l’abattage sanitaire de plus de 600 000 volailles, pour une perte financière estimée à plus de 3</w:t>
      </w:r>
      <w:r w:rsidRPr="00D42B1B">
        <w:rPr>
          <w:rFonts w:ascii="Times New Roman" w:eastAsia="Times New Roman" w:hAnsi="Times New Roman" w:cs="Times New Roman"/>
          <w:color w:val="444444"/>
          <w:szCs w:val="20"/>
          <w:lang w:eastAsia="fr-FR"/>
        </w:rPr>
        <w:t> </w:t>
      </w:r>
      <w:r w:rsidR="00525833" w:rsidRPr="00D42B1B">
        <w:rPr>
          <w:rFonts w:eastAsia="Times New Roman" w:cs="Arial"/>
          <w:color w:val="444444"/>
          <w:szCs w:val="20"/>
          <w:lang w:eastAsia="fr-FR"/>
        </w:rPr>
        <w:t>Md</w:t>
      </w:r>
      <w:r w:rsidRPr="00D42B1B">
        <w:rPr>
          <w:rFonts w:eastAsia="Times New Roman" w:cs="Arial"/>
          <w:color w:val="444444"/>
          <w:szCs w:val="20"/>
          <w:lang w:eastAsia="fr-FR"/>
        </w:rPr>
        <w:t xml:space="preserve"> FCFA d</w:t>
      </w:r>
      <w:r w:rsidRPr="00D42B1B">
        <w:rPr>
          <w:rFonts w:eastAsia="Times New Roman" w:cs="Marianne"/>
          <w:color w:val="444444"/>
          <w:szCs w:val="20"/>
          <w:lang w:eastAsia="fr-FR"/>
        </w:rPr>
        <w:t>’</w:t>
      </w:r>
      <w:r w:rsidRPr="00D42B1B">
        <w:rPr>
          <w:rFonts w:eastAsia="Times New Roman" w:cs="Arial"/>
          <w:color w:val="444444"/>
          <w:szCs w:val="20"/>
          <w:lang w:eastAsia="fr-FR"/>
        </w:rPr>
        <w:t>apr</w:t>
      </w:r>
      <w:r w:rsidRPr="00D42B1B">
        <w:rPr>
          <w:rFonts w:eastAsia="Times New Roman" w:cs="Marianne"/>
          <w:color w:val="444444"/>
          <w:szCs w:val="20"/>
          <w:lang w:eastAsia="fr-FR"/>
        </w:rPr>
        <w:t>è</w:t>
      </w:r>
      <w:r w:rsidRPr="00D42B1B">
        <w:rPr>
          <w:rFonts w:eastAsia="Times New Roman" w:cs="Arial"/>
          <w:color w:val="444444"/>
          <w:szCs w:val="20"/>
          <w:lang w:eastAsia="fr-FR"/>
        </w:rPr>
        <w:t>s la FAO.</w:t>
      </w:r>
      <w:r w:rsidR="00525833"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En outre, les épisodes récurrents perturbent également les chaînes d’approvisionnement, accentuent la volatilité des prix de la volaille et compliquent les décisions d’investissement dans la filière. Pour réduire durablement le risque, les </w:t>
      </w:r>
      <w:r w:rsidR="00525833" w:rsidRPr="00D42B1B">
        <w:rPr>
          <w:rFonts w:eastAsia="Times New Roman" w:cs="Arial"/>
          <w:color w:val="444444"/>
          <w:szCs w:val="20"/>
          <w:lang w:eastAsia="fr-FR"/>
        </w:rPr>
        <w:t>E</w:t>
      </w:r>
      <w:r w:rsidRPr="00D42B1B">
        <w:rPr>
          <w:rFonts w:eastAsia="Times New Roman" w:cs="Arial"/>
          <w:color w:val="444444"/>
          <w:szCs w:val="20"/>
          <w:lang w:eastAsia="fr-FR"/>
        </w:rPr>
        <w:t>tats devront renforcer la coordination transfrontalière, améliorer les systèmes de surveillance épidémiologique et accélérer la diffusion des bonnes pratiques de biosécurité auprès des éleveurs.</w:t>
      </w:r>
    </w:p>
    <w:p w14:paraId="76E5F7D3" w14:textId="016D64DE" w:rsidR="00792C9E" w:rsidRPr="00D42B1B" w:rsidRDefault="00792C9E" w:rsidP="00F9799C">
      <w:pPr>
        <w:shd w:val="clear" w:color="auto" w:fill="FFFFFF"/>
        <w:spacing w:after="0" w:line="276" w:lineRule="auto"/>
        <w:rPr>
          <w:rFonts w:eastAsia="Times New Roman" w:cs="Arial"/>
          <w:color w:val="444444"/>
          <w:szCs w:val="20"/>
          <w:lang w:eastAsia="fr-FR"/>
        </w:rPr>
      </w:pPr>
    </w:p>
    <w:p w14:paraId="03F394DC" w14:textId="46AA759D" w:rsidR="00792C9E" w:rsidRPr="00D42B1B" w:rsidRDefault="00792C9E" w:rsidP="00DA322D">
      <w:pPr>
        <w:pStyle w:val="Titre2"/>
        <w:spacing w:before="0"/>
        <w:rPr>
          <w:rFonts w:eastAsia="Times New Roman" w:cs="Arial"/>
          <w:color w:val="444444"/>
          <w:szCs w:val="20"/>
          <w:lang w:eastAsia="fr-FR"/>
        </w:rPr>
      </w:pPr>
      <w:bookmarkStart w:id="42" w:name="_Toc233878673"/>
      <w:r w:rsidRPr="00D42B1B">
        <w:rPr>
          <w:rFonts w:eastAsia="Times New Roman" w:cs="Arial"/>
          <w:color w:val="444444"/>
          <w:szCs w:val="20"/>
          <w:lang w:eastAsia="fr-FR"/>
        </w:rPr>
        <w:t>Santé animale – Un nouveau vecteur de l’influence russe dans l’agriculture en Afrique.</w:t>
      </w:r>
      <w:bookmarkEnd w:id="42"/>
    </w:p>
    <w:p w14:paraId="5CC336FE" w14:textId="6E7D5EEC" w:rsidR="00792C9E" w:rsidRPr="00D42B1B" w:rsidRDefault="00792C9E" w:rsidP="00792C9E">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En dehors des secteurs comme l’énergie ou la défense, la Russie développe en Afrique une présence agricole plus discrète. A travers la coopération vétérinaire, le transfert de technologies et les échanges de produits animaux, la Russie nourrit aussi des ambitions dans le secteur de l’élevage. Ainsi, le 18 juin, la Direction générale des services vétérinaires du Burkina Faso (DGSV) a reçu une délégation russe pour échanger sur la coopération en santé animale. Les échanges ont porté sur les possibilités de collaboration dans la fourniture de vaccins vétérinaires contre la maladie de Newcastle, ainsi que contre la rage. Les discussions ont aussi porté sur la perspective d’un possible appui technique à la production locale de vaccins et au renforcement des capacités techniques </w:t>
      </w:r>
      <w:proofErr w:type="spellStart"/>
      <w:r w:rsidRPr="00D42B1B">
        <w:rPr>
          <w:rFonts w:eastAsia="Times New Roman" w:cs="Arial"/>
          <w:color w:val="444444"/>
          <w:szCs w:val="20"/>
          <w:lang w:eastAsia="fr-FR"/>
        </w:rPr>
        <w:t>burkinabées</w:t>
      </w:r>
      <w:proofErr w:type="spellEnd"/>
      <w:r w:rsidRPr="00D42B1B">
        <w:rPr>
          <w:rFonts w:eastAsia="Times New Roman" w:cs="Arial"/>
          <w:color w:val="444444"/>
          <w:szCs w:val="20"/>
          <w:lang w:eastAsia="fr-FR"/>
        </w:rPr>
        <w:t xml:space="preserve">. Loin d’être un cas isolé, ce rapprochement avec le Burkina Faso s’inscrit dans une stratégie plus large de renforcement de la présence russe dans les filières d’élevage africaines, à travers la coopération vétérinaire. En novembre 2025, Moscou, par l’intermédiaire de son ambassade, a ouvert des discussions avec le Nigeria sur la fourniture de vaccins vétérinaires, le transfert de technologies et le développement de capacités locales dans le secteur de l’élevage. Si aucun accord n’a été signé à ce stade, les deux parties ont également évoqué des perspectives d’investissement dans la production de vaccins et de produits vétérinaires, ainsi que dans l’élevage et les infrastructures de chaîne du froid. Quelques mois plus tôt, en mai 2025, un accord de coopération scientifique et technique en médecine vétérinaire avait été conclu avec la République centrafricaine. À travers cet accord, le centre vétérinaire </w:t>
      </w:r>
      <w:proofErr w:type="spellStart"/>
      <w:r w:rsidRPr="00D42B1B">
        <w:rPr>
          <w:rFonts w:eastAsia="Times New Roman" w:cs="Arial"/>
          <w:color w:val="444444"/>
          <w:szCs w:val="20"/>
          <w:lang w:eastAsia="fr-FR"/>
        </w:rPr>
        <w:t>VNIIZZh</w:t>
      </w:r>
      <w:proofErr w:type="spellEnd"/>
      <w:r w:rsidRPr="00D42B1B">
        <w:rPr>
          <w:rFonts w:eastAsia="Times New Roman" w:cs="Arial"/>
          <w:color w:val="444444"/>
          <w:szCs w:val="20"/>
          <w:lang w:eastAsia="fr-FR"/>
        </w:rPr>
        <w:t xml:space="preserve">, principal institut vétérinaire russe, s’engageait à renforcer sa coopération dans des domaines tels que le développement de nouveaux vaccins, les médicaments vétérinaires et les méthodes de diagnostic. Parallèlement à cette offensive menée sur le marché africain des produits et solutions vétérinaires, les échanges entre la Russie et l’Afrique montrent une montée en puissance sur le segment des protéines animales. En 2025, les exportations russes de viande de volaille vers le continent ont plus que doublé pour atteindre environ 35 000 tonnes, avec des débouchés dans plusieurs pays dont le Bénin et le Ghana. </w:t>
      </w:r>
      <w:r w:rsidR="00DA322D" w:rsidRPr="00D42B1B">
        <w:rPr>
          <w:rFonts w:eastAsia="Times New Roman" w:cs="Arial"/>
          <w:color w:val="444444"/>
          <w:szCs w:val="20"/>
          <w:lang w:eastAsia="fr-FR"/>
        </w:rPr>
        <w:t>L</w:t>
      </w:r>
      <w:r w:rsidRPr="00D42B1B">
        <w:rPr>
          <w:rFonts w:eastAsia="Times New Roman" w:cs="Arial"/>
          <w:color w:val="444444"/>
          <w:szCs w:val="20"/>
          <w:lang w:eastAsia="fr-FR"/>
        </w:rPr>
        <w:t>a coopération vétérinaire ne se limite pas à un enjeu sanitaire, mais constitue également un levier d’intégration progressive de la Russie dans la chaîne de valeur de l’élevage en Afrique aussi bien en amont qu’en aval.</w:t>
      </w:r>
      <w:r w:rsidR="00DA322D" w:rsidRPr="00D42B1B">
        <w:rPr>
          <w:rFonts w:eastAsia="Times New Roman" w:cs="Arial"/>
          <w:color w:val="444444"/>
          <w:szCs w:val="20"/>
          <w:lang w:eastAsia="fr-FR"/>
        </w:rPr>
        <w:t xml:space="preserve"> </w:t>
      </w:r>
      <w:r w:rsidRPr="00D42B1B">
        <w:rPr>
          <w:rFonts w:eastAsia="Times New Roman" w:cs="Arial"/>
          <w:color w:val="444444"/>
          <w:szCs w:val="20"/>
          <w:lang w:eastAsia="fr-FR"/>
        </w:rPr>
        <w:t>Par ailleurs, l’accès aux marchés des produits d’élevage pourrait constituer un prolongement commercial de cette stratégie, permettant à la Russie de diversifier ses exportations agricoles vers l’Afrique au-delà des segments traditionnels comme les céréales, le blé ou encore les engrais.</w:t>
      </w:r>
    </w:p>
    <w:bookmarkEnd w:id="26"/>
    <w:p w14:paraId="7FFC070B" w14:textId="77777777" w:rsidR="00F9799C" w:rsidRPr="00D42B1B" w:rsidRDefault="00F9799C" w:rsidP="00F9799C">
      <w:pPr>
        <w:shd w:val="clear" w:color="auto" w:fill="FFFFFF"/>
        <w:spacing w:after="0" w:line="276" w:lineRule="auto"/>
        <w:rPr>
          <w:rFonts w:eastAsia="Times New Roman" w:cs="Arial"/>
          <w:color w:val="444444"/>
          <w:szCs w:val="20"/>
          <w:lang w:eastAsia="fr-FR"/>
        </w:rPr>
      </w:pPr>
    </w:p>
    <w:p w14:paraId="3EA2082B" w14:textId="5AED0593" w:rsidR="009D0F96" w:rsidRPr="00D42B1B" w:rsidRDefault="009D0F96" w:rsidP="007B5BCC">
      <w:pPr>
        <w:pStyle w:val="Titre1"/>
      </w:pPr>
      <w:bookmarkStart w:id="43" w:name="_Toc233878674"/>
      <w:r w:rsidRPr="00D42B1B">
        <w:t>Côte d’Ivoi</w:t>
      </w:r>
      <w:bookmarkEnd w:id="11"/>
      <w:bookmarkEnd w:id="12"/>
      <w:bookmarkEnd w:id="13"/>
      <w:r w:rsidRPr="00D42B1B">
        <w:t>re</w:t>
      </w:r>
      <w:bookmarkEnd w:id="14"/>
      <w:bookmarkEnd w:id="15"/>
      <w:bookmarkEnd w:id="16"/>
      <w:bookmarkEnd w:id="43"/>
    </w:p>
    <w:p w14:paraId="4EEAB0BE" w14:textId="77777777" w:rsidR="004B6DD1" w:rsidRPr="00D42B1B" w:rsidRDefault="004B6DD1" w:rsidP="004B6DD1">
      <w:pPr>
        <w:pStyle w:val="Titre2"/>
        <w:spacing w:before="0"/>
        <w:rPr>
          <w:rFonts w:eastAsiaTheme="minorHAnsi"/>
        </w:rPr>
      </w:pPr>
      <w:bookmarkStart w:id="44" w:name="_Toc233878675"/>
      <w:bookmarkStart w:id="45" w:name="_Hlk233052508"/>
      <w:bookmarkStart w:id="46" w:name="_Hlk232242245"/>
      <w:bookmarkStart w:id="47" w:name="_Hlk231648374"/>
      <w:r w:rsidRPr="00D42B1B">
        <w:rPr>
          <w:rFonts w:eastAsia="Times New Roman" w:cs="Arial"/>
          <w:color w:val="444444"/>
          <w:szCs w:val="20"/>
          <w:lang w:eastAsia="fr-FR"/>
        </w:rPr>
        <w:t>Politique agricole - Lancement du Processus de formulation du Programme national d’investissement agricole de troisième génération (PNIA 3).</w:t>
      </w:r>
      <w:bookmarkEnd w:id="44"/>
    </w:p>
    <w:p w14:paraId="1C8B576F" w14:textId="48E0E4A6" w:rsidR="004B6DD1" w:rsidRPr="00D42B1B" w:rsidRDefault="004B6DD1" w:rsidP="004B6DD1">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A l’occasion de la cérémonie de </w:t>
      </w:r>
      <w:bookmarkStart w:id="48" w:name="_Hlk233117772"/>
      <w:r w:rsidRPr="00D42B1B">
        <w:rPr>
          <w:rFonts w:eastAsia="Times New Roman" w:cs="Arial"/>
          <w:color w:val="444444"/>
          <w:szCs w:val="20"/>
          <w:lang w:eastAsia="fr-FR"/>
        </w:rPr>
        <w:t xml:space="preserve">lancement du Processus de formulation du Programme national d’investissement agricole de troisième génération (PNIA 3) </w:t>
      </w:r>
      <w:bookmarkEnd w:id="48"/>
      <w:r w:rsidRPr="00D42B1B">
        <w:rPr>
          <w:rFonts w:eastAsia="Times New Roman" w:cs="Arial"/>
          <w:color w:val="444444"/>
          <w:szCs w:val="20"/>
          <w:lang w:eastAsia="fr-FR"/>
        </w:rPr>
        <w:t xml:space="preserve">pour la période 2026-2035, le Premier ministre, M. Robert </w:t>
      </w:r>
      <w:proofErr w:type="spellStart"/>
      <w:r w:rsidRPr="00D42B1B">
        <w:rPr>
          <w:rFonts w:eastAsia="Times New Roman" w:cs="Arial"/>
          <w:color w:val="444444"/>
          <w:szCs w:val="20"/>
          <w:lang w:eastAsia="fr-FR"/>
        </w:rPr>
        <w:t>Beugré</w:t>
      </w:r>
      <w:proofErr w:type="spellEnd"/>
      <w:r w:rsidRPr="00D42B1B">
        <w:rPr>
          <w:rFonts w:eastAsia="Times New Roman" w:cs="Arial"/>
          <w:color w:val="444444"/>
          <w:szCs w:val="20"/>
          <w:lang w:eastAsia="fr-FR"/>
        </w:rPr>
        <w:t xml:space="preserve"> </w:t>
      </w:r>
      <w:proofErr w:type="spellStart"/>
      <w:r w:rsidRPr="00D42B1B">
        <w:rPr>
          <w:rFonts w:eastAsia="Times New Roman" w:cs="Arial"/>
          <w:color w:val="444444"/>
          <w:szCs w:val="20"/>
          <w:lang w:eastAsia="fr-FR"/>
        </w:rPr>
        <w:t>Mambé</w:t>
      </w:r>
      <w:proofErr w:type="spellEnd"/>
      <w:r w:rsidRPr="00D42B1B">
        <w:rPr>
          <w:rFonts w:eastAsia="Times New Roman" w:cs="Arial"/>
          <w:color w:val="444444"/>
          <w:szCs w:val="20"/>
          <w:lang w:eastAsia="fr-FR"/>
        </w:rPr>
        <w:t>, a invité le 18 juin, l’ensemble des acteurs du secteur agricole à la promotion d’une agriculture d’entreprise mieux financée, mieux accompagnée et mieux connectée au marché. Le Premier ministre veut une agriculture capable de répondre aux besoins alimentaires des populations, de réduire la dépendance aux importations, et d’améliorer les conditions de vies des acteurs agricoles. Il a aussi souhaité voir émerger une stratégie qui permette d’aller dans le sens d’une agriculture tournée vers la transformation des matières premières brutes et l’exportation des produits transformées à plus forte valeur ajoutée, une agriculture à haute intensité de productivité et compétitive qui crée des emplois et des opportunités réelles d’emplois et des revenus décents pour notre grande jeunesse. Le Premier ministre a dit attendre du processus de construction de la stratégie décennale, un plan d’action qui réponde aux exigences mentionnées, tout en s’inscrivant dans le Plan national de développement (PND 2026-2030) de 114 840 Md FCFA, mais également dans l’esprit de la Déclaration de Kampala de janvier 2025 relativement à la transformation des systèmes agroalimentaires africains sur la période 2026-2035. Il a réaffirmé la volonté de son gouvernement de faire de l’agriculture une priorité dans les planifications aussi bien opérationnelles que budgétaires. Il a assuré que son gouvernement est dans une dynamique de dialogue sur les reformes et les mécanismes d’incitations nécessaires. Pour sa part, le ministre de l’agriculture, du développement rural et des productions vivrières, M. Bruno </w:t>
      </w:r>
      <w:proofErr w:type="spellStart"/>
      <w:r w:rsidRPr="00D42B1B">
        <w:rPr>
          <w:rFonts w:eastAsia="Times New Roman" w:cs="Arial"/>
          <w:color w:val="444444"/>
          <w:szCs w:val="20"/>
          <w:lang w:eastAsia="fr-FR"/>
        </w:rPr>
        <w:t>Nabagné</w:t>
      </w:r>
      <w:proofErr w:type="spellEnd"/>
      <w:r w:rsidRPr="00D42B1B">
        <w:rPr>
          <w:rFonts w:eastAsia="Times New Roman" w:cs="Arial"/>
          <w:color w:val="444444"/>
          <w:szCs w:val="20"/>
          <w:lang w:eastAsia="fr-FR"/>
        </w:rPr>
        <w:t xml:space="preserve"> Koné, a indiqué que le processus démarrera par un bilan du PNIA 2 avant des consultations élargies. Suivront les étapes de la budgétisation, de la validation et de l’adoption.</w:t>
      </w:r>
    </w:p>
    <w:p w14:paraId="76B08945" w14:textId="77777777" w:rsidR="004C335F" w:rsidRPr="00D42B1B" w:rsidRDefault="004C335F" w:rsidP="004B6DD1">
      <w:pPr>
        <w:shd w:val="clear" w:color="auto" w:fill="FFFFFF"/>
        <w:spacing w:after="0" w:line="276" w:lineRule="auto"/>
        <w:rPr>
          <w:rFonts w:eastAsia="Times New Roman" w:cs="Arial"/>
          <w:color w:val="444444"/>
          <w:szCs w:val="20"/>
          <w:lang w:eastAsia="fr-FR"/>
        </w:rPr>
      </w:pPr>
    </w:p>
    <w:p w14:paraId="5163E3A7" w14:textId="77777777" w:rsidR="008F5C3E" w:rsidRPr="00D42B1B" w:rsidRDefault="008F5C3E" w:rsidP="008F5C3E">
      <w:pPr>
        <w:pStyle w:val="Titre2"/>
        <w:spacing w:before="0"/>
        <w:rPr>
          <w:rFonts w:eastAsiaTheme="minorHAnsi"/>
        </w:rPr>
      </w:pPr>
      <w:bookmarkStart w:id="49" w:name="_Toc233878676"/>
      <w:r w:rsidRPr="00D42B1B">
        <w:rPr>
          <w:rFonts w:eastAsia="Times New Roman" w:cs="Arial"/>
          <w:color w:val="444444"/>
          <w:szCs w:val="20"/>
          <w:lang w:eastAsia="fr-FR"/>
        </w:rPr>
        <w:t xml:space="preserve">Politique agricole - Le ministre de l'agriculture, du développement rural et des productions vivrières, M. Bruno </w:t>
      </w:r>
      <w:proofErr w:type="spellStart"/>
      <w:r w:rsidRPr="00D42B1B">
        <w:rPr>
          <w:rFonts w:eastAsia="Times New Roman" w:cs="Arial"/>
          <w:color w:val="444444"/>
          <w:szCs w:val="20"/>
          <w:lang w:eastAsia="fr-FR"/>
        </w:rPr>
        <w:t>Nabagné</w:t>
      </w:r>
      <w:proofErr w:type="spellEnd"/>
      <w:r w:rsidRPr="00D42B1B">
        <w:rPr>
          <w:rFonts w:eastAsia="Times New Roman" w:cs="Arial"/>
          <w:color w:val="444444"/>
          <w:szCs w:val="20"/>
          <w:lang w:eastAsia="fr-FR"/>
        </w:rPr>
        <w:t xml:space="preserve"> Koné, mise sur la transformation et la digitalisation.</w:t>
      </w:r>
      <w:bookmarkEnd w:id="49"/>
    </w:p>
    <w:p w14:paraId="00214C59" w14:textId="53E24757" w:rsidR="008F5C3E" w:rsidRPr="00D42B1B" w:rsidRDefault="008F5C3E" w:rsidP="00750858">
      <w:pPr>
        <w:spacing w:after="0"/>
        <w:rPr>
          <w:rFonts w:cs="Arial"/>
          <w:szCs w:val="20"/>
        </w:rPr>
      </w:pPr>
      <w:bookmarkStart w:id="50" w:name="_Hlk232248132"/>
      <w:bookmarkEnd w:id="45"/>
      <w:r w:rsidRPr="00D42B1B">
        <w:rPr>
          <w:rFonts w:eastAsia="Times New Roman" w:cs="Arial"/>
          <w:color w:val="444444"/>
          <w:szCs w:val="20"/>
          <w:lang w:eastAsia="fr-FR"/>
        </w:rPr>
        <w:t>Le ministre de l'agriculture, du développement rural et des productions vivrières, M. Bruno </w:t>
      </w:r>
      <w:proofErr w:type="spellStart"/>
      <w:r w:rsidRPr="00D42B1B">
        <w:rPr>
          <w:rFonts w:eastAsia="Times New Roman" w:cs="Arial"/>
          <w:color w:val="444444"/>
          <w:szCs w:val="20"/>
          <w:lang w:eastAsia="fr-FR"/>
        </w:rPr>
        <w:t>Nabagné</w:t>
      </w:r>
      <w:proofErr w:type="spellEnd"/>
      <w:r w:rsidRPr="00D42B1B">
        <w:rPr>
          <w:rFonts w:eastAsia="Times New Roman" w:cs="Arial"/>
          <w:color w:val="444444"/>
          <w:szCs w:val="20"/>
          <w:lang w:eastAsia="fr-FR"/>
        </w:rPr>
        <w:t xml:space="preserve"> Koné</w:t>
      </w:r>
      <w:bookmarkEnd w:id="50"/>
      <w:r w:rsidRPr="00D42B1B">
        <w:rPr>
          <w:rFonts w:eastAsia="Times New Roman" w:cs="Arial"/>
          <w:color w:val="444444"/>
          <w:szCs w:val="20"/>
          <w:lang w:eastAsia="fr-FR"/>
        </w:rPr>
        <w:t xml:space="preserve">, a présidé le 5 juin un atelier bilan du secteur agricole 2025 afin de dresser les performances de l'année écoulée et de poser les jalons du Programme national d'investissement agricole de </w:t>
      </w:r>
      <w:r w:rsidR="004B6DD1" w:rsidRPr="00D42B1B">
        <w:rPr>
          <w:rFonts w:eastAsia="Times New Roman" w:cs="Arial"/>
          <w:color w:val="444444"/>
          <w:szCs w:val="20"/>
          <w:lang w:eastAsia="fr-FR"/>
        </w:rPr>
        <w:t xml:space="preserve">troisième </w:t>
      </w:r>
      <w:r w:rsidRPr="00D42B1B">
        <w:rPr>
          <w:rFonts w:eastAsia="Times New Roman" w:cs="Arial"/>
          <w:color w:val="444444"/>
          <w:szCs w:val="20"/>
          <w:lang w:eastAsia="fr-FR"/>
        </w:rPr>
        <w:t>génération</w:t>
      </w:r>
      <w:r w:rsidR="00750858" w:rsidRPr="00D42B1B">
        <w:rPr>
          <w:rFonts w:eastAsia="Times New Roman" w:cs="Arial"/>
          <w:color w:val="444444"/>
          <w:szCs w:val="20"/>
          <w:lang w:eastAsia="fr-FR"/>
        </w:rPr>
        <w:t xml:space="preserve"> (PNIA 3)</w:t>
      </w:r>
      <w:r w:rsidRPr="00D42B1B">
        <w:rPr>
          <w:rFonts w:eastAsia="Times New Roman" w:cs="Arial"/>
          <w:color w:val="444444"/>
          <w:szCs w:val="20"/>
          <w:lang w:eastAsia="fr-FR"/>
        </w:rPr>
        <w:t xml:space="preserve">. </w:t>
      </w:r>
      <w:r w:rsidR="008B6374" w:rsidRPr="00D42B1B">
        <w:rPr>
          <w:rFonts w:eastAsia="Times New Roman" w:cs="Arial"/>
          <w:color w:val="444444"/>
          <w:szCs w:val="20"/>
          <w:lang w:eastAsia="fr-FR"/>
        </w:rPr>
        <w:t>Le secteur agricole représente 17%</w:t>
      </w:r>
      <w:r w:rsidR="004B6DD1" w:rsidRPr="00D42B1B">
        <w:rPr>
          <w:rFonts w:eastAsia="Times New Roman" w:cs="Arial"/>
          <w:color w:val="444444"/>
          <w:szCs w:val="20"/>
          <w:lang w:eastAsia="fr-FR"/>
        </w:rPr>
        <w:t> </w:t>
      </w:r>
      <w:r w:rsidR="008B6374" w:rsidRPr="00D42B1B">
        <w:rPr>
          <w:rFonts w:eastAsia="Times New Roman" w:cs="Arial"/>
          <w:color w:val="444444"/>
          <w:szCs w:val="20"/>
          <w:lang w:eastAsia="fr-FR"/>
        </w:rPr>
        <w:t xml:space="preserve">du PIB, 40% des exportations et 40% de l'emploi national, pour une production globale estimée à plus de 37 </w:t>
      </w:r>
      <w:r w:rsidR="004B6DD1" w:rsidRPr="00D42B1B">
        <w:rPr>
          <w:rFonts w:eastAsia="Times New Roman" w:cs="Arial"/>
          <w:color w:val="444444"/>
          <w:szCs w:val="20"/>
          <w:lang w:eastAsia="fr-FR"/>
        </w:rPr>
        <w:t xml:space="preserve">M </w:t>
      </w:r>
      <w:r w:rsidR="008B6374" w:rsidRPr="00D42B1B">
        <w:rPr>
          <w:rFonts w:eastAsia="Times New Roman" w:cs="Arial"/>
          <w:color w:val="444444"/>
          <w:szCs w:val="20"/>
          <w:lang w:eastAsia="fr-FR"/>
        </w:rPr>
        <w:t xml:space="preserve">de tonnes. </w:t>
      </w:r>
      <w:r w:rsidRPr="00D42B1B">
        <w:rPr>
          <w:rFonts w:eastAsia="Times New Roman" w:cs="Arial"/>
          <w:color w:val="444444"/>
          <w:szCs w:val="20"/>
          <w:lang w:eastAsia="fr-FR"/>
        </w:rPr>
        <w:t>Le bilan 2025 se révèle encourageant puisque la production totale des cultures d'exportation atteint 11 251 611 tonnes, soit un excédent de 916</w:t>
      </w:r>
      <w:r w:rsidR="004B6DD1" w:rsidRPr="00D42B1B">
        <w:rPr>
          <w:rFonts w:eastAsia="Times New Roman" w:cs="Arial"/>
          <w:color w:val="444444"/>
          <w:szCs w:val="20"/>
          <w:lang w:eastAsia="fr-FR"/>
        </w:rPr>
        <w:t> </w:t>
      </w:r>
      <w:r w:rsidRPr="00D42B1B">
        <w:rPr>
          <w:rFonts w:eastAsia="Times New Roman" w:cs="Arial"/>
          <w:color w:val="444444"/>
          <w:szCs w:val="20"/>
          <w:lang w:eastAsia="fr-FR"/>
        </w:rPr>
        <w:t>526 tonnes par rapport à 2024. Cette performance est portée par la noix de cajou et le caoutchouc naturel, passés respectivement de 944 673 tonnes à 1 549 221 tonnes et de 1</w:t>
      </w:r>
      <w:r w:rsidR="004B6DD1" w:rsidRPr="00D42B1B">
        <w:rPr>
          <w:rFonts w:eastAsia="Times New Roman" w:cs="Arial"/>
          <w:color w:val="444444"/>
          <w:szCs w:val="20"/>
          <w:lang w:eastAsia="fr-FR"/>
        </w:rPr>
        <w:t> </w:t>
      </w:r>
      <w:r w:rsidRPr="00D42B1B">
        <w:rPr>
          <w:rFonts w:eastAsia="Times New Roman" w:cs="Arial"/>
          <w:color w:val="444444"/>
          <w:szCs w:val="20"/>
          <w:lang w:eastAsia="fr-FR"/>
        </w:rPr>
        <w:t>686</w:t>
      </w:r>
      <w:r w:rsidR="004B6DD1" w:rsidRPr="00D42B1B">
        <w:rPr>
          <w:rFonts w:eastAsia="Times New Roman" w:cs="Arial"/>
          <w:color w:val="444444"/>
          <w:szCs w:val="20"/>
          <w:lang w:eastAsia="fr-FR"/>
        </w:rPr>
        <w:t> </w:t>
      </w:r>
      <w:r w:rsidRPr="00D42B1B">
        <w:rPr>
          <w:rFonts w:eastAsia="Times New Roman" w:cs="Arial"/>
          <w:color w:val="444444"/>
          <w:szCs w:val="20"/>
          <w:lang w:eastAsia="fr-FR"/>
        </w:rPr>
        <w:t>601 tonnes à 1</w:t>
      </w:r>
      <w:r w:rsidR="004B6DD1" w:rsidRPr="00D42B1B">
        <w:rPr>
          <w:rFonts w:eastAsia="Times New Roman" w:cs="Arial"/>
          <w:color w:val="444444"/>
          <w:szCs w:val="20"/>
          <w:lang w:eastAsia="fr-FR"/>
        </w:rPr>
        <w:t> </w:t>
      </w:r>
      <w:r w:rsidRPr="00D42B1B">
        <w:rPr>
          <w:rFonts w:eastAsia="Times New Roman" w:cs="Arial"/>
          <w:color w:val="444444"/>
          <w:szCs w:val="20"/>
          <w:lang w:eastAsia="fr-FR"/>
        </w:rPr>
        <w:t>853</w:t>
      </w:r>
      <w:r w:rsidR="004B6DD1" w:rsidRPr="00D42B1B">
        <w:rPr>
          <w:rFonts w:eastAsia="Times New Roman" w:cs="Arial"/>
          <w:color w:val="444444"/>
          <w:szCs w:val="20"/>
          <w:lang w:eastAsia="fr-FR"/>
        </w:rPr>
        <w:t> </w:t>
      </w:r>
      <w:r w:rsidRPr="00D42B1B">
        <w:rPr>
          <w:rFonts w:eastAsia="Times New Roman" w:cs="Arial"/>
          <w:color w:val="444444"/>
          <w:szCs w:val="20"/>
          <w:lang w:eastAsia="fr-FR"/>
        </w:rPr>
        <w:t>106</w:t>
      </w:r>
      <w:r w:rsidR="004B6DD1" w:rsidRPr="00D42B1B">
        <w:rPr>
          <w:rFonts w:eastAsia="Times New Roman" w:cs="Arial"/>
          <w:color w:val="444444"/>
          <w:szCs w:val="20"/>
          <w:lang w:eastAsia="fr-FR"/>
        </w:rPr>
        <w:t> </w:t>
      </w:r>
      <w:r w:rsidRPr="00D42B1B">
        <w:rPr>
          <w:rFonts w:eastAsia="Times New Roman" w:cs="Arial"/>
          <w:color w:val="444444"/>
          <w:szCs w:val="20"/>
          <w:lang w:eastAsia="fr-FR"/>
        </w:rPr>
        <w:t xml:space="preserve">tonnes entre 2024 et 2025. Les cultures vivrières suivent la même dynamique avec 25 800 294 tonnes produites en 2025 contre 23 654 674 tonnes en 2024, un taux d'accroissement de 9%. </w:t>
      </w:r>
      <w:r w:rsidR="008B6374" w:rsidRPr="00D42B1B">
        <w:rPr>
          <w:rFonts w:eastAsia="Times New Roman" w:cs="Arial"/>
          <w:color w:val="444444"/>
          <w:szCs w:val="20"/>
          <w:lang w:eastAsia="fr-FR"/>
        </w:rPr>
        <w:t xml:space="preserve">La Côte d'Ivoire confirme par ailleurs son leadership mondial sur le cacao, l'anacarde et l'hévéa, avec des taux de transformation locale en progression de 41% </w:t>
      </w:r>
      <w:r w:rsidR="008B6374" w:rsidRPr="00D42B1B">
        <w:rPr>
          <w:rFonts w:eastAsia="Times New Roman" w:cs="Arial"/>
          <w:color w:val="444444"/>
          <w:szCs w:val="20"/>
          <w:lang w:eastAsia="fr-FR"/>
        </w:rPr>
        <w:lastRenderedPageBreak/>
        <w:t xml:space="preserve">pour le cacao et 43% pour le cajou. </w:t>
      </w:r>
      <w:r w:rsidRPr="00D42B1B">
        <w:rPr>
          <w:rFonts w:eastAsia="Times New Roman" w:cs="Arial"/>
          <w:color w:val="444444"/>
          <w:szCs w:val="20"/>
          <w:lang w:eastAsia="fr-FR"/>
        </w:rPr>
        <w:t xml:space="preserve">Ces évolutions encourageantes des productions agricoles laissent entrevoir de belles perspectives pour les industries agro-industrielles, la sécurité alimentaire et l'emploi a souligné le ministre. Pour l'année 2026, selon le ministre, le cap est fixé sur la transformation de la structure de l'économie agricole en la faisant passer d'une économie de subsistance basée sur le volume, à une économie agricole à forte valeur ajoutée, rentable et digitalisée. Selon lui, ce défi est le seul en mesure de trouver une solution structurelle durable à l'employabilité des jeunes. </w:t>
      </w:r>
      <w:r w:rsidR="006107EC" w:rsidRPr="00D42B1B">
        <w:rPr>
          <w:rFonts w:eastAsia="Times New Roman" w:cs="Arial"/>
          <w:color w:val="444444"/>
          <w:szCs w:val="20"/>
          <w:lang w:eastAsia="fr-FR"/>
        </w:rPr>
        <w:t>Pour le ministre</w:t>
      </w:r>
      <w:r w:rsidR="00DD791F" w:rsidRPr="00D42B1B">
        <w:rPr>
          <w:rFonts w:eastAsia="Times New Roman" w:cs="Arial"/>
          <w:color w:val="444444"/>
          <w:szCs w:val="20"/>
          <w:lang w:eastAsia="fr-FR"/>
        </w:rPr>
        <w:t xml:space="preserve">, </w:t>
      </w:r>
      <w:r w:rsidR="00DD791F" w:rsidRPr="00D42B1B">
        <w:rPr>
          <w:rFonts w:cs="Arial"/>
          <w:szCs w:val="20"/>
        </w:rPr>
        <w:t>le PNIA 1, mis en œuvre sur la période 2012-2017 avec une enve</w:t>
      </w:r>
      <w:r w:rsidR="00DD791F" w:rsidRPr="00D42B1B">
        <w:rPr>
          <w:rFonts w:cs="Arial"/>
          <w:szCs w:val="20"/>
        </w:rPr>
        <w:softHyphen/>
        <w:t>loppe de 2 040 Md FCFA, a per</w:t>
      </w:r>
      <w:r w:rsidR="00DD791F" w:rsidRPr="00D42B1B">
        <w:rPr>
          <w:rFonts w:cs="Arial"/>
          <w:szCs w:val="20"/>
        </w:rPr>
        <w:softHyphen/>
        <w:t>mis d’enre</w:t>
      </w:r>
      <w:r w:rsidR="00DD791F" w:rsidRPr="00D42B1B">
        <w:rPr>
          <w:rFonts w:cs="Arial"/>
          <w:szCs w:val="20"/>
        </w:rPr>
        <w:softHyphen/>
        <w:t>gis</w:t>
      </w:r>
      <w:r w:rsidR="00DD791F" w:rsidRPr="00D42B1B">
        <w:rPr>
          <w:rFonts w:cs="Arial"/>
          <w:szCs w:val="20"/>
        </w:rPr>
        <w:softHyphen/>
        <w:t>trer des résultats pro</w:t>
      </w:r>
      <w:r w:rsidR="00DD791F" w:rsidRPr="00D42B1B">
        <w:rPr>
          <w:rFonts w:cs="Arial"/>
          <w:szCs w:val="20"/>
        </w:rPr>
        <w:softHyphen/>
        <w:t>bants, parmi les</w:t>
      </w:r>
      <w:r w:rsidR="00DD791F" w:rsidRPr="00D42B1B">
        <w:rPr>
          <w:rFonts w:cs="Arial"/>
          <w:szCs w:val="20"/>
        </w:rPr>
        <w:softHyphen/>
        <w:t>quels une crois</w:t>
      </w:r>
      <w:r w:rsidR="00DD791F" w:rsidRPr="00D42B1B">
        <w:rPr>
          <w:rFonts w:cs="Arial"/>
          <w:szCs w:val="20"/>
        </w:rPr>
        <w:softHyphen/>
        <w:t>sance de 6% enre</w:t>
      </w:r>
      <w:r w:rsidR="00DD791F" w:rsidRPr="00D42B1B">
        <w:rPr>
          <w:rFonts w:cs="Arial"/>
          <w:szCs w:val="20"/>
        </w:rPr>
        <w:softHyphen/>
        <w:t>gis</w:t>
      </w:r>
      <w:r w:rsidR="00DD791F" w:rsidRPr="00D42B1B">
        <w:rPr>
          <w:rFonts w:cs="Arial"/>
          <w:szCs w:val="20"/>
        </w:rPr>
        <w:softHyphen/>
        <w:t>trée dans les cultures d’exportation, une crois</w:t>
      </w:r>
      <w:r w:rsidR="00DD791F" w:rsidRPr="00D42B1B">
        <w:rPr>
          <w:rFonts w:cs="Arial"/>
          <w:szCs w:val="20"/>
        </w:rPr>
        <w:softHyphen/>
        <w:t>sance de 7% pour les cultures vivrières, l’atteinte de l’auto</w:t>
      </w:r>
      <w:r w:rsidR="00DD791F" w:rsidRPr="00D42B1B">
        <w:rPr>
          <w:rFonts w:cs="Arial"/>
          <w:szCs w:val="20"/>
        </w:rPr>
        <w:softHyphen/>
        <w:t>suf</w:t>
      </w:r>
      <w:r w:rsidR="00DD791F" w:rsidRPr="00D42B1B">
        <w:rPr>
          <w:rFonts w:cs="Arial"/>
          <w:szCs w:val="20"/>
        </w:rPr>
        <w:softHyphen/>
        <w:t>fi</w:t>
      </w:r>
      <w:r w:rsidR="00DD791F" w:rsidRPr="00D42B1B">
        <w:rPr>
          <w:rFonts w:cs="Arial"/>
          <w:szCs w:val="20"/>
        </w:rPr>
        <w:softHyphen/>
        <w:t>sance en volaille et une nette amé</w:t>
      </w:r>
      <w:r w:rsidR="00DD791F" w:rsidRPr="00D42B1B">
        <w:rPr>
          <w:rFonts w:cs="Arial"/>
          <w:szCs w:val="20"/>
        </w:rPr>
        <w:softHyphen/>
        <w:t>lio</w:t>
      </w:r>
      <w:r w:rsidR="00DD791F" w:rsidRPr="00D42B1B">
        <w:rPr>
          <w:rFonts w:cs="Arial"/>
          <w:szCs w:val="20"/>
        </w:rPr>
        <w:softHyphen/>
        <w:t>ra</w:t>
      </w:r>
      <w:r w:rsidR="00DD791F" w:rsidRPr="00D42B1B">
        <w:rPr>
          <w:rFonts w:cs="Arial"/>
          <w:szCs w:val="20"/>
        </w:rPr>
        <w:softHyphen/>
        <w:t>tion de la gou</w:t>
      </w:r>
      <w:r w:rsidR="00DD791F" w:rsidRPr="00D42B1B">
        <w:rPr>
          <w:rFonts w:cs="Arial"/>
          <w:szCs w:val="20"/>
        </w:rPr>
        <w:softHyphen/>
        <w:t>ver</w:t>
      </w:r>
      <w:r w:rsidR="00DD791F" w:rsidRPr="00D42B1B">
        <w:rPr>
          <w:rFonts w:cs="Arial"/>
          <w:szCs w:val="20"/>
        </w:rPr>
        <w:softHyphen/>
        <w:t>nance sec</w:t>
      </w:r>
      <w:r w:rsidR="00DD791F" w:rsidRPr="00D42B1B">
        <w:rPr>
          <w:rFonts w:cs="Arial"/>
          <w:szCs w:val="20"/>
        </w:rPr>
        <w:softHyphen/>
        <w:t>to</w:t>
      </w:r>
      <w:r w:rsidR="00DD791F" w:rsidRPr="00D42B1B">
        <w:rPr>
          <w:rFonts w:cs="Arial"/>
          <w:szCs w:val="20"/>
        </w:rPr>
        <w:softHyphen/>
        <w:t>rielle à tra</w:t>
      </w:r>
      <w:r w:rsidR="00DD791F" w:rsidRPr="00D42B1B">
        <w:rPr>
          <w:rFonts w:cs="Arial"/>
          <w:szCs w:val="20"/>
        </w:rPr>
        <w:softHyphen/>
        <w:t>vers, entre autres, l’adop</w:t>
      </w:r>
      <w:r w:rsidR="00DD791F" w:rsidRPr="00D42B1B">
        <w:rPr>
          <w:rFonts w:cs="Arial"/>
          <w:szCs w:val="20"/>
        </w:rPr>
        <w:softHyphen/>
        <w:t>tion de la loi d’orien</w:t>
      </w:r>
      <w:r w:rsidR="00DD791F" w:rsidRPr="00D42B1B">
        <w:rPr>
          <w:rFonts w:cs="Arial"/>
          <w:szCs w:val="20"/>
        </w:rPr>
        <w:softHyphen/>
        <w:t>ta</w:t>
      </w:r>
      <w:r w:rsidR="00DD791F" w:rsidRPr="00D42B1B">
        <w:rPr>
          <w:rFonts w:cs="Arial"/>
          <w:szCs w:val="20"/>
        </w:rPr>
        <w:softHyphen/>
        <w:t>tion agri</w:t>
      </w:r>
      <w:r w:rsidR="00DD791F" w:rsidRPr="00D42B1B">
        <w:rPr>
          <w:rFonts w:cs="Arial"/>
          <w:szCs w:val="20"/>
        </w:rPr>
        <w:softHyphen/>
        <w:t>cole de Côte d’Ivoire. Le PNIA 2, engagé pour la période 2018-2027 avec une enve</w:t>
      </w:r>
      <w:r w:rsidR="00DD791F" w:rsidRPr="00D42B1B">
        <w:rPr>
          <w:rFonts w:cs="Arial"/>
          <w:szCs w:val="20"/>
        </w:rPr>
        <w:softHyphen/>
        <w:t>loppe de 12 391 Md FCFA, a notam</w:t>
      </w:r>
      <w:r w:rsidR="00DD791F" w:rsidRPr="00D42B1B">
        <w:rPr>
          <w:rFonts w:cs="Arial"/>
          <w:szCs w:val="20"/>
        </w:rPr>
        <w:softHyphen/>
        <w:t>ment intro</w:t>
      </w:r>
      <w:r w:rsidR="00DD791F" w:rsidRPr="00D42B1B">
        <w:rPr>
          <w:rFonts w:cs="Arial"/>
          <w:szCs w:val="20"/>
        </w:rPr>
        <w:softHyphen/>
        <w:t>duit l’inno</w:t>
      </w:r>
      <w:r w:rsidR="00DD791F" w:rsidRPr="00D42B1B">
        <w:rPr>
          <w:rFonts w:cs="Arial"/>
          <w:szCs w:val="20"/>
        </w:rPr>
        <w:softHyphen/>
        <w:t>va</w:t>
      </w:r>
      <w:r w:rsidR="00DD791F" w:rsidRPr="00D42B1B">
        <w:rPr>
          <w:rFonts w:cs="Arial"/>
          <w:szCs w:val="20"/>
        </w:rPr>
        <w:softHyphen/>
        <w:t>tion des pôles de déve</w:t>
      </w:r>
      <w:r w:rsidR="00DD791F" w:rsidRPr="00D42B1B">
        <w:rPr>
          <w:rFonts w:cs="Arial"/>
          <w:szCs w:val="20"/>
        </w:rPr>
        <w:softHyphen/>
        <w:t>lop</w:t>
      </w:r>
      <w:r w:rsidR="00DD791F" w:rsidRPr="00D42B1B">
        <w:rPr>
          <w:rFonts w:cs="Arial"/>
          <w:szCs w:val="20"/>
        </w:rPr>
        <w:softHyphen/>
        <w:t>pe</w:t>
      </w:r>
      <w:r w:rsidR="00DD791F" w:rsidRPr="00D42B1B">
        <w:rPr>
          <w:rFonts w:cs="Arial"/>
          <w:szCs w:val="20"/>
        </w:rPr>
        <w:softHyphen/>
        <w:t>ment agro-inté</w:t>
      </w:r>
      <w:r w:rsidR="00DD791F" w:rsidRPr="00D42B1B">
        <w:rPr>
          <w:rFonts w:cs="Arial"/>
          <w:szCs w:val="20"/>
        </w:rPr>
        <w:softHyphen/>
        <w:t>grés ou agro</w:t>
      </w:r>
      <w:r w:rsidR="00DD791F" w:rsidRPr="00D42B1B">
        <w:rPr>
          <w:rFonts w:cs="Arial"/>
          <w:szCs w:val="20"/>
        </w:rPr>
        <w:softHyphen/>
        <w:t>poles dont l’objec</w:t>
      </w:r>
      <w:r w:rsidR="00DD791F" w:rsidRPr="00D42B1B">
        <w:rPr>
          <w:rFonts w:cs="Arial"/>
          <w:szCs w:val="20"/>
        </w:rPr>
        <w:softHyphen/>
        <w:t>tif est de favo</w:t>
      </w:r>
      <w:r w:rsidR="00DD791F" w:rsidRPr="00D42B1B">
        <w:rPr>
          <w:rFonts w:cs="Arial"/>
          <w:szCs w:val="20"/>
        </w:rPr>
        <w:softHyphen/>
        <w:t>ri</w:t>
      </w:r>
      <w:r w:rsidR="00DD791F" w:rsidRPr="00D42B1B">
        <w:rPr>
          <w:rFonts w:cs="Arial"/>
          <w:szCs w:val="20"/>
        </w:rPr>
        <w:softHyphen/>
        <w:t>ser un développe</w:t>
      </w:r>
      <w:r w:rsidR="00DD791F" w:rsidRPr="00D42B1B">
        <w:rPr>
          <w:rFonts w:cs="Arial"/>
          <w:szCs w:val="20"/>
        </w:rPr>
        <w:softHyphen/>
        <w:t>ment ter</w:t>
      </w:r>
      <w:r w:rsidR="00DD791F" w:rsidRPr="00D42B1B">
        <w:rPr>
          <w:rFonts w:cs="Arial"/>
          <w:szCs w:val="20"/>
        </w:rPr>
        <w:softHyphen/>
        <w:t>ri</w:t>
      </w:r>
      <w:r w:rsidR="00DD791F" w:rsidRPr="00D42B1B">
        <w:rPr>
          <w:rFonts w:cs="Arial"/>
          <w:szCs w:val="20"/>
        </w:rPr>
        <w:softHyphen/>
        <w:t>to</w:t>
      </w:r>
      <w:r w:rsidR="00DD791F" w:rsidRPr="00D42B1B">
        <w:rPr>
          <w:rFonts w:cs="Arial"/>
          <w:szCs w:val="20"/>
        </w:rPr>
        <w:softHyphen/>
        <w:t>rial plus har</w:t>
      </w:r>
      <w:r w:rsidR="00DD791F" w:rsidRPr="00D42B1B">
        <w:rPr>
          <w:rFonts w:cs="Arial"/>
          <w:szCs w:val="20"/>
        </w:rPr>
        <w:softHyphen/>
        <w:t>mo</w:t>
      </w:r>
      <w:r w:rsidR="00DD791F" w:rsidRPr="00D42B1B">
        <w:rPr>
          <w:rFonts w:cs="Arial"/>
          <w:szCs w:val="20"/>
        </w:rPr>
        <w:softHyphen/>
        <w:t xml:space="preserve">nieux. </w:t>
      </w:r>
      <w:r w:rsidR="00DD791F" w:rsidRPr="00D42B1B">
        <w:rPr>
          <w:rFonts w:eastAsia="Times New Roman" w:cs="Arial"/>
          <w:szCs w:val="20"/>
          <w:lang w:eastAsia="fr-FR"/>
        </w:rPr>
        <w:t xml:space="preserve">Le PNIA 2 </w:t>
      </w:r>
      <w:r w:rsidR="006107EC" w:rsidRPr="00D42B1B">
        <w:rPr>
          <w:rFonts w:eastAsia="Times New Roman" w:cs="Arial"/>
          <w:szCs w:val="20"/>
          <w:lang w:eastAsia="fr-FR"/>
        </w:rPr>
        <w:t>reposait sur trois axes majeurs</w:t>
      </w:r>
      <w:r w:rsidR="00DD791F" w:rsidRPr="00D42B1B">
        <w:rPr>
          <w:rFonts w:eastAsia="Times New Roman" w:cs="Arial"/>
          <w:szCs w:val="20"/>
          <w:lang w:eastAsia="fr-FR"/>
        </w:rPr>
        <w:t> :</w:t>
      </w:r>
      <w:r w:rsidR="006107EC" w:rsidRPr="00D42B1B">
        <w:rPr>
          <w:rFonts w:eastAsia="Times New Roman" w:cs="Arial"/>
          <w:szCs w:val="20"/>
          <w:lang w:eastAsia="fr-FR"/>
        </w:rPr>
        <w:t xml:space="preserve"> la transformation structurelle du secteur agricole, la résilience climatique et la croissance inclusive visant la réduction de la pauvreté rurale. </w:t>
      </w:r>
      <w:r w:rsidRPr="00D42B1B">
        <w:rPr>
          <w:rFonts w:eastAsia="Times New Roman" w:cs="Arial"/>
          <w:szCs w:val="20"/>
          <w:lang w:eastAsia="fr-FR"/>
        </w:rPr>
        <w:t xml:space="preserve">Dans la même veine, il a annoncé que le </w:t>
      </w:r>
      <w:bookmarkStart w:id="51" w:name="_Hlk233193051"/>
      <w:r w:rsidRPr="00D42B1B">
        <w:rPr>
          <w:rFonts w:eastAsia="Times New Roman" w:cs="Arial"/>
          <w:szCs w:val="20"/>
          <w:lang w:eastAsia="fr-FR"/>
        </w:rPr>
        <w:t>PNIA</w:t>
      </w:r>
      <w:r w:rsidR="004B6DD1" w:rsidRPr="00D42B1B">
        <w:rPr>
          <w:rFonts w:eastAsia="Times New Roman" w:cs="Arial"/>
          <w:szCs w:val="20"/>
          <w:lang w:eastAsia="fr-FR"/>
        </w:rPr>
        <w:t xml:space="preserve"> 3 </w:t>
      </w:r>
      <w:r w:rsidRPr="00D42B1B">
        <w:rPr>
          <w:rFonts w:eastAsia="Times New Roman" w:cs="Arial"/>
          <w:szCs w:val="20"/>
          <w:lang w:eastAsia="fr-FR"/>
        </w:rPr>
        <w:t>à venir devra servir de cadre de référence autour de cinq axes prioritaires</w:t>
      </w:r>
      <w:r w:rsidR="004B6DD1" w:rsidRPr="00D42B1B">
        <w:rPr>
          <w:rFonts w:eastAsia="Times New Roman" w:cs="Arial"/>
          <w:szCs w:val="20"/>
          <w:lang w:eastAsia="fr-FR"/>
        </w:rPr>
        <w:t xml:space="preserve">. </w:t>
      </w:r>
      <w:r w:rsidR="004B6DD1" w:rsidRPr="00D42B1B">
        <w:rPr>
          <w:rFonts w:cs="Arial"/>
          <w:szCs w:val="20"/>
        </w:rPr>
        <w:t>L’axe 1 portera sur le ren</w:t>
      </w:r>
      <w:r w:rsidR="004B6DD1" w:rsidRPr="00D42B1B">
        <w:rPr>
          <w:rFonts w:cs="Arial"/>
          <w:szCs w:val="20"/>
        </w:rPr>
        <w:softHyphen/>
        <w:t>for</w:t>
      </w:r>
      <w:r w:rsidR="004B6DD1" w:rsidRPr="00D42B1B">
        <w:rPr>
          <w:rFonts w:cs="Arial"/>
          <w:szCs w:val="20"/>
        </w:rPr>
        <w:softHyphen/>
        <w:t>ce</w:t>
      </w:r>
      <w:r w:rsidR="004B6DD1" w:rsidRPr="00D42B1B">
        <w:rPr>
          <w:rFonts w:cs="Arial"/>
          <w:szCs w:val="20"/>
        </w:rPr>
        <w:softHyphen/>
        <w:t>ment durable de la sou</w:t>
      </w:r>
      <w:r w:rsidR="004B6DD1" w:rsidRPr="00D42B1B">
        <w:rPr>
          <w:rFonts w:cs="Arial"/>
          <w:szCs w:val="20"/>
        </w:rPr>
        <w:softHyphen/>
        <w:t>ve</w:t>
      </w:r>
      <w:r w:rsidR="004B6DD1" w:rsidRPr="00D42B1B">
        <w:rPr>
          <w:rFonts w:cs="Arial"/>
          <w:szCs w:val="20"/>
        </w:rPr>
        <w:softHyphen/>
        <w:t>rai</w:t>
      </w:r>
      <w:r w:rsidR="004B6DD1" w:rsidRPr="00D42B1B">
        <w:rPr>
          <w:rFonts w:cs="Arial"/>
          <w:szCs w:val="20"/>
        </w:rPr>
        <w:softHyphen/>
        <w:t>neté et de la sécu</w:t>
      </w:r>
      <w:r w:rsidR="004B6DD1" w:rsidRPr="00D42B1B">
        <w:rPr>
          <w:rFonts w:cs="Arial"/>
          <w:szCs w:val="20"/>
        </w:rPr>
        <w:softHyphen/>
        <w:t>rité ali</w:t>
      </w:r>
      <w:r w:rsidR="004B6DD1" w:rsidRPr="00D42B1B">
        <w:rPr>
          <w:rFonts w:cs="Arial"/>
          <w:szCs w:val="20"/>
        </w:rPr>
        <w:softHyphen/>
        <w:t>men</w:t>
      </w:r>
      <w:r w:rsidR="004B6DD1" w:rsidRPr="00D42B1B">
        <w:rPr>
          <w:rFonts w:cs="Arial"/>
          <w:szCs w:val="20"/>
        </w:rPr>
        <w:softHyphen/>
        <w:t xml:space="preserve">taire du pays. </w:t>
      </w:r>
      <w:r w:rsidR="00750858" w:rsidRPr="00D42B1B">
        <w:rPr>
          <w:rFonts w:cs="Arial"/>
          <w:szCs w:val="20"/>
        </w:rPr>
        <w:t>Pour le ministre,</w:t>
      </w:r>
      <w:r w:rsidR="004B6DD1" w:rsidRPr="00D42B1B">
        <w:rPr>
          <w:rFonts w:cs="Arial"/>
          <w:szCs w:val="20"/>
        </w:rPr>
        <w:t xml:space="preserve"> </w:t>
      </w:r>
      <w:r w:rsidR="00750858" w:rsidRPr="00D42B1B">
        <w:rPr>
          <w:rFonts w:cs="Arial"/>
          <w:szCs w:val="20"/>
        </w:rPr>
        <w:t>i</w:t>
      </w:r>
      <w:r w:rsidR="004B6DD1" w:rsidRPr="00D42B1B">
        <w:rPr>
          <w:rFonts w:cs="Arial"/>
          <w:szCs w:val="20"/>
        </w:rPr>
        <w:t>l s’agit de pro</w:t>
      </w:r>
      <w:r w:rsidR="004B6DD1" w:rsidRPr="00D42B1B">
        <w:rPr>
          <w:rFonts w:cs="Arial"/>
          <w:szCs w:val="20"/>
        </w:rPr>
        <w:softHyphen/>
        <w:t xml:space="preserve">duire ce que </w:t>
      </w:r>
      <w:r w:rsidR="00750858" w:rsidRPr="00D42B1B">
        <w:rPr>
          <w:rFonts w:cs="Arial"/>
          <w:szCs w:val="20"/>
        </w:rPr>
        <w:t xml:space="preserve">le pays </w:t>
      </w:r>
      <w:r w:rsidR="004B6DD1" w:rsidRPr="00D42B1B">
        <w:rPr>
          <w:rFonts w:cs="Arial"/>
          <w:szCs w:val="20"/>
        </w:rPr>
        <w:t>consom</w:t>
      </w:r>
      <w:r w:rsidR="004B6DD1" w:rsidRPr="00D42B1B">
        <w:rPr>
          <w:rFonts w:cs="Arial"/>
          <w:szCs w:val="20"/>
        </w:rPr>
        <w:softHyphen/>
        <w:t>m</w:t>
      </w:r>
      <w:r w:rsidR="00750858" w:rsidRPr="00D42B1B">
        <w:rPr>
          <w:rFonts w:cs="Arial"/>
          <w:szCs w:val="20"/>
        </w:rPr>
        <w:t>e</w:t>
      </w:r>
      <w:r w:rsidR="004B6DD1" w:rsidRPr="00D42B1B">
        <w:rPr>
          <w:rFonts w:cs="Arial"/>
          <w:szCs w:val="20"/>
        </w:rPr>
        <w:t xml:space="preserve"> et de consom</w:t>
      </w:r>
      <w:r w:rsidR="004B6DD1" w:rsidRPr="00D42B1B">
        <w:rPr>
          <w:rFonts w:cs="Arial"/>
          <w:szCs w:val="20"/>
        </w:rPr>
        <w:softHyphen/>
        <w:t>mer ce que</w:t>
      </w:r>
      <w:r w:rsidR="00750858" w:rsidRPr="00D42B1B">
        <w:rPr>
          <w:rFonts w:cs="Arial"/>
          <w:szCs w:val="20"/>
        </w:rPr>
        <w:t xml:space="preserve"> le pays produit</w:t>
      </w:r>
      <w:r w:rsidR="004B6DD1" w:rsidRPr="00D42B1B">
        <w:rPr>
          <w:rFonts w:cs="Arial"/>
          <w:szCs w:val="20"/>
        </w:rPr>
        <w:t>. L’axe 2 concerne</w:t>
      </w:r>
      <w:r w:rsidR="00750858" w:rsidRPr="00D42B1B">
        <w:rPr>
          <w:rFonts w:cs="Arial"/>
          <w:szCs w:val="20"/>
        </w:rPr>
        <w:t>ra</w:t>
      </w:r>
      <w:r w:rsidR="004B6DD1" w:rsidRPr="00D42B1B">
        <w:rPr>
          <w:rFonts w:cs="Arial"/>
          <w:szCs w:val="20"/>
        </w:rPr>
        <w:t xml:space="preserve"> la construc</w:t>
      </w:r>
      <w:r w:rsidR="004B6DD1" w:rsidRPr="00D42B1B">
        <w:rPr>
          <w:rFonts w:cs="Arial"/>
          <w:szCs w:val="20"/>
        </w:rPr>
        <w:softHyphen/>
        <w:t>tion d’une agri</w:t>
      </w:r>
      <w:r w:rsidR="004B6DD1" w:rsidRPr="00D42B1B">
        <w:rPr>
          <w:rFonts w:cs="Arial"/>
          <w:szCs w:val="20"/>
        </w:rPr>
        <w:softHyphen/>
        <w:t>cul</w:t>
      </w:r>
      <w:r w:rsidR="004B6DD1" w:rsidRPr="00D42B1B">
        <w:rPr>
          <w:rFonts w:cs="Arial"/>
          <w:szCs w:val="20"/>
        </w:rPr>
        <w:softHyphen/>
        <w:t>ture moderne et com</w:t>
      </w:r>
      <w:r w:rsidR="004B6DD1" w:rsidRPr="00D42B1B">
        <w:rPr>
          <w:rFonts w:cs="Arial"/>
          <w:szCs w:val="20"/>
        </w:rPr>
        <w:softHyphen/>
        <w:t>pé</w:t>
      </w:r>
      <w:r w:rsidR="004B6DD1" w:rsidRPr="00D42B1B">
        <w:rPr>
          <w:rFonts w:cs="Arial"/>
          <w:szCs w:val="20"/>
        </w:rPr>
        <w:softHyphen/>
        <w:t>ti</w:t>
      </w:r>
      <w:r w:rsidR="004B6DD1" w:rsidRPr="00D42B1B">
        <w:rPr>
          <w:rFonts w:cs="Arial"/>
          <w:szCs w:val="20"/>
        </w:rPr>
        <w:softHyphen/>
        <w:t>tive. Ce volet com</w:t>
      </w:r>
      <w:r w:rsidR="004B6DD1" w:rsidRPr="00D42B1B">
        <w:rPr>
          <w:rFonts w:cs="Arial"/>
          <w:szCs w:val="20"/>
        </w:rPr>
        <w:softHyphen/>
        <w:t>prend plu</w:t>
      </w:r>
      <w:r w:rsidR="004B6DD1" w:rsidRPr="00D42B1B">
        <w:rPr>
          <w:rFonts w:cs="Arial"/>
          <w:szCs w:val="20"/>
        </w:rPr>
        <w:softHyphen/>
        <w:t>sieurs d’actions. Notam</w:t>
      </w:r>
      <w:r w:rsidR="004B6DD1" w:rsidRPr="00D42B1B">
        <w:rPr>
          <w:rFonts w:cs="Arial"/>
          <w:szCs w:val="20"/>
        </w:rPr>
        <w:softHyphen/>
        <w:t>ment la maî</w:t>
      </w:r>
      <w:r w:rsidR="004B6DD1" w:rsidRPr="00D42B1B">
        <w:rPr>
          <w:rFonts w:cs="Arial"/>
          <w:szCs w:val="20"/>
        </w:rPr>
        <w:softHyphen/>
        <w:t>trise de l’eau, la for</w:t>
      </w:r>
      <w:r w:rsidR="004B6DD1" w:rsidRPr="00D42B1B">
        <w:rPr>
          <w:rFonts w:cs="Arial"/>
          <w:szCs w:val="20"/>
        </w:rPr>
        <w:softHyphen/>
        <w:t>ma</w:t>
      </w:r>
      <w:r w:rsidR="004B6DD1" w:rsidRPr="00D42B1B">
        <w:rPr>
          <w:rFonts w:cs="Arial"/>
          <w:szCs w:val="20"/>
        </w:rPr>
        <w:softHyphen/>
        <w:t>tion du capi</w:t>
      </w:r>
      <w:r w:rsidR="004B6DD1" w:rsidRPr="00D42B1B">
        <w:rPr>
          <w:rFonts w:cs="Arial"/>
          <w:szCs w:val="20"/>
        </w:rPr>
        <w:softHyphen/>
        <w:t>tal humain, la méca</w:t>
      </w:r>
      <w:r w:rsidR="004B6DD1" w:rsidRPr="00D42B1B">
        <w:rPr>
          <w:rFonts w:cs="Arial"/>
          <w:szCs w:val="20"/>
        </w:rPr>
        <w:softHyphen/>
        <w:t>ni</w:t>
      </w:r>
      <w:r w:rsidR="004B6DD1" w:rsidRPr="00D42B1B">
        <w:rPr>
          <w:rFonts w:cs="Arial"/>
          <w:szCs w:val="20"/>
        </w:rPr>
        <w:softHyphen/>
        <w:t>sa</w:t>
      </w:r>
      <w:r w:rsidR="004B6DD1" w:rsidRPr="00D42B1B">
        <w:rPr>
          <w:rFonts w:cs="Arial"/>
          <w:szCs w:val="20"/>
        </w:rPr>
        <w:softHyphen/>
        <w:t>tion, les semences per</w:t>
      </w:r>
      <w:r w:rsidR="004B6DD1" w:rsidRPr="00D42B1B">
        <w:rPr>
          <w:rFonts w:cs="Arial"/>
          <w:szCs w:val="20"/>
        </w:rPr>
        <w:softHyphen/>
        <w:t>for</w:t>
      </w:r>
      <w:r w:rsidR="004B6DD1" w:rsidRPr="00D42B1B">
        <w:rPr>
          <w:rFonts w:cs="Arial"/>
          <w:szCs w:val="20"/>
        </w:rPr>
        <w:softHyphen/>
        <w:t>mantes, la recherche, les engrais, les outils digi</w:t>
      </w:r>
      <w:r w:rsidR="004B6DD1" w:rsidRPr="00D42B1B">
        <w:rPr>
          <w:rFonts w:cs="Arial"/>
          <w:szCs w:val="20"/>
        </w:rPr>
        <w:softHyphen/>
        <w:t>taux et la trans</w:t>
      </w:r>
      <w:r w:rsidR="004B6DD1" w:rsidRPr="00D42B1B">
        <w:rPr>
          <w:rFonts w:cs="Arial"/>
          <w:szCs w:val="20"/>
        </w:rPr>
        <w:softHyphen/>
        <w:t>for</w:t>
      </w:r>
      <w:r w:rsidR="004B6DD1" w:rsidRPr="00D42B1B">
        <w:rPr>
          <w:rFonts w:cs="Arial"/>
          <w:szCs w:val="20"/>
        </w:rPr>
        <w:softHyphen/>
        <w:t>ma</w:t>
      </w:r>
      <w:r w:rsidR="004B6DD1" w:rsidRPr="00D42B1B">
        <w:rPr>
          <w:rFonts w:cs="Arial"/>
          <w:szCs w:val="20"/>
        </w:rPr>
        <w:softHyphen/>
        <w:t xml:space="preserve">tion. L’axe 3 </w:t>
      </w:r>
      <w:r w:rsidR="00750858" w:rsidRPr="00D42B1B">
        <w:rPr>
          <w:rFonts w:cs="Arial"/>
          <w:szCs w:val="20"/>
        </w:rPr>
        <w:t xml:space="preserve">devra </w:t>
      </w:r>
      <w:r w:rsidR="004B6DD1" w:rsidRPr="00D42B1B">
        <w:rPr>
          <w:rFonts w:cs="Arial"/>
          <w:szCs w:val="20"/>
        </w:rPr>
        <w:t>prend</w:t>
      </w:r>
      <w:r w:rsidR="00750858" w:rsidRPr="00D42B1B">
        <w:rPr>
          <w:rFonts w:cs="Arial"/>
          <w:szCs w:val="20"/>
        </w:rPr>
        <w:t>re</w:t>
      </w:r>
      <w:r w:rsidR="004B6DD1" w:rsidRPr="00D42B1B">
        <w:rPr>
          <w:rFonts w:cs="Arial"/>
          <w:szCs w:val="20"/>
        </w:rPr>
        <w:t xml:space="preserve"> en compte le ren</w:t>
      </w:r>
      <w:r w:rsidR="004B6DD1" w:rsidRPr="00D42B1B">
        <w:rPr>
          <w:rFonts w:cs="Arial"/>
          <w:szCs w:val="20"/>
        </w:rPr>
        <w:softHyphen/>
        <w:t>for</w:t>
      </w:r>
      <w:r w:rsidR="004B6DD1" w:rsidRPr="00D42B1B">
        <w:rPr>
          <w:rFonts w:cs="Arial"/>
          <w:szCs w:val="20"/>
        </w:rPr>
        <w:softHyphen/>
        <w:t>ce</w:t>
      </w:r>
      <w:r w:rsidR="004B6DD1" w:rsidRPr="00D42B1B">
        <w:rPr>
          <w:rFonts w:cs="Arial"/>
          <w:szCs w:val="20"/>
        </w:rPr>
        <w:softHyphen/>
        <w:t>ment des méca</w:t>
      </w:r>
      <w:r w:rsidR="004B6DD1" w:rsidRPr="00D42B1B">
        <w:rPr>
          <w:rFonts w:cs="Arial"/>
          <w:szCs w:val="20"/>
        </w:rPr>
        <w:softHyphen/>
        <w:t>nismes de financement. Pour le ministre, cela est néces</w:t>
      </w:r>
      <w:r w:rsidR="004B6DD1" w:rsidRPr="00D42B1B">
        <w:rPr>
          <w:rFonts w:cs="Arial"/>
          <w:szCs w:val="20"/>
        </w:rPr>
        <w:softHyphen/>
        <w:t>saire pour le chan</w:t>
      </w:r>
      <w:r w:rsidR="004B6DD1" w:rsidRPr="00D42B1B">
        <w:rPr>
          <w:rFonts w:cs="Arial"/>
          <w:szCs w:val="20"/>
        </w:rPr>
        <w:softHyphen/>
        <w:t>ge</w:t>
      </w:r>
      <w:r w:rsidR="004B6DD1" w:rsidRPr="00D42B1B">
        <w:rPr>
          <w:rFonts w:cs="Arial"/>
          <w:szCs w:val="20"/>
        </w:rPr>
        <w:softHyphen/>
        <w:t>ment d’échelle et de génération sou</w:t>
      </w:r>
      <w:r w:rsidR="004B6DD1" w:rsidRPr="00D42B1B">
        <w:rPr>
          <w:rFonts w:cs="Arial"/>
          <w:szCs w:val="20"/>
        </w:rPr>
        <w:softHyphen/>
        <w:t>haité par le gou</w:t>
      </w:r>
      <w:r w:rsidR="004B6DD1" w:rsidRPr="00D42B1B">
        <w:rPr>
          <w:rFonts w:cs="Arial"/>
          <w:szCs w:val="20"/>
        </w:rPr>
        <w:softHyphen/>
        <w:t>ver</w:t>
      </w:r>
      <w:r w:rsidR="004B6DD1" w:rsidRPr="00D42B1B">
        <w:rPr>
          <w:rFonts w:cs="Arial"/>
          <w:szCs w:val="20"/>
        </w:rPr>
        <w:softHyphen/>
        <w:t>ne</w:t>
      </w:r>
      <w:r w:rsidR="004B6DD1" w:rsidRPr="00D42B1B">
        <w:rPr>
          <w:rFonts w:cs="Arial"/>
          <w:szCs w:val="20"/>
        </w:rPr>
        <w:softHyphen/>
        <w:t>ment. L’axe 4</w:t>
      </w:r>
      <w:r w:rsidR="00750858" w:rsidRPr="00D42B1B">
        <w:rPr>
          <w:rFonts w:cs="Arial"/>
          <w:szCs w:val="20"/>
        </w:rPr>
        <w:t xml:space="preserve"> sera</w:t>
      </w:r>
      <w:r w:rsidR="004B6DD1" w:rsidRPr="00D42B1B">
        <w:rPr>
          <w:rFonts w:cs="Arial"/>
          <w:szCs w:val="20"/>
        </w:rPr>
        <w:t xml:space="preserve"> lié à l’accé</w:t>
      </w:r>
      <w:r w:rsidR="004B6DD1" w:rsidRPr="00D42B1B">
        <w:rPr>
          <w:rFonts w:cs="Arial"/>
          <w:szCs w:val="20"/>
        </w:rPr>
        <w:softHyphen/>
        <w:t>lé</w:t>
      </w:r>
      <w:r w:rsidR="004B6DD1" w:rsidRPr="00D42B1B">
        <w:rPr>
          <w:rFonts w:cs="Arial"/>
          <w:szCs w:val="20"/>
        </w:rPr>
        <w:softHyphen/>
        <w:t>ra</w:t>
      </w:r>
      <w:r w:rsidR="004B6DD1" w:rsidRPr="00D42B1B">
        <w:rPr>
          <w:rFonts w:cs="Arial"/>
          <w:szCs w:val="20"/>
        </w:rPr>
        <w:softHyphen/>
        <w:t>tion de la sécu</w:t>
      </w:r>
      <w:r w:rsidR="004B6DD1" w:rsidRPr="00D42B1B">
        <w:rPr>
          <w:rFonts w:cs="Arial"/>
          <w:szCs w:val="20"/>
        </w:rPr>
        <w:softHyphen/>
        <w:t>ri</w:t>
      </w:r>
      <w:r w:rsidR="004B6DD1" w:rsidRPr="00D42B1B">
        <w:rPr>
          <w:rFonts w:cs="Arial"/>
          <w:szCs w:val="20"/>
        </w:rPr>
        <w:softHyphen/>
        <w:t>sa</w:t>
      </w:r>
      <w:r w:rsidR="004B6DD1" w:rsidRPr="00D42B1B">
        <w:rPr>
          <w:rFonts w:cs="Arial"/>
          <w:szCs w:val="20"/>
        </w:rPr>
        <w:softHyphen/>
        <w:t>tion du fon</w:t>
      </w:r>
      <w:r w:rsidR="004B6DD1" w:rsidRPr="00D42B1B">
        <w:rPr>
          <w:rFonts w:cs="Arial"/>
          <w:szCs w:val="20"/>
        </w:rPr>
        <w:softHyphen/>
        <w:t xml:space="preserve">cier rural. L’axe 5 </w:t>
      </w:r>
      <w:r w:rsidR="00750858" w:rsidRPr="00D42B1B">
        <w:rPr>
          <w:rFonts w:cs="Arial"/>
          <w:szCs w:val="20"/>
        </w:rPr>
        <w:t>sera</w:t>
      </w:r>
      <w:r w:rsidR="004B6DD1" w:rsidRPr="00D42B1B">
        <w:rPr>
          <w:rFonts w:cs="Arial"/>
          <w:szCs w:val="20"/>
        </w:rPr>
        <w:t xml:space="preserve"> rela</w:t>
      </w:r>
      <w:r w:rsidR="004B6DD1" w:rsidRPr="00D42B1B">
        <w:rPr>
          <w:rFonts w:cs="Arial"/>
          <w:szCs w:val="20"/>
        </w:rPr>
        <w:softHyphen/>
        <w:t>tif à la dura</w:t>
      </w:r>
      <w:r w:rsidR="004B6DD1" w:rsidRPr="00D42B1B">
        <w:rPr>
          <w:rFonts w:cs="Arial"/>
          <w:szCs w:val="20"/>
        </w:rPr>
        <w:softHyphen/>
        <w:t>bi</w:t>
      </w:r>
      <w:r w:rsidR="004B6DD1" w:rsidRPr="00D42B1B">
        <w:rPr>
          <w:rFonts w:cs="Arial"/>
          <w:szCs w:val="20"/>
        </w:rPr>
        <w:softHyphen/>
        <w:t>lité et la rési</w:t>
      </w:r>
      <w:r w:rsidR="004B6DD1" w:rsidRPr="00D42B1B">
        <w:rPr>
          <w:rFonts w:cs="Arial"/>
          <w:szCs w:val="20"/>
        </w:rPr>
        <w:softHyphen/>
        <w:t>lience face au chan</w:t>
      </w:r>
      <w:r w:rsidR="004B6DD1" w:rsidRPr="00D42B1B">
        <w:rPr>
          <w:rFonts w:cs="Arial"/>
          <w:szCs w:val="20"/>
        </w:rPr>
        <w:softHyphen/>
        <w:t>ge</w:t>
      </w:r>
      <w:r w:rsidR="004B6DD1" w:rsidRPr="00D42B1B">
        <w:rPr>
          <w:rFonts w:cs="Arial"/>
          <w:szCs w:val="20"/>
        </w:rPr>
        <w:softHyphen/>
        <w:t>ment cli</w:t>
      </w:r>
      <w:r w:rsidR="004B6DD1" w:rsidRPr="00D42B1B">
        <w:rPr>
          <w:rFonts w:cs="Arial"/>
          <w:szCs w:val="20"/>
        </w:rPr>
        <w:softHyphen/>
        <w:t>ma</w:t>
      </w:r>
      <w:r w:rsidR="004B6DD1" w:rsidRPr="00D42B1B">
        <w:rPr>
          <w:rFonts w:cs="Arial"/>
          <w:szCs w:val="20"/>
        </w:rPr>
        <w:softHyphen/>
        <w:t>tique.</w:t>
      </w:r>
      <w:r w:rsidR="00750858" w:rsidRPr="00D42B1B">
        <w:rPr>
          <w:rFonts w:cs="Arial"/>
          <w:szCs w:val="20"/>
        </w:rPr>
        <w:t xml:space="preserve"> Il a à ce titre évoqué la valorisation </w:t>
      </w:r>
      <w:r w:rsidR="004B6DD1" w:rsidRPr="00D42B1B">
        <w:rPr>
          <w:rFonts w:cs="Arial"/>
          <w:szCs w:val="20"/>
        </w:rPr>
        <w:t>de nom</w:t>
      </w:r>
      <w:r w:rsidR="004B6DD1" w:rsidRPr="00D42B1B">
        <w:rPr>
          <w:rFonts w:cs="Arial"/>
          <w:szCs w:val="20"/>
        </w:rPr>
        <w:softHyphen/>
        <w:t>breux co-pro</w:t>
      </w:r>
      <w:r w:rsidR="004B6DD1" w:rsidRPr="00D42B1B">
        <w:rPr>
          <w:rFonts w:cs="Arial"/>
          <w:szCs w:val="20"/>
        </w:rPr>
        <w:softHyphen/>
        <w:t>duits, et sous-pro</w:t>
      </w:r>
      <w:r w:rsidR="004B6DD1" w:rsidRPr="00D42B1B">
        <w:rPr>
          <w:rFonts w:cs="Arial"/>
          <w:szCs w:val="20"/>
        </w:rPr>
        <w:softHyphen/>
        <w:t>duits et des déchets qui peuvent être trai</w:t>
      </w:r>
      <w:r w:rsidR="004B6DD1" w:rsidRPr="00D42B1B">
        <w:rPr>
          <w:rFonts w:cs="Arial"/>
          <w:szCs w:val="20"/>
        </w:rPr>
        <w:softHyphen/>
        <w:t>tés.</w:t>
      </w:r>
    </w:p>
    <w:bookmarkEnd w:id="51"/>
    <w:p w14:paraId="7CD585AF" w14:textId="77777777" w:rsidR="00266A92" w:rsidRPr="00D42B1B" w:rsidRDefault="00266A92" w:rsidP="00266A92">
      <w:pPr>
        <w:shd w:val="clear" w:color="auto" w:fill="FFFFFF"/>
        <w:spacing w:after="0" w:line="276" w:lineRule="auto"/>
        <w:rPr>
          <w:rFonts w:eastAsia="Times New Roman" w:cs="Arial"/>
          <w:color w:val="444444"/>
          <w:szCs w:val="20"/>
          <w:lang w:eastAsia="fr-FR"/>
        </w:rPr>
      </w:pPr>
    </w:p>
    <w:p w14:paraId="58A063AB" w14:textId="2299AF78" w:rsidR="006107EC" w:rsidRPr="00D42B1B" w:rsidRDefault="006107EC" w:rsidP="002A1C33">
      <w:pPr>
        <w:pStyle w:val="Titre2"/>
        <w:spacing w:before="0"/>
        <w:rPr>
          <w:rFonts w:eastAsiaTheme="minorHAnsi"/>
        </w:rPr>
      </w:pPr>
      <w:bookmarkStart w:id="52" w:name="_Toc233878677"/>
      <w:r w:rsidRPr="00D42B1B">
        <w:rPr>
          <w:rFonts w:eastAsia="Times New Roman" w:cs="Arial"/>
          <w:color w:val="444444"/>
          <w:szCs w:val="20"/>
          <w:lang w:eastAsia="fr-FR"/>
        </w:rPr>
        <w:t>Sécurité alimentaire –</w:t>
      </w:r>
      <w:r w:rsidR="00A97987" w:rsidRPr="00D42B1B">
        <w:rPr>
          <w:rFonts w:eastAsia="Times New Roman" w:cs="Arial"/>
          <w:color w:val="444444"/>
          <w:szCs w:val="20"/>
          <w:lang w:eastAsia="fr-FR"/>
        </w:rPr>
        <w:t xml:space="preserve"> Evaluat</w:t>
      </w:r>
      <w:r w:rsidRPr="00D42B1B">
        <w:rPr>
          <w:rFonts w:eastAsia="Times New Roman" w:cs="Arial"/>
          <w:color w:val="444444"/>
          <w:szCs w:val="20"/>
          <w:lang w:eastAsia="fr-FR"/>
        </w:rPr>
        <w:t>ion du Projet de renforcement des moyens de subsistance des petits exploitants et des femmes (PREMOPEF).</w:t>
      </w:r>
      <w:bookmarkEnd w:id="52"/>
    </w:p>
    <w:p w14:paraId="187A9B2C" w14:textId="57426217" w:rsidR="008F5C3E" w:rsidRPr="00D42B1B" w:rsidRDefault="006107EC" w:rsidP="006107EC">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Les différents acteurs intervenant dans la mise en œuvre du </w:t>
      </w:r>
      <w:bookmarkStart w:id="53" w:name="_Hlk232251359"/>
      <w:r w:rsidRPr="00D42B1B">
        <w:rPr>
          <w:rFonts w:eastAsia="Times New Roman" w:cs="Arial"/>
          <w:color w:val="444444"/>
          <w:szCs w:val="20"/>
          <w:lang w:eastAsia="fr-FR"/>
        </w:rPr>
        <w:t>PREMOPEF</w:t>
      </w:r>
      <w:bookmarkEnd w:id="53"/>
      <w:r w:rsidR="002C1C5B" w:rsidRPr="00D42B1B">
        <w:rPr>
          <w:rFonts w:eastAsia="Times New Roman" w:cs="Arial"/>
          <w:color w:val="444444"/>
          <w:szCs w:val="20"/>
          <w:lang w:eastAsia="fr-FR"/>
        </w:rPr>
        <w:t xml:space="preserve"> </w:t>
      </w:r>
      <w:r w:rsidRPr="00D42B1B">
        <w:rPr>
          <w:rFonts w:eastAsia="Times New Roman" w:cs="Arial"/>
          <w:color w:val="444444"/>
          <w:szCs w:val="20"/>
          <w:lang w:eastAsia="fr-FR"/>
        </w:rPr>
        <w:t>ont exprimé</w:t>
      </w:r>
      <w:r w:rsidR="002C1C5B" w:rsidRPr="00D42B1B">
        <w:rPr>
          <w:rFonts w:eastAsia="Times New Roman" w:cs="Arial"/>
          <w:color w:val="444444"/>
          <w:szCs w:val="20"/>
          <w:lang w:eastAsia="fr-FR"/>
        </w:rPr>
        <w:t xml:space="preserve"> </w:t>
      </w:r>
      <w:r w:rsidRPr="00D42B1B">
        <w:rPr>
          <w:rFonts w:eastAsia="Times New Roman" w:cs="Arial"/>
          <w:color w:val="444444"/>
          <w:szCs w:val="20"/>
          <w:lang w:eastAsia="fr-FR"/>
        </w:rPr>
        <w:t>leur satisf</w:t>
      </w:r>
      <w:r w:rsidR="002C1C5B" w:rsidRPr="00D42B1B">
        <w:rPr>
          <w:rFonts w:eastAsia="Times New Roman" w:cs="Arial"/>
          <w:color w:val="444444"/>
          <w:szCs w:val="20"/>
          <w:lang w:eastAsia="fr-FR"/>
        </w:rPr>
        <w:t xml:space="preserve">action </w:t>
      </w:r>
      <w:r w:rsidRPr="00D42B1B">
        <w:rPr>
          <w:rFonts w:eastAsia="Times New Roman" w:cs="Arial"/>
          <w:color w:val="444444"/>
          <w:szCs w:val="20"/>
          <w:lang w:eastAsia="fr-FR"/>
        </w:rPr>
        <w:t xml:space="preserve">à l’issue de la mission de supervision </w:t>
      </w:r>
      <w:r w:rsidR="002C1C5B" w:rsidRPr="00D42B1B">
        <w:rPr>
          <w:rFonts w:eastAsia="Times New Roman" w:cs="Arial"/>
          <w:color w:val="444444"/>
          <w:szCs w:val="20"/>
          <w:lang w:eastAsia="fr-FR"/>
        </w:rPr>
        <w:t>menée par la B</w:t>
      </w:r>
      <w:r w:rsidR="00A97987" w:rsidRPr="00D42B1B">
        <w:rPr>
          <w:rFonts w:eastAsia="Times New Roman" w:cs="Arial"/>
          <w:color w:val="444444"/>
          <w:szCs w:val="20"/>
          <w:lang w:eastAsia="fr-FR"/>
        </w:rPr>
        <w:t>anque africaine de développement</w:t>
      </w:r>
      <w:r w:rsidR="002C1C5B" w:rsidRPr="00D42B1B">
        <w:rPr>
          <w:rFonts w:eastAsia="Times New Roman" w:cs="Arial"/>
          <w:color w:val="444444"/>
          <w:szCs w:val="20"/>
          <w:lang w:eastAsia="fr-FR"/>
        </w:rPr>
        <w:t xml:space="preserve"> et le </w:t>
      </w:r>
      <w:r w:rsidR="00A97987" w:rsidRPr="00D42B1B">
        <w:rPr>
          <w:rFonts w:eastAsia="Times New Roman" w:cs="Arial"/>
          <w:color w:val="444444"/>
          <w:szCs w:val="20"/>
          <w:lang w:eastAsia="fr-FR"/>
        </w:rPr>
        <w:t>P</w:t>
      </w:r>
      <w:r w:rsidR="002C1C5B" w:rsidRPr="00D42B1B">
        <w:rPr>
          <w:rFonts w:eastAsia="Times New Roman" w:cs="Arial"/>
          <w:color w:val="444444"/>
          <w:szCs w:val="20"/>
          <w:lang w:eastAsia="fr-FR"/>
        </w:rPr>
        <w:t xml:space="preserve">rogramme mondial pour l’agriculture et la sécurité alimentaire qui s’est déroulée du 3 au 11 juin dans les trois départements de Dimbokro, </w:t>
      </w:r>
      <w:proofErr w:type="spellStart"/>
      <w:r w:rsidR="002C1C5B" w:rsidRPr="00D42B1B">
        <w:rPr>
          <w:rFonts w:eastAsia="Times New Roman" w:cs="Arial"/>
          <w:color w:val="444444"/>
          <w:szCs w:val="20"/>
          <w:lang w:eastAsia="fr-FR"/>
        </w:rPr>
        <w:t>Bocanda</w:t>
      </w:r>
      <w:proofErr w:type="spellEnd"/>
      <w:r w:rsidR="002C1C5B" w:rsidRPr="00D42B1B">
        <w:rPr>
          <w:rFonts w:eastAsia="Times New Roman" w:cs="Arial"/>
          <w:color w:val="444444"/>
          <w:szCs w:val="20"/>
          <w:lang w:eastAsia="fr-FR"/>
        </w:rPr>
        <w:t xml:space="preserve"> et Kouassi</w:t>
      </w:r>
      <w:r w:rsidR="00A97987" w:rsidRPr="00D42B1B">
        <w:rPr>
          <w:rFonts w:eastAsia="Times New Roman" w:cs="Arial"/>
          <w:color w:val="444444"/>
          <w:szCs w:val="20"/>
          <w:lang w:eastAsia="fr-FR"/>
        </w:rPr>
        <w:t>-</w:t>
      </w:r>
      <w:proofErr w:type="spellStart"/>
      <w:r w:rsidR="002C1C5B" w:rsidRPr="00D42B1B">
        <w:rPr>
          <w:rFonts w:eastAsia="Times New Roman" w:cs="Arial"/>
          <w:color w:val="444444"/>
          <w:szCs w:val="20"/>
          <w:lang w:eastAsia="fr-FR"/>
        </w:rPr>
        <w:t>Kouassikro</w:t>
      </w:r>
      <w:proofErr w:type="spellEnd"/>
      <w:r w:rsidR="002C1C5B" w:rsidRPr="00D42B1B">
        <w:rPr>
          <w:rFonts w:eastAsia="Times New Roman" w:cs="Arial"/>
          <w:color w:val="444444"/>
          <w:szCs w:val="20"/>
          <w:lang w:eastAsia="fr-FR"/>
        </w:rPr>
        <w:t>.</w:t>
      </w:r>
      <w:r w:rsidR="0082422A" w:rsidRPr="00D42B1B">
        <w:rPr>
          <w:rFonts w:eastAsia="Times New Roman" w:cs="Arial"/>
          <w:color w:val="444444"/>
          <w:szCs w:val="20"/>
          <w:lang w:eastAsia="fr-FR"/>
        </w:rPr>
        <w:t xml:space="preserve"> </w:t>
      </w:r>
      <w:r w:rsidRPr="00D42B1B">
        <w:rPr>
          <w:rFonts w:eastAsia="Times New Roman" w:cs="Arial"/>
          <w:color w:val="444444"/>
          <w:szCs w:val="20"/>
          <w:lang w:eastAsia="fr-FR"/>
        </w:rPr>
        <w:t>A</w:t>
      </w:r>
      <w:r w:rsidR="0082422A" w:rsidRPr="00D42B1B">
        <w:rPr>
          <w:rFonts w:eastAsia="Times New Roman" w:cs="Arial"/>
          <w:color w:val="444444"/>
          <w:szCs w:val="20"/>
          <w:lang w:eastAsia="fr-FR"/>
        </w:rPr>
        <w:t>insi, a</w:t>
      </w:r>
      <w:r w:rsidRPr="00D42B1B">
        <w:rPr>
          <w:rFonts w:eastAsia="Times New Roman" w:cs="Arial"/>
          <w:color w:val="444444"/>
          <w:szCs w:val="20"/>
          <w:lang w:eastAsia="fr-FR"/>
        </w:rPr>
        <w:t>près quatre années de mise en œuvre</w:t>
      </w:r>
      <w:r w:rsidR="0082422A" w:rsidRPr="00D42B1B">
        <w:rPr>
          <w:rFonts w:eastAsia="Times New Roman" w:cs="Arial"/>
          <w:color w:val="444444"/>
          <w:szCs w:val="20"/>
          <w:lang w:eastAsia="fr-FR"/>
        </w:rPr>
        <w:t xml:space="preserve"> dans le département de Dimbokro</w:t>
      </w:r>
      <w:r w:rsidRPr="00D42B1B">
        <w:rPr>
          <w:rFonts w:eastAsia="Times New Roman" w:cs="Arial"/>
          <w:color w:val="444444"/>
          <w:szCs w:val="20"/>
          <w:lang w:eastAsia="fr-FR"/>
        </w:rPr>
        <w:t xml:space="preserve">, </w:t>
      </w:r>
      <w:r w:rsidR="0082422A" w:rsidRPr="00D42B1B">
        <w:rPr>
          <w:rFonts w:eastAsia="Times New Roman" w:cs="Arial"/>
          <w:color w:val="444444"/>
          <w:szCs w:val="20"/>
          <w:lang w:eastAsia="fr-FR"/>
        </w:rPr>
        <w:t xml:space="preserve">ce sont </w:t>
      </w:r>
      <w:r w:rsidRPr="00D42B1B">
        <w:rPr>
          <w:rFonts w:eastAsia="Times New Roman" w:cs="Arial"/>
          <w:color w:val="444444"/>
          <w:szCs w:val="20"/>
          <w:lang w:eastAsia="fr-FR"/>
        </w:rPr>
        <w:t>64 champs école paysans</w:t>
      </w:r>
      <w:r w:rsidR="0082422A" w:rsidRPr="00D42B1B">
        <w:rPr>
          <w:rFonts w:eastAsia="Times New Roman" w:cs="Arial"/>
          <w:color w:val="444444"/>
          <w:szCs w:val="20"/>
          <w:lang w:eastAsia="fr-FR"/>
        </w:rPr>
        <w:t xml:space="preserve"> </w:t>
      </w:r>
      <w:r w:rsidR="00A97987" w:rsidRPr="00D42B1B">
        <w:rPr>
          <w:rFonts w:eastAsia="Times New Roman" w:cs="Arial"/>
          <w:color w:val="444444"/>
          <w:szCs w:val="20"/>
          <w:lang w:eastAsia="fr-FR"/>
        </w:rPr>
        <w:t xml:space="preserve">qui </w:t>
      </w:r>
      <w:r w:rsidRPr="00D42B1B">
        <w:rPr>
          <w:rFonts w:eastAsia="Times New Roman" w:cs="Arial"/>
          <w:color w:val="444444"/>
          <w:szCs w:val="20"/>
          <w:lang w:eastAsia="fr-FR"/>
        </w:rPr>
        <w:t>ont été mis en place</w:t>
      </w:r>
      <w:r w:rsidR="002C1C5B" w:rsidRPr="00D42B1B">
        <w:rPr>
          <w:rFonts w:eastAsia="Times New Roman" w:cs="Arial"/>
          <w:color w:val="444444"/>
          <w:szCs w:val="20"/>
          <w:lang w:eastAsia="fr-FR"/>
        </w:rPr>
        <w:t xml:space="preserve">. </w:t>
      </w:r>
      <w:r w:rsidRPr="00D42B1B">
        <w:rPr>
          <w:rFonts w:eastAsia="Times New Roman" w:cs="Arial"/>
          <w:color w:val="444444"/>
          <w:szCs w:val="20"/>
          <w:lang w:eastAsia="fr-FR"/>
        </w:rPr>
        <w:t>La réhabilitation du barrage d’</w:t>
      </w:r>
      <w:proofErr w:type="spellStart"/>
      <w:r w:rsidRPr="00D42B1B">
        <w:rPr>
          <w:rFonts w:eastAsia="Times New Roman" w:cs="Arial"/>
          <w:color w:val="444444"/>
          <w:szCs w:val="20"/>
          <w:lang w:eastAsia="fr-FR"/>
        </w:rPr>
        <w:t>Adaou</w:t>
      </w:r>
      <w:proofErr w:type="spellEnd"/>
      <w:r w:rsidR="002A1C33" w:rsidRPr="00D42B1B">
        <w:rPr>
          <w:rFonts w:eastAsia="Times New Roman" w:cs="Arial"/>
          <w:color w:val="444444"/>
          <w:szCs w:val="20"/>
          <w:lang w:eastAsia="fr-FR"/>
        </w:rPr>
        <w:t xml:space="preserve"> est devenue </w:t>
      </w:r>
      <w:r w:rsidRPr="00D42B1B">
        <w:rPr>
          <w:rFonts w:eastAsia="Times New Roman" w:cs="Arial"/>
          <w:color w:val="444444"/>
          <w:szCs w:val="20"/>
          <w:lang w:eastAsia="fr-FR"/>
        </w:rPr>
        <w:t>une opportunité pour pratiquer</w:t>
      </w:r>
      <w:r w:rsidR="002C1C5B" w:rsidRPr="00D42B1B">
        <w:rPr>
          <w:rFonts w:eastAsia="Times New Roman" w:cs="Arial"/>
          <w:color w:val="444444"/>
          <w:szCs w:val="20"/>
          <w:lang w:eastAsia="fr-FR"/>
        </w:rPr>
        <w:t xml:space="preserve"> l’aquaculture</w:t>
      </w:r>
      <w:r w:rsidRPr="00D42B1B">
        <w:rPr>
          <w:rFonts w:eastAsia="Times New Roman" w:cs="Arial"/>
          <w:color w:val="444444"/>
          <w:szCs w:val="20"/>
          <w:lang w:eastAsia="fr-FR"/>
        </w:rPr>
        <w:t>.</w:t>
      </w:r>
      <w:r w:rsidR="0082422A" w:rsidRPr="00D42B1B">
        <w:rPr>
          <w:rFonts w:eastAsia="Times New Roman" w:cs="Arial"/>
          <w:color w:val="444444"/>
          <w:szCs w:val="20"/>
          <w:lang w:eastAsia="fr-FR"/>
        </w:rPr>
        <w:t xml:space="preserve"> D</w:t>
      </w:r>
      <w:r w:rsidRPr="00D42B1B">
        <w:rPr>
          <w:rFonts w:eastAsia="Times New Roman" w:cs="Arial"/>
          <w:color w:val="444444"/>
          <w:szCs w:val="20"/>
          <w:lang w:eastAsia="fr-FR"/>
        </w:rPr>
        <w:t xml:space="preserve">ans les départements de </w:t>
      </w:r>
      <w:proofErr w:type="spellStart"/>
      <w:r w:rsidRPr="00D42B1B">
        <w:rPr>
          <w:rFonts w:eastAsia="Times New Roman" w:cs="Arial"/>
          <w:color w:val="444444"/>
          <w:szCs w:val="20"/>
          <w:lang w:eastAsia="fr-FR"/>
        </w:rPr>
        <w:t>Bocanda</w:t>
      </w:r>
      <w:proofErr w:type="spellEnd"/>
      <w:r w:rsidRPr="00D42B1B">
        <w:rPr>
          <w:rFonts w:eastAsia="Times New Roman" w:cs="Arial"/>
          <w:color w:val="444444"/>
          <w:szCs w:val="20"/>
          <w:lang w:eastAsia="fr-FR"/>
        </w:rPr>
        <w:t xml:space="preserve"> et de Kouassi-</w:t>
      </w:r>
      <w:proofErr w:type="spellStart"/>
      <w:r w:rsidRPr="00D42B1B">
        <w:rPr>
          <w:rFonts w:eastAsia="Times New Roman" w:cs="Arial"/>
          <w:color w:val="444444"/>
          <w:szCs w:val="20"/>
          <w:lang w:eastAsia="fr-FR"/>
        </w:rPr>
        <w:t>Kouassikro</w:t>
      </w:r>
      <w:proofErr w:type="spellEnd"/>
      <w:r w:rsidRPr="00D42B1B">
        <w:rPr>
          <w:rFonts w:eastAsia="Times New Roman" w:cs="Arial"/>
          <w:color w:val="444444"/>
          <w:szCs w:val="20"/>
          <w:lang w:eastAsia="fr-FR"/>
        </w:rPr>
        <w:t>, diverses infrastructures</w:t>
      </w:r>
      <w:r w:rsidR="0082422A" w:rsidRPr="00D42B1B">
        <w:rPr>
          <w:rFonts w:eastAsia="Times New Roman" w:cs="Arial"/>
          <w:color w:val="444444"/>
          <w:szCs w:val="20"/>
          <w:lang w:eastAsia="fr-FR"/>
        </w:rPr>
        <w:t xml:space="preserve"> ont été</w:t>
      </w:r>
      <w:r w:rsidRPr="00D42B1B">
        <w:rPr>
          <w:rFonts w:eastAsia="Times New Roman" w:cs="Arial"/>
          <w:color w:val="444444"/>
          <w:szCs w:val="20"/>
          <w:lang w:eastAsia="fr-FR"/>
        </w:rPr>
        <w:t xml:space="preserve"> réalisées dans le cadre du projet, notamment des périmètres irrigués, des barrages et des unités de transformation du manioc</w:t>
      </w:r>
      <w:r w:rsidR="0082422A" w:rsidRPr="00D42B1B">
        <w:rPr>
          <w:rFonts w:eastAsia="Times New Roman" w:cs="Arial"/>
          <w:color w:val="444444"/>
          <w:szCs w:val="20"/>
          <w:lang w:eastAsia="fr-FR"/>
        </w:rPr>
        <w:t xml:space="preserve">. </w:t>
      </w:r>
      <w:r w:rsidRPr="00D42B1B">
        <w:rPr>
          <w:rFonts w:eastAsia="Times New Roman" w:cs="Arial"/>
          <w:color w:val="444444"/>
          <w:szCs w:val="20"/>
          <w:lang w:eastAsia="fr-FR"/>
        </w:rPr>
        <w:t>La mission a toutefois relevé la nécessité d’accélérer les travaux d’aménagement</w:t>
      </w:r>
      <w:r w:rsidR="0082422A" w:rsidRPr="00D42B1B">
        <w:rPr>
          <w:rFonts w:eastAsia="Times New Roman" w:cs="Arial"/>
          <w:color w:val="444444"/>
          <w:szCs w:val="20"/>
          <w:lang w:eastAsia="fr-FR"/>
        </w:rPr>
        <w:t xml:space="preserve">s </w:t>
      </w:r>
      <w:r w:rsidRPr="00D42B1B">
        <w:rPr>
          <w:rFonts w:eastAsia="Times New Roman" w:cs="Arial"/>
          <w:color w:val="444444"/>
          <w:szCs w:val="20"/>
          <w:lang w:eastAsia="fr-FR"/>
        </w:rPr>
        <w:t>hydro-agricole</w:t>
      </w:r>
      <w:r w:rsidR="0082422A" w:rsidRPr="00D42B1B">
        <w:rPr>
          <w:rFonts w:eastAsia="Times New Roman" w:cs="Arial"/>
          <w:color w:val="444444"/>
          <w:szCs w:val="20"/>
          <w:lang w:eastAsia="fr-FR"/>
        </w:rPr>
        <w:t>s</w:t>
      </w:r>
      <w:r w:rsidRPr="00D42B1B">
        <w:rPr>
          <w:rFonts w:eastAsia="Times New Roman" w:cs="Arial"/>
          <w:color w:val="444444"/>
          <w:szCs w:val="20"/>
          <w:lang w:eastAsia="fr-FR"/>
        </w:rPr>
        <w:t xml:space="preserve">, de construction de barrages et d’amélioration des </w:t>
      </w:r>
      <w:r w:rsidR="0082422A" w:rsidRPr="00D42B1B">
        <w:rPr>
          <w:rFonts w:eastAsia="Times New Roman" w:cs="Arial"/>
          <w:color w:val="444444"/>
          <w:szCs w:val="20"/>
          <w:lang w:eastAsia="fr-FR"/>
        </w:rPr>
        <w:t xml:space="preserve">exploitations </w:t>
      </w:r>
      <w:r w:rsidRPr="00D42B1B">
        <w:rPr>
          <w:rFonts w:eastAsia="Times New Roman" w:cs="Arial"/>
          <w:color w:val="444444"/>
          <w:szCs w:val="20"/>
          <w:lang w:eastAsia="fr-FR"/>
        </w:rPr>
        <w:t>de volailles sur plusieurs sites. Après quatre années de mise en œuvre, le PREMOPEF a touché 60</w:t>
      </w:r>
      <w:r w:rsidR="002A1C33" w:rsidRPr="00D42B1B">
        <w:rPr>
          <w:rFonts w:eastAsia="Times New Roman" w:cs="Arial"/>
          <w:color w:val="444444"/>
          <w:szCs w:val="20"/>
          <w:lang w:eastAsia="fr-FR"/>
        </w:rPr>
        <w:t> </w:t>
      </w:r>
      <w:r w:rsidRPr="00D42B1B">
        <w:rPr>
          <w:rFonts w:eastAsia="Times New Roman" w:cs="Arial"/>
          <w:color w:val="444444"/>
          <w:szCs w:val="20"/>
          <w:lang w:eastAsia="fr-FR"/>
        </w:rPr>
        <w:t>353</w:t>
      </w:r>
      <w:r w:rsidR="002A1C33" w:rsidRPr="00D42B1B">
        <w:rPr>
          <w:rFonts w:eastAsia="Times New Roman" w:cs="Arial"/>
          <w:color w:val="444444"/>
          <w:szCs w:val="20"/>
          <w:lang w:eastAsia="fr-FR"/>
        </w:rPr>
        <w:t> </w:t>
      </w:r>
      <w:r w:rsidRPr="00D42B1B">
        <w:rPr>
          <w:rFonts w:eastAsia="Times New Roman" w:cs="Arial"/>
          <w:color w:val="444444"/>
          <w:szCs w:val="20"/>
          <w:lang w:eastAsia="fr-FR"/>
        </w:rPr>
        <w:t>bénéficiaires, dont 36 381 femmes. Entre 2024 et 2026, plus de 2</w:t>
      </w:r>
      <w:r w:rsidR="0082422A" w:rsidRPr="00D42B1B">
        <w:rPr>
          <w:rFonts w:eastAsia="Times New Roman" w:cs="Arial"/>
          <w:color w:val="444444"/>
          <w:szCs w:val="20"/>
          <w:lang w:eastAsia="fr-FR"/>
        </w:rPr>
        <w:t> </w:t>
      </w:r>
      <w:r w:rsidRPr="00D42B1B">
        <w:rPr>
          <w:rFonts w:eastAsia="Times New Roman" w:cs="Arial"/>
          <w:color w:val="444444"/>
          <w:szCs w:val="20"/>
          <w:lang w:eastAsia="fr-FR"/>
        </w:rPr>
        <w:t>30</w:t>
      </w:r>
      <w:r w:rsidR="00A97987" w:rsidRPr="00D42B1B">
        <w:rPr>
          <w:rFonts w:eastAsia="Times New Roman" w:cs="Arial"/>
          <w:color w:val="444444"/>
          <w:szCs w:val="20"/>
          <w:lang w:eastAsia="fr-FR"/>
        </w:rPr>
        <w:t>5</w:t>
      </w:r>
      <w:r w:rsidRPr="00D42B1B">
        <w:rPr>
          <w:rFonts w:eastAsia="Times New Roman" w:cs="Arial"/>
          <w:color w:val="444444"/>
          <w:szCs w:val="20"/>
          <w:lang w:eastAsia="fr-FR"/>
        </w:rPr>
        <w:t xml:space="preserve"> h</w:t>
      </w:r>
      <w:r w:rsidR="0082422A" w:rsidRPr="00D42B1B">
        <w:rPr>
          <w:rFonts w:eastAsia="Times New Roman" w:cs="Arial"/>
          <w:color w:val="444444"/>
          <w:szCs w:val="20"/>
          <w:lang w:eastAsia="fr-FR"/>
        </w:rPr>
        <w:t>a</w:t>
      </w:r>
      <w:r w:rsidRPr="00D42B1B">
        <w:rPr>
          <w:rFonts w:eastAsia="Times New Roman" w:cs="Arial"/>
          <w:color w:val="444444"/>
          <w:szCs w:val="20"/>
          <w:lang w:eastAsia="fr-FR"/>
        </w:rPr>
        <w:t xml:space="preserve"> d’igname et de </w:t>
      </w:r>
      <w:r w:rsidRPr="00D42B1B">
        <w:rPr>
          <w:rFonts w:eastAsia="Times New Roman" w:cs="Arial"/>
          <w:color w:val="444444"/>
          <w:szCs w:val="20"/>
          <w:lang w:eastAsia="fr-FR"/>
        </w:rPr>
        <w:lastRenderedPageBreak/>
        <w:t xml:space="preserve">manioc ont été mis en valeur </w:t>
      </w:r>
      <w:r w:rsidR="00A97987" w:rsidRPr="00D42B1B">
        <w:rPr>
          <w:rFonts w:eastAsia="Times New Roman" w:cs="Arial"/>
          <w:color w:val="444444"/>
          <w:szCs w:val="20"/>
          <w:lang w:eastAsia="fr-FR"/>
        </w:rPr>
        <w:t xml:space="preserve">avec des pratiques </w:t>
      </w:r>
      <w:r w:rsidRPr="00D42B1B">
        <w:rPr>
          <w:rFonts w:eastAsia="Times New Roman" w:cs="Arial"/>
          <w:color w:val="444444"/>
          <w:szCs w:val="20"/>
          <w:lang w:eastAsia="fr-FR"/>
        </w:rPr>
        <w:t>agroécologiques améliorées, tandis que 7</w:t>
      </w:r>
      <w:r w:rsidR="002A1C33" w:rsidRPr="00D42B1B">
        <w:rPr>
          <w:rFonts w:eastAsia="Times New Roman" w:cs="Arial"/>
          <w:color w:val="444444"/>
          <w:szCs w:val="20"/>
          <w:lang w:eastAsia="fr-FR"/>
        </w:rPr>
        <w:t> </w:t>
      </w:r>
      <w:r w:rsidRPr="00D42B1B">
        <w:rPr>
          <w:rFonts w:eastAsia="Times New Roman" w:cs="Arial"/>
          <w:color w:val="444444"/>
          <w:szCs w:val="20"/>
          <w:lang w:eastAsia="fr-FR"/>
        </w:rPr>
        <w:t>626</w:t>
      </w:r>
      <w:r w:rsidR="002A1C33" w:rsidRPr="00D42B1B">
        <w:rPr>
          <w:rFonts w:eastAsia="Times New Roman" w:cs="Arial"/>
          <w:color w:val="444444"/>
          <w:szCs w:val="20"/>
          <w:lang w:eastAsia="fr-FR"/>
        </w:rPr>
        <w:t> </w:t>
      </w:r>
      <w:r w:rsidRPr="00D42B1B">
        <w:rPr>
          <w:rFonts w:eastAsia="Times New Roman" w:cs="Arial"/>
          <w:color w:val="444444"/>
          <w:szCs w:val="20"/>
          <w:lang w:eastAsia="fr-FR"/>
        </w:rPr>
        <w:t>éleveurs de volailles ont bénéficié de formations techniques</w:t>
      </w:r>
      <w:r w:rsidR="00A97987" w:rsidRPr="00D42B1B">
        <w:t xml:space="preserve"> de production et de commercialisation, </w:t>
      </w:r>
      <w:r w:rsidR="00A97987" w:rsidRPr="00D42B1B">
        <w:rPr>
          <w:rFonts w:eastAsia="Times New Roman" w:cs="Arial"/>
          <w:color w:val="444444"/>
          <w:szCs w:val="20"/>
          <w:lang w:eastAsia="fr-FR"/>
        </w:rPr>
        <w:t>au nombre desquels 3 701 jeunes</w:t>
      </w:r>
      <w:r w:rsidRPr="00D42B1B">
        <w:rPr>
          <w:rFonts w:eastAsia="Times New Roman" w:cs="Arial"/>
          <w:color w:val="444444"/>
          <w:szCs w:val="20"/>
          <w:lang w:eastAsia="fr-FR"/>
        </w:rPr>
        <w:t xml:space="preserve">. </w:t>
      </w:r>
      <w:r w:rsidR="002A1C33" w:rsidRPr="00D42B1B">
        <w:rPr>
          <w:rFonts w:eastAsia="Times New Roman" w:cs="Arial"/>
          <w:color w:val="444444"/>
          <w:szCs w:val="20"/>
          <w:lang w:eastAsia="fr-FR"/>
        </w:rPr>
        <w:t>D’une enveloppe globale de 9,87 Md FCFA, le projet de renforcement des moyens de subsistance des petits exploitants et des femmes de la région du N’Zi va s’achever à la fin de l’année 2026.</w:t>
      </w:r>
    </w:p>
    <w:p w14:paraId="46F845B0" w14:textId="77777777" w:rsidR="002E16EC" w:rsidRPr="00D42B1B" w:rsidRDefault="002E16EC" w:rsidP="002E16EC">
      <w:pPr>
        <w:shd w:val="clear" w:color="auto" w:fill="FFFFFF"/>
        <w:spacing w:after="0" w:line="276" w:lineRule="auto"/>
        <w:rPr>
          <w:rFonts w:eastAsia="Times New Roman" w:cs="Arial"/>
          <w:color w:val="444444"/>
          <w:szCs w:val="20"/>
          <w:lang w:eastAsia="fr-FR"/>
        </w:rPr>
      </w:pPr>
    </w:p>
    <w:p w14:paraId="17C00CE1" w14:textId="26569CB1" w:rsidR="0038033E" w:rsidRPr="00D42B1B" w:rsidRDefault="0038033E" w:rsidP="00994F92">
      <w:pPr>
        <w:pStyle w:val="Titre2"/>
        <w:spacing w:before="0"/>
        <w:rPr>
          <w:rFonts w:eastAsiaTheme="minorHAnsi"/>
        </w:rPr>
      </w:pPr>
      <w:bookmarkStart w:id="54" w:name="_Toc233878678"/>
      <w:r w:rsidRPr="00D42B1B">
        <w:rPr>
          <w:rFonts w:eastAsia="Times New Roman" w:cs="Arial"/>
          <w:color w:val="444444"/>
          <w:szCs w:val="20"/>
          <w:lang w:eastAsia="fr-FR"/>
        </w:rPr>
        <w:t xml:space="preserve">Cacao - </w:t>
      </w:r>
      <w:r w:rsidR="00417B17" w:rsidRPr="00D42B1B">
        <w:rPr>
          <w:rFonts w:eastAsia="Times New Roman" w:cs="Arial"/>
          <w:color w:val="444444"/>
          <w:szCs w:val="20"/>
          <w:lang w:eastAsia="fr-FR"/>
        </w:rPr>
        <w:t>R</w:t>
      </w:r>
      <w:r w:rsidRPr="00D42B1B">
        <w:rPr>
          <w:rFonts w:eastAsia="Times New Roman" w:cs="Arial"/>
          <w:color w:val="444444"/>
          <w:szCs w:val="20"/>
          <w:lang w:eastAsia="fr-FR"/>
        </w:rPr>
        <w:t xml:space="preserve">apport </w:t>
      </w:r>
      <w:proofErr w:type="spellStart"/>
      <w:r w:rsidRPr="00D42B1B">
        <w:rPr>
          <w:rFonts w:eastAsia="Times New Roman" w:cs="Arial"/>
          <w:color w:val="444444"/>
          <w:szCs w:val="20"/>
          <w:lang w:eastAsia="fr-FR"/>
        </w:rPr>
        <w:t>AfroInvest</w:t>
      </w:r>
      <w:proofErr w:type="spellEnd"/>
      <w:r w:rsidRPr="00D42B1B">
        <w:rPr>
          <w:rFonts w:eastAsia="Times New Roman" w:cs="Arial"/>
          <w:color w:val="444444"/>
          <w:szCs w:val="20"/>
          <w:lang w:eastAsia="fr-FR"/>
        </w:rPr>
        <w:t xml:space="preserve"> sur la crise ivoirienne</w:t>
      </w:r>
      <w:r w:rsidR="00417B17" w:rsidRPr="00D42B1B">
        <w:rPr>
          <w:rFonts w:eastAsia="Times New Roman" w:cs="Arial"/>
          <w:color w:val="444444"/>
          <w:szCs w:val="20"/>
          <w:lang w:eastAsia="fr-FR"/>
        </w:rPr>
        <w:t>.</w:t>
      </w:r>
      <w:bookmarkEnd w:id="54"/>
    </w:p>
    <w:p w14:paraId="429F43DC" w14:textId="4D63270A" w:rsidR="0038033E" w:rsidRPr="00D42B1B" w:rsidRDefault="0038033E" w:rsidP="0038033E">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Dans un rapport intitulé </w:t>
      </w:r>
      <w:r w:rsidR="00417B17" w:rsidRPr="00D42B1B">
        <w:rPr>
          <w:rFonts w:eastAsia="Times New Roman" w:cs="Arial"/>
          <w:color w:val="444444"/>
          <w:szCs w:val="20"/>
          <w:lang w:eastAsia="fr-FR"/>
        </w:rPr>
        <w:t>« </w:t>
      </w:r>
      <w:r w:rsidRPr="00D42B1B">
        <w:rPr>
          <w:rFonts w:eastAsia="Times New Roman" w:cs="Arial"/>
          <w:color w:val="444444"/>
          <w:szCs w:val="20"/>
          <w:lang w:eastAsia="fr-FR"/>
        </w:rPr>
        <w:t>Filière cacao Côte d’Ivoire : Anatomie d’une crise (2012-2026)</w:t>
      </w:r>
      <w:r w:rsidR="00417B17" w:rsidRPr="00D42B1B">
        <w:rPr>
          <w:rFonts w:eastAsia="Times New Roman" w:cs="Arial"/>
          <w:color w:val="444444"/>
          <w:szCs w:val="20"/>
          <w:lang w:eastAsia="fr-FR"/>
        </w:rPr>
        <w:t> »</w:t>
      </w:r>
      <w:r w:rsidRPr="00D42B1B">
        <w:rPr>
          <w:rFonts w:eastAsia="Times New Roman" w:cs="Arial"/>
          <w:color w:val="444444"/>
          <w:szCs w:val="20"/>
          <w:lang w:eastAsia="fr-FR"/>
        </w:rPr>
        <w:t xml:space="preserve">, publié en juin 2026, </w:t>
      </w:r>
      <w:proofErr w:type="spellStart"/>
      <w:r w:rsidRPr="00D42B1B">
        <w:rPr>
          <w:rFonts w:eastAsia="Times New Roman" w:cs="Arial"/>
          <w:color w:val="444444"/>
          <w:szCs w:val="20"/>
          <w:lang w:eastAsia="fr-FR"/>
        </w:rPr>
        <w:t>AfroInvest</w:t>
      </w:r>
      <w:proofErr w:type="spellEnd"/>
      <w:r w:rsidRPr="00D42B1B">
        <w:rPr>
          <w:rFonts w:eastAsia="Times New Roman" w:cs="Arial"/>
          <w:color w:val="444444"/>
          <w:szCs w:val="20"/>
          <w:lang w:eastAsia="fr-FR"/>
        </w:rPr>
        <w:t xml:space="preserve"> livre une analyse détaillée des mécanismes ayant conduit la Côte d’Ivoire, premier producteur mondial de cacao, de l’euphorie des prix records à une crise de commercialisation. Signée par </w:t>
      </w:r>
      <w:r w:rsidR="00417B17" w:rsidRPr="00D42B1B">
        <w:rPr>
          <w:rFonts w:eastAsia="Times New Roman" w:cs="Arial"/>
          <w:color w:val="444444"/>
          <w:szCs w:val="20"/>
          <w:lang w:eastAsia="fr-FR"/>
        </w:rPr>
        <w:t xml:space="preserve">M. </w:t>
      </w:r>
      <w:r w:rsidRPr="00D42B1B">
        <w:rPr>
          <w:rFonts w:eastAsia="Times New Roman" w:cs="Arial"/>
          <w:color w:val="444444"/>
          <w:szCs w:val="20"/>
          <w:lang w:eastAsia="fr-FR"/>
        </w:rPr>
        <w:t>Marcelin Dev et fondée sur des données de l’ICCO, du Conseil Café-Cacao, du Trésor français, du FMI, de la BCEAO et de plusieurs sources spécialisées, l’étude met en lumière les limites d’un modèle de stabilisation longtemps considéré comme exemplaire.</w:t>
      </w:r>
      <w:r w:rsidR="00417B17" w:rsidRPr="00D42B1B">
        <w:rPr>
          <w:rFonts w:eastAsia="Times New Roman" w:cs="Arial"/>
          <w:color w:val="444444"/>
          <w:szCs w:val="20"/>
          <w:lang w:eastAsia="fr-FR"/>
        </w:rPr>
        <w:t xml:space="preserve"> </w:t>
      </w:r>
      <w:r w:rsidRPr="00D42B1B">
        <w:rPr>
          <w:rFonts w:eastAsia="Times New Roman" w:cs="Arial"/>
          <w:color w:val="444444"/>
          <w:szCs w:val="20"/>
          <w:lang w:eastAsia="fr-FR"/>
        </w:rPr>
        <w:t>Avec près de 40% de la production mondiale, plus d’un million de producteurs et un secteur représentant plus du tiers des recettes d’exportation du pays, l</w:t>
      </w:r>
      <w:r w:rsidR="00417B17" w:rsidRPr="00D42B1B">
        <w:rPr>
          <w:rFonts w:eastAsia="Times New Roman" w:cs="Arial"/>
          <w:color w:val="444444"/>
          <w:szCs w:val="20"/>
          <w:lang w:eastAsia="fr-FR"/>
        </w:rPr>
        <w:t>e cacao</w:t>
      </w:r>
      <w:r w:rsidRPr="00D42B1B">
        <w:rPr>
          <w:rFonts w:eastAsia="Times New Roman" w:cs="Arial"/>
          <w:color w:val="444444"/>
          <w:szCs w:val="20"/>
          <w:lang w:eastAsia="fr-FR"/>
        </w:rPr>
        <w:t xml:space="preserve"> constitue l’un des piliers de l’économie ivoirienne. Mais derrière cette domination se cache une fragilité </w:t>
      </w:r>
      <w:r w:rsidR="00417B17" w:rsidRPr="00D42B1B">
        <w:rPr>
          <w:rFonts w:eastAsia="Times New Roman" w:cs="Arial"/>
          <w:color w:val="444444"/>
          <w:szCs w:val="20"/>
          <w:lang w:eastAsia="fr-FR"/>
        </w:rPr>
        <w:t xml:space="preserve">révélée par </w:t>
      </w:r>
      <w:r w:rsidRPr="00D42B1B">
        <w:rPr>
          <w:rFonts w:eastAsia="Times New Roman" w:cs="Arial"/>
          <w:color w:val="444444"/>
          <w:szCs w:val="20"/>
          <w:lang w:eastAsia="fr-FR"/>
        </w:rPr>
        <w:t>la récente crise de la filière.</w:t>
      </w:r>
      <w:r w:rsidR="00417B17" w:rsidRPr="00D42B1B">
        <w:rPr>
          <w:rFonts w:eastAsia="Times New Roman" w:cs="Arial"/>
          <w:color w:val="444444"/>
          <w:szCs w:val="20"/>
          <w:lang w:eastAsia="fr-FR"/>
        </w:rPr>
        <w:t xml:space="preserve"> </w:t>
      </w:r>
      <w:r w:rsidRPr="00D42B1B">
        <w:rPr>
          <w:rFonts w:eastAsia="Times New Roman" w:cs="Arial"/>
          <w:color w:val="444444"/>
          <w:szCs w:val="20"/>
          <w:lang w:eastAsia="fr-FR"/>
        </w:rPr>
        <w:t>Selon le rapport, la Côte d’Ivoire a bénéficié en 2024 d’une envolée historique des cours mondiaux provoquée par une forte baisse de la production en Afrique de l’Ouest. La campagne 2023-2024 a enregistré une chute de plus de 23% de la production ivoirienne, tandis que le déficit mondial atteignait près de 489</w:t>
      </w:r>
      <w:r w:rsidR="00417B17" w:rsidRPr="00D42B1B">
        <w:rPr>
          <w:rFonts w:eastAsia="Times New Roman" w:cs="Arial"/>
          <w:color w:val="444444"/>
          <w:szCs w:val="20"/>
          <w:lang w:eastAsia="fr-FR"/>
        </w:rPr>
        <w:t> </w:t>
      </w:r>
      <w:r w:rsidRPr="00D42B1B">
        <w:rPr>
          <w:rFonts w:eastAsia="Times New Roman" w:cs="Arial"/>
          <w:color w:val="444444"/>
          <w:szCs w:val="20"/>
          <w:lang w:eastAsia="fr-FR"/>
        </w:rPr>
        <w:t xml:space="preserve">000 tonnes. Cette raréfaction de l’offre a propulsé les prix internationaux jusqu’à près de 11 000 </w:t>
      </w:r>
      <w:r w:rsidR="00417B17" w:rsidRPr="00D42B1B">
        <w:rPr>
          <w:rFonts w:eastAsia="Times New Roman" w:cs="Arial"/>
          <w:color w:val="444444"/>
          <w:szCs w:val="20"/>
          <w:lang w:eastAsia="fr-FR"/>
        </w:rPr>
        <w:t xml:space="preserve">USD la tonne </w:t>
      </w:r>
      <w:r w:rsidRPr="00D42B1B">
        <w:rPr>
          <w:rFonts w:eastAsia="Times New Roman" w:cs="Arial"/>
          <w:color w:val="444444"/>
          <w:szCs w:val="20"/>
          <w:lang w:eastAsia="fr-FR"/>
        </w:rPr>
        <w:t>début 2025, un niveau inédit depuis plusieurs décennies.</w:t>
      </w:r>
      <w:r w:rsidR="00417B17" w:rsidRPr="00D42B1B">
        <w:rPr>
          <w:rFonts w:eastAsia="Times New Roman" w:cs="Arial"/>
          <w:color w:val="444444"/>
          <w:szCs w:val="20"/>
          <w:lang w:eastAsia="fr-FR"/>
        </w:rPr>
        <w:t xml:space="preserve"> </w:t>
      </w:r>
      <w:r w:rsidRPr="00D42B1B">
        <w:rPr>
          <w:rFonts w:eastAsia="Times New Roman" w:cs="Arial"/>
          <w:color w:val="444444"/>
          <w:szCs w:val="20"/>
          <w:lang w:eastAsia="fr-FR"/>
        </w:rPr>
        <w:t>Le système ivoirien de commercialisation, mis en place après la réforme de 2011, repose sur des ventes anticipées réalisées plusieurs mois avant les récoltes. Ce mécanisme permet normalement de garantir aux producteurs un prix stable en les protégeant contre les fluctuations du marché. Fort des ventes effectuées lorsque les cours étaient à leur sommet, le Conseil Café-Cacao a ainsi fixé un prix bord champ record de 2 800 FCFA</w:t>
      </w:r>
      <w:r w:rsidR="00417B17" w:rsidRPr="00D42B1B">
        <w:rPr>
          <w:rFonts w:eastAsia="Times New Roman" w:cs="Arial"/>
          <w:color w:val="444444"/>
          <w:szCs w:val="20"/>
          <w:lang w:eastAsia="fr-FR"/>
        </w:rPr>
        <w:t xml:space="preserve">/kg </w:t>
      </w:r>
      <w:r w:rsidRPr="00D42B1B">
        <w:rPr>
          <w:rFonts w:eastAsia="Times New Roman" w:cs="Arial"/>
          <w:color w:val="444444"/>
          <w:szCs w:val="20"/>
          <w:lang w:eastAsia="fr-FR"/>
        </w:rPr>
        <w:t>pour la campagne 2025-2026.</w:t>
      </w:r>
      <w:r w:rsidR="00417B17" w:rsidRPr="00D42B1B">
        <w:rPr>
          <w:rFonts w:eastAsia="Times New Roman" w:cs="Arial"/>
          <w:color w:val="444444"/>
          <w:szCs w:val="20"/>
          <w:lang w:eastAsia="fr-FR"/>
        </w:rPr>
        <w:t xml:space="preserve"> </w:t>
      </w:r>
      <w:r w:rsidRPr="00D42B1B">
        <w:rPr>
          <w:rFonts w:eastAsia="Times New Roman" w:cs="Arial"/>
          <w:color w:val="444444"/>
          <w:szCs w:val="20"/>
          <w:lang w:eastAsia="fr-FR"/>
        </w:rPr>
        <w:t>Mais le marché mondial s’est retourné. L’amélioration des perspectives de production et les anticipations d’un retour à l’excédent ont provoqué un effondrement des cours internationaux. Pris entre des engagements contractuels élevés et une réalité de marché devenue défavorable, de nombreux acheteurs ont refusé d’exécuter certains contrats</w:t>
      </w:r>
      <w:r w:rsidR="00417B17" w:rsidRPr="00D42B1B">
        <w:rPr>
          <w:rFonts w:eastAsia="Times New Roman" w:cs="Arial"/>
          <w:color w:val="444444"/>
          <w:szCs w:val="20"/>
          <w:lang w:eastAsia="fr-FR"/>
        </w:rPr>
        <w:t xml:space="preserve"> et </w:t>
      </w:r>
      <w:r w:rsidRPr="00D42B1B">
        <w:rPr>
          <w:rFonts w:eastAsia="Times New Roman" w:cs="Arial"/>
          <w:color w:val="444444"/>
          <w:szCs w:val="20"/>
          <w:lang w:eastAsia="fr-FR"/>
        </w:rPr>
        <w:t>près de 200 000 tonnes de cacao se sont retrouvées bloquées dans les entrepôts et les ports d’Abidjan et de San Pedro au début de l’année 2026.</w:t>
      </w:r>
      <w:r w:rsidR="00417B17"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Pour </w:t>
      </w:r>
      <w:proofErr w:type="spellStart"/>
      <w:r w:rsidRPr="00D42B1B">
        <w:rPr>
          <w:rFonts w:eastAsia="Times New Roman" w:cs="Arial"/>
          <w:color w:val="444444"/>
          <w:szCs w:val="20"/>
          <w:lang w:eastAsia="fr-FR"/>
        </w:rPr>
        <w:t>AfroInvest</w:t>
      </w:r>
      <w:proofErr w:type="spellEnd"/>
      <w:r w:rsidRPr="00D42B1B">
        <w:rPr>
          <w:rFonts w:eastAsia="Times New Roman" w:cs="Arial"/>
          <w:color w:val="444444"/>
          <w:szCs w:val="20"/>
          <w:lang w:eastAsia="fr-FR"/>
        </w:rPr>
        <w:t>, cette crise révèle les limites d’un système conçu pour amortir les chocs mais qui s’est retrouvé piégé par sa propre logique. Alors que les producteurs ivoiriens peinaient à écouler leurs récoltes, certains planteurs camerounais, opérant dans un marché plus libéralisé, bénéficiaient temporairement de prix supérieurs, parfois compris entre 4 000 et 5 000 FCFA</w:t>
      </w:r>
      <w:r w:rsidR="00417B17" w:rsidRPr="00D42B1B">
        <w:rPr>
          <w:rFonts w:eastAsia="Times New Roman" w:cs="Arial"/>
          <w:color w:val="444444"/>
          <w:szCs w:val="20"/>
          <w:lang w:eastAsia="fr-FR"/>
        </w:rPr>
        <w:t>/kg</w:t>
      </w:r>
      <w:r w:rsidRPr="00D42B1B">
        <w:rPr>
          <w:rFonts w:eastAsia="Times New Roman" w:cs="Arial"/>
          <w:color w:val="444444"/>
          <w:szCs w:val="20"/>
          <w:lang w:eastAsia="fr-FR"/>
        </w:rPr>
        <w:t>. L’</w:t>
      </w:r>
      <w:r w:rsidR="00417B17" w:rsidRPr="00D42B1B">
        <w:rPr>
          <w:rFonts w:eastAsia="Times New Roman" w:cs="Arial"/>
          <w:color w:val="444444"/>
          <w:szCs w:val="20"/>
          <w:lang w:eastAsia="fr-FR"/>
        </w:rPr>
        <w:t>E</w:t>
      </w:r>
      <w:r w:rsidRPr="00D42B1B">
        <w:rPr>
          <w:rFonts w:eastAsia="Times New Roman" w:cs="Arial"/>
          <w:color w:val="444444"/>
          <w:szCs w:val="20"/>
          <w:lang w:eastAsia="fr-FR"/>
        </w:rPr>
        <w:t>tat ivoirien a dû intervenir massivement pour éviter une crise sociale dans les zones rurales. Une subvention estimée à 231</w:t>
      </w:r>
      <w:r w:rsidR="00417B17" w:rsidRPr="00D42B1B">
        <w:rPr>
          <w:rFonts w:eastAsia="Times New Roman" w:cs="Arial"/>
          <w:color w:val="444444"/>
          <w:szCs w:val="20"/>
          <w:lang w:eastAsia="fr-FR"/>
        </w:rPr>
        <w:t xml:space="preserve"> Md </w:t>
      </w:r>
      <w:r w:rsidRPr="00D42B1B">
        <w:rPr>
          <w:rFonts w:eastAsia="Times New Roman" w:cs="Arial"/>
          <w:color w:val="444444"/>
          <w:szCs w:val="20"/>
          <w:lang w:eastAsia="fr-FR"/>
        </w:rPr>
        <w:t>FCFA a été mobilisée pour soutenir la campagne intermédiaire 2025-2026. Rapporté au budget national, cet effort représente plus de 1% des dépenses annuelles de l’</w:t>
      </w:r>
      <w:r w:rsidR="00417B17" w:rsidRPr="00D42B1B">
        <w:rPr>
          <w:rFonts w:eastAsia="Times New Roman" w:cs="Arial"/>
          <w:color w:val="444444"/>
          <w:szCs w:val="20"/>
          <w:lang w:eastAsia="fr-FR"/>
        </w:rPr>
        <w:t>E</w:t>
      </w:r>
      <w:r w:rsidRPr="00D42B1B">
        <w:rPr>
          <w:rFonts w:eastAsia="Times New Roman" w:cs="Arial"/>
          <w:color w:val="444444"/>
          <w:szCs w:val="20"/>
          <w:lang w:eastAsia="fr-FR"/>
        </w:rPr>
        <w:t>tat pour une seule demi-campagne.</w:t>
      </w:r>
      <w:r w:rsidR="00417B17"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Au-delà de la conjoncture, le rapport identifie trois vulnérabilités majeures : la dépendance aux cours mondiaux fixés à Londres et New York, la faible transformation locale du cacao et la concentration excessive de l’économie ivoirienne autour d’un produit unique. Malgré son statut de premier producteur mondial, la Côte d’Ivoire </w:t>
      </w:r>
      <w:r w:rsidRPr="00D42B1B">
        <w:rPr>
          <w:rFonts w:eastAsia="Times New Roman" w:cs="Arial"/>
          <w:color w:val="444444"/>
          <w:szCs w:val="20"/>
          <w:lang w:eastAsia="fr-FR"/>
        </w:rPr>
        <w:lastRenderedPageBreak/>
        <w:t>exporte encore l’essentiel de sa production sous forme brute et ne capte qu’une fraction de la valeur créée par l’industrie mondiale du chocolat.</w:t>
      </w:r>
      <w:r w:rsidR="00417B17" w:rsidRPr="00D42B1B">
        <w:rPr>
          <w:rFonts w:eastAsia="Times New Roman" w:cs="Arial"/>
          <w:color w:val="444444"/>
          <w:szCs w:val="20"/>
          <w:lang w:eastAsia="fr-FR"/>
        </w:rPr>
        <w:t xml:space="preserve"> </w:t>
      </w:r>
      <w:r w:rsidRPr="00D42B1B">
        <w:rPr>
          <w:rFonts w:eastAsia="Times New Roman" w:cs="Arial"/>
          <w:color w:val="444444"/>
          <w:szCs w:val="20"/>
          <w:lang w:eastAsia="fr-FR"/>
        </w:rPr>
        <w:t>Pour les auteurs du rapport, l’avenir de la filière passera moins par la gestion administrative des prix que par l’accélération de la transformation locale, le renouvellement des vergers vieillissants, le renforcement de la coopération avec le Ghana et la mise en place de mécanismes financiers capables d’atténuer les effets des cycles mondiaux. L’exemple de la filière anacarde, dont le taux de transformation locale est passé de 6 % à 43 % en une décennie, montre qu’une telle mutation est possible.</w:t>
      </w:r>
      <w:r w:rsidR="00994F92"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La crise du cacao ivoirien apparaît ainsi moins comme un accident de parcours que comme le révélateur d’un défi plus profond : celui de la capacité </w:t>
      </w:r>
      <w:r w:rsidR="00994F92" w:rsidRPr="00D42B1B">
        <w:rPr>
          <w:rFonts w:eastAsia="Times New Roman" w:cs="Arial"/>
          <w:color w:val="444444"/>
          <w:szCs w:val="20"/>
          <w:lang w:eastAsia="fr-FR"/>
        </w:rPr>
        <w:t xml:space="preserve">du pays </w:t>
      </w:r>
      <w:r w:rsidRPr="00D42B1B">
        <w:rPr>
          <w:rFonts w:eastAsia="Times New Roman" w:cs="Arial"/>
          <w:color w:val="444444"/>
          <w:szCs w:val="20"/>
          <w:lang w:eastAsia="fr-FR"/>
        </w:rPr>
        <w:t xml:space="preserve">à transformer sur son sol </w:t>
      </w:r>
      <w:r w:rsidR="00994F92" w:rsidRPr="00D42B1B">
        <w:rPr>
          <w:rFonts w:eastAsia="Times New Roman" w:cs="Arial"/>
          <w:color w:val="444444"/>
          <w:szCs w:val="20"/>
          <w:lang w:eastAsia="fr-FR"/>
        </w:rPr>
        <w:t xml:space="preserve">une </w:t>
      </w:r>
      <w:r w:rsidRPr="00D42B1B">
        <w:rPr>
          <w:rFonts w:eastAsia="Times New Roman" w:cs="Arial"/>
          <w:color w:val="444444"/>
          <w:szCs w:val="20"/>
          <w:lang w:eastAsia="fr-FR"/>
        </w:rPr>
        <w:t>matière première dont elle demeure le premier fournisseur mondial.</w:t>
      </w:r>
    </w:p>
    <w:p w14:paraId="39CEDA16" w14:textId="77777777" w:rsidR="0082422A" w:rsidRPr="00D42B1B" w:rsidRDefault="0082422A" w:rsidP="006107EC">
      <w:pPr>
        <w:shd w:val="clear" w:color="auto" w:fill="FFFFFF"/>
        <w:spacing w:after="0" w:line="276" w:lineRule="auto"/>
        <w:rPr>
          <w:rFonts w:eastAsia="Times New Roman" w:cs="Arial"/>
          <w:color w:val="444444"/>
          <w:szCs w:val="20"/>
          <w:lang w:eastAsia="fr-FR"/>
        </w:rPr>
      </w:pPr>
    </w:p>
    <w:p w14:paraId="25053ED2" w14:textId="77777777" w:rsidR="00004283" w:rsidRPr="00D42B1B" w:rsidRDefault="00004283" w:rsidP="00004283">
      <w:pPr>
        <w:pStyle w:val="Titre2"/>
        <w:spacing w:before="0"/>
        <w:rPr>
          <w:rFonts w:eastAsiaTheme="minorHAnsi"/>
        </w:rPr>
      </w:pPr>
      <w:bookmarkStart w:id="55" w:name="_Toc233878679"/>
      <w:bookmarkStart w:id="56" w:name="_Hlk232253877"/>
      <w:r w:rsidRPr="00D42B1B">
        <w:rPr>
          <w:rFonts w:eastAsia="Times New Roman" w:cs="Arial"/>
          <w:color w:val="444444"/>
          <w:szCs w:val="20"/>
          <w:lang w:eastAsia="fr-FR"/>
        </w:rPr>
        <w:t>Cacao - Opération de diagnostic et de catégorisation des sociétés coopératives.</w:t>
      </w:r>
      <w:bookmarkEnd w:id="55"/>
    </w:p>
    <w:bookmarkEnd w:id="46"/>
    <w:bookmarkEnd w:id="56"/>
    <w:p w14:paraId="5547C47F" w14:textId="46F56A60" w:rsidR="00004283" w:rsidRPr="00D42B1B" w:rsidRDefault="00004283" w:rsidP="00004283">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Le Conseil du Café-Cacao a lancé les 28 et 29 mai les diagnostics et la catégorisation de 282 sociétés coopératives de la région du </w:t>
      </w:r>
      <w:proofErr w:type="spellStart"/>
      <w:r w:rsidRPr="00D42B1B">
        <w:rPr>
          <w:rFonts w:eastAsia="Times New Roman" w:cs="Arial"/>
          <w:color w:val="444444"/>
          <w:szCs w:val="20"/>
          <w:lang w:eastAsia="fr-FR"/>
        </w:rPr>
        <w:t>Guémon</w:t>
      </w:r>
      <w:proofErr w:type="spellEnd"/>
      <w:r w:rsidRPr="00D42B1B">
        <w:rPr>
          <w:rFonts w:eastAsia="Times New Roman" w:cs="Arial"/>
          <w:color w:val="444444"/>
          <w:szCs w:val="20"/>
          <w:lang w:eastAsia="fr-FR"/>
        </w:rPr>
        <w:t xml:space="preserve"> et 339 sociétés coopératives de la région du Cavally,</w:t>
      </w:r>
      <w:r w:rsidRPr="00D42B1B">
        <w:t xml:space="preserve"> </w:t>
      </w:r>
      <w:r w:rsidRPr="00D42B1B">
        <w:rPr>
          <w:rFonts w:eastAsia="Times New Roman" w:cs="Arial"/>
          <w:color w:val="444444"/>
          <w:szCs w:val="20"/>
          <w:lang w:eastAsia="fr-FR"/>
        </w:rPr>
        <w:t xml:space="preserve">en vue de renforcer leur structuration, leur performance et leur intégration économique dans la filière café-cacao. L’opération, qui doit s’étendre sur 120 jours, vise à identifier les coopératives existantes, à évaluer leur niveau d’organisation et leurs performances économiques et financières, à recenser les difficultés auxquelles elles sont confrontées et à proposer des solutions adaptées à leur développement. Cette initiative est destinée à améliorer la gouvernance et la compétitivité des organisations de producteurs afin de disposer de coopératives solides et viables pour assurer le développement durable de la filière café-cacao. Les cabinets GMC-ECOFIN et </w:t>
      </w:r>
      <w:proofErr w:type="spellStart"/>
      <w:r w:rsidRPr="00D42B1B">
        <w:rPr>
          <w:rFonts w:eastAsia="Times New Roman" w:cs="Arial"/>
          <w:color w:val="444444"/>
          <w:szCs w:val="20"/>
          <w:lang w:eastAsia="fr-FR"/>
        </w:rPr>
        <w:t>Ecowise</w:t>
      </w:r>
      <w:proofErr w:type="spellEnd"/>
      <w:r w:rsidRPr="00D42B1B">
        <w:rPr>
          <w:rFonts w:eastAsia="Times New Roman" w:cs="Arial"/>
          <w:color w:val="444444"/>
          <w:szCs w:val="20"/>
          <w:lang w:eastAsia="fr-FR"/>
        </w:rPr>
        <w:t xml:space="preserve">, sont chargés de l’opération pour la région du </w:t>
      </w:r>
      <w:proofErr w:type="spellStart"/>
      <w:r w:rsidRPr="00D42B1B">
        <w:rPr>
          <w:rFonts w:eastAsia="Times New Roman" w:cs="Arial"/>
          <w:color w:val="444444"/>
          <w:szCs w:val="20"/>
          <w:lang w:eastAsia="fr-FR"/>
        </w:rPr>
        <w:t>Guémon</w:t>
      </w:r>
      <w:proofErr w:type="spellEnd"/>
      <w:r w:rsidRPr="00D42B1B">
        <w:rPr>
          <w:rFonts w:eastAsia="Times New Roman" w:cs="Arial"/>
          <w:color w:val="444444"/>
          <w:szCs w:val="20"/>
          <w:lang w:eastAsia="fr-FR"/>
        </w:rPr>
        <w:t xml:space="preserve"> et le cabinet Mont Horeb pour la région du Cavally.</w:t>
      </w:r>
    </w:p>
    <w:p w14:paraId="4FFEBAD1" w14:textId="7A51CAE0" w:rsidR="005F4B65" w:rsidRPr="00D42B1B" w:rsidRDefault="005F4B65" w:rsidP="00004283">
      <w:pPr>
        <w:shd w:val="clear" w:color="auto" w:fill="FFFFFF"/>
        <w:spacing w:after="0" w:line="276" w:lineRule="auto"/>
        <w:rPr>
          <w:rFonts w:eastAsia="Times New Roman" w:cs="Arial"/>
          <w:color w:val="444444"/>
          <w:szCs w:val="20"/>
          <w:lang w:eastAsia="fr-FR"/>
        </w:rPr>
      </w:pPr>
    </w:p>
    <w:p w14:paraId="165D9D1A" w14:textId="02D74949" w:rsidR="005F4B65" w:rsidRPr="00D42B1B" w:rsidRDefault="005F4B65" w:rsidP="008E54C0">
      <w:pPr>
        <w:pStyle w:val="Titre2"/>
        <w:spacing w:before="0"/>
        <w:rPr>
          <w:rFonts w:eastAsiaTheme="minorHAnsi"/>
        </w:rPr>
      </w:pPr>
      <w:bookmarkStart w:id="57" w:name="_Toc233878680"/>
      <w:r w:rsidRPr="00D42B1B">
        <w:rPr>
          <w:rFonts w:eastAsia="Times New Roman" w:cs="Arial"/>
          <w:color w:val="444444"/>
          <w:szCs w:val="20"/>
          <w:lang w:eastAsia="fr-FR"/>
        </w:rPr>
        <w:t>Cacao - L’</w:t>
      </w:r>
      <w:r w:rsidR="00C323DE" w:rsidRPr="00D42B1B">
        <w:rPr>
          <w:rFonts w:eastAsia="Times New Roman" w:cs="Arial"/>
          <w:color w:val="444444"/>
          <w:szCs w:val="20"/>
          <w:lang w:eastAsia="fr-FR"/>
        </w:rPr>
        <w:t xml:space="preserve">Institut national polytechnique-Félix Houphouët-Boigny (INP-HB) </w:t>
      </w:r>
      <w:r w:rsidRPr="00D42B1B">
        <w:rPr>
          <w:rFonts w:eastAsia="Times New Roman" w:cs="Arial"/>
          <w:color w:val="444444"/>
          <w:szCs w:val="20"/>
          <w:lang w:eastAsia="fr-FR"/>
        </w:rPr>
        <w:t xml:space="preserve">et </w:t>
      </w:r>
      <w:r w:rsidR="00C323DE" w:rsidRPr="00D42B1B">
        <w:rPr>
          <w:rFonts w:eastAsia="Times New Roman" w:cs="Arial"/>
          <w:color w:val="444444"/>
          <w:szCs w:val="20"/>
          <w:lang w:eastAsia="fr-FR"/>
        </w:rPr>
        <w:t xml:space="preserve">l’Université </w:t>
      </w:r>
      <w:r w:rsidRPr="00D42B1B">
        <w:rPr>
          <w:rFonts w:eastAsia="Times New Roman" w:cs="Arial"/>
          <w:color w:val="444444"/>
          <w:szCs w:val="20"/>
          <w:lang w:eastAsia="fr-FR"/>
        </w:rPr>
        <w:t>Harvard posent les bases d’un partenariat scientifique autour de la cacao-culture</w:t>
      </w:r>
      <w:r w:rsidR="00C323DE" w:rsidRPr="00D42B1B">
        <w:rPr>
          <w:rFonts w:eastAsia="Times New Roman" w:cs="Arial"/>
          <w:color w:val="444444"/>
          <w:szCs w:val="20"/>
          <w:lang w:eastAsia="fr-FR"/>
        </w:rPr>
        <w:t>.</w:t>
      </w:r>
      <w:bookmarkEnd w:id="57"/>
    </w:p>
    <w:p w14:paraId="2EE0E33F" w14:textId="73786AC3" w:rsidR="005F4B65" w:rsidRPr="00D42B1B" w:rsidRDefault="00C323DE" w:rsidP="005F4B65">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L</w:t>
      </w:r>
      <w:r w:rsidR="005F4B65" w:rsidRPr="00D42B1B">
        <w:rPr>
          <w:rFonts w:eastAsia="Times New Roman" w:cs="Arial"/>
          <w:color w:val="444444"/>
          <w:szCs w:val="20"/>
          <w:lang w:eastAsia="fr-FR"/>
        </w:rPr>
        <w:t xml:space="preserve">'INP-HB a accueilli </w:t>
      </w:r>
      <w:r w:rsidRPr="00D42B1B">
        <w:rPr>
          <w:rFonts w:eastAsia="Times New Roman" w:cs="Arial"/>
          <w:color w:val="444444"/>
          <w:szCs w:val="20"/>
          <w:lang w:eastAsia="fr-FR"/>
        </w:rPr>
        <w:t>l</w:t>
      </w:r>
      <w:r w:rsidR="005F4B65" w:rsidRPr="00D42B1B">
        <w:rPr>
          <w:rFonts w:eastAsia="Times New Roman" w:cs="Arial"/>
          <w:color w:val="444444"/>
          <w:szCs w:val="20"/>
          <w:lang w:eastAsia="fr-FR"/>
        </w:rPr>
        <w:t xml:space="preserve">e 18 juin, une délégation de l'Université Harvard, à l'occasion d'une visite destinée à jeter les bases d'une collaboration académique et scientifique. Cette mission s'inscrit dans le cadre d'une subvention accordée par le </w:t>
      </w:r>
      <w:proofErr w:type="spellStart"/>
      <w:r w:rsidR="005F4B65" w:rsidRPr="00D42B1B">
        <w:rPr>
          <w:rFonts w:eastAsia="Times New Roman" w:cs="Arial"/>
          <w:i/>
          <w:iCs/>
          <w:color w:val="444444"/>
          <w:szCs w:val="20"/>
          <w:lang w:eastAsia="fr-FR"/>
        </w:rPr>
        <w:t>Motsepe</w:t>
      </w:r>
      <w:proofErr w:type="spellEnd"/>
      <w:r w:rsidR="005F4B65" w:rsidRPr="00D42B1B">
        <w:rPr>
          <w:rFonts w:eastAsia="Times New Roman" w:cs="Arial"/>
          <w:i/>
          <w:iCs/>
          <w:color w:val="444444"/>
          <w:szCs w:val="20"/>
          <w:lang w:eastAsia="fr-FR"/>
        </w:rPr>
        <w:t xml:space="preserve"> </w:t>
      </w:r>
      <w:proofErr w:type="spellStart"/>
      <w:r w:rsidR="005F4B65" w:rsidRPr="00D42B1B">
        <w:rPr>
          <w:rFonts w:eastAsia="Times New Roman" w:cs="Arial"/>
          <w:i/>
          <w:iCs/>
          <w:color w:val="444444"/>
          <w:szCs w:val="20"/>
          <w:lang w:eastAsia="fr-FR"/>
        </w:rPr>
        <w:t>Presidential</w:t>
      </w:r>
      <w:proofErr w:type="spellEnd"/>
      <w:r w:rsidR="005F4B65" w:rsidRPr="00D42B1B">
        <w:rPr>
          <w:rFonts w:eastAsia="Times New Roman" w:cs="Arial"/>
          <w:i/>
          <w:iCs/>
          <w:color w:val="444444"/>
          <w:szCs w:val="20"/>
          <w:lang w:eastAsia="fr-FR"/>
        </w:rPr>
        <w:t xml:space="preserve"> </w:t>
      </w:r>
      <w:proofErr w:type="spellStart"/>
      <w:r w:rsidR="005F4B65" w:rsidRPr="00D42B1B">
        <w:rPr>
          <w:rFonts w:eastAsia="Times New Roman" w:cs="Arial"/>
          <w:i/>
          <w:iCs/>
          <w:color w:val="444444"/>
          <w:szCs w:val="20"/>
          <w:lang w:eastAsia="fr-FR"/>
        </w:rPr>
        <w:t>Research</w:t>
      </w:r>
      <w:proofErr w:type="spellEnd"/>
      <w:r w:rsidR="005F4B65" w:rsidRPr="00D42B1B">
        <w:rPr>
          <w:rFonts w:eastAsia="Times New Roman" w:cs="Arial"/>
          <w:i/>
          <w:iCs/>
          <w:color w:val="444444"/>
          <w:szCs w:val="20"/>
          <w:lang w:eastAsia="fr-FR"/>
        </w:rPr>
        <w:t xml:space="preserve"> Accelerator </w:t>
      </w:r>
      <w:proofErr w:type="spellStart"/>
      <w:r w:rsidR="005F4B65" w:rsidRPr="00D42B1B">
        <w:rPr>
          <w:rFonts w:eastAsia="Times New Roman" w:cs="Arial"/>
          <w:i/>
          <w:iCs/>
          <w:color w:val="444444"/>
          <w:szCs w:val="20"/>
          <w:lang w:eastAsia="fr-FR"/>
        </w:rPr>
        <w:t>Fund</w:t>
      </w:r>
      <w:proofErr w:type="spellEnd"/>
      <w:r w:rsidR="005F4B65" w:rsidRPr="00D42B1B">
        <w:rPr>
          <w:rFonts w:eastAsia="Times New Roman" w:cs="Arial"/>
          <w:i/>
          <w:iCs/>
          <w:color w:val="444444"/>
          <w:szCs w:val="20"/>
          <w:lang w:eastAsia="fr-FR"/>
        </w:rPr>
        <w:t xml:space="preserve"> for </w:t>
      </w:r>
      <w:proofErr w:type="spellStart"/>
      <w:r w:rsidR="005F4B65" w:rsidRPr="00D42B1B">
        <w:rPr>
          <w:rFonts w:eastAsia="Times New Roman" w:cs="Arial"/>
          <w:i/>
          <w:iCs/>
          <w:color w:val="444444"/>
          <w:szCs w:val="20"/>
          <w:lang w:eastAsia="fr-FR"/>
        </w:rPr>
        <w:t>Africa</w:t>
      </w:r>
      <w:proofErr w:type="spellEnd"/>
      <w:r w:rsidR="005F4B65" w:rsidRPr="00D42B1B">
        <w:rPr>
          <w:rFonts w:eastAsia="Times New Roman" w:cs="Arial"/>
          <w:color w:val="444444"/>
          <w:szCs w:val="20"/>
          <w:lang w:eastAsia="fr-FR"/>
        </w:rPr>
        <w:t xml:space="preserve">, Fonds présidentiel </w:t>
      </w:r>
      <w:proofErr w:type="spellStart"/>
      <w:r w:rsidR="005F4B65" w:rsidRPr="00D42B1B">
        <w:rPr>
          <w:rFonts w:eastAsia="Times New Roman" w:cs="Arial"/>
          <w:color w:val="444444"/>
          <w:szCs w:val="20"/>
          <w:lang w:eastAsia="fr-FR"/>
        </w:rPr>
        <w:t>Motsepe</w:t>
      </w:r>
      <w:proofErr w:type="spellEnd"/>
      <w:r w:rsidR="005F4B65" w:rsidRPr="00D42B1B">
        <w:rPr>
          <w:rFonts w:eastAsia="Times New Roman" w:cs="Arial"/>
          <w:color w:val="444444"/>
          <w:szCs w:val="20"/>
          <w:lang w:eastAsia="fr-FR"/>
        </w:rPr>
        <w:t xml:space="preserve"> dédié à l'accélération de la recherche en Afrique, à une équipe internationale de chercheurs qui pilote le projet intitulé </w:t>
      </w:r>
      <w:proofErr w:type="spellStart"/>
      <w:r w:rsidR="005F4B65" w:rsidRPr="00D42B1B">
        <w:rPr>
          <w:rFonts w:eastAsia="Times New Roman" w:cs="Arial"/>
          <w:i/>
          <w:iCs/>
          <w:color w:val="444444"/>
          <w:szCs w:val="20"/>
          <w:lang w:eastAsia="fr-FR"/>
        </w:rPr>
        <w:t>Towards</w:t>
      </w:r>
      <w:proofErr w:type="spellEnd"/>
      <w:r w:rsidR="005F4B65" w:rsidRPr="00D42B1B">
        <w:rPr>
          <w:rFonts w:eastAsia="Times New Roman" w:cs="Arial"/>
          <w:i/>
          <w:iCs/>
          <w:color w:val="444444"/>
          <w:szCs w:val="20"/>
          <w:lang w:eastAsia="fr-FR"/>
        </w:rPr>
        <w:t xml:space="preserve"> a Cocoa Producer-</w:t>
      </w:r>
      <w:proofErr w:type="spellStart"/>
      <w:r w:rsidR="005F4B65" w:rsidRPr="00D42B1B">
        <w:rPr>
          <w:rFonts w:eastAsia="Times New Roman" w:cs="Arial"/>
          <w:i/>
          <w:iCs/>
          <w:color w:val="444444"/>
          <w:szCs w:val="20"/>
          <w:lang w:eastAsia="fr-FR"/>
        </w:rPr>
        <w:t>Focused</w:t>
      </w:r>
      <w:proofErr w:type="spellEnd"/>
      <w:r w:rsidR="005F4B65" w:rsidRPr="00D42B1B">
        <w:rPr>
          <w:rFonts w:eastAsia="Times New Roman" w:cs="Arial"/>
          <w:i/>
          <w:iCs/>
          <w:color w:val="444444"/>
          <w:szCs w:val="20"/>
          <w:lang w:eastAsia="fr-FR"/>
        </w:rPr>
        <w:t xml:space="preserve"> </w:t>
      </w:r>
      <w:proofErr w:type="spellStart"/>
      <w:r w:rsidR="005F4B65" w:rsidRPr="00D42B1B">
        <w:rPr>
          <w:rFonts w:eastAsia="Times New Roman" w:cs="Arial"/>
          <w:i/>
          <w:iCs/>
          <w:color w:val="444444"/>
          <w:szCs w:val="20"/>
          <w:lang w:eastAsia="fr-FR"/>
        </w:rPr>
        <w:t>Climate</w:t>
      </w:r>
      <w:proofErr w:type="spellEnd"/>
      <w:r w:rsidR="005F4B65" w:rsidRPr="00D42B1B">
        <w:rPr>
          <w:rFonts w:eastAsia="Times New Roman" w:cs="Arial"/>
          <w:i/>
          <w:iCs/>
          <w:color w:val="444444"/>
          <w:szCs w:val="20"/>
          <w:lang w:eastAsia="fr-FR"/>
        </w:rPr>
        <w:t xml:space="preserve"> Policy in Côte d'Ivoire and Ghana</w:t>
      </w:r>
      <w:r w:rsidR="005F4B65" w:rsidRPr="00D42B1B">
        <w:rPr>
          <w:rFonts w:eastAsia="Times New Roman" w:cs="Arial"/>
          <w:color w:val="444444"/>
          <w:szCs w:val="20"/>
          <w:lang w:eastAsia="fr-FR"/>
        </w:rPr>
        <w:t>.</w:t>
      </w:r>
      <w:r w:rsidRPr="00D42B1B">
        <w:rPr>
          <w:rFonts w:eastAsia="Times New Roman" w:cs="Arial"/>
          <w:color w:val="444444"/>
          <w:szCs w:val="20"/>
          <w:lang w:eastAsia="fr-FR"/>
        </w:rPr>
        <w:t xml:space="preserve"> </w:t>
      </w:r>
      <w:r w:rsidR="005F4B65" w:rsidRPr="00D42B1B">
        <w:rPr>
          <w:rFonts w:eastAsia="Times New Roman" w:cs="Arial"/>
          <w:color w:val="444444"/>
          <w:szCs w:val="20"/>
          <w:lang w:eastAsia="fr-FR"/>
        </w:rPr>
        <w:t>Cette coopération</w:t>
      </w:r>
      <w:r w:rsidRPr="00D42B1B">
        <w:rPr>
          <w:rFonts w:eastAsia="Times New Roman" w:cs="Arial"/>
          <w:color w:val="444444"/>
          <w:szCs w:val="20"/>
          <w:lang w:eastAsia="fr-FR"/>
        </w:rPr>
        <w:t xml:space="preserve"> aurait pour objectif d’</w:t>
      </w:r>
      <w:r w:rsidR="005F4B65" w:rsidRPr="00D42B1B">
        <w:rPr>
          <w:rFonts w:eastAsia="Times New Roman" w:cs="Arial"/>
          <w:color w:val="444444"/>
          <w:szCs w:val="20"/>
          <w:lang w:eastAsia="fr-FR"/>
        </w:rPr>
        <w:t>analyser l'impact du changement climatique sur les producteurs de cacao en Côte d'Ivoire et au Ghana, afin de proposer des politiques publiques plus adaptées aux réalités du terrain. L'INP-HB a salué cette initiative qui permettra à l'établissement ivoirien de renforcer ses relations avec les institutions nord-américaines et d'accroître son rayonnement scientifique à l'échelle internationale. L'ambition du partenariat est de placer le producteur au centre de toutes les initiatives. Les échanges entre les différentes parties ont permis d'identifier plusieurs priorités, parmi lesquelles la nécessité de mieux prendre en compte la perception des producteurs dans la conception des politiques agricoles, de garantir une meilleure répartition de la valeur créée au sein de la chaîne et de raccourcir les circuits d'information afin de rendre les interventions publiques plus efficaces.</w:t>
      </w:r>
      <w:r w:rsidR="008E54C0" w:rsidRPr="00D42B1B">
        <w:rPr>
          <w:rFonts w:eastAsia="Times New Roman" w:cs="Arial"/>
          <w:color w:val="444444"/>
          <w:szCs w:val="20"/>
          <w:lang w:eastAsia="fr-FR"/>
        </w:rPr>
        <w:t xml:space="preserve"> </w:t>
      </w:r>
      <w:r w:rsidR="005F4B65" w:rsidRPr="00D42B1B">
        <w:rPr>
          <w:rFonts w:eastAsia="Times New Roman" w:cs="Arial"/>
          <w:color w:val="444444"/>
          <w:szCs w:val="20"/>
          <w:lang w:eastAsia="fr-FR"/>
        </w:rPr>
        <w:t xml:space="preserve">Dans cette approche, le </w:t>
      </w:r>
      <w:r w:rsidRPr="00D42B1B">
        <w:rPr>
          <w:rFonts w:eastAsia="Times New Roman" w:cs="Arial"/>
          <w:color w:val="444444"/>
          <w:szCs w:val="20"/>
          <w:lang w:eastAsia="fr-FR"/>
        </w:rPr>
        <w:t xml:space="preserve">producteur </w:t>
      </w:r>
      <w:r w:rsidR="005F4B65" w:rsidRPr="00D42B1B">
        <w:rPr>
          <w:rFonts w:eastAsia="Times New Roman" w:cs="Arial"/>
          <w:color w:val="444444"/>
          <w:szCs w:val="20"/>
          <w:lang w:eastAsia="fr-FR"/>
        </w:rPr>
        <w:t xml:space="preserve">est considéré comme un acteur dont la productivité et le bien-être conditionnent la pérennité de toute la filière. En associant l'expertise internationale d'Harvard à la connaissance du terrain et au </w:t>
      </w:r>
      <w:r w:rsidR="005F4B65" w:rsidRPr="00D42B1B">
        <w:rPr>
          <w:rFonts w:eastAsia="Times New Roman" w:cs="Arial"/>
          <w:color w:val="444444"/>
          <w:szCs w:val="20"/>
          <w:lang w:eastAsia="fr-FR"/>
        </w:rPr>
        <w:lastRenderedPageBreak/>
        <w:t xml:space="preserve">savoir-faire de l'INP-HB, ce partenariat pourrait contribuer à bâtir des solutions innovantes et adaptées aux réalités </w:t>
      </w:r>
      <w:r w:rsidR="008E54C0" w:rsidRPr="00D42B1B">
        <w:rPr>
          <w:rFonts w:eastAsia="Times New Roman" w:cs="Arial"/>
          <w:color w:val="444444"/>
          <w:szCs w:val="20"/>
          <w:lang w:eastAsia="fr-FR"/>
        </w:rPr>
        <w:t>locales.</w:t>
      </w:r>
    </w:p>
    <w:p w14:paraId="635A9918" w14:textId="77777777" w:rsidR="008E54C0" w:rsidRPr="00D42B1B" w:rsidRDefault="008E54C0" w:rsidP="008E54C0">
      <w:pPr>
        <w:shd w:val="clear" w:color="auto" w:fill="FFFFFF"/>
        <w:spacing w:after="0" w:line="276" w:lineRule="auto"/>
        <w:rPr>
          <w:rFonts w:eastAsia="Times New Roman" w:cs="Arial"/>
          <w:color w:val="444444"/>
          <w:szCs w:val="20"/>
          <w:lang w:eastAsia="fr-FR"/>
        </w:rPr>
      </w:pPr>
    </w:p>
    <w:p w14:paraId="549F02B5" w14:textId="7E317D51" w:rsidR="008E54C0" w:rsidRPr="00D42B1B" w:rsidRDefault="008E54C0" w:rsidP="00113E7F">
      <w:pPr>
        <w:pStyle w:val="Titre2"/>
        <w:spacing w:before="0"/>
        <w:rPr>
          <w:rFonts w:eastAsiaTheme="minorHAnsi"/>
        </w:rPr>
      </w:pPr>
      <w:bookmarkStart w:id="58" w:name="_Toc233878681"/>
      <w:r w:rsidRPr="00D42B1B">
        <w:rPr>
          <w:rFonts w:eastAsia="Times New Roman" w:cs="Arial"/>
          <w:color w:val="444444"/>
          <w:szCs w:val="20"/>
          <w:lang w:eastAsia="fr-FR"/>
        </w:rPr>
        <w:t xml:space="preserve">Cacao - Save the </w:t>
      </w:r>
      <w:proofErr w:type="spellStart"/>
      <w:r w:rsidRPr="00D42B1B">
        <w:rPr>
          <w:rFonts w:eastAsia="Times New Roman" w:cs="Arial"/>
          <w:color w:val="444444"/>
          <w:szCs w:val="20"/>
          <w:lang w:eastAsia="fr-FR"/>
        </w:rPr>
        <w:t>Children</w:t>
      </w:r>
      <w:proofErr w:type="spellEnd"/>
      <w:r w:rsidRPr="00D42B1B">
        <w:rPr>
          <w:rFonts w:eastAsia="Times New Roman" w:cs="Arial"/>
          <w:color w:val="444444"/>
          <w:szCs w:val="20"/>
          <w:lang w:eastAsia="fr-FR"/>
        </w:rPr>
        <w:t xml:space="preserve"> et International Cocoa Initiative (ICI) renforcent leur partenariat pour lutter contre le travail des enfants.</w:t>
      </w:r>
      <w:bookmarkEnd w:id="58"/>
    </w:p>
    <w:p w14:paraId="25FD91C8" w14:textId="60B1CBEE" w:rsidR="008E54C0" w:rsidRPr="00D42B1B" w:rsidRDefault="008E54C0" w:rsidP="008E54C0">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Le directeur pays de Save the </w:t>
      </w:r>
      <w:proofErr w:type="spellStart"/>
      <w:r w:rsidRPr="00D42B1B">
        <w:rPr>
          <w:rFonts w:eastAsia="Times New Roman" w:cs="Arial"/>
          <w:color w:val="444444"/>
          <w:szCs w:val="20"/>
          <w:lang w:eastAsia="fr-FR"/>
        </w:rPr>
        <w:t>Children</w:t>
      </w:r>
      <w:proofErr w:type="spellEnd"/>
      <w:r w:rsidRPr="00D42B1B">
        <w:rPr>
          <w:rFonts w:eastAsia="Times New Roman" w:cs="Arial"/>
          <w:color w:val="444444"/>
          <w:szCs w:val="20"/>
          <w:lang w:eastAsia="fr-FR"/>
        </w:rPr>
        <w:t xml:space="preserve"> en Côte d’Ivoire, M. </w:t>
      </w:r>
      <w:proofErr w:type="spellStart"/>
      <w:r w:rsidRPr="00D42B1B">
        <w:rPr>
          <w:rFonts w:eastAsia="Times New Roman" w:cs="Arial"/>
          <w:color w:val="444444"/>
          <w:szCs w:val="20"/>
          <w:lang w:eastAsia="fr-FR"/>
        </w:rPr>
        <w:t>Akebou</w:t>
      </w:r>
      <w:proofErr w:type="spellEnd"/>
      <w:r w:rsidRPr="00D42B1B">
        <w:rPr>
          <w:rFonts w:eastAsia="Times New Roman" w:cs="Arial"/>
          <w:color w:val="444444"/>
          <w:szCs w:val="20"/>
          <w:lang w:eastAsia="fr-FR"/>
        </w:rPr>
        <w:t xml:space="preserve"> Sawadogo, et la directrice Afrique </w:t>
      </w:r>
      <w:bookmarkStart w:id="59" w:name="_Hlk233552535"/>
      <w:r w:rsidRPr="00D42B1B">
        <w:rPr>
          <w:rFonts w:eastAsia="Times New Roman" w:cs="Arial"/>
          <w:color w:val="444444"/>
          <w:szCs w:val="20"/>
          <w:lang w:eastAsia="fr-FR"/>
        </w:rPr>
        <w:t xml:space="preserve">d’International Cocoa Initiative (ICI), </w:t>
      </w:r>
      <w:bookmarkEnd w:id="59"/>
      <w:r w:rsidRPr="00D42B1B">
        <w:rPr>
          <w:rFonts w:eastAsia="Times New Roman" w:cs="Arial"/>
          <w:color w:val="444444"/>
          <w:szCs w:val="20"/>
          <w:lang w:eastAsia="fr-FR"/>
        </w:rPr>
        <w:t xml:space="preserve">Mme </w:t>
      </w:r>
      <w:proofErr w:type="spellStart"/>
      <w:r w:rsidRPr="00D42B1B">
        <w:rPr>
          <w:rFonts w:eastAsia="Times New Roman" w:cs="Arial"/>
          <w:color w:val="444444"/>
          <w:szCs w:val="20"/>
          <w:lang w:eastAsia="fr-FR"/>
        </w:rPr>
        <w:t>Euphrasie</w:t>
      </w:r>
      <w:proofErr w:type="spellEnd"/>
      <w:r w:rsidRPr="00D42B1B">
        <w:rPr>
          <w:rFonts w:eastAsia="Times New Roman" w:cs="Arial"/>
          <w:color w:val="444444"/>
          <w:szCs w:val="20"/>
          <w:lang w:eastAsia="fr-FR"/>
        </w:rPr>
        <w:t xml:space="preserve"> Aka, ont procédé le 23 juin à la signature d’un protocole d’accord marquant une étape dans le renforcement de leur collaboration en faveur de la protection et du bien-être des enfants, notamment dans les zones de production cacaoyère. D’une durée de trois ans, ce protocole d’accord s’articule autour de cinq axes stratégiques, à savoir la mise en place d’approches opérationnelles et d’interventions intégrées, la définition d’un cadre commun visant à renforcer la protection des droits des enfants, le développement de l’apprentissage mutuel et le renforcement des capacités des différents acteurs, l’instauration de mécanismes efficaces de partage d’informations et de coordination, ainsi que le développement de collaborations complémentaires en faveur d’une approche concertée, durable et protectrice. Mme Aka a souligné que ce partenariat traduit une volonté commune d’apporter des réponses durables aux défis persistants liés à la protection de l’enfant, notamment la lutte contre le travail des enfants, l’accès à l’éducation et le renforcement des systèmes communautaires de protection. M. Sawadogo a rappelé que depuis 2013, Save the </w:t>
      </w:r>
      <w:proofErr w:type="spellStart"/>
      <w:r w:rsidRPr="00D42B1B">
        <w:rPr>
          <w:rFonts w:eastAsia="Times New Roman" w:cs="Arial"/>
          <w:color w:val="444444"/>
          <w:szCs w:val="20"/>
          <w:lang w:eastAsia="fr-FR"/>
        </w:rPr>
        <w:t>Children</w:t>
      </w:r>
      <w:proofErr w:type="spellEnd"/>
      <w:r w:rsidRPr="00D42B1B">
        <w:rPr>
          <w:rFonts w:eastAsia="Times New Roman" w:cs="Arial"/>
          <w:color w:val="444444"/>
          <w:szCs w:val="20"/>
          <w:lang w:eastAsia="fr-FR"/>
        </w:rPr>
        <w:t xml:space="preserve"> a mis en œuvre plus de 20 projets de lutte contre le travail des enfants, mobilisant plus de 40 M USD. Ces initiatives ont permis de retirer environ 2 500 enfants des travaux dangereux, de sensibiliser près de 4 M de personnes et de couvrir plus de 15 régions cacaoyères, contribuant ainsi à faire reculer la prévalence du travail des enfants de près de 39% en 2010 à environ 19% en 2025.</w:t>
      </w:r>
    </w:p>
    <w:p w14:paraId="1FE962D9" w14:textId="77777777" w:rsidR="008E54C0" w:rsidRPr="00D42B1B" w:rsidRDefault="008E54C0" w:rsidP="008E54C0">
      <w:pPr>
        <w:shd w:val="clear" w:color="auto" w:fill="FFFFFF"/>
        <w:spacing w:after="0" w:line="276" w:lineRule="auto"/>
        <w:rPr>
          <w:rFonts w:eastAsia="Times New Roman" w:cs="Arial"/>
          <w:color w:val="444444"/>
          <w:szCs w:val="20"/>
          <w:lang w:eastAsia="fr-FR"/>
        </w:rPr>
      </w:pPr>
    </w:p>
    <w:p w14:paraId="4E8BD03A" w14:textId="6CA17219" w:rsidR="00B54664" w:rsidRPr="00D42B1B" w:rsidRDefault="00CF6ECC" w:rsidP="00CF6ECC">
      <w:pPr>
        <w:pStyle w:val="Titre2"/>
        <w:spacing w:before="0"/>
        <w:rPr>
          <w:rFonts w:eastAsiaTheme="minorHAnsi"/>
        </w:rPr>
      </w:pPr>
      <w:bookmarkStart w:id="60" w:name="_Toc233878682"/>
      <w:bookmarkStart w:id="61" w:name="_Hlk233552477"/>
      <w:bookmarkStart w:id="62" w:name="_Hlk233193219"/>
      <w:r w:rsidRPr="00D42B1B">
        <w:rPr>
          <w:rFonts w:eastAsia="Times New Roman" w:cs="Arial"/>
          <w:color w:val="444444"/>
          <w:szCs w:val="20"/>
          <w:lang w:eastAsia="fr-FR"/>
        </w:rPr>
        <w:t xml:space="preserve">Cacao / Café – </w:t>
      </w:r>
      <w:r w:rsidR="00B54664" w:rsidRPr="00D42B1B">
        <w:rPr>
          <w:rFonts w:eastAsia="Times New Roman" w:cs="Arial"/>
          <w:color w:val="444444"/>
          <w:szCs w:val="20"/>
          <w:lang w:eastAsia="fr-FR"/>
        </w:rPr>
        <w:t xml:space="preserve">L’Organisation interprofessionnelle agricole de la filière Café-Cacao </w:t>
      </w:r>
      <w:r w:rsidR="00893EB2" w:rsidRPr="00D42B1B">
        <w:rPr>
          <w:rFonts w:eastAsia="Times New Roman" w:cs="Arial"/>
          <w:color w:val="444444"/>
          <w:szCs w:val="20"/>
          <w:lang w:eastAsia="fr-FR"/>
        </w:rPr>
        <w:t>(</w:t>
      </w:r>
      <w:r w:rsidR="00B54664" w:rsidRPr="00D42B1B">
        <w:rPr>
          <w:rFonts w:eastAsia="Times New Roman" w:cs="Arial"/>
          <w:color w:val="444444"/>
          <w:szCs w:val="20"/>
          <w:lang w:eastAsia="fr-FR"/>
        </w:rPr>
        <w:t>OI</w:t>
      </w:r>
      <w:r w:rsidR="00893EB2" w:rsidRPr="00D42B1B">
        <w:rPr>
          <w:rFonts w:eastAsia="Times New Roman" w:cs="Arial"/>
          <w:color w:val="444444"/>
          <w:szCs w:val="20"/>
          <w:lang w:eastAsia="fr-FR"/>
        </w:rPr>
        <w:t>A</w:t>
      </w:r>
      <w:r w:rsidR="00893EB2" w:rsidRPr="00D42B1B">
        <w:t xml:space="preserve"> </w:t>
      </w:r>
      <w:r w:rsidR="00893EB2" w:rsidRPr="00D42B1B">
        <w:rPr>
          <w:rFonts w:eastAsia="Times New Roman" w:cs="Arial"/>
          <w:color w:val="444444"/>
          <w:szCs w:val="20"/>
          <w:lang w:eastAsia="fr-FR"/>
        </w:rPr>
        <w:t xml:space="preserve">Café-Cacao) se dote d’un budget de </w:t>
      </w:r>
      <w:r w:rsidR="00B54664" w:rsidRPr="00D42B1B">
        <w:rPr>
          <w:rFonts w:eastAsia="Times New Roman" w:cs="Arial"/>
          <w:color w:val="444444"/>
          <w:szCs w:val="20"/>
          <w:lang w:eastAsia="fr-FR"/>
        </w:rPr>
        <w:t>15,8 Md FCFA</w:t>
      </w:r>
      <w:r w:rsidR="00893EB2" w:rsidRPr="00D42B1B">
        <w:rPr>
          <w:rFonts w:eastAsia="Times New Roman" w:cs="Arial"/>
          <w:color w:val="444444"/>
          <w:szCs w:val="20"/>
          <w:lang w:eastAsia="fr-FR"/>
        </w:rPr>
        <w:t>.</w:t>
      </w:r>
      <w:bookmarkEnd w:id="60"/>
    </w:p>
    <w:bookmarkEnd w:id="61"/>
    <w:p w14:paraId="36DD34C5" w14:textId="25F2764A" w:rsidR="00DA6C7A" w:rsidRPr="00D42B1B" w:rsidRDefault="00893EB2" w:rsidP="00B54664">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A</w:t>
      </w:r>
      <w:r w:rsidR="00B54664" w:rsidRPr="00D42B1B">
        <w:rPr>
          <w:rFonts w:eastAsia="Times New Roman" w:cs="Arial"/>
          <w:color w:val="444444"/>
          <w:szCs w:val="20"/>
          <w:lang w:eastAsia="fr-FR"/>
        </w:rPr>
        <w:t xml:space="preserve"> l'occasion de la </w:t>
      </w:r>
      <w:r w:rsidRPr="00D42B1B">
        <w:rPr>
          <w:rFonts w:eastAsia="Times New Roman" w:cs="Arial"/>
          <w:color w:val="444444"/>
          <w:szCs w:val="20"/>
          <w:lang w:eastAsia="fr-FR"/>
        </w:rPr>
        <w:t>1</w:t>
      </w:r>
      <w:r w:rsidRPr="00D42B1B">
        <w:rPr>
          <w:rFonts w:eastAsia="Times New Roman" w:cs="Arial"/>
          <w:color w:val="444444"/>
          <w:szCs w:val="20"/>
          <w:vertAlign w:val="superscript"/>
          <w:lang w:eastAsia="fr-FR"/>
        </w:rPr>
        <w:t>ère</w:t>
      </w:r>
      <w:r w:rsidRPr="00D42B1B">
        <w:rPr>
          <w:rFonts w:eastAsia="Times New Roman" w:cs="Arial"/>
          <w:color w:val="444444"/>
          <w:szCs w:val="20"/>
          <w:lang w:eastAsia="fr-FR"/>
        </w:rPr>
        <w:t xml:space="preserve"> a</w:t>
      </w:r>
      <w:r w:rsidR="00B54664" w:rsidRPr="00D42B1B">
        <w:rPr>
          <w:rFonts w:eastAsia="Times New Roman" w:cs="Arial"/>
          <w:color w:val="444444"/>
          <w:szCs w:val="20"/>
          <w:lang w:eastAsia="fr-FR"/>
        </w:rPr>
        <w:t xml:space="preserve">ssemblée générale de OIA </w:t>
      </w:r>
      <w:bookmarkStart w:id="63" w:name="_Hlk233139582"/>
      <w:r w:rsidR="00B54664" w:rsidRPr="00D42B1B">
        <w:rPr>
          <w:rFonts w:eastAsia="Times New Roman" w:cs="Arial"/>
          <w:color w:val="444444"/>
          <w:szCs w:val="20"/>
          <w:lang w:eastAsia="fr-FR"/>
        </w:rPr>
        <w:t>Café-Cacao</w:t>
      </w:r>
      <w:bookmarkEnd w:id="63"/>
      <w:r w:rsidRPr="00D42B1B">
        <w:rPr>
          <w:rFonts w:eastAsia="Times New Roman" w:cs="Arial"/>
          <w:color w:val="444444"/>
          <w:szCs w:val="20"/>
          <w:lang w:eastAsia="fr-FR"/>
        </w:rPr>
        <w:t xml:space="preserve"> le 18 juin</w:t>
      </w:r>
      <w:r w:rsidR="00B54664" w:rsidRPr="00D42B1B">
        <w:rPr>
          <w:rFonts w:eastAsia="Times New Roman" w:cs="Arial"/>
          <w:color w:val="444444"/>
          <w:szCs w:val="20"/>
          <w:lang w:eastAsia="fr-FR"/>
        </w:rPr>
        <w:t>, les représentants des différentes familles professionnelles ont adopté à l'unanimité plusieurs résolutions destinées à consolider la gouvernance de l'institution et à garantir son autonomie financière.</w:t>
      </w:r>
      <w:r w:rsidRPr="00D42B1B">
        <w:rPr>
          <w:rFonts w:eastAsia="Times New Roman" w:cs="Arial"/>
          <w:color w:val="444444"/>
          <w:szCs w:val="20"/>
          <w:lang w:eastAsia="fr-FR"/>
        </w:rPr>
        <w:t xml:space="preserve"> </w:t>
      </w:r>
      <w:r w:rsidR="00B54664" w:rsidRPr="00D42B1B">
        <w:rPr>
          <w:rFonts w:eastAsia="Times New Roman" w:cs="Arial"/>
          <w:color w:val="444444"/>
          <w:szCs w:val="20"/>
          <w:lang w:eastAsia="fr-FR"/>
        </w:rPr>
        <w:t>Cette rencontre, marquée par un climat de consensus, a permis de valider le bilan moral et financier de l'organisation, d'approuver le budget de l'exercice 2026-2027 et d'entériner la mise en œuvre de la Cotisation Volontaire Obligatoire (CVO), présentée comme le principal levier de financement durable de l'interprofession.</w:t>
      </w:r>
      <w:r w:rsidRPr="00D42B1B">
        <w:rPr>
          <w:rFonts w:eastAsia="Times New Roman" w:cs="Arial"/>
          <w:color w:val="444444"/>
          <w:szCs w:val="20"/>
          <w:lang w:eastAsia="fr-FR"/>
        </w:rPr>
        <w:t xml:space="preserve"> </w:t>
      </w:r>
      <w:r w:rsidR="00B54664" w:rsidRPr="00D42B1B">
        <w:rPr>
          <w:rFonts w:eastAsia="Times New Roman" w:cs="Arial"/>
          <w:color w:val="444444"/>
          <w:szCs w:val="20"/>
          <w:lang w:eastAsia="fr-FR"/>
        </w:rPr>
        <w:t xml:space="preserve">Pour les dirigeants de l'OIA Café-Cacao, cette première Assemblée générale constituait un rendez-vous </w:t>
      </w:r>
      <w:r w:rsidRPr="00D42B1B">
        <w:rPr>
          <w:rFonts w:eastAsia="Times New Roman" w:cs="Arial"/>
          <w:color w:val="444444"/>
          <w:szCs w:val="20"/>
          <w:lang w:eastAsia="fr-FR"/>
        </w:rPr>
        <w:t xml:space="preserve">important </w:t>
      </w:r>
      <w:r w:rsidR="00B54664" w:rsidRPr="00D42B1B">
        <w:rPr>
          <w:rFonts w:eastAsia="Times New Roman" w:cs="Arial"/>
          <w:color w:val="444444"/>
          <w:szCs w:val="20"/>
          <w:lang w:eastAsia="fr-FR"/>
        </w:rPr>
        <w:t>afin de soumettre à l'appréciation des membres les premières actions engagées depuis la création officielle de l'organisation, le 3 décembre 2025.</w:t>
      </w:r>
      <w:r w:rsidRPr="00D42B1B">
        <w:rPr>
          <w:rFonts w:eastAsia="Times New Roman" w:cs="Arial"/>
          <w:color w:val="444444"/>
          <w:szCs w:val="20"/>
          <w:lang w:eastAsia="fr-FR"/>
        </w:rPr>
        <w:t xml:space="preserve"> </w:t>
      </w:r>
      <w:r w:rsidR="00B54664" w:rsidRPr="00D42B1B">
        <w:rPr>
          <w:rFonts w:eastAsia="Times New Roman" w:cs="Arial"/>
          <w:color w:val="444444"/>
          <w:szCs w:val="20"/>
          <w:lang w:eastAsia="fr-FR"/>
        </w:rPr>
        <w:t>L'un des points majeurs de cette Assemblée générale a été l'adoption du mécanisme de la Cotisation Volontaire Obligatoire (CVO)</w:t>
      </w:r>
      <w:r w:rsidRPr="00D42B1B">
        <w:rPr>
          <w:rFonts w:eastAsia="Times New Roman" w:cs="Arial"/>
          <w:color w:val="444444"/>
          <w:szCs w:val="20"/>
          <w:lang w:eastAsia="fr-FR"/>
        </w:rPr>
        <w:t xml:space="preserve"> c</w:t>
      </w:r>
      <w:r w:rsidR="00B54664" w:rsidRPr="00D42B1B">
        <w:rPr>
          <w:rFonts w:eastAsia="Times New Roman" w:cs="Arial"/>
          <w:color w:val="444444"/>
          <w:szCs w:val="20"/>
          <w:lang w:eastAsia="fr-FR"/>
        </w:rPr>
        <w:t xml:space="preserve">onçue pour assurer l'indépendance financière de l'OIA Café-Cacao, cette contribution devrait permettre de mobiliser un budget prévisionnel estimé à 15,8 </w:t>
      </w:r>
      <w:r w:rsidRPr="00D42B1B">
        <w:rPr>
          <w:rFonts w:eastAsia="Times New Roman" w:cs="Arial"/>
          <w:color w:val="444444"/>
          <w:szCs w:val="20"/>
          <w:lang w:eastAsia="fr-FR"/>
        </w:rPr>
        <w:t xml:space="preserve">Md </w:t>
      </w:r>
      <w:r w:rsidR="00B54664" w:rsidRPr="00D42B1B">
        <w:rPr>
          <w:rFonts w:eastAsia="Times New Roman" w:cs="Arial"/>
          <w:color w:val="444444"/>
          <w:szCs w:val="20"/>
          <w:lang w:eastAsia="fr-FR"/>
        </w:rPr>
        <w:t>FCFA.</w:t>
      </w:r>
      <w:r w:rsidRPr="00D42B1B">
        <w:rPr>
          <w:rFonts w:eastAsia="Times New Roman" w:cs="Arial"/>
          <w:color w:val="444444"/>
          <w:szCs w:val="20"/>
          <w:lang w:eastAsia="fr-FR"/>
        </w:rPr>
        <w:t xml:space="preserve"> </w:t>
      </w:r>
      <w:r w:rsidR="00B54664" w:rsidRPr="00D42B1B">
        <w:rPr>
          <w:rFonts w:eastAsia="Times New Roman" w:cs="Arial"/>
          <w:color w:val="444444"/>
          <w:szCs w:val="20"/>
          <w:lang w:eastAsia="fr-FR"/>
        </w:rPr>
        <w:t xml:space="preserve">Le dispositif repose sur un prélèvement de 10 FCFA par kilogramme de cacao et de café commercialisé, calculé sur une base taxable prudente de 1,56 </w:t>
      </w:r>
      <w:r w:rsidRPr="00D42B1B">
        <w:rPr>
          <w:rFonts w:eastAsia="Times New Roman" w:cs="Arial"/>
          <w:color w:val="444444"/>
          <w:szCs w:val="20"/>
          <w:lang w:eastAsia="fr-FR"/>
        </w:rPr>
        <w:t xml:space="preserve">M </w:t>
      </w:r>
      <w:r w:rsidR="00B54664" w:rsidRPr="00D42B1B">
        <w:rPr>
          <w:rFonts w:eastAsia="Times New Roman" w:cs="Arial"/>
          <w:color w:val="444444"/>
          <w:szCs w:val="20"/>
          <w:lang w:eastAsia="fr-FR"/>
        </w:rPr>
        <w:t>de tonnes de cacao et 20 000 tonnes de café.</w:t>
      </w:r>
      <w:r w:rsidRPr="00D42B1B">
        <w:rPr>
          <w:rFonts w:eastAsia="Times New Roman" w:cs="Arial"/>
          <w:color w:val="444444"/>
          <w:szCs w:val="20"/>
          <w:lang w:eastAsia="fr-FR"/>
        </w:rPr>
        <w:t xml:space="preserve"> </w:t>
      </w:r>
      <w:r w:rsidR="00B54664" w:rsidRPr="00D42B1B">
        <w:rPr>
          <w:rFonts w:eastAsia="Times New Roman" w:cs="Arial"/>
          <w:color w:val="444444"/>
          <w:szCs w:val="20"/>
          <w:lang w:eastAsia="fr-FR"/>
        </w:rPr>
        <w:t xml:space="preserve">Selon les responsables de l'organisation, cette approche vise à doter l'interprofession des ressources nécessaires pour mener efficacement ses missions de représentation, d'accompagnement et </w:t>
      </w:r>
      <w:r w:rsidR="00B54664" w:rsidRPr="00D42B1B">
        <w:rPr>
          <w:rFonts w:eastAsia="Times New Roman" w:cs="Arial"/>
          <w:color w:val="444444"/>
          <w:szCs w:val="20"/>
          <w:lang w:eastAsia="fr-FR"/>
        </w:rPr>
        <w:lastRenderedPageBreak/>
        <w:t>de défense des intérêts des producteurs.</w:t>
      </w:r>
      <w:r w:rsidRPr="00D42B1B">
        <w:rPr>
          <w:rFonts w:eastAsia="Times New Roman" w:cs="Arial"/>
          <w:color w:val="444444"/>
          <w:szCs w:val="20"/>
          <w:lang w:eastAsia="fr-FR"/>
        </w:rPr>
        <w:t xml:space="preserve"> </w:t>
      </w:r>
      <w:r w:rsidR="00B54664" w:rsidRPr="00D42B1B">
        <w:rPr>
          <w:rFonts w:eastAsia="Times New Roman" w:cs="Arial"/>
          <w:color w:val="444444"/>
          <w:szCs w:val="20"/>
          <w:lang w:eastAsia="fr-FR"/>
        </w:rPr>
        <w:t>Les discussions ont également porté sur la gestion des stocks résiduels de cacao encore détenus par certaines coopératives et producteurs.</w:t>
      </w:r>
      <w:r w:rsidRPr="00D42B1B">
        <w:rPr>
          <w:rFonts w:eastAsia="Times New Roman" w:cs="Arial"/>
          <w:color w:val="444444"/>
          <w:szCs w:val="20"/>
          <w:lang w:eastAsia="fr-FR"/>
        </w:rPr>
        <w:t xml:space="preserve"> </w:t>
      </w:r>
      <w:r w:rsidR="00B54664" w:rsidRPr="00D42B1B">
        <w:rPr>
          <w:rFonts w:eastAsia="Times New Roman" w:cs="Arial"/>
          <w:color w:val="444444"/>
          <w:szCs w:val="20"/>
          <w:lang w:eastAsia="fr-FR"/>
        </w:rPr>
        <w:t>23</w:t>
      </w:r>
      <w:r w:rsidRPr="00D42B1B">
        <w:rPr>
          <w:rFonts w:eastAsia="Times New Roman" w:cs="Arial"/>
          <w:color w:val="444444"/>
          <w:szCs w:val="20"/>
          <w:lang w:eastAsia="fr-FR"/>
        </w:rPr>
        <w:t> </w:t>
      </w:r>
      <w:r w:rsidR="00B54664" w:rsidRPr="00D42B1B">
        <w:rPr>
          <w:rFonts w:eastAsia="Times New Roman" w:cs="Arial"/>
          <w:color w:val="444444"/>
          <w:szCs w:val="20"/>
          <w:lang w:eastAsia="fr-FR"/>
        </w:rPr>
        <w:t>000 tonnes de cacao initialement attribuées à l'OIA ont été entièrement commercialisées. Toutefois, une partie des cargaisons n'a pas satisfait aux normes de qualité exigées et a été rejetée.</w:t>
      </w:r>
      <w:r w:rsidRPr="00D42B1B">
        <w:rPr>
          <w:rFonts w:eastAsia="Times New Roman" w:cs="Arial"/>
          <w:color w:val="444444"/>
          <w:szCs w:val="20"/>
          <w:lang w:eastAsia="fr-FR"/>
        </w:rPr>
        <w:t xml:space="preserve"> </w:t>
      </w:r>
      <w:r w:rsidR="00B54664" w:rsidRPr="00D42B1B">
        <w:rPr>
          <w:rFonts w:eastAsia="Times New Roman" w:cs="Arial"/>
          <w:color w:val="444444"/>
          <w:szCs w:val="20"/>
          <w:lang w:eastAsia="fr-FR"/>
        </w:rPr>
        <w:t>Face à cette situation, l'organisation poursuit ses échanges avec le Conseil du Café-Cacao afin d'identifier des solutions adaptées.</w:t>
      </w:r>
      <w:r w:rsidRPr="00D42B1B">
        <w:rPr>
          <w:rFonts w:eastAsia="Times New Roman" w:cs="Arial"/>
          <w:color w:val="444444"/>
          <w:szCs w:val="20"/>
          <w:lang w:eastAsia="fr-FR"/>
        </w:rPr>
        <w:t xml:space="preserve"> </w:t>
      </w:r>
      <w:r w:rsidR="00B54664" w:rsidRPr="00D42B1B">
        <w:rPr>
          <w:rFonts w:eastAsia="Times New Roman" w:cs="Arial"/>
          <w:color w:val="444444"/>
          <w:szCs w:val="20"/>
          <w:lang w:eastAsia="fr-FR"/>
        </w:rPr>
        <w:t>Au-delà des résolutions adoptées, cette Assemblée générale a été marquée par la signature de plusieurs protocoles d'accord entre les responsables de l'organisation et différents partenaires, traduisant la volonté de renforcer la coopération au sein de la filière.</w:t>
      </w:r>
      <w:r w:rsidR="00CF6ECC" w:rsidRPr="00D42B1B">
        <w:rPr>
          <w:rFonts w:eastAsia="Times New Roman" w:cs="Arial"/>
          <w:color w:val="444444"/>
          <w:szCs w:val="20"/>
          <w:lang w:eastAsia="fr-FR"/>
        </w:rPr>
        <w:t xml:space="preserve"> </w:t>
      </w:r>
      <w:r w:rsidR="00B54664" w:rsidRPr="00D42B1B">
        <w:rPr>
          <w:rFonts w:eastAsia="Times New Roman" w:cs="Arial"/>
          <w:color w:val="444444"/>
          <w:szCs w:val="20"/>
          <w:lang w:eastAsia="fr-FR"/>
        </w:rPr>
        <w:t>Avec l'adoption de ses principaux outils de gouvernance et de financement, l'OIA Café-Cacao ouvre une nouvelle phase de son développement. L'institution entend désormais jouer pleinement son rôle de cadre de concertation, de représentation et de défense des intérêts des professionnels, tout en contribuant au renforcement de la compétitivité et de la résilience de la première richesse agricole de la Côte d'Ivoire.</w:t>
      </w:r>
      <w:r w:rsidR="00CF6ECC" w:rsidRPr="00D42B1B">
        <w:rPr>
          <w:rFonts w:eastAsia="Times New Roman" w:cs="Arial"/>
          <w:color w:val="444444"/>
          <w:szCs w:val="20"/>
          <w:lang w:eastAsia="fr-FR"/>
        </w:rPr>
        <w:t xml:space="preserve"> </w:t>
      </w:r>
      <w:r w:rsidR="00B54664" w:rsidRPr="00D42B1B">
        <w:rPr>
          <w:rFonts w:eastAsia="Times New Roman" w:cs="Arial"/>
          <w:color w:val="444444"/>
          <w:szCs w:val="20"/>
          <w:lang w:eastAsia="fr-FR"/>
        </w:rPr>
        <w:t xml:space="preserve">L'ambition affichée est </w:t>
      </w:r>
      <w:r w:rsidR="00CF6ECC" w:rsidRPr="00D42B1B">
        <w:rPr>
          <w:rFonts w:eastAsia="Times New Roman" w:cs="Arial"/>
          <w:color w:val="444444"/>
          <w:szCs w:val="20"/>
          <w:lang w:eastAsia="fr-FR"/>
        </w:rPr>
        <w:t xml:space="preserve">de </w:t>
      </w:r>
      <w:r w:rsidR="00B54664" w:rsidRPr="00D42B1B">
        <w:rPr>
          <w:rFonts w:eastAsia="Times New Roman" w:cs="Arial"/>
          <w:color w:val="444444"/>
          <w:szCs w:val="20"/>
          <w:lang w:eastAsia="fr-FR"/>
        </w:rPr>
        <w:t>construire une interprofession forte, autonome et crédible, capable de porter la voix des producteurs et de répondre efficacement aux défis d'un marché mondial du cacao en constante mutation.</w:t>
      </w:r>
    </w:p>
    <w:p w14:paraId="61B0B95E" w14:textId="77777777" w:rsidR="00CF6ECC" w:rsidRPr="00D42B1B" w:rsidRDefault="00CF6ECC" w:rsidP="00B54664">
      <w:pPr>
        <w:shd w:val="clear" w:color="auto" w:fill="FFFFFF"/>
        <w:spacing w:after="0" w:line="276" w:lineRule="auto"/>
        <w:rPr>
          <w:rFonts w:eastAsia="Times New Roman" w:cs="Arial"/>
          <w:color w:val="444444"/>
          <w:szCs w:val="20"/>
          <w:lang w:eastAsia="fr-FR"/>
        </w:rPr>
      </w:pPr>
    </w:p>
    <w:p w14:paraId="0393EB6F" w14:textId="4AF9E4F3" w:rsidR="00DA6C7A" w:rsidRPr="00D42B1B" w:rsidRDefault="00DA6C7A" w:rsidP="00B54664">
      <w:pPr>
        <w:pStyle w:val="Titre2"/>
        <w:spacing w:before="0"/>
        <w:rPr>
          <w:rFonts w:eastAsiaTheme="minorHAnsi"/>
        </w:rPr>
      </w:pPr>
      <w:bookmarkStart w:id="64" w:name="_Toc233878683"/>
      <w:bookmarkStart w:id="65" w:name="_Hlk233139894"/>
      <w:r w:rsidRPr="00D42B1B">
        <w:rPr>
          <w:rFonts w:eastAsia="Times New Roman" w:cs="Arial"/>
          <w:color w:val="444444"/>
          <w:szCs w:val="20"/>
          <w:lang w:eastAsia="fr-FR"/>
        </w:rPr>
        <w:t>Cacao / Café – Renforcement de la traçabilité pour conquérir les marchés européens.</w:t>
      </w:r>
      <w:bookmarkEnd w:id="64"/>
    </w:p>
    <w:bookmarkEnd w:id="65"/>
    <w:p w14:paraId="6D6F869A" w14:textId="3315DEFB" w:rsidR="00DA6C7A" w:rsidRPr="00D42B1B" w:rsidRDefault="00DA6C7A" w:rsidP="00DA6C7A">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Avec une production annuelle d'environ 2,2 </w:t>
      </w:r>
      <w:r w:rsidR="00B54664" w:rsidRPr="00D42B1B">
        <w:rPr>
          <w:rFonts w:eastAsia="Times New Roman" w:cs="Arial"/>
          <w:color w:val="444444"/>
          <w:szCs w:val="20"/>
          <w:lang w:eastAsia="fr-FR"/>
        </w:rPr>
        <w:t xml:space="preserve">M </w:t>
      </w:r>
      <w:r w:rsidRPr="00D42B1B">
        <w:rPr>
          <w:rFonts w:eastAsia="Times New Roman" w:cs="Arial"/>
          <w:color w:val="444444"/>
          <w:szCs w:val="20"/>
          <w:lang w:eastAsia="fr-FR"/>
        </w:rPr>
        <w:t>de tonnes, le secteur représente 14% du PIB national, 35% des recettes d'exportation et assure la subsistance de plus de cinq millions de personnes. Face à ce poids économique, la filière traverse un tournant décisif sous la pression des exigences réglementaires internationales. Dès le 1</w:t>
      </w:r>
      <w:r w:rsidRPr="00D42B1B">
        <w:rPr>
          <w:rFonts w:eastAsia="Times New Roman" w:cs="Arial"/>
          <w:color w:val="444444"/>
          <w:szCs w:val="20"/>
          <w:vertAlign w:val="superscript"/>
          <w:lang w:eastAsia="fr-FR"/>
        </w:rPr>
        <w:t>er</w:t>
      </w:r>
      <w:r w:rsidRPr="00D42B1B">
        <w:rPr>
          <w:rFonts w:eastAsia="Times New Roman" w:cs="Arial"/>
          <w:color w:val="444444"/>
          <w:szCs w:val="20"/>
          <w:lang w:eastAsia="fr-FR"/>
        </w:rPr>
        <w:t xml:space="preserve"> janvier 2027, l'Union européenne, qui absorbe plus de 65% des exportations ivoiriennes de cacao, imposera une traçabilité totale garantissant l'absence de déforestation. Pour anticiper cette échéance, la Côte d'Ivoire a rendu obligatoire le Système national de traçabilité (SNT) et la carte du producteur à compter du 1</w:t>
      </w:r>
      <w:r w:rsidRPr="00D42B1B">
        <w:rPr>
          <w:rFonts w:eastAsia="Times New Roman" w:cs="Arial"/>
          <w:color w:val="444444"/>
          <w:szCs w:val="20"/>
          <w:vertAlign w:val="superscript"/>
          <w:lang w:eastAsia="fr-FR"/>
        </w:rPr>
        <w:t>er</w:t>
      </w:r>
      <w:r w:rsidR="00B54664" w:rsidRPr="00D42B1B">
        <w:rPr>
          <w:rFonts w:eastAsia="Times New Roman" w:cs="Arial"/>
          <w:color w:val="444444"/>
          <w:szCs w:val="20"/>
          <w:lang w:eastAsia="fr-FR"/>
        </w:rPr>
        <w:t> </w:t>
      </w:r>
      <w:r w:rsidRPr="00D42B1B">
        <w:rPr>
          <w:rFonts w:eastAsia="Times New Roman" w:cs="Arial"/>
          <w:color w:val="444444"/>
          <w:szCs w:val="20"/>
          <w:lang w:eastAsia="fr-FR"/>
        </w:rPr>
        <w:t>septembre 2026, date d'ouverture de la campagne 2026-2027.</w:t>
      </w:r>
      <w:r w:rsidR="00B54664" w:rsidRPr="00D42B1B">
        <w:rPr>
          <w:rFonts w:eastAsia="Times New Roman" w:cs="Arial"/>
          <w:color w:val="444444"/>
          <w:szCs w:val="20"/>
          <w:lang w:eastAsia="fr-FR"/>
        </w:rPr>
        <w:t xml:space="preserve"> </w:t>
      </w:r>
      <w:r w:rsidRPr="00D42B1B">
        <w:rPr>
          <w:rFonts w:eastAsia="Times New Roman" w:cs="Arial"/>
          <w:color w:val="444444"/>
          <w:szCs w:val="20"/>
          <w:lang w:eastAsia="fr-FR"/>
        </w:rPr>
        <w:t>Ces dispositifs visent à apporter une réponse durable à un défi majeur : la transparence des flux. Le SNT, initié par le Conseil du café-cacao dès 2019, vise à garantir un suivi rigoureux depuis les plantations jusqu'aux ports d'embarquement. L'objectif est double : renforcer la crédibilité et la compétitivité du café et du cacao ivoiriens sur la scène mondiale tout en professionnalisant le secteur. Ce système allège également la charge des coopératives qui n'auront plus à investir dans la géolocalisation des parcelles de leurs membres, une mission désormais centralisée par le régulateur.</w:t>
      </w:r>
      <w:r w:rsidR="00B54664" w:rsidRPr="00D42B1B">
        <w:rPr>
          <w:rFonts w:eastAsia="Times New Roman" w:cs="Arial"/>
          <w:color w:val="444444"/>
          <w:szCs w:val="20"/>
          <w:lang w:eastAsia="fr-FR"/>
        </w:rPr>
        <w:t xml:space="preserve"> </w:t>
      </w:r>
      <w:r w:rsidRPr="00D42B1B">
        <w:rPr>
          <w:rFonts w:eastAsia="Times New Roman" w:cs="Arial"/>
          <w:color w:val="444444"/>
          <w:szCs w:val="20"/>
          <w:lang w:eastAsia="fr-FR"/>
        </w:rPr>
        <w:t>Auparavant, les transactions commerciales étaient marquées par la manipulation de fortes sommes en espèces, sources d'insécurité et d'incertitudes sur le respect du prix bord champ fixé par l'</w:t>
      </w:r>
      <w:r w:rsidR="00B54664" w:rsidRPr="00D42B1B">
        <w:rPr>
          <w:rFonts w:eastAsia="Times New Roman" w:cs="Arial"/>
          <w:color w:val="444444"/>
          <w:szCs w:val="20"/>
          <w:lang w:eastAsia="fr-FR"/>
        </w:rPr>
        <w:t>E</w:t>
      </w:r>
      <w:r w:rsidRPr="00D42B1B">
        <w:rPr>
          <w:rFonts w:eastAsia="Times New Roman" w:cs="Arial"/>
          <w:color w:val="444444"/>
          <w:szCs w:val="20"/>
          <w:lang w:eastAsia="fr-FR"/>
        </w:rPr>
        <w:t xml:space="preserve">tat. Grâce à la carte électronique, le processus est désormais totalement sécurisé. Lors de la vente, l'acheteur scanne un code QR apposé sur le sac via un terminal de paiement électronique (TPE). Le poids est calculé automatiquement, le prix est validé, et le producteur reçoit un SMS confirmant le crédit de son portemonnaie mobile. Le planteur peut ensuite retirer ses fonds dans les guichets automatiques ou via un point de vente </w:t>
      </w:r>
      <w:r w:rsidR="00B54664" w:rsidRPr="00D42B1B">
        <w:rPr>
          <w:rFonts w:eastAsia="Times New Roman" w:cs="Arial"/>
          <w:i/>
          <w:iCs/>
          <w:color w:val="444444"/>
          <w:szCs w:val="20"/>
          <w:lang w:eastAsia="fr-FR"/>
        </w:rPr>
        <w:t>M</w:t>
      </w:r>
      <w:r w:rsidRPr="00D42B1B">
        <w:rPr>
          <w:rFonts w:eastAsia="Times New Roman" w:cs="Arial"/>
          <w:i/>
          <w:iCs/>
          <w:color w:val="444444"/>
          <w:szCs w:val="20"/>
          <w:lang w:eastAsia="fr-FR"/>
        </w:rPr>
        <w:t>obile money</w:t>
      </w:r>
      <w:r w:rsidRPr="00D42B1B">
        <w:rPr>
          <w:rFonts w:eastAsia="Times New Roman" w:cs="Arial"/>
          <w:color w:val="444444"/>
          <w:szCs w:val="20"/>
          <w:lang w:eastAsia="fr-FR"/>
        </w:rPr>
        <w:t>.</w:t>
      </w:r>
      <w:r w:rsidR="00B54664" w:rsidRPr="00D42B1B">
        <w:rPr>
          <w:rFonts w:eastAsia="Times New Roman" w:cs="Arial"/>
          <w:color w:val="444444"/>
          <w:szCs w:val="20"/>
          <w:lang w:eastAsia="fr-FR"/>
        </w:rPr>
        <w:t xml:space="preserve"> </w:t>
      </w:r>
      <w:r w:rsidRPr="00D42B1B">
        <w:rPr>
          <w:rFonts w:eastAsia="Times New Roman" w:cs="Arial"/>
          <w:color w:val="444444"/>
          <w:szCs w:val="20"/>
          <w:lang w:eastAsia="fr-FR"/>
        </w:rPr>
        <w:t>Au-delà de cette révolution transactionnelle, la carte du producteur est un outil de protection sociale. Dotée d'une puce bancaire et d'un code QR, elle contient l'identité du planteur et les données de ses vergers. Elle garantit le paiement effectif du prix bord champ et facilite l'accès à la Couverture maladie universelle (CMU), avec une prise en charge à 100 % pour les détenteurs de la carte.</w:t>
      </w:r>
      <w:r w:rsidR="00B54664" w:rsidRPr="00D42B1B">
        <w:rPr>
          <w:rFonts w:eastAsia="Times New Roman" w:cs="Arial"/>
          <w:color w:val="444444"/>
          <w:szCs w:val="20"/>
          <w:lang w:eastAsia="fr-FR"/>
        </w:rPr>
        <w:t xml:space="preserve"> </w:t>
      </w:r>
      <w:r w:rsidRPr="00D42B1B">
        <w:rPr>
          <w:rFonts w:eastAsia="Times New Roman" w:cs="Arial"/>
          <w:color w:val="444444"/>
          <w:szCs w:val="20"/>
          <w:lang w:eastAsia="fr-FR"/>
        </w:rPr>
        <w:t>Le processus, dont l'implémentation a coûté 6,5</w:t>
      </w:r>
      <w:r w:rsidR="00B54664" w:rsidRPr="00D42B1B">
        <w:rPr>
          <w:rFonts w:eastAsia="Times New Roman" w:cs="Arial"/>
          <w:color w:val="444444"/>
          <w:szCs w:val="20"/>
          <w:lang w:eastAsia="fr-FR"/>
        </w:rPr>
        <w:t> Md F</w:t>
      </w:r>
      <w:r w:rsidRPr="00D42B1B">
        <w:rPr>
          <w:rFonts w:eastAsia="Times New Roman" w:cs="Arial"/>
          <w:color w:val="444444"/>
          <w:szCs w:val="20"/>
          <w:lang w:eastAsia="fr-FR"/>
        </w:rPr>
        <w:t xml:space="preserve">CFA, a permis à ce jour de </w:t>
      </w:r>
      <w:r w:rsidRPr="00D42B1B">
        <w:rPr>
          <w:rFonts w:eastAsia="Times New Roman" w:cs="Arial"/>
          <w:color w:val="444444"/>
          <w:szCs w:val="20"/>
          <w:lang w:eastAsia="fr-FR"/>
        </w:rPr>
        <w:lastRenderedPageBreak/>
        <w:t>recenser plus d'un million de producteurs, de distribuer près de 900</w:t>
      </w:r>
      <w:r w:rsidR="00AD0691">
        <w:rPr>
          <w:rFonts w:eastAsia="Times New Roman" w:cs="Arial"/>
          <w:color w:val="444444"/>
          <w:szCs w:val="20"/>
          <w:lang w:eastAsia="fr-FR"/>
        </w:rPr>
        <w:t> </w:t>
      </w:r>
      <w:r w:rsidRPr="00D42B1B">
        <w:rPr>
          <w:rFonts w:eastAsia="Times New Roman" w:cs="Arial"/>
          <w:color w:val="444444"/>
          <w:szCs w:val="20"/>
          <w:lang w:eastAsia="fr-FR"/>
        </w:rPr>
        <w:t xml:space="preserve">000 cartes et de géolocaliser environ </w:t>
      </w:r>
      <w:r w:rsidR="00B54664" w:rsidRPr="00D42B1B">
        <w:rPr>
          <w:rFonts w:eastAsia="Times New Roman" w:cs="Arial"/>
          <w:color w:val="444444"/>
          <w:szCs w:val="20"/>
          <w:lang w:eastAsia="fr-FR"/>
        </w:rPr>
        <w:t xml:space="preserve">3 M </w:t>
      </w:r>
      <w:r w:rsidRPr="00D42B1B">
        <w:rPr>
          <w:rFonts w:eastAsia="Times New Roman" w:cs="Arial"/>
          <w:color w:val="444444"/>
          <w:szCs w:val="20"/>
          <w:lang w:eastAsia="fr-FR"/>
        </w:rPr>
        <w:t>d'h</w:t>
      </w:r>
      <w:r w:rsidR="00B54664" w:rsidRPr="00D42B1B">
        <w:rPr>
          <w:rFonts w:eastAsia="Times New Roman" w:cs="Arial"/>
          <w:color w:val="444444"/>
          <w:szCs w:val="20"/>
          <w:lang w:eastAsia="fr-FR"/>
        </w:rPr>
        <w:t>a</w:t>
      </w:r>
      <w:r w:rsidRPr="00D42B1B">
        <w:rPr>
          <w:rFonts w:eastAsia="Times New Roman" w:cs="Arial"/>
          <w:color w:val="444444"/>
          <w:szCs w:val="20"/>
          <w:lang w:eastAsia="fr-FR"/>
        </w:rPr>
        <w:t xml:space="preserve"> de plantations. </w:t>
      </w:r>
      <w:r w:rsidR="00B54664" w:rsidRPr="00D42B1B">
        <w:rPr>
          <w:rFonts w:eastAsia="Times New Roman" w:cs="Arial"/>
          <w:color w:val="444444"/>
          <w:szCs w:val="20"/>
          <w:lang w:eastAsia="fr-FR"/>
        </w:rPr>
        <w:t>E</w:t>
      </w:r>
      <w:r w:rsidRPr="00D42B1B">
        <w:rPr>
          <w:rFonts w:eastAsia="Times New Roman" w:cs="Arial"/>
          <w:color w:val="444444"/>
          <w:szCs w:val="20"/>
          <w:lang w:eastAsia="fr-FR"/>
        </w:rPr>
        <w:t>ntre octobre 2025 et mars 2026, plus de 160</w:t>
      </w:r>
      <w:r w:rsidR="00AD0691">
        <w:rPr>
          <w:rFonts w:eastAsia="Times New Roman" w:cs="Arial"/>
          <w:color w:val="444444"/>
          <w:szCs w:val="20"/>
          <w:lang w:eastAsia="fr-FR"/>
        </w:rPr>
        <w:t> </w:t>
      </w:r>
      <w:r w:rsidRPr="00D42B1B">
        <w:rPr>
          <w:rFonts w:eastAsia="Times New Roman" w:cs="Arial"/>
          <w:color w:val="444444"/>
          <w:szCs w:val="20"/>
          <w:lang w:eastAsia="fr-FR"/>
        </w:rPr>
        <w:t>000</w:t>
      </w:r>
      <w:r w:rsidR="00AD0691">
        <w:rPr>
          <w:rFonts w:eastAsia="Times New Roman" w:cs="Arial"/>
          <w:color w:val="444444"/>
          <w:szCs w:val="20"/>
          <w:lang w:eastAsia="fr-FR"/>
        </w:rPr>
        <w:t> </w:t>
      </w:r>
      <w:r w:rsidRPr="00D42B1B">
        <w:rPr>
          <w:rFonts w:eastAsia="Times New Roman" w:cs="Arial"/>
          <w:color w:val="444444"/>
          <w:szCs w:val="20"/>
          <w:lang w:eastAsia="fr-FR"/>
        </w:rPr>
        <w:t>tonnes de cacao ont été commercialisées avec une traçabilité complète.</w:t>
      </w:r>
    </w:p>
    <w:p w14:paraId="6AE95457" w14:textId="77777777" w:rsidR="00B54664" w:rsidRPr="00D42B1B" w:rsidRDefault="00B54664" w:rsidP="00DA6C7A">
      <w:pPr>
        <w:shd w:val="clear" w:color="auto" w:fill="FFFFFF"/>
        <w:spacing w:after="0" w:line="276" w:lineRule="auto"/>
        <w:rPr>
          <w:rFonts w:eastAsia="Times New Roman" w:cs="Arial"/>
          <w:color w:val="444444"/>
          <w:szCs w:val="20"/>
          <w:lang w:eastAsia="fr-FR"/>
        </w:rPr>
      </w:pPr>
    </w:p>
    <w:p w14:paraId="4DBB97F1" w14:textId="370AA628" w:rsidR="002142B9" w:rsidRPr="00D42B1B" w:rsidRDefault="001A1668" w:rsidP="0027048F">
      <w:pPr>
        <w:pStyle w:val="Titre2"/>
        <w:spacing w:before="0"/>
        <w:rPr>
          <w:rFonts w:eastAsiaTheme="minorHAnsi"/>
        </w:rPr>
      </w:pPr>
      <w:bookmarkStart w:id="66" w:name="_Toc233878684"/>
      <w:bookmarkStart w:id="67" w:name="_Hlk232248544"/>
      <w:bookmarkEnd w:id="62"/>
      <w:r w:rsidRPr="00D42B1B">
        <w:t>Anacarde</w:t>
      </w:r>
      <w:r w:rsidR="00A54446" w:rsidRPr="00D42B1B">
        <w:t xml:space="preserve"> </w:t>
      </w:r>
      <w:r w:rsidR="009D394F" w:rsidRPr="00D42B1B">
        <w:t>–</w:t>
      </w:r>
      <w:r w:rsidRPr="00D42B1B">
        <w:t xml:space="preserve"> Baisse de production attendue</w:t>
      </w:r>
      <w:r w:rsidR="002142B9" w:rsidRPr="00D42B1B">
        <w:rPr>
          <w:rFonts w:eastAsiaTheme="minorHAnsi"/>
        </w:rPr>
        <w:t>.</w:t>
      </w:r>
      <w:bookmarkEnd w:id="66"/>
    </w:p>
    <w:bookmarkEnd w:id="47"/>
    <w:bookmarkEnd w:id="67"/>
    <w:p w14:paraId="6B51C14B" w14:textId="28026300" w:rsidR="00155CA8" w:rsidRPr="00D42B1B" w:rsidRDefault="001A1668" w:rsidP="00155CA8">
      <w:pPr>
        <w:spacing w:after="0"/>
        <w:rPr>
          <w:rFonts w:eastAsia="Times New Roman" w:cs="Arial"/>
          <w:color w:val="444444"/>
          <w:szCs w:val="20"/>
          <w:lang w:eastAsia="fr-FR"/>
        </w:rPr>
      </w:pPr>
      <w:r w:rsidRPr="00D42B1B">
        <w:rPr>
          <w:rFonts w:cs="Arial"/>
          <w:szCs w:val="20"/>
        </w:rPr>
        <w:t xml:space="preserve">La campagne de commercialisation de l’anacarde bat son plein et le Conseil Coton Anacarde table sur un peu plus de 1,300 M tonnes de noix, une production soutenue, à l'instar de ces dernières années, mais qui pourrait néanmoins baisser de 200 000 tonnes par rapport à l’année dernière. Certaines zones du pays connaissent des difficultés, notamment en raison du décalage des saisons des pluies, c'est le cas dans le </w:t>
      </w:r>
      <w:proofErr w:type="spellStart"/>
      <w:r w:rsidRPr="00D42B1B">
        <w:rPr>
          <w:rFonts w:cs="Arial"/>
          <w:szCs w:val="20"/>
        </w:rPr>
        <w:t>Bounkani</w:t>
      </w:r>
      <w:proofErr w:type="spellEnd"/>
      <w:r w:rsidRPr="00D42B1B">
        <w:rPr>
          <w:rFonts w:cs="Arial"/>
          <w:szCs w:val="20"/>
        </w:rPr>
        <w:t xml:space="preserve">, dans le nord-est du pays. Ainsi, cette saison la plantation de 3 ha de M. Kouamé Ouattara n’a quasiment rien produit, alors qu’il y a trois ans, il pouvait récolter 500 kg/ha. Alors que les pluies entre novembre et décembre permettent à l’anacardier de fleurir, la pluie s’est arrêtée en octobre, </w:t>
      </w:r>
      <w:r w:rsidR="005400E1" w:rsidRPr="00D42B1B">
        <w:rPr>
          <w:rFonts w:cs="Arial"/>
          <w:szCs w:val="20"/>
        </w:rPr>
        <w:t>et l</w:t>
      </w:r>
      <w:r w:rsidRPr="00D42B1B">
        <w:rPr>
          <w:rFonts w:cs="Arial"/>
          <w:szCs w:val="20"/>
        </w:rPr>
        <w:t xml:space="preserve">orsque la floraison a échoué, il faut attendre l’année suivante. </w:t>
      </w:r>
      <w:r w:rsidR="005400E1" w:rsidRPr="00D42B1B">
        <w:rPr>
          <w:rFonts w:cs="Arial"/>
          <w:szCs w:val="20"/>
        </w:rPr>
        <w:t>L</w:t>
      </w:r>
      <w:r w:rsidRPr="00D42B1B">
        <w:rPr>
          <w:rFonts w:cs="Arial"/>
          <w:szCs w:val="20"/>
        </w:rPr>
        <w:t xml:space="preserve">es apiculteurs, qui entretiennent des ruches dans les plantations d’anacarde, se retrouvent </w:t>
      </w:r>
      <w:r w:rsidR="005400E1" w:rsidRPr="00D42B1B">
        <w:rPr>
          <w:rFonts w:cs="Arial"/>
          <w:szCs w:val="20"/>
        </w:rPr>
        <w:t xml:space="preserve">également </w:t>
      </w:r>
      <w:r w:rsidRPr="00D42B1B">
        <w:rPr>
          <w:rFonts w:cs="Arial"/>
          <w:szCs w:val="20"/>
        </w:rPr>
        <w:t>avec des productions de miel quasiment inexistantes</w:t>
      </w:r>
      <w:r w:rsidR="005400E1" w:rsidRPr="00D42B1B">
        <w:rPr>
          <w:rFonts w:cs="Arial"/>
          <w:szCs w:val="20"/>
        </w:rPr>
        <w:t xml:space="preserve"> comme le confirme M. </w:t>
      </w:r>
      <w:r w:rsidRPr="00D42B1B">
        <w:rPr>
          <w:rFonts w:cs="Arial"/>
          <w:szCs w:val="20"/>
        </w:rPr>
        <w:t xml:space="preserve">Koffi Ouattara, </w:t>
      </w:r>
      <w:r w:rsidR="005400E1" w:rsidRPr="00D42B1B">
        <w:rPr>
          <w:rFonts w:cs="Arial"/>
          <w:szCs w:val="20"/>
        </w:rPr>
        <w:t>P</w:t>
      </w:r>
      <w:r w:rsidRPr="00D42B1B">
        <w:rPr>
          <w:rFonts w:cs="Arial"/>
          <w:szCs w:val="20"/>
        </w:rPr>
        <w:t xml:space="preserve">résident de l’association des apiculteurs de </w:t>
      </w:r>
      <w:proofErr w:type="spellStart"/>
      <w:r w:rsidRPr="00D42B1B">
        <w:rPr>
          <w:rFonts w:cs="Arial"/>
          <w:szCs w:val="20"/>
        </w:rPr>
        <w:t>Koflangué</w:t>
      </w:r>
      <w:proofErr w:type="spellEnd"/>
      <w:r w:rsidRPr="00D42B1B">
        <w:rPr>
          <w:rFonts w:cs="Arial"/>
          <w:szCs w:val="20"/>
        </w:rPr>
        <w:t>. L’année passée, 100 litres de miel</w:t>
      </w:r>
      <w:r w:rsidR="005400E1" w:rsidRPr="00D42B1B">
        <w:rPr>
          <w:rFonts w:cs="Arial"/>
          <w:szCs w:val="20"/>
        </w:rPr>
        <w:t xml:space="preserve"> avaient été produits contre </w:t>
      </w:r>
      <w:r w:rsidRPr="00D42B1B">
        <w:rPr>
          <w:rFonts w:cs="Arial"/>
          <w:szCs w:val="20"/>
        </w:rPr>
        <w:t>seulement 30 litres</w:t>
      </w:r>
      <w:r w:rsidR="005400E1" w:rsidRPr="00D42B1B">
        <w:rPr>
          <w:rFonts w:cs="Arial"/>
          <w:szCs w:val="20"/>
        </w:rPr>
        <w:t xml:space="preserve"> cette année. </w:t>
      </w:r>
      <w:r w:rsidRPr="00D42B1B">
        <w:rPr>
          <w:rFonts w:cs="Arial"/>
          <w:szCs w:val="20"/>
        </w:rPr>
        <w:t xml:space="preserve">Au-delà des raisons climatiques, cette situation serait </w:t>
      </w:r>
      <w:r w:rsidR="005400E1" w:rsidRPr="00D42B1B">
        <w:rPr>
          <w:rFonts w:cs="Arial"/>
          <w:szCs w:val="20"/>
        </w:rPr>
        <w:t xml:space="preserve">également </w:t>
      </w:r>
      <w:r w:rsidRPr="00D42B1B">
        <w:rPr>
          <w:rFonts w:cs="Arial"/>
          <w:szCs w:val="20"/>
        </w:rPr>
        <w:t xml:space="preserve">liée à de mauvaises pratiques culturales, selon le Dr </w:t>
      </w:r>
      <w:proofErr w:type="spellStart"/>
      <w:r w:rsidRPr="00D42B1B">
        <w:rPr>
          <w:rFonts w:cs="Arial"/>
          <w:szCs w:val="20"/>
        </w:rPr>
        <w:t>Sibirina</w:t>
      </w:r>
      <w:proofErr w:type="spellEnd"/>
      <w:r w:rsidRPr="00D42B1B">
        <w:rPr>
          <w:rFonts w:cs="Arial"/>
          <w:szCs w:val="20"/>
        </w:rPr>
        <w:t xml:space="preserve"> Soro, enseignant-chercheur à l’université de Daloa et coordonnateur du projet national de recherche sur l’anacardier. </w:t>
      </w:r>
      <w:r w:rsidR="005400E1" w:rsidRPr="00D42B1B">
        <w:rPr>
          <w:rFonts w:cs="Arial"/>
          <w:szCs w:val="20"/>
        </w:rPr>
        <w:t>Selon lui, b</w:t>
      </w:r>
      <w:r w:rsidRPr="00D42B1B">
        <w:rPr>
          <w:rFonts w:cs="Arial"/>
          <w:szCs w:val="20"/>
        </w:rPr>
        <w:t>eaucoup de vergers sont sous forme de forêt</w:t>
      </w:r>
      <w:r w:rsidR="005400E1" w:rsidRPr="00D42B1B">
        <w:rPr>
          <w:rFonts w:cs="Arial"/>
          <w:szCs w:val="20"/>
        </w:rPr>
        <w:t>,</w:t>
      </w:r>
      <w:r w:rsidRPr="00D42B1B">
        <w:rPr>
          <w:rFonts w:cs="Arial"/>
          <w:szCs w:val="20"/>
        </w:rPr>
        <w:t xml:space="preserve"> la densité de</w:t>
      </w:r>
      <w:r w:rsidR="005400E1" w:rsidRPr="00D42B1B">
        <w:rPr>
          <w:rFonts w:cs="Arial"/>
          <w:szCs w:val="20"/>
        </w:rPr>
        <w:t>s</w:t>
      </w:r>
      <w:r w:rsidRPr="00D42B1B">
        <w:rPr>
          <w:rFonts w:cs="Arial"/>
          <w:szCs w:val="20"/>
        </w:rPr>
        <w:t xml:space="preserve"> </w:t>
      </w:r>
      <w:r w:rsidR="005400E1" w:rsidRPr="00D42B1B">
        <w:rPr>
          <w:rFonts w:cs="Arial"/>
          <w:szCs w:val="20"/>
        </w:rPr>
        <w:t xml:space="preserve">arbres n’ayant </w:t>
      </w:r>
      <w:r w:rsidRPr="00D42B1B">
        <w:rPr>
          <w:rFonts w:cs="Arial"/>
          <w:szCs w:val="20"/>
        </w:rPr>
        <w:t xml:space="preserve">pas été respectée. </w:t>
      </w:r>
      <w:r w:rsidR="005400E1" w:rsidRPr="00D42B1B">
        <w:rPr>
          <w:rFonts w:cs="Arial"/>
          <w:szCs w:val="20"/>
        </w:rPr>
        <w:t xml:space="preserve">Il est conseillé </w:t>
      </w:r>
      <w:r w:rsidRPr="00D42B1B">
        <w:rPr>
          <w:rFonts w:cs="Arial"/>
          <w:szCs w:val="20"/>
        </w:rPr>
        <w:t xml:space="preserve">aux planteurs de réhabiliter </w:t>
      </w:r>
      <w:r w:rsidR="005400E1" w:rsidRPr="00D42B1B">
        <w:rPr>
          <w:rFonts w:cs="Arial"/>
          <w:szCs w:val="20"/>
        </w:rPr>
        <w:t>leurs</w:t>
      </w:r>
      <w:r w:rsidRPr="00D42B1B">
        <w:rPr>
          <w:rFonts w:cs="Arial"/>
          <w:szCs w:val="20"/>
        </w:rPr>
        <w:t xml:space="preserve"> vergers pour qu’ils aient la densité moyenne préconisée de 100 pieds/ha.</w:t>
      </w:r>
      <w:r w:rsidR="00155CA8" w:rsidRPr="00D42B1B">
        <w:rPr>
          <w:rFonts w:cs="Arial"/>
          <w:szCs w:val="20"/>
        </w:rPr>
        <w:t xml:space="preserve"> Un </w:t>
      </w:r>
      <w:r w:rsidRPr="00D42B1B">
        <w:rPr>
          <w:rFonts w:cs="Arial"/>
          <w:szCs w:val="20"/>
        </w:rPr>
        <w:t>meilleur accompagnement des paysans</w:t>
      </w:r>
      <w:r w:rsidR="005400E1" w:rsidRPr="00D42B1B">
        <w:rPr>
          <w:rFonts w:cs="Arial"/>
          <w:szCs w:val="20"/>
        </w:rPr>
        <w:t xml:space="preserve"> est également préconisé</w:t>
      </w:r>
      <w:r w:rsidR="00155CA8" w:rsidRPr="00D42B1B">
        <w:rPr>
          <w:rFonts w:cs="Arial"/>
          <w:szCs w:val="20"/>
        </w:rPr>
        <w:t xml:space="preserve"> pour lutter contre les insectes ravageurs. L</w:t>
      </w:r>
      <w:r w:rsidRPr="00D42B1B">
        <w:rPr>
          <w:rFonts w:cs="Arial"/>
          <w:szCs w:val="20"/>
        </w:rPr>
        <w:t>es producteurs n’utilis</w:t>
      </w:r>
      <w:r w:rsidR="00155CA8" w:rsidRPr="00D42B1B">
        <w:rPr>
          <w:rFonts w:cs="Arial"/>
          <w:szCs w:val="20"/>
        </w:rPr>
        <w:t>a</w:t>
      </w:r>
      <w:r w:rsidRPr="00D42B1B">
        <w:rPr>
          <w:rFonts w:cs="Arial"/>
          <w:szCs w:val="20"/>
        </w:rPr>
        <w:t>nt pas de produits chimiques dans leurs champs d’anacarde</w:t>
      </w:r>
      <w:r w:rsidR="00155CA8" w:rsidRPr="00D42B1B">
        <w:rPr>
          <w:rFonts w:cs="Arial"/>
          <w:szCs w:val="20"/>
        </w:rPr>
        <w:t>, i</w:t>
      </w:r>
      <w:r w:rsidRPr="00D42B1B">
        <w:rPr>
          <w:rFonts w:cs="Arial"/>
          <w:szCs w:val="20"/>
        </w:rPr>
        <w:t xml:space="preserve">ls sont plus exposés aux </w:t>
      </w:r>
      <w:r w:rsidR="00155CA8" w:rsidRPr="00D42B1B">
        <w:rPr>
          <w:rFonts w:cs="Arial"/>
          <w:szCs w:val="20"/>
        </w:rPr>
        <w:t xml:space="preserve">attaques et aux </w:t>
      </w:r>
      <w:r w:rsidRPr="00D42B1B">
        <w:rPr>
          <w:rFonts w:cs="Arial"/>
          <w:szCs w:val="20"/>
        </w:rPr>
        <w:t>pertes</w:t>
      </w:r>
      <w:r w:rsidR="00373AE0" w:rsidRPr="00D42B1B">
        <w:rPr>
          <w:rFonts w:eastAsia="Times New Roman" w:cs="Arial"/>
          <w:color w:val="444444"/>
          <w:szCs w:val="20"/>
          <w:lang w:eastAsia="fr-FR"/>
        </w:rPr>
        <w:t>.</w:t>
      </w:r>
      <w:r w:rsidR="00155CA8" w:rsidRPr="00D42B1B">
        <w:t xml:space="preserve"> </w:t>
      </w:r>
      <w:r w:rsidR="00155CA8" w:rsidRPr="00D42B1B">
        <w:rPr>
          <w:rFonts w:eastAsia="Times New Roman" w:cs="Arial"/>
          <w:color w:val="444444"/>
          <w:szCs w:val="20"/>
          <w:lang w:eastAsia="fr-FR"/>
        </w:rPr>
        <w:t>Il s’agit aussi de protéger la filière contre les pratiques abusives qui nuisent à la qualité des noix. Ainsi, l’usage excessif de sacs en nylon et l’achat de noix humides réduisent la valeur marchande et entraînent des pertes pour les producteurs. Le respect du prix plancher fixé par l’</w:t>
      </w:r>
      <w:r w:rsidR="00AA729E" w:rsidRPr="00D42B1B">
        <w:rPr>
          <w:rFonts w:eastAsia="Times New Roman" w:cs="Arial"/>
          <w:color w:val="444444"/>
          <w:szCs w:val="20"/>
          <w:lang w:eastAsia="fr-FR"/>
        </w:rPr>
        <w:t>E</w:t>
      </w:r>
      <w:r w:rsidR="00155CA8" w:rsidRPr="00D42B1B">
        <w:rPr>
          <w:rFonts w:eastAsia="Times New Roman" w:cs="Arial"/>
          <w:color w:val="444444"/>
          <w:szCs w:val="20"/>
          <w:lang w:eastAsia="fr-FR"/>
        </w:rPr>
        <w:t>tat (400 FCFA au champ et 425 FCFA avec transport) dépend directement de la qualité des noix. Des mesures de régulation</w:t>
      </w:r>
      <w:r w:rsidR="00AA729E" w:rsidRPr="00D42B1B">
        <w:rPr>
          <w:rFonts w:eastAsia="Times New Roman" w:cs="Arial"/>
          <w:color w:val="444444"/>
          <w:szCs w:val="20"/>
          <w:lang w:eastAsia="fr-FR"/>
        </w:rPr>
        <w:t>s et de contrôles sont nécessaires :</w:t>
      </w:r>
      <w:r w:rsidR="00155CA8" w:rsidRPr="00D42B1B">
        <w:rPr>
          <w:rFonts w:eastAsia="Times New Roman" w:cs="Arial"/>
          <w:color w:val="444444"/>
          <w:szCs w:val="20"/>
          <w:lang w:eastAsia="fr-FR"/>
        </w:rPr>
        <w:t xml:space="preserve"> rotation obligatoire des sacs de conditionnement distribués par le Conseil du coton, de l’anacarde et du karité (CCAK), interdiction de la vente au bord des champs et sanctions graduelles contre les contrevenants.</w:t>
      </w:r>
      <w:r w:rsidR="00AA729E" w:rsidRPr="00D42B1B">
        <w:rPr>
          <w:rFonts w:eastAsia="Times New Roman" w:cs="Arial"/>
          <w:color w:val="444444"/>
          <w:szCs w:val="20"/>
          <w:lang w:eastAsia="fr-FR"/>
        </w:rPr>
        <w:t xml:space="preserve"> L</w:t>
      </w:r>
      <w:r w:rsidR="00155CA8" w:rsidRPr="00D42B1B">
        <w:rPr>
          <w:rFonts w:eastAsia="Times New Roman" w:cs="Arial"/>
          <w:color w:val="444444"/>
          <w:szCs w:val="20"/>
          <w:lang w:eastAsia="fr-FR"/>
        </w:rPr>
        <w:t>es producteurs</w:t>
      </w:r>
      <w:r w:rsidR="00AA729E" w:rsidRPr="00D42B1B">
        <w:rPr>
          <w:rFonts w:eastAsia="Times New Roman" w:cs="Arial"/>
          <w:color w:val="444444"/>
          <w:szCs w:val="20"/>
          <w:lang w:eastAsia="fr-FR"/>
        </w:rPr>
        <w:t xml:space="preserve"> apparaissent </w:t>
      </w:r>
      <w:r w:rsidR="00155CA8" w:rsidRPr="00D42B1B">
        <w:rPr>
          <w:rFonts w:eastAsia="Times New Roman" w:cs="Arial"/>
          <w:color w:val="444444"/>
          <w:szCs w:val="20"/>
          <w:lang w:eastAsia="fr-FR"/>
        </w:rPr>
        <w:t>comme le maillon le plus vulnérable de la chaîne</w:t>
      </w:r>
      <w:r w:rsidR="00AA729E" w:rsidRPr="00D42B1B">
        <w:rPr>
          <w:rFonts w:eastAsia="Times New Roman" w:cs="Arial"/>
          <w:color w:val="444444"/>
          <w:szCs w:val="20"/>
          <w:lang w:eastAsia="fr-FR"/>
        </w:rPr>
        <w:t xml:space="preserve"> de valeur</w:t>
      </w:r>
      <w:r w:rsidR="00155CA8" w:rsidRPr="00D42B1B">
        <w:rPr>
          <w:rFonts w:eastAsia="Times New Roman" w:cs="Arial"/>
          <w:color w:val="444444"/>
          <w:szCs w:val="20"/>
          <w:lang w:eastAsia="fr-FR"/>
        </w:rPr>
        <w:t>.</w:t>
      </w:r>
    </w:p>
    <w:p w14:paraId="2DEE9126" w14:textId="77777777" w:rsidR="00CB0A05" w:rsidRPr="00D42B1B" w:rsidRDefault="00CB0A05" w:rsidP="00CB0A05">
      <w:pPr>
        <w:shd w:val="clear" w:color="auto" w:fill="FFFFFF"/>
        <w:spacing w:after="0" w:line="276" w:lineRule="auto"/>
        <w:rPr>
          <w:rFonts w:eastAsia="Times New Roman" w:cs="Arial"/>
          <w:color w:val="444444"/>
          <w:szCs w:val="20"/>
          <w:lang w:eastAsia="fr-FR"/>
        </w:rPr>
      </w:pPr>
    </w:p>
    <w:p w14:paraId="07C33FDB" w14:textId="55D139F3" w:rsidR="00CB0A05" w:rsidRPr="00D42B1B" w:rsidRDefault="000A32B7" w:rsidP="000A32B7">
      <w:pPr>
        <w:pStyle w:val="Titre2"/>
        <w:spacing w:before="0"/>
        <w:rPr>
          <w:rFonts w:eastAsiaTheme="minorHAnsi"/>
          <w:bCs/>
        </w:rPr>
      </w:pPr>
      <w:bookmarkStart w:id="68" w:name="_Toc233878685"/>
      <w:r w:rsidRPr="00D42B1B">
        <w:rPr>
          <w:rFonts w:eastAsia="Times New Roman" w:cs="Arial"/>
          <w:bCs/>
          <w:color w:val="444444"/>
          <w:szCs w:val="20"/>
          <w:lang w:eastAsia="fr-FR"/>
        </w:rPr>
        <w:t xml:space="preserve">Anacarde – </w:t>
      </w:r>
      <w:r w:rsidR="00CB0A05" w:rsidRPr="00D42B1B">
        <w:rPr>
          <w:rFonts w:eastAsia="Times New Roman" w:cs="Arial"/>
          <w:color w:val="444444"/>
          <w:szCs w:val="20"/>
          <w:lang w:eastAsia="fr-FR"/>
        </w:rPr>
        <w:t xml:space="preserve">1 000 </w:t>
      </w:r>
      <w:r w:rsidRPr="00D42B1B">
        <w:rPr>
          <w:rFonts w:eastAsia="Times New Roman" w:cs="Arial"/>
          <w:color w:val="444444"/>
          <w:szCs w:val="20"/>
          <w:lang w:eastAsia="fr-FR"/>
        </w:rPr>
        <w:t xml:space="preserve">Md </w:t>
      </w:r>
      <w:r w:rsidR="00CB0A05" w:rsidRPr="00D42B1B">
        <w:rPr>
          <w:rFonts w:eastAsia="Times New Roman" w:cs="Arial"/>
          <w:color w:val="444444"/>
          <w:szCs w:val="20"/>
          <w:lang w:eastAsia="fr-FR"/>
        </w:rPr>
        <w:t>FCFA de recettes</w:t>
      </w:r>
      <w:r w:rsidRPr="00D42B1B">
        <w:rPr>
          <w:rFonts w:eastAsia="Times New Roman" w:cs="Arial"/>
          <w:color w:val="444444"/>
          <w:szCs w:val="20"/>
          <w:lang w:eastAsia="fr-FR"/>
        </w:rPr>
        <w:t>.</w:t>
      </w:r>
      <w:bookmarkEnd w:id="68"/>
    </w:p>
    <w:p w14:paraId="2F5E424E" w14:textId="6631BC24" w:rsidR="00233351" w:rsidRPr="00D42B1B" w:rsidRDefault="00CB0A05" w:rsidP="00EB00CD">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Leader mondial de la production et de l'exportation de noix de cajou brute depuis 2021, le pays a franchi en 2025 le cap de 1,5 M de tonnes produites, soit plus de 25% de l'offre mondiale. Cette performance a généré plus de 1 000 Md FCFA de recettes d'exportation, confirmant le poids stratégique de la filière dans l'économie ivoirienne. Au-delà des volumes, les autorités misent désormais sur la création de valeur locale</w:t>
      </w:r>
      <w:r w:rsidR="00EB00CD" w:rsidRPr="00D42B1B">
        <w:rPr>
          <w:rFonts w:eastAsia="Times New Roman" w:cs="Arial"/>
          <w:color w:val="444444"/>
          <w:szCs w:val="20"/>
          <w:lang w:eastAsia="fr-FR"/>
        </w:rPr>
        <w:t xml:space="preserve"> afin de </w:t>
      </w:r>
      <w:r w:rsidRPr="00D42B1B">
        <w:rPr>
          <w:rFonts w:eastAsia="Times New Roman" w:cs="Arial"/>
          <w:color w:val="444444"/>
          <w:szCs w:val="20"/>
          <w:lang w:eastAsia="fr-FR"/>
        </w:rPr>
        <w:t>renforcer les revenus des acteurs de la filière.</w:t>
      </w:r>
      <w:r w:rsidR="00EB00CD" w:rsidRPr="00D42B1B">
        <w:rPr>
          <w:rFonts w:eastAsia="Times New Roman" w:cs="Arial"/>
          <w:color w:val="444444"/>
          <w:szCs w:val="20"/>
          <w:lang w:eastAsia="fr-FR"/>
        </w:rPr>
        <w:t xml:space="preserve"> </w:t>
      </w:r>
      <w:r w:rsidRPr="00D42B1B">
        <w:rPr>
          <w:rFonts w:eastAsia="Times New Roman" w:cs="Arial"/>
          <w:color w:val="444444"/>
          <w:szCs w:val="20"/>
          <w:lang w:eastAsia="fr-FR"/>
        </w:rPr>
        <w:t>Les réformes engagées depuis plus d'une décennie ont profondément restructuré le secteur. L'instauration en 2013 d'un prix plancher garanti aux producteurs a notamment permis d'améliorer leurs revenus et de sécuriser la commercialisation.</w:t>
      </w:r>
      <w:r w:rsidR="00EB00CD" w:rsidRPr="00D42B1B">
        <w:rPr>
          <w:rFonts w:eastAsia="Times New Roman" w:cs="Arial"/>
          <w:color w:val="444444"/>
          <w:szCs w:val="20"/>
          <w:lang w:eastAsia="fr-FR"/>
        </w:rPr>
        <w:t xml:space="preserve"> Mais, l</w:t>
      </w:r>
      <w:r w:rsidRPr="00D42B1B">
        <w:rPr>
          <w:rFonts w:eastAsia="Times New Roman" w:cs="Arial"/>
          <w:color w:val="444444"/>
          <w:szCs w:val="20"/>
          <w:lang w:eastAsia="fr-FR"/>
        </w:rPr>
        <w:t xml:space="preserve">'évolution la plus significative concerne toutefois la transformation industrielle. Le volume de noix destiné aux </w:t>
      </w:r>
      <w:r w:rsidRPr="00D42B1B">
        <w:rPr>
          <w:rFonts w:eastAsia="Times New Roman" w:cs="Arial"/>
          <w:color w:val="444444"/>
          <w:szCs w:val="20"/>
          <w:lang w:eastAsia="fr-FR"/>
        </w:rPr>
        <w:lastRenderedPageBreak/>
        <w:t>usines locales a quasiment doublé en un an, atteignant 659 579 tonnes en 2025 contre 344</w:t>
      </w:r>
      <w:r w:rsidR="000A32B7" w:rsidRPr="00D42B1B">
        <w:rPr>
          <w:rFonts w:eastAsia="Times New Roman" w:cs="Arial"/>
          <w:color w:val="444444"/>
          <w:szCs w:val="20"/>
          <w:lang w:eastAsia="fr-FR"/>
        </w:rPr>
        <w:t> </w:t>
      </w:r>
      <w:r w:rsidRPr="00D42B1B">
        <w:rPr>
          <w:rFonts w:eastAsia="Times New Roman" w:cs="Arial"/>
          <w:color w:val="444444"/>
          <w:szCs w:val="20"/>
          <w:lang w:eastAsia="fr-FR"/>
        </w:rPr>
        <w:t>026</w:t>
      </w:r>
      <w:r w:rsidR="000A32B7" w:rsidRPr="00D42B1B">
        <w:rPr>
          <w:rFonts w:eastAsia="Times New Roman" w:cs="Arial"/>
          <w:color w:val="444444"/>
          <w:szCs w:val="20"/>
          <w:lang w:eastAsia="fr-FR"/>
        </w:rPr>
        <w:t> </w:t>
      </w:r>
      <w:r w:rsidRPr="00D42B1B">
        <w:rPr>
          <w:rFonts w:eastAsia="Times New Roman" w:cs="Arial"/>
          <w:color w:val="444444"/>
          <w:szCs w:val="20"/>
          <w:lang w:eastAsia="fr-FR"/>
        </w:rPr>
        <w:t>tonnes en 2024. En conséquence, le taux de transformation locale est passé de seulement 2% en 2011 à environ 43% en 2025.</w:t>
      </w:r>
      <w:r w:rsidR="00EB00CD" w:rsidRPr="00D42B1B">
        <w:rPr>
          <w:rFonts w:eastAsia="Times New Roman" w:cs="Arial"/>
          <w:color w:val="444444"/>
          <w:szCs w:val="20"/>
          <w:lang w:eastAsia="fr-FR"/>
        </w:rPr>
        <w:t xml:space="preserve"> Comme pour les principales productions agricoles, l’ambition affichée par le gouvernement est de transformer localement d’ici 2030 plus de 50% de la production nationale. Et pour y parvenir de nombreuses actions ont été menées. </w:t>
      </w:r>
      <w:r w:rsidRPr="00D42B1B">
        <w:rPr>
          <w:rFonts w:eastAsia="Times New Roman" w:cs="Arial"/>
          <w:color w:val="444444"/>
          <w:szCs w:val="20"/>
          <w:lang w:eastAsia="fr-FR"/>
        </w:rPr>
        <w:t>Cette montée en régime repose sur un appareil industriel en pleine expansion. La Côte d'Ivoire compte désormais 37 unités de transformation, dont 24 détenues majoritairement par des investisseurs ivoiriens. Le secteur génère près de 20 000 emplois directs, occupés à 66% par des femmes.</w:t>
      </w:r>
      <w:r w:rsidR="00EB00CD" w:rsidRPr="00D42B1B">
        <w:rPr>
          <w:rFonts w:eastAsia="Times New Roman" w:cs="Arial"/>
          <w:color w:val="444444"/>
          <w:szCs w:val="20"/>
          <w:lang w:eastAsia="fr-FR"/>
        </w:rPr>
        <w:t xml:space="preserve"> </w:t>
      </w:r>
      <w:r w:rsidRPr="00D42B1B">
        <w:rPr>
          <w:rFonts w:eastAsia="Times New Roman" w:cs="Arial"/>
          <w:color w:val="444444"/>
          <w:szCs w:val="20"/>
          <w:lang w:eastAsia="fr-FR"/>
        </w:rPr>
        <w:t>L'</w:t>
      </w:r>
      <w:r w:rsidR="00EB00CD" w:rsidRPr="00D42B1B">
        <w:rPr>
          <w:rFonts w:eastAsia="Times New Roman" w:cs="Arial"/>
          <w:color w:val="444444"/>
          <w:szCs w:val="20"/>
          <w:lang w:eastAsia="fr-FR"/>
        </w:rPr>
        <w:t>E</w:t>
      </w:r>
      <w:r w:rsidRPr="00D42B1B">
        <w:rPr>
          <w:rFonts w:eastAsia="Times New Roman" w:cs="Arial"/>
          <w:color w:val="444444"/>
          <w:szCs w:val="20"/>
          <w:lang w:eastAsia="fr-FR"/>
        </w:rPr>
        <w:t xml:space="preserve">tat entend poursuivre cet effort afin de dépasser le seuil de 50% de transformation locale d'ici à 2030. Plusieurs projets structurants ont déjà vu le jour, notamment le Centre d'innovations et de technologies de l'anacarde à Yamoussoukro, </w:t>
      </w:r>
      <w:r w:rsidR="00EB00CD" w:rsidRPr="00D42B1B">
        <w:rPr>
          <w:rFonts w:eastAsia="Times New Roman" w:cs="Arial"/>
          <w:color w:val="444444"/>
          <w:szCs w:val="20"/>
          <w:lang w:eastAsia="fr-FR"/>
        </w:rPr>
        <w:t xml:space="preserve">d’une capacité de transformation de 6 000 tonnes par an. L’unité de transformation de noix de cajou Dorado Ivory à Toumodi dans la région du Bélier a été inaugurée le 8 juillet 2022. Bâtie sur 12 ha, l’usine a une capacité de traitement de 60 000 tonnes d’anacardes par an. Le montant de l’investissement s’élève à environ 15 Md FCFA. Plus récemment, le Premier </w:t>
      </w:r>
      <w:r w:rsidR="00AD0691">
        <w:rPr>
          <w:rFonts w:eastAsia="Times New Roman" w:cs="Arial"/>
          <w:color w:val="444444"/>
          <w:szCs w:val="20"/>
          <w:lang w:eastAsia="fr-FR"/>
        </w:rPr>
        <w:t>m</w:t>
      </w:r>
      <w:r w:rsidR="00EB00CD" w:rsidRPr="00D42B1B">
        <w:rPr>
          <w:rFonts w:eastAsia="Times New Roman" w:cs="Arial"/>
          <w:color w:val="444444"/>
          <w:szCs w:val="20"/>
          <w:lang w:eastAsia="fr-FR"/>
        </w:rPr>
        <w:t>inistre, M. Robert </w:t>
      </w:r>
      <w:proofErr w:type="spellStart"/>
      <w:r w:rsidR="00EB00CD" w:rsidRPr="00D42B1B">
        <w:rPr>
          <w:rFonts w:eastAsia="Times New Roman" w:cs="Arial"/>
          <w:color w:val="444444"/>
          <w:szCs w:val="20"/>
          <w:lang w:eastAsia="fr-FR"/>
        </w:rPr>
        <w:t>Beugré</w:t>
      </w:r>
      <w:proofErr w:type="spellEnd"/>
      <w:r w:rsidR="00EB00CD" w:rsidRPr="00D42B1B">
        <w:rPr>
          <w:rFonts w:eastAsia="Times New Roman" w:cs="Arial"/>
          <w:color w:val="444444"/>
          <w:szCs w:val="20"/>
          <w:lang w:eastAsia="fr-FR"/>
        </w:rPr>
        <w:t xml:space="preserve"> </w:t>
      </w:r>
      <w:proofErr w:type="spellStart"/>
      <w:r w:rsidR="00EB00CD" w:rsidRPr="00D42B1B">
        <w:rPr>
          <w:rFonts w:eastAsia="Times New Roman" w:cs="Arial"/>
          <w:color w:val="444444"/>
          <w:szCs w:val="20"/>
          <w:lang w:eastAsia="fr-FR"/>
        </w:rPr>
        <w:t>Mambé</w:t>
      </w:r>
      <w:proofErr w:type="spellEnd"/>
      <w:r w:rsidR="00EB00CD" w:rsidRPr="00D42B1B">
        <w:rPr>
          <w:rFonts w:eastAsia="Times New Roman" w:cs="Arial"/>
          <w:color w:val="444444"/>
          <w:szCs w:val="20"/>
          <w:lang w:eastAsia="fr-FR"/>
        </w:rPr>
        <w:t xml:space="preserve"> a inauguré le 22 septembre 2025 une nouvelle unité de transformation basée à </w:t>
      </w:r>
      <w:proofErr w:type="spellStart"/>
      <w:r w:rsidR="00EB00CD" w:rsidRPr="00D42B1B">
        <w:rPr>
          <w:rFonts w:eastAsia="Times New Roman" w:cs="Arial"/>
          <w:color w:val="444444"/>
          <w:szCs w:val="20"/>
          <w:lang w:eastAsia="fr-FR"/>
        </w:rPr>
        <w:t>Oussou</w:t>
      </w:r>
      <w:proofErr w:type="spellEnd"/>
      <w:r w:rsidR="00EB00CD" w:rsidRPr="00D42B1B">
        <w:rPr>
          <w:rFonts w:eastAsia="Times New Roman" w:cs="Arial"/>
          <w:color w:val="444444"/>
          <w:szCs w:val="20"/>
          <w:lang w:eastAsia="fr-FR"/>
        </w:rPr>
        <w:t xml:space="preserve">, dans la sous-préfecture de </w:t>
      </w:r>
      <w:proofErr w:type="spellStart"/>
      <w:r w:rsidR="00EB00CD" w:rsidRPr="00D42B1B">
        <w:rPr>
          <w:rFonts w:eastAsia="Times New Roman" w:cs="Arial"/>
          <w:color w:val="444444"/>
          <w:szCs w:val="20"/>
          <w:lang w:eastAsia="fr-FR"/>
        </w:rPr>
        <w:t>Kpouèbo</w:t>
      </w:r>
      <w:proofErr w:type="spellEnd"/>
      <w:r w:rsidR="00EB00CD" w:rsidRPr="00D42B1B">
        <w:rPr>
          <w:rFonts w:eastAsia="Times New Roman" w:cs="Arial"/>
          <w:color w:val="444444"/>
          <w:szCs w:val="20"/>
          <w:lang w:eastAsia="fr-FR"/>
        </w:rPr>
        <w:t xml:space="preserve"> </w:t>
      </w:r>
      <w:r w:rsidRPr="00D42B1B">
        <w:rPr>
          <w:rFonts w:eastAsia="Times New Roman" w:cs="Arial"/>
          <w:color w:val="444444"/>
          <w:szCs w:val="20"/>
          <w:lang w:eastAsia="fr-FR"/>
        </w:rPr>
        <w:t>appelée à créer plus de 1</w:t>
      </w:r>
      <w:r w:rsidR="00AD0691">
        <w:rPr>
          <w:rFonts w:eastAsia="Times New Roman" w:cs="Arial"/>
          <w:color w:val="444444"/>
          <w:szCs w:val="20"/>
          <w:lang w:eastAsia="fr-FR"/>
        </w:rPr>
        <w:t> </w:t>
      </w:r>
      <w:r w:rsidRPr="00D42B1B">
        <w:rPr>
          <w:rFonts w:eastAsia="Times New Roman" w:cs="Arial"/>
          <w:color w:val="444444"/>
          <w:szCs w:val="20"/>
          <w:lang w:eastAsia="fr-FR"/>
        </w:rPr>
        <w:t>000 emplois directs.</w:t>
      </w:r>
      <w:r w:rsidR="00EB00CD" w:rsidRPr="00D42B1B">
        <w:rPr>
          <w:rFonts w:eastAsia="Times New Roman" w:cs="Arial"/>
          <w:color w:val="444444"/>
          <w:szCs w:val="20"/>
          <w:lang w:eastAsia="fr-FR"/>
        </w:rPr>
        <w:t xml:space="preserve"> </w:t>
      </w:r>
      <w:r w:rsidRPr="00D42B1B">
        <w:rPr>
          <w:rFonts w:eastAsia="Times New Roman" w:cs="Arial"/>
          <w:color w:val="444444"/>
          <w:szCs w:val="20"/>
          <w:lang w:eastAsia="fr-FR"/>
        </w:rPr>
        <w:t>Réhabilitation des pistes rurales, financements dédiés, mesures incitatives à l'industrialisation et programmes de durabilité figurent parmi les leviers que le gouvernement compte encore renforcer.</w:t>
      </w:r>
    </w:p>
    <w:p w14:paraId="37F7E800" w14:textId="77777777" w:rsidR="00EB00CD" w:rsidRPr="00D42B1B" w:rsidRDefault="00EB00CD" w:rsidP="00CB0A05">
      <w:pPr>
        <w:shd w:val="clear" w:color="auto" w:fill="FFFFFF"/>
        <w:spacing w:after="0" w:line="276" w:lineRule="auto"/>
        <w:rPr>
          <w:rFonts w:eastAsia="Times New Roman" w:cs="Arial"/>
          <w:color w:val="444444"/>
          <w:szCs w:val="20"/>
          <w:lang w:eastAsia="fr-FR"/>
        </w:rPr>
      </w:pPr>
    </w:p>
    <w:p w14:paraId="6F737459" w14:textId="2E1CCA47" w:rsidR="00825243" w:rsidRPr="00D42B1B" w:rsidRDefault="00825243" w:rsidP="0024486D">
      <w:pPr>
        <w:pStyle w:val="Titre2"/>
        <w:spacing w:before="0"/>
        <w:rPr>
          <w:rFonts w:eastAsiaTheme="minorHAnsi"/>
          <w:bCs/>
        </w:rPr>
      </w:pPr>
      <w:bookmarkStart w:id="69" w:name="_Toc233878686"/>
      <w:bookmarkStart w:id="70" w:name="_Hlk231649126"/>
      <w:r w:rsidRPr="00D42B1B">
        <w:rPr>
          <w:rFonts w:eastAsia="Times New Roman" w:cs="Arial"/>
          <w:bCs/>
          <w:color w:val="444444"/>
          <w:szCs w:val="20"/>
          <w:lang w:eastAsia="fr-FR"/>
        </w:rPr>
        <w:t>A</w:t>
      </w:r>
      <w:bookmarkStart w:id="71" w:name="_Hlk231649110"/>
      <w:r w:rsidRPr="00D42B1B">
        <w:rPr>
          <w:rFonts w:eastAsia="Times New Roman" w:cs="Arial"/>
          <w:bCs/>
          <w:color w:val="444444"/>
          <w:szCs w:val="20"/>
          <w:lang w:eastAsia="fr-FR"/>
        </w:rPr>
        <w:t>nacarde –</w:t>
      </w:r>
      <w:r w:rsidR="0024486D" w:rsidRPr="00D42B1B">
        <w:rPr>
          <w:rFonts w:eastAsia="Times New Roman" w:cs="Arial"/>
          <w:bCs/>
          <w:color w:val="444444"/>
          <w:szCs w:val="20"/>
          <w:lang w:eastAsia="fr-FR"/>
        </w:rPr>
        <w:t xml:space="preserve"> Instauration d’</w:t>
      </w:r>
      <w:r w:rsidRPr="00D42B1B">
        <w:rPr>
          <w:rFonts w:eastAsia="Times New Roman" w:cs="Arial"/>
          <w:bCs/>
          <w:color w:val="444444"/>
          <w:szCs w:val="20"/>
          <w:lang w:eastAsia="fr-FR"/>
        </w:rPr>
        <w:t>un cadre permanent de concertation</w:t>
      </w:r>
      <w:r w:rsidR="0024486D" w:rsidRPr="00D42B1B">
        <w:rPr>
          <w:rFonts w:eastAsia="Times New Roman" w:cs="Arial"/>
          <w:bCs/>
          <w:color w:val="444444"/>
          <w:szCs w:val="20"/>
          <w:lang w:eastAsia="fr-FR"/>
        </w:rPr>
        <w:t>.</w:t>
      </w:r>
      <w:bookmarkEnd w:id="69"/>
      <w:bookmarkEnd w:id="71"/>
    </w:p>
    <w:bookmarkEnd w:id="70"/>
    <w:p w14:paraId="584AFA52" w14:textId="1AF8C411" w:rsidR="00825243" w:rsidRPr="00D42B1B" w:rsidRDefault="00825243" w:rsidP="00825243">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Le ministre de l’</w:t>
      </w:r>
      <w:r w:rsidR="0024486D" w:rsidRPr="00D42B1B">
        <w:rPr>
          <w:rFonts w:eastAsia="Times New Roman" w:cs="Arial"/>
          <w:color w:val="444444"/>
          <w:szCs w:val="20"/>
          <w:lang w:eastAsia="fr-FR"/>
        </w:rPr>
        <w:t>a</w:t>
      </w:r>
      <w:r w:rsidRPr="00D42B1B">
        <w:rPr>
          <w:rFonts w:eastAsia="Times New Roman" w:cs="Arial"/>
          <w:color w:val="444444"/>
          <w:szCs w:val="20"/>
          <w:lang w:eastAsia="fr-FR"/>
        </w:rPr>
        <w:t xml:space="preserve">griculture, </w:t>
      </w:r>
      <w:r w:rsidR="00004283" w:rsidRPr="00D42B1B">
        <w:rPr>
          <w:rFonts w:eastAsia="Times New Roman" w:cs="Arial"/>
          <w:color w:val="444444"/>
          <w:szCs w:val="20"/>
          <w:lang w:eastAsia="fr-FR"/>
        </w:rPr>
        <w:t xml:space="preserve">développement rural et des productions vivrières, </w:t>
      </w:r>
      <w:r w:rsidR="0024486D" w:rsidRPr="00D42B1B">
        <w:rPr>
          <w:rFonts w:eastAsia="Times New Roman" w:cs="Arial"/>
          <w:color w:val="444444"/>
          <w:szCs w:val="20"/>
          <w:lang w:eastAsia="fr-FR"/>
        </w:rPr>
        <w:t>M.</w:t>
      </w:r>
      <w:r w:rsidR="00004283" w:rsidRPr="00D42B1B">
        <w:rPr>
          <w:rFonts w:eastAsia="Times New Roman" w:cs="Arial"/>
          <w:color w:val="444444"/>
          <w:szCs w:val="20"/>
          <w:lang w:eastAsia="fr-FR"/>
        </w:rPr>
        <w:t> </w:t>
      </w:r>
      <w:r w:rsidRPr="00D42B1B">
        <w:rPr>
          <w:rFonts w:eastAsia="Times New Roman" w:cs="Arial"/>
          <w:color w:val="444444"/>
          <w:szCs w:val="20"/>
          <w:lang w:eastAsia="fr-FR"/>
        </w:rPr>
        <w:t>Bruno</w:t>
      </w:r>
      <w:r w:rsidR="00004283" w:rsidRPr="00D42B1B">
        <w:rPr>
          <w:rFonts w:eastAsia="Times New Roman" w:cs="Arial"/>
          <w:color w:val="444444"/>
          <w:szCs w:val="20"/>
          <w:lang w:eastAsia="fr-FR"/>
        </w:rPr>
        <w:t> </w:t>
      </w:r>
      <w:proofErr w:type="spellStart"/>
      <w:r w:rsidRPr="00D42B1B">
        <w:rPr>
          <w:rFonts w:eastAsia="Times New Roman" w:cs="Arial"/>
          <w:color w:val="444444"/>
          <w:szCs w:val="20"/>
          <w:lang w:eastAsia="fr-FR"/>
        </w:rPr>
        <w:t>Nabagné</w:t>
      </w:r>
      <w:proofErr w:type="spellEnd"/>
      <w:r w:rsidRPr="00D42B1B">
        <w:rPr>
          <w:rFonts w:eastAsia="Times New Roman" w:cs="Arial"/>
          <w:color w:val="444444"/>
          <w:szCs w:val="20"/>
          <w:lang w:eastAsia="fr-FR"/>
        </w:rPr>
        <w:t xml:space="preserve"> Koné, a reçu en audience, le 2 juin, une délégation de l’Organisation </w:t>
      </w:r>
      <w:r w:rsidR="0024486D" w:rsidRPr="00D42B1B">
        <w:rPr>
          <w:rFonts w:eastAsia="Times New Roman" w:cs="Arial"/>
          <w:color w:val="444444"/>
          <w:szCs w:val="20"/>
          <w:lang w:eastAsia="fr-FR"/>
        </w:rPr>
        <w:t>i</w:t>
      </w:r>
      <w:r w:rsidRPr="00D42B1B">
        <w:rPr>
          <w:rFonts w:eastAsia="Times New Roman" w:cs="Arial"/>
          <w:color w:val="444444"/>
          <w:szCs w:val="20"/>
          <w:lang w:eastAsia="fr-FR"/>
        </w:rPr>
        <w:t xml:space="preserve">nterprofessionnelle </w:t>
      </w:r>
      <w:r w:rsidR="0024486D" w:rsidRPr="00D42B1B">
        <w:rPr>
          <w:rFonts w:eastAsia="Times New Roman" w:cs="Arial"/>
          <w:color w:val="444444"/>
          <w:szCs w:val="20"/>
          <w:lang w:eastAsia="fr-FR"/>
        </w:rPr>
        <w:t>a</w:t>
      </w:r>
      <w:r w:rsidRPr="00D42B1B">
        <w:rPr>
          <w:rFonts w:eastAsia="Times New Roman" w:cs="Arial"/>
          <w:color w:val="444444"/>
          <w:szCs w:val="20"/>
          <w:lang w:eastAsia="fr-FR"/>
        </w:rPr>
        <w:t>gricole (OIA-Anacarde), conduite par son Président du Conseil d’</w:t>
      </w:r>
      <w:r w:rsidR="0024486D" w:rsidRPr="00D42B1B">
        <w:rPr>
          <w:rFonts w:eastAsia="Times New Roman" w:cs="Arial"/>
          <w:color w:val="444444"/>
          <w:szCs w:val="20"/>
          <w:lang w:eastAsia="fr-FR"/>
        </w:rPr>
        <w:t>a</w:t>
      </w:r>
      <w:r w:rsidRPr="00D42B1B">
        <w:rPr>
          <w:rFonts w:eastAsia="Times New Roman" w:cs="Arial"/>
          <w:color w:val="444444"/>
          <w:szCs w:val="20"/>
          <w:lang w:eastAsia="fr-FR"/>
        </w:rPr>
        <w:t xml:space="preserve">dministration, M. </w:t>
      </w:r>
      <w:proofErr w:type="spellStart"/>
      <w:r w:rsidRPr="00D42B1B">
        <w:rPr>
          <w:rFonts w:eastAsia="Times New Roman" w:cs="Arial"/>
          <w:color w:val="444444"/>
          <w:szCs w:val="20"/>
          <w:lang w:eastAsia="fr-FR"/>
        </w:rPr>
        <w:t>Bêh</w:t>
      </w:r>
      <w:proofErr w:type="spellEnd"/>
      <w:r w:rsidRPr="00D42B1B">
        <w:rPr>
          <w:rFonts w:eastAsia="Times New Roman" w:cs="Arial"/>
          <w:color w:val="444444"/>
          <w:szCs w:val="20"/>
          <w:lang w:eastAsia="fr-FR"/>
        </w:rPr>
        <w:t xml:space="preserve"> Soro. </w:t>
      </w:r>
      <w:r w:rsidR="0024486D" w:rsidRPr="00D42B1B">
        <w:rPr>
          <w:rFonts w:eastAsia="Times New Roman" w:cs="Arial"/>
          <w:color w:val="444444"/>
          <w:szCs w:val="20"/>
          <w:lang w:eastAsia="fr-FR"/>
        </w:rPr>
        <w:t>L’OIA-Anacarde, qui fédère les quatre collèges de la chaîne de valeur — producteurs, acheteurs, transformateurs et exportateurs — apparaît comme un partenaire clé dans la structuration et le développement de la filière anacarde en Côte d’Ivoire.</w:t>
      </w:r>
      <w:r w:rsidR="00004283" w:rsidRPr="00D42B1B">
        <w:rPr>
          <w:rFonts w:eastAsia="Times New Roman" w:cs="Arial"/>
          <w:color w:val="444444"/>
          <w:szCs w:val="20"/>
          <w:lang w:eastAsia="fr-FR"/>
        </w:rPr>
        <w:t xml:space="preserve"> </w:t>
      </w:r>
      <w:r w:rsidRPr="00D42B1B">
        <w:rPr>
          <w:rFonts w:eastAsia="Times New Roman" w:cs="Arial"/>
          <w:color w:val="444444"/>
          <w:szCs w:val="20"/>
          <w:lang w:eastAsia="fr-FR"/>
        </w:rPr>
        <w:t>Au cours de cette séance de travail, les échanges ont porté sur les principaux défis de la filière</w:t>
      </w:r>
      <w:r w:rsidR="0024486D" w:rsidRPr="00D42B1B">
        <w:rPr>
          <w:rFonts w:eastAsia="Times New Roman" w:cs="Arial"/>
          <w:color w:val="444444"/>
          <w:szCs w:val="20"/>
          <w:lang w:eastAsia="fr-FR"/>
        </w:rPr>
        <w:t> :</w:t>
      </w:r>
      <w:r w:rsidRPr="00D42B1B">
        <w:rPr>
          <w:rFonts w:eastAsia="Times New Roman" w:cs="Arial"/>
          <w:color w:val="444444"/>
          <w:szCs w:val="20"/>
          <w:lang w:eastAsia="fr-FR"/>
        </w:rPr>
        <w:t xml:space="preserve"> l’enlèvement des stocks résiduels, les modalités de commercialisation, le respect du prix bord champ, la promotion de la transformation locale et les perspectives pour les prochaines campagnes. </w:t>
      </w:r>
      <w:r w:rsidR="0024486D" w:rsidRPr="00D42B1B">
        <w:rPr>
          <w:rFonts w:eastAsia="Times New Roman" w:cs="Arial"/>
          <w:color w:val="444444"/>
          <w:szCs w:val="20"/>
          <w:lang w:eastAsia="fr-FR"/>
        </w:rPr>
        <w:t>A</w:t>
      </w:r>
      <w:r w:rsidRPr="00D42B1B">
        <w:rPr>
          <w:rFonts w:eastAsia="Times New Roman" w:cs="Arial"/>
          <w:color w:val="444444"/>
          <w:szCs w:val="20"/>
          <w:lang w:eastAsia="fr-FR"/>
        </w:rPr>
        <w:t xml:space="preserve"> l’issue des discussions, le </w:t>
      </w:r>
      <w:r w:rsidR="0024486D" w:rsidRPr="00D42B1B">
        <w:rPr>
          <w:rFonts w:eastAsia="Times New Roman" w:cs="Arial"/>
          <w:color w:val="444444"/>
          <w:szCs w:val="20"/>
          <w:lang w:eastAsia="fr-FR"/>
        </w:rPr>
        <w:t>m</w:t>
      </w:r>
      <w:r w:rsidRPr="00D42B1B">
        <w:rPr>
          <w:rFonts w:eastAsia="Times New Roman" w:cs="Arial"/>
          <w:color w:val="444444"/>
          <w:szCs w:val="20"/>
          <w:lang w:eastAsia="fr-FR"/>
        </w:rPr>
        <w:t>inistre a annoncé la mise en place d’un cadre permanent de concertation, avec des rencontres régulières pour assurer un suivi efficace des préoccupations exprimées</w:t>
      </w:r>
      <w:r w:rsidR="0024486D" w:rsidRPr="00D42B1B">
        <w:rPr>
          <w:rFonts w:eastAsia="Times New Roman" w:cs="Arial"/>
          <w:color w:val="444444"/>
          <w:szCs w:val="20"/>
          <w:lang w:eastAsia="fr-FR"/>
        </w:rPr>
        <w:t>.</w:t>
      </w:r>
    </w:p>
    <w:p w14:paraId="54868D80" w14:textId="77777777" w:rsidR="0038033E" w:rsidRPr="00D42B1B" w:rsidRDefault="0038033E" w:rsidP="00825243">
      <w:pPr>
        <w:shd w:val="clear" w:color="auto" w:fill="FFFFFF"/>
        <w:spacing w:after="0" w:line="276" w:lineRule="auto"/>
        <w:rPr>
          <w:rFonts w:eastAsia="Times New Roman" w:cs="Arial"/>
          <w:color w:val="444444"/>
          <w:szCs w:val="20"/>
          <w:lang w:eastAsia="fr-FR"/>
        </w:rPr>
      </w:pPr>
    </w:p>
    <w:p w14:paraId="7B24AFAE" w14:textId="77777777" w:rsidR="0038033E" w:rsidRPr="00D42B1B" w:rsidRDefault="0038033E" w:rsidP="0038033E">
      <w:pPr>
        <w:pStyle w:val="Titre2"/>
        <w:spacing w:before="0"/>
        <w:rPr>
          <w:rFonts w:eastAsiaTheme="minorHAnsi"/>
        </w:rPr>
      </w:pPr>
      <w:bookmarkStart w:id="72" w:name="_Toc233878687"/>
      <w:r w:rsidRPr="00D42B1B">
        <w:rPr>
          <w:rFonts w:eastAsia="Times New Roman" w:cs="Arial"/>
          <w:color w:val="444444"/>
          <w:szCs w:val="20"/>
          <w:lang w:eastAsia="fr-FR"/>
        </w:rPr>
        <w:t>Anacarde - Un partenariat signé pour accélérer la transformation locale.</w:t>
      </w:r>
      <w:bookmarkEnd w:id="72"/>
    </w:p>
    <w:p w14:paraId="4974A55D" w14:textId="61E7B1AA" w:rsidR="0038033E" w:rsidRPr="00D42B1B" w:rsidRDefault="0038033E" w:rsidP="0038033E">
      <w:pPr>
        <w:spacing w:after="0"/>
        <w:rPr>
          <w:rFonts w:eastAsia="Times New Roman" w:cs="Arial"/>
          <w:color w:val="444444"/>
          <w:szCs w:val="20"/>
          <w:lang w:eastAsia="fr-FR"/>
        </w:rPr>
      </w:pPr>
      <w:r w:rsidRPr="00D42B1B">
        <w:rPr>
          <w:rFonts w:eastAsia="Times New Roman" w:cs="Arial"/>
          <w:color w:val="444444"/>
          <w:szCs w:val="20"/>
          <w:lang w:eastAsia="fr-FR"/>
        </w:rPr>
        <w:t xml:space="preserve">La Banque nationale d’investissement (BNI), le Conseil du coton, de l’anacarde et du karité, ainsi que les industriels locaux du secteur ont officialisé le 11 juin un accord tripartite en faveur de la transformation de la noix de cajou. L’accord repose sur un dispositif de financement. Le Conseil du coton, de l’anacarde et du karité s’engage à garantir 20% des besoins en matières premières des transformateurs locaux. De son côté, la BNI prendra en charge le financement des 80% restants, couvrant à la fois l’achat des noix brutes et les coûts liés à leur transformation. Pour le directeur général de la BNI, M. Youssouf </w:t>
      </w:r>
      <w:proofErr w:type="spellStart"/>
      <w:r w:rsidRPr="00D42B1B">
        <w:rPr>
          <w:rFonts w:eastAsia="Times New Roman" w:cs="Arial"/>
          <w:color w:val="444444"/>
          <w:szCs w:val="20"/>
          <w:lang w:eastAsia="fr-FR"/>
        </w:rPr>
        <w:t>Fadiga</w:t>
      </w:r>
      <w:proofErr w:type="spellEnd"/>
      <w:r w:rsidRPr="00D42B1B">
        <w:rPr>
          <w:rFonts w:eastAsia="Times New Roman" w:cs="Arial"/>
          <w:color w:val="444444"/>
          <w:szCs w:val="20"/>
          <w:lang w:eastAsia="fr-FR"/>
        </w:rPr>
        <w:t xml:space="preserve">, ce mécanisme représente un levier essentiel pour renforcer les capacités des entreprises locales. Il a expliqué </w:t>
      </w:r>
      <w:r w:rsidRPr="00D42B1B">
        <w:rPr>
          <w:rFonts w:eastAsia="Times New Roman" w:cs="Arial"/>
          <w:color w:val="444444"/>
          <w:szCs w:val="20"/>
          <w:lang w:eastAsia="fr-FR"/>
        </w:rPr>
        <w:lastRenderedPageBreak/>
        <w:t xml:space="preserve">que le financement, associé à une subvention prévue dans le dispositif, permettra d’améliorer la trésorerie des opérateurs et de sécuriser leur chaîne d’approvisionnement. Au-delà du simple soutien financier, les autorités misent sur des retombées économiques significatives. Chaque tonne de noix de cajou transformée localement représente, selon M. Youssouf </w:t>
      </w:r>
      <w:proofErr w:type="spellStart"/>
      <w:r w:rsidRPr="00D42B1B">
        <w:rPr>
          <w:rFonts w:eastAsia="Times New Roman" w:cs="Arial"/>
          <w:color w:val="444444"/>
          <w:szCs w:val="20"/>
          <w:lang w:eastAsia="fr-FR"/>
        </w:rPr>
        <w:t>Fadiga</w:t>
      </w:r>
      <w:proofErr w:type="spellEnd"/>
      <w:r w:rsidRPr="00D42B1B">
        <w:rPr>
          <w:rFonts w:eastAsia="Times New Roman" w:cs="Arial"/>
          <w:color w:val="444444"/>
          <w:szCs w:val="20"/>
          <w:lang w:eastAsia="fr-FR"/>
        </w:rPr>
        <w:t xml:space="preserve">, une source supplémentaire d’emplois, de revenus fiscaux, de développement industriel et d’entrées de devises pour le pays. Cependant, la réussite de cette initiative dépendra de l’implication effective de toutes les parties prenantes. Le directeur général de la BNI a insisté sur la nécessité d’une responsabilité partagée entre les institutions et les transformateurs afin d’assurer une gestion rigoureuse des ressources mobilisées et garantir la durabilité du programme. Pour M. </w:t>
      </w:r>
      <w:r w:rsidR="004D4546" w:rsidRPr="00D42B1B">
        <w:rPr>
          <w:rFonts w:eastAsia="Times New Roman" w:cs="Arial"/>
          <w:color w:val="444444"/>
          <w:szCs w:val="20"/>
          <w:lang w:eastAsia="fr-FR"/>
        </w:rPr>
        <w:t xml:space="preserve">Mamadou </w:t>
      </w:r>
      <w:r w:rsidRPr="00D42B1B">
        <w:rPr>
          <w:rFonts w:eastAsia="Times New Roman" w:cs="Arial"/>
          <w:color w:val="444444"/>
          <w:szCs w:val="20"/>
          <w:lang w:eastAsia="fr-FR"/>
        </w:rPr>
        <w:t>Berté, directeur général du Conseil du coton, de l’anacarde et du karité, les enjeux restent importants. Il a rappelé que la production nationale atteint environ 1,5 M de tonnes de noix de cajou par an, dont près de 700 000 tonnes sont transformées sur le territoire ivoirien. Toutefois, la majorité de cette transformation est encore dominée par les multinationales, qui représentent près de 75% des volumes traités, contre seulement 25% pour les opérateurs locaux. L’objectif est de renforcer la part des transformateurs nationaux pour atteindre au moins 30%. Dans cette perspective, M. Berté Mamadou a appelé les industriels ivoiriens à faire preuve de rigueur dans le respect de leurs engagements, notamment en matière de transformation effective, de commercialisation et de remboursement des financements obtenus. Le président du Groupement des transformateurs de Côte d’Ivoire (GTCI), M. Kouadio Denis, a réaffirmé la détermination des acteurs à tirer pleinement profit de cette initiative. Il a assuré que les entreprises du secteur feront un usage responsable des ressources mises à leur disposition, afin de contribuer efficacement à la stratégie nationale de transformation de l’anacarde.</w:t>
      </w:r>
    </w:p>
    <w:p w14:paraId="38FD608B" w14:textId="77777777" w:rsidR="00045A4F" w:rsidRPr="00D42B1B" w:rsidRDefault="00045A4F" w:rsidP="00045A4F">
      <w:pPr>
        <w:shd w:val="clear" w:color="auto" w:fill="FFFFFF"/>
        <w:spacing w:after="0" w:line="276" w:lineRule="auto"/>
        <w:rPr>
          <w:rFonts w:eastAsia="Times New Roman" w:cs="Arial"/>
          <w:color w:val="444444"/>
          <w:szCs w:val="20"/>
          <w:lang w:eastAsia="fr-FR"/>
        </w:rPr>
      </w:pPr>
    </w:p>
    <w:p w14:paraId="2EA9259C" w14:textId="05AEE60B" w:rsidR="00045A4F" w:rsidRPr="00D42B1B" w:rsidRDefault="00045A4F" w:rsidP="00045A4F">
      <w:pPr>
        <w:pStyle w:val="Titre2"/>
        <w:spacing w:before="0"/>
        <w:rPr>
          <w:rFonts w:eastAsiaTheme="minorHAnsi"/>
        </w:rPr>
      </w:pPr>
      <w:bookmarkStart w:id="73" w:name="_Toc233878688"/>
      <w:r w:rsidRPr="00D42B1B">
        <w:rPr>
          <w:rFonts w:eastAsia="Times New Roman" w:cs="Arial"/>
          <w:color w:val="444444"/>
          <w:szCs w:val="20"/>
          <w:lang w:eastAsia="fr-FR"/>
        </w:rPr>
        <w:t>Anacarde – Exploration du potentiel du marché carbone pour financer une croissance durable.</w:t>
      </w:r>
      <w:bookmarkEnd w:id="73"/>
    </w:p>
    <w:p w14:paraId="1FAA501D" w14:textId="615D8DA0" w:rsidR="00045A4F" w:rsidRPr="00D42B1B" w:rsidRDefault="00045A4F" w:rsidP="00045A4F">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La valorisation du potentiel carbone de la filière anacarde pourrait ouvrir une nouvelle ère de financement durable pour les producteurs et les industriels ivoiriens. C’est le message porté par le Directeur général du conseil du coton, de l’anacarde et du karité (CCAK), M. Mamadou Berté, à l’ouverture d’un atelier consacré à la restitution d’une étude sur le potentiel de valorisation carbone de la filière cajou en Côte d’Ivoire. Organisée avec l’appui de la Banque mondiale, cette rencontre visait à identifier les opportunités offertes par les mécanismes de financement carbone et à lancer le processus d’élaboration d’un projet de production et d’utilisation de biochar issu des coques de cajou. Pour M. Mamadou Berté, la filière anacarde ne doit plus être perçue uniquement sous l’angle de la production et de la transformation. Elle dispose également d’un important potentiel environnemental susceptible de générer de nouvelles sources de revenus tout en contribuant aux objectifs climatiques du pays. Selon les conclusions préliminaires de l’étude présentée lors de l’atelier, les plantations d’anacardiers jouent un rôle important dans la séquestration du carbone, tandis que les sous-produits issus de la transformation de la noix de cajou offrent des perspectives prometteuses en matière d’économie circulaire et de réduction des émissions de gaz à effet de serre.</w:t>
      </w:r>
      <w:r w:rsidR="005F4B65"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Réalisée grâce au soutien du fonds </w:t>
      </w:r>
      <w:r w:rsidRPr="00D42B1B">
        <w:rPr>
          <w:rFonts w:eastAsia="Times New Roman" w:cs="Arial"/>
          <w:i/>
          <w:iCs/>
          <w:color w:val="444444"/>
          <w:szCs w:val="20"/>
          <w:lang w:eastAsia="fr-FR"/>
        </w:rPr>
        <w:t xml:space="preserve">Compact </w:t>
      </w:r>
      <w:proofErr w:type="spellStart"/>
      <w:r w:rsidRPr="00D42B1B">
        <w:rPr>
          <w:rFonts w:eastAsia="Times New Roman" w:cs="Arial"/>
          <w:i/>
          <w:iCs/>
          <w:color w:val="444444"/>
          <w:szCs w:val="20"/>
          <w:lang w:eastAsia="fr-FR"/>
        </w:rPr>
        <w:t>with</w:t>
      </w:r>
      <w:proofErr w:type="spellEnd"/>
      <w:r w:rsidRPr="00D42B1B">
        <w:rPr>
          <w:rFonts w:eastAsia="Times New Roman" w:cs="Arial"/>
          <w:i/>
          <w:iCs/>
          <w:color w:val="444444"/>
          <w:szCs w:val="20"/>
          <w:lang w:eastAsia="fr-FR"/>
        </w:rPr>
        <w:t xml:space="preserve"> </w:t>
      </w:r>
      <w:proofErr w:type="spellStart"/>
      <w:r w:rsidRPr="00D42B1B">
        <w:rPr>
          <w:rFonts w:eastAsia="Times New Roman" w:cs="Arial"/>
          <w:i/>
          <w:iCs/>
          <w:color w:val="444444"/>
          <w:szCs w:val="20"/>
          <w:lang w:eastAsia="fr-FR"/>
        </w:rPr>
        <w:t>Africa</w:t>
      </w:r>
      <w:proofErr w:type="spellEnd"/>
      <w:r w:rsidRPr="00D42B1B">
        <w:rPr>
          <w:rFonts w:eastAsia="Times New Roman" w:cs="Arial"/>
          <w:i/>
          <w:iCs/>
          <w:color w:val="444444"/>
          <w:szCs w:val="20"/>
          <w:lang w:eastAsia="fr-FR"/>
        </w:rPr>
        <w:t xml:space="preserve"> Green </w:t>
      </w:r>
      <w:proofErr w:type="spellStart"/>
      <w:r w:rsidRPr="00D42B1B">
        <w:rPr>
          <w:rFonts w:eastAsia="Times New Roman" w:cs="Arial"/>
          <w:i/>
          <w:iCs/>
          <w:color w:val="444444"/>
          <w:szCs w:val="20"/>
          <w:lang w:eastAsia="fr-FR"/>
        </w:rPr>
        <w:t>Fund</w:t>
      </w:r>
      <w:proofErr w:type="spellEnd"/>
      <w:r w:rsidRPr="00D42B1B">
        <w:rPr>
          <w:rFonts w:eastAsia="Times New Roman" w:cs="Arial"/>
          <w:color w:val="444444"/>
          <w:szCs w:val="20"/>
          <w:lang w:eastAsia="fr-FR"/>
        </w:rPr>
        <w:t>, géré par la Banque mondiale, l’étude a permis d’évaluer les émissions de carbone tout au long de la chaîne de valeur de l’anacarde et d’identifier plusieurs pistes de valorisation susceptibles d’alimenter les marchés du carbone.</w:t>
      </w:r>
      <w:r w:rsidR="005F4B65"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Parmi les solutions envisagées figure notamment la production de biochar à partir des tourteaux de coques de cajou. Cette technologie consiste à transformer les résidus </w:t>
      </w:r>
      <w:r w:rsidRPr="00D42B1B">
        <w:rPr>
          <w:rFonts w:eastAsia="Times New Roman" w:cs="Arial"/>
          <w:color w:val="444444"/>
          <w:szCs w:val="20"/>
          <w:lang w:eastAsia="fr-FR"/>
        </w:rPr>
        <w:lastRenderedPageBreak/>
        <w:t>agricoles en un matériau capable de stocker durablement le carbone dans les sols.</w:t>
      </w:r>
      <w:r w:rsidR="005F4B65" w:rsidRPr="00D42B1B">
        <w:rPr>
          <w:rFonts w:eastAsia="Times New Roman" w:cs="Arial"/>
          <w:color w:val="444444"/>
          <w:szCs w:val="20"/>
          <w:lang w:eastAsia="fr-FR"/>
        </w:rPr>
        <w:t xml:space="preserve"> </w:t>
      </w:r>
      <w:r w:rsidRPr="00D42B1B">
        <w:rPr>
          <w:rFonts w:eastAsia="Times New Roman" w:cs="Arial"/>
          <w:color w:val="444444"/>
          <w:szCs w:val="20"/>
          <w:lang w:eastAsia="fr-FR"/>
        </w:rPr>
        <w:t>Les experts estiment que cette solution présente un double avantage. Elle permet d’une part de valoriser un sous-produit encore peu exploité et, d’autre part, d’améliorer la fertilité des sols tout en contribuant à la réduction des émissions de gaz à effet de serre.</w:t>
      </w:r>
      <w:r w:rsidR="005F4B65" w:rsidRPr="00D42B1B">
        <w:rPr>
          <w:rFonts w:eastAsia="Times New Roman" w:cs="Arial"/>
          <w:color w:val="444444"/>
          <w:szCs w:val="20"/>
          <w:lang w:eastAsia="fr-FR"/>
        </w:rPr>
        <w:t xml:space="preserve"> </w:t>
      </w:r>
      <w:r w:rsidRPr="00D42B1B">
        <w:rPr>
          <w:rFonts w:eastAsia="Times New Roman" w:cs="Arial"/>
          <w:color w:val="444444"/>
          <w:szCs w:val="20"/>
          <w:lang w:eastAsia="fr-FR"/>
        </w:rPr>
        <w:t>Pour les partenaires du projet, le développement d’une filière biochar pourrait constituer un nouveau levier de compétitivité pour l’industrie locale de transformation de l’anacarde et générer des revenus additionnels à travers les mécanismes internationaux de crédit carbone.</w:t>
      </w:r>
      <w:r w:rsidR="005F4B65" w:rsidRPr="00D42B1B">
        <w:rPr>
          <w:rFonts w:eastAsia="Times New Roman" w:cs="Arial"/>
          <w:color w:val="444444"/>
          <w:szCs w:val="20"/>
          <w:lang w:eastAsia="fr-FR"/>
        </w:rPr>
        <w:t xml:space="preserve"> </w:t>
      </w:r>
      <w:r w:rsidRPr="00D42B1B">
        <w:rPr>
          <w:rFonts w:eastAsia="Times New Roman" w:cs="Arial"/>
          <w:color w:val="444444"/>
          <w:szCs w:val="20"/>
          <w:lang w:eastAsia="fr-FR"/>
        </w:rPr>
        <w:t>Au-delà des enjeux environnementaux, l’initiative s’inscrit dans une stratégie plus large visant à renforcer la résilience et la compétitivité de la filière anacarde, qui contribue fortement à l’emploi, aux revenus des producteurs et au développement économique des zones rurales.</w:t>
      </w:r>
      <w:r w:rsidR="005F4B65" w:rsidRPr="00D42B1B">
        <w:rPr>
          <w:rFonts w:eastAsia="Times New Roman" w:cs="Arial"/>
          <w:color w:val="444444"/>
          <w:szCs w:val="20"/>
          <w:lang w:eastAsia="fr-FR"/>
        </w:rPr>
        <w:t xml:space="preserve"> </w:t>
      </w:r>
      <w:r w:rsidRPr="00D42B1B">
        <w:rPr>
          <w:rFonts w:eastAsia="Times New Roman" w:cs="Arial"/>
          <w:color w:val="444444"/>
          <w:szCs w:val="20"/>
          <w:lang w:eastAsia="fr-FR"/>
        </w:rPr>
        <w:t>Les responsables du secteur considèrent que la transition vers une économie plus verte représente désormais une opportunité de création de valeur. Les mécanismes de financement carbone pourraient permettre de mobiliser des ressources nouvelles pour accompagner les investissements nécessaires à la modernisation de la filière.</w:t>
      </w:r>
      <w:r w:rsidR="005F4B65"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L’étude réalisée avec l’appui du cabinet </w:t>
      </w:r>
      <w:proofErr w:type="spellStart"/>
      <w:r w:rsidRPr="00D42B1B">
        <w:rPr>
          <w:rFonts w:eastAsia="Times New Roman" w:cs="Arial"/>
          <w:color w:val="444444"/>
          <w:szCs w:val="20"/>
          <w:lang w:eastAsia="fr-FR"/>
        </w:rPr>
        <w:t>Nitidae</w:t>
      </w:r>
      <w:proofErr w:type="spellEnd"/>
      <w:r w:rsidRPr="00D42B1B">
        <w:rPr>
          <w:rFonts w:eastAsia="Times New Roman" w:cs="Arial"/>
          <w:color w:val="444444"/>
          <w:szCs w:val="20"/>
          <w:lang w:eastAsia="fr-FR"/>
        </w:rPr>
        <w:t xml:space="preserve"> et des équipes techniques du Conseil du Coton, de l’Anacarde et du Karité ouvre ainsi la voie à de nouvelles perspectives pour le secteur.</w:t>
      </w:r>
      <w:r w:rsidR="005F4B65" w:rsidRPr="00D42B1B">
        <w:rPr>
          <w:rFonts w:eastAsia="Times New Roman" w:cs="Arial"/>
          <w:color w:val="444444"/>
          <w:szCs w:val="20"/>
          <w:lang w:eastAsia="fr-FR"/>
        </w:rPr>
        <w:t xml:space="preserve"> A</w:t>
      </w:r>
      <w:r w:rsidRPr="00D42B1B">
        <w:rPr>
          <w:rFonts w:eastAsia="Times New Roman" w:cs="Arial"/>
          <w:color w:val="444444"/>
          <w:szCs w:val="20"/>
          <w:lang w:eastAsia="fr-FR"/>
        </w:rPr>
        <w:t xml:space="preserve"> travers cette démarche, la Côte d’Ivoire ambitionne de faire de sa filière anacarde une référence africaine en matière d’économie circulaire, de valorisation des sous-produits agricoles et de financement climatique, tout en consolidant sa position de leader mondial de la production de noix de cajou.</w:t>
      </w:r>
    </w:p>
    <w:p w14:paraId="6D93B31D" w14:textId="77777777" w:rsidR="005F4B65" w:rsidRPr="00D42B1B" w:rsidRDefault="005F4B65" w:rsidP="00045A4F">
      <w:pPr>
        <w:shd w:val="clear" w:color="auto" w:fill="FFFFFF"/>
        <w:spacing w:after="0" w:line="276" w:lineRule="auto"/>
        <w:rPr>
          <w:rFonts w:eastAsia="Times New Roman" w:cs="Arial"/>
          <w:color w:val="444444"/>
          <w:szCs w:val="20"/>
          <w:lang w:eastAsia="fr-FR"/>
        </w:rPr>
      </w:pPr>
    </w:p>
    <w:p w14:paraId="7E0FD172" w14:textId="1F205CB0" w:rsidR="00C82C43" w:rsidRPr="00D42B1B" w:rsidRDefault="00C82C43" w:rsidP="002E16EC">
      <w:pPr>
        <w:pStyle w:val="Titre2"/>
        <w:spacing w:before="0"/>
        <w:rPr>
          <w:rFonts w:eastAsiaTheme="minorHAnsi"/>
        </w:rPr>
      </w:pPr>
      <w:bookmarkStart w:id="74" w:name="_Toc233878689"/>
      <w:bookmarkStart w:id="75" w:name="_Hlk233551204"/>
      <w:r w:rsidRPr="00D42B1B">
        <w:rPr>
          <w:rFonts w:eastAsia="Times New Roman" w:cs="Arial"/>
          <w:color w:val="444444"/>
          <w:szCs w:val="20"/>
          <w:lang w:eastAsia="fr-FR"/>
        </w:rPr>
        <w:t>Anacarde - Inauguration de la première usine de biochar.</w:t>
      </w:r>
      <w:bookmarkEnd w:id="74"/>
    </w:p>
    <w:bookmarkEnd w:id="75"/>
    <w:p w14:paraId="6FBA246C" w14:textId="69829477" w:rsidR="00F144FF" w:rsidRPr="00D42B1B" w:rsidRDefault="00C82C43" w:rsidP="00F144FF">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L’entreprise </w:t>
      </w:r>
      <w:proofErr w:type="spellStart"/>
      <w:r w:rsidRPr="00D42B1B">
        <w:rPr>
          <w:rFonts w:eastAsia="Times New Roman" w:cs="Arial"/>
          <w:color w:val="444444"/>
          <w:szCs w:val="20"/>
          <w:lang w:eastAsia="fr-FR"/>
        </w:rPr>
        <w:t>Valency</w:t>
      </w:r>
      <w:proofErr w:type="spellEnd"/>
      <w:r w:rsidRPr="00D42B1B">
        <w:rPr>
          <w:rFonts w:eastAsia="Times New Roman" w:cs="Arial"/>
          <w:color w:val="444444"/>
          <w:szCs w:val="20"/>
          <w:lang w:eastAsia="fr-FR"/>
        </w:rPr>
        <w:t xml:space="preserve"> International, en partenariat avec </w:t>
      </w:r>
      <w:proofErr w:type="spellStart"/>
      <w:r w:rsidRPr="00D42B1B">
        <w:rPr>
          <w:rFonts w:eastAsia="Times New Roman" w:cs="Arial"/>
          <w:color w:val="444444"/>
          <w:szCs w:val="20"/>
          <w:lang w:eastAsia="fr-FR"/>
        </w:rPr>
        <w:t>Revata</w:t>
      </w:r>
      <w:proofErr w:type="spellEnd"/>
      <w:r w:rsidRPr="00D42B1B">
        <w:rPr>
          <w:rFonts w:eastAsia="Times New Roman" w:cs="Arial"/>
          <w:color w:val="444444"/>
          <w:szCs w:val="20"/>
          <w:lang w:eastAsia="fr-FR"/>
        </w:rPr>
        <w:t xml:space="preserve"> Carbon, a officiellement mis en service le 18 juin la toute première installation industrielle de biochar du pays à </w:t>
      </w:r>
      <w:proofErr w:type="spellStart"/>
      <w:r w:rsidRPr="00D42B1B">
        <w:rPr>
          <w:rFonts w:eastAsia="Times New Roman" w:cs="Arial"/>
          <w:color w:val="444444"/>
          <w:szCs w:val="20"/>
          <w:lang w:eastAsia="fr-FR"/>
        </w:rPr>
        <w:t>Attinguié</w:t>
      </w:r>
      <w:proofErr w:type="spellEnd"/>
      <w:r w:rsidRPr="00D42B1B">
        <w:rPr>
          <w:rFonts w:eastAsia="Times New Roman" w:cs="Arial"/>
          <w:color w:val="444444"/>
          <w:szCs w:val="20"/>
          <w:lang w:eastAsia="fr-FR"/>
        </w:rPr>
        <w:t xml:space="preserve">, localité située à l’Ouest d’Abidjan. Le projet repose sur la transformation du tourteau de coque de cajou, un résidu jusqu’alors sous-valorisé de l’industrie de l’anacarde en Côte d’Ivoire. L’infrastructure affiche une capacité de traitement d’environ 20 000 tonnes de résidus agricoles par an. </w:t>
      </w:r>
      <w:r w:rsidR="00F144FF" w:rsidRPr="00D42B1B">
        <w:rPr>
          <w:rFonts w:eastAsia="Times New Roman" w:cs="Arial"/>
          <w:color w:val="444444"/>
          <w:szCs w:val="20"/>
          <w:lang w:eastAsia="fr-FR"/>
        </w:rPr>
        <w:t>A</w:t>
      </w:r>
      <w:r w:rsidRPr="00D42B1B">
        <w:rPr>
          <w:rFonts w:eastAsia="Times New Roman" w:cs="Arial"/>
          <w:color w:val="444444"/>
          <w:szCs w:val="20"/>
          <w:lang w:eastAsia="fr-FR"/>
        </w:rPr>
        <w:t xml:space="preserve"> terme, le site produira près de 6 000 tonnes de biochar par an, tout en générant simultanément de l’énergie renouvelable directement réinjectée pour les usages industriels de l’usine. L’installation maximise la récupération d’énergie et optimise son efficacité tout en réduisant drastiquement ses propres émissions. Le biochar, charbon d’origine végétale, sert d’alternative durable aux combustibles fossiles, améliore durablement la fertilité des sols agricoles et favorise le stockage à long terme du carbone dans la terre. Au-delà des gains écologiques, l’impact socio-économique s’annonce important. Le projet va générer de nombreux emplois directs et indirects, touchant des secteurs variés comme la production, la logistique, la maintenance et l’administration. Les deux partenaires ont d’ailleurs réaffirmé leur priorité de privilégier le recrutement local et de renforcer les compétences techniques des populations environnantes d’</w:t>
      </w:r>
      <w:proofErr w:type="spellStart"/>
      <w:r w:rsidRPr="00D42B1B">
        <w:rPr>
          <w:rFonts w:eastAsia="Times New Roman" w:cs="Arial"/>
          <w:color w:val="444444"/>
          <w:szCs w:val="20"/>
          <w:lang w:eastAsia="fr-FR"/>
        </w:rPr>
        <w:t>Attinguié</w:t>
      </w:r>
      <w:proofErr w:type="spellEnd"/>
      <w:r w:rsidRPr="00D42B1B">
        <w:rPr>
          <w:rFonts w:eastAsia="Times New Roman" w:cs="Arial"/>
          <w:color w:val="444444"/>
          <w:szCs w:val="20"/>
          <w:lang w:eastAsia="fr-FR"/>
        </w:rPr>
        <w:t xml:space="preserve"> et d’Anyama.</w:t>
      </w:r>
      <w:r w:rsidR="002E16EC"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Pour </w:t>
      </w:r>
      <w:proofErr w:type="spellStart"/>
      <w:r w:rsidRPr="00D42B1B">
        <w:rPr>
          <w:rFonts w:eastAsia="Times New Roman" w:cs="Arial"/>
          <w:color w:val="444444"/>
          <w:szCs w:val="20"/>
          <w:lang w:eastAsia="fr-FR"/>
        </w:rPr>
        <w:t>Valency</w:t>
      </w:r>
      <w:proofErr w:type="spellEnd"/>
      <w:r w:rsidRPr="00D42B1B">
        <w:rPr>
          <w:rFonts w:eastAsia="Times New Roman" w:cs="Arial"/>
          <w:color w:val="444444"/>
          <w:szCs w:val="20"/>
          <w:lang w:eastAsia="fr-FR"/>
        </w:rPr>
        <w:t xml:space="preserve"> International et </w:t>
      </w:r>
      <w:proofErr w:type="spellStart"/>
      <w:r w:rsidRPr="00D42B1B">
        <w:rPr>
          <w:rFonts w:eastAsia="Times New Roman" w:cs="Arial"/>
          <w:color w:val="444444"/>
          <w:szCs w:val="20"/>
          <w:lang w:eastAsia="fr-FR"/>
        </w:rPr>
        <w:t>Revata</w:t>
      </w:r>
      <w:proofErr w:type="spellEnd"/>
      <w:r w:rsidR="002E16EC" w:rsidRPr="00D42B1B">
        <w:rPr>
          <w:rFonts w:eastAsia="Times New Roman" w:cs="Arial"/>
          <w:color w:val="444444"/>
          <w:szCs w:val="20"/>
          <w:lang w:eastAsia="fr-FR"/>
        </w:rPr>
        <w:t> </w:t>
      </w:r>
      <w:r w:rsidRPr="00D42B1B">
        <w:rPr>
          <w:rFonts w:eastAsia="Times New Roman" w:cs="Arial"/>
          <w:color w:val="444444"/>
          <w:szCs w:val="20"/>
          <w:lang w:eastAsia="fr-FR"/>
        </w:rPr>
        <w:t>Carbon, cette usine n’est qu’une première étape. Les responsables ont dévoilé un plan d’expansion particulièrement ambitieux sur les trois prochaines années.</w:t>
      </w:r>
      <w:r w:rsidR="002E16EC"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L’objectif affiché est d’augmenter massivement les capacités de traitement de la biomasse pour atteindre une production de 100 000 tonnes de biochar par an. Cette ambition industrielle </w:t>
      </w:r>
      <w:r w:rsidR="002E16EC" w:rsidRPr="00D42B1B">
        <w:rPr>
          <w:rFonts w:eastAsia="Times New Roman" w:cs="Arial"/>
          <w:color w:val="444444"/>
          <w:szCs w:val="20"/>
          <w:lang w:eastAsia="fr-FR"/>
        </w:rPr>
        <w:t xml:space="preserve">peut </w:t>
      </w:r>
      <w:r w:rsidRPr="00D42B1B">
        <w:rPr>
          <w:rFonts w:eastAsia="Times New Roman" w:cs="Arial"/>
          <w:color w:val="444444"/>
          <w:szCs w:val="20"/>
          <w:lang w:eastAsia="fr-FR"/>
        </w:rPr>
        <w:t>positionne</w:t>
      </w:r>
      <w:r w:rsidR="002E16EC" w:rsidRPr="00D42B1B">
        <w:rPr>
          <w:rFonts w:eastAsia="Times New Roman" w:cs="Arial"/>
          <w:color w:val="444444"/>
          <w:szCs w:val="20"/>
          <w:lang w:eastAsia="fr-FR"/>
        </w:rPr>
        <w:t xml:space="preserve">r </w:t>
      </w:r>
      <w:r w:rsidRPr="00D42B1B">
        <w:rPr>
          <w:rFonts w:eastAsia="Times New Roman" w:cs="Arial"/>
          <w:color w:val="444444"/>
          <w:szCs w:val="20"/>
          <w:lang w:eastAsia="fr-FR"/>
        </w:rPr>
        <w:t>la Côte d’Ivoire comme la future référence africaine et un leader régional en matière de valorisation des déchets agricoles et de décarbonation industrielle.</w:t>
      </w:r>
      <w:r w:rsidR="00F144FF" w:rsidRPr="00D42B1B">
        <w:t xml:space="preserve"> </w:t>
      </w:r>
      <w:r w:rsidR="00F144FF" w:rsidRPr="00D42B1B">
        <w:rPr>
          <w:rFonts w:eastAsia="Times New Roman" w:cs="Arial"/>
          <w:color w:val="444444"/>
          <w:szCs w:val="20"/>
          <w:lang w:eastAsia="fr-FR"/>
        </w:rPr>
        <w:t xml:space="preserve">Loin d’être encore un </w:t>
      </w:r>
      <w:r w:rsidR="00F144FF" w:rsidRPr="00D42B1B">
        <w:rPr>
          <w:rFonts w:eastAsia="Times New Roman" w:cs="Arial"/>
          <w:color w:val="444444"/>
          <w:szCs w:val="20"/>
          <w:lang w:eastAsia="fr-FR"/>
        </w:rPr>
        <w:lastRenderedPageBreak/>
        <w:t xml:space="preserve">produit de masse, le biochar suscite cependant une demande internationale croissante, portée par des enjeux agricoles et environnementaux, une dynamique dont </w:t>
      </w:r>
      <w:proofErr w:type="spellStart"/>
      <w:r w:rsidR="00F144FF" w:rsidRPr="00D42B1B">
        <w:rPr>
          <w:rFonts w:eastAsia="Times New Roman" w:cs="Arial"/>
          <w:color w:val="444444"/>
          <w:szCs w:val="20"/>
          <w:lang w:eastAsia="fr-FR"/>
        </w:rPr>
        <w:t>Valency</w:t>
      </w:r>
      <w:proofErr w:type="spellEnd"/>
      <w:r w:rsidR="00F144FF" w:rsidRPr="00D42B1B">
        <w:rPr>
          <w:rFonts w:eastAsia="Times New Roman" w:cs="Arial"/>
          <w:color w:val="444444"/>
          <w:szCs w:val="20"/>
          <w:lang w:eastAsia="fr-FR"/>
        </w:rPr>
        <w:t xml:space="preserve"> International pourrait tirer profit à travers ses activités en Côte d’Ivoire.  Selon le dernier rapport de la société américaine de conseil et d’études de marché Global </w:t>
      </w:r>
      <w:proofErr w:type="spellStart"/>
      <w:r w:rsidR="00F144FF" w:rsidRPr="00D42B1B">
        <w:rPr>
          <w:rFonts w:eastAsia="Times New Roman" w:cs="Arial"/>
          <w:color w:val="444444"/>
          <w:szCs w:val="20"/>
          <w:lang w:eastAsia="fr-FR"/>
        </w:rPr>
        <w:t>Market</w:t>
      </w:r>
      <w:proofErr w:type="spellEnd"/>
      <w:r w:rsidR="00F144FF" w:rsidRPr="00D42B1B">
        <w:rPr>
          <w:rFonts w:eastAsia="Times New Roman" w:cs="Arial"/>
          <w:color w:val="444444"/>
          <w:szCs w:val="20"/>
          <w:lang w:eastAsia="fr-FR"/>
        </w:rPr>
        <w:t xml:space="preserve"> Insights Inc., la taille du marché mondial du biochar devrait passer de 109,3</w:t>
      </w:r>
      <w:r w:rsidR="00F144FF" w:rsidRPr="00D42B1B">
        <w:rPr>
          <w:rFonts w:ascii="Times New Roman" w:eastAsia="Times New Roman" w:hAnsi="Times New Roman" w:cs="Times New Roman"/>
          <w:color w:val="444444"/>
          <w:szCs w:val="20"/>
          <w:lang w:eastAsia="fr-FR"/>
        </w:rPr>
        <w:t> </w:t>
      </w:r>
      <w:r w:rsidR="00F144FF" w:rsidRPr="00D42B1B">
        <w:rPr>
          <w:rFonts w:eastAsia="Times New Roman" w:cs="Arial"/>
          <w:color w:val="444444"/>
          <w:szCs w:val="20"/>
          <w:lang w:eastAsia="fr-FR"/>
        </w:rPr>
        <w:t xml:space="preserve">M USD en 2026 </w:t>
      </w:r>
      <w:r w:rsidR="00F144FF" w:rsidRPr="00D42B1B">
        <w:rPr>
          <w:rFonts w:eastAsia="Times New Roman" w:cs="Marianne"/>
          <w:color w:val="444444"/>
          <w:szCs w:val="20"/>
          <w:lang w:eastAsia="fr-FR"/>
        </w:rPr>
        <w:t>à</w:t>
      </w:r>
      <w:r w:rsidR="00F144FF" w:rsidRPr="00D42B1B">
        <w:rPr>
          <w:rFonts w:eastAsia="Times New Roman" w:cs="Arial"/>
          <w:color w:val="444444"/>
          <w:szCs w:val="20"/>
          <w:lang w:eastAsia="fr-FR"/>
        </w:rPr>
        <w:t xml:space="preserve"> 320,8</w:t>
      </w:r>
      <w:r w:rsidR="00F144FF" w:rsidRPr="00D42B1B">
        <w:rPr>
          <w:rFonts w:ascii="Times New Roman" w:eastAsia="Times New Roman" w:hAnsi="Times New Roman" w:cs="Times New Roman"/>
          <w:color w:val="444444"/>
          <w:szCs w:val="20"/>
          <w:lang w:eastAsia="fr-FR"/>
        </w:rPr>
        <w:t> </w:t>
      </w:r>
      <w:r w:rsidR="00F144FF" w:rsidRPr="00D42B1B">
        <w:rPr>
          <w:rFonts w:eastAsia="Times New Roman" w:cs="Arial"/>
          <w:color w:val="444444"/>
          <w:szCs w:val="20"/>
          <w:lang w:eastAsia="fr-FR"/>
        </w:rPr>
        <w:t>M USD d</w:t>
      </w:r>
      <w:r w:rsidR="00F144FF" w:rsidRPr="00D42B1B">
        <w:rPr>
          <w:rFonts w:eastAsia="Times New Roman" w:cs="Marianne"/>
          <w:color w:val="444444"/>
          <w:szCs w:val="20"/>
          <w:lang w:eastAsia="fr-FR"/>
        </w:rPr>
        <w:t>’</w:t>
      </w:r>
      <w:r w:rsidR="00F144FF" w:rsidRPr="00D42B1B">
        <w:rPr>
          <w:rFonts w:eastAsia="Times New Roman" w:cs="Arial"/>
          <w:color w:val="444444"/>
          <w:szCs w:val="20"/>
          <w:lang w:eastAsia="fr-FR"/>
        </w:rPr>
        <w:t>ici 2035, affichant un taux de croissance annuel moyen de 12,7% sur la période considérée.</w:t>
      </w:r>
      <w:r w:rsidR="00CB0A05" w:rsidRPr="00D42B1B">
        <w:rPr>
          <w:rFonts w:eastAsia="Times New Roman" w:cs="Arial"/>
          <w:color w:val="444444"/>
          <w:szCs w:val="20"/>
          <w:lang w:eastAsia="fr-FR"/>
        </w:rPr>
        <w:t xml:space="preserve"> </w:t>
      </w:r>
      <w:r w:rsidR="00F144FF" w:rsidRPr="00D42B1B">
        <w:rPr>
          <w:rFonts w:eastAsia="Times New Roman" w:cs="Arial"/>
          <w:color w:val="444444"/>
          <w:szCs w:val="20"/>
          <w:lang w:eastAsia="fr-FR"/>
        </w:rPr>
        <w:t>Cette progression serait stimulée par l’adoption croissante de pratiques agricoles durables par les agriculteurs.</w:t>
      </w:r>
      <w:r w:rsidR="00CB0A05" w:rsidRPr="00D42B1B">
        <w:rPr>
          <w:rFonts w:eastAsia="Times New Roman" w:cs="Arial"/>
          <w:color w:val="444444"/>
          <w:szCs w:val="20"/>
          <w:lang w:eastAsia="fr-FR"/>
        </w:rPr>
        <w:t xml:space="preserve"> </w:t>
      </w:r>
      <w:r w:rsidR="00F144FF" w:rsidRPr="00D42B1B">
        <w:rPr>
          <w:rFonts w:eastAsia="Times New Roman" w:cs="Arial"/>
          <w:color w:val="444444"/>
          <w:szCs w:val="20"/>
          <w:lang w:eastAsia="fr-FR"/>
        </w:rPr>
        <w:t xml:space="preserve">D’un autre côté, le processus d’expansion du marché volontaire du carbone crée divers éléments qui affectent la taille complète du marché du biochar. La valeur matérielle du biochar en tant que méthode efficace d’élimination du carbone incite les entreprises à l’utiliser dans leurs pratiques d’élimination du dioxyde de carbone pour obtenir des crédits carbone certifiés. Le modèle économique génère des revenus par le biais de deux canaux, notamment les ventes de produits et les ventes de crédits carbone, ce qui entraîne une croissance du marché grâce à un financement accru et à une capacité de production renforcée pour répondre à la demande future </w:t>
      </w:r>
      <w:r w:rsidR="00CB0A05" w:rsidRPr="00D42B1B">
        <w:rPr>
          <w:rFonts w:eastAsia="Times New Roman" w:cs="Arial"/>
          <w:color w:val="444444"/>
          <w:szCs w:val="20"/>
          <w:lang w:eastAsia="fr-FR"/>
        </w:rPr>
        <w:t xml:space="preserve">selon </w:t>
      </w:r>
      <w:r w:rsidR="00F144FF" w:rsidRPr="00D42B1B">
        <w:rPr>
          <w:rFonts w:eastAsia="Times New Roman" w:cs="Arial"/>
          <w:color w:val="444444"/>
          <w:szCs w:val="20"/>
          <w:lang w:eastAsia="fr-FR"/>
        </w:rPr>
        <w:t xml:space="preserve">Global </w:t>
      </w:r>
      <w:proofErr w:type="spellStart"/>
      <w:r w:rsidR="00F144FF" w:rsidRPr="00D42B1B">
        <w:rPr>
          <w:rFonts w:eastAsia="Times New Roman" w:cs="Arial"/>
          <w:color w:val="444444"/>
          <w:szCs w:val="20"/>
          <w:lang w:eastAsia="fr-FR"/>
        </w:rPr>
        <w:t>Market</w:t>
      </w:r>
      <w:proofErr w:type="spellEnd"/>
      <w:r w:rsidR="00F144FF" w:rsidRPr="00D42B1B">
        <w:rPr>
          <w:rFonts w:eastAsia="Times New Roman" w:cs="Arial"/>
          <w:color w:val="444444"/>
          <w:szCs w:val="20"/>
          <w:lang w:eastAsia="fr-FR"/>
        </w:rPr>
        <w:t xml:space="preserve"> Insights.</w:t>
      </w:r>
      <w:r w:rsidR="00CB0A05" w:rsidRPr="00D42B1B">
        <w:rPr>
          <w:rFonts w:eastAsia="Times New Roman" w:cs="Arial"/>
          <w:color w:val="444444"/>
          <w:szCs w:val="20"/>
          <w:lang w:eastAsia="fr-FR"/>
        </w:rPr>
        <w:t xml:space="preserve"> </w:t>
      </w:r>
      <w:r w:rsidR="00F144FF" w:rsidRPr="00D42B1B">
        <w:rPr>
          <w:rFonts w:eastAsia="Times New Roman" w:cs="Arial"/>
          <w:color w:val="444444"/>
          <w:szCs w:val="20"/>
          <w:lang w:eastAsia="fr-FR"/>
        </w:rPr>
        <w:t>L’émergence du biochar dans la filière anacarde en Côte d’Ivoire s’inscrit dans un mouvement plus large qui voit la structuration d’une véritable économie de la biomasse agricole. Avant l’usine d’</w:t>
      </w:r>
      <w:proofErr w:type="spellStart"/>
      <w:r w:rsidR="00F144FF" w:rsidRPr="00D42B1B">
        <w:rPr>
          <w:rFonts w:eastAsia="Times New Roman" w:cs="Arial"/>
          <w:color w:val="444444"/>
          <w:szCs w:val="20"/>
          <w:lang w:eastAsia="fr-FR"/>
        </w:rPr>
        <w:t>Attinguié</w:t>
      </w:r>
      <w:proofErr w:type="spellEnd"/>
      <w:r w:rsidR="00F144FF" w:rsidRPr="00D42B1B">
        <w:rPr>
          <w:rFonts w:eastAsia="Times New Roman" w:cs="Arial"/>
          <w:color w:val="444444"/>
          <w:szCs w:val="20"/>
          <w:lang w:eastAsia="fr-FR"/>
        </w:rPr>
        <w:t>, plusieurs projets récents illustrent cette dynamique.</w:t>
      </w:r>
      <w:r w:rsidR="00CB0A05" w:rsidRPr="00D42B1B">
        <w:rPr>
          <w:rFonts w:eastAsia="Times New Roman" w:cs="Arial"/>
          <w:color w:val="444444"/>
          <w:szCs w:val="20"/>
          <w:lang w:eastAsia="fr-FR"/>
        </w:rPr>
        <w:t xml:space="preserve"> </w:t>
      </w:r>
      <w:r w:rsidR="00F144FF" w:rsidRPr="00D42B1B">
        <w:rPr>
          <w:rFonts w:eastAsia="Times New Roman" w:cs="Arial"/>
          <w:color w:val="444444"/>
          <w:szCs w:val="20"/>
          <w:lang w:eastAsia="fr-FR"/>
        </w:rPr>
        <w:t>Dans le secteur de l’énergie, une centrale de 76</w:t>
      </w:r>
      <w:r w:rsidR="00F144FF" w:rsidRPr="00D42B1B">
        <w:rPr>
          <w:rFonts w:ascii="Times New Roman" w:eastAsia="Times New Roman" w:hAnsi="Times New Roman" w:cs="Times New Roman"/>
          <w:color w:val="444444"/>
          <w:szCs w:val="20"/>
          <w:lang w:eastAsia="fr-FR"/>
        </w:rPr>
        <w:t> </w:t>
      </w:r>
      <w:r w:rsidR="00F144FF" w:rsidRPr="00D42B1B">
        <w:rPr>
          <w:rFonts w:eastAsia="Times New Roman" w:cs="Arial"/>
          <w:color w:val="444444"/>
          <w:szCs w:val="20"/>
          <w:lang w:eastAsia="fr-FR"/>
        </w:rPr>
        <w:t>MW en d</w:t>
      </w:r>
      <w:r w:rsidR="00F144FF" w:rsidRPr="00D42B1B">
        <w:rPr>
          <w:rFonts w:eastAsia="Times New Roman" w:cs="Marianne"/>
          <w:color w:val="444444"/>
          <w:szCs w:val="20"/>
          <w:lang w:eastAsia="fr-FR"/>
        </w:rPr>
        <w:t>é</w:t>
      </w:r>
      <w:r w:rsidR="00F144FF" w:rsidRPr="00D42B1B">
        <w:rPr>
          <w:rFonts w:eastAsia="Times New Roman" w:cs="Arial"/>
          <w:color w:val="444444"/>
          <w:szCs w:val="20"/>
          <w:lang w:eastAsia="fr-FR"/>
        </w:rPr>
        <w:t>veloppement à Divo depuis juin 2025 ambitionne de valoriser jusqu’à 600 000 tonnes de sous</w:t>
      </w:r>
      <w:r w:rsidR="00CB0A05" w:rsidRPr="00D42B1B">
        <w:rPr>
          <w:rFonts w:eastAsia="Times New Roman" w:cs="Arial"/>
          <w:color w:val="444444"/>
          <w:szCs w:val="20"/>
          <w:lang w:eastAsia="fr-FR"/>
        </w:rPr>
        <w:t>-</w:t>
      </w:r>
      <w:r w:rsidR="00F144FF" w:rsidRPr="00D42B1B">
        <w:rPr>
          <w:rFonts w:eastAsia="Times New Roman" w:cs="Arial"/>
          <w:color w:val="444444"/>
          <w:szCs w:val="20"/>
          <w:lang w:eastAsia="fr-FR"/>
        </w:rPr>
        <w:t>produits agricoles issus du cacao et de l’hévéa pour produire de l’électricité injectée dans le réseau national.</w:t>
      </w:r>
      <w:r w:rsidR="00CB0A05" w:rsidRPr="00D42B1B">
        <w:rPr>
          <w:rFonts w:eastAsia="Times New Roman" w:cs="Arial"/>
          <w:color w:val="444444"/>
          <w:szCs w:val="20"/>
          <w:lang w:eastAsia="fr-FR"/>
        </w:rPr>
        <w:t xml:space="preserve"> </w:t>
      </w:r>
      <w:r w:rsidR="00F144FF" w:rsidRPr="00D42B1B">
        <w:rPr>
          <w:rFonts w:eastAsia="Times New Roman" w:cs="Arial"/>
          <w:color w:val="444444"/>
          <w:szCs w:val="20"/>
          <w:lang w:eastAsia="fr-FR"/>
        </w:rPr>
        <w:t xml:space="preserve">Dans le même temps, un partenariat industriel avec le groupe </w:t>
      </w:r>
      <w:proofErr w:type="spellStart"/>
      <w:r w:rsidR="00F144FF" w:rsidRPr="00D42B1B">
        <w:rPr>
          <w:rFonts w:eastAsia="Times New Roman" w:cs="Arial"/>
          <w:color w:val="444444"/>
          <w:szCs w:val="20"/>
          <w:lang w:eastAsia="fr-FR"/>
        </w:rPr>
        <w:t>pétrogazier</w:t>
      </w:r>
      <w:proofErr w:type="spellEnd"/>
      <w:r w:rsidR="00F144FF" w:rsidRPr="00D42B1B">
        <w:rPr>
          <w:rFonts w:eastAsia="Times New Roman" w:cs="Arial"/>
          <w:color w:val="444444"/>
          <w:szCs w:val="20"/>
          <w:lang w:eastAsia="fr-FR"/>
        </w:rPr>
        <w:t xml:space="preserve"> italien E</w:t>
      </w:r>
      <w:r w:rsidR="00CB0A05" w:rsidRPr="00D42B1B">
        <w:rPr>
          <w:rFonts w:eastAsia="Times New Roman" w:cs="Arial"/>
          <w:color w:val="444444"/>
          <w:szCs w:val="20"/>
          <w:lang w:eastAsia="fr-FR"/>
        </w:rPr>
        <w:t>NI</w:t>
      </w:r>
      <w:r w:rsidR="00F144FF" w:rsidRPr="00D42B1B">
        <w:rPr>
          <w:rFonts w:eastAsia="Times New Roman" w:cs="Arial"/>
          <w:color w:val="444444"/>
          <w:szCs w:val="20"/>
          <w:lang w:eastAsia="fr-FR"/>
        </w:rPr>
        <w:t>, initié depuis 2024, structure une filière naissante de biocarburants autour des graines d’hévéa, autrefois considérées comme des déchets et désormais transformées en huile végétale destinée à la production de biocarburants.</w:t>
      </w:r>
    </w:p>
    <w:p w14:paraId="51868AAC" w14:textId="3182C279" w:rsidR="005C5CDE" w:rsidRPr="00D42B1B" w:rsidRDefault="005C5CDE" w:rsidP="00F144FF">
      <w:pPr>
        <w:shd w:val="clear" w:color="auto" w:fill="FFFFFF"/>
        <w:spacing w:after="0" w:line="276" w:lineRule="auto"/>
        <w:rPr>
          <w:rFonts w:eastAsia="Times New Roman" w:cs="Arial"/>
          <w:color w:val="444444"/>
          <w:szCs w:val="20"/>
          <w:lang w:eastAsia="fr-FR"/>
        </w:rPr>
      </w:pPr>
    </w:p>
    <w:p w14:paraId="0589E6CC" w14:textId="260FB4C3" w:rsidR="005C5CDE" w:rsidRPr="00D42B1B" w:rsidRDefault="005C5CDE" w:rsidP="00D47F19">
      <w:pPr>
        <w:pStyle w:val="Titre2"/>
        <w:spacing w:before="0"/>
        <w:rPr>
          <w:rFonts w:eastAsiaTheme="minorHAnsi"/>
        </w:rPr>
      </w:pPr>
      <w:bookmarkStart w:id="76" w:name="_Toc233878690"/>
      <w:r w:rsidRPr="00D42B1B">
        <w:rPr>
          <w:rFonts w:eastAsia="Times New Roman" w:cs="Arial"/>
          <w:color w:val="444444"/>
          <w:szCs w:val="20"/>
          <w:lang w:eastAsia="fr-FR"/>
        </w:rPr>
        <w:t>Hévéa - La campagne 2026 démarre sous de bons auspices.</w:t>
      </w:r>
      <w:bookmarkEnd w:id="76"/>
    </w:p>
    <w:p w14:paraId="006B7B92" w14:textId="433B8716" w:rsidR="005C5CDE" w:rsidRPr="00D42B1B" w:rsidRDefault="005C5CDE" w:rsidP="005C5CDE">
      <w:pPr>
        <w:shd w:val="clear" w:color="auto" w:fill="FFFFFF"/>
        <w:spacing w:after="0" w:line="276" w:lineRule="auto"/>
      </w:pPr>
      <w:r w:rsidRPr="00D42B1B">
        <w:rPr>
          <w:rFonts w:eastAsia="Times New Roman" w:cs="Arial"/>
          <w:color w:val="444444"/>
          <w:szCs w:val="20"/>
          <w:lang w:eastAsia="fr-FR"/>
        </w:rPr>
        <w:t>Le ministre l’agriculture, du développement rural et des productions vivrières, M. Bruno </w:t>
      </w:r>
      <w:proofErr w:type="spellStart"/>
      <w:r w:rsidRPr="00D42B1B">
        <w:rPr>
          <w:rFonts w:eastAsia="Times New Roman" w:cs="Arial"/>
          <w:color w:val="444444"/>
          <w:szCs w:val="20"/>
          <w:lang w:eastAsia="fr-FR"/>
        </w:rPr>
        <w:t>Nabagné</w:t>
      </w:r>
      <w:proofErr w:type="spellEnd"/>
      <w:r w:rsidRPr="00D42B1B">
        <w:rPr>
          <w:rFonts w:eastAsia="Times New Roman" w:cs="Arial"/>
          <w:color w:val="444444"/>
          <w:szCs w:val="20"/>
          <w:lang w:eastAsia="fr-FR"/>
        </w:rPr>
        <w:t xml:space="preserve"> Koné a lancé le 19 juin la campagne </w:t>
      </w:r>
      <w:proofErr w:type="spellStart"/>
      <w:r w:rsidRPr="00D42B1B">
        <w:rPr>
          <w:rFonts w:eastAsia="Times New Roman" w:cs="Arial"/>
          <w:color w:val="444444"/>
          <w:szCs w:val="20"/>
          <w:lang w:eastAsia="fr-FR"/>
        </w:rPr>
        <w:t>hévéicole</w:t>
      </w:r>
      <w:proofErr w:type="spellEnd"/>
      <w:r w:rsidRPr="00D42B1B">
        <w:rPr>
          <w:rFonts w:eastAsia="Times New Roman" w:cs="Arial"/>
          <w:color w:val="444444"/>
          <w:szCs w:val="20"/>
          <w:lang w:eastAsia="fr-FR"/>
        </w:rPr>
        <w:t xml:space="preserve"> 2026 qui s'ouvre sur une réforme du mécanisme de fixation du prix d'achat du caoutchouc humide, issue de l'accord interprofessionnel du 16 février dernier, entériné par la décision du Conseil hévéa, palmier à huile, coco (CHPC), du 29 avril et appliquée depuis le 1</w:t>
      </w:r>
      <w:r w:rsidRPr="00D42B1B">
        <w:rPr>
          <w:rFonts w:eastAsia="Times New Roman" w:cs="Arial"/>
          <w:color w:val="444444"/>
          <w:szCs w:val="20"/>
          <w:vertAlign w:val="superscript"/>
          <w:lang w:eastAsia="fr-FR"/>
        </w:rPr>
        <w:t>er</w:t>
      </w:r>
      <w:r w:rsidRPr="00D42B1B">
        <w:rPr>
          <w:rFonts w:eastAsia="Times New Roman" w:cs="Arial"/>
          <w:color w:val="444444"/>
          <w:szCs w:val="20"/>
          <w:lang w:eastAsia="fr-FR"/>
        </w:rPr>
        <w:t xml:space="preserve"> mai. Concrètement, trois choses changent pour les planteurs. La première est la suppression définitive de la décote de 2 FCFA/kg. Cette retenue, héritée d'une époque où le caoutchouc ivoirien était jugé de qualité inférieure à celui de la Thaïlande ou de l'Indonésie, amputait chaque kilogramme livré. La deuxième réforme est la revalorisation de la part qui revient au producteur qui passe de 63% à 66% du prix de référence net. </w:t>
      </w:r>
      <w:r w:rsidR="003E3E2C" w:rsidRPr="00D42B1B">
        <w:rPr>
          <w:rFonts w:eastAsia="Times New Roman" w:cs="Arial"/>
          <w:color w:val="444444"/>
          <w:szCs w:val="20"/>
          <w:lang w:eastAsia="fr-FR"/>
        </w:rPr>
        <w:t xml:space="preserve">Concrètement </w:t>
      </w:r>
      <w:r w:rsidRPr="00D42B1B">
        <w:rPr>
          <w:rFonts w:eastAsia="Times New Roman" w:cs="Arial"/>
          <w:color w:val="444444"/>
          <w:szCs w:val="20"/>
          <w:lang w:eastAsia="fr-FR"/>
        </w:rPr>
        <w:t xml:space="preserve">pour fixer le prix d'un mois donné, </w:t>
      </w:r>
      <w:r w:rsidR="003E3E2C" w:rsidRPr="00D42B1B">
        <w:rPr>
          <w:rFonts w:eastAsia="Times New Roman" w:cs="Arial"/>
          <w:color w:val="444444"/>
          <w:szCs w:val="20"/>
          <w:lang w:eastAsia="fr-FR"/>
        </w:rPr>
        <w:t xml:space="preserve">il est fait référence aux cotations du mois précédent observées </w:t>
      </w:r>
      <w:r w:rsidRPr="00D42B1B">
        <w:rPr>
          <w:rFonts w:eastAsia="Times New Roman" w:cs="Arial"/>
          <w:color w:val="444444"/>
          <w:szCs w:val="20"/>
          <w:lang w:eastAsia="fr-FR"/>
        </w:rPr>
        <w:t xml:space="preserve">à </w:t>
      </w:r>
      <w:r w:rsidR="003E3E2C" w:rsidRPr="00D42B1B">
        <w:rPr>
          <w:rFonts w:eastAsia="Times New Roman" w:cs="Arial"/>
          <w:color w:val="444444"/>
          <w:szCs w:val="20"/>
          <w:lang w:eastAsia="fr-FR"/>
        </w:rPr>
        <w:t xml:space="preserve">la Bourse de </w:t>
      </w:r>
      <w:r w:rsidRPr="00D42B1B">
        <w:rPr>
          <w:rFonts w:eastAsia="Times New Roman" w:cs="Arial"/>
          <w:color w:val="444444"/>
          <w:szCs w:val="20"/>
          <w:lang w:eastAsia="fr-FR"/>
        </w:rPr>
        <w:t>Singapour</w:t>
      </w:r>
      <w:r w:rsidR="003E3E2C" w:rsidRPr="00D42B1B">
        <w:rPr>
          <w:rFonts w:eastAsia="Times New Roman" w:cs="Arial"/>
          <w:color w:val="444444"/>
          <w:szCs w:val="20"/>
          <w:lang w:eastAsia="fr-FR"/>
        </w:rPr>
        <w:t>, la plus grande plateforme d'échange du caoutchouc naturel</w:t>
      </w:r>
      <w:r w:rsidRPr="00D42B1B">
        <w:rPr>
          <w:rFonts w:eastAsia="Times New Roman" w:cs="Arial"/>
          <w:color w:val="444444"/>
          <w:szCs w:val="20"/>
          <w:lang w:eastAsia="fr-FR"/>
        </w:rPr>
        <w:t>.</w:t>
      </w:r>
      <w:r w:rsidR="003E3E2C"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Sur cette base de départ, plusieurs ajustements sont appliqués avant d'arriver au montant payé au planteur. </w:t>
      </w:r>
      <w:r w:rsidR="003E3E2C" w:rsidRPr="00D42B1B">
        <w:rPr>
          <w:rFonts w:eastAsia="Times New Roman" w:cs="Arial"/>
          <w:color w:val="444444"/>
          <w:szCs w:val="20"/>
          <w:lang w:eastAsia="fr-FR"/>
        </w:rPr>
        <w:t xml:space="preserve">Il est d’abord déduit </w:t>
      </w:r>
      <w:r w:rsidRPr="00D42B1B">
        <w:rPr>
          <w:rFonts w:eastAsia="Times New Roman" w:cs="Arial"/>
          <w:color w:val="444444"/>
          <w:szCs w:val="20"/>
          <w:lang w:eastAsia="fr-FR"/>
        </w:rPr>
        <w:t>la fiscalité de la filière puis une retenue d'environ 2 FCFA destinée au fonctionnement et au développement de la filière. La fameuse décote, elle, a été ramenée à zéro. Une fois ces éléments retirés, on obtient le prix de référence net</w:t>
      </w:r>
      <w:r w:rsidR="003E3E2C" w:rsidRPr="00D42B1B">
        <w:rPr>
          <w:rFonts w:eastAsia="Times New Roman" w:cs="Arial"/>
          <w:color w:val="444444"/>
          <w:szCs w:val="20"/>
          <w:lang w:eastAsia="fr-FR"/>
        </w:rPr>
        <w:t>. C</w:t>
      </w:r>
      <w:r w:rsidRPr="00D42B1B">
        <w:rPr>
          <w:rFonts w:eastAsia="Times New Roman" w:cs="Arial"/>
          <w:color w:val="444444"/>
          <w:szCs w:val="20"/>
          <w:lang w:eastAsia="fr-FR"/>
        </w:rPr>
        <w:t>'est ce solde qui est partagé entre producteurs et industriels</w:t>
      </w:r>
      <w:r w:rsidR="003E3E2C" w:rsidRPr="00D42B1B">
        <w:rPr>
          <w:rFonts w:eastAsia="Times New Roman" w:cs="Arial"/>
          <w:color w:val="444444"/>
          <w:szCs w:val="20"/>
          <w:lang w:eastAsia="fr-FR"/>
        </w:rPr>
        <w:t xml:space="preserve"> e</w:t>
      </w:r>
      <w:r w:rsidRPr="00D42B1B">
        <w:rPr>
          <w:rFonts w:eastAsia="Times New Roman" w:cs="Arial"/>
          <w:color w:val="444444"/>
          <w:szCs w:val="20"/>
          <w:lang w:eastAsia="fr-FR"/>
        </w:rPr>
        <w:t>t c'est précisément ce partage que la réforme modifie</w:t>
      </w:r>
      <w:r w:rsidR="00987621" w:rsidRPr="00D42B1B">
        <w:rPr>
          <w:rFonts w:eastAsia="Times New Roman" w:cs="Arial"/>
          <w:color w:val="444444"/>
          <w:szCs w:val="20"/>
          <w:lang w:eastAsia="fr-FR"/>
        </w:rPr>
        <w:t xml:space="preserve"> puisque là</w:t>
      </w:r>
      <w:r w:rsidRPr="00D42B1B">
        <w:rPr>
          <w:rFonts w:eastAsia="Times New Roman" w:cs="Arial"/>
          <w:color w:val="444444"/>
          <w:szCs w:val="20"/>
          <w:lang w:eastAsia="fr-FR"/>
        </w:rPr>
        <w:t xml:space="preserve"> où le planteur touchait 63% de ce net, il en perçoit désormais 66 %, les trois points gagnés étant le fruit des négociations </w:t>
      </w:r>
      <w:r w:rsidRPr="00D42B1B">
        <w:rPr>
          <w:rFonts w:eastAsia="Times New Roman" w:cs="Arial"/>
          <w:color w:val="444444"/>
          <w:szCs w:val="20"/>
          <w:lang w:eastAsia="fr-FR"/>
        </w:rPr>
        <w:lastRenderedPageBreak/>
        <w:t>entre le collège des producteurs et celui des transformateurs. Le prix ainsi obtenu</w:t>
      </w:r>
      <w:r w:rsidR="00987621"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le </w:t>
      </w:r>
      <w:r w:rsidR="00987621" w:rsidRPr="00D42B1B">
        <w:rPr>
          <w:rFonts w:eastAsia="Times New Roman" w:cs="Arial"/>
          <w:color w:val="444444"/>
          <w:szCs w:val="20"/>
          <w:lang w:eastAsia="fr-FR"/>
        </w:rPr>
        <w:t>« </w:t>
      </w:r>
      <w:r w:rsidRPr="00D42B1B">
        <w:rPr>
          <w:rFonts w:eastAsia="Times New Roman" w:cs="Arial"/>
          <w:color w:val="444444"/>
          <w:szCs w:val="20"/>
          <w:lang w:eastAsia="fr-FR"/>
        </w:rPr>
        <w:t>prix APROMAC du mois</w:t>
      </w:r>
      <w:r w:rsidR="00987621" w:rsidRPr="00D42B1B">
        <w:rPr>
          <w:rFonts w:eastAsia="Times New Roman" w:cs="Arial"/>
          <w:color w:val="444444"/>
          <w:szCs w:val="20"/>
          <w:lang w:eastAsia="fr-FR"/>
        </w:rPr>
        <w:t> »)</w:t>
      </w:r>
      <w:r w:rsidRPr="00D42B1B">
        <w:rPr>
          <w:rFonts w:eastAsia="Times New Roman" w:cs="Arial"/>
          <w:color w:val="444444"/>
          <w:szCs w:val="20"/>
          <w:lang w:eastAsia="fr-FR"/>
        </w:rPr>
        <w:t xml:space="preserve"> est en réalité un prix dit </w:t>
      </w:r>
      <w:r w:rsidR="00987621" w:rsidRPr="00D42B1B">
        <w:rPr>
          <w:rFonts w:eastAsia="Times New Roman" w:cs="Arial"/>
          <w:color w:val="444444"/>
          <w:szCs w:val="20"/>
          <w:lang w:eastAsia="fr-FR"/>
        </w:rPr>
        <w:t>« </w:t>
      </w:r>
      <w:r w:rsidRPr="00D42B1B">
        <w:rPr>
          <w:rFonts w:eastAsia="Times New Roman" w:cs="Arial"/>
          <w:color w:val="444444"/>
          <w:szCs w:val="20"/>
          <w:lang w:eastAsia="fr-FR"/>
        </w:rPr>
        <w:t>carreau usine</w:t>
      </w:r>
      <w:r w:rsidR="00987621" w:rsidRPr="00D42B1B">
        <w:rPr>
          <w:rFonts w:eastAsia="Times New Roman" w:cs="Arial"/>
          <w:color w:val="444444"/>
          <w:szCs w:val="20"/>
          <w:lang w:eastAsia="fr-FR"/>
        </w:rPr>
        <w:t> ». C</w:t>
      </w:r>
      <w:r w:rsidRPr="00D42B1B">
        <w:rPr>
          <w:rFonts w:eastAsia="Times New Roman" w:cs="Arial"/>
          <w:color w:val="444444"/>
          <w:szCs w:val="20"/>
          <w:lang w:eastAsia="fr-FR"/>
        </w:rPr>
        <w:t>'est celui que touche le planteur lorsqu'il livre directement sur le pont-bascule d'une usine. S'il passe par un</w:t>
      </w:r>
      <w:r w:rsidR="00987621" w:rsidRPr="00D42B1B">
        <w:rPr>
          <w:rFonts w:eastAsia="Times New Roman" w:cs="Arial"/>
          <w:color w:val="444444"/>
          <w:szCs w:val="20"/>
          <w:lang w:eastAsia="fr-FR"/>
        </w:rPr>
        <w:t xml:space="preserve"> </w:t>
      </w:r>
      <w:r w:rsidRPr="00D42B1B">
        <w:rPr>
          <w:rFonts w:eastAsia="Times New Roman" w:cs="Arial"/>
          <w:color w:val="444444"/>
          <w:szCs w:val="20"/>
          <w:lang w:eastAsia="fr-FR"/>
        </w:rPr>
        <w:t>intermédiaire</w:t>
      </w:r>
      <w:r w:rsidR="00987621" w:rsidRPr="00D42B1B">
        <w:rPr>
          <w:rFonts w:eastAsia="Times New Roman" w:cs="Arial"/>
          <w:color w:val="444444"/>
          <w:szCs w:val="20"/>
          <w:lang w:eastAsia="fr-FR"/>
        </w:rPr>
        <w:t>,</w:t>
      </w:r>
      <w:r w:rsidRPr="00D42B1B">
        <w:rPr>
          <w:rFonts w:eastAsia="Times New Roman" w:cs="Arial"/>
          <w:color w:val="444444"/>
          <w:szCs w:val="20"/>
          <w:lang w:eastAsia="fr-FR"/>
        </w:rPr>
        <w:t xml:space="preserve"> coopérative, acheteur individuel ou société commerciale, une marge librement négociable, plafonnée à 20 FCFA, est retranchée pour couvrir le transport et les charges de cet opérateur. Toute retenue supérieure à ce seuil constitue une infraction.</w:t>
      </w:r>
      <w:r w:rsidR="00987621" w:rsidRPr="00D42B1B">
        <w:rPr>
          <w:rFonts w:eastAsia="Times New Roman" w:cs="Arial"/>
          <w:color w:val="444444"/>
          <w:szCs w:val="20"/>
          <w:lang w:eastAsia="fr-FR"/>
        </w:rPr>
        <w:t xml:space="preserve"> </w:t>
      </w:r>
      <w:r w:rsidRPr="00D42B1B">
        <w:rPr>
          <w:rFonts w:eastAsia="Times New Roman" w:cs="Arial"/>
          <w:color w:val="444444"/>
          <w:szCs w:val="20"/>
          <w:lang w:eastAsia="fr-FR"/>
        </w:rPr>
        <w:t>La troisième mesure encadre les primes que les usiniers versent pour attirer la production : elles sont désormais plafonnées à 10 FCFA/kg. L'objectif est de mettre fin à une surenchère qui, ces derniers mois, avait viré à la guerre des prix</w:t>
      </w:r>
      <w:r w:rsidR="00987621" w:rsidRPr="00D42B1B">
        <w:rPr>
          <w:rFonts w:eastAsia="Times New Roman" w:cs="Arial"/>
          <w:color w:val="444444"/>
          <w:szCs w:val="20"/>
          <w:lang w:eastAsia="fr-FR"/>
        </w:rPr>
        <w:t xml:space="preserve"> </w:t>
      </w:r>
      <w:r w:rsidRPr="00D42B1B">
        <w:rPr>
          <w:rFonts w:eastAsia="Times New Roman" w:cs="Arial"/>
          <w:color w:val="444444"/>
          <w:szCs w:val="20"/>
          <w:lang w:eastAsia="fr-FR"/>
        </w:rPr>
        <w:t>entre transformateurs. En fixant une limite commune, la réforme protège les plus petits usiniers face aux plus puissants et redonne aux industriels la visibilité nécessaire pour investir sur place.</w:t>
      </w:r>
      <w:r w:rsidR="00987621" w:rsidRPr="00D42B1B">
        <w:rPr>
          <w:rFonts w:eastAsia="Times New Roman" w:cs="Arial"/>
          <w:color w:val="444444"/>
          <w:szCs w:val="20"/>
          <w:lang w:eastAsia="fr-FR"/>
        </w:rPr>
        <w:t xml:space="preserve"> </w:t>
      </w:r>
      <w:r w:rsidRPr="00D42B1B">
        <w:rPr>
          <w:rFonts w:eastAsia="Times New Roman" w:cs="Arial"/>
          <w:color w:val="444444"/>
          <w:szCs w:val="20"/>
          <w:lang w:eastAsia="fr-FR"/>
        </w:rPr>
        <w:t>Reste la question de l'application, sur laquelle le ministre s'est montré ferme. Il a indiqué avoir instruit le CHPC de déployer dès le mois de juin ses équipes de supervision et de contrôle sur tout le territoire. Leur mission est double : expliquer, dans chaque coopérative et chaque campement, le fonctionnement de la nouvelle clé de répartition à 66%, puis contrôler et sanctionner, sans faiblesse, tout acteur qui ne respecterait pas les nouvelles règles</w:t>
      </w:r>
      <w:r w:rsidR="00987621"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Au-delà du prix, le président du Conseil d'administration de l'APROMAC, </w:t>
      </w:r>
      <w:r w:rsidR="00987621" w:rsidRPr="00D42B1B">
        <w:rPr>
          <w:rFonts w:eastAsia="Times New Roman" w:cs="Arial"/>
          <w:color w:val="444444"/>
          <w:szCs w:val="20"/>
          <w:lang w:eastAsia="fr-FR"/>
        </w:rPr>
        <w:t xml:space="preserve">M. </w:t>
      </w:r>
      <w:r w:rsidRPr="00D42B1B">
        <w:rPr>
          <w:rFonts w:eastAsia="Times New Roman" w:cs="Arial"/>
          <w:color w:val="444444"/>
          <w:szCs w:val="20"/>
          <w:lang w:eastAsia="fr-FR"/>
        </w:rPr>
        <w:t xml:space="preserve">Charles-Emmanuel </w:t>
      </w:r>
      <w:proofErr w:type="spellStart"/>
      <w:r w:rsidRPr="00D42B1B">
        <w:rPr>
          <w:rFonts w:eastAsia="Times New Roman" w:cs="Arial"/>
          <w:color w:val="444444"/>
          <w:szCs w:val="20"/>
          <w:lang w:eastAsia="fr-FR"/>
        </w:rPr>
        <w:t>Yacé</w:t>
      </w:r>
      <w:proofErr w:type="spellEnd"/>
      <w:r w:rsidRPr="00D42B1B">
        <w:rPr>
          <w:rFonts w:eastAsia="Times New Roman" w:cs="Arial"/>
          <w:color w:val="444444"/>
          <w:szCs w:val="20"/>
          <w:lang w:eastAsia="fr-FR"/>
        </w:rPr>
        <w:t>, a inscrit cette campagne dans une ambition plus large, articulée autour de quatre chantiers : le renouvellement et l'extension du verger, avec une stratégie de replantation sur 250 000 h</w:t>
      </w:r>
      <w:r w:rsidR="00987621" w:rsidRPr="00D42B1B">
        <w:rPr>
          <w:rFonts w:eastAsia="Times New Roman" w:cs="Arial"/>
          <w:color w:val="444444"/>
          <w:szCs w:val="20"/>
          <w:lang w:eastAsia="fr-FR"/>
        </w:rPr>
        <w:t>a</w:t>
      </w:r>
      <w:r w:rsidRPr="00D42B1B">
        <w:rPr>
          <w:rFonts w:eastAsia="Times New Roman" w:cs="Arial"/>
          <w:color w:val="444444"/>
          <w:szCs w:val="20"/>
          <w:lang w:eastAsia="fr-FR"/>
        </w:rPr>
        <w:t xml:space="preserve"> en zones traditionnelles et 250 000 h</w:t>
      </w:r>
      <w:r w:rsidR="00987621" w:rsidRPr="00D42B1B">
        <w:rPr>
          <w:rFonts w:eastAsia="Times New Roman" w:cs="Arial"/>
          <w:color w:val="444444"/>
          <w:szCs w:val="20"/>
          <w:lang w:eastAsia="fr-FR"/>
        </w:rPr>
        <w:t xml:space="preserve">a </w:t>
      </w:r>
      <w:r w:rsidRPr="00D42B1B">
        <w:rPr>
          <w:rFonts w:eastAsia="Times New Roman" w:cs="Arial"/>
          <w:color w:val="444444"/>
          <w:szCs w:val="20"/>
          <w:lang w:eastAsia="fr-FR"/>
        </w:rPr>
        <w:t xml:space="preserve">supplémentaires en zones marginales sur dix ans ; la normalisation et la labellisation du caoutchouc </w:t>
      </w:r>
      <w:r w:rsidR="00987621" w:rsidRPr="00D42B1B">
        <w:rPr>
          <w:rFonts w:eastAsia="Times New Roman" w:cs="Arial"/>
          <w:color w:val="444444"/>
          <w:szCs w:val="20"/>
          <w:lang w:eastAsia="fr-FR"/>
        </w:rPr>
        <w:t>« </w:t>
      </w:r>
      <w:r w:rsidRPr="00D42B1B">
        <w:rPr>
          <w:rFonts w:eastAsia="Times New Roman" w:cs="Arial"/>
          <w:color w:val="444444"/>
          <w:szCs w:val="20"/>
          <w:lang w:eastAsia="fr-FR"/>
        </w:rPr>
        <w:t>Origine Côte d'Ivoire</w:t>
      </w:r>
      <w:r w:rsidR="00987621" w:rsidRPr="00D42B1B">
        <w:rPr>
          <w:rFonts w:eastAsia="Times New Roman" w:cs="Arial"/>
          <w:color w:val="444444"/>
          <w:szCs w:val="20"/>
          <w:lang w:eastAsia="fr-FR"/>
        </w:rPr>
        <w:t> »</w:t>
      </w:r>
      <w:r w:rsidRPr="00D42B1B">
        <w:rPr>
          <w:rFonts w:eastAsia="Times New Roman" w:cs="Arial"/>
          <w:color w:val="444444"/>
          <w:szCs w:val="20"/>
          <w:lang w:eastAsia="fr-FR"/>
        </w:rPr>
        <w:t xml:space="preserve">, notamment pour répondre au règlement européen </w:t>
      </w:r>
      <w:r w:rsidR="00987621" w:rsidRPr="00D42B1B">
        <w:rPr>
          <w:rFonts w:eastAsia="Times New Roman" w:cs="Arial"/>
          <w:color w:val="444444"/>
          <w:szCs w:val="20"/>
          <w:lang w:eastAsia="fr-FR"/>
        </w:rPr>
        <w:t xml:space="preserve">RDUE </w:t>
      </w:r>
      <w:r w:rsidRPr="00D42B1B">
        <w:rPr>
          <w:rFonts w:eastAsia="Times New Roman" w:cs="Arial"/>
          <w:color w:val="444444"/>
          <w:szCs w:val="20"/>
          <w:lang w:eastAsia="fr-FR"/>
        </w:rPr>
        <w:t>sur la déforestation ; la création d'une Académie des métiers du caoutchouc naturel sur 236</w:t>
      </w:r>
      <w:r w:rsidR="00987621" w:rsidRPr="00D42B1B">
        <w:rPr>
          <w:rFonts w:eastAsia="Times New Roman" w:cs="Arial"/>
          <w:color w:val="444444"/>
          <w:szCs w:val="20"/>
          <w:lang w:eastAsia="fr-FR"/>
        </w:rPr>
        <w:t> </w:t>
      </w:r>
      <w:r w:rsidRPr="00D42B1B">
        <w:rPr>
          <w:rFonts w:eastAsia="Times New Roman" w:cs="Arial"/>
          <w:color w:val="444444"/>
          <w:szCs w:val="20"/>
          <w:lang w:eastAsia="fr-FR"/>
        </w:rPr>
        <w:t>h</w:t>
      </w:r>
      <w:r w:rsidR="00987621" w:rsidRPr="00D42B1B">
        <w:rPr>
          <w:rFonts w:eastAsia="Times New Roman" w:cs="Arial"/>
          <w:color w:val="444444"/>
          <w:szCs w:val="20"/>
          <w:lang w:eastAsia="fr-FR"/>
        </w:rPr>
        <w:t>a</w:t>
      </w:r>
      <w:r w:rsidRPr="00D42B1B">
        <w:rPr>
          <w:rFonts w:eastAsia="Times New Roman" w:cs="Arial"/>
          <w:color w:val="444444"/>
          <w:szCs w:val="20"/>
          <w:lang w:eastAsia="fr-FR"/>
        </w:rPr>
        <w:t xml:space="preserve"> dans le département de </w:t>
      </w:r>
      <w:proofErr w:type="spellStart"/>
      <w:r w:rsidRPr="00D42B1B">
        <w:rPr>
          <w:rFonts w:eastAsia="Times New Roman" w:cs="Arial"/>
          <w:color w:val="444444"/>
          <w:szCs w:val="20"/>
          <w:lang w:eastAsia="fr-FR"/>
        </w:rPr>
        <w:t>Taabo</w:t>
      </w:r>
      <w:proofErr w:type="spellEnd"/>
      <w:r w:rsidRPr="00D42B1B">
        <w:rPr>
          <w:rFonts w:eastAsia="Times New Roman" w:cs="Arial"/>
          <w:color w:val="444444"/>
          <w:szCs w:val="20"/>
          <w:lang w:eastAsia="fr-FR"/>
        </w:rPr>
        <w:t xml:space="preserve"> ; et la consolidation du nouveau mécanisme de prix. </w:t>
      </w:r>
      <w:r w:rsidR="00D47F19" w:rsidRPr="00D42B1B">
        <w:rPr>
          <w:rFonts w:eastAsia="Times New Roman" w:cs="Arial"/>
          <w:color w:val="444444"/>
          <w:szCs w:val="20"/>
          <w:lang w:eastAsia="fr-FR"/>
        </w:rPr>
        <w:t>La filière pèse lourd. Elle fait vivre plus de 1,2 M de personnes, mobilise environ 170 000 producteurs et plus de 140 000 saigneurs, et a redistribué plus de 700 Md FCFA de revenus aux producteurs en 2025. D’après la Direction générale des douanes, les recettes générées par les exportations ivoiriennes de caoutchouc naturel ont augmenté de près de 20% pour s’établir à 1 490</w:t>
      </w:r>
      <w:r w:rsidR="00D47F19" w:rsidRPr="00D42B1B">
        <w:rPr>
          <w:rFonts w:ascii="Times New Roman" w:eastAsia="Times New Roman" w:hAnsi="Times New Roman" w:cs="Times New Roman"/>
          <w:color w:val="444444"/>
          <w:szCs w:val="20"/>
          <w:lang w:eastAsia="fr-FR"/>
        </w:rPr>
        <w:t> </w:t>
      </w:r>
      <w:r w:rsidR="00D47F19" w:rsidRPr="00D42B1B">
        <w:rPr>
          <w:rFonts w:eastAsia="Times New Roman" w:cs="Arial"/>
          <w:color w:val="444444"/>
          <w:szCs w:val="20"/>
          <w:lang w:eastAsia="fr-FR"/>
        </w:rPr>
        <w:t xml:space="preserve">Md FCFA en 2024. </w:t>
      </w:r>
      <w:r w:rsidRPr="00D42B1B">
        <w:rPr>
          <w:rFonts w:eastAsia="Times New Roman" w:cs="Arial"/>
          <w:color w:val="444444"/>
          <w:szCs w:val="20"/>
          <w:lang w:eastAsia="fr-FR"/>
        </w:rPr>
        <w:t xml:space="preserve">Si la transformation locale reste aujourd'hui largement cantonnée à la première étape la production de caoutchouc naturel destiné à l'export, les autorités ne cachent plus leur ambition d'aller plus loin dans la chaîne de valeur. L'environnement s'y prête </w:t>
      </w:r>
      <w:r w:rsidR="00987621" w:rsidRPr="00D42B1B">
        <w:rPr>
          <w:rFonts w:eastAsia="Times New Roman" w:cs="Arial"/>
          <w:color w:val="444444"/>
          <w:szCs w:val="20"/>
          <w:lang w:eastAsia="fr-FR"/>
        </w:rPr>
        <w:t>car</w:t>
      </w:r>
      <w:r w:rsidRPr="00D42B1B">
        <w:rPr>
          <w:rFonts w:eastAsia="Times New Roman" w:cs="Arial"/>
          <w:color w:val="444444"/>
          <w:szCs w:val="20"/>
          <w:lang w:eastAsia="fr-FR"/>
        </w:rPr>
        <w:t xml:space="preserve"> la demande mondiale de pneus repart, portée par le renouvellement des véhicules et l'essor de l'électrique, gros consommateur de gomme. En affichant des règles claires et stables, l'</w:t>
      </w:r>
      <w:r w:rsidR="00987621" w:rsidRPr="00D42B1B">
        <w:rPr>
          <w:rFonts w:eastAsia="Times New Roman" w:cs="Arial"/>
          <w:color w:val="444444"/>
          <w:szCs w:val="20"/>
          <w:lang w:eastAsia="fr-FR"/>
        </w:rPr>
        <w:t>E</w:t>
      </w:r>
      <w:r w:rsidRPr="00D42B1B">
        <w:rPr>
          <w:rFonts w:eastAsia="Times New Roman" w:cs="Arial"/>
          <w:color w:val="444444"/>
          <w:szCs w:val="20"/>
          <w:lang w:eastAsia="fr-FR"/>
        </w:rPr>
        <w:t>tat dit vouloir rassurer les investisseurs pour transformer davantage sur place et créer des emplois pour les jeunes. L'idée d'une véritable industrie du pneu sur le sol ivoirien, longtemps restée un horizon lointain gagne ainsi en crédibilité, portée par une filière qui produit la matière première et cherche désormais à en capter la valeur ajoutée.</w:t>
      </w:r>
    </w:p>
    <w:p w14:paraId="23E7179A" w14:textId="77777777" w:rsidR="00D47F19" w:rsidRPr="00D42B1B" w:rsidRDefault="00D47F19" w:rsidP="005C5CDE">
      <w:pPr>
        <w:shd w:val="clear" w:color="auto" w:fill="FFFFFF"/>
        <w:spacing w:after="0" w:line="276" w:lineRule="auto"/>
        <w:rPr>
          <w:rFonts w:eastAsia="Times New Roman" w:cs="Arial"/>
          <w:color w:val="444444"/>
          <w:szCs w:val="20"/>
          <w:lang w:eastAsia="fr-FR"/>
        </w:rPr>
      </w:pPr>
    </w:p>
    <w:p w14:paraId="43AD7268" w14:textId="5988A868" w:rsidR="00113E7F" w:rsidRPr="00D42B1B" w:rsidRDefault="00113E7F" w:rsidP="000A32B7">
      <w:pPr>
        <w:pStyle w:val="Titre2"/>
        <w:spacing w:before="0"/>
        <w:rPr>
          <w:rFonts w:eastAsiaTheme="minorHAnsi"/>
        </w:rPr>
      </w:pPr>
      <w:bookmarkStart w:id="77" w:name="_Toc233878691"/>
      <w:bookmarkStart w:id="78" w:name="_Hlk233557509"/>
      <w:r w:rsidRPr="00D42B1B">
        <w:rPr>
          <w:rFonts w:eastAsia="Times New Roman" w:cs="Arial"/>
          <w:color w:val="444444"/>
          <w:szCs w:val="20"/>
          <w:lang w:eastAsia="fr-FR"/>
        </w:rPr>
        <w:t xml:space="preserve">Coton - </w:t>
      </w:r>
      <w:r w:rsidR="00A54140" w:rsidRPr="00D42B1B">
        <w:rPr>
          <w:rFonts w:eastAsia="Times New Roman" w:cs="Arial"/>
          <w:color w:val="444444"/>
          <w:szCs w:val="20"/>
          <w:lang w:eastAsia="fr-FR"/>
        </w:rPr>
        <w:t>L</w:t>
      </w:r>
      <w:r w:rsidRPr="00D42B1B">
        <w:rPr>
          <w:rFonts w:eastAsia="Times New Roman" w:cs="Arial"/>
          <w:color w:val="444444"/>
          <w:szCs w:val="20"/>
          <w:lang w:eastAsia="fr-FR"/>
        </w:rPr>
        <w:t>a filière en quête d’un nouvel essor</w:t>
      </w:r>
      <w:r w:rsidR="00A54140" w:rsidRPr="00D42B1B">
        <w:rPr>
          <w:rFonts w:eastAsia="Times New Roman" w:cs="Arial"/>
          <w:color w:val="444444"/>
          <w:szCs w:val="20"/>
          <w:lang w:eastAsia="fr-FR"/>
        </w:rPr>
        <w:t>.</w:t>
      </w:r>
      <w:bookmarkEnd w:id="77"/>
    </w:p>
    <w:bookmarkEnd w:id="78"/>
    <w:p w14:paraId="43685AA6" w14:textId="58FE5804" w:rsidR="00825243" w:rsidRPr="00D42B1B" w:rsidRDefault="00113E7F" w:rsidP="00113E7F">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Le coton est le 4</w:t>
      </w:r>
      <w:r w:rsidR="00A54140" w:rsidRPr="00D42B1B">
        <w:rPr>
          <w:rFonts w:eastAsia="Times New Roman" w:cs="Arial"/>
          <w:color w:val="444444"/>
          <w:szCs w:val="20"/>
          <w:vertAlign w:val="superscript"/>
          <w:lang w:eastAsia="fr-FR"/>
        </w:rPr>
        <w:t>ème</w:t>
      </w:r>
      <w:r w:rsidR="00A54140"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produit agricole d’exportation de la Côte d’Ivoire, derrière le cacao, l’hévéa et la noix de cajou. </w:t>
      </w:r>
      <w:r w:rsidR="00A54140" w:rsidRPr="00D42B1B">
        <w:rPr>
          <w:rFonts w:eastAsia="Times New Roman" w:cs="Arial"/>
          <w:color w:val="444444"/>
          <w:szCs w:val="20"/>
          <w:lang w:eastAsia="fr-FR"/>
        </w:rPr>
        <w:t>L</w:t>
      </w:r>
      <w:r w:rsidRPr="00D42B1B">
        <w:rPr>
          <w:rFonts w:eastAsia="Times New Roman" w:cs="Arial"/>
          <w:color w:val="444444"/>
          <w:szCs w:val="20"/>
          <w:lang w:eastAsia="fr-FR"/>
        </w:rPr>
        <w:t>a filière traverse une phase de recul depuis deux campagnes</w:t>
      </w:r>
      <w:r w:rsidR="00A54140" w:rsidRPr="00D42B1B">
        <w:rPr>
          <w:rFonts w:eastAsia="Times New Roman" w:cs="Arial"/>
          <w:color w:val="444444"/>
          <w:szCs w:val="20"/>
          <w:lang w:eastAsia="fr-FR"/>
        </w:rPr>
        <w:t xml:space="preserve">, mais </w:t>
      </w:r>
      <w:r w:rsidRPr="00D42B1B">
        <w:rPr>
          <w:rFonts w:eastAsia="Times New Roman" w:cs="Arial"/>
          <w:color w:val="444444"/>
          <w:szCs w:val="20"/>
          <w:lang w:eastAsia="fr-FR"/>
        </w:rPr>
        <w:t xml:space="preserve">un vent d’optimisme souffle de nouveau sur le secteur cotonnier. Le 24 juin, </w:t>
      </w:r>
      <w:r w:rsidR="00A54140" w:rsidRPr="00D42B1B">
        <w:rPr>
          <w:rFonts w:eastAsia="Times New Roman" w:cs="Arial"/>
          <w:color w:val="444444"/>
          <w:szCs w:val="20"/>
          <w:lang w:eastAsia="fr-FR"/>
        </w:rPr>
        <w:t xml:space="preserve">M. </w:t>
      </w:r>
      <w:r w:rsidRPr="00D42B1B">
        <w:rPr>
          <w:rFonts w:eastAsia="Times New Roman" w:cs="Arial"/>
          <w:color w:val="444444"/>
          <w:szCs w:val="20"/>
          <w:lang w:eastAsia="fr-FR"/>
        </w:rPr>
        <w:t xml:space="preserve">Brou Kouakou, directeur exécutif de l’Association </w:t>
      </w:r>
      <w:r w:rsidR="00A54140" w:rsidRPr="00D42B1B">
        <w:rPr>
          <w:rFonts w:eastAsia="Times New Roman" w:cs="Arial"/>
          <w:color w:val="444444"/>
          <w:szCs w:val="20"/>
          <w:lang w:eastAsia="fr-FR"/>
        </w:rPr>
        <w:t>p</w:t>
      </w:r>
      <w:r w:rsidRPr="00D42B1B">
        <w:rPr>
          <w:rFonts w:eastAsia="Times New Roman" w:cs="Arial"/>
          <w:color w:val="444444"/>
          <w:szCs w:val="20"/>
          <w:lang w:eastAsia="fr-FR"/>
        </w:rPr>
        <w:t xml:space="preserve">rofessionnelle des </w:t>
      </w:r>
      <w:r w:rsidR="00A54140" w:rsidRPr="00D42B1B">
        <w:rPr>
          <w:rFonts w:eastAsia="Times New Roman" w:cs="Arial"/>
          <w:color w:val="444444"/>
          <w:szCs w:val="20"/>
          <w:lang w:eastAsia="fr-FR"/>
        </w:rPr>
        <w:t>s</w:t>
      </w:r>
      <w:r w:rsidRPr="00D42B1B">
        <w:rPr>
          <w:rFonts w:eastAsia="Times New Roman" w:cs="Arial"/>
          <w:color w:val="444444"/>
          <w:szCs w:val="20"/>
          <w:lang w:eastAsia="fr-FR"/>
        </w:rPr>
        <w:t xml:space="preserve">ociétés </w:t>
      </w:r>
      <w:r w:rsidR="00A54140" w:rsidRPr="00D42B1B">
        <w:rPr>
          <w:rFonts w:eastAsia="Times New Roman" w:cs="Arial"/>
          <w:color w:val="444444"/>
          <w:szCs w:val="20"/>
          <w:lang w:eastAsia="fr-FR"/>
        </w:rPr>
        <w:t>c</w:t>
      </w:r>
      <w:r w:rsidRPr="00D42B1B">
        <w:rPr>
          <w:rFonts w:eastAsia="Times New Roman" w:cs="Arial"/>
          <w:color w:val="444444"/>
          <w:szCs w:val="20"/>
          <w:lang w:eastAsia="fr-FR"/>
        </w:rPr>
        <w:t xml:space="preserve">otonnières de Côte d’Ivoire (APROCOT-CI), a annoncé un objectif de production de 400 000 tonnes pour la campagne 2026/2027. Un tel niveau constituerait la troisième meilleure performance depuis 2020/2021 et permettrait au </w:t>
      </w:r>
      <w:r w:rsidRPr="00D42B1B">
        <w:rPr>
          <w:rFonts w:eastAsia="Times New Roman" w:cs="Arial"/>
          <w:color w:val="444444"/>
          <w:szCs w:val="20"/>
          <w:lang w:eastAsia="fr-FR"/>
        </w:rPr>
        <w:lastRenderedPageBreak/>
        <w:t>pays de réduire son retard face à ses principaux concurrents régionaux que sont le Bénin, le Mali et le Burkina Faso.</w:t>
      </w:r>
      <w:r w:rsidR="00A54140" w:rsidRPr="00D42B1B">
        <w:rPr>
          <w:rFonts w:eastAsia="Times New Roman" w:cs="Arial"/>
          <w:color w:val="444444"/>
          <w:szCs w:val="20"/>
          <w:lang w:eastAsia="fr-FR"/>
        </w:rPr>
        <w:t xml:space="preserve"> </w:t>
      </w:r>
      <w:r w:rsidRPr="00D42B1B">
        <w:rPr>
          <w:rFonts w:eastAsia="Times New Roman" w:cs="Arial"/>
          <w:color w:val="444444"/>
          <w:szCs w:val="20"/>
          <w:lang w:eastAsia="fr-FR"/>
        </w:rPr>
        <w:t>Au-delà de cette compétition régionale, les professionnels espèrent surtout tourner la page d’un exercice précédent dont le bilan reste marqué par de nombreuses déceptions.</w:t>
      </w:r>
      <w:r w:rsidR="00A54140" w:rsidRPr="00D42B1B">
        <w:rPr>
          <w:rFonts w:eastAsia="Times New Roman" w:cs="Arial"/>
          <w:color w:val="444444"/>
          <w:szCs w:val="20"/>
          <w:lang w:eastAsia="fr-FR"/>
        </w:rPr>
        <w:t xml:space="preserve"> </w:t>
      </w:r>
      <w:r w:rsidRPr="00D42B1B">
        <w:rPr>
          <w:rFonts w:eastAsia="Times New Roman" w:cs="Arial"/>
          <w:color w:val="444444"/>
          <w:szCs w:val="20"/>
          <w:lang w:eastAsia="fr-FR"/>
        </w:rPr>
        <w:t>Le rebond attendu pour la prochaine campagne illustre l’ampleur de la déception enregistrée au terme de la saison 2025/2026</w:t>
      </w:r>
      <w:r w:rsidR="00A54140" w:rsidRPr="00D42B1B">
        <w:rPr>
          <w:rFonts w:eastAsia="Times New Roman" w:cs="Arial"/>
          <w:color w:val="444444"/>
          <w:szCs w:val="20"/>
          <w:lang w:eastAsia="fr-FR"/>
        </w:rPr>
        <w:t>, p</w:t>
      </w:r>
      <w:r w:rsidRPr="00D42B1B">
        <w:rPr>
          <w:rFonts w:eastAsia="Times New Roman" w:cs="Arial"/>
          <w:color w:val="444444"/>
          <w:szCs w:val="20"/>
          <w:lang w:eastAsia="fr-FR"/>
        </w:rPr>
        <w:t>ourtant placée initialement sous de bons auspices</w:t>
      </w:r>
      <w:r w:rsidR="00A54140" w:rsidRPr="00D42B1B">
        <w:rPr>
          <w:rFonts w:eastAsia="Times New Roman" w:cs="Arial"/>
          <w:color w:val="444444"/>
          <w:szCs w:val="20"/>
          <w:lang w:eastAsia="fr-FR"/>
        </w:rPr>
        <w:t xml:space="preserve"> et alors que </w:t>
      </w:r>
      <w:r w:rsidRPr="00D42B1B">
        <w:rPr>
          <w:rFonts w:eastAsia="Times New Roman" w:cs="Arial"/>
          <w:color w:val="444444"/>
          <w:szCs w:val="20"/>
          <w:lang w:eastAsia="fr-FR"/>
        </w:rPr>
        <w:t>la production avait déjà reculé d’environ 10% en 2024/2025</w:t>
      </w:r>
      <w:r w:rsidR="00A54140" w:rsidRPr="00D42B1B">
        <w:rPr>
          <w:rFonts w:eastAsia="Times New Roman" w:cs="Arial"/>
          <w:color w:val="444444"/>
          <w:szCs w:val="20"/>
          <w:lang w:eastAsia="fr-FR"/>
        </w:rPr>
        <w:t>. L</w:t>
      </w:r>
      <w:r w:rsidRPr="00D42B1B">
        <w:rPr>
          <w:rFonts w:eastAsia="Times New Roman" w:cs="Arial"/>
          <w:color w:val="444444"/>
          <w:szCs w:val="20"/>
          <w:lang w:eastAsia="fr-FR"/>
        </w:rPr>
        <w:t>e gouvernement a</w:t>
      </w:r>
      <w:r w:rsidR="00A54140" w:rsidRPr="00D42B1B">
        <w:rPr>
          <w:rFonts w:eastAsia="Times New Roman" w:cs="Arial"/>
          <w:color w:val="444444"/>
          <w:szCs w:val="20"/>
          <w:lang w:eastAsia="fr-FR"/>
        </w:rPr>
        <w:t>vait</w:t>
      </w:r>
      <w:r w:rsidRPr="00D42B1B">
        <w:rPr>
          <w:rFonts w:eastAsia="Times New Roman" w:cs="Arial"/>
          <w:color w:val="444444"/>
          <w:szCs w:val="20"/>
          <w:lang w:eastAsia="fr-FR"/>
        </w:rPr>
        <w:t xml:space="preserve"> multiplié les initiatives pour remobiliser les acteurs de la filière, notamment les producteurs majoritairement installés dans les régions du Centre et du Nord</w:t>
      </w:r>
      <w:r w:rsidR="002668BE" w:rsidRPr="00D42B1B">
        <w:rPr>
          <w:rFonts w:eastAsia="Times New Roman" w:cs="Arial"/>
          <w:color w:val="444444"/>
          <w:szCs w:val="20"/>
          <w:lang w:eastAsia="fr-FR"/>
        </w:rPr>
        <w:t>, avec une</w:t>
      </w:r>
      <w:r w:rsidRPr="00D42B1B">
        <w:rPr>
          <w:rFonts w:eastAsia="Times New Roman" w:cs="Arial"/>
          <w:color w:val="444444"/>
          <w:szCs w:val="20"/>
          <w:lang w:eastAsia="fr-FR"/>
        </w:rPr>
        <w:t xml:space="preserve"> une enveloppe de 25,3 </w:t>
      </w:r>
      <w:r w:rsidR="002668BE" w:rsidRPr="00D42B1B">
        <w:rPr>
          <w:rFonts w:eastAsia="Times New Roman" w:cs="Arial"/>
          <w:color w:val="444444"/>
          <w:szCs w:val="20"/>
          <w:lang w:eastAsia="fr-FR"/>
        </w:rPr>
        <w:t xml:space="preserve">Md </w:t>
      </w:r>
      <w:r w:rsidRPr="00D42B1B">
        <w:rPr>
          <w:rFonts w:eastAsia="Times New Roman" w:cs="Arial"/>
          <w:color w:val="444444"/>
          <w:szCs w:val="20"/>
          <w:lang w:eastAsia="fr-FR"/>
        </w:rPr>
        <w:t>FCFA destinée aux subventions.</w:t>
      </w:r>
      <w:r w:rsidR="002668BE" w:rsidRPr="00D42B1B">
        <w:rPr>
          <w:rFonts w:eastAsia="Times New Roman" w:cs="Arial"/>
          <w:color w:val="444444"/>
          <w:szCs w:val="20"/>
          <w:lang w:eastAsia="fr-FR"/>
        </w:rPr>
        <w:t xml:space="preserve"> </w:t>
      </w:r>
      <w:r w:rsidRPr="00D42B1B">
        <w:rPr>
          <w:rFonts w:eastAsia="Times New Roman" w:cs="Arial"/>
          <w:color w:val="444444"/>
          <w:szCs w:val="20"/>
          <w:lang w:eastAsia="fr-FR"/>
        </w:rPr>
        <w:t>Ce budget record, deux fois supérieur au précédent, compren</w:t>
      </w:r>
      <w:r w:rsidR="002668BE" w:rsidRPr="00D42B1B">
        <w:rPr>
          <w:rFonts w:eastAsia="Times New Roman" w:cs="Arial"/>
          <w:color w:val="444444"/>
          <w:szCs w:val="20"/>
          <w:lang w:eastAsia="fr-FR"/>
        </w:rPr>
        <w:t>ait</w:t>
      </w:r>
      <w:r w:rsidRPr="00D42B1B">
        <w:rPr>
          <w:rFonts w:eastAsia="Times New Roman" w:cs="Arial"/>
          <w:color w:val="444444"/>
          <w:szCs w:val="20"/>
          <w:lang w:eastAsia="fr-FR"/>
        </w:rPr>
        <w:t xml:space="preserve"> un soutien estimé à 44 FCFA</w:t>
      </w:r>
      <w:r w:rsidR="002668BE" w:rsidRPr="00D42B1B">
        <w:rPr>
          <w:rFonts w:eastAsia="Times New Roman" w:cs="Arial"/>
          <w:color w:val="444444"/>
          <w:szCs w:val="20"/>
          <w:lang w:eastAsia="fr-FR"/>
        </w:rPr>
        <w:t xml:space="preserve">/kg </w:t>
      </w:r>
      <w:r w:rsidRPr="00D42B1B">
        <w:rPr>
          <w:rFonts w:eastAsia="Times New Roman" w:cs="Arial"/>
          <w:color w:val="444444"/>
          <w:szCs w:val="20"/>
          <w:lang w:eastAsia="fr-FR"/>
        </w:rPr>
        <w:t>sur le prix payé aux producteurs, ainsi qu’une subvention additionnelle de 18 000 FCFA par</w:t>
      </w:r>
      <w:r w:rsidR="002668BE" w:rsidRPr="00D42B1B">
        <w:rPr>
          <w:rFonts w:eastAsia="Times New Roman" w:cs="Arial"/>
          <w:color w:val="444444"/>
          <w:szCs w:val="20"/>
          <w:lang w:eastAsia="fr-FR"/>
        </w:rPr>
        <w:t xml:space="preserve"> ha</w:t>
      </w:r>
      <w:r w:rsidRPr="00D42B1B">
        <w:rPr>
          <w:rFonts w:eastAsia="Times New Roman" w:cs="Arial"/>
          <w:color w:val="444444"/>
          <w:szCs w:val="20"/>
          <w:lang w:eastAsia="fr-FR"/>
        </w:rPr>
        <w:t xml:space="preserve">. Parallèlement, le prix d’achat au producteur </w:t>
      </w:r>
      <w:r w:rsidR="002668BE" w:rsidRPr="00D42B1B">
        <w:rPr>
          <w:rFonts w:eastAsia="Times New Roman" w:cs="Arial"/>
          <w:color w:val="444444"/>
          <w:szCs w:val="20"/>
          <w:lang w:eastAsia="fr-FR"/>
        </w:rPr>
        <w:t xml:space="preserve">était </w:t>
      </w:r>
      <w:r w:rsidRPr="00D42B1B">
        <w:rPr>
          <w:rFonts w:eastAsia="Times New Roman" w:cs="Arial"/>
          <w:color w:val="444444"/>
          <w:szCs w:val="20"/>
          <w:lang w:eastAsia="fr-FR"/>
        </w:rPr>
        <w:t>maintenu à 310 FCFA/kg.</w:t>
      </w:r>
      <w:r w:rsidR="002668BE" w:rsidRPr="00D42B1B">
        <w:rPr>
          <w:rFonts w:eastAsia="Times New Roman" w:cs="Arial"/>
          <w:color w:val="444444"/>
          <w:szCs w:val="20"/>
          <w:lang w:eastAsia="fr-FR"/>
        </w:rPr>
        <w:t xml:space="preserve"> </w:t>
      </w:r>
      <w:r w:rsidRPr="00D42B1B">
        <w:rPr>
          <w:rFonts w:eastAsia="Times New Roman" w:cs="Arial"/>
          <w:color w:val="444444"/>
          <w:szCs w:val="20"/>
          <w:lang w:eastAsia="fr-FR"/>
        </w:rPr>
        <w:t>Avec ces mesures, l’APROCOT-CI affichait de fortes ambitions : 550 000 tonnes de coton étaient attendues pour la campagne 2025/2026, un niveau proche du record établi en 2020/2021 (559 266 tonnes), qui avait permis à la Côte d’Ivoire de se hisser à la deuxième place continentale derrière le Bénin. Mais les résultats n’ont finalement pas été à la hauteur des attentes.</w:t>
      </w:r>
      <w:r w:rsidR="002668BE" w:rsidRPr="00D42B1B">
        <w:rPr>
          <w:rFonts w:eastAsia="Times New Roman" w:cs="Arial"/>
          <w:color w:val="444444"/>
          <w:szCs w:val="20"/>
          <w:lang w:eastAsia="fr-FR"/>
        </w:rPr>
        <w:t xml:space="preserve"> </w:t>
      </w:r>
      <w:r w:rsidRPr="00D42B1B">
        <w:rPr>
          <w:rFonts w:eastAsia="Times New Roman" w:cs="Arial"/>
          <w:color w:val="444444"/>
          <w:szCs w:val="20"/>
          <w:lang w:eastAsia="fr-FR"/>
        </w:rPr>
        <w:t>De faibles précipitations ont été enregistrées pendant la période de semis, ce qui, dans certaines zones, a</w:t>
      </w:r>
      <w:r w:rsidR="002668BE" w:rsidRPr="00D42B1B">
        <w:rPr>
          <w:rFonts w:eastAsia="Times New Roman" w:cs="Arial"/>
          <w:color w:val="444444"/>
          <w:szCs w:val="20"/>
          <w:lang w:eastAsia="fr-FR"/>
        </w:rPr>
        <w:t>vait</w:t>
      </w:r>
      <w:r w:rsidRPr="00D42B1B">
        <w:rPr>
          <w:rFonts w:eastAsia="Times New Roman" w:cs="Arial"/>
          <w:color w:val="444444"/>
          <w:szCs w:val="20"/>
          <w:lang w:eastAsia="fr-FR"/>
        </w:rPr>
        <w:t xml:space="preserve"> compromis une bonne implantation des cultures.</w:t>
      </w:r>
      <w:r w:rsidR="002668BE" w:rsidRPr="00D42B1B">
        <w:rPr>
          <w:rFonts w:eastAsia="Times New Roman" w:cs="Arial"/>
          <w:color w:val="444444"/>
          <w:szCs w:val="20"/>
          <w:lang w:eastAsia="fr-FR"/>
        </w:rPr>
        <w:t xml:space="preserve"> L</w:t>
      </w:r>
      <w:r w:rsidRPr="00D42B1B">
        <w:rPr>
          <w:rFonts w:eastAsia="Times New Roman" w:cs="Arial"/>
          <w:color w:val="444444"/>
          <w:szCs w:val="20"/>
          <w:lang w:eastAsia="fr-FR"/>
        </w:rPr>
        <w:t>’impact de la hausse des coûts de production, liée notamment aux tensions au Moyen-Orient et à l’augmentation des prix du carburant, a pesé sur les intrants agricoles, en particulier les engrais et les pesticides.</w:t>
      </w:r>
      <w:r w:rsidR="002668BE" w:rsidRPr="00D42B1B">
        <w:rPr>
          <w:rFonts w:eastAsia="Times New Roman" w:cs="Arial"/>
          <w:color w:val="444444"/>
          <w:szCs w:val="20"/>
          <w:lang w:eastAsia="fr-FR"/>
        </w:rPr>
        <w:t xml:space="preserve"> </w:t>
      </w:r>
      <w:r w:rsidR="0038131A" w:rsidRPr="00D42B1B">
        <w:rPr>
          <w:rFonts w:eastAsia="Times New Roman" w:cs="Arial"/>
          <w:color w:val="444444"/>
          <w:szCs w:val="20"/>
          <w:lang w:eastAsia="fr-FR"/>
        </w:rPr>
        <w:t xml:space="preserve">Parmi les contraintes persistantes de la filière, figurent également la rareté de la main-d’œuvre agricole ainsi que les retards dans l’enlèvement du coton-graine et le paiement des producteurs. </w:t>
      </w:r>
      <w:r w:rsidRPr="00D42B1B">
        <w:rPr>
          <w:rFonts w:eastAsia="Times New Roman" w:cs="Arial"/>
          <w:color w:val="444444"/>
          <w:szCs w:val="20"/>
          <w:lang w:eastAsia="fr-FR"/>
        </w:rPr>
        <w:t>Au final, la récolte n’a</w:t>
      </w:r>
      <w:r w:rsidR="002668BE" w:rsidRPr="00D42B1B">
        <w:rPr>
          <w:rFonts w:eastAsia="Times New Roman" w:cs="Arial"/>
          <w:color w:val="444444"/>
          <w:szCs w:val="20"/>
          <w:lang w:eastAsia="fr-FR"/>
        </w:rPr>
        <w:t>vait</w:t>
      </w:r>
      <w:r w:rsidRPr="00D42B1B">
        <w:rPr>
          <w:rFonts w:eastAsia="Times New Roman" w:cs="Arial"/>
          <w:color w:val="444444"/>
          <w:szCs w:val="20"/>
          <w:lang w:eastAsia="fr-FR"/>
        </w:rPr>
        <w:t xml:space="preserve"> atteint que 310 398 tonnes, soit le deuxième plus faible niveau enregistré en cinq ans, après celui de la campagne 2022/2023 (280 447 tonnes).</w:t>
      </w:r>
      <w:r w:rsidR="002668BE" w:rsidRPr="00D42B1B">
        <w:rPr>
          <w:rFonts w:eastAsia="Times New Roman" w:cs="Arial"/>
          <w:color w:val="444444"/>
          <w:szCs w:val="20"/>
          <w:lang w:eastAsia="fr-FR"/>
        </w:rPr>
        <w:t xml:space="preserve"> </w:t>
      </w:r>
      <w:r w:rsidRPr="00D42B1B">
        <w:rPr>
          <w:rFonts w:eastAsia="Times New Roman" w:cs="Arial"/>
          <w:color w:val="444444"/>
          <w:szCs w:val="20"/>
          <w:lang w:eastAsia="fr-FR"/>
        </w:rPr>
        <w:t>Sur le terrain, le nombre de producteurs a</w:t>
      </w:r>
      <w:r w:rsidR="002668BE" w:rsidRPr="00D42B1B">
        <w:rPr>
          <w:rFonts w:eastAsia="Times New Roman" w:cs="Arial"/>
          <w:color w:val="444444"/>
          <w:szCs w:val="20"/>
          <w:lang w:eastAsia="fr-FR"/>
        </w:rPr>
        <w:t>vait</w:t>
      </w:r>
      <w:r w:rsidRPr="00D42B1B">
        <w:rPr>
          <w:rFonts w:eastAsia="Times New Roman" w:cs="Arial"/>
          <w:color w:val="444444"/>
          <w:szCs w:val="20"/>
          <w:lang w:eastAsia="fr-FR"/>
        </w:rPr>
        <w:t xml:space="preserve"> également fortement diminué, passant de 99 793 à 79 979 exploitants, soit un recul proche de 20% en un an. La baisse du nombre de producteurs de coton s’explique par le fait que les agriculteurs se tournent vers des cultures jugées plus rentables commercialement, comme le soja et la noix de cajou.</w:t>
      </w:r>
      <w:r w:rsidR="002668BE" w:rsidRPr="00D42B1B">
        <w:rPr>
          <w:rFonts w:eastAsia="Times New Roman" w:cs="Arial"/>
          <w:color w:val="444444"/>
          <w:szCs w:val="20"/>
          <w:lang w:eastAsia="fr-FR"/>
        </w:rPr>
        <w:t xml:space="preserve"> </w:t>
      </w:r>
      <w:r w:rsidRPr="00D42B1B">
        <w:rPr>
          <w:rFonts w:eastAsia="Times New Roman" w:cs="Arial"/>
          <w:color w:val="444444"/>
          <w:szCs w:val="20"/>
          <w:lang w:eastAsia="fr-FR"/>
        </w:rPr>
        <w:t>Seul motif de satisfaction</w:t>
      </w:r>
      <w:r w:rsidR="002668BE" w:rsidRPr="00D42B1B">
        <w:rPr>
          <w:rFonts w:eastAsia="Times New Roman" w:cs="Arial"/>
          <w:color w:val="444444"/>
          <w:szCs w:val="20"/>
          <w:lang w:eastAsia="fr-FR"/>
        </w:rPr>
        <w:t xml:space="preserve">, </w:t>
      </w:r>
      <w:r w:rsidRPr="00D42B1B">
        <w:rPr>
          <w:rFonts w:eastAsia="Times New Roman" w:cs="Arial"/>
          <w:color w:val="444444"/>
          <w:szCs w:val="20"/>
          <w:lang w:eastAsia="fr-FR"/>
        </w:rPr>
        <w:t>le rendement cotonnier s’</w:t>
      </w:r>
      <w:r w:rsidR="002668BE" w:rsidRPr="00D42B1B">
        <w:rPr>
          <w:rFonts w:eastAsia="Times New Roman" w:cs="Arial"/>
          <w:color w:val="444444"/>
          <w:szCs w:val="20"/>
          <w:lang w:eastAsia="fr-FR"/>
        </w:rPr>
        <w:t xml:space="preserve">était </w:t>
      </w:r>
      <w:r w:rsidRPr="00D42B1B">
        <w:rPr>
          <w:rFonts w:eastAsia="Times New Roman" w:cs="Arial"/>
          <w:color w:val="444444"/>
          <w:szCs w:val="20"/>
          <w:lang w:eastAsia="fr-FR"/>
        </w:rPr>
        <w:t>amélioré, atteignant 1,14 tonne</w:t>
      </w:r>
      <w:r w:rsidR="002668BE" w:rsidRPr="00D42B1B">
        <w:rPr>
          <w:rFonts w:eastAsia="Times New Roman" w:cs="Arial"/>
          <w:color w:val="444444"/>
          <w:szCs w:val="20"/>
          <w:lang w:eastAsia="fr-FR"/>
        </w:rPr>
        <w:t xml:space="preserve">/ha </w:t>
      </w:r>
      <w:r w:rsidRPr="00D42B1B">
        <w:rPr>
          <w:rFonts w:eastAsia="Times New Roman" w:cs="Arial"/>
          <w:color w:val="444444"/>
          <w:szCs w:val="20"/>
          <w:lang w:eastAsia="fr-FR"/>
        </w:rPr>
        <w:t>durant la saison 2025/2026, contre 871</w:t>
      </w:r>
      <w:r w:rsidR="00AD0691">
        <w:rPr>
          <w:rFonts w:eastAsia="Times New Roman" w:cs="Arial"/>
          <w:color w:val="444444"/>
          <w:szCs w:val="20"/>
          <w:lang w:eastAsia="fr-FR"/>
        </w:rPr>
        <w:t> </w:t>
      </w:r>
      <w:r w:rsidRPr="00D42B1B">
        <w:rPr>
          <w:rFonts w:eastAsia="Times New Roman" w:cs="Arial"/>
          <w:color w:val="444444"/>
          <w:szCs w:val="20"/>
          <w:lang w:eastAsia="fr-FR"/>
        </w:rPr>
        <w:t>kg</w:t>
      </w:r>
      <w:r w:rsidR="002668BE" w:rsidRPr="00D42B1B">
        <w:rPr>
          <w:rFonts w:eastAsia="Times New Roman" w:cs="Arial"/>
          <w:color w:val="444444"/>
          <w:szCs w:val="20"/>
          <w:lang w:eastAsia="fr-FR"/>
        </w:rPr>
        <w:t xml:space="preserve">/ha </w:t>
      </w:r>
      <w:r w:rsidRPr="00D42B1B">
        <w:rPr>
          <w:rFonts w:eastAsia="Times New Roman" w:cs="Arial"/>
          <w:color w:val="444444"/>
          <w:szCs w:val="20"/>
          <w:lang w:eastAsia="fr-FR"/>
        </w:rPr>
        <w:t>en 2024/2025, selon l’APROCOT-CI. Cette progression intervient malgré une baisse de 18,7% des superficies cultivées, ramenées à 290 208 h</w:t>
      </w:r>
      <w:r w:rsidR="002668BE" w:rsidRPr="00D42B1B">
        <w:rPr>
          <w:rFonts w:eastAsia="Times New Roman" w:cs="Arial"/>
          <w:color w:val="444444"/>
          <w:szCs w:val="20"/>
          <w:lang w:eastAsia="fr-FR"/>
        </w:rPr>
        <w:t>a</w:t>
      </w:r>
      <w:r w:rsidRPr="00D42B1B">
        <w:rPr>
          <w:rFonts w:eastAsia="Times New Roman" w:cs="Arial"/>
          <w:color w:val="444444"/>
          <w:szCs w:val="20"/>
          <w:lang w:eastAsia="fr-FR"/>
        </w:rPr>
        <w:t>.</w:t>
      </w:r>
      <w:r w:rsidR="002668BE" w:rsidRPr="00D42B1B">
        <w:rPr>
          <w:rFonts w:eastAsia="Times New Roman" w:cs="Arial"/>
          <w:color w:val="444444"/>
          <w:szCs w:val="20"/>
          <w:lang w:eastAsia="fr-FR"/>
        </w:rPr>
        <w:t xml:space="preserve"> </w:t>
      </w:r>
      <w:r w:rsidR="0038131A" w:rsidRPr="00D42B1B">
        <w:rPr>
          <w:rFonts w:eastAsia="Times New Roman" w:cs="Arial"/>
          <w:color w:val="444444"/>
          <w:szCs w:val="20"/>
          <w:lang w:eastAsia="fr-FR"/>
        </w:rPr>
        <w:t xml:space="preserve">Les producteurs avaient également relevé une amélioration progressive de la qualité du coton. </w:t>
      </w:r>
      <w:r w:rsidRPr="00D42B1B">
        <w:rPr>
          <w:rFonts w:eastAsia="Times New Roman" w:cs="Arial"/>
          <w:color w:val="444444"/>
          <w:szCs w:val="20"/>
          <w:lang w:eastAsia="fr-FR"/>
        </w:rPr>
        <w:t>Après cette campagne difficile, l’APROCOT-CI</w:t>
      </w:r>
      <w:r w:rsidR="002668BE" w:rsidRPr="00D42B1B">
        <w:rPr>
          <w:rFonts w:eastAsia="Times New Roman" w:cs="Arial"/>
          <w:color w:val="444444"/>
          <w:szCs w:val="20"/>
          <w:lang w:eastAsia="fr-FR"/>
        </w:rPr>
        <w:t xml:space="preserve"> se projette sur la nouvelle campagne</w:t>
      </w:r>
      <w:r w:rsidRPr="00D42B1B">
        <w:rPr>
          <w:rFonts w:eastAsia="Times New Roman" w:cs="Arial"/>
          <w:color w:val="444444"/>
          <w:szCs w:val="20"/>
          <w:lang w:eastAsia="fr-FR"/>
        </w:rPr>
        <w:t>. La période de semis devrait s’achever</w:t>
      </w:r>
      <w:r w:rsidR="000A32B7" w:rsidRPr="00D42B1B">
        <w:rPr>
          <w:rFonts w:eastAsia="Times New Roman" w:cs="Arial"/>
          <w:color w:val="444444"/>
          <w:szCs w:val="20"/>
          <w:lang w:eastAsia="fr-FR"/>
        </w:rPr>
        <w:t xml:space="preserve"> fin juin</w:t>
      </w:r>
      <w:r w:rsidRPr="00D42B1B">
        <w:rPr>
          <w:rFonts w:eastAsia="Times New Roman" w:cs="Arial"/>
          <w:color w:val="444444"/>
          <w:szCs w:val="20"/>
          <w:lang w:eastAsia="fr-FR"/>
        </w:rPr>
        <w:t>. Si aucun détail n’a encore été communiqué sur les superficies prévues ou les rendements attendus dans le cadre du nouvel objectif, la filière affiche déjà des ambitions importantes pour les prochaines années.</w:t>
      </w:r>
      <w:r w:rsidR="0038131A"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Selon </w:t>
      </w:r>
      <w:r w:rsidR="000A32B7" w:rsidRPr="00D42B1B">
        <w:rPr>
          <w:rFonts w:eastAsia="Times New Roman" w:cs="Arial"/>
          <w:color w:val="444444"/>
          <w:szCs w:val="20"/>
          <w:lang w:eastAsia="fr-FR"/>
        </w:rPr>
        <w:t xml:space="preserve">M. </w:t>
      </w:r>
      <w:r w:rsidRPr="00D42B1B">
        <w:rPr>
          <w:rFonts w:eastAsia="Times New Roman" w:cs="Arial"/>
          <w:color w:val="444444"/>
          <w:szCs w:val="20"/>
          <w:lang w:eastAsia="fr-FR"/>
        </w:rPr>
        <w:t>Brou Kouakou, la production devrait progressivement monter en puissance pour atteindre 600 000 tonnes à l’horizon 2030.</w:t>
      </w:r>
      <w:r w:rsidR="000A32B7" w:rsidRPr="00D42B1B">
        <w:rPr>
          <w:rFonts w:eastAsia="Times New Roman" w:cs="Arial"/>
          <w:color w:val="444444"/>
          <w:szCs w:val="20"/>
          <w:lang w:eastAsia="fr-FR"/>
        </w:rPr>
        <w:t xml:space="preserve"> La prochaine récolte est prévue entre octobre et janvier et doit mobiliser les </w:t>
      </w:r>
      <w:r w:rsidRPr="00D42B1B">
        <w:rPr>
          <w:rFonts w:eastAsia="Times New Roman" w:cs="Arial"/>
          <w:color w:val="444444"/>
          <w:szCs w:val="20"/>
          <w:lang w:eastAsia="fr-FR"/>
        </w:rPr>
        <w:t>six principales entreprises : la Compagnie ivoirienne pour le développement du textile (CIDT), Global Cotton, Ivoire Coton, la Compagnie Ivoirienne de Coton (COIC), la Société d’exploitation cotonnière (SECO-OLAM) et la Société Industrielle Cotonnière des Savanes (SICOSA 2.0).</w:t>
      </w:r>
    </w:p>
    <w:p w14:paraId="22AD6152" w14:textId="77777777" w:rsidR="000A32B7" w:rsidRPr="00D42B1B" w:rsidRDefault="000A32B7" w:rsidP="00113E7F">
      <w:pPr>
        <w:shd w:val="clear" w:color="auto" w:fill="FFFFFF"/>
        <w:spacing w:after="0" w:line="276" w:lineRule="auto"/>
        <w:rPr>
          <w:rFonts w:eastAsia="Times New Roman" w:cs="Arial"/>
          <w:color w:val="444444"/>
          <w:szCs w:val="20"/>
          <w:lang w:eastAsia="fr-FR"/>
        </w:rPr>
      </w:pPr>
    </w:p>
    <w:p w14:paraId="25402D56" w14:textId="2C162B1C" w:rsidR="00825243" w:rsidRPr="00D42B1B" w:rsidRDefault="00825243" w:rsidP="000851B2">
      <w:pPr>
        <w:pStyle w:val="Titre2"/>
        <w:spacing w:before="0"/>
        <w:rPr>
          <w:rFonts w:eastAsiaTheme="minorHAnsi"/>
        </w:rPr>
      </w:pPr>
      <w:bookmarkStart w:id="79" w:name="_Toc233878692"/>
      <w:bookmarkStart w:id="80" w:name="_Hlk231650404"/>
      <w:r w:rsidRPr="00D42B1B">
        <w:rPr>
          <w:rFonts w:eastAsia="Times New Roman" w:cs="Arial"/>
          <w:color w:val="444444"/>
          <w:szCs w:val="20"/>
          <w:lang w:eastAsia="fr-FR"/>
        </w:rPr>
        <w:lastRenderedPageBreak/>
        <w:t>N</w:t>
      </w:r>
      <w:bookmarkStart w:id="81" w:name="_Hlk231650380"/>
      <w:r w:rsidRPr="00D42B1B">
        <w:rPr>
          <w:rFonts w:eastAsia="Times New Roman" w:cs="Arial"/>
          <w:color w:val="444444"/>
          <w:szCs w:val="20"/>
          <w:lang w:eastAsia="fr-FR"/>
        </w:rPr>
        <w:t>oix de coco -</w:t>
      </w:r>
      <w:r w:rsidR="00004283" w:rsidRPr="00D42B1B">
        <w:rPr>
          <w:rFonts w:eastAsia="Times New Roman" w:cs="Arial"/>
          <w:color w:val="444444"/>
          <w:szCs w:val="20"/>
          <w:lang w:eastAsia="fr-FR"/>
        </w:rPr>
        <w:t xml:space="preserve"> L</w:t>
      </w:r>
      <w:r w:rsidRPr="00D42B1B">
        <w:rPr>
          <w:rFonts w:eastAsia="Times New Roman" w:cs="Arial"/>
          <w:color w:val="444444"/>
          <w:szCs w:val="20"/>
          <w:lang w:eastAsia="fr-FR"/>
        </w:rPr>
        <w:t>a nuciculture menacée par le jaunissement mortel du cocotier</w:t>
      </w:r>
      <w:r w:rsidR="00004283" w:rsidRPr="00D42B1B">
        <w:rPr>
          <w:rFonts w:eastAsia="Times New Roman" w:cs="Arial"/>
          <w:color w:val="444444"/>
          <w:szCs w:val="20"/>
          <w:lang w:eastAsia="fr-FR"/>
        </w:rPr>
        <w:t>.</w:t>
      </w:r>
      <w:bookmarkEnd w:id="79"/>
      <w:bookmarkEnd w:id="81"/>
    </w:p>
    <w:bookmarkEnd w:id="80"/>
    <w:p w14:paraId="145527B3" w14:textId="222BFAE2" w:rsidR="00825243" w:rsidRPr="00D42B1B" w:rsidRDefault="00825243" w:rsidP="00825243">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Le cocotier est sous la menace du jaunissement mortel, une maladie qui décime les cocoteraies du pays depuis un peu plus de 30 ans. </w:t>
      </w:r>
      <w:r w:rsidR="00AE5823" w:rsidRPr="00D42B1B">
        <w:rPr>
          <w:rFonts w:eastAsia="Times New Roman" w:cs="Arial"/>
          <w:color w:val="444444"/>
          <w:szCs w:val="20"/>
          <w:lang w:eastAsia="fr-FR"/>
        </w:rPr>
        <w:t xml:space="preserve">La maladie est causée par un </w:t>
      </w:r>
      <w:proofErr w:type="spellStart"/>
      <w:r w:rsidR="00AE5823" w:rsidRPr="00D42B1B">
        <w:rPr>
          <w:rFonts w:eastAsia="Times New Roman" w:cs="Arial"/>
          <w:color w:val="444444"/>
          <w:szCs w:val="20"/>
          <w:lang w:eastAsia="fr-FR"/>
        </w:rPr>
        <w:t>phytoplasme</w:t>
      </w:r>
      <w:proofErr w:type="spellEnd"/>
      <w:r w:rsidR="00AE5823" w:rsidRPr="00D42B1B">
        <w:rPr>
          <w:rFonts w:eastAsia="Times New Roman" w:cs="Arial"/>
          <w:color w:val="444444"/>
          <w:szCs w:val="20"/>
          <w:lang w:eastAsia="fr-FR"/>
        </w:rPr>
        <w:t>. Le parasite est transmis à la plante par des cicadelles. Selon le botaniste du Centre national de floristique, M. Béranger N’Goran, a</w:t>
      </w:r>
      <w:r w:rsidRPr="00D42B1B">
        <w:rPr>
          <w:rFonts w:eastAsia="Times New Roman" w:cs="Arial"/>
          <w:color w:val="444444"/>
          <w:szCs w:val="20"/>
          <w:lang w:eastAsia="fr-FR"/>
        </w:rPr>
        <w:t xml:space="preserve">ucun remède efficace n’est connu et cette calamité pourrait encore accentuer le déclin de la filière </w:t>
      </w:r>
      <w:proofErr w:type="spellStart"/>
      <w:r w:rsidRPr="00D42B1B">
        <w:rPr>
          <w:rFonts w:eastAsia="Times New Roman" w:cs="Arial"/>
          <w:color w:val="444444"/>
          <w:szCs w:val="20"/>
          <w:lang w:eastAsia="fr-FR"/>
        </w:rPr>
        <w:t>nucicole</w:t>
      </w:r>
      <w:proofErr w:type="spellEnd"/>
      <w:r w:rsidRPr="00D42B1B">
        <w:rPr>
          <w:rFonts w:eastAsia="Times New Roman" w:cs="Arial"/>
          <w:color w:val="444444"/>
          <w:szCs w:val="20"/>
          <w:lang w:eastAsia="fr-FR"/>
        </w:rPr>
        <w:t>. Pour le moment, tout ce qui est proposé, ce sont des mesures prophylactiques, pour limiter la propagation de la maladie. Les essais sont toujours en cours pour identifier une molécule qui pourrait permettre de lutter contre la maladie. La recherche ivoirienne se concentre sur la détection précoce du jaunissement mortel, à l’aide de drones et d’images satellites</w:t>
      </w:r>
      <w:r w:rsidR="00CC1F98" w:rsidRPr="00D42B1B">
        <w:rPr>
          <w:rFonts w:eastAsia="Times New Roman" w:cs="Arial"/>
          <w:color w:val="444444"/>
          <w:szCs w:val="20"/>
          <w:lang w:eastAsia="fr-FR"/>
        </w:rPr>
        <w:t xml:space="preserve"> afin de </w:t>
      </w:r>
      <w:r w:rsidRPr="00D42B1B">
        <w:rPr>
          <w:rFonts w:eastAsia="Times New Roman" w:cs="Arial"/>
          <w:color w:val="444444"/>
          <w:szCs w:val="20"/>
          <w:lang w:eastAsia="fr-FR"/>
        </w:rPr>
        <w:t xml:space="preserve">comprendre la propagation du </w:t>
      </w:r>
      <w:proofErr w:type="spellStart"/>
      <w:r w:rsidRPr="00D42B1B">
        <w:rPr>
          <w:rFonts w:eastAsia="Times New Roman" w:cs="Arial"/>
          <w:color w:val="444444"/>
          <w:szCs w:val="20"/>
          <w:lang w:eastAsia="fr-FR"/>
        </w:rPr>
        <w:t>phytoplasme</w:t>
      </w:r>
      <w:proofErr w:type="spellEnd"/>
      <w:r w:rsidRPr="00D42B1B">
        <w:rPr>
          <w:rFonts w:eastAsia="Times New Roman" w:cs="Arial"/>
          <w:color w:val="444444"/>
          <w:szCs w:val="20"/>
          <w:lang w:eastAsia="fr-FR"/>
        </w:rPr>
        <w:t xml:space="preserve"> pour mieux le freiner. </w:t>
      </w:r>
      <w:r w:rsidR="00CC1F98" w:rsidRPr="00D42B1B">
        <w:rPr>
          <w:rFonts w:eastAsia="Times New Roman" w:cs="Arial"/>
          <w:color w:val="444444"/>
          <w:szCs w:val="20"/>
          <w:lang w:eastAsia="fr-FR"/>
        </w:rPr>
        <w:t xml:space="preserve">La recherche ivoirienne cherche également à </w:t>
      </w:r>
      <w:r w:rsidRPr="00D42B1B">
        <w:rPr>
          <w:rFonts w:eastAsia="Times New Roman" w:cs="Arial"/>
          <w:color w:val="444444"/>
          <w:szCs w:val="20"/>
          <w:lang w:eastAsia="fr-FR"/>
        </w:rPr>
        <w:t>développer un cocotier hybride, capable de résister.</w:t>
      </w:r>
      <w:r w:rsidR="00CC1F98"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Pour le moment, aucune tentative de replantation n’a été couronnée de succès. Faute de mieux, </w:t>
      </w:r>
      <w:r w:rsidR="00CC1F98" w:rsidRPr="00D42B1B">
        <w:rPr>
          <w:rFonts w:eastAsia="Times New Roman" w:cs="Arial"/>
          <w:color w:val="444444"/>
          <w:szCs w:val="20"/>
          <w:lang w:eastAsia="fr-FR"/>
        </w:rPr>
        <w:t xml:space="preserve">il est </w:t>
      </w:r>
      <w:r w:rsidRPr="00D42B1B">
        <w:rPr>
          <w:rFonts w:eastAsia="Times New Roman" w:cs="Arial"/>
          <w:color w:val="444444"/>
          <w:szCs w:val="20"/>
          <w:lang w:eastAsia="fr-FR"/>
        </w:rPr>
        <w:t>préconis</w:t>
      </w:r>
      <w:r w:rsidR="00CC1F98" w:rsidRPr="00D42B1B">
        <w:rPr>
          <w:rFonts w:eastAsia="Times New Roman" w:cs="Arial"/>
          <w:color w:val="444444"/>
          <w:szCs w:val="20"/>
          <w:lang w:eastAsia="fr-FR"/>
        </w:rPr>
        <w:t>é</w:t>
      </w:r>
      <w:r w:rsidRPr="00D42B1B">
        <w:rPr>
          <w:rFonts w:eastAsia="Times New Roman" w:cs="Arial"/>
          <w:color w:val="444444"/>
          <w:szCs w:val="20"/>
          <w:lang w:eastAsia="fr-FR"/>
        </w:rPr>
        <w:t xml:space="preserve"> de défricher entièrement les parcelles infectées, et d’incinérer les cocotiers touchés.</w:t>
      </w:r>
      <w:r w:rsidR="00CC1F98" w:rsidRPr="00D42B1B">
        <w:rPr>
          <w:rFonts w:eastAsia="Times New Roman" w:cs="Arial"/>
          <w:color w:val="444444"/>
          <w:szCs w:val="20"/>
          <w:lang w:eastAsia="fr-FR"/>
        </w:rPr>
        <w:t xml:space="preserve"> </w:t>
      </w:r>
      <w:r w:rsidRPr="00D42B1B">
        <w:rPr>
          <w:rFonts w:eastAsia="Times New Roman" w:cs="Arial"/>
          <w:color w:val="444444"/>
          <w:szCs w:val="20"/>
          <w:lang w:eastAsia="fr-FR"/>
        </w:rPr>
        <w:t>En attendant, la maladie progresse inexorablement depuis son apparition au début des années 1990 sur l’île de Grand-Lahou. En trente ans, 5 000 h</w:t>
      </w:r>
      <w:r w:rsidR="00CC1F98" w:rsidRPr="00D42B1B">
        <w:rPr>
          <w:rFonts w:eastAsia="Times New Roman" w:cs="Arial"/>
          <w:color w:val="444444"/>
          <w:szCs w:val="20"/>
          <w:lang w:eastAsia="fr-FR"/>
        </w:rPr>
        <w:t>a</w:t>
      </w:r>
      <w:r w:rsidRPr="00D42B1B">
        <w:rPr>
          <w:rFonts w:eastAsia="Times New Roman" w:cs="Arial"/>
          <w:color w:val="444444"/>
          <w:szCs w:val="20"/>
          <w:lang w:eastAsia="fr-FR"/>
        </w:rPr>
        <w:t xml:space="preserve"> de cocoteraies et au moins 750 000 arbres y ont péri.</w:t>
      </w:r>
      <w:r w:rsidR="00CC1F98" w:rsidRPr="00D42B1B">
        <w:rPr>
          <w:rFonts w:eastAsia="Times New Roman" w:cs="Arial"/>
          <w:color w:val="444444"/>
          <w:szCs w:val="20"/>
          <w:lang w:eastAsia="fr-FR"/>
        </w:rPr>
        <w:t xml:space="preserve"> </w:t>
      </w:r>
      <w:r w:rsidRPr="00D42B1B">
        <w:rPr>
          <w:rFonts w:eastAsia="Times New Roman" w:cs="Arial"/>
          <w:color w:val="444444"/>
          <w:szCs w:val="20"/>
          <w:lang w:eastAsia="fr-FR"/>
        </w:rPr>
        <w:t>Face à la maladie, les paysans se tournent vers la culture du manioc. La Côte d’Ivoire produit environ 120 000 tonnes de noix de coco par an, trois fois moins qu’il y a 40 ans.</w:t>
      </w:r>
    </w:p>
    <w:p w14:paraId="0C4480F4" w14:textId="77777777" w:rsidR="000851B2" w:rsidRPr="00D42B1B" w:rsidRDefault="000851B2" w:rsidP="00825243">
      <w:pPr>
        <w:shd w:val="clear" w:color="auto" w:fill="FFFFFF"/>
        <w:spacing w:after="0" w:line="276" w:lineRule="auto"/>
        <w:rPr>
          <w:rFonts w:eastAsia="Times New Roman" w:cs="Arial"/>
          <w:color w:val="444444"/>
          <w:szCs w:val="20"/>
          <w:lang w:eastAsia="fr-FR"/>
        </w:rPr>
      </w:pPr>
    </w:p>
    <w:p w14:paraId="630E5227" w14:textId="0B936CA3" w:rsidR="00825243" w:rsidRPr="00D42B1B" w:rsidRDefault="00825243" w:rsidP="000851B2">
      <w:pPr>
        <w:pStyle w:val="Titre2"/>
        <w:spacing w:before="0"/>
        <w:rPr>
          <w:rFonts w:eastAsiaTheme="minorHAnsi"/>
        </w:rPr>
      </w:pPr>
      <w:bookmarkStart w:id="82" w:name="_Toc233878693"/>
      <w:bookmarkStart w:id="83" w:name="_Hlk231651214"/>
      <w:r w:rsidRPr="00D42B1B">
        <w:rPr>
          <w:rFonts w:eastAsia="Times New Roman" w:cs="Arial"/>
          <w:bCs/>
          <w:color w:val="444444"/>
          <w:szCs w:val="20"/>
          <w:lang w:eastAsia="fr-FR"/>
        </w:rPr>
        <w:t>Vivrier</w:t>
      </w:r>
      <w:r w:rsidR="00095226" w:rsidRPr="00D42B1B">
        <w:rPr>
          <w:rFonts w:eastAsia="Times New Roman" w:cs="Arial"/>
          <w:bCs/>
          <w:color w:val="444444"/>
          <w:szCs w:val="20"/>
          <w:lang w:eastAsia="fr-FR"/>
        </w:rPr>
        <w:t xml:space="preserve"> </w:t>
      </w:r>
      <w:r w:rsidRPr="00D42B1B">
        <w:rPr>
          <w:rFonts w:eastAsia="Times New Roman" w:cs="Arial"/>
          <w:color w:val="444444"/>
          <w:szCs w:val="20"/>
          <w:lang w:eastAsia="fr-FR"/>
        </w:rPr>
        <w:t xml:space="preserve">- Le </w:t>
      </w:r>
      <w:r w:rsidR="000851B2" w:rsidRPr="00D42B1B">
        <w:rPr>
          <w:rFonts w:eastAsia="Times New Roman" w:cs="Arial"/>
          <w:color w:val="444444"/>
          <w:szCs w:val="20"/>
          <w:lang w:eastAsia="fr-FR"/>
        </w:rPr>
        <w:t xml:space="preserve">Centre national de recherche agronomique (CNRA) </w:t>
      </w:r>
      <w:r w:rsidRPr="00D42B1B">
        <w:rPr>
          <w:rFonts w:eastAsia="Times New Roman" w:cs="Arial"/>
          <w:color w:val="444444"/>
          <w:szCs w:val="20"/>
          <w:lang w:eastAsia="fr-FR"/>
        </w:rPr>
        <w:t>mise sur la patate douce à chair orange pour renforcer la sécurité alimentaire</w:t>
      </w:r>
      <w:r w:rsidR="000851B2" w:rsidRPr="00D42B1B">
        <w:rPr>
          <w:rFonts w:eastAsia="Times New Roman" w:cs="Arial"/>
          <w:color w:val="444444"/>
          <w:szCs w:val="20"/>
          <w:lang w:eastAsia="fr-FR"/>
        </w:rPr>
        <w:t>.</w:t>
      </w:r>
      <w:bookmarkEnd w:id="82"/>
    </w:p>
    <w:bookmarkEnd w:id="83"/>
    <w:p w14:paraId="2E7442AF" w14:textId="2DBC5BC2" w:rsidR="00825243" w:rsidRPr="00D42B1B" w:rsidRDefault="00825243" w:rsidP="00825243">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Le CNRA développe et promeut la culture de la patate douce à chair orange afin de contribuer au renforcement de la sécurité alimentaire et nutritionnelle en Côte d’Ivoire</w:t>
      </w:r>
      <w:r w:rsidR="000851B2"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Dans la région du </w:t>
      </w:r>
      <w:proofErr w:type="spellStart"/>
      <w:r w:rsidRPr="00D42B1B">
        <w:rPr>
          <w:rFonts w:eastAsia="Times New Roman" w:cs="Arial"/>
          <w:color w:val="444444"/>
          <w:szCs w:val="20"/>
          <w:lang w:eastAsia="fr-FR"/>
        </w:rPr>
        <w:t>Gbêkê</w:t>
      </w:r>
      <w:proofErr w:type="spellEnd"/>
      <w:r w:rsidRPr="00D42B1B">
        <w:rPr>
          <w:rFonts w:eastAsia="Times New Roman" w:cs="Arial"/>
          <w:color w:val="444444"/>
          <w:szCs w:val="20"/>
          <w:lang w:eastAsia="fr-FR"/>
        </w:rPr>
        <w:t>, cette variété de patate douce s’impose progressivement comme une alternative alimentaire aux multiples usages</w:t>
      </w:r>
      <w:r w:rsidR="000851B2" w:rsidRPr="00D42B1B">
        <w:rPr>
          <w:rFonts w:eastAsia="Times New Roman" w:cs="Arial"/>
          <w:color w:val="444444"/>
          <w:szCs w:val="20"/>
          <w:lang w:eastAsia="fr-FR"/>
        </w:rPr>
        <w:t xml:space="preserve">, </w:t>
      </w:r>
      <w:r w:rsidRPr="00D42B1B">
        <w:rPr>
          <w:rFonts w:eastAsia="Times New Roman" w:cs="Arial"/>
          <w:color w:val="444444"/>
          <w:szCs w:val="20"/>
          <w:lang w:eastAsia="fr-FR"/>
        </w:rPr>
        <w:t>offrant ainsi de nouvelles perspectives de valorisation aux producteurs et aux consommateurs.</w:t>
      </w:r>
      <w:r w:rsidR="000851B2" w:rsidRPr="00D42B1B">
        <w:rPr>
          <w:rFonts w:eastAsia="Times New Roman" w:cs="Arial"/>
          <w:color w:val="444444"/>
          <w:szCs w:val="20"/>
          <w:lang w:eastAsia="fr-FR"/>
        </w:rPr>
        <w:t xml:space="preserve"> </w:t>
      </w:r>
      <w:r w:rsidRPr="00D42B1B">
        <w:rPr>
          <w:rFonts w:eastAsia="Times New Roman" w:cs="Arial"/>
          <w:color w:val="444444"/>
          <w:szCs w:val="20"/>
          <w:lang w:eastAsia="fr-FR"/>
        </w:rPr>
        <w:t>Au-delà de sa transformation en mets traditionnels</w:t>
      </w:r>
      <w:r w:rsidR="000851B2" w:rsidRPr="00D42B1B">
        <w:rPr>
          <w:rFonts w:eastAsia="Times New Roman" w:cs="Arial"/>
          <w:color w:val="444444"/>
          <w:szCs w:val="20"/>
          <w:lang w:eastAsia="fr-FR"/>
        </w:rPr>
        <w:t xml:space="preserve"> (foutou)</w:t>
      </w:r>
      <w:r w:rsidRPr="00D42B1B">
        <w:rPr>
          <w:rFonts w:eastAsia="Times New Roman" w:cs="Arial"/>
          <w:color w:val="444444"/>
          <w:szCs w:val="20"/>
          <w:lang w:eastAsia="fr-FR"/>
        </w:rPr>
        <w:t>, le CNRA poursuit des travaux de valorisation visant à diversifier les produits dérivés. Dans les laboratoires du centre, les chercheurs expérimentent notamment la production de farine destinée à la pâtisserie ainsi que la fabrication de jus à partir de la chair orange du tubercule.</w:t>
      </w:r>
      <w:r w:rsidR="000851B2" w:rsidRPr="00D42B1B">
        <w:rPr>
          <w:rFonts w:eastAsia="Times New Roman" w:cs="Arial"/>
          <w:color w:val="444444"/>
          <w:szCs w:val="20"/>
          <w:lang w:eastAsia="fr-FR"/>
        </w:rPr>
        <w:t xml:space="preserve"> </w:t>
      </w:r>
      <w:r w:rsidRPr="00D42B1B">
        <w:rPr>
          <w:rFonts w:eastAsia="Times New Roman" w:cs="Arial"/>
          <w:color w:val="444444"/>
          <w:szCs w:val="20"/>
          <w:lang w:eastAsia="fr-FR"/>
        </w:rPr>
        <w:t>Selon les spécialistes, ce jus présente un intérêt nutritionnel important en raison de sa richesse en vitamines, notamment en provitamine A, ainsi qu’en minéraux essentiels à la santé.</w:t>
      </w:r>
      <w:r w:rsidR="00F5340E" w:rsidRPr="00D42B1B">
        <w:rPr>
          <w:rFonts w:eastAsia="Times New Roman" w:cs="Arial"/>
          <w:color w:val="444444"/>
          <w:szCs w:val="20"/>
          <w:lang w:eastAsia="fr-FR"/>
        </w:rPr>
        <w:t xml:space="preserve"> </w:t>
      </w:r>
      <w:r w:rsidRPr="00D42B1B">
        <w:rPr>
          <w:rFonts w:eastAsia="Times New Roman" w:cs="Arial"/>
          <w:color w:val="444444"/>
          <w:szCs w:val="20"/>
          <w:lang w:eastAsia="fr-FR"/>
        </w:rPr>
        <w:t>Introduite en Côte d’Ivoire en 2011 par le Centre international de la pomme de terre, basé au Pérou, avec l’appui de l’ONG internationale Helen Keller, la patate douce à chair orange a ensuite fait l’objet de travaux d’adaptation et d’amélioration par les chercheurs ivoiriens.</w:t>
      </w:r>
      <w:r w:rsidR="00F5340E" w:rsidRPr="00D42B1B">
        <w:rPr>
          <w:rFonts w:eastAsia="Times New Roman" w:cs="Arial"/>
          <w:color w:val="444444"/>
          <w:szCs w:val="20"/>
          <w:lang w:eastAsia="fr-FR"/>
        </w:rPr>
        <w:t xml:space="preserve"> </w:t>
      </w:r>
      <w:r w:rsidRPr="00D42B1B">
        <w:rPr>
          <w:rFonts w:eastAsia="Times New Roman" w:cs="Arial"/>
          <w:color w:val="444444"/>
          <w:szCs w:val="20"/>
          <w:lang w:eastAsia="fr-FR"/>
        </w:rPr>
        <w:t>Depuis 2012, plusieurs variétés ont été analysées et sélectionnées afin de répondre aux conditions agroécologiques du pays. Ces recherches ont permis de mettre au point deux variétés particulièrement performantes</w:t>
      </w:r>
      <w:r w:rsidR="00F5340E" w:rsidRPr="00D42B1B">
        <w:rPr>
          <w:rFonts w:eastAsia="Times New Roman" w:cs="Arial"/>
          <w:color w:val="444444"/>
          <w:szCs w:val="20"/>
          <w:lang w:eastAsia="fr-FR"/>
        </w:rPr>
        <w:t> :</w:t>
      </w:r>
      <w:r w:rsidRPr="00D42B1B">
        <w:rPr>
          <w:rFonts w:eastAsia="Times New Roman" w:cs="Arial"/>
          <w:color w:val="444444"/>
          <w:szCs w:val="20"/>
          <w:lang w:eastAsia="fr-FR"/>
        </w:rPr>
        <w:t xml:space="preserve"> « </w:t>
      </w:r>
      <w:proofErr w:type="spellStart"/>
      <w:r w:rsidRPr="00D42B1B">
        <w:rPr>
          <w:rFonts w:eastAsia="Times New Roman" w:cs="Arial"/>
          <w:color w:val="444444"/>
          <w:szCs w:val="20"/>
          <w:lang w:eastAsia="fr-FR"/>
        </w:rPr>
        <w:t>Saramanie</w:t>
      </w:r>
      <w:proofErr w:type="spellEnd"/>
      <w:r w:rsidRPr="00D42B1B">
        <w:rPr>
          <w:rFonts w:eastAsia="Times New Roman" w:cs="Arial"/>
          <w:color w:val="444444"/>
          <w:szCs w:val="20"/>
          <w:lang w:eastAsia="fr-FR"/>
        </w:rPr>
        <w:t xml:space="preserve"> », une variété à chair orange riche en provitamine A et particulièrement adaptée à la préparation du foutou, et « </w:t>
      </w:r>
      <w:proofErr w:type="spellStart"/>
      <w:r w:rsidRPr="00D42B1B">
        <w:rPr>
          <w:rFonts w:eastAsia="Times New Roman" w:cs="Arial"/>
          <w:color w:val="444444"/>
          <w:szCs w:val="20"/>
          <w:lang w:eastAsia="fr-FR"/>
        </w:rPr>
        <w:t>Wilima</w:t>
      </w:r>
      <w:proofErr w:type="spellEnd"/>
      <w:r w:rsidRPr="00D42B1B">
        <w:rPr>
          <w:rFonts w:eastAsia="Times New Roman" w:cs="Arial"/>
          <w:color w:val="444444"/>
          <w:szCs w:val="20"/>
          <w:lang w:eastAsia="fr-FR"/>
        </w:rPr>
        <w:t xml:space="preserve"> », à chair jaune, appréciée pour ses tubercules volumineux et son rendement élevé.</w:t>
      </w:r>
      <w:r w:rsidR="00F5340E" w:rsidRPr="00D42B1B">
        <w:rPr>
          <w:rFonts w:eastAsia="Times New Roman" w:cs="Arial"/>
          <w:color w:val="444444"/>
          <w:szCs w:val="20"/>
          <w:lang w:eastAsia="fr-FR"/>
        </w:rPr>
        <w:t xml:space="preserve"> A</w:t>
      </w:r>
      <w:r w:rsidRPr="00D42B1B">
        <w:rPr>
          <w:rFonts w:eastAsia="Times New Roman" w:cs="Arial"/>
          <w:color w:val="444444"/>
          <w:szCs w:val="20"/>
          <w:lang w:eastAsia="fr-FR"/>
        </w:rPr>
        <w:t xml:space="preserve"> travers la promotion de ces variétés, le CNRA entend contribuer à l’amélioration de la nutrition des populations tout en offrant de nouvelles opportunités économiques aux acteurs du secteur agricole.</w:t>
      </w:r>
    </w:p>
    <w:p w14:paraId="0ADE594B" w14:textId="6E6C2E6A" w:rsidR="00994F92" w:rsidRPr="00D42B1B" w:rsidRDefault="00994F92" w:rsidP="00994F92">
      <w:pPr>
        <w:shd w:val="clear" w:color="auto" w:fill="FFFFFF"/>
        <w:spacing w:after="0" w:line="276" w:lineRule="auto"/>
        <w:rPr>
          <w:rFonts w:eastAsia="Times New Roman" w:cs="Arial"/>
          <w:color w:val="444444"/>
          <w:szCs w:val="20"/>
          <w:lang w:eastAsia="fr-FR"/>
        </w:rPr>
      </w:pPr>
    </w:p>
    <w:p w14:paraId="592FEC5B" w14:textId="41021AB8" w:rsidR="002F192A" w:rsidRPr="00D42B1B" w:rsidRDefault="002F192A" w:rsidP="00EC6BF7">
      <w:pPr>
        <w:pStyle w:val="Titre2"/>
        <w:spacing w:before="0"/>
        <w:rPr>
          <w:rFonts w:eastAsiaTheme="minorHAnsi"/>
        </w:rPr>
      </w:pPr>
      <w:bookmarkStart w:id="84" w:name="_Toc233878694"/>
      <w:r w:rsidRPr="00D42B1B">
        <w:rPr>
          <w:rFonts w:eastAsia="Times New Roman" w:cs="Arial"/>
          <w:color w:val="444444"/>
          <w:szCs w:val="20"/>
          <w:lang w:eastAsia="fr-FR"/>
        </w:rPr>
        <w:lastRenderedPageBreak/>
        <w:t xml:space="preserve">Riz - 5 </w:t>
      </w:r>
      <w:r w:rsidR="00EC6BF7" w:rsidRPr="00D42B1B">
        <w:rPr>
          <w:rFonts w:eastAsia="Times New Roman" w:cs="Arial"/>
          <w:color w:val="444444"/>
          <w:szCs w:val="20"/>
          <w:lang w:eastAsia="fr-FR"/>
        </w:rPr>
        <w:t xml:space="preserve">Md </w:t>
      </w:r>
      <w:r w:rsidRPr="00D42B1B">
        <w:rPr>
          <w:rFonts w:eastAsia="Times New Roman" w:cs="Arial"/>
          <w:color w:val="444444"/>
          <w:szCs w:val="20"/>
          <w:lang w:eastAsia="fr-FR"/>
        </w:rPr>
        <w:t>FCFA à la disposition des producteurs</w:t>
      </w:r>
      <w:r w:rsidR="00EC6BF7" w:rsidRPr="00D42B1B">
        <w:rPr>
          <w:rFonts w:eastAsia="Times New Roman" w:cs="Arial"/>
          <w:color w:val="444444"/>
          <w:szCs w:val="20"/>
          <w:lang w:eastAsia="fr-FR"/>
        </w:rPr>
        <w:t>.</w:t>
      </w:r>
      <w:bookmarkEnd w:id="84"/>
    </w:p>
    <w:p w14:paraId="15333ED3" w14:textId="40082245" w:rsidR="002F192A" w:rsidRPr="00D42B1B" w:rsidRDefault="002F192A" w:rsidP="002F192A">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La Banque </w:t>
      </w:r>
      <w:r w:rsidR="00EC6BF7" w:rsidRPr="00D42B1B">
        <w:rPr>
          <w:rFonts w:eastAsia="Times New Roman" w:cs="Arial"/>
          <w:color w:val="444444"/>
          <w:szCs w:val="20"/>
          <w:lang w:eastAsia="fr-FR"/>
        </w:rPr>
        <w:t>n</w:t>
      </w:r>
      <w:r w:rsidRPr="00D42B1B">
        <w:rPr>
          <w:rFonts w:eastAsia="Times New Roman" w:cs="Arial"/>
          <w:color w:val="444444"/>
          <w:szCs w:val="20"/>
          <w:lang w:eastAsia="fr-FR"/>
        </w:rPr>
        <w:t>ationale d’</w:t>
      </w:r>
      <w:r w:rsidR="00EC6BF7" w:rsidRPr="00D42B1B">
        <w:rPr>
          <w:rFonts w:eastAsia="Times New Roman" w:cs="Arial"/>
          <w:color w:val="444444"/>
          <w:szCs w:val="20"/>
          <w:lang w:eastAsia="fr-FR"/>
        </w:rPr>
        <w:t>i</w:t>
      </w:r>
      <w:r w:rsidRPr="00D42B1B">
        <w:rPr>
          <w:rFonts w:eastAsia="Times New Roman" w:cs="Arial"/>
          <w:color w:val="444444"/>
          <w:szCs w:val="20"/>
          <w:lang w:eastAsia="fr-FR"/>
        </w:rPr>
        <w:t>nvestissement (BNI) et le Projet de développement des chaînes de valeur vivrières (PDC2V) ont signé le 18 juin une convention portant sur une enveloppe de 5 Md FCFA destinée au financement des acteurs de la chaîne de valeur rizicole. Présentant les enjeux de cette convention, les organisateurs ont rappelé que cette initiative s’inscrit dans le cadre de la mise en œuvre de la Stratégie nationale de développement de la riziculture (SNDR 2020-2030) et du Projet de développement des chaînes de valeur agricoles, financé par la Banque mondiale et le gouvernement ivoirien. L’objectif de ce fonds d’amorçage de la filière riz est de mettre en place un mécanisme durable de financement des producteurs, transformateurs et autres opérateurs de la filière. Selon les responsables du projet, ce fonds permettra de financer les besoins prioritaires liés à la production, à la transformation et aux investissements structurants du secteur rizicole, tout en contribuant à l’amélioration de la gouvernance et de la performance de la filière. Le Directeur général de la BNI, M. Youssouf </w:t>
      </w:r>
      <w:proofErr w:type="spellStart"/>
      <w:r w:rsidRPr="00D42B1B">
        <w:rPr>
          <w:rFonts w:eastAsia="Times New Roman" w:cs="Arial"/>
          <w:color w:val="444444"/>
          <w:szCs w:val="20"/>
          <w:lang w:eastAsia="fr-FR"/>
        </w:rPr>
        <w:t>Fadiga</w:t>
      </w:r>
      <w:proofErr w:type="spellEnd"/>
      <w:r w:rsidRPr="00D42B1B">
        <w:rPr>
          <w:rFonts w:eastAsia="Times New Roman" w:cs="Arial"/>
          <w:color w:val="444444"/>
          <w:szCs w:val="20"/>
          <w:lang w:eastAsia="fr-FR"/>
        </w:rPr>
        <w:t xml:space="preserve">, a réaffirmé la volonté de son institution de mettre son expertise financière et sa capacité d’innovation au service de la réussite du PDC2V. Le ministre délégué chargé des productions vivrières et coordonnateur du PDC2V, M. Bernard </w:t>
      </w:r>
      <w:proofErr w:type="spellStart"/>
      <w:r w:rsidRPr="00D42B1B">
        <w:rPr>
          <w:rFonts w:eastAsia="Times New Roman" w:cs="Arial"/>
          <w:color w:val="444444"/>
          <w:szCs w:val="20"/>
          <w:lang w:eastAsia="fr-FR"/>
        </w:rPr>
        <w:t>Kini</w:t>
      </w:r>
      <w:proofErr w:type="spellEnd"/>
      <w:r w:rsidRPr="00D42B1B">
        <w:rPr>
          <w:rFonts w:eastAsia="Times New Roman" w:cs="Arial"/>
          <w:color w:val="444444"/>
          <w:szCs w:val="20"/>
          <w:lang w:eastAsia="fr-FR"/>
        </w:rPr>
        <w:t xml:space="preserve"> Comoé, a rappelé que la croissance démographique et l’augmentation de la consommation rendent indispensable le renforcement de la production locale pour réduire progressivement la dépendance aux importations. A travers ce partenariat, les autorités ivoiriennes ambitionnent de renforcer la compétitivité de la filière rizicole, d’accroître la disponibilité du riz ivoirien sur le marché national et de contribuer à l’atteinte de la souveraineté alimentaire.</w:t>
      </w:r>
    </w:p>
    <w:p w14:paraId="13178E0E" w14:textId="77777777" w:rsidR="00054128" w:rsidRPr="00D42B1B" w:rsidRDefault="00054128" w:rsidP="002F192A">
      <w:pPr>
        <w:shd w:val="clear" w:color="auto" w:fill="FFFFFF"/>
        <w:spacing w:after="0" w:line="276" w:lineRule="auto"/>
        <w:rPr>
          <w:rFonts w:eastAsia="Times New Roman" w:cs="Arial"/>
          <w:color w:val="444444"/>
          <w:szCs w:val="20"/>
          <w:lang w:eastAsia="fr-FR"/>
        </w:rPr>
      </w:pPr>
    </w:p>
    <w:p w14:paraId="4CD919FB" w14:textId="09B17286" w:rsidR="00054128" w:rsidRPr="00D42B1B" w:rsidRDefault="00054128" w:rsidP="00054128">
      <w:pPr>
        <w:pStyle w:val="Titre2"/>
        <w:spacing w:before="0"/>
        <w:rPr>
          <w:rFonts w:eastAsiaTheme="minorHAnsi"/>
        </w:rPr>
      </w:pPr>
      <w:bookmarkStart w:id="85" w:name="_Toc233557821"/>
      <w:bookmarkStart w:id="86" w:name="_Toc233878695"/>
      <w:r w:rsidRPr="00D42B1B">
        <w:t xml:space="preserve">Riz - </w:t>
      </w:r>
      <w:r w:rsidRPr="00D42B1B">
        <w:rPr>
          <w:rFonts w:eastAsiaTheme="minorHAnsi"/>
        </w:rPr>
        <w:t>Le gou</w:t>
      </w:r>
      <w:r w:rsidRPr="00D42B1B">
        <w:rPr>
          <w:rFonts w:eastAsiaTheme="minorHAnsi"/>
        </w:rPr>
        <w:softHyphen/>
        <w:t>ver</w:t>
      </w:r>
      <w:r w:rsidRPr="00D42B1B">
        <w:rPr>
          <w:rFonts w:eastAsiaTheme="minorHAnsi"/>
        </w:rPr>
        <w:softHyphen/>
        <w:t>ne</w:t>
      </w:r>
      <w:r w:rsidRPr="00D42B1B">
        <w:rPr>
          <w:rFonts w:eastAsiaTheme="minorHAnsi"/>
        </w:rPr>
        <w:softHyphen/>
        <w:t>ment cible les petits exploi</w:t>
      </w:r>
      <w:r w:rsidRPr="00D42B1B">
        <w:rPr>
          <w:rFonts w:eastAsiaTheme="minorHAnsi"/>
        </w:rPr>
        <w:softHyphen/>
        <w:t>tants</w:t>
      </w:r>
      <w:bookmarkEnd w:id="85"/>
      <w:r w:rsidRPr="00D42B1B">
        <w:rPr>
          <w:rFonts w:eastAsiaTheme="minorHAnsi"/>
        </w:rPr>
        <w:t>.</w:t>
      </w:r>
      <w:bookmarkEnd w:id="86"/>
    </w:p>
    <w:p w14:paraId="1D7FCC09" w14:textId="16D778E1" w:rsidR="00054128" w:rsidRPr="00D42B1B" w:rsidRDefault="00054128" w:rsidP="00054128">
      <w:pPr>
        <w:spacing w:after="0"/>
        <w:rPr>
          <w:rFonts w:cs="Arial"/>
          <w:szCs w:val="20"/>
        </w:rPr>
      </w:pPr>
      <w:r w:rsidRPr="00D42B1B">
        <w:rPr>
          <w:rFonts w:cs="Arial"/>
          <w:szCs w:val="20"/>
        </w:rPr>
        <w:t>L’Agence pour le déve</w:t>
      </w:r>
      <w:r w:rsidRPr="00D42B1B">
        <w:rPr>
          <w:rFonts w:cs="Arial"/>
          <w:szCs w:val="20"/>
        </w:rPr>
        <w:softHyphen/>
        <w:t>lop</w:t>
      </w:r>
      <w:r w:rsidRPr="00D42B1B">
        <w:rPr>
          <w:rFonts w:cs="Arial"/>
          <w:szCs w:val="20"/>
        </w:rPr>
        <w:softHyphen/>
        <w:t>pe</w:t>
      </w:r>
      <w:r w:rsidRPr="00D42B1B">
        <w:rPr>
          <w:rFonts w:cs="Arial"/>
          <w:szCs w:val="20"/>
        </w:rPr>
        <w:softHyphen/>
        <w:t>ment de la filière riz (A</w:t>
      </w:r>
      <w:r w:rsidR="00263153" w:rsidRPr="00D42B1B">
        <w:rPr>
          <w:rFonts w:cs="Arial"/>
          <w:szCs w:val="20"/>
        </w:rPr>
        <w:t>DERIZ</w:t>
      </w:r>
      <w:r w:rsidRPr="00D42B1B">
        <w:rPr>
          <w:rFonts w:cs="Arial"/>
          <w:szCs w:val="20"/>
        </w:rPr>
        <w:t>) a orga</w:t>
      </w:r>
      <w:r w:rsidRPr="00D42B1B">
        <w:rPr>
          <w:rFonts w:cs="Arial"/>
          <w:szCs w:val="20"/>
        </w:rPr>
        <w:softHyphen/>
        <w:t>nisé le 19 juin un ate</w:t>
      </w:r>
      <w:r w:rsidRPr="00D42B1B">
        <w:rPr>
          <w:rFonts w:cs="Arial"/>
          <w:szCs w:val="20"/>
        </w:rPr>
        <w:softHyphen/>
        <w:t>lier de res</w:t>
      </w:r>
      <w:r w:rsidRPr="00D42B1B">
        <w:rPr>
          <w:rFonts w:cs="Arial"/>
          <w:szCs w:val="20"/>
        </w:rPr>
        <w:softHyphen/>
        <w:t>ti</w:t>
      </w:r>
      <w:r w:rsidRPr="00D42B1B">
        <w:rPr>
          <w:rFonts w:cs="Arial"/>
          <w:szCs w:val="20"/>
        </w:rPr>
        <w:softHyphen/>
        <w:t>tu</w:t>
      </w:r>
      <w:r w:rsidRPr="00D42B1B">
        <w:rPr>
          <w:rFonts w:cs="Arial"/>
          <w:szCs w:val="20"/>
        </w:rPr>
        <w:softHyphen/>
        <w:t>tion et de vali</w:t>
      </w:r>
      <w:r w:rsidRPr="00D42B1B">
        <w:rPr>
          <w:rFonts w:cs="Arial"/>
          <w:szCs w:val="20"/>
        </w:rPr>
        <w:softHyphen/>
        <w:t>da</w:t>
      </w:r>
      <w:r w:rsidRPr="00D42B1B">
        <w:rPr>
          <w:rFonts w:cs="Arial"/>
          <w:szCs w:val="20"/>
        </w:rPr>
        <w:softHyphen/>
        <w:t>tion de l’étude explo</w:t>
      </w:r>
      <w:r w:rsidRPr="00D42B1B">
        <w:rPr>
          <w:rFonts w:cs="Arial"/>
          <w:szCs w:val="20"/>
        </w:rPr>
        <w:softHyphen/>
        <w:t>ra</w:t>
      </w:r>
      <w:r w:rsidRPr="00D42B1B">
        <w:rPr>
          <w:rFonts w:cs="Arial"/>
          <w:szCs w:val="20"/>
        </w:rPr>
        <w:softHyphen/>
        <w:t>toire sur les approches de ciblage et d’inclu</w:t>
      </w:r>
      <w:r w:rsidRPr="00D42B1B">
        <w:rPr>
          <w:rFonts w:cs="Arial"/>
          <w:szCs w:val="20"/>
        </w:rPr>
        <w:softHyphen/>
        <w:t>sion des petits exploi</w:t>
      </w:r>
      <w:r w:rsidRPr="00D42B1B">
        <w:rPr>
          <w:rFonts w:cs="Arial"/>
          <w:szCs w:val="20"/>
        </w:rPr>
        <w:softHyphen/>
        <w:t>tants agri</w:t>
      </w:r>
      <w:r w:rsidRPr="00D42B1B">
        <w:rPr>
          <w:rFonts w:cs="Arial"/>
          <w:szCs w:val="20"/>
        </w:rPr>
        <w:softHyphen/>
        <w:t>coles dans la chaîne de valeur du riz en Côte d’Ivoire. L’objec</w:t>
      </w:r>
      <w:r w:rsidRPr="00D42B1B">
        <w:rPr>
          <w:rFonts w:cs="Arial"/>
          <w:szCs w:val="20"/>
        </w:rPr>
        <w:softHyphen/>
        <w:t>tif était de pré</w:t>
      </w:r>
      <w:r w:rsidRPr="00D42B1B">
        <w:rPr>
          <w:rFonts w:cs="Arial"/>
          <w:szCs w:val="20"/>
        </w:rPr>
        <w:softHyphen/>
        <w:t>sen</w:t>
      </w:r>
      <w:r w:rsidRPr="00D42B1B">
        <w:rPr>
          <w:rFonts w:cs="Arial"/>
          <w:szCs w:val="20"/>
        </w:rPr>
        <w:softHyphen/>
        <w:t>ter les résul</w:t>
      </w:r>
      <w:r w:rsidRPr="00D42B1B">
        <w:rPr>
          <w:rFonts w:cs="Arial"/>
          <w:szCs w:val="20"/>
        </w:rPr>
        <w:softHyphen/>
        <w:t>tats d’une étude menée par l’</w:t>
      </w:r>
      <w:r w:rsidR="00263153" w:rsidRPr="00D42B1B">
        <w:rPr>
          <w:rFonts w:cs="Arial"/>
          <w:szCs w:val="20"/>
        </w:rPr>
        <w:t>ADERIZ</w:t>
      </w:r>
      <w:r w:rsidRPr="00D42B1B">
        <w:rPr>
          <w:rFonts w:cs="Arial"/>
          <w:szCs w:val="20"/>
        </w:rPr>
        <w:t>, grâce à un appui du Fonds internatio</w:t>
      </w:r>
      <w:r w:rsidRPr="00D42B1B">
        <w:rPr>
          <w:rFonts w:cs="Arial"/>
          <w:szCs w:val="20"/>
        </w:rPr>
        <w:softHyphen/>
        <w:t>nal de déve</w:t>
      </w:r>
      <w:r w:rsidRPr="00D42B1B">
        <w:rPr>
          <w:rFonts w:cs="Arial"/>
          <w:szCs w:val="20"/>
        </w:rPr>
        <w:softHyphen/>
        <w:t>lop</w:t>
      </w:r>
      <w:r w:rsidRPr="00D42B1B">
        <w:rPr>
          <w:rFonts w:cs="Arial"/>
          <w:szCs w:val="20"/>
        </w:rPr>
        <w:softHyphen/>
        <w:t>pe</w:t>
      </w:r>
      <w:r w:rsidRPr="00D42B1B">
        <w:rPr>
          <w:rFonts w:cs="Arial"/>
          <w:szCs w:val="20"/>
        </w:rPr>
        <w:softHyphen/>
        <w:t>ment agri</w:t>
      </w:r>
      <w:r w:rsidRPr="00D42B1B">
        <w:rPr>
          <w:rFonts w:cs="Arial"/>
          <w:szCs w:val="20"/>
        </w:rPr>
        <w:softHyphen/>
        <w:t>cole (F</w:t>
      </w:r>
      <w:r w:rsidR="00263153" w:rsidRPr="00D42B1B">
        <w:rPr>
          <w:rFonts w:cs="Arial"/>
          <w:szCs w:val="20"/>
        </w:rPr>
        <w:t>IDA</w:t>
      </w:r>
      <w:r w:rsidRPr="00D42B1B">
        <w:rPr>
          <w:rFonts w:cs="Arial"/>
          <w:szCs w:val="20"/>
        </w:rPr>
        <w:t>), de dis</w:t>
      </w:r>
      <w:r w:rsidRPr="00D42B1B">
        <w:rPr>
          <w:rFonts w:cs="Arial"/>
          <w:szCs w:val="20"/>
        </w:rPr>
        <w:softHyphen/>
        <w:t>cu</w:t>
      </w:r>
      <w:r w:rsidRPr="00D42B1B">
        <w:rPr>
          <w:rFonts w:cs="Arial"/>
          <w:szCs w:val="20"/>
        </w:rPr>
        <w:softHyphen/>
        <w:t>ter et d’ana</w:t>
      </w:r>
      <w:r w:rsidRPr="00D42B1B">
        <w:rPr>
          <w:rFonts w:cs="Arial"/>
          <w:szCs w:val="20"/>
        </w:rPr>
        <w:softHyphen/>
        <w:t>ly</w:t>
      </w:r>
      <w:r w:rsidRPr="00D42B1B">
        <w:rPr>
          <w:rFonts w:cs="Arial"/>
          <w:szCs w:val="20"/>
        </w:rPr>
        <w:softHyphen/>
        <w:t>ser les options proposées, de recueillir les obser</w:t>
      </w:r>
      <w:r w:rsidRPr="00D42B1B">
        <w:rPr>
          <w:rFonts w:cs="Arial"/>
          <w:szCs w:val="20"/>
        </w:rPr>
        <w:softHyphen/>
        <w:t>va</w:t>
      </w:r>
      <w:r w:rsidRPr="00D42B1B">
        <w:rPr>
          <w:rFonts w:cs="Arial"/>
          <w:szCs w:val="20"/>
        </w:rPr>
        <w:softHyphen/>
        <w:t>tions et la contri</w:t>
      </w:r>
      <w:r w:rsidRPr="00D42B1B">
        <w:rPr>
          <w:rFonts w:cs="Arial"/>
          <w:szCs w:val="20"/>
        </w:rPr>
        <w:softHyphen/>
        <w:t>bu</w:t>
      </w:r>
      <w:r w:rsidRPr="00D42B1B">
        <w:rPr>
          <w:rFonts w:cs="Arial"/>
          <w:szCs w:val="20"/>
        </w:rPr>
        <w:softHyphen/>
        <w:t>tion des par</w:t>
      </w:r>
      <w:r w:rsidRPr="00D42B1B">
        <w:rPr>
          <w:rFonts w:cs="Arial"/>
          <w:szCs w:val="20"/>
        </w:rPr>
        <w:softHyphen/>
        <w:t>ties pre</w:t>
      </w:r>
      <w:r w:rsidRPr="00D42B1B">
        <w:rPr>
          <w:rFonts w:cs="Arial"/>
          <w:szCs w:val="20"/>
        </w:rPr>
        <w:softHyphen/>
        <w:t>nantes et de vali</w:t>
      </w:r>
      <w:r w:rsidRPr="00D42B1B">
        <w:rPr>
          <w:rFonts w:cs="Arial"/>
          <w:szCs w:val="20"/>
        </w:rPr>
        <w:softHyphen/>
        <w:t>der le rap</w:t>
      </w:r>
      <w:r w:rsidRPr="00D42B1B">
        <w:rPr>
          <w:rFonts w:cs="Arial"/>
          <w:szCs w:val="20"/>
        </w:rPr>
        <w:softHyphen/>
        <w:t>port de l’étude. La ren</w:t>
      </w:r>
      <w:r w:rsidRPr="00D42B1B">
        <w:rPr>
          <w:rFonts w:cs="Arial"/>
          <w:szCs w:val="20"/>
        </w:rPr>
        <w:softHyphen/>
        <w:t>contre a réuni une soixan</w:t>
      </w:r>
      <w:r w:rsidRPr="00D42B1B">
        <w:rPr>
          <w:rFonts w:cs="Arial"/>
          <w:szCs w:val="20"/>
        </w:rPr>
        <w:softHyphen/>
        <w:t>taine de par</w:t>
      </w:r>
      <w:r w:rsidRPr="00D42B1B">
        <w:rPr>
          <w:rFonts w:cs="Arial"/>
          <w:szCs w:val="20"/>
        </w:rPr>
        <w:softHyphen/>
        <w:t>ti</w:t>
      </w:r>
      <w:r w:rsidRPr="00D42B1B">
        <w:rPr>
          <w:rFonts w:cs="Arial"/>
          <w:szCs w:val="20"/>
        </w:rPr>
        <w:softHyphen/>
        <w:t>ci</w:t>
      </w:r>
      <w:r w:rsidRPr="00D42B1B">
        <w:rPr>
          <w:rFonts w:cs="Arial"/>
          <w:szCs w:val="20"/>
        </w:rPr>
        <w:softHyphen/>
        <w:t>pants, essen</w:t>
      </w:r>
      <w:r w:rsidRPr="00D42B1B">
        <w:rPr>
          <w:rFonts w:cs="Arial"/>
          <w:szCs w:val="20"/>
        </w:rPr>
        <w:softHyphen/>
        <w:t>tiel</w:t>
      </w:r>
      <w:r w:rsidRPr="00D42B1B">
        <w:rPr>
          <w:rFonts w:cs="Arial"/>
          <w:szCs w:val="20"/>
        </w:rPr>
        <w:softHyphen/>
        <w:t>le</w:t>
      </w:r>
      <w:r w:rsidRPr="00D42B1B">
        <w:rPr>
          <w:rFonts w:cs="Arial"/>
          <w:szCs w:val="20"/>
        </w:rPr>
        <w:softHyphen/>
        <w:t>ment les par</w:t>
      </w:r>
      <w:r w:rsidRPr="00D42B1B">
        <w:rPr>
          <w:rFonts w:cs="Arial"/>
          <w:szCs w:val="20"/>
        </w:rPr>
        <w:softHyphen/>
        <w:t>ties pre</w:t>
      </w:r>
      <w:r w:rsidRPr="00D42B1B">
        <w:rPr>
          <w:rFonts w:cs="Arial"/>
          <w:szCs w:val="20"/>
        </w:rPr>
        <w:softHyphen/>
        <w:t>nantes impli</w:t>
      </w:r>
      <w:r w:rsidRPr="00D42B1B">
        <w:rPr>
          <w:rFonts w:cs="Arial"/>
          <w:szCs w:val="20"/>
        </w:rPr>
        <w:softHyphen/>
        <w:t xml:space="preserve">quées dans la mise en </w:t>
      </w:r>
      <w:r w:rsidR="00263153" w:rsidRPr="00D42B1B">
        <w:rPr>
          <w:rFonts w:cs="Arial"/>
          <w:szCs w:val="20"/>
        </w:rPr>
        <w:t>œuvre</w:t>
      </w:r>
      <w:r w:rsidRPr="00D42B1B">
        <w:rPr>
          <w:rFonts w:cs="Arial"/>
          <w:szCs w:val="20"/>
        </w:rPr>
        <w:t xml:space="preserve"> de la Stratégie natio</w:t>
      </w:r>
      <w:r w:rsidRPr="00D42B1B">
        <w:rPr>
          <w:rFonts w:cs="Arial"/>
          <w:szCs w:val="20"/>
        </w:rPr>
        <w:softHyphen/>
        <w:t>nale de développement de la filière riz sur la période 2024-2030 (S</w:t>
      </w:r>
      <w:r w:rsidR="00263153" w:rsidRPr="00D42B1B">
        <w:rPr>
          <w:rFonts w:cs="Arial"/>
          <w:szCs w:val="20"/>
        </w:rPr>
        <w:t>NDR</w:t>
      </w:r>
      <w:r w:rsidRPr="00D42B1B">
        <w:rPr>
          <w:rFonts w:cs="Arial"/>
          <w:szCs w:val="20"/>
        </w:rPr>
        <w:t xml:space="preserve"> 2). Les conclu</w:t>
      </w:r>
      <w:r w:rsidRPr="00D42B1B">
        <w:rPr>
          <w:rFonts w:cs="Arial"/>
          <w:szCs w:val="20"/>
        </w:rPr>
        <w:softHyphen/>
        <w:t>sions de ce</w:t>
      </w:r>
      <w:r w:rsidR="00263153" w:rsidRPr="00D42B1B">
        <w:rPr>
          <w:rFonts w:cs="Arial"/>
          <w:szCs w:val="20"/>
        </w:rPr>
        <w:t>tte étude</w:t>
      </w:r>
      <w:r w:rsidRPr="00D42B1B">
        <w:rPr>
          <w:rFonts w:cs="Arial"/>
          <w:szCs w:val="20"/>
        </w:rPr>
        <w:t xml:space="preserve"> doivent per</w:t>
      </w:r>
      <w:r w:rsidRPr="00D42B1B">
        <w:rPr>
          <w:rFonts w:cs="Arial"/>
          <w:szCs w:val="20"/>
        </w:rPr>
        <w:softHyphen/>
        <w:t>mettre d’opti</w:t>
      </w:r>
      <w:r w:rsidRPr="00D42B1B">
        <w:rPr>
          <w:rFonts w:cs="Arial"/>
          <w:szCs w:val="20"/>
        </w:rPr>
        <w:softHyphen/>
        <w:t>mi</w:t>
      </w:r>
      <w:r w:rsidRPr="00D42B1B">
        <w:rPr>
          <w:rFonts w:cs="Arial"/>
          <w:szCs w:val="20"/>
        </w:rPr>
        <w:softHyphen/>
        <w:t>ser l’allo</w:t>
      </w:r>
      <w:r w:rsidRPr="00D42B1B">
        <w:rPr>
          <w:rFonts w:cs="Arial"/>
          <w:szCs w:val="20"/>
        </w:rPr>
        <w:softHyphen/>
        <w:t>ca</w:t>
      </w:r>
      <w:r w:rsidRPr="00D42B1B">
        <w:rPr>
          <w:rFonts w:cs="Arial"/>
          <w:szCs w:val="20"/>
        </w:rPr>
        <w:softHyphen/>
        <w:t>tion des res</w:t>
      </w:r>
      <w:r w:rsidRPr="00D42B1B">
        <w:rPr>
          <w:rFonts w:cs="Arial"/>
          <w:szCs w:val="20"/>
        </w:rPr>
        <w:softHyphen/>
        <w:t>sources en orien</w:t>
      </w:r>
      <w:r w:rsidRPr="00D42B1B">
        <w:rPr>
          <w:rFonts w:cs="Arial"/>
          <w:szCs w:val="20"/>
        </w:rPr>
        <w:softHyphen/>
        <w:t>tant les appuis vers les pro</w:t>
      </w:r>
      <w:r w:rsidRPr="00D42B1B">
        <w:rPr>
          <w:rFonts w:cs="Arial"/>
          <w:szCs w:val="20"/>
        </w:rPr>
        <w:softHyphen/>
        <w:t>duc</w:t>
      </w:r>
      <w:r w:rsidRPr="00D42B1B">
        <w:rPr>
          <w:rFonts w:cs="Arial"/>
          <w:szCs w:val="20"/>
        </w:rPr>
        <w:softHyphen/>
        <w:t>teurs qui en ont le plus besoin</w:t>
      </w:r>
      <w:r w:rsidR="00263153" w:rsidRPr="00D42B1B">
        <w:rPr>
          <w:rFonts w:cs="Arial"/>
          <w:szCs w:val="20"/>
        </w:rPr>
        <w:t xml:space="preserve">, </w:t>
      </w:r>
      <w:r w:rsidRPr="00D42B1B">
        <w:rPr>
          <w:rFonts w:cs="Arial"/>
          <w:szCs w:val="20"/>
        </w:rPr>
        <w:t>de lever les gou</w:t>
      </w:r>
      <w:r w:rsidRPr="00D42B1B">
        <w:rPr>
          <w:rFonts w:cs="Arial"/>
          <w:szCs w:val="20"/>
        </w:rPr>
        <w:softHyphen/>
        <w:t>lots d’étran</w:t>
      </w:r>
      <w:r w:rsidRPr="00D42B1B">
        <w:rPr>
          <w:rFonts w:cs="Arial"/>
          <w:szCs w:val="20"/>
        </w:rPr>
        <w:softHyphen/>
        <w:t>gle</w:t>
      </w:r>
      <w:r w:rsidRPr="00D42B1B">
        <w:rPr>
          <w:rFonts w:cs="Arial"/>
          <w:szCs w:val="20"/>
        </w:rPr>
        <w:softHyphen/>
        <w:t>ment qui freinent la produc</w:t>
      </w:r>
      <w:r w:rsidRPr="00D42B1B">
        <w:rPr>
          <w:rFonts w:cs="Arial"/>
          <w:szCs w:val="20"/>
        </w:rPr>
        <w:softHyphen/>
        <w:t>ti</w:t>
      </w:r>
      <w:r w:rsidRPr="00D42B1B">
        <w:rPr>
          <w:rFonts w:cs="Arial"/>
          <w:szCs w:val="20"/>
        </w:rPr>
        <w:softHyphen/>
        <w:t>vité des rizi</w:t>
      </w:r>
      <w:r w:rsidRPr="00D42B1B">
        <w:rPr>
          <w:rFonts w:cs="Arial"/>
          <w:szCs w:val="20"/>
        </w:rPr>
        <w:softHyphen/>
        <w:t>cul</w:t>
      </w:r>
      <w:r w:rsidRPr="00D42B1B">
        <w:rPr>
          <w:rFonts w:cs="Arial"/>
          <w:szCs w:val="20"/>
        </w:rPr>
        <w:softHyphen/>
        <w:t>teurs et de créer une syner</w:t>
      </w:r>
      <w:r w:rsidRPr="00D42B1B">
        <w:rPr>
          <w:rFonts w:cs="Arial"/>
          <w:szCs w:val="20"/>
        </w:rPr>
        <w:softHyphen/>
        <w:t>gie durable entre les petits pro</w:t>
      </w:r>
      <w:r w:rsidRPr="00D42B1B">
        <w:rPr>
          <w:rFonts w:cs="Arial"/>
          <w:szCs w:val="20"/>
        </w:rPr>
        <w:softHyphen/>
        <w:t>duc</w:t>
      </w:r>
      <w:r w:rsidRPr="00D42B1B">
        <w:rPr>
          <w:rFonts w:cs="Arial"/>
          <w:szCs w:val="20"/>
        </w:rPr>
        <w:softHyphen/>
        <w:t>teurs, les trans</w:t>
      </w:r>
      <w:r w:rsidRPr="00D42B1B">
        <w:rPr>
          <w:rFonts w:cs="Arial"/>
          <w:szCs w:val="20"/>
        </w:rPr>
        <w:softHyphen/>
        <w:t>for</w:t>
      </w:r>
      <w:r w:rsidRPr="00D42B1B">
        <w:rPr>
          <w:rFonts w:cs="Arial"/>
          <w:szCs w:val="20"/>
        </w:rPr>
        <w:softHyphen/>
        <w:t>ma</w:t>
      </w:r>
      <w:r w:rsidRPr="00D42B1B">
        <w:rPr>
          <w:rFonts w:cs="Arial"/>
          <w:szCs w:val="20"/>
        </w:rPr>
        <w:softHyphen/>
        <w:t>teurs agré</w:t>
      </w:r>
      <w:r w:rsidRPr="00D42B1B">
        <w:rPr>
          <w:rFonts w:cs="Arial"/>
          <w:szCs w:val="20"/>
        </w:rPr>
        <w:softHyphen/>
        <w:t>ga</w:t>
      </w:r>
      <w:r w:rsidRPr="00D42B1B">
        <w:rPr>
          <w:rFonts w:cs="Arial"/>
          <w:szCs w:val="20"/>
        </w:rPr>
        <w:softHyphen/>
        <w:t>teurs et les dis</w:t>
      </w:r>
      <w:r w:rsidRPr="00D42B1B">
        <w:rPr>
          <w:rFonts w:cs="Arial"/>
          <w:szCs w:val="20"/>
        </w:rPr>
        <w:softHyphen/>
        <w:t>tri</w:t>
      </w:r>
      <w:r w:rsidRPr="00D42B1B">
        <w:rPr>
          <w:rFonts w:cs="Arial"/>
          <w:szCs w:val="20"/>
        </w:rPr>
        <w:softHyphen/>
        <w:t>bu</w:t>
      </w:r>
      <w:r w:rsidRPr="00D42B1B">
        <w:rPr>
          <w:rFonts w:cs="Arial"/>
          <w:szCs w:val="20"/>
        </w:rPr>
        <w:softHyphen/>
        <w:t>teur</w:t>
      </w:r>
      <w:r w:rsidR="00263153" w:rsidRPr="00D42B1B">
        <w:rPr>
          <w:rFonts w:cs="Arial"/>
          <w:szCs w:val="20"/>
        </w:rPr>
        <w:t>s. L</w:t>
      </w:r>
      <w:r w:rsidRPr="00D42B1B">
        <w:rPr>
          <w:rFonts w:cs="Arial"/>
          <w:szCs w:val="20"/>
        </w:rPr>
        <w:t>’inclu</w:t>
      </w:r>
      <w:r w:rsidRPr="00D42B1B">
        <w:rPr>
          <w:rFonts w:cs="Arial"/>
          <w:szCs w:val="20"/>
        </w:rPr>
        <w:softHyphen/>
        <w:t>sion des petits pro</w:t>
      </w:r>
      <w:r w:rsidRPr="00D42B1B">
        <w:rPr>
          <w:rFonts w:cs="Arial"/>
          <w:szCs w:val="20"/>
        </w:rPr>
        <w:softHyphen/>
        <w:t>duc</w:t>
      </w:r>
      <w:r w:rsidRPr="00D42B1B">
        <w:rPr>
          <w:rFonts w:cs="Arial"/>
          <w:szCs w:val="20"/>
        </w:rPr>
        <w:softHyphen/>
        <w:t xml:space="preserve">teurs </w:t>
      </w:r>
      <w:r w:rsidR="00263153" w:rsidRPr="00D42B1B">
        <w:rPr>
          <w:rFonts w:cs="Arial"/>
          <w:szCs w:val="20"/>
        </w:rPr>
        <w:t xml:space="preserve">doit permettre de </w:t>
      </w:r>
      <w:r w:rsidRPr="00D42B1B">
        <w:rPr>
          <w:rFonts w:cs="Arial"/>
          <w:szCs w:val="20"/>
        </w:rPr>
        <w:t>garan</w:t>
      </w:r>
      <w:r w:rsidRPr="00D42B1B">
        <w:rPr>
          <w:rFonts w:cs="Arial"/>
          <w:szCs w:val="20"/>
        </w:rPr>
        <w:softHyphen/>
        <w:t>tir la sécu</w:t>
      </w:r>
      <w:r w:rsidRPr="00D42B1B">
        <w:rPr>
          <w:rFonts w:cs="Arial"/>
          <w:szCs w:val="20"/>
        </w:rPr>
        <w:softHyphen/>
        <w:t>rité ali</w:t>
      </w:r>
      <w:r w:rsidRPr="00D42B1B">
        <w:rPr>
          <w:rFonts w:cs="Arial"/>
          <w:szCs w:val="20"/>
        </w:rPr>
        <w:softHyphen/>
        <w:t>men</w:t>
      </w:r>
      <w:r w:rsidRPr="00D42B1B">
        <w:rPr>
          <w:rFonts w:cs="Arial"/>
          <w:szCs w:val="20"/>
        </w:rPr>
        <w:softHyphen/>
        <w:t>taire</w:t>
      </w:r>
      <w:r w:rsidR="00263153" w:rsidRPr="00D42B1B">
        <w:rPr>
          <w:rFonts w:cs="Arial"/>
          <w:szCs w:val="20"/>
        </w:rPr>
        <w:t xml:space="preserve"> alors qu’</w:t>
      </w:r>
      <w:r w:rsidRPr="00D42B1B">
        <w:rPr>
          <w:rFonts w:cs="Arial"/>
          <w:szCs w:val="20"/>
        </w:rPr>
        <w:t>ils res</w:t>
      </w:r>
      <w:r w:rsidRPr="00D42B1B">
        <w:rPr>
          <w:rFonts w:cs="Arial"/>
          <w:szCs w:val="20"/>
        </w:rPr>
        <w:softHyphen/>
        <w:t>tent encore en marge des cir</w:t>
      </w:r>
      <w:r w:rsidRPr="00D42B1B">
        <w:rPr>
          <w:rFonts w:cs="Arial"/>
          <w:szCs w:val="20"/>
        </w:rPr>
        <w:softHyphen/>
        <w:t>cuits finan</w:t>
      </w:r>
      <w:r w:rsidRPr="00D42B1B">
        <w:rPr>
          <w:rFonts w:cs="Arial"/>
          <w:szCs w:val="20"/>
        </w:rPr>
        <w:softHyphen/>
        <w:t>ciers for</w:t>
      </w:r>
      <w:r w:rsidRPr="00D42B1B">
        <w:rPr>
          <w:rFonts w:cs="Arial"/>
          <w:szCs w:val="20"/>
        </w:rPr>
        <w:softHyphen/>
        <w:t>mels, man</w:t>
      </w:r>
      <w:r w:rsidRPr="00D42B1B">
        <w:rPr>
          <w:rFonts w:cs="Arial"/>
          <w:szCs w:val="20"/>
        </w:rPr>
        <w:softHyphen/>
        <w:t>quant d’accès aux entrants de qua</w:t>
      </w:r>
      <w:r w:rsidRPr="00D42B1B">
        <w:rPr>
          <w:rFonts w:cs="Arial"/>
          <w:szCs w:val="20"/>
        </w:rPr>
        <w:softHyphen/>
        <w:t>lité, aux tech</w:t>
      </w:r>
      <w:r w:rsidRPr="00D42B1B">
        <w:rPr>
          <w:rFonts w:cs="Arial"/>
          <w:szCs w:val="20"/>
        </w:rPr>
        <w:softHyphen/>
        <w:t>no</w:t>
      </w:r>
      <w:r w:rsidRPr="00D42B1B">
        <w:rPr>
          <w:rFonts w:cs="Arial"/>
          <w:szCs w:val="20"/>
        </w:rPr>
        <w:softHyphen/>
        <w:t>lo</w:t>
      </w:r>
      <w:r w:rsidRPr="00D42B1B">
        <w:rPr>
          <w:rFonts w:cs="Arial"/>
          <w:szCs w:val="20"/>
        </w:rPr>
        <w:softHyphen/>
        <w:t>gies modernes et aux mar</w:t>
      </w:r>
      <w:r w:rsidRPr="00D42B1B">
        <w:rPr>
          <w:rFonts w:cs="Arial"/>
          <w:szCs w:val="20"/>
        </w:rPr>
        <w:softHyphen/>
        <w:t>chés rému</w:t>
      </w:r>
      <w:r w:rsidRPr="00D42B1B">
        <w:rPr>
          <w:rFonts w:cs="Arial"/>
          <w:szCs w:val="20"/>
        </w:rPr>
        <w:softHyphen/>
        <w:t>né</w:t>
      </w:r>
      <w:r w:rsidRPr="00D42B1B">
        <w:rPr>
          <w:rFonts w:cs="Arial"/>
          <w:szCs w:val="20"/>
        </w:rPr>
        <w:softHyphen/>
        <w:t>ra</w:t>
      </w:r>
      <w:r w:rsidRPr="00D42B1B">
        <w:rPr>
          <w:rFonts w:cs="Arial"/>
          <w:szCs w:val="20"/>
        </w:rPr>
        <w:softHyphen/>
        <w:t>teurs</w:t>
      </w:r>
      <w:r w:rsidR="00263153" w:rsidRPr="00D42B1B">
        <w:rPr>
          <w:rFonts w:cs="Arial"/>
          <w:szCs w:val="20"/>
        </w:rPr>
        <w:t xml:space="preserve">. </w:t>
      </w:r>
      <w:r w:rsidRPr="00D42B1B">
        <w:rPr>
          <w:rFonts w:cs="Arial"/>
          <w:szCs w:val="20"/>
        </w:rPr>
        <w:t>Mal</w:t>
      </w:r>
      <w:r w:rsidRPr="00D42B1B">
        <w:rPr>
          <w:rFonts w:cs="Arial"/>
          <w:szCs w:val="20"/>
        </w:rPr>
        <w:softHyphen/>
        <w:t>gré les pro</w:t>
      </w:r>
      <w:r w:rsidRPr="00D42B1B">
        <w:rPr>
          <w:rFonts w:cs="Arial"/>
          <w:szCs w:val="20"/>
        </w:rPr>
        <w:softHyphen/>
        <w:t>grès enre</w:t>
      </w:r>
      <w:r w:rsidRPr="00D42B1B">
        <w:rPr>
          <w:rFonts w:cs="Arial"/>
          <w:szCs w:val="20"/>
        </w:rPr>
        <w:softHyphen/>
        <w:t>gis</w:t>
      </w:r>
      <w:r w:rsidRPr="00D42B1B">
        <w:rPr>
          <w:rFonts w:cs="Arial"/>
          <w:szCs w:val="20"/>
        </w:rPr>
        <w:softHyphen/>
        <w:t>trés ces der</w:t>
      </w:r>
      <w:r w:rsidRPr="00D42B1B">
        <w:rPr>
          <w:rFonts w:cs="Arial"/>
          <w:szCs w:val="20"/>
        </w:rPr>
        <w:softHyphen/>
        <w:t>nières années, de nom</w:t>
      </w:r>
      <w:r w:rsidRPr="00D42B1B">
        <w:rPr>
          <w:rFonts w:cs="Arial"/>
          <w:szCs w:val="20"/>
        </w:rPr>
        <w:softHyphen/>
        <w:t>breux petits pro</w:t>
      </w:r>
      <w:r w:rsidRPr="00D42B1B">
        <w:rPr>
          <w:rFonts w:cs="Arial"/>
          <w:szCs w:val="20"/>
        </w:rPr>
        <w:softHyphen/>
        <w:t>duc</w:t>
      </w:r>
      <w:r w:rsidRPr="00D42B1B">
        <w:rPr>
          <w:rFonts w:cs="Arial"/>
          <w:szCs w:val="20"/>
        </w:rPr>
        <w:softHyphen/>
        <w:t>teurs conti</w:t>
      </w:r>
      <w:r w:rsidRPr="00D42B1B">
        <w:rPr>
          <w:rFonts w:cs="Arial"/>
          <w:szCs w:val="20"/>
        </w:rPr>
        <w:softHyphen/>
        <w:t>nuent de faire face à des dif</w:t>
      </w:r>
      <w:r w:rsidRPr="00D42B1B">
        <w:rPr>
          <w:rFonts w:cs="Arial"/>
          <w:szCs w:val="20"/>
        </w:rPr>
        <w:softHyphen/>
        <w:t>fi</w:t>
      </w:r>
      <w:r w:rsidRPr="00D42B1B">
        <w:rPr>
          <w:rFonts w:cs="Arial"/>
          <w:szCs w:val="20"/>
        </w:rPr>
        <w:softHyphen/>
        <w:t>cul</w:t>
      </w:r>
      <w:r w:rsidRPr="00D42B1B">
        <w:rPr>
          <w:rFonts w:cs="Arial"/>
          <w:szCs w:val="20"/>
        </w:rPr>
        <w:softHyphen/>
        <w:t>tés d’accès aux terres, aux intrants, au finan</w:t>
      </w:r>
      <w:r w:rsidRPr="00D42B1B">
        <w:rPr>
          <w:rFonts w:cs="Arial"/>
          <w:szCs w:val="20"/>
        </w:rPr>
        <w:softHyphen/>
        <w:t>ce</w:t>
      </w:r>
      <w:r w:rsidRPr="00D42B1B">
        <w:rPr>
          <w:rFonts w:cs="Arial"/>
          <w:szCs w:val="20"/>
        </w:rPr>
        <w:softHyphen/>
        <w:t>ment, aux inno</w:t>
      </w:r>
      <w:r w:rsidRPr="00D42B1B">
        <w:rPr>
          <w:rFonts w:cs="Arial"/>
          <w:szCs w:val="20"/>
        </w:rPr>
        <w:softHyphen/>
        <w:t>va</w:t>
      </w:r>
      <w:r w:rsidRPr="00D42B1B">
        <w:rPr>
          <w:rFonts w:cs="Arial"/>
          <w:szCs w:val="20"/>
        </w:rPr>
        <w:softHyphen/>
        <w:t>tion tech</w:t>
      </w:r>
      <w:r w:rsidRPr="00D42B1B">
        <w:rPr>
          <w:rFonts w:cs="Arial"/>
          <w:szCs w:val="20"/>
        </w:rPr>
        <w:softHyphen/>
        <w:t>niques et aux mar</w:t>
      </w:r>
      <w:r w:rsidRPr="00D42B1B">
        <w:rPr>
          <w:rFonts w:cs="Arial"/>
          <w:szCs w:val="20"/>
        </w:rPr>
        <w:softHyphen/>
        <w:t>chés</w:t>
      </w:r>
      <w:r w:rsidR="00263153" w:rsidRPr="00D42B1B">
        <w:rPr>
          <w:rFonts w:cs="Arial"/>
          <w:szCs w:val="20"/>
        </w:rPr>
        <w:t>. L</w:t>
      </w:r>
      <w:r w:rsidRPr="00D42B1B">
        <w:rPr>
          <w:rFonts w:cs="Arial"/>
          <w:szCs w:val="20"/>
        </w:rPr>
        <w:t>es résul</w:t>
      </w:r>
      <w:r w:rsidRPr="00D42B1B">
        <w:rPr>
          <w:rFonts w:cs="Arial"/>
          <w:szCs w:val="20"/>
        </w:rPr>
        <w:softHyphen/>
        <w:t xml:space="preserve">tats de l’étude </w:t>
      </w:r>
      <w:r w:rsidR="00263153" w:rsidRPr="00D42B1B">
        <w:rPr>
          <w:rFonts w:cs="Arial"/>
          <w:szCs w:val="20"/>
        </w:rPr>
        <w:t xml:space="preserve">doivent </w:t>
      </w:r>
      <w:r w:rsidRPr="00D42B1B">
        <w:rPr>
          <w:rFonts w:cs="Arial"/>
          <w:szCs w:val="20"/>
        </w:rPr>
        <w:t>permet</w:t>
      </w:r>
      <w:r w:rsidRPr="00D42B1B">
        <w:rPr>
          <w:rFonts w:cs="Arial"/>
          <w:szCs w:val="20"/>
        </w:rPr>
        <w:softHyphen/>
        <w:t>tr</w:t>
      </w:r>
      <w:r w:rsidR="00263153" w:rsidRPr="00D42B1B">
        <w:rPr>
          <w:rFonts w:cs="Arial"/>
          <w:szCs w:val="20"/>
        </w:rPr>
        <w:t>e</w:t>
      </w:r>
      <w:r w:rsidRPr="00D42B1B">
        <w:rPr>
          <w:rFonts w:cs="Arial"/>
          <w:szCs w:val="20"/>
        </w:rPr>
        <w:t xml:space="preserve"> de mieux carac</w:t>
      </w:r>
      <w:r w:rsidRPr="00D42B1B">
        <w:rPr>
          <w:rFonts w:cs="Arial"/>
          <w:szCs w:val="20"/>
        </w:rPr>
        <w:softHyphen/>
        <w:t>té</w:t>
      </w:r>
      <w:r w:rsidRPr="00D42B1B">
        <w:rPr>
          <w:rFonts w:cs="Arial"/>
          <w:szCs w:val="20"/>
        </w:rPr>
        <w:softHyphen/>
        <w:t>ri</w:t>
      </w:r>
      <w:r w:rsidRPr="00D42B1B">
        <w:rPr>
          <w:rFonts w:cs="Arial"/>
          <w:szCs w:val="20"/>
        </w:rPr>
        <w:softHyphen/>
        <w:t>ser les dif</w:t>
      </w:r>
      <w:r w:rsidRPr="00D42B1B">
        <w:rPr>
          <w:rFonts w:cs="Arial"/>
          <w:szCs w:val="20"/>
        </w:rPr>
        <w:softHyphen/>
        <w:t>fé</w:t>
      </w:r>
      <w:r w:rsidRPr="00D42B1B">
        <w:rPr>
          <w:rFonts w:cs="Arial"/>
          <w:szCs w:val="20"/>
        </w:rPr>
        <w:softHyphen/>
        <w:t>rentes caté</w:t>
      </w:r>
      <w:r w:rsidRPr="00D42B1B">
        <w:rPr>
          <w:rFonts w:cs="Arial"/>
          <w:szCs w:val="20"/>
        </w:rPr>
        <w:softHyphen/>
        <w:t>go</w:t>
      </w:r>
      <w:r w:rsidRPr="00D42B1B">
        <w:rPr>
          <w:rFonts w:cs="Arial"/>
          <w:szCs w:val="20"/>
        </w:rPr>
        <w:softHyphen/>
        <w:t>ries de pro</w:t>
      </w:r>
      <w:r w:rsidRPr="00D42B1B">
        <w:rPr>
          <w:rFonts w:cs="Arial"/>
          <w:szCs w:val="20"/>
        </w:rPr>
        <w:softHyphen/>
        <w:t>duc</w:t>
      </w:r>
      <w:r w:rsidRPr="00D42B1B">
        <w:rPr>
          <w:rFonts w:cs="Arial"/>
          <w:szCs w:val="20"/>
        </w:rPr>
        <w:softHyphen/>
        <w:t>teurs, d’ana</w:t>
      </w:r>
      <w:r w:rsidRPr="00D42B1B">
        <w:rPr>
          <w:rFonts w:cs="Arial"/>
          <w:szCs w:val="20"/>
        </w:rPr>
        <w:softHyphen/>
        <w:t>ly</w:t>
      </w:r>
      <w:r w:rsidRPr="00D42B1B">
        <w:rPr>
          <w:rFonts w:cs="Arial"/>
          <w:szCs w:val="20"/>
        </w:rPr>
        <w:softHyphen/>
        <w:t>ser les facteurs de vul</w:t>
      </w:r>
      <w:r w:rsidRPr="00D42B1B">
        <w:rPr>
          <w:rFonts w:cs="Arial"/>
          <w:szCs w:val="20"/>
        </w:rPr>
        <w:softHyphen/>
        <w:t>né</w:t>
      </w:r>
      <w:r w:rsidRPr="00D42B1B">
        <w:rPr>
          <w:rFonts w:cs="Arial"/>
          <w:szCs w:val="20"/>
        </w:rPr>
        <w:softHyphen/>
        <w:t>ra</w:t>
      </w:r>
      <w:r w:rsidRPr="00D42B1B">
        <w:rPr>
          <w:rFonts w:cs="Arial"/>
          <w:szCs w:val="20"/>
        </w:rPr>
        <w:softHyphen/>
        <w:t>bi</w:t>
      </w:r>
      <w:r w:rsidRPr="00D42B1B">
        <w:rPr>
          <w:rFonts w:cs="Arial"/>
          <w:szCs w:val="20"/>
        </w:rPr>
        <w:softHyphen/>
        <w:t>lité, d’éva</w:t>
      </w:r>
      <w:r w:rsidRPr="00D42B1B">
        <w:rPr>
          <w:rFonts w:cs="Arial"/>
          <w:szCs w:val="20"/>
        </w:rPr>
        <w:softHyphen/>
        <w:t>luer les approches actuel</w:t>
      </w:r>
      <w:r w:rsidRPr="00D42B1B">
        <w:rPr>
          <w:rFonts w:cs="Arial"/>
          <w:szCs w:val="20"/>
        </w:rPr>
        <w:softHyphen/>
        <w:t>le</w:t>
      </w:r>
      <w:r w:rsidRPr="00D42B1B">
        <w:rPr>
          <w:rFonts w:cs="Arial"/>
          <w:szCs w:val="20"/>
        </w:rPr>
        <w:softHyphen/>
        <w:t>ment uti</w:t>
      </w:r>
      <w:r w:rsidRPr="00D42B1B">
        <w:rPr>
          <w:rFonts w:cs="Arial"/>
          <w:szCs w:val="20"/>
        </w:rPr>
        <w:softHyphen/>
        <w:t>li</w:t>
      </w:r>
      <w:r w:rsidRPr="00D42B1B">
        <w:rPr>
          <w:rFonts w:cs="Arial"/>
          <w:szCs w:val="20"/>
        </w:rPr>
        <w:softHyphen/>
        <w:t>sées et de pro</w:t>
      </w:r>
      <w:r w:rsidRPr="00D42B1B">
        <w:rPr>
          <w:rFonts w:cs="Arial"/>
          <w:szCs w:val="20"/>
        </w:rPr>
        <w:softHyphen/>
        <w:t>po</w:t>
      </w:r>
      <w:r w:rsidRPr="00D42B1B">
        <w:rPr>
          <w:rFonts w:cs="Arial"/>
          <w:szCs w:val="20"/>
        </w:rPr>
        <w:softHyphen/>
        <w:t>ser des méca</w:t>
      </w:r>
      <w:r w:rsidRPr="00D42B1B">
        <w:rPr>
          <w:rFonts w:cs="Arial"/>
          <w:szCs w:val="20"/>
        </w:rPr>
        <w:softHyphen/>
        <w:t>nismes inno</w:t>
      </w:r>
      <w:r w:rsidRPr="00D42B1B">
        <w:rPr>
          <w:rFonts w:cs="Arial"/>
          <w:szCs w:val="20"/>
        </w:rPr>
        <w:softHyphen/>
        <w:t>vants de ciblage, com</w:t>
      </w:r>
      <w:r w:rsidRPr="00D42B1B">
        <w:rPr>
          <w:rFonts w:cs="Arial"/>
          <w:szCs w:val="20"/>
        </w:rPr>
        <w:softHyphen/>
        <w:t>bi</w:t>
      </w:r>
      <w:r w:rsidRPr="00D42B1B">
        <w:rPr>
          <w:rFonts w:cs="Arial"/>
          <w:szCs w:val="20"/>
        </w:rPr>
        <w:softHyphen/>
        <w:t>nant des cri</w:t>
      </w:r>
      <w:r w:rsidRPr="00D42B1B">
        <w:rPr>
          <w:rFonts w:cs="Arial"/>
          <w:szCs w:val="20"/>
        </w:rPr>
        <w:softHyphen/>
        <w:t>tères tech</w:t>
      </w:r>
      <w:r w:rsidRPr="00D42B1B">
        <w:rPr>
          <w:rFonts w:cs="Arial"/>
          <w:szCs w:val="20"/>
        </w:rPr>
        <w:softHyphen/>
        <w:t>niques, socio-éco</w:t>
      </w:r>
      <w:r w:rsidRPr="00D42B1B">
        <w:rPr>
          <w:rFonts w:cs="Arial"/>
          <w:szCs w:val="20"/>
        </w:rPr>
        <w:softHyphen/>
        <w:t>no</w:t>
      </w:r>
      <w:r w:rsidRPr="00D42B1B">
        <w:rPr>
          <w:rFonts w:cs="Arial"/>
          <w:szCs w:val="20"/>
        </w:rPr>
        <w:softHyphen/>
        <w:t>miques et com</w:t>
      </w:r>
      <w:r w:rsidRPr="00D42B1B">
        <w:rPr>
          <w:rFonts w:cs="Arial"/>
          <w:szCs w:val="20"/>
        </w:rPr>
        <w:softHyphen/>
        <w:t>mu</w:t>
      </w:r>
      <w:r w:rsidRPr="00D42B1B">
        <w:rPr>
          <w:rFonts w:cs="Arial"/>
          <w:szCs w:val="20"/>
        </w:rPr>
        <w:softHyphen/>
        <w:t>nau</w:t>
      </w:r>
      <w:r w:rsidRPr="00D42B1B">
        <w:rPr>
          <w:rFonts w:cs="Arial"/>
          <w:szCs w:val="20"/>
        </w:rPr>
        <w:softHyphen/>
        <w:t>taires. Ils per</w:t>
      </w:r>
      <w:r w:rsidRPr="00D42B1B">
        <w:rPr>
          <w:rFonts w:cs="Arial"/>
          <w:szCs w:val="20"/>
        </w:rPr>
        <w:softHyphen/>
        <w:t>met</w:t>
      </w:r>
      <w:r w:rsidRPr="00D42B1B">
        <w:rPr>
          <w:rFonts w:cs="Arial"/>
          <w:szCs w:val="20"/>
        </w:rPr>
        <w:softHyphen/>
        <w:t>tront éga</w:t>
      </w:r>
      <w:r w:rsidRPr="00D42B1B">
        <w:rPr>
          <w:rFonts w:cs="Arial"/>
          <w:szCs w:val="20"/>
        </w:rPr>
        <w:softHyphen/>
        <w:t>le</w:t>
      </w:r>
      <w:r w:rsidRPr="00D42B1B">
        <w:rPr>
          <w:rFonts w:cs="Arial"/>
          <w:szCs w:val="20"/>
        </w:rPr>
        <w:softHyphen/>
        <w:t>ment de mettre en place une base de don</w:t>
      </w:r>
      <w:r w:rsidRPr="00D42B1B">
        <w:rPr>
          <w:rFonts w:cs="Arial"/>
          <w:szCs w:val="20"/>
        </w:rPr>
        <w:softHyphen/>
        <w:t xml:space="preserve">nées fiable </w:t>
      </w:r>
      <w:r w:rsidRPr="00D42B1B">
        <w:rPr>
          <w:rFonts w:cs="Arial"/>
          <w:szCs w:val="20"/>
        </w:rPr>
        <w:lastRenderedPageBreak/>
        <w:t>des pro</w:t>
      </w:r>
      <w:r w:rsidRPr="00D42B1B">
        <w:rPr>
          <w:rFonts w:cs="Arial"/>
          <w:szCs w:val="20"/>
        </w:rPr>
        <w:softHyphen/>
        <w:t>duc</w:t>
      </w:r>
      <w:r w:rsidRPr="00D42B1B">
        <w:rPr>
          <w:rFonts w:cs="Arial"/>
          <w:szCs w:val="20"/>
        </w:rPr>
        <w:softHyphen/>
        <w:t>teurs, afin d’amé</w:t>
      </w:r>
      <w:r w:rsidRPr="00D42B1B">
        <w:rPr>
          <w:rFonts w:cs="Arial"/>
          <w:szCs w:val="20"/>
        </w:rPr>
        <w:softHyphen/>
        <w:t>lio</w:t>
      </w:r>
      <w:r w:rsidRPr="00D42B1B">
        <w:rPr>
          <w:rFonts w:cs="Arial"/>
          <w:szCs w:val="20"/>
        </w:rPr>
        <w:softHyphen/>
        <w:t>rer dura</w:t>
      </w:r>
      <w:r w:rsidRPr="00D42B1B">
        <w:rPr>
          <w:rFonts w:cs="Arial"/>
          <w:szCs w:val="20"/>
        </w:rPr>
        <w:softHyphen/>
        <w:t>ble</w:t>
      </w:r>
      <w:r w:rsidRPr="00D42B1B">
        <w:rPr>
          <w:rFonts w:cs="Arial"/>
          <w:szCs w:val="20"/>
        </w:rPr>
        <w:softHyphen/>
        <w:t>ment l’effi</w:t>
      </w:r>
      <w:r w:rsidRPr="00D42B1B">
        <w:rPr>
          <w:rFonts w:cs="Arial"/>
          <w:szCs w:val="20"/>
        </w:rPr>
        <w:softHyphen/>
        <w:t>ca</w:t>
      </w:r>
      <w:r w:rsidRPr="00D42B1B">
        <w:rPr>
          <w:rFonts w:cs="Arial"/>
          <w:szCs w:val="20"/>
        </w:rPr>
        <w:softHyphen/>
        <w:t>cité des inter</w:t>
      </w:r>
      <w:r w:rsidRPr="00D42B1B">
        <w:rPr>
          <w:rFonts w:cs="Arial"/>
          <w:szCs w:val="20"/>
        </w:rPr>
        <w:softHyphen/>
        <w:t>ven</w:t>
      </w:r>
      <w:r w:rsidRPr="00D42B1B">
        <w:rPr>
          <w:rFonts w:cs="Arial"/>
          <w:szCs w:val="20"/>
        </w:rPr>
        <w:softHyphen/>
        <w:t>tions publiques et des par</w:t>
      </w:r>
      <w:r w:rsidRPr="00D42B1B">
        <w:rPr>
          <w:rFonts w:cs="Arial"/>
          <w:szCs w:val="20"/>
        </w:rPr>
        <w:softHyphen/>
        <w:t>te</w:t>
      </w:r>
      <w:r w:rsidRPr="00D42B1B">
        <w:rPr>
          <w:rFonts w:cs="Arial"/>
          <w:szCs w:val="20"/>
        </w:rPr>
        <w:softHyphen/>
        <w:t xml:space="preserve">naires. </w:t>
      </w:r>
      <w:r w:rsidR="00115943" w:rsidRPr="00D42B1B">
        <w:rPr>
          <w:rFonts w:cs="Arial"/>
          <w:szCs w:val="20"/>
        </w:rPr>
        <w:t>S</w:t>
      </w:r>
      <w:r w:rsidRPr="00D42B1B">
        <w:rPr>
          <w:rFonts w:cs="Arial"/>
          <w:szCs w:val="20"/>
        </w:rPr>
        <w:t>elon une étude de l’Ins</w:t>
      </w:r>
      <w:r w:rsidRPr="00D42B1B">
        <w:rPr>
          <w:rFonts w:cs="Arial"/>
          <w:szCs w:val="20"/>
        </w:rPr>
        <w:softHyphen/>
        <w:t>ti</w:t>
      </w:r>
      <w:r w:rsidRPr="00D42B1B">
        <w:rPr>
          <w:rFonts w:cs="Arial"/>
          <w:szCs w:val="20"/>
        </w:rPr>
        <w:softHyphen/>
        <w:t>tut natio</w:t>
      </w:r>
      <w:r w:rsidRPr="00D42B1B">
        <w:rPr>
          <w:rFonts w:cs="Arial"/>
          <w:szCs w:val="20"/>
        </w:rPr>
        <w:softHyphen/>
        <w:t>nal de la sta</w:t>
      </w:r>
      <w:r w:rsidRPr="00D42B1B">
        <w:rPr>
          <w:rFonts w:cs="Arial"/>
          <w:szCs w:val="20"/>
        </w:rPr>
        <w:softHyphen/>
        <w:t>tis</w:t>
      </w:r>
      <w:r w:rsidRPr="00D42B1B">
        <w:rPr>
          <w:rFonts w:cs="Arial"/>
          <w:szCs w:val="20"/>
        </w:rPr>
        <w:softHyphen/>
        <w:t>tique, le riz consti</w:t>
      </w:r>
      <w:r w:rsidRPr="00D42B1B">
        <w:rPr>
          <w:rFonts w:cs="Arial"/>
          <w:szCs w:val="20"/>
        </w:rPr>
        <w:softHyphen/>
        <w:t>tue le second poste de dépenses ali</w:t>
      </w:r>
      <w:r w:rsidRPr="00D42B1B">
        <w:rPr>
          <w:rFonts w:cs="Arial"/>
          <w:szCs w:val="20"/>
        </w:rPr>
        <w:softHyphen/>
        <w:t>men</w:t>
      </w:r>
      <w:r w:rsidRPr="00D42B1B">
        <w:rPr>
          <w:rFonts w:cs="Arial"/>
          <w:szCs w:val="20"/>
        </w:rPr>
        <w:softHyphen/>
        <w:t>taires (10 %), après les pro</w:t>
      </w:r>
      <w:r w:rsidRPr="00D42B1B">
        <w:rPr>
          <w:rFonts w:cs="Arial"/>
          <w:szCs w:val="20"/>
        </w:rPr>
        <w:softHyphen/>
        <w:t>duits ani</w:t>
      </w:r>
      <w:r w:rsidRPr="00D42B1B">
        <w:rPr>
          <w:rFonts w:cs="Arial"/>
          <w:szCs w:val="20"/>
        </w:rPr>
        <w:softHyphen/>
        <w:t>maux (11,3 %) et devant le pois</w:t>
      </w:r>
      <w:r w:rsidRPr="00D42B1B">
        <w:rPr>
          <w:rFonts w:cs="Arial"/>
          <w:szCs w:val="20"/>
        </w:rPr>
        <w:softHyphen/>
        <w:t>son (8,5</w:t>
      </w:r>
      <w:r w:rsidRPr="00D42B1B">
        <w:rPr>
          <w:rFonts w:ascii="Arial" w:hAnsi="Arial" w:cs="Arial"/>
          <w:szCs w:val="20"/>
        </w:rPr>
        <w:t xml:space="preserve"> %).</w:t>
      </w:r>
    </w:p>
    <w:p w14:paraId="66E91C81" w14:textId="77777777" w:rsidR="00EC6BF7" w:rsidRPr="00D42B1B" w:rsidRDefault="00EC6BF7" w:rsidP="00EC6BF7">
      <w:pPr>
        <w:shd w:val="clear" w:color="auto" w:fill="FFFFFF"/>
        <w:spacing w:after="0" w:line="276" w:lineRule="auto"/>
        <w:rPr>
          <w:rFonts w:eastAsia="Times New Roman" w:cs="Arial"/>
          <w:color w:val="444444"/>
          <w:szCs w:val="20"/>
          <w:lang w:eastAsia="fr-FR"/>
        </w:rPr>
      </w:pPr>
    </w:p>
    <w:p w14:paraId="785D5A74" w14:textId="6B22F276" w:rsidR="00EC6BF7" w:rsidRPr="00D42B1B" w:rsidRDefault="00EC6BF7" w:rsidP="00054128">
      <w:pPr>
        <w:pStyle w:val="Titre2"/>
        <w:spacing w:before="0"/>
        <w:rPr>
          <w:rFonts w:eastAsiaTheme="minorHAnsi"/>
        </w:rPr>
      </w:pPr>
      <w:bookmarkStart w:id="87" w:name="_Toc233878696"/>
      <w:r w:rsidRPr="00D42B1B">
        <w:rPr>
          <w:rFonts w:eastAsia="Times New Roman" w:cs="Arial"/>
          <w:color w:val="444444"/>
          <w:szCs w:val="20"/>
          <w:lang w:eastAsia="fr-FR"/>
        </w:rPr>
        <w:t>Riz - Le Centre national de recherche agronomique (CNRA) et le Centre du riz pour l’Afrique (</w:t>
      </w:r>
      <w:proofErr w:type="spellStart"/>
      <w:r w:rsidRPr="00D42B1B">
        <w:rPr>
          <w:rFonts w:eastAsia="Times New Roman" w:cs="Arial"/>
          <w:color w:val="444444"/>
          <w:szCs w:val="20"/>
          <w:lang w:eastAsia="fr-FR"/>
        </w:rPr>
        <w:t>AfricaRice</w:t>
      </w:r>
      <w:proofErr w:type="spellEnd"/>
      <w:r w:rsidRPr="00D42B1B">
        <w:rPr>
          <w:rFonts w:eastAsia="Times New Roman" w:cs="Arial"/>
          <w:color w:val="444444"/>
          <w:szCs w:val="20"/>
          <w:lang w:eastAsia="fr-FR"/>
        </w:rPr>
        <w:t>) révisent les profils variétaux pour aligner la production sur les besoins du marché.</w:t>
      </w:r>
      <w:bookmarkEnd w:id="87"/>
    </w:p>
    <w:p w14:paraId="51190AD3" w14:textId="05BFFA97" w:rsidR="002F192A" w:rsidRPr="00D42B1B" w:rsidRDefault="00EC6BF7" w:rsidP="00EC6BF7">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Le CNRA et </w:t>
      </w:r>
      <w:proofErr w:type="spellStart"/>
      <w:r w:rsidRPr="00D42B1B">
        <w:rPr>
          <w:rFonts w:eastAsia="Times New Roman" w:cs="Arial"/>
          <w:color w:val="444444"/>
          <w:szCs w:val="20"/>
          <w:lang w:eastAsia="fr-FR"/>
        </w:rPr>
        <w:t>AfricaRice</w:t>
      </w:r>
      <w:proofErr w:type="spellEnd"/>
      <w:r w:rsidRPr="00D42B1B">
        <w:rPr>
          <w:rFonts w:eastAsia="Times New Roman" w:cs="Arial"/>
          <w:color w:val="444444"/>
          <w:szCs w:val="20"/>
          <w:lang w:eastAsia="fr-FR"/>
        </w:rPr>
        <w:t xml:space="preserve"> ont organisé les 16 et 17 juin un atelier de révision des profils variétaux du riz afin d’adapter les futures variétés aux attentes des producteurs, des transformateurs et des consommateurs. </w:t>
      </w:r>
      <w:r w:rsidR="00054128" w:rsidRPr="00D42B1B">
        <w:rPr>
          <w:rFonts w:eastAsia="Times New Roman" w:cs="Arial"/>
          <w:color w:val="444444"/>
          <w:szCs w:val="20"/>
          <w:lang w:eastAsia="fr-FR"/>
        </w:rPr>
        <w:t xml:space="preserve">L’atelier a réuni des chercheurs, des producteurs, des transformateurs, des distributeurs, des entreprises semencières, des services techniques de l’État ainsi que des spécialistes du genre et de la nutrition en vue de valider les futurs profils variétaux du riz en Côte d’Ivoire. </w:t>
      </w:r>
      <w:r w:rsidRPr="00D42B1B">
        <w:rPr>
          <w:rFonts w:eastAsia="Times New Roman" w:cs="Arial"/>
          <w:color w:val="444444"/>
          <w:szCs w:val="20"/>
          <w:lang w:eastAsia="fr-FR"/>
        </w:rPr>
        <w:t xml:space="preserve">Cet atelier s’est tenu dans le cadre du projet </w:t>
      </w:r>
      <w:proofErr w:type="spellStart"/>
      <w:r w:rsidRPr="00D42B1B">
        <w:rPr>
          <w:rFonts w:eastAsia="Times New Roman" w:cs="Arial"/>
          <w:i/>
          <w:iCs/>
          <w:color w:val="444444"/>
          <w:szCs w:val="20"/>
          <w:lang w:eastAsia="fr-FR"/>
        </w:rPr>
        <w:t>Breeding</w:t>
      </w:r>
      <w:proofErr w:type="spellEnd"/>
      <w:r w:rsidRPr="00D42B1B">
        <w:rPr>
          <w:rFonts w:eastAsia="Times New Roman" w:cs="Arial"/>
          <w:i/>
          <w:iCs/>
          <w:color w:val="444444"/>
          <w:szCs w:val="20"/>
          <w:lang w:eastAsia="fr-FR"/>
        </w:rPr>
        <w:t xml:space="preserve"> For </w:t>
      </w:r>
      <w:proofErr w:type="spellStart"/>
      <w:r w:rsidRPr="00D42B1B">
        <w:rPr>
          <w:rFonts w:eastAsia="Times New Roman" w:cs="Arial"/>
          <w:i/>
          <w:iCs/>
          <w:color w:val="444444"/>
          <w:szCs w:val="20"/>
          <w:lang w:eastAsia="fr-FR"/>
        </w:rPr>
        <w:t>Tomorrow</w:t>
      </w:r>
      <w:proofErr w:type="spellEnd"/>
      <w:r w:rsidRPr="00D42B1B">
        <w:rPr>
          <w:rFonts w:eastAsia="Times New Roman" w:cs="Arial"/>
          <w:color w:val="444444"/>
          <w:szCs w:val="20"/>
          <w:lang w:eastAsia="fr-FR"/>
        </w:rPr>
        <w:t xml:space="preserve"> (B4T), dont les travaux ont porté sur la redéfinition des segments de marché du riz, l’élaboration de profils de produits cibles et l’évaluation du programme de sélection du riz du CNRA. Cette démarche vise à renforcer l’adoption des variétés développées par la recherche en intégrant les attentes du marché dans le processus de sélection. L’atelier doit permettre d’identifier les caractéristiques recherchées par les consommateurs afin d’orienter les programmes de sélection. La recherche dispose déjà de plusieurs variétés à fort potentiel de rendement, l’enjeu consiste désormais à améliorer leurs profils variétaux afin de mieux répondre aux attentes des consommateurs tout en tenant compte des différentes écologies de production. La disponibilité de semences certifiées adaptées aux différents systèmes de culture constitue un levier pour accroître la productivité et renforcer l’offre nationale.</w:t>
      </w:r>
    </w:p>
    <w:p w14:paraId="1C00A26B" w14:textId="77777777" w:rsidR="00054128" w:rsidRPr="00D42B1B" w:rsidRDefault="00054128" w:rsidP="00EC6BF7">
      <w:pPr>
        <w:shd w:val="clear" w:color="auto" w:fill="FFFFFF"/>
        <w:spacing w:after="0" w:line="276" w:lineRule="auto"/>
        <w:rPr>
          <w:rFonts w:eastAsia="Times New Roman" w:cs="Arial"/>
          <w:color w:val="444444"/>
          <w:szCs w:val="20"/>
          <w:lang w:eastAsia="fr-FR"/>
        </w:rPr>
      </w:pPr>
    </w:p>
    <w:p w14:paraId="35556AE0" w14:textId="0AD94AAE" w:rsidR="00994F92" w:rsidRPr="00D42B1B" w:rsidRDefault="00994F92" w:rsidP="00D83ED1">
      <w:pPr>
        <w:pStyle w:val="Titre2"/>
        <w:spacing w:before="0"/>
        <w:rPr>
          <w:rFonts w:eastAsiaTheme="minorHAnsi"/>
        </w:rPr>
      </w:pPr>
      <w:bookmarkStart w:id="88" w:name="_Toc233878697"/>
      <w:bookmarkStart w:id="89" w:name="_Hlk233558150"/>
      <w:r w:rsidRPr="00D42B1B">
        <w:rPr>
          <w:rFonts w:eastAsia="Times New Roman" w:cs="Arial"/>
          <w:color w:val="444444"/>
          <w:szCs w:val="20"/>
          <w:lang w:eastAsia="fr-FR"/>
        </w:rPr>
        <w:t xml:space="preserve">Manioc </w:t>
      </w:r>
      <w:r w:rsidR="00D83ED1" w:rsidRPr="00D42B1B">
        <w:rPr>
          <w:rFonts w:eastAsia="Times New Roman" w:cs="Arial"/>
          <w:color w:val="444444"/>
          <w:szCs w:val="20"/>
          <w:lang w:eastAsia="fr-FR"/>
        </w:rPr>
        <w:t>–</w:t>
      </w:r>
      <w:r w:rsidRPr="00D42B1B">
        <w:rPr>
          <w:rFonts w:eastAsia="Times New Roman" w:cs="Arial"/>
          <w:color w:val="444444"/>
          <w:szCs w:val="20"/>
          <w:lang w:eastAsia="fr-FR"/>
        </w:rPr>
        <w:t xml:space="preserve"> </w:t>
      </w:r>
      <w:r w:rsidR="00D83ED1" w:rsidRPr="00D42B1B">
        <w:rPr>
          <w:rFonts w:eastAsia="Times New Roman" w:cs="Arial"/>
          <w:color w:val="444444"/>
          <w:szCs w:val="20"/>
          <w:lang w:eastAsia="fr-FR"/>
        </w:rPr>
        <w:t>Tournée nationale du</w:t>
      </w:r>
      <w:r w:rsidRPr="00D42B1B">
        <w:rPr>
          <w:rFonts w:eastAsia="Times New Roman" w:cs="Arial"/>
          <w:color w:val="444444"/>
          <w:szCs w:val="20"/>
          <w:lang w:eastAsia="fr-FR"/>
        </w:rPr>
        <w:t xml:space="preserve"> président de l’interprofession </w:t>
      </w:r>
      <w:r w:rsidR="00D83ED1" w:rsidRPr="00D42B1B">
        <w:rPr>
          <w:rFonts w:eastAsia="Times New Roman" w:cs="Arial"/>
          <w:color w:val="444444"/>
          <w:szCs w:val="20"/>
          <w:lang w:eastAsia="fr-FR"/>
        </w:rPr>
        <w:t>pour renforcer la gouvernance de la filière.</w:t>
      </w:r>
      <w:bookmarkEnd w:id="88"/>
    </w:p>
    <w:bookmarkEnd w:id="89"/>
    <w:p w14:paraId="2799D345" w14:textId="4216E223" w:rsidR="00994F92" w:rsidRPr="00D42B1B" w:rsidRDefault="00994F92" w:rsidP="00994F92">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Le président de l’Organisation Interprofessionnelle agricole (OIA) de la filière manioc, M. </w:t>
      </w:r>
      <w:proofErr w:type="spellStart"/>
      <w:r w:rsidRPr="00D42B1B">
        <w:rPr>
          <w:rFonts w:eastAsia="Times New Roman" w:cs="Arial"/>
          <w:color w:val="444444"/>
          <w:szCs w:val="20"/>
          <w:lang w:eastAsia="fr-FR"/>
        </w:rPr>
        <w:t>Nomel</w:t>
      </w:r>
      <w:proofErr w:type="spellEnd"/>
      <w:r w:rsidRPr="00D42B1B">
        <w:rPr>
          <w:rFonts w:eastAsia="Times New Roman" w:cs="Arial"/>
          <w:color w:val="444444"/>
          <w:szCs w:val="20"/>
          <w:lang w:eastAsia="fr-FR"/>
        </w:rPr>
        <w:t xml:space="preserve"> Kevin </w:t>
      </w:r>
      <w:proofErr w:type="spellStart"/>
      <w:r w:rsidRPr="00D42B1B">
        <w:rPr>
          <w:rFonts w:eastAsia="Times New Roman" w:cs="Arial"/>
          <w:color w:val="444444"/>
          <w:szCs w:val="20"/>
          <w:lang w:eastAsia="fr-FR"/>
        </w:rPr>
        <w:t>Yedod</w:t>
      </w:r>
      <w:proofErr w:type="spellEnd"/>
      <w:r w:rsidRPr="00D42B1B">
        <w:rPr>
          <w:rFonts w:eastAsia="Times New Roman" w:cs="Arial"/>
          <w:color w:val="444444"/>
          <w:szCs w:val="20"/>
          <w:lang w:eastAsia="fr-FR"/>
        </w:rPr>
        <w:t>, a entamé le 4 juin, une tournée nationale de sensibilisation et de concertation avec les acteurs du secteur. Le président au cours de cette tournée a dénoncé plusieurs dysfonctionnements qui freinent le développement du secteur. Il a notamment évoqué l’anarchie observée dans la fixation des prix bord champ, la circulation de boutures non certifiées et le climat de méfiance entre les différents acteurs de la chaîne de valeur. Il a plaidé pour une meilleure cohésion entre producteurs, transformateurs et commerçants afin de parler d’une seule voix et respecter les orientations arrêtées par les instances dirigeantes.</w:t>
      </w:r>
      <w:r w:rsidR="00D83ED1"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Souhaitant instaurer une gestion participative, </w:t>
      </w:r>
      <w:r w:rsidR="00D83ED1" w:rsidRPr="00D42B1B">
        <w:rPr>
          <w:rFonts w:eastAsia="Times New Roman" w:cs="Arial"/>
          <w:color w:val="444444"/>
          <w:szCs w:val="20"/>
          <w:lang w:eastAsia="fr-FR"/>
        </w:rPr>
        <w:t xml:space="preserve">M. </w:t>
      </w:r>
      <w:proofErr w:type="spellStart"/>
      <w:r w:rsidRPr="00D42B1B">
        <w:rPr>
          <w:rFonts w:eastAsia="Times New Roman" w:cs="Arial"/>
          <w:color w:val="444444"/>
          <w:szCs w:val="20"/>
          <w:lang w:eastAsia="fr-FR"/>
        </w:rPr>
        <w:t>Nomel</w:t>
      </w:r>
      <w:proofErr w:type="spellEnd"/>
      <w:r w:rsidRPr="00D42B1B">
        <w:rPr>
          <w:rFonts w:eastAsia="Times New Roman" w:cs="Arial"/>
          <w:color w:val="444444"/>
          <w:szCs w:val="20"/>
          <w:lang w:eastAsia="fr-FR"/>
        </w:rPr>
        <w:t xml:space="preserve"> Kevin </w:t>
      </w:r>
      <w:proofErr w:type="spellStart"/>
      <w:r w:rsidRPr="00D42B1B">
        <w:rPr>
          <w:rFonts w:eastAsia="Times New Roman" w:cs="Arial"/>
          <w:color w:val="444444"/>
          <w:szCs w:val="20"/>
          <w:lang w:eastAsia="fr-FR"/>
        </w:rPr>
        <w:t>Yedod</w:t>
      </w:r>
      <w:proofErr w:type="spellEnd"/>
      <w:r w:rsidRPr="00D42B1B">
        <w:rPr>
          <w:rFonts w:eastAsia="Times New Roman" w:cs="Arial"/>
          <w:color w:val="444444"/>
          <w:szCs w:val="20"/>
          <w:lang w:eastAsia="fr-FR"/>
        </w:rPr>
        <w:t xml:space="preserve"> a promis une gouvernance fondée sur la transparence et la concertation permanente.</w:t>
      </w:r>
      <w:r w:rsidR="00D83ED1" w:rsidRPr="00D42B1B">
        <w:rPr>
          <w:rFonts w:eastAsia="Times New Roman" w:cs="Arial"/>
          <w:color w:val="444444"/>
          <w:szCs w:val="20"/>
          <w:lang w:eastAsia="fr-FR"/>
        </w:rPr>
        <w:t xml:space="preserve"> </w:t>
      </w:r>
      <w:r w:rsidRPr="00D42B1B">
        <w:rPr>
          <w:rFonts w:eastAsia="Times New Roman" w:cs="Arial"/>
          <w:color w:val="444444"/>
          <w:szCs w:val="20"/>
          <w:lang w:eastAsia="fr-FR"/>
        </w:rPr>
        <w:t>Selon lui, aucune décision stratégique ne sera désormais prise sans consultation préalable des différents collèges de la filière.</w:t>
      </w:r>
    </w:p>
    <w:p w14:paraId="02EE1FE7" w14:textId="3CA6807D" w:rsidR="0022068E" w:rsidRPr="00D42B1B" w:rsidRDefault="0022068E" w:rsidP="00994F92">
      <w:pPr>
        <w:shd w:val="clear" w:color="auto" w:fill="FFFFFF"/>
        <w:spacing w:after="0" w:line="276" w:lineRule="auto"/>
        <w:rPr>
          <w:rFonts w:eastAsia="Times New Roman" w:cs="Arial"/>
          <w:color w:val="444444"/>
          <w:szCs w:val="20"/>
          <w:lang w:eastAsia="fr-FR"/>
        </w:rPr>
      </w:pPr>
    </w:p>
    <w:p w14:paraId="4559BBE1" w14:textId="092B511E" w:rsidR="0022068E" w:rsidRPr="00D42B1B" w:rsidRDefault="0022068E" w:rsidP="000E5691">
      <w:pPr>
        <w:pStyle w:val="Titre2"/>
        <w:spacing w:before="0"/>
        <w:rPr>
          <w:rFonts w:eastAsiaTheme="minorHAnsi"/>
        </w:rPr>
      </w:pPr>
      <w:bookmarkStart w:id="90" w:name="_Toc233878698"/>
      <w:bookmarkStart w:id="91" w:name="_Hlk232278128"/>
      <w:r w:rsidRPr="00D42B1B">
        <w:rPr>
          <w:rFonts w:eastAsia="Times New Roman" w:cs="Arial"/>
          <w:color w:val="444444"/>
          <w:szCs w:val="20"/>
          <w:lang w:eastAsia="fr-FR"/>
        </w:rPr>
        <w:t xml:space="preserve">Elevage </w:t>
      </w:r>
      <w:r w:rsidR="000E5691" w:rsidRPr="00D42B1B">
        <w:rPr>
          <w:rFonts w:eastAsia="Times New Roman" w:cs="Arial"/>
          <w:color w:val="444444"/>
          <w:szCs w:val="20"/>
          <w:lang w:eastAsia="fr-FR"/>
        </w:rPr>
        <w:t>–</w:t>
      </w:r>
      <w:r w:rsidRPr="00D42B1B">
        <w:rPr>
          <w:rFonts w:eastAsia="Times New Roman" w:cs="Arial"/>
          <w:color w:val="444444"/>
          <w:szCs w:val="20"/>
          <w:lang w:eastAsia="fr-FR"/>
        </w:rPr>
        <w:t xml:space="preserve"> </w:t>
      </w:r>
      <w:r w:rsidR="000E5691" w:rsidRPr="00D42B1B">
        <w:rPr>
          <w:rFonts w:eastAsia="Times New Roman" w:cs="Arial"/>
          <w:color w:val="444444"/>
          <w:szCs w:val="20"/>
          <w:lang w:eastAsia="fr-FR"/>
        </w:rPr>
        <w:t xml:space="preserve">La filière volaille </w:t>
      </w:r>
      <w:r w:rsidRPr="00D42B1B">
        <w:rPr>
          <w:rFonts w:eastAsia="Times New Roman" w:cs="Arial"/>
          <w:color w:val="444444"/>
          <w:szCs w:val="20"/>
          <w:lang w:eastAsia="fr-FR"/>
        </w:rPr>
        <w:t>en pleine expansion.</w:t>
      </w:r>
      <w:bookmarkEnd w:id="90"/>
    </w:p>
    <w:bookmarkEnd w:id="91"/>
    <w:p w14:paraId="62DB0EDD" w14:textId="2817C04E" w:rsidR="0022068E" w:rsidRPr="00D42B1B" w:rsidRDefault="0022068E" w:rsidP="00A4583C">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Dominé par AVOS, via sa filiale SIPRA, et par un maillage de petits producteurs locaux, le secteur avicole est en pleine expansion avec une croissance de plus de 10% par an sur les quinze dernières années, mais demeure confronté à des difficultés. Comme dans la plupart des pays d'Afrique de l'Ouest, le secteur est en plein développement, porté par l'essor démographique. </w:t>
      </w:r>
      <w:r w:rsidR="00A4583C" w:rsidRPr="00D42B1B">
        <w:rPr>
          <w:rFonts w:eastAsia="Times New Roman" w:cs="Arial"/>
          <w:color w:val="444444"/>
          <w:szCs w:val="20"/>
          <w:lang w:eastAsia="fr-FR"/>
        </w:rPr>
        <w:lastRenderedPageBreak/>
        <w:t>Selon le ministère des ressources animales et halieutiques, la filière représentait plus de 685 M EUR en 2024, une valeur multipliée par cinq depuis 2011</w:t>
      </w:r>
      <w:r w:rsidR="000E5691" w:rsidRPr="00D42B1B">
        <w:rPr>
          <w:rFonts w:eastAsia="Times New Roman" w:cs="Arial"/>
          <w:color w:val="444444"/>
          <w:szCs w:val="20"/>
          <w:lang w:eastAsia="fr-FR"/>
        </w:rPr>
        <w:t>.</w:t>
      </w:r>
      <w:r w:rsidR="00A4583C" w:rsidRPr="00D42B1B">
        <w:rPr>
          <w:rFonts w:eastAsia="Times New Roman" w:cs="Arial"/>
          <w:color w:val="444444"/>
          <w:szCs w:val="20"/>
          <w:lang w:eastAsia="fr-FR"/>
        </w:rPr>
        <w:t xml:space="preserve"> </w:t>
      </w:r>
      <w:r w:rsidR="000E5691" w:rsidRPr="00D42B1B">
        <w:rPr>
          <w:rFonts w:eastAsia="Times New Roman" w:cs="Arial"/>
          <w:color w:val="444444"/>
          <w:szCs w:val="20"/>
          <w:lang w:eastAsia="fr-FR"/>
        </w:rPr>
        <w:t xml:space="preserve">La progression est comparable au niveau de la création d'emplois, avec 320 000 travailleurs directs et indirects aujourd'hui, contre seulement 70 000 il y a quinze ans. Cette progression a été obtenue en grande partie </w:t>
      </w:r>
      <w:r w:rsidR="00A4583C" w:rsidRPr="00D42B1B">
        <w:rPr>
          <w:rFonts w:eastAsia="Times New Roman" w:cs="Arial"/>
          <w:color w:val="444444"/>
          <w:szCs w:val="20"/>
          <w:lang w:eastAsia="fr-FR"/>
        </w:rPr>
        <w:t xml:space="preserve">grâce à un protectionnisme assumé. En effet, depuis 2009, les autorités ont décidé de taxer à hauteur de 1 000 FCFA par kilo la viande de poulet importée, hors pays de la CEDEAO. Aussi, seules 515 tonnes de volaille congelée ont été recensées par les douanes en 2024, et la mesure a été reconduite jusqu'en 2030. Mais, dans le sillage du budget 2026, l'Etat a décidé de réintroduire, dès janvier, une TVA de 18% sur les aliments destinés aux volailles. La mesure a aussitôt déclenché une vive réaction de l'Interprofession avicole ivoirienne (IPRAVI), </w:t>
      </w:r>
      <w:r w:rsidR="00377FC0" w:rsidRPr="00D42B1B">
        <w:rPr>
          <w:rFonts w:eastAsia="Times New Roman" w:cs="Arial"/>
          <w:color w:val="444444"/>
          <w:szCs w:val="20"/>
          <w:lang w:eastAsia="fr-FR"/>
        </w:rPr>
        <w:t xml:space="preserve">l’alimentation </w:t>
      </w:r>
      <w:r w:rsidR="00A4583C" w:rsidRPr="00D42B1B">
        <w:rPr>
          <w:rFonts w:eastAsia="Times New Roman" w:cs="Arial"/>
          <w:color w:val="444444"/>
          <w:szCs w:val="20"/>
          <w:lang w:eastAsia="fr-FR"/>
        </w:rPr>
        <w:t xml:space="preserve">représentant 60 à 70% du coût de production avant abattage. </w:t>
      </w:r>
      <w:r w:rsidR="00377FC0" w:rsidRPr="00D42B1B">
        <w:rPr>
          <w:rFonts w:eastAsia="Times New Roman" w:cs="Arial"/>
          <w:color w:val="444444"/>
          <w:szCs w:val="20"/>
          <w:lang w:eastAsia="fr-FR"/>
        </w:rPr>
        <w:t xml:space="preserve">Les autorités ont décidé de ramener </w:t>
      </w:r>
      <w:r w:rsidR="00A4583C" w:rsidRPr="00D42B1B">
        <w:rPr>
          <w:rFonts w:eastAsia="Times New Roman" w:cs="Arial"/>
          <w:color w:val="444444"/>
          <w:szCs w:val="20"/>
          <w:lang w:eastAsia="fr-FR"/>
        </w:rPr>
        <w:t>la taxe à 9%.</w:t>
      </w:r>
      <w:r w:rsidR="00377FC0" w:rsidRPr="00D42B1B">
        <w:rPr>
          <w:rFonts w:eastAsia="Times New Roman" w:cs="Arial"/>
          <w:color w:val="444444"/>
          <w:szCs w:val="20"/>
          <w:lang w:eastAsia="fr-FR"/>
        </w:rPr>
        <w:t xml:space="preserve"> L</w:t>
      </w:r>
      <w:r w:rsidR="00A4583C" w:rsidRPr="00D42B1B">
        <w:rPr>
          <w:rFonts w:eastAsia="Times New Roman" w:cs="Arial"/>
          <w:color w:val="444444"/>
          <w:szCs w:val="20"/>
          <w:lang w:eastAsia="fr-FR"/>
        </w:rPr>
        <w:t>'impact de la hausse de la TVA sur les petits producteurs, qui ne peuvent pas user d'économies d'échelle</w:t>
      </w:r>
      <w:r w:rsidR="00377FC0" w:rsidRPr="00D42B1B">
        <w:rPr>
          <w:rFonts w:eastAsia="Times New Roman" w:cs="Arial"/>
          <w:color w:val="444444"/>
          <w:szCs w:val="20"/>
          <w:lang w:eastAsia="fr-FR"/>
        </w:rPr>
        <w:t>, peut-être important</w:t>
      </w:r>
      <w:r w:rsidR="00A4583C" w:rsidRPr="00D42B1B">
        <w:rPr>
          <w:rFonts w:eastAsia="Times New Roman" w:cs="Arial"/>
          <w:color w:val="444444"/>
          <w:szCs w:val="20"/>
          <w:lang w:eastAsia="fr-FR"/>
        </w:rPr>
        <w:t>. En réaction, l'I</w:t>
      </w:r>
      <w:r w:rsidR="00377FC0" w:rsidRPr="00D42B1B">
        <w:rPr>
          <w:rFonts w:eastAsia="Times New Roman" w:cs="Arial"/>
          <w:color w:val="444444"/>
          <w:szCs w:val="20"/>
          <w:lang w:eastAsia="fr-FR"/>
        </w:rPr>
        <w:t xml:space="preserve">PRAVI </w:t>
      </w:r>
      <w:r w:rsidR="00A4583C" w:rsidRPr="00D42B1B">
        <w:rPr>
          <w:rFonts w:eastAsia="Times New Roman" w:cs="Arial"/>
          <w:color w:val="444444"/>
          <w:szCs w:val="20"/>
          <w:lang w:eastAsia="fr-FR"/>
        </w:rPr>
        <w:t xml:space="preserve">a annoncé l'augmentation du prix dit </w:t>
      </w:r>
      <w:r w:rsidR="00377FC0" w:rsidRPr="00D42B1B">
        <w:rPr>
          <w:rFonts w:eastAsia="Times New Roman" w:cs="Arial"/>
          <w:color w:val="444444"/>
          <w:szCs w:val="20"/>
          <w:lang w:eastAsia="fr-FR"/>
        </w:rPr>
        <w:t>« </w:t>
      </w:r>
      <w:r w:rsidR="00A4583C" w:rsidRPr="00D42B1B">
        <w:rPr>
          <w:rFonts w:eastAsia="Times New Roman" w:cs="Arial"/>
          <w:color w:val="444444"/>
          <w:szCs w:val="20"/>
          <w:lang w:eastAsia="fr-FR"/>
        </w:rPr>
        <w:t>bord-ferme</w:t>
      </w:r>
      <w:r w:rsidR="00377FC0" w:rsidRPr="00D42B1B">
        <w:rPr>
          <w:rFonts w:eastAsia="Times New Roman" w:cs="Arial"/>
          <w:color w:val="444444"/>
          <w:szCs w:val="20"/>
          <w:lang w:eastAsia="fr-FR"/>
        </w:rPr>
        <w:t> »</w:t>
      </w:r>
      <w:r w:rsidR="00A4583C" w:rsidRPr="00D42B1B">
        <w:rPr>
          <w:rFonts w:eastAsia="Times New Roman" w:cs="Arial"/>
          <w:color w:val="444444"/>
          <w:szCs w:val="20"/>
          <w:lang w:eastAsia="fr-FR"/>
        </w:rPr>
        <w:t>. Le nouveau prix plancher pour le poulet de chair comme pour la plaquette de 30 œufs est désormais de 2 400 FCFA, soit 200 FCFA de plus que le précédent. Alors que le poulet est la deuxième source de protéine animale, derrière le poisson, cette hausse de tarif est un test à la fois pour le secteur et pour le pouvoir d'achat des consommateurs</w:t>
      </w:r>
      <w:r w:rsidR="00377FC0" w:rsidRPr="00D42B1B">
        <w:rPr>
          <w:rFonts w:eastAsia="Times New Roman" w:cs="Arial"/>
          <w:color w:val="444444"/>
          <w:szCs w:val="20"/>
          <w:lang w:eastAsia="fr-FR"/>
        </w:rPr>
        <w:t xml:space="preserve">. </w:t>
      </w:r>
      <w:r w:rsidRPr="00D42B1B">
        <w:rPr>
          <w:rFonts w:eastAsia="Times New Roman" w:cs="Arial"/>
          <w:color w:val="444444"/>
          <w:szCs w:val="20"/>
          <w:lang w:eastAsia="fr-FR"/>
        </w:rPr>
        <w:t>Depuis 2011, la consommation de volaille dans le pays a quadruplé et elle atteint désormais une moyenne de 4 kg par an et par habitant</w:t>
      </w:r>
      <w:r w:rsidR="00377FC0" w:rsidRPr="00D42B1B">
        <w:rPr>
          <w:rFonts w:eastAsia="Times New Roman" w:cs="Arial"/>
          <w:color w:val="444444"/>
          <w:szCs w:val="20"/>
          <w:lang w:eastAsia="fr-FR"/>
        </w:rPr>
        <w:t xml:space="preserve">, seuil d'autosuffisance pour les autorités ivoirienne, justifiant une la nouvelle taxation. Mais ce constat se base sur une consommation qui reste faible, au niveau mondial, la moyenne se situant autour de 12 kg et frôle les 25 kg en France, par exemple. </w:t>
      </w:r>
      <w:r w:rsidRPr="00D42B1B">
        <w:rPr>
          <w:rFonts w:eastAsia="Times New Roman" w:cs="Arial"/>
          <w:color w:val="444444"/>
          <w:szCs w:val="20"/>
          <w:lang w:eastAsia="fr-FR"/>
        </w:rPr>
        <w:t>Surtout, la filière a atteint un seuil d'autosuffisance au niveau national. Pour autant, le secteur fait face à différents défis</w:t>
      </w:r>
      <w:r w:rsidR="00F34E85" w:rsidRPr="00D42B1B">
        <w:rPr>
          <w:rFonts w:eastAsia="Times New Roman" w:cs="Arial"/>
          <w:color w:val="444444"/>
          <w:szCs w:val="20"/>
          <w:lang w:eastAsia="fr-FR"/>
        </w:rPr>
        <w:t>, à</w:t>
      </w:r>
      <w:r w:rsidRPr="00D42B1B">
        <w:rPr>
          <w:rFonts w:eastAsia="Times New Roman" w:cs="Arial"/>
          <w:color w:val="444444"/>
          <w:szCs w:val="20"/>
          <w:lang w:eastAsia="fr-FR"/>
        </w:rPr>
        <w:t xml:space="preserve"> commencer par celui de se structurer et d'investir afin de continuer à couvrir des besoins croissants.</w:t>
      </w:r>
      <w:r w:rsidR="00F34E85" w:rsidRPr="00D42B1B">
        <w:rPr>
          <w:rFonts w:eastAsia="Times New Roman" w:cs="Arial"/>
          <w:color w:val="444444"/>
          <w:szCs w:val="20"/>
          <w:lang w:eastAsia="fr-FR"/>
        </w:rPr>
        <w:t xml:space="preserve"> </w:t>
      </w:r>
      <w:r w:rsidRPr="00D42B1B">
        <w:rPr>
          <w:rFonts w:eastAsia="Times New Roman" w:cs="Arial"/>
          <w:color w:val="444444"/>
          <w:szCs w:val="20"/>
          <w:lang w:eastAsia="fr-FR"/>
        </w:rPr>
        <w:t>Le premier producteur reste de loin la Société ivoirienne de productions animales (</w:t>
      </w:r>
      <w:r w:rsidR="00F34E85" w:rsidRPr="00D42B1B">
        <w:rPr>
          <w:rFonts w:eastAsia="Times New Roman" w:cs="Arial"/>
          <w:color w:val="444444"/>
          <w:szCs w:val="20"/>
          <w:lang w:eastAsia="fr-FR"/>
        </w:rPr>
        <w:t>SIPRA). F</w:t>
      </w:r>
      <w:r w:rsidRPr="00D42B1B">
        <w:rPr>
          <w:rFonts w:eastAsia="Times New Roman" w:cs="Arial"/>
          <w:color w:val="444444"/>
          <w:szCs w:val="20"/>
          <w:lang w:eastAsia="fr-FR"/>
        </w:rPr>
        <w:t>ondé en 1976 par l'entreprise française E</w:t>
      </w:r>
      <w:r w:rsidR="00F34E85" w:rsidRPr="00D42B1B">
        <w:rPr>
          <w:rFonts w:eastAsia="Times New Roman" w:cs="Arial"/>
          <w:color w:val="444444"/>
          <w:szCs w:val="20"/>
          <w:lang w:eastAsia="fr-FR"/>
        </w:rPr>
        <w:t>VIALIS</w:t>
      </w:r>
      <w:r w:rsidRPr="00D42B1B">
        <w:rPr>
          <w:rFonts w:eastAsia="Times New Roman" w:cs="Arial"/>
          <w:color w:val="444444"/>
          <w:szCs w:val="20"/>
          <w:lang w:eastAsia="fr-FR"/>
        </w:rPr>
        <w:t>, S</w:t>
      </w:r>
      <w:r w:rsidR="00F34E85" w:rsidRPr="00D42B1B">
        <w:rPr>
          <w:rFonts w:eastAsia="Times New Roman" w:cs="Arial"/>
          <w:color w:val="444444"/>
          <w:szCs w:val="20"/>
          <w:lang w:eastAsia="fr-FR"/>
        </w:rPr>
        <w:t xml:space="preserve">IPRA </w:t>
      </w:r>
      <w:r w:rsidRPr="00D42B1B">
        <w:rPr>
          <w:rFonts w:eastAsia="Times New Roman" w:cs="Arial"/>
          <w:color w:val="444444"/>
          <w:szCs w:val="20"/>
          <w:lang w:eastAsia="fr-FR"/>
        </w:rPr>
        <w:t xml:space="preserve">a été racheté en 2000 par </w:t>
      </w:r>
      <w:r w:rsidR="00F34E85" w:rsidRPr="00D42B1B">
        <w:rPr>
          <w:rFonts w:eastAsia="Times New Roman" w:cs="Arial"/>
          <w:color w:val="444444"/>
          <w:szCs w:val="20"/>
          <w:lang w:eastAsia="fr-FR"/>
        </w:rPr>
        <w:t xml:space="preserve">M. </w:t>
      </w:r>
      <w:r w:rsidRPr="00D42B1B">
        <w:rPr>
          <w:rFonts w:eastAsia="Times New Roman" w:cs="Arial"/>
          <w:color w:val="444444"/>
          <w:szCs w:val="20"/>
          <w:lang w:eastAsia="fr-FR"/>
        </w:rPr>
        <w:t xml:space="preserve">Jean-Marie </w:t>
      </w:r>
      <w:proofErr w:type="spellStart"/>
      <w:r w:rsidRPr="00D42B1B">
        <w:rPr>
          <w:rFonts w:eastAsia="Times New Roman" w:cs="Arial"/>
          <w:color w:val="444444"/>
          <w:szCs w:val="20"/>
          <w:lang w:eastAsia="fr-FR"/>
        </w:rPr>
        <w:t>Ackah</w:t>
      </w:r>
      <w:proofErr w:type="spellEnd"/>
      <w:r w:rsidRPr="00D42B1B">
        <w:rPr>
          <w:rFonts w:eastAsia="Times New Roman" w:cs="Arial"/>
          <w:color w:val="444444"/>
          <w:szCs w:val="20"/>
          <w:lang w:eastAsia="fr-FR"/>
        </w:rPr>
        <w:t>, qui a regroupé l'ensemble de ses activités sous la bannière du groupe A</w:t>
      </w:r>
      <w:r w:rsidR="00F34E85" w:rsidRPr="00D42B1B">
        <w:rPr>
          <w:rFonts w:eastAsia="Times New Roman" w:cs="Arial"/>
          <w:color w:val="444444"/>
          <w:szCs w:val="20"/>
          <w:lang w:eastAsia="fr-FR"/>
        </w:rPr>
        <w:t>VOS</w:t>
      </w:r>
      <w:r w:rsidRPr="00D42B1B">
        <w:rPr>
          <w:rFonts w:eastAsia="Times New Roman" w:cs="Arial"/>
          <w:color w:val="444444"/>
          <w:szCs w:val="20"/>
          <w:lang w:eastAsia="fr-FR"/>
        </w:rPr>
        <w:t xml:space="preserve"> à partir de 2018. Commercialisés sous la marque </w:t>
      </w:r>
      <w:proofErr w:type="spellStart"/>
      <w:r w:rsidRPr="00D42B1B">
        <w:rPr>
          <w:rFonts w:eastAsia="Times New Roman" w:cs="Arial"/>
          <w:color w:val="444444"/>
          <w:szCs w:val="20"/>
          <w:lang w:eastAsia="fr-FR"/>
        </w:rPr>
        <w:t>Coquivoire</w:t>
      </w:r>
      <w:proofErr w:type="spellEnd"/>
      <w:r w:rsidRPr="00D42B1B">
        <w:rPr>
          <w:rFonts w:eastAsia="Times New Roman" w:cs="Arial"/>
          <w:color w:val="444444"/>
          <w:szCs w:val="20"/>
          <w:lang w:eastAsia="fr-FR"/>
        </w:rPr>
        <w:t>, les produits de S</w:t>
      </w:r>
      <w:r w:rsidR="00F34E85" w:rsidRPr="00D42B1B">
        <w:rPr>
          <w:rFonts w:eastAsia="Times New Roman" w:cs="Arial"/>
          <w:color w:val="444444"/>
          <w:szCs w:val="20"/>
          <w:lang w:eastAsia="fr-FR"/>
        </w:rPr>
        <w:t>IPRA</w:t>
      </w:r>
      <w:r w:rsidRPr="00D42B1B">
        <w:rPr>
          <w:rFonts w:eastAsia="Times New Roman" w:cs="Arial"/>
          <w:color w:val="444444"/>
          <w:szCs w:val="20"/>
          <w:lang w:eastAsia="fr-FR"/>
        </w:rPr>
        <w:t xml:space="preserve"> sont distribués </w:t>
      </w:r>
      <w:r w:rsidR="00F34E85" w:rsidRPr="00D42B1B">
        <w:rPr>
          <w:rFonts w:eastAsia="Times New Roman" w:cs="Arial"/>
          <w:color w:val="444444"/>
          <w:szCs w:val="20"/>
          <w:lang w:eastAsia="fr-FR"/>
        </w:rPr>
        <w:t xml:space="preserve">dans tout le </w:t>
      </w:r>
      <w:r w:rsidRPr="00D42B1B">
        <w:rPr>
          <w:rFonts w:eastAsia="Times New Roman" w:cs="Arial"/>
          <w:color w:val="444444"/>
          <w:szCs w:val="20"/>
          <w:lang w:eastAsia="fr-FR"/>
        </w:rPr>
        <w:t xml:space="preserve">pays. Navire amiral d'un groupe qui a réalisé environ 100 </w:t>
      </w:r>
      <w:r w:rsidR="00F34E85" w:rsidRPr="00D42B1B">
        <w:rPr>
          <w:rFonts w:eastAsia="Times New Roman" w:cs="Arial"/>
          <w:color w:val="444444"/>
          <w:szCs w:val="20"/>
          <w:lang w:eastAsia="fr-FR"/>
        </w:rPr>
        <w:t xml:space="preserve">Md </w:t>
      </w:r>
      <w:r w:rsidRPr="00D42B1B">
        <w:rPr>
          <w:rFonts w:eastAsia="Times New Roman" w:cs="Arial"/>
          <w:color w:val="444444"/>
          <w:szCs w:val="20"/>
          <w:lang w:eastAsia="fr-FR"/>
        </w:rPr>
        <w:t xml:space="preserve">FCFA </w:t>
      </w:r>
      <w:r w:rsidR="00F34E85" w:rsidRPr="00D42B1B">
        <w:rPr>
          <w:rFonts w:eastAsia="Times New Roman" w:cs="Arial"/>
          <w:color w:val="444444"/>
          <w:szCs w:val="20"/>
          <w:lang w:eastAsia="fr-FR"/>
        </w:rPr>
        <w:t xml:space="preserve">de </w:t>
      </w:r>
      <w:r w:rsidRPr="00D42B1B">
        <w:rPr>
          <w:rFonts w:eastAsia="Times New Roman" w:cs="Arial"/>
          <w:color w:val="444444"/>
          <w:szCs w:val="20"/>
          <w:lang w:eastAsia="fr-FR"/>
        </w:rPr>
        <w:t xml:space="preserve">chiffre d'affaires en 2024, l'entreprise, dirigée par </w:t>
      </w:r>
      <w:r w:rsidR="00F34E85" w:rsidRPr="00D42B1B">
        <w:rPr>
          <w:rFonts w:eastAsia="Times New Roman" w:cs="Arial"/>
          <w:color w:val="444444"/>
          <w:szCs w:val="20"/>
          <w:lang w:eastAsia="fr-FR"/>
        </w:rPr>
        <w:t xml:space="preserve">M. </w:t>
      </w:r>
      <w:r w:rsidRPr="00D42B1B">
        <w:rPr>
          <w:rFonts w:eastAsia="Times New Roman" w:cs="Arial"/>
          <w:color w:val="444444"/>
          <w:szCs w:val="20"/>
          <w:lang w:eastAsia="fr-FR"/>
        </w:rPr>
        <w:t xml:space="preserve">Sylvain </w:t>
      </w:r>
      <w:proofErr w:type="spellStart"/>
      <w:r w:rsidRPr="00D42B1B">
        <w:rPr>
          <w:rFonts w:eastAsia="Times New Roman" w:cs="Arial"/>
          <w:color w:val="444444"/>
          <w:szCs w:val="20"/>
          <w:lang w:eastAsia="fr-FR"/>
        </w:rPr>
        <w:t>Gotta</w:t>
      </w:r>
      <w:proofErr w:type="spellEnd"/>
      <w:r w:rsidRPr="00D42B1B">
        <w:rPr>
          <w:rFonts w:eastAsia="Times New Roman" w:cs="Arial"/>
          <w:color w:val="444444"/>
          <w:szCs w:val="20"/>
          <w:lang w:eastAsia="fr-FR"/>
        </w:rPr>
        <w:t xml:space="preserve">, a bâti son succès sur une approche intégrée de la chaîne de valeur. Outre la production d'œufs, l'élevage, l'abattage et le conditionnement du poulet assurés par </w:t>
      </w:r>
      <w:proofErr w:type="spellStart"/>
      <w:r w:rsidRPr="00D42B1B">
        <w:rPr>
          <w:rFonts w:eastAsia="Times New Roman" w:cs="Arial"/>
          <w:color w:val="444444"/>
          <w:szCs w:val="20"/>
          <w:lang w:eastAsia="fr-FR"/>
        </w:rPr>
        <w:t>Coquivoire</w:t>
      </w:r>
      <w:proofErr w:type="spellEnd"/>
      <w:r w:rsidRPr="00D42B1B">
        <w:rPr>
          <w:rFonts w:eastAsia="Times New Roman" w:cs="Arial"/>
          <w:color w:val="444444"/>
          <w:szCs w:val="20"/>
          <w:lang w:eastAsia="fr-FR"/>
        </w:rPr>
        <w:t>, la maison mère pilote des filiales consacrées à l'alimentation des volailles (</w:t>
      </w:r>
      <w:proofErr w:type="spellStart"/>
      <w:r w:rsidRPr="00D42B1B">
        <w:rPr>
          <w:rFonts w:eastAsia="Times New Roman" w:cs="Arial"/>
          <w:color w:val="444444"/>
          <w:szCs w:val="20"/>
          <w:lang w:eastAsia="fr-FR"/>
        </w:rPr>
        <w:t>Ivograin</w:t>
      </w:r>
      <w:proofErr w:type="spellEnd"/>
      <w:r w:rsidRPr="00D42B1B">
        <w:rPr>
          <w:rFonts w:eastAsia="Times New Roman" w:cs="Arial"/>
          <w:color w:val="444444"/>
          <w:szCs w:val="20"/>
          <w:lang w:eastAsia="fr-FR"/>
        </w:rPr>
        <w:t>) ainsi qu'à l'élevage de poussins (Ivoire Poussins). Depuis six bureaux régionaux, 1</w:t>
      </w:r>
      <w:r w:rsidR="00F34E85" w:rsidRPr="00D42B1B">
        <w:rPr>
          <w:rFonts w:eastAsia="Times New Roman" w:cs="Arial"/>
          <w:color w:val="444444"/>
          <w:szCs w:val="20"/>
          <w:lang w:eastAsia="fr-FR"/>
        </w:rPr>
        <w:t xml:space="preserve"> </w:t>
      </w:r>
      <w:r w:rsidRPr="00D42B1B">
        <w:rPr>
          <w:rFonts w:eastAsia="Times New Roman" w:cs="Arial"/>
          <w:color w:val="444444"/>
          <w:szCs w:val="20"/>
          <w:lang w:eastAsia="fr-FR"/>
        </w:rPr>
        <w:t>000 salariés supervisent une vingtaine de fermes géantes alimentées par un réseau de producteurs locaux affiliés.</w:t>
      </w:r>
      <w:r w:rsidR="00F34E85" w:rsidRPr="00D42B1B">
        <w:rPr>
          <w:rFonts w:eastAsia="Times New Roman" w:cs="Arial"/>
          <w:color w:val="444444"/>
          <w:szCs w:val="20"/>
          <w:lang w:eastAsia="fr-FR"/>
        </w:rPr>
        <w:t xml:space="preserve"> </w:t>
      </w:r>
      <w:r w:rsidRPr="00D42B1B">
        <w:rPr>
          <w:rFonts w:eastAsia="Times New Roman" w:cs="Arial"/>
          <w:color w:val="444444"/>
          <w:szCs w:val="20"/>
          <w:lang w:eastAsia="fr-FR"/>
        </w:rPr>
        <w:t>En bout de chaîne, à 18 km d'Abidjan, l'abattoir affiche une capacité maximale journalière de 30 000 volailles</w:t>
      </w:r>
      <w:r w:rsidR="00F34E85" w:rsidRPr="00D42B1B">
        <w:rPr>
          <w:rFonts w:eastAsia="Times New Roman" w:cs="Arial"/>
          <w:color w:val="444444"/>
          <w:szCs w:val="20"/>
          <w:lang w:eastAsia="fr-FR"/>
        </w:rPr>
        <w:t>, s</w:t>
      </w:r>
      <w:r w:rsidRPr="00D42B1B">
        <w:rPr>
          <w:rFonts w:eastAsia="Times New Roman" w:cs="Arial"/>
          <w:color w:val="444444"/>
          <w:szCs w:val="20"/>
          <w:lang w:eastAsia="fr-FR"/>
        </w:rPr>
        <w:t>oit une production annuelle d'environ 22</w:t>
      </w:r>
      <w:r w:rsidR="00AD0691">
        <w:rPr>
          <w:rFonts w:eastAsia="Times New Roman" w:cs="Arial"/>
          <w:color w:val="444444"/>
          <w:szCs w:val="20"/>
          <w:lang w:eastAsia="fr-FR"/>
        </w:rPr>
        <w:t> </w:t>
      </w:r>
      <w:r w:rsidRPr="00D42B1B">
        <w:rPr>
          <w:rFonts w:eastAsia="Times New Roman" w:cs="Arial"/>
          <w:color w:val="444444"/>
          <w:szCs w:val="20"/>
          <w:lang w:eastAsia="fr-FR"/>
        </w:rPr>
        <w:t>000 tonnes de viande. Si S</w:t>
      </w:r>
      <w:r w:rsidR="00F34E85" w:rsidRPr="00D42B1B">
        <w:rPr>
          <w:rFonts w:eastAsia="Times New Roman" w:cs="Arial"/>
          <w:color w:val="444444"/>
          <w:szCs w:val="20"/>
          <w:lang w:eastAsia="fr-FR"/>
        </w:rPr>
        <w:t xml:space="preserve">IPRA </w:t>
      </w:r>
      <w:r w:rsidRPr="00D42B1B">
        <w:rPr>
          <w:rFonts w:eastAsia="Times New Roman" w:cs="Arial"/>
          <w:color w:val="444444"/>
          <w:szCs w:val="20"/>
          <w:lang w:eastAsia="fr-FR"/>
        </w:rPr>
        <w:t>est la pièce maîtresse d'A</w:t>
      </w:r>
      <w:r w:rsidR="00F34E85" w:rsidRPr="00D42B1B">
        <w:rPr>
          <w:rFonts w:eastAsia="Times New Roman" w:cs="Arial"/>
          <w:color w:val="444444"/>
          <w:szCs w:val="20"/>
          <w:lang w:eastAsia="fr-FR"/>
        </w:rPr>
        <w:t>VOS</w:t>
      </w:r>
      <w:r w:rsidRPr="00D42B1B">
        <w:rPr>
          <w:rFonts w:eastAsia="Times New Roman" w:cs="Arial"/>
          <w:color w:val="444444"/>
          <w:szCs w:val="20"/>
          <w:lang w:eastAsia="fr-FR"/>
        </w:rPr>
        <w:t>, le groupe, entend se développer en dehors de la Côte d'Ivoire. Actif au Mali et au Ghana, où il exporte œufs, poussins d'un jour et pâtes alimentaires, il a ouvert une filiale au Burkina Faso en 2014, la Société burkinabè de production animale (S</w:t>
      </w:r>
      <w:r w:rsidR="00F34E85" w:rsidRPr="00D42B1B">
        <w:rPr>
          <w:rFonts w:eastAsia="Times New Roman" w:cs="Arial"/>
          <w:color w:val="444444"/>
          <w:szCs w:val="20"/>
          <w:lang w:eastAsia="fr-FR"/>
        </w:rPr>
        <w:t>OBUPRA</w:t>
      </w:r>
      <w:r w:rsidRPr="00D42B1B">
        <w:rPr>
          <w:rFonts w:eastAsia="Times New Roman" w:cs="Arial"/>
          <w:color w:val="444444"/>
          <w:szCs w:val="20"/>
          <w:lang w:eastAsia="fr-FR"/>
        </w:rPr>
        <w:t>).</w:t>
      </w:r>
      <w:r w:rsidR="00F34E85"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Début 2025, il a </w:t>
      </w:r>
      <w:r w:rsidR="00F34E85" w:rsidRPr="00D42B1B">
        <w:rPr>
          <w:rFonts w:eastAsia="Times New Roman" w:cs="Arial"/>
          <w:color w:val="444444"/>
          <w:szCs w:val="20"/>
          <w:lang w:eastAsia="fr-FR"/>
        </w:rPr>
        <w:t xml:space="preserve">repris </w:t>
      </w:r>
      <w:r w:rsidRPr="00D42B1B">
        <w:rPr>
          <w:rFonts w:eastAsia="Times New Roman" w:cs="Arial"/>
          <w:color w:val="444444"/>
          <w:szCs w:val="20"/>
          <w:lang w:eastAsia="fr-FR"/>
        </w:rPr>
        <w:t>deux moulins du groupe Castel, la Société générale des moulins du Togo (SGMT) et, surtout, la Société meunière et avicole du Gabon (S</w:t>
      </w:r>
      <w:r w:rsidR="00F34E85" w:rsidRPr="00D42B1B">
        <w:rPr>
          <w:rFonts w:eastAsia="Times New Roman" w:cs="Arial"/>
          <w:color w:val="444444"/>
          <w:szCs w:val="20"/>
          <w:lang w:eastAsia="fr-FR"/>
        </w:rPr>
        <w:t>MAG</w:t>
      </w:r>
      <w:r w:rsidRPr="00D42B1B">
        <w:rPr>
          <w:rFonts w:eastAsia="Times New Roman" w:cs="Arial"/>
          <w:color w:val="444444"/>
          <w:szCs w:val="20"/>
          <w:lang w:eastAsia="fr-FR"/>
        </w:rPr>
        <w:t xml:space="preserve">), entité forte d'un moulin et d'une unité de production d'alimentation animale. Dans la foulée, le fonds d'investissement norvégien </w:t>
      </w:r>
      <w:proofErr w:type="spellStart"/>
      <w:r w:rsidRPr="00D42B1B">
        <w:rPr>
          <w:rFonts w:eastAsia="Times New Roman" w:cs="Arial"/>
          <w:color w:val="444444"/>
          <w:szCs w:val="20"/>
          <w:lang w:eastAsia="fr-FR"/>
        </w:rPr>
        <w:t>Norfund</w:t>
      </w:r>
      <w:proofErr w:type="spellEnd"/>
      <w:r w:rsidRPr="00D42B1B">
        <w:rPr>
          <w:rFonts w:eastAsia="Times New Roman" w:cs="Arial"/>
          <w:color w:val="444444"/>
          <w:szCs w:val="20"/>
          <w:lang w:eastAsia="fr-FR"/>
        </w:rPr>
        <w:t xml:space="preserve"> est entré, en fin d'année, au capital de S</w:t>
      </w:r>
      <w:r w:rsidR="00F34E85" w:rsidRPr="00D42B1B">
        <w:rPr>
          <w:rFonts w:eastAsia="Times New Roman" w:cs="Arial"/>
          <w:color w:val="444444"/>
          <w:szCs w:val="20"/>
          <w:lang w:eastAsia="fr-FR"/>
        </w:rPr>
        <w:t xml:space="preserve">IPRA </w:t>
      </w:r>
      <w:r w:rsidRPr="00D42B1B">
        <w:rPr>
          <w:rFonts w:eastAsia="Times New Roman" w:cs="Arial"/>
          <w:color w:val="444444"/>
          <w:szCs w:val="20"/>
          <w:lang w:eastAsia="fr-FR"/>
        </w:rPr>
        <w:t xml:space="preserve">en y injectant plus de 20 </w:t>
      </w:r>
      <w:r w:rsidR="00F34E85" w:rsidRPr="00D42B1B">
        <w:rPr>
          <w:rFonts w:eastAsia="Times New Roman" w:cs="Arial"/>
          <w:color w:val="444444"/>
          <w:szCs w:val="20"/>
          <w:lang w:eastAsia="fr-FR"/>
        </w:rPr>
        <w:t xml:space="preserve">M EUR </w:t>
      </w:r>
      <w:r w:rsidRPr="00D42B1B">
        <w:rPr>
          <w:rFonts w:eastAsia="Times New Roman" w:cs="Arial"/>
          <w:color w:val="444444"/>
          <w:szCs w:val="20"/>
          <w:lang w:eastAsia="fr-FR"/>
        </w:rPr>
        <w:t xml:space="preserve">(pour une prise de </w:t>
      </w:r>
      <w:r w:rsidRPr="00D42B1B">
        <w:rPr>
          <w:rFonts w:eastAsia="Times New Roman" w:cs="Arial"/>
          <w:color w:val="444444"/>
          <w:szCs w:val="20"/>
          <w:lang w:eastAsia="fr-FR"/>
        </w:rPr>
        <w:lastRenderedPageBreak/>
        <w:t>participation non communiquée). Une opération qui confirme le potentiel du marché ivoirien.</w:t>
      </w:r>
      <w:r w:rsidR="00F34E85" w:rsidRPr="00D42B1B">
        <w:rPr>
          <w:rFonts w:eastAsia="Times New Roman" w:cs="Arial"/>
          <w:color w:val="444444"/>
          <w:szCs w:val="20"/>
          <w:lang w:eastAsia="fr-FR"/>
        </w:rPr>
        <w:t xml:space="preserve"> </w:t>
      </w:r>
      <w:r w:rsidRPr="00D42B1B">
        <w:rPr>
          <w:rFonts w:eastAsia="Times New Roman" w:cs="Arial"/>
          <w:color w:val="444444"/>
          <w:szCs w:val="20"/>
          <w:lang w:eastAsia="fr-FR"/>
        </w:rPr>
        <w:t>Pour autant, la concurrence ne se bouscule pas au portillon pour contester le leadership de S</w:t>
      </w:r>
      <w:r w:rsidR="00F34E85" w:rsidRPr="00D42B1B">
        <w:rPr>
          <w:rFonts w:eastAsia="Times New Roman" w:cs="Arial"/>
          <w:color w:val="444444"/>
          <w:szCs w:val="20"/>
          <w:lang w:eastAsia="fr-FR"/>
        </w:rPr>
        <w:t>IPRA</w:t>
      </w:r>
      <w:r w:rsidRPr="00D42B1B">
        <w:rPr>
          <w:rFonts w:eastAsia="Times New Roman" w:cs="Arial"/>
          <w:color w:val="444444"/>
          <w:szCs w:val="20"/>
          <w:lang w:eastAsia="fr-FR"/>
        </w:rPr>
        <w:t>. F</w:t>
      </w:r>
      <w:r w:rsidR="00F34E85" w:rsidRPr="00D42B1B">
        <w:rPr>
          <w:rFonts w:eastAsia="Times New Roman" w:cs="Arial"/>
          <w:color w:val="444444"/>
          <w:szCs w:val="20"/>
          <w:lang w:eastAsia="fr-FR"/>
        </w:rPr>
        <w:t xml:space="preserve">OANI </w:t>
      </w:r>
      <w:r w:rsidRPr="00D42B1B">
        <w:rPr>
          <w:rFonts w:eastAsia="Times New Roman" w:cs="Arial"/>
          <w:color w:val="444444"/>
          <w:szCs w:val="20"/>
          <w:lang w:eastAsia="fr-FR"/>
        </w:rPr>
        <w:t xml:space="preserve">Services fait figure d'adversaire le plus solide. Lancé en 1975 par </w:t>
      </w:r>
      <w:r w:rsidR="00310AFC" w:rsidRPr="00D42B1B">
        <w:rPr>
          <w:rFonts w:eastAsia="Times New Roman" w:cs="Arial"/>
          <w:color w:val="444444"/>
          <w:szCs w:val="20"/>
          <w:lang w:eastAsia="fr-FR"/>
        </w:rPr>
        <w:t xml:space="preserve">M. </w:t>
      </w:r>
      <w:r w:rsidRPr="00D42B1B">
        <w:rPr>
          <w:rFonts w:eastAsia="Times New Roman" w:cs="Arial"/>
          <w:color w:val="444444"/>
          <w:szCs w:val="20"/>
          <w:lang w:eastAsia="fr-FR"/>
        </w:rPr>
        <w:t xml:space="preserve">Ali Ouattara à </w:t>
      </w:r>
      <w:proofErr w:type="spellStart"/>
      <w:r w:rsidRPr="00D42B1B">
        <w:rPr>
          <w:rFonts w:eastAsia="Times New Roman" w:cs="Arial"/>
          <w:color w:val="444444"/>
          <w:szCs w:val="20"/>
          <w:lang w:eastAsia="fr-FR"/>
        </w:rPr>
        <w:t>Agnibilékrou</w:t>
      </w:r>
      <w:proofErr w:type="spellEnd"/>
      <w:r w:rsidRPr="00D42B1B">
        <w:rPr>
          <w:rFonts w:eastAsia="Times New Roman" w:cs="Arial"/>
          <w:color w:val="444444"/>
          <w:szCs w:val="20"/>
          <w:lang w:eastAsia="fr-FR"/>
        </w:rPr>
        <w:t xml:space="preserve">, le modeste </w:t>
      </w:r>
      <w:r w:rsidR="00310AFC" w:rsidRPr="00D42B1B">
        <w:rPr>
          <w:rFonts w:eastAsia="Times New Roman" w:cs="Arial"/>
          <w:color w:val="444444"/>
          <w:szCs w:val="20"/>
          <w:lang w:eastAsia="fr-FR"/>
        </w:rPr>
        <w:t xml:space="preserve">élevage </w:t>
      </w:r>
      <w:r w:rsidRPr="00D42B1B">
        <w:rPr>
          <w:rFonts w:eastAsia="Times New Roman" w:cs="Arial"/>
          <w:color w:val="444444"/>
          <w:szCs w:val="20"/>
          <w:lang w:eastAsia="fr-FR"/>
        </w:rPr>
        <w:t>de départ s'est mué en une vaste ferme intégrée regroupant activités d'élevage et d'abattage. Grâce à ses 500 000 poules pondeuses, l'entreprise, qui emploie 250 personnes et dispose d'un site industriel en bordure d'Abidjan, s'est affirmée sur le créneau de la production d'œufs. Sur le volet alimentation animale, le géant hollandais K</w:t>
      </w:r>
      <w:r w:rsidR="00310AFC" w:rsidRPr="00D42B1B">
        <w:rPr>
          <w:rFonts w:eastAsia="Times New Roman" w:cs="Arial"/>
          <w:color w:val="444444"/>
          <w:szCs w:val="20"/>
          <w:lang w:eastAsia="fr-FR"/>
        </w:rPr>
        <w:t>OUDIJS</w:t>
      </w:r>
      <w:r w:rsidRPr="00D42B1B">
        <w:rPr>
          <w:rFonts w:eastAsia="Times New Roman" w:cs="Arial"/>
          <w:color w:val="444444"/>
          <w:szCs w:val="20"/>
          <w:lang w:eastAsia="fr-FR"/>
        </w:rPr>
        <w:t>, implanté en Côte d'Ivoire depuis 2009, a musclé sa présence avec une usine sortie de terre en 2023, et ambitionne de produire 250 000 tonnes d'aliments par an.</w:t>
      </w:r>
      <w:r w:rsidR="00310AFC" w:rsidRPr="00D42B1B">
        <w:rPr>
          <w:rFonts w:eastAsia="Times New Roman" w:cs="Arial"/>
          <w:color w:val="444444"/>
          <w:szCs w:val="20"/>
          <w:lang w:eastAsia="fr-FR"/>
        </w:rPr>
        <w:t xml:space="preserve"> </w:t>
      </w:r>
      <w:r w:rsidRPr="00D42B1B">
        <w:rPr>
          <w:rFonts w:eastAsia="Times New Roman" w:cs="Arial"/>
          <w:color w:val="444444"/>
          <w:szCs w:val="20"/>
          <w:lang w:eastAsia="fr-FR"/>
        </w:rPr>
        <w:t>Mais, pour ce qui est de la production de viande de volaille en tant que telle, on ne constate pas de décollage. Annoncée en 2020, l'implantation imminente d'une usine tout-en-un par l'israélien A</w:t>
      </w:r>
      <w:r w:rsidR="00310AFC" w:rsidRPr="00D42B1B">
        <w:rPr>
          <w:rFonts w:eastAsia="Times New Roman" w:cs="Arial"/>
          <w:color w:val="444444"/>
          <w:szCs w:val="20"/>
          <w:lang w:eastAsia="fr-FR"/>
        </w:rPr>
        <w:t>GROTOP</w:t>
      </w:r>
      <w:r w:rsidRPr="00D42B1B">
        <w:rPr>
          <w:rFonts w:eastAsia="Times New Roman" w:cs="Arial"/>
          <w:color w:val="444444"/>
          <w:szCs w:val="20"/>
          <w:lang w:eastAsia="fr-FR"/>
        </w:rPr>
        <w:t xml:space="preserve"> n'a jamais dépassé le stade de la promesse. En 2025, le groupe canadien W</w:t>
      </w:r>
      <w:r w:rsidR="00310AFC" w:rsidRPr="00D42B1B">
        <w:rPr>
          <w:rFonts w:eastAsia="Times New Roman" w:cs="Arial"/>
          <w:color w:val="444444"/>
          <w:szCs w:val="20"/>
          <w:lang w:eastAsia="fr-FR"/>
        </w:rPr>
        <w:t>ESTCO</w:t>
      </w:r>
      <w:r w:rsidRPr="00D42B1B">
        <w:rPr>
          <w:rFonts w:eastAsia="Times New Roman" w:cs="Arial"/>
          <w:color w:val="444444"/>
          <w:szCs w:val="20"/>
          <w:lang w:eastAsia="fr-FR"/>
        </w:rPr>
        <w:t xml:space="preserve"> a lui aussi exprimé son intérêt pour la Côte d'Ivoire, mais</w:t>
      </w:r>
      <w:r w:rsidR="00310AFC" w:rsidRPr="00D42B1B">
        <w:rPr>
          <w:rFonts w:eastAsia="Times New Roman" w:cs="Arial"/>
          <w:color w:val="444444"/>
          <w:szCs w:val="20"/>
          <w:lang w:eastAsia="fr-FR"/>
        </w:rPr>
        <w:t xml:space="preserve"> sans donner de suite pour l’instant</w:t>
      </w:r>
      <w:r w:rsidRPr="00D42B1B">
        <w:rPr>
          <w:rFonts w:eastAsia="Times New Roman" w:cs="Arial"/>
          <w:color w:val="444444"/>
          <w:szCs w:val="20"/>
          <w:lang w:eastAsia="fr-FR"/>
        </w:rPr>
        <w:t>. Pour atteindre les 115 000 tonnes de viande produites en 2024, le pays dépend encore largement de petits producteurs locaux. Parmi eux, une majorité opte pour l'élevage de « poulets de chair »</w:t>
      </w:r>
      <w:r w:rsidR="00310AFC" w:rsidRPr="00D42B1B">
        <w:rPr>
          <w:rFonts w:eastAsia="Times New Roman" w:cs="Arial"/>
          <w:color w:val="444444"/>
          <w:szCs w:val="20"/>
          <w:lang w:eastAsia="fr-FR"/>
        </w:rPr>
        <w:t xml:space="preserve">. </w:t>
      </w:r>
      <w:r w:rsidRPr="00D42B1B">
        <w:rPr>
          <w:rFonts w:eastAsia="Times New Roman" w:cs="Arial"/>
          <w:color w:val="444444"/>
          <w:szCs w:val="20"/>
          <w:lang w:eastAsia="fr-FR"/>
        </w:rPr>
        <w:t>Selon le P</w:t>
      </w:r>
      <w:r w:rsidR="00310AFC" w:rsidRPr="00D42B1B">
        <w:rPr>
          <w:rFonts w:eastAsia="Times New Roman" w:cs="Arial"/>
          <w:color w:val="444444"/>
          <w:szCs w:val="20"/>
          <w:lang w:eastAsia="fr-FR"/>
        </w:rPr>
        <w:t>APAN</w:t>
      </w:r>
      <w:r w:rsidRPr="00D42B1B">
        <w:rPr>
          <w:rFonts w:eastAsia="Times New Roman" w:cs="Arial"/>
          <w:color w:val="444444"/>
          <w:szCs w:val="20"/>
          <w:lang w:eastAsia="fr-FR"/>
        </w:rPr>
        <w:t>, on compte quelque 5 000 petites structures dans le pays.</w:t>
      </w:r>
      <w:r w:rsidR="00310AFC"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De nouveaux acteurs essayent toutefois de grappiller des parts de marché. </w:t>
      </w:r>
      <w:r w:rsidR="00310AFC" w:rsidRPr="00D42B1B">
        <w:rPr>
          <w:rFonts w:eastAsia="Times New Roman" w:cs="Arial"/>
          <w:color w:val="444444"/>
          <w:szCs w:val="20"/>
          <w:lang w:eastAsia="fr-FR"/>
        </w:rPr>
        <w:t>AFRIPOULE, entreprise c</w:t>
      </w:r>
      <w:r w:rsidRPr="00D42B1B">
        <w:rPr>
          <w:rFonts w:eastAsia="Times New Roman" w:cs="Arial"/>
          <w:color w:val="444444"/>
          <w:szCs w:val="20"/>
          <w:lang w:eastAsia="fr-FR"/>
        </w:rPr>
        <w:t>réé</w:t>
      </w:r>
      <w:r w:rsidR="00310AFC" w:rsidRPr="00D42B1B">
        <w:rPr>
          <w:rFonts w:eastAsia="Times New Roman" w:cs="Arial"/>
          <w:color w:val="444444"/>
          <w:szCs w:val="20"/>
          <w:lang w:eastAsia="fr-FR"/>
        </w:rPr>
        <w:t>e</w:t>
      </w:r>
      <w:r w:rsidRPr="00D42B1B">
        <w:rPr>
          <w:rFonts w:eastAsia="Times New Roman" w:cs="Arial"/>
          <w:color w:val="444444"/>
          <w:szCs w:val="20"/>
          <w:lang w:eastAsia="fr-FR"/>
        </w:rPr>
        <w:t xml:space="preserve"> en 2020 par </w:t>
      </w:r>
      <w:r w:rsidR="00310AFC" w:rsidRPr="00D42B1B">
        <w:rPr>
          <w:rFonts w:eastAsia="Times New Roman" w:cs="Arial"/>
          <w:color w:val="444444"/>
          <w:szCs w:val="20"/>
          <w:lang w:eastAsia="fr-FR"/>
        </w:rPr>
        <w:t xml:space="preserve">M. </w:t>
      </w:r>
      <w:r w:rsidRPr="00D42B1B">
        <w:rPr>
          <w:rFonts w:eastAsia="Times New Roman" w:cs="Arial"/>
          <w:color w:val="444444"/>
          <w:szCs w:val="20"/>
          <w:lang w:eastAsia="fr-FR"/>
        </w:rPr>
        <w:t xml:space="preserve">Ibrahim </w:t>
      </w:r>
      <w:proofErr w:type="spellStart"/>
      <w:r w:rsidRPr="00D42B1B">
        <w:rPr>
          <w:rFonts w:eastAsia="Times New Roman" w:cs="Arial"/>
          <w:color w:val="444444"/>
          <w:szCs w:val="20"/>
          <w:lang w:eastAsia="fr-FR"/>
        </w:rPr>
        <w:t>Hamade</w:t>
      </w:r>
      <w:proofErr w:type="spellEnd"/>
      <w:r w:rsidRPr="00D42B1B">
        <w:rPr>
          <w:rFonts w:eastAsia="Times New Roman" w:cs="Arial"/>
          <w:color w:val="444444"/>
          <w:szCs w:val="20"/>
          <w:lang w:eastAsia="fr-FR"/>
        </w:rPr>
        <w:t xml:space="preserve"> </w:t>
      </w:r>
      <w:r w:rsidR="00A4583C" w:rsidRPr="00D42B1B">
        <w:rPr>
          <w:rFonts w:eastAsia="Times New Roman" w:cs="Arial"/>
          <w:color w:val="444444"/>
          <w:szCs w:val="20"/>
          <w:lang w:eastAsia="fr-FR"/>
        </w:rPr>
        <w:t xml:space="preserve">Selman </w:t>
      </w:r>
      <w:r w:rsidRPr="00D42B1B">
        <w:rPr>
          <w:rFonts w:eastAsia="Times New Roman" w:cs="Arial"/>
          <w:color w:val="444444"/>
          <w:szCs w:val="20"/>
          <w:lang w:eastAsia="fr-FR"/>
        </w:rPr>
        <w:t xml:space="preserve">et </w:t>
      </w:r>
      <w:r w:rsidR="00A4583C" w:rsidRPr="00D42B1B">
        <w:rPr>
          <w:rFonts w:eastAsia="Times New Roman" w:cs="Arial"/>
          <w:color w:val="444444"/>
          <w:szCs w:val="20"/>
          <w:lang w:eastAsia="fr-FR"/>
        </w:rPr>
        <w:t>M. </w:t>
      </w:r>
      <w:r w:rsidRPr="00D42B1B">
        <w:rPr>
          <w:rFonts w:eastAsia="Times New Roman" w:cs="Arial"/>
          <w:color w:val="444444"/>
          <w:szCs w:val="20"/>
          <w:lang w:eastAsia="fr-FR"/>
        </w:rPr>
        <w:t xml:space="preserve">Mohamad Mahmoud </w:t>
      </w:r>
      <w:bookmarkStart w:id="92" w:name="_Hlk232255358"/>
      <w:r w:rsidRPr="00D42B1B">
        <w:rPr>
          <w:rFonts w:eastAsia="Times New Roman" w:cs="Arial"/>
          <w:color w:val="444444"/>
          <w:szCs w:val="20"/>
          <w:lang w:eastAsia="fr-FR"/>
        </w:rPr>
        <w:t>Selman</w:t>
      </w:r>
      <w:bookmarkEnd w:id="92"/>
      <w:r w:rsidRPr="00D42B1B">
        <w:rPr>
          <w:rFonts w:eastAsia="Times New Roman" w:cs="Arial"/>
          <w:color w:val="444444"/>
          <w:szCs w:val="20"/>
          <w:lang w:eastAsia="fr-FR"/>
        </w:rPr>
        <w:t>, a installé sa base opérationnelle dans le village d'</w:t>
      </w:r>
      <w:proofErr w:type="spellStart"/>
      <w:r w:rsidRPr="00D42B1B">
        <w:rPr>
          <w:rFonts w:eastAsia="Times New Roman" w:cs="Arial"/>
          <w:color w:val="444444"/>
          <w:szCs w:val="20"/>
          <w:lang w:eastAsia="fr-FR"/>
        </w:rPr>
        <w:t>Agbavian</w:t>
      </w:r>
      <w:proofErr w:type="spellEnd"/>
      <w:r w:rsidRPr="00D42B1B">
        <w:rPr>
          <w:rFonts w:eastAsia="Times New Roman" w:cs="Arial"/>
          <w:color w:val="444444"/>
          <w:szCs w:val="20"/>
          <w:lang w:eastAsia="fr-FR"/>
        </w:rPr>
        <w:t xml:space="preserve">, sur l'axe autoroutier Abidjan-Yamoussoukro. Celle-ci regroupe, depuis 2024, les trois grandes activités du secteur : alimentation avicole, production de poussins et élevage de volailles. Forts d'une chaîne flambant neuve et mécanisée, les dirigeants se projettent en industriels, mettant l'accent sur un approvisionnement en matières premières (maïs, huile de palme) 100% local. </w:t>
      </w:r>
      <w:r w:rsidR="00A4583C" w:rsidRPr="00D42B1B">
        <w:rPr>
          <w:rFonts w:eastAsia="Times New Roman" w:cs="Arial"/>
          <w:color w:val="444444"/>
          <w:szCs w:val="20"/>
          <w:lang w:eastAsia="fr-FR"/>
        </w:rPr>
        <w:t xml:space="preserve">La </w:t>
      </w:r>
      <w:r w:rsidRPr="00D42B1B">
        <w:rPr>
          <w:rFonts w:eastAsia="Times New Roman" w:cs="Arial"/>
          <w:color w:val="444444"/>
          <w:szCs w:val="20"/>
          <w:lang w:eastAsia="fr-FR"/>
        </w:rPr>
        <w:t>S</w:t>
      </w:r>
      <w:r w:rsidR="00310AFC" w:rsidRPr="00D42B1B">
        <w:rPr>
          <w:rFonts w:eastAsia="Times New Roman" w:cs="Arial"/>
          <w:color w:val="444444"/>
          <w:szCs w:val="20"/>
          <w:lang w:eastAsia="fr-FR"/>
        </w:rPr>
        <w:t>IPRA</w:t>
      </w:r>
      <w:r w:rsidRPr="00D42B1B">
        <w:rPr>
          <w:rFonts w:eastAsia="Times New Roman" w:cs="Arial"/>
          <w:color w:val="444444"/>
          <w:szCs w:val="20"/>
          <w:lang w:eastAsia="fr-FR"/>
        </w:rPr>
        <w:t xml:space="preserve"> mise déjà </w:t>
      </w:r>
      <w:r w:rsidR="00A4583C" w:rsidRPr="00D42B1B">
        <w:rPr>
          <w:rFonts w:eastAsia="Times New Roman" w:cs="Arial"/>
          <w:color w:val="444444"/>
          <w:szCs w:val="20"/>
          <w:lang w:eastAsia="fr-FR"/>
        </w:rPr>
        <w:t xml:space="preserve">sur cette stratégie </w:t>
      </w:r>
      <w:r w:rsidRPr="00D42B1B">
        <w:rPr>
          <w:rFonts w:eastAsia="Times New Roman" w:cs="Arial"/>
          <w:color w:val="444444"/>
          <w:szCs w:val="20"/>
          <w:lang w:eastAsia="fr-FR"/>
        </w:rPr>
        <w:t>depuis longtemps grâce à ses 5 000 h</w:t>
      </w:r>
      <w:r w:rsidR="00310AFC" w:rsidRPr="00D42B1B">
        <w:rPr>
          <w:rFonts w:eastAsia="Times New Roman" w:cs="Arial"/>
          <w:color w:val="444444"/>
          <w:szCs w:val="20"/>
          <w:lang w:eastAsia="fr-FR"/>
        </w:rPr>
        <w:t>a</w:t>
      </w:r>
      <w:r w:rsidRPr="00D42B1B">
        <w:rPr>
          <w:rFonts w:eastAsia="Times New Roman" w:cs="Arial"/>
          <w:color w:val="444444"/>
          <w:szCs w:val="20"/>
          <w:lang w:eastAsia="fr-FR"/>
        </w:rPr>
        <w:t xml:space="preserve"> de maïs en Côte d'Ivoire.</w:t>
      </w:r>
      <w:r w:rsidR="00A4583C" w:rsidRPr="00D42B1B">
        <w:rPr>
          <w:rFonts w:eastAsia="Times New Roman" w:cs="Arial"/>
          <w:color w:val="444444"/>
          <w:szCs w:val="20"/>
          <w:lang w:eastAsia="fr-FR"/>
        </w:rPr>
        <w:t xml:space="preserve"> </w:t>
      </w:r>
      <w:r w:rsidRPr="00D42B1B">
        <w:rPr>
          <w:rFonts w:eastAsia="Times New Roman" w:cs="Arial"/>
          <w:color w:val="444444"/>
          <w:szCs w:val="20"/>
          <w:lang w:eastAsia="fr-FR"/>
        </w:rPr>
        <w:t>Les structures d'élevage industrielles sont pour l'instant très limitées</w:t>
      </w:r>
      <w:r w:rsidR="00A4583C" w:rsidRPr="00D42B1B">
        <w:rPr>
          <w:rFonts w:eastAsia="Times New Roman" w:cs="Arial"/>
          <w:color w:val="444444"/>
          <w:szCs w:val="20"/>
          <w:lang w:eastAsia="fr-FR"/>
        </w:rPr>
        <w:t>, l</w:t>
      </w:r>
      <w:r w:rsidRPr="00D42B1B">
        <w:rPr>
          <w:rFonts w:eastAsia="Times New Roman" w:cs="Arial"/>
          <w:color w:val="444444"/>
          <w:szCs w:val="20"/>
          <w:lang w:eastAsia="fr-FR"/>
        </w:rPr>
        <w:t xml:space="preserve">'éleveur moyen a quelques centaines de volailles </w:t>
      </w:r>
      <w:r w:rsidR="00A4583C" w:rsidRPr="00D42B1B">
        <w:rPr>
          <w:rFonts w:eastAsia="Times New Roman" w:cs="Arial"/>
          <w:color w:val="444444"/>
          <w:szCs w:val="20"/>
          <w:lang w:eastAsia="fr-FR"/>
        </w:rPr>
        <w:t>alors que</w:t>
      </w:r>
      <w:r w:rsidRPr="00D42B1B">
        <w:rPr>
          <w:rFonts w:eastAsia="Times New Roman" w:cs="Arial"/>
          <w:color w:val="444444"/>
          <w:szCs w:val="20"/>
          <w:lang w:eastAsia="fr-FR"/>
        </w:rPr>
        <w:t xml:space="preserve"> dans d'autres régions du monde, ce chiffre n'existe plus. Sachant que le niveau de vie augmente, bien que de façon inégale, la viande blanche comme le poulet</w:t>
      </w:r>
      <w:r w:rsidR="00A4583C" w:rsidRPr="00D42B1B">
        <w:rPr>
          <w:rFonts w:eastAsia="Times New Roman" w:cs="Arial"/>
          <w:color w:val="444444"/>
          <w:szCs w:val="20"/>
          <w:lang w:eastAsia="fr-FR"/>
        </w:rPr>
        <w:t xml:space="preserve">, </w:t>
      </w:r>
      <w:r w:rsidRPr="00D42B1B">
        <w:rPr>
          <w:rFonts w:eastAsia="Times New Roman" w:cs="Arial"/>
          <w:color w:val="444444"/>
          <w:szCs w:val="20"/>
          <w:lang w:eastAsia="fr-FR"/>
        </w:rPr>
        <w:t>moins chère que le bœuf</w:t>
      </w:r>
      <w:r w:rsidR="00A4583C"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verra sa consommation augmenter </w:t>
      </w:r>
      <w:r w:rsidR="00A4583C" w:rsidRPr="00D42B1B">
        <w:rPr>
          <w:rFonts w:eastAsia="Times New Roman" w:cs="Arial"/>
          <w:color w:val="444444"/>
          <w:szCs w:val="20"/>
          <w:lang w:eastAsia="fr-FR"/>
        </w:rPr>
        <w:t>selon M. </w:t>
      </w:r>
      <w:r w:rsidRPr="00D42B1B">
        <w:rPr>
          <w:rFonts w:eastAsia="Times New Roman" w:cs="Arial"/>
          <w:color w:val="444444"/>
          <w:szCs w:val="20"/>
          <w:lang w:eastAsia="fr-FR"/>
        </w:rPr>
        <w:t>Hatem</w:t>
      </w:r>
      <w:r w:rsidR="00A4583C" w:rsidRPr="00D42B1B">
        <w:rPr>
          <w:rFonts w:eastAsia="Times New Roman" w:cs="Arial"/>
          <w:color w:val="444444"/>
          <w:szCs w:val="20"/>
          <w:lang w:eastAsia="fr-FR"/>
        </w:rPr>
        <w:t> </w:t>
      </w:r>
      <w:r w:rsidRPr="00D42B1B">
        <w:rPr>
          <w:rFonts w:eastAsia="Times New Roman" w:cs="Arial"/>
          <w:color w:val="444444"/>
          <w:szCs w:val="20"/>
          <w:lang w:eastAsia="fr-FR"/>
        </w:rPr>
        <w:t>Ben</w:t>
      </w:r>
      <w:r w:rsidR="000E5691" w:rsidRPr="00D42B1B">
        <w:rPr>
          <w:rFonts w:eastAsia="Times New Roman" w:cs="Arial"/>
          <w:color w:val="444444"/>
          <w:szCs w:val="20"/>
          <w:lang w:eastAsia="fr-FR"/>
        </w:rPr>
        <w:t> </w:t>
      </w:r>
      <w:r w:rsidRPr="00D42B1B">
        <w:rPr>
          <w:rFonts w:eastAsia="Times New Roman" w:cs="Arial"/>
          <w:color w:val="444444"/>
          <w:szCs w:val="20"/>
          <w:lang w:eastAsia="fr-FR"/>
        </w:rPr>
        <w:t>Moussa, ingénieur zootechnique et directeur des opérations d'A</w:t>
      </w:r>
      <w:r w:rsidR="00A4583C" w:rsidRPr="00D42B1B">
        <w:rPr>
          <w:rFonts w:eastAsia="Times New Roman" w:cs="Arial"/>
          <w:color w:val="444444"/>
          <w:szCs w:val="20"/>
          <w:lang w:eastAsia="fr-FR"/>
        </w:rPr>
        <w:t>FRIPOULE</w:t>
      </w:r>
      <w:r w:rsidRPr="00D42B1B">
        <w:rPr>
          <w:rFonts w:eastAsia="Times New Roman" w:cs="Arial"/>
          <w:color w:val="444444"/>
          <w:szCs w:val="20"/>
          <w:lang w:eastAsia="fr-FR"/>
        </w:rPr>
        <w:t>.</w:t>
      </w:r>
    </w:p>
    <w:p w14:paraId="54E35808" w14:textId="0E04BBDC" w:rsidR="0022068E" w:rsidRPr="00D42B1B" w:rsidRDefault="0022068E" w:rsidP="00994F92">
      <w:pPr>
        <w:shd w:val="clear" w:color="auto" w:fill="FFFFFF"/>
        <w:spacing w:after="0" w:line="276" w:lineRule="auto"/>
        <w:rPr>
          <w:rFonts w:eastAsia="Times New Roman" w:cs="Arial"/>
          <w:color w:val="444444"/>
          <w:szCs w:val="20"/>
          <w:lang w:eastAsia="fr-FR"/>
        </w:rPr>
      </w:pPr>
    </w:p>
    <w:p w14:paraId="22873479" w14:textId="72B56A76" w:rsidR="004D4546" w:rsidRPr="00D42B1B" w:rsidRDefault="004D4546" w:rsidP="004A3D55">
      <w:pPr>
        <w:pStyle w:val="Titre2"/>
        <w:spacing w:before="0"/>
        <w:rPr>
          <w:rFonts w:eastAsiaTheme="minorHAnsi"/>
        </w:rPr>
      </w:pPr>
      <w:bookmarkStart w:id="93" w:name="_Toc233878699"/>
      <w:r w:rsidRPr="00D42B1B">
        <w:rPr>
          <w:rFonts w:eastAsia="Times New Roman" w:cs="Arial"/>
          <w:color w:val="444444"/>
          <w:szCs w:val="20"/>
          <w:lang w:eastAsia="fr-FR"/>
        </w:rPr>
        <w:t xml:space="preserve">Pêche </w:t>
      </w:r>
      <w:r w:rsidR="004A3D55" w:rsidRPr="00D42B1B">
        <w:rPr>
          <w:rFonts w:eastAsia="Times New Roman" w:cs="Arial"/>
          <w:color w:val="444444"/>
          <w:szCs w:val="20"/>
          <w:lang w:eastAsia="fr-FR"/>
        </w:rPr>
        <w:t>–</w:t>
      </w:r>
      <w:r w:rsidRPr="00D42B1B">
        <w:rPr>
          <w:rFonts w:eastAsia="Times New Roman" w:cs="Arial"/>
          <w:color w:val="444444"/>
          <w:szCs w:val="20"/>
          <w:lang w:eastAsia="fr-FR"/>
        </w:rPr>
        <w:t xml:space="preserve"> </w:t>
      </w:r>
      <w:bookmarkStart w:id="94" w:name="_Hlk232277803"/>
      <w:r w:rsidR="004A3D55" w:rsidRPr="00D42B1B">
        <w:rPr>
          <w:rFonts w:eastAsia="Times New Roman" w:cs="Arial"/>
          <w:color w:val="444444"/>
          <w:szCs w:val="20"/>
          <w:lang w:eastAsia="fr-FR"/>
        </w:rPr>
        <w:t>Lancement de la construction d’un n</w:t>
      </w:r>
      <w:r w:rsidRPr="00D42B1B">
        <w:rPr>
          <w:rFonts w:eastAsia="Times New Roman" w:cs="Arial"/>
          <w:color w:val="444444"/>
          <w:szCs w:val="20"/>
          <w:lang w:eastAsia="fr-FR"/>
        </w:rPr>
        <w:t>ouveau Centre de surveillance des pêches</w:t>
      </w:r>
      <w:bookmarkEnd w:id="94"/>
      <w:r w:rsidRPr="00D42B1B">
        <w:rPr>
          <w:rFonts w:eastAsia="Times New Roman" w:cs="Arial"/>
          <w:color w:val="444444"/>
          <w:szCs w:val="20"/>
          <w:lang w:eastAsia="fr-FR"/>
        </w:rPr>
        <w:t>.</w:t>
      </w:r>
      <w:bookmarkEnd w:id="93"/>
    </w:p>
    <w:p w14:paraId="66A7A57C" w14:textId="105F926D" w:rsidR="004D4546" w:rsidRPr="00D42B1B" w:rsidRDefault="004D4546" w:rsidP="004D4546">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Le ministre des ressources animales et halieutiques, M.</w:t>
      </w:r>
      <w:r w:rsidR="004A3D55" w:rsidRPr="00D42B1B">
        <w:rPr>
          <w:rFonts w:eastAsia="Times New Roman" w:cs="Arial"/>
          <w:color w:val="444444"/>
          <w:szCs w:val="20"/>
          <w:lang w:eastAsia="fr-FR"/>
        </w:rPr>
        <w:t> </w:t>
      </w:r>
      <w:r w:rsidRPr="00D42B1B">
        <w:rPr>
          <w:rFonts w:eastAsia="Times New Roman" w:cs="Arial"/>
          <w:color w:val="444444"/>
          <w:szCs w:val="20"/>
          <w:lang w:eastAsia="fr-FR"/>
        </w:rPr>
        <w:t xml:space="preserve">Sidi </w:t>
      </w:r>
      <w:proofErr w:type="spellStart"/>
      <w:r w:rsidRPr="00D42B1B">
        <w:rPr>
          <w:rFonts w:eastAsia="Times New Roman" w:cs="Arial"/>
          <w:color w:val="444444"/>
          <w:szCs w:val="20"/>
          <w:lang w:eastAsia="fr-FR"/>
        </w:rPr>
        <w:t>Tiémoko</w:t>
      </w:r>
      <w:proofErr w:type="spellEnd"/>
      <w:r w:rsidRPr="00D42B1B">
        <w:rPr>
          <w:rFonts w:eastAsia="Times New Roman" w:cs="Arial"/>
          <w:color w:val="444444"/>
          <w:szCs w:val="20"/>
          <w:lang w:eastAsia="fr-FR"/>
        </w:rPr>
        <w:t xml:space="preserve"> Touré, a posé le 8 juin</w:t>
      </w:r>
      <w:r w:rsidRPr="00D42B1B">
        <w:t xml:space="preserve"> </w:t>
      </w:r>
      <w:r w:rsidRPr="00D42B1B">
        <w:rPr>
          <w:rFonts w:eastAsia="Times New Roman" w:cs="Arial"/>
          <w:color w:val="444444"/>
          <w:szCs w:val="20"/>
          <w:lang w:eastAsia="fr-FR"/>
        </w:rPr>
        <w:t xml:space="preserve">la première pierre du nouveau Centre de surveillance des pêches. </w:t>
      </w:r>
      <w:r w:rsidR="004A3D55" w:rsidRPr="00D42B1B">
        <w:rPr>
          <w:rFonts w:eastAsia="Times New Roman" w:cs="Arial"/>
          <w:color w:val="444444"/>
          <w:szCs w:val="20"/>
          <w:lang w:eastAsia="fr-FR"/>
        </w:rPr>
        <w:t>D'un coût total de 500 M FCFA, le nouveau bâtiment sera construit sur une superficie de 800 m²</w:t>
      </w:r>
      <w:r w:rsidR="004A3D55" w:rsidRPr="00D42B1B">
        <w:t xml:space="preserve"> </w:t>
      </w:r>
      <w:r w:rsidR="004A3D55" w:rsidRPr="00D42B1B">
        <w:rPr>
          <w:rFonts w:eastAsia="Times New Roman" w:cs="Arial"/>
          <w:color w:val="444444"/>
          <w:szCs w:val="20"/>
          <w:lang w:eastAsia="fr-FR"/>
        </w:rPr>
        <w:t>et sera doté d’infrastructures et d’équipements de pointe. L</w:t>
      </w:r>
      <w:r w:rsidRPr="00D42B1B">
        <w:rPr>
          <w:rFonts w:eastAsia="Times New Roman" w:cs="Arial"/>
          <w:color w:val="444444"/>
          <w:szCs w:val="20"/>
          <w:lang w:eastAsia="fr-FR"/>
        </w:rPr>
        <w:t>e nouveau centre est appelé à devenir un véritable pôle régional de la lutte contre la pêche illégale grâce. Il servira de plateforme pour le suivi des navires</w:t>
      </w:r>
      <w:r w:rsidR="004A3D55" w:rsidRPr="00D42B1B">
        <w:rPr>
          <w:rFonts w:eastAsia="Times New Roman" w:cs="Arial"/>
          <w:color w:val="444444"/>
          <w:szCs w:val="20"/>
          <w:lang w:eastAsia="fr-FR"/>
        </w:rPr>
        <w:t xml:space="preserve"> et</w:t>
      </w:r>
      <w:r w:rsidRPr="00D42B1B">
        <w:rPr>
          <w:rFonts w:eastAsia="Times New Roman" w:cs="Arial"/>
          <w:color w:val="444444"/>
          <w:szCs w:val="20"/>
          <w:lang w:eastAsia="fr-FR"/>
        </w:rPr>
        <w:t xml:space="preserve"> l'échange de données en temps réel. Il permettra des patrouilles conjointes avec </w:t>
      </w:r>
      <w:r w:rsidR="004A3D55" w:rsidRPr="00D42B1B">
        <w:rPr>
          <w:rFonts w:eastAsia="Times New Roman" w:cs="Arial"/>
          <w:color w:val="444444"/>
          <w:szCs w:val="20"/>
          <w:lang w:eastAsia="fr-FR"/>
        </w:rPr>
        <w:t xml:space="preserve">les pays </w:t>
      </w:r>
      <w:r w:rsidRPr="00D42B1B">
        <w:rPr>
          <w:rFonts w:eastAsia="Times New Roman" w:cs="Arial"/>
          <w:color w:val="444444"/>
          <w:szCs w:val="20"/>
          <w:lang w:eastAsia="fr-FR"/>
        </w:rPr>
        <w:t>voisins. Partenaire financier de ce projet, l'ambassadeur de l'Union européenne en Côte</w:t>
      </w:r>
      <w:r w:rsidR="00AD0691">
        <w:rPr>
          <w:rFonts w:eastAsia="Times New Roman" w:cs="Arial"/>
          <w:color w:val="444444"/>
          <w:szCs w:val="20"/>
          <w:lang w:eastAsia="fr-FR"/>
        </w:rPr>
        <w:t> </w:t>
      </w:r>
      <w:r w:rsidRPr="00D42B1B">
        <w:rPr>
          <w:rFonts w:eastAsia="Times New Roman" w:cs="Arial"/>
          <w:color w:val="444444"/>
          <w:szCs w:val="20"/>
          <w:lang w:eastAsia="fr-FR"/>
        </w:rPr>
        <w:t xml:space="preserve">d'Ivoire, </w:t>
      </w:r>
      <w:r w:rsidR="004A3D55" w:rsidRPr="00D42B1B">
        <w:rPr>
          <w:rFonts w:eastAsia="Times New Roman" w:cs="Arial"/>
          <w:color w:val="444444"/>
          <w:szCs w:val="20"/>
          <w:lang w:eastAsia="fr-FR"/>
        </w:rPr>
        <w:t xml:space="preserve">M. </w:t>
      </w:r>
      <w:proofErr w:type="spellStart"/>
      <w:r w:rsidRPr="00D42B1B">
        <w:rPr>
          <w:rFonts w:eastAsia="Times New Roman" w:cs="Arial"/>
          <w:color w:val="444444"/>
          <w:szCs w:val="20"/>
          <w:lang w:eastAsia="fr-FR"/>
        </w:rPr>
        <w:t>Irchad</w:t>
      </w:r>
      <w:proofErr w:type="spellEnd"/>
      <w:r w:rsidRPr="00D42B1B">
        <w:rPr>
          <w:rFonts w:eastAsia="Times New Roman" w:cs="Arial"/>
          <w:color w:val="444444"/>
          <w:szCs w:val="20"/>
          <w:lang w:eastAsia="fr-FR"/>
        </w:rPr>
        <w:t xml:space="preserve"> </w:t>
      </w:r>
      <w:proofErr w:type="spellStart"/>
      <w:r w:rsidRPr="00D42B1B">
        <w:rPr>
          <w:rFonts w:eastAsia="Times New Roman" w:cs="Arial"/>
          <w:color w:val="444444"/>
          <w:szCs w:val="20"/>
          <w:lang w:eastAsia="fr-FR"/>
        </w:rPr>
        <w:t>Ramiandrasoa</w:t>
      </w:r>
      <w:proofErr w:type="spellEnd"/>
      <w:r w:rsidRPr="00D42B1B">
        <w:rPr>
          <w:rFonts w:eastAsia="Times New Roman" w:cs="Arial"/>
          <w:color w:val="444444"/>
          <w:szCs w:val="20"/>
          <w:lang w:eastAsia="fr-FR"/>
        </w:rPr>
        <w:t xml:space="preserve"> </w:t>
      </w:r>
      <w:proofErr w:type="spellStart"/>
      <w:r w:rsidRPr="00D42B1B">
        <w:rPr>
          <w:rFonts w:eastAsia="Times New Roman" w:cs="Arial"/>
          <w:color w:val="444444"/>
          <w:szCs w:val="20"/>
          <w:lang w:eastAsia="fr-FR"/>
        </w:rPr>
        <w:t>Razaly</w:t>
      </w:r>
      <w:proofErr w:type="spellEnd"/>
      <w:r w:rsidRPr="00D42B1B">
        <w:rPr>
          <w:rFonts w:eastAsia="Times New Roman" w:cs="Arial"/>
          <w:color w:val="444444"/>
          <w:szCs w:val="20"/>
          <w:lang w:eastAsia="fr-FR"/>
        </w:rPr>
        <w:t xml:space="preserve">, a </w:t>
      </w:r>
      <w:r w:rsidR="004A3D55" w:rsidRPr="00D42B1B">
        <w:rPr>
          <w:rFonts w:eastAsia="Times New Roman" w:cs="Arial"/>
          <w:color w:val="444444"/>
          <w:szCs w:val="20"/>
          <w:lang w:eastAsia="fr-FR"/>
        </w:rPr>
        <w:t xml:space="preserve">en effet </w:t>
      </w:r>
      <w:r w:rsidRPr="00D42B1B">
        <w:rPr>
          <w:rFonts w:eastAsia="Times New Roman" w:cs="Arial"/>
          <w:color w:val="444444"/>
          <w:szCs w:val="20"/>
          <w:lang w:eastAsia="fr-FR"/>
        </w:rPr>
        <w:t>souhaité que les autres pays de la région bénéficient de l'expertise ivoirienne.</w:t>
      </w:r>
    </w:p>
    <w:p w14:paraId="2805E3BC" w14:textId="77777777" w:rsidR="004A3D55" w:rsidRPr="00D42B1B" w:rsidRDefault="004A3D55" w:rsidP="004D4546">
      <w:pPr>
        <w:shd w:val="clear" w:color="auto" w:fill="FFFFFF"/>
        <w:spacing w:after="0" w:line="276" w:lineRule="auto"/>
        <w:rPr>
          <w:rFonts w:eastAsia="Times New Roman" w:cs="Arial"/>
          <w:color w:val="444444"/>
          <w:szCs w:val="20"/>
          <w:lang w:eastAsia="fr-FR"/>
        </w:rPr>
      </w:pPr>
    </w:p>
    <w:p w14:paraId="4B91DE79" w14:textId="20F4E416" w:rsidR="00825243" w:rsidRPr="00D42B1B" w:rsidRDefault="00825243" w:rsidP="009B3224">
      <w:pPr>
        <w:pStyle w:val="Titre2"/>
        <w:spacing w:before="0"/>
        <w:rPr>
          <w:rFonts w:eastAsiaTheme="minorHAnsi"/>
        </w:rPr>
      </w:pPr>
      <w:bookmarkStart w:id="95" w:name="_Toc233878700"/>
      <w:bookmarkStart w:id="96" w:name="_Hlk231744980"/>
      <w:bookmarkStart w:id="97" w:name="_Hlk232254247"/>
      <w:r w:rsidRPr="00D42B1B">
        <w:rPr>
          <w:rFonts w:eastAsia="Times New Roman" w:cs="Arial"/>
          <w:color w:val="444444"/>
          <w:szCs w:val="20"/>
          <w:lang w:eastAsia="fr-FR"/>
        </w:rPr>
        <w:t xml:space="preserve">Vétérinaire </w:t>
      </w:r>
      <w:r w:rsidR="009B3224" w:rsidRPr="00D42B1B">
        <w:rPr>
          <w:rFonts w:eastAsia="Times New Roman" w:cs="Arial"/>
          <w:color w:val="444444"/>
          <w:szCs w:val="20"/>
          <w:lang w:eastAsia="fr-FR"/>
        </w:rPr>
        <w:t>- R</w:t>
      </w:r>
      <w:r w:rsidRPr="00D42B1B">
        <w:rPr>
          <w:rFonts w:eastAsia="Times New Roman" w:cs="Arial"/>
          <w:color w:val="444444"/>
          <w:szCs w:val="20"/>
          <w:lang w:eastAsia="fr-FR"/>
        </w:rPr>
        <w:t>enforce</w:t>
      </w:r>
      <w:r w:rsidR="009B3224" w:rsidRPr="00D42B1B">
        <w:rPr>
          <w:rFonts w:eastAsia="Times New Roman" w:cs="Arial"/>
          <w:color w:val="444444"/>
          <w:szCs w:val="20"/>
          <w:lang w:eastAsia="fr-FR"/>
        </w:rPr>
        <w:t>me</w:t>
      </w:r>
      <w:r w:rsidRPr="00D42B1B">
        <w:rPr>
          <w:rFonts w:eastAsia="Times New Roman" w:cs="Arial"/>
          <w:color w:val="444444"/>
          <w:szCs w:val="20"/>
          <w:lang w:eastAsia="fr-FR"/>
        </w:rPr>
        <w:t xml:space="preserve">nt </w:t>
      </w:r>
      <w:r w:rsidR="009B3224" w:rsidRPr="00D42B1B">
        <w:rPr>
          <w:rFonts w:eastAsia="Times New Roman" w:cs="Arial"/>
          <w:color w:val="444444"/>
          <w:szCs w:val="20"/>
          <w:lang w:eastAsia="fr-FR"/>
        </w:rPr>
        <w:t xml:space="preserve">de la </w:t>
      </w:r>
      <w:r w:rsidRPr="00D42B1B">
        <w:rPr>
          <w:rFonts w:eastAsia="Times New Roman" w:cs="Arial"/>
          <w:color w:val="444444"/>
          <w:szCs w:val="20"/>
          <w:lang w:eastAsia="fr-FR"/>
        </w:rPr>
        <w:t>coopération en matière de santé publique vétérinaire</w:t>
      </w:r>
      <w:r w:rsidR="00CA0736" w:rsidRPr="00D42B1B">
        <w:rPr>
          <w:rFonts w:eastAsia="Times New Roman" w:cs="Arial"/>
          <w:color w:val="444444"/>
          <w:szCs w:val="20"/>
          <w:lang w:eastAsia="fr-FR"/>
        </w:rPr>
        <w:t>.</w:t>
      </w:r>
      <w:bookmarkEnd w:id="95"/>
    </w:p>
    <w:bookmarkEnd w:id="96"/>
    <w:bookmarkEnd w:id="97"/>
    <w:p w14:paraId="647FB161" w14:textId="18D88738" w:rsidR="00825243" w:rsidRPr="00D42B1B" w:rsidRDefault="00825243" w:rsidP="00825243">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La direction des services vétérinaires et du bien-être animal (DSVBA) de Côte d’Ivoire et la direction générale de l’alimentation (DGAL) du ministère de l’</w:t>
      </w:r>
      <w:r w:rsidR="00F5340E" w:rsidRPr="00D42B1B">
        <w:rPr>
          <w:rFonts w:eastAsia="Times New Roman" w:cs="Arial"/>
          <w:color w:val="444444"/>
          <w:szCs w:val="20"/>
          <w:lang w:eastAsia="fr-FR"/>
        </w:rPr>
        <w:t>a</w:t>
      </w:r>
      <w:r w:rsidRPr="00D42B1B">
        <w:rPr>
          <w:rFonts w:eastAsia="Times New Roman" w:cs="Arial"/>
          <w:color w:val="444444"/>
          <w:szCs w:val="20"/>
          <w:lang w:eastAsia="fr-FR"/>
        </w:rPr>
        <w:t xml:space="preserve">griculture, de </w:t>
      </w:r>
      <w:r w:rsidR="009B3224" w:rsidRPr="00D42B1B">
        <w:rPr>
          <w:rFonts w:eastAsia="Times New Roman" w:cs="Arial"/>
          <w:color w:val="444444"/>
          <w:szCs w:val="20"/>
          <w:lang w:eastAsia="fr-FR"/>
        </w:rPr>
        <w:t xml:space="preserve">l’agroalimentaire </w:t>
      </w:r>
      <w:r w:rsidR="00F5340E" w:rsidRPr="00D42B1B">
        <w:rPr>
          <w:rFonts w:eastAsia="Times New Roman" w:cs="Arial"/>
          <w:color w:val="444444"/>
          <w:szCs w:val="20"/>
          <w:lang w:eastAsia="fr-FR"/>
        </w:rPr>
        <w:lastRenderedPageBreak/>
        <w:t xml:space="preserve">et de </w:t>
      </w:r>
      <w:r w:rsidRPr="00D42B1B">
        <w:rPr>
          <w:rFonts w:eastAsia="Times New Roman" w:cs="Arial"/>
          <w:color w:val="444444"/>
          <w:szCs w:val="20"/>
          <w:lang w:eastAsia="fr-FR"/>
        </w:rPr>
        <w:t xml:space="preserve">la </w:t>
      </w:r>
      <w:r w:rsidR="00F5340E" w:rsidRPr="00D42B1B">
        <w:rPr>
          <w:rFonts w:eastAsia="Times New Roman" w:cs="Arial"/>
          <w:color w:val="444444"/>
          <w:szCs w:val="20"/>
          <w:lang w:eastAsia="fr-FR"/>
        </w:rPr>
        <w:t>s</w:t>
      </w:r>
      <w:r w:rsidRPr="00D42B1B">
        <w:rPr>
          <w:rFonts w:eastAsia="Times New Roman" w:cs="Arial"/>
          <w:color w:val="444444"/>
          <w:szCs w:val="20"/>
          <w:lang w:eastAsia="fr-FR"/>
        </w:rPr>
        <w:t xml:space="preserve">ouveraineté alimentaire ont signé, </w:t>
      </w:r>
      <w:r w:rsidR="00F5340E" w:rsidRPr="00D42B1B">
        <w:rPr>
          <w:rFonts w:eastAsia="Times New Roman" w:cs="Arial"/>
          <w:color w:val="444444"/>
          <w:szCs w:val="20"/>
          <w:lang w:eastAsia="fr-FR"/>
        </w:rPr>
        <w:t xml:space="preserve">le </w:t>
      </w:r>
      <w:r w:rsidRPr="00D42B1B">
        <w:rPr>
          <w:rFonts w:eastAsia="Times New Roman" w:cs="Arial"/>
          <w:color w:val="444444"/>
          <w:szCs w:val="20"/>
          <w:lang w:eastAsia="fr-FR"/>
        </w:rPr>
        <w:t>3 juin, une lettre de déclaration d’intention visant à renforcer leur coopération dans le domaine de la santé publique vétérinaire.</w:t>
      </w:r>
      <w:r w:rsidR="00F5340E"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La cérémonie, présidée par le ministre des </w:t>
      </w:r>
      <w:r w:rsidR="00F5340E" w:rsidRPr="00D42B1B">
        <w:rPr>
          <w:rFonts w:eastAsia="Times New Roman" w:cs="Arial"/>
          <w:color w:val="444444"/>
          <w:szCs w:val="20"/>
          <w:lang w:eastAsia="fr-FR"/>
        </w:rPr>
        <w:t>r</w:t>
      </w:r>
      <w:r w:rsidRPr="00D42B1B">
        <w:rPr>
          <w:rFonts w:eastAsia="Times New Roman" w:cs="Arial"/>
          <w:color w:val="444444"/>
          <w:szCs w:val="20"/>
          <w:lang w:eastAsia="fr-FR"/>
        </w:rPr>
        <w:t xml:space="preserve">essources animales et halieutiques, </w:t>
      </w:r>
      <w:r w:rsidR="00F5340E" w:rsidRPr="00D42B1B">
        <w:rPr>
          <w:rFonts w:eastAsia="Times New Roman" w:cs="Arial"/>
          <w:color w:val="444444"/>
          <w:szCs w:val="20"/>
          <w:lang w:eastAsia="fr-FR"/>
        </w:rPr>
        <w:t xml:space="preserve">M. </w:t>
      </w:r>
      <w:r w:rsidRPr="00D42B1B">
        <w:rPr>
          <w:rFonts w:eastAsia="Times New Roman" w:cs="Arial"/>
          <w:color w:val="444444"/>
          <w:szCs w:val="20"/>
          <w:lang w:eastAsia="fr-FR"/>
        </w:rPr>
        <w:t xml:space="preserve">Sidi </w:t>
      </w:r>
      <w:proofErr w:type="spellStart"/>
      <w:r w:rsidRPr="00D42B1B">
        <w:rPr>
          <w:rFonts w:eastAsia="Times New Roman" w:cs="Arial"/>
          <w:color w:val="444444"/>
          <w:szCs w:val="20"/>
          <w:lang w:eastAsia="fr-FR"/>
        </w:rPr>
        <w:t>Tiémoko</w:t>
      </w:r>
      <w:proofErr w:type="spellEnd"/>
      <w:r w:rsidRPr="00D42B1B">
        <w:rPr>
          <w:rFonts w:eastAsia="Times New Roman" w:cs="Arial"/>
          <w:color w:val="444444"/>
          <w:szCs w:val="20"/>
          <w:lang w:eastAsia="fr-FR"/>
        </w:rPr>
        <w:t xml:space="preserve"> Touré, s’inscrit dans le prolongement d’un premier accord de coopération conclu en mars 2024 entre les deux institutions.</w:t>
      </w:r>
      <w:r w:rsidR="00CA0736" w:rsidRPr="00D42B1B">
        <w:rPr>
          <w:rFonts w:eastAsia="Times New Roman" w:cs="Arial"/>
          <w:color w:val="444444"/>
          <w:szCs w:val="20"/>
          <w:lang w:eastAsia="fr-FR"/>
        </w:rPr>
        <w:t xml:space="preserve"> </w:t>
      </w:r>
      <w:r w:rsidRPr="00D42B1B">
        <w:rPr>
          <w:rFonts w:eastAsia="Times New Roman" w:cs="Arial"/>
          <w:color w:val="444444"/>
          <w:szCs w:val="20"/>
          <w:lang w:eastAsia="fr-FR"/>
        </w:rPr>
        <w:t>Selon le ministre, cette nouvelle étape traduit la volonté commune de consolider un partenariat fondé sur la confiance, le respect mutuel et l’ambition partagée de garantir une sécurité sanitaire de haut niveau au bénéfice des populations et des économies des deux pays.</w:t>
      </w:r>
      <w:r w:rsidR="00CA0736" w:rsidRPr="00D42B1B">
        <w:rPr>
          <w:rFonts w:eastAsia="Times New Roman" w:cs="Arial"/>
          <w:color w:val="444444"/>
          <w:szCs w:val="20"/>
          <w:lang w:eastAsia="fr-FR"/>
        </w:rPr>
        <w:t xml:space="preserve"> Pour le ministre, l</w:t>
      </w:r>
      <w:r w:rsidRPr="00D42B1B">
        <w:rPr>
          <w:rFonts w:eastAsia="Times New Roman" w:cs="Arial"/>
          <w:color w:val="444444"/>
          <w:szCs w:val="20"/>
          <w:lang w:eastAsia="fr-FR"/>
        </w:rPr>
        <w:t>a modernisation et le renforcement des capacités institutionnelles des services vétérinaires constituent des impératifs stratégiques majeurs pour la Côte d’Ivoire, soulignant que cette coopération contribuera à hisser la gouvernance des services vétérinaires ivoiriens aux standards internationaux les plus exigeants.</w:t>
      </w:r>
      <w:r w:rsidR="00CA0736" w:rsidRPr="00D42B1B">
        <w:rPr>
          <w:rFonts w:eastAsia="Times New Roman" w:cs="Arial"/>
          <w:color w:val="444444"/>
          <w:szCs w:val="20"/>
          <w:lang w:eastAsia="fr-FR"/>
        </w:rPr>
        <w:t xml:space="preserve"> </w:t>
      </w:r>
      <w:r w:rsidRPr="00D42B1B">
        <w:rPr>
          <w:rFonts w:eastAsia="Times New Roman" w:cs="Arial"/>
          <w:color w:val="444444"/>
          <w:szCs w:val="20"/>
          <w:lang w:eastAsia="fr-FR"/>
        </w:rPr>
        <w:t>Il a relevé que les défis liés aux zoonoses, aux maladies transfrontalières et à la résistance aux antimicrobiens nécessitent une vigilance accrue et une coopération technique renforcée. Les domaines ciblés par le partenariat concernent notamment la santé et le bien-être animal, la biosécurité, la sécurité sanitaire des aliments ainsi que la formation continue des agents.</w:t>
      </w:r>
      <w:r w:rsidR="00CA0736" w:rsidRPr="00D42B1B">
        <w:rPr>
          <w:rFonts w:eastAsia="Times New Roman" w:cs="Arial"/>
          <w:color w:val="444444"/>
          <w:szCs w:val="20"/>
          <w:lang w:eastAsia="fr-FR"/>
        </w:rPr>
        <w:t xml:space="preserve"> Le ministre </w:t>
      </w:r>
      <w:r w:rsidRPr="00D42B1B">
        <w:rPr>
          <w:rFonts w:eastAsia="Times New Roman" w:cs="Arial"/>
          <w:color w:val="444444"/>
          <w:szCs w:val="20"/>
          <w:lang w:eastAsia="fr-FR"/>
        </w:rPr>
        <w:t xml:space="preserve">a réaffirmé l’engagement total du ministère des </w:t>
      </w:r>
      <w:r w:rsidR="00CA0736" w:rsidRPr="00D42B1B">
        <w:rPr>
          <w:rFonts w:eastAsia="Times New Roman" w:cs="Arial"/>
          <w:color w:val="444444"/>
          <w:szCs w:val="20"/>
          <w:lang w:eastAsia="fr-FR"/>
        </w:rPr>
        <w:t>r</w:t>
      </w:r>
      <w:r w:rsidRPr="00D42B1B">
        <w:rPr>
          <w:rFonts w:eastAsia="Times New Roman" w:cs="Arial"/>
          <w:color w:val="444444"/>
          <w:szCs w:val="20"/>
          <w:lang w:eastAsia="fr-FR"/>
        </w:rPr>
        <w:t>essources animales et halieutiques à assurer la mise en œuvre rigoureuse des plans d’action qui découleront de cet accord, avant de remercier la France pour son expertise et son appui constant à la Côte d’Ivoire dans le domaine de la santé publique vétérinaire.</w:t>
      </w:r>
      <w:r w:rsidR="00CA0736" w:rsidRPr="00D42B1B">
        <w:rPr>
          <w:rFonts w:eastAsia="Times New Roman" w:cs="Arial"/>
          <w:color w:val="444444"/>
          <w:szCs w:val="20"/>
          <w:lang w:eastAsia="fr-FR"/>
        </w:rPr>
        <w:t xml:space="preserve"> </w:t>
      </w:r>
      <w:r w:rsidRPr="00D42B1B">
        <w:rPr>
          <w:rFonts w:eastAsia="Times New Roman" w:cs="Arial"/>
          <w:color w:val="444444"/>
          <w:szCs w:val="20"/>
          <w:lang w:eastAsia="fr-FR"/>
        </w:rPr>
        <w:t>Le directeur des services vétérinaires et du bien-être animal de Côte</w:t>
      </w:r>
      <w:r w:rsidR="009B3224" w:rsidRPr="00D42B1B">
        <w:rPr>
          <w:rFonts w:eastAsia="Times New Roman" w:cs="Arial"/>
          <w:color w:val="444444"/>
          <w:szCs w:val="20"/>
          <w:lang w:eastAsia="fr-FR"/>
        </w:rPr>
        <w:t> </w:t>
      </w:r>
      <w:r w:rsidRPr="00D42B1B">
        <w:rPr>
          <w:rFonts w:eastAsia="Times New Roman" w:cs="Arial"/>
          <w:color w:val="444444"/>
          <w:szCs w:val="20"/>
          <w:lang w:eastAsia="fr-FR"/>
        </w:rPr>
        <w:t xml:space="preserve">d’Ivoire, </w:t>
      </w:r>
      <w:r w:rsidR="00CA0736" w:rsidRPr="00D42B1B">
        <w:rPr>
          <w:rFonts w:eastAsia="Times New Roman" w:cs="Arial"/>
          <w:color w:val="444444"/>
          <w:szCs w:val="20"/>
          <w:lang w:eastAsia="fr-FR"/>
        </w:rPr>
        <w:t xml:space="preserve">le </w:t>
      </w:r>
      <w:r w:rsidRPr="00D42B1B">
        <w:rPr>
          <w:rFonts w:eastAsia="Times New Roman" w:cs="Arial"/>
          <w:color w:val="444444"/>
          <w:szCs w:val="20"/>
          <w:lang w:eastAsia="fr-FR"/>
        </w:rPr>
        <w:t xml:space="preserve">Dr </w:t>
      </w:r>
      <w:proofErr w:type="spellStart"/>
      <w:r w:rsidR="00CA0736" w:rsidRPr="00D42B1B">
        <w:rPr>
          <w:rFonts w:eastAsia="Times New Roman" w:cs="Arial"/>
          <w:color w:val="444444"/>
          <w:szCs w:val="20"/>
          <w:lang w:eastAsia="fr-FR"/>
        </w:rPr>
        <w:t>Vessaly</w:t>
      </w:r>
      <w:proofErr w:type="spellEnd"/>
      <w:r w:rsidR="00CA0736" w:rsidRPr="00D42B1B">
        <w:rPr>
          <w:rFonts w:eastAsia="Times New Roman" w:cs="Arial"/>
          <w:color w:val="444444"/>
          <w:szCs w:val="20"/>
          <w:lang w:eastAsia="fr-FR"/>
        </w:rPr>
        <w:t xml:space="preserve"> </w:t>
      </w:r>
      <w:proofErr w:type="spellStart"/>
      <w:r w:rsidRPr="00D42B1B">
        <w:rPr>
          <w:rFonts w:eastAsia="Times New Roman" w:cs="Arial"/>
          <w:color w:val="444444"/>
          <w:szCs w:val="20"/>
          <w:lang w:eastAsia="fr-FR"/>
        </w:rPr>
        <w:t>Kallo</w:t>
      </w:r>
      <w:proofErr w:type="spellEnd"/>
      <w:r w:rsidRPr="00D42B1B">
        <w:rPr>
          <w:rFonts w:eastAsia="Times New Roman" w:cs="Arial"/>
          <w:color w:val="444444"/>
          <w:szCs w:val="20"/>
          <w:lang w:eastAsia="fr-FR"/>
        </w:rPr>
        <w:t>, s’est réjoui de la formalisation de cette nouvelle phase de coopération qui permettra d’approfondir les acquis enregistrés depuis 2024.</w:t>
      </w:r>
      <w:r w:rsidR="00CA0736"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Les actions déjà menées </w:t>
      </w:r>
      <w:r w:rsidR="00CA0736" w:rsidRPr="00D42B1B">
        <w:rPr>
          <w:rFonts w:eastAsia="Times New Roman" w:cs="Arial"/>
          <w:color w:val="444444"/>
          <w:szCs w:val="20"/>
          <w:lang w:eastAsia="fr-FR"/>
        </w:rPr>
        <w:t>avaient</w:t>
      </w:r>
      <w:r w:rsidRPr="00D42B1B">
        <w:rPr>
          <w:rFonts w:eastAsia="Times New Roman" w:cs="Arial"/>
          <w:color w:val="444444"/>
          <w:szCs w:val="20"/>
          <w:lang w:eastAsia="fr-FR"/>
        </w:rPr>
        <w:t xml:space="preserve"> porté notamment sur la formation et le renforcement des capacités. </w:t>
      </w:r>
      <w:r w:rsidR="00CA0736" w:rsidRPr="00D42B1B">
        <w:rPr>
          <w:rFonts w:eastAsia="Times New Roman" w:cs="Arial"/>
          <w:color w:val="444444"/>
          <w:szCs w:val="20"/>
          <w:lang w:eastAsia="fr-FR"/>
        </w:rPr>
        <w:t>Le</w:t>
      </w:r>
      <w:r w:rsidR="009B3224" w:rsidRPr="00D42B1B">
        <w:rPr>
          <w:rFonts w:eastAsia="Times New Roman" w:cs="Arial"/>
          <w:color w:val="444444"/>
          <w:szCs w:val="20"/>
          <w:lang w:eastAsia="fr-FR"/>
        </w:rPr>
        <w:t> </w:t>
      </w:r>
      <w:r w:rsidR="00CA0736" w:rsidRPr="00D42B1B">
        <w:rPr>
          <w:rFonts w:eastAsia="Times New Roman" w:cs="Arial"/>
          <w:color w:val="444444"/>
          <w:szCs w:val="20"/>
          <w:lang w:eastAsia="fr-FR"/>
        </w:rPr>
        <w:t>Dr</w:t>
      </w:r>
      <w:r w:rsidR="009B3224" w:rsidRPr="00D42B1B">
        <w:rPr>
          <w:rFonts w:eastAsia="Times New Roman" w:cs="Arial"/>
          <w:color w:val="444444"/>
          <w:szCs w:val="20"/>
          <w:lang w:eastAsia="fr-FR"/>
        </w:rPr>
        <w:t> </w:t>
      </w:r>
      <w:proofErr w:type="spellStart"/>
      <w:r w:rsidR="00CA0736" w:rsidRPr="00D42B1B">
        <w:rPr>
          <w:rFonts w:eastAsia="Times New Roman" w:cs="Arial"/>
          <w:color w:val="444444"/>
          <w:szCs w:val="20"/>
          <w:lang w:eastAsia="fr-FR"/>
        </w:rPr>
        <w:t>Vessaly</w:t>
      </w:r>
      <w:proofErr w:type="spellEnd"/>
      <w:r w:rsidR="00CA0736" w:rsidRPr="00D42B1B">
        <w:rPr>
          <w:rFonts w:eastAsia="Times New Roman" w:cs="Arial"/>
          <w:color w:val="444444"/>
          <w:szCs w:val="20"/>
          <w:lang w:eastAsia="fr-FR"/>
        </w:rPr>
        <w:t xml:space="preserve"> </w:t>
      </w:r>
      <w:proofErr w:type="spellStart"/>
      <w:r w:rsidR="00CA0736" w:rsidRPr="00D42B1B">
        <w:rPr>
          <w:rFonts w:eastAsia="Times New Roman" w:cs="Arial"/>
          <w:color w:val="444444"/>
          <w:szCs w:val="20"/>
          <w:lang w:eastAsia="fr-FR"/>
        </w:rPr>
        <w:t>Kallo</w:t>
      </w:r>
      <w:proofErr w:type="spellEnd"/>
      <w:r w:rsidR="00CA0736" w:rsidRPr="00D42B1B">
        <w:rPr>
          <w:rFonts w:eastAsia="Times New Roman" w:cs="Arial"/>
          <w:color w:val="444444"/>
          <w:szCs w:val="20"/>
          <w:lang w:eastAsia="fr-FR"/>
        </w:rPr>
        <w:t xml:space="preserve"> souhaite </w:t>
      </w:r>
      <w:r w:rsidRPr="00D42B1B">
        <w:rPr>
          <w:rFonts w:eastAsia="Times New Roman" w:cs="Arial"/>
          <w:color w:val="444444"/>
          <w:szCs w:val="20"/>
          <w:lang w:eastAsia="fr-FR"/>
        </w:rPr>
        <w:t>désormais aller plus loin en améliorant la biosécurité, la surveillance épidémiologique des maladies et la formation continue de</w:t>
      </w:r>
      <w:r w:rsidR="00CA0736" w:rsidRPr="00D42B1B">
        <w:rPr>
          <w:rFonts w:eastAsia="Times New Roman" w:cs="Arial"/>
          <w:color w:val="444444"/>
          <w:szCs w:val="20"/>
          <w:lang w:eastAsia="fr-FR"/>
        </w:rPr>
        <w:t xml:space="preserve">s </w:t>
      </w:r>
      <w:r w:rsidRPr="00D42B1B">
        <w:rPr>
          <w:rFonts w:eastAsia="Times New Roman" w:cs="Arial"/>
          <w:color w:val="444444"/>
          <w:szCs w:val="20"/>
          <w:lang w:eastAsia="fr-FR"/>
        </w:rPr>
        <w:t>agents, collaborateurs et inspecteurs.</w:t>
      </w:r>
      <w:r w:rsidR="00CA0736"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Pour sa part, la cheffe des services vétérinaires français et directrice générale adjointe de l’alimentation, </w:t>
      </w:r>
      <w:r w:rsidR="00CA0736" w:rsidRPr="00D42B1B">
        <w:rPr>
          <w:rFonts w:eastAsia="Times New Roman" w:cs="Arial"/>
          <w:color w:val="444444"/>
          <w:szCs w:val="20"/>
          <w:lang w:eastAsia="fr-FR"/>
        </w:rPr>
        <w:t>la </w:t>
      </w:r>
      <w:r w:rsidRPr="00D42B1B">
        <w:rPr>
          <w:rFonts w:eastAsia="Times New Roman" w:cs="Arial"/>
          <w:color w:val="444444"/>
          <w:szCs w:val="20"/>
          <w:lang w:eastAsia="fr-FR"/>
        </w:rPr>
        <w:t>Dr</w:t>
      </w:r>
      <w:r w:rsidR="00CA0736" w:rsidRPr="00D42B1B">
        <w:rPr>
          <w:rFonts w:eastAsia="Times New Roman" w:cs="Arial"/>
          <w:color w:val="444444"/>
          <w:szCs w:val="20"/>
          <w:lang w:eastAsia="fr-FR"/>
        </w:rPr>
        <w:t> </w:t>
      </w:r>
      <w:r w:rsidRPr="00D42B1B">
        <w:rPr>
          <w:rFonts w:eastAsia="Times New Roman" w:cs="Arial"/>
          <w:color w:val="444444"/>
          <w:szCs w:val="20"/>
          <w:lang w:eastAsia="fr-FR"/>
        </w:rPr>
        <w:t>Marie-Christine</w:t>
      </w:r>
      <w:r w:rsidR="00CA0736" w:rsidRPr="00D42B1B">
        <w:rPr>
          <w:rFonts w:eastAsia="Times New Roman" w:cs="Arial"/>
          <w:color w:val="444444"/>
          <w:szCs w:val="20"/>
          <w:lang w:eastAsia="fr-FR"/>
        </w:rPr>
        <w:t> </w:t>
      </w:r>
      <w:r w:rsidRPr="00D42B1B">
        <w:rPr>
          <w:rFonts w:eastAsia="Times New Roman" w:cs="Arial"/>
          <w:color w:val="444444"/>
          <w:szCs w:val="20"/>
          <w:lang w:eastAsia="fr-FR"/>
        </w:rPr>
        <w:t>Le</w:t>
      </w:r>
      <w:r w:rsidR="00CA0736" w:rsidRPr="00D42B1B">
        <w:rPr>
          <w:rFonts w:eastAsia="Times New Roman" w:cs="Arial"/>
          <w:color w:val="444444"/>
          <w:szCs w:val="20"/>
          <w:lang w:eastAsia="fr-FR"/>
        </w:rPr>
        <w:t> </w:t>
      </w:r>
      <w:r w:rsidRPr="00D42B1B">
        <w:rPr>
          <w:rFonts w:eastAsia="Times New Roman" w:cs="Arial"/>
          <w:color w:val="444444"/>
          <w:szCs w:val="20"/>
          <w:lang w:eastAsia="fr-FR"/>
        </w:rPr>
        <w:t>Gal, a salué une coopération très concrète entre les deux pays.</w:t>
      </w:r>
      <w:r w:rsidR="00CA0736" w:rsidRPr="00D42B1B">
        <w:rPr>
          <w:rFonts w:eastAsia="Times New Roman" w:cs="Arial"/>
          <w:color w:val="444444"/>
          <w:szCs w:val="20"/>
          <w:lang w:eastAsia="fr-FR"/>
        </w:rPr>
        <w:t xml:space="preserve"> </w:t>
      </w:r>
      <w:r w:rsidRPr="00D42B1B">
        <w:rPr>
          <w:rFonts w:eastAsia="Times New Roman" w:cs="Arial"/>
          <w:color w:val="444444"/>
          <w:szCs w:val="20"/>
          <w:lang w:eastAsia="fr-FR"/>
        </w:rPr>
        <w:t>Elle a indiqué que la signature de cette nouvelle lettre d’intention permettra de prolonger les actions engagées, de renforcer davantage les échanges d’expertise et de poursuivre les efforts communs en vue d’améliorer la qualité et l’efficacité des services vétérinaires.</w:t>
      </w:r>
    </w:p>
    <w:p w14:paraId="5017AB8A" w14:textId="74DF16A3" w:rsidR="00095226" w:rsidRPr="00D42B1B" w:rsidRDefault="00095226" w:rsidP="00095226">
      <w:pPr>
        <w:shd w:val="clear" w:color="auto" w:fill="FFFFFF"/>
        <w:spacing w:after="0" w:line="276" w:lineRule="auto"/>
        <w:rPr>
          <w:rFonts w:eastAsia="Times New Roman" w:cs="Arial"/>
          <w:color w:val="444444"/>
          <w:szCs w:val="20"/>
          <w:lang w:eastAsia="fr-FR"/>
        </w:rPr>
      </w:pPr>
    </w:p>
    <w:p w14:paraId="20D1A917" w14:textId="4B761B9F" w:rsidR="00CF6ECC" w:rsidRPr="00D42B1B" w:rsidRDefault="00CF6ECC" w:rsidP="00CF6ECC">
      <w:pPr>
        <w:pStyle w:val="Titre2"/>
        <w:spacing w:before="0"/>
      </w:pPr>
      <w:bookmarkStart w:id="98" w:name="_Toc233140054"/>
      <w:bookmarkStart w:id="99" w:name="_Toc233878701"/>
      <w:r w:rsidRPr="00D42B1B">
        <w:t xml:space="preserve">Forêt </w:t>
      </w:r>
      <w:r w:rsidR="00E147B5" w:rsidRPr="00D42B1B">
        <w:t>–</w:t>
      </w:r>
      <w:r w:rsidRPr="00D42B1B">
        <w:t xml:space="preserve"> </w:t>
      </w:r>
      <w:r w:rsidR="00E147B5" w:rsidRPr="00D42B1B">
        <w:rPr>
          <w:rFonts w:eastAsiaTheme="minorHAnsi"/>
        </w:rPr>
        <w:t xml:space="preserve">Renforcement du </w:t>
      </w:r>
      <w:r w:rsidRPr="00D42B1B">
        <w:rPr>
          <w:rFonts w:eastAsiaTheme="minorHAnsi"/>
        </w:rPr>
        <w:t>par</w:t>
      </w:r>
      <w:r w:rsidRPr="00D42B1B">
        <w:rPr>
          <w:rFonts w:eastAsiaTheme="minorHAnsi"/>
        </w:rPr>
        <w:softHyphen/>
        <w:t>te</w:t>
      </w:r>
      <w:r w:rsidRPr="00D42B1B">
        <w:rPr>
          <w:rFonts w:eastAsiaTheme="minorHAnsi"/>
        </w:rPr>
        <w:softHyphen/>
        <w:t>na</w:t>
      </w:r>
      <w:r w:rsidRPr="00D42B1B">
        <w:rPr>
          <w:rFonts w:eastAsiaTheme="minorHAnsi"/>
        </w:rPr>
        <w:softHyphen/>
        <w:t xml:space="preserve">riat </w:t>
      </w:r>
      <w:r w:rsidR="00E147B5" w:rsidRPr="00D42B1B">
        <w:rPr>
          <w:rFonts w:eastAsiaTheme="minorHAnsi"/>
        </w:rPr>
        <w:t xml:space="preserve">avec l’Union européenne </w:t>
      </w:r>
      <w:r w:rsidRPr="00D42B1B">
        <w:rPr>
          <w:rFonts w:eastAsiaTheme="minorHAnsi"/>
        </w:rPr>
        <w:t>pour un bois légal et traçable</w:t>
      </w:r>
      <w:bookmarkEnd w:id="98"/>
      <w:r w:rsidR="00A17D1B" w:rsidRPr="00D42B1B">
        <w:rPr>
          <w:rFonts w:eastAsiaTheme="minorHAnsi"/>
        </w:rPr>
        <w:t>.</w:t>
      </w:r>
      <w:bookmarkEnd w:id="99"/>
    </w:p>
    <w:p w14:paraId="13591C45" w14:textId="4A023ADA" w:rsidR="00CF6ECC" w:rsidRPr="00D42B1B" w:rsidRDefault="003149E6" w:rsidP="00A17D1B">
      <w:pPr>
        <w:spacing w:after="0"/>
        <w:rPr>
          <w:rFonts w:cs="Arial"/>
          <w:szCs w:val="20"/>
        </w:rPr>
      </w:pPr>
      <w:r w:rsidRPr="00D42B1B">
        <w:rPr>
          <w:rFonts w:cs="Arial"/>
          <w:szCs w:val="20"/>
        </w:rPr>
        <w:t>Le 12 Juin, s’est tenue La</w:t>
      </w:r>
      <w:r w:rsidR="00CF6ECC" w:rsidRPr="00D42B1B">
        <w:rPr>
          <w:rFonts w:cs="Arial"/>
          <w:szCs w:val="20"/>
        </w:rPr>
        <w:t xml:space="preserve"> pre</w:t>
      </w:r>
      <w:r w:rsidR="00CF6ECC" w:rsidRPr="00D42B1B">
        <w:rPr>
          <w:rFonts w:cs="Arial"/>
          <w:szCs w:val="20"/>
        </w:rPr>
        <w:softHyphen/>
        <w:t xml:space="preserve">mière réunion du Comité conjoint de mise en </w:t>
      </w:r>
      <w:r w:rsidRPr="00D42B1B">
        <w:rPr>
          <w:rFonts w:cs="Arial"/>
          <w:szCs w:val="20"/>
        </w:rPr>
        <w:t>œuvre</w:t>
      </w:r>
      <w:r w:rsidR="00CF6ECC" w:rsidRPr="00D42B1B">
        <w:rPr>
          <w:rFonts w:cs="Arial"/>
          <w:szCs w:val="20"/>
        </w:rPr>
        <w:t xml:space="preserve"> (C</w:t>
      </w:r>
      <w:r w:rsidRPr="00D42B1B">
        <w:rPr>
          <w:rFonts w:cs="Arial"/>
          <w:szCs w:val="20"/>
        </w:rPr>
        <w:t>CMO</w:t>
      </w:r>
      <w:r w:rsidR="00CF6ECC" w:rsidRPr="00D42B1B">
        <w:rPr>
          <w:rFonts w:cs="Arial"/>
          <w:szCs w:val="20"/>
        </w:rPr>
        <w:t>) de l’Accord de par</w:t>
      </w:r>
      <w:r w:rsidR="00CF6ECC" w:rsidRPr="00D42B1B">
        <w:rPr>
          <w:rFonts w:cs="Arial"/>
          <w:szCs w:val="20"/>
        </w:rPr>
        <w:softHyphen/>
        <w:t>te</w:t>
      </w:r>
      <w:r w:rsidR="00CF6ECC" w:rsidRPr="00D42B1B">
        <w:rPr>
          <w:rFonts w:cs="Arial"/>
          <w:szCs w:val="20"/>
        </w:rPr>
        <w:softHyphen/>
        <w:t>na</w:t>
      </w:r>
      <w:r w:rsidR="00CF6ECC" w:rsidRPr="00D42B1B">
        <w:rPr>
          <w:rFonts w:cs="Arial"/>
          <w:szCs w:val="20"/>
        </w:rPr>
        <w:softHyphen/>
        <w:t>riat volon</w:t>
      </w:r>
      <w:r w:rsidR="00CF6ECC" w:rsidRPr="00D42B1B">
        <w:rPr>
          <w:rFonts w:cs="Arial"/>
          <w:szCs w:val="20"/>
        </w:rPr>
        <w:softHyphen/>
        <w:t>taire sur l’appli</w:t>
      </w:r>
      <w:r w:rsidR="00CF6ECC" w:rsidRPr="00D42B1B">
        <w:rPr>
          <w:rFonts w:cs="Arial"/>
          <w:szCs w:val="20"/>
        </w:rPr>
        <w:softHyphen/>
        <w:t>ca</w:t>
      </w:r>
      <w:r w:rsidR="00CF6ECC" w:rsidRPr="00D42B1B">
        <w:rPr>
          <w:rFonts w:cs="Arial"/>
          <w:szCs w:val="20"/>
        </w:rPr>
        <w:softHyphen/>
        <w:t>tion des régle</w:t>
      </w:r>
      <w:r w:rsidR="00CF6ECC" w:rsidRPr="00D42B1B">
        <w:rPr>
          <w:rFonts w:cs="Arial"/>
          <w:szCs w:val="20"/>
        </w:rPr>
        <w:softHyphen/>
        <w:t>men</w:t>
      </w:r>
      <w:r w:rsidR="00CF6ECC" w:rsidRPr="00D42B1B">
        <w:rPr>
          <w:rFonts w:cs="Arial"/>
          <w:szCs w:val="20"/>
        </w:rPr>
        <w:softHyphen/>
        <w:t>ta</w:t>
      </w:r>
      <w:r w:rsidR="00CF6ECC" w:rsidRPr="00D42B1B">
        <w:rPr>
          <w:rFonts w:cs="Arial"/>
          <w:szCs w:val="20"/>
        </w:rPr>
        <w:softHyphen/>
        <w:t>tions fores</w:t>
      </w:r>
      <w:r w:rsidR="00CF6ECC" w:rsidRPr="00D42B1B">
        <w:rPr>
          <w:rFonts w:cs="Arial"/>
          <w:szCs w:val="20"/>
        </w:rPr>
        <w:softHyphen/>
        <w:t>tières</w:t>
      </w:r>
      <w:r w:rsidRPr="00D42B1B">
        <w:rPr>
          <w:rFonts w:cs="Arial"/>
          <w:szCs w:val="20"/>
        </w:rPr>
        <w:t>, l</w:t>
      </w:r>
      <w:r w:rsidR="00CF6ECC" w:rsidRPr="00D42B1B">
        <w:rPr>
          <w:rFonts w:cs="Arial"/>
          <w:szCs w:val="20"/>
        </w:rPr>
        <w:t>a gouvernance et les échanges com</w:t>
      </w:r>
      <w:r w:rsidR="00CF6ECC" w:rsidRPr="00D42B1B">
        <w:rPr>
          <w:rFonts w:cs="Arial"/>
          <w:szCs w:val="20"/>
        </w:rPr>
        <w:softHyphen/>
        <w:t>mer</w:t>
      </w:r>
      <w:r w:rsidR="00CF6ECC" w:rsidRPr="00D42B1B">
        <w:rPr>
          <w:rFonts w:cs="Arial"/>
          <w:szCs w:val="20"/>
        </w:rPr>
        <w:softHyphen/>
        <w:t>ciaux de bois (A</w:t>
      </w:r>
      <w:r w:rsidRPr="00D42B1B">
        <w:rPr>
          <w:rFonts w:cs="Arial"/>
          <w:szCs w:val="20"/>
        </w:rPr>
        <w:t>PV-FLEGT</w:t>
      </w:r>
      <w:r w:rsidR="00CF6ECC" w:rsidRPr="00D42B1B">
        <w:rPr>
          <w:rFonts w:cs="Arial"/>
          <w:szCs w:val="20"/>
        </w:rPr>
        <w:t>) signé le 19 février 2024 et entré en vigueur le 1er mai 2025.</w:t>
      </w:r>
      <w:r w:rsidR="00E147B5" w:rsidRPr="00D42B1B">
        <w:rPr>
          <w:rFonts w:cs="Arial"/>
          <w:szCs w:val="20"/>
        </w:rPr>
        <w:t xml:space="preserve"> </w:t>
      </w:r>
      <w:r w:rsidR="00CF6ECC" w:rsidRPr="00D42B1B">
        <w:rPr>
          <w:rFonts w:cs="Arial"/>
          <w:szCs w:val="20"/>
        </w:rPr>
        <w:t>Cet accord com</w:t>
      </w:r>
      <w:r w:rsidR="00CF6ECC" w:rsidRPr="00D42B1B">
        <w:rPr>
          <w:rFonts w:cs="Arial"/>
          <w:szCs w:val="20"/>
        </w:rPr>
        <w:softHyphen/>
        <w:t>mer</w:t>
      </w:r>
      <w:r w:rsidR="00CF6ECC" w:rsidRPr="00D42B1B">
        <w:rPr>
          <w:rFonts w:cs="Arial"/>
          <w:szCs w:val="20"/>
        </w:rPr>
        <w:softHyphen/>
        <w:t>cial vise à garan</w:t>
      </w:r>
      <w:r w:rsidR="00CF6ECC" w:rsidRPr="00D42B1B">
        <w:rPr>
          <w:rFonts w:cs="Arial"/>
          <w:szCs w:val="20"/>
        </w:rPr>
        <w:softHyphen/>
        <w:t>tir que les bois et pro</w:t>
      </w:r>
      <w:r w:rsidR="00CF6ECC" w:rsidRPr="00D42B1B">
        <w:rPr>
          <w:rFonts w:cs="Arial"/>
          <w:szCs w:val="20"/>
        </w:rPr>
        <w:softHyphen/>
        <w:t>duits dérivés expor</w:t>
      </w:r>
      <w:r w:rsidR="00CF6ECC" w:rsidRPr="00D42B1B">
        <w:rPr>
          <w:rFonts w:cs="Arial"/>
          <w:szCs w:val="20"/>
        </w:rPr>
        <w:softHyphen/>
        <w:t>tés vers l’U</w:t>
      </w:r>
      <w:r w:rsidR="00E147B5" w:rsidRPr="00D42B1B">
        <w:rPr>
          <w:rFonts w:cs="Arial"/>
          <w:szCs w:val="20"/>
        </w:rPr>
        <w:t>nion européenne</w:t>
      </w:r>
      <w:r w:rsidR="00CF6ECC" w:rsidRPr="00D42B1B">
        <w:rPr>
          <w:rFonts w:cs="Arial"/>
          <w:szCs w:val="20"/>
        </w:rPr>
        <w:t xml:space="preserve"> soient légaux et traçables. Il ambi</w:t>
      </w:r>
      <w:r w:rsidR="00CF6ECC" w:rsidRPr="00D42B1B">
        <w:rPr>
          <w:rFonts w:cs="Arial"/>
          <w:szCs w:val="20"/>
        </w:rPr>
        <w:softHyphen/>
        <w:t>tionne éga</w:t>
      </w:r>
      <w:r w:rsidR="00CF6ECC" w:rsidRPr="00D42B1B">
        <w:rPr>
          <w:rFonts w:cs="Arial"/>
          <w:szCs w:val="20"/>
        </w:rPr>
        <w:softHyphen/>
        <w:t>le</w:t>
      </w:r>
      <w:r w:rsidR="00CF6ECC" w:rsidRPr="00D42B1B">
        <w:rPr>
          <w:rFonts w:cs="Arial"/>
          <w:szCs w:val="20"/>
        </w:rPr>
        <w:softHyphen/>
        <w:t>ment de ren</w:t>
      </w:r>
      <w:r w:rsidR="00CF6ECC" w:rsidRPr="00D42B1B">
        <w:rPr>
          <w:rFonts w:cs="Arial"/>
          <w:szCs w:val="20"/>
        </w:rPr>
        <w:softHyphen/>
        <w:t>for</w:t>
      </w:r>
      <w:r w:rsidR="00CF6ECC" w:rsidRPr="00D42B1B">
        <w:rPr>
          <w:rFonts w:cs="Arial"/>
          <w:szCs w:val="20"/>
        </w:rPr>
        <w:softHyphen/>
        <w:t>cer la gou</w:t>
      </w:r>
      <w:r w:rsidR="00CF6ECC" w:rsidRPr="00D42B1B">
        <w:rPr>
          <w:rFonts w:cs="Arial"/>
          <w:szCs w:val="20"/>
        </w:rPr>
        <w:softHyphen/>
        <w:t>ver</w:t>
      </w:r>
      <w:r w:rsidR="00CF6ECC" w:rsidRPr="00D42B1B">
        <w:rPr>
          <w:rFonts w:cs="Arial"/>
          <w:szCs w:val="20"/>
        </w:rPr>
        <w:softHyphen/>
        <w:t>nance fores</w:t>
      </w:r>
      <w:r w:rsidR="00CF6ECC" w:rsidRPr="00D42B1B">
        <w:rPr>
          <w:rFonts w:cs="Arial"/>
          <w:szCs w:val="20"/>
        </w:rPr>
        <w:softHyphen/>
        <w:t>tière, de lut</w:t>
      </w:r>
      <w:r w:rsidR="00CF6ECC" w:rsidRPr="00D42B1B">
        <w:rPr>
          <w:rFonts w:cs="Arial"/>
          <w:szCs w:val="20"/>
        </w:rPr>
        <w:softHyphen/>
        <w:t>ter contre l’exploi</w:t>
      </w:r>
      <w:r w:rsidR="00CF6ECC" w:rsidRPr="00D42B1B">
        <w:rPr>
          <w:rFonts w:cs="Arial"/>
          <w:szCs w:val="20"/>
        </w:rPr>
        <w:softHyphen/>
        <w:t>ta</w:t>
      </w:r>
      <w:r w:rsidR="00CF6ECC" w:rsidRPr="00D42B1B">
        <w:rPr>
          <w:rFonts w:cs="Arial"/>
          <w:szCs w:val="20"/>
        </w:rPr>
        <w:softHyphen/>
        <w:t>tion illé</w:t>
      </w:r>
      <w:r w:rsidR="00CF6ECC" w:rsidRPr="00D42B1B">
        <w:rPr>
          <w:rFonts w:cs="Arial"/>
          <w:szCs w:val="20"/>
        </w:rPr>
        <w:softHyphen/>
        <w:t>gale du bois et de pro</w:t>
      </w:r>
      <w:r w:rsidR="00CF6ECC" w:rsidRPr="00D42B1B">
        <w:rPr>
          <w:rFonts w:cs="Arial"/>
          <w:szCs w:val="20"/>
        </w:rPr>
        <w:softHyphen/>
        <w:t>mou</w:t>
      </w:r>
      <w:r w:rsidR="00CF6ECC" w:rsidRPr="00D42B1B">
        <w:rPr>
          <w:rFonts w:cs="Arial"/>
          <w:szCs w:val="20"/>
        </w:rPr>
        <w:softHyphen/>
        <w:t>voir un com</w:t>
      </w:r>
      <w:r w:rsidR="00CF6ECC" w:rsidRPr="00D42B1B">
        <w:rPr>
          <w:rFonts w:cs="Arial"/>
          <w:szCs w:val="20"/>
        </w:rPr>
        <w:softHyphen/>
        <w:t>merce durable. L’A</w:t>
      </w:r>
      <w:r w:rsidR="00E147B5" w:rsidRPr="00D42B1B">
        <w:rPr>
          <w:rFonts w:cs="Arial"/>
          <w:szCs w:val="20"/>
        </w:rPr>
        <w:t>PV-FLEGT</w:t>
      </w:r>
      <w:r w:rsidR="00CF6ECC" w:rsidRPr="00D42B1B">
        <w:rPr>
          <w:rFonts w:cs="Arial"/>
          <w:szCs w:val="20"/>
        </w:rPr>
        <w:t xml:space="preserve"> vise à lut</w:t>
      </w:r>
      <w:r w:rsidR="00CF6ECC" w:rsidRPr="00D42B1B">
        <w:rPr>
          <w:rFonts w:cs="Arial"/>
          <w:szCs w:val="20"/>
        </w:rPr>
        <w:softHyphen/>
        <w:t>ter contre la défo</w:t>
      </w:r>
      <w:r w:rsidR="00CF6ECC" w:rsidRPr="00D42B1B">
        <w:rPr>
          <w:rFonts w:cs="Arial"/>
          <w:szCs w:val="20"/>
        </w:rPr>
        <w:softHyphen/>
        <w:t>res</w:t>
      </w:r>
      <w:r w:rsidR="00CF6ECC" w:rsidRPr="00D42B1B">
        <w:rPr>
          <w:rFonts w:cs="Arial"/>
          <w:szCs w:val="20"/>
        </w:rPr>
        <w:softHyphen/>
        <w:t>ta</w:t>
      </w:r>
      <w:r w:rsidR="00CF6ECC" w:rsidRPr="00D42B1B">
        <w:rPr>
          <w:rFonts w:cs="Arial"/>
          <w:szCs w:val="20"/>
        </w:rPr>
        <w:softHyphen/>
        <w:t>tion et l’exploi</w:t>
      </w:r>
      <w:r w:rsidR="00CF6ECC" w:rsidRPr="00D42B1B">
        <w:rPr>
          <w:rFonts w:cs="Arial"/>
          <w:szCs w:val="20"/>
        </w:rPr>
        <w:softHyphen/>
        <w:t>ta</w:t>
      </w:r>
      <w:r w:rsidR="00CF6ECC" w:rsidRPr="00D42B1B">
        <w:rPr>
          <w:rFonts w:cs="Arial"/>
          <w:szCs w:val="20"/>
        </w:rPr>
        <w:softHyphen/>
        <w:t>tion illé</w:t>
      </w:r>
      <w:r w:rsidR="00CF6ECC" w:rsidRPr="00D42B1B">
        <w:rPr>
          <w:rFonts w:cs="Arial"/>
          <w:szCs w:val="20"/>
        </w:rPr>
        <w:softHyphen/>
        <w:t xml:space="preserve">gale du bois. </w:t>
      </w:r>
      <w:r w:rsidR="00E147B5" w:rsidRPr="00D42B1B">
        <w:rPr>
          <w:rFonts w:cs="Arial"/>
          <w:szCs w:val="20"/>
        </w:rPr>
        <w:t>L</w:t>
      </w:r>
      <w:r w:rsidR="00CF6ECC" w:rsidRPr="00D42B1B">
        <w:rPr>
          <w:rFonts w:cs="Arial"/>
          <w:szCs w:val="20"/>
        </w:rPr>
        <w:t>es tra</w:t>
      </w:r>
      <w:r w:rsidR="00CF6ECC" w:rsidRPr="00D42B1B">
        <w:rPr>
          <w:rFonts w:cs="Arial"/>
          <w:szCs w:val="20"/>
        </w:rPr>
        <w:softHyphen/>
        <w:t>vaux du comité ont per</w:t>
      </w:r>
      <w:r w:rsidR="00CF6ECC" w:rsidRPr="00D42B1B">
        <w:rPr>
          <w:rFonts w:cs="Arial"/>
          <w:szCs w:val="20"/>
        </w:rPr>
        <w:softHyphen/>
        <w:t>mis d’exa</w:t>
      </w:r>
      <w:r w:rsidR="00CF6ECC" w:rsidRPr="00D42B1B">
        <w:rPr>
          <w:rFonts w:cs="Arial"/>
          <w:szCs w:val="20"/>
        </w:rPr>
        <w:softHyphen/>
        <w:t>mi</w:t>
      </w:r>
      <w:r w:rsidR="00CF6ECC" w:rsidRPr="00D42B1B">
        <w:rPr>
          <w:rFonts w:cs="Arial"/>
          <w:szCs w:val="20"/>
        </w:rPr>
        <w:softHyphen/>
        <w:t>ner l’état d’avan</w:t>
      </w:r>
      <w:r w:rsidR="00CF6ECC" w:rsidRPr="00D42B1B">
        <w:rPr>
          <w:rFonts w:cs="Arial"/>
          <w:szCs w:val="20"/>
        </w:rPr>
        <w:softHyphen/>
        <w:t>ce</w:t>
      </w:r>
      <w:r w:rsidR="00CF6ECC" w:rsidRPr="00D42B1B">
        <w:rPr>
          <w:rFonts w:cs="Arial"/>
          <w:szCs w:val="20"/>
        </w:rPr>
        <w:softHyphen/>
        <w:t>ment de l’accord, d’adop</w:t>
      </w:r>
      <w:r w:rsidR="00CF6ECC" w:rsidRPr="00D42B1B">
        <w:rPr>
          <w:rFonts w:cs="Arial"/>
          <w:szCs w:val="20"/>
        </w:rPr>
        <w:softHyphen/>
        <w:t>ter un calen</w:t>
      </w:r>
      <w:r w:rsidR="00CF6ECC" w:rsidRPr="00D42B1B">
        <w:rPr>
          <w:rFonts w:cs="Arial"/>
          <w:szCs w:val="20"/>
        </w:rPr>
        <w:softHyphen/>
        <w:t xml:space="preserve">drier de mise en </w:t>
      </w:r>
      <w:r w:rsidR="00E147B5" w:rsidRPr="00D42B1B">
        <w:rPr>
          <w:rFonts w:cs="Arial"/>
          <w:szCs w:val="20"/>
        </w:rPr>
        <w:t>œuvre</w:t>
      </w:r>
      <w:r w:rsidR="00CF6ECC" w:rsidRPr="00D42B1B">
        <w:rPr>
          <w:rFonts w:cs="Arial"/>
          <w:szCs w:val="20"/>
        </w:rPr>
        <w:t xml:space="preserve"> et de se pro</w:t>
      </w:r>
      <w:r w:rsidR="00CF6ECC" w:rsidRPr="00D42B1B">
        <w:rPr>
          <w:rFonts w:cs="Arial"/>
          <w:szCs w:val="20"/>
        </w:rPr>
        <w:softHyphen/>
        <w:t>je</w:t>
      </w:r>
      <w:r w:rsidR="00CF6ECC" w:rsidRPr="00D42B1B">
        <w:rPr>
          <w:rFonts w:cs="Arial"/>
          <w:szCs w:val="20"/>
        </w:rPr>
        <w:softHyphen/>
        <w:t>ter sur la déli</w:t>
      </w:r>
      <w:r w:rsidR="00CF6ECC" w:rsidRPr="00D42B1B">
        <w:rPr>
          <w:rFonts w:cs="Arial"/>
          <w:szCs w:val="20"/>
        </w:rPr>
        <w:softHyphen/>
        <w:t>vrance des pre</w:t>
      </w:r>
      <w:r w:rsidR="00CF6ECC" w:rsidRPr="00D42B1B">
        <w:rPr>
          <w:rFonts w:cs="Arial"/>
          <w:szCs w:val="20"/>
        </w:rPr>
        <w:softHyphen/>
        <w:t>mières auto</w:t>
      </w:r>
      <w:r w:rsidR="00CF6ECC" w:rsidRPr="00D42B1B">
        <w:rPr>
          <w:rFonts w:cs="Arial"/>
          <w:szCs w:val="20"/>
        </w:rPr>
        <w:softHyphen/>
        <w:t>ri</w:t>
      </w:r>
      <w:r w:rsidR="00CF6ECC" w:rsidRPr="00D42B1B">
        <w:rPr>
          <w:rFonts w:cs="Arial"/>
          <w:szCs w:val="20"/>
        </w:rPr>
        <w:softHyphen/>
        <w:t>sa</w:t>
      </w:r>
      <w:r w:rsidR="00CF6ECC" w:rsidRPr="00D42B1B">
        <w:rPr>
          <w:rFonts w:cs="Arial"/>
          <w:szCs w:val="20"/>
        </w:rPr>
        <w:softHyphen/>
        <w:t>tions F</w:t>
      </w:r>
      <w:r w:rsidR="00E147B5" w:rsidRPr="00D42B1B">
        <w:rPr>
          <w:rFonts w:cs="Arial"/>
          <w:szCs w:val="20"/>
        </w:rPr>
        <w:t xml:space="preserve">LEGT </w:t>
      </w:r>
      <w:r w:rsidR="00CF6ECC" w:rsidRPr="00D42B1B">
        <w:rPr>
          <w:rFonts w:cs="Arial"/>
          <w:szCs w:val="20"/>
        </w:rPr>
        <w:t>à l’hori</w:t>
      </w:r>
      <w:r w:rsidR="00CF6ECC" w:rsidRPr="00D42B1B">
        <w:rPr>
          <w:rFonts w:cs="Arial"/>
          <w:szCs w:val="20"/>
        </w:rPr>
        <w:softHyphen/>
        <w:t>zon 2028</w:t>
      </w:r>
      <w:r w:rsidR="00A17D1B" w:rsidRPr="00D42B1B">
        <w:rPr>
          <w:rFonts w:cs="Arial"/>
          <w:szCs w:val="20"/>
        </w:rPr>
        <w:t>. Ces licences garantiront la légalité du bois ivoirien exporté vers le marché européen.</w:t>
      </w:r>
      <w:r w:rsidR="00CF6ECC" w:rsidRPr="00D42B1B">
        <w:rPr>
          <w:rFonts w:cs="Arial"/>
          <w:szCs w:val="20"/>
        </w:rPr>
        <w:t xml:space="preserve"> </w:t>
      </w:r>
      <w:r w:rsidR="00A17D1B" w:rsidRPr="00D42B1B">
        <w:rPr>
          <w:rFonts w:cs="Arial"/>
          <w:szCs w:val="20"/>
        </w:rPr>
        <w:t>Présidée par le ministre des eaux et forêts, M.</w:t>
      </w:r>
      <w:r w:rsidR="00AD0691">
        <w:rPr>
          <w:rFonts w:cs="Arial"/>
          <w:szCs w:val="20"/>
        </w:rPr>
        <w:t> </w:t>
      </w:r>
      <w:proofErr w:type="spellStart"/>
      <w:r w:rsidR="00A17D1B" w:rsidRPr="00D42B1B">
        <w:rPr>
          <w:rFonts w:cs="Arial"/>
          <w:szCs w:val="20"/>
        </w:rPr>
        <w:t>Assahoré</w:t>
      </w:r>
      <w:proofErr w:type="spellEnd"/>
      <w:r w:rsidR="00AD0691">
        <w:rPr>
          <w:rFonts w:cs="Arial"/>
          <w:szCs w:val="20"/>
        </w:rPr>
        <w:t> </w:t>
      </w:r>
      <w:r w:rsidR="00A17D1B" w:rsidRPr="00D42B1B">
        <w:rPr>
          <w:rFonts w:cs="Arial"/>
          <w:szCs w:val="20"/>
        </w:rPr>
        <w:t xml:space="preserve">Konan Jacques, la rencontre a également validé plusieurs chantiers prioritaires, </w:t>
      </w:r>
      <w:r w:rsidR="00A17D1B" w:rsidRPr="00D42B1B">
        <w:rPr>
          <w:rFonts w:cs="Arial"/>
          <w:szCs w:val="20"/>
        </w:rPr>
        <w:lastRenderedPageBreak/>
        <w:t xml:space="preserve">notamment le développement du Système de vérification de la légalité (SVL). Cet outil vise à assurer la traçabilité du bois tout au long de la chaîne d’approvisionnement, depuis l’exploitation jusqu’à la commercialisation sur les marchés nationaux, régionaux et internationaux. Sa mise en place devrait contribuer à lutter contre l’exploitation illégale des ressources forestières et à renforcer la crédibilité de la filière bois ivoirienne. Au cours des échanges, le ministre a rappelé que l’APV-FLEGT s’inscrit dans la vision du gouvernement, portée à travers la Stratégie de Préservation, de Réhabilitation et d’Extension des Forêts (SPREF), qui ambitionne de porter le taux de couverture forestière nationale à au moins 20% d’ici à 2030. Cette politique est complétée par la Stratégie de Valorisation des Produits Forestiers (SVPF), destinée à garantir un approvisionnement durable des marchés en produits forestiers issus d’une exploitation responsable. Selon </w:t>
      </w:r>
      <w:proofErr w:type="spellStart"/>
      <w:r w:rsidR="00A17D1B" w:rsidRPr="00D42B1B">
        <w:rPr>
          <w:rFonts w:cs="Arial"/>
          <w:szCs w:val="20"/>
        </w:rPr>
        <w:t>Assahoré</w:t>
      </w:r>
      <w:proofErr w:type="spellEnd"/>
      <w:r w:rsidR="00A17D1B" w:rsidRPr="00D42B1B">
        <w:rPr>
          <w:rFonts w:cs="Arial"/>
          <w:szCs w:val="20"/>
        </w:rPr>
        <w:t xml:space="preserve"> Konan Jacques, l’accord constitue un levier de transformation du secteur forestier. Il devrait favoriser une meilleure gouvernance, renforcer la transparence dans les échanges commerciaux et promouvoir une valorisation durable des ressources naturelles. Sa mise en œuvre contribuera également à améliorer la compétitivité des entreprises du secteur, à accroître les recettes de l’État et à soutenir les engagements climatiques de la Côte d’Ivoire.</w:t>
      </w:r>
      <w:r w:rsidR="004E362A" w:rsidRPr="00D42B1B">
        <w:rPr>
          <w:rFonts w:cs="Arial"/>
          <w:szCs w:val="20"/>
        </w:rPr>
        <w:t xml:space="preserve"> </w:t>
      </w:r>
      <w:r w:rsidR="00CF6ECC" w:rsidRPr="00D42B1B">
        <w:rPr>
          <w:rFonts w:cs="Arial"/>
          <w:szCs w:val="20"/>
        </w:rPr>
        <w:t>L’ambas</w:t>
      </w:r>
      <w:r w:rsidR="00CF6ECC" w:rsidRPr="00D42B1B">
        <w:rPr>
          <w:rFonts w:cs="Arial"/>
          <w:szCs w:val="20"/>
        </w:rPr>
        <w:softHyphen/>
        <w:t>sa</w:t>
      </w:r>
      <w:r w:rsidR="00CF6ECC" w:rsidRPr="00D42B1B">
        <w:rPr>
          <w:rFonts w:cs="Arial"/>
          <w:szCs w:val="20"/>
        </w:rPr>
        <w:softHyphen/>
        <w:t>deur de l’U</w:t>
      </w:r>
      <w:r w:rsidR="00E147B5" w:rsidRPr="00D42B1B">
        <w:rPr>
          <w:rFonts w:cs="Arial"/>
          <w:szCs w:val="20"/>
        </w:rPr>
        <w:t>nion européenne</w:t>
      </w:r>
      <w:r w:rsidR="00CF6ECC" w:rsidRPr="00D42B1B">
        <w:rPr>
          <w:rFonts w:cs="Arial"/>
          <w:szCs w:val="20"/>
        </w:rPr>
        <w:t xml:space="preserve"> en Côte d’Ivoire, </w:t>
      </w:r>
      <w:r w:rsidR="00E147B5" w:rsidRPr="00D42B1B">
        <w:rPr>
          <w:rFonts w:cs="Arial"/>
          <w:szCs w:val="20"/>
        </w:rPr>
        <w:t xml:space="preserve">M. </w:t>
      </w:r>
      <w:proofErr w:type="spellStart"/>
      <w:r w:rsidR="00CF6ECC" w:rsidRPr="00D42B1B">
        <w:rPr>
          <w:rFonts w:cs="Arial"/>
          <w:szCs w:val="20"/>
        </w:rPr>
        <w:t>Irchad</w:t>
      </w:r>
      <w:proofErr w:type="spellEnd"/>
      <w:r w:rsidR="00CF6ECC" w:rsidRPr="00D42B1B">
        <w:rPr>
          <w:rFonts w:cs="Arial"/>
          <w:szCs w:val="20"/>
        </w:rPr>
        <w:t xml:space="preserve"> </w:t>
      </w:r>
      <w:proofErr w:type="spellStart"/>
      <w:r w:rsidR="00CF6ECC" w:rsidRPr="00D42B1B">
        <w:rPr>
          <w:rFonts w:cs="Arial"/>
          <w:szCs w:val="20"/>
        </w:rPr>
        <w:t>Razaaly</w:t>
      </w:r>
      <w:proofErr w:type="spellEnd"/>
      <w:r w:rsidR="00CF6ECC" w:rsidRPr="00D42B1B">
        <w:rPr>
          <w:rFonts w:cs="Arial"/>
          <w:szCs w:val="20"/>
        </w:rPr>
        <w:t>, a salué la mobi</w:t>
      </w:r>
      <w:r w:rsidR="00CF6ECC" w:rsidRPr="00D42B1B">
        <w:rPr>
          <w:rFonts w:cs="Arial"/>
          <w:szCs w:val="20"/>
        </w:rPr>
        <w:softHyphen/>
        <w:t>li</w:t>
      </w:r>
      <w:r w:rsidR="00CF6ECC" w:rsidRPr="00D42B1B">
        <w:rPr>
          <w:rFonts w:cs="Arial"/>
          <w:szCs w:val="20"/>
        </w:rPr>
        <w:softHyphen/>
        <w:t>sa</w:t>
      </w:r>
      <w:r w:rsidR="00CF6ECC" w:rsidRPr="00D42B1B">
        <w:rPr>
          <w:rFonts w:cs="Arial"/>
          <w:szCs w:val="20"/>
        </w:rPr>
        <w:softHyphen/>
        <w:t>tion du gouvernement et des dif</w:t>
      </w:r>
      <w:r w:rsidR="00CF6ECC" w:rsidRPr="00D42B1B">
        <w:rPr>
          <w:rFonts w:cs="Arial"/>
          <w:szCs w:val="20"/>
        </w:rPr>
        <w:softHyphen/>
        <w:t>fé</w:t>
      </w:r>
      <w:r w:rsidR="00CF6ECC" w:rsidRPr="00D42B1B">
        <w:rPr>
          <w:rFonts w:cs="Arial"/>
          <w:szCs w:val="20"/>
        </w:rPr>
        <w:softHyphen/>
        <w:t>rentes par</w:t>
      </w:r>
      <w:r w:rsidR="00CF6ECC" w:rsidRPr="00D42B1B">
        <w:rPr>
          <w:rFonts w:cs="Arial"/>
          <w:szCs w:val="20"/>
        </w:rPr>
        <w:softHyphen/>
        <w:t>ties pre</w:t>
      </w:r>
      <w:r w:rsidR="00CF6ECC" w:rsidRPr="00D42B1B">
        <w:rPr>
          <w:rFonts w:cs="Arial"/>
          <w:szCs w:val="20"/>
        </w:rPr>
        <w:softHyphen/>
        <w:t>nantes</w:t>
      </w:r>
      <w:r w:rsidR="00E147B5" w:rsidRPr="00D42B1B">
        <w:rPr>
          <w:rFonts w:cs="Arial"/>
          <w:szCs w:val="20"/>
        </w:rPr>
        <w:t xml:space="preserve"> </w:t>
      </w:r>
      <w:r w:rsidR="00CF6ECC" w:rsidRPr="00D42B1B">
        <w:rPr>
          <w:rFonts w:cs="Arial"/>
          <w:szCs w:val="20"/>
        </w:rPr>
        <w:t>pour abor</w:t>
      </w:r>
      <w:r w:rsidR="00CF6ECC" w:rsidRPr="00D42B1B">
        <w:rPr>
          <w:rFonts w:cs="Arial"/>
          <w:szCs w:val="20"/>
        </w:rPr>
        <w:softHyphen/>
        <w:t>der cette échéance.</w:t>
      </w:r>
    </w:p>
    <w:p w14:paraId="2D745384" w14:textId="5C9E51E4" w:rsidR="00CF6ECC" w:rsidRPr="00D42B1B" w:rsidRDefault="00CF6ECC" w:rsidP="00095226">
      <w:pPr>
        <w:shd w:val="clear" w:color="auto" w:fill="FFFFFF"/>
        <w:spacing w:after="0" w:line="276" w:lineRule="auto"/>
        <w:rPr>
          <w:rFonts w:eastAsia="Times New Roman" w:cs="Arial"/>
          <w:color w:val="444444"/>
          <w:szCs w:val="20"/>
          <w:lang w:eastAsia="fr-FR"/>
        </w:rPr>
      </w:pPr>
    </w:p>
    <w:p w14:paraId="01ABA188" w14:textId="76B24633" w:rsidR="00095226" w:rsidRPr="00D42B1B" w:rsidRDefault="00095226" w:rsidP="002C7D7C">
      <w:pPr>
        <w:pStyle w:val="Titre2"/>
        <w:spacing w:before="0"/>
        <w:rPr>
          <w:rFonts w:eastAsiaTheme="minorHAnsi"/>
        </w:rPr>
      </w:pPr>
      <w:bookmarkStart w:id="100" w:name="_Toc233878702"/>
      <w:bookmarkStart w:id="101" w:name="_Hlk232250815"/>
      <w:r w:rsidRPr="00D42B1B">
        <w:rPr>
          <w:rFonts w:eastAsia="Times New Roman" w:cs="Arial"/>
          <w:color w:val="444444"/>
          <w:szCs w:val="20"/>
          <w:lang w:eastAsia="fr-FR"/>
        </w:rPr>
        <w:t>Formation - 1000 femmes vont bénéficier d'un accompagnement dans le secteur de la transformation agroalimentaire.</w:t>
      </w:r>
      <w:bookmarkEnd w:id="100"/>
    </w:p>
    <w:bookmarkEnd w:id="101"/>
    <w:p w14:paraId="5F9106ED" w14:textId="023D63C4" w:rsidR="009B3224" w:rsidRPr="00D42B1B" w:rsidRDefault="00095226" w:rsidP="00095226">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Dans le cadre de la promotion de l’autonomisation économique des femmes dans le secteur agro-industriel, le programme </w:t>
      </w:r>
      <w:proofErr w:type="spellStart"/>
      <w:r w:rsidRPr="00D42B1B">
        <w:rPr>
          <w:rFonts w:eastAsia="Times New Roman" w:cs="Arial"/>
          <w:i/>
          <w:iCs/>
          <w:color w:val="444444"/>
          <w:szCs w:val="20"/>
          <w:lang w:eastAsia="fr-FR"/>
        </w:rPr>
        <w:t>African</w:t>
      </w:r>
      <w:proofErr w:type="spellEnd"/>
      <w:r w:rsidRPr="00D42B1B">
        <w:rPr>
          <w:rFonts w:eastAsia="Times New Roman" w:cs="Arial"/>
          <w:i/>
          <w:iCs/>
          <w:color w:val="444444"/>
          <w:szCs w:val="20"/>
          <w:lang w:eastAsia="fr-FR"/>
        </w:rPr>
        <w:t xml:space="preserve"> </w:t>
      </w:r>
      <w:proofErr w:type="spellStart"/>
      <w:r w:rsidRPr="00D42B1B">
        <w:rPr>
          <w:rFonts w:eastAsia="Times New Roman" w:cs="Arial"/>
          <w:i/>
          <w:iCs/>
          <w:color w:val="444444"/>
          <w:szCs w:val="20"/>
          <w:lang w:eastAsia="fr-FR"/>
        </w:rPr>
        <w:t>Women</w:t>
      </w:r>
      <w:proofErr w:type="spellEnd"/>
      <w:r w:rsidRPr="00D42B1B">
        <w:rPr>
          <w:rFonts w:eastAsia="Times New Roman" w:cs="Arial"/>
          <w:i/>
          <w:iCs/>
          <w:color w:val="444444"/>
          <w:szCs w:val="20"/>
          <w:lang w:eastAsia="fr-FR"/>
        </w:rPr>
        <w:t xml:space="preserve"> of the Future in Agriculture</w:t>
      </w:r>
      <w:r w:rsidRPr="00D42B1B">
        <w:rPr>
          <w:rFonts w:eastAsia="Times New Roman" w:cs="Arial"/>
          <w:color w:val="444444"/>
          <w:szCs w:val="20"/>
          <w:lang w:eastAsia="fr-FR"/>
        </w:rPr>
        <w:t xml:space="preserve"> (AWF AGRI) a été officiellement lancé </w:t>
      </w:r>
      <w:r w:rsidR="002C7D7C" w:rsidRPr="00D42B1B">
        <w:rPr>
          <w:rFonts w:eastAsia="Times New Roman" w:cs="Arial"/>
          <w:color w:val="444444"/>
          <w:szCs w:val="20"/>
          <w:lang w:eastAsia="fr-FR"/>
        </w:rPr>
        <w:t xml:space="preserve">le </w:t>
      </w:r>
      <w:r w:rsidRPr="00D42B1B">
        <w:rPr>
          <w:rFonts w:eastAsia="Times New Roman" w:cs="Arial"/>
          <w:color w:val="444444"/>
          <w:szCs w:val="20"/>
          <w:lang w:eastAsia="fr-FR"/>
        </w:rPr>
        <w:t>11 juin.</w:t>
      </w:r>
      <w:r w:rsidR="002C7D7C"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Le programme ambitionne d’accompagner 1 000 femmes âgées de 18 à 40 ans, dont 550 en Côte d’Ivoire et 450 au Sénégal, évoluant principalement </w:t>
      </w:r>
      <w:bookmarkStart w:id="102" w:name="_Hlk232244802"/>
      <w:r w:rsidRPr="00D42B1B">
        <w:rPr>
          <w:rFonts w:eastAsia="Times New Roman" w:cs="Arial"/>
          <w:color w:val="444444"/>
          <w:szCs w:val="20"/>
          <w:lang w:eastAsia="fr-FR"/>
        </w:rPr>
        <w:t>dans le secteur de la transformation agroalimentaire</w:t>
      </w:r>
      <w:bookmarkEnd w:id="102"/>
      <w:r w:rsidRPr="00D42B1B">
        <w:rPr>
          <w:rFonts w:eastAsia="Times New Roman" w:cs="Arial"/>
          <w:color w:val="444444"/>
          <w:szCs w:val="20"/>
          <w:lang w:eastAsia="fr-FR"/>
        </w:rPr>
        <w:t xml:space="preserve">. </w:t>
      </w:r>
      <w:r w:rsidR="002C7D7C" w:rsidRPr="00D42B1B">
        <w:rPr>
          <w:rFonts w:eastAsia="Times New Roman" w:cs="Arial"/>
          <w:color w:val="444444"/>
          <w:szCs w:val="20"/>
          <w:lang w:eastAsia="fr-FR"/>
        </w:rPr>
        <w:t>A</w:t>
      </w:r>
      <w:r w:rsidRPr="00D42B1B">
        <w:rPr>
          <w:rFonts w:eastAsia="Times New Roman" w:cs="Arial"/>
          <w:color w:val="444444"/>
          <w:szCs w:val="20"/>
          <w:lang w:eastAsia="fr-FR"/>
        </w:rPr>
        <w:t xml:space="preserve"> travers des formations spécialisées et un accompagnement adapté, AWF AGRI vise à renforcer leurs capacités entrepreneuriales et à accroître la compétitivité de leurs entreprises. L’initiative portée par la Fondation SEPHIS en partenariat avec la Fondation Mastercard, entend également apporter des réponses concrètes aux nombreux défis auxquels ces entrepreneures sont confrontées au sein des chaînes de valeur agricoles, notamment l’accès limité au financement, aux équipements modernes, aux marchés formels ainsi qu’aux opportunités de croissance et de développement de leurs activités.</w:t>
      </w:r>
      <w:r w:rsidR="002C7D7C"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Lors de la cérémonie de lancement, la présidente du conseil d’administration de la Fondation SEPHIS, </w:t>
      </w:r>
      <w:r w:rsidR="002C7D7C" w:rsidRPr="00D42B1B">
        <w:rPr>
          <w:rFonts w:eastAsia="Times New Roman" w:cs="Arial"/>
          <w:color w:val="444444"/>
          <w:szCs w:val="20"/>
          <w:lang w:eastAsia="fr-FR"/>
        </w:rPr>
        <w:t xml:space="preserve">Mme </w:t>
      </w:r>
      <w:r w:rsidRPr="00D42B1B">
        <w:rPr>
          <w:rFonts w:eastAsia="Times New Roman" w:cs="Arial"/>
          <w:color w:val="444444"/>
          <w:szCs w:val="20"/>
          <w:lang w:eastAsia="fr-FR"/>
        </w:rPr>
        <w:t xml:space="preserve">Sephora Kodjo, a présenté AWF AGRI comme un accélérateur d’entreprises agroalimentaires à fort potentiel. </w:t>
      </w:r>
      <w:r w:rsidR="002C7D7C" w:rsidRPr="00D42B1B">
        <w:rPr>
          <w:rFonts w:eastAsia="Times New Roman" w:cs="Arial"/>
          <w:color w:val="444444"/>
          <w:szCs w:val="20"/>
          <w:lang w:eastAsia="fr-FR"/>
        </w:rPr>
        <w:t>L</w:t>
      </w:r>
      <w:r w:rsidRPr="00D42B1B">
        <w:rPr>
          <w:rFonts w:eastAsia="Times New Roman" w:cs="Arial"/>
          <w:color w:val="444444"/>
          <w:szCs w:val="20"/>
          <w:lang w:eastAsia="fr-FR"/>
        </w:rPr>
        <w:t>es bénéficiaires auront accès à des formations spécialisées en agro</w:t>
      </w:r>
      <w:r w:rsidR="002C7D7C" w:rsidRPr="00D42B1B">
        <w:rPr>
          <w:rFonts w:eastAsia="Times New Roman" w:cs="Arial"/>
          <w:color w:val="444444"/>
          <w:szCs w:val="20"/>
          <w:lang w:eastAsia="fr-FR"/>
        </w:rPr>
        <w:t>-</w:t>
      </w:r>
      <w:r w:rsidRPr="00D42B1B">
        <w:rPr>
          <w:rFonts w:eastAsia="Times New Roman" w:cs="Arial"/>
          <w:color w:val="444444"/>
          <w:szCs w:val="20"/>
          <w:lang w:eastAsia="fr-FR"/>
        </w:rPr>
        <w:t>transformation, à un accompagnement technique personnalisé, à des opportunités de financement ainsi qu’à des unités modernes de transformation. Le programme s’articule autour de quatre piliers</w:t>
      </w:r>
      <w:r w:rsidR="002C7D7C" w:rsidRPr="00D42B1B">
        <w:rPr>
          <w:rFonts w:eastAsia="Times New Roman" w:cs="Arial"/>
          <w:color w:val="444444"/>
          <w:szCs w:val="20"/>
          <w:lang w:eastAsia="fr-FR"/>
        </w:rPr>
        <w:t xml:space="preserve"> : </w:t>
      </w:r>
      <w:r w:rsidRPr="00D42B1B">
        <w:rPr>
          <w:rFonts w:eastAsia="Times New Roman" w:cs="Arial"/>
          <w:color w:val="444444"/>
          <w:szCs w:val="20"/>
          <w:lang w:eastAsia="fr-FR"/>
        </w:rPr>
        <w:t xml:space="preserve">le renforcement des capacités entrepreneuriales, l’assistance technique, l’accès aux marchés et l’accès au financement. Les initiateurs entendent ainsi favoriser l’émergence d’entreprises agroalimentaires plus performantes et mieux intégrées dans les circuits économiques nationaux et internationaux. Présent en qualité de coordonnateur régional du programme, </w:t>
      </w:r>
      <w:r w:rsidR="002C7D7C" w:rsidRPr="00D42B1B">
        <w:rPr>
          <w:rFonts w:eastAsia="Times New Roman" w:cs="Arial"/>
          <w:color w:val="444444"/>
          <w:szCs w:val="20"/>
          <w:lang w:eastAsia="fr-FR"/>
        </w:rPr>
        <w:t xml:space="preserve">M. </w:t>
      </w:r>
      <w:r w:rsidRPr="00D42B1B">
        <w:rPr>
          <w:rFonts w:eastAsia="Times New Roman" w:cs="Arial"/>
          <w:color w:val="444444"/>
          <w:szCs w:val="20"/>
          <w:lang w:eastAsia="fr-FR"/>
        </w:rPr>
        <w:t xml:space="preserve">Michel </w:t>
      </w:r>
      <w:proofErr w:type="spellStart"/>
      <w:r w:rsidRPr="00D42B1B">
        <w:rPr>
          <w:rFonts w:eastAsia="Times New Roman" w:cs="Arial"/>
          <w:color w:val="444444"/>
          <w:szCs w:val="20"/>
          <w:lang w:eastAsia="fr-FR"/>
        </w:rPr>
        <w:t>Gneblo</w:t>
      </w:r>
      <w:proofErr w:type="spellEnd"/>
      <w:r w:rsidRPr="00D42B1B">
        <w:rPr>
          <w:rFonts w:eastAsia="Times New Roman" w:cs="Arial"/>
          <w:color w:val="444444"/>
          <w:szCs w:val="20"/>
          <w:lang w:eastAsia="fr-FR"/>
        </w:rPr>
        <w:t xml:space="preserve"> a expliqué que l’initiative a été conçue pour répondre directement aux inégalités structurelles auxquelles sont confrontées les femmes dans le secteur agricole.</w:t>
      </w:r>
      <w:r w:rsidR="002C7D7C"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Il a notamment souligné les difficultés d’accès au foncier, rappelant que seulement 5% des femmes ivoiriennes accèdent à la propriété foncière alors </w:t>
      </w:r>
      <w:r w:rsidRPr="00D42B1B">
        <w:rPr>
          <w:rFonts w:eastAsia="Times New Roman" w:cs="Arial"/>
          <w:color w:val="444444"/>
          <w:szCs w:val="20"/>
          <w:lang w:eastAsia="fr-FR"/>
        </w:rPr>
        <w:lastRenderedPageBreak/>
        <w:t>qu’elles assurent près de 75% de la production alimentaire de base. Il a également évoqué les équipements souvent inadaptés aux besoins des femmes, les barrières financières liées à des garanties difficilement accessibles, ainsi que le poids des tâches domestiques et les effets du changement climatique. Pour sa phase pilote, le programme ciblera les villes d’Abidjan, Yamoussoukro et Bouaké en Côte d’Ivoire, ainsi que Dakar et Saint-Louis au Sénégal.</w:t>
      </w:r>
      <w:r w:rsidR="002C7D7C" w:rsidRPr="00D42B1B">
        <w:rPr>
          <w:rFonts w:eastAsia="Times New Roman" w:cs="Arial"/>
          <w:color w:val="444444"/>
          <w:szCs w:val="20"/>
          <w:lang w:eastAsia="fr-FR"/>
        </w:rPr>
        <w:t xml:space="preserve"> </w:t>
      </w:r>
      <w:r w:rsidRPr="00D42B1B">
        <w:rPr>
          <w:rFonts w:eastAsia="Times New Roman" w:cs="Arial"/>
          <w:color w:val="444444"/>
          <w:szCs w:val="20"/>
          <w:lang w:eastAsia="fr-FR"/>
        </w:rPr>
        <w:t>Au terme des deux années de mise en œuvre, AWF AGRI ambitionne de financer 220 projets entrepreneuriaux portés par des femmes, de réaliser plus de 108 audits de conformité et de fournir 182 assistances techniques. Le programme prévoit également de faciliter la participation des bénéficiaires à des salons commerciaux nationaux et internationaux et espèrent contribuer à la création de 6 700 emplois décents en Côte d’Ivoire et de près de 12</w:t>
      </w:r>
      <w:r w:rsidR="002C7D7C" w:rsidRPr="00D42B1B">
        <w:rPr>
          <w:rFonts w:eastAsia="Times New Roman" w:cs="Arial"/>
          <w:color w:val="444444"/>
          <w:szCs w:val="20"/>
          <w:lang w:eastAsia="fr-FR"/>
        </w:rPr>
        <w:t> </w:t>
      </w:r>
      <w:r w:rsidRPr="00D42B1B">
        <w:rPr>
          <w:rFonts w:eastAsia="Times New Roman" w:cs="Arial"/>
          <w:color w:val="444444"/>
          <w:szCs w:val="20"/>
          <w:lang w:eastAsia="fr-FR"/>
        </w:rPr>
        <w:t>000 emplois au total dans les deux pays.</w:t>
      </w:r>
    </w:p>
    <w:p w14:paraId="40EEAC1E" w14:textId="77777777" w:rsidR="00380467" w:rsidRPr="00D42B1B" w:rsidRDefault="00380467" w:rsidP="00380467">
      <w:pPr>
        <w:shd w:val="clear" w:color="auto" w:fill="FFFFFF"/>
        <w:spacing w:after="0" w:line="276" w:lineRule="auto"/>
        <w:rPr>
          <w:rFonts w:eastAsia="Times New Roman" w:cs="Arial"/>
          <w:color w:val="444444"/>
          <w:szCs w:val="20"/>
          <w:lang w:eastAsia="fr-FR"/>
        </w:rPr>
      </w:pPr>
    </w:p>
    <w:p w14:paraId="66CFB7DC" w14:textId="7FFB3EEB" w:rsidR="00380467" w:rsidRPr="00D42B1B" w:rsidRDefault="00380467" w:rsidP="008B6374">
      <w:pPr>
        <w:pStyle w:val="Titre2"/>
        <w:spacing w:before="0"/>
        <w:rPr>
          <w:rFonts w:eastAsiaTheme="minorHAnsi"/>
        </w:rPr>
      </w:pPr>
      <w:bookmarkStart w:id="103" w:name="_Toc233878703"/>
      <w:bookmarkStart w:id="104" w:name="_Hlk233193514"/>
      <w:r w:rsidRPr="00D42B1B">
        <w:rPr>
          <w:rFonts w:eastAsia="Times New Roman" w:cs="Arial"/>
          <w:color w:val="444444"/>
          <w:szCs w:val="20"/>
          <w:lang w:eastAsia="fr-FR"/>
        </w:rPr>
        <w:t>Intrants – TVA sur les engrais toujours en vigueur.</w:t>
      </w:r>
      <w:bookmarkEnd w:id="103"/>
    </w:p>
    <w:p w14:paraId="4605C624" w14:textId="6B17A1E0" w:rsidR="00380467" w:rsidRPr="00D42B1B" w:rsidRDefault="00380467" w:rsidP="00380467">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La TVA de 9% sur les engrais demeure toujours en vigueur en Côte d'Ivoire, entrainant une augmentation mécanique sur le coût de production des exploitations agricoles. Pour de nombreux producteurs, notamment les petits exploitants, toute hausse du prix des engrais se traduit par une réduction des quantités utilisées dans les champs. Cette diminution des apports fertilisants entraîne généralement une baisse des rendements, une réduction des revenus agricoles et, à terme, une pression accrue sur les prix des denrées alimentaires. L'impact de cette mesure dépasse donc largement le cadre fiscal. Il concerne directement les producteurs, les consommateurs et l'ensemble de l'économie agricole ivoirienne. Cette pression fiscale intervient alors que le marché mondial des engrais traverse une nouvelle période d'incertitude. Les tensions géopolitiques au Moyen-Orient, notamment les perturbations du trafic maritime dans le détroit d'Ormuz, alimentent la hausse des prix internationaux des engrais, l’augmentation des coûts logistiques. Dans un tel environnement, toute charge fiscale supplémentaire accentue davantage la pression sur les coûts d'approvisionnement. Conscientes des difficultés rencontrées par les producteurs, les autorités ivoiriennes avaient annoncé en mars 2026 leur volonté de revenir à une exonération totale de la TVA sur les engrais. Cette perspective avait été favorablement accueillie par l'ensemble des acteurs du secteur agricole. Toutefois, plusieurs mois après cette annonce, aucun texte officiel n'a encore été adopté pour rendre effective cette suppression de la TVA.</w:t>
      </w:r>
    </w:p>
    <w:p w14:paraId="668F35C2" w14:textId="5D10EB56" w:rsidR="00380467" w:rsidRPr="00D42B1B" w:rsidRDefault="00380467" w:rsidP="00380467">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Cette situation persiste alors que la campagne agricole est pleinement engagée. Chaque semaine de retard dans la mise en œuvre effective de l'exonération maintient une pression supplémentaire sur les coûts de production, réduit la capacité d'achat des exploitants et limite leur accès aux intrants essentiels.</w:t>
      </w:r>
    </w:p>
    <w:p w14:paraId="6D211A0F" w14:textId="29F19DCC" w:rsidR="004E362A" w:rsidRPr="00D42B1B" w:rsidRDefault="004E362A" w:rsidP="00380467">
      <w:pPr>
        <w:shd w:val="clear" w:color="auto" w:fill="FFFFFF"/>
        <w:spacing w:after="0" w:line="276" w:lineRule="auto"/>
        <w:rPr>
          <w:rFonts w:eastAsia="Times New Roman" w:cs="Arial"/>
          <w:color w:val="444444"/>
          <w:szCs w:val="20"/>
          <w:lang w:eastAsia="fr-FR"/>
        </w:rPr>
      </w:pPr>
    </w:p>
    <w:p w14:paraId="7E59EE82" w14:textId="054F5545" w:rsidR="004E362A" w:rsidRPr="00D42B1B" w:rsidRDefault="004E362A" w:rsidP="00B70DD2">
      <w:pPr>
        <w:pStyle w:val="Titre2"/>
        <w:spacing w:before="0"/>
        <w:rPr>
          <w:rFonts w:eastAsiaTheme="minorHAnsi"/>
        </w:rPr>
      </w:pPr>
      <w:bookmarkStart w:id="105" w:name="_Toc233878704"/>
      <w:bookmarkEnd w:id="104"/>
      <w:r w:rsidRPr="00D42B1B">
        <w:rPr>
          <w:rFonts w:eastAsia="Times New Roman" w:cs="Arial"/>
          <w:color w:val="444444"/>
          <w:szCs w:val="20"/>
          <w:lang w:eastAsia="fr-FR"/>
        </w:rPr>
        <w:t>Equipements - Coopération décentralisée Bondoukou–Fraize.</w:t>
      </w:r>
      <w:bookmarkEnd w:id="105"/>
    </w:p>
    <w:p w14:paraId="353F67C3" w14:textId="7E9CBEED" w:rsidR="004E362A" w:rsidRPr="00D42B1B" w:rsidRDefault="004E362A" w:rsidP="004E362A">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La préfecture de Bondoukou a salué le 18 juin, l’impact de la coopération décentralisée entre les communes de Bondoukou (Côte d’Ivoire) et de Fraize (France), qui permet de renforcer la mécanisation de l’agriculture locale à travers un appui en matériels agricoles au profit des jeunes et des femmes du Cercle d’actions des leaders actifs pour le développement de Bondoukou (CALAB). Cette appréciation a été exprimée lors de la réception d’une délégation du Comité de coopération décentralisée de Fraize et des responsables du CALAB à la préfecture de Bondoukou, dans le cadre de la présentation officielle des partenaires et du </w:t>
      </w:r>
      <w:r w:rsidRPr="00D42B1B">
        <w:rPr>
          <w:rFonts w:eastAsia="Times New Roman" w:cs="Arial"/>
          <w:color w:val="444444"/>
          <w:szCs w:val="20"/>
          <w:lang w:eastAsia="fr-FR"/>
        </w:rPr>
        <w:lastRenderedPageBreak/>
        <w:t xml:space="preserve">projet agricole financé à hauteur de 13 M FCFA. Le président du CALAB, M. Serge </w:t>
      </w:r>
      <w:proofErr w:type="spellStart"/>
      <w:r w:rsidRPr="00D42B1B">
        <w:rPr>
          <w:rFonts w:eastAsia="Times New Roman" w:cs="Arial"/>
          <w:color w:val="444444"/>
          <w:szCs w:val="20"/>
          <w:lang w:eastAsia="fr-FR"/>
        </w:rPr>
        <w:t>Gla</w:t>
      </w:r>
      <w:proofErr w:type="spellEnd"/>
      <w:r w:rsidRPr="00D42B1B">
        <w:rPr>
          <w:rFonts w:eastAsia="Times New Roman" w:cs="Arial"/>
          <w:color w:val="444444"/>
          <w:szCs w:val="20"/>
          <w:lang w:eastAsia="fr-FR"/>
        </w:rPr>
        <w:t>, a souligné que le projet prévoit la remise de matériels agricoles, notamment des motoculteurs, semoirs, épandeurs et moissonneuses, destinés à améliorer la productivité des exploitations agricoles locales.</w:t>
      </w:r>
      <w:r w:rsidR="00B70DD2"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Le chef de délégation du Comité de coopération décentralisée de Fraize, </w:t>
      </w:r>
      <w:r w:rsidR="00B70DD2" w:rsidRPr="00D42B1B">
        <w:rPr>
          <w:rFonts w:eastAsia="Times New Roman" w:cs="Arial"/>
          <w:color w:val="444444"/>
          <w:szCs w:val="20"/>
          <w:lang w:eastAsia="fr-FR"/>
        </w:rPr>
        <w:t>M. </w:t>
      </w:r>
      <w:r w:rsidRPr="00D42B1B">
        <w:rPr>
          <w:rFonts w:eastAsia="Times New Roman" w:cs="Arial"/>
          <w:color w:val="444444"/>
          <w:szCs w:val="20"/>
          <w:lang w:eastAsia="fr-FR"/>
        </w:rPr>
        <w:t>Claude</w:t>
      </w:r>
      <w:r w:rsidR="00B70DD2" w:rsidRPr="00D42B1B">
        <w:rPr>
          <w:rFonts w:eastAsia="Times New Roman" w:cs="Arial"/>
          <w:color w:val="444444"/>
          <w:szCs w:val="20"/>
          <w:lang w:eastAsia="fr-FR"/>
        </w:rPr>
        <w:t> </w:t>
      </w:r>
      <w:r w:rsidRPr="00D42B1B">
        <w:rPr>
          <w:rFonts w:eastAsia="Times New Roman" w:cs="Arial"/>
          <w:color w:val="444444"/>
          <w:szCs w:val="20"/>
          <w:lang w:eastAsia="fr-FR"/>
        </w:rPr>
        <w:t>Jacquot, a rappelé que cette coopération s’inscrit dans une longue tradition de solidarité internationale</w:t>
      </w:r>
      <w:r w:rsidR="00B70DD2" w:rsidRPr="00D42B1B">
        <w:rPr>
          <w:rFonts w:eastAsia="Times New Roman" w:cs="Arial"/>
          <w:color w:val="444444"/>
          <w:szCs w:val="20"/>
          <w:lang w:eastAsia="fr-FR"/>
        </w:rPr>
        <w:t xml:space="preserve"> avec une intervention </w:t>
      </w:r>
      <w:r w:rsidRPr="00D42B1B">
        <w:rPr>
          <w:rFonts w:eastAsia="Times New Roman" w:cs="Arial"/>
          <w:color w:val="444444"/>
          <w:szCs w:val="20"/>
          <w:lang w:eastAsia="fr-FR"/>
        </w:rPr>
        <w:t xml:space="preserve">dans le </w:t>
      </w:r>
      <w:proofErr w:type="spellStart"/>
      <w:r w:rsidRPr="00D42B1B">
        <w:rPr>
          <w:rFonts w:eastAsia="Times New Roman" w:cs="Arial"/>
          <w:color w:val="444444"/>
          <w:szCs w:val="20"/>
          <w:lang w:eastAsia="fr-FR"/>
        </w:rPr>
        <w:t>Gontougo</w:t>
      </w:r>
      <w:proofErr w:type="spellEnd"/>
      <w:r w:rsidRPr="00D42B1B">
        <w:rPr>
          <w:rFonts w:eastAsia="Times New Roman" w:cs="Arial"/>
          <w:color w:val="444444"/>
          <w:szCs w:val="20"/>
          <w:lang w:eastAsia="fr-FR"/>
        </w:rPr>
        <w:t xml:space="preserve"> depuis une douzaine d’années sur des projets liés à la souveraineté alimentaire</w:t>
      </w:r>
      <w:r w:rsidR="00B70DD2" w:rsidRPr="00D42B1B">
        <w:rPr>
          <w:rFonts w:eastAsia="Times New Roman" w:cs="Arial"/>
          <w:color w:val="444444"/>
          <w:szCs w:val="20"/>
          <w:lang w:eastAsia="fr-FR"/>
        </w:rPr>
        <w:t xml:space="preserve"> et c’est a</w:t>
      </w:r>
      <w:r w:rsidRPr="00D42B1B">
        <w:rPr>
          <w:rFonts w:eastAsia="Times New Roman" w:cs="Arial"/>
          <w:color w:val="444444"/>
          <w:szCs w:val="20"/>
          <w:lang w:eastAsia="fr-FR"/>
        </w:rPr>
        <w:t xml:space="preserve">près avoir constaté le sérieux du CALAB et l’accompagnement des autorités locales, </w:t>
      </w:r>
      <w:r w:rsidR="00B70DD2" w:rsidRPr="00D42B1B">
        <w:rPr>
          <w:rFonts w:eastAsia="Times New Roman" w:cs="Arial"/>
          <w:color w:val="444444"/>
          <w:szCs w:val="20"/>
          <w:lang w:eastAsia="fr-FR"/>
        </w:rPr>
        <w:t xml:space="preserve">qu’il a été </w:t>
      </w:r>
      <w:r w:rsidRPr="00D42B1B">
        <w:rPr>
          <w:rFonts w:eastAsia="Times New Roman" w:cs="Arial"/>
          <w:color w:val="444444"/>
          <w:szCs w:val="20"/>
          <w:lang w:eastAsia="fr-FR"/>
        </w:rPr>
        <w:t xml:space="preserve">décidé de lui confier la gestion </w:t>
      </w:r>
      <w:r w:rsidR="00B70DD2" w:rsidRPr="00D42B1B">
        <w:rPr>
          <w:rFonts w:eastAsia="Times New Roman" w:cs="Arial"/>
          <w:color w:val="444444"/>
          <w:szCs w:val="20"/>
          <w:lang w:eastAsia="fr-FR"/>
        </w:rPr>
        <w:t xml:space="preserve">des financements </w:t>
      </w:r>
      <w:r w:rsidRPr="00D42B1B">
        <w:rPr>
          <w:rFonts w:eastAsia="Times New Roman" w:cs="Arial"/>
          <w:color w:val="444444"/>
          <w:szCs w:val="20"/>
          <w:lang w:eastAsia="fr-FR"/>
        </w:rPr>
        <w:t>pour soutenir la mécanisation agricole.</w:t>
      </w:r>
    </w:p>
    <w:p w14:paraId="5E5598AF" w14:textId="305E6B88" w:rsidR="00334591" w:rsidRPr="00D42B1B" w:rsidRDefault="00334591" w:rsidP="004E362A">
      <w:pPr>
        <w:shd w:val="clear" w:color="auto" w:fill="FFFFFF"/>
        <w:spacing w:after="0" w:line="276" w:lineRule="auto"/>
        <w:rPr>
          <w:rFonts w:eastAsia="Times New Roman" w:cs="Arial"/>
          <w:color w:val="444444"/>
          <w:szCs w:val="20"/>
          <w:lang w:eastAsia="fr-FR"/>
        </w:rPr>
      </w:pPr>
    </w:p>
    <w:p w14:paraId="331BC130" w14:textId="35B3CCB5" w:rsidR="00AC4ECF" w:rsidRPr="00D42B1B" w:rsidRDefault="0016097A" w:rsidP="0000429A">
      <w:pPr>
        <w:pStyle w:val="Titre2"/>
        <w:spacing w:before="0"/>
        <w:rPr>
          <w:rFonts w:eastAsiaTheme="minorHAnsi"/>
        </w:rPr>
      </w:pPr>
      <w:bookmarkStart w:id="106" w:name="_Toc233878705"/>
      <w:r w:rsidRPr="00D42B1B">
        <w:rPr>
          <w:rFonts w:eastAsia="Times New Roman" w:cs="Arial"/>
          <w:color w:val="444444"/>
          <w:szCs w:val="20"/>
          <w:lang w:eastAsia="fr-FR"/>
        </w:rPr>
        <w:t>Coopération –</w:t>
      </w:r>
      <w:r w:rsidR="00AC4ECF" w:rsidRPr="00D42B1B">
        <w:rPr>
          <w:rFonts w:eastAsia="Times New Roman" w:cs="Arial"/>
          <w:color w:val="444444"/>
          <w:szCs w:val="20"/>
          <w:lang w:eastAsia="fr-FR"/>
        </w:rPr>
        <w:t xml:space="preserve"> Les Pays-Bas veulent accompagner la montée en productivité de la Côte d’Ivoire.</w:t>
      </w:r>
      <w:bookmarkEnd w:id="106"/>
    </w:p>
    <w:p w14:paraId="39F842E2" w14:textId="441A981B" w:rsidR="00AC4ECF" w:rsidRPr="00D42B1B" w:rsidRDefault="00AC4ECF" w:rsidP="00AC4ECF">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S.E.M. Jeroen </w:t>
      </w:r>
      <w:proofErr w:type="spellStart"/>
      <w:r w:rsidRPr="00D42B1B">
        <w:rPr>
          <w:rFonts w:eastAsia="Times New Roman" w:cs="Arial"/>
          <w:color w:val="444444"/>
          <w:szCs w:val="20"/>
          <w:lang w:eastAsia="fr-FR"/>
        </w:rPr>
        <w:t>Kelderhuis</w:t>
      </w:r>
      <w:proofErr w:type="spellEnd"/>
      <w:r w:rsidRPr="00D42B1B">
        <w:rPr>
          <w:rFonts w:eastAsia="Times New Roman" w:cs="Arial"/>
          <w:color w:val="444444"/>
          <w:szCs w:val="20"/>
          <w:lang w:eastAsia="fr-FR"/>
        </w:rPr>
        <w:t>, Ambassadeur du Royaume des Pays-Bas en Côte d’Ivoire est revenu sur les priorités de la coopération néerlandaise : innovation technologique, renforcement des capacités des producteurs et soutien aux chaînes de valeur pour améliorer la productivité et la résilience face aux défis climatiques et économiques. Les missions d’échanges entre les deux pays se sont intensifiées ces dernières années, le Royaume des Pays-Bas ayant été désigné pays à l’honneur lors de la sixième édition du Salon international de l’Agriculture et des Ressources Animales (SARA) en 2023 Pour l’édition 2025, une très forte délégation d’entreprises et d’organisations néerlandaises a participé. En avril 2025, une mission conjointe du ministère des ressources animales et halieutiques et du ministère de l’</w:t>
      </w:r>
      <w:r w:rsidR="006E7E73" w:rsidRPr="00D42B1B">
        <w:rPr>
          <w:rFonts w:eastAsia="Times New Roman" w:cs="Arial"/>
          <w:color w:val="444444"/>
          <w:szCs w:val="20"/>
          <w:lang w:eastAsia="fr-FR"/>
        </w:rPr>
        <w:t>a</w:t>
      </w:r>
      <w:r w:rsidRPr="00D42B1B">
        <w:rPr>
          <w:rFonts w:eastAsia="Times New Roman" w:cs="Arial"/>
          <w:color w:val="444444"/>
          <w:szCs w:val="20"/>
          <w:lang w:eastAsia="fr-FR"/>
        </w:rPr>
        <w:t xml:space="preserve">griculture, du </w:t>
      </w:r>
      <w:r w:rsidR="006E7E73" w:rsidRPr="00D42B1B">
        <w:rPr>
          <w:rFonts w:eastAsia="Times New Roman" w:cs="Arial"/>
          <w:color w:val="444444"/>
          <w:szCs w:val="20"/>
          <w:lang w:eastAsia="fr-FR"/>
        </w:rPr>
        <w:t>d</w:t>
      </w:r>
      <w:r w:rsidRPr="00D42B1B">
        <w:rPr>
          <w:rFonts w:eastAsia="Times New Roman" w:cs="Arial"/>
          <w:color w:val="444444"/>
          <w:szCs w:val="20"/>
          <w:lang w:eastAsia="fr-FR"/>
        </w:rPr>
        <w:t xml:space="preserve">éveloppement </w:t>
      </w:r>
      <w:r w:rsidR="006E7E73" w:rsidRPr="00D42B1B">
        <w:rPr>
          <w:rFonts w:eastAsia="Times New Roman" w:cs="Arial"/>
          <w:color w:val="444444"/>
          <w:szCs w:val="20"/>
          <w:lang w:eastAsia="fr-FR"/>
        </w:rPr>
        <w:t>r</w:t>
      </w:r>
      <w:r w:rsidRPr="00D42B1B">
        <w:rPr>
          <w:rFonts w:eastAsia="Times New Roman" w:cs="Arial"/>
          <w:color w:val="444444"/>
          <w:szCs w:val="20"/>
          <w:lang w:eastAsia="fr-FR"/>
        </w:rPr>
        <w:t xml:space="preserve">ural et de la </w:t>
      </w:r>
      <w:r w:rsidR="006E7E73" w:rsidRPr="00D42B1B">
        <w:rPr>
          <w:rFonts w:eastAsia="Times New Roman" w:cs="Arial"/>
          <w:color w:val="444444"/>
          <w:szCs w:val="20"/>
          <w:lang w:eastAsia="fr-FR"/>
        </w:rPr>
        <w:t>p</w:t>
      </w:r>
      <w:r w:rsidRPr="00D42B1B">
        <w:rPr>
          <w:rFonts w:eastAsia="Times New Roman" w:cs="Arial"/>
          <w:color w:val="444444"/>
          <w:szCs w:val="20"/>
          <w:lang w:eastAsia="fr-FR"/>
        </w:rPr>
        <w:t xml:space="preserve">roduction </w:t>
      </w:r>
      <w:r w:rsidR="006E7E73" w:rsidRPr="00D42B1B">
        <w:rPr>
          <w:rFonts w:eastAsia="Times New Roman" w:cs="Arial"/>
          <w:color w:val="444444"/>
          <w:szCs w:val="20"/>
          <w:lang w:eastAsia="fr-FR"/>
        </w:rPr>
        <w:t>v</w:t>
      </w:r>
      <w:r w:rsidRPr="00D42B1B">
        <w:rPr>
          <w:rFonts w:eastAsia="Times New Roman" w:cs="Arial"/>
          <w:color w:val="444444"/>
          <w:szCs w:val="20"/>
          <w:lang w:eastAsia="fr-FR"/>
        </w:rPr>
        <w:t xml:space="preserve">ivrière </w:t>
      </w:r>
      <w:r w:rsidR="006E7E73" w:rsidRPr="00D42B1B">
        <w:rPr>
          <w:rFonts w:eastAsia="Times New Roman" w:cs="Arial"/>
          <w:color w:val="444444"/>
          <w:szCs w:val="20"/>
          <w:lang w:eastAsia="fr-FR"/>
        </w:rPr>
        <w:t xml:space="preserve">a été organisée </w:t>
      </w:r>
      <w:r w:rsidRPr="00D42B1B">
        <w:rPr>
          <w:rFonts w:eastAsia="Times New Roman" w:cs="Arial"/>
          <w:color w:val="444444"/>
          <w:szCs w:val="20"/>
          <w:lang w:eastAsia="fr-FR"/>
        </w:rPr>
        <w:t>aux Pays-Bas.</w:t>
      </w:r>
      <w:r w:rsidR="006E7E73" w:rsidRPr="00D42B1B">
        <w:rPr>
          <w:rFonts w:eastAsia="Times New Roman" w:cs="Arial"/>
          <w:color w:val="444444"/>
          <w:szCs w:val="20"/>
          <w:lang w:eastAsia="fr-FR"/>
        </w:rPr>
        <w:t xml:space="preserve"> D</w:t>
      </w:r>
      <w:r w:rsidRPr="00D42B1B">
        <w:rPr>
          <w:rFonts w:eastAsia="Times New Roman" w:cs="Arial"/>
          <w:color w:val="444444"/>
          <w:szCs w:val="20"/>
          <w:lang w:eastAsia="fr-FR"/>
        </w:rPr>
        <w:t xml:space="preserve">epuis le début de l’année 2026, </w:t>
      </w:r>
      <w:r w:rsidR="006E7E73" w:rsidRPr="00D42B1B">
        <w:rPr>
          <w:rFonts w:eastAsia="Times New Roman" w:cs="Arial"/>
          <w:color w:val="444444"/>
          <w:szCs w:val="20"/>
          <w:lang w:eastAsia="fr-FR"/>
        </w:rPr>
        <w:t xml:space="preserve">plusieurs </w:t>
      </w:r>
      <w:r w:rsidRPr="00D42B1B">
        <w:rPr>
          <w:rFonts w:eastAsia="Times New Roman" w:cs="Arial"/>
          <w:color w:val="444444"/>
          <w:szCs w:val="20"/>
          <w:lang w:eastAsia="fr-FR"/>
        </w:rPr>
        <w:t>délégations de différentes institutions et du secteur privé néerlandais intéressées par des investissements en Côte d’Ivoire</w:t>
      </w:r>
      <w:r w:rsidR="006E7E73" w:rsidRPr="00D42B1B">
        <w:rPr>
          <w:rFonts w:eastAsia="Times New Roman" w:cs="Arial"/>
          <w:color w:val="444444"/>
          <w:szCs w:val="20"/>
          <w:lang w:eastAsia="fr-FR"/>
        </w:rPr>
        <w:t xml:space="preserve"> sont venues en mission</w:t>
      </w:r>
      <w:r w:rsidRPr="00D42B1B">
        <w:rPr>
          <w:rFonts w:eastAsia="Times New Roman" w:cs="Arial"/>
          <w:color w:val="444444"/>
          <w:szCs w:val="20"/>
          <w:lang w:eastAsia="fr-FR"/>
        </w:rPr>
        <w:t xml:space="preserve">. </w:t>
      </w:r>
      <w:r w:rsidR="006E7E73" w:rsidRPr="00D42B1B">
        <w:rPr>
          <w:rFonts w:eastAsia="Times New Roman" w:cs="Arial"/>
          <w:color w:val="444444"/>
          <w:szCs w:val="20"/>
          <w:lang w:eastAsia="fr-FR"/>
        </w:rPr>
        <w:t>E</w:t>
      </w:r>
      <w:r w:rsidRPr="00D42B1B">
        <w:rPr>
          <w:rFonts w:eastAsia="Times New Roman" w:cs="Arial"/>
          <w:color w:val="444444"/>
          <w:szCs w:val="20"/>
          <w:lang w:eastAsia="fr-FR"/>
        </w:rPr>
        <w:t xml:space="preserve">n avril 2026, </w:t>
      </w:r>
      <w:r w:rsidR="006E7E73" w:rsidRPr="00D42B1B">
        <w:rPr>
          <w:rFonts w:eastAsia="Times New Roman" w:cs="Arial"/>
          <w:color w:val="444444"/>
          <w:szCs w:val="20"/>
          <w:lang w:eastAsia="fr-FR"/>
        </w:rPr>
        <w:t xml:space="preserve">par exemple </w:t>
      </w:r>
      <w:r w:rsidRPr="00D42B1B">
        <w:rPr>
          <w:rFonts w:eastAsia="Times New Roman" w:cs="Arial"/>
          <w:color w:val="444444"/>
          <w:szCs w:val="20"/>
          <w:lang w:eastAsia="fr-FR"/>
        </w:rPr>
        <w:t>une forte délégation de 19 organisations et entreprises néerlandaises du secteur semencier, horticole et de la pomme de terre</w:t>
      </w:r>
      <w:r w:rsidR="006E7E73" w:rsidRPr="00D42B1B">
        <w:rPr>
          <w:rFonts w:eastAsia="Times New Roman" w:cs="Arial"/>
          <w:color w:val="444444"/>
          <w:szCs w:val="20"/>
          <w:lang w:eastAsia="fr-FR"/>
        </w:rPr>
        <w:t xml:space="preserve"> a été reçue. La </w:t>
      </w:r>
      <w:r w:rsidRPr="00D42B1B">
        <w:rPr>
          <w:rFonts w:eastAsia="Times New Roman" w:cs="Arial"/>
          <w:color w:val="444444"/>
          <w:szCs w:val="20"/>
          <w:lang w:eastAsia="fr-FR"/>
        </w:rPr>
        <w:t>coopération bilatérale repose sur trois grands axes</w:t>
      </w:r>
      <w:r w:rsidR="006E7E73" w:rsidRPr="00D42B1B">
        <w:rPr>
          <w:rFonts w:eastAsia="Times New Roman" w:cs="Arial"/>
          <w:color w:val="444444"/>
          <w:szCs w:val="20"/>
          <w:lang w:eastAsia="fr-FR"/>
        </w:rPr>
        <w:t> :</w:t>
      </w:r>
      <w:r w:rsidRPr="00D42B1B">
        <w:rPr>
          <w:rFonts w:eastAsia="Times New Roman" w:cs="Arial"/>
          <w:color w:val="444444"/>
          <w:szCs w:val="20"/>
          <w:lang w:eastAsia="fr-FR"/>
        </w:rPr>
        <w:t xml:space="preserve"> le renforcement des relations politiques et multilatérales</w:t>
      </w:r>
      <w:r w:rsidR="006E7E73" w:rsidRPr="00D42B1B">
        <w:rPr>
          <w:rFonts w:eastAsia="Times New Roman" w:cs="Arial"/>
          <w:color w:val="444444"/>
          <w:szCs w:val="20"/>
          <w:lang w:eastAsia="fr-FR"/>
        </w:rPr>
        <w:t> ;</w:t>
      </w:r>
      <w:r w:rsidRPr="00D42B1B">
        <w:rPr>
          <w:rFonts w:eastAsia="Times New Roman" w:cs="Arial"/>
          <w:color w:val="444444"/>
          <w:szCs w:val="20"/>
          <w:lang w:eastAsia="fr-FR"/>
        </w:rPr>
        <w:t xml:space="preserve"> le développement économique durable et la promotion des échanges et investissements</w:t>
      </w:r>
      <w:r w:rsidR="006E7E73" w:rsidRPr="00D42B1B">
        <w:rPr>
          <w:rFonts w:eastAsia="Times New Roman" w:cs="Arial"/>
          <w:color w:val="444444"/>
          <w:szCs w:val="20"/>
          <w:lang w:eastAsia="fr-FR"/>
        </w:rPr>
        <w:t> ;</w:t>
      </w:r>
      <w:r w:rsidRPr="00D42B1B">
        <w:rPr>
          <w:rFonts w:eastAsia="Times New Roman" w:cs="Arial"/>
          <w:color w:val="444444"/>
          <w:szCs w:val="20"/>
          <w:lang w:eastAsia="fr-FR"/>
        </w:rPr>
        <w:t xml:space="preserve"> la sécurité et la stabilité, y compris la lutte contre le terrorisme et le crime organisé. L’agriculture est au cœur de cette stratégie.</w:t>
      </w:r>
      <w:r w:rsidR="006E7E73"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Elle relie </w:t>
      </w:r>
      <w:r w:rsidR="006E7E73" w:rsidRPr="00D42B1B">
        <w:rPr>
          <w:rFonts w:eastAsia="Times New Roman" w:cs="Arial"/>
          <w:color w:val="444444"/>
          <w:szCs w:val="20"/>
          <w:lang w:eastAsia="fr-FR"/>
        </w:rPr>
        <w:t>le</w:t>
      </w:r>
      <w:r w:rsidRPr="00D42B1B">
        <w:rPr>
          <w:rFonts w:eastAsia="Times New Roman" w:cs="Arial"/>
          <w:color w:val="444444"/>
          <w:szCs w:val="20"/>
          <w:lang w:eastAsia="fr-FR"/>
        </w:rPr>
        <w:t>s intérêts économiques</w:t>
      </w:r>
      <w:r w:rsidR="006E7E73" w:rsidRPr="00D42B1B">
        <w:rPr>
          <w:rFonts w:eastAsia="Times New Roman" w:cs="Arial"/>
          <w:color w:val="444444"/>
          <w:szCs w:val="20"/>
          <w:lang w:eastAsia="fr-FR"/>
        </w:rPr>
        <w:t xml:space="preserve"> néerlandais</w:t>
      </w:r>
      <w:r w:rsidRPr="00D42B1B">
        <w:rPr>
          <w:rFonts w:eastAsia="Times New Roman" w:cs="Arial"/>
          <w:color w:val="444444"/>
          <w:szCs w:val="20"/>
          <w:lang w:eastAsia="fr-FR"/>
        </w:rPr>
        <w:t xml:space="preserve"> (cacao, cajou, horticulture, semences, intrants durables) aux priorités ivoiriennes en matière de sécurité alimentaire, d’industrialisation et d’emploi des jeunes telles qu’exprimés dans les différentes stratégies sectorielles et le Plan </w:t>
      </w:r>
      <w:r w:rsidR="00787E91" w:rsidRPr="00D42B1B">
        <w:rPr>
          <w:rFonts w:eastAsia="Times New Roman" w:cs="Arial"/>
          <w:color w:val="444444"/>
          <w:szCs w:val="20"/>
          <w:lang w:eastAsia="fr-FR"/>
        </w:rPr>
        <w:t>n</w:t>
      </w:r>
      <w:r w:rsidRPr="00D42B1B">
        <w:rPr>
          <w:rFonts w:eastAsia="Times New Roman" w:cs="Arial"/>
          <w:color w:val="444444"/>
          <w:szCs w:val="20"/>
          <w:lang w:eastAsia="fr-FR"/>
        </w:rPr>
        <w:t xml:space="preserve">ational de </w:t>
      </w:r>
      <w:r w:rsidR="00787E91" w:rsidRPr="00D42B1B">
        <w:rPr>
          <w:rFonts w:eastAsia="Times New Roman" w:cs="Arial"/>
          <w:color w:val="444444"/>
          <w:szCs w:val="20"/>
          <w:lang w:eastAsia="fr-FR"/>
        </w:rPr>
        <w:t>d</w:t>
      </w:r>
      <w:r w:rsidRPr="00D42B1B">
        <w:rPr>
          <w:rFonts w:eastAsia="Times New Roman" w:cs="Arial"/>
          <w:color w:val="444444"/>
          <w:szCs w:val="20"/>
          <w:lang w:eastAsia="fr-FR"/>
        </w:rPr>
        <w:t>éveloppement 2026-2030</w:t>
      </w:r>
      <w:r w:rsidR="00615E21" w:rsidRPr="00D42B1B">
        <w:rPr>
          <w:rFonts w:eastAsia="Times New Roman" w:cs="Arial"/>
          <w:color w:val="444444"/>
          <w:szCs w:val="20"/>
          <w:lang w:eastAsia="fr-FR"/>
        </w:rPr>
        <w:t>, à</w:t>
      </w:r>
      <w:r w:rsidRPr="00D42B1B">
        <w:rPr>
          <w:rFonts w:eastAsia="Times New Roman" w:cs="Arial"/>
          <w:color w:val="444444"/>
          <w:szCs w:val="20"/>
          <w:lang w:eastAsia="fr-FR"/>
        </w:rPr>
        <w:t xml:space="preserve"> travers des programmes comme </w:t>
      </w:r>
      <w:proofErr w:type="spellStart"/>
      <w:r w:rsidRPr="00D42B1B">
        <w:rPr>
          <w:rFonts w:eastAsia="Times New Roman" w:cs="Arial"/>
          <w:color w:val="444444"/>
          <w:szCs w:val="20"/>
          <w:lang w:eastAsia="fr-FR"/>
        </w:rPr>
        <w:t>HortiNord</w:t>
      </w:r>
      <w:proofErr w:type="spellEnd"/>
      <w:r w:rsidRPr="00D42B1B">
        <w:rPr>
          <w:rFonts w:eastAsia="Times New Roman" w:cs="Arial"/>
          <w:color w:val="444444"/>
          <w:szCs w:val="20"/>
          <w:lang w:eastAsia="fr-FR"/>
        </w:rPr>
        <w:t xml:space="preserve">, Orange </w:t>
      </w:r>
      <w:proofErr w:type="spellStart"/>
      <w:r w:rsidRPr="00D42B1B">
        <w:rPr>
          <w:rFonts w:eastAsia="Times New Roman" w:cs="Arial"/>
          <w:color w:val="444444"/>
          <w:szCs w:val="20"/>
          <w:lang w:eastAsia="fr-FR"/>
        </w:rPr>
        <w:t>CocoaPro</w:t>
      </w:r>
      <w:proofErr w:type="spellEnd"/>
      <w:r w:rsidRPr="00D42B1B">
        <w:rPr>
          <w:rFonts w:eastAsia="Times New Roman" w:cs="Arial"/>
          <w:color w:val="444444"/>
          <w:szCs w:val="20"/>
          <w:lang w:eastAsia="fr-FR"/>
        </w:rPr>
        <w:t xml:space="preserve"> qui visent à pleinement exploiter tout le potentiel de la cabosse y compris les fèves, le mucilage et la coque.</w:t>
      </w:r>
      <w:r w:rsidR="00615E21" w:rsidRPr="00D42B1B">
        <w:rPr>
          <w:rFonts w:eastAsia="Times New Roman" w:cs="Arial"/>
          <w:color w:val="444444"/>
          <w:szCs w:val="20"/>
          <w:lang w:eastAsia="fr-FR"/>
        </w:rPr>
        <w:t xml:space="preserve"> </w:t>
      </w:r>
      <w:r w:rsidRPr="00D42B1B">
        <w:rPr>
          <w:rFonts w:eastAsia="Times New Roman" w:cs="Arial"/>
          <w:color w:val="444444"/>
          <w:szCs w:val="20"/>
          <w:lang w:eastAsia="fr-FR"/>
        </w:rPr>
        <w:t>En ce qui concerne le cacao</w:t>
      </w:r>
      <w:r w:rsidR="00615E21" w:rsidRPr="00D42B1B">
        <w:rPr>
          <w:rFonts w:eastAsia="Times New Roman" w:cs="Arial"/>
          <w:color w:val="444444"/>
          <w:szCs w:val="20"/>
          <w:lang w:eastAsia="fr-FR"/>
        </w:rPr>
        <w:t xml:space="preserve">, les Pays-Bas </w:t>
      </w:r>
      <w:r w:rsidRPr="00D42B1B">
        <w:rPr>
          <w:rFonts w:eastAsia="Times New Roman" w:cs="Arial"/>
          <w:color w:val="444444"/>
          <w:szCs w:val="20"/>
          <w:lang w:eastAsia="fr-FR"/>
        </w:rPr>
        <w:t>entend</w:t>
      </w:r>
      <w:r w:rsidR="00615E21" w:rsidRPr="00D42B1B">
        <w:rPr>
          <w:rFonts w:eastAsia="Times New Roman" w:cs="Arial"/>
          <w:color w:val="444444"/>
          <w:szCs w:val="20"/>
          <w:lang w:eastAsia="fr-FR"/>
        </w:rPr>
        <w:t>ent</w:t>
      </w:r>
      <w:r w:rsidRPr="00D42B1B">
        <w:rPr>
          <w:rFonts w:eastAsia="Times New Roman" w:cs="Arial"/>
          <w:color w:val="444444"/>
          <w:szCs w:val="20"/>
          <w:lang w:eastAsia="fr-FR"/>
        </w:rPr>
        <w:t xml:space="preserve"> continuer d’appuyer le pays sur les segments de la transformation de la fève à petite échelle – au niveau des coopératives</w:t>
      </w:r>
      <w:r w:rsidR="00615E21" w:rsidRPr="00D42B1B">
        <w:rPr>
          <w:rFonts w:eastAsia="Times New Roman" w:cs="Arial"/>
          <w:color w:val="444444"/>
          <w:szCs w:val="20"/>
          <w:lang w:eastAsia="fr-FR"/>
        </w:rPr>
        <w:t xml:space="preserve"> </w:t>
      </w:r>
      <w:r w:rsidRPr="00D42B1B">
        <w:rPr>
          <w:rFonts w:eastAsia="Times New Roman" w:cs="Arial"/>
          <w:color w:val="444444"/>
          <w:szCs w:val="20"/>
          <w:lang w:eastAsia="fr-FR"/>
        </w:rPr>
        <w:t>– et la valorisation des sous-produits et des déchets dans le cadre de l’économie circulaire à travers le programme de recherche et développement sur la circularité dans le secteur du cacao.</w:t>
      </w:r>
      <w:r w:rsidR="00615E21" w:rsidRPr="00D42B1B">
        <w:rPr>
          <w:rFonts w:eastAsia="Times New Roman" w:cs="Arial"/>
          <w:color w:val="444444"/>
          <w:szCs w:val="20"/>
          <w:lang w:eastAsia="fr-FR"/>
        </w:rPr>
        <w:t xml:space="preserve"> En outre, l’</w:t>
      </w:r>
      <w:r w:rsidRPr="00D42B1B">
        <w:rPr>
          <w:rFonts w:eastAsia="Times New Roman" w:cs="Arial"/>
          <w:color w:val="444444"/>
          <w:szCs w:val="20"/>
          <w:lang w:eastAsia="fr-FR"/>
        </w:rPr>
        <w:t xml:space="preserve">appui </w:t>
      </w:r>
      <w:r w:rsidR="00615E21" w:rsidRPr="00D42B1B">
        <w:rPr>
          <w:rFonts w:eastAsia="Times New Roman" w:cs="Arial"/>
          <w:color w:val="444444"/>
          <w:szCs w:val="20"/>
          <w:lang w:eastAsia="fr-FR"/>
        </w:rPr>
        <w:t xml:space="preserve">néerlandais </w:t>
      </w:r>
      <w:r w:rsidRPr="00D42B1B">
        <w:rPr>
          <w:rFonts w:eastAsia="Times New Roman" w:cs="Arial"/>
          <w:color w:val="444444"/>
          <w:szCs w:val="20"/>
          <w:lang w:eastAsia="fr-FR"/>
        </w:rPr>
        <w:t>vise le développement de la filière semencière ou encore l’aviculture circulaire avec pour objectif de contribuer à la mise en place de chaînes de valeur plus productives, plus résilientes et plus inclusives, en particulier dans le nord du pays.</w:t>
      </w:r>
      <w:r w:rsidR="00615E21" w:rsidRPr="00D42B1B">
        <w:rPr>
          <w:rFonts w:eastAsia="Times New Roman" w:cs="Arial"/>
          <w:color w:val="444444"/>
          <w:szCs w:val="20"/>
          <w:lang w:eastAsia="fr-FR"/>
        </w:rPr>
        <w:t xml:space="preserve"> L’</w:t>
      </w:r>
      <w:r w:rsidRPr="00D42B1B">
        <w:rPr>
          <w:rFonts w:eastAsia="Times New Roman" w:cs="Arial"/>
          <w:color w:val="444444"/>
          <w:szCs w:val="20"/>
          <w:lang w:eastAsia="fr-FR"/>
        </w:rPr>
        <w:t>ambition est d’accompagner la Côte d’Ivoire vers une agriculture plus productive, mais aussi plus respectueuse des sols, de l’eau, de la biodiversité et du climat</w:t>
      </w:r>
      <w:r w:rsidR="00615E21" w:rsidRPr="00D42B1B">
        <w:rPr>
          <w:rFonts w:eastAsia="Times New Roman" w:cs="Arial"/>
          <w:color w:val="444444"/>
          <w:szCs w:val="20"/>
          <w:lang w:eastAsia="fr-FR"/>
        </w:rPr>
        <w:t xml:space="preserve">, </w:t>
      </w:r>
      <w:r w:rsidRPr="00D42B1B">
        <w:rPr>
          <w:rFonts w:eastAsia="Times New Roman" w:cs="Arial"/>
          <w:color w:val="444444"/>
          <w:szCs w:val="20"/>
          <w:lang w:eastAsia="fr-FR"/>
        </w:rPr>
        <w:t>en intervenant sur l’ensemble de la chaîne de valeur. Concrètement</w:t>
      </w:r>
      <w:r w:rsidR="00615E21" w:rsidRPr="00D42B1B">
        <w:rPr>
          <w:rFonts w:eastAsia="Times New Roman" w:cs="Arial"/>
          <w:color w:val="444444"/>
          <w:szCs w:val="20"/>
          <w:lang w:eastAsia="fr-FR"/>
        </w:rPr>
        <w:t xml:space="preserve">, les Pays-Bas ont </w:t>
      </w:r>
      <w:r w:rsidRPr="00D42B1B">
        <w:rPr>
          <w:rFonts w:eastAsia="Times New Roman" w:cs="Arial"/>
          <w:color w:val="444444"/>
          <w:szCs w:val="20"/>
          <w:lang w:eastAsia="fr-FR"/>
        </w:rPr>
        <w:t xml:space="preserve">mis en place, </w:t>
      </w:r>
      <w:r w:rsidRPr="00D42B1B">
        <w:rPr>
          <w:rFonts w:eastAsia="Times New Roman" w:cs="Arial"/>
          <w:color w:val="444444"/>
          <w:szCs w:val="20"/>
          <w:lang w:eastAsia="fr-FR"/>
        </w:rPr>
        <w:lastRenderedPageBreak/>
        <w:t xml:space="preserve">en partenariat avec le District </w:t>
      </w:r>
      <w:r w:rsidR="00615E21" w:rsidRPr="00D42B1B">
        <w:rPr>
          <w:rFonts w:eastAsia="Times New Roman" w:cs="Arial"/>
          <w:color w:val="444444"/>
          <w:szCs w:val="20"/>
          <w:lang w:eastAsia="fr-FR"/>
        </w:rPr>
        <w:t>a</w:t>
      </w:r>
      <w:r w:rsidRPr="00D42B1B">
        <w:rPr>
          <w:rFonts w:eastAsia="Times New Roman" w:cs="Arial"/>
          <w:color w:val="444444"/>
          <w:szCs w:val="20"/>
          <w:lang w:eastAsia="fr-FR"/>
        </w:rPr>
        <w:t xml:space="preserve">utonome de Yamoussoukro, un centre de formation et de démonstration horticole, le Centre d’excellence </w:t>
      </w:r>
      <w:proofErr w:type="spellStart"/>
      <w:r w:rsidRPr="00D42B1B">
        <w:rPr>
          <w:rFonts w:eastAsia="Times New Roman" w:cs="Arial"/>
          <w:color w:val="444444"/>
          <w:szCs w:val="20"/>
          <w:lang w:eastAsia="fr-FR"/>
        </w:rPr>
        <w:t>ivoiro</w:t>
      </w:r>
      <w:proofErr w:type="spellEnd"/>
      <w:r w:rsidRPr="00D42B1B">
        <w:rPr>
          <w:rFonts w:eastAsia="Times New Roman" w:cs="Arial"/>
          <w:color w:val="444444"/>
          <w:szCs w:val="20"/>
          <w:lang w:eastAsia="fr-FR"/>
        </w:rPr>
        <w:t xml:space="preserve">-néerlandais MOYÉ à </w:t>
      </w:r>
      <w:proofErr w:type="spellStart"/>
      <w:r w:rsidRPr="00D42B1B">
        <w:rPr>
          <w:rFonts w:eastAsia="Times New Roman" w:cs="Arial"/>
          <w:color w:val="444444"/>
          <w:szCs w:val="20"/>
          <w:lang w:eastAsia="fr-FR"/>
        </w:rPr>
        <w:t>Toumbokro</w:t>
      </w:r>
      <w:proofErr w:type="spellEnd"/>
      <w:r w:rsidR="00615E21" w:rsidRPr="00D42B1B">
        <w:rPr>
          <w:rFonts w:eastAsia="Times New Roman" w:cs="Arial"/>
          <w:color w:val="444444"/>
          <w:szCs w:val="20"/>
          <w:lang w:eastAsia="fr-FR"/>
        </w:rPr>
        <w:t xml:space="preserve">. </w:t>
      </w:r>
      <w:r w:rsidR="00246676" w:rsidRPr="00D42B1B">
        <w:rPr>
          <w:rFonts w:eastAsia="Times New Roman" w:cs="Arial"/>
          <w:color w:val="444444"/>
          <w:szCs w:val="20"/>
          <w:lang w:eastAsia="fr-FR"/>
        </w:rPr>
        <w:t>Le centre MOYÉ est un bon exemple de co-construction : il associe partenaires ivoiriens, entreprises néerlandaises et organisations internationales comme l’IFAD. Les Pays-Bas</w:t>
      </w:r>
      <w:r w:rsidR="00615E21" w:rsidRPr="00D42B1B">
        <w:rPr>
          <w:rFonts w:eastAsia="Times New Roman" w:cs="Arial"/>
          <w:color w:val="444444"/>
          <w:szCs w:val="20"/>
          <w:lang w:eastAsia="fr-FR"/>
        </w:rPr>
        <w:t xml:space="preserve"> soutiennent </w:t>
      </w:r>
      <w:r w:rsidRPr="00D42B1B">
        <w:rPr>
          <w:rFonts w:eastAsia="Times New Roman" w:cs="Arial"/>
          <w:color w:val="444444"/>
          <w:szCs w:val="20"/>
          <w:lang w:eastAsia="fr-FR"/>
        </w:rPr>
        <w:t>la diffusion de pratiques agroécologiques et d’agroforesterie dans la filière cacao</w:t>
      </w:r>
      <w:r w:rsidR="00615E21" w:rsidRPr="00D42B1B">
        <w:rPr>
          <w:rFonts w:eastAsia="Times New Roman" w:cs="Arial"/>
          <w:color w:val="444444"/>
          <w:szCs w:val="20"/>
          <w:lang w:eastAsia="fr-FR"/>
        </w:rPr>
        <w:t xml:space="preserve"> ; ils appuient </w:t>
      </w:r>
      <w:r w:rsidRPr="00D42B1B">
        <w:rPr>
          <w:rFonts w:eastAsia="Times New Roman" w:cs="Arial"/>
          <w:color w:val="444444"/>
          <w:szCs w:val="20"/>
          <w:lang w:eastAsia="fr-FR"/>
        </w:rPr>
        <w:t>des solutions circulaires pour valoriser les déchets agricoles (compost, mouches soldats noires, champignons, etc.)</w:t>
      </w:r>
      <w:r w:rsidR="00615E21" w:rsidRPr="00D42B1B">
        <w:rPr>
          <w:rFonts w:eastAsia="Times New Roman" w:cs="Arial"/>
          <w:color w:val="444444"/>
          <w:szCs w:val="20"/>
          <w:lang w:eastAsia="fr-FR"/>
        </w:rPr>
        <w:t xml:space="preserve"> ; ils promeuvent </w:t>
      </w:r>
      <w:r w:rsidRPr="00D42B1B">
        <w:rPr>
          <w:rFonts w:eastAsia="Times New Roman" w:cs="Arial"/>
          <w:color w:val="444444"/>
          <w:szCs w:val="20"/>
          <w:lang w:eastAsia="fr-FR"/>
        </w:rPr>
        <w:t xml:space="preserve">les intrants durables à travers un </w:t>
      </w:r>
      <w:proofErr w:type="spellStart"/>
      <w:r w:rsidRPr="00D42B1B">
        <w:rPr>
          <w:rFonts w:eastAsia="Times New Roman" w:cs="Arial"/>
          <w:color w:val="444444"/>
          <w:szCs w:val="20"/>
          <w:lang w:eastAsia="fr-FR"/>
        </w:rPr>
        <w:t>biokit</w:t>
      </w:r>
      <w:proofErr w:type="spellEnd"/>
      <w:r w:rsidRPr="00D42B1B">
        <w:rPr>
          <w:rFonts w:eastAsia="Times New Roman" w:cs="Arial"/>
          <w:color w:val="444444"/>
          <w:szCs w:val="20"/>
          <w:lang w:eastAsia="fr-FR"/>
        </w:rPr>
        <w:t xml:space="preserve"> de fournisseurs néerlandais en engrais et produits biologiques, ainsi qu’une étude financée par le ministère des </w:t>
      </w:r>
      <w:r w:rsidR="00615E21" w:rsidRPr="00D42B1B">
        <w:rPr>
          <w:rFonts w:eastAsia="Times New Roman" w:cs="Arial"/>
          <w:color w:val="444444"/>
          <w:szCs w:val="20"/>
          <w:lang w:eastAsia="fr-FR"/>
        </w:rPr>
        <w:t>a</w:t>
      </w:r>
      <w:r w:rsidRPr="00D42B1B">
        <w:rPr>
          <w:rFonts w:eastAsia="Times New Roman" w:cs="Arial"/>
          <w:color w:val="444444"/>
          <w:szCs w:val="20"/>
          <w:lang w:eastAsia="fr-FR"/>
        </w:rPr>
        <w:t>ffaires étrangères sur l’amélioration de l’accessibilité à un compost de qualité pour les producteurs de cacao</w:t>
      </w:r>
      <w:r w:rsidR="00615E21" w:rsidRPr="00D42B1B">
        <w:rPr>
          <w:rFonts w:eastAsia="Times New Roman" w:cs="Arial"/>
          <w:color w:val="444444"/>
          <w:szCs w:val="20"/>
          <w:lang w:eastAsia="fr-FR"/>
        </w:rPr>
        <w:t xml:space="preserve"> ; ils accompagnent </w:t>
      </w:r>
      <w:r w:rsidRPr="00D42B1B">
        <w:rPr>
          <w:rFonts w:eastAsia="Times New Roman" w:cs="Arial"/>
          <w:color w:val="444444"/>
          <w:szCs w:val="20"/>
          <w:lang w:eastAsia="fr-FR"/>
        </w:rPr>
        <w:t>également la transformation locale, notamment à travers le soutien à une coopérative de Sassandra dans la mise en place d’une unité de transformation de fèves pour la production de beurre et de masse de cacao</w:t>
      </w:r>
      <w:r w:rsidR="00615E21" w:rsidRPr="00D42B1B">
        <w:rPr>
          <w:rFonts w:eastAsia="Times New Roman" w:cs="Arial"/>
          <w:color w:val="444444"/>
          <w:szCs w:val="20"/>
          <w:lang w:eastAsia="fr-FR"/>
        </w:rPr>
        <w:t xml:space="preserve"> ; ils </w:t>
      </w:r>
      <w:r w:rsidRPr="00D42B1B">
        <w:rPr>
          <w:rFonts w:eastAsia="Times New Roman" w:cs="Arial"/>
          <w:color w:val="444444"/>
          <w:szCs w:val="20"/>
          <w:lang w:eastAsia="fr-FR"/>
        </w:rPr>
        <w:t>form</w:t>
      </w:r>
      <w:r w:rsidR="00615E21" w:rsidRPr="00D42B1B">
        <w:rPr>
          <w:rFonts w:eastAsia="Times New Roman" w:cs="Arial"/>
          <w:color w:val="444444"/>
          <w:szCs w:val="20"/>
          <w:lang w:eastAsia="fr-FR"/>
        </w:rPr>
        <w:t>ent</w:t>
      </w:r>
      <w:r w:rsidRPr="00D42B1B">
        <w:rPr>
          <w:rFonts w:eastAsia="Times New Roman" w:cs="Arial"/>
          <w:color w:val="444444"/>
          <w:szCs w:val="20"/>
          <w:lang w:eastAsia="fr-FR"/>
        </w:rPr>
        <w:t xml:space="preserve"> et finan</w:t>
      </w:r>
      <w:r w:rsidR="00615E21" w:rsidRPr="00D42B1B">
        <w:rPr>
          <w:rFonts w:eastAsia="Times New Roman" w:cs="Arial"/>
          <w:color w:val="444444"/>
          <w:szCs w:val="20"/>
          <w:lang w:eastAsia="fr-FR"/>
        </w:rPr>
        <w:t>cent</w:t>
      </w:r>
      <w:r w:rsidRPr="00D42B1B">
        <w:rPr>
          <w:rFonts w:eastAsia="Times New Roman" w:cs="Arial"/>
          <w:color w:val="444444"/>
          <w:szCs w:val="20"/>
          <w:lang w:eastAsia="fr-FR"/>
        </w:rPr>
        <w:t xml:space="preserve"> les jeunes entrepreneurs des secteurs cacao, horticulture et économie circulaire à travers le programme Orange Corners.</w:t>
      </w:r>
      <w:r w:rsidR="00787E91"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En partenariat avec le PNUD et </w:t>
      </w:r>
      <w:proofErr w:type="spellStart"/>
      <w:r w:rsidRPr="00D42B1B">
        <w:rPr>
          <w:rFonts w:eastAsia="Times New Roman" w:cs="Arial"/>
          <w:color w:val="444444"/>
          <w:szCs w:val="20"/>
          <w:lang w:eastAsia="fr-FR"/>
        </w:rPr>
        <w:t>Nitidæ</w:t>
      </w:r>
      <w:proofErr w:type="spellEnd"/>
      <w:r w:rsidRPr="00D42B1B">
        <w:rPr>
          <w:rFonts w:eastAsia="Times New Roman" w:cs="Arial"/>
          <w:color w:val="444444"/>
          <w:szCs w:val="20"/>
          <w:lang w:eastAsia="fr-FR"/>
        </w:rPr>
        <w:t xml:space="preserve">, </w:t>
      </w:r>
      <w:r w:rsidR="00787E91" w:rsidRPr="00D42B1B">
        <w:rPr>
          <w:rFonts w:eastAsia="Times New Roman" w:cs="Arial"/>
          <w:color w:val="444444"/>
          <w:szCs w:val="20"/>
          <w:lang w:eastAsia="fr-FR"/>
        </w:rPr>
        <w:t xml:space="preserve">ils mènent </w:t>
      </w:r>
      <w:r w:rsidRPr="00D42B1B">
        <w:rPr>
          <w:rFonts w:eastAsia="Times New Roman" w:cs="Arial"/>
          <w:color w:val="444444"/>
          <w:szCs w:val="20"/>
          <w:lang w:eastAsia="fr-FR"/>
        </w:rPr>
        <w:t>des actions en faveur de la promotion et de la conservation de la biodiversité, notamment en contribuant à l’atteinte de l’objectif 30×30 du Cadre mondial de la biodiversité, qui demande qu’à l’horizon 2030, les pays signataires, dont la Côte d’Ivoire, consacrent 30% de leur territoire terrestre et aquatique à des aires protégées ou à des mesures de conservation efficaces.</w:t>
      </w:r>
      <w:r w:rsidR="00787E91" w:rsidRPr="00D42B1B">
        <w:rPr>
          <w:rFonts w:eastAsia="Times New Roman" w:cs="Arial"/>
          <w:color w:val="444444"/>
          <w:szCs w:val="20"/>
          <w:lang w:eastAsia="fr-FR"/>
        </w:rPr>
        <w:t xml:space="preserve"> P</w:t>
      </w:r>
      <w:r w:rsidRPr="00D42B1B">
        <w:rPr>
          <w:rFonts w:eastAsia="Times New Roman" w:cs="Arial"/>
          <w:color w:val="444444"/>
          <w:szCs w:val="20"/>
          <w:lang w:eastAsia="fr-FR"/>
        </w:rPr>
        <w:t>our moderniser et mécaniser l’agriculture ivoirienne</w:t>
      </w:r>
      <w:r w:rsidR="00787E91" w:rsidRPr="00D42B1B">
        <w:rPr>
          <w:rFonts w:eastAsia="Times New Roman" w:cs="Arial"/>
          <w:color w:val="444444"/>
          <w:szCs w:val="20"/>
          <w:lang w:eastAsia="fr-FR"/>
        </w:rPr>
        <w:t>,</w:t>
      </w:r>
      <w:r w:rsidRPr="00D42B1B">
        <w:rPr>
          <w:rFonts w:eastAsia="Times New Roman" w:cs="Arial"/>
          <w:color w:val="444444"/>
          <w:szCs w:val="20"/>
          <w:lang w:eastAsia="fr-FR"/>
        </w:rPr>
        <w:t xml:space="preserve"> </w:t>
      </w:r>
      <w:r w:rsidR="00787E91" w:rsidRPr="00D42B1B">
        <w:rPr>
          <w:rFonts w:eastAsia="Times New Roman" w:cs="Arial"/>
          <w:color w:val="444444"/>
          <w:szCs w:val="20"/>
          <w:lang w:eastAsia="fr-FR"/>
        </w:rPr>
        <w:t xml:space="preserve">un </w:t>
      </w:r>
      <w:r w:rsidRPr="00D42B1B">
        <w:rPr>
          <w:rFonts w:eastAsia="Times New Roman" w:cs="Arial"/>
          <w:color w:val="444444"/>
          <w:szCs w:val="20"/>
          <w:lang w:eastAsia="fr-FR"/>
        </w:rPr>
        <w:t>programme de financement a été spécialement conçu pour des pays comme la Côte d’Ivoire, alliant aide au développement et promotion du commerce. À ce titre, les programmes Combi-Track HORTINORD et ORANGE COCOA Pro contribuent directement ou indirectement à la modernisation et à la mécanisation de l’agriculture ivoirienne.</w:t>
      </w:r>
      <w:r w:rsidR="00787E91" w:rsidRPr="00D42B1B">
        <w:rPr>
          <w:rFonts w:eastAsia="Times New Roman" w:cs="Arial"/>
          <w:color w:val="444444"/>
          <w:szCs w:val="20"/>
          <w:lang w:eastAsia="fr-FR"/>
        </w:rPr>
        <w:t xml:space="preserve"> A</w:t>
      </w:r>
      <w:r w:rsidRPr="00D42B1B">
        <w:rPr>
          <w:rFonts w:eastAsia="Times New Roman" w:cs="Arial"/>
          <w:color w:val="444444"/>
          <w:szCs w:val="20"/>
          <w:lang w:eastAsia="fr-FR"/>
        </w:rPr>
        <w:t xml:space="preserve"> travers le Centre MOYÉ, </w:t>
      </w:r>
      <w:r w:rsidR="00787E91" w:rsidRPr="00D42B1B">
        <w:rPr>
          <w:rFonts w:eastAsia="Times New Roman" w:cs="Arial"/>
          <w:color w:val="444444"/>
          <w:szCs w:val="20"/>
          <w:lang w:eastAsia="fr-FR"/>
        </w:rPr>
        <w:t xml:space="preserve">les Pays-Bas </w:t>
      </w:r>
      <w:r w:rsidRPr="00D42B1B">
        <w:rPr>
          <w:rFonts w:eastAsia="Times New Roman" w:cs="Arial"/>
          <w:color w:val="444444"/>
          <w:szCs w:val="20"/>
          <w:lang w:eastAsia="fr-FR"/>
        </w:rPr>
        <w:t>sout</w:t>
      </w:r>
      <w:r w:rsidR="00787E91" w:rsidRPr="00D42B1B">
        <w:rPr>
          <w:rFonts w:eastAsia="Times New Roman" w:cs="Arial"/>
          <w:color w:val="444444"/>
          <w:szCs w:val="20"/>
          <w:lang w:eastAsia="fr-FR"/>
        </w:rPr>
        <w:t>iennent</w:t>
      </w:r>
      <w:r w:rsidRPr="00D42B1B">
        <w:rPr>
          <w:rFonts w:eastAsia="Times New Roman" w:cs="Arial"/>
          <w:color w:val="444444"/>
          <w:szCs w:val="20"/>
          <w:lang w:eastAsia="fr-FR"/>
        </w:rPr>
        <w:t xml:space="preserve"> la formation à l’utilisation d’équipements modernes d’irrigation ainsi qu’aux techniques de restauration des sols. L’appui à la transformation du cacao </w:t>
      </w:r>
      <w:r w:rsidR="00787E91" w:rsidRPr="00D42B1B">
        <w:rPr>
          <w:rFonts w:eastAsia="Times New Roman" w:cs="Arial"/>
          <w:color w:val="444444"/>
          <w:szCs w:val="20"/>
          <w:lang w:eastAsia="fr-FR"/>
        </w:rPr>
        <w:t xml:space="preserve">doit également </w:t>
      </w:r>
      <w:r w:rsidRPr="00D42B1B">
        <w:rPr>
          <w:rFonts w:eastAsia="Times New Roman" w:cs="Arial"/>
          <w:color w:val="444444"/>
          <w:szCs w:val="20"/>
          <w:lang w:eastAsia="fr-FR"/>
        </w:rPr>
        <w:t>permettr</w:t>
      </w:r>
      <w:r w:rsidR="00787E91" w:rsidRPr="00D42B1B">
        <w:rPr>
          <w:rFonts w:eastAsia="Times New Roman" w:cs="Arial"/>
          <w:color w:val="444444"/>
          <w:szCs w:val="20"/>
          <w:lang w:eastAsia="fr-FR"/>
        </w:rPr>
        <w:t>e</w:t>
      </w:r>
      <w:r w:rsidRPr="00D42B1B">
        <w:rPr>
          <w:rFonts w:eastAsia="Times New Roman" w:cs="Arial"/>
          <w:color w:val="444444"/>
          <w:szCs w:val="20"/>
          <w:lang w:eastAsia="fr-FR"/>
        </w:rPr>
        <w:t xml:space="preserve"> à terme de disposer d’un projet pilote dont la mise à l’échelle offrira aux entrepreneurs et aux coopératives un meilleur accès à la machinerie de transformation et au marché européen via les Pays-Bas.</w:t>
      </w:r>
      <w:r w:rsidR="00787E91" w:rsidRPr="00D42B1B">
        <w:rPr>
          <w:rFonts w:eastAsia="Times New Roman" w:cs="Arial"/>
          <w:color w:val="444444"/>
          <w:szCs w:val="20"/>
          <w:lang w:eastAsia="fr-FR"/>
        </w:rPr>
        <w:t xml:space="preserve"> </w:t>
      </w:r>
      <w:r w:rsidRPr="00D42B1B">
        <w:rPr>
          <w:rFonts w:eastAsia="Times New Roman" w:cs="Arial"/>
          <w:color w:val="444444"/>
          <w:szCs w:val="20"/>
          <w:lang w:eastAsia="fr-FR"/>
        </w:rPr>
        <w:t>Enfin, via Invest International (il existe un accord de financement d’une valeur de de 300</w:t>
      </w:r>
      <w:r w:rsidR="00787E91" w:rsidRPr="00D42B1B">
        <w:rPr>
          <w:rFonts w:eastAsia="Times New Roman" w:cs="Arial"/>
          <w:color w:val="444444"/>
          <w:szCs w:val="20"/>
          <w:lang w:eastAsia="fr-FR"/>
        </w:rPr>
        <w:t xml:space="preserve"> M EUR</w:t>
      </w:r>
      <w:r w:rsidRPr="00D42B1B">
        <w:rPr>
          <w:rFonts w:eastAsia="Times New Roman" w:cs="Arial"/>
          <w:color w:val="444444"/>
          <w:szCs w:val="20"/>
          <w:lang w:eastAsia="fr-FR"/>
        </w:rPr>
        <w:t xml:space="preserve">) et d’autres instruments, </w:t>
      </w:r>
      <w:r w:rsidR="00787E91" w:rsidRPr="00D42B1B">
        <w:rPr>
          <w:rFonts w:eastAsia="Times New Roman" w:cs="Arial"/>
          <w:color w:val="444444"/>
          <w:szCs w:val="20"/>
          <w:lang w:eastAsia="fr-FR"/>
        </w:rPr>
        <w:t xml:space="preserve">les Pays-Bas appuient </w:t>
      </w:r>
      <w:r w:rsidRPr="00D42B1B">
        <w:rPr>
          <w:rFonts w:eastAsia="Times New Roman" w:cs="Arial"/>
          <w:color w:val="444444"/>
          <w:szCs w:val="20"/>
          <w:lang w:eastAsia="fr-FR"/>
        </w:rPr>
        <w:t xml:space="preserve">des projets d’infrastructures dans les secteurs portuaire, logistique, et de l’eau qui sont indispensables à une agriculture mécanisée et compétitive. La banque néerlandaise d’investissement (FMO), avec un portefeuille de plus de 200 </w:t>
      </w:r>
      <w:r w:rsidR="00787E91" w:rsidRPr="00D42B1B">
        <w:rPr>
          <w:rFonts w:eastAsia="Times New Roman" w:cs="Arial"/>
          <w:color w:val="444444"/>
          <w:szCs w:val="20"/>
          <w:lang w:eastAsia="fr-FR"/>
        </w:rPr>
        <w:t xml:space="preserve">M EUR </w:t>
      </w:r>
      <w:r w:rsidRPr="00D42B1B">
        <w:rPr>
          <w:rFonts w:eastAsia="Times New Roman" w:cs="Arial"/>
          <w:color w:val="444444"/>
          <w:szCs w:val="20"/>
          <w:lang w:eastAsia="fr-FR"/>
        </w:rPr>
        <w:t>finance des projets d’investissement dans les secteurs agricoles comme le cacao ou le cajou mais également dans le secteur des énergies renouvelables.</w:t>
      </w:r>
      <w:r w:rsidR="00246676" w:rsidRPr="00D42B1B">
        <w:rPr>
          <w:rFonts w:eastAsia="Times New Roman" w:cs="Arial"/>
          <w:color w:val="444444"/>
          <w:szCs w:val="20"/>
          <w:lang w:eastAsia="fr-FR"/>
        </w:rPr>
        <w:t xml:space="preserve"> P</w:t>
      </w:r>
      <w:r w:rsidRPr="00D42B1B">
        <w:rPr>
          <w:rFonts w:eastAsia="Times New Roman" w:cs="Arial"/>
          <w:color w:val="444444"/>
          <w:szCs w:val="20"/>
          <w:lang w:eastAsia="fr-FR"/>
        </w:rPr>
        <w:t>our former les agriculteurs</w:t>
      </w:r>
      <w:r w:rsidR="00246676" w:rsidRPr="00D42B1B">
        <w:rPr>
          <w:rFonts w:eastAsia="Times New Roman" w:cs="Arial"/>
          <w:color w:val="444444"/>
          <w:szCs w:val="20"/>
          <w:lang w:eastAsia="fr-FR"/>
        </w:rPr>
        <w:t xml:space="preserve">, les Pays-Bas travaillent </w:t>
      </w:r>
      <w:r w:rsidRPr="00D42B1B">
        <w:rPr>
          <w:rFonts w:eastAsia="Times New Roman" w:cs="Arial"/>
          <w:color w:val="444444"/>
          <w:szCs w:val="20"/>
          <w:lang w:eastAsia="fr-FR"/>
        </w:rPr>
        <w:t xml:space="preserve">en étroite collaboration avec les ministères ivoiriens, ainsi qu’avec des institutions comme ANADER, des universités et des centres de formation. Avec </w:t>
      </w:r>
      <w:r w:rsidR="00246676" w:rsidRPr="00D42B1B">
        <w:rPr>
          <w:rFonts w:eastAsia="Times New Roman" w:cs="Arial"/>
          <w:color w:val="444444"/>
          <w:szCs w:val="20"/>
          <w:lang w:eastAsia="fr-FR"/>
        </w:rPr>
        <w:t>leurs</w:t>
      </w:r>
      <w:r w:rsidRPr="00D42B1B">
        <w:rPr>
          <w:rFonts w:eastAsia="Times New Roman" w:cs="Arial"/>
          <w:color w:val="444444"/>
          <w:szCs w:val="20"/>
          <w:lang w:eastAsia="fr-FR"/>
        </w:rPr>
        <w:t xml:space="preserve"> partenaires, </w:t>
      </w:r>
      <w:r w:rsidR="00246676" w:rsidRPr="00D42B1B">
        <w:rPr>
          <w:rFonts w:eastAsia="Times New Roman" w:cs="Arial"/>
          <w:color w:val="444444"/>
          <w:szCs w:val="20"/>
          <w:lang w:eastAsia="fr-FR"/>
        </w:rPr>
        <w:t>ils</w:t>
      </w:r>
      <w:r w:rsidRPr="00D42B1B">
        <w:rPr>
          <w:rFonts w:eastAsia="Times New Roman" w:cs="Arial"/>
          <w:color w:val="444444"/>
          <w:szCs w:val="20"/>
          <w:lang w:eastAsia="fr-FR"/>
        </w:rPr>
        <w:t xml:space="preserve"> organi</w:t>
      </w:r>
      <w:r w:rsidR="00246676" w:rsidRPr="00D42B1B">
        <w:rPr>
          <w:rFonts w:eastAsia="Times New Roman" w:cs="Arial"/>
          <w:color w:val="444444"/>
          <w:szCs w:val="20"/>
          <w:lang w:eastAsia="fr-FR"/>
        </w:rPr>
        <w:t>sent</w:t>
      </w:r>
      <w:r w:rsidRPr="00D42B1B">
        <w:rPr>
          <w:rFonts w:eastAsia="Times New Roman" w:cs="Arial"/>
          <w:color w:val="444444"/>
          <w:szCs w:val="20"/>
          <w:lang w:eastAsia="fr-FR"/>
        </w:rPr>
        <w:t xml:space="preserve"> des formations pratiques sur l’utilisation et la maintenance des équipements</w:t>
      </w:r>
      <w:r w:rsidR="00246676" w:rsidRPr="00D42B1B">
        <w:rPr>
          <w:rFonts w:eastAsia="Times New Roman" w:cs="Arial"/>
          <w:color w:val="444444"/>
          <w:szCs w:val="20"/>
          <w:lang w:eastAsia="fr-FR"/>
        </w:rPr>
        <w:t xml:space="preserve"> ; </w:t>
      </w:r>
      <w:r w:rsidRPr="00D42B1B">
        <w:rPr>
          <w:rFonts w:eastAsia="Times New Roman" w:cs="Arial"/>
          <w:color w:val="444444"/>
          <w:szCs w:val="20"/>
          <w:lang w:eastAsia="fr-FR"/>
        </w:rPr>
        <w:t>des démonstrations en conditions réelles sur des parcelles et des fermes pilotes</w:t>
      </w:r>
      <w:r w:rsidR="00246676" w:rsidRPr="00D42B1B">
        <w:rPr>
          <w:rFonts w:eastAsia="Times New Roman" w:cs="Arial"/>
          <w:color w:val="444444"/>
          <w:szCs w:val="20"/>
          <w:lang w:eastAsia="fr-FR"/>
        </w:rPr>
        <w:t xml:space="preserve"> ; </w:t>
      </w:r>
      <w:r w:rsidRPr="00D42B1B">
        <w:rPr>
          <w:rFonts w:eastAsia="Times New Roman" w:cs="Arial"/>
          <w:color w:val="444444"/>
          <w:szCs w:val="20"/>
          <w:lang w:eastAsia="fr-FR"/>
        </w:rPr>
        <w:t>des programmes d’incubation pour jeunes agro-entrepreneurs</w:t>
      </w:r>
      <w:r w:rsidR="00246676" w:rsidRPr="00D42B1B">
        <w:rPr>
          <w:rFonts w:eastAsia="Times New Roman" w:cs="Arial"/>
          <w:color w:val="444444"/>
          <w:szCs w:val="20"/>
          <w:lang w:eastAsia="fr-FR"/>
        </w:rPr>
        <w:t xml:space="preserve"> ; </w:t>
      </w:r>
      <w:r w:rsidRPr="00D42B1B">
        <w:rPr>
          <w:rFonts w:eastAsia="Times New Roman" w:cs="Arial"/>
          <w:color w:val="444444"/>
          <w:szCs w:val="20"/>
          <w:lang w:eastAsia="fr-FR"/>
        </w:rPr>
        <w:t>des ateliers sectoriels avec les coopératives, les transformateurs et les fournisseurs de services.</w:t>
      </w:r>
      <w:r w:rsidR="00246676" w:rsidRPr="00D42B1B">
        <w:rPr>
          <w:rFonts w:eastAsia="Times New Roman" w:cs="Arial"/>
          <w:color w:val="444444"/>
          <w:szCs w:val="20"/>
          <w:lang w:eastAsia="fr-FR"/>
        </w:rPr>
        <w:t xml:space="preserve"> En </w:t>
      </w:r>
      <w:r w:rsidRPr="00D42B1B">
        <w:rPr>
          <w:rFonts w:eastAsia="Times New Roman" w:cs="Arial"/>
          <w:color w:val="444444"/>
          <w:szCs w:val="20"/>
          <w:lang w:eastAsia="fr-FR"/>
        </w:rPr>
        <w:t>termes de financements ou de partenariats</w:t>
      </w:r>
      <w:r w:rsidR="00246676" w:rsidRPr="00D42B1B">
        <w:rPr>
          <w:rFonts w:eastAsia="Times New Roman" w:cs="Arial"/>
          <w:color w:val="444444"/>
          <w:szCs w:val="20"/>
          <w:lang w:eastAsia="fr-FR"/>
        </w:rPr>
        <w:t>,</w:t>
      </w:r>
      <w:r w:rsidR="0000429A" w:rsidRPr="00D42B1B">
        <w:rPr>
          <w:rFonts w:eastAsia="Times New Roman" w:cs="Arial"/>
          <w:color w:val="444444"/>
          <w:szCs w:val="20"/>
          <w:lang w:eastAsia="fr-FR"/>
        </w:rPr>
        <w:t xml:space="preserve"> </w:t>
      </w:r>
      <w:r w:rsidR="00246676" w:rsidRPr="00D42B1B">
        <w:rPr>
          <w:rFonts w:eastAsia="Times New Roman" w:cs="Arial"/>
          <w:color w:val="444444"/>
          <w:szCs w:val="20"/>
          <w:lang w:eastAsia="fr-FR"/>
        </w:rPr>
        <w:t>p</w:t>
      </w:r>
      <w:r w:rsidRPr="00D42B1B">
        <w:rPr>
          <w:rFonts w:eastAsia="Times New Roman" w:cs="Arial"/>
          <w:color w:val="444444"/>
          <w:szCs w:val="20"/>
          <w:lang w:eastAsia="fr-FR"/>
        </w:rPr>
        <w:t>our les années à venir,</w:t>
      </w:r>
      <w:r w:rsidR="00246676" w:rsidRPr="00D42B1B">
        <w:rPr>
          <w:rFonts w:eastAsia="Times New Roman" w:cs="Arial"/>
          <w:color w:val="444444"/>
          <w:szCs w:val="20"/>
          <w:lang w:eastAsia="fr-FR"/>
        </w:rPr>
        <w:t xml:space="preserve"> les Pays-Bas souhaitent </w:t>
      </w:r>
      <w:r w:rsidRPr="00D42B1B">
        <w:rPr>
          <w:rFonts w:eastAsia="Times New Roman" w:cs="Arial"/>
          <w:color w:val="444444"/>
          <w:szCs w:val="20"/>
          <w:lang w:eastAsia="fr-FR"/>
        </w:rPr>
        <w:t>consolider et étendre le modèle MOYÉ comme hub régional de formation et d’innovation</w:t>
      </w:r>
      <w:r w:rsidR="00246676" w:rsidRPr="00D42B1B">
        <w:rPr>
          <w:rFonts w:eastAsia="Times New Roman" w:cs="Arial"/>
          <w:color w:val="444444"/>
          <w:szCs w:val="20"/>
          <w:lang w:eastAsia="fr-FR"/>
        </w:rPr>
        <w:t xml:space="preserve"> ; </w:t>
      </w:r>
      <w:r w:rsidRPr="00D42B1B">
        <w:rPr>
          <w:rFonts w:eastAsia="Times New Roman" w:cs="Arial"/>
          <w:color w:val="444444"/>
          <w:szCs w:val="20"/>
          <w:lang w:eastAsia="fr-FR"/>
        </w:rPr>
        <w:t>renforcer les partenariats financiers avec Invest International, la FMO, Rabobank, DGGF, la Banque africaine de développement et d’autres pour soutenir des projets de mécanisation et de transformation agro-industrielle</w:t>
      </w:r>
      <w:r w:rsidR="00246676" w:rsidRPr="00D42B1B">
        <w:rPr>
          <w:rFonts w:eastAsia="Times New Roman" w:cs="Arial"/>
          <w:color w:val="444444"/>
          <w:szCs w:val="20"/>
          <w:lang w:eastAsia="fr-FR"/>
        </w:rPr>
        <w:t xml:space="preserve"> ; </w:t>
      </w:r>
      <w:r w:rsidRPr="00D42B1B">
        <w:rPr>
          <w:rFonts w:eastAsia="Times New Roman" w:cs="Arial"/>
          <w:color w:val="444444"/>
          <w:szCs w:val="20"/>
          <w:lang w:eastAsia="fr-FR"/>
        </w:rPr>
        <w:t xml:space="preserve">intégrer </w:t>
      </w:r>
      <w:r w:rsidRPr="00D42B1B">
        <w:rPr>
          <w:rFonts w:eastAsia="Times New Roman" w:cs="Arial"/>
          <w:color w:val="444444"/>
          <w:szCs w:val="20"/>
          <w:lang w:eastAsia="fr-FR"/>
        </w:rPr>
        <w:lastRenderedPageBreak/>
        <w:t xml:space="preserve">davantage la mécanisation dans </w:t>
      </w:r>
      <w:r w:rsidR="00246676" w:rsidRPr="00D42B1B">
        <w:rPr>
          <w:rFonts w:eastAsia="Times New Roman" w:cs="Arial"/>
          <w:color w:val="444444"/>
          <w:szCs w:val="20"/>
          <w:lang w:eastAsia="fr-FR"/>
        </w:rPr>
        <w:t>leurs</w:t>
      </w:r>
      <w:r w:rsidRPr="00D42B1B">
        <w:rPr>
          <w:rFonts w:eastAsia="Times New Roman" w:cs="Arial"/>
          <w:color w:val="444444"/>
          <w:szCs w:val="20"/>
          <w:lang w:eastAsia="fr-FR"/>
        </w:rPr>
        <w:t xml:space="preserve"> programmes sur le cacao, le cajou, l’horticulture. </w:t>
      </w:r>
      <w:r w:rsidR="00246676" w:rsidRPr="00D42B1B">
        <w:rPr>
          <w:rFonts w:eastAsia="Times New Roman" w:cs="Arial"/>
          <w:color w:val="444444"/>
          <w:szCs w:val="20"/>
          <w:lang w:eastAsia="fr-FR"/>
        </w:rPr>
        <w:t xml:space="preserve">Leurs </w:t>
      </w:r>
      <w:r w:rsidRPr="00D42B1B">
        <w:rPr>
          <w:rFonts w:eastAsia="Times New Roman" w:cs="Arial"/>
          <w:color w:val="444444"/>
          <w:szCs w:val="20"/>
          <w:lang w:eastAsia="fr-FR"/>
        </w:rPr>
        <w:t>engagements futurs viseront à combiner l’expertise technique et renforcement des capacités locales, en alignement avec le Plan national de développement ivoirien.</w:t>
      </w:r>
    </w:p>
    <w:p w14:paraId="00252AA8" w14:textId="77777777" w:rsidR="00246676" w:rsidRPr="00D42B1B" w:rsidRDefault="00246676" w:rsidP="00AC4ECF">
      <w:pPr>
        <w:shd w:val="clear" w:color="auto" w:fill="FFFFFF"/>
        <w:spacing w:after="0" w:line="276" w:lineRule="auto"/>
        <w:rPr>
          <w:rFonts w:eastAsia="Times New Roman" w:cs="Arial"/>
          <w:color w:val="444444"/>
          <w:szCs w:val="20"/>
          <w:lang w:eastAsia="fr-FR"/>
        </w:rPr>
      </w:pPr>
    </w:p>
    <w:p w14:paraId="042F9A9A" w14:textId="48B548EC" w:rsidR="00334591" w:rsidRPr="00D42B1B" w:rsidRDefault="00334591" w:rsidP="0016097A">
      <w:pPr>
        <w:pStyle w:val="Titre2"/>
        <w:spacing w:before="0"/>
        <w:rPr>
          <w:rFonts w:eastAsiaTheme="minorHAnsi"/>
        </w:rPr>
      </w:pPr>
      <w:bookmarkStart w:id="107" w:name="_Toc233878706"/>
      <w:bookmarkStart w:id="108" w:name="_Hlk233871796"/>
      <w:r w:rsidRPr="00D42B1B">
        <w:rPr>
          <w:rFonts w:eastAsia="Times New Roman" w:cs="Arial"/>
          <w:color w:val="444444"/>
          <w:szCs w:val="20"/>
          <w:lang w:eastAsia="fr-FR"/>
        </w:rPr>
        <w:t xml:space="preserve">Evènement – </w:t>
      </w:r>
      <w:r w:rsidR="00BF7A0B" w:rsidRPr="00D42B1B">
        <w:rPr>
          <w:rFonts w:eastAsia="Times New Roman" w:cs="Arial"/>
          <w:color w:val="444444"/>
          <w:szCs w:val="20"/>
          <w:lang w:eastAsia="fr-FR"/>
        </w:rPr>
        <w:t>5</w:t>
      </w:r>
      <w:r w:rsidR="00BF7A0B" w:rsidRPr="00D42B1B">
        <w:rPr>
          <w:rFonts w:eastAsia="Times New Roman" w:cs="Arial"/>
          <w:color w:val="444444"/>
          <w:szCs w:val="20"/>
          <w:vertAlign w:val="superscript"/>
          <w:lang w:eastAsia="fr-FR"/>
        </w:rPr>
        <w:t>ème</w:t>
      </w:r>
      <w:r w:rsidR="00BF7A0B" w:rsidRPr="00D42B1B">
        <w:rPr>
          <w:rFonts w:eastAsia="Times New Roman" w:cs="Arial"/>
          <w:color w:val="444444"/>
          <w:szCs w:val="20"/>
          <w:lang w:eastAsia="fr-FR"/>
        </w:rPr>
        <w:t xml:space="preserve"> </w:t>
      </w:r>
      <w:r w:rsidRPr="00D42B1B">
        <w:rPr>
          <w:rFonts w:eastAsia="Times New Roman" w:cs="Marianne"/>
          <w:color w:val="444444"/>
          <w:szCs w:val="20"/>
          <w:lang w:eastAsia="fr-FR"/>
        </w:rPr>
        <w:t>é</w:t>
      </w:r>
      <w:r w:rsidRPr="00D42B1B">
        <w:rPr>
          <w:rFonts w:eastAsia="Times New Roman" w:cs="Arial"/>
          <w:color w:val="444444"/>
          <w:szCs w:val="20"/>
          <w:lang w:eastAsia="fr-FR"/>
        </w:rPr>
        <w:t xml:space="preserve">dition du Salon International des </w:t>
      </w:r>
      <w:r w:rsidRPr="00D42B1B">
        <w:rPr>
          <w:rFonts w:eastAsia="Times New Roman" w:cs="Marianne"/>
          <w:color w:val="444444"/>
          <w:szCs w:val="20"/>
          <w:lang w:eastAsia="fr-FR"/>
        </w:rPr>
        <w:t>É</w:t>
      </w:r>
      <w:r w:rsidRPr="00D42B1B">
        <w:rPr>
          <w:rFonts w:eastAsia="Times New Roman" w:cs="Arial"/>
          <w:color w:val="444444"/>
          <w:szCs w:val="20"/>
          <w:lang w:eastAsia="fr-FR"/>
        </w:rPr>
        <w:t>quipements et des Technologies de Transformation de l</w:t>
      </w:r>
      <w:r w:rsidRPr="00D42B1B">
        <w:rPr>
          <w:rFonts w:eastAsia="Times New Roman" w:cs="Marianne"/>
          <w:color w:val="444444"/>
          <w:szCs w:val="20"/>
          <w:lang w:eastAsia="fr-FR"/>
        </w:rPr>
        <w:t>’</w:t>
      </w:r>
      <w:r w:rsidRPr="00D42B1B">
        <w:rPr>
          <w:rFonts w:eastAsia="Times New Roman" w:cs="Arial"/>
          <w:color w:val="444444"/>
          <w:szCs w:val="20"/>
          <w:lang w:eastAsia="fr-FR"/>
        </w:rPr>
        <w:t>Anacarde (SIETTA)</w:t>
      </w:r>
      <w:r w:rsidR="00BF7A0B" w:rsidRPr="00D42B1B">
        <w:rPr>
          <w:rFonts w:eastAsia="Times New Roman" w:cs="Arial"/>
          <w:color w:val="444444"/>
          <w:szCs w:val="20"/>
          <w:lang w:eastAsia="fr-FR"/>
        </w:rPr>
        <w:t xml:space="preserve"> </w:t>
      </w:r>
      <w:r w:rsidRPr="00D42B1B">
        <w:rPr>
          <w:rFonts w:eastAsia="Times New Roman" w:cs="Arial"/>
          <w:color w:val="444444"/>
          <w:szCs w:val="20"/>
          <w:lang w:eastAsia="fr-FR"/>
        </w:rPr>
        <w:t>prévue du 12 au 14 novembre 2026</w:t>
      </w:r>
      <w:r w:rsidR="00BF7A0B" w:rsidRPr="00D42B1B">
        <w:rPr>
          <w:rFonts w:eastAsia="Times New Roman" w:cs="Arial"/>
          <w:color w:val="444444"/>
          <w:szCs w:val="20"/>
          <w:lang w:eastAsia="fr-FR"/>
        </w:rPr>
        <w:t>.</w:t>
      </w:r>
      <w:bookmarkEnd w:id="107"/>
    </w:p>
    <w:bookmarkEnd w:id="108"/>
    <w:p w14:paraId="314AC2F0" w14:textId="04F90017" w:rsidR="00334591" w:rsidRPr="00D42B1B" w:rsidRDefault="00334591" w:rsidP="00334591">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Le Conseil Coton Anacarde Karité (CCAK) a lancé officiellement, </w:t>
      </w:r>
      <w:r w:rsidR="00BF7A0B" w:rsidRPr="00D42B1B">
        <w:rPr>
          <w:rFonts w:eastAsia="Times New Roman" w:cs="Arial"/>
          <w:color w:val="444444"/>
          <w:szCs w:val="20"/>
          <w:lang w:eastAsia="fr-FR"/>
        </w:rPr>
        <w:t xml:space="preserve">le </w:t>
      </w:r>
      <w:r w:rsidRPr="00D42B1B">
        <w:rPr>
          <w:rFonts w:eastAsia="Times New Roman" w:cs="Arial"/>
          <w:color w:val="444444"/>
          <w:szCs w:val="20"/>
          <w:lang w:eastAsia="fr-FR"/>
        </w:rPr>
        <w:t xml:space="preserve">26 juin, les préparatifs de la </w:t>
      </w:r>
      <w:bookmarkStart w:id="109" w:name="_Hlk233869722"/>
      <w:bookmarkStart w:id="110" w:name="_Hlk233869626"/>
      <w:r w:rsidRPr="00D42B1B">
        <w:rPr>
          <w:rFonts w:eastAsia="Times New Roman" w:cs="Arial"/>
          <w:color w:val="444444"/>
          <w:szCs w:val="20"/>
          <w:lang w:eastAsia="fr-FR"/>
        </w:rPr>
        <w:t>5</w:t>
      </w:r>
      <w:r w:rsidR="00BF7A0B" w:rsidRPr="00D42B1B">
        <w:rPr>
          <w:rFonts w:eastAsia="Times New Roman" w:cs="Arial"/>
          <w:color w:val="444444"/>
          <w:szCs w:val="20"/>
          <w:vertAlign w:val="superscript"/>
          <w:lang w:eastAsia="fr-FR"/>
        </w:rPr>
        <w:t>ème</w:t>
      </w:r>
      <w:r w:rsidR="00BF7A0B" w:rsidRPr="00D42B1B">
        <w:rPr>
          <w:rFonts w:eastAsia="Times New Roman" w:cs="Arial"/>
          <w:color w:val="444444"/>
          <w:szCs w:val="20"/>
          <w:lang w:eastAsia="fr-FR"/>
        </w:rPr>
        <w:t xml:space="preserve"> </w:t>
      </w:r>
      <w:bookmarkEnd w:id="109"/>
      <w:r w:rsidRPr="00D42B1B">
        <w:rPr>
          <w:rFonts w:eastAsia="Times New Roman" w:cs="Marianne"/>
          <w:color w:val="444444"/>
          <w:szCs w:val="20"/>
          <w:lang w:eastAsia="fr-FR"/>
        </w:rPr>
        <w:t>é</w:t>
      </w:r>
      <w:r w:rsidRPr="00D42B1B">
        <w:rPr>
          <w:rFonts w:eastAsia="Times New Roman" w:cs="Arial"/>
          <w:color w:val="444444"/>
          <w:szCs w:val="20"/>
          <w:lang w:eastAsia="fr-FR"/>
        </w:rPr>
        <w:t xml:space="preserve">dition du Salon International des </w:t>
      </w:r>
      <w:r w:rsidRPr="00D42B1B">
        <w:rPr>
          <w:rFonts w:eastAsia="Times New Roman" w:cs="Marianne"/>
          <w:color w:val="444444"/>
          <w:szCs w:val="20"/>
          <w:lang w:eastAsia="fr-FR"/>
        </w:rPr>
        <w:t>É</w:t>
      </w:r>
      <w:r w:rsidRPr="00D42B1B">
        <w:rPr>
          <w:rFonts w:eastAsia="Times New Roman" w:cs="Arial"/>
          <w:color w:val="444444"/>
          <w:szCs w:val="20"/>
          <w:lang w:eastAsia="fr-FR"/>
        </w:rPr>
        <w:t>quipements et des Technologies de Transformation de l</w:t>
      </w:r>
      <w:r w:rsidRPr="00D42B1B">
        <w:rPr>
          <w:rFonts w:eastAsia="Times New Roman" w:cs="Marianne"/>
          <w:color w:val="444444"/>
          <w:szCs w:val="20"/>
          <w:lang w:eastAsia="fr-FR"/>
        </w:rPr>
        <w:t>’</w:t>
      </w:r>
      <w:r w:rsidRPr="00D42B1B">
        <w:rPr>
          <w:rFonts w:eastAsia="Times New Roman" w:cs="Arial"/>
          <w:color w:val="444444"/>
          <w:szCs w:val="20"/>
          <w:lang w:eastAsia="fr-FR"/>
        </w:rPr>
        <w:t>Anacarde (SIETTA), pr</w:t>
      </w:r>
      <w:r w:rsidRPr="00D42B1B">
        <w:rPr>
          <w:rFonts w:eastAsia="Times New Roman" w:cs="Marianne"/>
          <w:color w:val="444444"/>
          <w:szCs w:val="20"/>
          <w:lang w:eastAsia="fr-FR"/>
        </w:rPr>
        <w:t>é</w:t>
      </w:r>
      <w:r w:rsidRPr="00D42B1B">
        <w:rPr>
          <w:rFonts w:eastAsia="Times New Roman" w:cs="Arial"/>
          <w:color w:val="444444"/>
          <w:szCs w:val="20"/>
          <w:lang w:eastAsia="fr-FR"/>
        </w:rPr>
        <w:t xml:space="preserve">vue du 12 au 14 novembre 2026 </w:t>
      </w:r>
      <w:bookmarkEnd w:id="110"/>
      <w:r w:rsidRPr="00D42B1B">
        <w:rPr>
          <w:rFonts w:eastAsia="Times New Roman" w:cs="Arial"/>
          <w:color w:val="444444"/>
          <w:szCs w:val="20"/>
          <w:lang w:eastAsia="fr-FR"/>
        </w:rPr>
        <w:t xml:space="preserve">au Palais de la Culture de Treichville.  </w:t>
      </w:r>
    </w:p>
    <w:p w14:paraId="735E4735" w14:textId="6B157998" w:rsidR="00334591" w:rsidRPr="00D42B1B" w:rsidRDefault="00334591" w:rsidP="00334591">
      <w:pPr>
        <w:shd w:val="clear" w:color="auto" w:fill="FFFFFF"/>
        <w:spacing w:after="0" w:line="276" w:lineRule="auto"/>
        <w:rPr>
          <w:rFonts w:eastAsia="Times New Roman" w:cs="Arial"/>
          <w:color w:val="444444"/>
          <w:szCs w:val="20"/>
          <w:lang w:eastAsia="fr-FR"/>
        </w:rPr>
      </w:pPr>
      <w:r w:rsidRPr="00D42B1B">
        <w:rPr>
          <w:rFonts w:eastAsia="Times New Roman" w:cs="Arial"/>
          <w:color w:val="444444"/>
          <w:szCs w:val="20"/>
          <w:lang w:eastAsia="fr-FR"/>
        </w:rPr>
        <w:t xml:space="preserve">Placée sous le thème « La Transformation de l’anacarde : au-delà de l’amande », cette édition </w:t>
      </w:r>
      <w:r w:rsidR="00BF7A0B" w:rsidRPr="00D42B1B">
        <w:rPr>
          <w:rFonts w:eastAsia="Times New Roman" w:cs="Arial"/>
          <w:color w:val="444444"/>
          <w:szCs w:val="20"/>
          <w:lang w:eastAsia="fr-FR"/>
        </w:rPr>
        <w:t xml:space="preserve">veut démontrer que la filière </w:t>
      </w:r>
      <w:r w:rsidRPr="00D42B1B">
        <w:rPr>
          <w:rFonts w:eastAsia="Times New Roman" w:cs="Arial"/>
          <w:color w:val="444444"/>
          <w:szCs w:val="20"/>
          <w:lang w:eastAsia="fr-FR"/>
        </w:rPr>
        <w:t>entend désormais valoriser l’ensemble des composantes du fruit, l’amande, le coque et la pomme, afin de bâtir une véritable économie circulaire du cajou. Les résultats obtenus au cours de la dernière décennie témoignent d’une</w:t>
      </w:r>
      <w:r w:rsidR="00BF7A0B" w:rsidRPr="00D42B1B">
        <w:rPr>
          <w:rFonts w:eastAsia="Times New Roman" w:cs="Arial"/>
          <w:color w:val="444444"/>
          <w:szCs w:val="20"/>
          <w:lang w:eastAsia="fr-FR"/>
        </w:rPr>
        <w:t xml:space="preserve"> forte</w:t>
      </w:r>
      <w:r w:rsidRPr="00D42B1B">
        <w:rPr>
          <w:rFonts w:eastAsia="Times New Roman" w:cs="Arial"/>
          <w:color w:val="444444"/>
          <w:szCs w:val="20"/>
          <w:lang w:eastAsia="fr-FR"/>
        </w:rPr>
        <w:t xml:space="preserve"> dynamique. Le taux de transformation locale est passé de 6,2% en 2014 à 43% en 2025</w:t>
      </w:r>
      <w:r w:rsidR="00BF7A0B" w:rsidRPr="00D42B1B">
        <w:rPr>
          <w:rFonts w:eastAsia="Times New Roman" w:cs="Arial"/>
          <w:color w:val="444444"/>
          <w:szCs w:val="20"/>
          <w:lang w:eastAsia="fr-FR"/>
        </w:rPr>
        <w:t>,</w:t>
      </w:r>
      <w:r w:rsidRPr="00D42B1B">
        <w:rPr>
          <w:rFonts w:eastAsia="Times New Roman" w:cs="Arial"/>
          <w:color w:val="444444"/>
          <w:szCs w:val="20"/>
          <w:lang w:eastAsia="fr-FR"/>
        </w:rPr>
        <w:t xml:space="preserve"> le volume transformé a bondi de 40 383 tonnes en 2014 à près de 659 000 tonnes en 2025 et les exportations d’amandes blanches ont progressé de 8 197 tonnes en 2016 à 107 196 tonnes en 2025. Grâce à ces performances, la Côte d’Ivoire est aujourd’hui le 3</w:t>
      </w:r>
      <w:r w:rsidR="00BF7A0B" w:rsidRPr="00D42B1B">
        <w:rPr>
          <w:rFonts w:eastAsia="Times New Roman" w:cs="Arial"/>
          <w:color w:val="444444"/>
          <w:szCs w:val="20"/>
          <w:vertAlign w:val="superscript"/>
          <w:lang w:eastAsia="fr-FR"/>
        </w:rPr>
        <w:t>ème</w:t>
      </w:r>
      <w:r w:rsidR="00BF7A0B" w:rsidRPr="00D42B1B">
        <w:rPr>
          <w:rFonts w:eastAsia="Times New Roman" w:cs="Arial"/>
          <w:color w:val="444444"/>
          <w:szCs w:val="20"/>
          <w:lang w:eastAsia="fr-FR"/>
        </w:rPr>
        <w:t xml:space="preserve"> </w:t>
      </w:r>
      <w:r w:rsidRPr="00D42B1B">
        <w:rPr>
          <w:rFonts w:eastAsia="Times New Roman" w:cs="Arial"/>
          <w:color w:val="444444"/>
          <w:szCs w:val="20"/>
          <w:lang w:eastAsia="fr-FR"/>
        </w:rPr>
        <w:t>transformateur mondial de noix brutes et le 2</w:t>
      </w:r>
      <w:r w:rsidR="00BF7A0B" w:rsidRPr="00D42B1B">
        <w:rPr>
          <w:rFonts w:eastAsia="Times New Roman" w:cs="Arial"/>
          <w:color w:val="444444"/>
          <w:szCs w:val="20"/>
          <w:vertAlign w:val="superscript"/>
          <w:lang w:eastAsia="fr-FR"/>
        </w:rPr>
        <w:t>ème</w:t>
      </w:r>
      <w:r w:rsidR="00BF7A0B" w:rsidRPr="00D42B1B">
        <w:rPr>
          <w:rFonts w:eastAsia="Times New Roman" w:cs="Arial"/>
          <w:color w:val="444444"/>
          <w:szCs w:val="20"/>
          <w:lang w:eastAsia="fr-FR"/>
        </w:rPr>
        <w:t xml:space="preserve"> </w:t>
      </w:r>
      <w:r w:rsidRPr="00D42B1B">
        <w:rPr>
          <w:rFonts w:eastAsia="Times New Roman" w:cs="Arial"/>
          <w:color w:val="444444"/>
          <w:szCs w:val="20"/>
          <w:lang w:eastAsia="fr-FR"/>
        </w:rPr>
        <w:t>exportateur mondial d</w:t>
      </w:r>
      <w:r w:rsidRPr="00D42B1B">
        <w:rPr>
          <w:rFonts w:eastAsia="Times New Roman" w:cs="Marianne"/>
          <w:color w:val="444444"/>
          <w:szCs w:val="20"/>
          <w:lang w:eastAsia="fr-FR"/>
        </w:rPr>
        <w:t>’</w:t>
      </w:r>
      <w:r w:rsidRPr="00D42B1B">
        <w:rPr>
          <w:rFonts w:eastAsia="Times New Roman" w:cs="Arial"/>
          <w:color w:val="444444"/>
          <w:szCs w:val="20"/>
          <w:lang w:eastAsia="fr-FR"/>
        </w:rPr>
        <w:t>amandes de cajou.</w:t>
      </w:r>
      <w:r w:rsidR="00BF7A0B"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Pour </w:t>
      </w:r>
      <w:r w:rsidR="00BF7A0B" w:rsidRPr="00D42B1B">
        <w:rPr>
          <w:rFonts w:eastAsia="Times New Roman" w:cs="Arial"/>
          <w:color w:val="444444"/>
          <w:szCs w:val="20"/>
          <w:lang w:eastAsia="fr-FR"/>
        </w:rPr>
        <w:t xml:space="preserve">M. Mamadou </w:t>
      </w:r>
      <w:r w:rsidRPr="00D42B1B">
        <w:rPr>
          <w:rFonts w:eastAsia="Times New Roman" w:cs="Arial"/>
          <w:color w:val="444444"/>
          <w:szCs w:val="20"/>
          <w:lang w:eastAsia="fr-FR"/>
        </w:rPr>
        <w:t>Berté</w:t>
      </w:r>
      <w:r w:rsidR="00BF7A0B"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directeur général du CCAK, l’ambition est </w:t>
      </w:r>
      <w:r w:rsidR="00BF7A0B" w:rsidRPr="00D42B1B">
        <w:rPr>
          <w:rFonts w:eastAsia="Times New Roman" w:cs="Arial"/>
          <w:color w:val="444444"/>
          <w:szCs w:val="20"/>
          <w:lang w:eastAsia="fr-FR"/>
        </w:rPr>
        <w:t xml:space="preserve">de </w:t>
      </w:r>
      <w:r w:rsidRPr="00D42B1B">
        <w:rPr>
          <w:rFonts w:eastAsia="Times New Roman" w:cs="Arial"/>
          <w:color w:val="444444"/>
          <w:szCs w:val="20"/>
          <w:lang w:eastAsia="fr-FR"/>
        </w:rPr>
        <w:t xml:space="preserve">valoriser l’ensemble des composantes du fruit, notamment la coque et la pomme de cajou </w:t>
      </w:r>
      <w:r w:rsidR="00BF7A0B" w:rsidRPr="00D42B1B">
        <w:rPr>
          <w:rFonts w:eastAsia="Times New Roman" w:cs="Arial"/>
          <w:color w:val="444444"/>
          <w:szCs w:val="20"/>
          <w:lang w:eastAsia="fr-FR"/>
        </w:rPr>
        <w:t>a</w:t>
      </w:r>
      <w:r w:rsidRPr="00D42B1B">
        <w:rPr>
          <w:rFonts w:eastAsia="Times New Roman" w:cs="Arial"/>
          <w:color w:val="444444"/>
          <w:szCs w:val="20"/>
          <w:lang w:eastAsia="fr-FR"/>
        </w:rPr>
        <w:t xml:space="preserve">vec un potentiel annuel estimé à 500 000 tonnes de coques et 8 </w:t>
      </w:r>
      <w:r w:rsidR="00BF7A0B" w:rsidRPr="00D42B1B">
        <w:rPr>
          <w:rFonts w:eastAsia="Times New Roman" w:cs="Arial"/>
          <w:color w:val="444444"/>
          <w:szCs w:val="20"/>
          <w:lang w:eastAsia="fr-FR"/>
        </w:rPr>
        <w:t xml:space="preserve">M </w:t>
      </w:r>
      <w:r w:rsidRPr="00D42B1B">
        <w:rPr>
          <w:rFonts w:eastAsia="Times New Roman" w:cs="Arial"/>
          <w:color w:val="444444"/>
          <w:szCs w:val="20"/>
          <w:lang w:eastAsia="fr-FR"/>
        </w:rPr>
        <w:t>de tonnes de pommes</w:t>
      </w:r>
      <w:r w:rsidR="00BF7A0B" w:rsidRPr="00D42B1B">
        <w:rPr>
          <w:rFonts w:eastAsia="Times New Roman" w:cs="Arial"/>
          <w:color w:val="444444"/>
          <w:szCs w:val="20"/>
          <w:lang w:eastAsia="fr-FR"/>
        </w:rPr>
        <w:t xml:space="preserve">. </w:t>
      </w:r>
      <w:r w:rsidRPr="00D42B1B">
        <w:rPr>
          <w:rFonts w:eastAsia="Times New Roman" w:cs="Arial"/>
          <w:color w:val="444444"/>
          <w:szCs w:val="20"/>
          <w:lang w:eastAsia="fr-FR"/>
        </w:rPr>
        <w:t xml:space="preserve">Le SIETTA 2026 mettra ainsi l’accent sur les technologies de pointe, les rencontres B2B, les panels d’experts et la promotion des mécanismes d’investissement. Pour </w:t>
      </w:r>
      <w:r w:rsidR="0016097A" w:rsidRPr="00D42B1B">
        <w:rPr>
          <w:rFonts w:eastAsia="Times New Roman" w:cs="Arial"/>
          <w:color w:val="444444"/>
          <w:szCs w:val="20"/>
          <w:lang w:eastAsia="fr-FR"/>
        </w:rPr>
        <w:t xml:space="preserve">M. </w:t>
      </w:r>
      <w:r w:rsidRPr="00D42B1B">
        <w:rPr>
          <w:rFonts w:eastAsia="Times New Roman" w:cs="Arial"/>
          <w:color w:val="444444"/>
          <w:szCs w:val="20"/>
          <w:lang w:eastAsia="fr-FR"/>
        </w:rPr>
        <w:t xml:space="preserve">Jérôme Ehui, président du Conseil d’administration du CCAK, l’objectif est de positionner la Côte d’Ivoire dans le cercle des nations bio-industrielles, grâce à l’implication forte du secteur privé. Créé en 2014, le SIETTA </w:t>
      </w:r>
      <w:r w:rsidR="0016097A" w:rsidRPr="00D42B1B">
        <w:rPr>
          <w:rFonts w:eastAsia="Times New Roman" w:cs="Arial"/>
          <w:color w:val="444444"/>
          <w:szCs w:val="20"/>
          <w:lang w:eastAsia="fr-FR"/>
        </w:rPr>
        <w:t xml:space="preserve">avait </w:t>
      </w:r>
      <w:r w:rsidRPr="00D42B1B">
        <w:rPr>
          <w:rFonts w:eastAsia="Times New Roman" w:cs="Arial"/>
          <w:color w:val="444444"/>
          <w:szCs w:val="20"/>
          <w:lang w:eastAsia="fr-FR"/>
        </w:rPr>
        <w:t>mobilisé 15 000 visiteurs et plus d’une trentaine d’équipementiers lors de la précédente édition.</w:t>
      </w:r>
    </w:p>
    <w:p w14:paraId="6C48168A" w14:textId="1E4C8D23" w:rsidR="002C7D7C" w:rsidRPr="00D42B1B" w:rsidRDefault="002C7D7C" w:rsidP="00380467">
      <w:pPr>
        <w:shd w:val="clear" w:color="auto" w:fill="FFFFFF"/>
        <w:spacing w:after="0" w:line="276" w:lineRule="auto"/>
        <w:rPr>
          <w:rFonts w:eastAsia="Times New Roman" w:cs="Arial"/>
          <w:color w:val="444444"/>
          <w:szCs w:val="20"/>
          <w:lang w:eastAsia="fr-FR"/>
        </w:rPr>
      </w:pPr>
    </w:p>
    <w:p w14:paraId="7D95B063" w14:textId="3A92FB78" w:rsidR="00065805" w:rsidRPr="00D42B1B" w:rsidRDefault="009D0F96" w:rsidP="00AD7C11">
      <w:pPr>
        <w:pStyle w:val="Titre1"/>
      </w:pPr>
      <w:bookmarkStart w:id="111" w:name="_Toc207812036"/>
      <w:bookmarkStart w:id="112" w:name="_Toc207812904"/>
      <w:bookmarkStart w:id="113" w:name="_Toc207813066"/>
      <w:bookmarkStart w:id="114" w:name="_Toc233878707"/>
      <w:r w:rsidRPr="00D42B1B">
        <w:t>Sénégal</w:t>
      </w:r>
      <w:bookmarkStart w:id="115" w:name="_Toc207812042"/>
      <w:bookmarkStart w:id="116" w:name="_Toc207812910"/>
      <w:bookmarkStart w:id="117" w:name="_Toc207813072"/>
      <w:bookmarkEnd w:id="111"/>
      <w:bookmarkEnd w:id="112"/>
      <w:bookmarkEnd w:id="113"/>
      <w:bookmarkEnd w:id="114"/>
    </w:p>
    <w:p w14:paraId="3CBB6249" w14:textId="77777777" w:rsidR="00184A7C" w:rsidRPr="00D42B1B" w:rsidRDefault="00184A7C" w:rsidP="00184A7C">
      <w:pPr>
        <w:pStyle w:val="Titre2"/>
        <w:spacing w:before="0"/>
        <w:rPr>
          <w:rFonts w:eastAsiaTheme="minorHAnsi"/>
        </w:rPr>
      </w:pPr>
      <w:bookmarkStart w:id="118" w:name="_Toc233878708"/>
      <w:bookmarkStart w:id="119" w:name="_Hlk233870024"/>
      <w:bookmarkStart w:id="120" w:name="_Hlk232244589"/>
      <w:bookmarkStart w:id="121" w:name="_Hlk233193567"/>
      <w:r w:rsidRPr="00D42B1B">
        <w:t>Politique agricole - 130 Md FCFA mobilisés pour la campagne agricole 2026-2027.</w:t>
      </w:r>
      <w:bookmarkEnd w:id="118"/>
    </w:p>
    <w:p w14:paraId="7BB66FF8" w14:textId="77777777" w:rsidR="00184A7C" w:rsidRPr="00D42B1B" w:rsidRDefault="00184A7C" w:rsidP="00184A7C">
      <w:pPr>
        <w:spacing w:after="0"/>
      </w:pPr>
      <w:r w:rsidRPr="00D42B1B">
        <w:t xml:space="preserve">Le gouvernement a mis en place un financement global de 130 Md FCFA pour la campagne agricole en cours, avec une priorité accordée aux intrants et à la modernisation du secteur. Près de la moitié de ce budget, soit 69 Md FCFA, est destinée à l’achat d’engrais. Les semences mobilisent 39 Md FCFA, tandis que la mécanisation bénéficie d’une enveloppe de 10 Md FCFA. Une partie de ces ressources bénéficiera également à l’Institut sénégalais de recherches agricoles (ISRA) afin d’accompagner les efforts de modernisation du secteur. Les autorités indiquent également que l’Etat doit encore régler une partie importante de sa facture aux fournisseurs, estimée à 154 Md FCFA, dont une partie déjà honorée. La campagne s’appuie sur une distribution massive d’intrants, avec plus de 59 000 tonnes d’engrais prévues et des dizaines de milliers de tonnes de semences, notamment pour l’arachide, principale culture de rente. Selon les chiffres avancés lors d’un conseil interministériel présidé par le Premier ministre Ahmadou Al </w:t>
      </w:r>
      <w:proofErr w:type="spellStart"/>
      <w:r w:rsidRPr="00D42B1B">
        <w:t>Aminou</w:t>
      </w:r>
      <w:proofErr w:type="spellEnd"/>
      <w:r w:rsidRPr="00D42B1B">
        <w:t xml:space="preserve"> Lo, la mise en place des intrants serait à un niveau jugé supérieur aux campagnes précédentes, avec des taux de distribution variables selon les régions. Au-delà des chiffres, le gouvernement met en avant une stratégie visant à renforcer la productivité agricole, </w:t>
      </w:r>
      <w:r w:rsidRPr="00D42B1B">
        <w:lastRenderedPageBreak/>
        <w:t>sécuriser l’alimentation du bétail et améliorer la planification de la commercialisation des récoltes. L’exécutif affiche par ailleurs un objectif de production de 2,7 M de tonnes de céréales pour cette campagne.</w:t>
      </w:r>
    </w:p>
    <w:p w14:paraId="20F27B0D" w14:textId="77777777" w:rsidR="00184A7C" w:rsidRPr="00D42B1B" w:rsidRDefault="00184A7C" w:rsidP="00184A7C">
      <w:pPr>
        <w:spacing w:after="0"/>
      </w:pPr>
    </w:p>
    <w:p w14:paraId="51257EA6" w14:textId="77777777" w:rsidR="0008709B" w:rsidRPr="00D42B1B" w:rsidRDefault="0008709B" w:rsidP="0008709B">
      <w:pPr>
        <w:pStyle w:val="Titre2"/>
        <w:spacing w:before="0"/>
        <w:rPr>
          <w:rFonts w:eastAsiaTheme="minorHAnsi"/>
        </w:rPr>
      </w:pPr>
      <w:bookmarkStart w:id="122" w:name="_Toc233878709"/>
      <w:r w:rsidRPr="00D42B1B">
        <w:t>Agropoles – 90 Md FCFA pour leur développement en Casamance.</w:t>
      </w:r>
      <w:bookmarkEnd w:id="122"/>
    </w:p>
    <w:bookmarkEnd w:id="119"/>
    <w:p w14:paraId="2678828B" w14:textId="7834D8F9" w:rsidR="0008709B" w:rsidRPr="00D42B1B" w:rsidRDefault="0008709B" w:rsidP="0008709B">
      <w:pPr>
        <w:spacing w:after="0"/>
      </w:pPr>
      <w:r w:rsidRPr="00D42B1B">
        <w:t xml:space="preserve">Le ministre de l’industrie et du commerce, M. Serigne </w:t>
      </w:r>
      <w:proofErr w:type="spellStart"/>
      <w:r w:rsidRPr="00D42B1B">
        <w:t>Guèye</w:t>
      </w:r>
      <w:proofErr w:type="spellEnd"/>
      <w:r w:rsidRPr="00D42B1B">
        <w:t xml:space="preserve"> Diop, a annoncé que l’Etat va investir 90 Md FCFA en Casamance dans le cadre du développement des agropoles. 51 Md FCFA seront consacrés aux agropoles d’Oussouye, Ziguinchor et Bignona, tandis que 39 Md FCFA seront investis dans ceux de Kolda et Sédhiou. Selon lui, ces projets permettront la réalisation de neuf nouvelles zones industrielles agroalimentaires destinées à stimuler l’industrialisation de la région et à générer plus de 50 000 emplois directs et indirects. Il a rappelé que cette initiative s’inscrit dans une stratégie globale de modernisation de la Casamance, marquée notamment par des investissements dont bénéficient le port de Ziguinchor, l’aéroport ainsi que les infrastructures routières. Il a assuré que des hangars déjà construits au sein des agropoles seront exclusivement réservés aux PME et aux Groupements d’intérêt économique (GIE), afin de leur permettre de démarrer rapidement leurs activités. Pour les autres espaces viabilisés, il a invité les investisseurs nationaux et étrangers à construire leurs propres unités industrielles, afin de renforcer le tissu productif régional. Il a ainsi lancé un appel aux investisseurs privés, leur demandant de contribuer en particulier au financement du parc agro-industriel d’</w:t>
      </w:r>
      <w:proofErr w:type="spellStart"/>
      <w:r w:rsidRPr="00D42B1B">
        <w:t>Adéane</w:t>
      </w:r>
      <w:proofErr w:type="spellEnd"/>
      <w:r w:rsidRPr="00D42B1B">
        <w:t xml:space="preserve"> dans le département de Ziguinchor, une infrastructure présentée comme un levier majeur de transformation des produits agricoles, de création d’emplois et de développement économique de la Casamance. Financé à plus de 57 Md FCFA par l’Etat et ses partenaires, le parc agro-industriel d’</w:t>
      </w:r>
      <w:proofErr w:type="spellStart"/>
      <w:r w:rsidRPr="00D42B1B">
        <w:t>Adéane</w:t>
      </w:r>
      <w:proofErr w:type="spellEnd"/>
      <w:r w:rsidRPr="00D42B1B">
        <w:t xml:space="preserve"> dispose déjà de 40 ha aménagés sur les 85 prévus. Le site est doté notamment de hangars de plus de 2 400 m², de chambres froides d’une capacité de stockage de 1 500 tonnes et d’un centre destiné à accompagner les activités industrielles. Les autorités ont ainsi l’ambition de mobiliser près de 125 Md FCFA d’investissements privés. Selon les responsables du projet, les initiatives déjà identifiées dans les agropoles sud et centre représentent un potentiel de 1 722 emplois et plus de 24 Md FCFA d’investissements. M. Xavier Diatta, directeur de CASA Industries (transformation fruits et légumes), a réaffirmé l’engagement de son entreprise dans la transformation des produits locaux, la formation et l’insertion des jeunes, tandis que M. </w:t>
      </w:r>
      <w:proofErr w:type="spellStart"/>
      <w:r w:rsidRPr="00D42B1B">
        <w:t>Elimane</w:t>
      </w:r>
      <w:proofErr w:type="spellEnd"/>
      <w:r w:rsidRPr="00D42B1B">
        <w:t xml:space="preserve"> Ndao, opérateur de la filière anacarde, a estimé que le parc permettra de développer la transformation locale des productions et de générer des emplois pour les jeunes et les femmes. Le ministre a insisté sur la nécessité de transformer localement les productions agricoles, notamment les mangues, le </w:t>
      </w:r>
      <w:proofErr w:type="spellStart"/>
      <w:r w:rsidRPr="00D42B1B">
        <w:t>madd</w:t>
      </w:r>
      <w:proofErr w:type="spellEnd"/>
      <w:r w:rsidRPr="00D42B1B">
        <w:t xml:space="preserve"> et le ditakh, assurant que le développement des capacités de stockage et de transformation contribuera à renforcer les chaînes de valeur. </w:t>
      </w:r>
    </w:p>
    <w:p w14:paraId="5A956575" w14:textId="77777777" w:rsidR="005F06B5" w:rsidRPr="00D42B1B" w:rsidRDefault="005F06B5" w:rsidP="005F06B5">
      <w:pPr>
        <w:spacing w:after="0"/>
      </w:pPr>
    </w:p>
    <w:p w14:paraId="4E9EB13B" w14:textId="468C3300" w:rsidR="00E716FE" w:rsidRPr="00D42B1B" w:rsidRDefault="00E716FE" w:rsidP="005821C1">
      <w:pPr>
        <w:pStyle w:val="Titre2"/>
        <w:spacing w:before="0"/>
        <w:rPr>
          <w:rFonts w:eastAsiaTheme="minorHAnsi"/>
        </w:rPr>
      </w:pPr>
      <w:bookmarkStart w:id="123" w:name="_Toc233878710"/>
      <w:bookmarkStart w:id="124" w:name="_Hlk233877473"/>
      <w:r w:rsidRPr="00D42B1B">
        <w:t xml:space="preserve">Pêche - Plus de 100 licences délivrées </w:t>
      </w:r>
      <w:r w:rsidR="005821C1" w:rsidRPr="00D42B1B">
        <w:t xml:space="preserve">au titre de </w:t>
      </w:r>
      <w:r w:rsidRPr="00D42B1B">
        <w:t>l’année 2026.</w:t>
      </w:r>
      <w:bookmarkEnd w:id="123"/>
    </w:p>
    <w:bookmarkEnd w:id="120"/>
    <w:bookmarkEnd w:id="124"/>
    <w:p w14:paraId="33C60243" w14:textId="63EDEC67" w:rsidR="00E716FE" w:rsidRPr="00D42B1B" w:rsidRDefault="00E716FE" w:rsidP="00E716FE">
      <w:pPr>
        <w:spacing w:after="0"/>
      </w:pPr>
      <w:r w:rsidRPr="00D42B1B">
        <w:t>L’</w:t>
      </w:r>
      <w:r w:rsidR="005821C1" w:rsidRPr="00D42B1B">
        <w:t>ex-</w:t>
      </w:r>
      <w:r w:rsidRPr="00D42B1B">
        <w:t xml:space="preserve">ministre des </w:t>
      </w:r>
      <w:r w:rsidR="005821C1" w:rsidRPr="00D42B1B">
        <w:t>p</w:t>
      </w:r>
      <w:r w:rsidRPr="00D42B1B">
        <w:t>êches et de l’</w:t>
      </w:r>
      <w:r w:rsidR="005821C1" w:rsidRPr="00D42B1B">
        <w:t>é</w:t>
      </w:r>
      <w:r w:rsidRPr="00D42B1B">
        <w:t xml:space="preserve">conomie maritime, </w:t>
      </w:r>
      <w:r w:rsidR="005821C1" w:rsidRPr="00D42B1B">
        <w:t xml:space="preserve">Mme </w:t>
      </w:r>
      <w:r w:rsidRPr="00D42B1B">
        <w:t>Fatou Diouf, a rendu publique la liste officielle des navires autorisés à pêcher dans les eaux sénégalaises au titre de l’année 2026 à la date du 3 juin.</w:t>
      </w:r>
      <w:r w:rsidR="005821C1" w:rsidRPr="00D42B1B">
        <w:t xml:space="preserve"> Plus d’</w:t>
      </w:r>
      <w:r w:rsidRPr="00D42B1B">
        <w:t xml:space="preserve">une centaine de licences </w:t>
      </w:r>
      <w:r w:rsidR="005821C1" w:rsidRPr="00D42B1B">
        <w:t xml:space="preserve">ont été </w:t>
      </w:r>
      <w:r w:rsidRPr="00D42B1B">
        <w:t>délivrées aussi bien à des navires sénégalais qu’étrangers. Il s’agit notamment de 49 licences de pêche démersales profondes (LPDP), de 10 licences de pêche pélagiques hauturières (LPPH), de 51 licences de pêche démersales côtières (LPDC) et d’une licence de pêche pélagique côtière (LPPC).</w:t>
      </w:r>
      <w:r w:rsidR="005821C1" w:rsidRPr="00D42B1B">
        <w:t xml:space="preserve"> T</w:t>
      </w:r>
      <w:r w:rsidRPr="00D42B1B">
        <w:t xml:space="preserve">ous les navires listés battent pavillon du </w:t>
      </w:r>
      <w:r w:rsidR="005821C1" w:rsidRPr="00D42B1B">
        <w:t>Sénégal à l’exception d’u</w:t>
      </w:r>
      <w:r w:rsidRPr="00D42B1B">
        <w:t xml:space="preserve">n seul navire étranger, le SEA FRONTIER qui bat pavillon de la Guinée et possède un format d’immatriculation distinct, tandis que tous les </w:t>
      </w:r>
      <w:r w:rsidRPr="00D42B1B">
        <w:lastRenderedPageBreak/>
        <w:t>autres sont immatriculés à Dakar.</w:t>
      </w:r>
      <w:r w:rsidR="005821C1" w:rsidRPr="00D42B1B">
        <w:t xml:space="preserve"> T</w:t>
      </w:r>
      <w:r w:rsidRPr="00D42B1B">
        <w:t xml:space="preserve">rois catégories de navires peuvent prétendre à une licence de pêche : les navires battant pavillon sénégalais, les navires étrangers affrétés par les sociétés sénégalaises et les navires battant pavillon d’un </w:t>
      </w:r>
      <w:r w:rsidR="005821C1" w:rsidRPr="00D42B1B">
        <w:t>E</w:t>
      </w:r>
      <w:r w:rsidRPr="00D42B1B">
        <w:t>tat avec lequel le Sénégal est lié par un accord.</w:t>
      </w:r>
    </w:p>
    <w:bookmarkEnd w:id="121"/>
    <w:p w14:paraId="7A6EDFAC" w14:textId="77777777" w:rsidR="008649A1" w:rsidRPr="00D42B1B" w:rsidRDefault="008649A1" w:rsidP="00936041">
      <w:pPr>
        <w:spacing w:after="0"/>
      </w:pPr>
    </w:p>
    <w:p w14:paraId="278BF590" w14:textId="3D880289" w:rsidR="001564C7" w:rsidRPr="00D42B1B" w:rsidRDefault="001564C7" w:rsidP="00095226">
      <w:pPr>
        <w:pStyle w:val="Titre2"/>
        <w:spacing w:before="0"/>
        <w:rPr>
          <w:rFonts w:eastAsiaTheme="minorHAnsi"/>
        </w:rPr>
      </w:pPr>
      <w:bookmarkStart w:id="125" w:name="_Toc233878711"/>
      <w:bookmarkStart w:id="126" w:name="_Hlk232344207"/>
      <w:r w:rsidRPr="00D42B1B">
        <w:t>Elevage –</w:t>
      </w:r>
      <w:r w:rsidR="00095226" w:rsidRPr="00D42B1B">
        <w:t xml:space="preserve"> 35% du PIB du secteur primaire.</w:t>
      </w:r>
      <w:bookmarkEnd w:id="125"/>
    </w:p>
    <w:bookmarkEnd w:id="126"/>
    <w:p w14:paraId="64B88E0F" w14:textId="6927E9EB" w:rsidR="001564C7" w:rsidRPr="00D42B1B" w:rsidRDefault="001564C7" w:rsidP="001564C7">
      <w:pPr>
        <w:spacing w:after="0"/>
      </w:pPr>
      <w:r w:rsidRPr="00D42B1B">
        <w:t>A l’occasion de l’ouverture le 8 juin</w:t>
      </w:r>
      <w:r w:rsidR="00095226" w:rsidRPr="00D42B1B">
        <w:t xml:space="preserve"> à Dakar</w:t>
      </w:r>
      <w:r w:rsidRPr="00D42B1B">
        <w:t>, de la 14</w:t>
      </w:r>
      <w:r w:rsidRPr="00D42B1B">
        <w:rPr>
          <w:vertAlign w:val="superscript"/>
        </w:rPr>
        <w:t>ème</w:t>
      </w:r>
      <w:r w:rsidRPr="00D42B1B">
        <w:t xml:space="preserve"> réunion du Programme mondial pour un élevage durable (GASL)</w:t>
      </w:r>
      <w:r w:rsidR="00095226" w:rsidRPr="00D42B1B">
        <w:t>,</w:t>
      </w:r>
      <w:r w:rsidRPr="00D42B1B">
        <w:t xml:space="preserve"> le ministre sénégalais de l’agriculture, de la souveraineté alimentaire et de l’élevage, M. Cheikh Omar Ba, a rappelé le poids du secteur dans l’économie nationale. Selon lui, l’élevage représente </w:t>
      </w:r>
      <w:bookmarkStart w:id="127" w:name="_Hlk232244572"/>
      <w:r w:rsidRPr="00D42B1B">
        <w:t xml:space="preserve">35% du PIB du secteur primaire </w:t>
      </w:r>
      <w:bookmarkEnd w:id="127"/>
      <w:r w:rsidRPr="00D42B1B">
        <w:t>et constitue la principale activité économique de 38,7% des ménages ruraux. Le bétail représente un actif d’épargne, un capital social, un instrument de gestion du risque et un pilier identitaire des sociétés rurales, a-t-il déclaré, soulignant que l’élevage pastoral extensif et l’agropastoralisme semi-intensif assurent respectivement 60% et 30% de la production nationale. Pour autant, le ministre a reconnu que le secteur est confronté à des défis majeurs</w:t>
      </w:r>
      <w:r w:rsidR="00095226" w:rsidRPr="00D42B1B">
        <w:t> :</w:t>
      </w:r>
      <w:r w:rsidRPr="00D42B1B">
        <w:t xml:space="preserve"> changement climatique, dégradation des ressources naturelles, pressions foncières et émergence de maladies animales. La coordinatrice résidente du Système des Nations Unies au Sénégal, Mme Aminata </w:t>
      </w:r>
      <w:proofErr w:type="spellStart"/>
      <w:r w:rsidRPr="00D42B1B">
        <w:t>Maiga</w:t>
      </w:r>
      <w:proofErr w:type="spellEnd"/>
      <w:r w:rsidRPr="00D42B1B">
        <w:t xml:space="preserve">, a insisté sur l’approche « One </w:t>
      </w:r>
      <w:proofErr w:type="spellStart"/>
      <w:r w:rsidRPr="00D42B1B">
        <w:t>Health</w:t>
      </w:r>
      <w:proofErr w:type="spellEnd"/>
      <w:r w:rsidRPr="00D42B1B">
        <w:t xml:space="preserve"> » (« Une seule santé »), qui reconnaît les liens étroits entre la santé humaine, la santé animale et celle des écosystèmes.</w:t>
      </w:r>
    </w:p>
    <w:p w14:paraId="3B45C56C" w14:textId="7EB38D08" w:rsidR="00B2505A" w:rsidRPr="00D42B1B" w:rsidRDefault="00B2505A" w:rsidP="001564C7">
      <w:pPr>
        <w:spacing w:after="0"/>
      </w:pPr>
    </w:p>
    <w:p w14:paraId="1FFE5551" w14:textId="6F4298FF" w:rsidR="00B2505A" w:rsidRPr="00D42B1B" w:rsidRDefault="00B2505A" w:rsidP="00AE5307">
      <w:pPr>
        <w:pStyle w:val="Titre2"/>
        <w:spacing w:before="0"/>
        <w:rPr>
          <w:rFonts w:eastAsiaTheme="minorHAnsi"/>
        </w:rPr>
      </w:pPr>
      <w:bookmarkStart w:id="128" w:name="_Toc233878712"/>
      <w:r w:rsidRPr="00D42B1B">
        <w:t xml:space="preserve">Elevage - </w:t>
      </w:r>
      <w:bookmarkStart w:id="129" w:name="_Hlk232343836"/>
      <w:r w:rsidRPr="00D42B1B">
        <w:t>Le marché sénégalais de la volaille entre dans une phase de concurrence accrue.</w:t>
      </w:r>
      <w:bookmarkEnd w:id="128"/>
      <w:bookmarkEnd w:id="129"/>
    </w:p>
    <w:p w14:paraId="49367314" w14:textId="586F840E" w:rsidR="00B2505A" w:rsidRPr="00D42B1B" w:rsidRDefault="00B2505A" w:rsidP="00B2505A">
      <w:pPr>
        <w:spacing w:after="0"/>
      </w:pPr>
      <w:r w:rsidRPr="00D42B1B">
        <w:t xml:space="preserve">Le marché sénégalais de la volaille entre dans une nouvelle phase de concurrence accrue, marquée par une montée en puissance de nouveaux acteurs, une course à l’investissement et une stratégie d’intégration sur l’ensemble de la chaîne de valeur. Longtemps dominé par le groupe familial SEDIMA, fondé par M. Babacar </w:t>
      </w:r>
      <w:proofErr w:type="spellStart"/>
      <w:r w:rsidRPr="00D42B1B">
        <w:t>Ngom</w:t>
      </w:r>
      <w:proofErr w:type="spellEnd"/>
      <w:r w:rsidRPr="00D42B1B">
        <w:t>, le secteur avicole connaît aujourd’hui une profonde restructuration. Grâce à l’interdiction des importations de viande de volaille décidée en 2005, la filière s’est fortement développée, atteignant un chiffre d’affaires estimé à 450 Md FCFA en 2023, selon le ministère de l’élevage et des productions animales. Mais la domination historique de SEDIMA est désormais contestée. Sur le segment du poulet de chair, le groupe GADE GUI, fondé notamment par l’ex-ministre de l’</w:t>
      </w:r>
      <w:r w:rsidR="00AE5307" w:rsidRPr="00D42B1B">
        <w:t>a</w:t>
      </w:r>
      <w:r w:rsidRPr="00D42B1B">
        <w:t xml:space="preserve">griculture </w:t>
      </w:r>
      <w:r w:rsidR="00AE5307" w:rsidRPr="00D42B1B">
        <w:t xml:space="preserve">M. </w:t>
      </w:r>
      <w:proofErr w:type="spellStart"/>
      <w:r w:rsidRPr="00D42B1B">
        <w:t>Mabouba</w:t>
      </w:r>
      <w:proofErr w:type="spellEnd"/>
      <w:r w:rsidRPr="00D42B1B">
        <w:t xml:space="preserve"> Diagne avant son entrée au gouvernement, revendique désormais la place de leader. D’autres opérateurs, tels que </w:t>
      </w:r>
      <w:r w:rsidR="00AE5307" w:rsidRPr="00D42B1B">
        <w:t>APRAN</w:t>
      </w:r>
      <w:r w:rsidRPr="00D42B1B">
        <w:t>, Z</w:t>
      </w:r>
      <w:r w:rsidR="00AE5307" w:rsidRPr="00D42B1B">
        <w:t>ALAR</w:t>
      </w:r>
      <w:r w:rsidRPr="00D42B1B">
        <w:t xml:space="preserve"> Sénégal, L</w:t>
      </w:r>
      <w:r w:rsidR="00AE5307" w:rsidRPr="00D42B1B">
        <w:t>A RIPAILLE</w:t>
      </w:r>
      <w:r w:rsidRPr="00D42B1B">
        <w:t>, R</w:t>
      </w:r>
      <w:r w:rsidR="00AE5307" w:rsidRPr="00D42B1B">
        <w:t>ETBA</w:t>
      </w:r>
      <w:r w:rsidRPr="00D42B1B">
        <w:t xml:space="preserve"> aviculture ou encore L</w:t>
      </w:r>
      <w:r w:rsidR="00AE5307" w:rsidRPr="00D42B1B">
        <w:t>ANY</w:t>
      </w:r>
      <w:r w:rsidRPr="00D42B1B">
        <w:t>, renforcent également leurs positions sur un marché tiré par une consommation en hausse, estimée entre 8% et 10% de croissance annuelle.</w:t>
      </w:r>
      <w:r w:rsidR="00AE5307" w:rsidRPr="00D42B1B">
        <w:t xml:space="preserve"> </w:t>
      </w:r>
      <w:r w:rsidRPr="00D42B1B">
        <w:t>La concurrence s’étend à l’ensemble de la filière, notamment dans la production de poussins, d’œufs, d’aliments pour animaux et les infrastructures d’abattage. S</w:t>
      </w:r>
      <w:r w:rsidR="00AE5307" w:rsidRPr="00D42B1B">
        <w:t>EDIMA</w:t>
      </w:r>
      <w:r w:rsidRPr="00D42B1B">
        <w:t xml:space="preserve"> conserve une position forte, mais fait face à une multiplication de challengers qui investissent massivement pour gagner des parts de marché. Dans ce contexte, les entreprises cherchent non seulement à augmenter leurs capacités de production, mais aussi à intégrer davantage de segments de la chaîne afin de réduire leur dépendance et mieux maîtriser leurs coûts.</w:t>
      </w:r>
      <w:r w:rsidR="00AE5307" w:rsidRPr="00D42B1B">
        <w:t xml:space="preserve"> C</w:t>
      </w:r>
      <w:r w:rsidRPr="00D42B1B">
        <w:t>ette dynamique est particulièrement visible chez des groupes comme G</w:t>
      </w:r>
      <w:r w:rsidR="00AE5307" w:rsidRPr="00D42B1B">
        <w:t>ADE GUI</w:t>
      </w:r>
      <w:r w:rsidRPr="00D42B1B">
        <w:t>, qui développe désormais une activité dans les œufs, ou A</w:t>
      </w:r>
      <w:r w:rsidR="00AE5307" w:rsidRPr="00D42B1B">
        <w:t>PRAN</w:t>
      </w:r>
      <w:r w:rsidRPr="00D42B1B">
        <w:t>, qui envisage d’investir dans la production d’aliments pour bétail. Le géant agroalimentaire O</w:t>
      </w:r>
      <w:r w:rsidR="00AE5307" w:rsidRPr="00D42B1B">
        <w:t>LAM</w:t>
      </w:r>
      <w:r w:rsidRPr="00D42B1B">
        <w:t>, déjà actif dans la meunerie, se positionne lui aussi stratégiquement sur plusieurs maillons de la filière, notamment après le rachat d’A</w:t>
      </w:r>
      <w:r w:rsidR="00AE5307" w:rsidRPr="00D42B1B">
        <w:t>VISEN</w:t>
      </w:r>
      <w:r w:rsidRPr="00D42B1B">
        <w:t xml:space="preserve"> en 2024.</w:t>
      </w:r>
      <w:r w:rsidR="00AE5307" w:rsidRPr="00D42B1B">
        <w:t xml:space="preserve"> </w:t>
      </w:r>
      <w:r w:rsidRPr="00D42B1B">
        <w:t>Pour les acteurs du secteur, l’enjeu central reste la maîtrise des coûts de production, notamment ceux liés à l’alimentation animale, qui représentent entre 60% et 70% du coût de revient du poulet</w:t>
      </w:r>
      <w:r w:rsidR="00AE5307" w:rsidRPr="00D42B1B">
        <w:t>, u</w:t>
      </w:r>
      <w:r w:rsidRPr="00D42B1B">
        <w:t xml:space="preserve">ne pression renforcée par la hausse mondiale des matières premières et un pouvoir d’achat sous </w:t>
      </w:r>
      <w:r w:rsidRPr="00D42B1B">
        <w:lastRenderedPageBreak/>
        <w:t>tension.</w:t>
      </w:r>
      <w:r w:rsidR="00AE5307" w:rsidRPr="00D42B1B">
        <w:t xml:space="preserve"> </w:t>
      </w:r>
      <w:r w:rsidRPr="00D42B1B">
        <w:t>Au-delà de la rivalité commerciale, la filière fait face à plusieurs défis structurels</w:t>
      </w:r>
      <w:r w:rsidR="00AE5307" w:rsidRPr="00D42B1B">
        <w:t xml:space="preserve">, le </w:t>
      </w:r>
      <w:r w:rsidRPr="00D42B1B">
        <w:t>Sénégal rest</w:t>
      </w:r>
      <w:r w:rsidR="00AE5307" w:rsidRPr="00D42B1B">
        <w:t xml:space="preserve">ant </w:t>
      </w:r>
      <w:r w:rsidRPr="00D42B1B">
        <w:t xml:space="preserve">encore largement dépendant des importations d’œufs à couver, indispensables à la production locale. En parallèle, les professionnels dénoncent une hausse des importations illégales de poulets, estimées à 20 </w:t>
      </w:r>
      <w:r w:rsidR="00AE5307" w:rsidRPr="00D42B1B">
        <w:t xml:space="preserve">M </w:t>
      </w:r>
      <w:r w:rsidRPr="00D42B1B">
        <w:t xml:space="preserve">d’unités par an, un phénomène </w:t>
      </w:r>
      <w:r w:rsidR="00AE5307" w:rsidRPr="00D42B1B">
        <w:t xml:space="preserve">dénoncé </w:t>
      </w:r>
      <w:r w:rsidRPr="00D42B1B">
        <w:t>par l’Interprofession avicole du Sénégal (I</w:t>
      </w:r>
      <w:r w:rsidR="00AE5307" w:rsidRPr="00D42B1B">
        <w:t>PAS</w:t>
      </w:r>
      <w:r w:rsidRPr="00D42B1B">
        <w:t>).</w:t>
      </w:r>
    </w:p>
    <w:p w14:paraId="40C8292C" w14:textId="77777777" w:rsidR="009821A6" w:rsidRPr="00D42B1B" w:rsidRDefault="009821A6" w:rsidP="009821A6">
      <w:pPr>
        <w:spacing w:after="0"/>
      </w:pPr>
    </w:p>
    <w:p w14:paraId="45C7C584" w14:textId="15C76B68" w:rsidR="009821A6" w:rsidRPr="00D42B1B" w:rsidRDefault="009821A6" w:rsidP="005F06B5">
      <w:pPr>
        <w:pStyle w:val="Titre2"/>
        <w:spacing w:before="0"/>
        <w:rPr>
          <w:rFonts w:eastAsiaTheme="minorHAnsi"/>
        </w:rPr>
      </w:pPr>
      <w:bookmarkStart w:id="130" w:name="_Toc233878713"/>
      <w:r w:rsidRPr="00D42B1B">
        <w:t>Elevage - 1,3 Md FCFA pour développer l’entreprise avicole La Ripaille.</w:t>
      </w:r>
      <w:bookmarkEnd w:id="130"/>
    </w:p>
    <w:p w14:paraId="7E850ECE" w14:textId="5A7D214A" w:rsidR="009821A6" w:rsidRPr="00D42B1B" w:rsidRDefault="009821A6" w:rsidP="009821A6">
      <w:pPr>
        <w:spacing w:after="0"/>
      </w:pPr>
      <w:r w:rsidRPr="00D42B1B">
        <w:t xml:space="preserve">Le fonds d’investissement </w:t>
      </w:r>
      <w:proofErr w:type="spellStart"/>
      <w:r w:rsidRPr="00D42B1B">
        <w:t>Oyass</w:t>
      </w:r>
      <w:proofErr w:type="spellEnd"/>
      <w:r w:rsidRPr="00D42B1B">
        <w:t xml:space="preserve"> Capital, sous-fonds du Fonds souverain d’investissements stratégiques (FONSIS), a investi 1,3 Md FCFA dans l’entreprise sénégalaise La Ripaille pour soutenir son expansion dans la filière avicole. Dans le cadre d’un partenariat pour le renforcement de la filière, l’accord entre </w:t>
      </w:r>
      <w:proofErr w:type="spellStart"/>
      <w:r w:rsidRPr="00D42B1B">
        <w:t>Oyass</w:t>
      </w:r>
      <w:proofErr w:type="spellEnd"/>
      <w:r w:rsidRPr="00D42B1B">
        <w:t xml:space="preserve"> Capital et la Ripaille, signé </w:t>
      </w:r>
      <w:r w:rsidR="005F06B5" w:rsidRPr="00D42B1B">
        <w:t>le 27 juin</w:t>
      </w:r>
      <w:r w:rsidRPr="00D42B1B">
        <w:t xml:space="preserve"> prévoit un financement combinant une prise de participation et une dette conforme aux principes de la finance islamique.</w:t>
      </w:r>
      <w:r w:rsidR="005F06B5" w:rsidRPr="00D42B1B">
        <w:t xml:space="preserve"> La Ripaille devient la troisième entreprise à intégrer le portefeuille d’</w:t>
      </w:r>
      <w:proofErr w:type="spellStart"/>
      <w:r w:rsidR="005F06B5" w:rsidRPr="00D42B1B">
        <w:t>Oyass</w:t>
      </w:r>
      <w:proofErr w:type="spellEnd"/>
      <w:r w:rsidR="005F06B5" w:rsidRPr="00D42B1B">
        <w:t xml:space="preserve"> Capital. </w:t>
      </w:r>
      <w:r w:rsidRPr="00D42B1B">
        <w:t>La cérémonie de signature a réuni des représentants du ministère de l’</w:t>
      </w:r>
      <w:r w:rsidR="005F06B5" w:rsidRPr="00D42B1B">
        <w:t>a</w:t>
      </w:r>
      <w:r w:rsidRPr="00D42B1B">
        <w:t xml:space="preserve">griculture, de la </w:t>
      </w:r>
      <w:r w:rsidR="005F06B5" w:rsidRPr="00D42B1B">
        <w:t>s</w:t>
      </w:r>
      <w:r w:rsidRPr="00D42B1B">
        <w:t>ouveraineté alimentaire et de l’</w:t>
      </w:r>
      <w:r w:rsidR="005F06B5" w:rsidRPr="00D42B1B">
        <w:t>é</w:t>
      </w:r>
      <w:r w:rsidRPr="00D42B1B">
        <w:t>levage, du FONSIS, de la banque allemande de développement KfW, ainsi que plusieurs partenaires financiers et acteurs du secteur privé.</w:t>
      </w:r>
      <w:r w:rsidR="005F06B5" w:rsidRPr="00D42B1B">
        <w:t xml:space="preserve"> </w:t>
      </w:r>
      <w:r w:rsidRPr="00D42B1B">
        <w:t xml:space="preserve">Selon le directeur général de La Ripaille, </w:t>
      </w:r>
      <w:r w:rsidR="005F06B5" w:rsidRPr="00D42B1B">
        <w:t xml:space="preserve">M. </w:t>
      </w:r>
      <w:r w:rsidRPr="00D42B1B">
        <w:t>Alioune Badiane, cet investissement permettra à l’entreprise de poursuivre son ambition de bâtir un modèle intégré couvrant toute la chaîne de valeur avicole, de l’élevage des poules pondeuses à la commercialisation des produits, en passant par la fabrication d’aliments, les poussinières et les activités d’abattage.</w:t>
      </w:r>
    </w:p>
    <w:p w14:paraId="0D72F61E" w14:textId="77777777" w:rsidR="005F06B5" w:rsidRPr="00D42B1B" w:rsidRDefault="005F06B5" w:rsidP="009821A6">
      <w:pPr>
        <w:spacing w:after="0"/>
      </w:pPr>
    </w:p>
    <w:p w14:paraId="0D7EDCA2" w14:textId="029BAE4A" w:rsidR="00FF6CFA" w:rsidRPr="00D42B1B" w:rsidRDefault="00FF6CFA" w:rsidP="00FC338E">
      <w:pPr>
        <w:pStyle w:val="Titre2"/>
        <w:spacing w:before="0"/>
        <w:rPr>
          <w:rFonts w:eastAsiaTheme="minorHAnsi"/>
        </w:rPr>
      </w:pPr>
      <w:bookmarkStart w:id="131" w:name="_Hlk233876998"/>
      <w:bookmarkStart w:id="132" w:name="_Toc233878714"/>
      <w:bookmarkStart w:id="133" w:name="_Hlk233877017"/>
      <w:r w:rsidRPr="00D42B1B">
        <w:t>Elevage – Cherté de l’alimentation du bétail et cheptel insuffisant font flamber les prix de la viande à Dakar</w:t>
      </w:r>
      <w:bookmarkEnd w:id="131"/>
      <w:r w:rsidRPr="00D42B1B">
        <w:t>.</w:t>
      </w:r>
      <w:bookmarkEnd w:id="132"/>
    </w:p>
    <w:bookmarkEnd w:id="133"/>
    <w:p w14:paraId="3B85FEFA" w14:textId="2A7C331E" w:rsidR="00FF6CFA" w:rsidRPr="00D42B1B" w:rsidRDefault="00FF6CFA" w:rsidP="006F1973">
      <w:pPr>
        <w:spacing w:after="0"/>
      </w:pPr>
      <w:r w:rsidRPr="00D42B1B">
        <w:t>A la Société de gestion des abattoirs du Sénégal (SOGAS), en 2024 et en 2025, le kilo de viande de bœuf se vendait entre 3 300 et 3 500 FCFA. Aujourd’hui, son prix varie entre 4 500 et 4 700 FCFA</w:t>
      </w:r>
      <w:r w:rsidR="00FC338E" w:rsidRPr="00D42B1B">
        <w:t>/kg</w:t>
      </w:r>
      <w:r w:rsidRPr="00D42B1B">
        <w:t>. Dans certains marchés de Dakar, les prix ont atteint 5 000 FCFA</w:t>
      </w:r>
      <w:r w:rsidR="00FC338E" w:rsidRPr="00D42B1B">
        <w:t xml:space="preserve"> et la viande de mouton est vendue à 6 000 FCFA/kg</w:t>
      </w:r>
      <w:r w:rsidRPr="00D42B1B">
        <w:t>. Les prix de la viande aurai</w:t>
      </w:r>
      <w:r w:rsidR="00FC338E" w:rsidRPr="00D42B1B">
        <w:t>en</w:t>
      </w:r>
      <w:r w:rsidRPr="00D42B1B">
        <w:t xml:space="preserve">t augmenté en proportion de ceux de l’aliment de bétail. De plus, selon certains éleveurs et bouchers, le cheptel sénégalais est insuffisant pour couvrir les besoins de consommation des ménages, ce qui est </w:t>
      </w:r>
      <w:r w:rsidR="00FC338E" w:rsidRPr="00D42B1B">
        <w:t xml:space="preserve">aussi </w:t>
      </w:r>
      <w:r w:rsidRPr="00D42B1B">
        <w:t>à l’origine de la cherté de la viande.</w:t>
      </w:r>
      <w:r w:rsidR="00FC338E" w:rsidRPr="00D42B1B">
        <w:t xml:space="preserve"> Un</w:t>
      </w:r>
      <w:r w:rsidRPr="00D42B1B">
        <w:t xml:space="preserve"> bœuf vendu à 300 000 </w:t>
      </w:r>
      <w:r w:rsidR="00FC338E" w:rsidRPr="00D42B1B">
        <w:t xml:space="preserve">FCFA </w:t>
      </w:r>
      <w:r w:rsidRPr="00D42B1B">
        <w:t>il y a quelques années coûte aujourd’hui 450</w:t>
      </w:r>
      <w:r w:rsidR="00FC338E" w:rsidRPr="00D42B1B">
        <w:t> </w:t>
      </w:r>
      <w:r w:rsidRPr="00D42B1B">
        <w:t>000</w:t>
      </w:r>
      <w:r w:rsidR="00FC338E" w:rsidRPr="00D42B1B">
        <w:t xml:space="preserve"> FCFA</w:t>
      </w:r>
      <w:r w:rsidRPr="00D42B1B">
        <w:t>.</w:t>
      </w:r>
      <w:r w:rsidR="00FC338E" w:rsidRPr="00D42B1B">
        <w:t xml:space="preserve"> </w:t>
      </w:r>
      <w:r w:rsidRPr="00D42B1B">
        <w:t xml:space="preserve">L’insécurité au Mali est </w:t>
      </w:r>
      <w:r w:rsidR="00FC338E" w:rsidRPr="00D42B1B">
        <w:t xml:space="preserve">également </w:t>
      </w:r>
      <w:r w:rsidRPr="00D42B1B">
        <w:t xml:space="preserve">souvent considérée comme l’une des causes de la pénurie et de la cherté de la viande. Le marché sénégalais de la viande </w:t>
      </w:r>
      <w:r w:rsidR="00FC338E" w:rsidRPr="00D42B1B">
        <w:t>r</w:t>
      </w:r>
      <w:r w:rsidRPr="00D42B1B">
        <w:t>est</w:t>
      </w:r>
      <w:r w:rsidR="00FC338E" w:rsidRPr="00D42B1B">
        <w:t>e</w:t>
      </w:r>
      <w:r w:rsidRPr="00D42B1B">
        <w:t xml:space="preserve"> fortement dépendant de l’élevage de certains pays voisins, dont le Mali et le Niger. L’insécurité à laquelle sont confrontés ces pays impacte l’acheminement du bétail vers le Sénégal</w:t>
      </w:r>
      <w:r w:rsidR="00FC338E" w:rsidRPr="00D42B1B">
        <w:t xml:space="preserve">. </w:t>
      </w:r>
      <w:r w:rsidR="006F1973" w:rsidRPr="00D42B1B">
        <w:t xml:space="preserve">Pour le président du Conseil national de la maison des éleveurs, M. Ismaïla Sow, les pouvoirs publics ont laissé d’autres acteurs empiéter sur les terres destinées à l’élevage et aux pâturages. Les pouvoirs publics sénégalais recourent selon lui à la vulgarisation des cultures fourragères, estimant que cette solution préconisée contre le manque de pâturages nécessite non seulement des terres cultivables, mais aussi beaucoup de moyens. L’entretien des fermes nécessite de l’eau, de l’électricité, du matériel, etc. Tout cela a un coût, qui va se répercuter sur le prix de vente du bétail et celui de la viande. Le prix de la paille d’arachide, par exemple, coûte très cher cette année. </w:t>
      </w:r>
      <w:r w:rsidR="00FC338E" w:rsidRPr="00D42B1B">
        <w:t>Pour la plupart des acteurs de la filière, l</w:t>
      </w:r>
      <w:r w:rsidRPr="00D42B1B">
        <w:t>es prix de la viande vont continuer à augmenter.</w:t>
      </w:r>
    </w:p>
    <w:p w14:paraId="701063F7" w14:textId="4B4A0A3E" w:rsidR="00A81AA1" w:rsidRDefault="00A81AA1" w:rsidP="00A81AA1">
      <w:pPr>
        <w:spacing w:after="0"/>
      </w:pPr>
    </w:p>
    <w:p w14:paraId="7277BC78" w14:textId="76864086" w:rsidR="00AD0691" w:rsidRDefault="00AD0691" w:rsidP="00A81AA1">
      <w:pPr>
        <w:spacing w:after="0"/>
      </w:pPr>
    </w:p>
    <w:p w14:paraId="17665B7A" w14:textId="77777777" w:rsidR="00AD0691" w:rsidRPr="00D42B1B" w:rsidRDefault="00AD0691" w:rsidP="00A81AA1">
      <w:pPr>
        <w:spacing w:after="0"/>
      </w:pPr>
    </w:p>
    <w:p w14:paraId="2848864E" w14:textId="39B684BA" w:rsidR="00432AA5" w:rsidRPr="00D42B1B" w:rsidRDefault="00904BFC" w:rsidP="00904BFC">
      <w:pPr>
        <w:spacing w:after="0" w:line="240" w:lineRule="auto"/>
        <w:outlineLvl w:val="1"/>
        <w:rPr>
          <w:rFonts w:eastAsia="Times New Roman" w:cs="Arial"/>
          <w:b/>
          <w:bCs/>
          <w:color w:val="444444"/>
          <w:szCs w:val="20"/>
          <w:lang w:eastAsia="fr-FR"/>
        </w:rPr>
      </w:pPr>
      <w:bookmarkStart w:id="134" w:name="_Toc233878715"/>
      <w:r w:rsidRPr="00D42B1B">
        <w:rPr>
          <w:b/>
          <w:bCs/>
        </w:rPr>
        <w:lastRenderedPageBreak/>
        <w:t xml:space="preserve">Coton - </w:t>
      </w:r>
      <w:r w:rsidR="008B4506" w:rsidRPr="00D42B1B">
        <w:rPr>
          <w:b/>
          <w:bCs/>
        </w:rPr>
        <w:t xml:space="preserve">Objectif de 40% de </w:t>
      </w:r>
      <w:r w:rsidR="00432AA5" w:rsidRPr="00D42B1B">
        <w:rPr>
          <w:b/>
          <w:bCs/>
        </w:rPr>
        <w:t xml:space="preserve">croissance de </w:t>
      </w:r>
      <w:r w:rsidR="008B4506" w:rsidRPr="00D42B1B">
        <w:rPr>
          <w:b/>
          <w:bCs/>
        </w:rPr>
        <w:t xml:space="preserve">la </w:t>
      </w:r>
      <w:r w:rsidR="00432AA5" w:rsidRPr="00D42B1B">
        <w:rPr>
          <w:b/>
          <w:bCs/>
        </w:rPr>
        <w:t>production en 2026/2027</w:t>
      </w:r>
      <w:r w:rsidRPr="00D42B1B">
        <w:rPr>
          <w:b/>
          <w:bCs/>
        </w:rPr>
        <w:t>.</w:t>
      </w:r>
      <w:bookmarkEnd w:id="134"/>
    </w:p>
    <w:p w14:paraId="41325ED1" w14:textId="3D77E778" w:rsidR="00432AA5" w:rsidRPr="00D42B1B" w:rsidRDefault="00432AA5" w:rsidP="00432AA5">
      <w:pPr>
        <w:spacing w:after="0"/>
      </w:pPr>
      <w:r w:rsidRPr="00D42B1B">
        <w:t>Petit poucet du bassin cotonnier ouest africain, le Sénégal peine encore à s’imposer dans la production de la fibre. Engagée depuis quelques années dans une dynamique de relance, la filière bénéficie du soutien du gouvernement qui entend consolider cette orientation en 2026/2027.</w:t>
      </w:r>
      <w:r w:rsidR="008B4506" w:rsidRPr="00D42B1B">
        <w:t xml:space="preserve"> </w:t>
      </w:r>
      <w:r w:rsidRPr="00D42B1B">
        <w:t>Le Sénégal veut</w:t>
      </w:r>
      <w:r w:rsidR="008B4506" w:rsidRPr="00D42B1B">
        <w:t xml:space="preserve"> ainsi</w:t>
      </w:r>
      <w:r w:rsidRPr="00D42B1B">
        <w:t xml:space="preserve"> porter sa production de coton graine à 35 000 tonnes en 2026/2027. C’est ce qui ressort de la réunion interministérielle sur le déroulement de la nouvelle campagne de production agricole qui s’est tenue le 30 juin.</w:t>
      </w:r>
      <w:r w:rsidR="008B4506" w:rsidRPr="00D42B1B">
        <w:t xml:space="preserve"> </w:t>
      </w:r>
      <w:r w:rsidRPr="00D42B1B">
        <w:t>Cet objectif, s’il se réalise, signerait une progression de 40% par rapport à la campagne précédente. Selon les dernières estimations de l’interprofession rapportées par le Programme régional de production intégrée du coton en Afrique (PR PICA) en janvier dernier, la récolte de coton graine au Sénégal en 2025/2026 a été évaluée à 25 643 tonnes.</w:t>
      </w:r>
      <w:r w:rsidR="008B4506" w:rsidRPr="00D42B1B">
        <w:t xml:space="preserve"> </w:t>
      </w:r>
      <w:r w:rsidRPr="00D42B1B">
        <w:t xml:space="preserve">Dans le cadre de cette ambition, le gouvernement a décidé de mobiliser un budget de 3,5 </w:t>
      </w:r>
      <w:r w:rsidR="008B4506" w:rsidRPr="00D42B1B">
        <w:t xml:space="preserve">Md FCFA </w:t>
      </w:r>
      <w:r w:rsidRPr="00D42B1B">
        <w:t xml:space="preserve">en collaboration avec la Société de </w:t>
      </w:r>
      <w:r w:rsidR="008B4506" w:rsidRPr="00D42B1B">
        <w:t>d</w:t>
      </w:r>
      <w:r w:rsidRPr="00D42B1B">
        <w:t xml:space="preserve">éveloppement et des </w:t>
      </w:r>
      <w:r w:rsidR="008B4506" w:rsidRPr="00D42B1B">
        <w:t>f</w:t>
      </w:r>
      <w:r w:rsidRPr="00D42B1B">
        <w:t xml:space="preserve">ibres </w:t>
      </w:r>
      <w:r w:rsidR="008B4506" w:rsidRPr="00D42B1B">
        <w:t>t</w:t>
      </w:r>
      <w:r w:rsidRPr="00D42B1B">
        <w:t>extiles (SODEFITEX) et les banques locales pour accompagner la filière. Il est prévu que cette enveloppe finance la subvention des intrants et le soutien des prix au producteur.</w:t>
      </w:r>
      <w:r w:rsidR="008B4506" w:rsidRPr="00D42B1B">
        <w:t xml:space="preserve"> </w:t>
      </w:r>
      <w:r w:rsidRPr="00D42B1B">
        <w:t>Les autorités prévoient également un renforcement de la mécanisation et la modernisation des équipements agricoles qui seront mis à la disposition des agriculteurs pour la réalisation des différentes activités allant de la préparation des terres au traitement phytosanitaire.</w:t>
      </w:r>
      <w:r w:rsidR="008B4506" w:rsidRPr="00D42B1B">
        <w:t xml:space="preserve"> </w:t>
      </w:r>
      <w:r w:rsidRPr="00D42B1B">
        <w:t>Au Sénégal, la production cotonnière évolue en dents de scie depuis plusieurs années. Si, le nouvel objectif fixé pour 2026/2027</w:t>
      </w:r>
      <w:r w:rsidR="008B4506" w:rsidRPr="00D42B1B">
        <w:t xml:space="preserve"> doit permettre d’</w:t>
      </w:r>
      <w:r w:rsidRPr="00D42B1B">
        <w:t xml:space="preserve">enchaîner une troisième année de hausse consécutive de </w:t>
      </w:r>
      <w:r w:rsidR="008B4506" w:rsidRPr="00D42B1B">
        <w:t>l</w:t>
      </w:r>
      <w:r w:rsidRPr="00D42B1B">
        <w:t>a production cotonnière, il reste encore loin du record de 50</w:t>
      </w:r>
      <w:r w:rsidR="008B4506" w:rsidRPr="00D42B1B">
        <w:t> </w:t>
      </w:r>
      <w:r w:rsidRPr="00D42B1B">
        <w:t>000 tonnes réalisé en 1991.</w:t>
      </w:r>
      <w:r w:rsidR="008B4506" w:rsidRPr="00D42B1B">
        <w:t xml:space="preserve"> </w:t>
      </w:r>
      <w:r w:rsidRPr="00D42B1B">
        <w:t xml:space="preserve">Cette instabilité de l’offre observée dans le secteur peut s’expliquer par la persistance de plusieurs défis structurels. Parmi les principaux obstacles figure la variabilité de la pluviométrie qui affecte le cycle de culture de la plante. </w:t>
      </w:r>
      <w:r w:rsidR="008B4506" w:rsidRPr="00D42B1B">
        <w:t>A</w:t>
      </w:r>
      <w:r w:rsidRPr="00D42B1B">
        <w:t xml:space="preserve"> cela s’ajoute la forte concurrence de l’arachide, plus rémunératrice certaines années, qui incite les producteurs à réorienter leurs investissements au détriment du coton.</w:t>
      </w:r>
      <w:r w:rsidR="008B4506" w:rsidRPr="00D42B1B">
        <w:t xml:space="preserve"> </w:t>
      </w:r>
      <w:r w:rsidRPr="00D42B1B">
        <w:t xml:space="preserve">L’enjeu de maîtriser ces facteurs est d’autant plus stratégique que le gouvernement s’est fixé pour objectif de faire passer la récolte de coton graine au Sénégal à 100 000 tonnes par an d’ici 2030. S’exprimant en mai dernier sur le sujet, </w:t>
      </w:r>
      <w:r w:rsidR="008B4506" w:rsidRPr="00D42B1B">
        <w:t xml:space="preserve">M. </w:t>
      </w:r>
      <w:r w:rsidRPr="00D42B1B">
        <w:t xml:space="preserve">Papa </w:t>
      </w:r>
      <w:proofErr w:type="spellStart"/>
      <w:r w:rsidRPr="00D42B1B">
        <w:t>Fata</w:t>
      </w:r>
      <w:proofErr w:type="spellEnd"/>
      <w:r w:rsidRPr="00D42B1B">
        <w:t xml:space="preserve"> Ndiaye, directeur général de la SODEFITEX, estimait que des efforts supplémentaires doivent être effectués dans l’amélioration des rendements de culture</w:t>
      </w:r>
      <w:r w:rsidR="008B4506" w:rsidRPr="00D42B1B">
        <w:t xml:space="preserve">. Les rendements sénégalais (et africain) tournent </w:t>
      </w:r>
      <w:r w:rsidRPr="00D42B1B">
        <w:t>autour d’une tonne de coton par hectare, contre 4 à 5 tonnes</w:t>
      </w:r>
      <w:r w:rsidR="008B4506" w:rsidRPr="00D42B1B">
        <w:t>/ha</w:t>
      </w:r>
      <w:r w:rsidRPr="00D42B1B">
        <w:t xml:space="preserve"> au Brésil et plus de 10 tonnes</w:t>
      </w:r>
      <w:r w:rsidR="008B4506" w:rsidRPr="00D42B1B">
        <w:t>/ha</w:t>
      </w:r>
      <w:r w:rsidRPr="00D42B1B">
        <w:t xml:space="preserve"> en.</w:t>
      </w:r>
      <w:r w:rsidR="008B4506" w:rsidRPr="00D42B1B">
        <w:t xml:space="preserve"> </w:t>
      </w:r>
      <w:r w:rsidRPr="00D42B1B">
        <w:t>Avec un rendement moyen estimé à 1,25 tonne</w:t>
      </w:r>
      <w:r w:rsidR="008B4506" w:rsidRPr="00D42B1B">
        <w:t xml:space="preserve">/ha </w:t>
      </w:r>
      <w:r w:rsidRPr="00D42B1B">
        <w:t>en 2025/2026 d’après le PR PICA, le Sénégal affiche la meilleure productivité cotonnière au sein de l’UEMOA, après le Bénin (1,26 tonne).</w:t>
      </w:r>
    </w:p>
    <w:p w14:paraId="3BF7ABC1" w14:textId="77777777" w:rsidR="008B4506" w:rsidRPr="00D42B1B" w:rsidRDefault="008B4506" w:rsidP="00432AA5">
      <w:pPr>
        <w:spacing w:after="0"/>
      </w:pPr>
    </w:p>
    <w:p w14:paraId="75C40985" w14:textId="1C573AC8" w:rsidR="00A81AA1" w:rsidRPr="00D42B1B" w:rsidRDefault="00A81AA1" w:rsidP="00EF4D6E">
      <w:pPr>
        <w:spacing w:after="0" w:line="240" w:lineRule="auto"/>
        <w:outlineLvl w:val="1"/>
        <w:rPr>
          <w:rFonts w:eastAsia="Times New Roman" w:cs="Arial"/>
          <w:b/>
          <w:bCs/>
          <w:color w:val="444444"/>
          <w:szCs w:val="20"/>
          <w:lang w:eastAsia="fr-FR"/>
        </w:rPr>
      </w:pPr>
      <w:bookmarkStart w:id="135" w:name="_Toc233878716"/>
      <w:bookmarkStart w:id="136" w:name="_Hlk233876255"/>
      <w:r w:rsidRPr="00D42B1B">
        <w:rPr>
          <w:b/>
          <w:bCs/>
        </w:rPr>
        <w:t xml:space="preserve">Coton - </w:t>
      </w:r>
      <w:r w:rsidR="00EF4D6E" w:rsidRPr="00D42B1B">
        <w:rPr>
          <w:b/>
          <w:bCs/>
        </w:rPr>
        <w:t>U</w:t>
      </w:r>
      <w:r w:rsidRPr="00D42B1B">
        <w:rPr>
          <w:b/>
          <w:bCs/>
        </w:rPr>
        <w:t xml:space="preserve">sine textile de </w:t>
      </w:r>
      <w:r w:rsidR="00605EFA" w:rsidRPr="00D42B1B">
        <w:rPr>
          <w:b/>
          <w:bCs/>
        </w:rPr>
        <w:t>6</w:t>
      </w:r>
      <w:r w:rsidRPr="00D42B1B">
        <w:rPr>
          <w:b/>
          <w:bCs/>
        </w:rPr>
        <w:t xml:space="preserve"> </w:t>
      </w:r>
      <w:r w:rsidR="00EF4D6E" w:rsidRPr="00D42B1B">
        <w:rPr>
          <w:b/>
          <w:bCs/>
        </w:rPr>
        <w:t>M</w:t>
      </w:r>
      <w:r w:rsidR="00605EFA" w:rsidRPr="00D42B1B">
        <w:rPr>
          <w:b/>
          <w:bCs/>
        </w:rPr>
        <w:t>d</w:t>
      </w:r>
      <w:r w:rsidR="00EF4D6E" w:rsidRPr="00D42B1B">
        <w:rPr>
          <w:b/>
          <w:bCs/>
        </w:rPr>
        <w:t xml:space="preserve"> </w:t>
      </w:r>
      <w:r w:rsidR="00605EFA" w:rsidRPr="00D42B1B">
        <w:rPr>
          <w:b/>
          <w:bCs/>
        </w:rPr>
        <w:t>FCFA</w:t>
      </w:r>
      <w:r w:rsidR="00EF4D6E" w:rsidRPr="00D42B1B">
        <w:rPr>
          <w:b/>
          <w:bCs/>
        </w:rPr>
        <w:t>.</w:t>
      </w:r>
      <w:bookmarkEnd w:id="135"/>
    </w:p>
    <w:bookmarkEnd w:id="136"/>
    <w:p w14:paraId="53FEABBA" w14:textId="25956B72" w:rsidR="00FC338E" w:rsidRPr="00D42B1B" w:rsidRDefault="00605EFA" w:rsidP="00977D40">
      <w:pPr>
        <w:spacing w:after="0"/>
      </w:pPr>
      <w:r w:rsidRPr="00D42B1B">
        <w:t>L</w:t>
      </w:r>
      <w:r w:rsidR="00A81AA1" w:rsidRPr="00D42B1B">
        <w:t xml:space="preserve">e </w:t>
      </w:r>
      <w:r w:rsidR="00230BA5" w:rsidRPr="00D42B1B">
        <w:t>P</w:t>
      </w:r>
      <w:r w:rsidR="00A81AA1" w:rsidRPr="00D42B1B">
        <w:t xml:space="preserve">résident </w:t>
      </w:r>
      <w:r w:rsidRPr="00D42B1B">
        <w:t xml:space="preserve">de la République, M. </w:t>
      </w:r>
      <w:r w:rsidR="00A81AA1" w:rsidRPr="00D42B1B">
        <w:t xml:space="preserve">Bassirou </w:t>
      </w:r>
      <w:proofErr w:type="spellStart"/>
      <w:r w:rsidR="00A81AA1" w:rsidRPr="00D42B1B">
        <w:t>Diomaye</w:t>
      </w:r>
      <w:proofErr w:type="spellEnd"/>
      <w:r w:rsidR="00A81AA1" w:rsidRPr="00D42B1B">
        <w:t xml:space="preserve"> Faye</w:t>
      </w:r>
      <w:r w:rsidRPr="00D42B1B">
        <w:t>,</w:t>
      </w:r>
      <w:r w:rsidR="00A81AA1" w:rsidRPr="00D42B1B">
        <w:t xml:space="preserve"> a inauguré le 20 juin, une usine textile dédiée à la confection de vêtements pour hommes et femmes, </w:t>
      </w:r>
      <w:r w:rsidR="00324E99" w:rsidRPr="00D42B1B">
        <w:t xml:space="preserve">installée au cœur de la Zone économique spéciale (ZES), notamment dans la Plateforme industrielle intégrée, </w:t>
      </w:r>
      <w:r w:rsidR="00A81AA1" w:rsidRPr="00D42B1B">
        <w:t>de Diamniadio, près de Dakar. L’investissement</w:t>
      </w:r>
      <w:r w:rsidRPr="00D42B1B">
        <w:t>,</w:t>
      </w:r>
      <w:r w:rsidR="00A81AA1" w:rsidRPr="00D42B1B">
        <w:t xml:space="preserve"> estimé à 6 </w:t>
      </w:r>
      <w:r w:rsidRPr="00D42B1B">
        <w:t>Md F</w:t>
      </w:r>
      <w:r w:rsidR="00A81AA1" w:rsidRPr="00D42B1B">
        <w:t>CFA</w:t>
      </w:r>
      <w:r w:rsidRPr="00D42B1B">
        <w:t xml:space="preserve">, </w:t>
      </w:r>
      <w:r w:rsidR="00A81AA1" w:rsidRPr="00D42B1B">
        <w:t>est porté par le groupe d’investissement turc AVCI Global Industrie.</w:t>
      </w:r>
      <w:r w:rsidRPr="00D42B1B">
        <w:t xml:space="preserve"> L</w:t>
      </w:r>
      <w:r w:rsidR="00A81AA1" w:rsidRPr="00D42B1B">
        <w:t xml:space="preserve">’unité industrielle </w:t>
      </w:r>
      <w:r w:rsidR="00324E99" w:rsidRPr="00D42B1B">
        <w:t xml:space="preserve">de 4 680 m² </w:t>
      </w:r>
      <w:r w:rsidR="00A81AA1" w:rsidRPr="00D42B1B">
        <w:t>dispose d’une capacité de production d’environ 1 200 pièces par jour et devrait générer près de 200 emplois.</w:t>
      </w:r>
      <w:r w:rsidRPr="00D42B1B">
        <w:t xml:space="preserve"> </w:t>
      </w:r>
      <w:r w:rsidR="00A81AA1" w:rsidRPr="00D42B1B">
        <w:t>La mise en service de l’usine intervient après un accord signé en février 2025 entre le ministère de l’</w:t>
      </w:r>
      <w:r w:rsidR="002431BA" w:rsidRPr="00D42B1B">
        <w:t>i</w:t>
      </w:r>
      <w:r w:rsidR="00A81AA1" w:rsidRPr="00D42B1B">
        <w:t xml:space="preserve">ndustrie et du </w:t>
      </w:r>
      <w:r w:rsidR="002431BA" w:rsidRPr="00D42B1B">
        <w:t>c</w:t>
      </w:r>
      <w:r w:rsidR="00A81AA1" w:rsidRPr="00D42B1B">
        <w:t xml:space="preserve">ommerce, l’Agence d’aménagement et de promotion des sites industriels (APROSI) et AVCI Global Industrie. Selon les autorités ce partenariat tripartite vise le développement d’unités industrielles dédiées à la transformation du coton brut sénégalais en produits textiles à plus forte valeur ajoutée, tout en renforçant la compétitivité du secteur </w:t>
      </w:r>
      <w:r w:rsidR="00A81AA1" w:rsidRPr="00D42B1B">
        <w:lastRenderedPageBreak/>
        <w:t>manufacturier local.</w:t>
      </w:r>
      <w:r w:rsidRPr="00D42B1B">
        <w:t xml:space="preserve"> </w:t>
      </w:r>
      <w:r w:rsidR="002431BA" w:rsidRPr="00D42B1B">
        <w:t>Au-delà du déploiement technique et logistique des nouvelles infrastructures, cette inauguration peut permettre</w:t>
      </w:r>
      <w:r w:rsidR="00E86CD5" w:rsidRPr="00D42B1B">
        <w:t xml:space="preserve"> selon les autorités</w:t>
      </w:r>
      <w:r w:rsidR="002431BA" w:rsidRPr="00D42B1B">
        <w:t xml:space="preserve"> de renouer avec les heures de gloire de la Société textile du Sénégal (SOTIBA), et des anciens fleurons industriels des années 1970 et 1980, qui ont progressivement disparu sous l’effet conjugué des programmes d’ajustement structurel et de la concurrence internationale. </w:t>
      </w:r>
      <w:r w:rsidR="00E86CD5" w:rsidRPr="00D42B1B">
        <w:t xml:space="preserve">Pour réussir ce pari, l’exécutif mise sur une intégration complète de la chaîne de valeur. Le défi consiste notamment à renforcer les liens entre la production agricole en amont et l’industrie manufacturière en aval. Le président de la République a ainsi mis en avant le potentiel de la SODEFITEX à Vélingara, où la production cotonnière connaît une progression soutenue grâce aux investissements consentis ces dernières années. L’objectif est de bâtir une chaîne de valeur entièrement sénégalaise, allant du coton brut à la fibre, de la fibre au fil, du fil au tissu, puis du tissu au vêtement fini, avec la perspective de conquérir les marchés africains dans le cadre de la Zone de libre-échange continentale africaine (ZLECAF). Face aux critiques récurrentes présentant les ZES comme de simples espaces bénéficiant d’avantages fiscaux sans réelle intégration dans l’économie nationale, le chef de l’Etat a tenu à préciser que dans la vision du gouvernement, les ZES ne sont pas des enclaves où des entreprises étrangères viendraient uniquement profiter d’avantages fiscaux. Ce sont des espaces de transformation structurelle, de montée en compétences pour la jeunesse et d’ancrage industriel durable dans le territoire. </w:t>
      </w:r>
      <w:r w:rsidR="00A81AA1" w:rsidRPr="00D42B1B">
        <w:t>Ai</w:t>
      </w:r>
      <w:r w:rsidR="002431BA" w:rsidRPr="00D42B1B">
        <w:t>nsi, c</w:t>
      </w:r>
      <w:r w:rsidR="00A81AA1" w:rsidRPr="00D42B1B">
        <w:t xml:space="preserve">e nouvel investissement s’inscrit </w:t>
      </w:r>
      <w:r w:rsidR="00E86CD5" w:rsidRPr="00D42B1B">
        <w:t xml:space="preserve">également </w:t>
      </w:r>
      <w:r w:rsidR="00A81AA1" w:rsidRPr="00D42B1B">
        <w:t>dans la logique de valorisation de la filière coton à travers sa transformation locale. Il convient de noter que la quasi-totalité de la production de fibre de coton est encore exportée à l’état brut, notamment en raison d’un manque d’unités de transformation.</w:t>
      </w:r>
      <w:r w:rsidRPr="00D42B1B">
        <w:t xml:space="preserve"> </w:t>
      </w:r>
      <w:r w:rsidR="00A81AA1" w:rsidRPr="00D42B1B">
        <w:t>Dans son dernier rapport sur la filière coton en Afrique de l’Ouest publié en avril dernier, le Département américain de l’</w:t>
      </w:r>
      <w:r w:rsidRPr="00D42B1B">
        <w:t>a</w:t>
      </w:r>
      <w:r w:rsidR="00A81AA1" w:rsidRPr="00D42B1B">
        <w:t>griculture (USDA) estime que le pays devrait produire près de 12 500 tonnes en 2026/2027, dont seulement 3,6% seront transformées localement.</w:t>
      </w:r>
      <w:r w:rsidR="00324E99" w:rsidRPr="00D42B1B">
        <w:t xml:space="preserve"> </w:t>
      </w:r>
      <w:r w:rsidR="00A81AA1" w:rsidRPr="00D42B1B">
        <w:t>Par ailleurs la construction de l’usine d’AVCI Global s’aligne sur les ambitions</w:t>
      </w:r>
      <w:r w:rsidR="00324E99" w:rsidRPr="00D42B1B">
        <w:t xml:space="preserve"> du gouvernement</w:t>
      </w:r>
      <w:r w:rsidR="00A81AA1" w:rsidRPr="00D42B1B">
        <w:t xml:space="preserve">, qui souhaite réduire la dépendance aux importations de textiles finis. Les données </w:t>
      </w:r>
      <w:r w:rsidR="00324E99" w:rsidRPr="00D42B1B">
        <w:t xml:space="preserve">de </w:t>
      </w:r>
      <w:r w:rsidR="00A81AA1" w:rsidRPr="00D42B1B">
        <w:t xml:space="preserve">l’Agence nationale de la statistique et de la démographie (ANSD) montrent que le Sénégal a importé pour près de 19,45 </w:t>
      </w:r>
      <w:r w:rsidR="00324E99" w:rsidRPr="00D42B1B">
        <w:t>Md F</w:t>
      </w:r>
      <w:r w:rsidR="00A81AA1" w:rsidRPr="00D42B1B">
        <w:t>CFA de vêtements et accessoires de vêtements en 2024.</w:t>
      </w:r>
      <w:r w:rsidR="00324E99" w:rsidRPr="00D42B1B">
        <w:t xml:space="preserve"> </w:t>
      </w:r>
      <w:r w:rsidR="00977D40" w:rsidRPr="00D42B1B">
        <w:t xml:space="preserve">Reste désormais à voir si ce type d’investissement pourra s’inscrire dans la durée et amorcer la structuration d’une véritable chaîne de valeur textile intégrée au niveau national et régional. Pour assurer la viabilité économique de cette industrie et la protéger contre les fluctuations du marché international, l’Etat sénégalais entend mobiliser le levier de la commande publique. L’ambition est de réduire progressivement les importations d’uniformes et de confier la confection des tenues des forces de défense et de sécurité ainsi que celles de certains agents de l’administration publique à ces nouvelles unités de production locales. Un protocole interministériel associant le ministère des forces armées et le ministère de l’industrie et du commerce doit permettre d’optimiser les retombées économiques, fiscales et sociales de cette politique. En combinant la relance de la culture cotonnière dans les régions de production, la formation professionnelle des jeunes aux métiers du textile et l’existence de débouchés institutionnels garantis, le Sénégal pose les bases d’un modèle économique davantage intégré. </w:t>
      </w:r>
      <w:r w:rsidR="00A81AA1" w:rsidRPr="00D42B1B">
        <w:t>Au-delà du marché intérieur, il est prévu que l’usine de Diamniadio desserve également les marchés des pays voisins d’Afrique de l’Ouest, où la demande en vêtements et produits textiles reste soutenue. Cette orientation régionale pourrait contribuer à renforcer les perspectives d’exportation de produits manufacturés et à accroître les recettes d’exportation générées par l’industrie textile du pays.</w:t>
      </w:r>
      <w:r w:rsidR="00324E99" w:rsidRPr="00D42B1B">
        <w:t xml:space="preserve"> </w:t>
      </w:r>
      <w:r w:rsidR="00A81AA1" w:rsidRPr="00D42B1B">
        <w:t xml:space="preserve">D’après l’ANSD, les exportations sénégalaises de vêtements et accessoires de vêtements ont généré 1,62 </w:t>
      </w:r>
      <w:r w:rsidR="00324E99" w:rsidRPr="00D42B1B">
        <w:t>Md F</w:t>
      </w:r>
      <w:r w:rsidR="00A81AA1" w:rsidRPr="00D42B1B">
        <w:t xml:space="preserve">CFA de recettes en 2024. Dans un </w:t>
      </w:r>
      <w:r w:rsidR="00A81AA1" w:rsidRPr="00D42B1B">
        <w:lastRenderedPageBreak/>
        <w:t xml:space="preserve">contexte marqué par les ambitions du programme national de transformation </w:t>
      </w:r>
      <w:r w:rsidR="00977D40" w:rsidRPr="00D42B1B">
        <w:t>« </w:t>
      </w:r>
      <w:r w:rsidR="00A81AA1" w:rsidRPr="00D42B1B">
        <w:t>Sénégal</w:t>
      </w:r>
      <w:r w:rsidR="00977D40" w:rsidRPr="00D42B1B">
        <w:t> </w:t>
      </w:r>
      <w:r w:rsidR="00A81AA1" w:rsidRPr="00D42B1B">
        <w:t>2050</w:t>
      </w:r>
      <w:r w:rsidR="00977D40" w:rsidRPr="00D42B1B">
        <w:t> »</w:t>
      </w:r>
      <w:r w:rsidR="00A81AA1" w:rsidRPr="00D42B1B">
        <w:t xml:space="preserve">, l’industrialisation du secteur textile apparaît comme un levier de diversification économique et de création d’emplois. </w:t>
      </w:r>
      <w:r w:rsidR="00230BA5" w:rsidRPr="00D42B1B">
        <w:t>Sur le plan social, l’usine cible prioritairement la main-d’œuvre jeune et féminine. Le Président de la République a insisté sur la nécessité de garantir des emplois durables et de qualité. La valorisation des salaires et le respect strict des normes de sécurité au travail ont été présentés comme des exigences incontournables de l’implantation du groupe.</w:t>
      </w:r>
    </w:p>
    <w:p w14:paraId="0FC51ACD" w14:textId="77777777" w:rsidR="00EF4D6E" w:rsidRPr="00D42B1B" w:rsidRDefault="00EF4D6E" w:rsidP="00EF4D6E">
      <w:pPr>
        <w:spacing w:after="0"/>
      </w:pPr>
    </w:p>
    <w:p w14:paraId="6A4C796B" w14:textId="77777777" w:rsidR="0008709B" w:rsidRPr="00D42B1B" w:rsidRDefault="0008709B" w:rsidP="0008709B">
      <w:pPr>
        <w:pStyle w:val="Titre2"/>
        <w:spacing w:before="0"/>
        <w:rPr>
          <w:rFonts w:eastAsiaTheme="minorHAnsi"/>
        </w:rPr>
      </w:pPr>
      <w:bookmarkStart w:id="137" w:name="_Toc233878717"/>
      <w:bookmarkStart w:id="138" w:name="_Hlk233577164"/>
      <w:bookmarkStart w:id="139" w:name="_Hlk233193739"/>
      <w:bookmarkStart w:id="140" w:name="_Hlk232364690"/>
      <w:r w:rsidRPr="00D42B1B">
        <w:t>Anacarde – Taxes à l’exportation maintenues.</w:t>
      </w:r>
      <w:bookmarkEnd w:id="137"/>
    </w:p>
    <w:bookmarkEnd w:id="138"/>
    <w:p w14:paraId="12DAE9C5" w14:textId="77777777" w:rsidR="0008709B" w:rsidRPr="00D42B1B" w:rsidRDefault="0008709B" w:rsidP="0008709B">
      <w:pPr>
        <w:spacing w:after="0"/>
      </w:pPr>
      <w:r w:rsidRPr="00D42B1B">
        <w:t xml:space="preserve">Le ministre de l’industrie et du commerce, M. Serigne </w:t>
      </w:r>
      <w:proofErr w:type="spellStart"/>
      <w:r w:rsidRPr="00D42B1B">
        <w:t>Guèye</w:t>
      </w:r>
      <w:proofErr w:type="spellEnd"/>
      <w:r w:rsidRPr="00D42B1B">
        <w:t xml:space="preserve"> Diop au cours d’une rencontre le 16 juin avec les acteurs de la filière à l’occasion de son déplacement en Casamance a indiqué que la contribution de 40 FCFA/kg exporté demeure en vigueur pour financer le secteur. Il a ajouté que la taxe additionnelle de 20 FCFA, destinée à la formation des producteurs, au financement de la filière et à la réalisation de projets structurants, sera maintenue temporairement jusqu’à l’année prochaine. Le ministre a rappelé que ce type de prélèvement existe dans plusieurs pays producteurs, citant notamment la Côte d’Ivoire où les montants perçus sont plus élevés afin de soutenir la transformation locale. Le ministre a relevé que les exportations d’anacarde représentent actuellement une valeur d’environ 92 Md FCFA, alors que seulement 3% de la production est transformée localement. L’objectif du gouvernement est de porter ce taux à 30 % au cours des cinq prochaines années, grâce à un accompagnement renforcé et à des mesures de soutien destinées aux industriels.</w:t>
      </w:r>
    </w:p>
    <w:p w14:paraId="11520BC9" w14:textId="77777777" w:rsidR="00904BFC" w:rsidRPr="00D42B1B" w:rsidRDefault="00904BFC" w:rsidP="00904BFC">
      <w:pPr>
        <w:spacing w:after="0"/>
      </w:pPr>
    </w:p>
    <w:p w14:paraId="6348C726" w14:textId="0E6E0D3F" w:rsidR="00904BFC" w:rsidRPr="00D42B1B" w:rsidRDefault="00904BFC" w:rsidP="009821A6">
      <w:pPr>
        <w:pStyle w:val="Titre2"/>
        <w:spacing w:before="0"/>
        <w:rPr>
          <w:rFonts w:eastAsiaTheme="minorHAnsi"/>
        </w:rPr>
      </w:pPr>
      <w:bookmarkStart w:id="141" w:name="_Toc233878718"/>
      <w:r w:rsidRPr="00D42B1B">
        <w:t xml:space="preserve">Riz </w:t>
      </w:r>
      <w:r w:rsidR="009821A6" w:rsidRPr="00D42B1B">
        <w:t>–</w:t>
      </w:r>
      <w:r w:rsidRPr="00D42B1B">
        <w:t xml:space="preserve"> L</w:t>
      </w:r>
      <w:r w:rsidR="009821A6" w:rsidRPr="00D42B1B">
        <w:t>es producteurs toujours en difficulté</w:t>
      </w:r>
      <w:r w:rsidRPr="00D42B1B">
        <w:t>.</w:t>
      </w:r>
      <w:bookmarkEnd w:id="141"/>
    </w:p>
    <w:p w14:paraId="7346F39E" w14:textId="73A36FA5" w:rsidR="0008709B" w:rsidRPr="00D42B1B" w:rsidRDefault="00904BFC" w:rsidP="00904BFC">
      <w:pPr>
        <w:spacing w:after="0"/>
      </w:pPr>
      <w:r w:rsidRPr="00D42B1B">
        <w:t xml:space="preserve">Les producteurs rizicoles de la vallée du fleuve Sénégal sont confrontés à une importante mévente de leur riz local et aux difficultés de financement de la transformation du paddy. Plus de 35 000 tonnes de riz blanc sont actuellement stockées dans les entrepôts, auxquelles s'ajoutent 37 000 tonnes de riz paddy encore détenues par les producteurs, alors que les récoltes en cours devraient générer près de 290 000 tonnes supplémentaires issues de quelque 49 000 ha emblavés. D'après les professionnels du secteur, cette paralysie s'explique par la surabondance de riz importé sur le marché et l'échec des mesures d'accompagnement de l'Etat, seules 1 213 tonnes ayant été enlevées dans le cadre du dispositif mis en place avec les importateurs. De plus, l'Etat n'aurait toujours pas versé les subventions promises aux importateurs pour faciliter l'achat du riz local. Les professionnels soulignent également le non-respect des promesses gouvernementales concernant les achats institutionnels de riz local par les administrations publiques (écoles, hôpitaux, armée, universités). Cette crise menace l'ensemble du tissu économique de la région. </w:t>
      </w:r>
      <w:r w:rsidR="009821A6" w:rsidRPr="00D42B1B">
        <w:t>L</w:t>
      </w:r>
      <w:r w:rsidRPr="00D42B1B">
        <w:t>es riziers</w:t>
      </w:r>
      <w:r w:rsidR="009821A6" w:rsidRPr="00D42B1B">
        <w:t xml:space="preserve"> demandent </w:t>
      </w:r>
      <w:r w:rsidRPr="00D42B1B">
        <w:t xml:space="preserve">à </w:t>
      </w:r>
      <w:r w:rsidR="009821A6" w:rsidRPr="00D42B1B">
        <w:t>l’Etat de</w:t>
      </w:r>
      <w:r w:rsidRPr="00D42B1B">
        <w:t xml:space="preserve"> transférer la subvention prévue pour les importateurs aux rizeries afin de débloquer la situation et demandent l'application effective des quotas d'achat public pour sauver la filière et préserver les emplois.</w:t>
      </w:r>
    </w:p>
    <w:p w14:paraId="5FFEF65D" w14:textId="77777777" w:rsidR="009821A6" w:rsidRPr="00D42B1B" w:rsidRDefault="009821A6" w:rsidP="00904BFC">
      <w:pPr>
        <w:spacing w:after="0"/>
      </w:pPr>
    </w:p>
    <w:p w14:paraId="24A4FBB6" w14:textId="2ECF1853" w:rsidR="009E396B" w:rsidRPr="00D42B1B" w:rsidRDefault="009E396B" w:rsidP="009518FA">
      <w:pPr>
        <w:pStyle w:val="Titre2"/>
        <w:spacing w:before="0"/>
        <w:rPr>
          <w:rFonts w:eastAsiaTheme="minorHAnsi"/>
        </w:rPr>
      </w:pPr>
      <w:bookmarkStart w:id="142" w:name="_Toc233878719"/>
      <w:bookmarkStart w:id="143" w:name="_Hlk233876599"/>
      <w:bookmarkEnd w:id="139"/>
      <w:r w:rsidRPr="00D42B1B">
        <w:t xml:space="preserve">Semence - </w:t>
      </w:r>
      <w:r w:rsidR="00FB01EB" w:rsidRPr="00D42B1B">
        <w:t>L’Institut sénégalais de recherches agricoles (ISRA) intensifie la production de semences.</w:t>
      </w:r>
      <w:bookmarkEnd w:id="142"/>
    </w:p>
    <w:bookmarkEnd w:id="140"/>
    <w:bookmarkEnd w:id="143"/>
    <w:p w14:paraId="19777EC5" w14:textId="79A66934" w:rsidR="009E396B" w:rsidRPr="00D42B1B" w:rsidRDefault="009E396B" w:rsidP="009E396B">
      <w:pPr>
        <w:spacing w:after="0"/>
      </w:pPr>
      <w:r w:rsidRPr="00D42B1B">
        <w:t>Dans le cadre du Projet d’appui à la compétitivité agricole et à l’élevage (P</w:t>
      </w:r>
      <w:r w:rsidR="00FB01EB" w:rsidRPr="00D42B1B">
        <w:t>CAE</w:t>
      </w:r>
      <w:r w:rsidRPr="00D42B1B">
        <w:t xml:space="preserve">), </w:t>
      </w:r>
      <w:r w:rsidR="00FB01EB" w:rsidRPr="00D42B1B">
        <w:t>l’</w:t>
      </w:r>
      <w:r w:rsidRPr="00D42B1B">
        <w:t>I</w:t>
      </w:r>
      <w:r w:rsidR="00FB01EB" w:rsidRPr="00D42B1B">
        <w:t>SRA</w:t>
      </w:r>
      <w:r w:rsidRPr="00D42B1B">
        <w:t xml:space="preserve"> déploie un important programme de production de semences </w:t>
      </w:r>
      <w:proofErr w:type="spellStart"/>
      <w:r w:rsidRPr="00D42B1B">
        <w:t>pré-bases</w:t>
      </w:r>
      <w:proofErr w:type="spellEnd"/>
      <w:r w:rsidRPr="00D42B1B">
        <w:t xml:space="preserve"> </w:t>
      </w:r>
      <w:r w:rsidR="00FB01EB" w:rsidRPr="00D42B1B">
        <w:t xml:space="preserve">de riz, de blé et de sorgho </w:t>
      </w:r>
      <w:r w:rsidRPr="00D42B1B">
        <w:t xml:space="preserve">dans plusieurs stations de recherche, notamment à </w:t>
      </w:r>
      <w:proofErr w:type="spellStart"/>
      <w:r w:rsidRPr="00D42B1B">
        <w:t>Ndiol</w:t>
      </w:r>
      <w:proofErr w:type="spellEnd"/>
      <w:r w:rsidRPr="00D42B1B">
        <w:t xml:space="preserve"> et </w:t>
      </w:r>
      <w:proofErr w:type="spellStart"/>
      <w:r w:rsidRPr="00D42B1B">
        <w:t>Fanaye</w:t>
      </w:r>
      <w:proofErr w:type="spellEnd"/>
      <w:r w:rsidRPr="00D42B1B">
        <w:t xml:space="preserve"> dans la vallée du fleuve Sénégal. Pour le Dr </w:t>
      </w:r>
      <w:proofErr w:type="spellStart"/>
      <w:r w:rsidRPr="00D42B1B">
        <w:t>Baboukar</w:t>
      </w:r>
      <w:proofErr w:type="spellEnd"/>
      <w:r w:rsidRPr="00D42B1B">
        <w:t xml:space="preserve"> Bamba, chercheur au Centre de recherche agricole de Saint-Louis </w:t>
      </w:r>
      <w:r w:rsidRPr="00D42B1B">
        <w:lastRenderedPageBreak/>
        <w:t xml:space="preserve">et point focal du programme semences à l’ISRA, </w:t>
      </w:r>
      <w:r w:rsidR="00FB01EB" w:rsidRPr="00D42B1B">
        <w:t>s</w:t>
      </w:r>
      <w:r w:rsidRPr="00D42B1B">
        <w:t xml:space="preserve">ans semences </w:t>
      </w:r>
      <w:proofErr w:type="spellStart"/>
      <w:r w:rsidRPr="00D42B1B">
        <w:t>pré-bases</w:t>
      </w:r>
      <w:proofErr w:type="spellEnd"/>
      <w:r w:rsidRPr="00D42B1B">
        <w:t xml:space="preserve">, il est impossible de développer les autres niveaux de production et d’approvisionner correctement les agriculteurs. Concernant le blé, deux hectares ont été emblavés en contre-saison froide dans les stations de </w:t>
      </w:r>
      <w:proofErr w:type="spellStart"/>
      <w:r w:rsidRPr="00D42B1B">
        <w:t>Ndiol</w:t>
      </w:r>
      <w:proofErr w:type="spellEnd"/>
      <w:r w:rsidRPr="00D42B1B">
        <w:t xml:space="preserve"> et </w:t>
      </w:r>
      <w:proofErr w:type="spellStart"/>
      <w:r w:rsidRPr="00D42B1B">
        <w:t>Fanaye</w:t>
      </w:r>
      <w:proofErr w:type="spellEnd"/>
      <w:r w:rsidRPr="00D42B1B">
        <w:t xml:space="preserve">. Les récoltes sont achevées et les équipes poursuivent actuellement les opérations post-récolte. Pour le riz, neuf hectares ont été consacrés à la multiplication de plusieurs nouvelles variétés, dont ISRI 2, ISRI 7, ISRI 12, ISRI 15 et ISRI 16. Le PCAE favorise également les partenariats entre recherche et enseignement supérieur. </w:t>
      </w:r>
      <w:proofErr w:type="gramStart"/>
      <w:r w:rsidR="00AD0691">
        <w:t>A  </w:t>
      </w:r>
      <w:r w:rsidRPr="00D42B1B">
        <w:t>l’Université</w:t>
      </w:r>
      <w:proofErr w:type="gramEnd"/>
      <w:r w:rsidRPr="00D42B1B">
        <w:t xml:space="preserve"> Gaston Berger (UGB) de Saint-Louis, des parcelles de production de semences servent à la fois à la recherche appliquée et à la formation pratique des étudiants. L’université participe actuellement à la production de semences de sorgho dans le cadre du projet. Une activité qui contribue également à la recherche sur des variétés adaptées aux besoins des producteurs et des éleveurs.</w:t>
      </w:r>
      <w:r w:rsidR="009518FA" w:rsidRPr="00D42B1B">
        <w:t xml:space="preserve"> </w:t>
      </w:r>
      <w:r w:rsidRPr="00D42B1B">
        <w:t xml:space="preserve">Selon </w:t>
      </w:r>
      <w:r w:rsidR="009518FA" w:rsidRPr="00D42B1B">
        <w:t xml:space="preserve">M. </w:t>
      </w:r>
      <w:proofErr w:type="spellStart"/>
      <w:r w:rsidRPr="00D42B1B">
        <w:t>Abbdourahmane</w:t>
      </w:r>
      <w:proofErr w:type="spellEnd"/>
      <w:r w:rsidRPr="00D42B1B">
        <w:t xml:space="preserve"> Tamba, responsable d’exploitation de la ferme pédagogique de l’UFR Agro, la variété de sorgho cultivée présente un fort potentiel</w:t>
      </w:r>
      <w:r w:rsidR="008059ED" w:rsidRPr="00D42B1B">
        <w:t xml:space="preserve"> </w:t>
      </w:r>
      <w:r w:rsidRPr="00D42B1B">
        <w:t>dont les résidus peuvent être valorisés dans l’alimentation du bétail</w:t>
      </w:r>
      <w:r w:rsidR="009518FA" w:rsidRPr="00D42B1B">
        <w:t xml:space="preserve"> et </w:t>
      </w:r>
      <w:r w:rsidRPr="00D42B1B">
        <w:t>contribu</w:t>
      </w:r>
      <w:r w:rsidR="009518FA" w:rsidRPr="00D42B1B">
        <w:t>er</w:t>
      </w:r>
      <w:r w:rsidRPr="00D42B1B">
        <w:t xml:space="preserve"> au développement des systèmes intégrés agriculture-élevage. En misant sur la recherche, l’innovation et la production de semences de qualité, le PCAE et l’ISRA entendent ainsi poser les bases d’une agriculture plus compétitive et plus résiliente au service de la souveraineté alimentaire du Sénégal.</w:t>
      </w:r>
    </w:p>
    <w:p w14:paraId="7F642B2D" w14:textId="3846A1D3" w:rsidR="009E396B" w:rsidRPr="00D42B1B" w:rsidRDefault="009E396B" w:rsidP="009E396B">
      <w:pPr>
        <w:spacing w:after="0"/>
      </w:pPr>
    </w:p>
    <w:p w14:paraId="32211783" w14:textId="5C1494A3" w:rsidR="009E396B" w:rsidRPr="00D42B1B" w:rsidRDefault="009E396B" w:rsidP="00C06A8E">
      <w:pPr>
        <w:pStyle w:val="Titre2"/>
        <w:spacing w:before="0"/>
        <w:rPr>
          <w:rFonts w:eastAsiaTheme="minorHAnsi"/>
        </w:rPr>
      </w:pPr>
      <w:bookmarkStart w:id="144" w:name="_Toc233878720"/>
      <w:bookmarkStart w:id="145" w:name="_Hlk232365909"/>
      <w:r w:rsidRPr="00D42B1B">
        <w:t xml:space="preserve">Semence - </w:t>
      </w:r>
      <w:r w:rsidR="009518FA" w:rsidRPr="00D42B1B">
        <w:t xml:space="preserve">Les Industries </w:t>
      </w:r>
      <w:r w:rsidR="00C06A8E" w:rsidRPr="00D42B1B">
        <w:t>c</w:t>
      </w:r>
      <w:r w:rsidR="009518FA" w:rsidRPr="00D42B1B">
        <w:t xml:space="preserve">himiques du Sénégal (ICS) </w:t>
      </w:r>
      <w:r w:rsidRPr="00D42B1B">
        <w:t xml:space="preserve">misent sur la qualité semencière pour </w:t>
      </w:r>
      <w:r w:rsidR="009518FA" w:rsidRPr="00D42B1B">
        <w:t xml:space="preserve">augmenter </w:t>
      </w:r>
      <w:r w:rsidRPr="00D42B1B">
        <w:t>les rendements</w:t>
      </w:r>
      <w:r w:rsidR="009518FA" w:rsidRPr="00D42B1B">
        <w:t>.</w:t>
      </w:r>
      <w:bookmarkEnd w:id="144"/>
    </w:p>
    <w:p w14:paraId="772F7EB3" w14:textId="716B820F" w:rsidR="009E396B" w:rsidRPr="00D42B1B" w:rsidRDefault="009E396B" w:rsidP="009E396B">
      <w:pPr>
        <w:spacing w:after="0"/>
      </w:pPr>
      <w:bookmarkStart w:id="146" w:name="_Hlk232364394"/>
      <w:bookmarkEnd w:id="145"/>
      <w:r w:rsidRPr="00D42B1B">
        <w:t>Les ICS</w:t>
      </w:r>
      <w:bookmarkEnd w:id="146"/>
      <w:r w:rsidRPr="00D42B1B">
        <w:t xml:space="preserve"> poursuivent leur engagement en faveur du développement agricole à travers le Programme ICS pour le soutien à l’agriculture (PICSA). </w:t>
      </w:r>
      <w:r w:rsidR="009518FA" w:rsidRPr="00D42B1B">
        <w:t>A</w:t>
      </w:r>
      <w:r w:rsidRPr="00D42B1B">
        <w:t xml:space="preserve"> l’approche de la campagne agricole 2026-2027, les ICS </w:t>
      </w:r>
      <w:r w:rsidR="009518FA" w:rsidRPr="00D42B1B">
        <w:t xml:space="preserve">misent </w:t>
      </w:r>
      <w:r w:rsidRPr="00D42B1B">
        <w:t>sur l’accompagnement des producteurs, notamment dans le domaine de la production de semences certifiées.</w:t>
      </w:r>
      <w:r w:rsidR="009518FA" w:rsidRPr="00D42B1B">
        <w:t xml:space="preserve"> Un projet</w:t>
      </w:r>
      <w:r w:rsidRPr="00D42B1B">
        <w:t xml:space="preserve"> de parcelles de production de semences certifiées de maïs</w:t>
      </w:r>
      <w:r w:rsidR="009518FA" w:rsidRPr="00D42B1B">
        <w:t xml:space="preserve"> </w:t>
      </w:r>
      <w:r w:rsidRPr="00D42B1B">
        <w:t>couvre 10 h</w:t>
      </w:r>
      <w:r w:rsidR="009518FA" w:rsidRPr="00D42B1B">
        <w:t xml:space="preserve">a avec un </w:t>
      </w:r>
      <w:r w:rsidRPr="00D42B1B">
        <w:t xml:space="preserve">objectif de production </w:t>
      </w:r>
      <w:r w:rsidR="009518FA" w:rsidRPr="00D42B1B">
        <w:t xml:space="preserve">de </w:t>
      </w:r>
      <w:r w:rsidRPr="00D42B1B">
        <w:t>15 tonnes de semences, soit un rendement de 1,5 tonne</w:t>
      </w:r>
      <w:r w:rsidR="009518FA" w:rsidRPr="00D42B1B">
        <w:t>/ha</w:t>
      </w:r>
      <w:r w:rsidRPr="00D42B1B">
        <w:t>, supérieur à la moyenne nationale.</w:t>
      </w:r>
      <w:r w:rsidR="009518FA" w:rsidRPr="00D42B1B">
        <w:t xml:space="preserve"> </w:t>
      </w:r>
      <w:r w:rsidRPr="00D42B1B">
        <w:t>Selon le Dr</w:t>
      </w:r>
      <w:r w:rsidR="00937C97">
        <w:t> </w:t>
      </w:r>
      <w:r w:rsidRPr="00D42B1B">
        <w:t xml:space="preserve">Mama </w:t>
      </w:r>
      <w:proofErr w:type="spellStart"/>
      <w:r w:rsidRPr="00D42B1B">
        <w:t>Sougoufara</w:t>
      </w:r>
      <w:proofErr w:type="spellEnd"/>
      <w:r w:rsidRPr="00D42B1B">
        <w:t xml:space="preserve"> des ICS, les résultats de la phase pilote du PICSA sont jugés encourageants. Plus de 60 producteurs répartis dans cinq zones agroécologiques ont été accompagnés sur près de 40 h</w:t>
      </w:r>
      <w:r w:rsidR="009518FA" w:rsidRPr="00D42B1B">
        <w:t>a</w:t>
      </w:r>
      <w:r w:rsidRPr="00D42B1B">
        <w:t>. Plus de 80% des bénéficiaires ont enregistré des rendements supérieurs aux moyennes nationales.</w:t>
      </w:r>
    </w:p>
    <w:p w14:paraId="0BAD7B50" w14:textId="77777777" w:rsidR="009E396B" w:rsidRPr="00D42B1B" w:rsidRDefault="009E396B" w:rsidP="009E396B">
      <w:pPr>
        <w:spacing w:after="0"/>
      </w:pPr>
    </w:p>
    <w:p w14:paraId="59C93A5E" w14:textId="3D6C331F" w:rsidR="009E396B" w:rsidRPr="00D42B1B" w:rsidRDefault="009E396B" w:rsidP="003965D3">
      <w:pPr>
        <w:pStyle w:val="Titre2"/>
        <w:spacing w:before="0"/>
        <w:rPr>
          <w:rFonts w:eastAsiaTheme="minorHAnsi"/>
        </w:rPr>
      </w:pPr>
      <w:bookmarkStart w:id="147" w:name="_Toc233878721"/>
      <w:r w:rsidRPr="00D42B1B">
        <w:t xml:space="preserve">Intrants - Le périlleux pari du </w:t>
      </w:r>
      <w:r w:rsidR="003965D3" w:rsidRPr="00D42B1B">
        <w:t xml:space="preserve">gouvernement sur les </w:t>
      </w:r>
      <w:r w:rsidRPr="00D42B1B">
        <w:t>engrais</w:t>
      </w:r>
      <w:r w:rsidR="003965D3" w:rsidRPr="00D42B1B">
        <w:t>.</w:t>
      </w:r>
      <w:bookmarkEnd w:id="147"/>
    </w:p>
    <w:p w14:paraId="390C194F" w14:textId="74D48F61" w:rsidR="009E396B" w:rsidRPr="00D42B1B" w:rsidRDefault="009E396B" w:rsidP="009E396B">
      <w:pPr>
        <w:spacing w:after="0"/>
      </w:pPr>
      <w:r w:rsidRPr="00D42B1B">
        <w:t xml:space="preserve">En annonçant vouloir reprendre </w:t>
      </w:r>
      <w:r w:rsidR="003965D3" w:rsidRPr="00D42B1B">
        <w:t>« </w:t>
      </w:r>
      <w:r w:rsidRPr="00D42B1B">
        <w:t>l'ensemble des actifs</w:t>
      </w:r>
      <w:r w:rsidR="003965D3" w:rsidRPr="00D42B1B">
        <w:t> »</w:t>
      </w:r>
      <w:r w:rsidRPr="00D42B1B">
        <w:t xml:space="preserve"> des ICS, tout en refusant de renouveler la convention qui liait l'entreprise </w:t>
      </w:r>
      <w:r w:rsidR="00C06A8E" w:rsidRPr="00D42B1B">
        <w:t xml:space="preserve">asiatique INDORAMA </w:t>
      </w:r>
      <w:r w:rsidRPr="00D42B1B">
        <w:t>à l'</w:t>
      </w:r>
      <w:r w:rsidR="00C06A8E" w:rsidRPr="00D42B1B">
        <w:t>E</w:t>
      </w:r>
      <w:r w:rsidRPr="00D42B1B">
        <w:t>tat, l</w:t>
      </w:r>
      <w:r w:rsidR="00C06A8E" w:rsidRPr="00D42B1B">
        <w:t>’ex-p</w:t>
      </w:r>
      <w:r w:rsidRPr="00D42B1B">
        <w:t xml:space="preserve">remier ministre, </w:t>
      </w:r>
      <w:r w:rsidR="00932797" w:rsidRPr="00D42B1B">
        <w:t xml:space="preserve">M. </w:t>
      </w:r>
      <w:r w:rsidRPr="00D42B1B">
        <w:t xml:space="preserve">Ousmane </w:t>
      </w:r>
      <w:proofErr w:type="spellStart"/>
      <w:r w:rsidRPr="00D42B1B">
        <w:t>Sonko</w:t>
      </w:r>
      <w:proofErr w:type="spellEnd"/>
      <w:r w:rsidRPr="00D42B1B">
        <w:t>, a</w:t>
      </w:r>
      <w:r w:rsidR="00932797" w:rsidRPr="00D42B1B">
        <w:t>vait</w:t>
      </w:r>
      <w:r w:rsidRPr="00D42B1B">
        <w:t xml:space="preserve"> ouvert un front aux multiples inconnus. Lors d'une conférence de presse </w:t>
      </w:r>
      <w:r w:rsidR="00932797" w:rsidRPr="00D42B1B">
        <w:t xml:space="preserve">en </w:t>
      </w:r>
      <w:r w:rsidRPr="00D42B1B">
        <w:t xml:space="preserve">mars, </w:t>
      </w:r>
      <w:r w:rsidR="00932797" w:rsidRPr="00D42B1B">
        <w:t xml:space="preserve">il avait </w:t>
      </w:r>
      <w:r w:rsidRPr="00D42B1B">
        <w:t xml:space="preserve">justifié cette décision en invoquant des irrégularités majeures, un manque à gagner de plus de 1 000 </w:t>
      </w:r>
      <w:r w:rsidR="00932797" w:rsidRPr="00D42B1B">
        <w:t>Md F</w:t>
      </w:r>
      <w:r w:rsidRPr="00D42B1B">
        <w:t>CFA pour l'</w:t>
      </w:r>
      <w:r w:rsidR="00932797" w:rsidRPr="00D42B1B">
        <w:t>E</w:t>
      </w:r>
      <w:r w:rsidRPr="00D42B1B">
        <w:t>tat et une série d'avantages fiscaux jugés indus.</w:t>
      </w:r>
      <w:r w:rsidR="00932797" w:rsidRPr="00D42B1B">
        <w:t xml:space="preserve"> </w:t>
      </w:r>
      <w:r w:rsidRPr="00D42B1B">
        <w:t>Cette offensive s'inscri</w:t>
      </w:r>
      <w:r w:rsidR="00932797" w:rsidRPr="00D42B1B">
        <w:t>vai</w:t>
      </w:r>
      <w:r w:rsidRPr="00D42B1B">
        <w:t xml:space="preserve">t dans une séquence politique plus large. Depuis son élection en 2024, le président </w:t>
      </w:r>
      <w:r w:rsidR="00932797" w:rsidRPr="00D42B1B">
        <w:t xml:space="preserve">M. </w:t>
      </w:r>
      <w:r w:rsidRPr="00D42B1B">
        <w:t xml:space="preserve">Bassirou </w:t>
      </w:r>
      <w:proofErr w:type="spellStart"/>
      <w:r w:rsidRPr="00D42B1B">
        <w:t>Diomaye</w:t>
      </w:r>
      <w:proofErr w:type="spellEnd"/>
      <w:r w:rsidRPr="00D42B1B">
        <w:t xml:space="preserve"> Faye</w:t>
      </w:r>
      <w:r w:rsidR="00932797" w:rsidRPr="00D42B1B">
        <w:t>,</w:t>
      </w:r>
      <w:r w:rsidRPr="00D42B1B">
        <w:t xml:space="preserve"> ainsi que son gouvernement</w:t>
      </w:r>
      <w:r w:rsidR="00932797" w:rsidRPr="00D42B1B">
        <w:t>,</w:t>
      </w:r>
      <w:r w:rsidRPr="00D42B1B">
        <w:t xml:space="preserve"> ont engagé une vaste revue des contrats qui lient le Sénégal à ses partenaires étrangers, conformément à leurs promesses de campagne. </w:t>
      </w:r>
      <w:r w:rsidR="00932797" w:rsidRPr="00D42B1B">
        <w:t>P</w:t>
      </w:r>
      <w:r w:rsidRPr="00D42B1B">
        <w:t xml:space="preserve">lus de 70 titres miniers ont déjà été retirés à des entreprises accusées de ne pas respecter leurs engagements. </w:t>
      </w:r>
      <w:r w:rsidR="00932797" w:rsidRPr="00D42B1B">
        <w:t>L</w:t>
      </w:r>
      <w:r w:rsidRPr="00D42B1B">
        <w:t>'Agenda Sénégal 2050, feuille de route économique du pays, fait notamment des phosphates un levier stratégique de souveraineté et d'industrialisation.</w:t>
      </w:r>
      <w:r w:rsidR="00932797" w:rsidRPr="00D42B1B">
        <w:t xml:space="preserve"> L</w:t>
      </w:r>
      <w:r w:rsidRPr="00D42B1B">
        <w:t>'agriculture rest</w:t>
      </w:r>
      <w:r w:rsidR="00932797" w:rsidRPr="00D42B1B">
        <w:t>ant</w:t>
      </w:r>
      <w:r w:rsidRPr="00D42B1B">
        <w:t xml:space="preserve"> l'une des principales activités</w:t>
      </w:r>
      <w:r w:rsidR="00932797" w:rsidRPr="00D42B1B">
        <w:t xml:space="preserve"> du pays</w:t>
      </w:r>
      <w:r w:rsidRPr="00D42B1B">
        <w:t xml:space="preserve">, la maîtrise de cette chaîne de valeur apparaît comme un objectif politique majeur. L'Agenda </w:t>
      </w:r>
      <w:r w:rsidRPr="00D42B1B">
        <w:lastRenderedPageBreak/>
        <w:t xml:space="preserve">Sénégal 2050 fixe </w:t>
      </w:r>
      <w:r w:rsidR="00932797" w:rsidRPr="00D42B1B">
        <w:t xml:space="preserve">ainsi </w:t>
      </w:r>
      <w:r w:rsidRPr="00D42B1B">
        <w:t xml:space="preserve">des ambitions élevées </w:t>
      </w:r>
      <w:r w:rsidR="00932797" w:rsidRPr="00D42B1B">
        <w:t xml:space="preserve">pour </w:t>
      </w:r>
      <w:r w:rsidRPr="00D42B1B">
        <w:t>porter la production d'engrais à 2,6</w:t>
      </w:r>
      <w:r w:rsidR="00932797" w:rsidRPr="00D42B1B">
        <w:t> M </w:t>
      </w:r>
      <w:r w:rsidRPr="00D42B1B">
        <w:t>de</w:t>
      </w:r>
      <w:r w:rsidR="00932797" w:rsidRPr="00D42B1B">
        <w:t> </w:t>
      </w:r>
      <w:r w:rsidRPr="00D42B1B">
        <w:t xml:space="preserve">tonnes d'ici à 2034, puis à 5,6 </w:t>
      </w:r>
      <w:r w:rsidR="00932797" w:rsidRPr="00D42B1B">
        <w:t xml:space="preserve">M </w:t>
      </w:r>
      <w:r w:rsidRPr="00D42B1B">
        <w:t>en 2050, afin de faire du pays un act</w:t>
      </w:r>
      <w:r w:rsidR="001538B3" w:rsidRPr="00D42B1B">
        <w:t>eu</w:t>
      </w:r>
      <w:r w:rsidRPr="00D42B1B">
        <w:t>r majeur du marché régional. L'idée est de s'orienter vers plus de transformation sur place, à l'instar de l'exemple marocain, incarné par le groupe OCP, qui est parvenu à construire une filière intégrée, du minerai à l'engrais.</w:t>
      </w:r>
      <w:r w:rsidR="001538B3" w:rsidRPr="00D42B1B">
        <w:t xml:space="preserve"> </w:t>
      </w:r>
      <w:r w:rsidRPr="00D42B1B">
        <w:t>Mais, au Sénégal, la réalité reste éloignée de cet objectif. En 2024, la production totale d'engrais dans le pays s'établissait à environ 150 000 t</w:t>
      </w:r>
      <w:r w:rsidR="001538B3" w:rsidRPr="00D42B1B">
        <w:t>onnes</w:t>
      </w:r>
      <w:r w:rsidRPr="00D42B1B">
        <w:t>, réalisée par quelques acteurs, au premier rang desquels ICS. Créée au début des années 1980, la société a longtemps été un fleuron national, sous le contrôle majoritaire de l'</w:t>
      </w:r>
      <w:r w:rsidR="001538B3" w:rsidRPr="00D42B1B">
        <w:t>E</w:t>
      </w:r>
      <w:r w:rsidRPr="00D42B1B">
        <w:t>tat. Mais des difficultés financières dans les années 2000 et une activité quasi à l'arrêt ont conduit à une recomposition du capital. En 2014, le groupe asiatique I</w:t>
      </w:r>
      <w:r w:rsidR="001538B3" w:rsidRPr="00D42B1B">
        <w:t>NDORAMA est</w:t>
      </w:r>
      <w:r w:rsidRPr="00D42B1B">
        <w:t xml:space="preserve"> dev</w:t>
      </w:r>
      <w:r w:rsidR="001538B3" w:rsidRPr="00D42B1B">
        <w:t>enu</w:t>
      </w:r>
      <w:r w:rsidRPr="00D42B1B">
        <w:t xml:space="preserve"> l'actionnaire majoritaire, à hauteur de 78%, injectant environ 225 </w:t>
      </w:r>
      <w:r w:rsidR="001538B3" w:rsidRPr="00D42B1B">
        <w:t xml:space="preserve">M USD </w:t>
      </w:r>
      <w:r w:rsidRPr="00D42B1B">
        <w:t xml:space="preserve">pour relancer ICS. </w:t>
      </w:r>
      <w:r w:rsidR="001538B3" w:rsidRPr="00D42B1B">
        <w:t>A</w:t>
      </w:r>
      <w:r w:rsidRPr="00D42B1B">
        <w:t xml:space="preserve"> l'époque, il </w:t>
      </w:r>
      <w:r w:rsidR="001538B3" w:rsidRPr="00D42B1B">
        <w:t>s’agissa</w:t>
      </w:r>
      <w:r w:rsidRPr="00D42B1B">
        <w:t>it</w:t>
      </w:r>
      <w:r w:rsidR="001538B3" w:rsidRPr="00D42B1B">
        <w:t xml:space="preserve"> de</w:t>
      </w:r>
      <w:r w:rsidRPr="00D42B1B">
        <w:t xml:space="preserve"> sauver l'outil industriel</w:t>
      </w:r>
      <w:r w:rsidR="001538B3" w:rsidRPr="00D42B1B">
        <w:t xml:space="preserve"> et l’E</w:t>
      </w:r>
      <w:r w:rsidRPr="00D42B1B">
        <w:t>tat n'a</w:t>
      </w:r>
      <w:r w:rsidR="001538B3" w:rsidRPr="00D42B1B">
        <w:t xml:space="preserve">yant </w:t>
      </w:r>
      <w:r w:rsidRPr="00D42B1B">
        <w:t>pas les moyens, les partenaires étrangers ont posé leurs conditions</w:t>
      </w:r>
      <w:r w:rsidR="001538B3" w:rsidRPr="00D42B1B">
        <w:t xml:space="preserve">, parmi lesquelles </w:t>
      </w:r>
      <w:r w:rsidRPr="00D42B1B">
        <w:t xml:space="preserve">une plus grande liberté d'exportation. L'entreprise, qui revendiquait plus de 5 000 employés en 2022, réhabilite </w:t>
      </w:r>
      <w:r w:rsidR="001538B3" w:rsidRPr="00D42B1B">
        <w:t>l</w:t>
      </w:r>
      <w:r w:rsidRPr="00D42B1B">
        <w:t xml:space="preserve">es trois principaux sites industriels, </w:t>
      </w:r>
      <w:proofErr w:type="spellStart"/>
      <w:r w:rsidRPr="00D42B1B">
        <w:t>Tobène</w:t>
      </w:r>
      <w:proofErr w:type="spellEnd"/>
      <w:r w:rsidRPr="00D42B1B">
        <w:t xml:space="preserve">, Darou et Mbao, et relance </w:t>
      </w:r>
      <w:r w:rsidR="001538B3" w:rsidRPr="00D42B1B">
        <w:t>l</w:t>
      </w:r>
      <w:r w:rsidRPr="00D42B1B">
        <w:t>a production. Elle se réoriente vers l'acide phosphorique, destiné à l'export, principalement vers l'Inde, qui reçoit par voie maritime plus de 80% de la production.</w:t>
      </w:r>
      <w:r w:rsidR="001538B3" w:rsidRPr="00D42B1B">
        <w:t xml:space="preserve"> </w:t>
      </w:r>
      <w:r w:rsidRPr="00D42B1B">
        <w:t xml:space="preserve">Autrefois en difficulté, ICS incarne alors la réussite d'une relance. En 2022, le ministre du </w:t>
      </w:r>
      <w:r w:rsidR="001538B3" w:rsidRPr="00D42B1B">
        <w:t>d</w:t>
      </w:r>
      <w:r w:rsidRPr="00D42B1B">
        <w:t xml:space="preserve">éveloppement industriel et des </w:t>
      </w:r>
      <w:r w:rsidR="001538B3" w:rsidRPr="00D42B1B">
        <w:t>p</w:t>
      </w:r>
      <w:r w:rsidRPr="00D42B1B">
        <w:t xml:space="preserve">etites et moyennes industries de l'époque, </w:t>
      </w:r>
      <w:r w:rsidR="001538B3" w:rsidRPr="00D42B1B">
        <w:t>M. </w:t>
      </w:r>
      <w:r w:rsidRPr="00D42B1B">
        <w:t xml:space="preserve">Moustapha Diop, salue la progression du chiffre d'affaires, à 344 </w:t>
      </w:r>
      <w:r w:rsidR="001538B3" w:rsidRPr="00D42B1B">
        <w:t>Md F</w:t>
      </w:r>
      <w:r w:rsidRPr="00D42B1B">
        <w:t xml:space="preserve">CFA en 2021 contre 202 </w:t>
      </w:r>
      <w:r w:rsidR="001538B3" w:rsidRPr="00D42B1B">
        <w:t xml:space="preserve">Md FCFA </w:t>
      </w:r>
      <w:r w:rsidRPr="00D42B1B">
        <w:t>un an plus tôt. En février 2025, la société, pourtant peu encline à communiquer, met en avant sa contribution à l'économie sénégalaise avec la présentation d'un rapport réalisé par le cabinet PwC</w:t>
      </w:r>
      <w:r w:rsidR="001538B3" w:rsidRPr="00D42B1B">
        <w:t xml:space="preserve"> avec </w:t>
      </w:r>
      <w:r w:rsidRPr="00D42B1B">
        <w:t xml:space="preserve">une contribution au PIB du pays de 120,4 </w:t>
      </w:r>
      <w:r w:rsidR="001538B3" w:rsidRPr="00D42B1B">
        <w:t>Md F</w:t>
      </w:r>
      <w:r w:rsidRPr="00D42B1B">
        <w:t xml:space="preserve">CFA en 2023 et des investissements de plus de 430 </w:t>
      </w:r>
      <w:r w:rsidR="001538B3" w:rsidRPr="00D42B1B">
        <w:t>Md F</w:t>
      </w:r>
      <w:r w:rsidRPr="00D42B1B">
        <w:t xml:space="preserve">CFA. Comptant pour 13,87% du secteur extractif sénégalais en 2023, ICS affiche une production de roche phosphatée de 1,8 </w:t>
      </w:r>
      <w:r w:rsidR="001538B3" w:rsidRPr="00D42B1B">
        <w:t xml:space="preserve">M </w:t>
      </w:r>
      <w:r w:rsidRPr="00D42B1B">
        <w:t>de tonnes par an sur une capacité de 2</w:t>
      </w:r>
      <w:r w:rsidR="001538B3" w:rsidRPr="00D42B1B">
        <w:t xml:space="preserve"> M</w:t>
      </w:r>
      <w:r w:rsidR="00DF3DF7" w:rsidRPr="00D42B1B">
        <w:t>,</w:t>
      </w:r>
      <w:r w:rsidRPr="00D42B1B">
        <w:t xml:space="preserve"> et une production d'acide phosphorique de 550 000 t</w:t>
      </w:r>
      <w:r w:rsidR="001538B3" w:rsidRPr="00D42B1B">
        <w:t>onnes</w:t>
      </w:r>
      <w:r w:rsidRPr="00D42B1B">
        <w:t xml:space="preserve"> pour une capacité de 600 000 t</w:t>
      </w:r>
      <w:r w:rsidR="00DF3DF7" w:rsidRPr="00D42B1B">
        <w:t>onnes</w:t>
      </w:r>
      <w:r w:rsidRPr="00D42B1B">
        <w:t>.</w:t>
      </w:r>
      <w:r w:rsidR="00DF3DF7" w:rsidRPr="00D42B1B">
        <w:t xml:space="preserve"> Mais f</w:t>
      </w:r>
      <w:r w:rsidRPr="00D42B1B">
        <w:t>in 2024, sous l'impulsion du nouvel exécutif, un audit financier approfondi de l'ensemble des sociétés minières en activité dans le pays est mené par la Société des mines du Sénégal (S</w:t>
      </w:r>
      <w:r w:rsidR="00DF3DF7" w:rsidRPr="00D42B1B">
        <w:t>OMISEN</w:t>
      </w:r>
      <w:r w:rsidRPr="00D42B1B">
        <w:t xml:space="preserve">). Quelques mois plus tard, début 2025, ICS est accusée de traîner une dette de 192 </w:t>
      </w:r>
      <w:r w:rsidR="00DF3DF7" w:rsidRPr="00D42B1B">
        <w:t>Md F</w:t>
      </w:r>
      <w:r w:rsidRPr="00D42B1B">
        <w:t>CFA de redevances impayées.</w:t>
      </w:r>
      <w:r w:rsidR="00DF3DF7" w:rsidRPr="00D42B1B">
        <w:t xml:space="preserve"> </w:t>
      </w:r>
      <w:r w:rsidRPr="00D42B1B">
        <w:t xml:space="preserve">De fait, un rapport de 2021 de la Cour des comptes portant sur le contrôle des recettes issues du secteur minier pour la période 2015-2018 appelle les ministères des </w:t>
      </w:r>
      <w:r w:rsidR="00DF3DF7" w:rsidRPr="00D42B1B">
        <w:t>m</w:t>
      </w:r>
      <w:r w:rsidRPr="00D42B1B">
        <w:t xml:space="preserve">ines et des </w:t>
      </w:r>
      <w:r w:rsidR="00DF3DF7" w:rsidRPr="00D42B1B">
        <w:t>f</w:t>
      </w:r>
      <w:r w:rsidRPr="00D42B1B">
        <w:t xml:space="preserve">inances à user de tous les moyens de droit pour contraindre ICS à s'acquitter de la redevance minière et de la taxe superficiaire auxquelles la société est assujettie en vertu du code minier du pays. </w:t>
      </w:r>
      <w:r w:rsidR="00DF3DF7" w:rsidRPr="00D42B1B">
        <w:t>Le m</w:t>
      </w:r>
      <w:r w:rsidRPr="00D42B1B">
        <w:t xml:space="preserve">ontant réclamé </w:t>
      </w:r>
      <w:r w:rsidR="00DF3DF7" w:rsidRPr="00D42B1B">
        <w:t xml:space="preserve">est de </w:t>
      </w:r>
      <w:r w:rsidRPr="00D42B1B">
        <w:t xml:space="preserve">121 </w:t>
      </w:r>
      <w:r w:rsidR="00DF3DF7" w:rsidRPr="00D42B1B">
        <w:t>Md F</w:t>
      </w:r>
      <w:r w:rsidRPr="00D42B1B">
        <w:t xml:space="preserve">CFA au titre de la première et 307 </w:t>
      </w:r>
      <w:r w:rsidR="00DF3DF7" w:rsidRPr="00D42B1B">
        <w:t xml:space="preserve">M FCFA </w:t>
      </w:r>
      <w:r w:rsidRPr="00D42B1B">
        <w:t>au titre de la seconde. Des montants non négligeables, mais loin du chiffre évoqué par l</w:t>
      </w:r>
      <w:r w:rsidR="00DF3DF7" w:rsidRPr="00D42B1B">
        <w:t>’ex-p</w:t>
      </w:r>
      <w:r w:rsidRPr="00D42B1B">
        <w:t>remier ministre.</w:t>
      </w:r>
      <w:r w:rsidR="00DF3DF7" w:rsidRPr="00D42B1B">
        <w:t xml:space="preserve"> </w:t>
      </w:r>
      <w:r w:rsidRPr="00D42B1B">
        <w:t>En parallèle, les relations entre ICS et les autorités se tendent sur la question de l'intégration d'un représentant de la S</w:t>
      </w:r>
      <w:r w:rsidR="00DF3DF7" w:rsidRPr="00D42B1B">
        <w:t>OMISEN</w:t>
      </w:r>
      <w:r w:rsidRPr="00D42B1B">
        <w:t xml:space="preserve"> au sein du conseil d'administration. Début 2026, </w:t>
      </w:r>
      <w:r w:rsidR="00DF3DF7" w:rsidRPr="00D42B1B">
        <w:t>le directeur général d’ICS, M. </w:t>
      </w:r>
      <w:r w:rsidRPr="00D42B1B">
        <w:t xml:space="preserve">Mama </w:t>
      </w:r>
      <w:proofErr w:type="spellStart"/>
      <w:r w:rsidRPr="00D42B1B">
        <w:t>Sougoufara</w:t>
      </w:r>
      <w:proofErr w:type="spellEnd"/>
      <w:r w:rsidR="00DF3DF7" w:rsidRPr="00D42B1B">
        <w:t xml:space="preserve">, essaye de </w:t>
      </w:r>
      <w:r w:rsidRPr="00D42B1B">
        <w:t>joue</w:t>
      </w:r>
      <w:r w:rsidR="00DF3DF7" w:rsidRPr="00D42B1B">
        <w:t>r</w:t>
      </w:r>
      <w:r w:rsidRPr="00D42B1B">
        <w:t xml:space="preserve"> l'apaisement</w:t>
      </w:r>
      <w:r w:rsidR="00DF3DF7" w:rsidRPr="00D42B1B">
        <w:t>, r</w:t>
      </w:r>
      <w:r w:rsidRPr="00D42B1B">
        <w:t xml:space="preserve">appelant l'engagement d'ICS à garantir aux agriculteurs un approvisionnement suffisant en intrants, il salue la qualité de la collaboration avec les autorités publiques tout en évoquant un programme d'investissements de 126 </w:t>
      </w:r>
      <w:r w:rsidR="00DF3DF7" w:rsidRPr="00D42B1B">
        <w:t>Md F</w:t>
      </w:r>
      <w:r w:rsidRPr="00D42B1B">
        <w:t>CFA.</w:t>
      </w:r>
      <w:r w:rsidR="00DF3DF7" w:rsidRPr="00D42B1B">
        <w:t xml:space="preserve"> L</w:t>
      </w:r>
      <w:r w:rsidRPr="00D42B1B">
        <w:t>e non-renouvellement des titres miniers et le gel des comptes d'ICS pourraient conduire à un contentieux</w:t>
      </w:r>
      <w:r w:rsidR="00DF3DF7" w:rsidRPr="00D42B1B">
        <w:t xml:space="preserve"> qui </w:t>
      </w:r>
      <w:r w:rsidRPr="00D42B1B">
        <w:t>peut durer des années et coûter très cher à toutes les parties.</w:t>
      </w:r>
      <w:r w:rsidR="003965D3" w:rsidRPr="00D42B1B">
        <w:t xml:space="preserve"> </w:t>
      </w:r>
      <w:r w:rsidRPr="00D42B1B">
        <w:t>Au-delà de la confrontation en cours, ce dossier a des répercussions sur le climat des affaires</w:t>
      </w:r>
      <w:r w:rsidR="003965D3" w:rsidRPr="00D42B1B">
        <w:t>, l</w:t>
      </w:r>
      <w:r w:rsidRPr="00D42B1B">
        <w:t xml:space="preserve">es investisseurs </w:t>
      </w:r>
      <w:r w:rsidR="003965D3" w:rsidRPr="00D42B1B">
        <w:t>ayan</w:t>
      </w:r>
      <w:r w:rsidRPr="00D42B1B">
        <w:t xml:space="preserve">t besoin de visibilité. </w:t>
      </w:r>
      <w:r w:rsidR="003965D3" w:rsidRPr="00D42B1B">
        <w:t>D</w:t>
      </w:r>
      <w:r w:rsidRPr="00D42B1B">
        <w:t xml:space="preserve">e nouveaux projets </w:t>
      </w:r>
      <w:r w:rsidR="003965D3" w:rsidRPr="00D42B1B">
        <w:t>risques d’être freinés, d</w:t>
      </w:r>
      <w:r w:rsidRPr="00D42B1B">
        <w:t>'autant que la concurrence régionale s'intensifie, avec des voisins comme la Mauritanie et la Guinée qui cherchent à capter davantage d'investissements. L'</w:t>
      </w:r>
      <w:r w:rsidR="003965D3" w:rsidRPr="00D42B1B">
        <w:t>E</w:t>
      </w:r>
      <w:r w:rsidRPr="00D42B1B">
        <w:t xml:space="preserve">tat peut vouloir </w:t>
      </w:r>
      <w:r w:rsidRPr="00D42B1B">
        <w:lastRenderedPageBreak/>
        <w:t xml:space="preserve">reprendre la main sur le secteur des phosphates, </w:t>
      </w:r>
      <w:r w:rsidR="003965D3" w:rsidRPr="00D42B1B">
        <w:t>m</w:t>
      </w:r>
      <w:r w:rsidRPr="00D42B1B">
        <w:t>ais il faut qu'il soit sûr d'avoir les moyens industriels de le faire.</w:t>
      </w:r>
    </w:p>
    <w:p w14:paraId="198D746D" w14:textId="7429B03B" w:rsidR="00E910D0" w:rsidRPr="00D42B1B" w:rsidRDefault="00E910D0" w:rsidP="009E396B">
      <w:pPr>
        <w:spacing w:after="0"/>
      </w:pPr>
    </w:p>
    <w:p w14:paraId="58BE2DDC" w14:textId="6A4BA860" w:rsidR="00EF4D6E" w:rsidRPr="00D42B1B" w:rsidRDefault="00EF4D6E" w:rsidP="00EF4D6E">
      <w:pPr>
        <w:spacing w:after="0" w:line="240" w:lineRule="auto"/>
        <w:outlineLvl w:val="1"/>
        <w:rPr>
          <w:rFonts w:eastAsia="Times New Roman" w:cs="Arial"/>
          <w:b/>
          <w:bCs/>
          <w:color w:val="444444"/>
          <w:szCs w:val="20"/>
          <w:lang w:eastAsia="fr-FR"/>
        </w:rPr>
      </w:pPr>
      <w:bookmarkStart w:id="148" w:name="_Toc233878722"/>
      <w:r w:rsidRPr="00D42B1B">
        <w:rPr>
          <w:b/>
          <w:bCs/>
        </w:rPr>
        <w:t>Infrastructures - Appui allemand de 1</w:t>
      </w:r>
      <w:r w:rsidR="00230BA5" w:rsidRPr="00D42B1B">
        <w:rPr>
          <w:b/>
          <w:bCs/>
        </w:rPr>
        <w:t>00</w:t>
      </w:r>
      <w:r w:rsidRPr="00D42B1B">
        <w:rPr>
          <w:b/>
          <w:bCs/>
        </w:rPr>
        <w:t xml:space="preserve"> M </w:t>
      </w:r>
      <w:r w:rsidR="00230BA5" w:rsidRPr="00D42B1B">
        <w:rPr>
          <w:b/>
          <w:bCs/>
        </w:rPr>
        <w:t>EUR</w:t>
      </w:r>
      <w:r w:rsidRPr="00D42B1B">
        <w:rPr>
          <w:b/>
          <w:bCs/>
        </w:rPr>
        <w:t xml:space="preserve"> pour renforcer le stockage frigorifique.</w:t>
      </w:r>
      <w:bookmarkEnd w:id="148"/>
    </w:p>
    <w:p w14:paraId="7E5AC682" w14:textId="478C3B8F" w:rsidR="00EF4D6E" w:rsidRPr="00D42B1B" w:rsidRDefault="00EF4D6E" w:rsidP="00EF4D6E">
      <w:pPr>
        <w:spacing w:after="0"/>
      </w:pPr>
      <w:r w:rsidRPr="00D42B1B">
        <w:t>Des investisseurs allemands se sont engagés à investir 100</w:t>
      </w:r>
      <w:r w:rsidRPr="00D42B1B">
        <w:rPr>
          <w:rFonts w:ascii="Times New Roman" w:hAnsi="Times New Roman" w:cs="Times New Roman"/>
        </w:rPr>
        <w:t> </w:t>
      </w:r>
      <w:r w:rsidR="00230BA5" w:rsidRPr="00D42B1B">
        <w:t xml:space="preserve">M EUR </w:t>
      </w:r>
      <w:r w:rsidRPr="00D42B1B">
        <w:t>dans le d</w:t>
      </w:r>
      <w:r w:rsidRPr="00D42B1B">
        <w:rPr>
          <w:rFonts w:cs="Marianne"/>
        </w:rPr>
        <w:t>é</w:t>
      </w:r>
      <w:r w:rsidRPr="00D42B1B">
        <w:t>veloppement des capacit</w:t>
      </w:r>
      <w:r w:rsidRPr="00D42B1B">
        <w:rPr>
          <w:rFonts w:cs="Marianne"/>
        </w:rPr>
        <w:t>é</w:t>
      </w:r>
      <w:r w:rsidRPr="00D42B1B">
        <w:t>s de stockage frigorifique au S</w:t>
      </w:r>
      <w:r w:rsidRPr="00D42B1B">
        <w:rPr>
          <w:rFonts w:cs="Marianne"/>
        </w:rPr>
        <w:t>é</w:t>
      </w:r>
      <w:r w:rsidRPr="00D42B1B">
        <w:t>n</w:t>
      </w:r>
      <w:r w:rsidRPr="00D42B1B">
        <w:rPr>
          <w:rFonts w:cs="Marianne"/>
        </w:rPr>
        <w:t>é</w:t>
      </w:r>
      <w:r w:rsidRPr="00D42B1B">
        <w:t xml:space="preserve">gal. Cette annonce a </w:t>
      </w:r>
      <w:r w:rsidRPr="00D42B1B">
        <w:rPr>
          <w:rFonts w:cs="Marianne"/>
        </w:rPr>
        <w:t>é</w:t>
      </w:r>
      <w:r w:rsidRPr="00D42B1B">
        <w:t>t</w:t>
      </w:r>
      <w:r w:rsidRPr="00D42B1B">
        <w:rPr>
          <w:rFonts w:cs="Marianne"/>
        </w:rPr>
        <w:t>é</w:t>
      </w:r>
      <w:r w:rsidRPr="00D42B1B">
        <w:t xml:space="preserve"> faite au cours de la c</w:t>
      </w:r>
      <w:r w:rsidRPr="00D42B1B">
        <w:rPr>
          <w:rFonts w:cs="Marianne"/>
        </w:rPr>
        <w:t>é</w:t>
      </w:r>
      <w:r w:rsidRPr="00D42B1B">
        <w:t>r</w:t>
      </w:r>
      <w:r w:rsidRPr="00D42B1B">
        <w:rPr>
          <w:rFonts w:cs="Marianne"/>
        </w:rPr>
        <w:t>é</w:t>
      </w:r>
      <w:r w:rsidRPr="00D42B1B">
        <w:t>monie de cl</w:t>
      </w:r>
      <w:r w:rsidRPr="00D42B1B">
        <w:rPr>
          <w:rFonts w:cs="Marianne"/>
        </w:rPr>
        <w:t>ô</w:t>
      </w:r>
      <w:r w:rsidRPr="00D42B1B">
        <w:t>ture de la Journ</w:t>
      </w:r>
      <w:r w:rsidRPr="00D42B1B">
        <w:rPr>
          <w:rFonts w:cs="Marianne"/>
        </w:rPr>
        <w:t>é</w:t>
      </w:r>
      <w:r w:rsidRPr="00D42B1B">
        <w:t>e germano s</w:t>
      </w:r>
      <w:r w:rsidRPr="00D42B1B">
        <w:rPr>
          <w:rFonts w:cs="Marianne"/>
        </w:rPr>
        <w:t>é</w:t>
      </w:r>
      <w:r w:rsidRPr="00D42B1B">
        <w:t>n</w:t>
      </w:r>
      <w:r w:rsidRPr="00D42B1B">
        <w:rPr>
          <w:rFonts w:cs="Marianne"/>
        </w:rPr>
        <w:t>é</w:t>
      </w:r>
      <w:r w:rsidRPr="00D42B1B">
        <w:t>galaise de l</w:t>
      </w:r>
      <w:r w:rsidRPr="00D42B1B">
        <w:rPr>
          <w:rFonts w:cs="Marianne"/>
        </w:rPr>
        <w:t>’é</w:t>
      </w:r>
      <w:r w:rsidRPr="00D42B1B">
        <w:t xml:space="preserve">conomie le 22 juin, en marge de la visite officielle en Allemagne du </w:t>
      </w:r>
      <w:r w:rsidR="00230BA5" w:rsidRPr="00D42B1B">
        <w:t>P</w:t>
      </w:r>
      <w:r w:rsidRPr="00D42B1B">
        <w:t xml:space="preserve">résident </w:t>
      </w:r>
      <w:r w:rsidR="00230BA5" w:rsidRPr="00D42B1B">
        <w:t xml:space="preserve">de la République, M. </w:t>
      </w:r>
      <w:r w:rsidRPr="00D42B1B">
        <w:t xml:space="preserve">Bassirou </w:t>
      </w:r>
      <w:proofErr w:type="spellStart"/>
      <w:r w:rsidRPr="00D42B1B">
        <w:t>Diomaye</w:t>
      </w:r>
      <w:proofErr w:type="spellEnd"/>
      <w:r w:rsidRPr="00D42B1B">
        <w:t xml:space="preserve"> Faye du 21</w:t>
      </w:r>
      <w:r w:rsidR="00DE707D" w:rsidRPr="00D42B1B">
        <w:t> </w:t>
      </w:r>
      <w:r w:rsidRPr="00D42B1B">
        <w:t>au 23 juin.</w:t>
      </w:r>
      <w:r w:rsidR="00DE707D" w:rsidRPr="00D42B1B">
        <w:t xml:space="preserve"> C</w:t>
      </w:r>
      <w:r w:rsidRPr="00D42B1B">
        <w:t>e futur programme d’investissement vise notamment à réduire les pertes post récolte qui touchent à divers degrés les productions agricoles du pays. Si, pour l’heure, les détails concernant les filières ciblées et le calendrier de mise en œuvre du programme ne sont pas encore connus, les infrastructures de stockage frigorifique vise</w:t>
      </w:r>
      <w:r w:rsidR="00DE707D" w:rsidRPr="00D42B1B">
        <w:t>raie</w:t>
      </w:r>
      <w:r w:rsidRPr="00D42B1B">
        <w:t>nt principalement les produits horticoles périssables comme l’oignon, la pomme de terre, la tomate, la carotte ainsi que divers fruits et légumes. Ces filières sont les plus exposées aux pertes post récolte qui concernent entre 30 et 40% de la production nationale chaque année.</w:t>
      </w:r>
      <w:r w:rsidR="00DE707D" w:rsidRPr="00D42B1B">
        <w:t xml:space="preserve"> Les pertes post récolte occasionneraient un manque à gagner, évalué à près de 50</w:t>
      </w:r>
      <w:r w:rsidR="00DE707D" w:rsidRPr="00D42B1B">
        <w:rPr>
          <w:rFonts w:ascii="Times New Roman" w:hAnsi="Times New Roman" w:cs="Times New Roman"/>
        </w:rPr>
        <w:t> </w:t>
      </w:r>
      <w:r w:rsidR="00DE707D" w:rsidRPr="00D42B1B">
        <w:t>Md FCFA chaque ann</w:t>
      </w:r>
      <w:r w:rsidR="00DE707D" w:rsidRPr="00D42B1B">
        <w:rPr>
          <w:rFonts w:cs="Marianne"/>
        </w:rPr>
        <w:t>é</w:t>
      </w:r>
      <w:r w:rsidR="00DE707D" w:rsidRPr="00D42B1B">
        <w:t>e dans l</w:t>
      </w:r>
      <w:r w:rsidR="00DE707D" w:rsidRPr="00D42B1B">
        <w:rPr>
          <w:rFonts w:cs="Marianne"/>
        </w:rPr>
        <w:t>’</w:t>
      </w:r>
      <w:r w:rsidR="00DE707D" w:rsidRPr="00D42B1B">
        <w:t>industrie horticole, en raison du manque d</w:t>
      </w:r>
      <w:r w:rsidR="00DE707D" w:rsidRPr="00D42B1B">
        <w:rPr>
          <w:rFonts w:cs="Marianne"/>
        </w:rPr>
        <w:t>’</w:t>
      </w:r>
      <w:r w:rsidR="00DE707D" w:rsidRPr="00D42B1B">
        <w:t>infrastructures de stockage et de conservation adapt</w:t>
      </w:r>
      <w:r w:rsidR="00DE707D" w:rsidRPr="00D42B1B">
        <w:rPr>
          <w:rFonts w:cs="Marianne"/>
        </w:rPr>
        <w:t>é</w:t>
      </w:r>
      <w:r w:rsidR="00DE707D" w:rsidRPr="00D42B1B">
        <w:t>es, selon les donn</w:t>
      </w:r>
      <w:r w:rsidR="00DE707D" w:rsidRPr="00D42B1B">
        <w:rPr>
          <w:rFonts w:cs="Marianne"/>
        </w:rPr>
        <w:t>é</w:t>
      </w:r>
      <w:r w:rsidR="00DE707D" w:rsidRPr="00D42B1B">
        <w:t xml:space="preserve">es officielles. </w:t>
      </w:r>
      <w:r w:rsidRPr="00D42B1B">
        <w:t>Les engagements annoncés par les partenaires allemands, s’ils se concrétisent, pourraient renforcer les efforts déjà engagés par les autorités sénégalaises pour développer les capacités de stockage dans la filière horticole.</w:t>
      </w:r>
      <w:r w:rsidR="00DE707D" w:rsidRPr="00D42B1B">
        <w:t xml:space="preserve"> </w:t>
      </w:r>
      <w:r w:rsidRPr="00D42B1B">
        <w:t xml:space="preserve">Cette orientation est notamment illustrée par le programme « </w:t>
      </w:r>
      <w:proofErr w:type="spellStart"/>
      <w:r w:rsidRPr="00D42B1B">
        <w:t>Agricool</w:t>
      </w:r>
      <w:proofErr w:type="spellEnd"/>
      <w:r w:rsidRPr="00D42B1B">
        <w:t xml:space="preserve"> », qui prévoit la mise en place d’infrastructures modernes de conservation sous atmosphère contrôlée, destinées à améliorer la chaîne de stockage agricole. Ce programme s’inscrit dans le cadre d’un partenariat public-privé (PPP) de 170 </w:t>
      </w:r>
      <w:r w:rsidR="00DE707D" w:rsidRPr="00D42B1B">
        <w:t xml:space="preserve">Md </w:t>
      </w:r>
      <w:r w:rsidRPr="00D42B1B">
        <w:t xml:space="preserve">FCFA signé en septembre </w:t>
      </w:r>
      <w:r w:rsidR="00DE707D" w:rsidRPr="00D42B1B">
        <w:t xml:space="preserve">2025 </w:t>
      </w:r>
      <w:r w:rsidRPr="00D42B1B">
        <w:t>entre le ministère de l’</w:t>
      </w:r>
      <w:r w:rsidR="00DE707D" w:rsidRPr="00D42B1B">
        <w:t>i</w:t>
      </w:r>
      <w:r w:rsidRPr="00D42B1B">
        <w:t xml:space="preserve">ndustrie et du </w:t>
      </w:r>
      <w:r w:rsidR="00DE707D" w:rsidRPr="00D42B1B">
        <w:t>c</w:t>
      </w:r>
      <w:r w:rsidRPr="00D42B1B">
        <w:t xml:space="preserve">ommerce et la société </w:t>
      </w:r>
      <w:r w:rsidR="00DE707D" w:rsidRPr="00D42B1B">
        <w:t>AGRICOOL</w:t>
      </w:r>
      <w:r w:rsidRPr="00D42B1B">
        <w:t>.</w:t>
      </w:r>
      <w:r w:rsidR="00DE707D" w:rsidRPr="00D42B1B">
        <w:t xml:space="preserve"> </w:t>
      </w:r>
      <w:r w:rsidRPr="00D42B1B">
        <w:t xml:space="preserve">Selon les responsables du projet, une dizaine d’entrepôts frigorifiques devraient être construits dans le cadre de ce programme, à travers les principales zones de production horticole, notamment les Niayes, la Casamance, Matam, ainsi que les régions du centre et de l’est du pays. Le programme intègre également un volet consacré aux énergies renouvelables. Les travaux de construction du premier entrepôt de cette série ont déjà débuté en février 2026 à </w:t>
      </w:r>
      <w:proofErr w:type="spellStart"/>
      <w:r w:rsidRPr="00D42B1B">
        <w:t>Ngomène</w:t>
      </w:r>
      <w:proofErr w:type="spellEnd"/>
      <w:r w:rsidRPr="00D42B1B">
        <w:t xml:space="preserve"> dans la région de Thiès.</w:t>
      </w:r>
      <w:r w:rsidR="00DE707D" w:rsidRPr="00D42B1B">
        <w:t xml:space="preserve"> L</w:t>
      </w:r>
      <w:r w:rsidRPr="00D42B1B">
        <w:t xml:space="preserve">’enjeu d’un renforcement des capacités de stockage frigorifique répond à une dynamique marquée par une forte hausse des volumes de production de produits horticoles phares du pays. En 2025, par exemple, le </w:t>
      </w:r>
      <w:r w:rsidR="00DE707D" w:rsidRPr="00D42B1B">
        <w:t xml:space="preserve">pays </w:t>
      </w:r>
      <w:r w:rsidRPr="00D42B1B">
        <w:t>a produit près de 450 000 tonnes d’oignons, 245</w:t>
      </w:r>
      <w:r w:rsidR="00DE707D" w:rsidRPr="00D42B1B">
        <w:t> </w:t>
      </w:r>
      <w:r w:rsidRPr="00D42B1B">
        <w:t>000 tonnes de pommes de terre et 112</w:t>
      </w:r>
      <w:r w:rsidR="00937C97">
        <w:t> </w:t>
      </w:r>
      <w:r w:rsidRPr="00D42B1B">
        <w:t>500</w:t>
      </w:r>
      <w:r w:rsidR="00937C97">
        <w:t> </w:t>
      </w:r>
      <w:r w:rsidRPr="00D42B1B">
        <w:t xml:space="preserve">tonnes de bananes, des records historiques qui renforcent la pression sur un système de stockage </w:t>
      </w:r>
      <w:r w:rsidR="00DE707D" w:rsidRPr="00D42B1B">
        <w:t xml:space="preserve">encore </w:t>
      </w:r>
      <w:r w:rsidRPr="00D42B1B">
        <w:t>insuffisant.</w:t>
      </w:r>
      <w:r w:rsidR="00DE707D" w:rsidRPr="00D42B1B">
        <w:t xml:space="preserve"> </w:t>
      </w:r>
    </w:p>
    <w:p w14:paraId="0DECC926" w14:textId="77777777" w:rsidR="00EF4D6E" w:rsidRPr="00D42B1B" w:rsidRDefault="00EF4D6E" w:rsidP="00EF4D6E">
      <w:pPr>
        <w:spacing w:after="0"/>
      </w:pPr>
    </w:p>
    <w:p w14:paraId="539A88D4" w14:textId="19AEB989" w:rsidR="00E910D0" w:rsidRPr="00D42B1B" w:rsidRDefault="00E910D0" w:rsidP="00E910D0">
      <w:pPr>
        <w:spacing w:after="0" w:line="240" w:lineRule="auto"/>
        <w:outlineLvl w:val="1"/>
        <w:rPr>
          <w:rFonts w:eastAsia="Times New Roman" w:cs="Arial"/>
          <w:b/>
          <w:bCs/>
          <w:color w:val="444444"/>
          <w:szCs w:val="20"/>
          <w:lang w:eastAsia="fr-FR"/>
        </w:rPr>
      </w:pPr>
      <w:bookmarkStart w:id="149" w:name="_Toc233878723"/>
      <w:bookmarkStart w:id="150" w:name="_Hlk233579053"/>
      <w:r w:rsidRPr="00D42B1B">
        <w:rPr>
          <w:b/>
          <w:bCs/>
        </w:rPr>
        <w:t>Distribution – Projet gouvernemental de 2 000 boutiques de référence.</w:t>
      </w:r>
      <w:bookmarkEnd w:id="149"/>
    </w:p>
    <w:bookmarkEnd w:id="150"/>
    <w:p w14:paraId="6A8004AE" w14:textId="77777777" w:rsidR="00E910D0" w:rsidRPr="00D42B1B" w:rsidRDefault="00E910D0" w:rsidP="00E910D0">
      <w:pPr>
        <w:spacing w:after="0"/>
      </w:pPr>
      <w:r w:rsidRPr="00D42B1B">
        <w:t>Le Sénégal veut engager une réforme destinée à restructurer le commerce de proximité encore largement informel et fragmenté, en le transformant progressivement en un réseau plus organisé de distribution. C’est dans cette optique que le ministère de l’industrie et du commerce a organisé, le 18 juin, un atelier national réunissant près de 100 acteurs opérant à divers niveaux de la chaîne de valeur afin de jeter les bases de cette nouvelle orientation. Concrètement, le programme prévoit la mise en place de 2 000 boutiques de référence sur l’ensemble du territoire national, adossées à un fonds de 5</w:t>
      </w:r>
      <w:r w:rsidRPr="00D42B1B">
        <w:rPr>
          <w:rFonts w:ascii="Times New Roman" w:hAnsi="Times New Roman" w:cs="Times New Roman"/>
        </w:rPr>
        <w:t> </w:t>
      </w:r>
      <w:r w:rsidRPr="00D42B1B">
        <w:t>Md FCFA destin</w:t>
      </w:r>
      <w:r w:rsidRPr="00D42B1B">
        <w:rPr>
          <w:rFonts w:cs="Marianne"/>
        </w:rPr>
        <w:t>é</w:t>
      </w:r>
      <w:r w:rsidRPr="00D42B1B">
        <w:t xml:space="preserve"> </w:t>
      </w:r>
      <w:r w:rsidRPr="00D42B1B">
        <w:rPr>
          <w:rFonts w:cs="Marianne"/>
        </w:rPr>
        <w:t>à</w:t>
      </w:r>
      <w:r w:rsidRPr="00D42B1B">
        <w:t xml:space="preserve"> accompagner les commer</w:t>
      </w:r>
      <w:r w:rsidRPr="00D42B1B">
        <w:rPr>
          <w:rFonts w:cs="Marianne"/>
        </w:rPr>
        <w:t>ç</w:t>
      </w:r>
      <w:r w:rsidRPr="00D42B1B">
        <w:t xml:space="preserve">ants et boutiquiers qui rejoindront le dispositif. Le modèle retenu repose sur une gouvernance hybride. Les commerçants et exploitants seraient appelés à détenir 75% du </w:t>
      </w:r>
      <w:r w:rsidRPr="00D42B1B">
        <w:lastRenderedPageBreak/>
        <w:t>capital des boutiques contre 25% pour l’Etat. Présenté comme un chantier stratégique, le projet ambitionne ainsi de réorganiser un tissu commercial composé, selon les autorités, d’environ 100 000 points de vente à travers le pays. L’objectif est de faire émerger un maillage structuré de boutiques standardisées, intégrées dans un réseau national de distribution moderne, allant des supérettes de proximité aux formats plus larges de type supermarchés et hypermarchés. Cette architecture suggère une volonté de maintenir une forte implication du secteur privé tout en conservant un rôle d’encadrement public dans la structuration du réseau. Sur le plan opérationnel, il est prévu que les boutiques de référence soient approvisionnées par une centrale d’achat collective afin de garantir un accès régulier aux produits de grande consommation, une meilleure maîtrise des prix et une réduction significative des ruptures de stock qui affectent souvent les commerces de quartier. Sur le plan institutionnel, le projet prévoit la création d’une société anonyme de gestion de la centrale d’achat. Selon les précisions du ministère de l’industrie et du commerce, la gouvernance sera largement confiée aux acteurs du secteur : commerçants, supermarchés et boutiquiers seront les principaux actionnaires de la centrale d’achat et prendront part aux orientations stratégiques. En filigrane, on peut lire à travers ce dispositif une volonté du gouvernement de renforcer sa capacité de régulation du marché des biens de grande consommation, notamment les produits alimentaires de base tels que le riz, les pâtes alimentaires ou encore le sucre. A travers cette initiative, le gouvernement sénégalais entend faire du commerce de proximité un levier de développement économique, de création d’emplois et de souveraineté alimentaire, tout en offrant aux consommateurs un meilleur accès à des produits de qualité à des prix compétitifs selon le ministère de l’industrie et du commerce. Cette orientation prend un relief particulier dans un contexte où la question de l’écoulement de certains productions agricoles locales reste un défi majeur, notamment en ce qui concerne le riz. Le marché intérieur reste largement approvisionné par le riz importé, souvent moins coûteux et mieux intégré dans les circuits de distribution, ce qui limite mécaniquement la part de marché du riz local. En conséquence, une partie de la production nationale peine à trouver preneur, entraînant l’accumulation de stocks chez les producteurs et les transformateurs. Dans ce contexte, la réforme du commerce de proximité pourrait s’inscrire dans une recomposition plus large des instruments de politique alimentaire. En agissant sur les circuits de distribution à travers la création de boutiques standardisées et d’une centrale d’achat, les autorités chercheraient potentiellement à corriger un déséquilibre qui ne relève plus uniquement de la production, mais également de la capacité à acheminer et à valoriser les produits agricoles locaux sur le marché intérieur. Les prochains développements permettront de suivre la mise en œuvre effective du programme, les modalités de déploiement, le calendrier d’exécution ainsi que les critères de sélection des acteurs impliqués devant être précisés dans les prochaines phases du projet.</w:t>
      </w:r>
    </w:p>
    <w:p w14:paraId="134736E5" w14:textId="11692AC7" w:rsidR="00095226" w:rsidRPr="00D42B1B" w:rsidRDefault="00095226" w:rsidP="001564C7">
      <w:pPr>
        <w:spacing w:after="0"/>
      </w:pPr>
    </w:p>
    <w:p w14:paraId="3048C3E6" w14:textId="673B630B" w:rsidR="009E396B" w:rsidRPr="00D42B1B" w:rsidRDefault="009E396B" w:rsidP="00CF6E89">
      <w:pPr>
        <w:spacing w:after="0" w:line="240" w:lineRule="auto"/>
        <w:outlineLvl w:val="1"/>
        <w:rPr>
          <w:rFonts w:eastAsia="Times New Roman" w:cs="Arial"/>
          <w:b/>
          <w:bCs/>
          <w:color w:val="444444"/>
          <w:szCs w:val="20"/>
          <w:lang w:eastAsia="fr-FR"/>
        </w:rPr>
      </w:pPr>
      <w:bookmarkStart w:id="151" w:name="_Toc233878724"/>
      <w:bookmarkStart w:id="152" w:name="_Hlk233576436"/>
      <w:r w:rsidRPr="00D42B1B">
        <w:rPr>
          <w:b/>
          <w:bCs/>
        </w:rPr>
        <w:t xml:space="preserve">Vie des sociétés - La Compagnie agricole de Saint-Louis </w:t>
      </w:r>
      <w:r w:rsidR="003965D3" w:rsidRPr="00D42B1B">
        <w:rPr>
          <w:b/>
          <w:bCs/>
        </w:rPr>
        <w:t xml:space="preserve">(CASL) risque </w:t>
      </w:r>
      <w:r w:rsidRPr="00D42B1B">
        <w:rPr>
          <w:b/>
          <w:bCs/>
        </w:rPr>
        <w:t>une liquidation judiciaire</w:t>
      </w:r>
      <w:r w:rsidR="003965D3" w:rsidRPr="00D42B1B">
        <w:rPr>
          <w:b/>
          <w:bCs/>
        </w:rPr>
        <w:t>.</w:t>
      </w:r>
      <w:bookmarkEnd w:id="151"/>
    </w:p>
    <w:bookmarkEnd w:id="152"/>
    <w:p w14:paraId="0A9AE106" w14:textId="16DB86D6" w:rsidR="009E396B" w:rsidRPr="00D42B1B" w:rsidRDefault="009E396B" w:rsidP="009E396B">
      <w:pPr>
        <w:spacing w:after="0"/>
      </w:pPr>
      <w:r w:rsidRPr="00D42B1B">
        <w:t>Déjà fragilisée par des tensions entre ses actionnaires, l</w:t>
      </w:r>
      <w:r w:rsidR="003965D3" w:rsidRPr="00D42B1B">
        <w:t>a CASL</w:t>
      </w:r>
      <w:r w:rsidRPr="00D42B1B">
        <w:t xml:space="preserve"> est désormais confrontée à une procédure de liquidation judiciaire qui pourrait mettre un terme définitif à ses activités.</w:t>
      </w:r>
      <w:r w:rsidR="00CF6E89" w:rsidRPr="00D42B1B">
        <w:t xml:space="preserve"> Le t</w:t>
      </w:r>
      <w:r w:rsidRPr="00D42B1B">
        <w:t xml:space="preserve">ribunal de commerce a constaté l’état de cessation des paiements de la société à compter du 20 mai. Cette décision est intervenue à la suite d’une requête introduite par la société Star </w:t>
      </w:r>
      <w:proofErr w:type="spellStart"/>
      <w:r w:rsidRPr="00D42B1B">
        <w:t>Oil</w:t>
      </w:r>
      <w:proofErr w:type="spellEnd"/>
      <w:r w:rsidRPr="00D42B1B">
        <w:t xml:space="preserve">, l’un des créanciers de la CASL. Dans son jugement, la juridiction commerciale a ordonné la liquidation des biens de l’entreprise, ouvrant ainsi une nouvelle phase dans ce dossier marqué par d’importantes difficultés financières. Le tribunal a également fixé un délai de 18 mois pour </w:t>
      </w:r>
      <w:r w:rsidRPr="00D42B1B">
        <w:lastRenderedPageBreak/>
        <w:t>la clôture de la procédure, période au terme de laquelle un rapport devra être déposé afin de faire le point sur les opérations de liquidation. Cette décision judiciaire constitue un tournant majeur pour la</w:t>
      </w:r>
      <w:r w:rsidR="00CF6E89" w:rsidRPr="00D42B1B">
        <w:t xml:space="preserve"> CASL</w:t>
      </w:r>
      <w:r w:rsidRPr="00D42B1B">
        <w:t>, dont l’avenir apparaît désormais fortement compromis. Si la procédure suit son cours jusqu’à son terme, l’une des importantes structures du secteur agricole sénégalais pourrait définitivement disparaître du paysage économique national.</w:t>
      </w:r>
    </w:p>
    <w:p w14:paraId="6B5B8A6A" w14:textId="77777777" w:rsidR="009E396B" w:rsidRPr="00D42B1B" w:rsidRDefault="009E396B" w:rsidP="009E396B">
      <w:pPr>
        <w:spacing w:after="0"/>
      </w:pPr>
    </w:p>
    <w:p w14:paraId="50D51BF4" w14:textId="70E8EF5E" w:rsidR="00E7316F" w:rsidRPr="00D42B1B" w:rsidRDefault="009441C4" w:rsidP="007B5BCC">
      <w:pPr>
        <w:pStyle w:val="Titre1"/>
      </w:pPr>
      <w:bookmarkStart w:id="153" w:name="_Toc233878725"/>
      <w:r w:rsidRPr="00D42B1B">
        <w:t>Benin</w:t>
      </w:r>
      <w:bookmarkEnd w:id="153"/>
    </w:p>
    <w:p w14:paraId="15BD5F59" w14:textId="77777777" w:rsidR="00313891" w:rsidRPr="00D42B1B" w:rsidRDefault="00313891" w:rsidP="00313891">
      <w:pPr>
        <w:spacing w:after="0" w:line="240" w:lineRule="auto"/>
        <w:outlineLvl w:val="1"/>
        <w:rPr>
          <w:rFonts w:eastAsia="Times New Roman" w:cs="Arial"/>
          <w:b/>
          <w:bCs/>
          <w:color w:val="444444"/>
          <w:szCs w:val="20"/>
          <w:lang w:eastAsia="fr-FR"/>
        </w:rPr>
      </w:pPr>
      <w:bookmarkStart w:id="154" w:name="_Toc233878726"/>
      <w:bookmarkStart w:id="155" w:name="_Hlk232366223"/>
      <w:bookmarkStart w:id="156" w:name="_Hlk233194253"/>
      <w:bookmarkStart w:id="157" w:name="_Hlk231651915"/>
      <w:r w:rsidRPr="00D42B1B">
        <w:rPr>
          <w:b/>
          <w:bCs/>
        </w:rPr>
        <w:t>Sécurité alimentaire – 12,2 Md FCFA de la Banque islamique de développement.</w:t>
      </w:r>
      <w:bookmarkEnd w:id="154"/>
    </w:p>
    <w:p w14:paraId="1CFFA72F" w14:textId="3DCEFD0D" w:rsidR="00313891" w:rsidRPr="00D42B1B" w:rsidRDefault="00313891" w:rsidP="00313891">
      <w:pPr>
        <w:spacing w:after="0"/>
      </w:pPr>
      <w:r w:rsidRPr="00D42B1B">
        <w:t>Réunis à l'occasion de la 367</w:t>
      </w:r>
      <w:r w:rsidRPr="00D42B1B">
        <w:rPr>
          <w:vertAlign w:val="superscript"/>
        </w:rPr>
        <w:t>ème</w:t>
      </w:r>
      <w:r w:rsidRPr="00D42B1B">
        <w:t xml:space="preserve"> session du Conseil d'administration, qui se t</w:t>
      </w:r>
      <w:r w:rsidR="00937C97">
        <w:t>enait</w:t>
      </w:r>
      <w:r w:rsidRPr="00D42B1B">
        <w:t xml:space="preserve"> du 16 au 19</w:t>
      </w:r>
      <w:r w:rsidR="00937C97">
        <w:t> </w:t>
      </w:r>
      <w:r w:rsidRPr="00D42B1B">
        <w:t xml:space="preserve">juin, les dirigeants </w:t>
      </w:r>
      <w:bookmarkStart w:id="158" w:name="_Hlk233053189"/>
      <w:r w:rsidRPr="00D42B1B">
        <w:t xml:space="preserve">de la Banque islamique de développement </w:t>
      </w:r>
      <w:bookmarkEnd w:id="158"/>
      <w:r w:rsidRPr="00D42B1B">
        <w:t xml:space="preserve">ont approuvé un financement de </w:t>
      </w:r>
      <w:bookmarkStart w:id="159" w:name="_Hlk233053164"/>
      <w:r w:rsidRPr="00D42B1B">
        <w:t>12,2 Md FCFA</w:t>
      </w:r>
      <w:bookmarkEnd w:id="159"/>
      <w:r w:rsidRPr="00D42B1B">
        <w:t>, destiné à soutenir un projet axé sur la transformation durable des systèmes agricoles. L'initiative vise à renforcer la fertilité des sols, améliorer la résilience des exploitations face aux chocs climatiques et consolider la sécurité alimentaire à travers une meilleure organisation des systèmes de production. Le projet s'inscrit dans une dynamique de modernisation des pratiques agricoles, avec un accent particulier sur la promotion des cultures basées sur les légumineuses. Cette approche doit permettre d'améliorer la qualité des sols tout en favorisant des systèmes de culture plus durables et mieux adaptés aux réalités des petits producteurs. Au cœur de ce financement, les autorités et partenaires techniques entendent accroître la productivité agricole et renforcer la sécurité alimentaire dans les zones ciblées. L'amélioration des revenus des exploitations agricoles constitue également un enjeu central, notamment grâce à une meilleure intégration des chaînes de valeur et à un accès plus structuré aux marchés. Le programme met aussi l'accent sur la diffusion de pratiques agricoles intégrées de gestion de la fertilité des sols, afin de réduire la dépendance aux intrants traditionnels et de promouvoir des méthodes plus résilientes. En soutenant les petits producteurs, le projet ambitionne de renforcer leur capacité d'adaptation face aux défis climatiques et économiques qui pèsent sur le secteur agricole.</w:t>
      </w:r>
    </w:p>
    <w:p w14:paraId="16BD855A" w14:textId="77777777" w:rsidR="00313891" w:rsidRPr="00D42B1B" w:rsidRDefault="00313891" w:rsidP="00313891">
      <w:pPr>
        <w:spacing w:after="0"/>
      </w:pPr>
    </w:p>
    <w:p w14:paraId="570A4608" w14:textId="77777777" w:rsidR="005147EF" w:rsidRPr="00D42B1B" w:rsidRDefault="005147EF" w:rsidP="005147EF">
      <w:pPr>
        <w:spacing w:after="0" w:line="240" w:lineRule="auto"/>
        <w:outlineLvl w:val="1"/>
        <w:rPr>
          <w:rFonts w:eastAsia="Times New Roman" w:cs="Arial"/>
          <w:b/>
          <w:bCs/>
          <w:color w:val="444444"/>
          <w:szCs w:val="20"/>
          <w:lang w:eastAsia="fr-FR"/>
        </w:rPr>
      </w:pPr>
      <w:bookmarkStart w:id="160" w:name="_Toc233878727"/>
      <w:r w:rsidRPr="00D42B1B">
        <w:rPr>
          <w:b/>
          <w:bCs/>
        </w:rPr>
        <w:t>Coton - Prime pour soutenir la croissance de la production.</w:t>
      </w:r>
      <w:bookmarkEnd w:id="160"/>
    </w:p>
    <w:bookmarkEnd w:id="155"/>
    <w:p w14:paraId="402D8888" w14:textId="57B5CF6F" w:rsidR="005147EF" w:rsidRPr="00D42B1B" w:rsidRDefault="005147EF" w:rsidP="005147EF">
      <w:pPr>
        <w:spacing w:after="0"/>
      </w:pPr>
      <w:r w:rsidRPr="00D42B1B">
        <w:t>Le Bénin cherche à consolider sa position de 1</w:t>
      </w:r>
      <w:r w:rsidRPr="00D42B1B">
        <w:rPr>
          <w:vertAlign w:val="superscript"/>
        </w:rPr>
        <w:t>er</w:t>
      </w:r>
      <w:r w:rsidRPr="00D42B1B">
        <w:t xml:space="preserve"> producteur d’Afrique de l’Ouest à l’occasion de la nouvelle campagne de 2026/2027. Dans le cadre de cette ambition, le gouvernement béninois a annoncé le 3 juin le renforcement de son dispositif de soutien à la filière cotonnière à travers l’introduction d’une prime exceptionnelle destinée à encourager la hausse des volumes de production. Cette prime s’élèvera à 10 FCFA par kilogramme pour les producteurs, à condition que la production nationale dépasse le seuil de 700 000 tonnes pour le compte de la campagne 2026/2027, dont les opérations ont débuté en avril dernier, soit environ 7 Md FCFA redistribués aux acteurs de la filière. Il s’agit donc d’un mécanisme incitatif directement lié à la performance globale de la filière, plutôt que d’un soutien systématique et généralisé aux producteurs. L’objectif de production national, s’il est atteint, signerait une progression de plus de 8% par rapport à la campagne précédente. Selon les dernières estimations de l’interprofession, rapportées par le Programme régional de production intégrée du coton en Afrique (PR-PICA) en janvier dernier, la récolte de coton graine au Bénin en 2025/2026 a été évaluée à 647 290 tonnes sur une superficie totale de 510 897 ha. L’objectif de 700 000 tonnes correspond à un niveau déjà atteint par le Bénin avant que trois campagnes successives ne fassent reculer la production autour de 500 000 tonnes. Cette baisse s’explique, </w:t>
      </w:r>
      <w:r w:rsidRPr="00D42B1B">
        <w:lastRenderedPageBreak/>
        <w:t xml:space="preserve">selon les autorités, par plusieurs contraintes, notamment l’irrégularité des pluies, la qualité des semences distribuées, l’insuffisance de l’encadrement agricole de proximité et un niveau encore limité de mécanisation. Pour corriger ces difficultés, le ministre de l’agriculture, de l’élevage et de la pêche, M. </w:t>
      </w:r>
      <w:proofErr w:type="spellStart"/>
      <w:r w:rsidRPr="00D42B1B">
        <w:t>Adin</w:t>
      </w:r>
      <w:proofErr w:type="spellEnd"/>
      <w:r w:rsidRPr="00D42B1B">
        <w:t xml:space="preserve"> </w:t>
      </w:r>
      <w:proofErr w:type="spellStart"/>
      <w:r w:rsidRPr="00D42B1B">
        <w:t>Yeton</w:t>
      </w:r>
      <w:proofErr w:type="spellEnd"/>
      <w:r w:rsidRPr="00D42B1B">
        <w:t xml:space="preserve"> </w:t>
      </w:r>
      <w:proofErr w:type="spellStart"/>
      <w:r w:rsidRPr="00D42B1B">
        <w:t>Bloukounon</w:t>
      </w:r>
      <w:proofErr w:type="spellEnd"/>
      <w:r w:rsidRPr="00D42B1B">
        <w:t xml:space="preserve"> </w:t>
      </w:r>
      <w:proofErr w:type="spellStart"/>
      <w:r w:rsidRPr="00D42B1B">
        <w:t>Goubalan</w:t>
      </w:r>
      <w:proofErr w:type="spellEnd"/>
      <w:r w:rsidRPr="00D42B1B">
        <w:t xml:space="preserve">, a multiplié les échanges avec les principaux acteurs de la filière afin de mieux préparer la campagne et d’atteindre les objectifs fixés. Au-delà de l’objectif quantitatif affiché, cette mesure traduit la volonté du gouvernement de renforcer la dynamique de production dans une filière stratégique pour l’économie nationale. Le coton demeure en effet le principal produit agricole d’exportation du Bénin, contribuant significativement aux recettes extérieures et aux revenus des producteurs ruraux. </w:t>
      </w:r>
      <w:r w:rsidR="00674E3F" w:rsidRPr="00D42B1B">
        <w:t xml:space="preserve">Pour le ministre, la santé de la filière cotonnière conditionne celle de l’agriculture béninoise dans son ensemble. Quand le coton prospère, il entraîne les autres cultures. Les devises générées par les exportations alimentent une capacité d’investissement agricole plus large, ce qui en fait un pilier indirect de la souveraineté alimentaire. </w:t>
      </w:r>
      <w:r w:rsidRPr="00D42B1B">
        <w:t>Les</w:t>
      </w:r>
      <w:r w:rsidR="00674E3F" w:rsidRPr="00D42B1B">
        <w:t xml:space="preserve"> </w:t>
      </w:r>
      <w:r w:rsidRPr="00D42B1B">
        <w:t>données compilées par l’Institut national de la statistique et de la démographie montrent par exemple que le Bénin a engrangé 223,5</w:t>
      </w:r>
      <w:r w:rsidRPr="00D42B1B">
        <w:rPr>
          <w:rFonts w:ascii="Times New Roman" w:hAnsi="Times New Roman" w:cs="Times New Roman"/>
        </w:rPr>
        <w:t> </w:t>
      </w:r>
      <w:r w:rsidRPr="00D42B1B">
        <w:t>Md FCFA de recettes grâce à ses expéditions de coton non cardé ni peigné en 2025. L’introduction de la prime à la production en 2026/2027 constitue un signal fort en direction des producteurs, et s’inscrit dans un ensemble plus large de mesures destinées à soutenir la production agricole. En mai dernier, le gouvernement avait déjà annoncé une augmentation de 22,5%</w:t>
      </w:r>
      <w:r w:rsidR="00674E3F" w:rsidRPr="00D42B1B">
        <w:t xml:space="preserve"> </w:t>
      </w:r>
      <w:r w:rsidRPr="00D42B1B">
        <w:t>du budget consacré à la subvention des engrais pour la campagne 2026/2027, le portant à 31,87 Md FCFA. Cette initiative visait à garantir l’accès à des intrants à coût abordable dans un contexte de hausse des prix sur le marché mondial. L’ambition affichée d’accroître la production s’inscrit également dans une volonté de maintenir la position de leader régional de la production cotonnière. En mars dernier, le Mali, deuxième producteur de coton dans la sous-région et principal concurrent du Bénin, avait annoncé des prévisions de récolte plus basses pour sa campagne cotonnière 2026/2027 avec une estimation de production de 650 000 tonnes.</w:t>
      </w:r>
      <w:r w:rsidR="00674E3F" w:rsidRPr="00D42B1B">
        <w:t xml:space="preserve"> Le Bénin figure également parmi les tout premiers producteurs africains en termes de rendements avec 1 190 kg/ha lors de la campagne 2024-2025, niveau supérieur à celui du Mali avec 914 kg/ha sur la même période. La filière mobilise par ailleurs plus de 172 000 producteurs répartis sur l’ensemble du territoire.</w:t>
      </w:r>
    </w:p>
    <w:p w14:paraId="186215FA" w14:textId="05F1C7DA" w:rsidR="00751935" w:rsidRPr="00D42B1B" w:rsidRDefault="00751935" w:rsidP="005147EF">
      <w:pPr>
        <w:spacing w:after="0"/>
      </w:pPr>
    </w:p>
    <w:p w14:paraId="27ABB4D8" w14:textId="20280587" w:rsidR="00751935" w:rsidRPr="00D42B1B" w:rsidRDefault="00751935" w:rsidP="00A82DC2">
      <w:pPr>
        <w:spacing w:after="0" w:line="240" w:lineRule="auto"/>
        <w:outlineLvl w:val="1"/>
        <w:rPr>
          <w:rFonts w:eastAsia="Times New Roman" w:cs="Arial"/>
          <w:b/>
          <w:bCs/>
          <w:color w:val="444444"/>
          <w:szCs w:val="20"/>
          <w:lang w:eastAsia="fr-FR"/>
        </w:rPr>
      </w:pPr>
      <w:bookmarkStart w:id="161" w:name="_Toc233878728"/>
      <w:r w:rsidRPr="00D42B1B">
        <w:rPr>
          <w:b/>
          <w:bCs/>
        </w:rPr>
        <w:t>Anacarde – L’interdiction des exportations de noix brutes n’a pas encore favorisé la transformation locale.</w:t>
      </w:r>
      <w:bookmarkEnd w:id="161"/>
    </w:p>
    <w:p w14:paraId="7906EF0B" w14:textId="427404DA" w:rsidR="00751935" w:rsidRPr="00D42B1B" w:rsidRDefault="00751935" w:rsidP="00751935">
      <w:pPr>
        <w:spacing w:after="0"/>
      </w:pPr>
      <w:r w:rsidRPr="00D42B1B">
        <w:t xml:space="preserve">La transformation de l’anacarde gagne du terrain en Afrique de l’Ouest, portée par l’abondance de la production et par des politiques publiques plus favorables depuis une dizaine d’années. Mais derrière cet essor global, les trajectoires restent très contrastées d’un pays à l’autre. Ainsi au Bénin, la fin officielle des exportations de noix de cajou ne se serait pas traduite par une émergence d’une industrie de transformation locale selon M. Jim Fitzpatrick, expert du marché mondial du fruit à coques. La mesure en vigueur depuis avril 2024 s’inscrivait dans le cadre d’une politique visant à inciter les acteurs à traiter la production locale notamment au niveau de la Zone industrielle de </w:t>
      </w:r>
      <w:proofErr w:type="spellStart"/>
      <w:r w:rsidRPr="00D42B1B">
        <w:t>Glo-Djigbé</w:t>
      </w:r>
      <w:proofErr w:type="spellEnd"/>
      <w:r w:rsidRPr="00D42B1B">
        <w:t xml:space="preserve"> (GDIZ). Alors que cette décision doit permettre d’accroitre localement la création de valeur ajoutée, l’analyste estime que dans la pratique, le pays n’arrive pas toujours à absorber l’ensemble d’une récolte qui fluctue entre 170 000 et 180 000 tonnes par an malgré des capacités installées importantes. La situation continue de nourrir une forte expansion des activités de contrebande avec le produit acheminé vers l’Inde ou le Vietnam via le port de Lomé, au Togo, ou par des ports nigérians. Au cours des deux ou trois dernières années, il a été observé que les industriels locaux ne </w:t>
      </w:r>
      <w:r w:rsidRPr="00D42B1B">
        <w:lastRenderedPageBreak/>
        <w:t xml:space="preserve">voulaient pas payer le prix demandé par les producteurs ou ne disposaient pas de suffisamment de fonds de roulement ou de débouchés pour acheter et écouler toute la récolte. </w:t>
      </w:r>
      <w:r w:rsidR="00A82DC2" w:rsidRPr="00D42B1B">
        <w:t xml:space="preserve">Selon </w:t>
      </w:r>
      <w:r w:rsidRPr="00D42B1B">
        <w:t xml:space="preserve">les chiffres de l’année dernière, un peu moins de 30% de la récolte a été transformée dans le pays. Cela signifierait que près de 70% de la récolte a été redirigée vers le Togo ou le Nigéria. </w:t>
      </w:r>
      <w:r w:rsidR="00A82DC2" w:rsidRPr="00D42B1B">
        <w:t>L</w:t>
      </w:r>
      <w:r w:rsidRPr="00D42B1B">
        <w:t xml:space="preserve">e produit étiqueté comme originaire de ces pays est présenté une fois en Inde, comme du cajou d’origine béninoise dont la qualité est particulièrement appréciée. Cette situation a criminalisé les échanges dans le secteur, et si les prix au départ de l’exploitation baissent, les producteurs </w:t>
      </w:r>
      <w:r w:rsidR="00A82DC2" w:rsidRPr="00D42B1B">
        <w:t xml:space="preserve">risquent de </w:t>
      </w:r>
      <w:r w:rsidRPr="00D42B1B">
        <w:t>cesse</w:t>
      </w:r>
      <w:r w:rsidR="00A82DC2" w:rsidRPr="00D42B1B">
        <w:t>r</w:t>
      </w:r>
      <w:r w:rsidRPr="00D42B1B">
        <w:t xml:space="preserve"> de cultiver le cajou pour se tourner vers d’autres cultures. Le déploiement de forces militaires le long de la frontière n’a pas non plus empêché la contrebande</w:t>
      </w:r>
      <w:r w:rsidR="00A82DC2" w:rsidRPr="00D42B1B">
        <w:t xml:space="preserve">. Cette problématique a été </w:t>
      </w:r>
      <w:r w:rsidRPr="00D42B1B">
        <w:t>évoqué</w:t>
      </w:r>
      <w:r w:rsidR="00A82DC2" w:rsidRPr="00D42B1B">
        <w:t>e</w:t>
      </w:r>
      <w:r w:rsidRPr="00D42B1B">
        <w:t xml:space="preserve"> non seulement à propos de l’anacarde, mais aussi du soja, certains observateurs estim</w:t>
      </w:r>
      <w:r w:rsidR="00A82DC2" w:rsidRPr="00D42B1B">
        <w:t>a</w:t>
      </w:r>
      <w:r w:rsidRPr="00D42B1B">
        <w:t xml:space="preserve">nt qu’il </w:t>
      </w:r>
      <w:r w:rsidR="00A82DC2" w:rsidRPr="00D42B1B">
        <w:t xml:space="preserve">est </w:t>
      </w:r>
      <w:r w:rsidRPr="00D42B1B">
        <w:t>encore trop tôt pour faire le bilan de</w:t>
      </w:r>
      <w:r w:rsidR="00A82DC2" w:rsidRPr="00D42B1B">
        <w:t xml:space="preserve"> cette</w:t>
      </w:r>
      <w:r w:rsidRPr="00D42B1B">
        <w:t xml:space="preserve"> politique qui sort du lot au niveau régional</w:t>
      </w:r>
      <w:r w:rsidR="00A82DC2" w:rsidRPr="00D42B1B">
        <w:t xml:space="preserve"> puisque </w:t>
      </w:r>
      <w:r w:rsidRPr="00D42B1B">
        <w:t>le pays est le seul à interdire officiellement de manière complète les exportations de cajou en Afrique de l’Ouest. Les autres fournisseurs de la région appliquent des taxes à l’exportation de noix brutes et/ou instaurent des périodes spéciales pour l’approvisionnement en matières premières des usines implantées localement.</w:t>
      </w:r>
    </w:p>
    <w:bookmarkEnd w:id="156"/>
    <w:p w14:paraId="045A94A0" w14:textId="77777777" w:rsidR="009F178E" w:rsidRPr="00D42B1B" w:rsidRDefault="009F178E" w:rsidP="008529B1">
      <w:pPr>
        <w:spacing w:after="0"/>
      </w:pPr>
    </w:p>
    <w:p w14:paraId="60E08DB2" w14:textId="3354D66B" w:rsidR="00A547FE" w:rsidRPr="00D42B1B" w:rsidRDefault="00A547FE" w:rsidP="00313891">
      <w:pPr>
        <w:spacing w:after="0" w:line="240" w:lineRule="auto"/>
        <w:outlineLvl w:val="1"/>
        <w:rPr>
          <w:rFonts w:eastAsia="Times New Roman" w:cs="Arial"/>
          <w:b/>
          <w:bCs/>
          <w:color w:val="444444"/>
          <w:szCs w:val="20"/>
          <w:lang w:eastAsia="fr-FR"/>
        </w:rPr>
      </w:pPr>
      <w:bookmarkStart w:id="162" w:name="_Toc233878729"/>
      <w:r w:rsidRPr="00D42B1B">
        <w:rPr>
          <w:b/>
          <w:bCs/>
        </w:rPr>
        <w:t>Intrants – Démarrage du projet régional contre les pesticides hautement dangereux.</w:t>
      </w:r>
      <w:bookmarkEnd w:id="162"/>
    </w:p>
    <w:p w14:paraId="3CC92BD0" w14:textId="58B2856F" w:rsidR="00A547FE" w:rsidRPr="00D42B1B" w:rsidRDefault="00A547FE" w:rsidP="00A547FE">
      <w:pPr>
        <w:spacing w:after="0"/>
      </w:pPr>
      <w:r w:rsidRPr="00D42B1B">
        <w:t>Les autorités béninoises, des partenaires techniques, des producteurs, des organisations de la société civile et des acteurs du secteur privé ont officiellement lancé le 30 juin, le volet national du Projet régional d’élimination des pesticides hautement dangereux (PHD) et de promotion des alternatives agroécologiques durables en Afrique de l’Ouest. L’initiative, mise en œuvre par LARCASS Bénin, réunit quatre pays : le Bénin, le Sénégal, la Guinée et le Burkina Faso. A l’ouverture des travaux, le directeur exécutif de LARCASS Bénin, le Dr Ousmane Coulibaly, a salué la volonté commune d’accompagner la transition vers des pratiques agricoles moins dépendantes des produits chimiques les plus nocifs. Il a rappelé que de nombreux pesticides utilisés dans les exploitations provoquent des effets négatifs sur la santé humaine, la faune, les organismes du sol et les écosystèmes.</w:t>
      </w:r>
      <w:r w:rsidR="00313891" w:rsidRPr="00D42B1B">
        <w:t xml:space="preserve"> </w:t>
      </w:r>
      <w:r w:rsidRPr="00D42B1B">
        <w:t xml:space="preserve">Le responsable a également attiré l’attention sur l’entrée de produits phytosanitaires d’origine parfois inconnue sur le marché béninois, notamment en provenance des pays voisins. D’après lui, ces substances, dont certaines ne portent pas d’étiquetage, peuvent détruire aussi bien les ravageurs que les insectes utiles et les micro-organismes indispensables à la fertilité des sols. </w:t>
      </w:r>
      <w:r w:rsidR="00313891" w:rsidRPr="00D42B1B">
        <w:t>L</w:t>
      </w:r>
      <w:r w:rsidRPr="00D42B1B">
        <w:t>e</w:t>
      </w:r>
      <w:r w:rsidR="00313891" w:rsidRPr="00D42B1B">
        <w:t>s autorités ont rappelé que le</w:t>
      </w:r>
      <w:r w:rsidRPr="00D42B1B">
        <w:t xml:space="preserve"> projet répond aux engagements internationaux du Bénin. </w:t>
      </w:r>
      <w:r w:rsidR="00313891" w:rsidRPr="00D42B1B">
        <w:t>L</w:t>
      </w:r>
      <w:r w:rsidRPr="00D42B1B">
        <w:t>e pays est parti à plusieurs conventions internationales, notamment celles de Bâle, de Stockholm et de Rotterdam, qui encadrent la gestion des déchets dangereux, des polluants organiques persistants et du commerce des produits chimiques.</w:t>
      </w:r>
      <w:r w:rsidR="00313891" w:rsidRPr="00D42B1B">
        <w:t xml:space="preserve"> L</w:t>
      </w:r>
      <w:r w:rsidRPr="00D42B1B">
        <w:t xml:space="preserve">e </w:t>
      </w:r>
      <w:r w:rsidR="00313891" w:rsidRPr="00D42B1B">
        <w:t>p</w:t>
      </w:r>
      <w:r w:rsidRPr="00D42B1B">
        <w:t xml:space="preserve">rogramme d’action du gouvernement fait de la lutte contre la pollution chimique une priorité nationale, en cohérence avec les </w:t>
      </w:r>
      <w:r w:rsidR="00313891" w:rsidRPr="00D42B1B">
        <w:t>o</w:t>
      </w:r>
      <w:r w:rsidRPr="00D42B1B">
        <w:t>bjectifs de développement durable, notamment ceux relatifs à la santé et aux modes de consommation et de production responsables.</w:t>
      </w:r>
      <w:r w:rsidR="00313891" w:rsidRPr="00D42B1B">
        <w:t xml:space="preserve"> L</w:t>
      </w:r>
      <w:r w:rsidRPr="00D42B1B">
        <w:t>a réduction de l’utilisation des pesticides hautement dangereux constitue un enjeu majeur pour la durabilité de l’agriculture béninoise.</w:t>
      </w:r>
      <w:r w:rsidR="00313891" w:rsidRPr="00D42B1B">
        <w:t xml:space="preserve"> L</w:t>
      </w:r>
      <w:r w:rsidRPr="00D42B1B">
        <w:t xml:space="preserve">a dégradation des sols compromet les rendements agricoles et réduit la compétitivité des productions. </w:t>
      </w:r>
      <w:r w:rsidR="00313891" w:rsidRPr="00D42B1B">
        <w:t>L</w:t>
      </w:r>
      <w:r w:rsidRPr="00D42B1B">
        <w:t>e nouveau projet doit permettre d’offrir aux producteurs des solutions agroécologiques capables de contrôler les ravageurs tout en limitant les impacts environnementaux et sanitaires.</w:t>
      </w:r>
      <w:r w:rsidR="00313891" w:rsidRPr="00D42B1B">
        <w:t xml:space="preserve"> </w:t>
      </w:r>
      <w:r w:rsidRPr="00D42B1B">
        <w:t xml:space="preserve">Les échanges ont également porté sur le Système participatif de garantie (SPG), un mécanisme de certification biologique développé au Bénin pour accompagner la production et la commercialisation des produits issus de l’agriculture biologique. Présenté par les responsables de RENABIO Bénin, ce </w:t>
      </w:r>
      <w:r w:rsidRPr="00D42B1B">
        <w:lastRenderedPageBreak/>
        <w:t>dispositif vise à renforcer la confiance des consommateurs tout en réduisant les coûts de certification pour les producteurs.</w:t>
      </w:r>
      <w:r w:rsidR="00313891" w:rsidRPr="00D42B1B">
        <w:t xml:space="preserve"> </w:t>
      </w:r>
      <w:r w:rsidRPr="00D42B1B">
        <w:t>Les prochaines étapes porteront sur le déploiement des activités prévues auprès des producteurs et des différents acteurs engagés dans la promotion d’alternatives agroécologiques durables.</w:t>
      </w:r>
    </w:p>
    <w:p w14:paraId="70310715" w14:textId="77777777" w:rsidR="00425B67" w:rsidRPr="00D42B1B" w:rsidRDefault="00425B67" w:rsidP="00425B67">
      <w:pPr>
        <w:spacing w:after="0"/>
      </w:pPr>
    </w:p>
    <w:p w14:paraId="2FF6AB87" w14:textId="5F48F0E8" w:rsidR="00425B67" w:rsidRPr="00D42B1B" w:rsidRDefault="00425B67" w:rsidP="00425B67">
      <w:pPr>
        <w:spacing w:after="0" w:line="240" w:lineRule="auto"/>
        <w:outlineLvl w:val="1"/>
        <w:rPr>
          <w:rFonts w:eastAsia="Times New Roman" w:cs="Arial"/>
          <w:b/>
          <w:bCs/>
          <w:color w:val="444444"/>
          <w:szCs w:val="20"/>
          <w:lang w:eastAsia="fr-FR"/>
        </w:rPr>
      </w:pPr>
      <w:bookmarkStart w:id="163" w:name="_Toc233878730"/>
      <w:r w:rsidRPr="00D42B1B">
        <w:rPr>
          <w:b/>
          <w:bCs/>
        </w:rPr>
        <w:t>Irrigation - 656 M FCFA de la Banque Africaine de Développement (BAD) pour le bassin du Mono.</w:t>
      </w:r>
      <w:bookmarkEnd w:id="163"/>
    </w:p>
    <w:p w14:paraId="53B5E6DD" w14:textId="6EA63D2E" w:rsidR="00313891" w:rsidRPr="00D42B1B" w:rsidRDefault="00425B67" w:rsidP="00425B67">
      <w:pPr>
        <w:spacing w:after="0"/>
      </w:pPr>
      <w:r w:rsidRPr="00D42B1B">
        <w:t>La BAD prévoit d’accorder un financement de 656 M FCFA, en faveur du bassin transfrontalier du Mono, partagé entre le Bénin et le Togo. L’appui, qui doit encore être validé par le Conseil d’administration de l’institution, sera mobilisé à travers la Facilité africaine de l’eau. Les ressources permettront de financer des études destinées à définir une stratégie commune de gestion durable des ressources en eau et à élaborer un plan d’investissement pour le bassin. L’objectif est de préparer des projets susceptibles d’attirer, à terme, des financements plus importants dans des secteurs tels que l’eau potable, l’irrigation, l’hydroélectricité, l’assainissement ou encore la restauration des écosystèmes. Selon les modalités prévues, la Facilité africaine de l’eau apportera 700 000 EUR sous forme de don, tandis que l’Autorité du Bassin du Mono, le Bénin et le Togo contribueront au cofinancement du projet. S’étendant sur près de 24 300 km², le bassin du Mono représente une ressource essentielle pour les populations des deux pays. Il reste toutefois confronté à de nombreux défis, notamment les inondations, les sécheresses, la dégradation des écosystèmes et les effets du changement climatique. Cette initiative s’inscrit dans les efforts engagés par le Bénin et le Togo pour renforcer leur coopération dans la gestion durable des ressources en eau et mieux préparer les investissements futurs.</w:t>
      </w:r>
    </w:p>
    <w:p w14:paraId="7A860E6F" w14:textId="77777777" w:rsidR="00425B67" w:rsidRPr="00D42B1B" w:rsidRDefault="00425B67" w:rsidP="00425B67">
      <w:pPr>
        <w:spacing w:after="0"/>
      </w:pPr>
    </w:p>
    <w:p w14:paraId="1EDAF868" w14:textId="0A0A7631" w:rsidR="00A91168" w:rsidRPr="00D42B1B" w:rsidRDefault="00EA275E" w:rsidP="00EA275E">
      <w:pPr>
        <w:spacing w:after="0" w:line="240" w:lineRule="auto"/>
        <w:outlineLvl w:val="1"/>
        <w:rPr>
          <w:rFonts w:eastAsia="Times New Roman" w:cs="Arial"/>
          <w:b/>
          <w:bCs/>
          <w:color w:val="444444"/>
          <w:szCs w:val="20"/>
          <w:lang w:eastAsia="fr-FR"/>
        </w:rPr>
      </w:pPr>
      <w:bookmarkStart w:id="164" w:name="_Toc233878731"/>
      <w:bookmarkStart w:id="165" w:name="_Hlk232246534"/>
      <w:bookmarkStart w:id="166" w:name="_Hlk233053276"/>
      <w:r w:rsidRPr="00D42B1B">
        <w:rPr>
          <w:b/>
          <w:bCs/>
        </w:rPr>
        <w:t xml:space="preserve">Vie des société </w:t>
      </w:r>
      <w:r w:rsidR="00A91168" w:rsidRPr="00D42B1B">
        <w:rPr>
          <w:b/>
          <w:bCs/>
        </w:rPr>
        <w:t xml:space="preserve">- Le Singapourien </w:t>
      </w:r>
      <w:proofErr w:type="spellStart"/>
      <w:r w:rsidR="00A91168" w:rsidRPr="00D42B1B">
        <w:rPr>
          <w:b/>
          <w:bCs/>
        </w:rPr>
        <w:t>Wilmar</w:t>
      </w:r>
      <w:proofErr w:type="spellEnd"/>
      <w:r w:rsidR="00A91168" w:rsidRPr="00D42B1B">
        <w:rPr>
          <w:b/>
          <w:bCs/>
        </w:rPr>
        <w:t xml:space="preserve"> et le Nigérian Tropical General Investments Group (TGI) s’allient dans une coentreprise</w:t>
      </w:r>
      <w:r w:rsidRPr="00D42B1B">
        <w:rPr>
          <w:b/>
          <w:bCs/>
        </w:rPr>
        <w:t>.</w:t>
      </w:r>
      <w:bookmarkEnd w:id="164"/>
    </w:p>
    <w:bookmarkEnd w:id="157"/>
    <w:bookmarkEnd w:id="165"/>
    <w:bookmarkEnd w:id="166"/>
    <w:p w14:paraId="25848D54" w14:textId="5228B257" w:rsidR="002C7D7C" w:rsidRPr="00D42B1B" w:rsidRDefault="00A91168" w:rsidP="00A91168">
      <w:pPr>
        <w:spacing w:after="0"/>
      </w:pPr>
      <w:r w:rsidRPr="00D42B1B">
        <w:t xml:space="preserve">En Afrique de l’Ouest, si la plupart des pays demeurent importateurs nets de denrées alimentaires, le renforcement des capacités locales de transformation ouvre toutefois des perspectives aux opérateurs économiques qui peuvent substituer une partie des importations et gagner de nouvelles parts de marché. Le groupe singapourien </w:t>
      </w:r>
      <w:proofErr w:type="spellStart"/>
      <w:r w:rsidRPr="00D42B1B">
        <w:t>Wilmar</w:t>
      </w:r>
      <w:proofErr w:type="spellEnd"/>
      <w:r w:rsidRPr="00D42B1B">
        <w:t xml:space="preserve"> International Limited a conclu un accord avec le conglomérat nigérian TGI en vue de créer une coentreprise destinée à regrouper leurs activités agroalimentaires au Nigeria et au Bénin. L’opération vise à bâtir une plateforme intégrée couvrant l’ensemble de la chaîne de valeur agroalimentaire, de la production agricole à la distribution de produits alimentaires, en passant par la transformation. Selon un communiqué publié conjointement le 2 juin, les deux entreprises estiment que ce projet leur permettra de capter un marché potentiel de plus de 12 Md USD au Nigeria et au Bénin. Il est prévu que les activités regroupées par la coentreprise soient détenues par une holding basée à Singapour, contrôlée conjointement par </w:t>
      </w:r>
      <w:proofErr w:type="spellStart"/>
      <w:r w:rsidRPr="00D42B1B">
        <w:t>Wilmar</w:t>
      </w:r>
      <w:proofErr w:type="spellEnd"/>
      <w:r w:rsidRPr="00D42B1B">
        <w:t xml:space="preserve"> et le Groupe TGI à parts égales. Au Nigeria, les actifs du groupe singapourien portent principalement sur sa filiale locale PZ </w:t>
      </w:r>
      <w:proofErr w:type="spellStart"/>
      <w:r w:rsidRPr="00D42B1B">
        <w:t>Wilmar</w:t>
      </w:r>
      <w:proofErr w:type="spellEnd"/>
      <w:r w:rsidRPr="00D42B1B">
        <w:t xml:space="preserve">, dont les activités portent sur l’exploitation de plus de 26 500 ha de palmeraies et d’une raffinerie d’huile de palme intégrée, dotée d’une capacité de production de 1 000 tonnes par jour, pour la production d’huile de palme et de margarine. De son côté, TGI dispose d’un portefeuille industriel et commercial plus diversifié, structuré autour de plusieurs filiales, dont CHI Limited (boissons et produits laitiers), WACOT Rice (riz) et Golden Terra </w:t>
      </w:r>
      <w:proofErr w:type="spellStart"/>
      <w:r w:rsidRPr="00D42B1B">
        <w:t>Oil</w:t>
      </w:r>
      <w:proofErr w:type="spellEnd"/>
      <w:r w:rsidRPr="00D42B1B">
        <w:t xml:space="preserve"> (huiles alimentaires), ainsi que d’autres activités dans la transformation agroalimentaire et la distribution. Au Bénin, le groupe nigérian est présent dans la production et la commercialisation d’huile comestible à travers sa filiale </w:t>
      </w:r>
      <w:proofErr w:type="spellStart"/>
      <w:r w:rsidRPr="00D42B1B">
        <w:t>Fludor</w:t>
      </w:r>
      <w:proofErr w:type="spellEnd"/>
      <w:r w:rsidRPr="00D42B1B">
        <w:t xml:space="preserve"> Bénin SA. Avec plus de </w:t>
      </w:r>
      <w:r w:rsidRPr="00D42B1B">
        <w:lastRenderedPageBreak/>
        <w:t>240</w:t>
      </w:r>
      <w:r w:rsidRPr="00D42B1B">
        <w:rPr>
          <w:rFonts w:ascii="Times New Roman" w:hAnsi="Times New Roman" w:cs="Times New Roman"/>
        </w:rPr>
        <w:t> </w:t>
      </w:r>
      <w:r w:rsidR="00EA275E" w:rsidRPr="00D42B1B">
        <w:t>M </w:t>
      </w:r>
      <w:r w:rsidRPr="00D42B1B">
        <w:t>d</w:t>
      </w:r>
      <w:r w:rsidRPr="00D42B1B">
        <w:rPr>
          <w:rFonts w:cs="Marianne"/>
        </w:rPr>
        <w:t>’</w:t>
      </w:r>
      <w:r w:rsidRPr="00D42B1B">
        <w:t>habitants, le Nigeria repr</w:t>
      </w:r>
      <w:r w:rsidRPr="00D42B1B">
        <w:rPr>
          <w:rFonts w:cs="Marianne"/>
        </w:rPr>
        <w:t>é</w:t>
      </w:r>
      <w:r w:rsidRPr="00D42B1B">
        <w:t>sente le plus grand march</w:t>
      </w:r>
      <w:r w:rsidRPr="00D42B1B">
        <w:rPr>
          <w:rFonts w:cs="Marianne"/>
        </w:rPr>
        <w:t>é</w:t>
      </w:r>
      <w:r w:rsidRPr="00D42B1B">
        <w:t xml:space="preserve"> de consommation du continent africain. Si, en comparaison, la taille du marché béninois est beaucoup plus faible (près de 15</w:t>
      </w:r>
      <w:r w:rsidRPr="00D42B1B">
        <w:rPr>
          <w:rFonts w:ascii="Times New Roman" w:hAnsi="Times New Roman" w:cs="Times New Roman"/>
        </w:rPr>
        <w:t> </w:t>
      </w:r>
      <w:r w:rsidR="00EA275E" w:rsidRPr="00D42B1B">
        <w:t>M </w:t>
      </w:r>
      <w:r w:rsidRPr="00D42B1B">
        <w:t>d</w:t>
      </w:r>
      <w:r w:rsidRPr="00D42B1B">
        <w:rPr>
          <w:rFonts w:cs="Marianne"/>
        </w:rPr>
        <w:t>’</w:t>
      </w:r>
      <w:r w:rsidRPr="00D42B1B">
        <w:t xml:space="preserve">habitants), </w:t>
      </w:r>
      <w:r w:rsidR="00EA275E" w:rsidRPr="00D42B1B">
        <w:t xml:space="preserve">le pays </w:t>
      </w:r>
      <w:r w:rsidRPr="00D42B1B">
        <w:t>joue un r</w:t>
      </w:r>
      <w:r w:rsidRPr="00D42B1B">
        <w:rPr>
          <w:rFonts w:cs="Marianne"/>
        </w:rPr>
        <w:t>ô</w:t>
      </w:r>
      <w:r w:rsidRPr="00D42B1B">
        <w:t>le strat</w:t>
      </w:r>
      <w:r w:rsidRPr="00D42B1B">
        <w:rPr>
          <w:rFonts w:cs="Marianne"/>
        </w:rPr>
        <w:t>é</w:t>
      </w:r>
      <w:r w:rsidRPr="00D42B1B">
        <w:t>gique de plateforme logistique et commerciale en Afrique de l’Ouest pour le transit vers le Nigeria et les pays enclavés du Sahel (Niger, Burkina</w:t>
      </w:r>
      <w:r w:rsidR="00EA275E" w:rsidRPr="00D42B1B">
        <w:t> </w:t>
      </w:r>
      <w:r w:rsidRPr="00D42B1B">
        <w:t>Faso, Mali).</w:t>
      </w:r>
      <w:r w:rsidR="00EA275E" w:rsidRPr="00D42B1B">
        <w:t xml:space="preserve"> </w:t>
      </w:r>
      <w:r w:rsidRPr="00D42B1B">
        <w:t>Par ailleurs, les déficits de production et de transformation alimentaires restent importants dans tou</w:t>
      </w:r>
      <w:r w:rsidR="00EA275E" w:rsidRPr="00D42B1B">
        <w:t xml:space="preserve">s </w:t>
      </w:r>
      <w:r w:rsidRPr="00D42B1B">
        <w:t xml:space="preserve">ces pays, ce qui entretient une forte dépendance aux importations. En combinant leurs capacités industrielles, </w:t>
      </w:r>
      <w:proofErr w:type="spellStart"/>
      <w:r w:rsidRPr="00D42B1B">
        <w:t>Wilmar</w:t>
      </w:r>
      <w:proofErr w:type="spellEnd"/>
      <w:r w:rsidRPr="00D42B1B">
        <w:t xml:space="preserve"> et TGI peuvent renforcer la production locale à travers une plateforme intégrée et contribuer à la substitution d’une partie des importations.</w:t>
      </w:r>
      <w:r w:rsidR="00EA275E" w:rsidRPr="00D42B1B">
        <w:t xml:space="preserve"> </w:t>
      </w:r>
      <w:r w:rsidRPr="00D42B1B">
        <w:t>Toutefois la création de la coentreprise reste soumise à l’approbation des autorités de concurrence et aux conditions réglementaires habituelles. Sa finalisation est attendue d’ici le 31 décembre 2026. Si elle se concrétise, cette alliance pourrait renforcer l’industrialisation agroalimentaire en Afrique de l’Ouest et faire émerger un nouveau poids lourd de l’agrobusiness.</w:t>
      </w:r>
    </w:p>
    <w:p w14:paraId="0BE54CAD" w14:textId="77777777" w:rsidR="00A91168" w:rsidRPr="00D42B1B" w:rsidRDefault="00A91168" w:rsidP="00A91168">
      <w:pPr>
        <w:spacing w:after="0"/>
      </w:pPr>
    </w:p>
    <w:p w14:paraId="334EA717" w14:textId="62BA6625" w:rsidR="009267A0" w:rsidRPr="00D42B1B" w:rsidRDefault="009D0F96" w:rsidP="00065805">
      <w:pPr>
        <w:pStyle w:val="Titre1"/>
        <w:rPr>
          <w:rFonts w:eastAsia="Times New Roman" w:cs="Arial"/>
          <w:color w:val="444444"/>
          <w:szCs w:val="20"/>
          <w:lang w:eastAsia="fr-FR"/>
        </w:rPr>
      </w:pPr>
      <w:bookmarkStart w:id="167" w:name="_Toc233878732"/>
      <w:r w:rsidRPr="00D42B1B">
        <w:t>Burkina Faso</w:t>
      </w:r>
      <w:bookmarkStart w:id="168" w:name="_Toc207812045"/>
      <w:bookmarkStart w:id="169" w:name="_Toc207812913"/>
      <w:bookmarkStart w:id="170" w:name="_Toc207813075"/>
      <w:bookmarkEnd w:id="115"/>
      <w:bookmarkEnd w:id="116"/>
      <w:bookmarkEnd w:id="117"/>
      <w:bookmarkEnd w:id="167"/>
    </w:p>
    <w:p w14:paraId="1DC620CB" w14:textId="77777777" w:rsidR="00B76FD2" w:rsidRPr="00D42B1B" w:rsidRDefault="00B76FD2" w:rsidP="00B76FD2">
      <w:pPr>
        <w:spacing w:after="0" w:line="240" w:lineRule="auto"/>
        <w:outlineLvl w:val="1"/>
        <w:rPr>
          <w:rFonts w:eastAsia="Times New Roman" w:cs="Arial"/>
          <w:b/>
          <w:bCs/>
          <w:color w:val="444444"/>
          <w:szCs w:val="20"/>
          <w:lang w:eastAsia="fr-FR"/>
        </w:rPr>
      </w:pPr>
      <w:bookmarkStart w:id="171" w:name="_Toc233878733"/>
      <w:bookmarkStart w:id="172" w:name="_Hlk232247903"/>
      <w:bookmarkStart w:id="173" w:name="_Hlk233194760"/>
      <w:r w:rsidRPr="00D42B1B">
        <w:rPr>
          <w:b/>
          <w:bCs/>
        </w:rPr>
        <w:t>Coton – Ambition d’une récolte record de plus de 534 000 tonnes de coton pour la campagne 2026-2027.</w:t>
      </w:r>
      <w:bookmarkEnd w:id="171"/>
    </w:p>
    <w:p w14:paraId="54E4CF41" w14:textId="2292FB95" w:rsidR="00B76FD2" w:rsidRPr="00D42B1B" w:rsidRDefault="00B76FD2" w:rsidP="00B76FD2">
      <w:pPr>
        <w:spacing w:after="0"/>
      </w:pPr>
      <w:r w:rsidRPr="00D42B1B">
        <w:t>Le Burkina Faso affiche de grandes ambitions pour la campagne cotonnière 2026-2027, le gouvernement ayant fixé le 25 juin un objectif de production de 534 250 tonnes de coton graine. Ce volume comprend 532 000 tonnes de coton conventionnel et 2 250 tonnes de coton biologique. Cette ambition représente une nette hausse par rapport à la campagne 2025-2026, qui s'est achevée sur une production de 314 293 tonnes, contre 294 507 tonnes un an plus tôt. Cette progression a été rendue possible grâce à l'extension des superficies cultivées, passées de 346 778 à 391 407 ha, soit une augmentation de 13%. Pour encourager les producteurs à accroître leurs récoltes, le gouvernement a également arrêté les prix minimums d'achat du coton. Le coton conventionnel, qui constitue l'essentiel de la production, sera acheté au minimum à 310 FCFA/kg pour le premier choix et à 285 FCFA/kg pour le deuxième choix, selon la qualité de la fibre. Le coton biologique bénéficiera quant à lui d'un prix plus élevé, fixé à 375 FCFA/kg. Les autorités ont par ailleurs confirmé le maintien d'un soutien aux producteurs pour l'acquisition des engrais. Les sacs de 50 kg de fertilisant NPK-SB seront cédés à crédit au prix de 17 500 FCFA. Ce tarif est rendu possible grâce à une subvention dont la prise en charge par les sociétés cotonnières a été approuvée par le gouvernement. Les disponibilités en intrants sont jugées suffisantes pour lancer la campagne. Elles s'élèvent à 110 085 tonnes de NPK-SB et à 38 013 tonnes d'urée.</w:t>
      </w:r>
    </w:p>
    <w:p w14:paraId="7BCA42E4" w14:textId="77777777" w:rsidR="00023A85" w:rsidRPr="00D42B1B" w:rsidRDefault="00023A85" w:rsidP="00B76FD2">
      <w:pPr>
        <w:spacing w:after="0"/>
      </w:pPr>
    </w:p>
    <w:p w14:paraId="38037C60" w14:textId="7FDB94DC" w:rsidR="00AB6AAC" w:rsidRPr="00D42B1B" w:rsidRDefault="00AB6AAC" w:rsidP="000B4B3A">
      <w:pPr>
        <w:spacing w:after="0" w:line="240" w:lineRule="auto"/>
        <w:outlineLvl w:val="1"/>
        <w:rPr>
          <w:rFonts w:eastAsia="Times New Roman" w:cs="Arial"/>
          <w:b/>
          <w:bCs/>
          <w:color w:val="444444"/>
          <w:szCs w:val="20"/>
          <w:lang w:eastAsia="fr-FR"/>
        </w:rPr>
      </w:pPr>
      <w:bookmarkStart w:id="174" w:name="_Toc233878734"/>
      <w:r w:rsidRPr="00D42B1B">
        <w:rPr>
          <w:b/>
          <w:bCs/>
        </w:rPr>
        <w:t>Anacarde - La fili</w:t>
      </w:r>
      <w:r w:rsidRPr="00D42B1B">
        <w:rPr>
          <w:rFonts w:cs="Marianne"/>
          <w:b/>
          <w:bCs/>
        </w:rPr>
        <w:t>è</w:t>
      </w:r>
      <w:r w:rsidRPr="00D42B1B">
        <w:rPr>
          <w:b/>
          <w:bCs/>
        </w:rPr>
        <w:t>re se renforce avec une nouvelle unité de transformation.</w:t>
      </w:r>
      <w:bookmarkEnd w:id="174"/>
    </w:p>
    <w:bookmarkEnd w:id="172"/>
    <w:p w14:paraId="4C82BD00" w14:textId="497CEDA4" w:rsidR="00251D27" w:rsidRPr="00D42B1B" w:rsidRDefault="00AB6AAC" w:rsidP="00AB6AAC">
      <w:pPr>
        <w:spacing w:after="0"/>
      </w:pPr>
      <w:r w:rsidRPr="00D42B1B">
        <w:t xml:space="preserve">La noix de cajou figure parmi les principaux produits agricoles d’exportation burkinabè avec le coton, le karité ou encore le sésame. Le gouvernement qui souhaite accroître la création de valeur ajoutée dans ces filières, encourage les investissements dans la transformation locale. Le groupe suisse </w:t>
      </w:r>
      <w:proofErr w:type="spellStart"/>
      <w:r w:rsidRPr="00D42B1B">
        <w:t>Gebana</w:t>
      </w:r>
      <w:proofErr w:type="spellEnd"/>
      <w:r w:rsidRPr="00D42B1B">
        <w:t xml:space="preserve"> Faso a mis en service le 6 juin une unité de transformation d’anacarde basée à Péni, dans la région du </w:t>
      </w:r>
      <w:proofErr w:type="spellStart"/>
      <w:r w:rsidRPr="00D42B1B">
        <w:t>Guiriko</w:t>
      </w:r>
      <w:proofErr w:type="spellEnd"/>
      <w:r w:rsidRPr="00D42B1B">
        <w:t xml:space="preserve"> dans le sud-ouest du pays. Cette nouvelle installation fait partie d’un complexe agroindustriel occupant une superficie de 7,2 ha. Si le coût total de l’investissement n’a pas été révélé, l’unité est dotée d’une capacité de traitement de 10 000 tonnes de noix par an. Pour assurer son approvisionnement en matière première, l’entreprise compte sur un réseau de 7 200 producteurs locaux. Elle vient en outre renforcer </w:t>
      </w:r>
      <w:r w:rsidRPr="00D42B1B">
        <w:lastRenderedPageBreak/>
        <w:t>les capacités de transformation au sein de la filière. En décembre 2025, le Président M. Ibrahim Traoré avait déjà inauguré à Bobo Dioulasso, dans la même région, une unité de transformation de noix de cajou dénommée Burkina Cajou. D’un coût total de 9,74</w:t>
      </w:r>
      <w:r w:rsidRPr="00D42B1B">
        <w:rPr>
          <w:rFonts w:ascii="Times New Roman" w:hAnsi="Times New Roman" w:cs="Times New Roman"/>
        </w:rPr>
        <w:t xml:space="preserve"> </w:t>
      </w:r>
      <w:r w:rsidRPr="00D42B1B">
        <w:t>Md FCFA, elle est dot</w:t>
      </w:r>
      <w:r w:rsidRPr="00D42B1B">
        <w:rPr>
          <w:rFonts w:cs="Marianne"/>
        </w:rPr>
        <w:t>é</w:t>
      </w:r>
      <w:r w:rsidRPr="00D42B1B">
        <w:t>e d</w:t>
      </w:r>
      <w:r w:rsidRPr="00D42B1B">
        <w:rPr>
          <w:rFonts w:cs="Marianne"/>
        </w:rPr>
        <w:t>’</w:t>
      </w:r>
      <w:r w:rsidRPr="00D42B1B">
        <w:t>une capacit</w:t>
      </w:r>
      <w:r w:rsidRPr="00D42B1B">
        <w:rPr>
          <w:rFonts w:cs="Marianne"/>
        </w:rPr>
        <w:t>é</w:t>
      </w:r>
      <w:r w:rsidRPr="00D42B1B">
        <w:t xml:space="preserve"> de traitement de 15 000 tonnes par an, ce qui en fait la plus grande unit</w:t>
      </w:r>
      <w:r w:rsidRPr="00D42B1B">
        <w:rPr>
          <w:rFonts w:cs="Marianne"/>
        </w:rPr>
        <w:t>é</w:t>
      </w:r>
      <w:r w:rsidRPr="00D42B1B">
        <w:t xml:space="preserve"> de transformation du pays, selon les autorit</w:t>
      </w:r>
      <w:r w:rsidRPr="00D42B1B">
        <w:rPr>
          <w:rFonts w:cs="Marianne"/>
        </w:rPr>
        <w:t>é</w:t>
      </w:r>
      <w:r w:rsidRPr="00D42B1B">
        <w:t>s. Le Comité interprofessionnel de l’anacarde du Burkina Faso (CIAB) se fixe pour objectif de parvenir à transformer, à l’horizon 2033, 50% de la production nationale de noix de cajou au niveau local contre à peu près 10% actuellement.</w:t>
      </w:r>
      <w:r w:rsidR="000B4B3A" w:rsidRPr="00D42B1B">
        <w:t xml:space="preserve"> </w:t>
      </w:r>
      <w:r w:rsidRPr="00D42B1B">
        <w:t>Il convient de noter que la récolte de noix de cajou au Burkina Faso a été évaluée en moyenne à près de 140 000 tonnes par an entre 2018 et 2022, selon les statistiques officielles. En comparaison, le service indépendant de conseil commercial N’</w:t>
      </w:r>
      <w:proofErr w:type="spellStart"/>
      <w:r w:rsidRPr="00D42B1B">
        <w:t>kalô</w:t>
      </w:r>
      <w:proofErr w:type="spellEnd"/>
      <w:r w:rsidRPr="00D42B1B">
        <w:t xml:space="preserve"> estim</w:t>
      </w:r>
      <w:r w:rsidR="000B4B3A" w:rsidRPr="00D42B1B">
        <w:t>ait en février 2026</w:t>
      </w:r>
      <w:r w:rsidRPr="00D42B1B">
        <w:t xml:space="preserve"> que le pays n’a</w:t>
      </w:r>
      <w:r w:rsidR="000B4B3A" w:rsidRPr="00D42B1B">
        <w:t>vait</w:t>
      </w:r>
      <w:r w:rsidRPr="00D42B1B">
        <w:t xml:space="preserve"> transformé que 15 400 tonnes de noix de cajou en moyenne par an entre 2021 et 2025.</w:t>
      </w:r>
      <w:r w:rsidR="000B4B3A" w:rsidRPr="00D42B1B">
        <w:t xml:space="preserve"> </w:t>
      </w:r>
      <w:r w:rsidRPr="00D42B1B">
        <w:t>Alors que les investissements sur le segment de la transformation de l’anacarde se multiplient, la question de la disponibilité de la matière première en quantité suffisante pour les industriels reste au centre des préoccupations.</w:t>
      </w:r>
      <w:r w:rsidR="000B4B3A" w:rsidRPr="00D42B1B">
        <w:t xml:space="preserve"> </w:t>
      </w:r>
      <w:r w:rsidRPr="00D42B1B">
        <w:t>Comme dans la majorité des pays producteurs d’Afrique de l’Ouest, l’exportation de noix de cajou sous forme brute est privilégiée, notamment en raison des prix du marché international, souvent jugés plus attractifs pour les acteurs de la filière que ceux proposés par les industriels sur le marché local.</w:t>
      </w:r>
      <w:r w:rsidR="000B4B3A" w:rsidRPr="00D42B1B">
        <w:t xml:space="preserve"> </w:t>
      </w:r>
      <w:r w:rsidRPr="00D42B1B">
        <w:t xml:space="preserve">C’est dans ce contexte que le gouvernement burkinabè a suspendu en mars 2025 les exportations de noix de cajou brute afin de garantir aux unités locales de transformation un accès suffisant à la matière première. Le 20 mai, cette interdiction a été levée après que les usines </w:t>
      </w:r>
      <w:r w:rsidR="000B4B3A" w:rsidRPr="00D42B1B">
        <w:t>aien</w:t>
      </w:r>
      <w:r w:rsidRPr="00D42B1B">
        <w:t>t été correctement approvisionnées, les autorités précisant toutefois qu’elles se réservent le droit de réinstaurer la suspension si les besoins nationaux venaient à ne plus être assurés, afin de protéger la filière locale.</w:t>
      </w:r>
      <w:r w:rsidR="000B4B3A" w:rsidRPr="00D42B1B">
        <w:t xml:space="preserve"> </w:t>
      </w:r>
      <w:r w:rsidRPr="00D42B1B">
        <w:t xml:space="preserve">Cette alternance entre suspension et levée illustre les arbitrages que doit faire </w:t>
      </w:r>
      <w:r w:rsidR="000B4B3A" w:rsidRPr="00D42B1B">
        <w:t xml:space="preserve">le gouvernement </w:t>
      </w:r>
      <w:r w:rsidRPr="00D42B1B">
        <w:t>pour non seulement préserver les revenus des agriculteurs, mais aussi soutenir la transformation locale qui génère plus de valeur ajoutée dans la filière. En dépit de son faible niveau de transformation, la filière burkinabè a généré 67,5</w:t>
      </w:r>
      <w:r w:rsidRPr="00D42B1B">
        <w:rPr>
          <w:rFonts w:ascii="Times New Roman" w:hAnsi="Times New Roman" w:cs="Times New Roman"/>
        </w:rPr>
        <w:t> </w:t>
      </w:r>
      <w:r w:rsidR="000B4B3A" w:rsidRPr="00D42B1B">
        <w:t>Md F</w:t>
      </w:r>
      <w:r w:rsidRPr="00D42B1B">
        <w:t>CFA de recettes d</w:t>
      </w:r>
      <w:r w:rsidRPr="00D42B1B">
        <w:rPr>
          <w:rFonts w:cs="Marianne"/>
        </w:rPr>
        <w:t>’</w:t>
      </w:r>
      <w:r w:rsidRPr="00D42B1B">
        <w:t>exportation en 2024, selon l</w:t>
      </w:r>
      <w:r w:rsidRPr="00D42B1B">
        <w:rPr>
          <w:rFonts w:cs="Marianne"/>
        </w:rPr>
        <w:t>’</w:t>
      </w:r>
      <w:r w:rsidRPr="00D42B1B">
        <w:t>Institut national de la statistique et de la d</w:t>
      </w:r>
      <w:r w:rsidRPr="00D42B1B">
        <w:rPr>
          <w:rFonts w:cs="Marianne"/>
        </w:rPr>
        <w:t>é</w:t>
      </w:r>
      <w:r w:rsidRPr="00D42B1B">
        <w:t>mographie.</w:t>
      </w:r>
    </w:p>
    <w:p w14:paraId="58B57E40" w14:textId="45B936A4" w:rsidR="00425B67" w:rsidRPr="00D42B1B" w:rsidRDefault="00425B67" w:rsidP="00AB6AAC">
      <w:pPr>
        <w:spacing w:after="0"/>
      </w:pPr>
    </w:p>
    <w:p w14:paraId="50035558" w14:textId="4D4BEAE2" w:rsidR="00425B67" w:rsidRPr="00D42B1B" w:rsidRDefault="00425B67" w:rsidP="003262EA">
      <w:pPr>
        <w:spacing w:after="0" w:line="240" w:lineRule="auto"/>
        <w:outlineLvl w:val="1"/>
        <w:rPr>
          <w:rFonts w:eastAsia="Times New Roman" w:cs="Arial"/>
          <w:b/>
          <w:bCs/>
          <w:color w:val="444444"/>
          <w:szCs w:val="20"/>
          <w:lang w:eastAsia="fr-FR"/>
        </w:rPr>
      </w:pPr>
      <w:bookmarkStart w:id="175" w:name="_Toc233878735"/>
      <w:r w:rsidRPr="00D42B1B">
        <w:rPr>
          <w:b/>
          <w:bCs/>
        </w:rPr>
        <w:t>Mangue – Lutte contre les mouches des fruits.</w:t>
      </w:r>
      <w:bookmarkEnd w:id="175"/>
    </w:p>
    <w:p w14:paraId="5E11DA01" w14:textId="597F2369" w:rsidR="00425B67" w:rsidRPr="00D42B1B" w:rsidRDefault="00425B67" w:rsidP="00425B67">
      <w:pPr>
        <w:spacing w:after="0"/>
      </w:pPr>
      <w:r w:rsidRPr="00D42B1B">
        <w:t xml:space="preserve">Le </w:t>
      </w:r>
      <w:r w:rsidR="003262EA" w:rsidRPr="00D42B1B">
        <w:t>m</w:t>
      </w:r>
      <w:r w:rsidRPr="00D42B1B">
        <w:t>inistère de l’</w:t>
      </w:r>
      <w:r w:rsidR="003262EA" w:rsidRPr="00D42B1B">
        <w:t>a</w:t>
      </w:r>
      <w:r w:rsidRPr="00D42B1B">
        <w:t>griculture, de l’</w:t>
      </w:r>
      <w:r w:rsidR="003262EA" w:rsidRPr="00D42B1B">
        <w:t>e</w:t>
      </w:r>
      <w:r w:rsidRPr="00D42B1B">
        <w:t xml:space="preserve">au, des </w:t>
      </w:r>
      <w:r w:rsidR="003262EA" w:rsidRPr="00D42B1B">
        <w:t>r</w:t>
      </w:r>
      <w:r w:rsidRPr="00D42B1B">
        <w:t xml:space="preserve">essources animales et halieutiques, à travers la Direction générale de la production végétale (DGPV), a conduit, du 14 au 20 juin, des missions d’appui aux producteurs dans les régions du </w:t>
      </w:r>
      <w:proofErr w:type="spellStart"/>
      <w:r w:rsidRPr="00D42B1B">
        <w:t>Guiriko</w:t>
      </w:r>
      <w:proofErr w:type="spellEnd"/>
      <w:r w:rsidRPr="00D42B1B">
        <w:t xml:space="preserve"> et du </w:t>
      </w:r>
      <w:proofErr w:type="spellStart"/>
      <w:r w:rsidRPr="00D42B1B">
        <w:t>Tannounya</w:t>
      </w:r>
      <w:proofErr w:type="spellEnd"/>
      <w:r w:rsidRPr="00D42B1B">
        <w:t xml:space="preserve"> afin de renforcer les opérations de lutte contre les mouches des fruits.</w:t>
      </w:r>
      <w:r w:rsidR="003262EA" w:rsidRPr="00D42B1B">
        <w:t xml:space="preserve"> C</w:t>
      </w:r>
      <w:r w:rsidRPr="00D42B1B">
        <w:t>ette mission visait à freiner la prolifération des mouches des fruits, considérées comme l’un des principaux obstacles au développement de la production fruitière, en particulier de la filière mangue au Burkina Faso.</w:t>
      </w:r>
      <w:r w:rsidR="003262EA" w:rsidRPr="00D42B1B">
        <w:t xml:space="preserve"> </w:t>
      </w:r>
      <w:r w:rsidRPr="00D42B1B">
        <w:t>Ces activités s’inscrivent dans le cadre de la mise en œuvre du Plan national de riposte contre les mouches des fruits au Burkina Faso. Ce plan, élaboré pour réduire les pertes de production causées par les infestations, s’étend sur trois ans et poursuit trois objectifs majeurs : renforcer le système national de surveillance des mouches des fruits, améliorer les capacités des acteurs de la filière et mettre en œuvre des mesures de lutte efficaces et durables contre ce ravageur.</w:t>
      </w:r>
      <w:r w:rsidR="003262EA" w:rsidRPr="00D42B1B">
        <w:t xml:space="preserve"> </w:t>
      </w:r>
      <w:r w:rsidRPr="00D42B1B">
        <w:t>Filière prioritaire de l’Offensive agropastorale et halieutique, la mangue mobilise environ 28</w:t>
      </w:r>
      <w:r w:rsidR="003262EA" w:rsidRPr="00D42B1B">
        <w:t> </w:t>
      </w:r>
      <w:r w:rsidRPr="00D42B1B">
        <w:t>000</w:t>
      </w:r>
      <w:r w:rsidR="003262EA" w:rsidRPr="00D42B1B">
        <w:t> </w:t>
      </w:r>
      <w:r w:rsidRPr="00D42B1B">
        <w:t xml:space="preserve">acteurs et génère près de 30 </w:t>
      </w:r>
      <w:r w:rsidR="003262EA" w:rsidRPr="00D42B1B">
        <w:t xml:space="preserve">Md </w:t>
      </w:r>
      <w:r w:rsidRPr="00D42B1B">
        <w:t>FCFA par an, soit environ 0,5% du PIB national.</w:t>
      </w:r>
      <w:r w:rsidR="003262EA" w:rsidRPr="00D42B1B">
        <w:t xml:space="preserve"> </w:t>
      </w:r>
      <w:r w:rsidRPr="00D42B1B">
        <w:t xml:space="preserve">Cependant, la filière est confrontée depuis plusieurs années à la recrudescence de ravageurs, notamment les mouches des fruits des genres </w:t>
      </w:r>
      <w:proofErr w:type="spellStart"/>
      <w:r w:rsidRPr="00D42B1B">
        <w:rPr>
          <w:i/>
          <w:iCs/>
        </w:rPr>
        <w:t>Bactrocera</w:t>
      </w:r>
      <w:proofErr w:type="spellEnd"/>
      <w:r w:rsidRPr="00D42B1B">
        <w:t xml:space="preserve"> et </w:t>
      </w:r>
      <w:proofErr w:type="spellStart"/>
      <w:r w:rsidRPr="00D42B1B">
        <w:rPr>
          <w:i/>
          <w:iCs/>
        </w:rPr>
        <w:t>Ceratitis</w:t>
      </w:r>
      <w:proofErr w:type="spellEnd"/>
      <w:r w:rsidRPr="00D42B1B">
        <w:t xml:space="preserve">. Ces nuisibles occasionnent des pertes estimées entre 50% et 80% de la production, affectant les revenus des producteurs et la compétitivité de la mangue burkinabè sur les marchés nationaux et </w:t>
      </w:r>
      <w:r w:rsidRPr="00D42B1B">
        <w:lastRenderedPageBreak/>
        <w:t>internationaux.</w:t>
      </w:r>
      <w:r w:rsidR="003262EA" w:rsidRPr="00D42B1B">
        <w:t xml:space="preserve"> </w:t>
      </w:r>
      <w:r w:rsidRPr="00D42B1B">
        <w:t xml:space="preserve">Face à cette menace, </w:t>
      </w:r>
      <w:r w:rsidR="003262EA" w:rsidRPr="00D42B1B">
        <w:t xml:space="preserve">les autorités ont </w:t>
      </w:r>
      <w:r w:rsidRPr="00D42B1B">
        <w:t>adopté une approche intégrée, mobilisant l’ensemble des acteurs de la chaîne de valeur afin d’assurer une gestion durable et efficace de ce fléau, désormais érigé en priorité nationale à travers une stratégie spécifique de lutte.</w:t>
      </w:r>
      <w:r w:rsidR="003262EA" w:rsidRPr="00D42B1B">
        <w:t xml:space="preserve"> </w:t>
      </w:r>
      <w:r w:rsidRPr="00D42B1B">
        <w:t xml:space="preserve">Au cours de ces missions, les producteurs ont bénéficié de produits de traitement composés de </w:t>
      </w:r>
      <w:proofErr w:type="spellStart"/>
      <w:r w:rsidRPr="00D42B1B">
        <w:t>parapheromones</w:t>
      </w:r>
      <w:proofErr w:type="spellEnd"/>
      <w:r w:rsidRPr="00D42B1B">
        <w:t xml:space="preserve">, d’attractifs alimentaires biologiques et conventionnels, ainsi que d’un accompagnement technique portant sur les différentes méthodes de lutte, notamment </w:t>
      </w:r>
      <w:r w:rsidR="003262EA" w:rsidRPr="00D42B1B">
        <w:t xml:space="preserve">le traitement </w:t>
      </w:r>
      <w:r w:rsidRPr="00D42B1B">
        <w:t>des vergers et l’installation de pièges de capture des mouches.</w:t>
      </w:r>
      <w:r w:rsidR="003262EA" w:rsidRPr="00D42B1B">
        <w:t xml:space="preserve"> Les autorités ont </w:t>
      </w:r>
      <w:r w:rsidRPr="00D42B1B">
        <w:t xml:space="preserve">également mis à la disposition des producteurs vulnérables des produits phytosanitaires et du matériel de traitement d’une valeur de plus de 900 </w:t>
      </w:r>
      <w:r w:rsidR="003262EA" w:rsidRPr="00D42B1B">
        <w:t xml:space="preserve">M </w:t>
      </w:r>
      <w:r w:rsidRPr="00D42B1B">
        <w:t>FCFA afin de renforcer l’efficacité du dispositif national de lutte.</w:t>
      </w:r>
    </w:p>
    <w:p w14:paraId="533236CE" w14:textId="486D6270" w:rsidR="00B76FD2" w:rsidRPr="00D42B1B" w:rsidRDefault="00B76FD2" w:rsidP="00835273">
      <w:pPr>
        <w:spacing w:after="0"/>
      </w:pPr>
    </w:p>
    <w:p w14:paraId="0FF1E94C" w14:textId="463B0D38" w:rsidR="00B76FD2" w:rsidRPr="00D42B1B" w:rsidRDefault="00B76FD2" w:rsidP="00DF6AA9">
      <w:pPr>
        <w:spacing w:after="0" w:line="240" w:lineRule="auto"/>
        <w:outlineLvl w:val="1"/>
        <w:rPr>
          <w:rFonts w:eastAsia="Times New Roman" w:cs="Arial"/>
          <w:b/>
          <w:bCs/>
          <w:color w:val="444444"/>
          <w:szCs w:val="20"/>
          <w:lang w:eastAsia="fr-FR"/>
        </w:rPr>
      </w:pPr>
      <w:bookmarkStart w:id="176" w:name="_Toc233878736"/>
      <w:bookmarkStart w:id="177" w:name="_Hlk233869156"/>
      <w:r w:rsidRPr="00D42B1B">
        <w:rPr>
          <w:b/>
          <w:bCs/>
        </w:rPr>
        <w:t>Maraichage – Augmentation de 14,4% de la production.</w:t>
      </w:r>
      <w:bookmarkEnd w:id="176"/>
    </w:p>
    <w:bookmarkEnd w:id="177"/>
    <w:p w14:paraId="27664838" w14:textId="04275FE0" w:rsidR="00B76FD2" w:rsidRPr="00D42B1B" w:rsidRDefault="00B76FD2" w:rsidP="00B76FD2">
      <w:pPr>
        <w:spacing w:after="0"/>
      </w:pPr>
      <w:r w:rsidRPr="00D42B1B">
        <w:t>La production maraîchère a atteint près de 1,470 M de tonnes durant la campagne agricole 2025-2026, soit une hausse de 14,4% par rapport à la saison précédente (1,284 M de tonnes). Cette performance vient confirmer la dynamique de développement du secteur, soutenu par les politiques publiques d’aménagement et d’accès à l’eau.</w:t>
      </w:r>
      <w:r w:rsidR="00DF6AA9" w:rsidRPr="00D42B1B">
        <w:t xml:space="preserve"> L</w:t>
      </w:r>
      <w:r w:rsidRPr="00D42B1B">
        <w:t>a production des racines et tubercules s’est chiffrée à 61</w:t>
      </w:r>
      <w:r w:rsidR="00DF6AA9" w:rsidRPr="00D42B1B">
        <w:t xml:space="preserve"> </w:t>
      </w:r>
      <w:r w:rsidRPr="00D42B1B">
        <w:t>512 tonnes, également en progression de 5%.</w:t>
      </w:r>
      <w:r w:rsidR="00DF6AA9" w:rsidRPr="00D42B1B">
        <w:t xml:space="preserve"> Cette </w:t>
      </w:r>
      <w:r w:rsidRPr="00D42B1B">
        <w:t>performance traduit une amélioration progressive de la productivité agricole, malgré un contexte marqué par des défis sécuritaires et climatiques dans certaines zones du pays.</w:t>
      </w:r>
    </w:p>
    <w:p w14:paraId="7595D7E2" w14:textId="77777777" w:rsidR="00425B67" w:rsidRPr="00D42B1B" w:rsidRDefault="00425B67" w:rsidP="00B76FD2">
      <w:pPr>
        <w:spacing w:after="0"/>
      </w:pPr>
    </w:p>
    <w:p w14:paraId="5F803D87" w14:textId="76D36AF6" w:rsidR="0024001D" w:rsidRPr="00D42B1B" w:rsidRDefault="0024001D" w:rsidP="00CD19E1">
      <w:pPr>
        <w:spacing w:after="0" w:line="240" w:lineRule="auto"/>
        <w:outlineLvl w:val="1"/>
        <w:rPr>
          <w:rFonts w:eastAsia="Times New Roman" w:cs="Arial"/>
          <w:b/>
          <w:bCs/>
          <w:color w:val="444444"/>
          <w:szCs w:val="20"/>
          <w:lang w:eastAsia="fr-FR"/>
        </w:rPr>
      </w:pPr>
      <w:bookmarkStart w:id="178" w:name="_Toc233878737"/>
      <w:r w:rsidRPr="00D42B1B">
        <w:rPr>
          <w:b/>
          <w:bCs/>
        </w:rPr>
        <w:t>Semences – 3</w:t>
      </w:r>
      <w:r w:rsidRPr="00D42B1B">
        <w:rPr>
          <w:b/>
          <w:bCs/>
          <w:vertAlign w:val="superscript"/>
        </w:rPr>
        <w:t>ème</w:t>
      </w:r>
      <w:r w:rsidRPr="00D42B1B">
        <w:rPr>
          <w:b/>
          <w:bCs/>
        </w:rPr>
        <w:t xml:space="preserve"> Foire aux semences améliorées certifiées.</w:t>
      </w:r>
      <w:bookmarkEnd w:id="178"/>
    </w:p>
    <w:p w14:paraId="774D9E33" w14:textId="1087EC32" w:rsidR="0024001D" w:rsidRPr="00D42B1B" w:rsidRDefault="0024001D" w:rsidP="0024001D">
      <w:pPr>
        <w:spacing w:after="0"/>
      </w:pPr>
      <w:r w:rsidRPr="00D42B1B">
        <w:t xml:space="preserve">Le ministre d’Etat, ministre de l’agriculture, de l’eau, des ressources animales et halieutiques, le Commandant Ismaël </w:t>
      </w:r>
      <w:proofErr w:type="spellStart"/>
      <w:r w:rsidR="00EF5374" w:rsidRPr="00D42B1B">
        <w:t>Sombié</w:t>
      </w:r>
      <w:proofErr w:type="spellEnd"/>
      <w:r w:rsidR="00EF5374" w:rsidRPr="00D42B1B">
        <w:t xml:space="preserve">, </w:t>
      </w:r>
      <w:r w:rsidRPr="00D42B1B">
        <w:t>a présidé le 19 juin, la cérémonie d’ouverture de la 3</w:t>
      </w:r>
      <w:r w:rsidRPr="00D42B1B">
        <w:rPr>
          <w:vertAlign w:val="superscript"/>
        </w:rPr>
        <w:t>ème</w:t>
      </w:r>
      <w:r w:rsidRPr="00D42B1B">
        <w:t xml:space="preserve"> édition de la Foire aux semences améliorées certifiées, organisée par l’Union nationale des sociétés coopératives des producteurs semenciers du Burkina (UNPS-B). Au-delà d’un espace d’exposition et de commercialisation, </w:t>
      </w:r>
      <w:r w:rsidR="00CD19E1" w:rsidRPr="00D42B1B">
        <w:t>l</w:t>
      </w:r>
      <w:r w:rsidR="00EF5374" w:rsidRPr="00D42B1B">
        <w:t xml:space="preserve">e président de l’UNPS-B, M. </w:t>
      </w:r>
      <w:proofErr w:type="spellStart"/>
      <w:r w:rsidR="00EF5374" w:rsidRPr="00D42B1B">
        <w:t>Inoussa</w:t>
      </w:r>
      <w:proofErr w:type="spellEnd"/>
      <w:r w:rsidR="00EF5374" w:rsidRPr="00D42B1B">
        <w:t xml:space="preserve"> Ouédraogo, a indiqué que la foire constitue une plateforme d’échanges réunissant chercheurs, enseignants-chercheurs, producteurs semenciers, distributeurs, commerçants, producteurs agricoles, partenaires techniques et financiers ainsi que décideurs publics. L’objectif est de renforcer les synergies entre les acteurs et d’accélérer l’adoption des semences améliorées certifiées à l’échelle nationale. Cette troisième édition a également connu la participation d’organisations de l’Alliance des Etats du Sahel (AES), venues partager leurs expériences et renforcer la coopération régionale autour des enjeux de production semencière et de souveraineté alimentaire.</w:t>
      </w:r>
      <w:r w:rsidRPr="00D42B1B">
        <w:t xml:space="preserve"> Le ministre a souligné que l’amélioration variétale et la mise à disposition de semences performantes, adaptées aux réalités agroécologiques du pays, demeurent des leviers essentiels pour accroître durablement les productions agricoles. Placée sous le thème</w:t>
      </w:r>
      <w:r w:rsidR="00EF5374" w:rsidRPr="00D42B1B">
        <w:t xml:space="preserve"> de « l’accessibilité des semences améliorées certifiées : un levier de souveraineté alimentaire dans le contexte de l’Offensive agropastorale, hydraulique et halieutique »</w:t>
      </w:r>
      <w:r w:rsidRPr="00D42B1B">
        <w:t xml:space="preserve">, cette édition </w:t>
      </w:r>
      <w:r w:rsidR="00EF5374" w:rsidRPr="00D42B1B">
        <w:t xml:space="preserve">a été </w:t>
      </w:r>
      <w:r w:rsidRPr="00D42B1B">
        <w:t xml:space="preserve">marquée par la digitalisation de la commercialisation des semences certifiées. </w:t>
      </w:r>
      <w:r w:rsidR="00EF5374" w:rsidRPr="00D42B1B">
        <w:t>A</w:t>
      </w:r>
      <w:r w:rsidRPr="00D42B1B">
        <w:t xml:space="preserve"> travers une plateforme de vente en ligne, l’UNPS-B ambitionne de rapprocher davantage les semences des producteurs agricoles en facilitant les commandes et en assurant la livraison des produits dans un délai de 24 heures sur toute l’étendue du territoire national.</w:t>
      </w:r>
      <w:r w:rsidR="00EF5374" w:rsidRPr="00D42B1B">
        <w:t xml:space="preserve"> </w:t>
      </w:r>
      <w:r w:rsidRPr="00D42B1B">
        <w:t>Cette innovation témoigne de la volonté de l’organisation de moderniser la filière semencière</w:t>
      </w:r>
      <w:r w:rsidR="00EF5374" w:rsidRPr="00D42B1B">
        <w:t>.</w:t>
      </w:r>
    </w:p>
    <w:p w14:paraId="49D027FC" w14:textId="519ABF18" w:rsidR="002E3C52" w:rsidRPr="00D42B1B" w:rsidRDefault="002E3C52" w:rsidP="00AB6AAC">
      <w:pPr>
        <w:spacing w:after="0"/>
      </w:pPr>
    </w:p>
    <w:p w14:paraId="2A25C49E" w14:textId="73AAFF84" w:rsidR="002E3C52" w:rsidRPr="00D42B1B" w:rsidRDefault="002E3C52" w:rsidP="00835273">
      <w:pPr>
        <w:spacing w:after="0" w:line="240" w:lineRule="auto"/>
        <w:outlineLvl w:val="1"/>
        <w:rPr>
          <w:rFonts w:eastAsia="Times New Roman" w:cs="Arial"/>
          <w:b/>
          <w:bCs/>
          <w:color w:val="444444"/>
          <w:szCs w:val="20"/>
          <w:lang w:eastAsia="fr-FR"/>
        </w:rPr>
      </w:pPr>
      <w:bookmarkStart w:id="179" w:name="_Toc233878738"/>
      <w:bookmarkStart w:id="180" w:name="_Hlk233548383"/>
      <w:r w:rsidRPr="00D42B1B">
        <w:rPr>
          <w:b/>
          <w:bCs/>
        </w:rPr>
        <w:t xml:space="preserve">Elevage </w:t>
      </w:r>
      <w:r w:rsidR="008C3456" w:rsidRPr="00D42B1B">
        <w:rPr>
          <w:b/>
          <w:bCs/>
        </w:rPr>
        <w:t>–</w:t>
      </w:r>
      <w:r w:rsidRPr="00D42B1B">
        <w:rPr>
          <w:b/>
          <w:bCs/>
        </w:rPr>
        <w:t xml:space="preserve"> </w:t>
      </w:r>
      <w:r w:rsidR="008C3456" w:rsidRPr="00D42B1B">
        <w:rPr>
          <w:b/>
          <w:bCs/>
        </w:rPr>
        <w:t>Distribution de kits d’aviculture</w:t>
      </w:r>
      <w:r w:rsidR="00835273" w:rsidRPr="00D42B1B">
        <w:rPr>
          <w:b/>
          <w:bCs/>
        </w:rPr>
        <w:t>.</w:t>
      </w:r>
      <w:bookmarkEnd w:id="179"/>
    </w:p>
    <w:bookmarkEnd w:id="180"/>
    <w:p w14:paraId="0A9F005E" w14:textId="2423E1EE" w:rsidR="002E3C52" w:rsidRPr="00D42B1B" w:rsidRDefault="002E3C52" w:rsidP="002E3C52">
      <w:pPr>
        <w:spacing w:after="0"/>
      </w:pPr>
      <w:r w:rsidRPr="00D42B1B">
        <w:t xml:space="preserve">Le ministre délégué auprès du ministre d’Etat, ministre de l’agriculture, de l’eau, des ressources animales et halieutiques, chargé des ressources animales, le Dr Amadou Dicko, a présidé, le </w:t>
      </w:r>
      <w:r w:rsidRPr="00D42B1B">
        <w:lastRenderedPageBreak/>
        <w:t>19</w:t>
      </w:r>
      <w:r w:rsidR="008C3456" w:rsidRPr="00D42B1B">
        <w:t> </w:t>
      </w:r>
      <w:r w:rsidRPr="00D42B1B">
        <w:t xml:space="preserve">juin </w:t>
      </w:r>
      <w:r w:rsidR="008C3456" w:rsidRPr="00D42B1B">
        <w:t xml:space="preserve">à une </w:t>
      </w:r>
      <w:r w:rsidRPr="00D42B1B">
        <w:t xml:space="preserve">cérémonie de remise symbolique de kits d’aviculture aux bénéficiaires du Programme de renforcement de la résilience des petits producteurs, </w:t>
      </w:r>
      <w:proofErr w:type="spellStart"/>
      <w:r w:rsidRPr="00D42B1B">
        <w:rPr>
          <w:i/>
          <w:iCs/>
        </w:rPr>
        <w:t>Kakoadb-Jànsùli</w:t>
      </w:r>
      <w:proofErr w:type="spellEnd"/>
      <w:r w:rsidRPr="00D42B1B">
        <w:t xml:space="preserve"> (RESI-2P). </w:t>
      </w:r>
      <w:r w:rsidR="008C3456" w:rsidRPr="00D42B1B">
        <w:t xml:space="preserve"> </w:t>
      </w:r>
      <w:r w:rsidRPr="00D42B1B">
        <w:t>Dans le cadre de la mise en œuvre des orientations de l’Offensive agropastorale et halieutique</w:t>
      </w:r>
      <w:r w:rsidR="008C3456" w:rsidRPr="00D42B1B">
        <w:t xml:space="preserve"> du gouvernement</w:t>
      </w:r>
      <w:r w:rsidRPr="00D42B1B">
        <w:t xml:space="preserve">, le RESI-2P contribue au renforcement de la résilience économique des petits producteurs, en particulier des personnes déplacées internes, des femmes, des jeunes et des personnes vivant avec un handicap. </w:t>
      </w:r>
      <w:r w:rsidR="008C3456" w:rsidRPr="00D42B1B">
        <w:t xml:space="preserve">Mis en œuvre dans les régions du </w:t>
      </w:r>
      <w:proofErr w:type="spellStart"/>
      <w:r w:rsidR="008C3456" w:rsidRPr="00D42B1B">
        <w:t>Nando</w:t>
      </w:r>
      <w:proofErr w:type="spellEnd"/>
      <w:r w:rsidR="008C3456" w:rsidRPr="00D42B1B">
        <w:t xml:space="preserve"> et de </w:t>
      </w:r>
      <w:proofErr w:type="spellStart"/>
      <w:r w:rsidR="008C3456" w:rsidRPr="00D42B1B">
        <w:t>Yaadga</w:t>
      </w:r>
      <w:proofErr w:type="spellEnd"/>
      <w:r w:rsidR="008C3456" w:rsidRPr="00D42B1B">
        <w:t xml:space="preserve"> sur une période de huit ans, le programme devrait impacter, à terme, plus de 100 000 personnes. </w:t>
      </w:r>
      <w:r w:rsidRPr="00D42B1B">
        <w:t>C’est dans cette dynamique que 419 bénéficiaires ont reçu des kits avicoles destinés à soutenir le développement de leurs activités d’élevage.</w:t>
      </w:r>
      <w:r w:rsidR="008C3456" w:rsidRPr="00D42B1B">
        <w:t xml:space="preserve"> C</w:t>
      </w:r>
      <w:r w:rsidRPr="00D42B1B">
        <w:t xml:space="preserve">haque kit comprend du matériel destiné à la construction de poulaillers, des équipements d’amélioration des systèmes de production, ainsi que des intrants zootechniques et vétérinaires. </w:t>
      </w:r>
      <w:r w:rsidR="008C3456" w:rsidRPr="00D42B1B">
        <w:t>L</w:t>
      </w:r>
      <w:r w:rsidRPr="00D42B1B">
        <w:t xml:space="preserve">es bénéficiaires </w:t>
      </w:r>
      <w:r w:rsidR="008C3456" w:rsidRPr="00D42B1B">
        <w:t xml:space="preserve">seront également accompagnés </w:t>
      </w:r>
      <w:r w:rsidRPr="00D42B1B">
        <w:t>technique</w:t>
      </w:r>
      <w:r w:rsidR="008C3456" w:rsidRPr="00D42B1B">
        <w:t>ment</w:t>
      </w:r>
      <w:r w:rsidRPr="00D42B1B">
        <w:t xml:space="preserve"> par les services de l’élevage pendant une période minimale de six mois.</w:t>
      </w:r>
    </w:p>
    <w:p w14:paraId="3CF5F393" w14:textId="77777777" w:rsidR="00E26B86" w:rsidRPr="00D42B1B" w:rsidRDefault="00E26B86" w:rsidP="00AB6AAC">
      <w:pPr>
        <w:spacing w:after="0"/>
      </w:pPr>
    </w:p>
    <w:p w14:paraId="2EB80A24" w14:textId="7427D6C4" w:rsidR="00E26B86" w:rsidRPr="00D42B1B" w:rsidRDefault="004743F2" w:rsidP="004743F2">
      <w:pPr>
        <w:spacing w:after="0" w:line="240" w:lineRule="auto"/>
        <w:outlineLvl w:val="1"/>
        <w:rPr>
          <w:rFonts w:eastAsia="Times New Roman" w:cs="Arial"/>
          <w:b/>
          <w:bCs/>
          <w:color w:val="444444"/>
          <w:szCs w:val="20"/>
          <w:lang w:eastAsia="fr-FR"/>
        </w:rPr>
      </w:pPr>
      <w:bookmarkStart w:id="181" w:name="_Toc233878739"/>
      <w:bookmarkStart w:id="182" w:name="_Hlk233548006"/>
      <w:r w:rsidRPr="00D42B1B">
        <w:rPr>
          <w:b/>
          <w:bCs/>
        </w:rPr>
        <w:t xml:space="preserve">Irrigation – </w:t>
      </w:r>
      <w:r w:rsidR="00E26B86" w:rsidRPr="00D42B1B">
        <w:rPr>
          <w:b/>
          <w:bCs/>
        </w:rPr>
        <w:t>11 774 ha de périmètres irrigués aménagés en trois ans</w:t>
      </w:r>
      <w:r w:rsidRPr="00D42B1B">
        <w:rPr>
          <w:b/>
          <w:bCs/>
        </w:rPr>
        <w:t>.</w:t>
      </w:r>
      <w:bookmarkEnd w:id="181"/>
    </w:p>
    <w:bookmarkEnd w:id="182"/>
    <w:p w14:paraId="785F5477" w14:textId="0A80E94A" w:rsidR="00CD32C1" w:rsidRPr="00D42B1B" w:rsidRDefault="00E26B86" w:rsidP="00CD32C1">
      <w:pPr>
        <w:spacing w:after="0"/>
      </w:pPr>
      <w:r w:rsidRPr="00D42B1B">
        <w:t>11 774 hectares de périmètres irrigués ont été aménagés et réhabilités entre 2023 et 2026, a annoncé le 15 juin le ministre d’</w:t>
      </w:r>
      <w:r w:rsidR="004743F2" w:rsidRPr="00D42B1B">
        <w:t>E</w:t>
      </w:r>
      <w:r w:rsidRPr="00D42B1B">
        <w:t xml:space="preserve">tat, ministre de l’agriculture, de l’eau, des ressources animales et halieutiques, le commandant Ismaël </w:t>
      </w:r>
      <w:proofErr w:type="spellStart"/>
      <w:r w:rsidRPr="00D42B1B">
        <w:t>Sombié</w:t>
      </w:r>
      <w:proofErr w:type="spellEnd"/>
      <w:r w:rsidRPr="00D42B1B">
        <w:t xml:space="preserve">, à l’occasion de la mise en eau de 1 000 ha dans la province de la Léraba, région des </w:t>
      </w:r>
      <w:proofErr w:type="spellStart"/>
      <w:r w:rsidRPr="00D42B1B">
        <w:t>Tannounyan</w:t>
      </w:r>
      <w:proofErr w:type="spellEnd"/>
      <w:r w:rsidRPr="00D42B1B">
        <w:t xml:space="preserve">. Selon les données présentées, le pays disposait auparavant d’environ 16 100 ha de périmètres irrigués, dont plus de 8 300 ha étaient jugés non exploitables. Ces nouvelles réalisations s’inscrivent dans la stratégie nationale de souveraineté alimentaire et dans le cadre de l’Offensive agropastorale et halieutique, qui vise notamment à permettre aux producteurs de réaliser jusqu’à trois campagnes agricoles par an grâce à la maîtrise de l’eau. </w:t>
      </w:r>
      <w:r w:rsidR="00827393" w:rsidRPr="00D42B1B">
        <w:t xml:space="preserve">Le ministre a ainsi officiellement réceptionné à </w:t>
      </w:r>
      <w:proofErr w:type="spellStart"/>
      <w:r w:rsidR="00827393" w:rsidRPr="00D42B1B">
        <w:t>Douna</w:t>
      </w:r>
      <w:proofErr w:type="spellEnd"/>
      <w:r w:rsidR="00827393" w:rsidRPr="00D42B1B">
        <w:t>, deux périmètres irrigués</w:t>
      </w:r>
      <w:r w:rsidR="00CD32C1" w:rsidRPr="00D42B1B">
        <w:t xml:space="preserve"> réalisés dans le cadre du Projet d’aménagement et de valorisation de la plaine de la Léraba (PAVAL)</w:t>
      </w:r>
      <w:r w:rsidR="00827393" w:rsidRPr="00D42B1B">
        <w:t xml:space="preserve">. Pour le premier périmètre, celui de la Léraba, il s’agit d’une réhabilitation (après une inondation qu’a subi l’ouvrage en 2024) sur une superficie totale de 410 ha. Quant au second, celui de </w:t>
      </w:r>
      <w:proofErr w:type="spellStart"/>
      <w:r w:rsidR="00827393" w:rsidRPr="00D42B1B">
        <w:t>Douna</w:t>
      </w:r>
      <w:proofErr w:type="spellEnd"/>
      <w:r w:rsidR="00827393" w:rsidRPr="00D42B1B">
        <w:t xml:space="preserve">, il est un nouvel aménagement qui s’étend sur une superficie de 600 ha. Sur le périmètre réhabilité, les travaux ont concerné principalement la reprise du canal primaire sur 600 m, la réalisation d’une digue de protection de 814 m, la réalisation d’une piste dotée d’ouvrages de franchissement et l’entretien des vannes existantes. Pour le nouveau périmètre de </w:t>
      </w:r>
      <w:proofErr w:type="spellStart"/>
      <w:r w:rsidR="00827393" w:rsidRPr="00D42B1B">
        <w:t>Douna</w:t>
      </w:r>
      <w:proofErr w:type="spellEnd"/>
      <w:r w:rsidR="00827393" w:rsidRPr="00D42B1B">
        <w:t>, les travaux ont concerné la construction d’un canal primaire de 4 km, de 5 canaux secondaires de 12 km, de 40 canaux tertiaires de 6 km et de canaux quaternaires. Ce périmètre est subdivisé en 5 blocs répartis de part et d’autre de la rivière Léraba. Chaque bloc est composé d’une digue de protection et l’ensemble des digues de protection font 18 km de longueur. En plus de ces digues, ont été réalisés des drains et des fossés de garde, le recalibrage du lit de la Léraba par endroit et 42 km de pistes</w:t>
      </w:r>
      <w:r w:rsidR="00CD32C1" w:rsidRPr="00D42B1B">
        <w:t xml:space="preserve">, ainsi que </w:t>
      </w:r>
      <w:r w:rsidR="00827393" w:rsidRPr="00D42B1B">
        <w:t>12</w:t>
      </w:r>
      <w:r w:rsidR="00BD6EC0" w:rsidRPr="00D42B1B">
        <w:t> </w:t>
      </w:r>
      <w:r w:rsidR="00827393" w:rsidRPr="00D42B1B">
        <w:t xml:space="preserve">magasins </w:t>
      </w:r>
      <w:r w:rsidR="00BD6EC0" w:rsidRPr="00D42B1B">
        <w:t xml:space="preserve">(six de stockage de 250 tonnes destinés au riz et au blé, six de 20 tonnes pour les oignons) </w:t>
      </w:r>
      <w:r w:rsidR="00827393" w:rsidRPr="00D42B1B">
        <w:t>et des aires de séchage construits pour faciliter la conservation des</w:t>
      </w:r>
      <w:r w:rsidR="00CD32C1" w:rsidRPr="00D42B1B">
        <w:t xml:space="preserve"> productions</w:t>
      </w:r>
      <w:r w:rsidR="00827393" w:rsidRPr="00D42B1B">
        <w:t>.</w:t>
      </w:r>
      <w:r w:rsidR="00CD32C1" w:rsidRPr="00D42B1B">
        <w:t xml:space="preserve"> </w:t>
      </w:r>
      <w:r w:rsidR="00BD6EC0" w:rsidRPr="00D42B1B">
        <w:t xml:space="preserve">Le site compte 2 340 parcelles au profit de 1 400 exploitants. </w:t>
      </w:r>
      <w:r w:rsidR="00827393" w:rsidRPr="00D42B1B">
        <w:t xml:space="preserve">Ces investissements, </w:t>
      </w:r>
      <w:r w:rsidR="00CD32C1" w:rsidRPr="00D42B1B">
        <w:t xml:space="preserve">doivent </w:t>
      </w:r>
      <w:r w:rsidR="00827393" w:rsidRPr="00D42B1B">
        <w:t>améliorer les rendements. Sur le périmètre réhabilité, 5 648 tonnes de riz et de blé sont attendues par an. Pour le nouveau périmètre, ce sont 3 153 tonnes de riz qui sont attendues en campagne humide et autant en campagne sèche, en plus des 1 051 tonnes de blé attendues en campagne sèche. Pour ce qui est des coûts des réalisations, la réhabilitation a couté environ 2</w:t>
      </w:r>
      <w:r w:rsidR="00CD32C1" w:rsidRPr="00D42B1B">
        <w:t xml:space="preserve"> Md </w:t>
      </w:r>
      <w:r w:rsidR="00827393" w:rsidRPr="00D42B1B">
        <w:t>CFA tandis que le nouvel aménagement a couté environ 12</w:t>
      </w:r>
      <w:r w:rsidR="00BD6EC0" w:rsidRPr="00D42B1B">
        <w:t> </w:t>
      </w:r>
      <w:r w:rsidR="00CD32C1" w:rsidRPr="00D42B1B">
        <w:t xml:space="preserve">Md </w:t>
      </w:r>
      <w:r w:rsidR="00827393" w:rsidRPr="00D42B1B">
        <w:t>FCFA.</w:t>
      </w:r>
      <w:r w:rsidR="00CD32C1" w:rsidRPr="00D42B1B">
        <w:t xml:space="preserve"> Le ministre a </w:t>
      </w:r>
      <w:r w:rsidR="00827393" w:rsidRPr="00D42B1B">
        <w:t xml:space="preserve">évoqué des réhabilitations, des aménagements et des extensions de périmètres irrigués et des curages, </w:t>
      </w:r>
      <w:r w:rsidR="00827393" w:rsidRPr="00D42B1B">
        <w:lastRenderedPageBreak/>
        <w:t xml:space="preserve">des réhabilitations et des confortations de barrages. </w:t>
      </w:r>
      <w:r w:rsidR="00CD32C1" w:rsidRPr="00D42B1B">
        <w:t xml:space="preserve">Il </w:t>
      </w:r>
      <w:r w:rsidR="00827393" w:rsidRPr="00D42B1B">
        <w:t xml:space="preserve">a insisté </w:t>
      </w:r>
      <w:r w:rsidR="00CD32C1" w:rsidRPr="00D42B1B">
        <w:t xml:space="preserve">sur la nécessité de </w:t>
      </w:r>
      <w:r w:rsidR="00827393" w:rsidRPr="00D42B1B">
        <w:t xml:space="preserve">prendre soin des infrastructures réalisées en évitant les mauvaises pratiques du passé qui avaient conduit à la détérioration des ouvrages. </w:t>
      </w:r>
    </w:p>
    <w:p w14:paraId="45BD1B82" w14:textId="5D143EDA" w:rsidR="009062E3" w:rsidRPr="00D42B1B" w:rsidRDefault="009A1221" w:rsidP="004743F2">
      <w:pPr>
        <w:spacing w:after="0"/>
      </w:pPr>
      <w:r w:rsidRPr="00D42B1B">
        <w:t xml:space="preserve">Dans le cadre de </w:t>
      </w:r>
      <w:r w:rsidR="004743F2" w:rsidRPr="00D42B1B">
        <w:t xml:space="preserve">sa </w:t>
      </w:r>
      <w:r w:rsidRPr="00D42B1B">
        <w:t xml:space="preserve">tournée de suivi des infrastructures hydrauliques, le ministre </w:t>
      </w:r>
      <w:r w:rsidR="004743F2" w:rsidRPr="00D42B1B">
        <w:t xml:space="preserve">a également procédé le 16 juin 2026 à la mise en eau du périmètre irrigué de </w:t>
      </w:r>
      <w:proofErr w:type="spellStart"/>
      <w:r w:rsidR="004743F2" w:rsidRPr="00D42B1B">
        <w:t>Séguéré</w:t>
      </w:r>
      <w:proofErr w:type="spellEnd"/>
      <w:r w:rsidR="004743F2" w:rsidRPr="00D42B1B">
        <w:t xml:space="preserve"> dans la commune de </w:t>
      </w:r>
      <w:proofErr w:type="spellStart"/>
      <w:r w:rsidR="004743F2" w:rsidRPr="00D42B1B">
        <w:t>Bama</w:t>
      </w:r>
      <w:proofErr w:type="spellEnd"/>
      <w:r w:rsidR="004743F2" w:rsidRPr="00D42B1B">
        <w:t xml:space="preserve">, région du </w:t>
      </w:r>
      <w:proofErr w:type="spellStart"/>
      <w:r w:rsidR="004743F2" w:rsidRPr="00D42B1B">
        <w:t>Guiriko</w:t>
      </w:r>
      <w:proofErr w:type="spellEnd"/>
      <w:r w:rsidR="004743F2" w:rsidRPr="00D42B1B">
        <w:t>. D’une superficie de 180 ha, ce périmètre irrigué a été entièrement aménagé grâce au Projet de résilience et de compétitivité agricole (</w:t>
      </w:r>
      <w:proofErr w:type="spellStart"/>
      <w:r w:rsidR="004743F2" w:rsidRPr="00D42B1B">
        <w:t>PReCA</w:t>
      </w:r>
      <w:proofErr w:type="spellEnd"/>
      <w:r w:rsidR="004743F2" w:rsidRPr="00D42B1B">
        <w:t xml:space="preserve">). L’histoire de cet aménagement remonte à 2002 avec son lancement dans le cadre du Programme de développement intégré de la vallée de </w:t>
      </w:r>
      <w:proofErr w:type="spellStart"/>
      <w:r w:rsidR="004743F2" w:rsidRPr="00D42B1B">
        <w:t>Samendéni</w:t>
      </w:r>
      <w:proofErr w:type="spellEnd"/>
      <w:r w:rsidR="004743F2" w:rsidRPr="00D42B1B">
        <w:t xml:space="preserve"> (PDIS). Cependant, les travaux avaient été arrêtés à partir de 2021. Le ministre avait donné des instructions pour une reprise rapide des travaux en mars 2024 dans le cadre du </w:t>
      </w:r>
      <w:proofErr w:type="spellStart"/>
      <w:r w:rsidR="004743F2" w:rsidRPr="00D42B1B">
        <w:t>PReCA</w:t>
      </w:r>
      <w:proofErr w:type="spellEnd"/>
      <w:r w:rsidR="004743F2" w:rsidRPr="00D42B1B">
        <w:t xml:space="preserve">. Les travaux ont porté notamment sur la réalisation d’un ouvrage de prise d’eau sur le fleuve Mouhoun avec un seuil étanche garantissant la fiabilité du système de pompage, la construction d’une station d’exhaure comprenant une bâche d’aspiration, un canal de </w:t>
      </w:r>
      <w:proofErr w:type="spellStart"/>
      <w:r w:rsidR="004743F2" w:rsidRPr="00D42B1B">
        <w:t>dégravement</w:t>
      </w:r>
      <w:proofErr w:type="spellEnd"/>
      <w:r w:rsidR="004743F2" w:rsidRPr="00D42B1B">
        <w:t>, des groupes électropompes, un groupe électrogène et les équipements connexes, la pose de conduites de refoulement reliant la station de pompage à un ouvrage de répartition surélevé alimentant les canaux primaires, l’achèvement du réseau d’irrigation, le reprofilage des réseaux d’assainissement et de drainage, la réalisation d’un réseau de pistes facilitant la circulation à l’intérieur du périmètre.</w:t>
      </w:r>
      <w:r w:rsidR="009062E3" w:rsidRPr="00D42B1B">
        <w:t xml:space="preserve"> </w:t>
      </w:r>
      <w:r w:rsidR="004743F2" w:rsidRPr="00D42B1B">
        <w:t>L’aménagement comprend également un magasin de stockage d’une capacité de 250 tonnes</w:t>
      </w:r>
      <w:r w:rsidR="009062E3" w:rsidRPr="00D42B1B">
        <w:t xml:space="preserve"> et</w:t>
      </w:r>
      <w:r w:rsidR="004743F2" w:rsidRPr="00D42B1B">
        <w:t xml:space="preserve"> une aire de séchage contribuant ainsi à la conservation et à la commercialisation des récoltes.</w:t>
      </w:r>
      <w:r w:rsidR="009062E3" w:rsidRPr="00D42B1B">
        <w:t xml:space="preserve"> Le </w:t>
      </w:r>
      <w:r w:rsidR="004743F2" w:rsidRPr="00D42B1B">
        <w:t xml:space="preserve">périmètre irrigué de </w:t>
      </w:r>
      <w:proofErr w:type="spellStart"/>
      <w:r w:rsidR="004743F2" w:rsidRPr="00D42B1B">
        <w:t>Séguéré</w:t>
      </w:r>
      <w:proofErr w:type="spellEnd"/>
      <w:r w:rsidR="004743F2" w:rsidRPr="00D42B1B">
        <w:t xml:space="preserve"> </w:t>
      </w:r>
      <w:r w:rsidR="009062E3" w:rsidRPr="00D42B1B">
        <w:t xml:space="preserve">doit </w:t>
      </w:r>
      <w:r w:rsidR="004743F2" w:rsidRPr="00D42B1B">
        <w:t>permettr</w:t>
      </w:r>
      <w:r w:rsidR="009062E3" w:rsidRPr="00D42B1B">
        <w:t>e</w:t>
      </w:r>
      <w:r w:rsidR="004743F2" w:rsidRPr="00D42B1B">
        <w:t xml:space="preserve"> de produire annuellement environ 600 tonnes de riz en campagne humide, 400 tonnes de blé en saison sèche, 2 000 tonnes de tomate</w:t>
      </w:r>
      <w:r w:rsidR="009062E3" w:rsidRPr="00D42B1B">
        <w:t>s</w:t>
      </w:r>
      <w:r w:rsidR="004743F2" w:rsidRPr="00D42B1B">
        <w:t xml:space="preserve"> et 1 700 tonnes d’oignon</w:t>
      </w:r>
      <w:r w:rsidR="009062E3" w:rsidRPr="00D42B1B">
        <w:t>s</w:t>
      </w:r>
      <w:r w:rsidR="004743F2" w:rsidRPr="00D42B1B">
        <w:t xml:space="preserve">. La valeur de </w:t>
      </w:r>
      <w:r w:rsidR="009062E3" w:rsidRPr="00D42B1B">
        <w:t xml:space="preserve">la </w:t>
      </w:r>
      <w:r w:rsidR="004743F2" w:rsidRPr="00D42B1B">
        <w:t>production est estimée à plus de 1,88</w:t>
      </w:r>
      <w:r w:rsidR="009062E3" w:rsidRPr="00D42B1B">
        <w:t xml:space="preserve"> Md FCFA </w:t>
      </w:r>
      <w:r w:rsidR="004743F2" w:rsidRPr="00D42B1B">
        <w:t>par an.</w:t>
      </w:r>
      <w:r w:rsidR="009062E3" w:rsidRPr="00D42B1B">
        <w:t xml:space="preserve"> Le ministre </w:t>
      </w:r>
      <w:r w:rsidR="004743F2" w:rsidRPr="00D42B1B">
        <w:t>a salué l’aboutissement de ce projet, qu’il considère comme une étape importante dans la mise en valeur des 21 000 h</w:t>
      </w:r>
      <w:r w:rsidR="009062E3" w:rsidRPr="00D42B1B">
        <w:t>a</w:t>
      </w:r>
      <w:r w:rsidR="004743F2" w:rsidRPr="00D42B1B">
        <w:t xml:space="preserve"> de l’</w:t>
      </w:r>
      <w:r w:rsidR="009062E3" w:rsidRPr="00D42B1B">
        <w:t>a</w:t>
      </w:r>
      <w:r w:rsidR="004743F2" w:rsidRPr="00D42B1B">
        <w:t>grop</w:t>
      </w:r>
      <w:r w:rsidR="009062E3" w:rsidRPr="00D42B1B">
        <w:t>o</w:t>
      </w:r>
      <w:r w:rsidR="004743F2" w:rsidRPr="00D42B1B">
        <w:t xml:space="preserve">le de </w:t>
      </w:r>
      <w:proofErr w:type="spellStart"/>
      <w:r w:rsidR="004743F2" w:rsidRPr="00D42B1B">
        <w:t>Samendéni</w:t>
      </w:r>
      <w:proofErr w:type="spellEnd"/>
      <w:r w:rsidR="004743F2" w:rsidRPr="00D42B1B">
        <w:t>, dont 1 500 h</w:t>
      </w:r>
      <w:r w:rsidR="009062E3" w:rsidRPr="00D42B1B">
        <w:t>a</w:t>
      </w:r>
      <w:r w:rsidR="004743F2" w:rsidRPr="00D42B1B">
        <w:t xml:space="preserve"> sont déjà aménagés. </w:t>
      </w:r>
      <w:r w:rsidR="009062E3" w:rsidRPr="00D42B1B">
        <w:t xml:space="preserve"> </w:t>
      </w:r>
      <w:r w:rsidR="004743F2" w:rsidRPr="00D42B1B">
        <w:t xml:space="preserve">Le </w:t>
      </w:r>
      <w:r w:rsidR="009062E3" w:rsidRPr="00D42B1B">
        <w:t>r</w:t>
      </w:r>
      <w:r w:rsidR="004743F2" w:rsidRPr="00D42B1B">
        <w:t xml:space="preserve">eprésentant </w:t>
      </w:r>
      <w:proofErr w:type="gramStart"/>
      <w:r w:rsidR="004743F2" w:rsidRPr="00D42B1B">
        <w:t>résid</w:t>
      </w:r>
      <w:r w:rsidR="009062E3" w:rsidRPr="00D42B1B">
        <w:t>e</w:t>
      </w:r>
      <w:r w:rsidR="004743F2" w:rsidRPr="00D42B1B">
        <w:t>nt</w:t>
      </w:r>
      <w:proofErr w:type="gramEnd"/>
      <w:r w:rsidR="004743F2" w:rsidRPr="00D42B1B">
        <w:t xml:space="preserve"> de la Banque mondiale au Burkina Faso, </w:t>
      </w:r>
      <w:r w:rsidR="009062E3" w:rsidRPr="00D42B1B">
        <w:t xml:space="preserve">M. </w:t>
      </w:r>
      <w:proofErr w:type="spellStart"/>
      <w:r w:rsidR="004743F2" w:rsidRPr="00D42B1B">
        <w:t>Hamoud</w:t>
      </w:r>
      <w:proofErr w:type="spellEnd"/>
      <w:r w:rsidR="004743F2" w:rsidRPr="00D42B1B">
        <w:t xml:space="preserve"> Abdel </w:t>
      </w:r>
      <w:proofErr w:type="spellStart"/>
      <w:r w:rsidR="004743F2" w:rsidRPr="00D42B1B">
        <w:t>Wedoud</w:t>
      </w:r>
      <w:proofErr w:type="spellEnd"/>
      <w:r w:rsidR="004743F2" w:rsidRPr="00D42B1B">
        <w:t xml:space="preserve"> </w:t>
      </w:r>
      <w:proofErr w:type="spellStart"/>
      <w:r w:rsidR="004743F2" w:rsidRPr="00D42B1B">
        <w:t>Kamil</w:t>
      </w:r>
      <w:proofErr w:type="spellEnd"/>
      <w:r w:rsidR="004743F2" w:rsidRPr="00D42B1B">
        <w:t>, a exprimé la satisfaction de son institution face à la concrétisation de cet important investissement au profit du développement agricole et de la résilience des producteurs burkinabè.</w:t>
      </w:r>
    </w:p>
    <w:p w14:paraId="2914E908" w14:textId="1433F762" w:rsidR="009A1221" w:rsidRPr="00D42B1B" w:rsidRDefault="009062E3" w:rsidP="004743F2">
      <w:pPr>
        <w:spacing w:after="0"/>
      </w:pPr>
      <w:r w:rsidRPr="00D42B1B">
        <w:t xml:space="preserve">Le ministre </w:t>
      </w:r>
      <w:r w:rsidR="009A1221" w:rsidRPr="00D42B1B">
        <w:t xml:space="preserve">est </w:t>
      </w:r>
      <w:r w:rsidRPr="00D42B1B">
        <w:t xml:space="preserve">aussi </w:t>
      </w:r>
      <w:r w:rsidR="009A1221" w:rsidRPr="00D42B1B">
        <w:t xml:space="preserve">allé constater l’achèvement effectif des travaux de curage </w:t>
      </w:r>
      <w:r w:rsidR="00130034" w:rsidRPr="00D42B1B">
        <w:t xml:space="preserve">du barrage de </w:t>
      </w:r>
      <w:proofErr w:type="spellStart"/>
      <w:r w:rsidR="00130034" w:rsidRPr="00D42B1B">
        <w:t>Lounda</w:t>
      </w:r>
      <w:proofErr w:type="spellEnd"/>
      <w:r w:rsidR="00130034" w:rsidRPr="00D42B1B">
        <w:t xml:space="preserve">. Cet ouvrage est un </w:t>
      </w:r>
      <w:r w:rsidR="009A1221" w:rsidRPr="00D42B1B">
        <w:t>levier de développement économique et de production agricole pour les populations riveraines.</w:t>
      </w:r>
      <w:r w:rsidR="00130034" w:rsidRPr="00D42B1B">
        <w:t xml:space="preserve"> L</w:t>
      </w:r>
      <w:r w:rsidR="009A1221" w:rsidRPr="00D42B1B">
        <w:t xml:space="preserve">e barrage d’une capacité initiale de </w:t>
      </w:r>
      <w:r w:rsidR="00130034" w:rsidRPr="00D42B1B">
        <w:t xml:space="preserve">3 M </w:t>
      </w:r>
      <w:bookmarkStart w:id="183" w:name="_Hlk232247940"/>
      <w:r w:rsidR="00130034" w:rsidRPr="00D42B1B">
        <w:t>m</w:t>
      </w:r>
      <w:r w:rsidR="00130034" w:rsidRPr="00D42B1B">
        <w:rPr>
          <w:vertAlign w:val="superscript"/>
        </w:rPr>
        <w:t>3</w:t>
      </w:r>
      <w:r w:rsidR="00130034" w:rsidRPr="00D42B1B">
        <w:t xml:space="preserve"> </w:t>
      </w:r>
      <w:bookmarkEnd w:id="183"/>
      <w:r w:rsidR="009A1221" w:rsidRPr="00D42B1B">
        <w:t>a été construit en 1958 avant d’être réhabilité en 1978. Quant au périmètre irrigué, il a été aménagé en 1966. Depuis lors, aucune intervention d’envergure n’avait été réalisée sur ces infrastructures, entraînant progressivement une réduction de la capacité de stockage du barrage et une baisse de ses performances au profit des producteurs.</w:t>
      </w:r>
      <w:r w:rsidR="00130034" w:rsidRPr="00D42B1B">
        <w:t xml:space="preserve"> </w:t>
      </w:r>
      <w:r w:rsidR="009A1221" w:rsidRPr="00D42B1B">
        <w:t xml:space="preserve">Les travaux entrepris ont permis d’extraire entièrement près de 30 000 </w:t>
      </w:r>
      <w:r w:rsidR="00731D24" w:rsidRPr="00D42B1B">
        <w:t>m</w:t>
      </w:r>
      <w:r w:rsidR="00731D24" w:rsidRPr="00D42B1B">
        <w:rPr>
          <w:vertAlign w:val="superscript"/>
        </w:rPr>
        <w:t>3</w:t>
      </w:r>
      <w:r w:rsidR="00731D24" w:rsidRPr="00D42B1B">
        <w:t xml:space="preserve"> </w:t>
      </w:r>
      <w:r w:rsidR="009A1221" w:rsidRPr="00D42B1B">
        <w:t>de sédiments accumulés au fil des décennies. Cette opération majeure redonne au barrage une partie importante de ses capacités de retenue d’eau et crée de meilleures conditions pour soutenir les activités agricoles.</w:t>
      </w:r>
      <w:r w:rsidR="00130034" w:rsidRPr="00D42B1B">
        <w:t xml:space="preserve"> C</w:t>
      </w:r>
      <w:r w:rsidR="009A1221" w:rsidRPr="00D42B1B">
        <w:t xml:space="preserve">ette intervention n’est qu’une première étape d’un vaste programme de réhabilitation et de valorisation du site. </w:t>
      </w:r>
      <w:r w:rsidR="00130034" w:rsidRPr="00D42B1B">
        <w:t>A</w:t>
      </w:r>
      <w:r w:rsidR="009A1221" w:rsidRPr="00D42B1B">
        <w:t xml:space="preserve"> l’issue de la campagne 2026-2027, de nouveaux travaux d’envergure seront lancés. Ils porteront notamment sur la poursuite du curage du barrage et l’aménagement intégral du périmètre irrigué de 220 </w:t>
      </w:r>
      <w:r w:rsidR="00130034" w:rsidRPr="00D42B1B">
        <w:t xml:space="preserve">ha </w:t>
      </w:r>
      <w:r w:rsidR="009A1221" w:rsidRPr="00D42B1B">
        <w:t>jouxtant l’ouvrage. Ces investissements permettront de moderniser les infrastructures existantes, d’améliorer la maîtrise de l’eau et d’offrir aux producteurs les conditions nécessaires à une exploitation agricole continue tout au long de l’année.</w:t>
      </w:r>
    </w:p>
    <w:bookmarkEnd w:id="173"/>
    <w:p w14:paraId="53A412F2" w14:textId="77777777" w:rsidR="00DF6AA9" w:rsidRPr="00D42B1B" w:rsidRDefault="00DF6AA9" w:rsidP="00DF6AA9">
      <w:pPr>
        <w:spacing w:after="0"/>
      </w:pPr>
    </w:p>
    <w:p w14:paraId="444DC4C9" w14:textId="2586A975" w:rsidR="00DF6AA9" w:rsidRPr="00D42B1B" w:rsidRDefault="00DF6AA9" w:rsidP="006334B0">
      <w:pPr>
        <w:spacing w:after="0" w:line="240" w:lineRule="auto"/>
        <w:outlineLvl w:val="1"/>
        <w:rPr>
          <w:rFonts w:eastAsia="Times New Roman" w:cs="Arial"/>
          <w:b/>
          <w:bCs/>
          <w:color w:val="444444"/>
          <w:szCs w:val="20"/>
          <w:lang w:eastAsia="fr-FR"/>
        </w:rPr>
      </w:pPr>
      <w:bookmarkStart w:id="184" w:name="_Toc233878740"/>
      <w:r w:rsidRPr="00D42B1B">
        <w:rPr>
          <w:b/>
          <w:bCs/>
        </w:rPr>
        <w:lastRenderedPageBreak/>
        <w:t xml:space="preserve">Financement </w:t>
      </w:r>
      <w:r w:rsidR="006334B0" w:rsidRPr="00D42B1B">
        <w:rPr>
          <w:b/>
          <w:bCs/>
        </w:rPr>
        <w:t>–</w:t>
      </w:r>
      <w:r w:rsidRPr="00D42B1B">
        <w:rPr>
          <w:b/>
          <w:bCs/>
        </w:rPr>
        <w:t xml:space="preserve"> </w:t>
      </w:r>
      <w:r w:rsidR="006334B0" w:rsidRPr="00D42B1B">
        <w:rPr>
          <w:b/>
          <w:bCs/>
        </w:rPr>
        <w:t xml:space="preserve">La Société internationale islamique de financement du commerce (ITFC) finance </w:t>
      </w:r>
      <w:r w:rsidRPr="00D42B1B">
        <w:rPr>
          <w:b/>
          <w:bCs/>
        </w:rPr>
        <w:t>l'agriculture</w:t>
      </w:r>
      <w:r w:rsidR="006334B0" w:rsidRPr="00D42B1B">
        <w:rPr>
          <w:b/>
          <w:bCs/>
        </w:rPr>
        <w:t>.</w:t>
      </w:r>
      <w:bookmarkEnd w:id="184"/>
    </w:p>
    <w:p w14:paraId="725BADBE" w14:textId="5920D7FF" w:rsidR="00DF6AA9" w:rsidRPr="00D42B1B" w:rsidRDefault="00DF6AA9" w:rsidP="00DF6AA9">
      <w:pPr>
        <w:spacing w:after="0"/>
      </w:pPr>
      <w:r w:rsidRPr="00D42B1B">
        <w:t xml:space="preserve">Le gouvernement burkinabè a signé le 19 juin un accord-cadre de 1 Md USD avec la </w:t>
      </w:r>
      <w:bookmarkStart w:id="185" w:name="_Hlk233549092"/>
      <w:r w:rsidRPr="00D42B1B">
        <w:t>Société internationale islamique de financement du commerce (ITFC)</w:t>
      </w:r>
      <w:bookmarkEnd w:id="185"/>
      <w:r w:rsidRPr="00D42B1B">
        <w:t>, filiale du Groupe de la Banque islamique de développement qui couvrira la période 2026-2030 et fait partie du Plan national de développement « Relance ». Cette enveloppe est répartie entre quatre secteurs prioritaires : l’énergie, l’agriculture, la sécurité alimentaire et la santé. Une partie des fonds sera également orientée vers le secteur privé, via les banques et institutions financières locales, pour faciliter l’accès au crédit des petites et moyennes entreprises.</w:t>
      </w:r>
      <w:r w:rsidR="006334B0" w:rsidRPr="00D42B1B">
        <w:t xml:space="preserve"> </w:t>
      </w:r>
      <w:r w:rsidRPr="00D42B1B">
        <w:t xml:space="preserve">Le décaissement ne sera pas immédiat. Les ressources seront débloquées progressivement, sous forme d’opérations spécifiques conformes aux principes de la finance islamique, en fonction des projets retenus par </w:t>
      </w:r>
      <w:bookmarkStart w:id="186" w:name="_Hlk233549072"/>
      <w:r w:rsidRPr="00D42B1B">
        <w:t xml:space="preserve">les autorités </w:t>
      </w:r>
      <w:proofErr w:type="spellStart"/>
      <w:r w:rsidRPr="00D42B1B">
        <w:t>burkinab</w:t>
      </w:r>
      <w:r w:rsidR="006334B0" w:rsidRPr="00D42B1B">
        <w:t>ées</w:t>
      </w:r>
      <w:proofErr w:type="spellEnd"/>
      <w:r w:rsidRPr="00D42B1B">
        <w:t>.</w:t>
      </w:r>
      <w:r w:rsidR="006334B0" w:rsidRPr="00D42B1B">
        <w:t xml:space="preserve"> </w:t>
      </w:r>
      <w:bookmarkEnd w:id="186"/>
      <w:r w:rsidR="006334B0" w:rsidRPr="00D42B1B">
        <w:t xml:space="preserve">Les modalités précises de déblocage des fonds, notamment le calendrier des premières opérations dans le secteur de l’agriculture, devraient être définies dans les prochains mois entre les services de l’ITFC et les autorités </w:t>
      </w:r>
      <w:proofErr w:type="spellStart"/>
      <w:r w:rsidR="006334B0" w:rsidRPr="00D42B1B">
        <w:t>burkinabées</w:t>
      </w:r>
      <w:proofErr w:type="spellEnd"/>
      <w:r w:rsidR="006334B0" w:rsidRPr="00D42B1B">
        <w:t xml:space="preserve">. </w:t>
      </w:r>
      <w:r w:rsidRPr="00D42B1B">
        <w:t>Cet accord prolonge une coopération entamée en 2008. Depuis cette date, l’ITFC a approuvé plus de 3,4</w:t>
      </w:r>
      <w:r w:rsidR="00937C97">
        <w:t> </w:t>
      </w:r>
      <w:r w:rsidR="006334B0" w:rsidRPr="00D42B1B">
        <w:t xml:space="preserve">Md USD </w:t>
      </w:r>
      <w:r w:rsidRPr="00D42B1B">
        <w:t>de financements en faveur du Burkina Faso à travers 48 opérations, selon les données publiées par l’institution. L’agriculture représente 45% de ce total, principalement par le soutien aux campagnes cotonnières.</w:t>
      </w:r>
      <w:r w:rsidR="006334B0" w:rsidRPr="00D42B1B">
        <w:t xml:space="preserve"> </w:t>
      </w:r>
      <w:r w:rsidRPr="00D42B1B">
        <w:t>Le nouvel accord succède à un précédent cadre de 900</w:t>
      </w:r>
      <w:r w:rsidR="00937C97">
        <w:t> </w:t>
      </w:r>
      <w:r w:rsidR="006334B0" w:rsidRPr="00D42B1B">
        <w:t xml:space="preserve">M EUR </w:t>
      </w:r>
      <w:r w:rsidRPr="00D42B1B">
        <w:t>signé en mai 2023, dont la mise en œuvre serait, selon l’ITFC, achevée à hauteur de 94%. Parmi les opérations en cours figure une facilité de 106</w:t>
      </w:r>
      <w:r w:rsidR="006334B0" w:rsidRPr="00D42B1B">
        <w:t xml:space="preserve"> M EUR </w:t>
      </w:r>
      <w:r w:rsidRPr="00D42B1B">
        <w:t>accordée à la Société burkinabè des fibres textiles (SOFITEX) pour les campagnes cotonnières 2025 et 2026.</w:t>
      </w:r>
    </w:p>
    <w:p w14:paraId="6B24A6B5" w14:textId="77777777" w:rsidR="006334B0" w:rsidRPr="00D42B1B" w:rsidRDefault="006334B0" w:rsidP="00DF6AA9">
      <w:pPr>
        <w:spacing w:after="0"/>
      </w:pPr>
    </w:p>
    <w:p w14:paraId="21F81E00" w14:textId="27C1DA10" w:rsidR="00346DB3" w:rsidRPr="00D42B1B" w:rsidRDefault="009D0F96" w:rsidP="007B5BCC">
      <w:pPr>
        <w:pStyle w:val="Titre1"/>
      </w:pPr>
      <w:bookmarkStart w:id="187" w:name="_Toc233878741"/>
      <w:r w:rsidRPr="00D42B1B">
        <w:t>Cap Vert</w:t>
      </w:r>
      <w:bookmarkEnd w:id="168"/>
      <w:bookmarkEnd w:id="169"/>
      <w:bookmarkEnd w:id="170"/>
      <w:bookmarkEnd w:id="187"/>
    </w:p>
    <w:p w14:paraId="547F9692" w14:textId="38D6C6B9" w:rsidR="005A11F9" w:rsidRPr="00D42B1B" w:rsidRDefault="007C53FD" w:rsidP="005A11F9">
      <w:pPr>
        <w:spacing w:after="0" w:line="240" w:lineRule="auto"/>
        <w:outlineLvl w:val="1"/>
        <w:rPr>
          <w:rFonts w:eastAsia="Times New Roman" w:cs="Arial"/>
          <w:b/>
          <w:bCs/>
          <w:color w:val="444444"/>
          <w:szCs w:val="20"/>
          <w:lang w:eastAsia="fr-FR"/>
        </w:rPr>
      </w:pPr>
      <w:bookmarkStart w:id="188" w:name="_Toc233878742"/>
      <w:r w:rsidRPr="00D42B1B">
        <w:rPr>
          <w:b/>
          <w:bCs/>
        </w:rPr>
        <w:t>Pêche - 4</w:t>
      </w:r>
      <w:r w:rsidRPr="00D42B1B">
        <w:rPr>
          <w:b/>
          <w:bCs/>
          <w:vertAlign w:val="superscript"/>
        </w:rPr>
        <w:t>ème</w:t>
      </w:r>
      <w:r w:rsidRPr="00D42B1B">
        <w:rPr>
          <w:b/>
          <w:bCs/>
        </w:rPr>
        <w:t xml:space="preserve"> réunion </w:t>
      </w:r>
      <w:r w:rsidR="005A11F9" w:rsidRPr="00D42B1B">
        <w:rPr>
          <w:b/>
          <w:bCs/>
        </w:rPr>
        <w:t>de la coopération maritime au sein de la Communauté des pays lusophones (CPLP).</w:t>
      </w:r>
      <w:bookmarkEnd w:id="188"/>
    </w:p>
    <w:p w14:paraId="22DF46B1" w14:textId="19C2D8EB" w:rsidR="001D448D" w:rsidRPr="00D42B1B" w:rsidRDefault="001D448D" w:rsidP="005A11F9">
      <w:pPr>
        <w:spacing w:after="0"/>
      </w:pPr>
      <w:r w:rsidRPr="00D42B1B">
        <w:t>Le Cap-Vert a réitéré l</w:t>
      </w:r>
      <w:r w:rsidR="007C53FD" w:rsidRPr="00D42B1B">
        <w:t>e 8 juin</w:t>
      </w:r>
      <w:r w:rsidRPr="00D42B1B">
        <w:t xml:space="preserve"> son engagement en faveur </w:t>
      </w:r>
      <w:bookmarkStart w:id="189" w:name="_Hlk233703642"/>
      <w:r w:rsidRPr="00D42B1B">
        <w:t>de la coopération maritime au sein de la Communauté des pays lusophones (CPLP)</w:t>
      </w:r>
      <w:bookmarkEnd w:id="189"/>
      <w:r w:rsidRPr="00D42B1B">
        <w:t>, prônant une action conjointe pour protéger les océans, lutter contre la pêche illégale et mettre en œuvre une économie bleue durable.</w:t>
      </w:r>
      <w:r w:rsidR="007C53FD" w:rsidRPr="00D42B1B">
        <w:t xml:space="preserve"> </w:t>
      </w:r>
      <w:r w:rsidRPr="00D42B1B">
        <w:t xml:space="preserve">La position a été exprimée par le ministre de la </w:t>
      </w:r>
      <w:r w:rsidR="007C53FD" w:rsidRPr="00D42B1B">
        <w:t>m</w:t>
      </w:r>
      <w:r w:rsidRPr="00D42B1B">
        <w:t xml:space="preserve">arine, </w:t>
      </w:r>
      <w:r w:rsidR="007C53FD" w:rsidRPr="00D42B1B">
        <w:t xml:space="preserve">M. </w:t>
      </w:r>
      <w:r w:rsidRPr="00D42B1B">
        <w:t xml:space="preserve">Jorge Santos, qui a participé à la session de clôture de la </w:t>
      </w:r>
      <w:r w:rsidR="007C53FD" w:rsidRPr="00D42B1B">
        <w:t>4</w:t>
      </w:r>
      <w:r w:rsidR="007C53FD" w:rsidRPr="00D42B1B">
        <w:rPr>
          <w:vertAlign w:val="superscript"/>
        </w:rPr>
        <w:t>ème</w:t>
      </w:r>
      <w:r w:rsidR="007C53FD" w:rsidRPr="00D42B1B">
        <w:t xml:space="preserve"> r</w:t>
      </w:r>
      <w:r w:rsidRPr="00D42B1B">
        <w:t>éunion extraordinaire des ministres des Affaires maritimes du CPLP, coïncidant avec les célébrations de la Journée mondiale des océans.</w:t>
      </w:r>
      <w:r w:rsidR="007C53FD" w:rsidRPr="00D42B1B">
        <w:t xml:space="preserve"> L</w:t>
      </w:r>
      <w:r w:rsidRPr="00D42B1B">
        <w:t>e ministre a souligné l’importance stratégique de la mer pour le Cap-Vert, rappelant que le territoire maritime national est environ 300 fois plus grand que la superficie terrestre. Selon le ministre, l’économie bleue représente actuellement environ 20,1% du produit intérieur brut (PIB) du pays, avec une forte contribution des secteurs du tourisme maritime-côtier, du transport maritime et de la logistique, de la pêche et de la transformation des produits de la mer.</w:t>
      </w:r>
      <w:r w:rsidR="007C53FD" w:rsidRPr="00D42B1B">
        <w:t xml:space="preserve"> </w:t>
      </w:r>
      <w:r w:rsidRPr="00D42B1B">
        <w:t>Le ministre a également défendu le renforcement de la coopération pour faire face aux défis mondiaux liés à la gouvernance maritime, en mettant l’accent sur la mise en œuvre du Traité de haute mer (BBNJ) et la lutte contre la pêche illégale, non déclarée et non réglementée, considérée comme une menace pour la biodiversité marine et la durabilité économique des zones économiques exclusives des pays de la communauté.</w:t>
      </w:r>
      <w:r w:rsidR="007C53FD" w:rsidRPr="00D42B1B">
        <w:t xml:space="preserve"> A</w:t>
      </w:r>
      <w:r w:rsidRPr="00D42B1B">
        <w:t xml:space="preserve"> la fin des travaux, le Cap-Vert s’est associé à la Déclaration finale de la réunion et s’est engagé à contribuer activement à la mise en œuvre des </w:t>
      </w:r>
      <w:r w:rsidR="007C53FD" w:rsidRPr="00D42B1B">
        <w:t>du Plan stratégique de coopération du CPLP pour les océans 2026-2030 (PECO-CPLP)</w:t>
      </w:r>
      <w:r w:rsidRPr="00D42B1B">
        <w:t xml:space="preserve"> appelant également à l’implication des partenaires de développement et des observateurs associés dans le financement et la mise en œuvre des initiatives prévues.</w:t>
      </w:r>
    </w:p>
    <w:p w14:paraId="63087C8C" w14:textId="579EE425" w:rsidR="00675020" w:rsidRPr="00D42B1B" w:rsidRDefault="00675020" w:rsidP="005A11F9">
      <w:pPr>
        <w:spacing w:after="0"/>
      </w:pPr>
    </w:p>
    <w:p w14:paraId="75D13527" w14:textId="59CBF6C7" w:rsidR="00675020" w:rsidRPr="00D42B1B" w:rsidRDefault="00675020" w:rsidP="00675020">
      <w:pPr>
        <w:spacing w:after="0" w:line="240" w:lineRule="auto"/>
        <w:outlineLvl w:val="1"/>
        <w:rPr>
          <w:rFonts w:eastAsia="Times New Roman" w:cs="Arial"/>
          <w:b/>
          <w:bCs/>
          <w:color w:val="444444"/>
          <w:szCs w:val="20"/>
          <w:lang w:eastAsia="fr-FR"/>
        </w:rPr>
      </w:pPr>
      <w:bookmarkStart w:id="190" w:name="_Toc233878743"/>
      <w:r w:rsidRPr="00D42B1B">
        <w:rPr>
          <w:b/>
          <w:bCs/>
        </w:rPr>
        <w:t xml:space="preserve">Viticulture - Médaille d'argent au concours mondial de Bruxelles pour le vin rouge </w:t>
      </w:r>
      <w:proofErr w:type="spellStart"/>
      <w:r w:rsidRPr="00D42B1B">
        <w:rPr>
          <w:b/>
          <w:bCs/>
        </w:rPr>
        <w:t>Chã</w:t>
      </w:r>
      <w:proofErr w:type="spellEnd"/>
      <w:r w:rsidRPr="00D42B1B">
        <w:rPr>
          <w:b/>
          <w:bCs/>
        </w:rPr>
        <w:t xml:space="preserve"> 2024 de l’île de Fogo.</w:t>
      </w:r>
      <w:bookmarkEnd w:id="190"/>
    </w:p>
    <w:p w14:paraId="651321A1" w14:textId="00C70A5C" w:rsidR="005A11F9" w:rsidRPr="00D42B1B" w:rsidRDefault="00675020" w:rsidP="005A11F9">
      <w:pPr>
        <w:spacing w:after="0"/>
      </w:pPr>
      <w:r w:rsidRPr="00D42B1B">
        <w:t xml:space="preserve">Le vin rouge </w:t>
      </w:r>
      <w:proofErr w:type="spellStart"/>
      <w:r w:rsidRPr="00D42B1B">
        <w:t>Chã</w:t>
      </w:r>
      <w:proofErr w:type="spellEnd"/>
      <w:r w:rsidRPr="00D42B1B">
        <w:t xml:space="preserve"> 2024, produit par la cave coopérative de </w:t>
      </w:r>
      <w:proofErr w:type="spellStart"/>
      <w:r w:rsidRPr="00D42B1B">
        <w:t>Chã</w:t>
      </w:r>
      <w:proofErr w:type="spellEnd"/>
      <w:r w:rsidRPr="00D42B1B">
        <w:t xml:space="preserve"> </w:t>
      </w:r>
      <w:proofErr w:type="spellStart"/>
      <w:r w:rsidRPr="00D42B1B">
        <w:t>das</w:t>
      </w:r>
      <w:proofErr w:type="spellEnd"/>
      <w:r w:rsidRPr="00D42B1B">
        <w:t xml:space="preserve"> Caldeiras (</w:t>
      </w:r>
      <w:proofErr w:type="spellStart"/>
      <w:r w:rsidRPr="00D42B1B">
        <w:t>Agrocoop</w:t>
      </w:r>
      <w:proofErr w:type="spellEnd"/>
      <w:r w:rsidRPr="00D42B1B">
        <w:t xml:space="preserve">), a remporté une médaille d'argent au Concours Mondial de Bruxelles (CMB). Cette distinction a été obtenue parmi environ 6 700 vins rouges et blancs provenant de divers pays, renforçant ainsi la qualité et la reconnaissance internationale des vins produits sur l'île de Fogo. Produit exclusivement à partir du cépage </w:t>
      </w:r>
      <w:proofErr w:type="spellStart"/>
      <w:r w:rsidRPr="00D42B1B">
        <w:t>Baboso</w:t>
      </w:r>
      <w:proofErr w:type="spellEnd"/>
      <w:r w:rsidRPr="00D42B1B">
        <w:t xml:space="preserve"> Negro, le </w:t>
      </w:r>
      <w:proofErr w:type="spellStart"/>
      <w:r w:rsidRPr="00D42B1B">
        <w:t>Chã</w:t>
      </w:r>
      <w:proofErr w:type="spellEnd"/>
      <w:r w:rsidRPr="00D42B1B">
        <w:t xml:space="preserve"> 2024 est un vin biologique présentant un taux d'alcool de 14%. Selon la description du concours, il présente des arômes de fraise, de cerise et de cerise noire, et se distingue également par son équilibre en bouche, ses tanins fins et une finale agréablement franche des produits de l'île de Fogo et du Cap vert.</w:t>
      </w:r>
    </w:p>
    <w:p w14:paraId="6AA7AE25" w14:textId="77777777" w:rsidR="001D448D" w:rsidRPr="00D42B1B" w:rsidRDefault="001D448D" w:rsidP="005A11F9">
      <w:pPr>
        <w:spacing w:after="0"/>
      </w:pPr>
    </w:p>
    <w:p w14:paraId="7A476B66" w14:textId="475DAD05" w:rsidR="00B92544" w:rsidRPr="00D42B1B" w:rsidRDefault="000312DC" w:rsidP="00B92544">
      <w:pPr>
        <w:pStyle w:val="Titre1"/>
      </w:pPr>
      <w:bookmarkStart w:id="191" w:name="_Toc233878744"/>
      <w:bookmarkStart w:id="192" w:name="_Hlk227260139"/>
      <w:bookmarkStart w:id="193" w:name="_Toc207812051"/>
      <w:bookmarkStart w:id="194" w:name="_Toc207812919"/>
      <w:bookmarkStart w:id="195" w:name="_Toc207813081"/>
      <w:r w:rsidRPr="00D42B1B">
        <w:t>Gambie</w:t>
      </w:r>
      <w:bookmarkEnd w:id="191"/>
    </w:p>
    <w:p w14:paraId="557036C0" w14:textId="3D8338F8" w:rsidR="004E1BCE" w:rsidRPr="00D42B1B" w:rsidRDefault="004E1BCE" w:rsidP="003E3172">
      <w:pPr>
        <w:spacing w:after="0" w:line="240" w:lineRule="auto"/>
        <w:outlineLvl w:val="1"/>
        <w:rPr>
          <w:rFonts w:eastAsia="Times New Roman" w:cs="Arial"/>
          <w:b/>
          <w:bCs/>
          <w:color w:val="444444"/>
          <w:szCs w:val="20"/>
          <w:lang w:eastAsia="fr-FR"/>
        </w:rPr>
      </w:pPr>
      <w:bookmarkStart w:id="196" w:name="_Toc233878745"/>
      <w:bookmarkStart w:id="197" w:name="_Hlk233703690"/>
      <w:r w:rsidRPr="00D42B1B">
        <w:rPr>
          <w:b/>
          <w:bCs/>
        </w:rPr>
        <w:t xml:space="preserve">Intrants </w:t>
      </w:r>
      <w:r w:rsidR="003E3172" w:rsidRPr="00D42B1B">
        <w:rPr>
          <w:b/>
          <w:bCs/>
        </w:rPr>
        <w:t>–</w:t>
      </w:r>
      <w:r w:rsidRPr="00D42B1B">
        <w:rPr>
          <w:b/>
          <w:bCs/>
        </w:rPr>
        <w:t xml:space="preserve"> </w:t>
      </w:r>
      <w:r w:rsidR="003E3172" w:rsidRPr="00D42B1B">
        <w:rPr>
          <w:b/>
          <w:bCs/>
        </w:rPr>
        <w:t>Maintient du prix des engrais.</w:t>
      </w:r>
      <w:bookmarkEnd w:id="196"/>
    </w:p>
    <w:bookmarkEnd w:id="197"/>
    <w:p w14:paraId="0B27D852" w14:textId="1A065561" w:rsidR="004E1BCE" w:rsidRPr="00D42B1B" w:rsidRDefault="004E1BCE" w:rsidP="004E1BCE">
      <w:pPr>
        <w:spacing w:after="0"/>
      </w:pPr>
      <w:r w:rsidRPr="00D42B1B">
        <w:t>Le gouvernement a annoncé le 23 juin qu’il conserverait le prix des engrais de l’année dernière malgré l’instabilité persistante et l’incertitude dans la région du Golfe, qui a fait grimper le coût des intrants agricoles. Pour amortir l’impact de la hausse des prix, le gouvernement a</w:t>
      </w:r>
      <w:r w:rsidR="00EC7EC6" w:rsidRPr="00D42B1B">
        <w:t xml:space="preserve"> ainsi</w:t>
      </w:r>
      <w:r w:rsidRPr="00D42B1B">
        <w:t xml:space="preserve"> indiqué avoir accordé une subvention de 1,601 </w:t>
      </w:r>
      <w:r w:rsidR="005F4CE9" w:rsidRPr="00D42B1B">
        <w:t xml:space="preserve">Md </w:t>
      </w:r>
      <w:r w:rsidR="00B90F5D" w:rsidRPr="00D42B1B">
        <w:t>GMD</w:t>
      </w:r>
      <w:r w:rsidRPr="00D42B1B">
        <w:t xml:space="preserve"> (19,2 M EUR) afin de maintenir le prix de vente à 1 100 </w:t>
      </w:r>
      <w:r w:rsidR="00B90F5D" w:rsidRPr="00D42B1B">
        <w:t>GMD</w:t>
      </w:r>
      <w:r w:rsidRPr="00D42B1B">
        <w:t xml:space="preserve"> (13,2 EUR). Les agriculteurs ont été encouragés à acheter des engrais uniquement auprès des dépôts de la </w:t>
      </w:r>
      <w:r w:rsidRPr="00D42B1B">
        <w:rPr>
          <w:i/>
          <w:iCs/>
        </w:rPr>
        <w:t xml:space="preserve">National Food Security </w:t>
      </w:r>
      <w:proofErr w:type="spellStart"/>
      <w:r w:rsidRPr="00D42B1B">
        <w:rPr>
          <w:i/>
          <w:iCs/>
        </w:rPr>
        <w:t>Cooperative</w:t>
      </w:r>
      <w:proofErr w:type="spellEnd"/>
      <w:r w:rsidRPr="00D42B1B">
        <w:t xml:space="preserve"> </w:t>
      </w:r>
      <w:r w:rsidR="005F4CE9" w:rsidRPr="00D42B1B">
        <w:t>(</w:t>
      </w:r>
      <w:r w:rsidRPr="00D42B1B">
        <w:t>NFSC-GGC</w:t>
      </w:r>
      <w:r w:rsidR="005F4CE9" w:rsidRPr="00D42B1B">
        <w:t>)</w:t>
      </w:r>
      <w:r w:rsidRPr="00D42B1B">
        <w:t xml:space="preserve">, des </w:t>
      </w:r>
      <w:r w:rsidRPr="00D42B1B">
        <w:rPr>
          <w:i/>
          <w:iCs/>
        </w:rPr>
        <w:t>seccos</w:t>
      </w:r>
      <w:r w:rsidRPr="00D42B1B">
        <w:t xml:space="preserve"> sous contrat et des agents privés autorisés, qui devraient vendre au prix approuvé à l’échelle nationale.</w:t>
      </w:r>
      <w:r w:rsidR="005F4CE9" w:rsidRPr="00D42B1B">
        <w:t xml:space="preserve"> L</w:t>
      </w:r>
      <w:r w:rsidRPr="00D42B1B">
        <w:t>e directeur général adjoint de la</w:t>
      </w:r>
      <w:r w:rsidR="005F4CE9" w:rsidRPr="00D42B1B">
        <w:t xml:space="preserve"> NFSC</w:t>
      </w:r>
      <w:r w:rsidRPr="00D42B1B">
        <w:t xml:space="preserve">, </w:t>
      </w:r>
      <w:r w:rsidR="005F4CE9" w:rsidRPr="00D42B1B">
        <w:t xml:space="preserve">M. </w:t>
      </w:r>
      <w:proofErr w:type="spellStart"/>
      <w:r w:rsidRPr="00D42B1B">
        <w:t>Lamin</w:t>
      </w:r>
      <w:proofErr w:type="spellEnd"/>
      <w:r w:rsidRPr="00D42B1B">
        <w:t xml:space="preserve"> </w:t>
      </w:r>
      <w:proofErr w:type="spellStart"/>
      <w:r w:rsidRPr="00D42B1B">
        <w:t>Sanyang</w:t>
      </w:r>
      <w:proofErr w:type="spellEnd"/>
      <w:r w:rsidRPr="00D42B1B">
        <w:t xml:space="preserve">, a déclaré que tous les </w:t>
      </w:r>
      <w:r w:rsidRPr="00D42B1B">
        <w:rPr>
          <w:i/>
          <w:iCs/>
        </w:rPr>
        <w:t>seccos</w:t>
      </w:r>
      <w:r w:rsidRPr="00D42B1B">
        <w:t>, sauf ceux ayant des dettes en cours envers la</w:t>
      </w:r>
      <w:r w:rsidR="005F4CE9" w:rsidRPr="00D42B1B">
        <w:t xml:space="preserve"> NFSC</w:t>
      </w:r>
      <w:r w:rsidRPr="00D42B1B">
        <w:t>, participeraient aux ventes.</w:t>
      </w:r>
      <w:r w:rsidR="005F4CE9" w:rsidRPr="00D42B1B">
        <w:t xml:space="preserve"> </w:t>
      </w:r>
      <w:r w:rsidRPr="00D42B1B">
        <w:t xml:space="preserve">Il a </w:t>
      </w:r>
      <w:r w:rsidR="005F4CE9" w:rsidRPr="00D42B1B">
        <w:t xml:space="preserve">indiqué </w:t>
      </w:r>
      <w:r w:rsidRPr="00D42B1B">
        <w:t>que tous les types d’engrais avaient déjà été livrés aux dépôts sauf l’urée, qui a été retardée pour des raisons contractuelles mais devrait arriver prochainement.</w:t>
      </w:r>
      <w:r w:rsidR="005F4CE9" w:rsidRPr="00D42B1B">
        <w:t xml:space="preserve"> Les agriculteurs ont salué les efforts pour rendre les engrais subventionnés plus accessibles, certains </w:t>
      </w:r>
      <w:r w:rsidRPr="00D42B1B">
        <w:t>exprim</w:t>
      </w:r>
      <w:r w:rsidR="005F4CE9" w:rsidRPr="00D42B1B">
        <w:t>ant toutefois leurs</w:t>
      </w:r>
      <w:r w:rsidRPr="00D42B1B">
        <w:t xml:space="preserve"> inquiétude</w:t>
      </w:r>
      <w:r w:rsidR="005F4CE9" w:rsidRPr="00D42B1B">
        <w:t>s</w:t>
      </w:r>
      <w:r w:rsidRPr="00D42B1B">
        <w:t xml:space="preserve"> quant </w:t>
      </w:r>
      <w:r w:rsidR="005F4CE9" w:rsidRPr="00D42B1B">
        <w:t xml:space="preserve">à la disponibilité rapide des engrais subventionnés car </w:t>
      </w:r>
      <w:r w:rsidRPr="00D42B1B">
        <w:t>des arachides et du maïs précoce</w:t>
      </w:r>
      <w:r w:rsidR="005F4CE9" w:rsidRPr="00D42B1B">
        <w:t xml:space="preserve"> ont déjà été plantés</w:t>
      </w:r>
      <w:r w:rsidRPr="00D42B1B">
        <w:t>.</w:t>
      </w:r>
    </w:p>
    <w:p w14:paraId="6FC37F8A" w14:textId="77777777" w:rsidR="004E1BCE" w:rsidRPr="00D42B1B" w:rsidRDefault="004E1BCE" w:rsidP="004E1BCE"/>
    <w:p w14:paraId="3B2B7C86" w14:textId="586362D7" w:rsidR="00C736D1" w:rsidRPr="00D42B1B" w:rsidRDefault="009D0F96" w:rsidP="006945E7">
      <w:pPr>
        <w:pStyle w:val="Titre1"/>
      </w:pPr>
      <w:bookmarkStart w:id="198" w:name="_Toc233878746"/>
      <w:bookmarkStart w:id="199" w:name="_Hlk227260222"/>
      <w:bookmarkEnd w:id="192"/>
      <w:r w:rsidRPr="00D42B1B">
        <w:t>Guinée</w:t>
      </w:r>
      <w:bookmarkStart w:id="200" w:name="_Hlk226538201"/>
      <w:bookmarkEnd w:id="193"/>
      <w:bookmarkEnd w:id="194"/>
      <w:bookmarkEnd w:id="195"/>
      <w:bookmarkEnd w:id="198"/>
    </w:p>
    <w:p w14:paraId="4B039A3E" w14:textId="45CC454F" w:rsidR="0059529E" w:rsidRPr="00D42B1B" w:rsidRDefault="0059529E" w:rsidP="0059529E">
      <w:pPr>
        <w:spacing w:after="0" w:line="240" w:lineRule="auto"/>
        <w:outlineLvl w:val="1"/>
        <w:rPr>
          <w:rFonts w:eastAsia="Times New Roman" w:cs="Arial"/>
          <w:b/>
          <w:bCs/>
          <w:color w:val="444444"/>
          <w:szCs w:val="20"/>
          <w:lang w:eastAsia="fr-FR"/>
        </w:rPr>
      </w:pPr>
      <w:bookmarkStart w:id="201" w:name="_Toc233878747"/>
      <w:bookmarkStart w:id="202" w:name="_Hlk233873788"/>
      <w:bookmarkStart w:id="203" w:name="_Hlk231652418"/>
      <w:r w:rsidRPr="00D42B1B">
        <w:rPr>
          <w:b/>
          <w:bCs/>
        </w:rPr>
        <w:t>Politique agricole – Le ministère de l’agriculture lance une mission d’évaluation et d’actions au service des producteurs.</w:t>
      </w:r>
      <w:bookmarkEnd w:id="201"/>
      <w:r w:rsidRPr="00D42B1B">
        <w:rPr>
          <w:b/>
          <w:bCs/>
        </w:rPr>
        <w:t xml:space="preserve"> </w:t>
      </w:r>
    </w:p>
    <w:bookmarkEnd w:id="202"/>
    <w:p w14:paraId="64410DE5" w14:textId="2EBEEE12" w:rsidR="0059529E" w:rsidRPr="00D42B1B" w:rsidRDefault="0059529E" w:rsidP="0059529E">
      <w:pPr>
        <w:spacing w:after="0"/>
      </w:pPr>
      <w:r w:rsidRPr="00D42B1B">
        <w:t xml:space="preserve">Dans le cadre du suivi de la campagne agricole 2026, le ministère de l’agriculture déploie, du 24 juin au 5 juillet, </w:t>
      </w:r>
      <w:bookmarkStart w:id="204" w:name="_Hlk233569062"/>
      <w:r w:rsidRPr="00D42B1B">
        <w:t xml:space="preserve">l’AGRO TOUR 2026, </w:t>
      </w:r>
      <w:bookmarkEnd w:id="204"/>
      <w:r w:rsidRPr="00D42B1B">
        <w:t xml:space="preserve">une mission d’évaluation à mi-parcours couvrant les huit régions administratives de la République de Guinée. Au-delà de l’évaluation des activités réalisées, l’AGRO TOUR 2026 vise à établir un diagnostic approfondi des réalités du terrain, à identifier les contraintes auxquelles font face les producteurs, les services techniques et les acteurs de la chaîne de valeur agricole, mais surtout à proposer des solutions concrètes, adaptées et immédiatement opérationnelles pour améliorer les performances du secteur. A travers des visites de terrain, des rencontres avec les producteurs, les organisations paysannes, les autorités administratives et les partenaires techniques et financiers, cette mission doit permettre de recueillir les préoccupations des acteurs, de valoriser les bonnes pratiques et de formuler des recommandations pertinentes pour renforcer l’efficacité des </w:t>
      </w:r>
      <w:r w:rsidRPr="00D42B1B">
        <w:lastRenderedPageBreak/>
        <w:t>interventions publiques. Les conclusions de cette tournée nationale contribueront à orienter les décisions stratégiques du Département et à accélérer la mise en œuvre d’actions concrètes en faveur de la sécurité alimentaire, de la souveraineté agricole et de l’amélioration durable des conditions de vie des populations rurales.</w:t>
      </w:r>
    </w:p>
    <w:p w14:paraId="113310A1" w14:textId="77777777" w:rsidR="00423EBE" w:rsidRPr="00D42B1B" w:rsidRDefault="00423EBE" w:rsidP="00423EBE">
      <w:pPr>
        <w:spacing w:after="0"/>
      </w:pPr>
    </w:p>
    <w:p w14:paraId="2EEBCC2B" w14:textId="27BB2A19" w:rsidR="00423EBE" w:rsidRPr="00D42B1B" w:rsidRDefault="00423EBE" w:rsidP="00726080">
      <w:pPr>
        <w:spacing w:after="0" w:line="240" w:lineRule="auto"/>
        <w:outlineLvl w:val="1"/>
        <w:rPr>
          <w:rFonts w:eastAsia="Times New Roman" w:cs="Arial"/>
          <w:b/>
          <w:bCs/>
          <w:color w:val="444444"/>
          <w:szCs w:val="20"/>
          <w:lang w:eastAsia="fr-FR"/>
        </w:rPr>
      </w:pPr>
      <w:bookmarkStart w:id="205" w:name="_Toc233878748"/>
      <w:r w:rsidRPr="00D42B1B">
        <w:rPr>
          <w:b/>
          <w:bCs/>
        </w:rPr>
        <w:t>Elevage – Stratégie nationale de</w:t>
      </w:r>
      <w:r w:rsidRPr="00D42B1B">
        <w:rPr>
          <w:rFonts w:ascii="Times New Roman" w:hAnsi="Times New Roman" w:cs="Times New Roman"/>
          <w:b/>
          <w:bCs/>
        </w:rPr>
        <w:t> </w:t>
      </w:r>
      <w:r w:rsidRPr="00D42B1B">
        <w:rPr>
          <w:b/>
          <w:bCs/>
        </w:rPr>
        <w:t>5 124 Md G</w:t>
      </w:r>
      <w:r w:rsidR="00726080" w:rsidRPr="00D42B1B">
        <w:rPr>
          <w:b/>
          <w:bCs/>
        </w:rPr>
        <w:t>N</w:t>
      </w:r>
      <w:r w:rsidRPr="00D42B1B">
        <w:rPr>
          <w:b/>
          <w:bCs/>
        </w:rPr>
        <w:t>F</w:t>
      </w:r>
      <w:r w:rsidR="00726080" w:rsidRPr="00D42B1B">
        <w:rPr>
          <w:b/>
          <w:bCs/>
        </w:rPr>
        <w:t xml:space="preserve"> </w:t>
      </w:r>
      <w:r w:rsidRPr="00D42B1B">
        <w:rPr>
          <w:b/>
          <w:bCs/>
        </w:rPr>
        <w:t xml:space="preserve">pour relancer </w:t>
      </w:r>
      <w:r w:rsidR="00726080" w:rsidRPr="00D42B1B">
        <w:rPr>
          <w:b/>
          <w:bCs/>
        </w:rPr>
        <w:t>l</w:t>
      </w:r>
      <w:r w:rsidRPr="00D42B1B">
        <w:rPr>
          <w:b/>
          <w:bCs/>
        </w:rPr>
        <w:t>a production avicole.</w:t>
      </w:r>
      <w:bookmarkEnd w:id="205"/>
    </w:p>
    <w:p w14:paraId="6DC0073F" w14:textId="03B39D0A" w:rsidR="0059529E" w:rsidRPr="00D42B1B" w:rsidRDefault="00423EBE" w:rsidP="005B67DA">
      <w:pPr>
        <w:spacing w:after="0"/>
      </w:pPr>
      <w:r w:rsidRPr="00D42B1B">
        <w:t>La Guinée dépend à hauteur de 80% des importations pour ses besoins en viandes de volaille. Dans sa quête de souveraineté alimentaire, les autorités cherchent à réduire cette dépendance à travers le développement de l’industrie locale. Le ministère de l’élevage a ainsi dévoilé, le 29 juin, la stratégie nationale de développement de la filière avicole pour la période 2026-2030. Cette nouvelle feuille de route vise à renforcer la production locale de viande de volaille et d’œufs et à réduire la dépendance aux importations.</w:t>
      </w:r>
      <w:r w:rsidR="00CA34C0" w:rsidRPr="00D42B1B">
        <w:t xml:space="preserve"> </w:t>
      </w:r>
      <w:r w:rsidR="00635C46" w:rsidRPr="00D42B1B">
        <w:t xml:space="preserve">Les retombées attendues sont importantes, avec la création de 250 000 emplois directs et 350 000 emplois indirects, tout en contribuant à la lutte contre la malnutrition infantile et à la valorisation des fientes en engrais organiques. </w:t>
      </w:r>
      <w:r w:rsidRPr="00D42B1B">
        <w:t xml:space="preserve">Déjà annoncée en préparation en avril dernier, la stratégie de développement de la filière avicole désormais finalisée prévoit un investissement global de </w:t>
      </w:r>
      <w:bookmarkStart w:id="206" w:name="_Hlk233872694"/>
      <w:r w:rsidRPr="00D42B1B">
        <w:t xml:space="preserve">5 124 </w:t>
      </w:r>
      <w:bookmarkEnd w:id="206"/>
      <w:r w:rsidR="00CA34C0" w:rsidRPr="00D42B1B">
        <w:t>Md G</w:t>
      </w:r>
      <w:r w:rsidR="00726080" w:rsidRPr="00D42B1B">
        <w:t>NF</w:t>
      </w:r>
      <w:r w:rsidR="00C056CF" w:rsidRPr="00D42B1B">
        <w:t xml:space="preserve"> (512,4 M EUR) sur les dix prochaines années</w:t>
      </w:r>
      <w:r w:rsidR="00CA34C0" w:rsidRPr="00D42B1B">
        <w:t>. C</w:t>
      </w:r>
      <w:r w:rsidRPr="00D42B1B">
        <w:t>ette enveloppe sera mobilisée conjointement avec la contribution de l’</w:t>
      </w:r>
      <w:r w:rsidR="00635C46" w:rsidRPr="00D42B1B">
        <w:t>E</w:t>
      </w:r>
      <w:r w:rsidRPr="00D42B1B">
        <w:t>tat</w:t>
      </w:r>
      <w:r w:rsidR="00B90F5D" w:rsidRPr="00D42B1B">
        <w:t xml:space="preserve"> (environ 120 M EUR)</w:t>
      </w:r>
      <w:r w:rsidRPr="00D42B1B">
        <w:t>, des partenaires techniques et financiers ainsi que du secteur privé.</w:t>
      </w:r>
      <w:r w:rsidR="00CA34C0" w:rsidRPr="00D42B1B">
        <w:t xml:space="preserve"> </w:t>
      </w:r>
      <w:r w:rsidRPr="00D42B1B">
        <w:t>Les interventions prévues s’articuleront autour de sept axes stratégiques, parmi lesquels le développement de l’alimentation animale, l’amélioration de la biosécurité, la réforme du cadre commercial ainsi que la structuration de la chaîne de valeur et de l’organisation des acteurs.</w:t>
      </w:r>
      <w:r w:rsidR="00CA34C0" w:rsidRPr="00D42B1B">
        <w:t xml:space="preserve"> </w:t>
      </w:r>
      <w:r w:rsidRPr="00D42B1B">
        <w:t>L’ambition affichée par les autorités est l’autosuffisance en viande de volaille et en œufs d’ici 2030. L’atteinte de cet objectif implique un renforcement des capacités de production locale pour substituer les importations, qui n’ont cessé de croître ces dernières années.</w:t>
      </w:r>
      <w:r w:rsidR="00CA34C0" w:rsidRPr="00D42B1B">
        <w:t xml:space="preserve"> </w:t>
      </w:r>
      <w:r w:rsidRPr="00D42B1B">
        <w:t>Les données compilées par la FAO montrent que les importations de viandes de poulet ont en effet grimpé de 54,28% en l’espace de cinq ans, passant de 57 421 tonnes en 2020 à 88 590 tonnes en 2024, avec une facture annuelle dépassant plus de 100</w:t>
      </w:r>
      <w:r w:rsidRPr="00D42B1B">
        <w:rPr>
          <w:rFonts w:ascii="Times New Roman" w:hAnsi="Times New Roman" w:cs="Times New Roman"/>
        </w:rPr>
        <w:t> </w:t>
      </w:r>
      <w:r w:rsidR="00CA34C0" w:rsidRPr="00D42B1B">
        <w:t>M USD</w:t>
      </w:r>
      <w:r w:rsidRPr="00D42B1B">
        <w:t>.</w:t>
      </w:r>
      <w:r w:rsidR="00CA34C0" w:rsidRPr="00D42B1B">
        <w:t xml:space="preserve"> </w:t>
      </w:r>
      <w:r w:rsidRPr="00D42B1B">
        <w:t>Ce plan d’investissement intervient alors que la production avicole stagne depuis plusieurs années. D’après la FAO, la Guinée a produit en moyenne 13 806 tonnes de viandes de volaille par an entre 2020 et 2024 et n’est jamais parvenue à franchir la barre des 15 000 tonnes.</w:t>
      </w:r>
      <w:r w:rsidR="00CA34C0" w:rsidRPr="00D42B1B">
        <w:t xml:space="preserve"> L</w:t>
      </w:r>
      <w:r w:rsidRPr="00D42B1B">
        <w:t>a filière, encore largement dominée par des systèmes d’élevage traditionnels, reste encore peu productive. Selon les données officielles, la Guinée compterait plus de 25,2</w:t>
      </w:r>
      <w:r w:rsidRPr="00D42B1B">
        <w:rPr>
          <w:rFonts w:ascii="Times New Roman" w:hAnsi="Times New Roman" w:cs="Times New Roman"/>
        </w:rPr>
        <w:t> </w:t>
      </w:r>
      <w:r w:rsidR="00CA34C0" w:rsidRPr="00D42B1B">
        <w:t>M</w:t>
      </w:r>
      <w:r w:rsidRPr="00D42B1B">
        <w:t xml:space="preserve"> de t</w:t>
      </w:r>
      <w:r w:rsidRPr="00D42B1B">
        <w:rPr>
          <w:rFonts w:cs="Marianne"/>
        </w:rPr>
        <w:t>ê</w:t>
      </w:r>
      <w:r w:rsidRPr="00D42B1B">
        <w:t>tes de volailles, dont seulement 7% issues de syst</w:t>
      </w:r>
      <w:r w:rsidRPr="00D42B1B">
        <w:rPr>
          <w:rFonts w:cs="Marianne"/>
        </w:rPr>
        <w:t>è</w:t>
      </w:r>
      <w:r w:rsidRPr="00D42B1B">
        <w:t>mes semi intensifs, tandis que le reste provient des systèmes d’élevages traditionnels.</w:t>
      </w:r>
      <w:r w:rsidR="005B67DA" w:rsidRPr="00D42B1B">
        <w:t xml:space="preserve"> </w:t>
      </w:r>
      <w:r w:rsidRPr="00D42B1B">
        <w:t xml:space="preserve">En outre, plusieurs défis structurels freinent la montée en puissance de l’industrie locale, dont les difficultés d’accès au financement, les insuffisances du cadre réglementaire, des défis liés à l’organisation du marché et des coûts de production élevés qui minent davantage la compétitivité face aux produits importés. </w:t>
      </w:r>
      <w:r w:rsidR="00CA34C0" w:rsidRPr="00D42B1B">
        <w:t>L</w:t>
      </w:r>
      <w:r w:rsidRPr="00D42B1B">
        <w:t xml:space="preserve">es produits importés entrent </w:t>
      </w:r>
      <w:r w:rsidR="00CA34C0" w:rsidRPr="00D42B1B">
        <w:t xml:space="preserve">en Guinée </w:t>
      </w:r>
      <w:r w:rsidRPr="00D42B1B">
        <w:t>à des prix inférieurs de 40</w:t>
      </w:r>
      <w:r w:rsidR="00635C46" w:rsidRPr="00D42B1B">
        <w:t>%</w:t>
      </w:r>
      <w:r w:rsidRPr="00D42B1B">
        <w:t xml:space="preserve"> à 60% du coût réel des poulets produits localement</w:t>
      </w:r>
      <w:r w:rsidRPr="00D42B1B">
        <w:rPr>
          <w:rFonts w:ascii="Times New Roman" w:hAnsi="Times New Roman" w:cs="Times New Roman"/>
        </w:rPr>
        <w:t> </w:t>
      </w:r>
      <w:r w:rsidR="00CA34C0" w:rsidRPr="00D42B1B">
        <w:rPr>
          <w:rFonts w:cs="Marianne"/>
        </w:rPr>
        <w:t xml:space="preserve">selon le ministre de l’élevage, M. </w:t>
      </w:r>
      <w:r w:rsidRPr="00D42B1B">
        <w:t>F</w:t>
      </w:r>
      <w:r w:rsidRPr="00D42B1B">
        <w:rPr>
          <w:rFonts w:cs="Marianne"/>
        </w:rPr>
        <w:t>é</w:t>
      </w:r>
      <w:r w:rsidRPr="00D42B1B">
        <w:t xml:space="preserve">lix </w:t>
      </w:r>
      <w:proofErr w:type="spellStart"/>
      <w:r w:rsidRPr="00D42B1B">
        <w:t>Lamah</w:t>
      </w:r>
      <w:proofErr w:type="spellEnd"/>
      <w:r w:rsidR="00CA34C0" w:rsidRPr="00D42B1B">
        <w:t xml:space="preserve">. </w:t>
      </w:r>
      <w:r w:rsidRPr="00D42B1B">
        <w:t>Dans un contexte où les produits importés restent souvent moins chers que la production locale, les autorités envisagent des mesures visant à protéger la filière nationale.</w:t>
      </w:r>
      <w:r w:rsidR="00CA34C0" w:rsidRPr="00D42B1B">
        <w:t xml:space="preserve"> </w:t>
      </w:r>
      <w:r w:rsidRPr="00D42B1B">
        <w:t xml:space="preserve">Cette orientation traduit une volonté de réguler davantage les importations afin de renforcer l’attractivité du secteur pour les investisseurs privés, intéressés. </w:t>
      </w:r>
      <w:r w:rsidR="005B67DA" w:rsidRPr="00D42B1B">
        <w:t xml:space="preserve">Concernant la production de viande de volaille, plusieurs projets industriels sont déjà engagés. </w:t>
      </w:r>
      <w:r w:rsidRPr="00D42B1B">
        <w:t>Le 26 mars, le conglomérat S</w:t>
      </w:r>
      <w:r w:rsidR="005B67DA" w:rsidRPr="00D42B1B">
        <w:t>ONOCO</w:t>
      </w:r>
      <w:r w:rsidRPr="00D42B1B">
        <w:t xml:space="preserve"> annonçait un investissement de 20</w:t>
      </w:r>
      <w:r w:rsidRPr="00D42B1B">
        <w:rPr>
          <w:rFonts w:ascii="Times New Roman" w:hAnsi="Times New Roman" w:cs="Times New Roman"/>
        </w:rPr>
        <w:t> </w:t>
      </w:r>
      <w:r w:rsidR="00CA34C0" w:rsidRPr="00D42B1B">
        <w:t>M</w:t>
      </w:r>
      <w:r w:rsidR="00937C97">
        <w:t> </w:t>
      </w:r>
      <w:r w:rsidR="00CA34C0" w:rsidRPr="00D42B1B">
        <w:t>USD</w:t>
      </w:r>
      <w:r w:rsidRPr="00D42B1B">
        <w:t xml:space="preserve"> pour la r</w:t>
      </w:r>
      <w:r w:rsidRPr="00D42B1B">
        <w:rPr>
          <w:rFonts w:cs="Marianne"/>
        </w:rPr>
        <w:t>é</w:t>
      </w:r>
      <w:r w:rsidRPr="00D42B1B">
        <w:t>alisation d</w:t>
      </w:r>
      <w:r w:rsidRPr="00D42B1B">
        <w:rPr>
          <w:rFonts w:cs="Marianne"/>
        </w:rPr>
        <w:t>’</w:t>
      </w:r>
      <w:r w:rsidRPr="00D42B1B">
        <w:t>un projet avicole int</w:t>
      </w:r>
      <w:r w:rsidRPr="00D42B1B">
        <w:rPr>
          <w:rFonts w:cs="Marianne"/>
        </w:rPr>
        <w:t>é</w:t>
      </w:r>
      <w:r w:rsidRPr="00D42B1B">
        <w:t>gr</w:t>
      </w:r>
      <w:r w:rsidRPr="00D42B1B">
        <w:rPr>
          <w:rFonts w:cs="Marianne"/>
        </w:rPr>
        <w:t>é</w:t>
      </w:r>
      <w:r w:rsidR="005B67DA" w:rsidRPr="00D42B1B">
        <w:rPr>
          <w:rFonts w:cs="Marianne"/>
        </w:rPr>
        <w:t>,</w:t>
      </w:r>
      <w:r w:rsidRPr="00D42B1B">
        <w:t xml:space="preserve"> </w:t>
      </w:r>
      <w:r w:rsidR="005B67DA" w:rsidRPr="00D42B1B">
        <w:t xml:space="preserve">FERMAV Industries, </w:t>
      </w:r>
      <w:r w:rsidRPr="00D42B1B">
        <w:t>qui couvre toute la cha</w:t>
      </w:r>
      <w:r w:rsidRPr="00D42B1B">
        <w:rPr>
          <w:rFonts w:cs="Marianne"/>
        </w:rPr>
        <w:t>î</w:t>
      </w:r>
      <w:r w:rsidRPr="00D42B1B">
        <w:t>ne de valeur, de l</w:t>
      </w:r>
      <w:r w:rsidRPr="00D42B1B">
        <w:rPr>
          <w:rFonts w:cs="Marianne"/>
        </w:rPr>
        <w:t>’</w:t>
      </w:r>
      <w:r w:rsidRPr="00D42B1B">
        <w:t xml:space="preserve">alimentation animale </w:t>
      </w:r>
      <w:r w:rsidRPr="00D42B1B">
        <w:rPr>
          <w:rFonts w:cs="Marianne"/>
        </w:rPr>
        <w:t>à</w:t>
      </w:r>
      <w:r w:rsidRPr="00D42B1B">
        <w:t xml:space="preserve"> la distribution</w:t>
      </w:r>
      <w:r w:rsidR="005B67DA" w:rsidRPr="00D42B1B">
        <w:t xml:space="preserve"> qui ambitionne de produire 15</w:t>
      </w:r>
      <w:r w:rsidR="00937C97">
        <w:t> </w:t>
      </w:r>
      <w:r w:rsidR="005B67DA" w:rsidRPr="00D42B1B">
        <w:t xml:space="preserve">M </w:t>
      </w:r>
      <w:r w:rsidR="005B67DA" w:rsidRPr="00D42B1B">
        <w:lastRenderedPageBreak/>
        <w:t xml:space="preserve">de poulets de chair par an. Parmi les autres projets, </w:t>
      </w:r>
      <w:proofErr w:type="spellStart"/>
      <w:r w:rsidR="005B67DA" w:rsidRPr="00D42B1B">
        <w:t>GuiPoulet</w:t>
      </w:r>
      <w:proofErr w:type="spellEnd"/>
      <w:r w:rsidR="005B67DA" w:rsidRPr="00D42B1B">
        <w:t xml:space="preserve"> prévoit d’atteindre une capacité de 2 </w:t>
      </w:r>
      <w:r w:rsidR="00726080" w:rsidRPr="00D42B1B">
        <w:t xml:space="preserve">M </w:t>
      </w:r>
      <w:r w:rsidR="005B67DA" w:rsidRPr="00D42B1B">
        <w:t>de poulets</w:t>
      </w:r>
      <w:r w:rsidR="00726080" w:rsidRPr="00D42B1B">
        <w:t xml:space="preserve">. LELLA </w:t>
      </w:r>
      <w:r w:rsidR="005B67DA" w:rsidRPr="00D42B1B">
        <w:t>et TMD</w:t>
      </w:r>
      <w:r w:rsidR="00726080" w:rsidRPr="00D42B1B">
        <w:t xml:space="preserve"> pour leur part </w:t>
      </w:r>
      <w:r w:rsidR="005B67DA" w:rsidRPr="00D42B1B">
        <w:t>dispos</w:t>
      </w:r>
      <w:r w:rsidR="00726080" w:rsidRPr="00D42B1B">
        <w:t>e</w:t>
      </w:r>
      <w:r w:rsidR="005B67DA" w:rsidRPr="00D42B1B">
        <w:t>nt d’une capacité annuelle d’environ un million de poulets.</w:t>
      </w:r>
      <w:r w:rsidR="00726080" w:rsidRPr="00D42B1B">
        <w:t xml:space="preserve"> </w:t>
      </w:r>
      <w:r w:rsidR="005B67DA" w:rsidRPr="00D42B1B">
        <w:t xml:space="preserve">Selon le ministre, </w:t>
      </w:r>
      <w:r w:rsidR="00726080" w:rsidRPr="00D42B1B">
        <w:t>l</w:t>
      </w:r>
      <w:r w:rsidR="005B67DA" w:rsidRPr="00D42B1B">
        <w:t xml:space="preserve">es investissements </w:t>
      </w:r>
      <w:r w:rsidR="00726080" w:rsidRPr="00D42B1B">
        <w:t xml:space="preserve">privés </w:t>
      </w:r>
      <w:r w:rsidR="005B67DA" w:rsidRPr="00D42B1B">
        <w:t xml:space="preserve">permettront à la Guinée d’atteindre une production nationale de 18 </w:t>
      </w:r>
      <w:r w:rsidR="00726080" w:rsidRPr="00D42B1B">
        <w:t xml:space="preserve">M </w:t>
      </w:r>
      <w:r w:rsidR="005B67DA" w:rsidRPr="00D42B1B">
        <w:t>de poulets de chair d’ici décembre 2026.</w:t>
      </w:r>
      <w:r w:rsidR="00726080" w:rsidRPr="00D42B1B">
        <w:t xml:space="preserve"> </w:t>
      </w:r>
      <w:r w:rsidR="00635C46" w:rsidRPr="00D42B1B">
        <w:t>Outre, la concurrence des produits importés, le diagnostic réalisé dans le cadre de cette stratégie met en évidence plusieurs contraintes majeures : la dépendance aux intrants importés, l’accès difficile au financement, les maladies aviaires et la faible structuration des organisations professionnelles. Parmi les intrants importés figurent notamment les poussins d’un jour, les œufs à couver, les aliments concentrés, les prémix, les vaccins, mais aussi le maïs, qui représente à lui seul environ 60% de l’alimentation des volailles. Les besoins du secteur atteignent près de 210 000 tonnes de maïs, d’où la nécessité de développer fortement cette culture au niveau national.</w:t>
      </w:r>
      <w:r w:rsidR="005B67DA" w:rsidRPr="00D42B1B">
        <w:t xml:space="preserve"> Le président de la Fédération interprofessionnelle nationale avicole (FINA), M. Boubacar </w:t>
      </w:r>
      <w:proofErr w:type="spellStart"/>
      <w:r w:rsidR="005B67DA" w:rsidRPr="00D42B1B">
        <w:t>Dansoko</w:t>
      </w:r>
      <w:proofErr w:type="spellEnd"/>
      <w:r w:rsidR="005B67DA" w:rsidRPr="00D42B1B">
        <w:t>, a salué les engagements annoncés tout en appelant les pouvoirs publics à poursuivre les réformes fiscales et commerciales en faveur des producteurs locaux. Il a notamment plaidé pour un renforcement de l’organisation professionnelle afin de faciliter le déploiement des politiques publiques. Selon lui, la structuration de la profession constitue un préalable indispensable au développement durable de la filière.</w:t>
      </w:r>
    </w:p>
    <w:p w14:paraId="30709D97" w14:textId="77777777" w:rsidR="00CA34C0" w:rsidRPr="00D42B1B" w:rsidRDefault="00CA34C0" w:rsidP="00423EBE">
      <w:pPr>
        <w:spacing w:after="0"/>
      </w:pPr>
    </w:p>
    <w:p w14:paraId="6EA0ED9F" w14:textId="1D1825F0" w:rsidR="00D47823" w:rsidRPr="00D42B1B" w:rsidRDefault="00D47823" w:rsidP="00394914">
      <w:pPr>
        <w:spacing w:after="0" w:line="240" w:lineRule="auto"/>
        <w:outlineLvl w:val="1"/>
        <w:rPr>
          <w:rFonts w:eastAsia="Times New Roman" w:cs="Arial"/>
          <w:b/>
          <w:bCs/>
          <w:color w:val="444444"/>
          <w:szCs w:val="20"/>
          <w:lang w:eastAsia="fr-FR"/>
        </w:rPr>
      </w:pPr>
      <w:bookmarkStart w:id="207" w:name="_Toc233878749"/>
      <w:bookmarkStart w:id="208" w:name="_Hlk233569146"/>
      <w:r w:rsidRPr="00D42B1B">
        <w:rPr>
          <w:b/>
          <w:bCs/>
        </w:rPr>
        <w:t>Elevage - Vigilance renforcée après la réapparition de l’Influenza aviaire hautement pathogène en Côte d’Ivoire et au Sénégal.</w:t>
      </w:r>
      <w:bookmarkEnd w:id="207"/>
    </w:p>
    <w:bookmarkEnd w:id="203"/>
    <w:bookmarkEnd w:id="208"/>
    <w:p w14:paraId="77D3B409" w14:textId="44C1C8DD" w:rsidR="00D47823" w:rsidRPr="00D42B1B" w:rsidRDefault="00D47823" w:rsidP="00D47823">
      <w:pPr>
        <w:spacing w:after="0"/>
      </w:pPr>
      <w:r w:rsidRPr="00D42B1B">
        <w:t xml:space="preserve">Le ministère de l’élevage a lancé le 4 juin une alerte à l’endroit des aviculteurs, commerçants de volailles et des populations guinéennes, suite à la réapparition de foyers de grippe aviaire hautement pathogène de souche H5N1 en Côte d’Ivoire (localité de </w:t>
      </w:r>
      <w:proofErr w:type="spellStart"/>
      <w:r w:rsidRPr="00D42B1B">
        <w:t>Koun</w:t>
      </w:r>
      <w:proofErr w:type="spellEnd"/>
      <w:r w:rsidRPr="00D42B1B">
        <w:t>-Fao) et au Sénégal (localité de Grand Yoff). Face à ce risque, les autorités guinéennes appellent à une vigilance accrue et invitent l’ensemble des acteurs du secteur avicole à respecter rigoureusement les mesures de prévention. Parmi les recommandations formulées figurent notamment l’évitement de tout contact avec des volailles malades ou mortes, le signalement immédiat de toute mortalité inhabituelle de volailles ou d’oiseaux sauvages aux services vétérinaires, ainsi que le renforcement des mesures d’hygiène et de biosécurité dans les fermes avicoles et les marchés à volailles. Les autorités demandent également de limiter les mouvements non contrôlés de volailles et de produits avicoles, d’empêcher toute introduction clandestine de volailles en provenance de la Côte d’Ivoire et du Sénégal, et de veiller à une bonne cuisson des produits avicoles avant leur consommation.</w:t>
      </w:r>
      <w:r w:rsidR="00394914" w:rsidRPr="00D42B1B">
        <w:t xml:space="preserve"> L</w:t>
      </w:r>
      <w:r w:rsidRPr="00D42B1B">
        <w:t>es services vétérinaires nationaux ont déjà pris des dispositions pour renforcer la surveillance épidémiologique aux frontières, dans les marchés et dans les zones d’élevage situées à proximité des frontières avec les deux pays concernés.</w:t>
      </w:r>
      <w:r w:rsidR="00394914" w:rsidRPr="00D42B1B">
        <w:t xml:space="preserve"> L</w:t>
      </w:r>
      <w:r w:rsidRPr="00D42B1B">
        <w:t xml:space="preserve">es éleveurs et les populations </w:t>
      </w:r>
      <w:r w:rsidR="00394914" w:rsidRPr="00D42B1B">
        <w:t xml:space="preserve">ont été appelés </w:t>
      </w:r>
      <w:r w:rsidRPr="00D42B1B">
        <w:t>à une collaboration étroite afin de prévenir toute introduction de la maladie sur le territoire guinéen.</w:t>
      </w:r>
    </w:p>
    <w:p w14:paraId="5943A571" w14:textId="132ED41E" w:rsidR="0059529E" w:rsidRPr="00D42B1B" w:rsidRDefault="0059529E" w:rsidP="00D47823">
      <w:pPr>
        <w:spacing w:after="0"/>
      </w:pPr>
    </w:p>
    <w:p w14:paraId="7FBB8270" w14:textId="7A791F84" w:rsidR="0059529E" w:rsidRPr="00D42B1B" w:rsidRDefault="0059529E" w:rsidP="00A101BA">
      <w:pPr>
        <w:spacing w:after="0" w:line="240" w:lineRule="auto"/>
        <w:outlineLvl w:val="1"/>
        <w:rPr>
          <w:rFonts w:eastAsia="Times New Roman" w:cs="Arial"/>
          <w:b/>
          <w:bCs/>
          <w:color w:val="444444"/>
          <w:szCs w:val="20"/>
          <w:lang w:eastAsia="fr-FR"/>
        </w:rPr>
      </w:pPr>
      <w:bookmarkStart w:id="209" w:name="_Toc233878750"/>
      <w:r w:rsidRPr="00D42B1B">
        <w:rPr>
          <w:b/>
          <w:bCs/>
        </w:rPr>
        <w:t>Mécanisation - Les coopératives agricoles accèdent aux premiers tracteurs du programme de mécanisation.</w:t>
      </w:r>
      <w:bookmarkEnd w:id="209"/>
    </w:p>
    <w:p w14:paraId="2B98DAEF" w14:textId="01EAB28F" w:rsidR="0059529E" w:rsidRPr="00D42B1B" w:rsidRDefault="0059529E" w:rsidP="00A101BA">
      <w:pPr>
        <w:spacing w:after="0"/>
      </w:pPr>
      <w:r w:rsidRPr="00D42B1B">
        <w:t>Le ministère de l’agriculture a organisé le 21 juin une cérémonie marquant la mise en œuvre de l’Initiative présidentielle d’appui à la mécanisation agricole (IPAM), un programme destiné à faciliter l’accès des producteurs aux équipements agricoles. Contrairement à une remise gratuite de matériel, l’initiative repose sur un mécanisme de financement permettant aux coopératives et groupements agricoles d’acquérir des tracteurs à des conditions préférentielles et à des prix subventionnés.</w:t>
      </w:r>
      <w:r w:rsidR="00A101BA" w:rsidRPr="00D42B1B">
        <w:t xml:space="preserve"> </w:t>
      </w:r>
      <w:r w:rsidRPr="00D42B1B">
        <w:t>Si le programme prévoit la mise à disposition de 75</w:t>
      </w:r>
      <w:r w:rsidR="00A101BA" w:rsidRPr="00D42B1B">
        <w:t> </w:t>
      </w:r>
      <w:r w:rsidRPr="00D42B1B">
        <w:t xml:space="preserve">tracteurs au profit des acteurs agricoles, seuls 15 engins ont pour l’instant été effectivement </w:t>
      </w:r>
      <w:r w:rsidRPr="00D42B1B">
        <w:lastRenderedPageBreak/>
        <w:t>acquis par des coopératives bénéficiaires dans le cadre de cette première phase. L’événement a ainsi consacré le lancement concret du dispositif de financement et l’entrée en exploitation des premiers équipements.</w:t>
      </w:r>
      <w:r w:rsidR="00A101BA" w:rsidRPr="00D42B1B">
        <w:t xml:space="preserve"> </w:t>
      </w:r>
      <w:r w:rsidRPr="00D42B1B">
        <w:t>L’un des moments importants de la cérémonie a été la signature des conventions entre le ministère de l’</w:t>
      </w:r>
      <w:r w:rsidR="00A101BA" w:rsidRPr="00D42B1B">
        <w:t>a</w:t>
      </w:r>
      <w:r w:rsidRPr="00D42B1B">
        <w:t xml:space="preserve">griculture, le Fonds de </w:t>
      </w:r>
      <w:r w:rsidR="00A101BA" w:rsidRPr="00D42B1B">
        <w:t>d</w:t>
      </w:r>
      <w:r w:rsidRPr="00D42B1B">
        <w:t xml:space="preserve">éveloppement </w:t>
      </w:r>
      <w:r w:rsidR="00A101BA" w:rsidRPr="00D42B1B">
        <w:t>a</w:t>
      </w:r>
      <w:r w:rsidRPr="00D42B1B">
        <w:t xml:space="preserve">gricole (FODA), le Crédit </w:t>
      </w:r>
      <w:r w:rsidR="00A101BA" w:rsidRPr="00D42B1B">
        <w:t>r</w:t>
      </w:r>
      <w:r w:rsidRPr="00D42B1B">
        <w:t>ural de Guinée et les organisations bénéficiaires. Ces accords définissent les modalités d’acquisition des tracteurs à travers un système de crédit remboursable sur quatre ans.</w:t>
      </w:r>
      <w:r w:rsidR="00A101BA" w:rsidRPr="00D42B1B">
        <w:t xml:space="preserve"> </w:t>
      </w:r>
      <w:r w:rsidRPr="00D42B1B">
        <w:t>Les conducteurs appelés à exploiter ces équipements ont également bénéficié de formations techniques destinées à garantir une utilisation optimale des tracteurs et à assurer leur entretien sur la durée.</w:t>
      </w:r>
      <w:r w:rsidR="00A101BA" w:rsidRPr="00D42B1B">
        <w:t xml:space="preserve"> A</w:t>
      </w:r>
      <w:r w:rsidRPr="00D42B1B">
        <w:t xml:space="preserve"> travers cette initiative, les autorités ambitionnent d’accélérer la modernisation de l’agriculture guinéenne, d’améliorer la productivité des exploitations et de renforcer la contribution du secteur agricole à la croissance économique et à la sécurité alimentaire du pays.</w:t>
      </w:r>
    </w:p>
    <w:p w14:paraId="23D0CD00" w14:textId="77777777" w:rsidR="00A101BA" w:rsidRPr="00D42B1B" w:rsidRDefault="00A101BA" w:rsidP="00A101BA">
      <w:pPr>
        <w:spacing w:after="0"/>
      </w:pPr>
    </w:p>
    <w:p w14:paraId="19D12EB0" w14:textId="317EAF4B" w:rsidR="00BC07B8" w:rsidRPr="00D42B1B" w:rsidRDefault="007B5BCC" w:rsidP="00BC07B8">
      <w:pPr>
        <w:pStyle w:val="Titre1"/>
      </w:pPr>
      <w:bookmarkStart w:id="210" w:name="_Toc233878751"/>
      <w:bookmarkEnd w:id="199"/>
      <w:bookmarkEnd w:id="200"/>
      <w:r w:rsidRPr="00D42B1B">
        <w:t>Guinée-Bissau</w:t>
      </w:r>
      <w:bookmarkStart w:id="211" w:name="_Hlk228477447"/>
      <w:bookmarkEnd w:id="210"/>
    </w:p>
    <w:p w14:paraId="5E291AA5" w14:textId="73570F20" w:rsidR="00394914" w:rsidRPr="00D42B1B" w:rsidRDefault="00394914" w:rsidP="009220E9">
      <w:pPr>
        <w:spacing w:after="0" w:line="240" w:lineRule="auto"/>
        <w:outlineLvl w:val="1"/>
        <w:rPr>
          <w:rFonts w:eastAsia="Times New Roman" w:cs="Arial"/>
          <w:b/>
          <w:bCs/>
          <w:color w:val="444444"/>
          <w:szCs w:val="20"/>
          <w:lang w:eastAsia="fr-FR"/>
        </w:rPr>
      </w:pPr>
      <w:bookmarkStart w:id="212" w:name="_Toc233878752"/>
      <w:bookmarkStart w:id="213" w:name="_Hlk231744361"/>
      <w:r w:rsidRPr="00D42B1B">
        <w:rPr>
          <w:b/>
          <w:bCs/>
        </w:rPr>
        <w:t>Anacarde - Nouvelles règles de contrôle pour les exportations.</w:t>
      </w:r>
      <w:bookmarkEnd w:id="212"/>
    </w:p>
    <w:bookmarkEnd w:id="213"/>
    <w:p w14:paraId="3D4F4929" w14:textId="11D150AA" w:rsidR="00394914" w:rsidRPr="00D42B1B" w:rsidRDefault="00394914" w:rsidP="00394914">
      <w:pPr>
        <w:spacing w:after="0"/>
      </w:pPr>
      <w:r w:rsidRPr="00D42B1B">
        <w:t>L’exportation de noix de cajou a débuté le 1</w:t>
      </w:r>
      <w:r w:rsidRPr="00D42B1B">
        <w:rPr>
          <w:vertAlign w:val="superscript"/>
        </w:rPr>
        <w:t>er</w:t>
      </w:r>
      <w:r w:rsidRPr="00D42B1B">
        <w:t xml:space="preserve"> juin, dans le cadre de nouvelles règles de contrôle mises en place par le gouvernement de transition, dans le but d’assurer une plus grande transparence dans le processus et d’éviter les pertes enregistrées lors des campagnes précédentes. Lors de l’ouverture du pont-peseur pour les exportations, le ministre du commerce et de l’industrie, M. </w:t>
      </w:r>
      <w:proofErr w:type="spellStart"/>
      <w:r w:rsidRPr="00D42B1B">
        <w:t>Jaimantino</w:t>
      </w:r>
      <w:proofErr w:type="spellEnd"/>
      <w:r w:rsidRPr="00D42B1B">
        <w:t xml:space="preserve"> </w:t>
      </w:r>
      <w:proofErr w:type="spellStart"/>
      <w:r w:rsidRPr="00D42B1B">
        <w:t>Có</w:t>
      </w:r>
      <w:proofErr w:type="spellEnd"/>
      <w:r w:rsidRPr="00D42B1B">
        <w:t>, a déclaré que le gouvernement renforçait les mécanismes de suivi de la quantité exportée et des entreprises concernées, qui devraient présenter leurs performances à la fin de la campagne. Selon le ministre, ce nouveau système permet un contrôle plus rigoureux des volumes de noix de cajou entrant et sortant du pays</w:t>
      </w:r>
      <w:r w:rsidR="009220E9" w:rsidRPr="00D42B1B">
        <w:t xml:space="preserve">, </w:t>
      </w:r>
      <w:r w:rsidRPr="00D42B1B">
        <w:t>rappel</w:t>
      </w:r>
      <w:r w:rsidR="009220E9" w:rsidRPr="00D42B1B">
        <w:t>ant</w:t>
      </w:r>
      <w:r w:rsidRPr="00D42B1B">
        <w:t xml:space="preserve"> qu’en 2025, environ 40 000 tonnes de noix de cajou n’avaient pas été enregistrées correctement, une situation que le gouvernement compte éviter avec les nouveaux mécanismes désormais mis en place.</w:t>
      </w:r>
      <w:r w:rsidR="009220E9" w:rsidRPr="00D42B1B">
        <w:t xml:space="preserve"> Il a également appelé à un enregistrement rigoureux des données, à la collecte appropriée des recettes et à leur acheminement vers le Trésor public, notant que ce processus renforcera le financement des politiques publiques, en particulier dans les secteurs de l’éducation, de la santé et des infrastructures. </w:t>
      </w:r>
      <w:r w:rsidRPr="00D42B1B">
        <w:t xml:space="preserve">Le ministre a </w:t>
      </w:r>
      <w:r w:rsidR="009220E9" w:rsidRPr="00D42B1B">
        <w:t xml:space="preserve">ainsi </w:t>
      </w:r>
      <w:r w:rsidRPr="00D42B1B">
        <w:t>souligné l’importance du secteur pour le pays, soulignant que plus de 60% de la population guinéenne dépend directement ou indirectement de la noix de cajou, véritable « moteur » de l’économie</w:t>
      </w:r>
      <w:r w:rsidR="009220E9" w:rsidRPr="00D42B1B">
        <w:t xml:space="preserve"> et </w:t>
      </w:r>
      <w:r w:rsidRPr="00D42B1B">
        <w:t>principale source de recettes fiscales pour le Trésor public.</w:t>
      </w:r>
    </w:p>
    <w:p w14:paraId="2610436A" w14:textId="58F706CC" w:rsidR="007035B0" w:rsidRPr="00D42B1B" w:rsidRDefault="007035B0" w:rsidP="00394914">
      <w:pPr>
        <w:spacing w:after="0"/>
      </w:pPr>
    </w:p>
    <w:p w14:paraId="6F538C61" w14:textId="15E014C1" w:rsidR="007035B0" w:rsidRPr="00D42B1B" w:rsidRDefault="003B2983" w:rsidP="00E132E9">
      <w:pPr>
        <w:spacing w:after="0" w:line="240" w:lineRule="auto"/>
        <w:outlineLvl w:val="1"/>
        <w:rPr>
          <w:rFonts w:eastAsia="Times New Roman" w:cs="Arial"/>
          <w:b/>
          <w:bCs/>
          <w:color w:val="444444"/>
          <w:szCs w:val="20"/>
          <w:lang w:eastAsia="fr-FR"/>
        </w:rPr>
      </w:pPr>
      <w:bookmarkStart w:id="214" w:name="_Toc233878753"/>
      <w:r w:rsidRPr="00D42B1B">
        <w:rPr>
          <w:b/>
          <w:bCs/>
        </w:rPr>
        <w:t>Anacarde - L</w:t>
      </w:r>
      <w:r w:rsidR="007035B0" w:rsidRPr="00D42B1B">
        <w:rPr>
          <w:b/>
          <w:bCs/>
        </w:rPr>
        <w:t xml:space="preserve">a campagne </w:t>
      </w:r>
      <w:r w:rsidRPr="00D42B1B">
        <w:rPr>
          <w:b/>
          <w:bCs/>
        </w:rPr>
        <w:t xml:space="preserve">de commercialisation </w:t>
      </w:r>
      <w:r w:rsidR="007035B0" w:rsidRPr="00D42B1B">
        <w:rPr>
          <w:b/>
          <w:bCs/>
        </w:rPr>
        <w:t>dépasse l’objectif de 200 000 tonnes</w:t>
      </w:r>
      <w:r w:rsidRPr="00D42B1B">
        <w:rPr>
          <w:b/>
          <w:bCs/>
        </w:rPr>
        <w:t>.</w:t>
      </w:r>
      <w:bookmarkEnd w:id="214"/>
    </w:p>
    <w:p w14:paraId="17CC94AB" w14:textId="0A588025" w:rsidR="007035B0" w:rsidRPr="00D42B1B" w:rsidRDefault="007035B0" w:rsidP="007035B0">
      <w:pPr>
        <w:spacing w:after="0"/>
      </w:pPr>
      <w:r w:rsidRPr="00D42B1B">
        <w:t xml:space="preserve">Le président des intermédiaires commerciaux, M. Lassana </w:t>
      </w:r>
      <w:proofErr w:type="spellStart"/>
      <w:r w:rsidRPr="00D42B1B">
        <w:t>Sambú</w:t>
      </w:r>
      <w:proofErr w:type="spellEnd"/>
      <w:r w:rsidRPr="00D42B1B">
        <w:t>, a jugé que la campagne de commercialisation des noix de cajou était positive. Selon lui, le prix du produit continue d’augmenter en raison de la forte demande par rapport à l’offre. Elles sont vendues à environ 630 FCFA/kg</w:t>
      </w:r>
      <w:r w:rsidR="003B2983" w:rsidRPr="00D42B1B">
        <w:t xml:space="preserve">. </w:t>
      </w:r>
      <w:r w:rsidRPr="00D42B1B">
        <w:t xml:space="preserve">37 000 tonnes </w:t>
      </w:r>
      <w:r w:rsidR="003B2983" w:rsidRPr="00D42B1B">
        <w:t xml:space="preserve">auraient </w:t>
      </w:r>
      <w:r w:rsidRPr="00D42B1B">
        <w:t>déjà été exportées, tandis que 70</w:t>
      </w:r>
      <w:r w:rsidR="003B2983" w:rsidRPr="00D42B1B">
        <w:t> </w:t>
      </w:r>
      <w:r w:rsidRPr="00D42B1B">
        <w:t xml:space="preserve">000 tonnes supplémentaires </w:t>
      </w:r>
      <w:r w:rsidR="003B2983" w:rsidRPr="00D42B1B">
        <w:t>on</w:t>
      </w:r>
      <w:r w:rsidRPr="00D42B1B">
        <w:t>t été déclarées pour exportation.</w:t>
      </w:r>
      <w:r w:rsidR="003B2983" w:rsidRPr="00D42B1B">
        <w:t xml:space="preserve"> P</w:t>
      </w:r>
      <w:r w:rsidRPr="00D42B1B">
        <w:t xml:space="preserve">lus de 200 000 tonnes se trouvent déjà </w:t>
      </w:r>
      <w:r w:rsidR="003B2983" w:rsidRPr="00D42B1B">
        <w:t xml:space="preserve">dans les entrepôts de </w:t>
      </w:r>
      <w:r w:rsidRPr="00D42B1B">
        <w:t>Bissau, dépassant les prévisions initiales de la campagne, estimées au même volume.</w:t>
      </w:r>
      <w:r w:rsidR="003B2983" w:rsidRPr="00D42B1B">
        <w:t xml:space="preserve"> L</w:t>
      </w:r>
      <w:r w:rsidRPr="00D42B1B">
        <w:t>es données régionales indiquent également l’existence d’environ 25</w:t>
      </w:r>
      <w:r w:rsidR="003B2983" w:rsidRPr="00D42B1B">
        <w:t> </w:t>
      </w:r>
      <w:r w:rsidRPr="00D42B1B">
        <w:t>000</w:t>
      </w:r>
      <w:r w:rsidR="003B2983" w:rsidRPr="00D42B1B">
        <w:t> </w:t>
      </w:r>
      <w:r w:rsidRPr="00D42B1B">
        <w:t>tonnes stockées dans différentes régions du pays.</w:t>
      </w:r>
      <w:r w:rsidR="003B2983" w:rsidRPr="00D42B1B">
        <w:t xml:space="preserve"> Ces </w:t>
      </w:r>
      <w:r w:rsidRPr="00D42B1B">
        <w:t xml:space="preserve">chiffres montrent que, malgré la baisse de la production, la </w:t>
      </w:r>
      <w:r w:rsidR="003B2983" w:rsidRPr="00D42B1B">
        <w:t>campagne de commercialisation devrait</w:t>
      </w:r>
      <w:r w:rsidRPr="00D42B1B">
        <w:t xml:space="preserve"> </w:t>
      </w:r>
      <w:r w:rsidR="003B2983" w:rsidRPr="00D42B1B">
        <w:t>permettre de</w:t>
      </w:r>
      <w:r w:rsidRPr="00D42B1B">
        <w:t xml:space="preserve"> dépasser le seuil des 200 000 tonnes</w:t>
      </w:r>
      <w:r w:rsidR="003B2983" w:rsidRPr="00D42B1B">
        <w:t xml:space="preserve"> prévues, sachant que </w:t>
      </w:r>
      <w:r w:rsidRPr="00D42B1B">
        <w:t xml:space="preserve">lors d’années de bonne production, le pays </w:t>
      </w:r>
      <w:r w:rsidR="003B2983" w:rsidRPr="00D42B1B">
        <w:t xml:space="preserve">a </w:t>
      </w:r>
      <w:r w:rsidRPr="00D42B1B">
        <w:t>p</w:t>
      </w:r>
      <w:r w:rsidR="003B2983" w:rsidRPr="00D42B1B">
        <w:t>u</w:t>
      </w:r>
      <w:r w:rsidRPr="00D42B1B">
        <w:t xml:space="preserve"> </w:t>
      </w:r>
      <w:r w:rsidRPr="00D42B1B">
        <w:lastRenderedPageBreak/>
        <w:t>atteindre 400 000 tonnes</w:t>
      </w:r>
      <w:r w:rsidR="003B2983" w:rsidRPr="00D42B1B">
        <w:t xml:space="preserve"> commercialisées</w:t>
      </w:r>
      <w:r w:rsidRPr="00D42B1B">
        <w:t>.</w:t>
      </w:r>
      <w:r w:rsidR="00E132E9" w:rsidRPr="00D42B1B">
        <w:t xml:space="preserve"> </w:t>
      </w:r>
      <w:r w:rsidRPr="00D42B1B">
        <w:t xml:space="preserve">Le président des intermédiaires </w:t>
      </w:r>
      <w:r w:rsidR="003B2983" w:rsidRPr="00D42B1B">
        <w:t>com</w:t>
      </w:r>
      <w:r w:rsidR="00E132E9" w:rsidRPr="00D42B1B">
        <w:t xml:space="preserve">merciaux </w:t>
      </w:r>
      <w:r w:rsidRPr="00D42B1B">
        <w:t xml:space="preserve">a également souligné </w:t>
      </w:r>
      <w:r w:rsidR="00E132E9" w:rsidRPr="00D42B1B">
        <w:t>que l</w:t>
      </w:r>
      <w:r w:rsidRPr="00D42B1B">
        <w:t xml:space="preserve">es opérateurs nationaux rencontrent souvent des difficultés de financement, ce qui conduit à l’attribution de licences à des exploitants étrangers. Il est </w:t>
      </w:r>
      <w:r w:rsidR="00E132E9" w:rsidRPr="00D42B1B">
        <w:t xml:space="preserve">pour lui </w:t>
      </w:r>
      <w:r w:rsidRPr="00D42B1B">
        <w:t>nécessaire de créer des conditions permettant aux opérateurs nationaux de développer leurs activités.</w:t>
      </w:r>
    </w:p>
    <w:p w14:paraId="6A682E85" w14:textId="39CD9469" w:rsidR="00A101BA" w:rsidRPr="00D42B1B" w:rsidRDefault="00A101BA" w:rsidP="00394914">
      <w:pPr>
        <w:spacing w:after="0"/>
      </w:pPr>
    </w:p>
    <w:p w14:paraId="7A3AED52" w14:textId="6CAAFDF4" w:rsidR="00A101BA" w:rsidRPr="00D42B1B" w:rsidRDefault="00A101BA" w:rsidP="005E7694">
      <w:pPr>
        <w:spacing w:after="0" w:line="240" w:lineRule="auto"/>
        <w:outlineLvl w:val="1"/>
        <w:rPr>
          <w:rFonts w:eastAsia="Times New Roman" w:cs="Arial"/>
          <w:b/>
          <w:bCs/>
          <w:color w:val="444444"/>
          <w:szCs w:val="20"/>
          <w:lang w:eastAsia="fr-FR"/>
        </w:rPr>
      </w:pPr>
      <w:bookmarkStart w:id="215" w:name="_Toc233878754"/>
      <w:bookmarkStart w:id="216" w:name="_Hlk233570962"/>
      <w:r w:rsidRPr="00D42B1B">
        <w:rPr>
          <w:b/>
          <w:bCs/>
        </w:rPr>
        <w:t xml:space="preserve">Recherche </w:t>
      </w:r>
      <w:r w:rsidR="005E7694" w:rsidRPr="00D42B1B">
        <w:rPr>
          <w:b/>
          <w:bCs/>
        </w:rPr>
        <w:t>–</w:t>
      </w:r>
      <w:r w:rsidRPr="00D42B1B">
        <w:rPr>
          <w:b/>
          <w:bCs/>
        </w:rPr>
        <w:t xml:space="preserve"> </w:t>
      </w:r>
      <w:r w:rsidR="005E7694" w:rsidRPr="00D42B1B">
        <w:rPr>
          <w:b/>
          <w:bCs/>
        </w:rPr>
        <w:t>Manque de ressources de l’Institut national de recherche agraire (INPA).</w:t>
      </w:r>
      <w:bookmarkEnd w:id="215"/>
    </w:p>
    <w:bookmarkEnd w:id="216"/>
    <w:p w14:paraId="1EC34FCC" w14:textId="6D73F789" w:rsidR="00A101BA" w:rsidRPr="00D42B1B" w:rsidRDefault="00A101BA" w:rsidP="00A101BA">
      <w:pPr>
        <w:spacing w:after="0"/>
      </w:pPr>
      <w:r w:rsidRPr="00D42B1B">
        <w:t xml:space="preserve">Le directeur général </w:t>
      </w:r>
      <w:bookmarkStart w:id="217" w:name="_Hlk233570215"/>
      <w:r w:rsidRPr="00D42B1B">
        <w:t xml:space="preserve">de </w:t>
      </w:r>
      <w:r w:rsidR="005E7694" w:rsidRPr="00D42B1B">
        <w:t>l’</w:t>
      </w:r>
      <w:r w:rsidRPr="00D42B1B">
        <w:t>INPA</w:t>
      </w:r>
      <w:bookmarkEnd w:id="217"/>
      <w:r w:rsidRPr="00D42B1B">
        <w:t xml:space="preserve">, M. </w:t>
      </w:r>
      <w:proofErr w:type="spellStart"/>
      <w:r w:rsidRPr="00D42B1B">
        <w:t>Quintino</w:t>
      </w:r>
      <w:proofErr w:type="spellEnd"/>
      <w:r w:rsidRPr="00D42B1B">
        <w:t xml:space="preserve"> Alves, a déclaré que l’institution ne dispose pas, pour le moment, de la capacité technique ou financière pour mener des recherches ou recommander des variétés de semences adaptées pour la saison agricole en cours.</w:t>
      </w:r>
      <w:r w:rsidR="006C6EAA" w:rsidRPr="00D42B1B">
        <w:t xml:space="preserve"> L</w:t>
      </w:r>
      <w:r w:rsidRPr="00D42B1B">
        <w:t xml:space="preserve">e responsable a expliqué que l’INPA est pratiquement inactive en raison de la </w:t>
      </w:r>
      <w:r w:rsidR="006C6EAA" w:rsidRPr="00D42B1B">
        <w:t xml:space="preserve">faiblesse de ses </w:t>
      </w:r>
      <w:r w:rsidRPr="00D42B1B">
        <w:t>ressources</w:t>
      </w:r>
      <w:r w:rsidR="006C6EAA" w:rsidRPr="00D42B1B">
        <w:t xml:space="preserve">, </w:t>
      </w:r>
      <w:r w:rsidRPr="00D42B1B">
        <w:t xml:space="preserve">situation qui empêche </w:t>
      </w:r>
      <w:r w:rsidR="006C6EAA" w:rsidRPr="00D42B1B">
        <w:t>s</w:t>
      </w:r>
      <w:r w:rsidRPr="00D42B1B">
        <w:t>es techniciens de fournir des conseils aux agriculteurs.</w:t>
      </w:r>
      <w:r w:rsidR="006C6EAA" w:rsidRPr="00D42B1B">
        <w:t xml:space="preserve"> </w:t>
      </w:r>
      <w:r w:rsidRPr="00D42B1B">
        <w:t xml:space="preserve">Selon </w:t>
      </w:r>
      <w:r w:rsidR="006C6EAA" w:rsidRPr="00D42B1B">
        <w:t xml:space="preserve">M. </w:t>
      </w:r>
      <w:proofErr w:type="spellStart"/>
      <w:r w:rsidRPr="00D42B1B">
        <w:t>Quintino</w:t>
      </w:r>
      <w:proofErr w:type="spellEnd"/>
      <w:r w:rsidRPr="00D42B1B">
        <w:t xml:space="preserve"> Alves, </w:t>
      </w:r>
      <w:r w:rsidR="006C6EAA" w:rsidRPr="00D42B1B">
        <w:t xml:space="preserve">cette situation est d’autant plus préoccupante que le pays doit faire face à </w:t>
      </w:r>
      <w:r w:rsidRPr="00D42B1B">
        <w:t>une réduction significative des précipitations</w:t>
      </w:r>
      <w:r w:rsidR="006C6EAA" w:rsidRPr="00D42B1B">
        <w:t xml:space="preserve"> avec </w:t>
      </w:r>
      <w:r w:rsidRPr="00D42B1B">
        <w:t>moins de 70% des précipitations normalement observées pendant la saison agricole</w:t>
      </w:r>
      <w:r w:rsidR="006C6EAA" w:rsidRPr="00D42B1B">
        <w:t xml:space="preserve"> et que l’INPA n’est pas en mesure d’aider les agriculteurs à s’adapter à ces changements. </w:t>
      </w:r>
      <w:r w:rsidRPr="00D42B1B">
        <w:t xml:space="preserve">Le </w:t>
      </w:r>
      <w:r w:rsidR="006C6EAA" w:rsidRPr="00D42B1B">
        <w:t>dire</w:t>
      </w:r>
      <w:r w:rsidR="005E7694" w:rsidRPr="00D42B1B">
        <w:t>c</w:t>
      </w:r>
      <w:r w:rsidR="006C6EAA" w:rsidRPr="00D42B1B">
        <w:t xml:space="preserve">teur </w:t>
      </w:r>
      <w:r w:rsidRPr="00D42B1B">
        <w:t xml:space="preserve">a également dénoncé la dégradation des infrastructures de recherche agricole, révélant que les quatre centres de recherche du pays </w:t>
      </w:r>
      <w:r w:rsidR="006C6EAA" w:rsidRPr="00D42B1B">
        <w:t xml:space="preserve">sont </w:t>
      </w:r>
      <w:r w:rsidRPr="00D42B1B">
        <w:t>confrontés à un manque d’eau, d’équipements, d’ordinateurs et de ressources humaines.</w:t>
      </w:r>
      <w:r w:rsidR="006C6EAA" w:rsidRPr="00D42B1B">
        <w:t xml:space="preserve"> L</w:t>
      </w:r>
      <w:r w:rsidRPr="00D42B1B">
        <w:t>’INPA ne compte actuellement que 17 techniciens en poste, un nombre nettement inférieur aux plus de 80 existants auparavant. Les techniciens sont mal payés, ils n’ont ni incitations ni moyens de travail. Le directeur a également mis en garde contre le vieillissement du personnel technique et le manque de jeunes formés dans le domaine agricole, avertissant qu’à l’avenir, le pays pourrait dépendre de spécialistes étrangers pour développer le secteur.</w:t>
      </w:r>
      <w:r w:rsidR="005E7694" w:rsidRPr="00D42B1B">
        <w:t xml:space="preserve"> Malgré les limites, le directeur a assuré que les techniciens continuent à travailler sur la base de l’expérience accumulée et du soutien à certains projets agricoles. Le directeur </w:t>
      </w:r>
      <w:r w:rsidRPr="00D42B1B">
        <w:t>a également attiré l’attention sur l’envasement généralisé des</w:t>
      </w:r>
      <w:r w:rsidR="005E7694" w:rsidRPr="00D42B1B">
        <w:t xml:space="preserve"> bas-fonds</w:t>
      </w:r>
      <w:r w:rsidRPr="00D42B1B">
        <w:t xml:space="preserve"> causé par la déforestation, l’érosion des sols et le dépôt de déchets, des facteurs qui compromettent la fertilité des terres.</w:t>
      </w:r>
      <w:r w:rsidR="005E7694" w:rsidRPr="00D42B1B">
        <w:t xml:space="preserve"> </w:t>
      </w:r>
      <w:r w:rsidRPr="00D42B1B">
        <w:t>Pour inverser la situation, il a défendu les investissements dans la mécanisation agricole, la réhabilitation des infrastructures hydro-agricoles, la production nationale de semences, l’organisation des producteurs en coopératives et le renforcement du financement public du secteur.</w:t>
      </w:r>
      <w:r w:rsidR="005E7694" w:rsidRPr="00D42B1B">
        <w:t xml:space="preserve"> </w:t>
      </w:r>
      <w:r w:rsidRPr="00D42B1B">
        <w:t xml:space="preserve">Le </w:t>
      </w:r>
      <w:r w:rsidR="005E7694" w:rsidRPr="00D42B1B">
        <w:t xml:space="preserve">directeur </w:t>
      </w:r>
      <w:r w:rsidRPr="00D42B1B">
        <w:t>a souligné que l’agriculture reste l’un des piliers principaux de l’économie nationale et a appelé le gouvernement à investir de manière constante et durable dans le développement du secteur.</w:t>
      </w:r>
    </w:p>
    <w:p w14:paraId="0CE021B6" w14:textId="77777777" w:rsidR="009220E9" w:rsidRPr="00D42B1B" w:rsidRDefault="009220E9" w:rsidP="00394914">
      <w:pPr>
        <w:spacing w:after="0"/>
      </w:pPr>
    </w:p>
    <w:p w14:paraId="3AA2466E" w14:textId="667ADCF8" w:rsidR="00346DB3" w:rsidRPr="00D42B1B" w:rsidRDefault="009D0F96" w:rsidP="007B5BCC">
      <w:pPr>
        <w:pStyle w:val="Titre1"/>
      </w:pPr>
      <w:bookmarkStart w:id="218" w:name="_Toc207812057"/>
      <w:bookmarkStart w:id="219" w:name="_Toc207812925"/>
      <w:bookmarkStart w:id="220" w:name="_Toc207813087"/>
      <w:bookmarkStart w:id="221" w:name="_Toc233878755"/>
      <w:bookmarkStart w:id="222" w:name="_Hlk227260511"/>
      <w:bookmarkEnd w:id="211"/>
      <w:r w:rsidRPr="00D42B1B">
        <w:t>Libéria</w:t>
      </w:r>
      <w:bookmarkEnd w:id="218"/>
      <w:bookmarkEnd w:id="219"/>
      <w:bookmarkEnd w:id="220"/>
      <w:bookmarkEnd w:id="221"/>
    </w:p>
    <w:p w14:paraId="22631C7F" w14:textId="77777777" w:rsidR="00F75193" w:rsidRPr="00D42B1B" w:rsidRDefault="00F75193" w:rsidP="00F75193">
      <w:pPr>
        <w:spacing w:after="0" w:line="240" w:lineRule="auto"/>
        <w:outlineLvl w:val="1"/>
        <w:rPr>
          <w:rFonts w:eastAsia="Times New Roman" w:cs="Arial"/>
          <w:b/>
          <w:bCs/>
          <w:color w:val="444444"/>
          <w:szCs w:val="20"/>
          <w:lang w:eastAsia="fr-FR"/>
        </w:rPr>
      </w:pPr>
      <w:bookmarkStart w:id="223" w:name="_Toc233878756"/>
      <w:bookmarkStart w:id="224" w:name="_Hlk233570193"/>
      <w:bookmarkStart w:id="225" w:name="_Hlk232279935"/>
      <w:r w:rsidRPr="00D42B1B">
        <w:rPr>
          <w:b/>
          <w:bCs/>
        </w:rPr>
        <w:t>Politique agricole – Publication du nouveau recensement agricole 2022/23 et de l’enquête annuelle sur l’agriculture 2024.</w:t>
      </w:r>
      <w:bookmarkEnd w:id="223"/>
    </w:p>
    <w:bookmarkEnd w:id="224"/>
    <w:p w14:paraId="3DC742BB" w14:textId="41BC54DF" w:rsidR="00F75193" w:rsidRPr="00D42B1B" w:rsidRDefault="0072194F" w:rsidP="00F75193">
      <w:pPr>
        <w:spacing w:after="0"/>
      </w:pPr>
      <w:r w:rsidRPr="00D42B1B">
        <w:t xml:space="preserve">Le </w:t>
      </w:r>
      <w:r w:rsidR="00F75193" w:rsidRPr="00D42B1B">
        <w:t xml:space="preserve">secteur agricole du Libéria est reconnu comme central pour l’économie du pays, les moyens de subsistance ruraux et la sécurité alimentaire. Pourtant, les décideurs politiques et les partenaires de développement ont souvent dû prendre des décisions avec des données </w:t>
      </w:r>
      <w:r w:rsidRPr="00D42B1B">
        <w:t xml:space="preserve">au mieux </w:t>
      </w:r>
      <w:r w:rsidR="00F75193" w:rsidRPr="00D42B1B">
        <w:t xml:space="preserve">limitées </w:t>
      </w:r>
      <w:r w:rsidRPr="00D42B1B">
        <w:t xml:space="preserve">au pire </w:t>
      </w:r>
      <w:r w:rsidR="00F75193" w:rsidRPr="00D42B1B">
        <w:t xml:space="preserve">obsolètes. Le </w:t>
      </w:r>
      <w:bookmarkStart w:id="226" w:name="_Hlk233190618"/>
      <w:r w:rsidR="00F75193" w:rsidRPr="00D42B1B">
        <w:t xml:space="preserve">nouveau recensement agricole du Libéria 2022/23 et l’enquête annuelle sur l’agriculture 2024 </w:t>
      </w:r>
      <w:bookmarkEnd w:id="226"/>
      <w:r w:rsidR="00F75193" w:rsidRPr="00D42B1B">
        <w:t xml:space="preserve">offrent désormais le portrait le plus complet du secteur agricole du pays depuis plus de cinquante ans. L’agriculture continue de jouer un rôle majeur dans l’économie et la société. L’enquête de 2024 estime que plus de 68% de la population est engagée dans l’agriculture, tandis que ce secteur contribue à environ 28,5% du </w:t>
      </w:r>
      <w:r w:rsidR="00F75193" w:rsidRPr="00D42B1B">
        <w:lastRenderedPageBreak/>
        <w:t>PIB, ce qui en fait le deuxième plus grand secteur économique du Libéria après les services. Le recensement a identifié environ 338 630 ménages agricoles et une population agricole dépassant un million de personnes. Presque tous les ménages agricoles sont engagés dans la culture agricole, soulignant le rôle central du secteur dans l’emploi. Les nouvelles données révèlent un potentiel agricole et agroalimentaire important mais encore inexploité, limité par une faible productivité, une commercialisation limitée et un accès faible aux intrants et marchés.</w:t>
      </w:r>
    </w:p>
    <w:p w14:paraId="62F74D5F" w14:textId="77777777" w:rsidR="00F75193" w:rsidRPr="00D42B1B" w:rsidRDefault="00F75193" w:rsidP="00F75193">
      <w:pPr>
        <w:spacing w:after="0"/>
      </w:pPr>
    </w:p>
    <w:p w14:paraId="5B611A84" w14:textId="3BE2782E" w:rsidR="00493C95" w:rsidRPr="00D42B1B" w:rsidRDefault="00493C95" w:rsidP="00E3477F">
      <w:pPr>
        <w:spacing w:after="0" w:line="240" w:lineRule="auto"/>
        <w:outlineLvl w:val="1"/>
        <w:rPr>
          <w:rFonts w:eastAsia="Times New Roman" w:cs="Arial"/>
          <w:b/>
          <w:bCs/>
          <w:color w:val="444444"/>
          <w:szCs w:val="20"/>
          <w:lang w:eastAsia="fr-FR"/>
        </w:rPr>
      </w:pPr>
      <w:bookmarkStart w:id="227" w:name="_Toc233878757"/>
      <w:r w:rsidRPr="00D42B1B">
        <w:rPr>
          <w:b/>
          <w:bCs/>
        </w:rPr>
        <w:t xml:space="preserve">Foncier </w:t>
      </w:r>
      <w:r w:rsidR="00E3477F" w:rsidRPr="00D42B1B">
        <w:rPr>
          <w:b/>
          <w:bCs/>
        </w:rPr>
        <w:t>–</w:t>
      </w:r>
      <w:r w:rsidRPr="00D42B1B">
        <w:rPr>
          <w:b/>
          <w:bCs/>
        </w:rPr>
        <w:t xml:space="preserve"> </w:t>
      </w:r>
      <w:r w:rsidR="00E3477F" w:rsidRPr="00D42B1B">
        <w:rPr>
          <w:b/>
          <w:bCs/>
        </w:rPr>
        <w:t>Nouveaux formulaires sécurisés de propriété foncière.</w:t>
      </w:r>
      <w:bookmarkEnd w:id="227"/>
    </w:p>
    <w:bookmarkEnd w:id="225"/>
    <w:p w14:paraId="1E6E1E45" w14:textId="0C27E6D9" w:rsidR="00D82821" w:rsidRPr="00D42B1B" w:rsidRDefault="00493C95" w:rsidP="00D82821">
      <w:pPr>
        <w:spacing w:after="0"/>
      </w:pPr>
      <w:r w:rsidRPr="00D42B1B">
        <w:t xml:space="preserve">Le président de la Cour suprême du Libéria, M. </w:t>
      </w:r>
      <w:proofErr w:type="spellStart"/>
      <w:r w:rsidRPr="00D42B1B">
        <w:t>Yarmie</w:t>
      </w:r>
      <w:proofErr w:type="spellEnd"/>
      <w:r w:rsidRPr="00D42B1B">
        <w:t xml:space="preserve"> </w:t>
      </w:r>
      <w:proofErr w:type="spellStart"/>
      <w:r w:rsidRPr="00D42B1B">
        <w:t>Quiqui</w:t>
      </w:r>
      <w:proofErr w:type="spellEnd"/>
      <w:r w:rsidRPr="00D42B1B">
        <w:t xml:space="preserve"> </w:t>
      </w:r>
      <w:proofErr w:type="spellStart"/>
      <w:r w:rsidRPr="00D42B1B">
        <w:t>Gbeisay</w:t>
      </w:r>
      <w:proofErr w:type="spellEnd"/>
      <w:r w:rsidRPr="00D42B1B">
        <w:t xml:space="preserve">, </w:t>
      </w:r>
      <w:r w:rsidR="00E3477F" w:rsidRPr="00D42B1B">
        <w:t>s’est engagé</w:t>
      </w:r>
      <w:r w:rsidRPr="00D42B1B">
        <w:t xml:space="preserve"> le 4 juin </w:t>
      </w:r>
      <w:r w:rsidR="00E3477F" w:rsidRPr="00D42B1B">
        <w:t xml:space="preserve">à </w:t>
      </w:r>
      <w:r w:rsidRPr="00D42B1B">
        <w:t>une coopération plus étroite entre la justice et l’Autorité foncière du Libéria (</w:t>
      </w:r>
      <w:r w:rsidRPr="00D42B1B">
        <w:rPr>
          <w:i/>
          <w:iCs/>
        </w:rPr>
        <w:t xml:space="preserve">Liberia Land </w:t>
      </w:r>
      <w:proofErr w:type="spellStart"/>
      <w:r w:rsidRPr="00D42B1B">
        <w:rPr>
          <w:i/>
          <w:iCs/>
        </w:rPr>
        <w:t>Authority</w:t>
      </w:r>
      <w:proofErr w:type="spellEnd"/>
      <w:r w:rsidRPr="00D42B1B">
        <w:t xml:space="preserve"> - LLA), alors que le pays s’efforce de renforcer la gouvernance foncière et de freiner les différen</w:t>
      </w:r>
      <w:r w:rsidR="00E3477F" w:rsidRPr="00D42B1B">
        <w:t>d</w:t>
      </w:r>
      <w:r w:rsidRPr="00D42B1B">
        <w:t xml:space="preserve">s de longue date qui freinent le développement. </w:t>
      </w:r>
      <w:r w:rsidR="00E3477F" w:rsidRPr="00D42B1B">
        <w:t xml:space="preserve">Un protocole d’accord doit être signé pour créer un cadre d’action coordonnée, incluant la formation et la sensibilisation. </w:t>
      </w:r>
      <w:r w:rsidRPr="00D42B1B">
        <w:t>Cet engagement est intervenu après une présentation des nouveaux formulaires de propriété foncière. Ces formulaires, qui intègrent des fonctionnalités de sécurité avancées, visent à réduire les faux, renforcer la vérification et accroître la confiance dans les transactions foncières. Le président de la Cour suprême a déclaré que la justice est prête à s’assurer que les nouveaux documents soient reconnus et appliqués dans les tribunaux à l’échelle nationale.</w:t>
      </w:r>
      <w:r w:rsidR="00E3477F" w:rsidRPr="00D42B1B">
        <w:t xml:space="preserve"> </w:t>
      </w:r>
      <w:r w:rsidRPr="00D42B1B">
        <w:t xml:space="preserve">La LLA, créée en 2016 pour regrouper les fonctions foncières auparavant dispersées entre </w:t>
      </w:r>
      <w:r w:rsidR="00E3477F" w:rsidRPr="00D42B1B">
        <w:t xml:space="preserve">différentes </w:t>
      </w:r>
      <w:r w:rsidRPr="00D42B1B">
        <w:t xml:space="preserve">agences gouvernementales, a mené les réformes agraires notamment l’adoption </w:t>
      </w:r>
      <w:r w:rsidR="00E3477F" w:rsidRPr="00D42B1B">
        <w:t xml:space="preserve">en 2018 </w:t>
      </w:r>
      <w:r w:rsidRPr="00D42B1B">
        <w:t xml:space="preserve">de la </w:t>
      </w:r>
      <w:r w:rsidRPr="00D42B1B">
        <w:rPr>
          <w:i/>
          <w:iCs/>
        </w:rPr>
        <w:t xml:space="preserve">Land </w:t>
      </w:r>
      <w:proofErr w:type="spellStart"/>
      <w:r w:rsidRPr="00D42B1B">
        <w:rPr>
          <w:i/>
          <w:iCs/>
        </w:rPr>
        <w:t>Rights</w:t>
      </w:r>
      <w:proofErr w:type="spellEnd"/>
      <w:r w:rsidRPr="00D42B1B">
        <w:rPr>
          <w:i/>
          <w:iCs/>
        </w:rPr>
        <w:t xml:space="preserve"> </w:t>
      </w:r>
      <w:proofErr w:type="spellStart"/>
      <w:r w:rsidRPr="00D42B1B">
        <w:rPr>
          <w:i/>
          <w:iCs/>
        </w:rPr>
        <w:t>Act</w:t>
      </w:r>
      <w:proofErr w:type="spellEnd"/>
      <w:r w:rsidRPr="00D42B1B">
        <w:t xml:space="preserve"> de 2018, qui reconnaît légalement la propriété foncière coutumière et garantit l’égalité des droits pour les femmes et les groupes vulnérables.</w:t>
      </w:r>
      <w:r w:rsidR="00E3477F" w:rsidRPr="00D42B1B">
        <w:t xml:space="preserve"> </w:t>
      </w:r>
      <w:r w:rsidRPr="00D42B1B">
        <w:t>L’autorité a également introduit des programmes et réglementations axés sur le genre, soutenus par des partenaires au développement, dont la Banque mondiale</w:t>
      </w:r>
      <w:r w:rsidR="00E3477F" w:rsidRPr="00D42B1B">
        <w:t xml:space="preserve"> et</w:t>
      </w:r>
      <w:r w:rsidRPr="00D42B1B">
        <w:t xml:space="preserve"> l’USAID.</w:t>
      </w:r>
      <w:r w:rsidR="00E3477F" w:rsidRPr="00D42B1B">
        <w:t xml:space="preserve"> </w:t>
      </w:r>
      <w:r w:rsidRPr="00D42B1B">
        <w:t>Malgré les progrès, les litiges fonciers restent une cause majeure de conflits communautaires et un obstacle à l’investissement</w:t>
      </w:r>
      <w:r w:rsidR="00E3477F" w:rsidRPr="00D42B1B">
        <w:t>. L</w:t>
      </w:r>
      <w:r w:rsidRPr="00D42B1B">
        <w:t xml:space="preserve">es </w:t>
      </w:r>
      <w:r w:rsidR="00E3477F" w:rsidRPr="00D42B1B">
        <w:t xml:space="preserve">nouveaux </w:t>
      </w:r>
      <w:r w:rsidRPr="00D42B1B">
        <w:t xml:space="preserve">formulaires de propriété sécurisés constituent une réforme </w:t>
      </w:r>
      <w:r w:rsidR="00E3477F" w:rsidRPr="00D42B1B">
        <w:t xml:space="preserve">importante </w:t>
      </w:r>
      <w:r w:rsidRPr="00D42B1B">
        <w:t xml:space="preserve">de la gouvernance foncière </w:t>
      </w:r>
      <w:r w:rsidR="00E3477F" w:rsidRPr="00D42B1B">
        <w:t xml:space="preserve">qui doit permettre de réduire </w:t>
      </w:r>
      <w:r w:rsidRPr="00D42B1B">
        <w:t>les conflits entre propriétaires fonciers, investisseurs et institutions</w:t>
      </w:r>
      <w:r w:rsidR="00E3477F" w:rsidRPr="00D42B1B">
        <w:t xml:space="preserve"> et </w:t>
      </w:r>
      <w:r w:rsidRPr="00D42B1B">
        <w:t>restaurer la confiance dans le système d’administration foncière.</w:t>
      </w:r>
    </w:p>
    <w:p w14:paraId="45DA9A5B" w14:textId="77777777" w:rsidR="00B90F5D" w:rsidRPr="00D42B1B" w:rsidRDefault="00B90F5D" w:rsidP="00B90F5D">
      <w:pPr>
        <w:spacing w:after="0"/>
      </w:pPr>
    </w:p>
    <w:p w14:paraId="6D5FAFD1" w14:textId="678BA8B3" w:rsidR="00B90F5D" w:rsidRPr="00D42B1B" w:rsidRDefault="00B90F5D" w:rsidP="00C94183">
      <w:pPr>
        <w:spacing w:after="0" w:line="240" w:lineRule="auto"/>
        <w:outlineLvl w:val="1"/>
        <w:rPr>
          <w:rFonts w:eastAsia="Times New Roman" w:cs="Arial"/>
          <w:b/>
          <w:bCs/>
          <w:color w:val="444444"/>
          <w:szCs w:val="20"/>
          <w:lang w:eastAsia="fr-FR"/>
        </w:rPr>
      </w:pPr>
      <w:bookmarkStart w:id="228" w:name="_Toc233878758"/>
      <w:r w:rsidRPr="00D42B1B">
        <w:rPr>
          <w:b/>
          <w:bCs/>
        </w:rPr>
        <w:t xml:space="preserve">Hévéa - </w:t>
      </w:r>
      <w:r w:rsidR="00C94183" w:rsidRPr="00D42B1B">
        <w:rPr>
          <w:b/>
          <w:bCs/>
        </w:rPr>
        <w:t xml:space="preserve">Incitations à l’investissement </w:t>
      </w:r>
      <w:r w:rsidRPr="00D42B1B">
        <w:rPr>
          <w:b/>
          <w:bCs/>
        </w:rPr>
        <w:t>pour les transformateurs locaux de caoutchouc naturel.</w:t>
      </w:r>
      <w:bookmarkEnd w:id="228"/>
    </w:p>
    <w:p w14:paraId="71CFD4EB" w14:textId="19910E21" w:rsidR="00936041" w:rsidRPr="00D42B1B" w:rsidRDefault="00B90F5D" w:rsidP="00B90F5D">
      <w:pPr>
        <w:spacing w:after="0"/>
      </w:pPr>
      <w:r w:rsidRPr="00D42B1B">
        <w:t xml:space="preserve">Le Président libérien, M. Joseph </w:t>
      </w:r>
      <w:proofErr w:type="spellStart"/>
      <w:r w:rsidRPr="00D42B1B">
        <w:t>Boakai</w:t>
      </w:r>
      <w:proofErr w:type="spellEnd"/>
      <w:r w:rsidRPr="00D42B1B">
        <w:t xml:space="preserve">, a proposé de multiples </w:t>
      </w:r>
      <w:bookmarkStart w:id="229" w:name="_Hlk233874586"/>
      <w:r w:rsidRPr="00D42B1B">
        <w:t xml:space="preserve">incitations à l’investissement </w:t>
      </w:r>
      <w:bookmarkEnd w:id="229"/>
      <w:r w:rsidRPr="00D42B1B">
        <w:t>aux entreprises nationales de l’industrie du caoutchouc tout en maintenant l’interdiction d’exporter du caoutchouc naturel non transformé à partir du 1</w:t>
      </w:r>
      <w:r w:rsidRPr="00D42B1B">
        <w:rPr>
          <w:vertAlign w:val="superscript"/>
        </w:rPr>
        <w:t>er</w:t>
      </w:r>
      <w:r w:rsidRPr="00D42B1B">
        <w:t xml:space="preserve"> juillet. La mesure restera en vigueur indéfiniment selon un nouvel ordre exécutif publié le 26 juin. Cette initiative fait partie de l’Agenda ARREST pour un développement inclusif.</w:t>
      </w:r>
      <w:r w:rsidR="00C94183" w:rsidRPr="00D42B1B">
        <w:t xml:space="preserve"> </w:t>
      </w:r>
      <w:r w:rsidRPr="00D42B1B">
        <w:t xml:space="preserve">L’interdiction couvre le latex naturel, le coagulum, les bosses en coupe, les chutes d’écorce, les morceaux moulus et toutes les autres formes de caoutchouc brut. Le décret exécutif déclare que l’exportation continue de caoutchouc naturel brut a privé le Libéria d’opportunités manufacturières importantes en aval, d’emplois industriels, d’augmentation des recettes fiscales et d’amélioration des revenus en devises étrangères. Pour faire respecter l’interdiction, les contrevenants feront face à des sanctions, notamment la saisie immédiate des expéditions illégales et des amendes administratives allant jusqu’à 100 000 </w:t>
      </w:r>
      <w:r w:rsidR="00C94183" w:rsidRPr="00D42B1B">
        <w:t>USD</w:t>
      </w:r>
      <w:r w:rsidRPr="00D42B1B">
        <w:t xml:space="preserve"> pour les entreprises et 50 000 </w:t>
      </w:r>
      <w:r w:rsidR="00C94183" w:rsidRPr="00D42B1B">
        <w:t>USD</w:t>
      </w:r>
      <w:r w:rsidRPr="00D42B1B">
        <w:t xml:space="preserve"> pour les petits exploitants en cas de première infraction. Plusieurs ministères ont également été chargés d’inspecter, de détenir et de confisquer toute cargaison de caoutchouc non transformé </w:t>
      </w:r>
      <w:r w:rsidRPr="00D42B1B">
        <w:lastRenderedPageBreak/>
        <w:t>destiné à l’exportation</w:t>
      </w:r>
      <w:r w:rsidR="00C94183" w:rsidRPr="00D42B1B">
        <w:t xml:space="preserve">. </w:t>
      </w:r>
      <w:r w:rsidRPr="00D42B1B">
        <w:t>Le gouvernement s’est également engagé à adopter de nouvelles réglementations dans les 30 jours afin d’améliorer l’accès des producteurs au marché intérieur, en particulier ceux situés dans les communautés éloignées.</w:t>
      </w:r>
      <w:r w:rsidR="00C94183" w:rsidRPr="00D42B1B">
        <w:t xml:space="preserve"> </w:t>
      </w:r>
      <w:r w:rsidRPr="00D42B1B">
        <w:t>Il prévoit également d’introduire des incitations pour les industries nationales de transformation du caoutchouc par des allégements fiscaux, des financements préférentiels, un soutien aux infrastructures et des politiques visant à étendre la fabrication de produits finis tels que les pneus, les gants et les chaussures.</w:t>
      </w:r>
      <w:r w:rsidR="00C94183" w:rsidRPr="00D42B1B">
        <w:t xml:space="preserve"> </w:t>
      </w:r>
      <w:r w:rsidRPr="00D42B1B">
        <w:t xml:space="preserve">Cette annonce fait suite à un investissement de 36 </w:t>
      </w:r>
      <w:r w:rsidR="00C94183" w:rsidRPr="00D42B1B">
        <w:t xml:space="preserve">M USD </w:t>
      </w:r>
      <w:r w:rsidRPr="00D42B1B">
        <w:t xml:space="preserve">obtenu par le Libéria en mai 2026 auprès du groupe agroindustriel </w:t>
      </w:r>
      <w:r w:rsidR="00C94183" w:rsidRPr="00D42B1B">
        <w:t>c</w:t>
      </w:r>
      <w:r w:rsidRPr="00D42B1B">
        <w:t>ambodgien M</w:t>
      </w:r>
      <w:r w:rsidR="00C94183" w:rsidRPr="00D42B1B">
        <w:t xml:space="preserve">AINLAND </w:t>
      </w:r>
      <w:r w:rsidRPr="00D42B1B">
        <w:t>afin de renforcer la transformation locale du caoutchouc et mieux intégrer les petits producteurs de caoutchouc dans les chaînes de valeur.</w:t>
      </w:r>
      <w:r w:rsidR="00C94183" w:rsidRPr="00D42B1B">
        <w:t xml:space="preserve"> </w:t>
      </w:r>
      <w:r w:rsidRPr="00D42B1B">
        <w:t>Selon la Banque centrale du Libéria (CBL), la production de caoutchouc naturel a diminué de 2,3% en 2025 en raison d’une baisse de la production des petits exploitants.</w:t>
      </w:r>
      <w:r w:rsidR="00C94183" w:rsidRPr="00D42B1B">
        <w:t xml:space="preserve"> </w:t>
      </w:r>
      <w:r w:rsidRPr="00D42B1B">
        <w:t>Troisième plus grand producteur de caoutchouc naturel d’Afrique de l’Ouest, après la Côte d’Ivoire et le Nigeria, le Libéria prévoie, dans le cadre de son Plan national de développement agricole (PNA) 2024–2030, d’établir 20 000 h</w:t>
      </w:r>
      <w:r w:rsidR="00C94183" w:rsidRPr="00D42B1B">
        <w:t>a</w:t>
      </w:r>
      <w:r w:rsidRPr="00D42B1B">
        <w:t xml:space="preserve"> de nouvelles plantations d’hévéas pour les petits exploitants et de réhabiliter 10 000 h</w:t>
      </w:r>
      <w:r w:rsidR="00C94183" w:rsidRPr="00D42B1B">
        <w:t xml:space="preserve">a </w:t>
      </w:r>
      <w:r w:rsidRPr="00D42B1B">
        <w:t>de plantations existantes.</w:t>
      </w:r>
    </w:p>
    <w:p w14:paraId="6CD7C294" w14:textId="77777777" w:rsidR="00C94183" w:rsidRPr="00D42B1B" w:rsidRDefault="00C94183" w:rsidP="00B90F5D">
      <w:pPr>
        <w:spacing w:after="0"/>
      </w:pPr>
    </w:p>
    <w:p w14:paraId="1E21F546" w14:textId="68DA541A" w:rsidR="00D82821" w:rsidRPr="00D42B1B" w:rsidRDefault="00D82821" w:rsidP="003352D1">
      <w:pPr>
        <w:spacing w:after="0" w:line="240" w:lineRule="auto"/>
        <w:outlineLvl w:val="1"/>
        <w:rPr>
          <w:rFonts w:eastAsia="Times New Roman" w:cs="Arial"/>
          <w:b/>
          <w:bCs/>
          <w:color w:val="444444"/>
          <w:szCs w:val="20"/>
          <w:lang w:eastAsia="fr-FR"/>
        </w:rPr>
      </w:pPr>
      <w:bookmarkStart w:id="230" w:name="_Toc233878759"/>
      <w:bookmarkStart w:id="231" w:name="_Hlk233190587"/>
      <w:r w:rsidRPr="00D42B1B">
        <w:rPr>
          <w:b/>
          <w:bCs/>
        </w:rPr>
        <w:t xml:space="preserve">Café - </w:t>
      </w:r>
      <w:r w:rsidR="003352D1" w:rsidRPr="00D42B1B">
        <w:rPr>
          <w:b/>
          <w:bCs/>
        </w:rPr>
        <w:t>Partenarial</w:t>
      </w:r>
      <w:r w:rsidRPr="00D42B1B">
        <w:rPr>
          <w:b/>
          <w:bCs/>
        </w:rPr>
        <w:t xml:space="preserve"> de 60 M USD avec une entreprise nigériane.</w:t>
      </w:r>
      <w:bookmarkEnd w:id="230"/>
    </w:p>
    <w:bookmarkEnd w:id="231"/>
    <w:p w14:paraId="58E7A05F" w14:textId="118D4C70" w:rsidR="003352D1" w:rsidRPr="00D42B1B" w:rsidRDefault="00D82821" w:rsidP="003352D1">
      <w:pPr>
        <w:spacing w:after="0"/>
      </w:pPr>
      <w:r w:rsidRPr="00D42B1B">
        <w:t xml:space="preserve">Le Libéria a signé un accord de production de café de 60 M USD avec la société nigériane JR </w:t>
      </w:r>
      <w:proofErr w:type="spellStart"/>
      <w:r w:rsidRPr="00D42B1B">
        <w:t>Farms</w:t>
      </w:r>
      <w:proofErr w:type="spellEnd"/>
      <w:r w:rsidRPr="00D42B1B">
        <w:t xml:space="preserve"> Group visant à relancer la production de café et à stimuler les exportations. Ce partenariat de 20 ans devrait bénéficier à plus de 200 000 agriculteurs et faciliter le développement de plus de 250 000 ha de plantations de café à travers le pays au cours des deux prochaines décennies. L’accord a été signé par le ministre de l’agriculture, le</w:t>
      </w:r>
      <w:r w:rsidR="00114587" w:rsidRPr="00D42B1B">
        <w:t> </w:t>
      </w:r>
      <w:r w:rsidRPr="00D42B1B">
        <w:t>Dr</w:t>
      </w:r>
      <w:r w:rsidR="00114587" w:rsidRPr="00D42B1B">
        <w:t> </w:t>
      </w:r>
      <w:r w:rsidRPr="00D42B1B">
        <w:t>J.</w:t>
      </w:r>
      <w:r w:rsidR="00114587" w:rsidRPr="00D42B1B">
        <w:t> </w:t>
      </w:r>
      <w:r w:rsidRPr="00D42B1B">
        <w:t xml:space="preserve">Alexander </w:t>
      </w:r>
      <w:proofErr w:type="spellStart"/>
      <w:r w:rsidRPr="00D42B1B">
        <w:t>Nuetah</w:t>
      </w:r>
      <w:proofErr w:type="spellEnd"/>
      <w:r w:rsidRPr="00D42B1B">
        <w:t xml:space="preserve">, et le fondateur et directeur général </w:t>
      </w:r>
      <w:r w:rsidR="00114587" w:rsidRPr="00D42B1B">
        <w:t xml:space="preserve">de </w:t>
      </w:r>
      <w:r w:rsidRPr="00D42B1B">
        <w:t xml:space="preserve">JR </w:t>
      </w:r>
      <w:proofErr w:type="spellStart"/>
      <w:r w:rsidRPr="00D42B1B">
        <w:t>Farms</w:t>
      </w:r>
      <w:proofErr w:type="spellEnd"/>
      <w:r w:rsidR="00114587" w:rsidRPr="00D42B1B">
        <w:t xml:space="preserve"> Group</w:t>
      </w:r>
      <w:r w:rsidRPr="00D42B1B">
        <w:t xml:space="preserve">, </w:t>
      </w:r>
      <w:r w:rsidR="00114587" w:rsidRPr="00D42B1B">
        <w:t>M. </w:t>
      </w:r>
      <w:proofErr w:type="spellStart"/>
      <w:r w:rsidRPr="00D42B1B">
        <w:t>Olawale</w:t>
      </w:r>
      <w:proofErr w:type="spellEnd"/>
      <w:r w:rsidR="00114587" w:rsidRPr="00D42B1B">
        <w:t> </w:t>
      </w:r>
      <w:r w:rsidRPr="00D42B1B">
        <w:t xml:space="preserve">Rotimi </w:t>
      </w:r>
      <w:proofErr w:type="spellStart"/>
      <w:r w:rsidRPr="00D42B1B">
        <w:t>Oyeyemi</w:t>
      </w:r>
      <w:proofErr w:type="spellEnd"/>
      <w:r w:rsidRPr="00D42B1B">
        <w:t>.</w:t>
      </w:r>
      <w:r w:rsidR="00114587" w:rsidRPr="00D42B1B">
        <w:t xml:space="preserve"> </w:t>
      </w:r>
      <w:r w:rsidRPr="00D42B1B">
        <w:t>Dans le cadre de ce</w:t>
      </w:r>
      <w:r w:rsidR="00114587" w:rsidRPr="00D42B1B">
        <w:t xml:space="preserve"> partenariat</w:t>
      </w:r>
      <w:r w:rsidRPr="00D42B1B">
        <w:t xml:space="preserve">, au moins 200 </w:t>
      </w:r>
      <w:r w:rsidR="00114587" w:rsidRPr="00D42B1B">
        <w:t xml:space="preserve">M </w:t>
      </w:r>
      <w:r w:rsidRPr="00D42B1B">
        <w:t>de caféiers seront plantés, tandis que plus de 300 000 emplois directs et indirects devraient être créés dans toute la chaîne de valeur du café.</w:t>
      </w:r>
      <w:r w:rsidR="00114587" w:rsidRPr="00D42B1B">
        <w:t xml:space="preserve"> </w:t>
      </w:r>
      <w:r w:rsidRPr="00D42B1B">
        <w:t xml:space="preserve">Le Libéria, réputé pour sa variété de café </w:t>
      </w:r>
      <w:proofErr w:type="spellStart"/>
      <w:r w:rsidRPr="00D42B1B">
        <w:t>Liberica</w:t>
      </w:r>
      <w:proofErr w:type="spellEnd"/>
      <w:r w:rsidRPr="00D42B1B">
        <w:t xml:space="preserve">, possède des conditions agroécologiques favorables et des sols fertiles propices à la culture des </w:t>
      </w:r>
      <w:r w:rsidR="00114587" w:rsidRPr="00D42B1B">
        <w:t xml:space="preserve">variétés </w:t>
      </w:r>
      <w:r w:rsidRPr="00D42B1B">
        <w:t xml:space="preserve">de café </w:t>
      </w:r>
      <w:proofErr w:type="spellStart"/>
      <w:r w:rsidRPr="00D42B1B">
        <w:t>Liberica</w:t>
      </w:r>
      <w:proofErr w:type="spellEnd"/>
      <w:r w:rsidRPr="00D42B1B">
        <w:t>, Arabica et Robusta.</w:t>
      </w:r>
      <w:r w:rsidR="00114587" w:rsidRPr="00D42B1B">
        <w:t xml:space="preserve"> </w:t>
      </w:r>
      <w:r w:rsidRPr="00D42B1B">
        <w:t xml:space="preserve">Ce partenariat </w:t>
      </w:r>
      <w:r w:rsidR="00114587" w:rsidRPr="00D42B1B">
        <w:t xml:space="preserve">s’inscrit dans </w:t>
      </w:r>
      <w:r w:rsidRPr="00D42B1B">
        <w:t>la stratégie du gouvernement libérien visant à repositionner l’agriculture comme moteur clé de la croissance économique, de la diversification des exportations et du développement rural. Le café a été identifié comme l’une des cultures prioritaires dans l’agenda de transformation agricole du pays</w:t>
      </w:r>
      <w:r w:rsidR="003352D1" w:rsidRPr="00D42B1B">
        <w:t>. L</w:t>
      </w:r>
      <w:r w:rsidRPr="00D42B1B">
        <w:t>e Plan national de développement agricole (PNA)</w:t>
      </w:r>
      <w:r w:rsidR="00114587" w:rsidRPr="00D42B1B">
        <w:t xml:space="preserve"> </w:t>
      </w:r>
      <w:r w:rsidRPr="00D42B1B">
        <w:t>vis</w:t>
      </w:r>
      <w:r w:rsidR="00114587" w:rsidRPr="00D42B1B">
        <w:t>a</w:t>
      </w:r>
      <w:r w:rsidR="003352D1" w:rsidRPr="00D42B1B">
        <w:t>i</w:t>
      </w:r>
      <w:r w:rsidR="00114587" w:rsidRPr="00D42B1B">
        <w:t>t</w:t>
      </w:r>
      <w:r w:rsidRPr="00D42B1B">
        <w:t xml:space="preserve"> la création de 15 000 h</w:t>
      </w:r>
      <w:r w:rsidR="00114587" w:rsidRPr="00D42B1B">
        <w:t>a</w:t>
      </w:r>
      <w:r w:rsidRPr="00D42B1B">
        <w:t xml:space="preserve"> de nouvelles plantations de café dans les cinq prochaines années</w:t>
      </w:r>
      <w:r w:rsidR="003352D1" w:rsidRPr="00D42B1B">
        <w:t>. Ce partenariat pourrait donc permettre au Libéria de largement dépasser ses objectifs</w:t>
      </w:r>
      <w:r w:rsidRPr="00D42B1B">
        <w:t>.</w:t>
      </w:r>
      <w:r w:rsidR="000E2F2C" w:rsidRPr="00D42B1B">
        <w:t xml:space="preserve"> </w:t>
      </w:r>
      <w:r w:rsidRPr="00D42B1B">
        <w:t xml:space="preserve">JR </w:t>
      </w:r>
      <w:proofErr w:type="spellStart"/>
      <w:r w:rsidRPr="00D42B1B">
        <w:t>Farms</w:t>
      </w:r>
      <w:proofErr w:type="spellEnd"/>
      <w:r w:rsidRPr="00D42B1B">
        <w:t xml:space="preserve"> Group, qui opère au Nigeria, au Rwanda, en Zambie</w:t>
      </w:r>
      <w:r w:rsidR="000E2F2C" w:rsidRPr="00D42B1B">
        <w:t xml:space="preserve"> et </w:t>
      </w:r>
      <w:r w:rsidRPr="00D42B1B">
        <w:t>au Bénin, apporte plus de 13 ans d’expérience dans le développement</w:t>
      </w:r>
      <w:r w:rsidR="000E2F2C" w:rsidRPr="00D42B1B">
        <w:t xml:space="preserve"> agricole</w:t>
      </w:r>
      <w:r w:rsidRPr="00D42B1B">
        <w:t>, la production et la transformation du café</w:t>
      </w:r>
      <w:r w:rsidR="000E2F2C" w:rsidRPr="00D42B1B">
        <w:t xml:space="preserve"> ainsi que</w:t>
      </w:r>
      <w:r w:rsidRPr="00D42B1B">
        <w:t xml:space="preserve"> l</w:t>
      </w:r>
      <w:r w:rsidR="000E2F2C" w:rsidRPr="00D42B1B">
        <w:t>a</w:t>
      </w:r>
      <w:r w:rsidRPr="00D42B1B">
        <w:t xml:space="preserve"> commerc</w:t>
      </w:r>
      <w:r w:rsidR="000E2F2C" w:rsidRPr="00D42B1B">
        <w:t>ialisation</w:t>
      </w:r>
      <w:r w:rsidRPr="00D42B1B">
        <w:t>.</w:t>
      </w:r>
      <w:r w:rsidR="000E2F2C" w:rsidRPr="00D42B1B">
        <w:t xml:space="preserve"> </w:t>
      </w:r>
      <w:r w:rsidRPr="00D42B1B">
        <w:t xml:space="preserve">L’entreprise travaille avec des milliers d’agriculteurs à travers l’Afrique, exploite plusieurs </w:t>
      </w:r>
      <w:r w:rsidR="000E2F2C" w:rsidRPr="00D42B1B">
        <w:t xml:space="preserve">unités </w:t>
      </w:r>
      <w:r w:rsidRPr="00D42B1B">
        <w:t>de transformation et gère un réseau de points de vente de café.</w:t>
      </w:r>
      <w:r w:rsidR="000E2F2C" w:rsidRPr="00D42B1B">
        <w:t xml:space="preserve"> </w:t>
      </w:r>
      <w:r w:rsidRPr="00D42B1B">
        <w:t>Dans le cadre</w:t>
      </w:r>
      <w:r w:rsidR="000E2F2C" w:rsidRPr="00D42B1B">
        <w:t xml:space="preserve"> du partenarial</w:t>
      </w:r>
      <w:r w:rsidRPr="00D42B1B">
        <w:t xml:space="preserve">, JR </w:t>
      </w:r>
      <w:proofErr w:type="spellStart"/>
      <w:r w:rsidRPr="00D42B1B">
        <w:t>Farms</w:t>
      </w:r>
      <w:proofErr w:type="spellEnd"/>
      <w:r w:rsidRPr="00D42B1B">
        <w:t xml:space="preserve"> </w:t>
      </w:r>
      <w:r w:rsidR="000E2F2C" w:rsidRPr="00D42B1B">
        <w:t xml:space="preserve">Group </w:t>
      </w:r>
      <w:r w:rsidRPr="00D42B1B">
        <w:t xml:space="preserve">collaborera avec le gouvernement libérien et les </w:t>
      </w:r>
      <w:r w:rsidR="000E2F2C" w:rsidRPr="00D42B1B">
        <w:t xml:space="preserve">producteurs </w:t>
      </w:r>
      <w:r w:rsidRPr="00D42B1B">
        <w:t xml:space="preserve">pour </w:t>
      </w:r>
      <w:r w:rsidR="000E2F2C" w:rsidRPr="00D42B1B">
        <w:t>développer</w:t>
      </w:r>
      <w:r w:rsidRPr="00D42B1B">
        <w:t xml:space="preserve"> des pépinières, distribuer des </w:t>
      </w:r>
      <w:r w:rsidR="000E2F2C" w:rsidRPr="00D42B1B">
        <w:t>plant</w:t>
      </w:r>
      <w:r w:rsidRPr="00D42B1B">
        <w:t xml:space="preserve">s de café améliorés, renforcer le programme de formation des agriculteurs et développer des stations de </w:t>
      </w:r>
      <w:r w:rsidR="000E2F2C" w:rsidRPr="00D42B1B">
        <w:t xml:space="preserve">traitement et de commercialisation du </w:t>
      </w:r>
      <w:r w:rsidRPr="00D42B1B">
        <w:t>café.</w:t>
      </w:r>
      <w:r w:rsidR="000E2F2C" w:rsidRPr="00D42B1B">
        <w:t xml:space="preserve"> </w:t>
      </w:r>
      <w:r w:rsidRPr="00D42B1B">
        <w:t xml:space="preserve">Le projet </w:t>
      </w:r>
      <w:r w:rsidR="000E2F2C" w:rsidRPr="00D42B1B">
        <w:t xml:space="preserve">doit également </w:t>
      </w:r>
      <w:r w:rsidRPr="00D42B1B">
        <w:t>introduir</w:t>
      </w:r>
      <w:r w:rsidR="000E2F2C" w:rsidRPr="00D42B1B">
        <w:t>e</w:t>
      </w:r>
      <w:r w:rsidRPr="00D42B1B">
        <w:t xml:space="preserve"> des systèmes de classement et d’assurance qualité</w:t>
      </w:r>
      <w:r w:rsidR="000E2F2C" w:rsidRPr="00D42B1B">
        <w:t xml:space="preserve"> et une</w:t>
      </w:r>
      <w:r w:rsidRPr="00D42B1B">
        <w:t xml:space="preserve"> plateforme numérique d’enregistrement des agriculteurs. La mise en œuvre</w:t>
      </w:r>
      <w:r w:rsidR="003352D1" w:rsidRPr="00D42B1B">
        <w:t xml:space="preserve"> du projet</w:t>
      </w:r>
      <w:r w:rsidRPr="00D42B1B">
        <w:t xml:space="preserve"> se concentrera d’abord sur les principales régions productrices de café, notamment les comtés de Nimba, Lofa et </w:t>
      </w:r>
      <w:proofErr w:type="spellStart"/>
      <w:r w:rsidRPr="00D42B1B">
        <w:t>Bong</w:t>
      </w:r>
      <w:proofErr w:type="spellEnd"/>
      <w:r w:rsidRPr="00D42B1B">
        <w:t>, avec un accent particulier sur la participation des jeunes</w:t>
      </w:r>
      <w:r w:rsidR="003352D1" w:rsidRPr="00D42B1B">
        <w:t>.</w:t>
      </w:r>
    </w:p>
    <w:p w14:paraId="263C8FB2" w14:textId="4E575921" w:rsidR="00E3477F" w:rsidRPr="00D42B1B" w:rsidRDefault="00E3477F" w:rsidP="00D82821">
      <w:pPr>
        <w:spacing w:after="0"/>
      </w:pPr>
    </w:p>
    <w:p w14:paraId="32C292A7" w14:textId="2C234E0F" w:rsidR="00603ED1" w:rsidRPr="00D42B1B" w:rsidRDefault="00603ED1" w:rsidP="00603ED1">
      <w:pPr>
        <w:spacing w:after="0" w:line="240" w:lineRule="auto"/>
        <w:outlineLvl w:val="1"/>
        <w:rPr>
          <w:rFonts w:eastAsia="Times New Roman" w:cs="Arial"/>
          <w:b/>
          <w:bCs/>
          <w:color w:val="444444"/>
          <w:szCs w:val="20"/>
          <w:lang w:eastAsia="fr-FR"/>
        </w:rPr>
      </w:pPr>
      <w:bookmarkStart w:id="232" w:name="_Toc233878760"/>
      <w:bookmarkStart w:id="233" w:name="_Hlk232285179"/>
      <w:r w:rsidRPr="00D42B1B">
        <w:rPr>
          <w:b/>
          <w:bCs/>
        </w:rPr>
        <w:lastRenderedPageBreak/>
        <w:t>Cacao - 50 000 plants mis à disposition des producteurs par une coopérative de femmes.</w:t>
      </w:r>
      <w:bookmarkEnd w:id="232"/>
    </w:p>
    <w:bookmarkEnd w:id="233"/>
    <w:p w14:paraId="1E2C8C92" w14:textId="0B38C8BD" w:rsidR="00603ED1" w:rsidRPr="00D42B1B" w:rsidRDefault="00603ED1" w:rsidP="00603ED1">
      <w:pPr>
        <w:spacing w:after="0"/>
      </w:pPr>
      <w:r w:rsidRPr="00D42B1B">
        <w:t xml:space="preserve">Une coopérative agricole dirigée par des femmes dans le comté de </w:t>
      </w:r>
      <w:proofErr w:type="spellStart"/>
      <w:r w:rsidRPr="00D42B1B">
        <w:t>Bomi</w:t>
      </w:r>
      <w:proofErr w:type="spellEnd"/>
      <w:r w:rsidRPr="00D42B1B">
        <w:t xml:space="preserve"> a mis sur le marché plus de </w:t>
      </w:r>
      <w:bookmarkStart w:id="234" w:name="_Hlk232279897"/>
      <w:r w:rsidRPr="00D42B1B">
        <w:t xml:space="preserve">50 000 plants de cacao </w:t>
      </w:r>
      <w:bookmarkEnd w:id="234"/>
      <w:r w:rsidRPr="00D42B1B">
        <w:t xml:space="preserve">afin de soutenir les agriculteurs ruraux, d’augmenter la production agricole et de renforcer le développement économique local. La </w:t>
      </w:r>
      <w:r w:rsidRPr="00D42B1B">
        <w:rPr>
          <w:i/>
          <w:iCs/>
        </w:rPr>
        <w:t xml:space="preserve">Human Initiative Agriculture </w:t>
      </w:r>
      <w:proofErr w:type="spellStart"/>
      <w:r w:rsidRPr="00D42B1B">
        <w:rPr>
          <w:i/>
          <w:iCs/>
        </w:rPr>
        <w:t>Multi-Purpose</w:t>
      </w:r>
      <w:proofErr w:type="spellEnd"/>
      <w:r w:rsidRPr="00D42B1B">
        <w:rPr>
          <w:i/>
          <w:iCs/>
        </w:rPr>
        <w:t xml:space="preserve"> </w:t>
      </w:r>
      <w:proofErr w:type="spellStart"/>
      <w:r w:rsidRPr="00D42B1B">
        <w:rPr>
          <w:i/>
          <w:iCs/>
        </w:rPr>
        <w:t>Cooperative</w:t>
      </w:r>
      <w:proofErr w:type="spellEnd"/>
      <w:r w:rsidRPr="00D42B1B">
        <w:rPr>
          <w:i/>
          <w:iCs/>
        </w:rPr>
        <w:t xml:space="preserve"> Society of Liberia</w:t>
      </w:r>
      <w:r w:rsidRPr="00D42B1B">
        <w:t>, située dans la région d’</w:t>
      </w:r>
      <w:proofErr w:type="spellStart"/>
      <w:r w:rsidRPr="00D42B1B">
        <w:t>Alasala</w:t>
      </w:r>
      <w:proofErr w:type="spellEnd"/>
      <w:r w:rsidRPr="00D42B1B">
        <w:t xml:space="preserve"> du district de </w:t>
      </w:r>
      <w:proofErr w:type="spellStart"/>
      <w:r w:rsidRPr="00D42B1B">
        <w:t>Suehn</w:t>
      </w:r>
      <w:proofErr w:type="spellEnd"/>
      <w:r w:rsidRPr="00D42B1B">
        <w:t xml:space="preserve"> </w:t>
      </w:r>
      <w:proofErr w:type="spellStart"/>
      <w:r w:rsidRPr="00D42B1B">
        <w:t>Mecca</w:t>
      </w:r>
      <w:proofErr w:type="spellEnd"/>
      <w:r w:rsidRPr="00D42B1B">
        <w:t>, affirme que le projet vise à encourager les agriculteurs à investir dans   la culture du cacao comme source de revenus fiable. Selon la coopérative, l’expansion de la culture du cacao peut aider à améliorer les conditions de subsistance des ménages agricoles tout en créant de nouvelles opportunités économiques dans les communautés rurales. Pour soutenir davantage la filière, la coopérative a également créé une autre pépinière contenant 23 000 plants de cacao qui devraient être libérés dans les mois à venir. Au-delà de la production de cacao, le groupe investit dans la culture du riz et du concombre en plaine afin d’améliorer la sécurité alimentaire et de créer des sources de revenus supplémentaires pour ses membres et les communautés voisines. La coopérative est composée de plus de 35 femmes qui participent activement aux activités agricoles et aux efforts de développement communautaire.</w:t>
      </w:r>
    </w:p>
    <w:p w14:paraId="1C79C2BE" w14:textId="0630C2D3" w:rsidR="005B219D" w:rsidRPr="00D42B1B" w:rsidRDefault="005B219D" w:rsidP="00603ED1">
      <w:pPr>
        <w:spacing w:after="0"/>
      </w:pPr>
    </w:p>
    <w:p w14:paraId="4FE09AB8" w14:textId="3104717D" w:rsidR="005B219D" w:rsidRPr="00D42B1B" w:rsidRDefault="005B219D" w:rsidP="00103F7B">
      <w:pPr>
        <w:spacing w:after="0" w:line="240" w:lineRule="auto"/>
        <w:outlineLvl w:val="1"/>
        <w:rPr>
          <w:rFonts w:eastAsia="Times New Roman" w:cs="Arial"/>
          <w:b/>
          <w:bCs/>
          <w:color w:val="444444"/>
          <w:szCs w:val="20"/>
          <w:lang w:eastAsia="fr-FR"/>
        </w:rPr>
      </w:pPr>
      <w:bookmarkStart w:id="235" w:name="_Toc233878761"/>
      <w:r w:rsidRPr="00D42B1B">
        <w:rPr>
          <w:b/>
          <w:bCs/>
        </w:rPr>
        <w:t xml:space="preserve">Palmier à huile – Dépôt de plainte contre l’entreprise </w:t>
      </w:r>
      <w:r w:rsidRPr="00D42B1B">
        <w:rPr>
          <w:b/>
          <w:bCs/>
          <w:i/>
          <w:iCs/>
        </w:rPr>
        <w:t xml:space="preserve">Golden </w:t>
      </w:r>
      <w:proofErr w:type="spellStart"/>
      <w:r w:rsidRPr="00D42B1B">
        <w:rPr>
          <w:b/>
          <w:bCs/>
          <w:i/>
          <w:iCs/>
        </w:rPr>
        <w:t>Veroleum</w:t>
      </w:r>
      <w:proofErr w:type="spellEnd"/>
      <w:r w:rsidRPr="00D42B1B">
        <w:rPr>
          <w:b/>
          <w:bCs/>
          <w:i/>
          <w:iCs/>
        </w:rPr>
        <w:t xml:space="preserve"> Liberia</w:t>
      </w:r>
      <w:r w:rsidRPr="00D42B1B">
        <w:rPr>
          <w:b/>
          <w:bCs/>
        </w:rPr>
        <w:t xml:space="preserve"> (GVL) pour la destruction de 1 000 ha de forêts.</w:t>
      </w:r>
      <w:bookmarkEnd w:id="235"/>
    </w:p>
    <w:p w14:paraId="17AEDD4A" w14:textId="04B5E6B4" w:rsidR="005B219D" w:rsidRPr="00D42B1B" w:rsidRDefault="005B219D" w:rsidP="005B219D">
      <w:pPr>
        <w:spacing w:after="0"/>
      </w:pPr>
      <w:r w:rsidRPr="00D42B1B">
        <w:t xml:space="preserve">Une plainte a été déposé par </w:t>
      </w:r>
      <w:r w:rsidR="00F1624A" w:rsidRPr="00D42B1B">
        <w:t xml:space="preserve">le </w:t>
      </w:r>
      <w:proofErr w:type="spellStart"/>
      <w:r w:rsidR="00F1624A" w:rsidRPr="00D42B1B">
        <w:rPr>
          <w:i/>
          <w:iCs/>
        </w:rPr>
        <w:t>Sustainable</w:t>
      </w:r>
      <w:proofErr w:type="spellEnd"/>
      <w:r w:rsidR="00F1624A" w:rsidRPr="00D42B1B">
        <w:rPr>
          <w:i/>
          <w:iCs/>
        </w:rPr>
        <w:t xml:space="preserve"> </w:t>
      </w:r>
      <w:proofErr w:type="spellStart"/>
      <w:r w:rsidR="00F1624A" w:rsidRPr="00D42B1B">
        <w:rPr>
          <w:i/>
          <w:iCs/>
        </w:rPr>
        <w:t>Development</w:t>
      </w:r>
      <w:proofErr w:type="spellEnd"/>
      <w:r w:rsidR="00F1624A" w:rsidRPr="00D42B1B">
        <w:rPr>
          <w:i/>
          <w:iCs/>
        </w:rPr>
        <w:t xml:space="preserve"> Institute</w:t>
      </w:r>
      <w:r w:rsidR="00F1624A" w:rsidRPr="00D42B1B">
        <w:t xml:space="preserve"> </w:t>
      </w:r>
      <w:r w:rsidRPr="00D42B1B">
        <w:t>(SDI) contre GVL, producteur d’huile de palme pour appropriation de terres, destruction forestière et violations de droits humains</w:t>
      </w:r>
      <w:r w:rsidR="00103F7B" w:rsidRPr="00D42B1B">
        <w:t xml:space="preserve"> dans le comté de </w:t>
      </w:r>
      <w:proofErr w:type="spellStart"/>
      <w:r w:rsidR="00103F7B" w:rsidRPr="00D42B1B">
        <w:t>Sinoe</w:t>
      </w:r>
      <w:proofErr w:type="spellEnd"/>
      <w:r w:rsidR="00103F7B" w:rsidRPr="00D42B1B">
        <w:t xml:space="preserve"> et la forêt de </w:t>
      </w:r>
      <w:proofErr w:type="spellStart"/>
      <w:r w:rsidR="00103F7B" w:rsidRPr="00D42B1B">
        <w:t>Nitrain</w:t>
      </w:r>
      <w:proofErr w:type="spellEnd"/>
      <w:r w:rsidRPr="00D42B1B">
        <w:t>.</w:t>
      </w:r>
      <w:r w:rsidR="00F1624A" w:rsidRPr="00D42B1B">
        <w:t xml:space="preserve"> </w:t>
      </w:r>
      <w:r w:rsidRPr="00D42B1B">
        <w:t>La plainte</w:t>
      </w:r>
      <w:r w:rsidR="00F1624A" w:rsidRPr="00D42B1B">
        <w:t xml:space="preserve"> a été</w:t>
      </w:r>
      <w:r w:rsidRPr="00D42B1B">
        <w:t xml:space="preserve"> déposée auprès de l’Agence de protection de l’environnement (EPA). </w:t>
      </w:r>
      <w:r w:rsidR="00F1624A" w:rsidRPr="00D42B1B">
        <w:t>Pour SDI, l</w:t>
      </w:r>
      <w:r w:rsidRPr="00D42B1B">
        <w:t>e gouvernement doit veiller à ce que GVL restaure les forêts qu’il a détruites et offre une compensation pour les terres saisies sans consentemen</w:t>
      </w:r>
      <w:r w:rsidR="00F1624A" w:rsidRPr="00D42B1B">
        <w:t>t, a</w:t>
      </w:r>
      <w:r w:rsidRPr="00D42B1B">
        <w:t>ffirm</w:t>
      </w:r>
      <w:r w:rsidR="00F1624A" w:rsidRPr="00D42B1B">
        <w:t>a</w:t>
      </w:r>
      <w:r w:rsidRPr="00D42B1B">
        <w:t xml:space="preserve">nt que les opérations de GVL </w:t>
      </w:r>
      <w:r w:rsidR="00F1624A" w:rsidRPr="00D42B1B">
        <w:t xml:space="preserve">ont violé entre autres </w:t>
      </w:r>
      <w:r w:rsidRPr="00D42B1B">
        <w:t xml:space="preserve">la loi sur les droits fonciers. L’EPA a été invitée à enquêter et à appliquer des sanctions contre l’entreprise, </w:t>
      </w:r>
      <w:r w:rsidR="00F1624A" w:rsidRPr="00D42B1B">
        <w:t xml:space="preserve">qui aurait </w:t>
      </w:r>
      <w:r w:rsidRPr="00D42B1B">
        <w:t xml:space="preserve">empiété sur </w:t>
      </w:r>
      <w:r w:rsidR="00F1624A" w:rsidRPr="00D42B1B">
        <w:t>d</w:t>
      </w:r>
      <w:r w:rsidRPr="00D42B1B">
        <w:t>es terres communautaires en toute impunité.</w:t>
      </w:r>
      <w:r w:rsidR="00F1624A" w:rsidRPr="00D42B1B">
        <w:t xml:space="preserve"> </w:t>
      </w:r>
      <w:r w:rsidRPr="00D42B1B">
        <w:t xml:space="preserve">Le bilan de GVL est déjà entaché par des condamnations internationales. En 2018, </w:t>
      </w:r>
      <w:proofErr w:type="spellStart"/>
      <w:r w:rsidR="00F1624A" w:rsidRPr="00D42B1B">
        <w:rPr>
          <w:i/>
          <w:iCs/>
        </w:rPr>
        <w:t>Roundtable</w:t>
      </w:r>
      <w:proofErr w:type="spellEnd"/>
      <w:r w:rsidR="00F1624A" w:rsidRPr="00D42B1B">
        <w:rPr>
          <w:i/>
          <w:iCs/>
        </w:rPr>
        <w:t xml:space="preserve"> on </w:t>
      </w:r>
      <w:proofErr w:type="spellStart"/>
      <w:r w:rsidR="00F1624A" w:rsidRPr="00D42B1B">
        <w:rPr>
          <w:i/>
          <w:iCs/>
        </w:rPr>
        <w:t>Sustainable</w:t>
      </w:r>
      <w:proofErr w:type="spellEnd"/>
      <w:r w:rsidR="00F1624A" w:rsidRPr="00D42B1B">
        <w:rPr>
          <w:i/>
          <w:iCs/>
        </w:rPr>
        <w:t xml:space="preserve"> Palm </w:t>
      </w:r>
      <w:proofErr w:type="spellStart"/>
      <w:r w:rsidR="00F1624A" w:rsidRPr="00D42B1B">
        <w:rPr>
          <w:i/>
          <w:iCs/>
        </w:rPr>
        <w:t>Oil</w:t>
      </w:r>
      <w:proofErr w:type="spellEnd"/>
      <w:r w:rsidR="00F1624A" w:rsidRPr="00D42B1B">
        <w:t xml:space="preserve"> </w:t>
      </w:r>
      <w:r w:rsidRPr="00D42B1B">
        <w:t>a</w:t>
      </w:r>
      <w:r w:rsidR="00103F7B" w:rsidRPr="00D42B1B">
        <w:t>vait</w:t>
      </w:r>
      <w:r w:rsidRPr="00D42B1B">
        <w:t xml:space="preserve"> déclaré l’entreprise coupable de détournements de terres et d’abus de droits, </w:t>
      </w:r>
      <w:r w:rsidR="00103F7B" w:rsidRPr="00D42B1B">
        <w:t>exigeant</w:t>
      </w:r>
      <w:r w:rsidRPr="00D42B1B">
        <w:t xml:space="preserve"> des renégociations avec les communautés concernées. De même, </w:t>
      </w:r>
      <w:r w:rsidR="00103F7B" w:rsidRPr="00D42B1B">
        <w:rPr>
          <w:i/>
          <w:iCs/>
        </w:rPr>
        <w:t xml:space="preserve">High Carbon Stock </w:t>
      </w:r>
      <w:proofErr w:type="spellStart"/>
      <w:r w:rsidR="00103F7B" w:rsidRPr="00D42B1B">
        <w:rPr>
          <w:i/>
          <w:iCs/>
        </w:rPr>
        <w:t>Approach</w:t>
      </w:r>
      <w:proofErr w:type="spellEnd"/>
      <w:r w:rsidR="00103F7B" w:rsidRPr="00D42B1B">
        <w:t xml:space="preserve"> </w:t>
      </w:r>
      <w:r w:rsidRPr="00D42B1B">
        <w:t>(HCSA) a</w:t>
      </w:r>
      <w:r w:rsidR="00103F7B" w:rsidRPr="00D42B1B">
        <w:t>vait</w:t>
      </w:r>
      <w:r w:rsidRPr="00D42B1B">
        <w:t xml:space="preserve"> confirmé en 2021 que GVL a</w:t>
      </w:r>
      <w:r w:rsidR="00103F7B" w:rsidRPr="00D42B1B">
        <w:t>vait</w:t>
      </w:r>
      <w:r w:rsidRPr="00D42B1B">
        <w:t xml:space="preserve"> défriché 1 000 h</w:t>
      </w:r>
      <w:r w:rsidR="00103F7B" w:rsidRPr="00D42B1B">
        <w:t>a</w:t>
      </w:r>
      <w:r w:rsidRPr="00D42B1B">
        <w:t xml:space="preserve"> de forêt de </w:t>
      </w:r>
      <w:proofErr w:type="spellStart"/>
      <w:r w:rsidRPr="00D42B1B">
        <w:t>Nitrain</w:t>
      </w:r>
      <w:proofErr w:type="spellEnd"/>
      <w:r w:rsidRPr="00D42B1B">
        <w:t xml:space="preserve"> sans</w:t>
      </w:r>
      <w:r w:rsidR="00103F7B" w:rsidRPr="00D42B1B">
        <w:t xml:space="preserve"> accord</w:t>
      </w:r>
      <w:r w:rsidRPr="00D42B1B">
        <w:t xml:space="preserve">, </w:t>
      </w:r>
      <w:r w:rsidR="00103F7B" w:rsidRPr="00D42B1B">
        <w:t>demand</w:t>
      </w:r>
      <w:r w:rsidRPr="00D42B1B">
        <w:t>ant une restauration qui n’a pas encore eu lieu.</w:t>
      </w:r>
      <w:r w:rsidR="00103F7B" w:rsidRPr="00D42B1B">
        <w:t xml:space="preserve"> </w:t>
      </w:r>
      <w:r w:rsidRPr="00D42B1B">
        <w:t>L’accord de concession de GVL de 2010 avec le gouvernement lui a accordé 220 000 h</w:t>
      </w:r>
      <w:r w:rsidR="00103F7B" w:rsidRPr="00D42B1B">
        <w:t>a</w:t>
      </w:r>
      <w:r w:rsidRPr="00D42B1B">
        <w:t xml:space="preserve"> de terres pour 65 ans, </w:t>
      </w:r>
      <w:r w:rsidR="00103F7B" w:rsidRPr="00D42B1B">
        <w:t xml:space="preserve">en </w:t>
      </w:r>
      <w:r w:rsidRPr="00D42B1B">
        <w:t xml:space="preserve">faisant le </w:t>
      </w:r>
      <w:r w:rsidR="00103F7B" w:rsidRPr="00D42B1B">
        <w:t xml:space="preserve">principal </w:t>
      </w:r>
      <w:r w:rsidRPr="00D42B1B">
        <w:t>opérateur d’huile de palme du pays.</w:t>
      </w:r>
    </w:p>
    <w:p w14:paraId="5160309A" w14:textId="72355A09" w:rsidR="000626BF" w:rsidRPr="00D42B1B" w:rsidRDefault="000626BF" w:rsidP="005B219D">
      <w:pPr>
        <w:spacing w:after="0"/>
      </w:pPr>
    </w:p>
    <w:p w14:paraId="44ACBFD1" w14:textId="1BB59128" w:rsidR="000626BF" w:rsidRPr="00D42B1B" w:rsidRDefault="000626BF" w:rsidP="00A62AB1">
      <w:pPr>
        <w:spacing w:after="0" w:line="240" w:lineRule="auto"/>
        <w:outlineLvl w:val="1"/>
        <w:rPr>
          <w:rFonts w:eastAsia="Times New Roman" w:cs="Arial"/>
          <w:b/>
          <w:bCs/>
          <w:color w:val="444444"/>
          <w:szCs w:val="20"/>
          <w:lang w:eastAsia="fr-FR"/>
        </w:rPr>
      </w:pPr>
      <w:bookmarkStart w:id="236" w:name="_Toc233878762"/>
      <w:r w:rsidRPr="00D42B1B">
        <w:rPr>
          <w:b/>
          <w:bCs/>
        </w:rPr>
        <w:t>Forêt - L’Union européenne met fin à l’accord sur l’exploitation forestière illégale avec le Libéria et suspend son aide.</w:t>
      </w:r>
      <w:bookmarkEnd w:id="236"/>
    </w:p>
    <w:p w14:paraId="104A5E20" w14:textId="2EABFCE4" w:rsidR="000626BF" w:rsidRPr="00D42B1B" w:rsidRDefault="000626BF" w:rsidP="000626BF">
      <w:pPr>
        <w:spacing w:after="0"/>
      </w:pPr>
      <w:r w:rsidRPr="00D42B1B">
        <w:t xml:space="preserve">Le parlement de l’Union européenne a voté </w:t>
      </w:r>
      <w:r w:rsidR="00976511" w:rsidRPr="00D42B1B">
        <w:t xml:space="preserve">à hauteur de 92% des votes des parlementaires, </w:t>
      </w:r>
      <w:r w:rsidRPr="00D42B1B">
        <w:t xml:space="preserve">la fin de son partenariat de surveillance forestière avec le Libéria le 17 juin, marquant la fin </w:t>
      </w:r>
      <w:r w:rsidR="00976511" w:rsidRPr="00D42B1B">
        <w:t>de son appui à la</w:t>
      </w:r>
      <w:r w:rsidRPr="00D42B1B">
        <w:t xml:space="preserve"> réforme du secteur forestier du pays.</w:t>
      </w:r>
      <w:r w:rsidR="00976511" w:rsidRPr="00D42B1B">
        <w:t xml:space="preserve"> </w:t>
      </w:r>
      <w:r w:rsidRPr="00D42B1B">
        <w:t>L'Accord de partenariat volontaire (APV) de l’U</w:t>
      </w:r>
      <w:r w:rsidR="00976511" w:rsidRPr="00D42B1B">
        <w:t xml:space="preserve">nion européenne </w:t>
      </w:r>
      <w:r w:rsidRPr="00D42B1B">
        <w:t xml:space="preserve">avec le Libéria </w:t>
      </w:r>
      <w:r w:rsidR="00976511" w:rsidRPr="00D42B1B">
        <w:t xml:space="preserve">devait permettre de </w:t>
      </w:r>
      <w:r w:rsidRPr="00D42B1B">
        <w:t xml:space="preserve">lutter contre l’exploitation forestière illégale et la déforestation dans </w:t>
      </w:r>
      <w:r w:rsidR="00976511" w:rsidRPr="00D42B1B">
        <w:t>ce</w:t>
      </w:r>
      <w:r w:rsidRPr="00D42B1B">
        <w:t xml:space="preserve"> pays exportateurs de bois.</w:t>
      </w:r>
      <w:r w:rsidR="00976511" w:rsidRPr="00D42B1B">
        <w:t xml:space="preserve"> Il était</w:t>
      </w:r>
      <w:r w:rsidRPr="00D42B1B">
        <w:t xml:space="preserve"> conçu pour aider à réformer l’industrie forestière du Libéria, longtemps associée à la corruption et à la mauvaise gestion environnementale, et à faciliter le commerce légal avec l’U</w:t>
      </w:r>
      <w:r w:rsidR="00976511" w:rsidRPr="00D42B1B">
        <w:t>nion européenne</w:t>
      </w:r>
      <w:r w:rsidRPr="00D42B1B">
        <w:t>.</w:t>
      </w:r>
      <w:r w:rsidR="00976511" w:rsidRPr="00D42B1B">
        <w:t xml:space="preserve"> </w:t>
      </w:r>
      <w:r w:rsidRPr="00D42B1B">
        <w:t>Selon les termes de l’accord, l’U</w:t>
      </w:r>
      <w:r w:rsidR="00976511" w:rsidRPr="00D42B1B">
        <w:t>nion européenne</w:t>
      </w:r>
      <w:r w:rsidRPr="00D42B1B">
        <w:t xml:space="preserve"> finan</w:t>
      </w:r>
      <w:r w:rsidR="00976511" w:rsidRPr="00D42B1B">
        <w:t>çait</w:t>
      </w:r>
      <w:r w:rsidRPr="00D42B1B">
        <w:t xml:space="preserve"> le Libéria pour mettre en place des systèmes de suivi et de transparence pour les expéditions de bois. Le Libéria s’</w:t>
      </w:r>
      <w:r w:rsidR="00976511" w:rsidRPr="00D42B1B">
        <w:t>était</w:t>
      </w:r>
      <w:r w:rsidRPr="00D42B1B">
        <w:t xml:space="preserve"> engagé à vérifier que tous les billots expédiés hors de ses ports </w:t>
      </w:r>
      <w:r w:rsidR="00976511" w:rsidRPr="00D42B1B">
        <w:t xml:space="preserve">étaient </w:t>
      </w:r>
      <w:r w:rsidRPr="00D42B1B">
        <w:t xml:space="preserve">abattus légalement et </w:t>
      </w:r>
      <w:r w:rsidR="00976511" w:rsidRPr="00D42B1B">
        <w:t xml:space="preserve">à permettre aux ONG </w:t>
      </w:r>
      <w:r w:rsidRPr="00D42B1B">
        <w:lastRenderedPageBreak/>
        <w:t>environnemen</w:t>
      </w:r>
      <w:r w:rsidR="00976511" w:rsidRPr="00D42B1B">
        <w:t xml:space="preserve">tales de </w:t>
      </w:r>
      <w:r w:rsidRPr="00D42B1B">
        <w:t xml:space="preserve">surveiller </w:t>
      </w:r>
      <w:r w:rsidR="00976511" w:rsidRPr="00D42B1B">
        <w:t>l</w:t>
      </w:r>
      <w:r w:rsidRPr="00D42B1B">
        <w:t>a conformité à l’accord.</w:t>
      </w:r>
      <w:r w:rsidR="00976511" w:rsidRPr="00D42B1B">
        <w:t xml:space="preserve"> </w:t>
      </w:r>
      <w:r w:rsidRPr="00D42B1B">
        <w:t xml:space="preserve">Mais plus d’une décennie après la mise en œuvre </w:t>
      </w:r>
      <w:r w:rsidR="00F634FC" w:rsidRPr="00D42B1B">
        <w:t xml:space="preserve">en décembre 2013 </w:t>
      </w:r>
      <w:r w:rsidRPr="00D42B1B">
        <w:t xml:space="preserve">de </w:t>
      </w:r>
      <w:r w:rsidR="00F634FC" w:rsidRPr="00D42B1B">
        <w:t xml:space="preserve">cet </w:t>
      </w:r>
      <w:r w:rsidRPr="00D42B1B">
        <w:t>accord, de nombreuses attentes de l’U</w:t>
      </w:r>
      <w:r w:rsidR="00F634FC" w:rsidRPr="00D42B1B">
        <w:t xml:space="preserve">nion européenne </w:t>
      </w:r>
      <w:r w:rsidRPr="00D42B1B">
        <w:t>n’ont pas été satisfaites</w:t>
      </w:r>
      <w:r w:rsidR="00F634FC" w:rsidRPr="00D42B1B">
        <w:t xml:space="preserve">. </w:t>
      </w:r>
      <w:r w:rsidRPr="00D42B1B">
        <w:t xml:space="preserve">Après avoir manqué à plusieurs reprises des délais, le système de licences </w:t>
      </w:r>
      <w:r w:rsidR="00F634FC" w:rsidRPr="00D42B1B">
        <w:t xml:space="preserve">pour les exploitants </w:t>
      </w:r>
      <w:r w:rsidRPr="00D42B1B">
        <w:t xml:space="preserve">n’a jamais été mis en œuvre. Les </w:t>
      </w:r>
      <w:r w:rsidR="00F634FC" w:rsidRPr="00D42B1B">
        <w:t xml:space="preserve">ONG </w:t>
      </w:r>
      <w:r w:rsidRPr="00D42B1B">
        <w:t>environnementa</w:t>
      </w:r>
      <w:r w:rsidR="00F634FC" w:rsidRPr="00D42B1B">
        <w:t>les</w:t>
      </w:r>
      <w:r w:rsidRPr="00D42B1B">
        <w:t xml:space="preserve"> se sont opposé</w:t>
      </w:r>
      <w:r w:rsidR="00F634FC" w:rsidRPr="00D42B1B">
        <w:t>e</w:t>
      </w:r>
      <w:r w:rsidRPr="00D42B1B">
        <w:t xml:space="preserve">s à la recommandation de la </w:t>
      </w:r>
      <w:r w:rsidR="00F634FC" w:rsidRPr="00D42B1B">
        <w:t>C</w:t>
      </w:r>
      <w:r w:rsidRPr="00D42B1B">
        <w:t>ommission</w:t>
      </w:r>
      <w:r w:rsidR="00F634FC" w:rsidRPr="00D42B1B">
        <w:t xml:space="preserve"> européenne</w:t>
      </w:r>
      <w:r w:rsidRPr="00D42B1B">
        <w:t>, affirm</w:t>
      </w:r>
      <w:r w:rsidR="00B04074" w:rsidRPr="00D42B1B">
        <w:t>ant</w:t>
      </w:r>
      <w:r w:rsidRPr="00D42B1B">
        <w:t xml:space="preserve"> que malgré </w:t>
      </w:r>
      <w:r w:rsidR="00F634FC" w:rsidRPr="00D42B1B">
        <w:t>d</w:t>
      </w:r>
      <w:r w:rsidRPr="00D42B1B">
        <w:t>es faiblesses</w:t>
      </w:r>
      <w:r w:rsidR="00F634FC" w:rsidRPr="00D42B1B">
        <w:t xml:space="preserve">, </w:t>
      </w:r>
      <w:r w:rsidRPr="00D42B1B">
        <w:t>l’accord</w:t>
      </w:r>
      <w:r w:rsidR="00F634FC" w:rsidRPr="00D42B1B">
        <w:t xml:space="preserve"> avait </w:t>
      </w:r>
      <w:r w:rsidRPr="00D42B1B">
        <w:t>été inestimable pour promouvoir la surveillance locale du secteur forestier notoirement opaque.</w:t>
      </w:r>
      <w:r w:rsidR="00B04074" w:rsidRPr="00D42B1B">
        <w:t xml:space="preserve"> Pour les ONG, </w:t>
      </w:r>
      <w:r w:rsidRPr="00D42B1B">
        <w:t>l’APV a renforcé les cadres juridiques, amélioré la traçabilité du bois et créé des structures de gouvernance qui ont mis des années à être construites.</w:t>
      </w:r>
      <w:r w:rsidR="00B04074" w:rsidRPr="00D42B1B">
        <w:t xml:space="preserve"> </w:t>
      </w:r>
      <w:r w:rsidRPr="00D42B1B">
        <w:t>L’année dernière, l’ancienne présidente libérienne et lauréate du prix Nobel</w:t>
      </w:r>
      <w:r w:rsidR="00B04074" w:rsidRPr="00D42B1B">
        <w:t xml:space="preserve">, Mme </w:t>
      </w:r>
      <w:r w:rsidRPr="00D42B1B">
        <w:t>Ellen Johnson-</w:t>
      </w:r>
      <w:proofErr w:type="spellStart"/>
      <w:r w:rsidRPr="00D42B1B">
        <w:t>Sirleaf</w:t>
      </w:r>
      <w:proofErr w:type="spellEnd"/>
      <w:r w:rsidRPr="00D42B1B">
        <w:t xml:space="preserve"> a</w:t>
      </w:r>
      <w:r w:rsidR="00B04074" w:rsidRPr="00D42B1B">
        <w:t>vait</w:t>
      </w:r>
      <w:r w:rsidRPr="00D42B1B">
        <w:t xml:space="preserve"> également appelé l’U</w:t>
      </w:r>
      <w:r w:rsidR="00B04074" w:rsidRPr="00D42B1B">
        <w:t>nion européenne</w:t>
      </w:r>
      <w:r w:rsidRPr="00D42B1B">
        <w:t xml:space="preserve"> à s’abstenir d’annuler l’accord.</w:t>
      </w:r>
      <w:r w:rsidR="00B04074" w:rsidRPr="00D42B1B">
        <w:t xml:space="preserve"> </w:t>
      </w:r>
      <w:r w:rsidRPr="00D42B1B">
        <w:t>L’année dernière, l’U</w:t>
      </w:r>
      <w:r w:rsidR="00B04074" w:rsidRPr="00D42B1B">
        <w:t>nion européenne</w:t>
      </w:r>
      <w:r w:rsidRPr="00D42B1B">
        <w:t xml:space="preserve"> a</w:t>
      </w:r>
      <w:r w:rsidR="00B04074" w:rsidRPr="00D42B1B">
        <w:t>vait</w:t>
      </w:r>
      <w:r w:rsidRPr="00D42B1B">
        <w:t xml:space="preserve"> mis fin à un accord similaire avec le Cameroun.</w:t>
      </w:r>
      <w:r w:rsidR="00B04074" w:rsidRPr="00D42B1B">
        <w:t xml:space="preserve"> </w:t>
      </w:r>
      <w:r w:rsidRPr="00D42B1B">
        <w:t>L’ONG bruxelloise FERN a déclaré que la décision de l’U</w:t>
      </w:r>
      <w:r w:rsidR="00B04074" w:rsidRPr="00D42B1B">
        <w:t>nion européenne</w:t>
      </w:r>
      <w:r w:rsidRPr="00D42B1B">
        <w:t xml:space="preserve"> d’annuler les deux </w:t>
      </w:r>
      <w:r w:rsidR="00B04074" w:rsidRPr="00D42B1B">
        <w:t>APV</w:t>
      </w:r>
      <w:r w:rsidRPr="00D42B1B">
        <w:t xml:space="preserve"> s’inscri</w:t>
      </w:r>
      <w:r w:rsidR="00B04074" w:rsidRPr="00D42B1B">
        <w:t>vai</w:t>
      </w:r>
      <w:r w:rsidRPr="00D42B1B">
        <w:t xml:space="preserve">t dans un virage politique </w:t>
      </w:r>
      <w:r w:rsidR="00B04074" w:rsidRPr="00D42B1B">
        <w:t xml:space="preserve">du Parlement qui souhaiterait privilégier le respect des nouvelles règles de déforestation plutôt que les </w:t>
      </w:r>
      <w:r w:rsidRPr="00D42B1B">
        <w:t>réforme</w:t>
      </w:r>
      <w:r w:rsidR="00B04074" w:rsidRPr="00D42B1B">
        <w:t>s</w:t>
      </w:r>
      <w:r w:rsidRPr="00D42B1B">
        <w:t xml:space="preserve"> de la gouvernance. </w:t>
      </w:r>
      <w:r w:rsidR="00B04074" w:rsidRPr="00D42B1B">
        <w:t xml:space="preserve">L’APV devrait </w:t>
      </w:r>
      <w:r w:rsidRPr="00D42B1B">
        <w:t xml:space="preserve">probablement </w:t>
      </w:r>
      <w:r w:rsidR="00A62AB1" w:rsidRPr="00D42B1B">
        <w:t xml:space="preserve">être </w:t>
      </w:r>
      <w:r w:rsidRPr="00D42B1B">
        <w:t xml:space="preserve">remplacé par un accord de Partenariat forestier avec moins d’obligations et sans rôle formel de surveillance pour les </w:t>
      </w:r>
      <w:r w:rsidR="00A62AB1" w:rsidRPr="00D42B1B">
        <w:t>ONG locales</w:t>
      </w:r>
      <w:r w:rsidRPr="00D42B1B">
        <w:t>.</w:t>
      </w:r>
    </w:p>
    <w:p w14:paraId="2E197875" w14:textId="77777777" w:rsidR="00603ED1" w:rsidRPr="00D42B1B" w:rsidRDefault="00603ED1" w:rsidP="00603ED1">
      <w:pPr>
        <w:spacing w:after="0"/>
      </w:pPr>
    </w:p>
    <w:p w14:paraId="47A11E0C" w14:textId="791D72B8" w:rsidR="009D0F96" w:rsidRPr="00D42B1B" w:rsidRDefault="009D0F96" w:rsidP="007B5BCC">
      <w:pPr>
        <w:pStyle w:val="Titre1"/>
      </w:pPr>
      <w:bookmarkStart w:id="237" w:name="_Toc207812060"/>
      <w:bookmarkStart w:id="238" w:name="_Toc207812928"/>
      <w:bookmarkStart w:id="239" w:name="_Toc207813090"/>
      <w:bookmarkStart w:id="240" w:name="_Toc233878763"/>
      <w:r w:rsidRPr="00D42B1B">
        <w:t>Mali</w:t>
      </w:r>
      <w:bookmarkEnd w:id="237"/>
      <w:bookmarkEnd w:id="238"/>
      <w:bookmarkEnd w:id="239"/>
      <w:bookmarkEnd w:id="240"/>
    </w:p>
    <w:p w14:paraId="0EEDDE4E" w14:textId="77777777" w:rsidR="008D3E71" w:rsidRPr="00D42B1B" w:rsidRDefault="008D3E71" w:rsidP="008D3E71">
      <w:pPr>
        <w:spacing w:after="0" w:line="240" w:lineRule="auto"/>
        <w:outlineLvl w:val="1"/>
        <w:rPr>
          <w:rFonts w:eastAsia="Times New Roman" w:cs="Arial"/>
          <w:b/>
          <w:bCs/>
          <w:color w:val="444444"/>
          <w:szCs w:val="20"/>
          <w:lang w:eastAsia="fr-FR"/>
        </w:rPr>
      </w:pPr>
      <w:bookmarkStart w:id="241" w:name="_Toc233878764"/>
      <w:bookmarkStart w:id="242" w:name="_Hlk233572192"/>
      <w:bookmarkStart w:id="243" w:name="_Hlk233195068"/>
      <w:r w:rsidRPr="00D42B1B">
        <w:rPr>
          <w:b/>
          <w:bCs/>
        </w:rPr>
        <w:t>Politique agricole - Plus de 164 Md FCFA mobilisés pour la campagne agricole 2026-2027.</w:t>
      </w:r>
      <w:bookmarkEnd w:id="241"/>
    </w:p>
    <w:p w14:paraId="567603AB" w14:textId="08778CD8" w:rsidR="008D3E71" w:rsidRPr="00D42B1B" w:rsidRDefault="008D3E71" w:rsidP="008D3E71">
      <w:pPr>
        <w:spacing w:after="0"/>
      </w:pPr>
      <w:r w:rsidRPr="00D42B1B">
        <w:t>Le gouvernement a annoncé le 25 juin la mobilisation d'une enveloppe budgétaire prévisionnelle de 164,39 Md FCFA, destinée à soutenir les filières agricoles. Cette enveloppe qui représente une augmentation de 2% des ressources allouées au secteur agricole, par rapport à la campagne précédente permettra notamment de maintenir les subventions aux intrants agricoles, d'améliorer l'accompagnement des producteurs et de renforcer les investissements destinés à accroître les rendements. Pour cette campagne 2026-2027, les autorités maliennes visent une production nationale de 11,92 M de tonnes de céréales, un niveau jamais atteint qui témoigne de l'ambition du pays de réduire sa dépendance alimentaire et de renforcer sa résilience face aux chocs extérieurs. Le lancement officiel de la campagne s'est déroulé dans la zone de l'Office du Niger, principal bassin rizicole du pays, choisi pour symboliser la transformation du secteur agricole. Placée sous le thème « Renouveau de l'Office du Niger, de périmètre irrigué à l'agropole industrielle », la campagne prévoit la mise en valeur de 143 000 ha en saison et en contre-saison. Les objectifs fixés à cette zone sont ambitieux : produire 930 000 tonnes de riz paddy, 395 000 tonnes de produits maraîchers ainsi que 112 000 tonnes de cultures sèches et de diversification. Afin de préserver le pouvoir d'achat des exploitants agricoles, le gouvernement a maintenu (</w:t>
      </w:r>
      <w:proofErr w:type="spellStart"/>
      <w:r w:rsidRPr="00D42B1B">
        <w:rPr>
          <w:i/>
          <w:iCs/>
        </w:rPr>
        <w:t>cf</w:t>
      </w:r>
      <w:proofErr w:type="spellEnd"/>
      <w:r w:rsidRPr="00D42B1B">
        <w:rPr>
          <w:i/>
          <w:iCs/>
        </w:rPr>
        <w:t xml:space="preserve"> brève ci-dessous</w:t>
      </w:r>
      <w:r w:rsidRPr="00D42B1B">
        <w:t>) son dispositif de subventions sur les principaux intrants. Le gouvernement conserve également l'affectation de 10% des graines de coton aux huileries agréées, afin de soutenir l'alimentation du bétail et des bœufs de labour. Les autorités ont par ailleurs appelé les services techniques, les organisations de producteurs et la direction de l'Office du Niger à garantir une gestion transparente des intrants ainsi qu'une distribution équitable de l'eau d'irrigation. Au-delà des objectifs de la campagne 2026-2027, les autorités ambitionnent de transformer progressivement l'Office du Niger en un véritable agropole de référence, intégrant des plateformes agro-industrielles, des rizeries modernes et des unités de transformation capables de créer davantage de valeur ajoutée.</w:t>
      </w:r>
    </w:p>
    <w:p w14:paraId="6D62E626" w14:textId="77777777" w:rsidR="008D3E71" w:rsidRPr="00D42B1B" w:rsidRDefault="008D3E71" w:rsidP="008D3E71">
      <w:pPr>
        <w:spacing w:after="0"/>
      </w:pPr>
    </w:p>
    <w:p w14:paraId="0AAAEB8D" w14:textId="03C4F959" w:rsidR="00CC70E0" w:rsidRPr="00D42B1B" w:rsidRDefault="00CC70E0" w:rsidP="005D05A5">
      <w:pPr>
        <w:spacing w:after="0" w:line="240" w:lineRule="auto"/>
        <w:outlineLvl w:val="1"/>
        <w:rPr>
          <w:rFonts w:eastAsia="Times New Roman" w:cs="Arial"/>
          <w:b/>
          <w:bCs/>
          <w:color w:val="444444"/>
          <w:szCs w:val="20"/>
          <w:lang w:eastAsia="fr-FR"/>
        </w:rPr>
      </w:pPr>
      <w:bookmarkStart w:id="244" w:name="_Toc233878765"/>
      <w:r w:rsidRPr="00D42B1B">
        <w:rPr>
          <w:b/>
          <w:bCs/>
        </w:rPr>
        <w:t>Campagne agricole - Le Conseil supérieur de l’agriculture (CSA) confirme son soutien aux producteurs.</w:t>
      </w:r>
      <w:bookmarkEnd w:id="244"/>
    </w:p>
    <w:bookmarkEnd w:id="242"/>
    <w:p w14:paraId="79C70117" w14:textId="6377AE79" w:rsidR="00CC70E0" w:rsidRPr="00D42B1B" w:rsidRDefault="00CC70E0" w:rsidP="00CC70E0">
      <w:pPr>
        <w:spacing w:after="0"/>
      </w:pPr>
      <w:r w:rsidRPr="00D42B1B">
        <w:t>Réuni le 9 juin en sa 16</w:t>
      </w:r>
      <w:r w:rsidRPr="00D42B1B">
        <w:rPr>
          <w:vertAlign w:val="superscript"/>
        </w:rPr>
        <w:t>ème</w:t>
      </w:r>
      <w:r w:rsidRPr="00D42B1B">
        <w:t xml:space="preserve"> session sous la présidence du Général </w:t>
      </w:r>
      <w:proofErr w:type="spellStart"/>
      <w:r w:rsidRPr="00D42B1B">
        <w:t>Assimi</w:t>
      </w:r>
      <w:proofErr w:type="spellEnd"/>
      <w:r w:rsidRPr="00D42B1B">
        <w:t xml:space="preserve"> </w:t>
      </w:r>
      <w:proofErr w:type="spellStart"/>
      <w:r w:rsidRPr="00D42B1B">
        <w:t>Goïta</w:t>
      </w:r>
      <w:proofErr w:type="spellEnd"/>
      <w:r w:rsidRPr="00D42B1B">
        <w:t xml:space="preserve">, Président de la Transition, le Conseil supérieur de l’agriculture a adopté une série de mesures destinées à accompagner les producteurs dans un contexte marqué à la fois par les défis climatiques et les ambitions de transformation du secteur. Cette rencontre annuelle constitue un cadre privilégié d’échanges entre les pouvoirs publics et les représentants du monde rural. Elle permet non seulement d’évaluer les résultats de la campagne écoulée, mais également de définir les orientations stratégiques susceptibles d’améliorer les performances du secteur agricole national. Les décisions annoncées à cette occasion traduisent la volonté des autorités de maintenir un environnement favorable à la production. Ainsi, le prix d’achat subventionné du kilogramme de coton graine de premier choix est maintenu à 300 FCFA. Cette mesure, attendue par les </w:t>
      </w:r>
      <w:proofErr w:type="spellStart"/>
      <w:r w:rsidRPr="00D42B1B">
        <w:t>cotonculteurs</w:t>
      </w:r>
      <w:proofErr w:type="spellEnd"/>
      <w:r w:rsidRPr="00D42B1B">
        <w:t>, vise à préserver l’attractivité de la filière tout en sécurisant les revenus des exploitants. Dans le même esprit, le gouvernement poursuit sa politique de soutien aux intrants agricoles. Le prix d’achat subventionné du sac de 50 kg d’engrais minéraux est fixé à 15 000 FCFA, tandis que celui des engrais organiques demeure maintenu à 3 000 FCFA le sac. Les semences de maïs hybride restent accessibles au prix de 1 500 FCFA/kg et le biostimulant OVALIS est fixé à 17 500 FCFA/kg.</w:t>
      </w:r>
      <w:r w:rsidR="005D05A5" w:rsidRPr="00D42B1B">
        <w:t xml:space="preserve"> </w:t>
      </w:r>
      <w:r w:rsidRPr="00D42B1B">
        <w:t xml:space="preserve">Au-delà de leur portée économique, ces mesures témoignent d’une volonté de sécuriser les conditions de production. Elles s’inscrivent également dans la stratégie de développement des chaînes de valeur agricoles portée par les autorités à travers les agropoles, en cohérence avec la Vision « Mali Kura </w:t>
      </w:r>
      <w:proofErr w:type="spellStart"/>
      <w:r w:rsidRPr="00D42B1B">
        <w:t>ɲɛtaasira</w:t>
      </w:r>
      <w:proofErr w:type="spellEnd"/>
      <w:r w:rsidRPr="00D42B1B">
        <w:t xml:space="preserve"> ka </w:t>
      </w:r>
      <w:proofErr w:type="spellStart"/>
      <w:r w:rsidRPr="00D42B1B">
        <w:t>bɛn</w:t>
      </w:r>
      <w:proofErr w:type="spellEnd"/>
      <w:r w:rsidRPr="00D42B1B">
        <w:t xml:space="preserve"> san 2063 ma » et la Stratégie nationale pour l’émergence et le développement durable (SNEDD 2024-2033).</w:t>
      </w:r>
      <w:r w:rsidR="005D05A5" w:rsidRPr="00D42B1B">
        <w:t xml:space="preserve"> </w:t>
      </w:r>
      <w:r w:rsidRPr="00D42B1B">
        <w:t>Les orientations arrêtées lors de cette session interviennent dans un contexte où le secteur agricole continue de démontrer sa capacité de résilience. Malgré les difficultés enregistrées au cours de la campagne précédente, les résultats provisoires présentés par le ministre de l’</w:t>
      </w:r>
      <w:r w:rsidR="005D05A5" w:rsidRPr="00D42B1B">
        <w:t>a</w:t>
      </w:r>
      <w:r w:rsidRPr="00D42B1B">
        <w:t>griculture font état d’une production céréalière de 11 452 540 tonnes</w:t>
      </w:r>
      <w:r w:rsidR="00785360" w:rsidRPr="00D42B1B">
        <w:t xml:space="preserve"> auxquelles </w:t>
      </w:r>
      <w:r w:rsidRPr="00D42B1B">
        <w:t>s’ajoutent 433 700 tonnes de coton, 157 775 tonnes de viande</w:t>
      </w:r>
      <w:r w:rsidR="005D05A5" w:rsidRPr="00D42B1B">
        <w:t>s</w:t>
      </w:r>
      <w:r w:rsidRPr="00D42B1B">
        <w:t xml:space="preserve"> contrôlée</w:t>
      </w:r>
      <w:r w:rsidR="005D05A5" w:rsidRPr="00D42B1B">
        <w:t>s</w:t>
      </w:r>
      <w:r w:rsidRPr="00D42B1B">
        <w:t>, 17 238 tonnes de lait collecté</w:t>
      </w:r>
      <w:r w:rsidR="005D05A5" w:rsidRPr="00D42B1B">
        <w:t>es</w:t>
      </w:r>
      <w:r w:rsidRPr="00D42B1B">
        <w:t xml:space="preserve"> et 122</w:t>
      </w:r>
      <w:r w:rsidR="00937C97">
        <w:t> </w:t>
      </w:r>
      <w:r w:rsidRPr="00D42B1B">
        <w:t>671</w:t>
      </w:r>
      <w:r w:rsidR="00937C97">
        <w:t> </w:t>
      </w:r>
      <w:r w:rsidRPr="00D42B1B">
        <w:t>tonnes de poisson</w:t>
      </w:r>
      <w:r w:rsidR="005D05A5" w:rsidRPr="00D42B1B">
        <w:t>s</w:t>
      </w:r>
      <w:r w:rsidRPr="00D42B1B">
        <w:t>.</w:t>
      </w:r>
      <w:r w:rsidR="005D05A5" w:rsidRPr="00D42B1B">
        <w:t xml:space="preserve"> Le </w:t>
      </w:r>
      <w:r w:rsidRPr="00D42B1B">
        <w:t xml:space="preserve">président de l’Assemblée permanente des chambres d’agriculture du Mali (APCAM), </w:t>
      </w:r>
      <w:r w:rsidR="005D05A5" w:rsidRPr="00D42B1B">
        <w:t xml:space="preserve">M. </w:t>
      </w:r>
      <w:proofErr w:type="spellStart"/>
      <w:r w:rsidRPr="00D42B1B">
        <w:t>Sanoussy</w:t>
      </w:r>
      <w:proofErr w:type="spellEnd"/>
      <w:r w:rsidRPr="00D42B1B">
        <w:t xml:space="preserve"> </w:t>
      </w:r>
      <w:proofErr w:type="spellStart"/>
      <w:r w:rsidRPr="00D42B1B">
        <w:t>Bouya</w:t>
      </w:r>
      <w:proofErr w:type="spellEnd"/>
      <w:r w:rsidRPr="00D42B1B">
        <w:t xml:space="preserve"> Sylla, a salué les nombreuses mesures prises en faveur du monde rural ces dernières années</w:t>
      </w:r>
      <w:r w:rsidR="005D05A5" w:rsidRPr="00D42B1B">
        <w:t>, t</w:t>
      </w:r>
      <w:r w:rsidRPr="00D42B1B">
        <w:t>out en exprimant certaines préoccupations liées notamment aux perspectives climatiques et à l’accès au financement.</w:t>
      </w:r>
      <w:r w:rsidR="005D05A5" w:rsidRPr="00D42B1B">
        <w:t xml:space="preserve"> Parmi les mesures favorables, il a notamment cité la sécurisation des terres agricoles de </w:t>
      </w:r>
      <w:proofErr w:type="spellStart"/>
      <w:r w:rsidR="005D05A5" w:rsidRPr="00D42B1B">
        <w:t>Samanko</w:t>
      </w:r>
      <w:proofErr w:type="spellEnd"/>
      <w:r w:rsidR="005D05A5" w:rsidRPr="00D42B1B">
        <w:t>, la subvention des tracteurs, l’octroi du quota de 10% de graines de coton aux éleveurs, la détaxation des aliments pour l’aviculture et la pisciculture, la criminalisation du vol de bétail, ainsi que l’achat institutionnel de 26 030 tonnes de riz directement auprès des producteurs.</w:t>
      </w:r>
    </w:p>
    <w:bookmarkEnd w:id="243"/>
    <w:p w14:paraId="0AD31907" w14:textId="77777777" w:rsidR="0058257B" w:rsidRPr="00D42B1B" w:rsidRDefault="0058257B" w:rsidP="00C94183">
      <w:pPr>
        <w:spacing w:after="0"/>
      </w:pPr>
    </w:p>
    <w:p w14:paraId="411E79AF" w14:textId="25182E84" w:rsidR="00346DB3" w:rsidRPr="00D42B1B" w:rsidRDefault="009D0F96" w:rsidP="007B5BCC">
      <w:pPr>
        <w:pStyle w:val="Titre1"/>
      </w:pPr>
      <w:bookmarkStart w:id="245" w:name="_Toc207812063"/>
      <w:bookmarkStart w:id="246" w:name="_Toc207812931"/>
      <w:bookmarkStart w:id="247" w:name="_Toc207813093"/>
      <w:bookmarkStart w:id="248" w:name="_Toc233878766"/>
      <w:r w:rsidRPr="00D42B1B">
        <w:t>Mauritanie</w:t>
      </w:r>
      <w:bookmarkEnd w:id="245"/>
      <w:bookmarkEnd w:id="246"/>
      <w:bookmarkEnd w:id="247"/>
      <w:bookmarkEnd w:id="248"/>
    </w:p>
    <w:p w14:paraId="1A4E74C1" w14:textId="77777777" w:rsidR="00B146D4" w:rsidRPr="00D42B1B" w:rsidRDefault="00B146D4" w:rsidP="00B146D4">
      <w:pPr>
        <w:spacing w:after="0" w:line="240" w:lineRule="auto"/>
        <w:outlineLvl w:val="1"/>
        <w:rPr>
          <w:rFonts w:eastAsia="Times New Roman" w:cs="Arial"/>
          <w:b/>
          <w:bCs/>
          <w:color w:val="444444"/>
          <w:szCs w:val="20"/>
          <w:lang w:eastAsia="fr-FR"/>
        </w:rPr>
      </w:pPr>
      <w:bookmarkStart w:id="249" w:name="_Toc233878767"/>
      <w:bookmarkStart w:id="250" w:name="_Hlk233875233"/>
      <w:bookmarkStart w:id="251" w:name="_Hlk233190006"/>
      <w:bookmarkStart w:id="252" w:name="_Hlk232342447"/>
      <w:r w:rsidRPr="00D42B1B">
        <w:rPr>
          <w:b/>
          <w:bCs/>
        </w:rPr>
        <w:t>Campagne agricole - La production agricole a atteint 985 000 tonnes.</w:t>
      </w:r>
      <w:bookmarkEnd w:id="249"/>
    </w:p>
    <w:bookmarkEnd w:id="250"/>
    <w:p w14:paraId="4EE1D50C" w14:textId="48B70B65" w:rsidR="00B146D4" w:rsidRPr="00D42B1B" w:rsidRDefault="00B146D4" w:rsidP="00B146D4">
      <w:pPr>
        <w:spacing w:after="0"/>
      </w:pPr>
      <w:r w:rsidRPr="00D42B1B">
        <w:t xml:space="preserve">Le volume de la production agricole est passé de 409 000 tonnes en 2019 à 985 000 tonnes au cours de la campagne agricole 2025-2026, soit une augmentation de 140%. La production céréalière, comprenant le riz et les cultures traditionnelles, est passée de 339 000 tonnes à plus de 700 000 tonnes au cours de la même période, enregistrant une croissance de 106%, tandis que la production de riz est passée de 255 000 tonnes à 556 000 tonnes, soit une augmentation de 118%. La production de légumes a connu une forte croissance, passant de 46 000 tonnes en </w:t>
      </w:r>
      <w:r w:rsidRPr="00D42B1B">
        <w:lastRenderedPageBreak/>
        <w:t xml:space="preserve">2019 à 255 000 tonnes au cours de la saison 2025-2026, soit une augmentation de 446%, ce qui a contribué à faire passer le taux de couverture des besoins nationaux en légumes de 10% à 46%. Sur la même période, les aides destinées aux engrais ont doublé entre 2019 et 2025, passant de 5 Md d’ouguiyas à 37 Md d’ouguiyas. En ce qui concerne la production de blé, le gouvernement s’efforce d’étendre sa culture au sein du système de production par le biais de projets de mise en valeur agricole, parmi lesquels le projet « </w:t>
      </w:r>
      <w:proofErr w:type="spellStart"/>
      <w:r w:rsidRPr="00D42B1B">
        <w:t>Soukam</w:t>
      </w:r>
      <w:proofErr w:type="spellEnd"/>
      <w:r w:rsidRPr="00D42B1B">
        <w:t xml:space="preserve"> » et la mise en valeur de 1 575 ha dans la wilaya du </w:t>
      </w:r>
      <w:proofErr w:type="spellStart"/>
      <w:r w:rsidRPr="00D42B1B">
        <w:t>Brakna</w:t>
      </w:r>
      <w:proofErr w:type="spellEnd"/>
      <w:r w:rsidRPr="00D42B1B">
        <w:t>. L’agriculture pluviale a fait l’objet d’une attention croissante ces dernières années, le nombre de barrages étant passé de 63 à 190 et celui des machines agricoles à 243, ce qui a contribué, selon lui, à couvrir plus de 90% des besoins nationaux en céréales traditionnelles.</w:t>
      </w:r>
    </w:p>
    <w:p w14:paraId="313CF9F5" w14:textId="77777777" w:rsidR="00B146D4" w:rsidRPr="00D42B1B" w:rsidRDefault="00B146D4" w:rsidP="00B146D4">
      <w:pPr>
        <w:spacing w:after="0"/>
      </w:pPr>
    </w:p>
    <w:p w14:paraId="51AACC57" w14:textId="77777777" w:rsidR="00496411" w:rsidRPr="00D42B1B" w:rsidRDefault="00496411" w:rsidP="00496411">
      <w:pPr>
        <w:spacing w:after="0" w:line="240" w:lineRule="auto"/>
        <w:outlineLvl w:val="1"/>
        <w:rPr>
          <w:rFonts w:eastAsia="Times New Roman" w:cs="Arial"/>
          <w:b/>
          <w:bCs/>
          <w:color w:val="444444"/>
          <w:szCs w:val="20"/>
          <w:lang w:eastAsia="fr-FR"/>
        </w:rPr>
      </w:pPr>
      <w:bookmarkStart w:id="253" w:name="_Toc233878768"/>
      <w:r w:rsidRPr="00D42B1B">
        <w:rPr>
          <w:b/>
          <w:bCs/>
        </w:rPr>
        <w:t>Pêche - L’Agence mauritanienne des affaires maritimes (AMAM) appelle à la régularisation de la situation des marins embarqués sur les navires de pêche.</w:t>
      </w:r>
      <w:bookmarkEnd w:id="253"/>
    </w:p>
    <w:bookmarkEnd w:id="251"/>
    <w:p w14:paraId="206DFABA" w14:textId="3F229FE1" w:rsidR="00496411" w:rsidRPr="00D42B1B" w:rsidRDefault="00496411" w:rsidP="00496411">
      <w:pPr>
        <w:spacing w:after="0"/>
      </w:pPr>
      <w:r w:rsidRPr="00D42B1B">
        <w:t>L’AMAM a appelé les armateurs, ceux chargés d’équiper les navires de pêche et les fournisseurs de navires à régulariser la situation juridique et sociale des marins travaillant à bord de ces navires. Dans une circulaire publiée le 8 juin, l’Agence a précisé que les mesures requises comprennent l’adoption des listes d’équipage issues de son système de données comme seule référence pour l’identification des membres d’équipage et le contrôle des mouvements de navigation, ainsi que la mise à jour des contrats de travail de tous les marins avant le 30 juin 2026. La circulaire oblige également les parties concernées à achever l’enregistrement et la déclaration des marins auprès de la Caisse nationale de sécurité sociale, et à établir des listes de leurs numéros d’enregistrement, ainsi qu’à achever les procédures de déclaration auprès de la Caisse nationale d’assurance maladie et à établir les listes des numéros d’enregistrement. L’Agence a précisé que ces mesures s’inscrivent dans le cadre de son suivi des conditions de travail dans le secteur de la pêche maritime et de sa volonté de garantir le respect des normes nationales et internationales relatives à la protection des droits des marins et à l’amélioration de leurs conditions professionnelles et sociales.</w:t>
      </w:r>
    </w:p>
    <w:p w14:paraId="27B50AAA" w14:textId="77777777" w:rsidR="00B146D4" w:rsidRPr="00D42B1B" w:rsidRDefault="00B146D4" w:rsidP="002574D8">
      <w:pPr>
        <w:spacing w:after="0"/>
      </w:pPr>
    </w:p>
    <w:p w14:paraId="23A9D75D" w14:textId="60F1728F" w:rsidR="00496411" w:rsidRPr="00D42B1B" w:rsidRDefault="00496411" w:rsidP="00B2505A">
      <w:pPr>
        <w:spacing w:after="0" w:line="240" w:lineRule="auto"/>
        <w:outlineLvl w:val="1"/>
        <w:rPr>
          <w:rFonts w:eastAsia="Times New Roman" w:cs="Arial"/>
          <w:b/>
          <w:bCs/>
          <w:color w:val="444444"/>
          <w:szCs w:val="20"/>
          <w:lang w:eastAsia="fr-FR"/>
        </w:rPr>
      </w:pPr>
      <w:bookmarkStart w:id="254" w:name="_Toc233878769"/>
      <w:bookmarkStart w:id="255" w:name="_Hlk233573401"/>
      <w:r w:rsidRPr="00D42B1B">
        <w:rPr>
          <w:b/>
          <w:bCs/>
        </w:rPr>
        <w:t xml:space="preserve">Pêche - Nouvelle </w:t>
      </w:r>
      <w:r w:rsidR="00977D49" w:rsidRPr="00D42B1B">
        <w:rPr>
          <w:b/>
          <w:bCs/>
        </w:rPr>
        <w:t xml:space="preserve">session </w:t>
      </w:r>
      <w:r w:rsidRPr="00D42B1B">
        <w:rPr>
          <w:b/>
          <w:bCs/>
        </w:rPr>
        <w:t>de négociations avec l’Union européenne pour le renouvellement de l’accord de pêche.</w:t>
      </w:r>
      <w:bookmarkEnd w:id="254"/>
    </w:p>
    <w:bookmarkEnd w:id="255"/>
    <w:p w14:paraId="567C8B11" w14:textId="13F32033" w:rsidR="00496411" w:rsidRPr="00D42B1B" w:rsidRDefault="00977D49" w:rsidP="008215EE">
      <w:pPr>
        <w:spacing w:after="0"/>
      </w:pPr>
      <w:r w:rsidRPr="00D42B1B">
        <w:t xml:space="preserve">La quatrième session de négociations autour de l’accord de partenariat dans le secteur de la pêche entre la Mauritanie et l’Union européenne s’est déroulé le 9 juin à Las Palmas (Espagne). </w:t>
      </w:r>
      <w:r w:rsidR="00496411" w:rsidRPr="00D42B1B">
        <w:t xml:space="preserve">Cette nouvelle </w:t>
      </w:r>
      <w:r w:rsidRPr="00D42B1B">
        <w:t xml:space="preserve">session </w:t>
      </w:r>
      <w:r w:rsidR="00496411" w:rsidRPr="00D42B1B">
        <w:t xml:space="preserve">vise à finaliser le projet de protocole révisé et ses annexes afin de renforcer la coopération bilatérale dans un cadre préservant les intérêts des deux partenaires. </w:t>
      </w:r>
      <w:r w:rsidR="008215EE" w:rsidRPr="00D42B1B">
        <w:t xml:space="preserve">La délégation mauritanienne était conduite par le secrétaire général du ministère de la pêche et des infrastructures maritimes et portuaires, M. Sidi Ali </w:t>
      </w:r>
      <w:proofErr w:type="spellStart"/>
      <w:r w:rsidR="008215EE" w:rsidRPr="00D42B1B">
        <w:t>Ould</w:t>
      </w:r>
      <w:proofErr w:type="spellEnd"/>
      <w:r w:rsidR="008215EE" w:rsidRPr="00D42B1B">
        <w:t xml:space="preserve"> Sidi Boubacar. Elle regroupait notamment des représentants des garde-côtes mauritaniens, de l’Observatoire économique et social de la pêche ainsi que des ministères des finances et des affaires étrangères. La partie européenne était représentée par une délégation dirigée par M. Luis </w:t>
      </w:r>
      <w:proofErr w:type="spellStart"/>
      <w:r w:rsidR="008215EE" w:rsidRPr="00D42B1B">
        <w:t>Molido</w:t>
      </w:r>
      <w:proofErr w:type="spellEnd"/>
      <w:r w:rsidR="008215EE" w:rsidRPr="00D42B1B">
        <w:t>, accompagnée de représentants de la Délégation de l’Union européenne en Mauritanie et de plusieurs Etats</w:t>
      </w:r>
      <w:r w:rsidR="00B2505A" w:rsidRPr="00D42B1B">
        <w:t> </w:t>
      </w:r>
      <w:r w:rsidR="008215EE" w:rsidRPr="00D42B1B">
        <w:t xml:space="preserve">membres signataires de l’accord, dont l’Espagne, la France, la Pologne et la Lituanie. </w:t>
      </w:r>
      <w:r w:rsidR="00496411" w:rsidRPr="00D42B1B">
        <w:t xml:space="preserve">Cette </w:t>
      </w:r>
      <w:r w:rsidRPr="00D42B1B">
        <w:t>session</w:t>
      </w:r>
      <w:r w:rsidR="00496411" w:rsidRPr="00D42B1B">
        <w:t xml:space="preserve"> fait suite aux travaux de la commission mixte de l’accord de partenariat, organisés du 26 au 28 janvier 2026 à Las Palmas (Espagne). </w:t>
      </w:r>
      <w:r w:rsidRPr="00D42B1B">
        <w:t xml:space="preserve">Elle </w:t>
      </w:r>
      <w:r w:rsidR="00496411" w:rsidRPr="00D42B1B">
        <w:t xml:space="preserve">avait permis d’évaluer la mise en œuvre des dispositions de l’accord en vigueur et d’examiner les principaux indicateurs du partenariat, notamment les activités de pêche, les licences accordées en 2024 et 2025, les volumes et espèces de captures réalisés ainsi que les recettes générées. Les discussions avaient également porté sur les conditions techniques prévues par le protocole et sur la coopération scientifique </w:t>
      </w:r>
      <w:r w:rsidR="00496411" w:rsidRPr="00D42B1B">
        <w:lastRenderedPageBreak/>
        <w:t>entre les deux parties. A cette occasion, la délégation européenne avait présenté les conclusions de la commission scientifique mixte, soulignant l’importance du suivi scientifique pour assurer la préservation des ressources halieutiques et garantir leur exploitation durable.</w:t>
      </w:r>
      <w:r w:rsidRPr="00D42B1B">
        <w:t xml:space="preserve"> </w:t>
      </w:r>
      <w:r w:rsidR="00496411" w:rsidRPr="00D42B1B">
        <w:t>Le</w:t>
      </w:r>
      <w:r w:rsidRPr="00D42B1B">
        <w:t xml:space="preserve"> début des</w:t>
      </w:r>
      <w:r w:rsidR="00496411" w:rsidRPr="00D42B1B">
        <w:t xml:space="preserve"> négociations étaient intervenues à l’époque dans un contexte marqué par les débats suscités par la présence dans les eaux mauritaniennes du navire industriel </w:t>
      </w:r>
      <w:proofErr w:type="spellStart"/>
      <w:r w:rsidR="00496411" w:rsidRPr="00D42B1B">
        <w:t>Margiris</w:t>
      </w:r>
      <w:proofErr w:type="spellEnd"/>
      <w:r w:rsidR="00496411" w:rsidRPr="00D42B1B">
        <w:t>, souvent surnommé le « Monstre des mers ».</w:t>
      </w:r>
      <w:r w:rsidRPr="00D42B1B">
        <w:t xml:space="preserve"> </w:t>
      </w:r>
      <w:r w:rsidR="00496411" w:rsidRPr="00D42B1B">
        <w:t>Cette controverse avait alimenté les inquiétudes d’une partie de l’opinion publique et des professionnels du secteur. Les autorités mauritaniennes avaient alors expliqué que les activités du navire s’inscrivaient dans le cadre des quotas et des dispositions prévues par les accords de pêche en vigueur, tout en reconnaissant un déficit de communication autour de son arrivée.</w:t>
      </w:r>
      <w:r w:rsidRPr="00D42B1B">
        <w:t xml:space="preserve"> Selon le ministère mauritanien de la pêche et des infrastructures maritimes et portuaires, </w:t>
      </w:r>
      <w:r w:rsidR="00B2505A" w:rsidRPr="00D42B1B">
        <w:t>cette nouvelle session visait à poursuivre les consultations techniques entre les deux parties sur le projet de protocole révisé de l’accord et ses annexes, dans le but de renforcer la coopération bilatérale de manière à garantir les intérêts communs des deux parties. L</w:t>
      </w:r>
      <w:r w:rsidRPr="00D42B1B">
        <w:t xml:space="preserve">es échanges ont porté </w:t>
      </w:r>
      <w:r w:rsidR="00B2505A" w:rsidRPr="00D42B1B">
        <w:t>notam</w:t>
      </w:r>
      <w:r w:rsidRPr="00D42B1B">
        <w:t xml:space="preserve">ment sur les aspects techniques (réaménagement de l’accès en raison des risques pesant sur certaines espèces pélagiques surexploitées) et financiers de l’accord, les contreparties futures ainsi que plusieurs questions d’intérêt commun. </w:t>
      </w:r>
      <w:r w:rsidR="008215EE" w:rsidRPr="00D42B1B">
        <w:t xml:space="preserve">Selon le ministère de la pêche, </w:t>
      </w:r>
      <w:r w:rsidR="00496411" w:rsidRPr="00D42B1B">
        <w:t xml:space="preserve">Le partenariat halieutique entre la Mauritanie et l’Union européenne demeure l’un des plus importants accords de pêche conclus par </w:t>
      </w:r>
      <w:r w:rsidR="008215EE" w:rsidRPr="00D42B1B">
        <w:t xml:space="preserve">l’Union européenne </w:t>
      </w:r>
      <w:r w:rsidR="00496411" w:rsidRPr="00D42B1B">
        <w:t>avec un pays tiers. Le protocole actuellement en vigueur couvre la période allant du 15 novembre 2021 au 14</w:t>
      </w:r>
      <w:r w:rsidR="008215EE" w:rsidRPr="00D42B1B">
        <w:t> </w:t>
      </w:r>
      <w:r w:rsidR="00496411" w:rsidRPr="00D42B1B">
        <w:t>novembre 2026 et prévoit un mécanisme de renouvellement automatique.</w:t>
      </w:r>
      <w:r w:rsidR="008215EE" w:rsidRPr="00D42B1B">
        <w:t xml:space="preserve"> </w:t>
      </w:r>
      <w:r w:rsidR="00496411" w:rsidRPr="00D42B1B">
        <w:t>Il prévoit une contribution annuelle de l’Union européenne d’environ 60,8</w:t>
      </w:r>
      <w:r w:rsidR="008215EE" w:rsidRPr="00D42B1B">
        <w:t xml:space="preserve"> M EUR</w:t>
      </w:r>
      <w:r w:rsidR="00496411" w:rsidRPr="00D42B1B">
        <w:t xml:space="preserve">, dont près de 3,3 </w:t>
      </w:r>
      <w:r w:rsidR="008215EE" w:rsidRPr="00D42B1B">
        <w:t xml:space="preserve">M EUR </w:t>
      </w:r>
      <w:r w:rsidR="00496411" w:rsidRPr="00D42B1B">
        <w:t xml:space="preserve">sont destinés chaque année à l’appui du développement durable de la politique nationale des pêches. </w:t>
      </w:r>
      <w:r w:rsidR="008215EE" w:rsidRPr="00D42B1B">
        <w:t>A</w:t>
      </w:r>
      <w:r w:rsidR="00496411" w:rsidRPr="00D42B1B">
        <w:t xml:space="preserve"> cela s’ajoute un financement sectoriel de 16,5 </w:t>
      </w:r>
      <w:r w:rsidR="008215EE" w:rsidRPr="00D42B1B">
        <w:t xml:space="preserve">M EUR </w:t>
      </w:r>
      <w:r w:rsidR="00496411" w:rsidRPr="00D42B1B">
        <w:t>sur l’ensemble de la période du protocole pour soutenir la gouvernance du secteur, le contrôle des activités de pêche, la lutte contre la pêche illicite et la recherche scientifique.</w:t>
      </w:r>
      <w:r w:rsidR="008215EE" w:rsidRPr="00D42B1B">
        <w:t xml:space="preserve"> </w:t>
      </w:r>
      <w:r w:rsidR="00496411" w:rsidRPr="00D42B1B">
        <w:t>L’accord autorise les navires européens à exploiter plusieurs catégories de ressources halieutiques dans les eaux mauritaniennes, notamment les espèces pélagiques, les poissons démersaux, les thonidés et les crevettes. Les captures autorisées représentent un volume annuel compris entre 280 050 et 288 000 tonnes, selon les catégories de pêche concernées.</w:t>
      </w:r>
    </w:p>
    <w:p w14:paraId="451963D6" w14:textId="77777777" w:rsidR="00B146D4" w:rsidRPr="00D42B1B" w:rsidRDefault="00B146D4" w:rsidP="00B146D4">
      <w:pPr>
        <w:spacing w:after="0"/>
      </w:pPr>
    </w:p>
    <w:p w14:paraId="2D87AF3C" w14:textId="0868D4FE" w:rsidR="00B146D4" w:rsidRPr="00D42B1B" w:rsidRDefault="00B146D4" w:rsidP="00B146D4">
      <w:pPr>
        <w:spacing w:after="0" w:line="240" w:lineRule="auto"/>
        <w:outlineLvl w:val="1"/>
        <w:rPr>
          <w:rFonts w:eastAsia="Times New Roman" w:cs="Arial"/>
          <w:b/>
          <w:bCs/>
          <w:color w:val="444444"/>
          <w:szCs w:val="20"/>
          <w:lang w:eastAsia="fr-FR"/>
        </w:rPr>
      </w:pPr>
      <w:bookmarkStart w:id="256" w:name="_Toc233878770"/>
      <w:r w:rsidRPr="00D42B1B">
        <w:rPr>
          <w:b/>
          <w:bCs/>
        </w:rPr>
        <w:t>Pêche – L’arrêt biologique de la pêche au poulpe prolongé jusqu’au 15 juillet prochain.</w:t>
      </w:r>
      <w:bookmarkEnd w:id="256"/>
    </w:p>
    <w:p w14:paraId="13B917AB" w14:textId="2B61AA88" w:rsidR="00496411" w:rsidRPr="00D42B1B" w:rsidRDefault="00B146D4" w:rsidP="00B146D4">
      <w:pPr>
        <w:spacing w:after="0"/>
      </w:pPr>
      <w:r w:rsidRPr="00D42B1B">
        <w:t>Le ministère de la pêche, des infrastructures maritimes et portuaires a annoncé le 23 juin la prolongation de la première période de l’arrêt biologique de la pêche au poulpe pour l’année 2026 jusqu’au 15 juillet prochain. Cette décision s’inscrit dans le cadre des mesures visant à préserver la durabilité des ressources conformément aux recommandations scientifiques émises par l’Institut mauritanien de recherche océanographique et halieutique. Le ministère a appelé les différents acteurs et intervenants du secteur à se conformer aux dispositions de cette décision, réaffirmant son engagement à poursuivre l’adoption d’une approche scientifique dans la gestion et l’exploitation des ressources halieutiques nationales, afin d’en garantir la durabilité.</w:t>
      </w:r>
    </w:p>
    <w:p w14:paraId="5CD7FF91" w14:textId="77777777" w:rsidR="00B146D4" w:rsidRPr="00D42B1B" w:rsidRDefault="00B146D4" w:rsidP="00B146D4">
      <w:pPr>
        <w:spacing w:after="0"/>
      </w:pPr>
    </w:p>
    <w:p w14:paraId="0CFDD27D" w14:textId="10B19865" w:rsidR="00E13987" w:rsidRPr="00D42B1B" w:rsidRDefault="00E13987" w:rsidP="00930230">
      <w:pPr>
        <w:spacing w:after="0" w:line="240" w:lineRule="auto"/>
        <w:outlineLvl w:val="1"/>
        <w:rPr>
          <w:rFonts w:eastAsia="Times New Roman" w:cs="Arial"/>
          <w:b/>
          <w:bCs/>
          <w:color w:val="444444"/>
          <w:szCs w:val="20"/>
          <w:lang w:eastAsia="fr-FR"/>
        </w:rPr>
      </w:pPr>
      <w:bookmarkStart w:id="257" w:name="_Toc233878771"/>
      <w:bookmarkStart w:id="258" w:name="_Hlk232343449"/>
      <w:r w:rsidRPr="00D42B1B">
        <w:rPr>
          <w:b/>
          <w:bCs/>
        </w:rPr>
        <w:t>Foncier – Dénonciation autour d</w:t>
      </w:r>
      <w:r w:rsidR="00930230" w:rsidRPr="00D42B1B">
        <w:rPr>
          <w:b/>
          <w:bCs/>
        </w:rPr>
        <w:t>’un</w:t>
      </w:r>
      <w:r w:rsidRPr="00D42B1B">
        <w:rPr>
          <w:b/>
          <w:bCs/>
        </w:rPr>
        <w:t xml:space="preserve"> projet agricole </w:t>
      </w:r>
      <w:r w:rsidR="00930230" w:rsidRPr="00D42B1B">
        <w:rPr>
          <w:b/>
          <w:bCs/>
        </w:rPr>
        <w:t>avec la République populaire de Chine.</w:t>
      </w:r>
      <w:bookmarkEnd w:id="257"/>
    </w:p>
    <w:bookmarkEnd w:id="252"/>
    <w:bookmarkEnd w:id="258"/>
    <w:p w14:paraId="2BBD46B6" w14:textId="406C1386" w:rsidR="00E13987" w:rsidRPr="00D42B1B" w:rsidRDefault="00E13987" w:rsidP="00E13987">
      <w:pPr>
        <w:spacing w:after="0"/>
      </w:pPr>
      <w:r w:rsidRPr="00D42B1B">
        <w:t xml:space="preserve">La Mauritanie et </w:t>
      </w:r>
      <w:bookmarkStart w:id="259" w:name="_Hlk232342175"/>
      <w:r w:rsidRPr="00D42B1B">
        <w:t xml:space="preserve">la République populaire de Chine </w:t>
      </w:r>
      <w:bookmarkEnd w:id="259"/>
      <w:r w:rsidRPr="00D42B1B">
        <w:t xml:space="preserve">représentée par </w:t>
      </w:r>
      <w:bookmarkStart w:id="260" w:name="_Hlk232342099"/>
      <w:r w:rsidRPr="00D42B1B">
        <w:t>la Société chinoise des sciences et technologies</w:t>
      </w:r>
      <w:bookmarkEnd w:id="260"/>
      <w:r w:rsidRPr="00D42B1B">
        <w:t xml:space="preserve"> ont signé le 12 mai une convention de location à long terme portant sur l’exploitation d’une superficie agricole estimée à près de 2 400 ha dans la </w:t>
      </w:r>
      <w:proofErr w:type="spellStart"/>
      <w:r w:rsidRPr="00D42B1B">
        <w:t>moughataa</w:t>
      </w:r>
      <w:proofErr w:type="spellEnd"/>
      <w:r w:rsidRPr="00D42B1B">
        <w:t xml:space="preserve"> de </w:t>
      </w:r>
      <w:r w:rsidRPr="00D42B1B">
        <w:lastRenderedPageBreak/>
        <w:t>M’bagne (</w:t>
      </w:r>
      <w:r w:rsidRPr="00D42B1B">
        <w:rPr>
          <w:i/>
          <w:iCs/>
        </w:rPr>
        <w:t>cf. Griot agri agro de mai</w:t>
      </w:r>
      <w:r w:rsidRPr="00D42B1B">
        <w:t xml:space="preserve">). Mais la tension monte autour de ce projet. Dans une déclaration rendue publique le 4 juin, le Collectif des propriétaires terriens de </w:t>
      </w:r>
      <w:proofErr w:type="spellStart"/>
      <w:r w:rsidRPr="00D42B1B">
        <w:t>Walo</w:t>
      </w:r>
      <w:proofErr w:type="spellEnd"/>
      <w:r w:rsidRPr="00D42B1B">
        <w:t xml:space="preserve"> </w:t>
      </w:r>
      <w:proofErr w:type="spellStart"/>
      <w:r w:rsidRPr="00D42B1B">
        <w:t>Yirlabé-diéri</w:t>
      </w:r>
      <w:proofErr w:type="spellEnd"/>
      <w:r w:rsidRPr="00D42B1B">
        <w:t xml:space="preserve"> (</w:t>
      </w:r>
      <w:proofErr w:type="spellStart"/>
      <w:r w:rsidRPr="00D42B1B">
        <w:t>Walodiane</w:t>
      </w:r>
      <w:proofErr w:type="spellEnd"/>
      <w:r w:rsidRPr="00D42B1B">
        <w:t>) a exprimé un rejet catégorique de toute forme d’expropriation, mettant en garde contre une crise latente. Le collectif affirme le caractère inaliénable des terres concernées et rejette toute convention de location ou d’exploitation conclue sans leur consentement et s’oppose au projet impliquant le consortium chinois, soutenu par les autorités, et perçu comme une tentative d’expropriation des populations locales. Présenté par les autorités comme un levier de renforcement de la sécurité alimentaire nationale, le projet avec la Société chinoise des sciences et technologies prévoit notamment la création d’emplois, le transfert de technologies agricoles et le développement de la productivité. Il s’inscrit dans la continuité de la coopération agricole entre les deux pays, notamment autour du Centre de formation et de transfert des technologies agricoles établi en 2016.</w:t>
      </w:r>
      <w:r w:rsidR="00930230" w:rsidRPr="00D42B1B">
        <w:t xml:space="preserve"> </w:t>
      </w:r>
      <w:r w:rsidRPr="00D42B1B">
        <w:t>Si les autorités mettent en avant les retombées économiques et techniques attendues, la contestation des propriétaires terriens</w:t>
      </w:r>
      <w:r w:rsidR="00930230" w:rsidRPr="00D42B1B">
        <w:t xml:space="preserve"> </w:t>
      </w:r>
      <w:r w:rsidRPr="00D42B1B">
        <w:t xml:space="preserve">de </w:t>
      </w:r>
      <w:proofErr w:type="spellStart"/>
      <w:r w:rsidRPr="00D42B1B">
        <w:t>Walodiane</w:t>
      </w:r>
      <w:proofErr w:type="spellEnd"/>
      <w:r w:rsidRPr="00D42B1B">
        <w:t xml:space="preserve"> met en lumière les enjeux fonciers et sociaux liés à ce type de partenariat.</w:t>
      </w:r>
    </w:p>
    <w:p w14:paraId="0D35E45C" w14:textId="67864761" w:rsidR="00A62AB1" w:rsidRPr="00D42B1B" w:rsidRDefault="00A62AB1" w:rsidP="00E13987">
      <w:pPr>
        <w:spacing w:after="0"/>
      </w:pPr>
    </w:p>
    <w:p w14:paraId="643D80FD" w14:textId="18A1D694" w:rsidR="00A62AB1" w:rsidRPr="00D42B1B" w:rsidRDefault="00F57DCE" w:rsidP="002574D8">
      <w:pPr>
        <w:spacing w:after="0" w:line="240" w:lineRule="auto"/>
        <w:outlineLvl w:val="1"/>
        <w:rPr>
          <w:rFonts w:eastAsia="Times New Roman" w:cs="Arial"/>
          <w:b/>
          <w:bCs/>
          <w:color w:val="444444"/>
          <w:szCs w:val="20"/>
          <w:lang w:eastAsia="fr-FR"/>
        </w:rPr>
      </w:pPr>
      <w:bookmarkStart w:id="261" w:name="_Toc233878772"/>
      <w:r w:rsidRPr="00D42B1B">
        <w:rPr>
          <w:b/>
          <w:bCs/>
        </w:rPr>
        <w:t xml:space="preserve">Coopération bilatérale </w:t>
      </w:r>
      <w:r w:rsidR="002574D8" w:rsidRPr="00D42B1B">
        <w:rPr>
          <w:b/>
          <w:bCs/>
        </w:rPr>
        <w:t>–</w:t>
      </w:r>
      <w:r w:rsidR="00A62AB1" w:rsidRPr="00D42B1B">
        <w:rPr>
          <w:b/>
          <w:bCs/>
        </w:rPr>
        <w:t xml:space="preserve"> </w:t>
      </w:r>
      <w:r w:rsidR="002574D8" w:rsidRPr="00D42B1B">
        <w:rPr>
          <w:b/>
          <w:bCs/>
        </w:rPr>
        <w:t xml:space="preserve">Négociations avancées avec l’Italie sur un </w:t>
      </w:r>
      <w:r w:rsidR="00A62AB1" w:rsidRPr="00D42B1B">
        <w:rPr>
          <w:b/>
          <w:bCs/>
        </w:rPr>
        <w:t>projet d’aménagement et d’investissement agricole.</w:t>
      </w:r>
      <w:bookmarkEnd w:id="261"/>
    </w:p>
    <w:p w14:paraId="256D49A7" w14:textId="77CFF6D6" w:rsidR="00A62AB1" w:rsidRPr="00D42B1B" w:rsidRDefault="00F57DCE" w:rsidP="00A62AB1">
      <w:pPr>
        <w:spacing w:after="0"/>
      </w:pPr>
      <w:r w:rsidRPr="00D42B1B">
        <w:t>L</w:t>
      </w:r>
      <w:r w:rsidR="00A62AB1" w:rsidRPr="00D42B1B">
        <w:t>e</w:t>
      </w:r>
      <w:r w:rsidRPr="00D42B1B">
        <w:t>s négociations sur un</w:t>
      </w:r>
      <w:r w:rsidR="00A62AB1" w:rsidRPr="00D42B1B">
        <w:t xml:space="preserve"> projet</w:t>
      </w:r>
      <w:r w:rsidRPr="00D42B1B">
        <w:t xml:space="preserve"> financé par l’Italie dans le cadre du Plan Mattei pour la coopération avec l’Afrique qui vise l</w:t>
      </w:r>
      <w:r w:rsidR="00A62AB1" w:rsidRPr="00D42B1B">
        <w:t xml:space="preserve">’aménagement et </w:t>
      </w:r>
      <w:r w:rsidRPr="00D42B1B">
        <w:t>de</w:t>
      </w:r>
      <w:r w:rsidR="00A62AB1" w:rsidRPr="00D42B1B">
        <w:t xml:space="preserve"> mise en valeur d’une superficie agricole comprise entre 5 000 et 10</w:t>
      </w:r>
      <w:r w:rsidRPr="00D42B1B">
        <w:t> </w:t>
      </w:r>
      <w:r w:rsidR="00A62AB1" w:rsidRPr="00D42B1B">
        <w:t>000 h</w:t>
      </w:r>
      <w:r w:rsidRPr="00D42B1B">
        <w:t>a</w:t>
      </w:r>
      <w:r w:rsidR="00A62AB1" w:rsidRPr="00D42B1B">
        <w:t xml:space="preserve"> au profit de la Mauritanie</w:t>
      </w:r>
      <w:r w:rsidRPr="00D42B1B">
        <w:t xml:space="preserve">, ont avancé ces dernières semaines. </w:t>
      </w:r>
      <w:r w:rsidR="00A62AB1" w:rsidRPr="00D42B1B">
        <w:t xml:space="preserve">Les deux </w:t>
      </w:r>
      <w:r w:rsidRPr="00D42B1B">
        <w:t xml:space="preserve">pays ont </w:t>
      </w:r>
      <w:r w:rsidR="00A62AB1" w:rsidRPr="00D42B1B">
        <w:t>convenu de poursuivre leurs efforts en vue de finaliser les procédures administratives et techniques nécessaires avant la signature du contrat et le lancement effectif du projet dans les meilleurs délais.</w:t>
      </w:r>
      <w:r w:rsidRPr="00D42B1B">
        <w:t xml:space="preserve"> </w:t>
      </w:r>
      <w:r w:rsidR="00A62AB1" w:rsidRPr="00D42B1B">
        <w:t xml:space="preserve">La partie italienne a souligné l’importance d’accélérer les démarches administratives et d’achever les formalités requises, tandis que la </w:t>
      </w:r>
      <w:r w:rsidRPr="00D42B1B">
        <w:t xml:space="preserve">partie </w:t>
      </w:r>
      <w:r w:rsidR="00A62AB1" w:rsidRPr="00D42B1B">
        <w:t>mauritanienne a réaffirmé l’engagement du gouvernement à fournir toutes les facilités nécessaires et à garantir les conditions propices à la réussite du projet.</w:t>
      </w:r>
      <w:r w:rsidRPr="00D42B1B">
        <w:t xml:space="preserve"> A </w:t>
      </w:r>
      <w:r w:rsidR="00A62AB1" w:rsidRPr="00D42B1B">
        <w:t>l’issue des</w:t>
      </w:r>
      <w:r w:rsidRPr="00D42B1B">
        <w:t xml:space="preserve"> derniers échanges</w:t>
      </w:r>
      <w:r w:rsidR="00A62AB1" w:rsidRPr="00D42B1B">
        <w:t>, les deux parties ont exprimé leur satisfaction quant au niveau d’entente et de coordination ayant marqué les rencontres, réaffirmant leur volonté de poursuivre le travail commun afin de mener à bien les différentes phases du projet conformément au calendrier établi.</w:t>
      </w:r>
    </w:p>
    <w:p w14:paraId="2186C9DA" w14:textId="77777777" w:rsidR="00E13987" w:rsidRPr="00D42B1B" w:rsidRDefault="00E13987" w:rsidP="00E13987">
      <w:pPr>
        <w:spacing w:after="0"/>
      </w:pPr>
    </w:p>
    <w:p w14:paraId="4377F8B4" w14:textId="0DE10989" w:rsidR="006A627D" w:rsidRPr="00D42B1B" w:rsidRDefault="00873A6D" w:rsidP="00065805">
      <w:pPr>
        <w:pStyle w:val="Titre1"/>
      </w:pPr>
      <w:bookmarkStart w:id="262" w:name="_Toc233878773"/>
      <w:bookmarkStart w:id="263" w:name="_Hlk229506628"/>
      <w:bookmarkEnd w:id="222"/>
      <w:r w:rsidRPr="00D42B1B">
        <w:t>Niger</w:t>
      </w:r>
      <w:bookmarkEnd w:id="262"/>
    </w:p>
    <w:p w14:paraId="71C91072" w14:textId="7751FE15" w:rsidR="00834B0A" w:rsidRPr="00D42B1B" w:rsidRDefault="00834B0A" w:rsidP="007B424F">
      <w:pPr>
        <w:spacing w:after="0" w:line="240" w:lineRule="auto"/>
        <w:outlineLvl w:val="1"/>
        <w:rPr>
          <w:rFonts w:eastAsia="Times New Roman" w:cs="Arial"/>
          <w:b/>
          <w:bCs/>
          <w:color w:val="444444"/>
          <w:szCs w:val="20"/>
          <w:lang w:eastAsia="fr-FR"/>
        </w:rPr>
      </w:pPr>
      <w:bookmarkStart w:id="264" w:name="_Toc233878774"/>
      <w:bookmarkStart w:id="265" w:name="_Hlk231746696"/>
      <w:r w:rsidRPr="00D42B1B">
        <w:rPr>
          <w:b/>
          <w:bCs/>
        </w:rPr>
        <w:t>Recherche – 5</w:t>
      </w:r>
      <w:r w:rsidRPr="00D42B1B">
        <w:rPr>
          <w:b/>
          <w:bCs/>
          <w:vertAlign w:val="superscript"/>
        </w:rPr>
        <w:t>ème</w:t>
      </w:r>
      <w:r w:rsidRPr="00D42B1B">
        <w:rPr>
          <w:b/>
          <w:bCs/>
        </w:rPr>
        <w:t xml:space="preserve"> édition de la Journée de la recherche agronomique</w:t>
      </w:r>
      <w:r w:rsidR="007B424F" w:rsidRPr="00D42B1B">
        <w:rPr>
          <w:b/>
          <w:bCs/>
        </w:rPr>
        <w:t>.</w:t>
      </w:r>
      <w:bookmarkEnd w:id="264"/>
    </w:p>
    <w:bookmarkEnd w:id="265"/>
    <w:p w14:paraId="0D379561" w14:textId="1F8D5ECC" w:rsidR="00834B0A" w:rsidRPr="00D42B1B" w:rsidRDefault="00834B0A" w:rsidP="00834B0A">
      <w:pPr>
        <w:spacing w:after="0"/>
      </w:pPr>
      <w:r w:rsidRPr="00D42B1B">
        <w:t>Le ministre de l’environnement, de l’hydraulique et de l’assainissement, M. </w:t>
      </w:r>
      <w:proofErr w:type="spellStart"/>
      <w:r w:rsidRPr="00D42B1B">
        <w:t>Maizama</w:t>
      </w:r>
      <w:proofErr w:type="spellEnd"/>
      <w:r w:rsidRPr="00D42B1B">
        <w:t> Abdoulaye, a présidé, le 4 juin la cérémonie d’ouverture de la 5</w:t>
      </w:r>
      <w:r w:rsidRPr="00D42B1B">
        <w:rPr>
          <w:vertAlign w:val="superscript"/>
        </w:rPr>
        <w:t>ème</w:t>
      </w:r>
      <w:r w:rsidRPr="00D42B1B">
        <w:t xml:space="preserve"> édition de la Journée de la recherche agronomique, organisée par le Conseil national de la recherche agronomique (CNRA). Placée sous le thème « Transfert des technologies agricoles éprouvées pour la souveraineté alimentaire et le renforcement de la résilience des producteurs », cette rencontre de trois jours vis</w:t>
      </w:r>
      <w:r w:rsidR="007B424F" w:rsidRPr="00D42B1B">
        <w:t>ait</w:t>
      </w:r>
      <w:r w:rsidRPr="00D42B1B">
        <w:t xml:space="preserve"> à promouvoir les innovations issues de la recherche agronomique et à renforcer les échanges entre chercheurs, décideurs et acteurs du secteur agricole en vue d’améliorer la productivité et la sécurité alimentaire au Niger. </w:t>
      </w:r>
      <w:r w:rsidR="007B424F" w:rsidRPr="00D42B1B">
        <w:t>D</w:t>
      </w:r>
      <w:r w:rsidRPr="00D42B1B">
        <w:t xml:space="preserve">urant les trois jours de travaux, 25 communications </w:t>
      </w:r>
      <w:r w:rsidR="007B424F" w:rsidRPr="00D42B1B">
        <w:t xml:space="preserve">ont été présentées, </w:t>
      </w:r>
      <w:r w:rsidRPr="00D42B1B">
        <w:t>axées notamment sur le renforcement du lien entre la recherche, la vulgarisation, le conseil agricole et les différents métiers du secteur agro-</w:t>
      </w:r>
      <w:proofErr w:type="spellStart"/>
      <w:r w:rsidRPr="00D42B1B">
        <w:t>sylvo</w:t>
      </w:r>
      <w:proofErr w:type="spellEnd"/>
      <w:r w:rsidRPr="00D42B1B">
        <w:t xml:space="preserve">-pastoral et halieutique. </w:t>
      </w:r>
      <w:r w:rsidR="007B424F" w:rsidRPr="00D42B1B">
        <w:t>L</w:t>
      </w:r>
      <w:r w:rsidRPr="00D42B1B">
        <w:t>es échanges vis</w:t>
      </w:r>
      <w:r w:rsidR="007B424F" w:rsidRPr="00D42B1B">
        <w:t>ai</w:t>
      </w:r>
      <w:r w:rsidRPr="00D42B1B">
        <w:t xml:space="preserve">ent à favoriser le transfert des technologies agricoles </w:t>
      </w:r>
      <w:r w:rsidRPr="00D42B1B">
        <w:lastRenderedPageBreak/>
        <w:t>éprouvées et à renforcer la résilience des populations face aux défis alimentaires et climatiques.</w:t>
      </w:r>
    </w:p>
    <w:p w14:paraId="0D7A72A2" w14:textId="5896076B" w:rsidR="007B424F" w:rsidRPr="00D42B1B" w:rsidRDefault="007B424F" w:rsidP="00834B0A">
      <w:pPr>
        <w:spacing w:after="0"/>
      </w:pPr>
    </w:p>
    <w:p w14:paraId="0D0180B8" w14:textId="04A588FD" w:rsidR="00520B77" w:rsidRPr="00D42B1B" w:rsidRDefault="00520B77" w:rsidP="00D911A1">
      <w:pPr>
        <w:spacing w:after="0" w:line="240" w:lineRule="auto"/>
        <w:outlineLvl w:val="1"/>
        <w:rPr>
          <w:rFonts w:eastAsia="Times New Roman" w:cs="Arial"/>
          <w:b/>
          <w:bCs/>
          <w:color w:val="444444"/>
          <w:szCs w:val="20"/>
          <w:lang w:eastAsia="fr-FR"/>
        </w:rPr>
      </w:pPr>
      <w:bookmarkStart w:id="266" w:name="_Toc233878775"/>
      <w:r w:rsidRPr="00D42B1B">
        <w:rPr>
          <w:b/>
          <w:bCs/>
        </w:rPr>
        <w:t>Recherche - Une mission de l’Organisation des</w:t>
      </w:r>
      <w:r w:rsidR="00D911A1" w:rsidRPr="00D42B1B">
        <w:rPr>
          <w:b/>
          <w:bCs/>
        </w:rPr>
        <w:t xml:space="preserve"> N</w:t>
      </w:r>
      <w:r w:rsidRPr="00D42B1B">
        <w:rPr>
          <w:b/>
          <w:bCs/>
        </w:rPr>
        <w:t xml:space="preserve">ations </w:t>
      </w:r>
      <w:r w:rsidR="00D911A1" w:rsidRPr="00D42B1B">
        <w:rPr>
          <w:b/>
          <w:bCs/>
        </w:rPr>
        <w:t>U</w:t>
      </w:r>
      <w:r w:rsidRPr="00D42B1B">
        <w:rPr>
          <w:b/>
          <w:bCs/>
        </w:rPr>
        <w:t>nies pour l’</w:t>
      </w:r>
      <w:r w:rsidR="00D911A1" w:rsidRPr="00D42B1B">
        <w:rPr>
          <w:b/>
          <w:bCs/>
        </w:rPr>
        <w:t>a</w:t>
      </w:r>
      <w:r w:rsidRPr="00D42B1B">
        <w:rPr>
          <w:b/>
          <w:bCs/>
        </w:rPr>
        <w:t>limentation et l’</w:t>
      </w:r>
      <w:r w:rsidR="00D911A1" w:rsidRPr="00D42B1B">
        <w:rPr>
          <w:b/>
          <w:bCs/>
        </w:rPr>
        <w:t>a</w:t>
      </w:r>
      <w:r w:rsidRPr="00D42B1B">
        <w:rPr>
          <w:b/>
          <w:bCs/>
        </w:rPr>
        <w:t>griculture (FAO) évalue les résultats de ses appuis à la recherche agronomique et à l’élevage.</w:t>
      </w:r>
      <w:bookmarkEnd w:id="266"/>
    </w:p>
    <w:p w14:paraId="0EA77F2C" w14:textId="0004525B" w:rsidR="00520B77" w:rsidRPr="00D42B1B" w:rsidRDefault="00520B77" w:rsidP="00520B77">
      <w:pPr>
        <w:spacing w:after="0"/>
      </w:pPr>
      <w:r w:rsidRPr="00D42B1B">
        <w:t xml:space="preserve">Une délégation </w:t>
      </w:r>
      <w:bookmarkStart w:id="267" w:name="_Hlk233573787"/>
      <w:r w:rsidRPr="00D42B1B">
        <w:t>de la FAO</w:t>
      </w:r>
      <w:bookmarkEnd w:id="267"/>
      <w:r w:rsidRPr="00D42B1B">
        <w:t xml:space="preserve">, conduite par le Représentant régional adjoint pour l’Afrique au Bureau régional de la FAO pour l’Afrique, M. </w:t>
      </w:r>
      <w:proofErr w:type="spellStart"/>
      <w:r w:rsidRPr="00D42B1B">
        <w:t>Meshack</w:t>
      </w:r>
      <w:proofErr w:type="spellEnd"/>
      <w:r w:rsidRPr="00D42B1B">
        <w:t xml:space="preserve"> </w:t>
      </w:r>
      <w:proofErr w:type="spellStart"/>
      <w:r w:rsidRPr="00D42B1B">
        <w:t>Oguna</w:t>
      </w:r>
      <w:proofErr w:type="spellEnd"/>
      <w:r w:rsidRPr="00D42B1B">
        <w:t xml:space="preserve"> Malo, a effectué, le 24 juin, une série de visites à l’Institut National de la Recherche Agronomique du Niger (INRAN) et au Laboratoire Central de l’Élevage (LABOCEL). Cette visite avait pour objectif de constater les dispositifs mis à la disposition de ces structures par la FAO dans le cadre du projet de développement de la pomme de terre et d’amélioration de la fertilité des sols dans les régions de Zinder. Au niveau du LABOCEL, la délégation a pu s’enquérir des outils, équipements et infrastructures dont le laboratoire a bénéficié grâce à l’appui de la FAO. </w:t>
      </w:r>
      <w:r w:rsidR="00D911A1" w:rsidRPr="00D42B1B">
        <w:t xml:space="preserve">Pour la FAO, </w:t>
      </w:r>
      <w:r w:rsidRPr="00D42B1B">
        <w:t>il est important que</w:t>
      </w:r>
      <w:r w:rsidR="00D911A1" w:rsidRPr="00D42B1B">
        <w:t xml:space="preserve"> le LACOBEL </w:t>
      </w:r>
      <w:r w:rsidRPr="00D42B1B">
        <w:t xml:space="preserve">continue ses efforts, aussi bien de surveillance, mais également de tests, et </w:t>
      </w:r>
      <w:r w:rsidR="00D911A1" w:rsidRPr="00D42B1B">
        <w:t xml:space="preserve">afin </w:t>
      </w:r>
      <w:r w:rsidRPr="00D42B1B">
        <w:t>d’atténu</w:t>
      </w:r>
      <w:r w:rsidR="00D911A1" w:rsidRPr="00D42B1B">
        <w:t>er</w:t>
      </w:r>
      <w:r w:rsidRPr="00D42B1B">
        <w:t xml:space="preserve"> la transmission de</w:t>
      </w:r>
      <w:r w:rsidR="00D911A1" w:rsidRPr="00D42B1B">
        <w:t>s</w:t>
      </w:r>
      <w:r w:rsidRPr="00D42B1B">
        <w:t xml:space="preserve"> maladie</w:t>
      </w:r>
      <w:r w:rsidR="00D911A1" w:rsidRPr="00D42B1B">
        <w:t>s</w:t>
      </w:r>
      <w:r w:rsidRPr="00D42B1B">
        <w:t xml:space="preserve"> animale</w:t>
      </w:r>
      <w:r w:rsidR="00D911A1" w:rsidRPr="00D42B1B">
        <w:t>s</w:t>
      </w:r>
      <w:r w:rsidRPr="00D42B1B">
        <w:t>.</w:t>
      </w:r>
    </w:p>
    <w:p w14:paraId="1EB395B9" w14:textId="4EE17B95" w:rsidR="008D3E71" w:rsidRPr="00D42B1B" w:rsidRDefault="008D3E71" w:rsidP="008D3E71">
      <w:pPr>
        <w:spacing w:after="0"/>
      </w:pPr>
    </w:p>
    <w:p w14:paraId="21492D81" w14:textId="340A2D8F" w:rsidR="008D3E71" w:rsidRPr="00D42B1B" w:rsidRDefault="008D3E71" w:rsidP="00432AA5">
      <w:pPr>
        <w:spacing w:after="0" w:line="240" w:lineRule="auto"/>
        <w:outlineLvl w:val="1"/>
        <w:rPr>
          <w:rFonts w:eastAsia="Times New Roman" w:cs="Arial"/>
          <w:b/>
          <w:bCs/>
          <w:color w:val="444444"/>
          <w:szCs w:val="20"/>
          <w:lang w:eastAsia="fr-FR"/>
        </w:rPr>
      </w:pPr>
      <w:bookmarkStart w:id="268" w:name="_Toc233878776"/>
      <w:r w:rsidRPr="00D42B1B">
        <w:rPr>
          <w:b/>
          <w:bCs/>
        </w:rPr>
        <w:t xml:space="preserve">Tomate - </w:t>
      </w:r>
      <w:r w:rsidR="00432AA5" w:rsidRPr="00D42B1B">
        <w:rPr>
          <w:b/>
          <w:bCs/>
        </w:rPr>
        <w:t xml:space="preserve">2 Md FCFA </w:t>
      </w:r>
      <w:r w:rsidRPr="00D42B1B">
        <w:rPr>
          <w:b/>
          <w:bCs/>
        </w:rPr>
        <w:t>pour dynamiser la filière.</w:t>
      </w:r>
      <w:bookmarkEnd w:id="268"/>
    </w:p>
    <w:p w14:paraId="40D818E4" w14:textId="5659C987" w:rsidR="008D3E71" w:rsidRPr="00D42B1B" w:rsidRDefault="008D3E71" w:rsidP="00432AA5">
      <w:pPr>
        <w:spacing w:after="0"/>
      </w:pPr>
      <w:r w:rsidRPr="00D42B1B">
        <w:t xml:space="preserve">Le gouvernement a lancé </w:t>
      </w:r>
      <w:r w:rsidR="00432AA5" w:rsidRPr="00D42B1B">
        <w:t xml:space="preserve">le 25 juin </w:t>
      </w:r>
      <w:r w:rsidRPr="00D42B1B">
        <w:t xml:space="preserve">un projet de petite irrigation dédié au développement de la filière tomate, financé par la coopération italienne à hauteur de 2 Md FCFA. </w:t>
      </w:r>
      <w:r w:rsidR="00432AA5" w:rsidRPr="00D42B1B">
        <w:t>Développé</w:t>
      </w:r>
      <w:r w:rsidRPr="00D42B1B">
        <w:t xml:space="preserve"> sur trois ans, le projet intervient dans deux bassins de production</w:t>
      </w:r>
      <w:r w:rsidR="00432AA5" w:rsidRPr="00D42B1B">
        <w:t xml:space="preserve">, </w:t>
      </w:r>
      <w:r w:rsidRPr="00D42B1B">
        <w:t xml:space="preserve">les départements de </w:t>
      </w:r>
      <w:proofErr w:type="spellStart"/>
      <w:r w:rsidRPr="00D42B1B">
        <w:t>Dogueraoua</w:t>
      </w:r>
      <w:proofErr w:type="spellEnd"/>
      <w:r w:rsidRPr="00D42B1B">
        <w:t xml:space="preserve"> (région de Tahoua) et de </w:t>
      </w:r>
      <w:proofErr w:type="spellStart"/>
      <w:r w:rsidRPr="00D42B1B">
        <w:t>Tibiri</w:t>
      </w:r>
      <w:proofErr w:type="spellEnd"/>
      <w:r w:rsidRPr="00D42B1B">
        <w:t xml:space="preserve"> </w:t>
      </w:r>
      <w:proofErr w:type="spellStart"/>
      <w:r w:rsidRPr="00D42B1B">
        <w:t>Gobir</w:t>
      </w:r>
      <w:proofErr w:type="spellEnd"/>
      <w:r w:rsidRPr="00D42B1B">
        <w:t xml:space="preserve"> (région de Maradi). Ces zones, déjà actives dans les cultures maraîchères, devraient bénéficier d'aménagements en petite irrigation destinés à sécuriser les rendements et à réduire la forte dépendance à la saison des pluies. L'objectif affiché est d'accroître la production, améliorer la transformation locale et stimuler la consommation des produits agricoles nationaux, en particulier la tomate, un produit jugé stratégique pour la sécurité alimentaire.</w:t>
      </w:r>
      <w:r w:rsidR="00432AA5" w:rsidRPr="00D42B1B">
        <w:t xml:space="preserve"> </w:t>
      </w:r>
      <w:r w:rsidRPr="00D42B1B">
        <w:t>La tomate occupe en fait une place particulière dans les systèmes agricoles et alimentaires. Selon les données officielles, la production nationale a atteint 103 109,16 tonnes entre 2020 et 2024, pour plus de 2,85 M d'h</w:t>
      </w:r>
      <w:r w:rsidR="00432AA5" w:rsidRPr="00D42B1B">
        <w:t>a</w:t>
      </w:r>
      <w:r w:rsidRPr="00D42B1B">
        <w:t xml:space="preserve"> exploités. Cependant, la filière reste confrontée à plusieurs contraintes structurelles mises en évidence par le réseau des chambres d'agriculture et d'élevage. Une production fortement saisonnière (principalement de janvier à juin), des pertes post-récolte importantes liées aux ravageurs, ainsi qu'une dépendance persistante aux importations de concentré de tomate.</w:t>
      </w:r>
      <w:r w:rsidR="00432AA5" w:rsidRPr="00D42B1B">
        <w:t xml:space="preserve"> </w:t>
      </w:r>
      <w:r w:rsidRPr="00D42B1B">
        <w:t>Dans ce contexte, le développement de la petite irrigation apparaît comme un levier technique essentiel pour stabiliser l'offre et étendre les cycles de production, y compris en période d'hivernage. Pour les autorités nigériennes, ce financement marque une évolution qualitative de la coopération avec l'Italie, davantage orientée vers les investissements productifs.</w:t>
      </w:r>
    </w:p>
    <w:p w14:paraId="595BD0D4" w14:textId="77777777" w:rsidR="00D911A1" w:rsidRPr="00D42B1B" w:rsidRDefault="00D911A1" w:rsidP="00520B77">
      <w:pPr>
        <w:spacing w:after="0"/>
      </w:pPr>
    </w:p>
    <w:p w14:paraId="6194A8AC" w14:textId="14643F65" w:rsidR="00C92379" w:rsidRPr="00D42B1B" w:rsidRDefault="009D0F96" w:rsidP="00A75E42">
      <w:pPr>
        <w:pStyle w:val="Titre1"/>
      </w:pPr>
      <w:bookmarkStart w:id="269" w:name="_Toc207812066"/>
      <w:bookmarkStart w:id="270" w:name="_Toc207812934"/>
      <w:bookmarkStart w:id="271" w:name="_Toc207813096"/>
      <w:bookmarkStart w:id="272" w:name="_Toc233878778"/>
      <w:bookmarkStart w:id="273" w:name="_Hlk227260892"/>
      <w:bookmarkEnd w:id="263"/>
      <w:r w:rsidRPr="00D42B1B">
        <w:t>Tog</w:t>
      </w:r>
      <w:bookmarkEnd w:id="269"/>
      <w:bookmarkEnd w:id="270"/>
      <w:bookmarkEnd w:id="271"/>
      <w:r w:rsidR="00CD7756" w:rsidRPr="00D42B1B">
        <w:t>o</w:t>
      </w:r>
      <w:bookmarkEnd w:id="272"/>
    </w:p>
    <w:p w14:paraId="084E23D9" w14:textId="6AAE7D4B" w:rsidR="005E66E9" w:rsidRPr="00D42B1B" w:rsidRDefault="005E66E9" w:rsidP="005E66E9">
      <w:pPr>
        <w:spacing w:after="0" w:line="240" w:lineRule="auto"/>
        <w:outlineLvl w:val="1"/>
        <w:rPr>
          <w:rFonts w:eastAsia="Times New Roman" w:cs="Arial"/>
          <w:b/>
          <w:bCs/>
          <w:color w:val="444444"/>
          <w:szCs w:val="20"/>
          <w:lang w:eastAsia="fr-FR"/>
        </w:rPr>
      </w:pPr>
      <w:bookmarkStart w:id="274" w:name="_Toc233878779"/>
      <w:bookmarkStart w:id="275" w:name="_Hlk233574106"/>
      <w:bookmarkStart w:id="276" w:name="_Hlk231757385"/>
      <w:r w:rsidRPr="00D42B1B">
        <w:rPr>
          <w:b/>
          <w:bCs/>
        </w:rPr>
        <w:t xml:space="preserve">Cacao </w:t>
      </w:r>
      <w:r w:rsidR="009E02C9" w:rsidRPr="00D42B1B">
        <w:rPr>
          <w:b/>
          <w:bCs/>
        </w:rPr>
        <w:t>/ C</w:t>
      </w:r>
      <w:r w:rsidRPr="00D42B1B">
        <w:rPr>
          <w:b/>
          <w:bCs/>
        </w:rPr>
        <w:t>afé - Distribution de près de 400 000 plants pour soutenir la relance des filières.</w:t>
      </w:r>
      <w:bookmarkEnd w:id="274"/>
    </w:p>
    <w:bookmarkEnd w:id="275"/>
    <w:p w14:paraId="38C1FD3F" w14:textId="521009D4" w:rsidR="005E66E9" w:rsidRPr="00D42B1B" w:rsidRDefault="005E66E9" w:rsidP="005E66E9">
      <w:pPr>
        <w:shd w:val="clear" w:color="auto" w:fill="FFFFFF"/>
        <w:spacing w:after="0" w:line="240" w:lineRule="auto"/>
        <w:textAlignment w:val="baseline"/>
      </w:pPr>
      <w:r w:rsidRPr="00D42B1B">
        <w:t xml:space="preserve">Le Comité de coordination pour les filières café et cacao (CCFCC) a lancé le 1er juin la campagne nationale 2026 de distribution de matériel végétal destiné aux producteurs de café et de cacao. Au total, 398 240 plants ont été remis aux organisations professionnelles et aux producteurs indépendants, dont 177 200 plants de cacao, 106 540 plants de café et 114 500 plants agroforestiers. L’opération s’inscrit dans le cadre du Plan de développement café-cacao (PDCC), mis en œuvre pour moderniser les plantations, améliorer la productivité et </w:t>
      </w:r>
      <w:r w:rsidRPr="00D42B1B">
        <w:lastRenderedPageBreak/>
        <w:t>renforcer la résilience des producteurs face aux effets du changement climatique. Les plants distribués doivent également soutenir l’approche « zéro déforestation » adoptée par les autorités et les acteurs de la filière. Selon le CCFCC, près de 940 000 plants ont été distribués depuis 2021, permettant le renouvellement d’environ 705 ha de plantations. Cette démarche intervient alors que le gouvernement cherche à redynamiser ces deux filières de l’économie agricole togolaise. Les efforts engagés ces dernières années commencent à se refléter dans les performances commerciales. Au cours de la campagne 2024-2025, les exportations ont atteint 4 400 tonnes de café et 24 000 tonnes de cacao, contre respectivement 2 618 tonnes et 11 182 tonnes lors de la campagne précédente. Cette progression est portée par la mise en œuvre des plans de développement sectoriels adoptés en 2024. Au Togo, les filières café et cacao contribuent à environ 1,2% du PIB national, selon les dernières données disponibles, et font vivre quelque 32 000 producteurs.</w:t>
      </w:r>
    </w:p>
    <w:p w14:paraId="7B20D6AE" w14:textId="77777777" w:rsidR="00F44AF8" w:rsidRPr="00D42B1B" w:rsidRDefault="00F44AF8" w:rsidP="00F44AF8">
      <w:pPr>
        <w:shd w:val="clear" w:color="auto" w:fill="FFFFFF"/>
        <w:spacing w:after="0" w:line="240" w:lineRule="auto"/>
        <w:textAlignment w:val="baseline"/>
      </w:pPr>
    </w:p>
    <w:p w14:paraId="04254712" w14:textId="77777777" w:rsidR="002D2222" w:rsidRPr="00D42B1B" w:rsidRDefault="002D2222" w:rsidP="002D2222">
      <w:pPr>
        <w:spacing w:after="0" w:line="240" w:lineRule="auto"/>
        <w:outlineLvl w:val="1"/>
        <w:rPr>
          <w:rFonts w:eastAsia="Times New Roman" w:cs="Arial"/>
          <w:b/>
          <w:bCs/>
          <w:color w:val="444444"/>
          <w:szCs w:val="20"/>
          <w:lang w:eastAsia="fr-FR"/>
        </w:rPr>
      </w:pPr>
      <w:bookmarkStart w:id="277" w:name="_Toc233878780"/>
      <w:bookmarkStart w:id="278" w:name="_Hlk233579991"/>
      <w:r w:rsidRPr="00D42B1B">
        <w:rPr>
          <w:b/>
          <w:bCs/>
        </w:rPr>
        <w:t>Cacao – Inauguration d’un centre d’excellence.</w:t>
      </w:r>
      <w:bookmarkEnd w:id="277"/>
    </w:p>
    <w:bookmarkEnd w:id="278"/>
    <w:p w14:paraId="25242747" w14:textId="3EF67FD5" w:rsidR="002D2222" w:rsidRPr="00D42B1B" w:rsidRDefault="002D2222" w:rsidP="002D2222">
      <w:pPr>
        <w:shd w:val="clear" w:color="auto" w:fill="FFFFFF"/>
        <w:spacing w:after="0" w:line="240" w:lineRule="auto"/>
        <w:textAlignment w:val="baseline"/>
      </w:pPr>
      <w:r w:rsidRPr="00D42B1B">
        <w:t xml:space="preserve">L’infrastructure, fruit d’une coopération décentralisée entre le département français des Yvelines, la commune de </w:t>
      </w:r>
      <w:proofErr w:type="spellStart"/>
      <w:r w:rsidRPr="00D42B1B">
        <w:t>Blitta</w:t>
      </w:r>
      <w:proofErr w:type="spellEnd"/>
      <w:r w:rsidRPr="00D42B1B">
        <w:t xml:space="preserve"> 3 et l’association Chocolatiers et Pâtissiers du Monde, a été inaugurée le 3 juin dans la région Centrale. Dédiée à la fermentation et au traitement du cacao, ce centre inauguré quelques jours seulement après un autre centre installé dans la région des Plateaux, s’inscrit dans une dynamique de promotion du cacao togolais sur les marchés internationaux. L’objectif affiché est de permettre la commercialisation dès la première année de 25 tonnes de cacao d’excellence sur des marchés de niche à l’international. A terme, cette initiative devrait contribuer à accroître significativement le volume de cacao de haute qualité exporté par le Togo et améliorer les revenus des producteurs. La fermentation constitue une phase cruciale dans le processus de production du cacao. Réalisée dans des conditions optimales, ce centre pour le traitement post-récolte de la fève de cacao permet de développer les arômes recherchés par les chocolatiers internationaux et d’atteindre les standards de qualité exigés sur les marchés premium. Grâce à cette nouvelle infrastructure, les producteurs de la région Centrale disposeront désormais d’un outil leur permettant d’améliorer la qualité de leurs fèves et de prétendre à des débouchés plus rémunérateurs. Financé à près de 33 M FCFA par l’association Chocolatiers et Pâtissiers du Monde et le Département des Yvelines, coordonnée par le comité de coordination de la filière café et cacao (CCFCC), il vise à valoriser davantage la qualité du cacao dans la région Centrale ainsi que </w:t>
      </w:r>
      <w:r w:rsidR="00937C97">
        <w:t>« </w:t>
      </w:r>
      <w:r w:rsidRPr="00D42B1B">
        <w:t>l'origine Togo</w:t>
      </w:r>
      <w:r w:rsidR="00937C97">
        <w:t> »</w:t>
      </w:r>
      <w:r w:rsidRPr="00D42B1B">
        <w:t xml:space="preserve"> en étroite complémentarité avec celui de la région des Plateaux. Les représentants des chocolatiers français ont réaffirmé leur engagement en faveur d’un modèle commercial plus juste et plus sécurisé pour les producteurs de cacao. Le centre doit permettre d’assurer une régularité des revenus aux producteurs afin qu’ils ne subissent pas les évolutions des cours du marché du cacao.</w:t>
      </w:r>
    </w:p>
    <w:p w14:paraId="68169CB4" w14:textId="77777777" w:rsidR="00686236" w:rsidRPr="00D42B1B" w:rsidRDefault="00686236" w:rsidP="00686236">
      <w:pPr>
        <w:shd w:val="clear" w:color="auto" w:fill="FFFFFF"/>
        <w:spacing w:after="0" w:line="240" w:lineRule="auto"/>
        <w:textAlignment w:val="baseline"/>
      </w:pPr>
    </w:p>
    <w:p w14:paraId="467DB3A0" w14:textId="1E5EE483" w:rsidR="00686236" w:rsidRPr="00D42B1B" w:rsidRDefault="00686236" w:rsidP="00686236">
      <w:pPr>
        <w:spacing w:after="0" w:line="240" w:lineRule="auto"/>
        <w:outlineLvl w:val="1"/>
        <w:rPr>
          <w:rFonts w:eastAsia="Times New Roman" w:cs="Arial"/>
          <w:b/>
          <w:bCs/>
          <w:color w:val="444444"/>
          <w:szCs w:val="20"/>
          <w:lang w:eastAsia="fr-FR"/>
        </w:rPr>
      </w:pPr>
      <w:bookmarkStart w:id="279" w:name="_Toc233878781"/>
      <w:r w:rsidRPr="00D42B1B">
        <w:rPr>
          <w:b/>
          <w:bCs/>
        </w:rPr>
        <w:t>Coton - Objectif de production fixé à 105 000 tonnes pour la campagne 2026-2027.</w:t>
      </w:r>
      <w:bookmarkEnd w:id="279"/>
    </w:p>
    <w:p w14:paraId="57D28C43" w14:textId="65F078B8" w:rsidR="005E66E9" w:rsidRPr="00D42B1B" w:rsidRDefault="008F2907" w:rsidP="008F2907">
      <w:pPr>
        <w:shd w:val="clear" w:color="auto" w:fill="FFFFFF"/>
        <w:spacing w:after="0" w:line="240" w:lineRule="auto"/>
        <w:textAlignment w:val="baseline"/>
      </w:pPr>
      <w:r w:rsidRPr="00D42B1B">
        <w:t xml:space="preserve">La Fédération nationale des groupements de producteurs de coton (FNGPC) a tenu le 30 juin son assemblée générale. La rencontre est placée sous le thème « Transformer les défis climatiques en opportunités d’innovation durable et de compétitivité pour le coton togolais » a réuni les délégués et partenaires de la filière. Les rapports révèlent qu’en 2025, la filière a enregistré une production globale de 60 408 tonnes de coton-graine, avec un rendement moyen de 1,066 tonne/ha sur une superficie emblavée de 74 000 ha. Bien que ces résultats affichent un recul par l’effet d’un déficit pluviométrique précoce dans le sud et de pluies tardives dans la région des Savanes, la FNGPC entend transformer cette crise en levier d’innovation. </w:t>
      </w:r>
      <w:r w:rsidR="002B7B7B" w:rsidRPr="00D42B1B">
        <w:t>L</w:t>
      </w:r>
      <w:r w:rsidR="00686236" w:rsidRPr="00D42B1B">
        <w:t xml:space="preserve">a filière cotonnière aborde </w:t>
      </w:r>
      <w:r w:rsidRPr="00D42B1B">
        <w:t xml:space="preserve">ainsi </w:t>
      </w:r>
      <w:r w:rsidR="00686236" w:rsidRPr="00D42B1B">
        <w:t>la campagne 2026-2027 avec un objectif de production fixé à 105</w:t>
      </w:r>
      <w:r w:rsidR="002B7B7B" w:rsidRPr="00D42B1B">
        <w:t> </w:t>
      </w:r>
      <w:r w:rsidR="00686236" w:rsidRPr="00D42B1B">
        <w:t>000 tonnes de coton graine sur 105 000 h</w:t>
      </w:r>
      <w:r w:rsidR="002B7B7B" w:rsidRPr="00D42B1B">
        <w:t>a</w:t>
      </w:r>
      <w:r w:rsidR="00686236" w:rsidRPr="00D42B1B">
        <w:t xml:space="preserve">. Pour atteindre cette ambition, les différentes unions régionales de producteurs sont appelées à accroître les superficies </w:t>
      </w:r>
      <w:r w:rsidR="00686236" w:rsidRPr="00D42B1B">
        <w:lastRenderedPageBreak/>
        <w:t>emblavées et à améliorer les rendements.</w:t>
      </w:r>
      <w:r w:rsidR="002B7B7B" w:rsidRPr="00D42B1B">
        <w:t xml:space="preserve"> Ainsi, </w:t>
      </w:r>
      <w:r w:rsidR="00E91AD0" w:rsidRPr="00D42B1B">
        <w:t xml:space="preserve">l’Union régionale des </w:t>
      </w:r>
      <w:proofErr w:type="spellStart"/>
      <w:r w:rsidR="00E91AD0" w:rsidRPr="00D42B1B">
        <w:t>cotonculteurs</w:t>
      </w:r>
      <w:proofErr w:type="spellEnd"/>
      <w:r w:rsidR="00E91AD0" w:rsidRPr="00D42B1B">
        <w:t xml:space="preserve"> de la région des Plateaux (UR-COTON COOPCA) a tenu, le 23 juin, son assemblée générale ordinaire pour l’exercice 2025, marquée par l’ambition d’emblaver 35 000 ha pour une production de 35 000 tonnes de coton pour la nouvelle campagne de 2027. La région maritime a également été récemment appelée à porter sa production à 10 000 tonnes lors des prochaines campagnes, après une récolte de 3 629 tonnes en 2024-2025.</w:t>
      </w:r>
      <w:r w:rsidR="00323EFB" w:rsidRPr="00D42B1B">
        <w:t xml:space="preserve"> </w:t>
      </w:r>
      <w:r w:rsidR="00E91AD0" w:rsidRPr="00D42B1B">
        <w:t xml:space="preserve">Les producteurs de </w:t>
      </w:r>
      <w:r w:rsidR="00686236" w:rsidRPr="00D42B1B">
        <w:t xml:space="preserve">l'Union régionale des </w:t>
      </w:r>
      <w:proofErr w:type="spellStart"/>
      <w:r w:rsidR="00686236" w:rsidRPr="00D42B1B">
        <w:t>cotonculteurs</w:t>
      </w:r>
      <w:proofErr w:type="spellEnd"/>
      <w:r w:rsidR="00686236" w:rsidRPr="00D42B1B">
        <w:t xml:space="preserve"> de la</w:t>
      </w:r>
      <w:r w:rsidR="00E91AD0" w:rsidRPr="00D42B1B">
        <w:t xml:space="preserve"> région</w:t>
      </w:r>
      <w:r w:rsidR="00686236" w:rsidRPr="00D42B1B">
        <w:t xml:space="preserve"> Centrale (UR COTON Centrale) ont été encouragés à emblaver 9</w:t>
      </w:r>
      <w:r w:rsidR="00E91AD0" w:rsidRPr="00D42B1B">
        <w:t xml:space="preserve"> </w:t>
      </w:r>
      <w:r w:rsidR="00686236" w:rsidRPr="00D42B1B">
        <w:t>000 h</w:t>
      </w:r>
      <w:r w:rsidR="00E91AD0" w:rsidRPr="00D42B1B">
        <w:t>a</w:t>
      </w:r>
      <w:r w:rsidR="00686236" w:rsidRPr="00D42B1B">
        <w:t xml:space="preserve"> pour une production attendue de 9</w:t>
      </w:r>
      <w:r w:rsidR="00E91AD0" w:rsidRPr="00D42B1B">
        <w:t xml:space="preserve"> </w:t>
      </w:r>
      <w:r w:rsidR="00686236" w:rsidRPr="00D42B1B">
        <w:t>000 tonnes de coton graine.</w:t>
      </w:r>
      <w:r w:rsidR="00E91AD0" w:rsidRPr="00D42B1B">
        <w:t xml:space="preserve"> </w:t>
      </w:r>
      <w:r w:rsidR="00686236" w:rsidRPr="00D42B1B">
        <w:t>Cette ambition s'appuie sur les performances de la campagne 2025-2026, au cours de laquelle la région a enregistré une production de 5</w:t>
      </w:r>
      <w:r w:rsidR="00E91AD0" w:rsidRPr="00D42B1B">
        <w:t> </w:t>
      </w:r>
      <w:r w:rsidR="00686236" w:rsidRPr="00D42B1B">
        <w:t>083</w:t>
      </w:r>
      <w:r w:rsidR="00E91AD0" w:rsidRPr="00D42B1B">
        <w:t> </w:t>
      </w:r>
      <w:r w:rsidR="00686236" w:rsidRPr="00D42B1B">
        <w:t>tonnes, en hausse de près de 40%, avec un rendement moyen de 1115 kg</w:t>
      </w:r>
      <w:r w:rsidR="00E91AD0" w:rsidRPr="00D42B1B">
        <w:t>/ha</w:t>
      </w:r>
      <w:r w:rsidR="00686236" w:rsidRPr="00D42B1B">
        <w:t>.</w:t>
      </w:r>
      <w:r w:rsidR="00E91AD0" w:rsidRPr="00D42B1B">
        <w:t xml:space="preserve"> </w:t>
      </w:r>
      <w:r w:rsidR="00686236" w:rsidRPr="00D42B1B">
        <w:t>Dans l</w:t>
      </w:r>
      <w:r w:rsidR="00E91AD0" w:rsidRPr="00D42B1B">
        <w:t>a région du</w:t>
      </w:r>
      <w:r w:rsidR="00686236" w:rsidRPr="00D42B1B">
        <w:t xml:space="preserve"> Grand Oti, les producteurs ont également évalué les résultats de la dernière campagne. Malgré une baisse des superficies liée à l'irrégularité des pluies, la région a produit 7</w:t>
      </w:r>
      <w:r w:rsidR="00E91AD0" w:rsidRPr="00D42B1B">
        <w:t> </w:t>
      </w:r>
      <w:r w:rsidR="00686236" w:rsidRPr="00D42B1B">
        <w:t>581 tonnes de coton graine sur 7</w:t>
      </w:r>
      <w:r w:rsidR="00E91AD0" w:rsidRPr="00D42B1B">
        <w:t> </w:t>
      </w:r>
      <w:r w:rsidR="00686236" w:rsidRPr="00D42B1B">
        <w:t>728 h</w:t>
      </w:r>
      <w:r w:rsidR="00E91AD0" w:rsidRPr="00D42B1B">
        <w:t>a</w:t>
      </w:r>
      <w:r w:rsidR="00686236" w:rsidRPr="00D42B1B">
        <w:t>, avec un rendement moyen de 981 k</w:t>
      </w:r>
      <w:r w:rsidR="00E91AD0" w:rsidRPr="00D42B1B">
        <w:t>g/ha</w:t>
      </w:r>
      <w:r w:rsidR="00686236" w:rsidRPr="00D42B1B">
        <w:t>. Les responsables locaux misent désormais sur l'amélioration des pratiques culturales afin de franchir le seuil d'une tonne à l'hectare.</w:t>
      </w:r>
      <w:r w:rsidR="00E91AD0" w:rsidRPr="00D42B1B">
        <w:t xml:space="preserve"> </w:t>
      </w:r>
      <w:r w:rsidR="00686236" w:rsidRPr="00D42B1B">
        <w:t>Ces objectifs régionaux interviennent dans un contexte plus favorable pour la filière. Selon les données de la Nouvelle société cotonnière du Togo (NSCT), la campagne 2025-2026 devrait s'achever sur une production de près de 80 000 tonnes de coton graine, contre 60 403 tonnes lors de la campagne précédente, soit une progression de plus de 20%.</w:t>
      </w:r>
      <w:r w:rsidR="00323EFB" w:rsidRPr="00D42B1B">
        <w:t xml:space="preserve"> </w:t>
      </w:r>
      <w:r w:rsidR="00686236" w:rsidRPr="00D42B1B">
        <w:t xml:space="preserve">Portée par le maintien du prix d'achat du coton graine à 300 FCFA le kilogramme, la poursuite des subventions sur les engrais et l'amélioration des rendements, la filière poursuit </w:t>
      </w:r>
      <w:r w:rsidR="00323EFB" w:rsidRPr="00D42B1B">
        <w:t xml:space="preserve">ainsi </w:t>
      </w:r>
      <w:r w:rsidR="00686236" w:rsidRPr="00D42B1B">
        <w:t>sa dynamique de relance.</w:t>
      </w:r>
      <w:r w:rsidR="00323EFB" w:rsidRPr="00D42B1B">
        <w:t xml:space="preserve"> A</w:t>
      </w:r>
      <w:r w:rsidR="00686236" w:rsidRPr="00D42B1B">
        <w:t xml:space="preserve"> plus long terme, les ambitions nationales tablent sur une production comprise entre 150 000 et 200 000 tonnes à l'horizon 2030.</w:t>
      </w:r>
    </w:p>
    <w:p w14:paraId="40118695" w14:textId="77777777" w:rsidR="00686236" w:rsidRPr="00D42B1B" w:rsidRDefault="00686236" w:rsidP="00686236">
      <w:pPr>
        <w:shd w:val="clear" w:color="auto" w:fill="FFFFFF"/>
        <w:spacing w:after="0" w:line="240" w:lineRule="auto"/>
        <w:textAlignment w:val="baseline"/>
      </w:pPr>
    </w:p>
    <w:p w14:paraId="52D10374" w14:textId="424445A4" w:rsidR="005E66E9" w:rsidRPr="00D42B1B" w:rsidRDefault="005E66E9" w:rsidP="00E77D86">
      <w:pPr>
        <w:spacing w:after="0" w:line="240" w:lineRule="auto"/>
        <w:outlineLvl w:val="1"/>
        <w:rPr>
          <w:rFonts w:eastAsia="Times New Roman" w:cs="Arial"/>
          <w:b/>
          <w:bCs/>
          <w:color w:val="444444"/>
          <w:szCs w:val="20"/>
          <w:lang w:eastAsia="fr-FR"/>
        </w:rPr>
      </w:pPr>
      <w:bookmarkStart w:id="280" w:name="_Toc233878782"/>
      <w:bookmarkStart w:id="281" w:name="_Hlk232366547"/>
      <w:r w:rsidRPr="00D42B1B">
        <w:rPr>
          <w:b/>
          <w:bCs/>
        </w:rPr>
        <w:t>Coton - Fin du conflit avec OLAM ?</w:t>
      </w:r>
      <w:bookmarkEnd w:id="280"/>
    </w:p>
    <w:bookmarkEnd w:id="281"/>
    <w:p w14:paraId="482DF1D4" w14:textId="32A3B9A8" w:rsidR="005E66E9" w:rsidRPr="00D42B1B" w:rsidRDefault="005E66E9" w:rsidP="005E66E9">
      <w:pPr>
        <w:shd w:val="clear" w:color="auto" w:fill="FFFFFF"/>
        <w:spacing w:after="0" w:line="240" w:lineRule="auto"/>
        <w:textAlignment w:val="baseline"/>
      </w:pPr>
      <w:r w:rsidRPr="00D42B1B">
        <w:t>Le bras de fer entre les producteurs de coton et le groupe O</w:t>
      </w:r>
      <w:r w:rsidR="00E77D86" w:rsidRPr="00D42B1B">
        <w:t>LAM (</w:t>
      </w:r>
      <w:r w:rsidR="00E77D86" w:rsidRPr="00D42B1B">
        <w:rPr>
          <w:i/>
          <w:iCs/>
        </w:rPr>
        <w:t>cf. le Griot agri agro de mai</w:t>
      </w:r>
      <w:r w:rsidR="00E77D86" w:rsidRPr="00D42B1B">
        <w:t>)</w:t>
      </w:r>
      <w:r w:rsidRPr="00D42B1B">
        <w:t>, principal actionnaire de la Nouvelle société cotonnière du Togo (NSCT), semble toucher à sa fin.</w:t>
      </w:r>
      <w:r w:rsidR="00E77D86" w:rsidRPr="00D42B1B">
        <w:t xml:space="preserve"> </w:t>
      </w:r>
      <w:r w:rsidRPr="00D42B1B">
        <w:t xml:space="preserve">Le gouvernement a </w:t>
      </w:r>
      <w:r w:rsidR="00E77D86" w:rsidRPr="00D42B1B">
        <w:t xml:space="preserve">demandé à OLAM </w:t>
      </w:r>
      <w:r w:rsidRPr="00D42B1B">
        <w:t>de reprendre les paiements aux producteurs après plusieurs semaines de suspension.</w:t>
      </w:r>
      <w:r w:rsidR="00E77D86" w:rsidRPr="00D42B1B">
        <w:t xml:space="preserve"> Les producteurs </w:t>
      </w:r>
      <w:r w:rsidRPr="00D42B1B">
        <w:t>attendent plus de 6</w:t>
      </w:r>
      <w:r w:rsidR="00E77D86" w:rsidRPr="00D42B1B">
        <w:t xml:space="preserve"> Md FCFA</w:t>
      </w:r>
      <w:r w:rsidRPr="00D42B1B">
        <w:t xml:space="preserve">, après avoir déjà perçu 7,2 </w:t>
      </w:r>
      <w:r w:rsidR="00E77D86" w:rsidRPr="00D42B1B">
        <w:t xml:space="preserve">Md FCFA. </w:t>
      </w:r>
      <w:r w:rsidRPr="00D42B1B">
        <w:t>O</w:t>
      </w:r>
      <w:r w:rsidR="00E77D86" w:rsidRPr="00D42B1B">
        <w:t>LAM</w:t>
      </w:r>
      <w:r w:rsidRPr="00D42B1B">
        <w:t xml:space="preserve"> avait justifié la suspension par le non-règlement par l'</w:t>
      </w:r>
      <w:r w:rsidR="00E77D86" w:rsidRPr="00D42B1B">
        <w:t>E</w:t>
      </w:r>
      <w:r w:rsidRPr="00D42B1B">
        <w:t>tat d'un différentiel de prix estimé à 4,1</w:t>
      </w:r>
      <w:r w:rsidR="00E77D86" w:rsidRPr="00D42B1B">
        <w:t xml:space="preserve"> Md FCFA</w:t>
      </w:r>
      <w:r w:rsidRPr="00D42B1B">
        <w:t xml:space="preserve">. Les </w:t>
      </w:r>
      <w:proofErr w:type="spellStart"/>
      <w:r w:rsidRPr="00D42B1B">
        <w:t>cotonculteurs</w:t>
      </w:r>
      <w:proofErr w:type="spellEnd"/>
      <w:r w:rsidRPr="00D42B1B">
        <w:t xml:space="preserve"> refus</w:t>
      </w:r>
      <w:r w:rsidR="00E77D86" w:rsidRPr="00D42B1B">
        <w:t>ai</w:t>
      </w:r>
      <w:r w:rsidRPr="00D42B1B">
        <w:t>ent de faire les frais d'un différend financier qui ne les implique pas directement.</w:t>
      </w:r>
    </w:p>
    <w:p w14:paraId="4E162DB5" w14:textId="43E46420" w:rsidR="00CF6E89" w:rsidRPr="00D42B1B" w:rsidRDefault="00CF6E89" w:rsidP="005E66E9">
      <w:pPr>
        <w:shd w:val="clear" w:color="auto" w:fill="FFFFFF"/>
        <w:spacing w:after="0" w:line="240" w:lineRule="auto"/>
        <w:textAlignment w:val="baseline"/>
      </w:pPr>
    </w:p>
    <w:p w14:paraId="76B6E400" w14:textId="34BE6364" w:rsidR="00CF6E89" w:rsidRPr="00D42B1B" w:rsidRDefault="00EF42C7" w:rsidP="00EF42C7">
      <w:pPr>
        <w:spacing w:after="0" w:line="240" w:lineRule="auto"/>
        <w:outlineLvl w:val="1"/>
        <w:rPr>
          <w:rFonts w:eastAsia="Times New Roman" w:cs="Arial"/>
          <w:b/>
          <w:bCs/>
          <w:color w:val="444444"/>
          <w:szCs w:val="20"/>
          <w:lang w:eastAsia="fr-FR"/>
        </w:rPr>
      </w:pPr>
      <w:bookmarkStart w:id="282" w:name="_Toc233878783"/>
      <w:r w:rsidRPr="00D42B1B">
        <w:rPr>
          <w:b/>
          <w:bCs/>
        </w:rPr>
        <w:t xml:space="preserve">Coton - </w:t>
      </w:r>
      <w:r w:rsidR="00CF6E89" w:rsidRPr="00D42B1B">
        <w:rPr>
          <w:b/>
          <w:bCs/>
        </w:rPr>
        <w:t xml:space="preserve">Convention cadre de partenariat </w:t>
      </w:r>
      <w:r w:rsidRPr="00D42B1B">
        <w:rPr>
          <w:b/>
          <w:bCs/>
        </w:rPr>
        <w:t>pour un accès à l’eau potable des communautés productrices.</w:t>
      </w:r>
      <w:bookmarkEnd w:id="282"/>
    </w:p>
    <w:p w14:paraId="2BE204A1" w14:textId="6390DB5E" w:rsidR="00CF6E89" w:rsidRPr="00D42B1B" w:rsidRDefault="00CF6E89" w:rsidP="00CB046B">
      <w:pPr>
        <w:shd w:val="clear" w:color="auto" w:fill="FFFFFF"/>
        <w:spacing w:after="0" w:line="240" w:lineRule="auto"/>
        <w:textAlignment w:val="baseline"/>
      </w:pPr>
      <w:r w:rsidRPr="00D42B1B">
        <w:t xml:space="preserve">La Nouvelle société cotonnière du Togo (NSCT) et le Conseil </w:t>
      </w:r>
      <w:r w:rsidR="00EF42C7" w:rsidRPr="00D42B1B">
        <w:t>r</w:t>
      </w:r>
      <w:r w:rsidRPr="00D42B1B">
        <w:t xml:space="preserve">égional de la Kara (CRK), ont signé </w:t>
      </w:r>
      <w:r w:rsidR="00EF42C7" w:rsidRPr="00D42B1B">
        <w:t xml:space="preserve">le 9 juin </w:t>
      </w:r>
      <w:r w:rsidRPr="00D42B1B">
        <w:t>une convention</w:t>
      </w:r>
      <w:r w:rsidR="00EF42C7" w:rsidRPr="00D42B1B">
        <w:t xml:space="preserve"> </w:t>
      </w:r>
      <w:r w:rsidRPr="00D42B1B">
        <w:t>cadre de partenariat pour fournir de l’eau potable aux communautés rurales vulnérables des zones cotonnières de la région.</w:t>
      </w:r>
      <w:r w:rsidR="00EF42C7" w:rsidRPr="00D42B1B">
        <w:t xml:space="preserve"> </w:t>
      </w:r>
      <w:r w:rsidRPr="00D42B1B">
        <w:t xml:space="preserve">Cet accord d’une durée de 3 ans, prévoit la réalisation de 10 forages d’adduction d’eau potable, pour un coût global de plus de 50 </w:t>
      </w:r>
      <w:r w:rsidR="00EF42C7" w:rsidRPr="00D42B1B">
        <w:t xml:space="preserve">M </w:t>
      </w:r>
      <w:r w:rsidRPr="00D42B1B">
        <w:t>FCFA</w:t>
      </w:r>
      <w:r w:rsidR="00EF42C7" w:rsidRPr="00D42B1B">
        <w:t xml:space="preserve">. </w:t>
      </w:r>
      <w:r w:rsidRPr="00D42B1B">
        <w:t>L’initiative vise à atténuer les difficultés d’accès à l’eau potable en milieu rural, accentuées par le dérèglement climatique. Outre l’amélioration des conditions hydriques, ce projet permettra de réduire les corvées d’eau pour les femmes, de renforcer la sécurité alimentaire et d’améliorer les conditions de vie des producteurs de coton et de leurs familles.</w:t>
      </w:r>
      <w:r w:rsidR="00EF42C7" w:rsidRPr="00D42B1B">
        <w:t xml:space="preserve"> </w:t>
      </w:r>
      <w:r w:rsidRPr="00D42B1B">
        <w:t>Ce programme de réalisation de forages s’inscrit dans la politique de Responsabilité sociétale des entreprises (RSE) de la NSCT. Il s’ajoute à quatre autres programmes sectoriels de la société : la caravane de la Santé, l’alphabétisation fonctionnelle, la nutrition et la sécurité alimentaire.</w:t>
      </w:r>
      <w:r w:rsidR="00EF42C7" w:rsidRPr="00D42B1B">
        <w:t xml:space="preserve"> </w:t>
      </w:r>
      <w:r w:rsidRPr="00D42B1B">
        <w:t>Cette convention est la toute première du genre formalisée entre la NSCT et une collectivité territoriale togolaise dans le secteur hydraulique. A terme, les deux institutions ambitionnent d’étendre ce modèle de partenariat à d’autres domaines tels que l’éducation, la santé et la formation professionnelle.</w:t>
      </w:r>
      <w:r w:rsidR="00EF42C7" w:rsidRPr="00D42B1B">
        <w:t xml:space="preserve"> </w:t>
      </w:r>
      <w:r w:rsidRPr="00D42B1B">
        <w:t xml:space="preserve">Selon les termes de l’accord, la NSCT financera </w:t>
      </w:r>
      <w:r w:rsidRPr="00D42B1B">
        <w:lastRenderedPageBreak/>
        <w:t>intégralement les dix infrastructures d’eau pour une durée de trois ans dont le calendrier prévoit l’installation de trois ouvrages en 2026, trois autres en 2027 et enfin quatre en 2028. Le choix des sites repose sur l’impact direct des populations les plus vulnérables.</w:t>
      </w:r>
      <w:r w:rsidR="00EF42C7" w:rsidRPr="00D42B1B">
        <w:t xml:space="preserve"> Un comité de pilotage conjoint a été mis en place pour garantir un suivi technique rigoureux et transparent de l’exécution de cette convention. Il associe la NSCT, le CRK, ainsi que les directions régionales de l’hydraulique et de l’agriculture.</w:t>
      </w:r>
      <w:r w:rsidR="00CB046B" w:rsidRPr="00D42B1B">
        <w:t xml:space="preserve"> Dans la région, cette initiative s'annonce alors que la filière cotonnière affiche des signaux de reprise après plusieurs campagnes difficiles. Selon les statistiques actualisées, la campagne 2025-2026 a enregistré une production de 79 000 tonnes de coton-graine, contre un peu plus de 60 000 tonnes lors de la campagne précédente. Dans ce contexte de rebond de la filière, l'investissement annoncé dans l'accès à l'eau potable devrait renforcer les conditions de vie des communautés rurales et consolider l'attractivité de la culture du coton. La NSCT indique déjà vouloir porter les superficies emblavées à plus de 100 000 ha dès la prochaine campagne, avec pour objectif de retrouver à moyen terme une production de 150 000 tonnes de coton-graine à l'horizon 2030.</w:t>
      </w:r>
    </w:p>
    <w:p w14:paraId="25ECAFC6" w14:textId="77777777" w:rsidR="00E77D86" w:rsidRPr="00D42B1B" w:rsidRDefault="00E77D86" w:rsidP="00E77D86">
      <w:pPr>
        <w:shd w:val="clear" w:color="auto" w:fill="FFFFFF"/>
        <w:spacing w:after="0" w:line="240" w:lineRule="auto"/>
        <w:textAlignment w:val="baseline"/>
      </w:pPr>
    </w:p>
    <w:p w14:paraId="18BB0AE6" w14:textId="43518442" w:rsidR="00E77D86" w:rsidRPr="00D42B1B" w:rsidRDefault="00E77D86" w:rsidP="0000695F">
      <w:pPr>
        <w:spacing w:after="0" w:line="240" w:lineRule="auto"/>
        <w:outlineLvl w:val="1"/>
        <w:rPr>
          <w:rFonts w:eastAsia="Times New Roman" w:cs="Arial"/>
          <w:b/>
          <w:bCs/>
          <w:color w:val="444444"/>
          <w:szCs w:val="20"/>
          <w:lang w:eastAsia="fr-FR"/>
        </w:rPr>
      </w:pPr>
      <w:bookmarkStart w:id="283" w:name="_Toc233878784"/>
      <w:r w:rsidRPr="00D42B1B">
        <w:rPr>
          <w:b/>
          <w:bCs/>
        </w:rPr>
        <w:t>Anacarde – Procédure à l’export jugée pénalisante.</w:t>
      </w:r>
      <w:bookmarkEnd w:id="283"/>
    </w:p>
    <w:p w14:paraId="770388EF" w14:textId="414007A8" w:rsidR="002D2222" w:rsidRPr="00D42B1B" w:rsidRDefault="008F603C" w:rsidP="00E77D86">
      <w:pPr>
        <w:shd w:val="clear" w:color="auto" w:fill="FFFFFF"/>
        <w:spacing w:after="0" w:line="240" w:lineRule="auto"/>
        <w:textAlignment w:val="baseline"/>
      </w:pPr>
      <w:r w:rsidRPr="00D42B1B">
        <w:t xml:space="preserve">Certains exportateurs critiquent les </w:t>
      </w:r>
      <w:r w:rsidR="00E77D86" w:rsidRPr="00D42B1B">
        <w:t>conditions d’obtention des licences d’exportation dans le cadre de la campagne de commercialisation de</w:t>
      </w:r>
      <w:r w:rsidRPr="00D42B1B">
        <w:t>s</w:t>
      </w:r>
      <w:r w:rsidR="00E77D86" w:rsidRPr="00D42B1B">
        <w:t xml:space="preserve"> noix de cajou.</w:t>
      </w:r>
      <w:r w:rsidRPr="00D42B1B">
        <w:t xml:space="preserve"> </w:t>
      </w:r>
      <w:r w:rsidR="00E77D86" w:rsidRPr="00D42B1B">
        <w:t>Au rang des exportateurs, figure la société CALAFI SARL qui dénonce une mesure jugée contraignante et aux conséquences économiques importantes pour les exportateurs ainsi que pour les finances publiques.</w:t>
      </w:r>
      <w:r w:rsidRPr="00D42B1B">
        <w:t xml:space="preserve"> </w:t>
      </w:r>
      <w:r w:rsidR="00E77D86" w:rsidRPr="00D42B1B">
        <w:t>Au cœur des préoccupations se trouve une directive obligeant les exportateurs à céder le tiers de leur stock destiné à l’exportation aux transformateurs locaux à un prix plafonné, condition préalable à l’obtention de la licence d’exportation.</w:t>
      </w:r>
      <w:r w:rsidRPr="00D42B1B">
        <w:t xml:space="preserve"> Pour les exportateurs, c</w:t>
      </w:r>
      <w:r w:rsidR="00E77D86" w:rsidRPr="00D42B1B">
        <w:t>ette exigence crée un déséquilibre économique, d’autant plus que les producteurs disposent parallèlement de la possibilité de réévaluer leurs prix à la hausse. Cette situation engendre des pertes financières et compromet leur capacité à honorer leurs engagements commerciaux. Elle affecte également leur crédibilité auprès des institutions financières qui soutiennent leurs opérations</w:t>
      </w:r>
      <w:r w:rsidRPr="00D42B1B">
        <w:t xml:space="preserve"> selon M. </w:t>
      </w:r>
      <w:r w:rsidR="00E77D86" w:rsidRPr="00D42B1B">
        <w:t xml:space="preserve">Lambert </w:t>
      </w:r>
      <w:proofErr w:type="spellStart"/>
      <w:r w:rsidR="00E77D86" w:rsidRPr="00D42B1B">
        <w:t>Nayanté</w:t>
      </w:r>
      <w:proofErr w:type="spellEnd"/>
      <w:r w:rsidR="00E77D86" w:rsidRPr="00D42B1B">
        <w:t>, PDG de la société CALAFI.</w:t>
      </w:r>
      <w:r w:rsidRPr="00D42B1B">
        <w:t xml:space="preserve"> </w:t>
      </w:r>
      <w:r w:rsidR="00E77D86" w:rsidRPr="00D42B1B">
        <w:t>L’entrep</w:t>
      </w:r>
      <w:r w:rsidRPr="00D42B1B">
        <w:t>reneur</w:t>
      </w:r>
      <w:r w:rsidR="00E77D86" w:rsidRPr="00D42B1B">
        <w:t xml:space="preserve"> affirme </w:t>
      </w:r>
      <w:r w:rsidRPr="00D42B1B">
        <w:t>que sa société a</w:t>
      </w:r>
      <w:r w:rsidR="00E77D86" w:rsidRPr="00D42B1B">
        <w:t xml:space="preserve"> </w:t>
      </w:r>
      <w:r w:rsidRPr="00D42B1B">
        <w:t xml:space="preserve">ainsi </w:t>
      </w:r>
      <w:r w:rsidR="00E77D86" w:rsidRPr="00D42B1B">
        <w:t xml:space="preserve">perdu une importante lettre de crédit faute d’avoir obtenu sa licence d’exportation dans les délais convenus avec une banque partenaire. Selon lui, cette opération aurait généré près de 500 </w:t>
      </w:r>
      <w:r w:rsidRPr="00D42B1B">
        <w:t>M F</w:t>
      </w:r>
      <w:r w:rsidR="00E77D86" w:rsidRPr="00D42B1B">
        <w:t>CFA de recettes fiscales.</w:t>
      </w:r>
      <w:r w:rsidRPr="00D42B1B">
        <w:t xml:space="preserve"> </w:t>
      </w:r>
      <w:r w:rsidR="00E77D86" w:rsidRPr="00D42B1B">
        <w:t xml:space="preserve">Face à cette situation, </w:t>
      </w:r>
      <w:r w:rsidRPr="00D42B1B">
        <w:t xml:space="preserve">la société </w:t>
      </w:r>
      <w:r w:rsidR="00E77D86" w:rsidRPr="00D42B1B">
        <w:t>formule deux principales suggestions. Elle suggère d’abord que les transformateurs locaux négocient directement avec les producteurs durant la période de suspension des exportations, fixée à trois semaines, afin de sécuriser leurs approvisionnements en noix de cajou.</w:t>
      </w:r>
      <w:r w:rsidRPr="00D42B1B">
        <w:t xml:space="preserve"> </w:t>
      </w:r>
      <w:r w:rsidR="00E77D86" w:rsidRPr="00D42B1B">
        <w:t>Ensuite, elle plaide pour une suspension ou un assouplissement circonstanciel de la condition imposée aux exportateurs pour l’obtention de la licence. Cette approche permettrait également de mieux protéger les producteurs, considérés comme le premier maillon de la chaîne de valeur.</w:t>
      </w:r>
      <w:r w:rsidRPr="00D42B1B">
        <w:t xml:space="preserve"> </w:t>
      </w:r>
      <w:r w:rsidR="00E77D86" w:rsidRPr="00D42B1B">
        <w:t>En l’absence d’infrastructures de stockage adaptées et de mécanismes de conservation performants, ces derniers s’exposeraient à une détérioration de la qualité de leurs produits en cas d’allongement des délais de commercialisation.</w:t>
      </w:r>
      <w:r w:rsidRPr="00D42B1B">
        <w:t xml:space="preserve"> La </w:t>
      </w:r>
      <w:r w:rsidR="00E77D86" w:rsidRPr="00D42B1B">
        <w:t>société C</w:t>
      </w:r>
      <w:r w:rsidRPr="00D42B1B">
        <w:t xml:space="preserve">ALAFI </w:t>
      </w:r>
      <w:r w:rsidR="00E77D86" w:rsidRPr="00D42B1B">
        <w:t>espère attirer l’attention des autorités sur les défis auxquels fait face la filière et encourager un dialogue susceptible de concilier les intérêts des producteurs, des transformateurs et des exportateurs, tout en préservant les recettes générées par ce secteur stratégique pour l’économie nationale.</w:t>
      </w:r>
    </w:p>
    <w:p w14:paraId="50728FFF" w14:textId="560B0CEA" w:rsidR="0062576C" w:rsidRPr="00D42B1B" w:rsidRDefault="0062576C" w:rsidP="00E77D86">
      <w:pPr>
        <w:shd w:val="clear" w:color="auto" w:fill="FFFFFF"/>
        <w:spacing w:after="0" w:line="240" w:lineRule="auto"/>
        <w:textAlignment w:val="baseline"/>
      </w:pPr>
    </w:p>
    <w:p w14:paraId="53435B2E" w14:textId="7A6900E7" w:rsidR="0062576C" w:rsidRPr="00D42B1B" w:rsidRDefault="0062576C" w:rsidP="0062576C">
      <w:pPr>
        <w:spacing w:after="0" w:line="240" w:lineRule="auto"/>
        <w:outlineLvl w:val="1"/>
        <w:rPr>
          <w:rFonts w:eastAsia="Times New Roman" w:cs="Arial"/>
          <w:b/>
          <w:bCs/>
          <w:color w:val="444444"/>
          <w:szCs w:val="20"/>
          <w:lang w:eastAsia="fr-FR"/>
        </w:rPr>
      </w:pPr>
      <w:bookmarkStart w:id="284" w:name="_Toc233878785"/>
      <w:r w:rsidRPr="00D42B1B">
        <w:rPr>
          <w:b/>
          <w:bCs/>
        </w:rPr>
        <w:t>Soja - Financement absent, producteurs démotivés.</w:t>
      </w:r>
      <w:bookmarkEnd w:id="284"/>
    </w:p>
    <w:p w14:paraId="00FB60B4" w14:textId="703ABC2B" w:rsidR="0062576C" w:rsidRPr="00D42B1B" w:rsidRDefault="00323EFB" w:rsidP="0062576C">
      <w:pPr>
        <w:shd w:val="clear" w:color="auto" w:fill="FFFFFF"/>
        <w:spacing w:after="0" w:line="240" w:lineRule="auto"/>
        <w:textAlignment w:val="baseline"/>
      </w:pPr>
      <w:r w:rsidRPr="00D42B1B">
        <w:t xml:space="preserve">Traditionnellement, la filière soja fonctionne selon un modèle bien organisé. Les commerçants-exportateurs et les transformateurs accompagnent les producteurs en mettant à leur disposition des semences, ou d'autres appuis indispensables pour la production de la graine. Mais ce mécanisme semble totalement interrompu. </w:t>
      </w:r>
      <w:r w:rsidR="0062576C" w:rsidRPr="00D42B1B">
        <w:t>Alors que les producteurs devraient déjà être en pleine préparation des semis, la chaîne de financement semble totalement grippée.</w:t>
      </w:r>
      <w:r w:rsidRPr="00D42B1B">
        <w:t xml:space="preserve"> </w:t>
      </w:r>
      <w:r w:rsidR="0062576C" w:rsidRPr="00D42B1B">
        <w:lastRenderedPageBreak/>
        <w:t>L’inquiétude est d'autant plus grande que les commerçants-exportateurs hésitent à financer la production, les transformateurs restent prudents et les producteurs, livrés à eux-mêmes, ne savent plus s'ils doivent engager les investissements nécessaires.</w:t>
      </w:r>
      <w:r w:rsidRPr="00D42B1B">
        <w:t xml:space="preserve"> </w:t>
      </w:r>
      <w:r w:rsidR="0062576C" w:rsidRPr="00D42B1B">
        <w:t>Les producteurs ne sont pas les seuls affectés par la situation qui prévaut actuellement dans la filière. Les entreprises spécialisées dans le commerce et l'exportation du soja traversent l'une des périodes les plus difficiles de leur histoire.</w:t>
      </w:r>
      <w:r w:rsidRPr="00D42B1B">
        <w:t xml:space="preserve"> </w:t>
      </w:r>
      <w:r w:rsidR="0062576C" w:rsidRPr="00D42B1B">
        <w:t>Les pertes enregistrées lors des campagnes précédentes ont laissé de profondes séquelles financières.</w:t>
      </w:r>
      <w:r w:rsidRPr="00D42B1B">
        <w:t xml:space="preserve"> B</w:t>
      </w:r>
      <w:r w:rsidR="0062576C" w:rsidRPr="00D42B1B">
        <w:t>eaucoup d'entreprises de la filière ont perdu toute crédibilité auprès des banques. Les établissements bancaires et les institutions de microfinance restent désormais très prudents face aux demandes de financement du secteur.</w:t>
      </w:r>
      <w:r w:rsidRPr="00D42B1B">
        <w:t xml:space="preserve"> C</w:t>
      </w:r>
      <w:r w:rsidR="0062576C" w:rsidRPr="00D42B1B">
        <w:t>ette méfiance prive les entreprises des ressources nécessaires pour préfinancer les campagnes agricoles, soutenir les producteurs et acheter les graines au moment opportun.</w:t>
      </w:r>
      <w:r w:rsidRPr="00D42B1B">
        <w:t xml:space="preserve"> </w:t>
      </w:r>
      <w:r w:rsidR="0062576C" w:rsidRPr="00D42B1B">
        <w:t>Un cercle vicieux qui fragilise progressivement l'ensemble de la chaîne de valeur.</w:t>
      </w:r>
      <w:r w:rsidRPr="00D42B1B">
        <w:t xml:space="preserve"> </w:t>
      </w:r>
      <w:r w:rsidR="0062576C" w:rsidRPr="00D42B1B">
        <w:t>Une remobilisation des acteurs est attendue dans les prochains jours pour impulser la dynamique nécessaire au lancement de la campagne.</w:t>
      </w:r>
      <w:r w:rsidR="008D6AB6" w:rsidRPr="00D42B1B">
        <w:t xml:space="preserve"> A</w:t>
      </w:r>
      <w:r w:rsidR="0062576C" w:rsidRPr="00D42B1B">
        <w:t xml:space="preserve"> défaut d'une réponse rapide et structurée, l'hypothèse d'une campagne de production fortement perturbée pourrait malheureusement être une réalité</w:t>
      </w:r>
      <w:r w:rsidR="008D6AB6" w:rsidRPr="00D42B1B">
        <w:t xml:space="preserve"> malgré le </w:t>
      </w:r>
      <w:r w:rsidR="0062576C" w:rsidRPr="00D42B1B">
        <w:t>potentiel économique de cette filière dans l’économie.</w:t>
      </w:r>
    </w:p>
    <w:p w14:paraId="75738583" w14:textId="6BD5F603" w:rsidR="0062576C" w:rsidRPr="00D42B1B" w:rsidRDefault="0062576C" w:rsidP="0062576C">
      <w:pPr>
        <w:shd w:val="clear" w:color="auto" w:fill="FFFFFF"/>
        <w:spacing w:after="0" w:line="240" w:lineRule="auto"/>
        <w:textAlignment w:val="baseline"/>
      </w:pPr>
    </w:p>
    <w:p w14:paraId="507BF558" w14:textId="0E64E4F7" w:rsidR="0062576C" w:rsidRPr="00D42B1B" w:rsidRDefault="0062576C" w:rsidP="0062576C">
      <w:pPr>
        <w:spacing w:after="0" w:line="240" w:lineRule="auto"/>
        <w:outlineLvl w:val="1"/>
        <w:rPr>
          <w:rFonts w:eastAsia="Times New Roman" w:cs="Arial"/>
          <w:b/>
          <w:bCs/>
          <w:color w:val="444444"/>
          <w:szCs w:val="20"/>
          <w:lang w:eastAsia="fr-FR"/>
        </w:rPr>
      </w:pPr>
      <w:bookmarkStart w:id="285" w:name="_Toc233878786"/>
      <w:r w:rsidRPr="00D42B1B">
        <w:rPr>
          <w:b/>
          <w:bCs/>
        </w:rPr>
        <w:t xml:space="preserve">Maïs </w:t>
      </w:r>
      <w:r w:rsidR="00233732" w:rsidRPr="00D42B1B">
        <w:rPr>
          <w:b/>
          <w:bCs/>
        </w:rPr>
        <w:t>–</w:t>
      </w:r>
      <w:r w:rsidRPr="00D42B1B">
        <w:rPr>
          <w:b/>
          <w:bCs/>
        </w:rPr>
        <w:t xml:space="preserve"> </w:t>
      </w:r>
      <w:r w:rsidR="00233732" w:rsidRPr="00D42B1B">
        <w:rPr>
          <w:b/>
          <w:bCs/>
        </w:rPr>
        <w:t>Les s</w:t>
      </w:r>
      <w:r w:rsidRPr="00D42B1B">
        <w:rPr>
          <w:b/>
          <w:bCs/>
        </w:rPr>
        <w:t>tocks invendus</w:t>
      </w:r>
      <w:r w:rsidR="00233732" w:rsidRPr="00D42B1B">
        <w:rPr>
          <w:b/>
          <w:bCs/>
        </w:rPr>
        <w:t xml:space="preserve"> plombent le lancement de la nouvelle campagne</w:t>
      </w:r>
      <w:r w:rsidRPr="00D42B1B">
        <w:rPr>
          <w:b/>
          <w:bCs/>
        </w:rPr>
        <w:t>.</w:t>
      </w:r>
      <w:bookmarkEnd w:id="285"/>
    </w:p>
    <w:p w14:paraId="0A4BCD66" w14:textId="79DF1F81" w:rsidR="0062576C" w:rsidRPr="00D42B1B" w:rsidRDefault="008D6AB6" w:rsidP="0062576C">
      <w:pPr>
        <w:shd w:val="clear" w:color="auto" w:fill="FFFFFF"/>
        <w:spacing w:after="0" w:line="240" w:lineRule="auto"/>
        <w:textAlignment w:val="baseline"/>
      </w:pPr>
      <w:r w:rsidRPr="00D42B1B">
        <w:t xml:space="preserve">M. </w:t>
      </w:r>
      <w:r w:rsidR="0062576C" w:rsidRPr="00D42B1B">
        <w:t xml:space="preserve">Charles </w:t>
      </w:r>
      <w:proofErr w:type="spellStart"/>
      <w:r w:rsidR="0062576C" w:rsidRPr="00D42B1B">
        <w:t>Deandema</w:t>
      </w:r>
      <w:proofErr w:type="spellEnd"/>
      <w:r w:rsidR="0062576C" w:rsidRPr="00D42B1B">
        <w:t xml:space="preserve">, président national de la filière maïs, </w:t>
      </w:r>
      <w:r w:rsidRPr="00D42B1B">
        <w:t xml:space="preserve">a </w:t>
      </w:r>
      <w:proofErr w:type="spellStart"/>
      <w:r w:rsidR="0062576C" w:rsidRPr="00D42B1B">
        <w:t>appell</w:t>
      </w:r>
      <w:r w:rsidRPr="00D42B1B">
        <w:t>é</w:t>
      </w:r>
      <w:proofErr w:type="spellEnd"/>
      <w:r w:rsidRPr="00D42B1B">
        <w:t xml:space="preserve"> le 23 juin</w:t>
      </w:r>
      <w:r w:rsidR="0062576C" w:rsidRPr="00D42B1B">
        <w:t xml:space="preserve"> les autorités à des mesures urgentes afin d’éviter une crise majeure dans la production.</w:t>
      </w:r>
      <w:r w:rsidRPr="00D42B1B">
        <w:t xml:space="preserve"> Alors que l</w:t>
      </w:r>
      <w:r w:rsidR="0062576C" w:rsidRPr="00D42B1B">
        <w:t>a campagne 2026 est déjà lancée dans plusieurs localités du pays, des milliers de producteurs de maïs se retrouvent dans une situation particulièrement préoccupante.</w:t>
      </w:r>
      <w:r w:rsidRPr="00D42B1B">
        <w:t xml:space="preserve"> </w:t>
      </w:r>
      <w:r w:rsidR="0062576C" w:rsidRPr="00D42B1B">
        <w:t xml:space="preserve">Des </w:t>
      </w:r>
      <w:r w:rsidR="009406EA" w:rsidRPr="00D42B1B">
        <w:t xml:space="preserve">volumes </w:t>
      </w:r>
      <w:r w:rsidR="0062576C" w:rsidRPr="00D42B1B">
        <w:t>importants de la campagne précédente restent stockés dans les magasins, faute d’acheteurs, ce qui compromet les capacités financières des producteurs à investir dans la nouvelle campagne.</w:t>
      </w:r>
      <w:r w:rsidR="009406EA" w:rsidRPr="00D42B1B">
        <w:t xml:space="preserve"> </w:t>
      </w:r>
      <w:r w:rsidR="0062576C" w:rsidRPr="00D42B1B">
        <w:t>Pour le président national de la filière maïs, cette situation est devenue critique, car derrière les chiffres se cachent des réalités économiques difficiles qui fragilisent l’ensemble de la chaîne de production.</w:t>
      </w:r>
      <w:r w:rsidR="009406EA" w:rsidRPr="00D42B1B">
        <w:t xml:space="preserve"> Il a donné en exemple sa situation en soulignant qu’il a a</w:t>
      </w:r>
      <w:r w:rsidR="0062576C" w:rsidRPr="00D42B1B">
        <w:t>ctuellemen</w:t>
      </w:r>
      <w:r w:rsidR="009406EA" w:rsidRPr="00D42B1B">
        <w:t>t</w:t>
      </w:r>
      <w:r w:rsidR="0062576C" w:rsidRPr="00D42B1B">
        <w:t xml:space="preserve"> 100 tonnes </w:t>
      </w:r>
      <w:r w:rsidR="009406EA" w:rsidRPr="00D42B1B">
        <w:t xml:space="preserve">en stock (20 M FCFA à </w:t>
      </w:r>
      <w:r w:rsidR="0062576C" w:rsidRPr="00D42B1B">
        <w:t xml:space="preserve">200 </w:t>
      </w:r>
      <w:r w:rsidR="009406EA" w:rsidRPr="00D42B1B">
        <w:t>FCFA/kg) a</w:t>
      </w:r>
      <w:r w:rsidR="0062576C" w:rsidRPr="00D42B1B">
        <w:t>lors qu</w:t>
      </w:r>
      <w:r w:rsidR="009406EA" w:rsidRPr="00D42B1B">
        <w:t xml:space="preserve">’il </w:t>
      </w:r>
      <w:r w:rsidR="0062576C" w:rsidRPr="00D42B1B">
        <w:t>doi</w:t>
      </w:r>
      <w:r w:rsidR="009406EA" w:rsidRPr="00D42B1B">
        <w:t>t</w:t>
      </w:r>
      <w:r w:rsidR="0062576C" w:rsidRPr="00D42B1B">
        <w:t xml:space="preserve"> </w:t>
      </w:r>
      <w:r w:rsidR="009406EA" w:rsidRPr="00D42B1B">
        <w:t xml:space="preserve">encore rembourser </w:t>
      </w:r>
      <w:r w:rsidR="0062576C" w:rsidRPr="00D42B1B">
        <w:t xml:space="preserve">8 </w:t>
      </w:r>
      <w:r w:rsidR="009406EA" w:rsidRPr="00D42B1B">
        <w:t xml:space="preserve">M FCFA </w:t>
      </w:r>
      <w:r w:rsidR="0062576C" w:rsidRPr="00D42B1B">
        <w:t xml:space="preserve">à </w:t>
      </w:r>
      <w:r w:rsidR="009406EA" w:rsidRPr="00D42B1B">
        <w:t xml:space="preserve">un organisme de </w:t>
      </w:r>
      <w:r w:rsidR="0062576C" w:rsidRPr="00D42B1B">
        <w:t xml:space="preserve">microfinance. Dans cette situation, </w:t>
      </w:r>
      <w:r w:rsidR="009406EA" w:rsidRPr="00D42B1B">
        <w:t xml:space="preserve">il ne peut pas réemprunter et </w:t>
      </w:r>
      <w:r w:rsidR="0062576C" w:rsidRPr="00D42B1B">
        <w:t xml:space="preserve">lancer </w:t>
      </w:r>
      <w:r w:rsidR="009406EA" w:rsidRPr="00D42B1B">
        <w:t>sa</w:t>
      </w:r>
      <w:r w:rsidR="0062576C" w:rsidRPr="00D42B1B">
        <w:t xml:space="preserve"> campagne.</w:t>
      </w:r>
      <w:r w:rsidR="009406EA" w:rsidRPr="00D42B1B">
        <w:t xml:space="preserve"> </w:t>
      </w:r>
      <w:r w:rsidR="00233732" w:rsidRPr="00D42B1B">
        <w:t xml:space="preserve">Selon le président national de la filière maïs, les producteurs n’ont pas les moyens pour réaliser les labours qui devraient être en cours. Tout retard pourrait avoir des répercussions importantes sur les rendements attendus. </w:t>
      </w:r>
      <w:r w:rsidR="0062576C" w:rsidRPr="00D42B1B">
        <w:t>D’après lui, le problème dépasse largement les cas individuels. Selon les estimations de la filière, les stocks de maïs invendus atteignent des niveaux particulièrement élevés dans plusieurs régions du pays.</w:t>
      </w:r>
      <w:r w:rsidR="009406EA" w:rsidRPr="00D42B1B">
        <w:t xml:space="preserve"> </w:t>
      </w:r>
      <w:r w:rsidR="0062576C" w:rsidRPr="00D42B1B">
        <w:t>Dans la seule région de la Kara, c</w:t>
      </w:r>
      <w:r w:rsidR="009406EA" w:rsidRPr="00D42B1B">
        <w:t>e serait</w:t>
      </w:r>
      <w:r w:rsidR="0062576C" w:rsidRPr="00D42B1B">
        <w:t xml:space="preserve"> plus de 4 000 tonnes de maïs qui seraient encore stockées. Dans la région des Savanes, les quantités dépasseraient les 10</w:t>
      </w:r>
      <w:r w:rsidR="009406EA" w:rsidRPr="00D42B1B">
        <w:t> </w:t>
      </w:r>
      <w:r w:rsidR="0062576C" w:rsidRPr="00D42B1B">
        <w:t>000</w:t>
      </w:r>
      <w:r w:rsidR="009406EA" w:rsidRPr="00D42B1B">
        <w:t> </w:t>
      </w:r>
      <w:r w:rsidR="0062576C" w:rsidRPr="00D42B1B">
        <w:t>tonnes. Des chiffres qui illustrent l’ampleur de la crise que traverse actuellement la filière.</w:t>
      </w:r>
      <w:r w:rsidR="009406EA" w:rsidRPr="00D42B1B">
        <w:t xml:space="preserve"> </w:t>
      </w:r>
      <w:r w:rsidR="0062576C" w:rsidRPr="00D42B1B">
        <w:t>Pour éviter que les producteurs ne soient contraints de brader leurs récoltes, le président national de la filière maïs propose une implication plus forte de l’</w:t>
      </w:r>
      <w:r w:rsidR="005369C8" w:rsidRPr="00D42B1B">
        <w:t>E</w:t>
      </w:r>
      <w:r w:rsidR="0062576C" w:rsidRPr="00D42B1B">
        <w:t>tat.</w:t>
      </w:r>
      <w:r w:rsidR="005369C8" w:rsidRPr="00D42B1B">
        <w:t xml:space="preserve"> I</w:t>
      </w:r>
      <w:r w:rsidR="0062576C" w:rsidRPr="00D42B1B">
        <w:t>l estime que le moment est venu d’activer pleinement les unités de production de provende sous le contrôle de l’Etat afin de créer une demande capable d’absorber une partie importante des stocks disponibles.</w:t>
      </w:r>
      <w:r w:rsidR="005369C8" w:rsidRPr="00D42B1B">
        <w:t xml:space="preserve"> </w:t>
      </w:r>
      <w:r w:rsidR="0062576C" w:rsidRPr="00D42B1B">
        <w:t>Une telle mesure selon lui permettrait non seulement de soutenir les producteurs, mais également de renforcer les filières d’élevage qui utilisent le maïs comme matière première dans l’alimentation animale.</w:t>
      </w:r>
      <w:r w:rsidR="005369C8" w:rsidRPr="00D42B1B">
        <w:t xml:space="preserve"> </w:t>
      </w:r>
      <w:r w:rsidR="0062576C" w:rsidRPr="00D42B1B">
        <w:t>Au-delà du marché national, le président plaide pour la mise en place de facilités douanières susceptibles d’encourager les exportations vers les pays voisins qui ont des besoins en céréales.</w:t>
      </w:r>
      <w:r w:rsidR="005369C8" w:rsidRPr="00D42B1B">
        <w:t xml:space="preserve"> </w:t>
      </w:r>
      <w:r w:rsidR="0062576C" w:rsidRPr="00D42B1B">
        <w:t>L’ouverture de nouveaux débouchés commerciaux permettrait d’écouler rapidement les surplus de production tout en améliorant les revenus des producteurs.</w:t>
      </w:r>
      <w:r w:rsidR="005369C8" w:rsidRPr="00D42B1B">
        <w:t xml:space="preserve"> </w:t>
      </w:r>
      <w:r w:rsidR="0062576C" w:rsidRPr="00D42B1B">
        <w:t xml:space="preserve">Le </w:t>
      </w:r>
      <w:bookmarkStart w:id="286" w:name="_Hlk233700240"/>
      <w:r w:rsidR="0062576C" w:rsidRPr="00D42B1B">
        <w:t xml:space="preserve">président national de la filière maïs </w:t>
      </w:r>
      <w:bookmarkEnd w:id="286"/>
      <w:r w:rsidR="0062576C" w:rsidRPr="00D42B1B">
        <w:t>exprime également des préoccupations concernant le rôle de l’Agence de Transformation Agricole (ATA), dont plusieurs infrastructures de stockage ont été implantées à proximité des Zones d’aménagement agricole planifiées (ZAAP).</w:t>
      </w:r>
      <w:r w:rsidR="005369C8" w:rsidRPr="00D42B1B">
        <w:t xml:space="preserve"> </w:t>
      </w:r>
      <w:r w:rsidR="0062576C" w:rsidRPr="00D42B1B">
        <w:t xml:space="preserve">Selon lui, la présence de l’ATA aux côtés de </w:t>
      </w:r>
      <w:r w:rsidR="0062576C" w:rsidRPr="00D42B1B">
        <w:lastRenderedPageBreak/>
        <w:t>l’Agence nationale de la sécurité alimentaire du Togo (ANSAT), partenaire historique des producteurs, devrait normalement contribuer à fluidifier le marché.</w:t>
      </w:r>
      <w:r w:rsidR="005369C8" w:rsidRPr="00D42B1B">
        <w:t xml:space="preserve"> </w:t>
      </w:r>
      <w:r w:rsidR="00233732" w:rsidRPr="00D42B1B">
        <w:t>Parmi les solutions envisagées figure également l’accélération des travaux de construction de l’</w:t>
      </w:r>
      <w:proofErr w:type="spellStart"/>
      <w:r w:rsidR="00233732" w:rsidRPr="00D42B1B">
        <w:t>agroparc</w:t>
      </w:r>
      <w:proofErr w:type="spellEnd"/>
      <w:r w:rsidR="00233732" w:rsidRPr="00D42B1B">
        <w:t xml:space="preserve"> de </w:t>
      </w:r>
      <w:proofErr w:type="spellStart"/>
      <w:r w:rsidR="00233732" w:rsidRPr="00D42B1B">
        <w:t>Broukou</w:t>
      </w:r>
      <w:proofErr w:type="spellEnd"/>
      <w:r w:rsidR="00233732" w:rsidRPr="00D42B1B">
        <w:t xml:space="preserve"> dans la région de la Kara. Pour les acteurs de la filière, cette infrastructure pourrait jouer un rôle déterminant dans l’absorption des matières premières agricoles, la création de valeur ajoutée et l’amélioration durable des débouchés commerciaux. </w:t>
      </w:r>
    </w:p>
    <w:p w14:paraId="11C6F8AE" w14:textId="193EF924" w:rsidR="0000695F" w:rsidRPr="00D42B1B" w:rsidRDefault="0000695F" w:rsidP="00E77D86">
      <w:pPr>
        <w:shd w:val="clear" w:color="auto" w:fill="FFFFFF"/>
        <w:spacing w:after="0" w:line="240" w:lineRule="auto"/>
        <w:textAlignment w:val="baseline"/>
      </w:pPr>
    </w:p>
    <w:p w14:paraId="37F85923" w14:textId="055A00BE" w:rsidR="0000695F" w:rsidRPr="00D42B1B" w:rsidRDefault="0000695F" w:rsidP="0000695F">
      <w:pPr>
        <w:spacing w:after="0" w:line="240" w:lineRule="auto"/>
        <w:outlineLvl w:val="1"/>
        <w:rPr>
          <w:rFonts w:eastAsia="Times New Roman" w:cs="Arial"/>
          <w:b/>
          <w:bCs/>
          <w:color w:val="444444"/>
          <w:szCs w:val="20"/>
          <w:lang w:eastAsia="fr-FR"/>
        </w:rPr>
      </w:pPr>
      <w:bookmarkStart w:id="287" w:name="_Toc233878787"/>
      <w:bookmarkStart w:id="288" w:name="_Hlk233579613"/>
      <w:r w:rsidRPr="00D42B1B">
        <w:rPr>
          <w:b/>
          <w:bCs/>
        </w:rPr>
        <w:t>Karité - Projet de 2 000 ha pour structurer la filière.</w:t>
      </w:r>
      <w:bookmarkEnd w:id="287"/>
    </w:p>
    <w:bookmarkEnd w:id="288"/>
    <w:p w14:paraId="1FE889F6" w14:textId="43DDC437" w:rsidR="0000695F" w:rsidRPr="00D42B1B" w:rsidRDefault="0000695F" w:rsidP="0000695F">
      <w:pPr>
        <w:shd w:val="clear" w:color="auto" w:fill="FFFFFF"/>
        <w:spacing w:after="0" w:line="240" w:lineRule="auto"/>
        <w:textAlignment w:val="baseline"/>
      </w:pPr>
      <w:r w:rsidRPr="00D42B1B">
        <w:t xml:space="preserve">L’Institut mondial pour la croissance verte (Global Green </w:t>
      </w:r>
      <w:proofErr w:type="spellStart"/>
      <w:r w:rsidRPr="00D42B1B">
        <w:t>Growth</w:t>
      </w:r>
      <w:proofErr w:type="spellEnd"/>
      <w:r w:rsidRPr="00D42B1B">
        <w:t xml:space="preserve"> Institute, ou GGGI) a lancé le recrutement d'un consultant en économie forestière pour accompagner la mise en œuvre d'un projet de gestion durable des ressources forestières jusqu'en 2027. Derrière ce recrutement se dessine une initiative visant à renforcer la résilience climatique des populations rurales, tout en structurant la filière karité dans plusieurs régions du pays. Le projet couvre quatre zones d'intervention situées dans les régions Maritime, Centrale, Kara et Savanes. Au total, 2 000 ha de plantations sont prévus, complétés par quatre centres de formation et de démonstration d'un hectare chacun. Financé par le Service forestier coréen et mis en œuvre en partenariat avec le ministère de l'environnement, le projet repose sur trois axes. Le premier concerne l'amélioration de la gouvernance locale et de la gestion des connaissances autour des parcs à karité. Le deuxième cible le reboisement, l'amélioration de la qualité de la production ainsi que l'organisation de systèmes de stockage et de transformation. Le troisième entend renforcer les capacités d'adaptation au changement climatique en impliquant directement les coopératives de femmes et de jeunes. Au Togo, une étude réalisée en 2025 a mis en évidence des réalités contrastées selon les régions. Ainsi, dans l'</w:t>
      </w:r>
      <w:proofErr w:type="spellStart"/>
      <w:r w:rsidRPr="00D42B1B">
        <w:t>Avé</w:t>
      </w:r>
      <w:proofErr w:type="spellEnd"/>
      <w:r w:rsidRPr="00D42B1B">
        <w:t>, les populations tirent davantage leurs revenus du bois-énergie que du karité, en raison de faibles rendements des arbres existants. Le projet prévoit donc d'y développer des modèles agroforestiers alternatifs afin de réduire la pression sur les ressources forestières. Les prochaines études de terrain devront préciser les modèles économiques, les mécanismes de gouvernance locale et les perspectives de rentabilité des futures infrastructures de transformation, avec l'ambition de créer des revenus durables au sein des communautés rurales concernées.</w:t>
      </w:r>
    </w:p>
    <w:p w14:paraId="79DE8482" w14:textId="77777777" w:rsidR="0062576C" w:rsidRPr="00D42B1B" w:rsidRDefault="0062576C" w:rsidP="0062576C">
      <w:pPr>
        <w:shd w:val="clear" w:color="auto" w:fill="FFFFFF"/>
        <w:spacing w:after="0" w:line="240" w:lineRule="auto"/>
        <w:textAlignment w:val="baseline"/>
      </w:pPr>
    </w:p>
    <w:p w14:paraId="52E55F27" w14:textId="284FD220" w:rsidR="0062576C" w:rsidRPr="00D42B1B" w:rsidRDefault="0062576C" w:rsidP="00F44AF8">
      <w:pPr>
        <w:spacing w:after="0" w:line="240" w:lineRule="auto"/>
        <w:outlineLvl w:val="1"/>
        <w:rPr>
          <w:rFonts w:eastAsia="Times New Roman" w:cs="Arial"/>
          <w:b/>
          <w:bCs/>
          <w:color w:val="444444"/>
          <w:szCs w:val="20"/>
          <w:lang w:eastAsia="fr-FR"/>
        </w:rPr>
      </w:pPr>
      <w:bookmarkStart w:id="289" w:name="_Toc233878788"/>
      <w:r w:rsidRPr="00D42B1B">
        <w:rPr>
          <w:b/>
          <w:bCs/>
        </w:rPr>
        <w:t>Pêche - Stratégie de modernisation de la pêche artisanale.</w:t>
      </w:r>
      <w:bookmarkEnd w:id="289"/>
    </w:p>
    <w:p w14:paraId="4850F41D" w14:textId="242035A4" w:rsidR="0062576C" w:rsidRPr="00D42B1B" w:rsidRDefault="0062576C" w:rsidP="00A6030E">
      <w:pPr>
        <w:shd w:val="clear" w:color="auto" w:fill="FFFFFF"/>
        <w:spacing w:after="0" w:line="240" w:lineRule="auto"/>
        <w:textAlignment w:val="baseline"/>
      </w:pPr>
      <w:r w:rsidRPr="00D42B1B">
        <w:t>La 8</w:t>
      </w:r>
      <w:r w:rsidR="00233732" w:rsidRPr="00D42B1B">
        <w:rPr>
          <w:vertAlign w:val="superscript"/>
        </w:rPr>
        <w:t>ème</w:t>
      </w:r>
      <w:r w:rsidR="00233732" w:rsidRPr="00D42B1B">
        <w:t xml:space="preserve"> </w:t>
      </w:r>
      <w:r w:rsidRPr="00D42B1B">
        <w:t xml:space="preserve">session du groupe de travail du Comité des pêches pour l'Atlantique Centre-Est (COPACE), consacrée à la pêche artisanale, s’est </w:t>
      </w:r>
      <w:r w:rsidR="00A6030E" w:rsidRPr="00D42B1B">
        <w:t>ouverte</w:t>
      </w:r>
      <w:r w:rsidR="00233732" w:rsidRPr="00D42B1B">
        <w:t xml:space="preserve"> le 22 juin</w:t>
      </w:r>
      <w:r w:rsidRPr="00D42B1B">
        <w:t>.</w:t>
      </w:r>
      <w:r w:rsidR="00233732" w:rsidRPr="00D42B1B">
        <w:t xml:space="preserve"> Le COPACE est un organisme régional créé sous l'égide </w:t>
      </w:r>
      <w:r w:rsidR="00A6030E" w:rsidRPr="00D42B1B">
        <w:t>de l’Organisation des Nations unies pour l’alimentation et l’agriculture (FAO)</w:t>
      </w:r>
      <w:r w:rsidR="00233732" w:rsidRPr="00D42B1B">
        <w:t>. Sa mission est de promouvoir la gestion durable et la conservation des ressources halieutiques dans l'Atlantique Centre-Est. Il sert de cadre de coopération entre les Etats côtiers de la région</w:t>
      </w:r>
      <w:r w:rsidR="006510AC" w:rsidRPr="00D42B1B">
        <w:t xml:space="preserve"> et </w:t>
      </w:r>
      <w:r w:rsidR="00A6030E" w:rsidRPr="00D42B1B">
        <w:t xml:space="preserve">rassemble des représentants gouvernementaux des </w:t>
      </w:r>
      <w:r w:rsidR="006510AC" w:rsidRPr="00D42B1B">
        <w:t>E</w:t>
      </w:r>
      <w:r w:rsidR="00A6030E" w:rsidRPr="00D42B1B">
        <w:t xml:space="preserve">tats membres du Comité des pêches pour l’Atlantique Centre-Est, du Comité des pêches du Centre-Ouest du golfe de Guinée ainsi que de la Communauté économique des </w:t>
      </w:r>
      <w:r w:rsidR="006510AC" w:rsidRPr="00D42B1B">
        <w:t>E</w:t>
      </w:r>
      <w:r w:rsidR="00A6030E" w:rsidRPr="00D42B1B">
        <w:t xml:space="preserve">tats de l’Afrique de l’Ouest (CEDEAO). Au cours de cette rencontre de cinq jours, les travaux ont porté notamment sur l’évaluation des progrès enregistrés dans l’aménagement des sites de débarquement des pêcheries artisanales et sur les priorités en matière de collecte de données halieutiques. Les participants ont également planifié une étude sur l’industrie des aliments pour animaux à base de poisson et examiner les réponses politiques régionales à mettre en œuvre, en s’appuyant sur les contributions des Etats membres et des partenaires techniques. La rencontre a aussi servi de cadre à l’examen et à l’adoption du plan de travail 2026-2028 du Groupe de travail sur les pêches artisanales (GTPA). </w:t>
      </w:r>
      <w:r w:rsidR="00233732" w:rsidRPr="00D42B1B">
        <w:t>A l’</w:t>
      </w:r>
      <w:r w:rsidRPr="00D42B1B">
        <w:t>occasion</w:t>
      </w:r>
      <w:r w:rsidR="00233732" w:rsidRPr="00D42B1B">
        <w:t xml:space="preserve"> de cette réunion,</w:t>
      </w:r>
      <w:r w:rsidRPr="00D42B1B">
        <w:t xml:space="preserve"> les autorités togolaises </w:t>
      </w:r>
      <w:r w:rsidR="00A6030E" w:rsidRPr="00D42B1B">
        <w:t>ont</w:t>
      </w:r>
      <w:r w:rsidRPr="00D42B1B">
        <w:t xml:space="preserve"> dress</w:t>
      </w:r>
      <w:r w:rsidR="00A6030E" w:rsidRPr="00D42B1B">
        <w:t>é</w:t>
      </w:r>
      <w:r w:rsidRPr="00D42B1B">
        <w:t xml:space="preserve"> un bilan et affich</w:t>
      </w:r>
      <w:r w:rsidR="00A6030E" w:rsidRPr="00D42B1B">
        <w:t xml:space="preserve">é </w:t>
      </w:r>
      <w:r w:rsidRPr="00D42B1B">
        <w:t>de nouvelles ambitions pour un secteur qui représente 1,3% du PIB national et mobilise près de 12 000 femmes dans les activités post-capture.</w:t>
      </w:r>
      <w:r w:rsidR="00233732" w:rsidRPr="00D42B1B">
        <w:t xml:space="preserve"> </w:t>
      </w:r>
      <w:r w:rsidR="003B770A" w:rsidRPr="00D42B1B">
        <w:t xml:space="preserve">Au Togo, la pêche est presque exclusivement artisanale. Malgré un littoral de seulement 56 kilomètres, elle constitue </w:t>
      </w:r>
      <w:r w:rsidR="003B770A" w:rsidRPr="00D42B1B">
        <w:lastRenderedPageBreak/>
        <w:t>une composante importante du secteur primaire, de la sécurité alimentaire et de l'économie des communautés côtières. L</w:t>
      </w:r>
      <w:r w:rsidRPr="00D42B1B">
        <w:t xml:space="preserve">a pêche génère </w:t>
      </w:r>
      <w:r w:rsidR="003B770A" w:rsidRPr="00D42B1B">
        <w:t xml:space="preserve">ainsi </w:t>
      </w:r>
      <w:r w:rsidRPr="00D42B1B">
        <w:t>entre 20 000 et 25 000 tonnes par an.</w:t>
      </w:r>
      <w:r w:rsidR="00233732" w:rsidRPr="00D42B1B">
        <w:t xml:space="preserve"> </w:t>
      </w:r>
      <w:r w:rsidR="006510AC" w:rsidRPr="00D42B1B">
        <w:t xml:space="preserve">Environ 90% de cette production est transformée par friture, séchage ou fumage, contribuant ainsi aux revenus de milliers d’acteurs de la chaîne de valeur. </w:t>
      </w:r>
      <w:r w:rsidR="003B770A" w:rsidRPr="00D42B1B">
        <w:t xml:space="preserve">Les besoins nationaux dépassent chaque année 100 000 tonnes de produits halieutiques créant une forte dépendance aux importations de poissons. </w:t>
      </w:r>
      <w:r w:rsidR="006510AC" w:rsidRPr="00D42B1B">
        <w:t xml:space="preserve">La modernisation de la pêche artisanale s’envisage à travers une série de réformes destinées à rendre la filière plus durable. Selon les autorités, cinq actions structurent désormais cette stratégie : la mise en œuvre du plan d'aménagement de la pêcherie de senne de plage, le renforcement des capacités de l'administration des pêches, la protection et la restauration des écosystèmes côtiers, la lutte contre l'érosion grâce à la construction d'épis et de brise-lames, ainsi que le renforcement de la gouvernance des ressources halieutiques. </w:t>
      </w:r>
      <w:r w:rsidRPr="00D42B1B">
        <w:t>Pour moderniser la filière, le gouvernement a engagé plusieurs initiatives</w:t>
      </w:r>
      <w:r w:rsidR="006510AC" w:rsidRPr="00D42B1B">
        <w:t>, avec notamment la</w:t>
      </w:r>
      <w:r w:rsidRPr="00D42B1B">
        <w:t xml:space="preserve"> subvention du carburant, </w:t>
      </w:r>
      <w:r w:rsidR="006510AC" w:rsidRPr="00D42B1B">
        <w:t>l’</w:t>
      </w:r>
      <w:r w:rsidRPr="00D42B1B">
        <w:t>instauration depuis 2025 d'un repos biologique annuel du 1</w:t>
      </w:r>
      <w:r w:rsidRPr="00D42B1B">
        <w:rPr>
          <w:vertAlign w:val="superscript"/>
        </w:rPr>
        <w:t>er</w:t>
      </w:r>
      <w:r w:rsidRPr="00D42B1B">
        <w:t xml:space="preserve"> au 31 juillet pour permettre le renouvellement des stocks</w:t>
      </w:r>
      <w:r w:rsidR="006510AC" w:rsidRPr="00D42B1B">
        <w:t xml:space="preserve"> ou le </w:t>
      </w:r>
      <w:r w:rsidRPr="00D42B1B">
        <w:t>renforcement des garde-côtes pour lutter contre la pêche illicite.</w:t>
      </w:r>
      <w:r w:rsidR="00233732" w:rsidRPr="00D42B1B">
        <w:t xml:space="preserve"> </w:t>
      </w:r>
      <w:r w:rsidRPr="00D42B1B">
        <w:t>Un nouveau programme de modernisation prévoit également la création d'un fonds de développement agricole intégrant la pêche et l'aquaculture, ainsi que le déploiement d'outils numériques pour améliorer la gouvernance du secteur.</w:t>
      </w:r>
    </w:p>
    <w:p w14:paraId="1A652C81" w14:textId="77777777" w:rsidR="00601520" w:rsidRPr="00D42B1B" w:rsidRDefault="00601520" w:rsidP="0062576C">
      <w:pPr>
        <w:shd w:val="clear" w:color="auto" w:fill="FFFFFF"/>
        <w:spacing w:after="0" w:line="240" w:lineRule="auto"/>
        <w:textAlignment w:val="baseline"/>
      </w:pPr>
    </w:p>
    <w:p w14:paraId="01E6983D" w14:textId="5933B31B" w:rsidR="00C31B14" w:rsidRPr="00D42B1B" w:rsidRDefault="00C31B14" w:rsidP="00EF44DB">
      <w:pPr>
        <w:spacing w:after="0" w:line="240" w:lineRule="auto"/>
        <w:outlineLvl w:val="1"/>
        <w:rPr>
          <w:rFonts w:eastAsia="Times New Roman" w:cs="Arial"/>
          <w:b/>
          <w:bCs/>
          <w:color w:val="444444"/>
          <w:szCs w:val="20"/>
          <w:lang w:eastAsia="fr-FR"/>
        </w:rPr>
      </w:pPr>
      <w:bookmarkStart w:id="290" w:name="_Toc233878789"/>
      <w:bookmarkStart w:id="291" w:name="_Hlk231758409"/>
      <w:r w:rsidRPr="00D42B1B">
        <w:rPr>
          <w:b/>
          <w:bCs/>
        </w:rPr>
        <w:t xml:space="preserve">Aquaculture </w:t>
      </w:r>
      <w:r w:rsidR="00EF44DB" w:rsidRPr="00D42B1B">
        <w:rPr>
          <w:b/>
          <w:bCs/>
        </w:rPr>
        <w:t>–</w:t>
      </w:r>
      <w:r w:rsidRPr="00D42B1B">
        <w:rPr>
          <w:b/>
          <w:bCs/>
        </w:rPr>
        <w:t xml:space="preserve"> </w:t>
      </w:r>
      <w:r w:rsidR="00EF44DB" w:rsidRPr="00D42B1B">
        <w:rPr>
          <w:b/>
          <w:bCs/>
        </w:rPr>
        <w:t xml:space="preserve">Fonds revolving de </w:t>
      </w:r>
      <w:r w:rsidRPr="00D42B1B">
        <w:rPr>
          <w:b/>
          <w:bCs/>
        </w:rPr>
        <w:t>655 M FCFA au profit des jeunes.</w:t>
      </w:r>
      <w:bookmarkEnd w:id="290"/>
    </w:p>
    <w:bookmarkEnd w:id="276"/>
    <w:bookmarkEnd w:id="291"/>
    <w:p w14:paraId="64E0C1A2" w14:textId="491DB8CB" w:rsidR="00C31B14" w:rsidRPr="00D42B1B" w:rsidRDefault="00C31B14" w:rsidP="00C31B14">
      <w:pPr>
        <w:spacing w:after="0"/>
      </w:pPr>
      <w:r w:rsidRPr="00D42B1B">
        <w:t>Un projet de mise en place d’un fonds revolving destiné à soutenir l’installation et le développement des jeunes entrepreneurs en aquaculture a été lancé le 2 juin. Cette initiative de l’Agence Education-Développement (AED), avec l’appui financier de l’Union européenne, est dotée d’une enveloppe de 1 M EUR, soit environ 655 M FCFA. Elle vise à répondre à l’un des principaux défis auxquels sont confrontés les jeunes diplômés qui est essentiellement l’accès au financement. A travers ce mécanisme innovant, l'AED veut faciliter l’insertion (IFAD-Aquaculture) tout en contribuant au développement durable de la filière aquacole. Contrairement aux dispositifs classiques de subvention, le fonds revolving repose sur un principe de financement renouvelable. Les bénéficiaires reçoivent un appui financier pour lancer ou développer leurs activités aquacoles, puis remboursent progressivement les montants accordés. Ces ressources sont ensuite réinjectées dans le fonds afin de financer de nouveaux projets portés par d’autres jeunes entrepreneurs. Pour l'AED, cette approche permet de maximiser l’impact des ressources mobilisées et d’assurer la pérennité du dispositif sur le long terme. Elle offre également la possibilité à plusieurs générations de diplômés de bénéficier du même mécanisme de soutien, créant ainsi un cercle vertueux au service de l’emploi et de la production aquacole.</w:t>
      </w:r>
      <w:r w:rsidR="00EF44DB" w:rsidRPr="00D42B1B">
        <w:t xml:space="preserve"> </w:t>
      </w:r>
      <w:r w:rsidRPr="00D42B1B">
        <w:t>Au-delà</w:t>
      </w:r>
      <w:r w:rsidR="00EF44DB" w:rsidRPr="00D42B1B">
        <w:t xml:space="preserve"> </w:t>
      </w:r>
      <w:r w:rsidRPr="00D42B1B">
        <w:t>du financement,</w:t>
      </w:r>
      <w:r w:rsidR="00EF44DB" w:rsidRPr="00D42B1B">
        <w:t xml:space="preserve"> </w:t>
      </w:r>
      <w:r w:rsidRPr="00D42B1B">
        <w:t xml:space="preserve">les bénéficiaires recevront un accompagnement complet comprenant des formations en gestion financière, en structuration d’entreprise, ainsi qu’un suivi technique et entrepreneurial favorisant la réussite et la pérennité de leurs activités. </w:t>
      </w:r>
      <w:r w:rsidR="00EF44DB" w:rsidRPr="00D42B1B">
        <w:t>A</w:t>
      </w:r>
      <w:r w:rsidRPr="00D42B1B">
        <w:t xml:space="preserve"> terme, le projet ambitionne de rendre opérationnel un mécanisme durable de financement de l’entrepreneuriat aquacole, de permettre la création d’au moins 50</w:t>
      </w:r>
      <w:r w:rsidR="00EF44DB" w:rsidRPr="00D42B1B">
        <w:t> </w:t>
      </w:r>
      <w:r w:rsidRPr="00D42B1B">
        <w:t>nouvelles entreprises aquacoles, de générer plus de 100 emplois durables et de contribuer à la production de plus de 500 tonnes de poisson par an par les jeunes diplômés accompagnés.</w:t>
      </w:r>
    </w:p>
    <w:p w14:paraId="144725D5" w14:textId="32275AC0" w:rsidR="00AB3708" w:rsidRPr="00D42B1B" w:rsidRDefault="00AB3708" w:rsidP="00C31B14">
      <w:pPr>
        <w:spacing w:after="0"/>
      </w:pPr>
    </w:p>
    <w:p w14:paraId="5149AB0E" w14:textId="68D6F8D9" w:rsidR="00AB3708" w:rsidRPr="00D42B1B" w:rsidRDefault="00AB3708" w:rsidP="00BC13A1">
      <w:pPr>
        <w:spacing w:after="0" w:line="240" w:lineRule="auto"/>
        <w:outlineLvl w:val="1"/>
        <w:rPr>
          <w:rFonts w:eastAsia="Times New Roman" w:cs="Arial"/>
          <w:b/>
          <w:bCs/>
          <w:color w:val="444444"/>
          <w:szCs w:val="20"/>
          <w:lang w:eastAsia="fr-FR"/>
        </w:rPr>
      </w:pPr>
      <w:bookmarkStart w:id="292" w:name="_Toc233878790"/>
      <w:bookmarkStart w:id="293" w:name="_Hlk231757921"/>
      <w:r w:rsidRPr="00D42B1B">
        <w:rPr>
          <w:b/>
          <w:bCs/>
        </w:rPr>
        <w:t>Apiculture – Apiculture et reboisement pour lutter contre le changement climatique.</w:t>
      </w:r>
      <w:bookmarkEnd w:id="292"/>
    </w:p>
    <w:bookmarkEnd w:id="293"/>
    <w:p w14:paraId="2AD14095" w14:textId="03E31458" w:rsidR="00AB3708" w:rsidRPr="00D42B1B" w:rsidRDefault="000226EB" w:rsidP="00AB3708">
      <w:pPr>
        <w:spacing w:after="0"/>
      </w:pPr>
      <w:r w:rsidRPr="00D42B1B">
        <w:t>L</w:t>
      </w:r>
      <w:r w:rsidR="00AB3708" w:rsidRPr="00D42B1B">
        <w:t xml:space="preserve">a Coopérative Las </w:t>
      </w:r>
      <w:proofErr w:type="spellStart"/>
      <w:r w:rsidR="00AB3708" w:rsidRPr="00D42B1B">
        <w:t>Béguinas</w:t>
      </w:r>
      <w:proofErr w:type="spellEnd"/>
      <w:r w:rsidR="00AB3708" w:rsidRPr="00D42B1B">
        <w:t xml:space="preserve"> </w:t>
      </w:r>
      <w:proofErr w:type="spellStart"/>
      <w:r w:rsidR="00AB3708" w:rsidRPr="00D42B1B">
        <w:t>Dzuményo</w:t>
      </w:r>
      <w:proofErr w:type="spellEnd"/>
      <w:r w:rsidR="00AB3708" w:rsidRPr="00D42B1B">
        <w:t xml:space="preserve"> Lumen (LBDL) s'impose comme un acteur majeur de la lutte contre le changement climatique et du développement économique local.</w:t>
      </w:r>
      <w:r w:rsidRPr="00D42B1B">
        <w:t xml:space="preserve"> </w:t>
      </w:r>
      <w:r w:rsidR="00AB3708" w:rsidRPr="00D42B1B">
        <w:t xml:space="preserve">Grâce à l'appui du Mécanisme </w:t>
      </w:r>
      <w:r w:rsidRPr="00D42B1B">
        <w:t>f</w:t>
      </w:r>
      <w:r w:rsidR="00AB3708" w:rsidRPr="00D42B1B">
        <w:t xml:space="preserve">orêts et </w:t>
      </w:r>
      <w:r w:rsidRPr="00D42B1B">
        <w:t>p</w:t>
      </w:r>
      <w:r w:rsidR="00AB3708" w:rsidRPr="00D42B1B">
        <w:t xml:space="preserve">aysans de l'Organisation des Nations Unies pour l'alimentation et l'agriculture (FAO), cette coopérative conjugue </w:t>
      </w:r>
      <w:r w:rsidRPr="00D42B1B">
        <w:t xml:space="preserve">apiculture, </w:t>
      </w:r>
      <w:r w:rsidR="00AB3708" w:rsidRPr="00D42B1B">
        <w:t>reboisement</w:t>
      </w:r>
      <w:r w:rsidRPr="00D42B1B">
        <w:t xml:space="preserve"> </w:t>
      </w:r>
      <w:r w:rsidR="00AB3708" w:rsidRPr="00D42B1B">
        <w:t>et autonomisation des populations rurales.</w:t>
      </w:r>
      <w:r w:rsidRPr="00D42B1B">
        <w:t xml:space="preserve"> </w:t>
      </w:r>
      <w:r w:rsidR="00AB3708" w:rsidRPr="00D42B1B">
        <w:t xml:space="preserve">Créée en 2014 et officiellement immatriculée en 2021, la coopérative </w:t>
      </w:r>
      <w:r w:rsidR="00AB3708" w:rsidRPr="00D42B1B">
        <w:lastRenderedPageBreak/>
        <w:t>LBDL regroupe des femmes et des hommes spécialisés dans la fabrication de savon à base d’huile rouge et d’huile de palmiste.</w:t>
      </w:r>
      <w:r w:rsidRPr="00D42B1B">
        <w:t xml:space="preserve"> </w:t>
      </w:r>
      <w:r w:rsidR="00AB3708" w:rsidRPr="00D42B1B">
        <w:t>Au fil des années, elle a étendu son action en accompagnant la création de plusieurs coopératives</w:t>
      </w:r>
      <w:r w:rsidRPr="00D42B1B">
        <w:t xml:space="preserve">. </w:t>
      </w:r>
      <w:r w:rsidR="00AB3708" w:rsidRPr="00D42B1B">
        <w:t xml:space="preserve">Face aux effets grandissants du changement climatique, la coopérative a fait </w:t>
      </w:r>
      <w:r w:rsidRPr="00D42B1B">
        <w:t xml:space="preserve">de l’apiculture et </w:t>
      </w:r>
      <w:r w:rsidR="00AB3708" w:rsidRPr="00D42B1B">
        <w:t>du reboisement ses principales priorités.</w:t>
      </w:r>
      <w:r w:rsidRPr="00D42B1B">
        <w:t xml:space="preserve"> </w:t>
      </w:r>
      <w:r w:rsidR="00AB3708" w:rsidRPr="00D42B1B">
        <w:t>Depuis 2023, dans le cadre du projet d'Appui à l'augmentation du couvert végétal et au développement des activités entrepreneuriales à travers la filière apicole, la FAO accompagne ces différentes coopératives dans leurs efforts de restauration des terres dégradées.</w:t>
      </w:r>
      <w:r w:rsidRPr="00D42B1B">
        <w:t xml:space="preserve"> </w:t>
      </w:r>
      <w:r w:rsidR="00AB3708" w:rsidRPr="00D42B1B">
        <w:t xml:space="preserve">Grâce à cet appui, la coopérative </w:t>
      </w:r>
      <w:r w:rsidRPr="00D42B1B">
        <w:t xml:space="preserve">LBDL </w:t>
      </w:r>
      <w:r w:rsidR="00AB3708" w:rsidRPr="00D42B1B">
        <w:t>a réalisé en 2025 un important programme de reboisement, avec la mise en terre de 5 000 plants sur une superficie de 12 h</w:t>
      </w:r>
      <w:r w:rsidRPr="00D42B1B">
        <w:t>a</w:t>
      </w:r>
      <w:r w:rsidR="00AB3708" w:rsidRPr="00D42B1B">
        <w:t>.</w:t>
      </w:r>
      <w:r w:rsidRPr="00D42B1B">
        <w:t xml:space="preserve"> </w:t>
      </w:r>
      <w:r w:rsidR="00AB3708" w:rsidRPr="00D42B1B">
        <w:t xml:space="preserve">Les plantations comprennent diverses essences forestières, dont le </w:t>
      </w:r>
      <w:proofErr w:type="spellStart"/>
      <w:r w:rsidR="00AB3708" w:rsidRPr="00D42B1B">
        <w:t>Khaya</w:t>
      </w:r>
      <w:proofErr w:type="spellEnd"/>
      <w:r w:rsidR="00AB3708" w:rsidRPr="00D42B1B">
        <w:t xml:space="preserve"> senegalensis, le </w:t>
      </w:r>
      <w:proofErr w:type="spellStart"/>
      <w:r w:rsidR="00AB3708" w:rsidRPr="00D42B1B">
        <w:t>mélina</w:t>
      </w:r>
      <w:proofErr w:type="spellEnd"/>
      <w:r w:rsidR="00AB3708" w:rsidRPr="00D42B1B">
        <w:t xml:space="preserve"> ainsi que plusieurs espèces fruitières.</w:t>
      </w:r>
      <w:r w:rsidRPr="00D42B1B">
        <w:t xml:space="preserve"> </w:t>
      </w:r>
      <w:r w:rsidR="00AB3708" w:rsidRPr="00D42B1B">
        <w:t>Forte de ces résultats, la coopérative prévoit d’étendre ses actions au cours des douze prochains mois afin d’atteindre une superficie reboisée de 16</w:t>
      </w:r>
      <w:r w:rsidRPr="00D42B1B">
        <w:t> </w:t>
      </w:r>
      <w:r w:rsidR="00AB3708" w:rsidRPr="00D42B1B">
        <w:t>h</w:t>
      </w:r>
      <w:r w:rsidRPr="00D42B1B">
        <w:t>a</w:t>
      </w:r>
      <w:r w:rsidR="00AB3708" w:rsidRPr="00D42B1B">
        <w:t>.</w:t>
      </w:r>
      <w:r w:rsidRPr="00D42B1B">
        <w:t xml:space="preserve"> </w:t>
      </w:r>
      <w:r w:rsidR="00AB3708" w:rsidRPr="00D42B1B">
        <w:t>L'appui du Mécanisme Forêts et Paysans a également permis la mise en place d'une pépinière permanente destinée à la production de jeunes plants.</w:t>
      </w:r>
      <w:r w:rsidRPr="00D42B1B">
        <w:t xml:space="preserve"> </w:t>
      </w:r>
      <w:r w:rsidR="00AB3708" w:rsidRPr="00D42B1B">
        <w:t>Les plants produits servent non seulement aux campagnes annuelles de reboisement, mais aussi à la commercialisation, générant ainsi des revenus supplémentaires pour la coopérative.</w:t>
      </w:r>
      <w:r w:rsidRPr="00D42B1B">
        <w:t xml:space="preserve"> </w:t>
      </w:r>
      <w:r w:rsidR="00AB3708" w:rsidRPr="00D42B1B">
        <w:t>Parallèlement, les membres ont bénéficié de plusieurs formations portant sur la production de plants, l'entrepreneuriat, l'hygiène et la qualité, renforçant leurs compétences techniques et leur autonomie économique.</w:t>
      </w:r>
      <w:r w:rsidRPr="00D42B1B">
        <w:t xml:space="preserve"> </w:t>
      </w:r>
      <w:r w:rsidR="00AB3708" w:rsidRPr="00D42B1B">
        <w:t>Au-delà du reboisement, le projet mise également sur le développement de l'apiculture comme activité génératrice de revenus.</w:t>
      </w:r>
      <w:r w:rsidRPr="00D42B1B">
        <w:t xml:space="preserve"> </w:t>
      </w:r>
      <w:r w:rsidR="00AB3708" w:rsidRPr="00D42B1B">
        <w:t>En 2023, la FAO a doté la coopérative de 44 ruches ainsi que d'équipements modernes tels que des bottes, des brosses et du matériel de protection.</w:t>
      </w:r>
      <w:r w:rsidRPr="00D42B1B">
        <w:t xml:space="preserve"> </w:t>
      </w:r>
      <w:r w:rsidR="00AB3708" w:rsidRPr="00D42B1B">
        <w:t>Une unité de transformation du miel a également été construite grâce au projet. Depuis le lancement de l'activité, la coopérative a récolté environ 75 litres de miel</w:t>
      </w:r>
      <w:r w:rsidRPr="00D42B1B">
        <w:t xml:space="preserve">. </w:t>
      </w:r>
      <w:r w:rsidR="00AB3708" w:rsidRPr="00D42B1B">
        <w:t>Les retombées du projet sont déjà visibles au sein des communautés bénéficiaires. Au total, 75</w:t>
      </w:r>
      <w:r w:rsidRPr="00D42B1B">
        <w:t> </w:t>
      </w:r>
      <w:r w:rsidR="00AB3708" w:rsidRPr="00D42B1B">
        <w:t>personnes issues des différentes coopératives ont bénéficié directement des activités mises en œuvre.</w:t>
      </w:r>
      <w:r w:rsidRPr="00D42B1B">
        <w:t xml:space="preserve"> L</w:t>
      </w:r>
      <w:r w:rsidR="00AB3708" w:rsidRPr="00D42B1B">
        <w:t>a coopérative LBDL entend poursuivre son engagement en faveur de l'environnement et du développement local. En associant restauration des écosystèmes, apiculture et entrepreneuriat rural, elle contribue à bâtir un modèle de développement durable capable d'améliorer les revenus des populations tout en renforçant la résilience des territoires face aux changements climatiques.</w:t>
      </w:r>
    </w:p>
    <w:p w14:paraId="40327069" w14:textId="77777777" w:rsidR="009158DF" w:rsidRPr="00D42B1B" w:rsidRDefault="009158DF" w:rsidP="009158DF">
      <w:pPr>
        <w:spacing w:after="0"/>
      </w:pPr>
    </w:p>
    <w:p w14:paraId="246A7DC6" w14:textId="56DF4D44" w:rsidR="009158DF" w:rsidRPr="00D42B1B" w:rsidRDefault="009158DF" w:rsidP="005B0E7C">
      <w:pPr>
        <w:spacing w:after="0" w:line="240" w:lineRule="auto"/>
        <w:outlineLvl w:val="1"/>
        <w:rPr>
          <w:rFonts w:eastAsia="Times New Roman" w:cs="Arial"/>
          <w:b/>
          <w:bCs/>
          <w:color w:val="444444"/>
          <w:szCs w:val="20"/>
          <w:lang w:eastAsia="fr-FR"/>
        </w:rPr>
      </w:pPr>
      <w:bookmarkStart w:id="294" w:name="_Toc233878791"/>
      <w:r w:rsidRPr="00D42B1B">
        <w:rPr>
          <w:b/>
          <w:bCs/>
        </w:rPr>
        <w:t>Agroforesterie - Le Conseil interprofessionnel de régulation et de promotion des essences forestières (CIRPEF) promeut l’agroforesterie pour restaurer les terres agricoles.</w:t>
      </w:r>
      <w:bookmarkEnd w:id="294"/>
    </w:p>
    <w:p w14:paraId="6D4C3685" w14:textId="5C108443" w:rsidR="00CB046B" w:rsidRPr="00D42B1B" w:rsidRDefault="009158DF" w:rsidP="009158DF">
      <w:pPr>
        <w:spacing w:after="0"/>
      </w:pPr>
      <w:bookmarkStart w:id="295" w:name="_Hlk231759658"/>
      <w:r w:rsidRPr="00D42B1B">
        <w:t xml:space="preserve">1 375 plants de diverses essences ont été mis en terre le 4 juin sur 5 ha par le CIRPEF </w:t>
      </w:r>
      <w:bookmarkEnd w:id="295"/>
      <w:r w:rsidRPr="00D42B1B">
        <w:t xml:space="preserve">dans la commune </w:t>
      </w:r>
      <w:proofErr w:type="spellStart"/>
      <w:r w:rsidRPr="00D42B1B">
        <w:t>Yoto</w:t>
      </w:r>
      <w:proofErr w:type="spellEnd"/>
      <w:r w:rsidRPr="00D42B1B">
        <w:t xml:space="preserve"> 1. A travers cette initiative, le CIRPEF entend promouvoir un modèle de reboisement durable permettant à la fois de lutter contre la dégradation des sols, de préserver l’environnement et de renforcer la résilience des exploitations agricoles face aux effets du changement climatique. L’opération vise à contribuer à l’effort national de reconstitution du couvert végétal. Selon le conseiller du CIRPEF, M. Richard </w:t>
      </w:r>
      <w:proofErr w:type="spellStart"/>
      <w:r w:rsidRPr="00D42B1B">
        <w:t>Kodzo</w:t>
      </w:r>
      <w:proofErr w:type="spellEnd"/>
      <w:r w:rsidRPr="00D42B1B">
        <w:t xml:space="preserve"> </w:t>
      </w:r>
      <w:proofErr w:type="spellStart"/>
      <w:r w:rsidRPr="00D42B1B">
        <w:t>Dansrou</w:t>
      </w:r>
      <w:proofErr w:type="spellEnd"/>
      <w:r w:rsidRPr="00D42B1B">
        <w:t>, le reboisement ne constitue pas seulement une action de protection de l’environnement, mais s’inscrit également dans une dynamique de développement agricole durable. Pour le conseiller l’agroforesterie permet aux producteurs de tirer des bénéfices économiques de leurs terres tout en contribuant à la restauration des ressources forestières.</w:t>
      </w:r>
      <w:r w:rsidR="005B0E7C" w:rsidRPr="00D42B1B">
        <w:t xml:space="preserve"> </w:t>
      </w:r>
      <w:r w:rsidRPr="00D42B1B">
        <w:t xml:space="preserve">Le président du CIRPEF, </w:t>
      </w:r>
      <w:r w:rsidR="005B0E7C" w:rsidRPr="00D42B1B">
        <w:t>M. Jean Kokou </w:t>
      </w:r>
      <w:proofErr w:type="spellStart"/>
      <w:r w:rsidRPr="00D42B1B">
        <w:t>Adéti</w:t>
      </w:r>
      <w:proofErr w:type="spellEnd"/>
      <w:r w:rsidRPr="00D42B1B">
        <w:t>, a appelé les populations à veiller à l’entretien des plants mis en terre, soulignant que la réussite des actions de reboisement dépend de l’engagement de chacun à les préserver jusqu’à leur maturité.</w:t>
      </w:r>
    </w:p>
    <w:p w14:paraId="00AED69C" w14:textId="77777777" w:rsidR="00337A9F" w:rsidRPr="00D42B1B" w:rsidRDefault="00337A9F" w:rsidP="009158DF">
      <w:pPr>
        <w:spacing w:after="0"/>
      </w:pPr>
    </w:p>
    <w:p w14:paraId="6056D13A" w14:textId="2D0C46D0" w:rsidR="00CB046B" w:rsidRPr="00D42B1B" w:rsidRDefault="00CB046B" w:rsidP="007219B3">
      <w:pPr>
        <w:spacing w:after="0" w:line="240" w:lineRule="auto"/>
        <w:outlineLvl w:val="1"/>
        <w:rPr>
          <w:rFonts w:eastAsia="Times New Roman" w:cs="Arial"/>
          <w:b/>
          <w:bCs/>
          <w:color w:val="444444"/>
          <w:szCs w:val="20"/>
          <w:lang w:eastAsia="fr-FR"/>
        </w:rPr>
      </w:pPr>
      <w:bookmarkStart w:id="296" w:name="_Toc233878792"/>
      <w:r w:rsidRPr="00D42B1B">
        <w:rPr>
          <w:b/>
          <w:bCs/>
        </w:rPr>
        <w:t xml:space="preserve">Pêche – </w:t>
      </w:r>
      <w:r w:rsidR="007219B3" w:rsidRPr="00D42B1B">
        <w:rPr>
          <w:b/>
          <w:bCs/>
        </w:rPr>
        <w:t>R</w:t>
      </w:r>
      <w:r w:rsidRPr="00D42B1B">
        <w:rPr>
          <w:b/>
          <w:bCs/>
        </w:rPr>
        <w:t>enforce</w:t>
      </w:r>
      <w:r w:rsidR="007219B3" w:rsidRPr="00D42B1B">
        <w:rPr>
          <w:b/>
          <w:bCs/>
        </w:rPr>
        <w:t>ment de</w:t>
      </w:r>
      <w:r w:rsidRPr="00D42B1B">
        <w:rPr>
          <w:b/>
          <w:bCs/>
        </w:rPr>
        <w:t xml:space="preserve"> l’arsenal contre la pêche illicite, non déclarée et non réglementée (INN).</w:t>
      </w:r>
      <w:bookmarkEnd w:id="296"/>
    </w:p>
    <w:p w14:paraId="0BE1E6C4" w14:textId="464F00B9" w:rsidR="00CB046B" w:rsidRPr="00D42B1B" w:rsidRDefault="00CB046B" w:rsidP="00CB046B">
      <w:pPr>
        <w:spacing w:after="0"/>
      </w:pPr>
      <w:r w:rsidRPr="00D42B1B">
        <w:t xml:space="preserve">Le pays entend renforcer son arsenal contre la INN. Au-delà des pratiques les plus connues (filets à petites mailles et usage du carbure), la lutte s'étend désormais à la surexploitation et à la qualité des poissons ramenés à bord. Des comités de gestion locale veillent en permanence sur la douzaine de campements du littoral togolais, du port de pêche de Lomé (POPEL) aux onze autres sites côtiers. </w:t>
      </w:r>
      <w:r w:rsidR="007219B3" w:rsidRPr="00D42B1B">
        <w:t xml:space="preserve">Un </w:t>
      </w:r>
      <w:r w:rsidRPr="00D42B1B">
        <w:t>repos biologique annuel</w:t>
      </w:r>
      <w:r w:rsidR="007219B3" w:rsidRPr="00D42B1B">
        <w:t xml:space="preserve"> de 51 jours</w:t>
      </w:r>
      <w:r w:rsidRPr="00D42B1B">
        <w:t>, soit un dimanche par semaine pour la pêche en mer</w:t>
      </w:r>
      <w:r w:rsidR="007219B3" w:rsidRPr="00D42B1B">
        <w:t xml:space="preserve"> figure parmi les mesures annoncées</w:t>
      </w:r>
      <w:r w:rsidRPr="00D42B1B">
        <w:t>. Les sanctions sont sévères. L'usage du carbure entraîne deux mois de saisie de l'embarcation et une amende pouvant dépasser 500 000 F</w:t>
      </w:r>
      <w:r w:rsidR="007219B3" w:rsidRPr="00D42B1B">
        <w:t>CFA</w:t>
      </w:r>
      <w:r w:rsidRPr="00D42B1B">
        <w:t>. La violation du repos dominical est sanctionnée par une amende identique assortie de trois mois de saisie.</w:t>
      </w:r>
      <w:r w:rsidR="007219B3" w:rsidRPr="00D42B1B">
        <w:t xml:space="preserve"> M. </w:t>
      </w:r>
      <w:r w:rsidRPr="00D42B1B">
        <w:t xml:space="preserve">Jean </w:t>
      </w:r>
      <w:proofErr w:type="spellStart"/>
      <w:r w:rsidRPr="00D42B1B">
        <w:t>Komlan</w:t>
      </w:r>
      <w:proofErr w:type="spellEnd"/>
      <w:r w:rsidRPr="00D42B1B">
        <w:t xml:space="preserve"> </w:t>
      </w:r>
      <w:proofErr w:type="spellStart"/>
      <w:r w:rsidRPr="00D42B1B">
        <w:t>Koudjagbo</w:t>
      </w:r>
      <w:proofErr w:type="spellEnd"/>
      <w:r w:rsidRPr="00D42B1B">
        <w:t xml:space="preserve">, délégué du port de pêche de Lomé, </w:t>
      </w:r>
      <w:r w:rsidR="007219B3" w:rsidRPr="00D42B1B">
        <w:t>a salué les mesures mais</w:t>
      </w:r>
      <w:r w:rsidRPr="00D42B1B">
        <w:t xml:space="preserve"> plaide néanmoins pour que la période de repos biologique soit avancée au mois de juin, véritable période morte, plutôt qu'en juillet.</w:t>
      </w:r>
    </w:p>
    <w:p w14:paraId="3D4B35D7" w14:textId="77777777" w:rsidR="005B0E7C" w:rsidRPr="00D42B1B" w:rsidRDefault="005B0E7C" w:rsidP="009158DF">
      <w:pPr>
        <w:spacing w:after="0"/>
      </w:pPr>
    </w:p>
    <w:p w14:paraId="77224E04" w14:textId="5F6AB020" w:rsidR="00D77977" w:rsidRPr="00D42B1B" w:rsidRDefault="00D77977" w:rsidP="00D77977">
      <w:pPr>
        <w:spacing w:after="0" w:line="240" w:lineRule="auto"/>
        <w:outlineLvl w:val="1"/>
        <w:rPr>
          <w:rFonts w:eastAsia="Times New Roman" w:cs="Arial"/>
          <w:b/>
          <w:bCs/>
          <w:color w:val="444444"/>
          <w:szCs w:val="20"/>
          <w:lang w:eastAsia="fr-FR"/>
        </w:rPr>
      </w:pPr>
      <w:bookmarkStart w:id="297" w:name="_Toc233878793"/>
      <w:bookmarkStart w:id="298" w:name="_Hlk231759989"/>
      <w:r w:rsidRPr="00D42B1B">
        <w:rPr>
          <w:b/>
          <w:bCs/>
        </w:rPr>
        <w:t>Formation – Inauguration d’un centre de ressources et de formation agricole et rurale.</w:t>
      </w:r>
      <w:bookmarkEnd w:id="297"/>
    </w:p>
    <w:bookmarkEnd w:id="298"/>
    <w:p w14:paraId="4AB87EAA" w14:textId="5FD62828" w:rsidR="00D77977" w:rsidRPr="00D42B1B" w:rsidRDefault="00D77977" w:rsidP="00D77977">
      <w:pPr>
        <w:spacing w:after="0"/>
      </w:pPr>
      <w:r w:rsidRPr="00D42B1B">
        <w:t xml:space="preserve">Un centre de ressources et de formation agricole et rurale porté par INADES Académie Togo a été inauguré le 29 mai à </w:t>
      </w:r>
      <w:proofErr w:type="spellStart"/>
      <w:r w:rsidRPr="00D42B1B">
        <w:t>Kouloumi</w:t>
      </w:r>
      <w:proofErr w:type="spellEnd"/>
      <w:r w:rsidRPr="00D42B1B">
        <w:t xml:space="preserve"> dans la région Centrale. Présent au Togo depuis 1972, INADES-Formation Togo accompagne depuis plus de cinquante ans les producteurs agricoles et les jeunes ruraux à travers des programmes de formation adaptés à leurs besoins. Face aux nouveaux défis du secteur agricole, notamment l’emploi des jeunes, les changements climatiques et le développement de chaînes de valeur inclusives, l’institution a engagé une refondation de son dispositif de formation. Soutenue par plusieurs partenaires techniques et financiers (Réseau FAR, ASTM, </w:t>
      </w:r>
      <w:proofErr w:type="spellStart"/>
      <w:r w:rsidRPr="00D42B1B">
        <w:t>Misereor</w:t>
      </w:r>
      <w:proofErr w:type="spellEnd"/>
      <w:r w:rsidRPr="00D42B1B">
        <w:t xml:space="preserve"> ainsi que l’ARAA/CEDEAO), cette dynamique a abouti à la création du centre de ressources et de formation agricole et rurale de </w:t>
      </w:r>
      <w:proofErr w:type="spellStart"/>
      <w:r w:rsidRPr="00D42B1B">
        <w:t>Kouloumi</w:t>
      </w:r>
      <w:proofErr w:type="spellEnd"/>
      <w:r w:rsidRPr="00D42B1B">
        <w:t xml:space="preserve">, qui ambitionne de devenir une référence nationale. Il est destiné aux jeunes, aux femmes et aux producteurs agricoles des milieux rural, périurbain et urbain, a indiqué Mme </w:t>
      </w:r>
      <w:proofErr w:type="spellStart"/>
      <w:r w:rsidRPr="00D42B1B">
        <w:t>Sélome</w:t>
      </w:r>
      <w:proofErr w:type="spellEnd"/>
      <w:r w:rsidRPr="00D42B1B">
        <w:t xml:space="preserve"> </w:t>
      </w:r>
      <w:proofErr w:type="spellStart"/>
      <w:r w:rsidRPr="00D42B1B">
        <w:t>Adoussi</w:t>
      </w:r>
      <w:proofErr w:type="spellEnd"/>
      <w:r w:rsidRPr="00D42B1B">
        <w:t xml:space="preserve"> </w:t>
      </w:r>
      <w:proofErr w:type="spellStart"/>
      <w:r w:rsidRPr="00D42B1B">
        <w:t>Houetognpon</w:t>
      </w:r>
      <w:proofErr w:type="spellEnd"/>
      <w:r w:rsidRPr="00D42B1B">
        <w:t>, Directrice d’INADES-Formation Togo. Les formations dans ce centre portent notamment sur l’agriculture durable, l’élevage, l’environnement, la foresterie et la résilience climatique, l’entrepreneuriat agricole et rural et la transformation des produits agricoles locaux.</w:t>
      </w:r>
    </w:p>
    <w:p w14:paraId="35CF70C8" w14:textId="77777777" w:rsidR="00601520" w:rsidRPr="00D42B1B" w:rsidRDefault="00601520" w:rsidP="00D77977">
      <w:pPr>
        <w:spacing w:after="0"/>
      </w:pPr>
    </w:p>
    <w:p w14:paraId="0129E41B" w14:textId="77777777" w:rsidR="00601520" w:rsidRPr="00D42B1B" w:rsidRDefault="00601520" w:rsidP="00601520">
      <w:pPr>
        <w:spacing w:after="0" w:line="240" w:lineRule="auto"/>
        <w:outlineLvl w:val="1"/>
        <w:rPr>
          <w:rFonts w:eastAsia="Times New Roman" w:cs="Arial"/>
          <w:b/>
          <w:bCs/>
          <w:color w:val="444444"/>
          <w:szCs w:val="20"/>
          <w:lang w:eastAsia="fr-FR"/>
        </w:rPr>
      </w:pPr>
      <w:bookmarkStart w:id="299" w:name="_Toc233878794"/>
      <w:r w:rsidRPr="00D42B1B">
        <w:rPr>
          <w:b/>
          <w:bCs/>
        </w:rPr>
        <w:t>Mécanisation – Financement de plus de 100 M EUR d’</w:t>
      </w:r>
      <w:proofErr w:type="spellStart"/>
      <w:r w:rsidRPr="00D42B1B">
        <w:rPr>
          <w:b/>
          <w:bCs/>
        </w:rPr>
        <w:t>Africa</w:t>
      </w:r>
      <w:proofErr w:type="spellEnd"/>
      <w:r w:rsidRPr="00D42B1B">
        <w:rPr>
          <w:b/>
          <w:bCs/>
        </w:rPr>
        <w:t xml:space="preserve"> Finance Corporation (AFC).</w:t>
      </w:r>
      <w:bookmarkEnd w:id="299"/>
    </w:p>
    <w:p w14:paraId="3F2093E2" w14:textId="77777777" w:rsidR="00601520" w:rsidRPr="00D42B1B" w:rsidRDefault="00601520" w:rsidP="00601520">
      <w:pPr>
        <w:shd w:val="clear" w:color="auto" w:fill="FFFFFF"/>
        <w:spacing w:after="0" w:line="240" w:lineRule="auto"/>
        <w:textAlignment w:val="baseline"/>
      </w:pPr>
      <w:r w:rsidRPr="00D42B1B">
        <w:t xml:space="preserve">Le Togo vient de bénéficier d’un financement souverain de 108,3 M EUR, mis en place </w:t>
      </w:r>
      <w:bookmarkStart w:id="300" w:name="_Hlk233580009"/>
      <w:r w:rsidRPr="00D42B1B">
        <w:t xml:space="preserve">par </w:t>
      </w:r>
      <w:bookmarkEnd w:id="300"/>
      <w:r w:rsidRPr="00D42B1B">
        <w:t>AFC, l’une des principales institutions africaines de financement des infrastructures. Cette enveloppe, destinée à accélérer la modernisation du secteur agricole, marque également le premier investissement souverain d’AFC au Togo. Ce financement, d’une maturité de dix ans, sera consacré à l’acquisition, à l’assemblage et à la distribution d’équipements agricoles destinés à accroître la productivité et à améliorer les conditions de production. Le programme prévoit notamment la mise à disposition de 2 126 ensembles tracteur-remorque, 1 020 semoirs et moissonneuses-batteuses, 930 unités d’irrigation, ainsi que 95 systèmes d’adduction d’eau. Ces investissements s’inscrivent dans le cadre du Programme de modernisation de l’agriculture togolaise (</w:t>
      </w:r>
      <w:proofErr w:type="spellStart"/>
      <w:r w:rsidRPr="00D42B1B">
        <w:t>ProMAT</w:t>
      </w:r>
      <w:proofErr w:type="spellEnd"/>
      <w:r w:rsidRPr="00D42B1B">
        <w:t xml:space="preserve">), stratégie nationale mise en place par le gouvernement pour transformer durablement le secteur agricole, améliorer les rendements, renforcer la sécurité alimentaire et accélérer la commercialisation des productions. Cette stratégie s'inscrit dans la continuité des Zones d'aménagement agricole planifiées (ZAAP), du Mécanisme incitatif de financement agricole (MIFA) et des investissements publics consacrés à la mécanisation. L’enjeu est de taille pour le Togo. Selon le cabinet Integrated </w:t>
      </w:r>
      <w:proofErr w:type="spellStart"/>
      <w:r w:rsidRPr="00D42B1B">
        <w:t>Industrial</w:t>
      </w:r>
      <w:proofErr w:type="spellEnd"/>
      <w:r w:rsidRPr="00D42B1B">
        <w:t xml:space="preserve"> Platforms, le pays dispose de 3,6 M d’ha de </w:t>
      </w:r>
      <w:r w:rsidRPr="00D42B1B">
        <w:lastRenderedPageBreak/>
        <w:t>terres arables, soit 60% de sa superficie totale. Cependant, environ 1,4 M d’ha sont actuellement exploités. L’agriculture représente environ 40% du PIB et emploie près de 60% de la population active, ce qui en fait l’un des principaux piliers de l’économie nationale. Pourtant, le secteur demeure confronté à de nombreuses contraintes structurelles. Selon les données disponibles, seuls 37% des ménages agricoles utilisent des engrais, tandis que 8% seulement ont recours à des semences améliorées. L’accès à l’irrigation reste extrêmement limité, avec moins de 1% des exploitations agricoles équipées de systèmes adaptés. Par ailleurs, le niveau de commercialisation de la production reste faible : environ 20% seulement des récoltes atteignent effectivement les marchés. Ces insuffisances freinent la productivité agricole et limitent la capacité du pays à satisfaire pleinement sa demande intérieure tout en développant ses exportations. En s’attaquant directement au déficit de mécanisation et aux insuffisances des infrastructures hydrauliques, le programme soutenu par AFC devrait générer des effets multiplicateurs sur l’ensemble de l’économie. L’amélioration des rendements agricoles, l’augmentation des volumes commercialisés et un meilleur accès aux marchés devraient contribuer à accroître les revenus des producteurs, stimuler les investissements privés et favoriser la création d’emplois, notamment dans les zones rurales. A terme, le gouvernement togolais ambitionne ainsi de bâtir une agriculture plus compétitive, plus résiliente face aux aléas climatiques et davantage intégrée aux chaînes de valeur régionales. Au-delà du Togo, AFC voit dans cette initiative un modèle reproductible pour d’autres pays africains confrontés aux mêmes défis : accroître la production locale, réduire la dépendance aux importations alimentaires et valoriser le potentiel agricole du continent sur les marchés régionaux et internationaux.</w:t>
      </w:r>
    </w:p>
    <w:p w14:paraId="01A084F7" w14:textId="77777777" w:rsidR="008F2907" w:rsidRPr="00D42B1B" w:rsidRDefault="008F2907" w:rsidP="008F2907">
      <w:pPr>
        <w:spacing w:after="0"/>
      </w:pPr>
    </w:p>
    <w:p w14:paraId="276EED07" w14:textId="5C9E13EB" w:rsidR="008F2907" w:rsidRPr="00D42B1B" w:rsidRDefault="008F2907" w:rsidP="00C37A57">
      <w:pPr>
        <w:spacing w:after="0" w:line="240" w:lineRule="auto"/>
        <w:outlineLvl w:val="1"/>
        <w:rPr>
          <w:rFonts w:eastAsia="Times New Roman" w:cs="Arial"/>
          <w:b/>
          <w:bCs/>
          <w:color w:val="444444"/>
          <w:szCs w:val="20"/>
          <w:lang w:eastAsia="fr-FR"/>
        </w:rPr>
      </w:pPr>
      <w:bookmarkStart w:id="301" w:name="_Toc233878795"/>
      <w:r w:rsidRPr="00D42B1B">
        <w:rPr>
          <w:b/>
          <w:bCs/>
        </w:rPr>
        <w:t>Mécanisation - La Banque ouest-africaine de développement (BOAD) porte à 60 Md FCFA son appui au programme de mécanisation agricole</w:t>
      </w:r>
      <w:r w:rsidR="00C37A57" w:rsidRPr="00D42B1B">
        <w:rPr>
          <w:b/>
          <w:bCs/>
        </w:rPr>
        <w:t>.</w:t>
      </w:r>
      <w:bookmarkEnd w:id="301"/>
    </w:p>
    <w:p w14:paraId="50D4D8DE" w14:textId="376EF4EA" w:rsidR="008F2907" w:rsidRPr="00D42B1B" w:rsidRDefault="008F2907" w:rsidP="008F2907">
      <w:pPr>
        <w:spacing w:after="0"/>
      </w:pPr>
      <w:r w:rsidRPr="00D42B1B">
        <w:t xml:space="preserve">Le Togo va bénéficier d'un nouveau financement de 40 </w:t>
      </w:r>
      <w:r w:rsidR="00C37A57" w:rsidRPr="00D42B1B">
        <w:t>Md</w:t>
      </w:r>
      <w:r w:rsidRPr="00D42B1B">
        <w:t xml:space="preserve"> FCFA de la BOAD pour la deuxième phase du Programme d'appui à la mécanisation agricole et à l'irrigation (</w:t>
      </w:r>
      <w:proofErr w:type="spellStart"/>
      <w:r w:rsidRPr="00D42B1B">
        <w:t>ProMAI</w:t>
      </w:r>
      <w:proofErr w:type="spellEnd"/>
      <w:r w:rsidRPr="00D42B1B">
        <w:t xml:space="preserve">). Ce financement a été approuvé </w:t>
      </w:r>
      <w:r w:rsidR="00C37A57" w:rsidRPr="00D42B1B">
        <w:t>le</w:t>
      </w:r>
      <w:r w:rsidRPr="00D42B1B">
        <w:t xml:space="preserve"> 29 juin, à l'occasion de la 151</w:t>
      </w:r>
      <w:r w:rsidR="00C37A57" w:rsidRPr="00D42B1B">
        <w:rPr>
          <w:vertAlign w:val="superscript"/>
        </w:rPr>
        <w:t>ème</w:t>
      </w:r>
      <w:r w:rsidR="00C37A57" w:rsidRPr="00D42B1B">
        <w:t xml:space="preserve"> </w:t>
      </w:r>
      <w:r w:rsidRPr="00D42B1B">
        <w:t>session ordinaire du Conseil d'administration de l'institution.</w:t>
      </w:r>
      <w:r w:rsidR="00C37A57" w:rsidRPr="00D42B1B">
        <w:t xml:space="preserve"> </w:t>
      </w:r>
      <w:r w:rsidRPr="00D42B1B">
        <w:t xml:space="preserve">Cette nouvelle enveloppe porte à un total de 60 </w:t>
      </w:r>
      <w:r w:rsidR="00C37A57" w:rsidRPr="00D42B1B">
        <w:t xml:space="preserve">Md </w:t>
      </w:r>
      <w:r w:rsidRPr="00D42B1B">
        <w:t xml:space="preserve">FCFA le financement mobilisé par la BOAD au profit de ce programme, après une première phase de 20 </w:t>
      </w:r>
      <w:r w:rsidR="00C37A57" w:rsidRPr="00D42B1B">
        <w:t xml:space="preserve">Md </w:t>
      </w:r>
      <w:r w:rsidRPr="00D42B1B">
        <w:t>FCFA approuvée en octobre 2025.</w:t>
      </w:r>
      <w:r w:rsidR="00C37A57" w:rsidRPr="00D42B1B">
        <w:t xml:space="preserve"> </w:t>
      </w:r>
      <w:r w:rsidRPr="00D42B1B">
        <w:t xml:space="preserve">Au Togo, le </w:t>
      </w:r>
      <w:proofErr w:type="spellStart"/>
      <w:r w:rsidRPr="00D42B1B">
        <w:t>ProMAI</w:t>
      </w:r>
      <w:proofErr w:type="spellEnd"/>
      <w:r w:rsidRPr="00D42B1B">
        <w:t xml:space="preserve"> a pour objectif d'améliorer la productivité agricole, d'accroître les revenus des producteurs et de renforcer la sécurité alimentaire grâce à l'acquisition d'équipements modernes de mécanisation et d'irrigation.</w:t>
      </w:r>
      <w:r w:rsidR="00C37A57" w:rsidRPr="00D42B1B">
        <w:t xml:space="preserve"> La </w:t>
      </w:r>
      <w:r w:rsidRPr="00D42B1B">
        <w:t>première phase du programme prévoit notamment l'acquisition de matériels agricoles et d'équipements d'irrigation au profit des Centres régionaux de mécanisation agricole (CRMA), ainsi que leur déploiement dans plusieurs régions du pays. Les CRMA, lancés notamment en 2023 à Kara et à Kpalimé, offrent aux producteurs des services de mécanisation, de maintenance, de formation et de conseil. Leur extension figure parmi les objectifs du programme.</w:t>
      </w:r>
      <w:r w:rsidR="00C37A57" w:rsidRPr="00D42B1B">
        <w:t xml:space="preserve"> </w:t>
      </w:r>
      <w:r w:rsidRPr="00D42B1B">
        <w:t xml:space="preserve">En avril dernier, le </w:t>
      </w:r>
      <w:proofErr w:type="spellStart"/>
      <w:r w:rsidRPr="00D42B1B">
        <w:t>ProMAI</w:t>
      </w:r>
      <w:proofErr w:type="spellEnd"/>
      <w:r w:rsidRPr="00D42B1B">
        <w:t xml:space="preserve"> franchissait une nouvelle étape avec la validation de ses manuels de procédures administratives, financières, de suivi-évaluation et de passation des marchés, destinés à renforcer la gouvernance et l'efficacité de sa mise en œuvre.</w:t>
      </w:r>
      <w:r w:rsidR="00C37A57" w:rsidRPr="00D42B1B">
        <w:t xml:space="preserve"> </w:t>
      </w:r>
      <w:r w:rsidRPr="00D42B1B">
        <w:t>Selon la BOAD, la deuxième phase devrait favoriser une meilleure maîtrise de l'eau, accroître les rendements et soutenir les revenus des exploitants.</w:t>
      </w:r>
    </w:p>
    <w:p w14:paraId="36B686FB" w14:textId="77777777" w:rsidR="00C37A57" w:rsidRPr="00D42B1B" w:rsidRDefault="00C37A57" w:rsidP="008F2907">
      <w:pPr>
        <w:spacing w:after="0"/>
      </w:pPr>
    </w:p>
    <w:p w14:paraId="5D9341DD" w14:textId="499BC696" w:rsidR="007219B3" w:rsidRPr="00D42B1B" w:rsidRDefault="007219B3" w:rsidP="005A4924">
      <w:pPr>
        <w:spacing w:after="0" w:line="240" w:lineRule="auto"/>
        <w:outlineLvl w:val="1"/>
        <w:rPr>
          <w:rFonts w:eastAsia="Times New Roman" w:cs="Arial"/>
          <w:b/>
          <w:bCs/>
          <w:color w:val="444444"/>
          <w:szCs w:val="20"/>
          <w:lang w:eastAsia="fr-FR"/>
        </w:rPr>
      </w:pPr>
      <w:bookmarkStart w:id="302" w:name="_Toc233878796"/>
      <w:bookmarkStart w:id="303" w:name="_Hlk233878078"/>
      <w:r w:rsidRPr="00D42B1B">
        <w:rPr>
          <w:b/>
          <w:bCs/>
        </w:rPr>
        <w:t xml:space="preserve">Agro-industrie - </w:t>
      </w:r>
      <w:r w:rsidR="005A4924" w:rsidRPr="00D42B1B">
        <w:rPr>
          <w:b/>
          <w:bCs/>
        </w:rPr>
        <w:t>La Plateforme industrielle d'</w:t>
      </w:r>
      <w:proofErr w:type="spellStart"/>
      <w:r w:rsidR="005A4924" w:rsidRPr="00D42B1B">
        <w:rPr>
          <w:b/>
          <w:bCs/>
        </w:rPr>
        <w:t>Adétikopé</w:t>
      </w:r>
      <w:proofErr w:type="spellEnd"/>
      <w:r w:rsidR="005A4924" w:rsidRPr="00D42B1B">
        <w:rPr>
          <w:b/>
          <w:bCs/>
        </w:rPr>
        <w:t xml:space="preserve"> (PIA) affiche un bilan encourageant.</w:t>
      </w:r>
      <w:bookmarkEnd w:id="302"/>
    </w:p>
    <w:bookmarkEnd w:id="303"/>
    <w:p w14:paraId="07D161F0" w14:textId="346A3C65" w:rsidR="007219B3" w:rsidRDefault="007219B3" w:rsidP="007219B3">
      <w:pPr>
        <w:spacing w:after="0"/>
      </w:pPr>
      <w:r w:rsidRPr="00D42B1B">
        <w:t xml:space="preserve">Cinq ans après son lancement, </w:t>
      </w:r>
      <w:bookmarkStart w:id="304" w:name="_Hlk232367433"/>
      <w:r w:rsidRPr="00D42B1B">
        <w:t>la Plateforme industrielle d'</w:t>
      </w:r>
      <w:proofErr w:type="spellStart"/>
      <w:r w:rsidRPr="00D42B1B">
        <w:t>Adétikopé</w:t>
      </w:r>
      <w:proofErr w:type="spellEnd"/>
      <w:r w:rsidRPr="00D42B1B">
        <w:t xml:space="preserve"> (PIA) affiche un bilan encourageant</w:t>
      </w:r>
      <w:bookmarkEnd w:id="304"/>
      <w:r w:rsidRPr="00D42B1B">
        <w:t xml:space="preserve"> </w:t>
      </w:r>
      <w:r w:rsidR="005A4924" w:rsidRPr="00D42B1B">
        <w:t>avec</w:t>
      </w:r>
      <w:r w:rsidRPr="00D42B1B">
        <w:t xml:space="preserve"> plus de 6 580 emplois directs créés, dont 95% au profit de nationaux et 80% occupés par des jeunes et des femmes, soutenus par des investissements cumulés </w:t>
      </w:r>
      <w:r w:rsidRPr="00D42B1B">
        <w:lastRenderedPageBreak/>
        <w:t xml:space="preserve">dépassant 350 </w:t>
      </w:r>
      <w:r w:rsidR="005A4924" w:rsidRPr="00D42B1B">
        <w:t xml:space="preserve">Md FCFA </w:t>
      </w:r>
      <w:r w:rsidRPr="00D42B1B">
        <w:t>entre 2020 et 2025.</w:t>
      </w:r>
      <w:r w:rsidR="005A4924" w:rsidRPr="00D42B1B">
        <w:t xml:space="preserve"> </w:t>
      </w:r>
      <w:r w:rsidRPr="00D42B1B">
        <w:t>Ces résultats sont portés par 25 entreprises partenaires, dont 12 déjà opérationnelles dans des filières comme le soja, le karité, la noix de cajou, avec une capacité de transformation dépassant 180 000 tonnes par an. Une orientation délibérée vers la création de valeur ajoutée locale, pour limiter l'exportation de matières premières brutes.</w:t>
      </w:r>
      <w:r w:rsidR="005A4924" w:rsidRPr="00D42B1B">
        <w:t xml:space="preserve"> Les perspectives sont encore plus ambitieuses, avec un objectif compris entre 15 000 et 20 000 emplois à l'horizon 2030 a souligné M. </w:t>
      </w:r>
      <w:proofErr w:type="spellStart"/>
      <w:r w:rsidR="005A4924" w:rsidRPr="00D42B1B">
        <w:t>Idiola</w:t>
      </w:r>
      <w:proofErr w:type="spellEnd"/>
      <w:r w:rsidR="005A4924" w:rsidRPr="00D42B1B">
        <w:t xml:space="preserve"> </w:t>
      </w:r>
      <w:proofErr w:type="spellStart"/>
      <w:r w:rsidR="005A4924" w:rsidRPr="00D42B1B">
        <w:t>Sandah</w:t>
      </w:r>
      <w:proofErr w:type="spellEnd"/>
      <w:r w:rsidR="005A4924" w:rsidRPr="00D42B1B">
        <w:t xml:space="preserve">, administrateur de la PIA. </w:t>
      </w:r>
      <w:r w:rsidRPr="00D42B1B">
        <w:t xml:space="preserve">Une deuxième phase de développement est déjà en préparation, avec l'ambition de porter le nombre d'unités industrielles de 25 à 40-50 et de créer plus de 10 000 emplois supplémentaires. Le secteur textile, filature et confection du coton togolais, sera </w:t>
      </w:r>
      <w:r w:rsidR="005A4924" w:rsidRPr="00D42B1B">
        <w:t xml:space="preserve">notamment </w:t>
      </w:r>
      <w:r w:rsidRPr="00D42B1B">
        <w:t>au cœur de cette expansion. La construction d'une centrale solaire est également prévue.</w:t>
      </w:r>
      <w:r w:rsidR="005A4924" w:rsidRPr="00D42B1B">
        <w:t xml:space="preserve"> </w:t>
      </w:r>
      <w:r w:rsidRPr="00D42B1B">
        <w:t xml:space="preserve">Ce projet est le fruit d'un partenariat public-privé entre l'Etat et la société </w:t>
      </w:r>
      <w:proofErr w:type="spellStart"/>
      <w:r w:rsidRPr="00D42B1B">
        <w:t>AriseIIP</w:t>
      </w:r>
      <w:proofErr w:type="spellEnd"/>
      <w:r w:rsidR="005A4924" w:rsidRPr="00D42B1B">
        <w:t>.</w:t>
      </w:r>
    </w:p>
    <w:bookmarkEnd w:id="273"/>
    <w:p w14:paraId="7A698B58" w14:textId="7EB4773F" w:rsidR="00BC13A1" w:rsidRDefault="00BC13A1" w:rsidP="00BC13A1">
      <w:pPr>
        <w:shd w:val="clear" w:color="auto" w:fill="FFFFFF"/>
        <w:spacing w:after="0" w:line="240" w:lineRule="auto"/>
        <w:textAlignment w:val="baseline"/>
      </w:pPr>
    </w:p>
    <w:p w14:paraId="6C4FA498" w14:textId="419C8589" w:rsidR="00C37A57" w:rsidRDefault="00C37A57" w:rsidP="00BC13A1">
      <w:pPr>
        <w:shd w:val="clear" w:color="auto" w:fill="FFFFFF"/>
        <w:spacing w:after="0" w:line="240" w:lineRule="auto"/>
        <w:textAlignment w:val="baseline"/>
      </w:pPr>
    </w:p>
    <w:p w14:paraId="2CBBA7D2" w14:textId="3621EEF8" w:rsidR="00C37A57" w:rsidRDefault="00C37A57" w:rsidP="00BC13A1">
      <w:pPr>
        <w:shd w:val="clear" w:color="auto" w:fill="FFFFFF"/>
        <w:spacing w:after="0" w:line="240" w:lineRule="auto"/>
        <w:textAlignment w:val="baseline"/>
      </w:pPr>
    </w:p>
    <w:p w14:paraId="4ED9651A" w14:textId="05087B74" w:rsidR="00C37A57" w:rsidRDefault="00C37A57" w:rsidP="00BC13A1">
      <w:pPr>
        <w:shd w:val="clear" w:color="auto" w:fill="FFFFFF"/>
        <w:spacing w:after="0" w:line="240" w:lineRule="auto"/>
        <w:textAlignment w:val="baseline"/>
      </w:pPr>
    </w:p>
    <w:p w14:paraId="3174BEEC" w14:textId="66CD3CE6" w:rsidR="00C37A57" w:rsidRDefault="00C37A57" w:rsidP="00BC13A1">
      <w:pPr>
        <w:shd w:val="clear" w:color="auto" w:fill="FFFFFF"/>
        <w:spacing w:after="0" w:line="240" w:lineRule="auto"/>
        <w:textAlignment w:val="baseline"/>
      </w:pPr>
    </w:p>
    <w:p w14:paraId="6AA6233C" w14:textId="02A2B348" w:rsidR="00C37A57" w:rsidRDefault="00C37A57" w:rsidP="00BC13A1">
      <w:pPr>
        <w:shd w:val="clear" w:color="auto" w:fill="FFFFFF"/>
        <w:spacing w:after="0" w:line="240" w:lineRule="auto"/>
        <w:textAlignment w:val="baseline"/>
      </w:pPr>
    </w:p>
    <w:p w14:paraId="36C475A6" w14:textId="29E22665" w:rsidR="00C37A57" w:rsidRDefault="00C37A57" w:rsidP="00BC13A1">
      <w:pPr>
        <w:shd w:val="clear" w:color="auto" w:fill="FFFFFF"/>
        <w:spacing w:after="0" w:line="240" w:lineRule="auto"/>
        <w:textAlignment w:val="baseline"/>
      </w:pPr>
    </w:p>
    <w:p w14:paraId="63E7A6F0" w14:textId="48FC3282" w:rsidR="00C37A57" w:rsidRDefault="00C37A57" w:rsidP="00BC13A1">
      <w:pPr>
        <w:shd w:val="clear" w:color="auto" w:fill="FFFFFF"/>
        <w:spacing w:after="0" w:line="240" w:lineRule="auto"/>
        <w:textAlignment w:val="baseline"/>
      </w:pPr>
    </w:p>
    <w:p w14:paraId="0E2A7F98" w14:textId="0F6D9FF2" w:rsidR="00C37A57" w:rsidRDefault="00C37A57" w:rsidP="00BC13A1">
      <w:pPr>
        <w:shd w:val="clear" w:color="auto" w:fill="FFFFFF"/>
        <w:spacing w:after="0" w:line="240" w:lineRule="auto"/>
        <w:textAlignment w:val="baseline"/>
      </w:pPr>
    </w:p>
    <w:p w14:paraId="7B9DC374" w14:textId="6E603059" w:rsidR="00C37A57" w:rsidRDefault="00C37A57" w:rsidP="00BC13A1">
      <w:pPr>
        <w:shd w:val="clear" w:color="auto" w:fill="FFFFFF"/>
        <w:spacing w:after="0" w:line="240" w:lineRule="auto"/>
        <w:textAlignment w:val="baseline"/>
      </w:pPr>
    </w:p>
    <w:p w14:paraId="7B2BC63B" w14:textId="5960C808" w:rsidR="00C37A57" w:rsidRDefault="00C37A57" w:rsidP="00BC13A1">
      <w:pPr>
        <w:shd w:val="clear" w:color="auto" w:fill="FFFFFF"/>
        <w:spacing w:after="0" w:line="240" w:lineRule="auto"/>
        <w:textAlignment w:val="baseline"/>
      </w:pPr>
    </w:p>
    <w:p w14:paraId="70E6CBD2" w14:textId="61262D39" w:rsidR="00C37A57" w:rsidRDefault="00C37A57" w:rsidP="00BC13A1">
      <w:pPr>
        <w:shd w:val="clear" w:color="auto" w:fill="FFFFFF"/>
        <w:spacing w:after="0" w:line="240" w:lineRule="auto"/>
        <w:textAlignment w:val="baseline"/>
      </w:pPr>
    </w:p>
    <w:p w14:paraId="10A1E051" w14:textId="2D273987" w:rsidR="00C37A57" w:rsidRDefault="00C37A57" w:rsidP="00BC13A1">
      <w:pPr>
        <w:shd w:val="clear" w:color="auto" w:fill="FFFFFF"/>
        <w:spacing w:after="0" w:line="240" w:lineRule="auto"/>
        <w:textAlignment w:val="baseline"/>
      </w:pPr>
    </w:p>
    <w:p w14:paraId="54D6A910" w14:textId="4A20AD6B" w:rsidR="00C37A57" w:rsidRDefault="00C37A57" w:rsidP="00BC13A1">
      <w:pPr>
        <w:shd w:val="clear" w:color="auto" w:fill="FFFFFF"/>
        <w:spacing w:after="0" w:line="240" w:lineRule="auto"/>
        <w:textAlignment w:val="baseline"/>
      </w:pPr>
    </w:p>
    <w:p w14:paraId="62A9BD35" w14:textId="6D91D913" w:rsidR="00C37A57" w:rsidRDefault="00C37A57" w:rsidP="00BC13A1">
      <w:pPr>
        <w:shd w:val="clear" w:color="auto" w:fill="FFFFFF"/>
        <w:spacing w:after="0" w:line="240" w:lineRule="auto"/>
        <w:textAlignment w:val="baseline"/>
      </w:pPr>
    </w:p>
    <w:p w14:paraId="54F89296" w14:textId="7264545C" w:rsidR="00C37A57" w:rsidRDefault="00C37A57" w:rsidP="00BC13A1">
      <w:pPr>
        <w:shd w:val="clear" w:color="auto" w:fill="FFFFFF"/>
        <w:spacing w:after="0" w:line="240" w:lineRule="auto"/>
        <w:textAlignment w:val="baseline"/>
      </w:pPr>
    </w:p>
    <w:p w14:paraId="5DBD9BAA" w14:textId="05D0110D" w:rsidR="00C37A57" w:rsidRDefault="00C37A57" w:rsidP="00BC13A1">
      <w:pPr>
        <w:shd w:val="clear" w:color="auto" w:fill="FFFFFF"/>
        <w:spacing w:after="0" w:line="240" w:lineRule="auto"/>
        <w:textAlignment w:val="baseline"/>
      </w:pPr>
    </w:p>
    <w:p w14:paraId="6217401B" w14:textId="1A2AC903" w:rsidR="00C37A57" w:rsidRPr="006C6194" w:rsidRDefault="00C37A57" w:rsidP="00BC13A1">
      <w:pPr>
        <w:shd w:val="clear" w:color="auto" w:fill="FFFFFF"/>
        <w:spacing w:after="0" w:line="240" w:lineRule="auto"/>
        <w:textAlignment w:val="baseline"/>
      </w:pPr>
      <w:r w:rsidRPr="00EB035A">
        <w:rPr>
          <w:rFonts w:ascii="Calibri" w:eastAsia="Calibri" w:hAnsi="Calibri" w:cs="Times New Roman"/>
          <w:b/>
          <w:bCs/>
          <w:noProof/>
          <w:sz w:val="22"/>
        </w:rPr>
        <mc:AlternateContent>
          <mc:Choice Requires="wps">
            <w:drawing>
              <wp:anchor distT="0" distB="0" distL="114300" distR="114300" simplePos="0" relativeHeight="251659264" behindDoc="1" locked="0" layoutInCell="1" allowOverlap="1" wp14:anchorId="59BD76B7" wp14:editId="70F42223">
                <wp:simplePos x="0" y="0"/>
                <wp:positionH relativeFrom="page">
                  <wp:align>left</wp:align>
                </wp:positionH>
                <wp:positionV relativeFrom="margin">
                  <wp:posOffset>7432040</wp:posOffset>
                </wp:positionV>
                <wp:extent cx="7586980" cy="1677726"/>
                <wp:effectExtent l="0" t="0" r="0" b="0"/>
                <wp:wrapNone/>
                <wp:docPr id="4" name="Rectangle 4"/>
                <wp:cNvGraphicFramePr/>
                <a:graphic xmlns:a="http://schemas.openxmlformats.org/drawingml/2006/main">
                  <a:graphicData uri="http://schemas.microsoft.com/office/word/2010/wordprocessingShape">
                    <wps:wsp>
                      <wps:cNvSpPr/>
                      <wps:spPr>
                        <a:xfrm>
                          <a:off x="0" y="0"/>
                          <a:ext cx="7586980" cy="1677726"/>
                        </a:xfrm>
                        <a:prstGeom prst="rect">
                          <a:avLst/>
                        </a:prstGeom>
                        <a:solidFill>
                          <a:srgbClr val="FBE769"/>
                        </a:solidFill>
                        <a:ln w="12700" cap="flat" cmpd="sng" algn="ctr">
                          <a:noFill/>
                          <a:prstDash val="solid"/>
                          <a:miter lim="800000"/>
                        </a:ln>
                        <a:effectLst/>
                      </wps:spPr>
                      <wps:txbx>
                        <w:txbxContent>
                          <w:p w14:paraId="214CF6E2" w14:textId="77777777" w:rsidR="00C37A57" w:rsidRDefault="00C37A57" w:rsidP="00C37A57">
                            <w:pPr>
                              <w:ind w:left="709" w:right="866"/>
                              <w:rPr>
                                <w:color w:val="000000"/>
                                <w:szCs w:val="20"/>
                              </w:rPr>
                            </w:pPr>
                            <w:r w:rsidRPr="00EE5287">
                              <w:rPr>
                                <w:color w:val="000000"/>
                                <w:szCs w:val="20"/>
                              </w:rPr>
                              <w:t>La direction générale du Trésor est présente dans plus de 100 pays à travers ses Services économiques.</w:t>
                            </w:r>
                          </w:p>
                          <w:p w14:paraId="20A7F307" w14:textId="77777777" w:rsidR="00C37A57" w:rsidRPr="00EE5287" w:rsidRDefault="00C37A57" w:rsidP="00C37A57">
                            <w:pPr>
                              <w:ind w:left="709" w:right="866"/>
                              <w:jc w:val="left"/>
                              <w:rPr>
                                <w:color w:val="000000"/>
                                <w:szCs w:val="20"/>
                              </w:rPr>
                            </w:pPr>
                            <w:r w:rsidRPr="00EE5287">
                              <w:rPr>
                                <w:color w:val="000000"/>
                                <w:szCs w:val="20"/>
                              </w:rPr>
                              <w:t xml:space="preserve">Pour en savoir plus sur ses missions et ses implantations : </w:t>
                            </w:r>
                            <w:r w:rsidRPr="00EE5287">
                              <w:rPr>
                                <w:color w:val="000000"/>
                                <w:szCs w:val="20"/>
                              </w:rPr>
                              <w:br/>
                            </w:r>
                            <w:hyperlink r:id="rId46" w:history="1">
                              <w:r w:rsidRPr="00EE5287">
                                <w:rPr>
                                  <w:rStyle w:val="Lienhypertexte"/>
                                  <w:szCs w:val="20"/>
                                </w:rPr>
                                <w:t>www.tresor.economie.gouv.fr/tresor-international</w:t>
                              </w:r>
                            </w:hyperlink>
                          </w:p>
                          <w:p w14:paraId="66230C7D" w14:textId="77777777" w:rsidR="00C37A57" w:rsidRPr="00EB035A" w:rsidRDefault="00C37A57" w:rsidP="00C37A57">
                            <w:pPr>
                              <w:ind w:left="709" w:right="866"/>
                              <w:rPr>
                                <w:rStyle w:val="Lienhypertexte"/>
                                <w:color w:val="666666"/>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69A2F30C" w14:textId="77777777" w:rsidR="00C37A57" w:rsidRPr="00EE5287" w:rsidRDefault="00C37A57" w:rsidP="00C37A57">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sidRPr="00EB035A">
                              <w:rPr>
                                <w:rFonts w:ascii="Marianne" w:hAnsi="Marianne"/>
                                <w:color w:val="666666"/>
                                <w:sz w:val="20"/>
                                <w:szCs w:val="20"/>
                                <w:u w:val="single"/>
                              </w:rPr>
                              <w:t>regis.raffin@dgtresor.gouv.fr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D76B7" id="Rectangle 4" o:spid="_x0000_s1026" style="position:absolute;left:0;text-align:left;margin-left:0;margin-top:585.2pt;width:597.4pt;height:132.1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" fillcolor="#fbe769" stroked="f" strokeweight="1pt">
                <v:textbox>
                  <w:txbxContent>
                    <w:p w14:paraId="214CF6E2" w14:textId="77777777" w:rsidR="00C37A57" w:rsidRDefault="00C37A57" w:rsidP="00C37A57">
                      <w:pPr>
                        <w:ind w:left="709" w:right="866"/>
                        <w:rPr>
                          <w:color w:val="000000"/>
                          <w:szCs w:val="20"/>
                        </w:rPr>
                      </w:pPr>
                      <w:r w:rsidRPr="00EE5287">
                        <w:rPr>
                          <w:color w:val="000000"/>
                          <w:szCs w:val="20"/>
                        </w:rPr>
                        <w:t>La direction générale du Trésor est présente dans plus de 100 pays à travers ses Services économiques.</w:t>
                      </w:r>
                    </w:p>
                    <w:p w14:paraId="20A7F307" w14:textId="77777777" w:rsidR="00C37A57" w:rsidRPr="00EE5287" w:rsidRDefault="00C37A57" w:rsidP="00C37A57">
                      <w:pPr>
                        <w:ind w:left="709" w:right="866"/>
                        <w:jc w:val="left"/>
                        <w:rPr>
                          <w:color w:val="000000"/>
                          <w:szCs w:val="20"/>
                        </w:rPr>
                      </w:pPr>
                      <w:r w:rsidRPr="00EE5287">
                        <w:rPr>
                          <w:color w:val="000000"/>
                          <w:szCs w:val="20"/>
                        </w:rPr>
                        <w:t xml:space="preserve">Pour en savoir plus sur ses missions et ses implantations : </w:t>
                      </w:r>
                      <w:r w:rsidRPr="00EE5287">
                        <w:rPr>
                          <w:color w:val="000000"/>
                          <w:szCs w:val="20"/>
                        </w:rPr>
                        <w:br/>
                      </w:r>
                      <w:hyperlink r:id="rId47" w:history="1">
                        <w:r w:rsidRPr="00EE5287">
                          <w:rPr>
                            <w:rStyle w:val="Lienhypertexte"/>
                            <w:szCs w:val="20"/>
                          </w:rPr>
                          <w:t>www.tresor.economie.gouv.fr/tresor-international</w:t>
                        </w:r>
                      </w:hyperlink>
                    </w:p>
                    <w:p w14:paraId="66230C7D" w14:textId="77777777" w:rsidR="00C37A57" w:rsidRPr="00EB035A" w:rsidRDefault="00C37A57" w:rsidP="00C37A57">
                      <w:pPr>
                        <w:ind w:left="709" w:right="866"/>
                        <w:rPr>
                          <w:rStyle w:val="Lienhypertexte"/>
                          <w:color w:val="666666"/>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69A2F30C" w14:textId="77777777" w:rsidR="00C37A57" w:rsidRPr="00EE5287" w:rsidRDefault="00C37A57" w:rsidP="00C37A57">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sidRPr="00EB035A">
                        <w:rPr>
                          <w:rFonts w:ascii="Marianne" w:hAnsi="Marianne"/>
                          <w:color w:val="666666"/>
                          <w:sz w:val="20"/>
                          <w:szCs w:val="20"/>
                          <w:u w:val="single"/>
                        </w:rPr>
                        <w:t>regis.raffin@dgtresor.gouv.fr</w:t>
                      </w:r>
                    </w:p>
                  </w:txbxContent>
                </v:textbox>
                <w10:wrap anchorx="page" anchory="margin"/>
              </v:rect>
            </w:pict>
          </mc:Fallback>
        </mc:AlternateContent>
      </w:r>
    </w:p>
    <w:sectPr w:rsidR="00C37A57" w:rsidRPr="006C6194" w:rsidSect="00445860">
      <w:headerReference w:type="first" r:id="rId48"/>
      <w:pgSz w:w="11906" w:h="16838" w:code="9"/>
      <w:pgMar w:top="1417" w:right="1417" w:bottom="1417" w:left="1417" w:header="396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76473" w14:textId="77777777" w:rsidR="00A0673D" w:rsidRDefault="00A0673D" w:rsidP="007121A6">
      <w:pPr>
        <w:spacing w:after="0" w:line="240" w:lineRule="auto"/>
      </w:pPr>
      <w:r>
        <w:separator/>
      </w:r>
    </w:p>
  </w:endnote>
  <w:endnote w:type="continuationSeparator" w:id="0">
    <w:p w14:paraId="0EF332F5" w14:textId="77777777" w:rsidR="00A0673D" w:rsidRDefault="00A0673D" w:rsidP="00712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0A031" w14:textId="77777777" w:rsidR="00A0673D" w:rsidRDefault="00A0673D" w:rsidP="007121A6">
      <w:pPr>
        <w:spacing w:after="0" w:line="240" w:lineRule="auto"/>
      </w:pPr>
      <w:r>
        <w:separator/>
      </w:r>
    </w:p>
  </w:footnote>
  <w:footnote w:type="continuationSeparator" w:id="0">
    <w:p w14:paraId="010D9D6F" w14:textId="77777777" w:rsidR="00A0673D" w:rsidRDefault="00A0673D" w:rsidP="007121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EBB5" w14:textId="2F448722" w:rsidR="00445860" w:rsidRDefault="000D3B91" w:rsidP="00445860">
    <w:pPr>
      <w:pStyle w:val="Titre1"/>
      <w:jc w:val="right"/>
    </w:pPr>
    <w:r>
      <w:t>Juin</w:t>
    </w:r>
    <w:r w:rsidR="00445860">
      <w:t xml:space="preserve"> 202</w:t>
    </w:r>
    <w:r w:rsidR="00CB673D">
      <w:t>6</w:t>
    </w:r>
  </w:p>
  <w:p w14:paraId="47503EB6" w14:textId="345BCF96" w:rsidR="00445860" w:rsidRPr="00445860" w:rsidRDefault="00445860" w:rsidP="00445860">
    <w:pPr>
      <w:pStyle w:val="Titre1"/>
      <w:jc w:val="center"/>
    </w:pPr>
    <w:r w:rsidRPr="004C416F">
      <w:rPr>
        <w:noProof/>
      </w:rPr>
      <w:drawing>
        <wp:anchor distT="0" distB="0" distL="114300" distR="114300" simplePos="0" relativeHeight="251659264" behindDoc="1" locked="1" layoutInCell="1" allowOverlap="1" wp14:anchorId="4ABCD437" wp14:editId="289FE6D1">
          <wp:simplePos x="0" y="0"/>
          <wp:positionH relativeFrom="page">
            <wp:align>left</wp:align>
          </wp:positionH>
          <wp:positionV relativeFrom="paragraph">
            <wp:posOffset>-3095625</wp:posOffset>
          </wp:positionV>
          <wp:extent cx="7671435" cy="2615565"/>
          <wp:effectExtent l="0" t="0" r="571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71435" cy="2615565"/>
                  </a:xfrm>
                  <a:prstGeom prst="rect">
                    <a:avLst/>
                  </a:prstGeom>
                  <a:noFill/>
                  <a:ln>
                    <a:noFill/>
                  </a:ln>
                </pic:spPr>
              </pic:pic>
            </a:graphicData>
          </a:graphic>
          <wp14:sizeRelH relativeFrom="margin">
            <wp14:pctWidth>0</wp14:pctWidth>
          </wp14:sizeRelH>
          <wp14:sizeRelV relativeFrom="margin">
            <wp14:pctHeight>0</wp14:pctHeight>
          </wp14:sizeRelV>
        </wp:anchor>
      </w:drawing>
    </w:r>
    <w:r>
      <w:t>Sommaire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5706C"/>
    <w:multiLevelType w:val="hybridMultilevel"/>
    <w:tmpl w:val="4A1C9EB0"/>
    <w:lvl w:ilvl="0" w:tplc="6A7A26B6">
      <w:start w:val="1"/>
      <w:numFmt w:val="bullet"/>
      <w:pStyle w:val="TM2"/>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82E5FEE"/>
    <w:multiLevelType w:val="hybridMultilevel"/>
    <w:tmpl w:val="8C00473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B374FB1"/>
    <w:multiLevelType w:val="multilevel"/>
    <w:tmpl w:val="0574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4963C4"/>
    <w:multiLevelType w:val="multilevel"/>
    <w:tmpl w:val="2FAC2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6F"/>
    <w:rsid w:val="00004283"/>
    <w:rsid w:val="0000429A"/>
    <w:rsid w:val="000044CD"/>
    <w:rsid w:val="0000695F"/>
    <w:rsid w:val="0000705B"/>
    <w:rsid w:val="00012813"/>
    <w:rsid w:val="00014B80"/>
    <w:rsid w:val="00014CFC"/>
    <w:rsid w:val="00014D5D"/>
    <w:rsid w:val="000165CC"/>
    <w:rsid w:val="00016CA2"/>
    <w:rsid w:val="000226EB"/>
    <w:rsid w:val="0002288A"/>
    <w:rsid w:val="0002325C"/>
    <w:rsid w:val="00023A85"/>
    <w:rsid w:val="00023B64"/>
    <w:rsid w:val="000242C4"/>
    <w:rsid w:val="00024918"/>
    <w:rsid w:val="00024A6C"/>
    <w:rsid w:val="0002577B"/>
    <w:rsid w:val="00027B4E"/>
    <w:rsid w:val="0003091B"/>
    <w:rsid w:val="000312DC"/>
    <w:rsid w:val="00033156"/>
    <w:rsid w:val="00034DBE"/>
    <w:rsid w:val="000361F5"/>
    <w:rsid w:val="0003644E"/>
    <w:rsid w:val="00037257"/>
    <w:rsid w:val="00037CE6"/>
    <w:rsid w:val="00040502"/>
    <w:rsid w:val="000405D0"/>
    <w:rsid w:val="000410A4"/>
    <w:rsid w:val="00041E22"/>
    <w:rsid w:val="0004293B"/>
    <w:rsid w:val="00042C6F"/>
    <w:rsid w:val="00044F3E"/>
    <w:rsid w:val="00045A4F"/>
    <w:rsid w:val="00045AFA"/>
    <w:rsid w:val="00045EE1"/>
    <w:rsid w:val="000462BB"/>
    <w:rsid w:val="000464E9"/>
    <w:rsid w:val="00046A46"/>
    <w:rsid w:val="00047064"/>
    <w:rsid w:val="0005007B"/>
    <w:rsid w:val="000515C0"/>
    <w:rsid w:val="00054128"/>
    <w:rsid w:val="00055E0F"/>
    <w:rsid w:val="00056B06"/>
    <w:rsid w:val="00056E7C"/>
    <w:rsid w:val="000573D4"/>
    <w:rsid w:val="00060300"/>
    <w:rsid w:val="0006040B"/>
    <w:rsid w:val="00061606"/>
    <w:rsid w:val="000626BF"/>
    <w:rsid w:val="00062C89"/>
    <w:rsid w:val="0006482A"/>
    <w:rsid w:val="0006514C"/>
    <w:rsid w:val="00065805"/>
    <w:rsid w:val="00067134"/>
    <w:rsid w:val="0007002B"/>
    <w:rsid w:val="00070467"/>
    <w:rsid w:val="000722D0"/>
    <w:rsid w:val="00072CC0"/>
    <w:rsid w:val="00075045"/>
    <w:rsid w:val="00081906"/>
    <w:rsid w:val="00081DC6"/>
    <w:rsid w:val="000851B2"/>
    <w:rsid w:val="00085E90"/>
    <w:rsid w:val="0008603F"/>
    <w:rsid w:val="00086E8B"/>
    <w:rsid w:val="00086F44"/>
    <w:rsid w:val="0008709B"/>
    <w:rsid w:val="00087B2E"/>
    <w:rsid w:val="00090A42"/>
    <w:rsid w:val="0009342C"/>
    <w:rsid w:val="000945DC"/>
    <w:rsid w:val="00094769"/>
    <w:rsid w:val="00094D8E"/>
    <w:rsid w:val="00095226"/>
    <w:rsid w:val="00095662"/>
    <w:rsid w:val="000977ED"/>
    <w:rsid w:val="00097BE2"/>
    <w:rsid w:val="000A010F"/>
    <w:rsid w:val="000A1A13"/>
    <w:rsid w:val="000A32B7"/>
    <w:rsid w:val="000A3BDF"/>
    <w:rsid w:val="000A4205"/>
    <w:rsid w:val="000A48C8"/>
    <w:rsid w:val="000A6058"/>
    <w:rsid w:val="000B032F"/>
    <w:rsid w:val="000B26BA"/>
    <w:rsid w:val="000B280F"/>
    <w:rsid w:val="000B3141"/>
    <w:rsid w:val="000B3506"/>
    <w:rsid w:val="000B4B3A"/>
    <w:rsid w:val="000B4EB2"/>
    <w:rsid w:val="000C237D"/>
    <w:rsid w:val="000C2961"/>
    <w:rsid w:val="000C3D0E"/>
    <w:rsid w:val="000C3F14"/>
    <w:rsid w:val="000C43FD"/>
    <w:rsid w:val="000C52C3"/>
    <w:rsid w:val="000C5F86"/>
    <w:rsid w:val="000C6091"/>
    <w:rsid w:val="000C6192"/>
    <w:rsid w:val="000C75FC"/>
    <w:rsid w:val="000C77F6"/>
    <w:rsid w:val="000C7F9D"/>
    <w:rsid w:val="000D0971"/>
    <w:rsid w:val="000D18C1"/>
    <w:rsid w:val="000D1A00"/>
    <w:rsid w:val="000D1E83"/>
    <w:rsid w:val="000D358A"/>
    <w:rsid w:val="000D3B91"/>
    <w:rsid w:val="000D4CFD"/>
    <w:rsid w:val="000E0763"/>
    <w:rsid w:val="000E2F2C"/>
    <w:rsid w:val="000E3C7C"/>
    <w:rsid w:val="000E5691"/>
    <w:rsid w:val="000E6ABF"/>
    <w:rsid w:val="000E6DDC"/>
    <w:rsid w:val="000E745B"/>
    <w:rsid w:val="000E7470"/>
    <w:rsid w:val="000F05DD"/>
    <w:rsid w:val="000F0BFB"/>
    <w:rsid w:val="000F1479"/>
    <w:rsid w:val="000F3DF5"/>
    <w:rsid w:val="000F498F"/>
    <w:rsid w:val="000F5720"/>
    <w:rsid w:val="000F68A7"/>
    <w:rsid w:val="00100BB9"/>
    <w:rsid w:val="001012FD"/>
    <w:rsid w:val="00101B3F"/>
    <w:rsid w:val="0010268A"/>
    <w:rsid w:val="00103AAD"/>
    <w:rsid w:val="00103F7B"/>
    <w:rsid w:val="0010442D"/>
    <w:rsid w:val="00110C0D"/>
    <w:rsid w:val="00110C5B"/>
    <w:rsid w:val="00111249"/>
    <w:rsid w:val="0011196C"/>
    <w:rsid w:val="00111CFA"/>
    <w:rsid w:val="001122BD"/>
    <w:rsid w:val="00113221"/>
    <w:rsid w:val="00113666"/>
    <w:rsid w:val="00113A14"/>
    <w:rsid w:val="00113E7F"/>
    <w:rsid w:val="00114587"/>
    <w:rsid w:val="001147E3"/>
    <w:rsid w:val="00115943"/>
    <w:rsid w:val="00117139"/>
    <w:rsid w:val="00120156"/>
    <w:rsid w:val="001211BD"/>
    <w:rsid w:val="0012158E"/>
    <w:rsid w:val="001215EA"/>
    <w:rsid w:val="00123C6C"/>
    <w:rsid w:val="00127262"/>
    <w:rsid w:val="001274E1"/>
    <w:rsid w:val="0012792D"/>
    <w:rsid w:val="00130034"/>
    <w:rsid w:val="0013150B"/>
    <w:rsid w:val="00134AC6"/>
    <w:rsid w:val="00136AD4"/>
    <w:rsid w:val="00145167"/>
    <w:rsid w:val="00145CDB"/>
    <w:rsid w:val="0014687C"/>
    <w:rsid w:val="00147A4F"/>
    <w:rsid w:val="00150B03"/>
    <w:rsid w:val="00150BA4"/>
    <w:rsid w:val="00151103"/>
    <w:rsid w:val="00152F44"/>
    <w:rsid w:val="00153259"/>
    <w:rsid w:val="001538B3"/>
    <w:rsid w:val="00154B33"/>
    <w:rsid w:val="00155204"/>
    <w:rsid w:val="00155CA8"/>
    <w:rsid w:val="001564C7"/>
    <w:rsid w:val="0015671B"/>
    <w:rsid w:val="00157382"/>
    <w:rsid w:val="00157527"/>
    <w:rsid w:val="00157593"/>
    <w:rsid w:val="0016097A"/>
    <w:rsid w:val="00160D1C"/>
    <w:rsid w:val="00162687"/>
    <w:rsid w:val="00163E5A"/>
    <w:rsid w:val="0016488E"/>
    <w:rsid w:val="0016683A"/>
    <w:rsid w:val="00166C29"/>
    <w:rsid w:val="00170630"/>
    <w:rsid w:val="0017663E"/>
    <w:rsid w:val="0017732E"/>
    <w:rsid w:val="00177BA5"/>
    <w:rsid w:val="00177FB6"/>
    <w:rsid w:val="00182D7A"/>
    <w:rsid w:val="001837B4"/>
    <w:rsid w:val="00184A7C"/>
    <w:rsid w:val="00186350"/>
    <w:rsid w:val="00186D4C"/>
    <w:rsid w:val="00187FD9"/>
    <w:rsid w:val="001900C2"/>
    <w:rsid w:val="001904BB"/>
    <w:rsid w:val="0019186C"/>
    <w:rsid w:val="001929BA"/>
    <w:rsid w:val="001957FF"/>
    <w:rsid w:val="00195B53"/>
    <w:rsid w:val="001A1317"/>
    <w:rsid w:val="001A1668"/>
    <w:rsid w:val="001A19B4"/>
    <w:rsid w:val="001A2400"/>
    <w:rsid w:val="001A2E81"/>
    <w:rsid w:val="001A4C72"/>
    <w:rsid w:val="001A6C12"/>
    <w:rsid w:val="001A7A2D"/>
    <w:rsid w:val="001B10DB"/>
    <w:rsid w:val="001B18B8"/>
    <w:rsid w:val="001B29F9"/>
    <w:rsid w:val="001B2FD0"/>
    <w:rsid w:val="001B34C9"/>
    <w:rsid w:val="001B3854"/>
    <w:rsid w:val="001B4DF6"/>
    <w:rsid w:val="001B5D92"/>
    <w:rsid w:val="001B779E"/>
    <w:rsid w:val="001C01B5"/>
    <w:rsid w:val="001C2AEA"/>
    <w:rsid w:val="001C2B47"/>
    <w:rsid w:val="001C3910"/>
    <w:rsid w:val="001C499A"/>
    <w:rsid w:val="001C70FF"/>
    <w:rsid w:val="001D05C4"/>
    <w:rsid w:val="001D27B1"/>
    <w:rsid w:val="001D37B7"/>
    <w:rsid w:val="001D448D"/>
    <w:rsid w:val="001D4DD3"/>
    <w:rsid w:val="001D5780"/>
    <w:rsid w:val="001D65E0"/>
    <w:rsid w:val="001D7865"/>
    <w:rsid w:val="001D78A6"/>
    <w:rsid w:val="001D7C2E"/>
    <w:rsid w:val="001E3627"/>
    <w:rsid w:val="001E42F4"/>
    <w:rsid w:val="001E4552"/>
    <w:rsid w:val="001F2641"/>
    <w:rsid w:val="001F321B"/>
    <w:rsid w:val="001F5532"/>
    <w:rsid w:val="001F5864"/>
    <w:rsid w:val="001F6D63"/>
    <w:rsid w:val="00200171"/>
    <w:rsid w:val="002011BB"/>
    <w:rsid w:val="002012F2"/>
    <w:rsid w:val="00202565"/>
    <w:rsid w:val="00203347"/>
    <w:rsid w:val="00204819"/>
    <w:rsid w:val="0020484D"/>
    <w:rsid w:val="00206139"/>
    <w:rsid w:val="002066B8"/>
    <w:rsid w:val="002076AD"/>
    <w:rsid w:val="00211F64"/>
    <w:rsid w:val="0021264B"/>
    <w:rsid w:val="002142B9"/>
    <w:rsid w:val="002142BB"/>
    <w:rsid w:val="00214DB4"/>
    <w:rsid w:val="0022068E"/>
    <w:rsid w:val="0022117B"/>
    <w:rsid w:val="0022149A"/>
    <w:rsid w:val="0022268A"/>
    <w:rsid w:val="00225580"/>
    <w:rsid w:val="00225C9F"/>
    <w:rsid w:val="00226463"/>
    <w:rsid w:val="002268C4"/>
    <w:rsid w:val="00226E5C"/>
    <w:rsid w:val="00230BA5"/>
    <w:rsid w:val="00230D35"/>
    <w:rsid w:val="00231A4F"/>
    <w:rsid w:val="00232E47"/>
    <w:rsid w:val="00233351"/>
    <w:rsid w:val="00233732"/>
    <w:rsid w:val="00233E1B"/>
    <w:rsid w:val="00234754"/>
    <w:rsid w:val="00235728"/>
    <w:rsid w:val="002357D7"/>
    <w:rsid w:val="002370C4"/>
    <w:rsid w:val="0024001D"/>
    <w:rsid w:val="002403D3"/>
    <w:rsid w:val="002431BA"/>
    <w:rsid w:val="002435C4"/>
    <w:rsid w:val="0024486D"/>
    <w:rsid w:val="00244E82"/>
    <w:rsid w:val="00245D81"/>
    <w:rsid w:val="00246676"/>
    <w:rsid w:val="00251072"/>
    <w:rsid w:val="00251D27"/>
    <w:rsid w:val="002526C7"/>
    <w:rsid w:val="00254CC3"/>
    <w:rsid w:val="002574D8"/>
    <w:rsid w:val="00257587"/>
    <w:rsid w:val="002601DA"/>
    <w:rsid w:val="00263153"/>
    <w:rsid w:val="00263221"/>
    <w:rsid w:val="00265F38"/>
    <w:rsid w:val="002668BE"/>
    <w:rsid w:val="00266A92"/>
    <w:rsid w:val="00266CE5"/>
    <w:rsid w:val="00267175"/>
    <w:rsid w:val="0027048F"/>
    <w:rsid w:val="00270608"/>
    <w:rsid w:val="002720C7"/>
    <w:rsid w:val="00280BDA"/>
    <w:rsid w:val="0028165C"/>
    <w:rsid w:val="002818EC"/>
    <w:rsid w:val="002850C9"/>
    <w:rsid w:val="00285951"/>
    <w:rsid w:val="00285A16"/>
    <w:rsid w:val="002864C2"/>
    <w:rsid w:val="00291755"/>
    <w:rsid w:val="002918D4"/>
    <w:rsid w:val="002925DF"/>
    <w:rsid w:val="00293445"/>
    <w:rsid w:val="00296216"/>
    <w:rsid w:val="0029732D"/>
    <w:rsid w:val="00297CA1"/>
    <w:rsid w:val="00297EFB"/>
    <w:rsid w:val="002A10E3"/>
    <w:rsid w:val="002A1C33"/>
    <w:rsid w:val="002A1D4A"/>
    <w:rsid w:val="002A20A7"/>
    <w:rsid w:val="002A54DA"/>
    <w:rsid w:val="002A6110"/>
    <w:rsid w:val="002A7517"/>
    <w:rsid w:val="002B1785"/>
    <w:rsid w:val="002B3DDD"/>
    <w:rsid w:val="002B6AAC"/>
    <w:rsid w:val="002B6ABA"/>
    <w:rsid w:val="002B7B7B"/>
    <w:rsid w:val="002C07CF"/>
    <w:rsid w:val="002C0CDF"/>
    <w:rsid w:val="002C1259"/>
    <w:rsid w:val="002C1C5B"/>
    <w:rsid w:val="002C2A6C"/>
    <w:rsid w:val="002C2CA6"/>
    <w:rsid w:val="002C3128"/>
    <w:rsid w:val="002C3AE6"/>
    <w:rsid w:val="002C409F"/>
    <w:rsid w:val="002C6FE6"/>
    <w:rsid w:val="002C7D7C"/>
    <w:rsid w:val="002D13DC"/>
    <w:rsid w:val="002D2222"/>
    <w:rsid w:val="002D3113"/>
    <w:rsid w:val="002D33DC"/>
    <w:rsid w:val="002D6344"/>
    <w:rsid w:val="002D758C"/>
    <w:rsid w:val="002E035A"/>
    <w:rsid w:val="002E0E61"/>
    <w:rsid w:val="002E16EC"/>
    <w:rsid w:val="002E3785"/>
    <w:rsid w:val="002E3962"/>
    <w:rsid w:val="002E3C52"/>
    <w:rsid w:val="002E4147"/>
    <w:rsid w:val="002E4F5C"/>
    <w:rsid w:val="002E56B7"/>
    <w:rsid w:val="002E5727"/>
    <w:rsid w:val="002E658E"/>
    <w:rsid w:val="002E6C88"/>
    <w:rsid w:val="002E7232"/>
    <w:rsid w:val="002E784E"/>
    <w:rsid w:val="002F0932"/>
    <w:rsid w:val="002F192A"/>
    <w:rsid w:val="002F2F73"/>
    <w:rsid w:val="002F3C67"/>
    <w:rsid w:val="002F45B9"/>
    <w:rsid w:val="002F495C"/>
    <w:rsid w:val="002F6631"/>
    <w:rsid w:val="002F6954"/>
    <w:rsid w:val="002F7761"/>
    <w:rsid w:val="002F7A32"/>
    <w:rsid w:val="00302761"/>
    <w:rsid w:val="003028FC"/>
    <w:rsid w:val="00302EBE"/>
    <w:rsid w:val="00305F26"/>
    <w:rsid w:val="00306AF5"/>
    <w:rsid w:val="003104AA"/>
    <w:rsid w:val="00310AFC"/>
    <w:rsid w:val="003119E2"/>
    <w:rsid w:val="0031279A"/>
    <w:rsid w:val="0031281B"/>
    <w:rsid w:val="00312D76"/>
    <w:rsid w:val="00313891"/>
    <w:rsid w:val="003149E6"/>
    <w:rsid w:val="00316D63"/>
    <w:rsid w:val="00320AB4"/>
    <w:rsid w:val="00322679"/>
    <w:rsid w:val="00322904"/>
    <w:rsid w:val="00323257"/>
    <w:rsid w:val="003234EE"/>
    <w:rsid w:val="003235E6"/>
    <w:rsid w:val="003238E4"/>
    <w:rsid w:val="00323A4E"/>
    <w:rsid w:val="00323B7E"/>
    <w:rsid w:val="00323EFB"/>
    <w:rsid w:val="00324E99"/>
    <w:rsid w:val="00325768"/>
    <w:rsid w:val="00326123"/>
    <w:rsid w:val="003262EA"/>
    <w:rsid w:val="00326C60"/>
    <w:rsid w:val="0032794C"/>
    <w:rsid w:val="00327CAD"/>
    <w:rsid w:val="00330119"/>
    <w:rsid w:val="00330C16"/>
    <w:rsid w:val="003317F2"/>
    <w:rsid w:val="00332A2A"/>
    <w:rsid w:val="00334035"/>
    <w:rsid w:val="00334591"/>
    <w:rsid w:val="003352D1"/>
    <w:rsid w:val="00337A9F"/>
    <w:rsid w:val="00337C6C"/>
    <w:rsid w:val="00337F20"/>
    <w:rsid w:val="00340204"/>
    <w:rsid w:val="00341F76"/>
    <w:rsid w:val="003425D0"/>
    <w:rsid w:val="00344FB9"/>
    <w:rsid w:val="00345377"/>
    <w:rsid w:val="0034628A"/>
    <w:rsid w:val="00346DB3"/>
    <w:rsid w:val="003507EC"/>
    <w:rsid w:val="00351591"/>
    <w:rsid w:val="0035208D"/>
    <w:rsid w:val="0035210B"/>
    <w:rsid w:val="00352BB9"/>
    <w:rsid w:val="00354BE8"/>
    <w:rsid w:val="00356133"/>
    <w:rsid w:val="0036326C"/>
    <w:rsid w:val="00364D37"/>
    <w:rsid w:val="00370415"/>
    <w:rsid w:val="0037139D"/>
    <w:rsid w:val="00373AE0"/>
    <w:rsid w:val="00374406"/>
    <w:rsid w:val="00377FC0"/>
    <w:rsid w:val="00380288"/>
    <w:rsid w:val="0038033E"/>
    <w:rsid w:val="00380467"/>
    <w:rsid w:val="003808E0"/>
    <w:rsid w:val="003811EF"/>
    <w:rsid w:val="0038131A"/>
    <w:rsid w:val="00382121"/>
    <w:rsid w:val="003822A5"/>
    <w:rsid w:val="0038621A"/>
    <w:rsid w:val="00386F8C"/>
    <w:rsid w:val="0038795C"/>
    <w:rsid w:val="00387D7D"/>
    <w:rsid w:val="00392B14"/>
    <w:rsid w:val="00394914"/>
    <w:rsid w:val="00395549"/>
    <w:rsid w:val="00395E0E"/>
    <w:rsid w:val="003965D3"/>
    <w:rsid w:val="00397117"/>
    <w:rsid w:val="00397378"/>
    <w:rsid w:val="003974A2"/>
    <w:rsid w:val="00397D79"/>
    <w:rsid w:val="003A21B3"/>
    <w:rsid w:val="003A2FB4"/>
    <w:rsid w:val="003A3784"/>
    <w:rsid w:val="003A5D27"/>
    <w:rsid w:val="003A708B"/>
    <w:rsid w:val="003B2983"/>
    <w:rsid w:val="003B30A4"/>
    <w:rsid w:val="003B30EF"/>
    <w:rsid w:val="003B4B8E"/>
    <w:rsid w:val="003B4F68"/>
    <w:rsid w:val="003B60DE"/>
    <w:rsid w:val="003B6D35"/>
    <w:rsid w:val="003B770A"/>
    <w:rsid w:val="003B7A03"/>
    <w:rsid w:val="003C070A"/>
    <w:rsid w:val="003C0ACD"/>
    <w:rsid w:val="003C3048"/>
    <w:rsid w:val="003C3714"/>
    <w:rsid w:val="003C52C8"/>
    <w:rsid w:val="003C532C"/>
    <w:rsid w:val="003C5A3A"/>
    <w:rsid w:val="003C5F2E"/>
    <w:rsid w:val="003C6B7B"/>
    <w:rsid w:val="003C7791"/>
    <w:rsid w:val="003D00F6"/>
    <w:rsid w:val="003D0B01"/>
    <w:rsid w:val="003D1CEB"/>
    <w:rsid w:val="003D2836"/>
    <w:rsid w:val="003D7326"/>
    <w:rsid w:val="003E2079"/>
    <w:rsid w:val="003E2A28"/>
    <w:rsid w:val="003E3172"/>
    <w:rsid w:val="003E3E2C"/>
    <w:rsid w:val="003E4ED2"/>
    <w:rsid w:val="003E560F"/>
    <w:rsid w:val="003F092F"/>
    <w:rsid w:val="003F0DF0"/>
    <w:rsid w:val="003F1405"/>
    <w:rsid w:val="003F226A"/>
    <w:rsid w:val="003F2997"/>
    <w:rsid w:val="003F2DDE"/>
    <w:rsid w:val="003F34E7"/>
    <w:rsid w:val="003F7522"/>
    <w:rsid w:val="00400827"/>
    <w:rsid w:val="004012A0"/>
    <w:rsid w:val="004024D9"/>
    <w:rsid w:val="00404B67"/>
    <w:rsid w:val="00407E38"/>
    <w:rsid w:val="004117D0"/>
    <w:rsid w:val="00412190"/>
    <w:rsid w:val="004132EF"/>
    <w:rsid w:val="0041385D"/>
    <w:rsid w:val="00415C9D"/>
    <w:rsid w:val="00416B7C"/>
    <w:rsid w:val="00417028"/>
    <w:rsid w:val="00417892"/>
    <w:rsid w:val="00417B17"/>
    <w:rsid w:val="00420718"/>
    <w:rsid w:val="00420CAC"/>
    <w:rsid w:val="00420FAB"/>
    <w:rsid w:val="00421592"/>
    <w:rsid w:val="00422779"/>
    <w:rsid w:val="00423101"/>
    <w:rsid w:val="00423353"/>
    <w:rsid w:val="00423EBE"/>
    <w:rsid w:val="00424862"/>
    <w:rsid w:val="004248F1"/>
    <w:rsid w:val="00424F1E"/>
    <w:rsid w:val="00425B67"/>
    <w:rsid w:val="00426A3D"/>
    <w:rsid w:val="00426ECF"/>
    <w:rsid w:val="00430C6D"/>
    <w:rsid w:val="004323F3"/>
    <w:rsid w:val="00432AA5"/>
    <w:rsid w:val="004330B6"/>
    <w:rsid w:val="0043495A"/>
    <w:rsid w:val="0044279B"/>
    <w:rsid w:val="00444523"/>
    <w:rsid w:val="00444BD0"/>
    <w:rsid w:val="00445860"/>
    <w:rsid w:val="00446021"/>
    <w:rsid w:val="00446BFB"/>
    <w:rsid w:val="00447700"/>
    <w:rsid w:val="00450BC8"/>
    <w:rsid w:val="00455030"/>
    <w:rsid w:val="00455F19"/>
    <w:rsid w:val="004562C9"/>
    <w:rsid w:val="0045669E"/>
    <w:rsid w:val="004610DD"/>
    <w:rsid w:val="004639BB"/>
    <w:rsid w:val="00464CC8"/>
    <w:rsid w:val="00466EAA"/>
    <w:rsid w:val="0046712A"/>
    <w:rsid w:val="00467315"/>
    <w:rsid w:val="004743F2"/>
    <w:rsid w:val="004746FA"/>
    <w:rsid w:val="0047616C"/>
    <w:rsid w:val="004777C2"/>
    <w:rsid w:val="00477D50"/>
    <w:rsid w:val="00477E1A"/>
    <w:rsid w:val="0048023D"/>
    <w:rsid w:val="0048159E"/>
    <w:rsid w:val="00482C47"/>
    <w:rsid w:val="00483209"/>
    <w:rsid w:val="00483233"/>
    <w:rsid w:val="004859A2"/>
    <w:rsid w:val="00490127"/>
    <w:rsid w:val="004905AC"/>
    <w:rsid w:val="00490622"/>
    <w:rsid w:val="00490912"/>
    <w:rsid w:val="0049111B"/>
    <w:rsid w:val="004926DE"/>
    <w:rsid w:val="00493C95"/>
    <w:rsid w:val="00494B35"/>
    <w:rsid w:val="00495662"/>
    <w:rsid w:val="00495995"/>
    <w:rsid w:val="00496411"/>
    <w:rsid w:val="00497C94"/>
    <w:rsid w:val="00497DBD"/>
    <w:rsid w:val="004A011B"/>
    <w:rsid w:val="004A1317"/>
    <w:rsid w:val="004A150E"/>
    <w:rsid w:val="004A21BE"/>
    <w:rsid w:val="004A2C21"/>
    <w:rsid w:val="004A2D0B"/>
    <w:rsid w:val="004A3D55"/>
    <w:rsid w:val="004A4745"/>
    <w:rsid w:val="004A7445"/>
    <w:rsid w:val="004B070C"/>
    <w:rsid w:val="004B1B78"/>
    <w:rsid w:val="004B46CF"/>
    <w:rsid w:val="004B4EFB"/>
    <w:rsid w:val="004B6127"/>
    <w:rsid w:val="004B6DD1"/>
    <w:rsid w:val="004C22E3"/>
    <w:rsid w:val="004C335F"/>
    <w:rsid w:val="004C416F"/>
    <w:rsid w:val="004C4D05"/>
    <w:rsid w:val="004C7A90"/>
    <w:rsid w:val="004D08A8"/>
    <w:rsid w:val="004D33C5"/>
    <w:rsid w:val="004D395A"/>
    <w:rsid w:val="004D4546"/>
    <w:rsid w:val="004D48B9"/>
    <w:rsid w:val="004D6B0A"/>
    <w:rsid w:val="004E0F5A"/>
    <w:rsid w:val="004E124E"/>
    <w:rsid w:val="004E1640"/>
    <w:rsid w:val="004E1941"/>
    <w:rsid w:val="004E1BCE"/>
    <w:rsid w:val="004E22D3"/>
    <w:rsid w:val="004E362A"/>
    <w:rsid w:val="004E4CA0"/>
    <w:rsid w:val="004E5C24"/>
    <w:rsid w:val="004E61FD"/>
    <w:rsid w:val="004E6500"/>
    <w:rsid w:val="004F3AF5"/>
    <w:rsid w:val="004F41E4"/>
    <w:rsid w:val="004F6BB8"/>
    <w:rsid w:val="005002B4"/>
    <w:rsid w:val="005028B4"/>
    <w:rsid w:val="00504352"/>
    <w:rsid w:val="00505424"/>
    <w:rsid w:val="005071DC"/>
    <w:rsid w:val="00507308"/>
    <w:rsid w:val="00507BAD"/>
    <w:rsid w:val="00510B9F"/>
    <w:rsid w:val="00510EE4"/>
    <w:rsid w:val="005147EF"/>
    <w:rsid w:val="005171CD"/>
    <w:rsid w:val="00520B77"/>
    <w:rsid w:val="00523447"/>
    <w:rsid w:val="00523D38"/>
    <w:rsid w:val="005252A4"/>
    <w:rsid w:val="00525833"/>
    <w:rsid w:val="00531FFB"/>
    <w:rsid w:val="005320D8"/>
    <w:rsid w:val="00532C86"/>
    <w:rsid w:val="0053431C"/>
    <w:rsid w:val="005369C8"/>
    <w:rsid w:val="00536B9E"/>
    <w:rsid w:val="00537CEB"/>
    <w:rsid w:val="005400E1"/>
    <w:rsid w:val="005446B1"/>
    <w:rsid w:val="005457EF"/>
    <w:rsid w:val="00546673"/>
    <w:rsid w:val="00547233"/>
    <w:rsid w:val="005479EE"/>
    <w:rsid w:val="00551224"/>
    <w:rsid w:val="005529FD"/>
    <w:rsid w:val="0055426D"/>
    <w:rsid w:val="00554B3E"/>
    <w:rsid w:val="0055611D"/>
    <w:rsid w:val="00556ACB"/>
    <w:rsid w:val="00560748"/>
    <w:rsid w:val="00564815"/>
    <w:rsid w:val="0056564E"/>
    <w:rsid w:val="00567300"/>
    <w:rsid w:val="0056777A"/>
    <w:rsid w:val="00570970"/>
    <w:rsid w:val="00571616"/>
    <w:rsid w:val="00571CFA"/>
    <w:rsid w:val="005721CB"/>
    <w:rsid w:val="0057224B"/>
    <w:rsid w:val="00572606"/>
    <w:rsid w:val="00572E72"/>
    <w:rsid w:val="00574402"/>
    <w:rsid w:val="005744DA"/>
    <w:rsid w:val="005761BB"/>
    <w:rsid w:val="00580DB6"/>
    <w:rsid w:val="00581F33"/>
    <w:rsid w:val="005821C1"/>
    <w:rsid w:val="0058257B"/>
    <w:rsid w:val="0058391E"/>
    <w:rsid w:val="005841AC"/>
    <w:rsid w:val="00584945"/>
    <w:rsid w:val="00585897"/>
    <w:rsid w:val="00585BA7"/>
    <w:rsid w:val="0059012C"/>
    <w:rsid w:val="0059138A"/>
    <w:rsid w:val="00593666"/>
    <w:rsid w:val="0059529E"/>
    <w:rsid w:val="005957D4"/>
    <w:rsid w:val="00596374"/>
    <w:rsid w:val="0059649F"/>
    <w:rsid w:val="005A11F9"/>
    <w:rsid w:val="005A1437"/>
    <w:rsid w:val="005A2508"/>
    <w:rsid w:val="005A2745"/>
    <w:rsid w:val="005A2A5C"/>
    <w:rsid w:val="005A2B01"/>
    <w:rsid w:val="005A4924"/>
    <w:rsid w:val="005A4CA7"/>
    <w:rsid w:val="005A4DD6"/>
    <w:rsid w:val="005A567E"/>
    <w:rsid w:val="005A5C8A"/>
    <w:rsid w:val="005A5C9D"/>
    <w:rsid w:val="005A666B"/>
    <w:rsid w:val="005A7209"/>
    <w:rsid w:val="005A7CF5"/>
    <w:rsid w:val="005B0E7C"/>
    <w:rsid w:val="005B219D"/>
    <w:rsid w:val="005B3C6A"/>
    <w:rsid w:val="005B4D3F"/>
    <w:rsid w:val="005B58A2"/>
    <w:rsid w:val="005B5E2A"/>
    <w:rsid w:val="005B60CD"/>
    <w:rsid w:val="005B66A7"/>
    <w:rsid w:val="005B6715"/>
    <w:rsid w:val="005B67DA"/>
    <w:rsid w:val="005B72D3"/>
    <w:rsid w:val="005B781A"/>
    <w:rsid w:val="005B791A"/>
    <w:rsid w:val="005C1706"/>
    <w:rsid w:val="005C2207"/>
    <w:rsid w:val="005C2924"/>
    <w:rsid w:val="005C32AA"/>
    <w:rsid w:val="005C5CDE"/>
    <w:rsid w:val="005C7314"/>
    <w:rsid w:val="005C7F90"/>
    <w:rsid w:val="005D0309"/>
    <w:rsid w:val="005D05A5"/>
    <w:rsid w:val="005D0828"/>
    <w:rsid w:val="005D1D92"/>
    <w:rsid w:val="005D25E6"/>
    <w:rsid w:val="005D2C56"/>
    <w:rsid w:val="005D4AC9"/>
    <w:rsid w:val="005D6089"/>
    <w:rsid w:val="005D74DF"/>
    <w:rsid w:val="005D7F51"/>
    <w:rsid w:val="005E09A2"/>
    <w:rsid w:val="005E1CB0"/>
    <w:rsid w:val="005E1F55"/>
    <w:rsid w:val="005E2A93"/>
    <w:rsid w:val="005E2DDB"/>
    <w:rsid w:val="005E36A6"/>
    <w:rsid w:val="005E47DC"/>
    <w:rsid w:val="005E5DC8"/>
    <w:rsid w:val="005E62C2"/>
    <w:rsid w:val="005E66E9"/>
    <w:rsid w:val="005E7694"/>
    <w:rsid w:val="005F06B5"/>
    <w:rsid w:val="005F078B"/>
    <w:rsid w:val="005F0F01"/>
    <w:rsid w:val="005F15D9"/>
    <w:rsid w:val="005F2E2B"/>
    <w:rsid w:val="005F31BA"/>
    <w:rsid w:val="005F3D1D"/>
    <w:rsid w:val="005F4B65"/>
    <w:rsid w:val="005F4CE9"/>
    <w:rsid w:val="005F5029"/>
    <w:rsid w:val="005F5AB8"/>
    <w:rsid w:val="005F78CF"/>
    <w:rsid w:val="0060081F"/>
    <w:rsid w:val="006009A9"/>
    <w:rsid w:val="00601520"/>
    <w:rsid w:val="006022B4"/>
    <w:rsid w:val="0060382A"/>
    <w:rsid w:val="00603ED1"/>
    <w:rsid w:val="00604384"/>
    <w:rsid w:val="00605EFA"/>
    <w:rsid w:val="006063A1"/>
    <w:rsid w:val="00607DB0"/>
    <w:rsid w:val="00610160"/>
    <w:rsid w:val="006102D5"/>
    <w:rsid w:val="00610675"/>
    <w:rsid w:val="006107EC"/>
    <w:rsid w:val="0061085B"/>
    <w:rsid w:val="00611060"/>
    <w:rsid w:val="0061265C"/>
    <w:rsid w:val="006128AC"/>
    <w:rsid w:val="00612CFA"/>
    <w:rsid w:val="006135AB"/>
    <w:rsid w:val="00613697"/>
    <w:rsid w:val="00614185"/>
    <w:rsid w:val="0061489A"/>
    <w:rsid w:val="00615E21"/>
    <w:rsid w:val="00616210"/>
    <w:rsid w:val="00616DEF"/>
    <w:rsid w:val="00620828"/>
    <w:rsid w:val="00621682"/>
    <w:rsid w:val="00621ED6"/>
    <w:rsid w:val="0062576C"/>
    <w:rsid w:val="00626393"/>
    <w:rsid w:val="006272DB"/>
    <w:rsid w:val="00627721"/>
    <w:rsid w:val="00630C12"/>
    <w:rsid w:val="006317B1"/>
    <w:rsid w:val="006334B0"/>
    <w:rsid w:val="006357C6"/>
    <w:rsid w:val="00635C46"/>
    <w:rsid w:val="00636ECA"/>
    <w:rsid w:val="006436B2"/>
    <w:rsid w:val="00644899"/>
    <w:rsid w:val="00645E0F"/>
    <w:rsid w:val="006466B0"/>
    <w:rsid w:val="0064789B"/>
    <w:rsid w:val="00647DEE"/>
    <w:rsid w:val="0065073F"/>
    <w:rsid w:val="006510AC"/>
    <w:rsid w:val="006534B6"/>
    <w:rsid w:val="00653BD6"/>
    <w:rsid w:val="00653D01"/>
    <w:rsid w:val="00654932"/>
    <w:rsid w:val="0065623E"/>
    <w:rsid w:val="00656EDB"/>
    <w:rsid w:val="00661A74"/>
    <w:rsid w:val="00661F9C"/>
    <w:rsid w:val="00662045"/>
    <w:rsid w:val="0066303A"/>
    <w:rsid w:val="006630E4"/>
    <w:rsid w:val="00663A91"/>
    <w:rsid w:val="0066448F"/>
    <w:rsid w:val="0066660B"/>
    <w:rsid w:val="00666BC1"/>
    <w:rsid w:val="006706BD"/>
    <w:rsid w:val="0067088A"/>
    <w:rsid w:val="00671770"/>
    <w:rsid w:val="00672518"/>
    <w:rsid w:val="006740EF"/>
    <w:rsid w:val="00674E3F"/>
    <w:rsid w:val="00675020"/>
    <w:rsid w:val="0067565D"/>
    <w:rsid w:val="00676F78"/>
    <w:rsid w:val="00677038"/>
    <w:rsid w:val="00677C08"/>
    <w:rsid w:val="00680423"/>
    <w:rsid w:val="00680663"/>
    <w:rsid w:val="00682077"/>
    <w:rsid w:val="006825F5"/>
    <w:rsid w:val="00682C16"/>
    <w:rsid w:val="006846CB"/>
    <w:rsid w:val="00686236"/>
    <w:rsid w:val="0068780D"/>
    <w:rsid w:val="00690D2C"/>
    <w:rsid w:val="006918CD"/>
    <w:rsid w:val="00691D66"/>
    <w:rsid w:val="006938BB"/>
    <w:rsid w:val="006945E7"/>
    <w:rsid w:val="0069495C"/>
    <w:rsid w:val="006951AE"/>
    <w:rsid w:val="00696846"/>
    <w:rsid w:val="006A07B2"/>
    <w:rsid w:val="006A0B40"/>
    <w:rsid w:val="006A1D4E"/>
    <w:rsid w:val="006A1E52"/>
    <w:rsid w:val="006A22C0"/>
    <w:rsid w:val="006A627D"/>
    <w:rsid w:val="006A742F"/>
    <w:rsid w:val="006B015D"/>
    <w:rsid w:val="006B0AAB"/>
    <w:rsid w:val="006B25E0"/>
    <w:rsid w:val="006B2A03"/>
    <w:rsid w:val="006B2D51"/>
    <w:rsid w:val="006B4799"/>
    <w:rsid w:val="006B4EBB"/>
    <w:rsid w:val="006B5324"/>
    <w:rsid w:val="006B6EA5"/>
    <w:rsid w:val="006C14DA"/>
    <w:rsid w:val="006C26A9"/>
    <w:rsid w:val="006C2C1B"/>
    <w:rsid w:val="006C4662"/>
    <w:rsid w:val="006C6194"/>
    <w:rsid w:val="006C6EAA"/>
    <w:rsid w:val="006C7E15"/>
    <w:rsid w:val="006D104D"/>
    <w:rsid w:val="006D36C1"/>
    <w:rsid w:val="006D3CBF"/>
    <w:rsid w:val="006D5ABD"/>
    <w:rsid w:val="006E1201"/>
    <w:rsid w:val="006E1572"/>
    <w:rsid w:val="006E661F"/>
    <w:rsid w:val="006E6A65"/>
    <w:rsid w:val="006E72A3"/>
    <w:rsid w:val="006E79AB"/>
    <w:rsid w:val="006E7E73"/>
    <w:rsid w:val="006F1040"/>
    <w:rsid w:val="006F16C9"/>
    <w:rsid w:val="006F1973"/>
    <w:rsid w:val="006F218B"/>
    <w:rsid w:val="006F24DF"/>
    <w:rsid w:val="006F304A"/>
    <w:rsid w:val="006F325D"/>
    <w:rsid w:val="006F33E2"/>
    <w:rsid w:val="006F47B0"/>
    <w:rsid w:val="006F7096"/>
    <w:rsid w:val="007006B3"/>
    <w:rsid w:val="00702250"/>
    <w:rsid w:val="00702593"/>
    <w:rsid w:val="0070268B"/>
    <w:rsid w:val="007032D4"/>
    <w:rsid w:val="007035B0"/>
    <w:rsid w:val="00705708"/>
    <w:rsid w:val="00706895"/>
    <w:rsid w:val="007121A6"/>
    <w:rsid w:val="00712278"/>
    <w:rsid w:val="00713033"/>
    <w:rsid w:val="007150C1"/>
    <w:rsid w:val="007201C6"/>
    <w:rsid w:val="00720E7E"/>
    <w:rsid w:val="0072194F"/>
    <w:rsid w:val="007219B3"/>
    <w:rsid w:val="00721D16"/>
    <w:rsid w:val="00721D4A"/>
    <w:rsid w:val="00724660"/>
    <w:rsid w:val="00726080"/>
    <w:rsid w:val="00731D24"/>
    <w:rsid w:val="00731F99"/>
    <w:rsid w:val="007329C2"/>
    <w:rsid w:val="00732E62"/>
    <w:rsid w:val="00732F00"/>
    <w:rsid w:val="007341A5"/>
    <w:rsid w:val="00734A53"/>
    <w:rsid w:val="00734E0A"/>
    <w:rsid w:val="00736998"/>
    <w:rsid w:val="00737188"/>
    <w:rsid w:val="0074022B"/>
    <w:rsid w:val="0074576E"/>
    <w:rsid w:val="0074585D"/>
    <w:rsid w:val="00746550"/>
    <w:rsid w:val="00746D64"/>
    <w:rsid w:val="00750858"/>
    <w:rsid w:val="007517F1"/>
    <w:rsid w:val="00751935"/>
    <w:rsid w:val="00754D94"/>
    <w:rsid w:val="0075561F"/>
    <w:rsid w:val="00755B3D"/>
    <w:rsid w:val="007614F9"/>
    <w:rsid w:val="00763C23"/>
    <w:rsid w:val="00764A7E"/>
    <w:rsid w:val="0076504C"/>
    <w:rsid w:val="007660B5"/>
    <w:rsid w:val="007661E8"/>
    <w:rsid w:val="00767D6E"/>
    <w:rsid w:val="00770CDA"/>
    <w:rsid w:val="007712A8"/>
    <w:rsid w:val="007728A7"/>
    <w:rsid w:val="0077421B"/>
    <w:rsid w:val="00775267"/>
    <w:rsid w:val="007754F6"/>
    <w:rsid w:val="00775973"/>
    <w:rsid w:val="007760C8"/>
    <w:rsid w:val="00780EAE"/>
    <w:rsid w:val="00782044"/>
    <w:rsid w:val="007821C9"/>
    <w:rsid w:val="00785360"/>
    <w:rsid w:val="007853EC"/>
    <w:rsid w:val="007856C9"/>
    <w:rsid w:val="007866E1"/>
    <w:rsid w:val="00787E91"/>
    <w:rsid w:val="007901B1"/>
    <w:rsid w:val="00792C9E"/>
    <w:rsid w:val="00793834"/>
    <w:rsid w:val="00793865"/>
    <w:rsid w:val="0079629C"/>
    <w:rsid w:val="007A3456"/>
    <w:rsid w:val="007A3982"/>
    <w:rsid w:val="007A4777"/>
    <w:rsid w:val="007A4A04"/>
    <w:rsid w:val="007A4C7D"/>
    <w:rsid w:val="007A52D0"/>
    <w:rsid w:val="007A5F63"/>
    <w:rsid w:val="007A6D82"/>
    <w:rsid w:val="007B0815"/>
    <w:rsid w:val="007B156A"/>
    <w:rsid w:val="007B18C9"/>
    <w:rsid w:val="007B20E5"/>
    <w:rsid w:val="007B2174"/>
    <w:rsid w:val="007B2DF9"/>
    <w:rsid w:val="007B424F"/>
    <w:rsid w:val="007B48CB"/>
    <w:rsid w:val="007B49C5"/>
    <w:rsid w:val="007B49C9"/>
    <w:rsid w:val="007B49FE"/>
    <w:rsid w:val="007B5BCC"/>
    <w:rsid w:val="007C1036"/>
    <w:rsid w:val="007C1806"/>
    <w:rsid w:val="007C1854"/>
    <w:rsid w:val="007C2F79"/>
    <w:rsid w:val="007C53FD"/>
    <w:rsid w:val="007C61A1"/>
    <w:rsid w:val="007C65A4"/>
    <w:rsid w:val="007C67B1"/>
    <w:rsid w:val="007C704F"/>
    <w:rsid w:val="007D0A47"/>
    <w:rsid w:val="007D0B9F"/>
    <w:rsid w:val="007D0F58"/>
    <w:rsid w:val="007D2082"/>
    <w:rsid w:val="007D4379"/>
    <w:rsid w:val="007D6677"/>
    <w:rsid w:val="007D78D2"/>
    <w:rsid w:val="007E00C9"/>
    <w:rsid w:val="007E0E1E"/>
    <w:rsid w:val="007E3E75"/>
    <w:rsid w:val="007E63DD"/>
    <w:rsid w:val="007E6696"/>
    <w:rsid w:val="007E7AB0"/>
    <w:rsid w:val="007F191C"/>
    <w:rsid w:val="007F2051"/>
    <w:rsid w:val="007F2545"/>
    <w:rsid w:val="007F2667"/>
    <w:rsid w:val="007F26A7"/>
    <w:rsid w:val="007F3622"/>
    <w:rsid w:val="007F5274"/>
    <w:rsid w:val="007F7A62"/>
    <w:rsid w:val="00801E87"/>
    <w:rsid w:val="00802395"/>
    <w:rsid w:val="0080273C"/>
    <w:rsid w:val="00802DA1"/>
    <w:rsid w:val="00804168"/>
    <w:rsid w:val="008050D7"/>
    <w:rsid w:val="008059B8"/>
    <w:rsid w:val="008059ED"/>
    <w:rsid w:val="008063C4"/>
    <w:rsid w:val="00807E5E"/>
    <w:rsid w:val="00811513"/>
    <w:rsid w:val="00811C60"/>
    <w:rsid w:val="00813E2A"/>
    <w:rsid w:val="00814145"/>
    <w:rsid w:val="00814614"/>
    <w:rsid w:val="00817F70"/>
    <w:rsid w:val="00820E1A"/>
    <w:rsid w:val="00821347"/>
    <w:rsid w:val="008215EE"/>
    <w:rsid w:val="00821A6B"/>
    <w:rsid w:val="00822635"/>
    <w:rsid w:val="0082269B"/>
    <w:rsid w:val="00823213"/>
    <w:rsid w:val="0082350F"/>
    <w:rsid w:val="0082422A"/>
    <w:rsid w:val="00825243"/>
    <w:rsid w:val="00825645"/>
    <w:rsid w:val="00825CD0"/>
    <w:rsid w:val="00825D4A"/>
    <w:rsid w:val="008265A4"/>
    <w:rsid w:val="00826AE1"/>
    <w:rsid w:val="00827393"/>
    <w:rsid w:val="0083046C"/>
    <w:rsid w:val="008306F9"/>
    <w:rsid w:val="0083100F"/>
    <w:rsid w:val="00831786"/>
    <w:rsid w:val="00831ABD"/>
    <w:rsid w:val="00831F0C"/>
    <w:rsid w:val="008324DD"/>
    <w:rsid w:val="00832CF4"/>
    <w:rsid w:val="0083484F"/>
    <w:rsid w:val="00834B0A"/>
    <w:rsid w:val="00835273"/>
    <w:rsid w:val="00835764"/>
    <w:rsid w:val="008361F2"/>
    <w:rsid w:val="00836289"/>
    <w:rsid w:val="00836A17"/>
    <w:rsid w:val="0084099F"/>
    <w:rsid w:val="0084152D"/>
    <w:rsid w:val="00842B01"/>
    <w:rsid w:val="0084554E"/>
    <w:rsid w:val="0084775C"/>
    <w:rsid w:val="00851DE8"/>
    <w:rsid w:val="008529B1"/>
    <w:rsid w:val="00853225"/>
    <w:rsid w:val="00855654"/>
    <w:rsid w:val="0085697D"/>
    <w:rsid w:val="0085785F"/>
    <w:rsid w:val="00861899"/>
    <w:rsid w:val="00862122"/>
    <w:rsid w:val="00862A71"/>
    <w:rsid w:val="008631B3"/>
    <w:rsid w:val="00863B4A"/>
    <w:rsid w:val="00863DE2"/>
    <w:rsid w:val="00864246"/>
    <w:rsid w:val="008649A1"/>
    <w:rsid w:val="00864B19"/>
    <w:rsid w:val="00865E6B"/>
    <w:rsid w:val="00866C0D"/>
    <w:rsid w:val="00870EB2"/>
    <w:rsid w:val="00873516"/>
    <w:rsid w:val="00873A6D"/>
    <w:rsid w:val="00875E75"/>
    <w:rsid w:val="00875F00"/>
    <w:rsid w:val="00876EDE"/>
    <w:rsid w:val="008777BB"/>
    <w:rsid w:val="008800F1"/>
    <w:rsid w:val="00880119"/>
    <w:rsid w:val="00881584"/>
    <w:rsid w:val="008818B0"/>
    <w:rsid w:val="00881B9F"/>
    <w:rsid w:val="00883D85"/>
    <w:rsid w:val="0089083A"/>
    <w:rsid w:val="00892BC7"/>
    <w:rsid w:val="00893EB2"/>
    <w:rsid w:val="00894D86"/>
    <w:rsid w:val="008958C2"/>
    <w:rsid w:val="008A0731"/>
    <w:rsid w:val="008A2013"/>
    <w:rsid w:val="008A2EE6"/>
    <w:rsid w:val="008A434A"/>
    <w:rsid w:val="008A481F"/>
    <w:rsid w:val="008B2A3E"/>
    <w:rsid w:val="008B4506"/>
    <w:rsid w:val="008B453F"/>
    <w:rsid w:val="008B6374"/>
    <w:rsid w:val="008B72EB"/>
    <w:rsid w:val="008B7472"/>
    <w:rsid w:val="008C0849"/>
    <w:rsid w:val="008C3456"/>
    <w:rsid w:val="008C4505"/>
    <w:rsid w:val="008C6A5D"/>
    <w:rsid w:val="008C6CD0"/>
    <w:rsid w:val="008C7E71"/>
    <w:rsid w:val="008D1B05"/>
    <w:rsid w:val="008D247E"/>
    <w:rsid w:val="008D3E71"/>
    <w:rsid w:val="008D4AAF"/>
    <w:rsid w:val="008D5157"/>
    <w:rsid w:val="008D6AB6"/>
    <w:rsid w:val="008D6FEB"/>
    <w:rsid w:val="008D7C95"/>
    <w:rsid w:val="008E4A91"/>
    <w:rsid w:val="008E54C0"/>
    <w:rsid w:val="008E5F7A"/>
    <w:rsid w:val="008F022D"/>
    <w:rsid w:val="008F1E98"/>
    <w:rsid w:val="008F205F"/>
    <w:rsid w:val="008F2907"/>
    <w:rsid w:val="008F36FC"/>
    <w:rsid w:val="008F4F63"/>
    <w:rsid w:val="008F5877"/>
    <w:rsid w:val="008F58E1"/>
    <w:rsid w:val="008F5A28"/>
    <w:rsid w:val="008F5C3E"/>
    <w:rsid w:val="008F603C"/>
    <w:rsid w:val="00900096"/>
    <w:rsid w:val="00900989"/>
    <w:rsid w:val="0090292C"/>
    <w:rsid w:val="00903A39"/>
    <w:rsid w:val="00904BFC"/>
    <w:rsid w:val="009051D7"/>
    <w:rsid w:val="00905BB7"/>
    <w:rsid w:val="009062E3"/>
    <w:rsid w:val="0090646F"/>
    <w:rsid w:val="00906F94"/>
    <w:rsid w:val="0090758F"/>
    <w:rsid w:val="0091087C"/>
    <w:rsid w:val="00911DDE"/>
    <w:rsid w:val="00911F05"/>
    <w:rsid w:val="00913074"/>
    <w:rsid w:val="00913C19"/>
    <w:rsid w:val="00915379"/>
    <w:rsid w:val="009158DF"/>
    <w:rsid w:val="009165FC"/>
    <w:rsid w:val="009220E9"/>
    <w:rsid w:val="0092253F"/>
    <w:rsid w:val="0092433D"/>
    <w:rsid w:val="009254C5"/>
    <w:rsid w:val="009267A0"/>
    <w:rsid w:val="00927697"/>
    <w:rsid w:val="009300C0"/>
    <w:rsid w:val="00930230"/>
    <w:rsid w:val="009310F7"/>
    <w:rsid w:val="0093165E"/>
    <w:rsid w:val="00932025"/>
    <w:rsid w:val="00932518"/>
    <w:rsid w:val="00932797"/>
    <w:rsid w:val="00934FC7"/>
    <w:rsid w:val="0093546B"/>
    <w:rsid w:val="00935A5C"/>
    <w:rsid w:val="00935CCF"/>
    <w:rsid w:val="00936041"/>
    <w:rsid w:val="00937C97"/>
    <w:rsid w:val="009406EA"/>
    <w:rsid w:val="00940C55"/>
    <w:rsid w:val="00940DCE"/>
    <w:rsid w:val="00943E04"/>
    <w:rsid w:val="009441C4"/>
    <w:rsid w:val="00944AFB"/>
    <w:rsid w:val="00944E46"/>
    <w:rsid w:val="00945737"/>
    <w:rsid w:val="009461CC"/>
    <w:rsid w:val="009465CC"/>
    <w:rsid w:val="009478BD"/>
    <w:rsid w:val="00947CC5"/>
    <w:rsid w:val="00947D08"/>
    <w:rsid w:val="0095003B"/>
    <w:rsid w:val="00951248"/>
    <w:rsid w:val="009518FA"/>
    <w:rsid w:val="00952CD5"/>
    <w:rsid w:val="00953650"/>
    <w:rsid w:val="0095426D"/>
    <w:rsid w:val="009544C7"/>
    <w:rsid w:val="009560F8"/>
    <w:rsid w:val="00956200"/>
    <w:rsid w:val="0096025E"/>
    <w:rsid w:val="00961963"/>
    <w:rsid w:val="00962028"/>
    <w:rsid w:val="00962DB6"/>
    <w:rsid w:val="00967621"/>
    <w:rsid w:val="00967DCC"/>
    <w:rsid w:val="009704A5"/>
    <w:rsid w:val="009725F1"/>
    <w:rsid w:val="00974513"/>
    <w:rsid w:val="0097620D"/>
    <w:rsid w:val="0097624B"/>
    <w:rsid w:val="00976511"/>
    <w:rsid w:val="00977D40"/>
    <w:rsid w:val="00977D49"/>
    <w:rsid w:val="009806C6"/>
    <w:rsid w:val="00980AB1"/>
    <w:rsid w:val="00981041"/>
    <w:rsid w:val="009821A6"/>
    <w:rsid w:val="00986980"/>
    <w:rsid w:val="00987621"/>
    <w:rsid w:val="00990A02"/>
    <w:rsid w:val="00993C9F"/>
    <w:rsid w:val="009946FD"/>
    <w:rsid w:val="00994F92"/>
    <w:rsid w:val="009A0AB2"/>
    <w:rsid w:val="009A1221"/>
    <w:rsid w:val="009A2865"/>
    <w:rsid w:val="009A2C23"/>
    <w:rsid w:val="009A33F6"/>
    <w:rsid w:val="009A56EE"/>
    <w:rsid w:val="009A77B3"/>
    <w:rsid w:val="009A7EA3"/>
    <w:rsid w:val="009B0762"/>
    <w:rsid w:val="009B1242"/>
    <w:rsid w:val="009B3224"/>
    <w:rsid w:val="009B3E96"/>
    <w:rsid w:val="009B41EB"/>
    <w:rsid w:val="009B4F1C"/>
    <w:rsid w:val="009B5812"/>
    <w:rsid w:val="009B5ADC"/>
    <w:rsid w:val="009B690F"/>
    <w:rsid w:val="009C0D4D"/>
    <w:rsid w:val="009C2121"/>
    <w:rsid w:val="009C2C69"/>
    <w:rsid w:val="009C6614"/>
    <w:rsid w:val="009C710A"/>
    <w:rsid w:val="009C7BFE"/>
    <w:rsid w:val="009D0966"/>
    <w:rsid w:val="009D0F96"/>
    <w:rsid w:val="009D12D6"/>
    <w:rsid w:val="009D2670"/>
    <w:rsid w:val="009D2F8B"/>
    <w:rsid w:val="009D394F"/>
    <w:rsid w:val="009D5EBB"/>
    <w:rsid w:val="009D716A"/>
    <w:rsid w:val="009E02C9"/>
    <w:rsid w:val="009E1CE3"/>
    <w:rsid w:val="009E310C"/>
    <w:rsid w:val="009E396B"/>
    <w:rsid w:val="009E4058"/>
    <w:rsid w:val="009E60D0"/>
    <w:rsid w:val="009E7C24"/>
    <w:rsid w:val="009F0C80"/>
    <w:rsid w:val="009F178E"/>
    <w:rsid w:val="009F3156"/>
    <w:rsid w:val="009F4856"/>
    <w:rsid w:val="009F5585"/>
    <w:rsid w:val="009F6600"/>
    <w:rsid w:val="00A005F3"/>
    <w:rsid w:val="00A03517"/>
    <w:rsid w:val="00A04212"/>
    <w:rsid w:val="00A0457B"/>
    <w:rsid w:val="00A05680"/>
    <w:rsid w:val="00A0673D"/>
    <w:rsid w:val="00A0687E"/>
    <w:rsid w:val="00A06B11"/>
    <w:rsid w:val="00A101BA"/>
    <w:rsid w:val="00A10390"/>
    <w:rsid w:val="00A11B5E"/>
    <w:rsid w:val="00A120EF"/>
    <w:rsid w:val="00A1454F"/>
    <w:rsid w:val="00A14585"/>
    <w:rsid w:val="00A158A1"/>
    <w:rsid w:val="00A167FC"/>
    <w:rsid w:val="00A17D1B"/>
    <w:rsid w:val="00A2063C"/>
    <w:rsid w:val="00A21FB8"/>
    <w:rsid w:val="00A2368D"/>
    <w:rsid w:val="00A23F12"/>
    <w:rsid w:val="00A23F28"/>
    <w:rsid w:val="00A2612B"/>
    <w:rsid w:val="00A261DE"/>
    <w:rsid w:val="00A27313"/>
    <w:rsid w:val="00A30780"/>
    <w:rsid w:val="00A32AD4"/>
    <w:rsid w:val="00A33318"/>
    <w:rsid w:val="00A3385A"/>
    <w:rsid w:val="00A3426E"/>
    <w:rsid w:val="00A34298"/>
    <w:rsid w:val="00A35AD6"/>
    <w:rsid w:val="00A373F1"/>
    <w:rsid w:val="00A41FC7"/>
    <w:rsid w:val="00A43F31"/>
    <w:rsid w:val="00A445B0"/>
    <w:rsid w:val="00A445BD"/>
    <w:rsid w:val="00A44B63"/>
    <w:rsid w:val="00A4583C"/>
    <w:rsid w:val="00A469EF"/>
    <w:rsid w:val="00A47C84"/>
    <w:rsid w:val="00A500F8"/>
    <w:rsid w:val="00A50992"/>
    <w:rsid w:val="00A54140"/>
    <w:rsid w:val="00A54446"/>
    <w:rsid w:val="00A547FE"/>
    <w:rsid w:val="00A5543B"/>
    <w:rsid w:val="00A56211"/>
    <w:rsid w:val="00A56AFB"/>
    <w:rsid w:val="00A57D43"/>
    <w:rsid w:val="00A6030E"/>
    <w:rsid w:val="00A62AB1"/>
    <w:rsid w:val="00A62B46"/>
    <w:rsid w:val="00A62F93"/>
    <w:rsid w:val="00A65DCF"/>
    <w:rsid w:val="00A66B9B"/>
    <w:rsid w:val="00A72CBC"/>
    <w:rsid w:val="00A73441"/>
    <w:rsid w:val="00A73C1B"/>
    <w:rsid w:val="00A75E42"/>
    <w:rsid w:val="00A768F6"/>
    <w:rsid w:val="00A76ABA"/>
    <w:rsid w:val="00A76D37"/>
    <w:rsid w:val="00A7774D"/>
    <w:rsid w:val="00A81AA1"/>
    <w:rsid w:val="00A8276A"/>
    <w:rsid w:val="00A82DC2"/>
    <w:rsid w:val="00A85210"/>
    <w:rsid w:val="00A869AC"/>
    <w:rsid w:val="00A870C8"/>
    <w:rsid w:val="00A873AE"/>
    <w:rsid w:val="00A909A3"/>
    <w:rsid w:val="00A91168"/>
    <w:rsid w:val="00A93A98"/>
    <w:rsid w:val="00A94927"/>
    <w:rsid w:val="00A96BEA"/>
    <w:rsid w:val="00A97987"/>
    <w:rsid w:val="00AA1E7A"/>
    <w:rsid w:val="00AA4525"/>
    <w:rsid w:val="00AA4FF2"/>
    <w:rsid w:val="00AA5544"/>
    <w:rsid w:val="00AA729E"/>
    <w:rsid w:val="00AA7328"/>
    <w:rsid w:val="00AA745A"/>
    <w:rsid w:val="00AA7722"/>
    <w:rsid w:val="00AB0469"/>
    <w:rsid w:val="00AB067C"/>
    <w:rsid w:val="00AB0881"/>
    <w:rsid w:val="00AB3708"/>
    <w:rsid w:val="00AB4BCA"/>
    <w:rsid w:val="00AB5EBF"/>
    <w:rsid w:val="00AB6AAC"/>
    <w:rsid w:val="00AB6B46"/>
    <w:rsid w:val="00AC00C4"/>
    <w:rsid w:val="00AC0E17"/>
    <w:rsid w:val="00AC0E6D"/>
    <w:rsid w:val="00AC0E8A"/>
    <w:rsid w:val="00AC2231"/>
    <w:rsid w:val="00AC32E9"/>
    <w:rsid w:val="00AC390B"/>
    <w:rsid w:val="00AC39AD"/>
    <w:rsid w:val="00AC3AC1"/>
    <w:rsid w:val="00AC4374"/>
    <w:rsid w:val="00AC4ECF"/>
    <w:rsid w:val="00AC5362"/>
    <w:rsid w:val="00AD0691"/>
    <w:rsid w:val="00AD0E81"/>
    <w:rsid w:val="00AD1552"/>
    <w:rsid w:val="00AD37F4"/>
    <w:rsid w:val="00AD46A5"/>
    <w:rsid w:val="00AD485A"/>
    <w:rsid w:val="00AD7627"/>
    <w:rsid w:val="00AD7C11"/>
    <w:rsid w:val="00AE0E10"/>
    <w:rsid w:val="00AE39AD"/>
    <w:rsid w:val="00AE4933"/>
    <w:rsid w:val="00AE5202"/>
    <w:rsid w:val="00AE5307"/>
    <w:rsid w:val="00AE5823"/>
    <w:rsid w:val="00AE68AF"/>
    <w:rsid w:val="00AF1EB1"/>
    <w:rsid w:val="00AF28A5"/>
    <w:rsid w:val="00AF6055"/>
    <w:rsid w:val="00AF7F0B"/>
    <w:rsid w:val="00B001C8"/>
    <w:rsid w:val="00B00517"/>
    <w:rsid w:val="00B005C7"/>
    <w:rsid w:val="00B0392A"/>
    <w:rsid w:val="00B04074"/>
    <w:rsid w:val="00B05139"/>
    <w:rsid w:val="00B0524E"/>
    <w:rsid w:val="00B10771"/>
    <w:rsid w:val="00B146D4"/>
    <w:rsid w:val="00B14DC7"/>
    <w:rsid w:val="00B158E3"/>
    <w:rsid w:val="00B15EAF"/>
    <w:rsid w:val="00B21FD1"/>
    <w:rsid w:val="00B2449C"/>
    <w:rsid w:val="00B24F80"/>
    <w:rsid w:val="00B2505A"/>
    <w:rsid w:val="00B27CF8"/>
    <w:rsid w:val="00B31A2B"/>
    <w:rsid w:val="00B31C19"/>
    <w:rsid w:val="00B328E6"/>
    <w:rsid w:val="00B32A3D"/>
    <w:rsid w:val="00B33D1E"/>
    <w:rsid w:val="00B34BA5"/>
    <w:rsid w:val="00B365E4"/>
    <w:rsid w:val="00B43890"/>
    <w:rsid w:val="00B446A5"/>
    <w:rsid w:val="00B44DBC"/>
    <w:rsid w:val="00B4663D"/>
    <w:rsid w:val="00B47B5E"/>
    <w:rsid w:val="00B50333"/>
    <w:rsid w:val="00B51D70"/>
    <w:rsid w:val="00B52270"/>
    <w:rsid w:val="00B5242B"/>
    <w:rsid w:val="00B536C7"/>
    <w:rsid w:val="00B54309"/>
    <w:rsid w:val="00B54664"/>
    <w:rsid w:val="00B550FD"/>
    <w:rsid w:val="00B558AC"/>
    <w:rsid w:val="00B56749"/>
    <w:rsid w:val="00B57BD9"/>
    <w:rsid w:val="00B6043F"/>
    <w:rsid w:val="00B61492"/>
    <w:rsid w:val="00B62F56"/>
    <w:rsid w:val="00B63AF0"/>
    <w:rsid w:val="00B64D17"/>
    <w:rsid w:val="00B6672E"/>
    <w:rsid w:val="00B6699C"/>
    <w:rsid w:val="00B67431"/>
    <w:rsid w:val="00B70ACC"/>
    <w:rsid w:val="00B70DD2"/>
    <w:rsid w:val="00B71575"/>
    <w:rsid w:val="00B71EBA"/>
    <w:rsid w:val="00B72DB8"/>
    <w:rsid w:val="00B75F8C"/>
    <w:rsid w:val="00B76D8C"/>
    <w:rsid w:val="00B76FD2"/>
    <w:rsid w:val="00B8145C"/>
    <w:rsid w:val="00B84DC1"/>
    <w:rsid w:val="00B85CEB"/>
    <w:rsid w:val="00B87084"/>
    <w:rsid w:val="00B87789"/>
    <w:rsid w:val="00B9078D"/>
    <w:rsid w:val="00B909A1"/>
    <w:rsid w:val="00B90F5D"/>
    <w:rsid w:val="00B914F2"/>
    <w:rsid w:val="00B91B40"/>
    <w:rsid w:val="00B92544"/>
    <w:rsid w:val="00B94C3E"/>
    <w:rsid w:val="00B96550"/>
    <w:rsid w:val="00BA118E"/>
    <w:rsid w:val="00BA164F"/>
    <w:rsid w:val="00BA4A0E"/>
    <w:rsid w:val="00BA572D"/>
    <w:rsid w:val="00BA57D8"/>
    <w:rsid w:val="00BA5D82"/>
    <w:rsid w:val="00BA6164"/>
    <w:rsid w:val="00BA6F66"/>
    <w:rsid w:val="00BB1425"/>
    <w:rsid w:val="00BB2485"/>
    <w:rsid w:val="00BB2607"/>
    <w:rsid w:val="00BB4080"/>
    <w:rsid w:val="00BB4734"/>
    <w:rsid w:val="00BB4EB1"/>
    <w:rsid w:val="00BB5414"/>
    <w:rsid w:val="00BB5995"/>
    <w:rsid w:val="00BB7F9F"/>
    <w:rsid w:val="00BC07B8"/>
    <w:rsid w:val="00BC0875"/>
    <w:rsid w:val="00BC13A1"/>
    <w:rsid w:val="00BC1448"/>
    <w:rsid w:val="00BC2964"/>
    <w:rsid w:val="00BC3BE3"/>
    <w:rsid w:val="00BC5EAE"/>
    <w:rsid w:val="00BC7365"/>
    <w:rsid w:val="00BD0594"/>
    <w:rsid w:val="00BD18BB"/>
    <w:rsid w:val="00BD2AAC"/>
    <w:rsid w:val="00BD3158"/>
    <w:rsid w:val="00BD6000"/>
    <w:rsid w:val="00BD694E"/>
    <w:rsid w:val="00BD6EC0"/>
    <w:rsid w:val="00BD7197"/>
    <w:rsid w:val="00BE0216"/>
    <w:rsid w:val="00BE0FA5"/>
    <w:rsid w:val="00BE1E88"/>
    <w:rsid w:val="00BE25A2"/>
    <w:rsid w:val="00BE48C0"/>
    <w:rsid w:val="00BE787E"/>
    <w:rsid w:val="00BF004D"/>
    <w:rsid w:val="00BF1115"/>
    <w:rsid w:val="00BF2278"/>
    <w:rsid w:val="00BF395F"/>
    <w:rsid w:val="00BF498F"/>
    <w:rsid w:val="00BF504B"/>
    <w:rsid w:val="00BF7814"/>
    <w:rsid w:val="00BF7A0B"/>
    <w:rsid w:val="00C014EC"/>
    <w:rsid w:val="00C01E4D"/>
    <w:rsid w:val="00C0231B"/>
    <w:rsid w:val="00C02DD7"/>
    <w:rsid w:val="00C02FC2"/>
    <w:rsid w:val="00C030C4"/>
    <w:rsid w:val="00C03DFC"/>
    <w:rsid w:val="00C04374"/>
    <w:rsid w:val="00C056CF"/>
    <w:rsid w:val="00C06A8E"/>
    <w:rsid w:val="00C14C9A"/>
    <w:rsid w:val="00C15120"/>
    <w:rsid w:val="00C1611A"/>
    <w:rsid w:val="00C170AC"/>
    <w:rsid w:val="00C1745B"/>
    <w:rsid w:val="00C21CAB"/>
    <w:rsid w:val="00C24913"/>
    <w:rsid w:val="00C24FF2"/>
    <w:rsid w:val="00C25794"/>
    <w:rsid w:val="00C25A71"/>
    <w:rsid w:val="00C2653D"/>
    <w:rsid w:val="00C269ED"/>
    <w:rsid w:val="00C27DF6"/>
    <w:rsid w:val="00C30AD3"/>
    <w:rsid w:val="00C30E16"/>
    <w:rsid w:val="00C31B14"/>
    <w:rsid w:val="00C323DE"/>
    <w:rsid w:val="00C32A7B"/>
    <w:rsid w:val="00C32F3F"/>
    <w:rsid w:val="00C331BA"/>
    <w:rsid w:val="00C346C2"/>
    <w:rsid w:val="00C34DD7"/>
    <w:rsid w:val="00C35282"/>
    <w:rsid w:val="00C37A57"/>
    <w:rsid w:val="00C42726"/>
    <w:rsid w:val="00C441B2"/>
    <w:rsid w:val="00C452D8"/>
    <w:rsid w:val="00C465E9"/>
    <w:rsid w:val="00C52BF3"/>
    <w:rsid w:val="00C52C4A"/>
    <w:rsid w:val="00C54FC7"/>
    <w:rsid w:val="00C60256"/>
    <w:rsid w:val="00C608EC"/>
    <w:rsid w:val="00C610FE"/>
    <w:rsid w:val="00C62B31"/>
    <w:rsid w:val="00C63144"/>
    <w:rsid w:val="00C63620"/>
    <w:rsid w:val="00C642BE"/>
    <w:rsid w:val="00C66F5A"/>
    <w:rsid w:val="00C677F4"/>
    <w:rsid w:val="00C67DE0"/>
    <w:rsid w:val="00C70A27"/>
    <w:rsid w:val="00C711DA"/>
    <w:rsid w:val="00C736D1"/>
    <w:rsid w:val="00C76360"/>
    <w:rsid w:val="00C77C98"/>
    <w:rsid w:val="00C80DEC"/>
    <w:rsid w:val="00C81D95"/>
    <w:rsid w:val="00C82C43"/>
    <w:rsid w:val="00C85D69"/>
    <w:rsid w:val="00C90FED"/>
    <w:rsid w:val="00C9145F"/>
    <w:rsid w:val="00C9181F"/>
    <w:rsid w:val="00C92379"/>
    <w:rsid w:val="00C931F4"/>
    <w:rsid w:val="00C94183"/>
    <w:rsid w:val="00C944B5"/>
    <w:rsid w:val="00CA0736"/>
    <w:rsid w:val="00CA34C0"/>
    <w:rsid w:val="00CA355B"/>
    <w:rsid w:val="00CA3CA5"/>
    <w:rsid w:val="00CA67AE"/>
    <w:rsid w:val="00CA6CB6"/>
    <w:rsid w:val="00CA6F9B"/>
    <w:rsid w:val="00CA77F8"/>
    <w:rsid w:val="00CB046B"/>
    <w:rsid w:val="00CB0742"/>
    <w:rsid w:val="00CB0A05"/>
    <w:rsid w:val="00CB1003"/>
    <w:rsid w:val="00CB20CF"/>
    <w:rsid w:val="00CB29EE"/>
    <w:rsid w:val="00CB2BE5"/>
    <w:rsid w:val="00CB323C"/>
    <w:rsid w:val="00CB3AB8"/>
    <w:rsid w:val="00CB673D"/>
    <w:rsid w:val="00CC07AF"/>
    <w:rsid w:val="00CC1F98"/>
    <w:rsid w:val="00CC4545"/>
    <w:rsid w:val="00CC53E0"/>
    <w:rsid w:val="00CC5FA6"/>
    <w:rsid w:val="00CC662A"/>
    <w:rsid w:val="00CC6FE5"/>
    <w:rsid w:val="00CC70E0"/>
    <w:rsid w:val="00CC7CDE"/>
    <w:rsid w:val="00CD087F"/>
    <w:rsid w:val="00CD0AD4"/>
    <w:rsid w:val="00CD19E1"/>
    <w:rsid w:val="00CD28AB"/>
    <w:rsid w:val="00CD2DD9"/>
    <w:rsid w:val="00CD2EF5"/>
    <w:rsid w:val="00CD3040"/>
    <w:rsid w:val="00CD32C1"/>
    <w:rsid w:val="00CD6D60"/>
    <w:rsid w:val="00CD73A4"/>
    <w:rsid w:val="00CD7756"/>
    <w:rsid w:val="00CD7BD1"/>
    <w:rsid w:val="00CD7F9F"/>
    <w:rsid w:val="00CE04BD"/>
    <w:rsid w:val="00CE1951"/>
    <w:rsid w:val="00CE2032"/>
    <w:rsid w:val="00CE462D"/>
    <w:rsid w:val="00CE480B"/>
    <w:rsid w:val="00CE61B8"/>
    <w:rsid w:val="00CE6BB0"/>
    <w:rsid w:val="00CE6BBF"/>
    <w:rsid w:val="00CE73C2"/>
    <w:rsid w:val="00CE7A7B"/>
    <w:rsid w:val="00CE7E41"/>
    <w:rsid w:val="00CF247D"/>
    <w:rsid w:val="00CF24BC"/>
    <w:rsid w:val="00CF6E89"/>
    <w:rsid w:val="00CF6ECC"/>
    <w:rsid w:val="00CF7424"/>
    <w:rsid w:val="00CF7647"/>
    <w:rsid w:val="00CF78CE"/>
    <w:rsid w:val="00D01F1C"/>
    <w:rsid w:val="00D03AEB"/>
    <w:rsid w:val="00D047A0"/>
    <w:rsid w:val="00D048DE"/>
    <w:rsid w:val="00D058BA"/>
    <w:rsid w:val="00D06962"/>
    <w:rsid w:val="00D07A91"/>
    <w:rsid w:val="00D07EAD"/>
    <w:rsid w:val="00D07FEE"/>
    <w:rsid w:val="00D11004"/>
    <w:rsid w:val="00D12924"/>
    <w:rsid w:val="00D14534"/>
    <w:rsid w:val="00D14652"/>
    <w:rsid w:val="00D1531C"/>
    <w:rsid w:val="00D156AE"/>
    <w:rsid w:val="00D16530"/>
    <w:rsid w:val="00D16716"/>
    <w:rsid w:val="00D16A2B"/>
    <w:rsid w:val="00D16C17"/>
    <w:rsid w:val="00D16C29"/>
    <w:rsid w:val="00D244BD"/>
    <w:rsid w:val="00D25634"/>
    <w:rsid w:val="00D25DBA"/>
    <w:rsid w:val="00D2685A"/>
    <w:rsid w:val="00D268C4"/>
    <w:rsid w:val="00D32074"/>
    <w:rsid w:val="00D32912"/>
    <w:rsid w:val="00D32B52"/>
    <w:rsid w:val="00D33CE9"/>
    <w:rsid w:val="00D36303"/>
    <w:rsid w:val="00D401AA"/>
    <w:rsid w:val="00D403E7"/>
    <w:rsid w:val="00D42B1B"/>
    <w:rsid w:val="00D45318"/>
    <w:rsid w:val="00D47626"/>
    <w:rsid w:val="00D47823"/>
    <w:rsid w:val="00D47F19"/>
    <w:rsid w:val="00D53E40"/>
    <w:rsid w:val="00D549BE"/>
    <w:rsid w:val="00D552CC"/>
    <w:rsid w:val="00D557FD"/>
    <w:rsid w:val="00D56382"/>
    <w:rsid w:val="00D56B86"/>
    <w:rsid w:val="00D56FD2"/>
    <w:rsid w:val="00D60053"/>
    <w:rsid w:val="00D62F53"/>
    <w:rsid w:val="00D63185"/>
    <w:rsid w:val="00D63C9D"/>
    <w:rsid w:val="00D64EDD"/>
    <w:rsid w:val="00D65AAF"/>
    <w:rsid w:val="00D66237"/>
    <w:rsid w:val="00D67AFE"/>
    <w:rsid w:val="00D70661"/>
    <w:rsid w:val="00D70EC9"/>
    <w:rsid w:val="00D73DF8"/>
    <w:rsid w:val="00D76CAF"/>
    <w:rsid w:val="00D77977"/>
    <w:rsid w:val="00D82821"/>
    <w:rsid w:val="00D82D6C"/>
    <w:rsid w:val="00D83E6A"/>
    <w:rsid w:val="00D83ED1"/>
    <w:rsid w:val="00D84473"/>
    <w:rsid w:val="00D85702"/>
    <w:rsid w:val="00D86422"/>
    <w:rsid w:val="00D867F3"/>
    <w:rsid w:val="00D869AB"/>
    <w:rsid w:val="00D86F02"/>
    <w:rsid w:val="00D8721F"/>
    <w:rsid w:val="00D87749"/>
    <w:rsid w:val="00D911A1"/>
    <w:rsid w:val="00D915D0"/>
    <w:rsid w:val="00D92534"/>
    <w:rsid w:val="00D937B8"/>
    <w:rsid w:val="00D93C94"/>
    <w:rsid w:val="00D93FC8"/>
    <w:rsid w:val="00D97A40"/>
    <w:rsid w:val="00DA0E1A"/>
    <w:rsid w:val="00DA16CB"/>
    <w:rsid w:val="00DA269A"/>
    <w:rsid w:val="00DA2F47"/>
    <w:rsid w:val="00DA322D"/>
    <w:rsid w:val="00DA399A"/>
    <w:rsid w:val="00DA3D22"/>
    <w:rsid w:val="00DA4231"/>
    <w:rsid w:val="00DA66EB"/>
    <w:rsid w:val="00DA67AA"/>
    <w:rsid w:val="00DA6C7A"/>
    <w:rsid w:val="00DB383A"/>
    <w:rsid w:val="00DB3F1B"/>
    <w:rsid w:val="00DB40DD"/>
    <w:rsid w:val="00DB4FDE"/>
    <w:rsid w:val="00DB6003"/>
    <w:rsid w:val="00DB670E"/>
    <w:rsid w:val="00DB6A8E"/>
    <w:rsid w:val="00DC0C6A"/>
    <w:rsid w:val="00DC1C57"/>
    <w:rsid w:val="00DC3034"/>
    <w:rsid w:val="00DC746D"/>
    <w:rsid w:val="00DC7734"/>
    <w:rsid w:val="00DC78B5"/>
    <w:rsid w:val="00DD0458"/>
    <w:rsid w:val="00DD076D"/>
    <w:rsid w:val="00DD2068"/>
    <w:rsid w:val="00DD261A"/>
    <w:rsid w:val="00DD5FDF"/>
    <w:rsid w:val="00DD6100"/>
    <w:rsid w:val="00DD791F"/>
    <w:rsid w:val="00DE0A4B"/>
    <w:rsid w:val="00DE0EAA"/>
    <w:rsid w:val="00DE140F"/>
    <w:rsid w:val="00DE2586"/>
    <w:rsid w:val="00DE2B29"/>
    <w:rsid w:val="00DE2FC3"/>
    <w:rsid w:val="00DE493F"/>
    <w:rsid w:val="00DE5167"/>
    <w:rsid w:val="00DE539F"/>
    <w:rsid w:val="00DE5477"/>
    <w:rsid w:val="00DE6551"/>
    <w:rsid w:val="00DE707D"/>
    <w:rsid w:val="00DE79B2"/>
    <w:rsid w:val="00DE7A52"/>
    <w:rsid w:val="00DF15A1"/>
    <w:rsid w:val="00DF2108"/>
    <w:rsid w:val="00DF2E59"/>
    <w:rsid w:val="00DF31B5"/>
    <w:rsid w:val="00DF3DF7"/>
    <w:rsid w:val="00DF41AD"/>
    <w:rsid w:val="00DF42D6"/>
    <w:rsid w:val="00DF4323"/>
    <w:rsid w:val="00DF4573"/>
    <w:rsid w:val="00DF50D3"/>
    <w:rsid w:val="00DF5B43"/>
    <w:rsid w:val="00DF66C1"/>
    <w:rsid w:val="00DF6AA9"/>
    <w:rsid w:val="00DF70E1"/>
    <w:rsid w:val="00DF71C9"/>
    <w:rsid w:val="00DF7B25"/>
    <w:rsid w:val="00E00112"/>
    <w:rsid w:val="00E01B50"/>
    <w:rsid w:val="00E01D69"/>
    <w:rsid w:val="00E02AF1"/>
    <w:rsid w:val="00E03F6D"/>
    <w:rsid w:val="00E0503D"/>
    <w:rsid w:val="00E050E8"/>
    <w:rsid w:val="00E056F2"/>
    <w:rsid w:val="00E07774"/>
    <w:rsid w:val="00E10849"/>
    <w:rsid w:val="00E10D1A"/>
    <w:rsid w:val="00E114E7"/>
    <w:rsid w:val="00E132E9"/>
    <w:rsid w:val="00E13987"/>
    <w:rsid w:val="00E13E1E"/>
    <w:rsid w:val="00E147B5"/>
    <w:rsid w:val="00E155E3"/>
    <w:rsid w:val="00E166ED"/>
    <w:rsid w:val="00E1720E"/>
    <w:rsid w:val="00E217BF"/>
    <w:rsid w:val="00E222B3"/>
    <w:rsid w:val="00E2296E"/>
    <w:rsid w:val="00E23A03"/>
    <w:rsid w:val="00E23AF7"/>
    <w:rsid w:val="00E26112"/>
    <w:rsid w:val="00E26B86"/>
    <w:rsid w:val="00E31706"/>
    <w:rsid w:val="00E321E4"/>
    <w:rsid w:val="00E33AE0"/>
    <w:rsid w:val="00E3477F"/>
    <w:rsid w:val="00E3608C"/>
    <w:rsid w:val="00E403FF"/>
    <w:rsid w:val="00E41D3E"/>
    <w:rsid w:val="00E43D10"/>
    <w:rsid w:val="00E44941"/>
    <w:rsid w:val="00E44EA5"/>
    <w:rsid w:val="00E45ACD"/>
    <w:rsid w:val="00E479EA"/>
    <w:rsid w:val="00E501E5"/>
    <w:rsid w:val="00E51196"/>
    <w:rsid w:val="00E53703"/>
    <w:rsid w:val="00E53BAA"/>
    <w:rsid w:val="00E55365"/>
    <w:rsid w:val="00E572C3"/>
    <w:rsid w:val="00E57C77"/>
    <w:rsid w:val="00E603DF"/>
    <w:rsid w:val="00E6148F"/>
    <w:rsid w:val="00E62538"/>
    <w:rsid w:val="00E634F5"/>
    <w:rsid w:val="00E64992"/>
    <w:rsid w:val="00E652A1"/>
    <w:rsid w:val="00E666D2"/>
    <w:rsid w:val="00E70091"/>
    <w:rsid w:val="00E716FE"/>
    <w:rsid w:val="00E71ACC"/>
    <w:rsid w:val="00E71F15"/>
    <w:rsid w:val="00E7316F"/>
    <w:rsid w:val="00E73D7B"/>
    <w:rsid w:val="00E75837"/>
    <w:rsid w:val="00E75FF3"/>
    <w:rsid w:val="00E77BA1"/>
    <w:rsid w:val="00E77D86"/>
    <w:rsid w:val="00E83AD1"/>
    <w:rsid w:val="00E842CA"/>
    <w:rsid w:val="00E849DA"/>
    <w:rsid w:val="00E86627"/>
    <w:rsid w:val="00E86CD5"/>
    <w:rsid w:val="00E8759E"/>
    <w:rsid w:val="00E90E52"/>
    <w:rsid w:val="00E910D0"/>
    <w:rsid w:val="00E91569"/>
    <w:rsid w:val="00E91650"/>
    <w:rsid w:val="00E91719"/>
    <w:rsid w:val="00E917F5"/>
    <w:rsid w:val="00E91AD0"/>
    <w:rsid w:val="00E9260D"/>
    <w:rsid w:val="00E94929"/>
    <w:rsid w:val="00E95A4E"/>
    <w:rsid w:val="00E97268"/>
    <w:rsid w:val="00EA09C9"/>
    <w:rsid w:val="00EA26D0"/>
    <w:rsid w:val="00EA275E"/>
    <w:rsid w:val="00EA6544"/>
    <w:rsid w:val="00EA6B2C"/>
    <w:rsid w:val="00EA6D46"/>
    <w:rsid w:val="00EB00CD"/>
    <w:rsid w:val="00EB024F"/>
    <w:rsid w:val="00EB0589"/>
    <w:rsid w:val="00EB3380"/>
    <w:rsid w:val="00EB503B"/>
    <w:rsid w:val="00EB5E63"/>
    <w:rsid w:val="00EB6CAE"/>
    <w:rsid w:val="00EC108B"/>
    <w:rsid w:val="00EC2B9D"/>
    <w:rsid w:val="00EC4871"/>
    <w:rsid w:val="00EC49F5"/>
    <w:rsid w:val="00EC50F4"/>
    <w:rsid w:val="00EC57A2"/>
    <w:rsid w:val="00EC6898"/>
    <w:rsid w:val="00EC6BF7"/>
    <w:rsid w:val="00EC6D72"/>
    <w:rsid w:val="00EC7EC6"/>
    <w:rsid w:val="00ED0517"/>
    <w:rsid w:val="00ED06E3"/>
    <w:rsid w:val="00ED2E9F"/>
    <w:rsid w:val="00ED2F77"/>
    <w:rsid w:val="00EE0E17"/>
    <w:rsid w:val="00EE49BC"/>
    <w:rsid w:val="00EE728F"/>
    <w:rsid w:val="00EE768C"/>
    <w:rsid w:val="00EF0D32"/>
    <w:rsid w:val="00EF1565"/>
    <w:rsid w:val="00EF1B2F"/>
    <w:rsid w:val="00EF37E5"/>
    <w:rsid w:val="00EF42C7"/>
    <w:rsid w:val="00EF44DB"/>
    <w:rsid w:val="00EF456E"/>
    <w:rsid w:val="00EF4D6E"/>
    <w:rsid w:val="00EF5374"/>
    <w:rsid w:val="00EF560D"/>
    <w:rsid w:val="00EF581C"/>
    <w:rsid w:val="00EF62CA"/>
    <w:rsid w:val="00EF649A"/>
    <w:rsid w:val="00EF7752"/>
    <w:rsid w:val="00EF792B"/>
    <w:rsid w:val="00EF7D01"/>
    <w:rsid w:val="00EF7F96"/>
    <w:rsid w:val="00F01677"/>
    <w:rsid w:val="00F039E4"/>
    <w:rsid w:val="00F04DCA"/>
    <w:rsid w:val="00F05CA2"/>
    <w:rsid w:val="00F07E67"/>
    <w:rsid w:val="00F11A3D"/>
    <w:rsid w:val="00F11B6D"/>
    <w:rsid w:val="00F12AC1"/>
    <w:rsid w:val="00F12E6C"/>
    <w:rsid w:val="00F144FF"/>
    <w:rsid w:val="00F152AC"/>
    <w:rsid w:val="00F15882"/>
    <w:rsid w:val="00F1624A"/>
    <w:rsid w:val="00F16C81"/>
    <w:rsid w:val="00F17862"/>
    <w:rsid w:val="00F17BC8"/>
    <w:rsid w:val="00F2011A"/>
    <w:rsid w:val="00F211DD"/>
    <w:rsid w:val="00F226CD"/>
    <w:rsid w:val="00F2274B"/>
    <w:rsid w:val="00F249AD"/>
    <w:rsid w:val="00F25D42"/>
    <w:rsid w:val="00F26D29"/>
    <w:rsid w:val="00F27B70"/>
    <w:rsid w:val="00F27CF8"/>
    <w:rsid w:val="00F3087D"/>
    <w:rsid w:val="00F310F6"/>
    <w:rsid w:val="00F33DDB"/>
    <w:rsid w:val="00F34E85"/>
    <w:rsid w:val="00F35D16"/>
    <w:rsid w:val="00F36164"/>
    <w:rsid w:val="00F36A4C"/>
    <w:rsid w:val="00F36F9F"/>
    <w:rsid w:val="00F3765F"/>
    <w:rsid w:val="00F40938"/>
    <w:rsid w:val="00F41005"/>
    <w:rsid w:val="00F41A55"/>
    <w:rsid w:val="00F42DFD"/>
    <w:rsid w:val="00F44AF8"/>
    <w:rsid w:val="00F46155"/>
    <w:rsid w:val="00F51C8F"/>
    <w:rsid w:val="00F51D79"/>
    <w:rsid w:val="00F5340E"/>
    <w:rsid w:val="00F53B1D"/>
    <w:rsid w:val="00F56EAB"/>
    <w:rsid w:val="00F57DCE"/>
    <w:rsid w:val="00F57DDE"/>
    <w:rsid w:val="00F60E64"/>
    <w:rsid w:val="00F634FC"/>
    <w:rsid w:val="00F63552"/>
    <w:rsid w:val="00F64698"/>
    <w:rsid w:val="00F64E19"/>
    <w:rsid w:val="00F64F2C"/>
    <w:rsid w:val="00F6585C"/>
    <w:rsid w:val="00F662D7"/>
    <w:rsid w:val="00F66BBA"/>
    <w:rsid w:val="00F67F37"/>
    <w:rsid w:val="00F72381"/>
    <w:rsid w:val="00F72879"/>
    <w:rsid w:val="00F739DB"/>
    <w:rsid w:val="00F73DEE"/>
    <w:rsid w:val="00F74523"/>
    <w:rsid w:val="00F75193"/>
    <w:rsid w:val="00F76464"/>
    <w:rsid w:val="00F82475"/>
    <w:rsid w:val="00F84204"/>
    <w:rsid w:val="00F8558B"/>
    <w:rsid w:val="00F8636B"/>
    <w:rsid w:val="00F8694C"/>
    <w:rsid w:val="00F90D04"/>
    <w:rsid w:val="00F9105D"/>
    <w:rsid w:val="00F91A1E"/>
    <w:rsid w:val="00F92091"/>
    <w:rsid w:val="00F92971"/>
    <w:rsid w:val="00F9495A"/>
    <w:rsid w:val="00F9496B"/>
    <w:rsid w:val="00F95170"/>
    <w:rsid w:val="00F9799C"/>
    <w:rsid w:val="00FA0191"/>
    <w:rsid w:val="00FA05D1"/>
    <w:rsid w:val="00FA1C91"/>
    <w:rsid w:val="00FA2088"/>
    <w:rsid w:val="00FA2548"/>
    <w:rsid w:val="00FA3E43"/>
    <w:rsid w:val="00FA53D6"/>
    <w:rsid w:val="00FA549D"/>
    <w:rsid w:val="00FB01EB"/>
    <w:rsid w:val="00FB18A8"/>
    <w:rsid w:val="00FC0E03"/>
    <w:rsid w:val="00FC1455"/>
    <w:rsid w:val="00FC280F"/>
    <w:rsid w:val="00FC338E"/>
    <w:rsid w:val="00FC4916"/>
    <w:rsid w:val="00FC4B6E"/>
    <w:rsid w:val="00FC6358"/>
    <w:rsid w:val="00FD062F"/>
    <w:rsid w:val="00FD2761"/>
    <w:rsid w:val="00FD3839"/>
    <w:rsid w:val="00FD552E"/>
    <w:rsid w:val="00FD5804"/>
    <w:rsid w:val="00FD5DFA"/>
    <w:rsid w:val="00FD6B50"/>
    <w:rsid w:val="00FD7C0E"/>
    <w:rsid w:val="00FE0E25"/>
    <w:rsid w:val="00FE5EA3"/>
    <w:rsid w:val="00FE613E"/>
    <w:rsid w:val="00FE6B8B"/>
    <w:rsid w:val="00FE6D1F"/>
    <w:rsid w:val="00FE7C5C"/>
    <w:rsid w:val="00FF10A8"/>
    <w:rsid w:val="00FF274E"/>
    <w:rsid w:val="00FF2E29"/>
    <w:rsid w:val="00FF3158"/>
    <w:rsid w:val="00FF39CD"/>
    <w:rsid w:val="00FF49DD"/>
    <w:rsid w:val="00FF63A4"/>
    <w:rsid w:val="00FF6C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FF8D48"/>
  <w15:chartTrackingRefBased/>
  <w15:docId w15:val="{71F1676E-DCC6-4806-87B1-1CE07715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891"/>
    <w:pPr>
      <w:jc w:val="both"/>
    </w:pPr>
    <w:rPr>
      <w:rFonts w:ascii="Marianne" w:hAnsi="Marianne"/>
      <w:sz w:val="20"/>
    </w:rPr>
  </w:style>
  <w:style w:type="paragraph" w:styleId="Titre1">
    <w:name w:val="heading 1"/>
    <w:basedOn w:val="Normal"/>
    <w:next w:val="Normal"/>
    <w:link w:val="Titre1Car"/>
    <w:uiPriority w:val="9"/>
    <w:qFormat/>
    <w:rsid w:val="00A75E42"/>
    <w:pPr>
      <w:keepNext/>
      <w:keepLines/>
      <w:spacing w:before="120" w:after="120" w:line="360" w:lineRule="auto"/>
      <w:outlineLvl w:val="0"/>
    </w:pPr>
    <w:rPr>
      <w:rFonts w:eastAsiaTheme="majorEastAsia" w:cstheme="majorBidi"/>
      <w:b/>
      <w:color w:val="FFC000"/>
      <w:sz w:val="32"/>
      <w:szCs w:val="32"/>
    </w:rPr>
  </w:style>
  <w:style w:type="paragraph" w:styleId="Titre2">
    <w:name w:val="heading 2"/>
    <w:basedOn w:val="Normal"/>
    <w:next w:val="Normal"/>
    <w:link w:val="Titre2Car"/>
    <w:uiPriority w:val="9"/>
    <w:unhideWhenUsed/>
    <w:qFormat/>
    <w:rsid w:val="00430C6D"/>
    <w:pPr>
      <w:keepNext/>
      <w:keepLines/>
      <w:spacing w:before="40" w:after="0"/>
      <w:outlineLvl w:val="1"/>
    </w:pPr>
    <w:rPr>
      <w:rFonts w:eastAsiaTheme="majorEastAsia" w:cstheme="majorBidi"/>
      <w:b/>
      <w:szCs w:val="26"/>
    </w:rPr>
  </w:style>
  <w:style w:type="paragraph" w:styleId="Titre3">
    <w:name w:val="heading 3"/>
    <w:basedOn w:val="Normal"/>
    <w:next w:val="Normal"/>
    <w:link w:val="Titre3Car"/>
    <w:uiPriority w:val="9"/>
    <w:semiHidden/>
    <w:unhideWhenUsed/>
    <w:rsid w:val="00802DA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75E42"/>
    <w:rPr>
      <w:rFonts w:ascii="Marianne" w:eastAsiaTheme="majorEastAsia" w:hAnsi="Marianne" w:cstheme="majorBidi"/>
      <w:b/>
      <w:color w:val="FFC000"/>
      <w:sz w:val="32"/>
      <w:szCs w:val="32"/>
    </w:rPr>
  </w:style>
  <w:style w:type="character" w:customStyle="1" w:styleId="Titre2Car">
    <w:name w:val="Titre 2 Car"/>
    <w:basedOn w:val="Policepardfaut"/>
    <w:link w:val="Titre2"/>
    <w:uiPriority w:val="9"/>
    <w:rsid w:val="00430C6D"/>
    <w:rPr>
      <w:rFonts w:ascii="Marianne" w:eastAsiaTheme="majorEastAsia" w:hAnsi="Marianne" w:cstheme="majorBidi"/>
      <w:b/>
      <w:sz w:val="20"/>
      <w:szCs w:val="26"/>
    </w:rPr>
  </w:style>
  <w:style w:type="character" w:customStyle="1" w:styleId="Titre3Car">
    <w:name w:val="Titre 3 Car"/>
    <w:basedOn w:val="Policepardfaut"/>
    <w:link w:val="Titre3"/>
    <w:uiPriority w:val="9"/>
    <w:semiHidden/>
    <w:rsid w:val="00802DA1"/>
    <w:rPr>
      <w:rFonts w:asciiTheme="majorHAnsi" w:eastAsiaTheme="majorEastAsia" w:hAnsiTheme="majorHAnsi" w:cstheme="majorBidi"/>
      <w:color w:val="1F3763" w:themeColor="accent1" w:themeShade="7F"/>
      <w:sz w:val="24"/>
      <w:szCs w:val="24"/>
    </w:rPr>
  </w:style>
  <w:style w:type="paragraph" w:customStyle="1" w:styleId="titre10">
    <w:name w:val="titre 1"/>
    <w:basedOn w:val="Normal"/>
    <w:link w:val="titre1Car0"/>
    <w:rsid w:val="00690D2C"/>
    <w:pPr>
      <w:spacing w:after="0" w:line="240" w:lineRule="auto"/>
      <w:ind w:left="284" w:right="-993"/>
    </w:pPr>
    <w:rPr>
      <w:b/>
      <w:bCs/>
      <w:color w:val="FFC000"/>
      <w:sz w:val="24"/>
      <w:szCs w:val="24"/>
    </w:rPr>
  </w:style>
  <w:style w:type="character" w:customStyle="1" w:styleId="titre1Car0">
    <w:name w:val="titre 1 Car"/>
    <w:basedOn w:val="Policepardfaut"/>
    <w:link w:val="titre10"/>
    <w:rsid w:val="00690D2C"/>
    <w:rPr>
      <w:rFonts w:ascii="Marianne" w:hAnsi="Marianne"/>
      <w:b/>
      <w:bCs/>
      <w:color w:val="FFC000"/>
      <w:sz w:val="24"/>
      <w:szCs w:val="24"/>
    </w:rPr>
  </w:style>
  <w:style w:type="paragraph" w:styleId="TM1">
    <w:name w:val="toc 1"/>
    <w:aliases w:val="Pays"/>
    <w:basedOn w:val="Titre1"/>
    <w:next w:val="Normal"/>
    <w:autoRedefine/>
    <w:uiPriority w:val="39"/>
    <w:unhideWhenUsed/>
    <w:rsid w:val="00C25A71"/>
    <w:pPr>
      <w:tabs>
        <w:tab w:val="right" w:leader="dot" w:pos="9062"/>
      </w:tabs>
      <w:spacing w:before="0"/>
      <w:jc w:val="left"/>
    </w:pPr>
    <w:rPr>
      <w:noProof/>
      <w:sz w:val="20"/>
      <w:szCs w:val="28"/>
    </w:rPr>
  </w:style>
  <w:style w:type="paragraph" w:styleId="En-ttedetabledesmatires">
    <w:name w:val="TOC Heading"/>
    <w:basedOn w:val="Titre1"/>
    <w:next w:val="Normal"/>
    <w:uiPriority w:val="39"/>
    <w:unhideWhenUsed/>
    <w:rsid w:val="00B6672E"/>
    <w:pPr>
      <w:spacing w:before="480" w:after="240"/>
      <w:outlineLvl w:val="9"/>
    </w:pPr>
    <w:rPr>
      <w:lang w:eastAsia="fr-FR"/>
    </w:rPr>
  </w:style>
  <w:style w:type="paragraph" w:styleId="Sansinterligne">
    <w:name w:val="No Spacing"/>
    <w:uiPriority w:val="1"/>
    <w:rsid w:val="00430C6D"/>
    <w:pPr>
      <w:spacing w:after="0" w:line="240" w:lineRule="auto"/>
    </w:pPr>
  </w:style>
  <w:style w:type="character" w:styleId="Mentionnonrsolue">
    <w:name w:val="Unresolved Mention"/>
    <w:basedOn w:val="Policepardfaut"/>
    <w:uiPriority w:val="99"/>
    <w:semiHidden/>
    <w:unhideWhenUsed/>
    <w:rsid w:val="00CD2EF5"/>
    <w:rPr>
      <w:color w:val="605E5C"/>
      <w:shd w:val="clear" w:color="auto" w:fill="E1DFDD"/>
    </w:rPr>
  </w:style>
  <w:style w:type="character" w:styleId="Lienhypertexte">
    <w:name w:val="Hyperlink"/>
    <w:basedOn w:val="Policepardfaut"/>
    <w:uiPriority w:val="99"/>
    <w:unhideWhenUsed/>
    <w:rsid w:val="00430C6D"/>
    <w:rPr>
      <w:color w:val="0563C1" w:themeColor="hyperlink"/>
      <w:u w:val="single"/>
    </w:rPr>
  </w:style>
  <w:style w:type="paragraph" w:styleId="TM2">
    <w:name w:val="toc 2"/>
    <w:basedOn w:val="Titre2"/>
    <w:next w:val="Normal"/>
    <w:autoRedefine/>
    <w:uiPriority w:val="39"/>
    <w:unhideWhenUsed/>
    <w:rsid w:val="001D448D"/>
    <w:pPr>
      <w:numPr>
        <w:numId w:val="2"/>
      </w:numPr>
      <w:tabs>
        <w:tab w:val="right" w:leader="dot" w:pos="9062"/>
      </w:tabs>
      <w:spacing w:after="100"/>
      <w:ind w:left="360"/>
    </w:pPr>
    <w:rPr>
      <w:bCs/>
      <w:noProof/>
    </w:rPr>
  </w:style>
  <w:style w:type="paragraph" w:styleId="TM3">
    <w:name w:val="toc 3"/>
    <w:basedOn w:val="Normal"/>
    <w:next w:val="Normal"/>
    <w:autoRedefine/>
    <w:uiPriority w:val="39"/>
    <w:unhideWhenUsed/>
    <w:rsid w:val="006A1E52"/>
    <w:pPr>
      <w:spacing w:after="100"/>
      <w:ind w:left="400"/>
    </w:pPr>
  </w:style>
  <w:style w:type="character" w:styleId="lev">
    <w:name w:val="Strong"/>
    <w:basedOn w:val="Policepardfaut"/>
    <w:uiPriority w:val="22"/>
    <w:rsid w:val="00086E8B"/>
    <w:rPr>
      <w:b/>
      <w:bCs/>
    </w:rPr>
  </w:style>
  <w:style w:type="character" w:styleId="Accentuationlgre">
    <w:name w:val="Subtle Emphasis"/>
    <w:basedOn w:val="Policepardfaut"/>
    <w:uiPriority w:val="19"/>
    <w:rsid w:val="00086E8B"/>
    <w:rPr>
      <w:i/>
      <w:iCs/>
      <w:color w:val="404040" w:themeColor="text1" w:themeTint="BF"/>
    </w:rPr>
  </w:style>
  <w:style w:type="paragraph" w:customStyle="1" w:styleId="BREVESECOPieddepage">
    <w:name w:val="BREVES ECO Pied de page"/>
    <w:basedOn w:val="Normal"/>
    <w:link w:val="BREVESECOPieddepageCar"/>
    <w:qFormat/>
    <w:rsid w:val="00F57DDE"/>
    <w:pPr>
      <w:spacing w:after="120"/>
      <w:jc w:val="left"/>
    </w:pPr>
    <w:rPr>
      <w:rFonts w:ascii="Marianne Light" w:hAnsi="Marianne Light"/>
      <w:sz w:val="18"/>
      <w:szCs w:val="18"/>
    </w:rPr>
  </w:style>
  <w:style w:type="character" w:customStyle="1" w:styleId="BREVESECOPieddepageCar">
    <w:name w:val="BREVES ECO Pied de page Car"/>
    <w:basedOn w:val="Policepardfaut"/>
    <w:link w:val="BREVESECOPieddepage"/>
    <w:rsid w:val="00F57DDE"/>
    <w:rPr>
      <w:rFonts w:ascii="Marianne Light" w:hAnsi="Marianne Light"/>
      <w:sz w:val="18"/>
      <w:szCs w:val="18"/>
    </w:rPr>
  </w:style>
  <w:style w:type="paragraph" w:styleId="En-tte">
    <w:name w:val="header"/>
    <w:basedOn w:val="Normal"/>
    <w:link w:val="En-tteCar"/>
    <w:uiPriority w:val="99"/>
    <w:unhideWhenUsed/>
    <w:rsid w:val="007121A6"/>
    <w:pPr>
      <w:tabs>
        <w:tab w:val="center" w:pos="4536"/>
        <w:tab w:val="right" w:pos="9072"/>
      </w:tabs>
      <w:spacing w:after="0" w:line="240" w:lineRule="auto"/>
    </w:pPr>
  </w:style>
  <w:style w:type="character" w:customStyle="1" w:styleId="En-tteCar">
    <w:name w:val="En-tête Car"/>
    <w:basedOn w:val="Policepardfaut"/>
    <w:link w:val="En-tte"/>
    <w:uiPriority w:val="99"/>
    <w:rsid w:val="007121A6"/>
    <w:rPr>
      <w:rFonts w:ascii="Marianne" w:hAnsi="Marianne"/>
      <w:sz w:val="20"/>
    </w:rPr>
  </w:style>
  <w:style w:type="paragraph" w:styleId="Pieddepage">
    <w:name w:val="footer"/>
    <w:basedOn w:val="Normal"/>
    <w:link w:val="PieddepageCar"/>
    <w:uiPriority w:val="99"/>
    <w:unhideWhenUsed/>
    <w:rsid w:val="007121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121A6"/>
    <w:rPr>
      <w:rFonts w:ascii="Marianne" w:hAnsi="Marianne"/>
      <w:sz w:val="20"/>
    </w:rPr>
  </w:style>
  <w:style w:type="paragraph" w:styleId="TM4">
    <w:name w:val="toc 4"/>
    <w:basedOn w:val="Normal"/>
    <w:next w:val="Normal"/>
    <w:autoRedefine/>
    <w:uiPriority w:val="39"/>
    <w:unhideWhenUsed/>
    <w:rsid w:val="00DB383A"/>
    <w:pPr>
      <w:spacing w:after="100"/>
      <w:ind w:left="660"/>
      <w:jc w:val="left"/>
    </w:pPr>
    <w:rPr>
      <w:rFonts w:asciiTheme="minorHAnsi" w:eastAsiaTheme="minorEastAsia" w:hAnsiTheme="minorHAnsi"/>
      <w:sz w:val="22"/>
      <w:lang w:eastAsia="fr-FR"/>
    </w:rPr>
  </w:style>
  <w:style w:type="paragraph" w:styleId="TM5">
    <w:name w:val="toc 5"/>
    <w:basedOn w:val="Normal"/>
    <w:next w:val="Normal"/>
    <w:autoRedefine/>
    <w:uiPriority w:val="39"/>
    <w:unhideWhenUsed/>
    <w:rsid w:val="00DB383A"/>
    <w:pPr>
      <w:spacing w:after="100"/>
      <w:ind w:left="880"/>
      <w:jc w:val="left"/>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DB383A"/>
    <w:pPr>
      <w:spacing w:after="100"/>
      <w:ind w:left="1100"/>
      <w:jc w:val="left"/>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DB383A"/>
    <w:pPr>
      <w:spacing w:after="100"/>
      <w:ind w:left="1320"/>
      <w:jc w:val="left"/>
    </w:pPr>
    <w:rPr>
      <w:rFonts w:asciiTheme="minorHAnsi" w:eastAsiaTheme="minorEastAsia" w:hAnsiTheme="minorHAnsi"/>
      <w:sz w:val="22"/>
      <w:lang w:eastAsia="fr-FR"/>
    </w:rPr>
  </w:style>
  <w:style w:type="paragraph" w:styleId="TM8">
    <w:name w:val="toc 8"/>
    <w:basedOn w:val="Normal"/>
    <w:next w:val="Normal"/>
    <w:autoRedefine/>
    <w:uiPriority w:val="39"/>
    <w:unhideWhenUsed/>
    <w:rsid w:val="00DB383A"/>
    <w:pPr>
      <w:spacing w:after="100"/>
      <w:ind w:left="1540"/>
      <w:jc w:val="left"/>
    </w:pPr>
    <w:rPr>
      <w:rFonts w:asciiTheme="minorHAnsi" w:eastAsiaTheme="minorEastAsia" w:hAnsiTheme="minorHAnsi"/>
      <w:sz w:val="22"/>
      <w:lang w:eastAsia="fr-FR"/>
    </w:rPr>
  </w:style>
  <w:style w:type="paragraph" w:styleId="TM9">
    <w:name w:val="toc 9"/>
    <w:basedOn w:val="Normal"/>
    <w:next w:val="Normal"/>
    <w:autoRedefine/>
    <w:uiPriority w:val="39"/>
    <w:unhideWhenUsed/>
    <w:rsid w:val="00DB383A"/>
    <w:pPr>
      <w:spacing w:after="100"/>
      <w:ind w:left="1760"/>
      <w:jc w:val="left"/>
    </w:pPr>
    <w:rPr>
      <w:rFonts w:asciiTheme="minorHAnsi" w:eastAsiaTheme="minorEastAsia" w:hAnsiTheme="minorHAnsi"/>
      <w:sz w:val="22"/>
      <w:lang w:eastAsia="fr-FR"/>
    </w:rPr>
  </w:style>
  <w:style w:type="character" w:styleId="Marquedecommentaire">
    <w:name w:val="annotation reference"/>
    <w:basedOn w:val="Policepardfaut"/>
    <w:uiPriority w:val="99"/>
    <w:semiHidden/>
    <w:unhideWhenUsed/>
    <w:rsid w:val="00876EDE"/>
    <w:rPr>
      <w:sz w:val="16"/>
      <w:szCs w:val="16"/>
    </w:rPr>
  </w:style>
  <w:style w:type="paragraph" w:styleId="Commentaire">
    <w:name w:val="annotation text"/>
    <w:basedOn w:val="Normal"/>
    <w:link w:val="CommentaireCar"/>
    <w:uiPriority w:val="99"/>
    <w:semiHidden/>
    <w:unhideWhenUsed/>
    <w:rsid w:val="00876EDE"/>
    <w:pPr>
      <w:spacing w:line="240" w:lineRule="auto"/>
    </w:pPr>
    <w:rPr>
      <w:szCs w:val="20"/>
    </w:rPr>
  </w:style>
  <w:style w:type="character" w:customStyle="1" w:styleId="CommentaireCar">
    <w:name w:val="Commentaire Car"/>
    <w:basedOn w:val="Policepardfaut"/>
    <w:link w:val="Commentaire"/>
    <w:uiPriority w:val="99"/>
    <w:semiHidden/>
    <w:rsid w:val="00876EDE"/>
    <w:rPr>
      <w:rFonts w:ascii="Marianne" w:hAnsi="Marianne"/>
      <w:sz w:val="20"/>
      <w:szCs w:val="20"/>
    </w:rPr>
  </w:style>
  <w:style w:type="paragraph" w:styleId="Objetducommentaire">
    <w:name w:val="annotation subject"/>
    <w:basedOn w:val="Commentaire"/>
    <w:next w:val="Commentaire"/>
    <w:link w:val="ObjetducommentaireCar"/>
    <w:uiPriority w:val="99"/>
    <w:semiHidden/>
    <w:unhideWhenUsed/>
    <w:rsid w:val="00876EDE"/>
    <w:rPr>
      <w:b/>
      <w:bCs/>
    </w:rPr>
  </w:style>
  <w:style w:type="character" w:customStyle="1" w:styleId="ObjetducommentaireCar">
    <w:name w:val="Objet du commentaire Car"/>
    <w:basedOn w:val="CommentaireCar"/>
    <w:link w:val="Objetducommentaire"/>
    <w:uiPriority w:val="99"/>
    <w:semiHidden/>
    <w:rsid w:val="00876EDE"/>
    <w:rPr>
      <w:rFonts w:ascii="Marianne" w:hAnsi="Marianne"/>
      <w:b/>
      <w:bCs/>
      <w:sz w:val="20"/>
      <w:szCs w:val="20"/>
    </w:rPr>
  </w:style>
  <w:style w:type="paragraph" w:styleId="Rvision">
    <w:name w:val="Revision"/>
    <w:hidden/>
    <w:uiPriority w:val="99"/>
    <w:semiHidden/>
    <w:rsid w:val="005E2DDB"/>
    <w:pPr>
      <w:spacing w:after="0" w:line="240" w:lineRule="auto"/>
    </w:pPr>
    <w:rPr>
      <w:rFonts w:ascii="Marianne" w:hAnsi="Marianne"/>
      <w:sz w:val="20"/>
    </w:rPr>
  </w:style>
  <w:style w:type="character" w:styleId="Lienhypertextesuivivisit">
    <w:name w:val="FollowedHyperlink"/>
    <w:basedOn w:val="Policepardfaut"/>
    <w:uiPriority w:val="99"/>
    <w:semiHidden/>
    <w:unhideWhenUsed/>
    <w:rsid w:val="00A005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355">
      <w:bodyDiv w:val="1"/>
      <w:marLeft w:val="0"/>
      <w:marRight w:val="0"/>
      <w:marTop w:val="0"/>
      <w:marBottom w:val="0"/>
      <w:divBdr>
        <w:top w:val="none" w:sz="0" w:space="0" w:color="auto"/>
        <w:left w:val="none" w:sz="0" w:space="0" w:color="auto"/>
        <w:bottom w:val="none" w:sz="0" w:space="0" w:color="auto"/>
        <w:right w:val="none" w:sz="0" w:space="0" w:color="auto"/>
      </w:divBdr>
    </w:div>
    <w:div w:id="1208113">
      <w:bodyDiv w:val="1"/>
      <w:marLeft w:val="0"/>
      <w:marRight w:val="0"/>
      <w:marTop w:val="0"/>
      <w:marBottom w:val="0"/>
      <w:divBdr>
        <w:top w:val="none" w:sz="0" w:space="0" w:color="auto"/>
        <w:left w:val="none" w:sz="0" w:space="0" w:color="auto"/>
        <w:bottom w:val="none" w:sz="0" w:space="0" w:color="auto"/>
        <w:right w:val="none" w:sz="0" w:space="0" w:color="auto"/>
      </w:divBdr>
    </w:div>
    <w:div w:id="2972312">
      <w:bodyDiv w:val="1"/>
      <w:marLeft w:val="0"/>
      <w:marRight w:val="0"/>
      <w:marTop w:val="0"/>
      <w:marBottom w:val="0"/>
      <w:divBdr>
        <w:top w:val="none" w:sz="0" w:space="0" w:color="auto"/>
        <w:left w:val="none" w:sz="0" w:space="0" w:color="auto"/>
        <w:bottom w:val="none" w:sz="0" w:space="0" w:color="auto"/>
        <w:right w:val="none" w:sz="0" w:space="0" w:color="auto"/>
      </w:divBdr>
    </w:div>
    <w:div w:id="4527852">
      <w:bodyDiv w:val="1"/>
      <w:marLeft w:val="0"/>
      <w:marRight w:val="0"/>
      <w:marTop w:val="0"/>
      <w:marBottom w:val="0"/>
      <w:divBdr>
        <w:top w:val="none" w:sz="0" w:space="0" w:color="auto"/>
        <w:left w:val="none" w:sz="0" w:space="0" w:color="auto"/>
        <w:bottom w:val="none" w:sz="0" w:space="0" w:color="auto"/>
        <w:right w:val="none" w:sz="0" w:space="0" w:color="auto"/>
      </w:divBdr>
    </w:div>
    <w:div w:id="5333835">
      <w:bodyDiv w:val="1"/>
      <w:marLeft w:val="0"/>
      <w:marRight w:val="0"/>
      <w:marTop w:val="0"/>
      <w:marBottom w:val="0"/>
      <w:divBdr>
        <w:top w:val="none" w:sz="0" w:space="0" w:color="auto"/>
        <w:left w:val="none" w:sz="0" w:space="0" w:color="auto"/>
        <w:bottom w:val="none" w:sz="0" w:space="0" w:color="auto"/>
        <w:right w:val="none" w:sz="0" w:space="0" w:color="auto"/>
      </w:divBdr>
    </w:div>
    <w:div w:id="6101980">
      <w:bodyDiv w:val="1"/>
      <w:marLeft w:val="0"/>
      <w:marRight w:val="0"/>
      <w:marTop w:val="0"/>
      <w:marBottom w:val="0"/>
      <w:divBdr>
        <w:top w:val="none" w:sz="0" w:space="0" w:color="auto"/>
        <w:left w:val="none" w:sz="0" w:space="0" w:color="auto"/>
        <w:bottom w:val="none" w:sz="0" w:space="0" w:color="auto"/>
        <w:right w:val="none" w:sz="0" w:space="0" w:color="auto"/>
      </w:divBdr>
    </w:div>
    <w:div w:id="6374209">
      <w:bodyDiv w:val="1"/>
      <w:marLeft w:val="0"/>
      <w:marRight w:val="0"/>
      <w:marTop w:val="0"/>
      <w:marBottom w:val="0"/>
      <w:divBdr>
        <w:top w:val="none" w:sz="0" w:space="0" w:color="auto"/>
        <w:left w:val="none" w:sz="0" w:space="0" w:color="auto"/>
        <w:bottom w:val="none" w:sz="0" w:space="0" w:color="auto"/>
        <w:right w:val="none" w:sz="0" w:space="0" w:color="auto"/>
      </w:divBdr>
    </w:div>
    <w:div w:id="10112750">
      <w:bodyDiv w:val="1"/>
      <w:marLeft w:val="0"/>
      <w:marRight w:val="0"/>
      <w:marTop w:val="0"/>
      <w:marBottom w:val="0"/>
      <w:divBdr>
        <w:top w:val="none" w:sz="0" w:space="0" w:color="auto"/>
        <w:left w:val="none" w:sz="0" w:space="0" w:color="auto"/>
        <w:bottom w:val="none" w:sz="0" w:space="0" w:color="auto"/>
        <w:right w:val="none" w:sz="0" w:space="0" w:color="auto"/>
      </w:divBdr>
    </w:div>
    <w:div w:id="13770582">
      <w:bodyDiv w:val="1"/>
      <w:marLeft w:val="0"/>
      <w:marRight w:val="0"/>
      <w:marTop w:val="0"/>
      <w:marBottom w:val="0"/>
      <w:divBdr>
        <w:top w:val="none" w:sz="0" w:space="0" w:color="auto"/>
        <w:left w:val="none" w:sz="0" w:space="0" w:color="auto"/>
        <w:bottom w:val="none" w:sz="0" w:space="0" w:color="auto"/>
        <w:right w:val="none" w:sz="0" w:space="0" w:color="auto"/>
      </w:divBdr>
    </w:div>
    <w:div w:id="15159463">
      <w:bodyDiv w:val="1"/>
      <w:marLeft w:val="0"/>
      <w:marRight w:val="0"/>
      <w:marTop w:val="0"/>
      <w:marBottom w:val="0"/>
      <w:divBdr>
        <w:top w:val="none" w:sz="0" w:space="0" w:color="auto"/>
        <w:left w:val="none" w:sz="0" w:space="0" w:color="auto"/>
        <w:bottom w:val="none" w:sz="0" w:space="0" w:color="auto"/>
        <w:right w:val="none" w:sz="0" w:space="0" w:color="auto"/>
      </w:divBdr>
    </w:div>
    <w:div w:id="15473688">
      <w:bodyDiv w:val="1"/>
      <w:marLeft w:val="0"/>
      <w:marRight w:val="0"/>
      <w:marTop w:val="0"/>
      <w:marBottom w:val="0"/>
      <w:divBdr>
        <w:top w:val="none" w:sz="0" w:space="0" w:color="auto"/>
        <w:left w:val="none" w:sz="0" w:space="0" w:color="auto"/>
        <w:bottom w:val="none" w:sz="0" w:space="0" w:color="auto"/>
        <w:right w:val="none" w:sz="0" w:space="0" w:color="auto"/>
      </w:divBdr>
    </w:div>
    <w:div w:id="16857623">
      <w:bodyDiv w:val="1"/>
      <w:marLeft w:val="0"/>
      <w:marRight w:val="0"/>
      <w:marTop w:val="0"/>
      <w:marBottom w:val="0"/>
      <w:divBdr>
        <w:top w:val="none" w:sz="0" w:space="0" w:color="auto"/>
        <w:left w:val="none" w:sz="0" w:space="0" w:color="auto"/>
        <w:bottom w:val="none" w:sz="0" w:space="0" w:color="auto"/>
        <w:right w:val="none" w:sz="0" w:space="0" w:color="auto"/>
      </w:divBdr>
    </w:div>
    <w:div w:id="19548208">
      <w:bodyDiv w:val="1"/>
      <w:marLeft w:val="0"/>
      <w:marRight w:val="0"/>
      <w:marTop w:val="0"/>
      <w:marBottom w:val="0"/>
      <w:divBdr>
        <w:top w:val="none" w:sz="0" w:space="0" w:color="auto"/>
        <w:left w:val="none" w:sz="0" w:space="0" w:color="auto"/>
        <w:bottom w:val="none" w:sz="0" w:space="0" w:color="auto"/>
        <w:right w:val="none" w:sz="0" w:space="0" w:color="auto"/>
      </w:divBdr>
    </w:div>
    <w:div w:id="20936060">
      <w:bodyDiv w:val="1"/>
      <w:marLeft w:val="0"/>
      <w:marRight w:val="0"/>
      <w:marTop w:val="0"/>
      <w:marBottom w:val="0"/>
      <w:divBdr>
        <w:top w:val="none" w:sz="0" w:space="0" w:color="auto"/>
        <w:left w:val="none" w:sz="0" w:space="0" w:color="auto"/>
        <w:bottom w:val="none" w:sz="0" w:space="0" w:color="auto"/>
        <w:right w:val="none" w:sz="0" w:space="0" w:color="auto"/>
      </w:divBdr>
    </w:div>
    <w:div w:id="22220483">
      <w:bodyDiv w:val="1"/>
      <w:marLeft w:val="0"/>
      <w:marRight w:val="0"/>
      <w:marTop w:val="0"/>
      <w:marBottom w:val="0"/>
      <w:divBdr>
        <w:top w:val="none" w:sz="0" w:space="0" w:color="auto"/>
        <w:left w:val="none" w:sz="0" w:space="0" w:color="auto"/>
        <w:bottom w:val="none" w:sz="0" w:space="0" w:color="auto"/>
        <w:right w:val="none" w:sz="0" w:space="0" w:color="auto"/>
      </w:divBdr>
    </w:div>
    <w:div w:id="23098519">
      <w:bodyDiv w:val="1"/>
      <w:marLeft w:val="0"/>
      <w:marRight w:val="0"/>
      <w:marTop w:val="0"/>
      <w:marBottom w:val="0"/>
      <w:divBdr>
        <w:top w:val="none" w:sz="0" w:space="0" w:color="auto"/>
        <w:left w:val="none" w:sz="0" w:space="0" w:color="auto"/>
        <w:bottom w:val="none" w:sz="0" w:space="0" w:color="auto"/>
        <w:right w:val="none" w:sz="0" w:space="0" w:color="auto"/>
      </w:divBdr>
    </w:div>
    <w:div w:id="27143348">
      <w:bodyDiv w:val="1"/>
      <w:marLeft w:val="0"/>
      <w:marRight w:val="0"/>
      <w:marTop w:val="0"/>
      <w:marBottom w:val="0"/>
      <w:divBdr>
        <w:top w:val="none" w:sz="0" w:space="0" w:color="auto"/>
        <w:left w:val="none" w:sz="0" w:space="0" w:color="auto"/>
        <w:bottom w:val="none" w:sz="0" w:space="0" w:color="auto"/>
        <w:right w:val="none" w:sz="0" w:space="0" w:color="auto"/>
      </w:divBdr>
    </w:div>
    <w:div w:id="32535042">
      <w:bodyDiv w:val="1"/>
      <w:marLeft w:val="0"/>
      <w:marRight w:val="0"/>
      <w:marTop w:val="0"/>
      <w:marBottom w:val="0"/>
      <w:divBdr>
        <w:top w:val="none" w:sz="0" w:space="0" w:color="auto"/>
        <w:left w:val="none" w:sz="0" w:space="0" w:color="auto"/>
        <w:bottom w:val="none" w:sz="0" w:space="0" w:color="auto"/>
        <w:right w:val="none" w:sz="0" w:space="0" w:color="auto"/>
      </w:divBdr>
    </w:div>
    <w:div w:id="32537019">
      <w:bodyDiv w:val="1"/>
      <w:marLeft w:val="0"/>
      <w:marRight w:val="0"/>
      <w:marTop w:val="0"/>
      <w:marBottom w:val="0"/>
      <w:divBdr>
        <w:top w:val="none" w:sz="0" w:space="0" w:color="auto"/>
        <w:left w:val="none" w:sz="0" w:space="0" w:color="auto"/>
        <w:bottom w:val="none" w:sz="0" w:space="0" w:color="auto"/>
        <w:right w:val="none" w:sz="0" w:space="0" w:color="auto"/>
      </w:divBdr>
    </w:div>
    <w:div w:id="39214733">
      <w:bodyDiv w:val="1"/>
      <w:marLeft w:val="0"/>
      <w:marRight w:val="0"/>
      <w:marTop w:val="0"/>
      <w:marBottom w:val="0"/>
      <w:divBdr>
        <w:top w:val="none" w:sz="0" w:space="0" w:color="auto"/>
        <w:left w:val="none" w:sz="0" w:space="0" w:color="auto"/>
        <w:bottom w:val="none" w:sz="0" w:space="0" w:color="auto"/>
        <w:right w:val="none" w:sz="0" w:space="0" w:color="auto"/>
      </w:divBdr>
    </w:div>
    <w:div w:id="43217601">
      <w:bodyDiv w:val="1"/>
      <w:marLeft w:val="0"/>
      <w:marRight w:val="0"/>
      <w:marTop w:val="0"/>
      <w:marBottom w:val="0"/>
      <w:divBdr>
        <w:top w:val="none" w:sz="0" w:space="0" w:color="auto"/>
        <w:left w:val="none" w:sz="0" w:space="0" w:color="auto"/>
        <w:bottom w:val="none" w:sz="0" w:space="0" w:color="auto"/>
        <w:right w:val="none" w:sz="0" w:space="0" w:color="auto"/>
      </w:divBdr>
    </w:div>
    <w:div w:id="43721707">
      <w:bodyDiv w:val="1"/>
      <w:marLeft w:val="0"/>
      <w:marRight w:val="0"/>
      <w:marTop w:val="0"/>
      <w:marBottom w:val="0"/>
      <w:divBdr>
        <w:top w:val="none" w:sz="0" w:space="0" w:color="auto"/>
        <w:left w:val="none" w:sz="0" w:space="0" w:color="auto"/>
        <w:bottom w:val="none" w:sz="0" w:space="0" w:color="auto"/>
        <w:right w:val="none" w:sz="0" w:space="0" w:color="auto"/>
      </w:divBdr>
    </w:div>
    <w:div w:id="49311330">
      <w:bodyDiv w:val="1"/>
      <w:marLeft w:val="0"/>
      <w:marRight w:val="0"/>
      <w:marTop w:val="0"/>
      <w:marBottom w:val="0"/>
      <w:divBdr>
        <w:top w:val="none" w:sz="0" w:space="0" w:color="auto"/>
        <w:left w:val="none" w:sz="0" w:space="0" w:color="auto"/>
        <w:bottom w:val="none" w:sz="0" w:space="0" w:color="auto"/>
        <w:right w:val="none" w:sz="0" w:space="0" w:color="auto"/>
      </w:divBdr>
    </w:div>
    <w:div w:id="51781487">
      <w:bodyDiv w:val="1"/>
      <w:marLeft w:val="0"/>
      <w:marRight w:val="0"/>
      <w:marTop w:val="0"/>
      <w:marBottom w:val="0"/>
      <w:divBdr>
        <w:top w:val="none" w:sz="0" w:space="0" w:color="auto"/>
        <w:left w:val="none" w:sz="0" w:space="0" w:color="auto"/>
        <w:bottom w:val="none" w:sz="0" w:space="0" w:color="auto"/>
        <w:right w:val="none" w:sz="0" w:space="0" w:color="auto"/>
      </w:divBdr>
    </w:div>
    <w:div w:id="52899880">
      <w:bodyDiv w:val="1"/>
      <w:marLeft w:val="0"/>
      <w:marRight w:val="0"/>
      <w:marTop w:val="0"/>
      <w:marBottom w:val="0"/>
      <w:divBdr>
        <w:top w:val="none" w:sz="0" w:space="0" w:color="auto"/>
        <w:left w:val="none" w:sz="0" w:space="0" w:color="auto"/>
        <w:bottom w:val="none" w:sz="0" w:space="0" w:color="auto"/>
        <w:right w:val="none" w:sz="0" w:space="0" w:color="auto"/>
      </w:divBdr>
    </w:div>
    <w:div w:id="54936921">
      <w:bodyDiv w:val="1"/>
      <w:marLeft w:val="0"/>
      <w:marRight w:val="0"/>
      <w:marTop w:val="0"/>
      <w:marBottom w:val="0"/>
      <w:divBdr>
        <w:top w:val="none" w:sz="0" w:space="0" w:color="auto"/>
        <w:left w:val="none" w:sz="0" w:space="0" w:color="auto"/>
        <w:bottom w:val="none" w:sz="0" w:space="0" w:color="auto"/>
        <w:right w:val="none" w:sz="0" w:space="0" w:color="auto"/>
      </w:divBdr>
    </w:div>
    <w:div w:id="55396430">
      <w:bodyDiv w:val="1"/>
      <w:marLeft w:val="0"/>
      <w:marRight w:val="0"/>
      <w:marTop w:val="0"/>
      <w:marBottom w:val="0"/>
      <w:divBdr>
        <w:top w:val="none" w:sz="0" w:space="0" w:color="auto"/>
        <w:left w:val="none" w:sz="0" w:space="0" w:color="auto"/>
        <w:bottom w:val="none" w:sz="0" w:space="0" w:color="auto"/>
        <w:right w:val="none" w:sz="0" w:space="0" w:color="auto"/>
      </w:divBdr>
    </w:div>
    <w:div w:id="55592065">
      <w:bodyDiv w:val="1"/>
      <w:marLeft w:val="0"/>
      <w:marRight w:val="0"/>
      <w:marTop w:val="0"/>
      <w:marBottom w:val="0"/>
      <w:divBdr>
        <w:top w:val="none" w:sz="0" w:space="0" w:color="auto"/>
        <w:left w:val="none" w:sz="0" w:space="0" w:color="auto"/>
        <w:bottom w:val="none" w:sz="0" w:space="0" w:color="auto"/>
        <w:right w:val="none" w:sz="0" w:space="0" w:color="auto"/>
      </w:divBdr>
    </w:div>
    <w:div w:id="59182465">
      <w:bodyDiv w:val="1"/>
      <w:marLeft w:val="0"/>
      <w:marRight w:val="0"/>
      <w:marTop w:val="0"/>
      <w:marBottom w:val="0"/>
      <w:divBdr>
        <w:top w:val="none" w:sz="0" w:space="0" w:color="auto"/>
        <w:left w:val="none" w:sz="0" w:space="0" w:color="auto"/>
        <w:bottom w:val="none" w:sz="0" w:space="0" w:color="auto"/>
        <w:right w:val="none" w:sz="0" w:space="0" w:color="auto"/>
      </w:divBdr>
    </w:div>
    <w:div w:id="59211323">
      <w:bodyDiv w:val="1"/>
      <w:marLeft w:val="0"/>
      <w:marRight w:val="0"/>
      <w:marTop w:val="0"/>
      <w:marBottom w:val="0"/>
      <w:divBdr>
        <w:top w:val="none" w:sz="0" w:space="0" w:color="auto"/>
        <w:left w:val="none" w:sz="0" w:space="0" w:color="auto"/>
        <w:bottom w:val="none" w:sz="0" w:space="0" w:color="auto"/>
        <w:right w:val="none" w:sz="0" w:space="0" w:color="auto"/>
      </w:divBdr>
    </w:div>
    <w:div w:id="60057764">
      <w:bodyDiv w:val="1"/>
      <w:marLeft w:val="0"/>
      <w:marRight w:val="0"/>
      <w:marTop w:val="0"/>
      <w:marBottom w:val="0"/>
      <w:divBdr>
        <w:top w:val="none" w:sz="0" w:space="0" w:color="auto"/>
        <w:left w:val="none" w:sz="0" w:space="0" w:color="auto"/>
        <w:bottom w:val="none" w:sz="0" w:space="0" w:color="auto"/>
        <w:right w:val="none" w:sz="0" w:space="0" w:color="auto"/>
      </w:divBdr>
    </w:div>
    <w:div w:id="60905685">
      <w:bodyDiv w:val="1"/>
      <w:marLeft w:val="0"/>
      <w:marRight w:val="0"/>
      <w:marTop w:val="0"/>
      <w:marBottom w:val="0"/>
      <w:divBdr>
        <w:top w:val="none" w:sz="0" w:space="0" w:color="auto"/>
        <w:left w:val="none" w:sz="0" w:space="0" w:color="auto"/>
        <w:bottom w:val="none" w:sz="0" w:space="0" w:color="auto"/>
        <w:right w:val="none" w:sz="0" w:space="0" w:color="auto"/>
      </w:divBdr>
    </w:div>
    <w:div w:id="69738768">
      <w:bodyDiv w:val="1"/>
      <w:marLeft w:val="0"/>
      <w:marRight w:val="0"/>
      <w:marTop w:val="0"/>
      <w:marBottom w:val="0"/>
      <w:divBdr>
        <w:top w:val="none" w:sz="0" w:space="0" w:color="auto"/>
        <w:left w:val="none" w:sz="0" w:space="0" w:color="auto"/>
        <w:bottom w:val="none" w:sz="0" w:space="0" w:color="auto"/>
        <w:right w:val="none" w:sz="0" w:space="0" w:color="auto"/>
      </w:divBdr>
    </w:div>
    <w:div w:id="71634036">
      <w:bodyDiv w:val="1"/>
      <w:marLeft w:val="0"/>
      <w:marRight w:val="0"/>
      <w:marTop w:val="0"/>
      <w:marBottom w:val="0"/>
      <w:divBdr>
        <w:top w:val="none" w:sz="0" w:space="0" w:color="auto"/>
        <w:left w:val="none" w:sz="0" w:space="0" w:color="auto"/>
        <w:bottom w:val="none" w:sz="0" w:space="0" w:color="auto"/>
        <w:right w:val="none" w:sz="0" w:space="0" w:color="auto"/>
      </w:divBdr>
    </w:div>
    <w:div w:id="71659744">
      <w:bodyDiv w:val="1"/>
      <w:marLeft w:val="0"/>
      <w:marRight w:val="0"/>
      <w:marTop w:val="0"/>
      <w:marBottom w:val="0"/>
      <w:divBdr>
        <w:top w:val="none" w:sz="0" w:space="0" w:color="auto"/>
        <w:left w:val="none" w:sz="0" w:space="0" w:color="auto"/>
        <w:bottom w:val="none" w:sz="0" w:space="0" w:color="auto"/>
        <w:right w:val="none" w:sz="0" w:space="0" w:color="auto"/>
      </w:divBdr>
    </w:div>
    <w:div w:id="74711493">
      <w:bodyDiv w:val="1"/>
      <w:marLeft w:val="0"/>
      <w:marRight w:val="0"/>
      <w:marTop w:val="0"/>
      <w:marBottom w:val="0"/>
      <w:divBdr>
        <w:top w:val="none" w:sz="0" w:space="0" w:color="auto"/>
        <w:left w:val="none" w:sz="0" w:space="0" w:color="auto"/>
        <w:bottom w:val="none" w:sz="0" w:space="0" w:color="auto"/>
        <w:right w:val="none" w:sz="0" w:space="0" w:color="auto"/>
      </w:divBdr>
    </w:div>
    <w:div w:id="77363928">
      <w:bodyDiv w:val="1"/>
      <w:marLeft w:val="0"/>
      <w:marRight w:val="0"/>
      <w:marTop w:val="0"/>
      <w:marBottom w:val="0"/>
      <w:divBdr>
        <w:top w:val="none" w:sz="0" w:space="0" w:color="auto"/>
        <w:left w:val="none" w:sz="0" w:space="0" w:color="auto"/>
        <w:bottom w:val="none" w:sz="0" w:space="0" w:color="auto"/>
        <w:right w:val="none" w:sz="0" w:space="0" w:color="auto"/>
      </w:divBdr>
    </w:div>
    <w:div w:id="80566712">
      <w:bodyDiv w:val="1"/>
      <w:marLeft w:val="0"/>
      <w:marRight w:val="0"/>
      <w:marTop w:val="0"/>
      <w:marBottom w:val="0"/>
      <w:divBdr>
        <w:top w:val="none" w:sz="0" w:space="0" w:color="auto"/>
        <w:left w:val="none" w:sz="0" w:space="0" w:color="auto"/>
        <w:bottom w:val="none" w:sz="0" w:space="0" w:color="auto"/>
        <w:right w:val="none" w:sz="0" w:space="0" w:color="auto"/>
      </w:divBdr>
    </w:div>
    <w:div w:id="83307411">
      <w:bodyDiv w:val="1"/>
      <w:marLeft w:val="0"/>
      <w:marRight w:val="0"/>
      <w:marTop w:val="0"/>
      <w:marBottom w:val="0"/>
      <w:divBdr>
        <w:top w:val="none" w:sz="0" w:space="0" w:color="auto"/>
        <w:left w:val="none" w:sz="0" w:space="0" w:color="auto"/>
        <w:bottom w:val="none" w:sz="0" w:space="0" w:color="auto"/>
        <w:right w:val="none" w:sz="0" w:space="0" w:color="auto"/>
      </w:divBdr>
    </w:div>
    <w:div w:id="85729399">
      <w:bodyDiv w:val="1"/>
      <w:marLeft w:val="0"/>
      <w:marRight w:val="0"/>
      <w:marTop w:val="0"/>
      <w:marBottom w:val="0"/>
      <w:divBdr>
        <w:top w:val="none" w:sz="0" w:space="0" w:color="auto"/>
        <w:left w:val="none" w:sz="0" w:space="0" w:color="auto"/>
        <w:bottom w:val="none" w:sz="0" w:space="0" w:color="auto"/>
        <w:right w:val="none" w:sz="0" w:space="0" w:color="auto"/>
      </w:divBdr>
    </w:div>
    <w:div w:id="86272658">
      <w:bodyDiv w:val="1"/>
      <w:marLeft w:val="0"/>
      <w:marRight w:val="0"/>
      <w:marTop w:val="0"/>
      <w:marBottom w:val="0"/>
      <w:divBdr>
        <w:top w:val="none" w:sz="0" w:space="0" w:color="auto"/>
        <w:left w:val="none" w:sz="0" w:space="0" w:color="auto"/>
        <w:bottom w:val="none" w:sz="0" w:space="0" w:color="auto"/>
        <w:right w:val="none" w:sz="0" w:space="0" w:color="auto"/>
      </w:divBdr>
    </w:div>
    <w:div w:id="91173468">
      <w:bodyDiv w:val="1"/>
      <w:marLeft w:val="0"/>
      <w:marRight w:val="0"/>
      <w:marTop w:val="0"/>
      <w:marBottom w:val="0"/>
      <w:divBdr>
        <w:top w:val="none" w:sz="0" w:space="0" w:color="auto"/>
        <w:left w:val="none" w:sz="0" w:space="0" w:color="auto"/>
        <w:bottom w:val="none" w:sz="0" w:space="0" w:color="auto"/>
        <w:right w:val="none" w:sz="0" w:space="0" w:color="auto"/>
      </w:divBdr>
    </w:div>
    <w:div w:id="91242965">
      <w:bodyDiv w:val="1"/>
      <w:marLeft w:val="0"/>
      <w:marRight w:val="0"/>
      <w:marTop w:val="0"/>
      <w:marBottom w:val="0"/>
      <w:divBdr>
        <w:top w:val="none" w:sz="0" w:space="0" w:color="auto"/>
        <w:left w:val="none" w:sz="0" w:space="0" w:color="auto"/>
        <w:bottom w:val="none" w:sz="0" w:space="0" w:color="auto"/>
        <w:right w:val="none" w:sz="0" w:space="0" w:color="auto"/>
      </w:divBdr>
    </w:div>
    <w:div w:id="96607757">
      <w:bodyDiv w:val="1"/>
      <w:marLeft w:val="0"/>
      <w:marRight w:val="0"/>
      <w:marTop w:val="0"/>
      <w:marBottom w:val="0"/>
      <w:divBdr>
        <w:top w:val="none" w:sz="0" w:space="0" w:color="auto"/>
        <w:left w:val="none" w:sz="0" w:space="0" w:color="auto"/>
        <w:bottom w:val="none" w:sz="0" w:space="0" w:color="auto"/>
        <w:right w:val="none" w:sz="0" w:space="0" w:color="auto"/>
      </w:divBdr>
    </w:div>
    <w:div w:id="102577427">
      <w:bodyDiv w:val="1"/>
      <w:marLeft w:val="0"/>
      <w:marRight w:val="0"/>
      <w:marTop w:val="0"/>
      <w:marBottom w:val="0"/>
      <w:divBdr>
        <w:top w:val="none" w:sz="0" w:space="0" w:color="auto"/>
        <w:left w:val="none" w:sz="0" w:space="0" w:color="auto"/>
        <w:bottom w:val="none" w:sz="0" w:space="0" w:color="auto"/>
        <w:right w:val="none" w:sz="0" w:space="0" w:color="auto"/>
      </w:divBdr>
    </w:div>
    <w:div w:id="107160805">
      <w:bodyDiv w:val="1"/>
      <w:marLeft w:val="0"/>
      <w:marRight w:val="0"/>
      <w:marTop w:val="0"/>
      <w:marBottom w:val="0"/>
      <w:divBdr>
        <w:top w:val="none" w:sz="0" w:space="0" w:color="auto"/>
        <w:left w:val="none" w:sz="0" w:space="0" w:color="auto"/>
        <w:bottom w:val="none" w:sz="0" w:space="0" w:color="auto"/>
        <w:right w:val="none" w:sz="0" w:space="0" w:color="auto"/>
      </w:divBdr>
    </w:div>
    <w:div w:id="107895533">
      <w:bodyDiv w:val="1"/>
      <w:marLeft w:val="0"/>
      <w:marRight w:val="0"/>
      <w:marTop w:val="0"/>
      <w:marBottom w:val="0"/>
      <w:divBdr>
        <w:top w:val="none" w:sz="0" w:space="0" w:color="auto"/>
        <w:left w:val="none" w:sz="0" w:space="0" w:color="auto"/>
        <w:bottom w:val="none" w:sz="0" w:space="0" w:color="auto"/>
        <w:right w:val="none" w:sz="0" w:space="0" w:color="auto"/>
      </w:divBdr>
    </w:div>
    <w:div w:id="111365356">
      <w:bodyDiv w:val="1"/>
      <w:marLeft w:val="0"/>
      <w:marRight w:val="0"/>
      <w:marTop w:val="0"/>
      <w:marBottom w:val="0"/>
      <w:divBdr>
        <w:top w:val="none" w:sz="0" w:space="0" w:color="auto"/>
        <w:left w:val="none" w:sz="0" w:space="0" w:color="auto"/>
        <w:bottom w:val="none" w:sz="0" w:space="0" w:color="auto"/>
        <w:right w:val="none" w:sz="0" w:space="0" w:color="auto"/>
      </w:divBdr>
    </w:div>
    <w:div w:id="117380267">
      <w:bodyDiv w:val="1"/>
      <w:marLeft w:val="0"/>
      <w:marRight w:val="0"/>
      <w:marTop w:val="0"/>
      <w:marBottom w:val="0"/>
      <w:divBdr>
        <w:top w:val="none" w:sz="0" w:space="0" w:color="auto"/>
        <w:left w:val="none" w:sz="0" w:space="0" w:color="auto"/>
        <w:bottom w:val="none" w:sz="0" w:space="0" w:color="auto"/>
        <w:right w:val="none" w:sz="0" w:space="0" w:color="auto"/>
      </w:divBdr>
    </w:div>
    <w:div w:id="117917492">
      <w:bodyDiv w:val="1"/>
      <w:marLeft w:val="0"/>
      <w:marRight w:val="0"/>
      <w:marTop w:val="0"/>
      <w:marBottom w:val="0"/>
      <w:divBdr>
        <w:top w:val="none" w:sz="0" w:space="0" w:color="auto"/>
        <w:left w:val="none" w:sz="0" w:space="0" w:color="auto"/>
        <w:bottom w:val="none" w:sz="0" w:space="0" w:color="auto"/>
        <w:right w:val="none" w:sz="0" w:space="0" w:color="auto"/>
      </w:divBdr>
    </w:div>
    <w:div w:id="124785714">
      <w:bodyDiv w:val="1"/>
      <w:marLeft w:val="0"/>
      <w:marRight w:val="0"/>
      <w:marTop w:val="0"/>
      <w:marBottom w:val="0"/>
      <w:divBdr>
        <w:top w:val="none" w:sz="0" w:space="0" w:color="auto"/>
        <w:left w:val="none" w:sz="0" w:space="0" w:color="auto"/>
        <w:bottom w:val="none" w:sz="0" w:space="0" w:color="auto"/>
        <w:right w:val="none" w:sz="0" w:space="0" w:color="auto"/>
      </w:divBdr>
    </w:div>
    <w:div w:id="142742434">
      <w:bodyDiv w:val="1"/>
      <w:marLeft w:val="0"/>
      <w:marRight w:val="0"/>
      <w:marTop w:val="0"/>
      <w:marBottom w:val="0"/>
      <w:divBdr>
        <w:top w:val="none" w:sz="0" w:space="0" w:color="auto"/>
        <w:left w:val="none" w:sz="0" w:space="0" w:color="auto"/>
        <w:bottom w:val="none" w:sz="0" w:space="0" w:color="auto"/>
        <w:right w:val="none" w:sz="0" w:space="0" w:color="auto"/>
      </w:divBdr>
    </w:div>
    <w:div w:id="153375247">
      <w:bodyDiv w:val="1"/>
      <w:marLeft w:val="0"/>
      <w:marRight w:val="0"/>
      <w:marTop w:val="0"/>
      <w:marBottom w:val="0"/>
      <w:divBdr>
        <w:top w:val="none" w:sz="0" w:space="0" w:color="auto"/>
        <w:left w:val="none" w:sz="0" w:space="0" w:color="auto"/>
        <w:bottom w:val="none" w:sz="0" w:space="0" w:color="auto"/>
        <w:right w:val="none" w:sz="0" w:space="0" w:color="auto"/>
      </w:divBdr>
    </w:div>
    <w:div w:id="159781799">
      <w:bodyDiv w:val="1"/>
      <w:marLeft w:val="0"/>
      <w:marRight w:val="0"/>
      <w:marTop w:val="0"/>
      <w:marBottom w:val="0"/>
      <w:divBdr>
        <w:top w:val="none" w:sz="0" w:space="0" w:color="auto"/>
        <w:left w:val="none" w:sz="0" w:space="0" w:color="auto"/>
        <w:bottom w:val="none" w:sz="0" w:space="0" w:color="auto"/>
        <w:right w:val="none" w:sz="0" w:space="0" w:color="auto"/>
      </w:divBdr>
    </w:div>
    <w:div w:id="163741572">
      <w:bodyDiv w:val="1"/>
      <w:marLeft w:val="0"/>
      <w:marRight w:val="0"/>
      <w:marTop w:val="0"/>
      <w:marBottom w:val="0"/>
      <w:divBdr>
        <w:top w:val="none" w:sz="0" w:space="0" w:color="auto"/>
        <w:left w:val="none" w:sz="0" w:space="0" w:color="auto"/>
        <w:bottom w:val="none" w:sz="0" w:space="0" w:color="auto"/>
        <w:right w:val="none" w:sz="0" w:space="0" w:color="auto"/>
      </w:divBdr>
    </w:div>
    <w:div w:id="164395243">
      <w:bodyDiv w:val="1"/>
      <w:marLeft w:val="0"/>
      <w:marRight w:val="0"/>
      <w:marTop w:val="0"/>
      <w:marBottom w:val="0"/>
      <w:divBdr>
        <w:top w:val="none" w:sz="0" w:space="0" w:color="auto"/>
        <w:left w:val="none" w:sz="0" w:space="0" w:color="auto"/>
        <w:bottom w:val="none" w:sz="0" w:space="0" w:color="auto"/>
        <w:right w:val="none" w:sz="0" w:space="0" w:color="auto"/>
      </w:divBdr>
    </w:div>
    <w:div w:id="165941372">
      <w:bodyDiv w:val="1"/>
      <w:marLeft w:val="0"/>
      <w:marRight w:val="0"/>
      <w:marTop w:val="0"/>
      <w:marBottom w:val="0"/>
      <w:divBdr>
        <w:top w:val="none" w:sz="0" w:space="0" w:color="auto"/>
        <w:left w:val="none" w:sz="0" w:space="0" w:color="auto"/>
        <w:bottom w:val="none" w:sz="0" w:space="0" w:color="auto"/>
        <w:right w:val="none" w:sz="0" w:space="0" w:color="auto"/>
      </w:divBdr>
    </w:div>
    <w:div w:id="167405479">
      <w:bodyDiv w:val="1"/>
      <w:marLeft w:val="0"/>
      <w:marRight w:val="0"/>
      <w:marTop w:val="0"/>
      <w:marBottom w:val="0"/>
      <w:divBdr>
        <w:top w:val="none" w:sz="0" w:space="0" w:color="auto"/>
        <w:left w:val="none" w:sz="0" w:space="0" w:color="auto"/>
        <w:bottom w:val="none" w:sz="0" w:space="0" w:color="auto"/>
        <w:right w:val="none" w:sz="0" w:space="0" w:color="auto"/>
      </w:divBdr>
    </w:div>
    <w:div w:id="167603588">
      <w:bodyDiv w:val="1"/>
      <w:marLeft w:val="0"/>
      <w:marRight w:val="0"/>
      <w:marTop w:val="0"/>
      <w:marBottom w:val="0"/>
      <w:divBdr>
        <w:top w:val="none" w:sz="0" w:space="0" w:color="auto"/>
        <w:left w:val="none" w:sz="0" w:space="0" w:color="auto"/>
        <w:bottom w:val="none" w:sz="0" w:space="0" w:color="auto"/>
        <w:right w:val="none" w:sz="0" w:space="0" w:color="auto"/>
      </w:divBdr>
    </w:div>
    <w:div w:id="171920214">
      <w:bodyDiv w:val="1"/>
      <w:marLeft w:val="0"/>
      <w:marRight w:val="0"/>
      <w:marTop w:val="0"/>
      <w:marBottom w:val="0"/>
      <w:divBdr>
        <w:top w:val="none" w:sz="0" w:space="0" w:color="auto"/>
        <w:left w:val="none" w:sz="0" w:space="0" w:color="auto"/>
        <w:bottom w:val="none" w:sz="0" w:space="0" w:color="auto"/>
        <w:right w:val="none" w:sz="0" w:space="0" w:color="auto"/>
      </w:divBdr>
    </w:div>
    <w:div w:id="175702382">
      <w:bodyDiv w:val="1"/>
      <w:marLeft w:val="0"/>
      <w:marRight w:val="0"/>
      <w:marTop w:val="0"/>
      <w:marBottom w:val="0"/>
      <w:divBdr>
        <w:top w:val="none" w:sz="0" w:space="0" w:color="auto"/>
        <w:left w:val="none" w:sz="0" w:space="0" w:color="auto"/>
        <w:bottom w:val="none" w:sz="0" w:space="0" w:color="auto"/>
        <w:right w:val="none" w:sz="0" w:space="0" w:color="auto"/>
      </w:divBdr>
    </w:div>
    <w:div w:id="176584618">
      <w:bodyDiv w:val="1"/>
      <w:marLeft w:val="0"/>
      <w:marRight w:val="0"/>
      <w:marTop w:val="0"/>
      <w:marBottom w:val="0"/>
      <w:divBdr>
        <w:top w:val="none" w:sz="0" w:space="0" w:color="auto"/>
        <w:left w:val="none" w:sz="0" w:space="0" w:color="auto"/>
        <w:bottom w:val="none" w:sz="0" w:space="0" w:color="auto"/>
        <w:right w:val="none" w:sz="0" w:space="0" w:color="auto"/>
      </w:divBdr>
    </w:div>
    <w:div w:id="177698745">
      <w:bodyDiv w:val="1"/>
      <w:marLeft w:val="0"/>
      <w:marRight w:val="0"/>
      <w:marTop w:val="0"/>
      <w:marBottom w:val="0"/>
      <w:divBdr>
        <w:top w:val="none" w:sz="0" w:space="0" w:color="auto"/>
        <w:left w:val="none" w:sz="0" w:space="0" w:color="auto"/>
        <w:bottom w:val="none" w:sz="0" w:space="0" w:color="auto"/>
        <w:right w:val="none" w:sz="0" w:space="0" w:color="auto"/>
      </w:divBdr>
    </w:div>
    <w:div w:id="190843437">
      <w:bodyDiv w:val="1"/>
      <w:marLeft w:val="0"/>
      <w:marRight w:val="0"/>
      <w:marTop w:val="0"/>
      <w:marBottom w:val="0"/>
      <w:divBdr>
        <w:top w:val="none" w:sz="0" w:space="0" w:color="auto"/>
        <w:left w:val="none" w:sz="0" w:space="0" w:color="auto"/>
        <w:bottom w:val="none" w:sz="0" w:space="0" w:color="auto"/>
        <w:right w:val="none" w:sz="0" w:space="0" w:color="auto"/>
      </w:divBdr>
    </w:div>
    <w:div w:id="194344949">
      <w:bodyDiv w:val="1"/>
      <w:marLeft w:val="0"/>
      <w:marRight w:val="0"/>
      <w:marTop w:val="0"/>
      <w:marBottom w:val="0"/>
      <w:divBdr>
        <w:top w:val="none" w:sz="0" w:space="0" w:color="auto"/>
        <w:left w:val="none" w:sz="0" w:space="0" w:color="auto"/>
        <w:bottom w:val="none" w:sz="0" w:space="0" w:color="auto"/>
        <w:right w:val="none" w:sz="0" w:space="0" w:color="auto"/>
      </w:divBdr>
    </w:div>
    <w:div w:id="198781729">
      <w:bodyDiv w:val="1"/>
      <w:marLeft w:val="0"/>
      <w:marRight w:val="0"/>
      <w:marTop w:val="0"/>
      <w:marBottom w:val="0"/>
      <w:divBdr>
        <w:top w:val="none" w:sz="0" w:space="0" w:color="auto"/>
        <w:left w:val="none" w:sz="0" w:space="0" w:color="auto"/>
        <w:bottom w:val="none" w:sz="0" w:space="0" w:color="auto"/>
        <w:right w:val="none" w:sz="0" w:space="0" w:color="auto"/>
      </w:divBdr>
    </w:div>
    <w:div w:id="204563796">
      <w:bodyDiv w:val="1"/>
      <w:marLeft w:val="0"/>
      <w:marRight w:val="0"/>
      <w:marTop w:val="0"/>
      <w:marBottom w:val="0"/>
      <w:divBdr>
        <w:top w:val="none" w:sz="0" w:space="0" w:color="auto"/>
        <w:left w:val="none" w:sz="0" w:space="0" w:color="auto"/>
        <w:bottom w:val="none" w:sz="0" w:space="0" w:color="auto"/>
        <w:right w:val="none" w:sz="0" w:space="0" w:color="auto"/>
      </w:divBdr>
    </w:div>
    <w:div w:id="205069841">
      <w:bodyDiv w:val="1"/>
      <w:marLeft w:val="0"/>
      <w:marRight w:val="0"/>
      <w:marTop w:val="0"/>
      <w:marBottom w:val="0"/>
      <w:divBdr>
        <w:top w:val="none" w:sz="0" w:space="0" w:color="auto"/>
        <w:left w:val="none" w:sz="0" w:space="0" w:color="auto"/>
        <w:bottom w:val="none" w:sz="0" w:space="0" w:color="auto"/>
        <w:right w:val="none" w:sz="0" w:space="0" w:color="auto"/>
      </w:divBdr>
    </w:div>
    <w:div w:id="207491359">
      <w:bodyDiv w:val="1"/>
      <w:marLeft w:val="0"/>
      <w:marRight w:val="0"/>
      <w:marTop w:val="0"/>
      <w:marBottom w:val="0"/>
      <w:divBdr>
        <w:top w:val="none" w:sz="0" w:space="0" w:color="auto"/>
        <w:left w:val="none" w:sz="0" w:space="0" w:color="auto"/>
        <w:bottom w:val="none" w:sz="0" w:space="0" w:color="auto"/>
        <w:right w:val="none" w:sz="0" w:space="0" w:color="auto"/>
      </w:divBdr>
    </w:div>
    <w:div w:id="207498297">
      <w:bodyDiv w:val="1"/>
      <w:marLeft w:val="0"/>
      <w:marRight w:val="0"/>
      <w:marTop w:val="0"/>
      <w:marBottom w:val="0"/>
      <w:divBdr>
        <w:top w:val="none" w:sz="0" w:space="0" w:color="auto"/>
        <w:left w:val="none" w:sz="0" w:space="0" w:color="auto"/>
        <w:bottom w:val="none" w:sz="0" w:space="0" w:color="auto"/>
        <w:right w:val="none" w:sz="0" w:space="0" w:color="auto"/>
      </w:divBdr>
    </w:div>
    <w:div w:id="209852467">
      <w:bodyDiv w:val="1"/>
      <w:marLeft w:val="0"/>
      <w:marRight w:val="0"/>
      <w:marTop w:val="0"/>
      <w:marBottom w:val="0"/>
      <w:divBdr>
        <w:top w:val="none" w:sz="0" w:space="0" w:color="auto"/>
        <w:left w:val="none" w:sz="0" w:space="0" w:color="auto"/>
        <w:bottom w:val="none" w:sz="0" w:space="0" w:color="auto"/>
        <w:right w:val="none" w:sz="0" w:space="0" w:color="auto"/>
      </w:divBdr>
    </w:div>
    <w:div w:id="214002780">
      <w:bodyDiv w:val="1"/>
      <w:marLeft w:val="0"/>
      <w:marRight w:val="0"/>
      <w:marTop w:val="0"/>
      <w:marBottom w:val="0"/>
      <w:divBdr>
        <w:top w:val="none" w:sz="0" w:space="0" w:color="auto"/>
        <w:left w:val="none" w:sz="0" w:space="0" w:color="auto"/>
        <w:bottom w:val="none" w:sz="0" w:space="0" w:color="auto"/>
        <w:right w:val="none" w:sz="0" w:space="0" w:color="auto"/>
      </w:divBdr>
    </w:div>
    <w:div w:id="214320512">
      <w:bodyDiv w:val="1"/>
      <w:marLeft w:val="0"/>
      <w:marRight w:val="0"/>
      <w:marTop w:val="0"/>
      <w:marBottom w:val="0"/>
      <w:divBdr>
        <w:top w:val="none" w:sz="0" w:space="0" w:color="auto"/>
        <w:left w:val="none" w:sz="0" w:space="0" w:color="auto"/>
        <w:bottom w:val="none" w:sz="0" w:space="0" w:color="auto"/>
        <w:right w:val="none" w:sz="0" w:space="0" w:color="auto"/>
      </w:divBdr>
    </w:div>
    <w:div w:id="215121411">
      <w:bodyDiv w:val="1"/>
      <w:marLeft w:val="0"/>
      <w:marRight w:val="0"/>
      <w:marTop w:val="0"/>
      <w:marBottom w:val="0"/>
      <w:divBdr>
        <w:top w:val="none" w:sz="0" w:space="0" w:color="auto"/>
        <w:left w:val="none" w:sz="0" w:space="0" w:color="auto"/>
        <w:bottom w:val="none" w:sz="0" w:space="0" w:color="auto"/>
        <w:right w:val="none" w:sz="0" w:space="0" w:color="auto"/>
      </w:divBdr>
    </w:div>
    <w:div w:id="217791964">
      <w:bodyDiv w:val="1"/>
      <w:marLeft w:val="0"/>
      <w:marRight w:val="0"/>
      <w:marTop w:val="0"/>
      <w:marBottom w:val="0"/>
      <w:divBdr>
        <w:top w:val="none" w:sz="0" w:space="0" w:color="auto"/>
        <w:left w:val="none" w:sz="0" w:space="0" w:color="auto"/>
        <w:bottom w:val="none" w:sz="0" w:space="0" w:color="auto"/>
        <w:right w:val="none" w:sz="0" w:space="0" w:color="auto"/>
      </w:divBdr>
    </w:div>
    <w:div w:id="217908166">
      <w:bodyDiv w:val="1"/>
      <w:marLeft w:val="0"/>
      <w:marRight w:val="0"/>
      <w:marTop w:val="0"/>
      <w:marBottom w:val="0"/>
      <w:divBdr>
        <w:top w:val="none" w:sz="0" w:space="0" w:color="auto"/>
        <w:left w:val="none" w:sz="0" w:space="0" w:color="auto"/>
        <w:bottom w:val="none" w:sz="0" w:space="0" w:color="auto"/>
        <w:right w:val="none" w:sz="0" w:space="0" w:color="auto"/>
      </w:divBdr>
    </w:div>
    <w:div w:id="218978878">
      <w:bodyDiv w:val="1"/>
      <w:marLeft w:val="0"/>
      <w:marRight w:val="0"/>
      <w:marTop w:val="0"/>
      <w:marBottom w:val="0"/>
      <w:divBdr>
        <w:top w:val="none" w:sz="0" w:space="0" w:color="auto"/>
        <w:left w:val="none" w:sz="0" w:space="0" w:color="auto"/>
        <w:bottom w:val="none" w:sz="0" w:space="0" w:color="auto"/>
        <w:right w:val="none" w:sz="0" w:space="0" w:color="auto"/>
      </w:divBdr>
    </w:div>
    <w:div w:id="219825252">
      <w:bodyDiv w:val="1"/>
      <w:marLeft w:val="0"/>
      <w:marRight w:val="0"/>
      <w:marTop w:val="0"/>
      <w:marBottom w:val="0"/>
      <w:divBdr>
        <w:top w:val="none" w:sz="0" w:space="0" w:color="auto"/>
        <w:left w:val="none" w:sz="0" w:space="0" w:color="auto"/>
        <w:bottom w:val="none" w:sz="0" w:space="0" w:color="auto"/>
        <w:right w:val="none" w:sz="0" w:space="0" w:color="auto"/>
      </w:divBdr>
    </w:div>
    <w:div w:id="221214456">
      <w:bodyDiv w:val="1"/>
      <w:marLeft w:val="0"/>
      <w:marRight w:val="0"/>
      <w:marTop w:val="0"/>
      <w:marBottom w:val="0"/>
      <w:divBdr>
        <w:top w:val="none" w:sz="0" w:space="0" w:color="auto"/>
        <w:left w:val="none" w:sz="0" w:space="0" w:color="auto"/>
        <w:bottom w:val="none" w:sz="0" w:space="0" w:color="auto"/>
        <w:right w:val="none" w:sz="0" w:space="0" w:color="auto"/>
      </w:divBdr>
    </w:div>
    <w:div w:id="222452152">
      <w:bodyDiv w:val="1"/>
      <w:marLeft w:val="0"/>
      <w:marRight w:val="0"/>
      <w:marTop w:val="0"/>
      <w:marBottom w:val="0"/>
      <w:divBdr>
        <w:top w:val="none" w:sz="0" w:space="0" w:color="auto"/>
        <w:left w:val="none" w:sz="0" w:space="0" w:color="auto"/>
        <w:bottom w:val="none" w:sz="0" w:space="0" w:color="auto"/>
        <w:right w:val="none" w:sz="0" w:space="0" w:color="auto"/>
      </w:divBdr>
    </w:div>
    <w:div w:id="222765455">
      <w:bodyDiv w:val="1"/>
      <w:marLeft w:val="0"/>
      <w:marRight w:val="0"/>
      <w:marTop w:val="0"/>
      <w:marBottom w:val="0"/>
      <w:divBdr>
        <w:top w:val="none" w:sz="0" w:space="0" w:color="auto"/>
        <w:left w:val="none" w:sz="0" w:space="0" w:color="auto"/>
        <w:bottom w:val="none" w:sz="0" w:space="0" w:color="auto"/>
        <w:right w:val="none" w:sz="0" w:space="0" w:color="auto"/>
      </w:divBdr>
    </w:div>
    <w:div w:id="230625638">
      <w:bodyDiv w:val="1"/>
      <w:marLeft w:val="0"/>
      <w:marRight w:val="0"/>
      <w:marTop w:val="0"/>
      <w:marBottom w:val="0"/>
      <w:divBdr>
        <w:top w:val="none" w:sz="0" w:space="0" w:color="auto"/>
        <w:left w:val="none" w:sz="0" w:space="0" w:color="auto"/>
        <w:bottom w:val="none" w:sz="0" w:space="0" w:color="auto"/>
        <w:right w:val="none" w:sz="0" w:space="0" w:color="auto"/>
      </w:divBdr>
    </w:div>
    <w:div w:id="232010941">
      <w:bodyDiv w:val="1"/>
      <w:marLeft w:val="0"/>
      <w:marRight w:val="0"/>
      <w:marTop w:val="0"/>
      <w:marBottom w:val="0"/>
      <w:divBdr>
        <w:top w:val="none" w:sz="0" w:space="0" w:color="auto"/>
        <w:left w:val="none" w:sz="0" w:space="0" w:color="auto"/>
        <w:bottom w:val="none" w:sz="0" w:space="0" w:color="auto"/>
        <w:right w:val="none" w:sz="0" w:space="0" w:color="auto"/>
      </w:divBdr>
    </w:div>
    <w:div w:id="237400213">
      <w:bodyDiv w:val="1"/>
      <w:marLeft w:val="0"/>
      <w:marRight w:val="0"/>
      <w:marTop w:val="0"/>
      <w:marBottom w:val="0"/>
      <w:divBdr>
        <w:top w:val="none" w:sz="0" w:space="0" w:color="auto"/>
        <w:left w:val="none" w:sz="0" w:space="0" w:color="auto"/>
        <w:bottom w:val="none" w:sz="0" w:space="0" w:color="auto"/>
        <w:right w:val="none" w:sz="0" w:space="0" w:color="auto"/>
      </w:divBdr>
    </w:div>
    <w:div w:id="238756670">
      <w:bodyDiv w:val="1"/>
      <w:marLeft w:val="0"/>
      <w:marRight w:val="0"/>
      <w:marTop w:val="0"/>
      <w:marBottom w:val="0"/>
      <w:divBdr>
        <w:top w:val="none" w:sz="0" w:space="0" w:color="auto"/>
        <w:left w:val="none" w:sz="0" w:space="0" w:color="auto"/>
        <w:bottom w:val="none" w:sz="0" w:space="0" w:color="auto"/>
        <w:right w:val="none" w:sz="0" w:space="0" w:color="auto"/>
      </w:divBdr>
    </w:div>
    <w:div w:id="239559743">
      <w:bodyDiv w:val="1"/>
      <w:marLeft w:val="0"/>
      <w:marRight w:val="0"/>
      <w:marTop w:val="0"/>
      <w:marBottom w:val="0"/>
      <w:divBdr>
        <w:top w:val="none" w:sz="0" w:space="0" w:color="auto"/>
        <w:left w:val="none" w:sz="0" w:space="0" w:color="auto"/>
        <w:bottom w:val="none" w:sz="0" w:space="0" w:color="auto"/>
        <w:right w:val="none" w:sz="0" w:space="0" w:color="auto"/>
      </w:divBdr>
    </w:div>
    <w:div w:id="240256171">
      <w:bodyDiv w:val="1"/>
      <w:marLeft w:val="0"/>
      <w:marRight w:val="0"/>
      <w:marTop w:val="0"/>
      <w:marBottom w:val="0"/>
      <w:divBdr>
        <w:top w:val="none" w:sz="0" w:space="0" w:color="auto"/>
        <w:left w:val="none" w:sz="0" w:space="0" w:color="auto"/>
        <w:bottom w:val="none" w:sz="0" w:space="0" w:color="auto"/>
        <w:right w:val="none" w:sz="0" w:space="0" w:color="auto"/>
      </w:divBdr>
    </w:div>
    <w:div w:id="258485788">
      <w:bodyDiv w:val="1"/>
      <w:marLeft w:val="0"/>
      <w:marRight w:val="0"/>
      <w:marTop w:val="0"/>
      <w:marBottom w:val="0"/>
      <w:divBdr>
        <w:top w:val="none" w:sz="0" w:space="0" w:color="auto"/>
        <w:left w:val="none" w:sz="0" w:space="0" w:color="auto"/>
        <w:bottom w:val="none" w:sz="0" w:space="0" w:color="auto"/>
        <w:right w:val="none" w:sz="0" w:space="0" w:color="auto"/>
      </w:divBdr>
    </w:div>
    <w:div w:id="267927762">
      <w:bodyDiv w:val="1"/>
      <w:marLeft w:val="0"/>
      <w:marRight w:val="0"/>
      <w:marTop w:val="0"/>
      <w:marBottom w:val="0"/>
      <w:divBdr>
        <w:top w:val="none" w:sz="0" w:space="0" w:color="auto"/>
        <w:left w:val="none" w:sz="0" w:space="0" w:color="auto"/>
        <w:bottom w:val="none" w:sz="0" w:space="0" w:color="auto"/>
        <w:right w:val="none" w:sz="0" w:space="0" w:color="auto"/>
      </w:divBdr>
    </w:div>
    <w:div w:id="268700261">
      <w:bodyDiv w:val="1"/>
      <w:marLeft w:val="0"/>
      <w:marRight w:val="0"/>
      <w:marTop w:val="0"/>
      <w:marBottom w:val="0"/>
      <w:divBdr>
        <w:top w:val="none" w:sz="0" w:space="0" w:color="auto"/>
        <w:left w:val="none" w:sz="0" w:space="0" w:color="auto"/>
        <w:bottom w:val="none" w:sz="0" w:space="0" w:color="auto"/>
        <w:right w:val="none" w:sz="0" w:space="0" w:color="auto"/>
      </w:divBdr>
    </w:div>
    <w:div w:id="271859170">
      <w:bodyDiv w:val="1"/>
      <w:marLeft w:val="0"/>
      <w:marRight w:val="0"/>
      <w:marTop w:val="0"/>
      <w:marBottom w:val="0"/>
      <w:divBdr>
        <w:top w:val="none" w:sz="0" w:space="0" w:color="auto"/>
        <w:left w:val="none" w:sz="0" w:space="0" w:color="auto"/>
        <w:bottom w:val="none" w:sz="0" w:space="0" w:color="auto"/>
        <w:right w:val="none" w:sz="0" w:space="0" w:color="auto"/>
      </w:divBdr>
    </w:div>
    <w:div w:id="272566038">
      <w:bodyDiv w:val="1"/>
      <w:marLeft w:val="0"/>
      <w:marRight w:val="0"/>
      <w:marTop w:val="0"/>
      <w:marBottom w:val="0"/>
      <w:divBdr>
        <w:top w:val="none" w:sz="0" w:space="0" w:color="auto"/>
        <w:left w:val="none" w:sz="0" w:space="0" w:color="auto"/>
        <w:bottom w:val="none" w:sz="0" w:space="0" w:color="auto"/>
        <w:right w:val="none" w:sz="0" w:space="0" w:color="auto"/>
      </w:divBdr>
    </w:div>
    <w:div w:id="272636979">
      <w:bodyDiv w:val="1"/>
      <w:marLeft w:val="0"/>
      <w:marRight w:val="0"/>
      <w:marTop w:val="0"/>
      <w:marBottom w:val="0"/>
      <w:divBdr>
        <w:top w:val="none" w:sz="0" w:space="0" w:color="auto"/>
        <w:left w:val="none" w:sz="0" w:space="0" w:color="auto"/>
        <w:bottom w:val="none" w:sz="0" w:space="0" w:color="auto"/>
        <w:right w:val="none" w:sz="0" w:space="0" w:color="auto"/>
      </w:divBdr>
    </w:div>
    <w:div w:id="272904120">
      <w:bodyDiv w:val="1"/>
      <w:marLeft w:val="0"/>
      <w:marRight w:val="0"/>
      <w:marTop w:val="0"/>
      <w:marBottom w:val="0"/>
      <w:divBdr>
        <w:top w:val="none" w:sz="0" w:space="0" w:color="auto"/>
        <w:left w:val="none" w:sz="0" w:space="0" w:color="auto"/>
        <w:bottom w:val="none" w:sz="0" w:space="0" w:color="auto"/>
        <w:right w:val="none" w:sz="0" w:space="0" w:color="auto"/>
      </w:divBdr>
    </w:div>
    <w:div w:id="273635344">
      <w:bodyDiv w:val="1"/>
      <w:marLeft w:val="0"/>
      <w:marRight w:val="0"/>
      <w:marTop w:val="0"/>
      <w:marBottom w:val="0"/>
      <w:divBdr>
        <w:top w:val="none" w:sz="0" w:space="0" w:color="auto"/>
        <w:left w:val="none" w:sz="0" w:space="0" w:color="auto"/>
        <w:bottom w:val="none" w:sz="0" w:space="0" w:color="auto"/>
        <w:right w:val="none" w:sz="0" w:space="0" w:color="auto"/>
      </w:divBdr>
    </w:div>
    <w:div w:id="277685081">
      <w:bodyDiv w:val="1"/>
      <w:marLeft w:val="0"/>
      <w:marRight w:val="0"/>
      <w:marTop w:val="0"/>
      <w:marBottom w:val="0"/>
      <w:divBdr>
        <w:top w:val="none" w:sz="0" w:space="0" w:color="auto"/>
        <w:left w:val="none" w:sz="0" w:space="0" w:color="auto"/>
        <w:bottom w:val="none" w:sz="0" w:space="0" w:color="auto"/>
        <w:right w:val="none" w:sz="0" w:space="0" w:color="auto"/>
      </w:divBdr>
    </w:div>
    <w:div w:id="280384604">
      <w:bodyDiv w:val="1"/>
      <w:marLeft w:val="0"/>
      <w:marRight w:val="0"/>
      <w:marTop w:val="0"/>
      <w:marBottom w:val="0"/>
      <w:divBdr>
        <w:top w:val="none" w:sz="0" w:space="0" w:color="auto"/>
        <w:left w:val="none" w:sz="0" w:space="0" w:color="auto"/>
        <w:bottom w:val="none" w:sz="0" w:space="0" w:color="auto"/>
        <w:right w:val="none" w:sz="0" w:space="0" w:color="auto"/>
      </w:divBdr>
    </w:div>
    <w:div w:id="282351410">
      <w:bodyDiv w:val="1"/>
      <w:marLeft w:val="0"/>
      <w:marRight w:val="0"/>
      <w:marTop w:val="0"/>
      <w:marBottom w:val="0"/>
      <w:divBdr>
        <w:top w:val="none" w:sz="0" w:space="0" w:color="auto"/>
        <w:left w:val="none" w:sz="0" w:space="0" w:color="auto"/>
        <w:bottom w:val="none" w:sz="0" w:space="0" w:color="auto"/>
        <w:right w:val="none" w:sz="0" w:space="0" w:color="auto"/>
      </w:divBdr>
    </w:div>
    <w:div w:id="289438495">
      <w:bodyDiv w:val="1"/>
      <w:marLeft w:val="0"/>
      <w:marRight w:val="0"/>
      <w:marTop w:val="0"/>
      <w:marBottom w:val="0"/>
      <w:divBdr>
        <w:top w:val="none" w:sz="0" w:space="0" w:color="auto"/>
        <w:left w:val="none" w:sz="0" w:space="0" w:color="auto"/>
        <w:bottom w:val="none" w:sz="0" w:space="0" w:color="auto"/>
        <w:right w:val="none" w:sz="0" w:space="0" w:color="auto"/>
      </w:divBdr>
    </w:div>
    <w:div w:id="290673013">
      <w:bodyDiv w:val="1"/>
      <w:marLeft w:val="0"/>
      <w:marRight w:val="0"/>
      <w:marTop w:val="0"/>
      <w:marBottom w:val="0"/>
      <w:divBdr>
        <w:top w:val="none" w:sz="0" w:space="0" w:color="auto"/>
        <w:left w:val="none" w:sz="0" w:space="0" w:color="auto"/>
        <w:bottom w:val="none" w:sz="0" w:space="0" w:color="auto"/>
        <w:right w:val="none" w:sz="0" w:space="0" w:color="auto"/>
      </w:divBdr>
    </w:div>
    <w:div w:id="291596498">
      <w:bodyDiv w:val="1"/>
      <w:marLeft w:val="0"/>
      <w:marRight w:val="0"/>
      <w:marTop w:val="0"/>
      <w:marBottom w:val="0"/>
      <w:divBdr>
        <w:top w:val="none" w:sz="0" w:space="0" w:color="auto"/>
        <w:left w:val="none" w:sz="0" w:space="0" w:color="auto"/>
        <w:bottom w:val="none" w:sz="0" w:space="0" w:color="auto"/>
        <w:right w:val="none" w:sz="0" w:space="0" w:color="auto"/>
      </w:divBdr>
    </w:div>
    <w:div w:id="293801727">
      <w:bodyDiv w:val="1"/>
      <w:marLeft w:val="0"/>
      <w:marRight w:val="0"/>
      <w:marTop w:val="0"/>
      <w:marBottom w:val="0"/>
      <w:divBdr>
        <w:top w:val="none" w:sz="0" w:space="0" w:color="auto"/>
        <w:left w:val="none" w:sz="0" w:space="0" w:color="auto"/>
        <w:bottom w:val="none" w:sz="0" w:space="0" w:color="auto"/>
        <w:right w:val="none" w:sz="0" w:space="0" w:color="auto"/>
      </w:divBdr>
    </w:div>
    <w:div w:id="298263528">
      <w:bodyDiv w:val="1"/>
      <w:marLeft w:val="0"/>
      <w:marRight w:val="0"/>
      <w:marTop w:val="0"/>
      <w:marBottom w:val="0"/>
      <w:divBdr>
        <w:top w:val="none" w:sz="0" w:space="0" w:color="auto"/>
        <w:left w:val="none" w:sz="0" w:space="0" w:color="auto"/>
        <w:bottom w:val="none" w:sz="0" w:space="0" w:color="auto"/>
        <w:right w:val="none" w:sz="0" w:space="0" w:color="auto"/>
      </w:divBdr>
    </w:div>
    <w:div w:id="305012499">
      <w:bodyDiv w:val="1"/>
      <w:marLeft w:val="0"/>
      <w:marRight w:val="0"/>
      <w:marTop w:val="0"/>
      <w:marBottom w:val="0"/>
      <w:divBdr>
        <w:top w:val="none" w:sz="0" w:space="0" w:color="auto"/>
        <w:left w:val="none" w:sz="0" w:space="0" w:color="auto"/>
        <w:bottom w:val="none" w:sz="0" w:space="0" w:color="auto"/>
        <w:right w:val="none" w:sz="0" w:space="0" w:color="auto"/>
      </w:divBdr>
    </w:div>
    <w:div w:id="307711502">
      <w:bodyDiv w:val="1"/>
      <w:marLeft w:val="0"/>
      <w:marRight w:val="0"/>
      <w:marTop w:val="0"/>
      <w:marBottom w:val="0"/>
      <w:divBdr>
        <w:top w:val="none" w:sz="0" w:space="0" w:color="auto"/>
        <w:left w:val="none" w:sz="0" w:space="0" w:color="auto"/>
        <w:bottom w:val="none" w:sz="0" w:space="0" w:color="auto"/>
        <w:right w:val="none" w:sz="0" w:space="0" w:color="auto"/>
      </w:divBdr>
    </w:div>
    <w:div w:id="308174652">
      <w:bodyDiv w:val="1"/>
      <w:marLeft w:val="0"/>
      <w:marRight w:val="0"/>
      <w:marTop w:val="0"/>
      <w:marBottom w:val="0"/>
      <w:divBdr>
        <w:top w:val="none" w:sz="0" w:space="0" w:color="auto"/>
        <w:left w:val="none" w:sz="0" w:space="0" w:color="auto"/>
        <w:bottom w:val="none" w:sz="0" w:space="0" w:color="auto"/>
        <w:right w:val="none" w:sz="0" w:space="0" w:color="auto"/>
      </w:divBdr>
    </w:div>
    <w:div w:id="308706426">
      <w:bodyDiv w:val="1"/>
      <w:marLeft w:val="0"/>
      <w:marRight w:val="0"/>
      <w:marTop w:val="0"/>
      <w:marBottom w:val="0"/>
      <w:divBdr>
        <w:top w:val="none" w:sz="0" w:space="0" w:color="auto"/>
        <w:left w:val="none" w:sz="0" w:space="0" w:color="auto"/>
        <w:bottom w:val="none" w:sz="0" w:space="0" w:color="auto"/>
        <w:right w:val="none" w:sz="0" w:space="0" w:color="auto"/>
      </w:divBdr>
    </w:div>
    <w:div w:id="313485787">
      <w:bodyDiv w:val="1"/>
      <w:marLeft w:val="0"/>
      <w:marRight w:val="0"/>
      <w:marTop w:val="0"/>
      <w:marBottom w:val="0"/>
      <w:divBdr>
        <w:top w:val="none" w:sz="0" w:space="0" w:color="auto"/>
        <w:left w:val="none" w:sz="0" w:space="0" w:color="auto"/>
        <w:bottom w:val="none" w:sz="0" w:space="0" w:color="auto"/>
        <w:right w:val="none" w:sz="0" w:space="0" w:color="auto"/>
      </w:divBdr>
    </w:div>
    <w:div w:id="316151072">
      <w:bodyDiv w:val="1"/>
      <w:marLeft w:val="0"/>
      <w:marRight w:val="0"/>
      <w:marTop w:val="0"/>
      <w:marBottom w:val="0"/>
      <w:divBdr>
        <w:top w:val="none" w:sz="0" w:space="0" w:color="auto"/>
        <w:left w:val="none" w:sz="0" w:space="0" w:color="auto"/>
        <w:bottom w:val="none" w:sz="0" w:space="0" w:color="auto"/>
        <w:right w:val="none" w:sz="0" w:space="0" w:color="auto"/>
      </w:divBdr>
    </w:div>
    <w:div w:id="316154340">
      <w:bodyDiv w:val="1"/>
      <w:marLeft w:val="0"/>
      <w:marRight w:val="0"/>
      <w:marTop w:val="0"/>
      <w:marBottom w:val="0"/>
      <w:divBdr>
        <w:top w:val="none" w:sz="0" w:space="0" w:color="auto"/>
        <w:left w:val="none" w:sz="0" w:space="0" w:color="auto"/>
        <w:bottom w:val="none" w:sz="0" w:space="0" w:color="auto"/>
        <w:right w:val="none" w:sz="0" w:space="0" w:color="auto"/>
      </w:divBdr>
    </w:div>
    <w:div w:id="324089166">
      <w:bodyDiv w:val="1"/>
      <w:marLeft w:val="0"/>
      <w:marRight w:val="0"/>
      <w:marTop w:val="0"/>
      <w:marBottom w:val="0"/>
      <w:divBdr>
        <w:top w:val="none" w:sz="0" w:space="0" w:color="auto"/>
        <w:left w:val="none" w:sz="0" w:space="0" w:color="auto"/>
        <w:bottom w:val="none" w:sz="0" w:space="0" w:color="auto"/>
        <w:right w:val="none" w:sz="0" w:space="0" w:color="auto"/>
      </w:divBdr>
    </w:div>
    <w:div w:id="333144080">
      <w:bodyDiv w:val="1"/>
      <w:marLeft w:val="0"/>
      <w:marRight w:val="0"/>
      <w:marTop w:val="0"/>
      <w:marBottom w:val="0"/>
      <w:divBdr>
        <w:top w:val="none" w:sz="0" w:space="0" w:color="auto"/>
        <w:left w:val="none" w:sz="0" w:space="0" w:color="auto"/>
        <w:bottom w:val="none" w:sz="0" w:space="0" w:color="auto"/>
        <w:right w:val="none" w:sz="0" w:space="0" w:color="auto"/>
      </w:divBdr>
    </w:div>
    <w:div w:id="335311154">
      <w:bodyDiv w:val="1"/>
      <w:marLeft w:val="0"/>
      <w:marRight w:val="0"/>
      <w:marTop w:val="0"/>
      <w:marBottom w:val="0"/>
      <w:divBdr>
        <w:top w:val="none" w:sz="0" w:space="0" w:color="auto"/>
        <w:left w:val="none" w:sz="0" w:space="0" w:color="auto"/>
        <w:bottom w:val="none" w:sz="0" w:space="0" w:color="auto"/>
        <w:right w:val="none" w:sz="0" w:space="0" w:color="auto"/>
      </w:divBdr>
    </w:div>
    <w:div w:id="337199432">
      <w:bodyDiv w:val="1"/>
      <w:marLeft w:val="0"/>
      <w:marRight w:val="0"/>
      <w:marTop w:val="0"/>
      <w:marBottom w:val="0"/>
      <w:divBdr>
        <w:top w:val="none" w:sz="0" w:space="0" w:color="auto"/>
        <w:left w:val="none" w:sz="0" w:space="0" w:color="auto"/>
        <w:bottom w:val="none" w:sz="0" w:space="0" w:color="auto"/>
        <w:right w:val="none" w:sz="0" w:space="0" w:color="auto"/>
      </w:divBdr>
    </w:div>
    <w:div w:id="338972104">
      <w:bodyDiv w:val="1"/>
      <w:marLeft w:val="0"/>
      <w:marRight w:val="0"/>
      <w:marTop w:val="0"/>
      <w:marBottom w:val="0"/>
      <w:divBdr>
        <w:top w:val="none" w:sz="0" w:space="0" w:color="auto"/>
        <w:left w:val="none" w:sz="0" w:space="0" w:color="auto"/>
        <w:bottom w:val="none" w:sz="0" w:space="0" w:color="auto"/>
        <w:right w:val="none" w:sz="0" w:space="0" w:color="auto"/>
      </w:divBdr>
    </w:div>
    <w:div w:id="340204649">
      <w:bodyDiv w:val="1"/>
      <w:marLeft w:val="0"/>
      <w:marRight w:val="0"/>
      <w:marTop w:val="0"/>
      <w:marBottom w:val="0"/>
      <w:divBdr>
        <w:top w:val="none" w:sz="0" w:space="0" w:color="auto"/>
        <w:left w:val="none" w:sz="0" w:space="0" w:color="auto"/>
        <w:bottom w:val="none" w:sz="0" w:space="0" w:color="auto"/>
        <w:right w:val="none" w:sz="0" w:space="0" w:color="auto"/>
      </w:divBdr>
    </w:div>
    <w:div w:id="343938733">
      <w:bodyDiv w:val="1"/>
      <w:marLeft w:val="0"/>
      <w:marRight w:val="0"/>
      <w:marTop w:val="0"/>
      <w:marBottom w:val="0"/>
      <w:divBdr>
        <w:top w:val="none" w:sz="0" w:space="0" w:color="auto"/>
        <w:left w:val="none" w:sz="0" w:space="0" w:color="auto"/>
        <w:bottom w:val="none" w:sz="0" w:space="0" w:color="auto"/>
        <w:right w:val="none" w:sz="0" w:space="0" w:color="auto"/>
      </w:divBdr>
    </w:div>
    <w:div w:id="347025347">
      <w:bodyDiv w:val="1"/>
      <w:marLeft w:val="0"/>
      <w:marRight w:val="0"/>
      <w:marTop w:val="0"/>
      <w:marBottom w:val="0"/>
      <w:divBdr>
        <w:top w:val="none" w:sz="0" w:space="0" w:color="auto"/>
        <w:left w:val="none" w:sz="0" w:space="0" w:color="auto"/>
        <w:bottom w:val="none" w:sz="0" w:space="0" w:color="auto"/>
        <w:right w:val="none" w:sz="0" w:space="0" w:color="auto"/>
      </w:divBdr>
    </w:div>
    <w:div w:id="348600615">
      <w:bodyDiv w:val="1"/>
      <w:marLeft w:val="0"/>
      <w:marRight w:val="0"/>
      <w:marTop w:val="0"/>
      <w:marBottom w:val="0"/>
      <w:divBdr>
        <w:top w:val="none" w:sz="0" w:space="0" w:color="auto"/>
        <w:left w:val="none" w:sz="0" w:space="0" w:color="auto"/>
        <w:bottom w:val="none" w:sz="0" w:space="0" w:color="auto"/>
        <w:right w:val="none" w:sz="0" w:space="0" w:color="auto"/>
      </w:divBdr>
    </w:div>
    <w:div w:id="351536826">
      <w:bodyDiv w:val="1"/>
      <w:marLeft w:val="0"/>
      <w:marRight w:val="0"/>
      <w:marTop w:val="0"/>
      <w:marBottom w:val="0"/>
      <w:divBdr>
        <w:top w:val="none" w:sz="0" w:space="0" w:color="auto"/>
        <w:left w:val="none" w:sz="0" w:space="0" w:color="auto"/>
        <w:bottom w:val="none" w:sz="0" w:space="0" w:color="auto"/>
        <w:right w:val="none" w:sz="0" w:space="0" w:color="auto"/>
      </w:divBdr>
    </w:div>
    <w:div w:id="352147482">
      <w:bodyDiv w:val="1"/>
      <w:marLeft w:val="0"/>
      <w:marRight w:val="0"/>
      <w:marTop w:val="0"/>
      <w:marBottom w:val="0"/>
      <w:divBdr>
        <w:top w:val="none" w:sz="0" w:space="0" w:color="auto"/>
        <w:left w:val="none" w:sz="0" w:space="0" w:color="auto"/>
        <w:bottom w:val="none" w:sz="0" w:space="0" w:color="auto"/>
        <w:right w:val="none" w:sz="0" w:space="0" w:color="auto"/>
      </w:divBdr>
    </w:div>
    <w:div w:id="354120626">
      <w:bodyDiv w:val="1"/>
      <w:marLeft w:val="0"/>
      <w:marRight w:val="0"/>
      <w:marTop w:val="0"/>
      <w:marBottom w:val="0"/>
      <w:divBdr>
        <w:top w:val="none" w:sz="0" w:space="0" w:color="auto"/>
        <w:left w:val="none" w:sz="0" w:space="0" w:color="auto"/>
        <w:bottom w:val="none" w:sz="0" w:space="0" w:color="auto"/>
        <w:right w:val="none" w:sz="0" w:space="0" w:color="auto"/>
      </w:divBdr>
    </w:div>
    <w:div w:id="354582403">
      <w:bodyDiv w:val="1"/>
      <w:marLeft w:val="0"/>
      <w:marRight w:val="0"/>
      <w:marTop w:val="0"/>
      <w:marBottom w:val="0"/>
      <w:divBdr>
        <w:top w:val="none" w:sz="0" w:space="0" w:color="auto"/>
        <w:left w:val="none" w:sz="0" w:space="0" w:color="auto"/>
        <w:bottom w:val="none" w:sz="0" w:space="0" w:color="auto"/>
        <w:right w:val="none" w:sz="0" w:space="0" w:color="auto"/>
      </w:divBdr>
    </w:div>
    <w:div w:id="359666356">
      <w:bodyDiv w:val="1"/>
      <w:marLeft w:val="0"/>
      <w:marRight w:val="0"/>
      <w:marTop w:val="0"/>
      <w:marBottom w:val="0"/>
      <w:divBdr>
        <w:top w:val="none" w:sz="0" w:space="0" w:color="auto"/>
        <w:left w:val="none" w:sz="0" w:space="0" w:color="auto"/>
        <w:bottom w:val="none" w:sz="0" w:space="0" w:color="auto"/>
        <w:right w:val="none" w:sz="0" w:space="0" w:color="auto"/>
      </w:divBdr>
    </w:div>
    <w:div w:id="360086480">
      <w:bodyDiv w:val="1"/>
      <w:marLeft w:val="0"/>
      <w:marRight w:val="0"/>
      <w:marTop w:val="0"/>
      <w:marBottom w:val="0"/>
      <w:divBdr>
        <w:top w:val="none" w:sz="0" w:space="0" w:color="auto"/>
        <w:left w:val="none" w:sz="0" w:space="0" w:color="auto"/>
        <w:bottom w:val="none" w:sz="0" w:space="0" w:color="auto"/>
        <w:right w:val="none" w:sz="0" w:space="0" w:color="auto"/>
      </w:divBdr>
    </w:div>
    <w:div w:id="365719753">
      <w:bodyDiv w:val="1"/>
      <w:marLeft w:val="0"/>
      <w:marRight w:val="0"/>
      <w:marTop w:val="0"/>
      <w:marBottom w:val="0"/>
      <w:divBdr>
        <w:top w:val="none" w:sz="0" w:space="0" w:color="auto"/>
        <w:left w:val="none" w:sz="0" w:space="0" w:color="auto"/>
        <w:bottom w:val="none" w:sz="0" w:space="0" w:color="auto"/>
        <w:right w:val="none" w:sz="0" w:space="0" w:color="auto"/>
      </w:divBdr>
    </w:div>
    <w:div w:id="369376557">
      <w:bodyDiv w:val="1"/>
      <w:marLeft w:val="0"/>
      <w:marRight w:val="0"/>
      <w:marTop w:val="0"/>
      <w:marBottom w:val="0"/>
      <w:divBdr>
        <w:top w:val="none" w:sz="0" w:space="0" w:color="auto"/>
        <w:left w:val="none" w:sz="0" w:space="0" w:color="auto"/>
        <w:bottom w:val="none" w:sz="0" w:space="0" w:color="auto"/>
        <w:right w:val="none" w:sz="0" w:space="0" w:color="auto"/>
      </w:divBdr>
    </w:div>
    <w:div w:id="369454302">
      <w:bodyDiv w:val="1"/>
      <w:marLeft w:val="0"/>
      <w:marRight w:val="0"/>
      <w:marTop w:val="0"/>
      <w:marBottom w:val="0"/>
      <w:divBdr>
        <w:top w:val="none" w:sz="0" w:space="0" w:color="auto"/>
        <w:left w:val="none" w:sz="0" w:space="0" w:color="auto"/>
        <w:bottom w:val="none" w:sz="0" w:space="0" w:color="auto"/>
        <w:right w:val="none" w:sz="0" w:space="0" w:color="auto"/>
      </w:divBdr>
    </w:div>
    <w:div w:id="369457506">
      <w:bodyDiv w:val="1"/>
      <w:marLeft w:val="0"/>
      <w:marRight w:val="0"/>
      <w:marTop w:val="0"/>
      <w:marBottom w:val="0"/>
      <w:divBdr>
        <w:top w:val="none" w:sz="0" w:space="0" w:color="auto"/>
        <w:left w:val="none" w:sz="0" w:space="0" w:color="auto"/>
        <w:bottom w:val="none" w:sz="0" w:space="0" w:color="auto"/>
        <w:right w:val="none" w:sz="0" w:space="0" w:color="auto"/>
      </w:divBdr>
    </w:div>
    <w:div w:id="370306758">
      <w:bodyDiv w:val="1"/>
      <w:marLeft w:val="0"/>
      <w:marRight w:val="0"/>
      <w:marTop w:val="0"/>
      <w:marBottom w:val="0"/>
      <w:divBdr>
        <w:top w:val="none" w:sz="0" w:space="0" w:color="auto"/>
        <w:left w:val="none" w:sz="0" w:space="0" w:color="auto"/>
        <w:bottom w:val="none" w:sz="0" w:space="0" w:color="auto"/>
        <w:right w:val="none" w:sz="0" w:space="0" w:color="auto"/>
      </w:divBdr>
    </w:div>
    <w:div w:id="370493462">
      <w:bodyDiv w:val="1"/>
      <w:marLeft w:val="0"/>
      <w:marRight w:val="0"/>
      <w:marTop w:val="0"/>
      <w:marBottom w:val="0"/>
      <w:divBdr>
        <w:top w:val="none" w:sz="0" w:space="0" w:color="auto"/>
        <w:left w:val="none" w:sz="0" w:space="0" w:color="auto"/>
        <w:bottom w:val="none" w:sz="0" w:space="0" w:color="auto"/>
        <w:right w:val="none" w:sz="0" w:space="0" w:color="auto"/>
      </w:divBdr>
    </w:div>
    <w:div w:id="370768862">
      <w:bodyDiv w:val="1"/>
      <w:marLeft w:val="0"/>
      <w:marRight w:val="0"/>
      <w:marTop w:val="0"/>
      <w:marBottom w:val="0"/>
      <w:divBdr>
        <w:top w:val="none" w:sz="0" w:space="0" w:color="auto"/>
        <w:left w:val="none" w:sz="0" w:space="0" w:color="auto"/>
        <w:bottom w:val="none" w:sz="0" w:space="0" w:color="auto"/>
        <w:right w:val="none" w:sz="0" w:space="0" w:color="auto"/>
      </w:divBdr>
    </w:div>
    <w:div w:id="370805637">
      <w:bodyDiv w:val="1"/>
      <w:marLeft w:val="0"/>
      <w:marRight w:val="0"/>
      <w:marTop w:val="0"/>
      <w:marBottom w:val="0"/>
      <w:divBdr>
        <w:top w:val="none" w:sz="0" w:space="0" w:color="auto"/>
        <w:left w:val="none" w:sz="0" w:space="0" w:color="auto"/>
        <w:bottom w:val="none" w:sz="0" w:space="0" w:color="auto"/>
        <w:right w:val="none" w:sz="0" w:space="0" w:color="auto"/>
      </w:divBdr>
    </w:div>
    <w:div w:id="372191182">
      <w:bodyDiv w:val="1"/>
      <w:marLeft w:val="0"/>
      <w:marRight w:val="0"/>
      <w:marTop w:val="0"/>
      <w:marBottom w:val="0"/>
      <w:divBdr>
        <w:top w:val="none" w:sz="0" w:space="0" w:color="auto"/>
        <w:left w:val="none" w:sz="0" w:space="0" w:color="auto"/>
        <w:bottom w:val="none" w:sz="0" w:space="0" w:color="auto"/>
        <w:right w:val="none" w:sz="0" w:space="0" w:color="auto"/>
      </w:divBdr>
    </w:div>
    <w:div w:id="378476073">
      <w:bodyDiv w:val="1"/>
      <w:marLeft w:val="0"/>
      <w:marRight w:val="0"/>
      <w:marTop w:val="0"/>
      <w:marBottom w:val="0"/>
      <w:divBdr>
        <w:top w:val="none" w:sz="0" w:space="0" w:color="auto"/>
        <w:left w:val="none" w:sz="0" w:space="0" w:color="auto"/>
        <w:bottom w:val="none" w:sz="0" w:space="0" w:color="auto"/>
        <w:right w:val="none" w:sz="0" w:space="0" w:color="auto"/>
      </w:divBdr>
    </w:div>
    <w:div w:id="379404275">
      <w:bodyDiv w:val="1"/>
      <w:marLeft w:val="0"/>
      <w:marRight w:val="0"/>
      <w:marTop w:val="0"/>
      <w:marBottom w:val="0"/>
      <w:divBdr>
        <w:top w:val="none" w:sz="0" w:space="0" w:color="auto"/>
        <w:left w:val="none" w:sz="0" w:space="0" w:color="auto"/>
        <w:bottom w:val="none" w:sz="0" w:space="0" w:color="auto"/>
        <w:right w:val="none" w:sz="0" w:space="0" w:color="auto"/>
      </w:divBdr>
    </w:div>
    <w:div w:id="384181981">
      <w:bodyDiv w:val="1"/>
      <w:marLeft w:val="0"/>
      <w:marRight w:val="0"/>
      <w:marTop w:val="0"/>
      <w:marBottom w:val="0"/>
      <w:divBdr>
        <w:top w:val="none" w:sz="0" w:space="0" w:color="auto"/>
        <w:left w:val="none" w:sz="0" w:space="0" w:color="auto"/>
        <w:bottom w:val="none" w:sz="0" w:space="0" w:color="auto"/>
        <w:right w:val="none" w:sz="0" w:space="0" w:color="auto"/>
      </w:divBdr>
    </w:div>
    <w:div w:id="387266876">
      <w:bodyDiv w:val="1"/>
      <w:marLeft w:val="0"/>
      <w:marRight w:val="0"/>
      <w:marTop w:val="0"/>
      <w:marBottom w:val="0"/>
      <w:divBdr>
        <w:top w:val="none" w:sz="0" w:space="0" w:color="auto"/>
        <w:left w:val="none" w:sz="0" w:space="0" w:color="auto"/>
        <w:bottom w:val="none" w:sz="0" w:space="0" w:color="auto"/>
        <w:right w:val="none" w:sz="0" w:space="0" w:color="auto"/>
      </w:divBdr>
    </w:div>
    <w:div w:id="387344440">
      <w:bodyDiv w:val="1"/>
      <w:marLeft w:val="0"/>
      <w:marRight w:val="0"/>
      <w:marTop w:val="0"/>
      <w:marBottom w:val="0"/>
      <w:divBdr>
        <w:top w:val="none" w:sz="0" w:space="0" w:color="auto"/>
        <w:left w:val="none" w:sz="0" w:space="0" w:color="auto"/>
        <w:bottom w:val="none" w:sz="0" w:space="0" w:color="auto"/>
        <w:right w:val="none" w:sz="0" w:space="0" w:color="auto"/>
      </w:divBdr>
    </w:div>
    <w:div w:id="388698461">
      <w:bodyDiv w:val="1"/>
      <w:marLeft w:val="0"/>
      <w:marRight w:val="0"/>
      <w:marTop w:val="0"/>
      <w:marBottom w:val="0"/>
      <w:divBdr>
        <w:top w:val="none" w:sz="0" w:space="0" w:color="auto"/>
        <w:left w:val="none" w:sz="0" w:space="0" w:color="auto"/>
        <w:bottom w:val="none" w:sz="0" w:space="0" w:color="auto"/>
        <w:right w:val="none" w:sz="0" w:space="0" w:color="auto"/>
      </w:divBdr>
    </w:div>
    <w:div w:id="389500268">
      <w:bodyDiv w:val="1"/>
      <w:marLeft w:val="0"/>
      <w:marRight w:val="0"/>
      <w:marTop w:val="0"/>
      <w:marBottom w:val="0"/>
      <w:divBdr>
        <w:top w:val="none" w:sz="0" w:space="0" w:color="auto"/>
        <w:left w:val="none" w:sz="0" w:space="0" w:color="auto"/>
        <w:bottom w:val="none" w:sz="0" w:space="0" w:color="auto"/>
        <w:right w:val="none" w:sz="0" w:space="0" w:color="auto"/>
      </w:divBdr>
    </w:div>
    <w:div w:id="390809782">
      <w:bodyDiv w:val="1"/>
      <w:marLeft w:val="0"/>
      <w:marRight w:val="0"/>
      <w:marTop w:val="0"/>
      <w:marBottom w:val="0"/>
      <w:divBdr>
        <w:top w:val="none" w:sz="0" w:space="0" w:color="auto"/>
        <w:left w:val="none" w:sz="0" w:space="0" w:color="auto"/>
        <w:bottom w:val="none" w:sz="0" w:space="0" w:color="auto"/>
        <w:right w:val="none" w:sz="0" w:space="0" w:color="auto"/>
      </w:divBdr>
    </w:div>
    <w:div w:id="393429083">
      <w:bodyDiv w:val="1"/>
      <w:marLeft w:val="0"/>
      <w:marRight w:val="0"/>
      <w:marTop w:val="0"/>
      <w:marBottom w:val="0"/>
      <w:divBdr>
        <w:top w:val="none" w:sz="0" w:space="0" w:color="auto"/>
        <w:left w:val="none" w:sz="0" w:space="0" w:color="auto"/>
        <w:bottom w:val="none" w:sz="0" w:space="0" w:color="auto"/>
        <w:right w:val="none" w:sz="0" w:space="0" w:color="auto"/>
      </w:divBdr>
    </w:div>
    <w:div w:id="398328743">
      <w:bodyDiv w:val="1"/>
      <w:marLeft w:val="0"/>
      <w:marRight w:val="0"/>
      <w:marTop w:val="0"/>
      <w:marBottom w:val="0"/>
      <w:divBdr>
        <w:top w:val="none" w:sz="0" w:space="0" w:color="auto"/>
        <w:left w:val="none" w:sz="0" w:space="0" w:color="auto"/>
        <w:bottom w:val="none" w:sz="0" w:space="0" w:color="auto"/>
        <w:right w:val="none" w:sz="0" w:space="0" w:color="auto"/>
      </w:divBdr>
    </w:div>
    <w:div w:id="399594229">
      <w:bodyDiv w:val="1"/>
      <w:marLeft w:val="0"/>
      <w:marRight w:val="0"/>
      <w:marTop w:val="0"/>
      <w:marBottom w:val="0"/>
      <w:divBdr>
        <w:top w:val="none" w:sz="0" w:space="0" w:color="auto"/>
        <w:left w:val="none" w:sz="0" w:space="0" w:color="auto"/>
        <w:bottom w:val="none" w:sz="0" w:space="0" w:color="auto"/>
        <w:right w:val="none" w:sz="0" w:space="0" w:color="auto"/>
      </w:divBdr>
    </w:div>
    <w:div w:id="401634551">
      <w:bodyDiv w:val="1"/>
      <w:marLeft w:val="0"/>
      <w:marRight w:val="0"/>
      <w:marTop w:val="0"/>
      <w:marBottom w:val="0"/>
      <w:divBdr>
        <w:top w:val="none" w:sz="0" w:space="0" w:color="auto"/>
        <w:left w:val="none" w:sz="0" w:space="0" w:color="auto"/>
        <w:bottom w:val="none" w:sz="0" w:space="0" w:color="auto"/>
        <w:right w:val="none" w:sz="0" w:space="0" w:color="auto"/>
      </w:divBdr>
    </w:div>
    <w:div w:id="402457233">
      <w:bodyDiv w:val="1"/>
      <w:marLeft w:val="0"/>
      <w:marRight w:val="0"/>
      <w:marTop w:val="0"/>
      <w:marBottom w:val="0"/>
      <w:divBdr>
        <w:top w:val="none" w:sz="0" w:space="0" w:color="auto"/>
        <w:left w:val="none" w:sz="0" w:space="0" w:color="auto"/>
        <w:bottom w:val="none" w:sz="0" w:space="0" w:color="auto"/>
        <w:right w:val="none" w:sz="0" w:space="0" w:color="auto"/>
      </w:divBdr>
    </w:div>
    <w:div w:id="402991290">
      <w:bodyDiv w:val="1"/>
      <w:marLeft w:val="0"/>
      <w:marRight w:val="0"/>
      <w:marTop w:val="0"/>
      <w:marBottom w:val="0"/>
      <w:divBdr>
        <w:top w:val="none" w:sz="0" w:space="0" w:color="auto"/>
        <w:left w:val="none" w:sz="0" w:space="0" w:color="auto"/>
        <w:bottom w:val="none" w:sz="0" w:space="0" w:color="auto"/>
        <w:right w:val="none" w:sz="0" w:space="0" w:color="auto"/>
      </w:divBdr>
    </w:div>
    <w:div w:id="403600353">
      <w:bodyDiv w:val="1"/>
      <w:marLeft w:val="0"/>
      <w:marRight w:val="0"/>
      <w:marTop w:val="0"/>
      <w:marBottom w:val="0"/>
      <w:divBdr>
        <w:top w:val="none" w:sz="0" w:space="0" w:color="auto"/>
        <w:left w:val="none" w:sz="0" w:space="0" w:color="auto"/>
        <w:bottom w:val="none" w:sz="0" w:space="0" w:color="auto"/>
        <w:right w:val="none" w:sz="0" w:space="0" w:color="auto"/>
      </w:divBdr>
    </w:div>
    <w:div w:id="404228619">
      <w:bodyDiv w:val="1"/>
      <w:marLeft w:val="0"/>
      <w:marRight w:val="0"/>
      <w:marTop w:val="0"/>
      <w:marBottom w:val="0"/>
      <w:divBdr>
        <w:top w:val="none" w:sz="0" w:space="0" w:color="auto"/>
        <w:left w:val="none" w:sz="0" w:space="0" w:color="auto"/>
        <w:bottom w:val="none" w:sz="0" w:space="0" w:color="auto"/>
        <w:right w:val="none" w:sz="0" w:space="0" w:color="auto"/>
      </w:divBdr>
    </w:div>
    <w:div w:id="407650658">
      <w:bodyDiv w:val="1"/>
      <w:marLeft w:val="0"/>
      <w:marRight w:val="0"/>
      <w:marTop w:val="0"/>
      <w:marBottom w:val="0"/>
      <w:divBdr>
        <w:top w:val="none" w:sz="0" w:space="0" w:color="auto"/>
        <w:left w:val="none" w:sz="0" w:space="0" w:color="auto"/>
        <w:bottom w:val="none" w:sz="0" w:space="0" w:color="auto"/>
        <w:right w:val="none" w:sz="0" w:space="0" w:color="auto"/>
      </w:divBdr>
    </w:div>
    <w:div w:id="409931629">
      <w:bodyDiv w:val="1"/>
      <w:marLeft w:val="0"/>
      <w:marRight w:val="0"/>
      <w:marTop w:val="0"/>
      <w:marBottom w:val="0"/>
      <w:divBdr>
        <w:top w:val="none" w:sz="0" w:space="0" w:color="auto"/>
        <w:left w:val="none" w:sz="0" w:space="0" w:color="auto"/>
        <w:bottom w:val="none" w:sz="0" w:space="0" w:color="auto"/>
        <w:right w:val="none" w:sz="0" w:space="0" w:color="auto"/>
      </w:divBdr>
    </w:div>
    <w:div w:id="410926625">
      <w:bodyDiv w:val="1"/>
      <w:marLeft w:val="0"/>
      <w:marRight w:val="0"/>
      <w:marTop w:val="0"/>
      <w:marBottom w:val="0"/>
      <w:divBdr>
        <w:top w:val="none" w:sz="0" w:space="0" w:color="auto"/>
        <w:left w:val="none" w:sz="0" w:space="0" w:color="auto"/>
        <w:bottom w:val="none" w:sz="0" w:space="0" w:color="auto"/>
        <w:right w:val="none" w:sz="0" w:space="0" w:color="auto"/>
      </w:divBdr>
    </w:div>
    <w:div w:id="411897433">
      <w:bodyDiv w:val="1"/>
      <w:marLeft w:val="0"/>
      <w:marRight w:val="0"/>
      <w:marTop w:val="0"/>
      <w:marBottom w:val="0"/>
      <w:divBdr>
        <w:top w:val="none" w:sz="0" w:space="0" w:color="auto"/>
        <w:left w:val="none" w:sz="0" w:space="0" w:color="auto"/>
        <w:bottom w:val="none" w:sz="0" w:space="0" w:color="auto"/>
        <w:right w:val="none" w:sz="0" w:space="0" w:color="auto"/>
      </w:divBdr>
    </w:div>
    <w:div w:id="419983708">
      <w:bodyDiv w:val="1"/>
      <w:marLeft w:val="0"/>
      <w:marRight w:val="0"/>
      <w:marTop w:val="0"/>
      <w:marBottom w:val="0"/>
      <w:divBdr>
        <w:top w:val="none" w:sz="0" w:space="0" w:color="auto"/>
        <w:left w:val="none" w:sz="0" w:space="0" w:color="auto"/>
        <w:bottom w:val="none" w:sz="0" w:space="0" w:color="auto"/>
        <w:right w:val="none" w:sz="0" w:space="0" w:color="auto"/>
      </w:divBdr>
    </w:div>
    <w:div w:id="426314306">
      <w:bodyDiv w:val="1"/>
      <w:marLeft w:val="0"/>
      <w:marRight w:val="0"/>
      <w:marTop w:val="0"/>
      <w:marBottom w:val="0"/>
      <w:divBdr>
        <w:top w:val="none" w:sz="0" w:space="0" w:color="auto"/>
        <w:left w:val="none" w:sz="0" w:space="0" w:color="auto"/>
        <w:bottom w:val="none" w:sz="0" w:space="0" w:color="auto"/>
        <w:right w:val="none" w:sz="0" w:space="0" w:color="auto"/>
      </w:divBdr>
    </w:div>
    <w:div w:id="427313098">
      <w:bodyDiv w:val="1"/>
      <w:marLeft w:val="0"/>
      <w:marRight w:val="0"/>
      <w:marTop w:val="0"/>
      <w:marBottom w:val="0"/>
      <w:divBdr>
        <w:top w:val="none" w:sz="0" w:space="0" w:color="auto"/>
        <w:left w:val="none" w:sz="0" w:space="0" w:color="auto"/>
        <w:bottom w:val="none" w:sz="0" w:space="0" w:color="auto"/>
        <w:right w:val="none" w:sz="0" w:space="0" w:color="auto"/>
      </w:divBdr>
    </w:div>
    <w:div w:id="431358189">
      <w:bodyDiv w:val="1"/>
      <w:marLeft w:val="0"/>
      <w:marRight w:val="0"/>
      <w:marTop w:val="0"/>
      <w:marBottom w:val="0"/>
      <w:divBdr>
        <w:top w:val="none" w:sz="0" w:space="0" w:color="auto"/>
        <w:left w:val="none" w:sz="0" w:space="0" w:color="auto"/>
        <w:bottom w:val="none" w:sz="0" w:space="0" w:color="auto"/>
        <w:right w:val="none" w:sz="0" w:space="0" w:color="auto"/>
      </w:divBdr>
    </w:div>
    <w:div w:id="431710002">
      <w:bodyDiv w:val="1"/>
      <w:marLeft w:val="0"/>
      <w:marRight w:val="0"/>
      <w:marTop w:val="0"/>
      <w:marBottom w:val="0"/>
      <w:divBdr>
        <w:top w:val="none" w:sz="0" w:space="0" w:color="auto"/>
        <w:left w:val="none" w:sz="0" w:space="0" w:color="auto"/>
        <w:bottom w:val="none" w:sz="0" w:space="0" w:color="auto"/>
        <w:right w:val="none" w:sz="0" w:space="0" w:color="auto"/>
      </w:divBdr>
    </w:div>
    <w:div w:id="433790465">
      <w:bodyDiv w:val="1"/>
      <w:marLeft w:val="0"/>
      <w:marRight w:val="0"/>
      <w:marTop w:val="0"/>
      <w:marBottom w:val="0"/>
      <w:divBdr>
        <w:top w:val="none" w:sz="0" w:space="0" w:color="auto"/>
        <w:left w:val="none" w:sz="0" w:space="0" w:color="auto"/>
        <w:bottom w:val="none" w:sz="0" w:space="0" w:color="auto"/>
        <w:right w:val="none" w:sz="0" w:space="0" w:color="auto"/>
      </w:divBdr>
    </w:div>
    <w:div w:id="436603596">
      <w:bodyDiv w:val="1"/>
      <w:marLeft w:val="0"/>
      <w:marRight w:val="0"/>
      <w:marTop w:val="0"/>
      <w:marBottom w:val="0"/>
      <w:divBdr>
        <w:top w:val="none" w:sz="0" w:space="0" w:color="auto"/>
        <w:left w:val="none" w:sz="0" w:space="0" w:color="auto"/>
        <w:bottom w:val="none" w:sz="0" w:space="0" w:color="auto"/>
        <w:right w:val="none" w:sz="0" w:space="0" w:color="auto"/>
      </w:divBdr>
    </w:div>
    <w:div w:id="436827217">
      <w:bodyDiv w:val="1"/>
      <w:marLeft w:val="0"/>
      <w:marRight w:val="0"/>
      <w:marTop w:val="0"/>
      <w:marBottom w:val="0"/>
      <w:divBdr>
        <w:top w:val="none" w:sz="0" w:space="0" w:color="auto"/>
        <w:left w:val="none" w:sz="0" w:space="0" w:color="auto"/>
        <w:bottom w:val="none" w:sz="0" w:space="0" w:color="auto"/>
        <w:right w:val="none" w:sz="0" w:space="0" w:color="auto"/>
      </w:divBdr>
    </w:div>
    <w:div w:id="437405597">
      <w:bodyDiv w:val="1"/>
      <w:marLeft w:val="0"/>
      <w:marRight w:val="0"/>
      <w:marTop w:val="0"/>
      <w:marBottom w:val="0"/>
      <w:divBdr>
        <w:top w:val="none" w:sz="0" w:space="0" w:color="auto"/>
        <w:left w:val="none" w:sz="0" w:space="0" w:color="auto"/>
        <w:bottom w:val="none" w:sz="0" w:space="0" w:color="auto"/>
        <w:right w:val="none" w:sz="0" w:space="0" w:color="auto"/>
      </w:divBdr>
    </w:div>
    <w:div w:id="442309803">
      <w:bodyDiv w:val="1"/>
      <w:marLeft w:val="0"/>
      <w:marRight w:val="0"/>
      <w:marTop w:val="0"/>
      <w:marBottom w:val="0"/>
      <w:divBdr>
        <w:top w:val="none" w:sz="0" w:space="0" w:color="auto"/>
        <w:left w:val="none" w:sz="0" w:space="0" w:color="auto"/>
        <w:bottom w:val="none" w:sz="0" w:space="0" w:color="auto"/>
        <w:right w:val="none" w:sz="0" w:space="0" w:color="auto"/>
      </w:divBdr>
    </w:div>
    <w:div w:id="443186100">
      <w:bodyDiv w:val="1"/>
      <w:marLeft w:val="0"/>
      <w:marRight w:val="0"/>
      <w:marTop w:val="0"/>
      <w:marBottom w:val="0"/>
      <w:divBdr>
        <w:top w:val="none" w:sz="0" w:space="0" w:color="auto"/>
        <w:left w:val="none" w:sz="0" w:space="0" w:color="auto"/>
        <w:bottom w:val="none" w:sz="0" w:space="0" w:color="auto"/>
        <w:right w:val="none" w:sz="0" w:space="0" w:color="auto"/>
      </w:divBdr>
    </w:div>
    <w:div w:id="443770347">
      <w:bodyDiv w:val="1"/>
      <w:marLeft w:val="0"/>
      <w:marRight w:val="0"/>
      <w:marTop w:val="0"/>
      <w:marBottom w:val="0"/>
      <w:divBdr>
        <w:top w:val="none" w:sz="0" w:space="0" w:color="auto"/>
        <w:left w:val="none" w:sz="0" w:space="0" w:color="auto"/>
        <w:bottom w:val="none" w:sz="0" w:space="0" w:color="auto"/>
        <w:right w:val="none" w:sz="0" w:space="0" w:color="auto"/>
      </w:divBdr>
    </w:div>
    <w:div w:id="443963747">
      <w:bodyDiv w:val="1"/>
      <w:marLeft w:val="0"/>
      <w:marRight w:val="0"/>
      <w:marTop w:val="0"/>
      <w:marBottom w:val="0"/>
      <w:divBdr>
        <w:top w:val="none" w:sz="0" w:space="0" w:color="auto"/>
        <w:left w:val="none" w:sz="0" w:space="0" w:color="auto"/>
        <w:bottom w:val="none" w:sz="0" w:space="0" w:color="auto"/>
        <w:right w:val="none" w:sz="0" w:space="0" w:color="auto"/>
      </w:divBdr>
    </w:div>
    <w:div w:id="448088231">
      <w:bodyDiv w:val="1"/>
      <w:marLeft w:val="0"/>
      <w:marRight w:val="0"/>
      <w:marTop w:val="0"/>
      <w:marBottom w:val="0"/>
      <w:divBdr>
        <w:top w:val="none" w:sz="0" w:space="0" w:color="auto"/>
        <w:left w:val="none" w:sz="0" w:space="0" w:color="auto"/>
        <w:bottom w:val="none" w:sz="0" w:space="0" w:color="auto"/>
        <w:right w:val="none" w:sz="0" w:space="0" w:color="auto"/>
      </w:divBdr>
    </w:div>
    <w:div w:id="448473262">
      <w:bodyDiv w:val="1"/>
      <w:marLeft w:val="0"/>
      <w:marRight w:val="0"/>
      <w:marTop w:val="0"/>
      <w:marBottom w:val="0"/>
      <w:divBdr>
        <w:top w:val="none" w:sz="0" w:space="0" w:color="auto"/>
        <w:left w:val="none" w:sz="0" w:space="0" w:color="auto"/>
        <w:bottom w:val="none" w:sz="0" w:space="0" w:color="auto"/>
        <w:right w:val="none" w:sz="0" w:space="0" w:color="auto"/>
      </w:divBdr>
    </w:div>
    <w:div w:id="449593527">
      <w:bodyDiv w:val="1"/>
      <w:marLeft w:val="0"/>
      <w:marRight w:val="0"/>
      <w:marTop w:val="0"/>
      <w:marBottom w:val="0"/>
      <w:divBdr>
        <w:top w:val="none" w:sz="0" w:space="0" w:color="auto"/>
        <w:left w:val="none" w:sz="0" w:space="0" w:color="auto"/>
        <w:bottom w:val="none" w:sz="0" w:space="0" w:color="auto"/>
        <w:right w:val="none" w:sz="0" w:space="0" w:color="auto"/>
      </w:divBdr>
    </w:div>
    <w:div w:id="450907136">
      <w:bodyDiv w:val="1"/>
      <w:marLeft w:val="0"/>
      <w:marRight w:val="0"/>
      <w:marTop w:val="0"/>
      <w:marBottom w:val="0"/>
      <w:divBdr>
        <w:top w:val="none" w:sz="0" w:space="0" w:color="auto"/>
        <w:left w:val="none" w:sz="0" w:space="0" w:color="auto"/>
        <w:bottom w:val="none" w:sz="0" w:space="0" w:color="auto"/>
        <w:right w:val="none" w:sz="0" w:space="0" w:color="auto"/>
      </w:divBdr>
    </w:div>
    <w:div w:id="451628738">
      <w:bodyDiv w:val="1"/>
      <w:marLeft w:val="0"/>
      <w:marRight w:val="0"/>
      <w:marTop w:val="0"/>
      <w:marBottom w:val="0"/>
      <w:divBdr>
        <w:top w:val="none" w:sz="0" w:space="0" w:color="auto"/>
        <w:left w:val="none" w:sz="0" w:space="0" w:color="auto"/>
        <w:bottom w:val="none" w:sz="0" w:space="0" w:color="auto"/>
        <w:right w:val="none" w:sz="0" w:space="0" w:color="auto"/>
      </w:divBdr>
    </w:div>
    <w:div w:id="451829399">
      <w:bodyDiv w:val="1"/>
      <w:marLeft w:val="0"/>
      <w:marRight w:val="0"/>
      <w:marTop w:val="0"/>
      <w:marBottom w:val="0"/>
      <w:divBdr>
        <w:top w:val="none" w:sz="0" w:space="0" w:color="auto"/>
        <w:left w:val="none" w:sz="0" w:space="0" w:color="auto"/>
        <w:bottom w:val="none" w:sz="0" w:space="0" w:color="auto"/>
        <w:right w:val="none" w:sz="0" w:space="0" w:color="auto"/>
      </w:divBdr>
    </w:div>
    <w:div w:id="456290649">
      <w:bodyDiv w:val="1"/>
      <w:marLeft w:val="0"/>
      <w:marRight w:val="0"/>
      <w:marTop w:val="0"/>
      <w:marBottom w:val="0"/>
      <w:divBdr>
        <w:top w:val="none" w:sz="0" w:space="0" w:color="auto"/>
        <w:left w:val="none" w:sz="0" w:space="0" w:color="auto"/>
        <w:bottom w:val="none" w:sz="0" w:space="0" w:color="auto"/>
        <w:right w:val="none" w:sz="0" w:space="0" w:color="auto"/>
      </w:divBdr>
    </w:div>
    <w:div w:id="462232382">
      <w:bodyDiv w:val="1"/>
      <w:marLeft w:val="0"/>
      <w:marRight w:val="0"/>
      <w:marTop w:val="0"/>
      <w:marBottom w:val="0"/>
      <w:divBdr>
        <w:top w:val="none" w:sz="0" w:space="0" w:color="auto"/>
        <w:left w:val="none" w:sz="0" w:space="0" w:color="auto"/>
        <w:bottom w:val="none" w:sz="0" w:space="0" w:color="auto"/>
        <w:right w:val="none" w:sz="0" w:space="0" w:color="auto"/>
      </w:divBdr>
    </w:div>
    <w:div w:id="462775528">
      <w:bodyDiv w:val="1"/>
      <w:marLeft w:val="0"/>
      <w:marRight w:val="0"/>
      <w:marTop w:val="0"/>
      <w:marBottom w:val="0"/>
      <w:divBdr>
        <w:top w:val="none" w:sz="0" w:space="0" w:color="auto"/>
        <w:left w:val="none" w:sz="0" w:space="0" w:color="auto"/>
        <w:bottom w:val="none" w:sz="0" w:space="0" w:color="auto"/>
        <w:right w:val="none" w:sz="0" w:space="0" w:color="auto"/>
      </w:divBdr>
    </w:div>
    <w:div w:id="464660504">
      <w:bodyDiv w:val="1"/>
      <w:marLeft w:val="0"/>
      <w:marRight w:val="0"/>
      <w:marTop w:val="0"/>
      <w:marBottom w:val="0"/>
      <w:divBdr>
        <w:top w:val="none" w:sz="0" w:space="0" w:color="auto"/>
        <w:left w:val="none" w:sz="0" w:space="0" w:color="auto"/>
        <w:bottom w:val="none" w:sz="0" w:space="0" w:color="auto"/>
        <w:right w:val="none" w:sz="0" w:space="0" w:color="auto"/>
      </w:divBdr>
    </w:div>
    <w:div w:id="465054488">
      <w:bodyDiv w:val="1"/>
      <w:marLeft w:val="0"/>
      <w:marRight w:val="0"/>
      <w:marTop w:val="0"/>
      <w:marBottom w:val="0"/>
      <w:divBdr>
        <w:top w:val="none" w:sz="0" w:space="0" w:color="auto"/>
        <w:left w:val="none" w:sz="0" w:space="0" w:color="auto"/>
        <w:bottom w:val="none" w:sz="0" w:space="0" w:color="auto"/>
        <w:right w:val="none" w:sz="0" w:space="0" w:color="auto"/>
      </w:divBdr>
    </w:div>
    <w:div w:id="466164384">
      <w:bodyDiv w:val="1"/>
      <w:marLeft w:val="0"/>
      <w:marRight w:val="0"/>
      <w:marTop w:val="0"/>
      <w:marBottom w:val="0"/>
      <w:divBdr>
        <w:top w:val="none" w:sz="0" w:space="0" w:color="auto"/>
        <w:left w:val="none" w:sz="0" w:space="0" w:color="auto"/>
        <w:bottom w:val="none" w:sz="0" w:space="0" w:color="auto"/>
        <w:right w:val="none" w:sz="0" w:space="0" w:color="auto"/>
      </w:divBdr>
    </w:div>
    <w:div w:id="466507079">
      <w:bodyDiv w:val="1"/>
      <w:marLeft w:val="0"/>
      <w:marRight w:val="0"/>
      <w:marTop w:val="0"/>
      <w:marBottom w:val="0"/>
      <w:divBdr>
        <w:top w:val="none" w:sz="0" w:space="0" w:color="auto"/>
        <w:left w:val="none" w:sz="0" w:space="0" w:color="auto"/>
        <w:bottom w:val="none" w:sz="0" w:space="0" w:color="auto"/>
        <w:right w:val="none" w:sz="0" w:space="0" w:color="auto"/>
      </w:divBdr>
    </w:div>
    <w:div w:id="467238822">
      <w:bodyDiv w:val="1"/>
      <w:marLeft w:val="0"/>
      <w:marRight w:val="0"/>
      <w:marTop w:val="0"/>
      <w:marBottom w:val="0"/>
      <w:divBdr>
        <w:top w:val="none" w:sz="0" w:space="0" w:color="auto"/>
        <w:left w:val="none" w:sz="0" w:space="0" w:color="auto"/>
        <w:bottom w:val="none" w:sz="0" w:space="0" w:color="auto"/>
        <w:right w:val="none" w:sz="0" w:space="0" w:color="auto"/>
      </w:divBdr>
    </w:div>
    <w:div w:id="471170293">
      <w:bodyDiv w:val="1"/>
      <w:marLeft w:val="0"/>
      <w:marRight w:val="0"/>
      <w:marTop w:val="0"/>
      <w:marBottom w:val="0"/>
      <w:divBdr>
        <w:top w:val="none" w:sz="0" w:space="0" w:color="auto"/>
        <w:left w:val="none" w:sz="0" w:space="0" w:color="auto"/>
        <w:bottom w:val="none" w:sz="0" w:space="0" w:color="auto"/>
        <w:right w:val="none" w:sz="0" w:space="0" w:color="auto"/>
      </w:divBdr>
    </w:div>
    <w:div w:id="481625201">
      <w:bodyDiv w:val="1"/>
      <w:marLeft w:val="0"/>
      <w:marRight w:val="0"/>
      <w:marTop w:val="0"/>
      <w:marBottom w:val="0"/>
      <w:divBdr>
        <w:top w:val="none" w:sz="0" w:space="0" w:color="auto"/>
        <w:left w:val="none" w:sz="0" w:space="0" w:color="auto"/>
        <w:bottom w:val="none" w:sz="0" w:space="0" w:color="auto"/>
        <w:right w:val="none" w:sz="0" w:space="0" w:color="auto"/>
      </w:divBdr>
    </w:div>
    <w:div w:id="482158497">
      <w:bodyDiv w:val="1"/>
      <w:marLeft w:val="0"/>
      <w:marRight w:val="0"/>
      <w:marTop w:val="0"/>
      <w:marBottom w:val="0"/>
      <w:divBdr>
        <w:top w:val="none" w:sz="0" w:space="0" w:color="auto"/>
        <w:left w:val="none" w:sz="0" w:space="0" w:color="auto"/>
        <w:bottom w:val="none" w:sz="0" w:space="0" w:color="auto"/>
        <w:right w:val="none" w:sz="0" w:space="0" w:color="auto"/>
      </w:divBdr>
    </w:div>
    <w:div w:id="483548239">
      <w:bodyDiv w:val="1"/>
      <w:marLeft w:val="0"/>
      <w:marRight w:val="0"/>
      <w:marTop w:val="0"/>
      <w:marBottom w:val="0"/>
      <w:divBdr>
        <w:top w:val="none" w:sz="0" w:space="0" w:color="auto"/>
        <w:left w:val="none" w:sz="0" w:space="0" w:color="auto"/>
        <w:bottom w:val="none" w:sz="0" w:space="0" w:color="auto"/>
        <w:right w:val="none" w:sz="0" w:space="0" w:color="auto"/>
      </w:divBdr>
    </w:div>
    <w:div w:id="491025147">
      <w:bodyDiv w:val="1"/>
      <w:marLeft w:val="0"/>
      <w:marRight w:val="0"/>
      <w:marTop w:val="0"/>
      <w:marBottom w:val="0"/>
      <w:divBdr>
        <w:top w:val="none" w:sz="0" w:space="0" w:color="auto"/>
        <w:left w:val="none" w:sz="0" w:space="0" w:color="auto"/>
        <w:bottom w:val="none" w:sz="0" w:space="0" w:color="auto"/>
        <w:right w:val="none" w:sz="0" w:space="0" w:color="auto"/>
      </w:divBdr>
    </w:div>
    <w:div w:id="492257605">
      <w:bodyDiv w:val="1"/>
      <w:marLeft w:val="0"/>
      <w:marRight w:val="0"/>
      <w:marTop w:val="0"/>
      <w:marBottom w:val="0"/>
      <w:divBdr>
        <w:top w:val="none" w:sz="0" w:space="0" w:color="auto"/>
        <w:left w:val="none" w:sz="0" w:space="0" w:color="auto"/>
        <w:bottom w:val="none" w:sz="0" w:space="0" w:color="auto"/>
        <w:right w:val="none" w:sz="0" w:space="0" w:color="auto"/>
      </w:divBdr>
    </w:div>
    <w:div w:id="494145370">
      <w:bodyDiv w:val="1"/>
      <w:marLeft w:val="0"/>
      <w:marRight w:val="0"/>
      <w:marTop w:val="0"/>
      <w:marBottom w:val="0"/>
      <w:divBdr>
        <w:top w:val="none" w:sz="0" w:space="0" w:color="auto"/>
        <w:left w:val="none" w:sz="0" w:space="0" w:color="auto"/>
        <w:bottom w:val="none" w:sz="0" w:space="0" w:color="auto"/>
        <w:right w:val="none" w:sz="0" w:space="0" w:color="auto"/>
      </w:divBdr>
    </w:div>
    <w:div w:id="494535887">
      <w:bodyDiv w:val="1"/>
      <w:marLeft w:val="0"/>
      <w:marRight w:val="0"/>
      <w:marTop w:val="0"/>
      <w:marBottom w:val="0"/>
      <w:divBdr>
        <w:top w:val="none" w:sz="0" w:space="0" w:color="auto"/>
        <w:left w:val="none" w:sz="0" w:space="0" w:color="auto"/>
        <w:bottom w:val="none" w:sz="0" w:space="0" w:color="auto"/>
        <w:right w:val="none" w:sz="0" w:space="0" w:color="auto"/>
      </w:divBdr>
    </w:div>
    <w:div w:id="494758858">
      <w:bodyDiv w:val="1"/>
      <w:marLeft w:val="0"/>
      <w:marRight w:val="0"/>
      <w:marTop w:val="0"/>
      <w:marBottom w:val="0"/>
      <w:divBdr>
        <w:top w:val="none" w:sz="0" w:space="0" w:color="auto"/>
        <w:left w:val="none" w:sz="0" w:space="0" w:color="auto"/>
        <w:bottom w:val="none" w:sz="0" w:space="0" w:color="auto"/>
        <w:right w:val="none" w:sz="0" w:space="0" w:color="auto"/>
      </w:divBdr>
    </w:div>
    <w:div w:id="494804483">
      <w:bodyDiv w:val="1"/>
      <w:marLeft w:val="0"/>
      <w:marRight w:val="0"/>
      <w:marTop w:val="0"/>
      <w:marBottom w:val="0"/>
      <w:divBdr>
        <w:top w:val="none" w:sz="0" w:space="0" w:color="auto"/>
        <w:left w:val="none" w:sz="0" w:space="0" w:color="auto"/>
        <w:bottom w:val="none" w:sz="0" w:space="0" w:color="auto"/>
        <w:right w:val="none" w:sz="0" w:space="0" w:color="auto"/>
      </w:divBdr>
    </w:div>
    <w:div w:id="495804610">
      <w:bodyDiv w:val="1"/>
      <w:marLeft w:val="0"/>
      <w:marRight w:val="0"/>
      <w:marTop w:val="0"/>
      <w:marBottom w:val="0"/>
      <w:divBdr>
        <w:top w:val="none" w:sz="0" w:space="0" w:color="auto"/>
        <w:left w:val="none" w:sz="0" w:space="0" w:color="auto"/>
        <w:bottom w:val="none" w:sz="0" w:space="0" w:color="auto"/>
        <w:right w:val="none" w:sz="0" w:space="0" w:color="auto"/>
      </w:divBdr>
    </w:div>
    <w:div w:id="498157696">
      <w:bodyDiv w:val="1"/>
      <w:marLeft w:val="0"/>
      <w:marRight w:val="0"/>
      <w:marTop w:val="0"/>
      <w:marBottom w:val="0"/>
      <w:divBdr>
        <w:top w:val="none" w:sz="0" w:space="0" w:color="auto"/>
        <w:left w:val="none" w:sz="0" w:space="0" w:color="auto"/>
        <w:bottom w:val="none" w:sz="0" w:space="0" w:color="auto"/>
        <w:right w:val="none" w:sz="0" w:space="0" w:color="auto"/>
      </w:divBdr>
    </w:div>
    <w:div w:id="498275985">
      <w:bodyDiv w:val="1"/>
      <w:marLeft w:val="0"/>
      <w:marRight w:val="0"/>
      <w:marTop w:val="0"/>
      <w:marBottom w:val="0"/>
      <w:divBdr>
        <w:top w:val="none" w:sz="0" w:space="0" w:color="auto"/>
        <w:left w:val="none" w:sz="0" w:space="0" w:color="auto"/>
        <w:bottom w:val="none" w:sz="0" w:space="0" w:color="auto"/>
        <w:right w:val="none" w:sz="0" w:space="0" w:color="auto"/>
      </w:divBdr>
    </w:div>
    <w:div w:id="500200010">
      <w:bodyDiv w:val="1"/>
      <w:marLeft w:val="0"/>
      <w:marRight w:val="0"/>
      <w:marTop w:val="0"/>
      <w:marBottom w:val="0"/>
      <w:divBdr>
        <w:top w:val="none" w:sz="0" w:space="0" w:color="auto"/>
        <w:left w:val="none" w:sz="0" w:space="0" w:color="auto"/>
        <w:bottom w:val="none" w:sz="0" w:space="0" w:color="auto"/>
        <w:right w:val="none" w:sz="0" w:space="0" w:color="auto"/>
      </w:divBdr>
    </w:div>
    <w:div w:id="501773182">
      <w:bodyDiv w:val="1"/>
      <w:marLeft w:val="0"/>
      <w:marRight w:val="0"/>
      <w:marTop w:val="0"/>
      <w:marBottom w:val="0"/>
      <w:divBdr>
        <w:top w:val="none" w:sz="0" w:space="0" w:color="auto"/>
        <w:left w:val="none" w:sz="0" w:space="0" w:color="auto"/>
        <w:bottom w:val="none" w:sz="0" w:space="0" w:color="auto"/>
        <w:right w:val="none" w:sz="0" w:space="0" w:color="auto"/>
      </w:divBdr>
    </w:div>
    <w:div w:id="509685967">
      <w:bodyDiv w:val="1"/>
      <w:marLeft w:val="0"/>
      <w:marRight w:val="0"/>
      <w:marTop w:val="0"/>
      <w:marBottom w:val="0"/>
      <w:divBdr>
        <w:top w:val="none" w:sz="0" w:space="0" w:color="auto"/>
        <w:left w:val="none" w:sz="0" w:space="0" w:color="auto"/>
        <w:bottom w:val="none" w:sz="0" w:space="0" w:color="auto"/>
        <w:right w:val="none" w:sz="0" w:space="0" w:color="auto"/>
      </w:divBdr>
    </w:div>
    <w:div w:id="514609860">
      <w:bodyDiv w:val="1"/>
      <w:marLeft w:val="0"/>
      <w:marRight w:val="0"/>
      <w:marTop w:val="0"/>
      <w:marBottom w:val="0"/>
      <w:divBdr>
        <w:top w:val="none" w:sz="0" w:space="0" w:color="auto"/>
        <w:left w:val="none" w:sz="0" w:space="0" w:color="auto"/>
        <w:bottom w:val="none" w:sz="0" w:space="0" w:color="auto"/>
        <w:right w:val="none" w:sz="0" w:space="0" w:color="auto"/>
      </w:divBdr>
    </w:div>
    <w:div w:id="517543355">
      <w:bodyDiv w:val="1"/>
      <w:marLeft w:val="0"/>
      <w:marRight w:val="0"/>
      <w:marTop w:val="0"/>
      <w:marBottom w:val="0"/>
      <w:divBdr>
        <w:top w:val="none" w:sz="0" w:space="0" w:color="auto"/>
        <w:left w:val="none" w:sz="0" w:space="0" w:color="auto"/>
        <w:bottom w:val="none" w:sz="0" w:space="0" w:color="auto"/>
        <w:right w:val="none" w:sz="0" w:space="0" w:color="auto"/>
      </w:divBdr>
    </w:div>
    <w:div w:id="519009257">
      <w:bodyDiv w:val="1"/>
      <w:marLeft w:val="0"/>
      <w:marRight w:val="0"/>
      <w:marTop w:val="0"/>
      <w:marBottom w:val="0"/>
      <w:divBdr>
        <w:top w:val="none" w:sz="0" w:space="0" w:color="auto"/>
        <w:left w:val="none" w:sz="0" w:space="0" w:color="auto"/>
        <w:bottom w:val="none" w:sz="0" w:space="0" w:color="auto"/>
        <w:right w:val="none" w:sz="0" w:space="0" w:color="auto"/>
      </w:divBdr>
    </w:div>
    <w:div w:id="523252573">
      <w:bodyDiv w:val="1"/>
      <w:marLeft w:val="0"/>
      <w:marRight w:val="0"/>
      <w:marTop w:val="0"/>
      <w:marBottom w:val="0"/>
      <w:divBdr>
        <w:top w:val="none" w:sz="0" w:space="0" w:color="auto"/>
        <w:left w:val="none" w:sz="0" w:space="0" w:color="auto"/>
        <w:bottom w:val="none" w:sz="0" w:space="0" w:color="auto"/>
        <w:right w:val="none" w:sz="0" w:space="0" w:color="auto"/>
      </w:divBdr>
    </w:div>
    <w:div w:id="524251878">
      <w:bodyDiv w:val="1"/>
      <w:marLeft w:val="0"/>
      <w:marRight w:val="0"/>
      <w:marTop w:val="0"/>
      <w:marBottom w:val="0"/>
      <w:divBdr>
        <w:top w:val="none" w:sz="0" w:space="0" w:color="auto"/>
        <w:left w:val="none" w:sz="0" w:space="0" w:color="auto"/>
        <w:bottom w:val="none" w:sz="0" w:space="0" w:color="auto"/>
        <w:right w:val="none" w:sz="0" w:space="0" w:color="auto"/>
      </w:divBdr>
    </w:div>
    <w:div w:id="524709444">
      <w:bodyDiv w:val="1"/>
      <w:marLeft w:val="0"/>
      <w:marRight w:val="0"/>
      <w:marTop w:val="0"/>
      <w:marBottom w:val="0"/>
      <w:divBdr>
        <w:top w:val="none" w:sz="0" w:space="0" w:color="auto"/>
        <w:left w:val="none" w:sz="0" w:space="0" w:color="auto"/>
        <w:bottom w:val="none" w:sz="0" w:space="0" w:color="auto"/>
        <w:right w:val="none" w:sz="0" w:space="0" w:color="auto"/>
      </w:divBdr>
    </w:div>
    <w:div w:id="528568983">
      <w:bodyDiv w:val="1"/>
      <w:marLeft w:val="0"/>
      <w:marRight w:val="0"/>
      <w:marTop w:val="0"/>
      <w:marBottom w:val="0"/>
      <w:divBdr>
        <w:top w:val="none" w:sz="0" w:space="0" w:color="auto"/>
        <w:left w:val="none" w:sz="0" w:space="0" w:color="auto"/>
        <w:bottom w:val="none" w:sz="0" w:space="0" w:color="auto"/>
        <w:right w:val="none" w:sz="0" w:space="0" w:color="auto"/>
      </w:divBdr>
    </w:div>
    <w:div w:id="533156373">
      <w:bodyDiv w:val="1"/>
      <w:marLeft w:val="0"/>
      <w:marRight w:val="0"/>
      <w:marTop w:val="0"/>
      <w:marBottom w:val="0"/>
      <w:divBdr>
        <w:top w:val="none" w:sz="0" w:space="0" w:color="auto"/>
        <w:left w:val="none" w:sz="0" w:space="0" w:color="auto"/>
        <w:bottom w:val="none" w:sz="0" w:space="0" w:color="auto"/>
        <w:right w:val="none" w:sz="0" w:space="0" w:color="auto"/>
      </w:divBdr>
    </w:div>
    <w:div w:id="533274541">
      <w:bodyDiv w:val="1"/>
      <w:marLeft w:val="0"/>
      <w:marRight w:val="0"/>
      <w:marTop w:val="0"/>
      <w:marBottom w:val="0"/>
      <w:divBdr>
        <w:top w:val="none" w:sz="0" w:space="0" w:color="auto"/>
        <w:left w:val="none" w:sz="0" w:space="0" w:color="auto"/>
        <w:bottom w:val="none" w:sz="0" w:space="0" w:color="auto"/>
        <w:right w:val="none" w:sz="0" w:space="0" w:color="auto"/>
      </w:divBdr>
    </w:div>
    <w:div w:id="540943659">
      <w:bodyDiv w:val="1"/>
      <w:marLeft w:val="0"/>
      <w:marRight w:val="0"/>
      <w:marTop w:val="0"/>
      <w:marBottom w:val="0"/>
      <w:divBdr>
        <w:top w:val="none" w:sz="0" w:space="0" w:color="auto"/>
        <w:left w:val="none" w:sz="0" w:space="0" w:color="auto"/>
        <w:bottom w:val="none" w:sz="0" w:space="0" w:color="auto"/>
        <w:right w:val="none" w:sz="0" w:space="0" w:color="auto"/>
      </w:divBdr>
    </w:div>
    <w:div w:id="544832840">
      <w:bodyDiv w:val="1"/>
      <w:marLeft w:val="0"/>
      <w:marRight w:val="0"/>
      <w:marTop w:val="0"/>
      <w:marBottom w:val="0"/>
      <w:divBdr>
        <w:top w:val="none" w:sz="0" w:space="0" w:color="auto"/>
        <w:left w:val="none" w:sz="0" w:space="0" w:color="auto"/>
        <w:bottom w:val="none" w:sz="0" w:space="0" w:color="auto"/>
        <w:right w:val="none" w:sz="0" w:space="0" w:color="auto"/>
      </w:divBdr>
    </w:div>
    <w:div w:id="552892408">
      <w:bodyDiv w:val="1"/>
      <w:marLeft w:val="0"/>
      <w:marRight w:val="0"/>
      <w:marTop w:val="0"/>
      <w:marBottom w:val="0"/>
      <w:divBdr>
        <w:top w:val="none" w:sz="0" w:space="0" w:color="auto"/>
        <w:left w:val="none" w:sz="0" w:space="0" w:color="auto"/>
        <w:bottom w:val="none" w:sz="0" w:space="0" w:color="auto"/>
        <w:right w:val="none" w:sz="0" w:space="0" w:color="auto"/>
      </w:divBdr>
    </w:div>
    <w:div w:id="556818338">
      <w:bodyDiv w:val="1"/>
      <w:marLeft w:val="0"/>
      <w:marRight w:val="0"/>
      <w:marTop w:val="0"/>
      <w:marBottom w:val="0"/>
      <w:divBdr>
        <w:top w:val="none" w:sz="0" w:space="0" w:color="auto"/>
        <w:left w:val="none" w:sz="0" w:space="0" w:color="auto"/>
        <w:bottom w:val="none" w:sz="0" w:space="0" w:color="auto"/>
        <w:right w:val="none" w:sz="0" w:space="0" w:color="auto"/>
      </w:divBdr>
    </w:div>
    <w:div w:id="556942607">
      <w:bodyDiv w:val="1"/>
      <w:marLeft w:val="0"/>
      <w:marRight w:val="0"/>
      <w:marTop w:val="0"/>
      <w:marBottom w:val="0"/>
      <w:divBdr>
        <w:top w:val="none" w:sz="0" w:space="0" w:color="auto"/>
        <w:left w:val="none" w:sz="0" w:space="0" w:color="auto"/>
        <w:bottom w:val="none" w:sz="0" w:space="0" w:color="auto"/>
        <w:right w:val="none" w:sz="0" w:space="0" w:color="auto"/>
      </w:divBdr>
    </w:div>
    <w:div w:id="558178150">
      <w:bodyDiv w:val="1"/>
      <w:marLeft w:val="0"/>
      <w:marRight w:val="0"/>
      <w:marTop w:val="0"/>
      <w:marBottom w:val="0"/>
      <w:divBdr>
        <w:top w:val="none" w:sz="0" w:space="0" w:color="auto"/>
        <w:left w:val="none" w:sz="0" w:space="0" w:color="auto"/>
        <w:bottom w:val="none" w:sz="0" w:space="0" w:color="auto"/>
        <w:right w:val="none" w:sz="0" w:space="0" w:color="auto"/>
      </w:divBdr>
    </w:div>
    <w:div w:id="561408922">
      <w:bodyDiv w:val="1"/>
      <w:marLeft w:val="0"/>
      <w:marRight w:val="0"/>
      <w:marTop w:val="0"/>
      <w:marBottom w:val="0"/>
      <w:divBdr>
        <w:top w:val="none" w:sz="0" w:space="0" w:color="auto"/>
        <w:left w:val="none" w:sz="0" w:space="0" w:color="auto"/>
        <w:bottom w:val="none" w:sz="0" w:space="0" w:color="auto"/>
        <w:right w:val="none" w:sz="0" w:space="0" w:color="auto"/>
      </w:divBdr>
    </w:div>
    <w:div w:id="562377493">
      <w:bodyDiv w:val="1"/>
      <w:marLeft w:val="0"/>
      <w:marRight w:val="0"/>
      <w:marTop w:val="0"/>
      <w:marBottom w:val="0"/>
      <w:divBdr>
        <w:top w:val="none" w:sz="0" w:space="0" w:color="auto"/>
        <w:left w:val="none" w:sz="0" w:space="0" w:color="auto"/>
        <w:bottom w:val="none" w:sz="0" w:space="0" w:color="auto"/>
        <w:right w:val="none" w:sz="0" w:space="0" w:color="auto"/>
      </w:divBdr>
    </w:div>
    <w:div w:id="563293095">
      <w:bodyDiv w:val="1"/>
      <w:marLeft w:val="0"/>
      <w:marRight w:val="0"/>
      <w:marTop w:val="0"/>
      <w:marBottom w:val="0"/>
      <w:divBdr>
        <w:top w:val="none" w:sz="0" w:space="0" w:color="auto"/>
        <w:left w:val="none" w:sz="0" w:space="0" w:color="auto"/>
        <w:bottom w:val="none" w:sz="0" w:space="0" w:color="auto"/>
        <w:right w:val="none" w:sz="0" w:space="0" w:color="auto"/>
      </w:divBdr>
    </w:div>
    <w:div w:id="566108634">
      <w:bodyDiv w:val="1"/>
      <w:marLeft w:val="0"/>
      <w:marRight w:val="0"/>
      <w:marTop w:val="0"/>
      <w:marBottom w:val="0"/>
      <w:divBdr>
        <w:top w:val="none" w:sz="0" w:space="0" w:color="auto"/>
        <w:left w:val="none" w:sz="0" w:space="0" w:color="auto"/>
        <w:bottom w:val="none" w:sz="0" w:space="0" w:color="auto"/>
        <w:right w:val="none" w:sz="0" w:space="0" w:color="auto"/>
      </w:divBdr>
    </w:div>
    <w:div w:id="567617320">
      <w:bodyDiv w:val="1"/>
      <w:marLeft w:val="0"/>
      <w:marRight w:val="0"/>
      <w:marTop w:val="0"/>
      <w:marBottom w:val="0"/>
      <w:divBdr>
        <w:top w:val="none" w:sz="0" w:space="0" w:color="auto"/>
        <w:left w:val="none" w:sz="0" w:space="0" w:color="auto"/>
        <w:bottom w:val="none" w:sz="0" w:space="0" w:color="auto"/>
        <w:right w:val="none" w:sz="0" w:space="0" w:color="auto"/>
      </w:divBdr>
    </w:div>
    <w:div w:id="567886072">
      <w:bodyDiv w:val="1"/>
      <w:marLeft w:val="0"/>
      <w:marRight w:val="0"/>
      <w:marTop w:val="0"/>
      <w:marBottom w:val="0"/>
      <w:divBdr>
        <w:top w:val="none" w:sz="0" w:space="0" w:color="auto"/>
        <w:left w:val="none" w:sz="0" w:space="0" w:color="auto"/>
        <w:bottom w:val="none" w:sz="0" w:space="0" w:color="auto"/>
        <w:right w:val="none" w:sz="0" w:space="0" w:color="auto"/>
      </w:divBdr>
    </w:div>
    <w:div w:id="568878855">
      <w:bodyDiv w:val="1"/>
      <w:marLeft w:val="0"/>
      <w:marRight w:val="0"/>
      <w:marTop w:val="0"/>
      <w:marBottom w:val="0"/>
      <w:divBdr>
        <w:top w:val="none" w:sz="0" w:space="0" w:color="auto"/>
        <w:left w:val="none" w:sz="0" w:space="0" w:color="auto"/>
        <w:bottom w:val="none" w:sz="0" w:space="0" w:color="auto"/>
        <w:right w:val="none" w:sz="0" w:space="0" w:color="auto"/>
      </w:divBdr>
    </w:div>
    <w:div w:id="569582479">
      <w:bodyDiv w:val="1"/>
      <w:marLeft w:val="0"/>
      <w:marRight w:val="0"/>
      <w:marTop w:val="0"/>
      <w:marBottom w:val="0"/>
      <w:divBdr>
        <w:top w:val="none" w:sz="0" w:space="0" w:color="auto"/>
        <w:left w:val="none" w:sz="0" w:space="0" w:color="auto"/>
        <w:bottom w:val="none" w:sz="0" w:space="0" w:color="auto"/>
        <w:right w:val="none" w:sz="0" w:space="0" w:color="auto"/>
      </w:divBdr>
      <w:divsChild>
        <w:div w:id="592709783">
          <w:marLeft w:val="0"/>
          <w:marRight w:val="0"/>
          <w:marTop w:val="0"/>
          <w:marBottom w:val="0"/>
          <w:divBdr>
            <w:top w:val="none" w:sz="0" w:space="0" w:color="auto"/>
            <w:left w:val="none" w:sz="0" w:space="0" w:color="auto"/>
            <w:bottom w:val="none" w:sz="0" w:space="0" w:color="auto"/>
            <w:right w:val="none" w:sz="0" w:space="0" w:color="auto"/>
          </w:divBdr>
          <w:divsChild>
            <w:div w:id="1608346295">
              <w:marLeft w:val="0"/>
              <w:marRight w:val="0"/>
              <w:marTop w:val="0"/>
              <w:marBottom w:val="0"/>
              <w:divBdr>
                <w:top w:val="none" w:sz="0" w:space="0" w:color="auto"/>
                <w:left w:val="none" w:sz="0" w:space="0" w:color="auto"/>
                <w:bottom w:val="none" w:sz="0" w:space="0" w:color="auto"/>
                <w:right w:val="none" w:sz="0" w:space="0" w:color="auto"/>
              </w:divBdr>
              <w:divsChild>
                <w:div w:id="1884100859">
                  <w:marLeft w:val="0"/>
                  <w:marRight w:val="0"/>
                  <w:marTop w:val="0"/>
                  <w:marBottom w:val="0"/>
                  <w:divBdr>
                    <w:top w:val="none" w:sz="0" w:space="0" w:color="auto"/>
                    <w:left w:val="none" w:sz="0" w:space="0" w:color="auto"/>
                    <w:bottom w:val="none" w:sz="0" w:space="0" w:color="auto"/>
                    <w:right w:val="none" w:sz="0" w:space="0" w:color="auto"/>
                  </w:divBdr>
                  <w:divsChild>
                    <w:div w:id="41642638">
                      <w:marLeft w:val="0"/>
                      <w:marRight w:val="0"/>
                      <w:marTop w:val="0"/>
                      <w:marBottom w:val="0"/>
                      <w:divBdr>
                        <w:top w:val="none" w:sz="0" w:space="0" w:color="auto"/>
                        <w:left w:val="none" w:sz="0" w:space="0" w:color="auto"/>
                        <w:bottom w:val="none" w:sz="0" w:space="0" w:color="auto"/>
                        <w:right w:val="none" w:sz="0" w:space="0" w:color="auto"/>
                      </w:divBdr>
                      <w:divsChild>
                        <w:div w:id="1807814850">
                          <w:marLeft w:val="0"/>
                          <w:marRight w:val="0"/>
                          <w:marTop w:val="0"/>
                          <w:marBottom w:val="0"/>
                          <w:divBdr>
                            <w:top w:val="none" w:sz="0" w:space="0" w:color="auto"/>
                            <w:left w:val="none" w:sz="0" w:space="0" w:color="auto"/>
                            <w:bottom w:val="none" w:sz="0" w:space="0" w:color="auto"/>
                            <w:right w:val="none" w:sz="0" w:space="0" w:color="auto"/>
                          </w:divBdr>
                          <w:divsChild>
                            <w:div w:id="63571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935411">
      <w:bodyDiv w:val="1"/>
      <w:marLeft w:val="0"/>
      <w:marRight w:val="0"/>
      <w:marTop w:val="0"/>
      <w:marBottom w:val="0"/>
      <w:divBdr>
        <w:top w:val="none" w:sz="0" w:space="0" w:color="auto"/>
        <w:left w:val="none" w:sz="0" w:space="0" w:color="auto"/>
        <w:bottom w:val="none" w:sz="0" w:space="0" w:color="auto"/>
        <w:right w:val="none" w:sz="0" w:space="0" w:color="auto"/>
      </w:divBdr>
    </w:div>
    <w:div w:id="571964481">
      <w:bodyDiv w:val="1"/>
      <w:marLeft w:val="0"/>
      <w:marRight w:val="0"/>
      <w:marTop w:val="0"/>
      <w:marBottom w:val="0"/>
      <w:divBdr>
        <w:top w:val="none" w:sz="0" w:space="0" w:color="auto"/>
        <w:left w:val="none" w:sz="0" w:space="0" w:color="auto"/>
        <w:bottom w:val="none" w:sz="0" w:space="0" w:color="auto"/>
        <w:right w:val="none" w:sz="0" w:space="0" w:color="auto"/>
      </w:divBdr>
    </w:div>
    <w:div w:id="572856095">
      <w:bodyDiv w:val="1"/>
      <w:marLeft w:val="0"/>
      <w:marRight w:val="0"/>
      <w:marTop w:val="0"/>
      <w:marBottom w:val="0"/>
      <w:divBdr>
        <w:top w:val="none" w:sz="0" w:space="0" w:color="auto"/>
        <w:left w:val="none" w:sz="0" w:space="0" w:color="auto"/>
        <w:bottom w:val="none" w:sz="0" w:space="0" w:color="auto"/>
        <w:right w:val="none" w:sz="0" w:space="0" w:color="auto"/>
      </w:divBdr>
    </w:div>
    <w:div w:id="575670873">
      <w:bodyDiv w:val="1"/>
      <w:marLeft w:val="0"/>
      <w:marRight w:val="0"/>
      <w:marTop w:val="0"/>
      <w:marBottom w:val="0"/>
      <w:divBdr>
        <w:top w:val="none" w:sz="0" w:space="0" w:color="auto"/>
        <w:left w:val="none" w:sz="0" w:space="0" w:color="auto"/>
        <w:bottom w:val="none" w:sz="0" w:space="0" w:color="auto"/>
        <w:right w:val="none" w:sz="0" w:space="0" w:color="auto"/>
      </w:divBdr>
    </w:div>
    <w:div w:id="581137631">
      <w:bodyDiv w:val="1"/>
      <w:marLeft w:val="0"/>
      <w:marRight w:val="0"/>
      <w:marTop w:val="0"/>
      <w:marBottom w:val="0"/>
      <w:divBdr>
        <w:top w:val="none" w:sz="0" w:space="0" w:color="auto"/>
        <w:left w:val="none" w:sz="0" w:space="0" w:color="auto"/>
        <w:bottom w:val="none" w:sz="0" w:space="0" w:color="auto"/>
        <w:right w:val="none" w:sz="0" w:space="0" w:color="auto"/>
      </w:divBdr>
    </w:div>
    <w:div w:id="583301066">
      <w:bodyDiv w:val="1"/>
      <w:marLeft w:val="0"/>
      <w:marRight w:val="0"/>
      <w:marTop w:val="0"/>
      <w:marBottom w:val="0"/>
      <w:divBdr>
        <w:top w:val="none" w:sz="0" w:space="0" w:color="auto"/>
        <w:left w:val="none" w:sz="0" w:space="0" w:color="auto"/>
        <w:bottom w:val="none" w:sz="0" w:space="0" w:color="auto"/>
        <w:right w:val="none" w:sz="0" w:space="0" w:color="auto"/>
      </w:divBdr>
    </w:div>
    <w:div w:id="586765386">
      <w:bodyDiv w:val="1"/>
      <w:marLeft w:val="0"/>
      <w:marRight w:val="0"/>
      <w:marTop w:val="0"/>
      <w:marBottom w:val="0"/>
      <w:divBdr>
        <w:top w:val="none" w:sz="0" w:space="0" w:color="auto"/>
        <w:left w:val="none" w:sz="0" w:space="0" w:color="auto"/>
        <w:bottom w:val="none" w:sz="0" w:space="0" w:color="auto"/>
        <w:right w:val="none" w:sz="0" w:space="0" w:color="auto"/>
      </w:divBdr>
    </w:div>
    <w:div w:id="586813808">
      <w:bodyDiv w:val="1"/>
      <w:marLeft w:val="0"/>
      <w:marRight w:val="0"/>
      <w:marTop w:val="0"/>
      <w:marBottom w:val="0"/>
      <w:divBdr>
        <w:top w:val="none" w:sz="0" w:space="0" w:color="auto"/>
        <w:left w:val="none" w:sz="0" w:space="0" w:color="auto"/>
        <w:bottom w:val="none" w:sz="0" w:space="0" w:color="auto"/>
        <w:right w:val="none" w:sz="0" w:space="0" w:color="auto"/>
      </w:divBdr>
    </w:div>
    <w:div w:id="587808376">
      <w:bodyDiv w:val="1"/>
      <w:marLeft w:val="0"/>
      <w:marRight w:val="0"/>
      <w:marTop w:val="0"/>
      <w:marBottom w:val="0"/>
      <w:divBdr>
        <w:top w:val="none" w:sz="0" w:space="0" w:color="auto"/>
        <w:left w:val="none" w:sz="0" w:space="0" w:color="auto"/>
        <w:bottom w:val="none" w:sz="0" w:space="0" w:color="auto"/>
        <w:right w:val="none" w:sz="0" w:space="0" w:color="auto"/>
      </w:divBdr>
    </w:div>
    <w:div w:id="591282586">
      <w:bodyDiv w:val="1"/>
      <w:marLeft w:val="0"/>
      <w:marRight w:val="0"/>
      <w:marTop w:val="0"/>
      <w:marBottom w:val="0"/>
      <w:divBdr>
        <w:top w:val="none" w:sz="0" w:space="0" w:color="auto"/>
        <w:left w:val="none" w:sz="0" w:space="0" w:color="auto"/>
        <w:bottom w:val="none" w:sz="0" w:space="0" w:color="auto"/>
        <w:right w:val="none" w:sz="0" w:space="0" w:color="auto"/>
      </w:divBdr>
    </w:div>
    <w:div w:id="593513515">
      <w:bodyDiv w:val="1"/>
      <w:marLeft w:val="0"/>
      <w:marRight w:val="0"/>
      <w:marTop w:val="0"/>
      <w:marBottom w:val="0"/>
      <w:divBdr>
        <w:top w:val="none" w:sz="0" w:space="0" w:color="auto"/>
        <w:left w:val="none" w:sz="0" w:space="0" w:color="auto"/>
        <w:bottom w:val="none" w:sz="0" w:space="0" w:color="auto"/>
        <w:right w:val="none" w:sz="0" w:space="0" w:color="auto"/>
      </w:divBdr>
    </w:div>
    <w:div w:id="594673706">
      <w:bodyDiv w:val="1"/>
      <w:marLeft w:val="0"/>
      <w:marRight w:val="0"/>
      <w:marTop w:val="0"/>
      <w:marBottom w:val="0"/>
      <w:divBdr>
        <w:top w:val="none" w:sz="0" w:space="0" w:color="auto"/>
        <w:left w:val="none" w:sz="0" w:space="0" w:color="auto"/>
        <w:bottom w:val="none" w:sz="0" w:space="0" w:color="auto"/>
        <w:right w:val="none" w:sz="0" w:space="0" w:color="auto"/>
      </w:divBdr>
    </w:div>
    <w:div w:id="596712180">
      <w:bodyDiv w:val="1"/>
      <w:marLeft w:val="0"/>
      <w:marRight w:val="0"/>
      <w:marTop w:val="0"/>
      <w:marBottom w:val="0"/>
      <w:divBdr>
        <w:top w:val="none" w:sz="0" w:space="0" w:color="auto"/>
        <w:left w:val="none" w:sz="0" w:space="0" w:color="auto"/>
        <w:bottom w:val="none" w:sz="0" w:space="0" w:color="auto"/>
        <w:right w:val="none" w:sz="0" w:space="0" w:color="auto"/>
      </w:divBdr>
    </w:div>
    <w:div w:id="602962274">
      <w:bodyDiv w:val="1"/>
      <w:marLeft w:val="0"/>
      <w:marRight w:val="0"/>
      <w:marTop w:val="0"/>
      <w:marBottom w:val="0"/>
      <w:divBdr>
        <w:top w:val="none" w:sz="0" w:space="0" w:color="auto"/>
        <w:left w:val="none" w:sz="0" w:space="0" w:color="auto"/>
        <w:bottom w:val="none" w:sz="0" w:space="0" w:color="auto"/>
        <w:right w:val="none" w:sz="0" w:space="0" w:color="auto"/>
      </w:divBdr>
    </w:div>
    <w:div w:id="604658762">
      <w:bodyDiv w:val="1"/>
      <w:marLeft w:val="0"/>
      <w:marRight w:val="0"/>
      <w:marTop w:val="0"/>
      <w:marBottom w:val="0"/>
      <w:divBdr>
        <w:top w:val="none" w:sz="0" w:space="0" w:color="auto"/>
        <w:left w:val="none" w:sz="0" w:space="0" w:color="auto"/>
        <w:bottom w:val="none" w:sz="0" w:space="0" w:color="auto"/>
        <w:right w:val="none" w:sz="0" w:space="0" w:color="auto"/>
      </w:divBdr>
    </w:div>
    <w:div w:id="606616403">
      <w:bodyDiv w:val="1"/>
      <w:marLeft w:val="0"/>
      <w:marRight w:val="0"/>
      <w:marTop w:val="0"/>
      <w:marBottom w:val="0"/>
      <w:divBdr>
        <w:top w:val="none" w:sz="0" w:space="0" w:color="auto"/>
        <w:left w:val="none" w:sz="0" w:space="0" w:color="auto"/>
        <w:bottom w:val="none" w:sz="0" w:space="0" w:color="auto"/>
        <w:right w:val="none" w:sz="0" w:space="0" w:color="auto"/>
      </w:divBdr>
    </w:div>
    <w:div w:id="607084404">
      <w:bodyDiv w:val="1"/>
      <w:marLeft w:val="0"/>
      <w:marRight w:val="0"/>
      <w:marTop w:val="0"/>
      <w:marBottom w:val="0"/>
      <w:divBdr>
        <w:top w:val="none" w:sz="0" w:space="0" w:color="auto"/>
        <w:left w:val="none" w:sz="0" w:space="0" w:color="auto"/>
        <w:bottom w:val="none" w:sz="0" w:space="0" w:color="auto"/>
        <w:right w:val="none" w:sz="0" w:space="0" w:color="auto"/>
      </w:divBdr>
    </w:div>
    <w:div w:id="608776043">
      <w:bodyDiv w:val="1"/>
      <w:marLeft w:val="0"/>
      <w:marRight w:val="0"/>
      <w:marTop w:val="0"/>
      <w:marBottom w:val="0"/>
      <w:divBdr>
        <w:top w:val="none" w:sz="0" w:space="0" w:color="auto"/>
        <w:left w:val="none" w:sz="0" w:space="0" w:color="auto"/>
        <w:bottom w:val="none" w:sz="0" w:space="0" w:color="auto"/>
        <w:right w:val="none" w:sz="0" w:space="0" w:color="auto"/>
      </w:divBdr>
    </w:div>
    <w:div w:id="612178705">
      <w:bodyDiv w:val="1"/>
      <w:marLeft w:val="0"/>
      <w:marRight w:val="0"/>
      <w:marTop w:val="0"/>
      <w:marBottom w:val="0"/>
      <w:divBdr>
        <w:top w:val="none" w:sz="0" w:space="0" w:color="auto"/>
        <w:left w:val="none" w:sz="0" w:space="0" w:color="auto"/>
        <w:bottom w:val="none" w:sz="0" w:space="0" w:color="auto"/>
        <w:right w:val="none" w:sz="0" w:space="0" w:color="auto"/>
      </w:divBdr>
    </w:div>
    <w:div w:id="613295300">
      <w:bodyDiv w:val="1"/>
      <w:marLeft w:val="0"/>
      <w:marRight w:val="0"/>
      <w:marTop w:val="0"/>
      <w:marBottom w:val="0"/>
      <w:divBdr>
        <w:top w:val="none" w:sz="0" w:space="0" w:color="auto"/>
        <w:left w:val="none" w:sz="0" w:space="0" w:color="auto"/>
        <w:bottom w:val="none" w:sz="0" w:space="0" w:color="auto"/>
        <w:right w:val="none" w:sz="0" w:space="0" w:color="auto"/>
      </w:divBdr>
    </w:div>
    <w:div w:id="616331025">
      <w:bodyDiv w:val="1"/>
      <w:marLeft w:val="0"/>
      <w:marRight w:val="0"/>
      <w:marTop w:val="0"/>
      <w:marBottom w:val="0"/>
      <w:divBdr>
        <w:top w:val="none" w:sz="0" w:space="0" w:color="auto"/>
        <w:left w:val="none" w:sz="0" w:space="0" w:color="auto"/>
        <w:bottom w:val="none" w:sz="0" w:space="0" w:color="auto"/>
        <w:right w:val="none" w:sz="0" w:space="0" w:color="auto"/>
      </w:divBdr>
    </w:div>
    <w:div w:id="622925145">
      <w:bodyDiv w:val="1"/>
      <w:marLeft w:val="0"/>
      <w:marRight w:val="0"/>
      <w:marTop w:val="0"/>
      <w:marBottom w:val="0"/>
      <w:divBdr>
        <w:top w:val="none" w:sz="0" w:space="0" w:color="auto"/>
        <w:left w:val="none" w:sz="0" w:space="0" w:color="auto"/>
        <w:bottom w:val="none" w:sz="0" w:space="0" w:color="auto"/>
        <w:right w:val="none" w:sz="0" w:space="0" w:color="auto"/>
      </w:divBdr>
    </w:div>
    <w:div w:id="627006211">
      <w:bodyDiv w:val="1"/>
      <w:marLeft w:val="0"/>
      <w:marRight w:val="0"/>
      <w:marTop w:val="0"/>
      <w:marBottom w:val="0"/>
      <w:divBdr>
        <w:top w:val="none" w:sz="0" w:space="0" w:color="auto"/>
        <w:left w:val="none" w:sz="0" w:space="0" w:color="auto"/>
        <w:bottom w:val="none" w:sz="0" w:space="0" w:color="auto"/>
        <w:right w:val="none" w:sz="0" w:space="0" w:color="auto"/>
      </w:divBdr>
    </w:div>
    <w:div w:id="631129807">
      <w:bodyDiv w:val="1"/>
      <w:marLeft w:val="0"/>
      <w:marRight w:val="0"/>
      <w:marTop w:val="0"/>
      <w:marBottom w:val="0"/>
      <w:divBdr>
        <w:top w:val="none" w:sz="0" w:space="0" w:color="auto"/>
        <w:left w:val="none" w:sz="0" w:space="0" w:color="auto"/>
        <w:bottom w:val="none" w:sz="0" w:space="0" w:color="auto"/>
        <w:right w:val="none" w:sz="0" w:space="0" w:color="auto"/>
      </w:divBdr>
    </w:div>
    <w:div w:id="631523669">
      <w:bodyDiv w:val="1"/>
      <w:marLeft w:val="0"/>
      <w:marRight w:val="0"/>
      <w:marTop w:val="0"/>
      <w:marBottom w:val="0"/>
      <w:divBdr>
        <w:top w:val="none" w:sz="0" w:space="0" w:color="auto"/>
        <w:left w:val="none" w:sz="0" w:space="0" w:color="auto"/>
        <w:bottom w:val="none" w:sz="0" w:space="0" w:color="auto"/>
        <w:right w:val="none" w:sz="0" w:space="0" w:color="auto"/>
      </w:divBdr>
    </w:div>
    <w:div w:id="642002646">
      <w:bodyDiv w:val="1"/>
      <w:marLeft w:val="0"/>
      <w:marRight w:val="0"/>
      <w:marTop w:val="0"/>
      <w:marBottom w:val="0"/>
      <w:divBdr>
        <w:top w:val="none" w:sz="0" w:space="0" w:color="auto"/>
        <w:left w:val="none" w:sz="0" w:space="0" w:color="auto"/>
        <w:bottom w:val="none" w:sz="0" w:space="0" w:color="auto"/>
        <w:right w:val="none" w:sz="0" w:space="0" w:color="auto"/>
      </w:divBdr>
    </w:div>
    <w:div w:id="651636236">
      <w:bodyDiv w:val="1"/>
      <w:marLeft w:val="0"/>
      <w:marRight w:val="0"/>
      <w:marTop w:val="0"/>
      <w:marBottom w:val="0"/>
      <w:divBdr>
        <w:top w:val="none" w:sz="0" w:space="0" w:color="auto"/>
        <w:left w:val="none" w:sz="0" w:space="0" w:color="auto"/>
        <w:bottom w:val="none" w:sz="0" w:space="0" w:color="auto"/>
        <w:right w:val="none" w:sz="0" w:space="0" w:color="auto"/>
      </w:divBdr>
    </w:div>
    <w:div w:id="652833910">
      <w:bodyDiv w:val="1"/>
      <w:marLeft w:val="0"/>
      <w:marRight w:val="0"/>
      <w:marTop w:val="0"/>
      <w:marBottom w:val="0"/>
      <w:divBdr>
        <w:top w:val="none" w:sz="0" w:space="0" w:color="auto"/>
        <w:left w:val="none" w:sz="0" w:space="0" w:color="auto"/>
        <w:bottom w:val="none" w:sz="0" w:space="0" w:color="auto"/>
        <w:right w:val="none" w:sz="0" w:space="0" w:color="auto"/>
      </w:divBdr>
    </w:div>
    <w:div w:id="653070364">
      <w:bodyDiv w:val="1"/>
      <w:marLeft w:val="0"/>
      <w:marRight w:val="0"/>
      <w:marTop w:val="0"/>
      <w:marBottom w:val="0"/>
      <w:divBdr>
        <w:top w:val="none" w:sz="0" w:space="0" w:color="auto"/>
        <w:left w:val="none" w:sz="0" w:space="0" w:color="auto"/>
        <w:bottom w:val="none" w:sz="0" w:space="0" w:color="auto"/>
        <w:right w:val="none" w:sz="0" w:space="0" w:color="auto"/>
      </w:divBdr>
    </w:div>
    <w:div w:id="654182068">
      <w:bodyDiv w:val="1"/>
      <w:marLeft w:val="0"/>
      <w:marRight w:val="0"/>
      <w:marTop w:val="0"/>
      <w:marBottom w:val="0"/>
      <w:divBdr>
        <w:top w:val="none" w:sz="0" w:space="0" w:color="auto"/>
        <w:left w:val="none" w:sz="0" w:space="0" w:color="auto"/>
        <w:bottom w:val="none" w:sz="0" w:space="0" w:color="auto"/>
        <w:right w:val="none" w:sz="0" w:space="0" w:color="auto"/>
      </w:divBdr>
    </w:div>
    <w:div w:id="654915931">
      <w:bodyDiv w:val="1"/>
      <w:marLeft w:val="0"/>
      <w:marRight w:val="0"/>
      <w:marTop w:val="0"/>
      <w:marBottom w:val="0"/>
      <w:divBdr>
        <w:top w:val="none" w:sz="0" w:space="0" w:color="auto"/>
        <w:left w:val="none" w:sz="0" w:space="0" w:color="auto"/>
        <w:bottom w:val="none" w:sz="0" w:space="0" w:color="auto"/>
        <w:right w:val="none" w:sz="0" w:space="0" w:color="auto"/>
      </w:divBdr>
    </w:div>
    <w:div w:id="658382146">
      <w:bodyDiv w:val="1"/>
      <w:marLeft w:val="0"/>
      <w:marRight w:val="0"/>
      <w:marTop w:val="0"/>
      <w:marBottom w:val="0"/>
      <w:divBdr>
        <w:top w:val="none" w:sz="0" w:space="0" w:color="auto"/>
        <w:left w:val="none" w:sz="0" w:space="0" w:color="auto"/>
        <w:bottom w:val="none" w:sz="0" w:space="0" w:color="auto"/>
        <w:right w:val="none" w:sz="0" w:space="0" w:color="auto"/>
      </w:divBdr>
    </w:div>
    <w:div w:id="658387240">
      <w:bodyDiv w:val="1"/>
      <w:marLeft w:val="0"/>
      <w:marRight w:val="0"/>
      <w:marTop w:val="0"/>
      <w:marBottom w:val="0"/>
      <w:divBdr>
        <w:top w:val="none" w:sz="0" w:space="0" w:color="auto"/>
        <w:left w:val="none" w:sz="0" w:space="0" w:color="auto"/>
        <w:bottom w:val="none" w:sz="0" w:space="0" w:color="auto"/>
        <w:right w:val="none" w:sz="0" w:space="0" w:color="auto"/>
      </w:divBdr>
    </w:div>
    <w:div w:id="663315484">
      <w:bodyDiv w:val="1"/>
      <w:marLeft w:val="0"/>
      <w:marRight w:val="0"/>
      <w:marTop w:val="0"/>
      <w:marBottom w:val="0"/>
      <w:divBdr>
        <w:top w:val="none" w:sz="0" w:space="0" w:color="auto"/>
        <w:left w:val="none" w:sz="0" w:space="0" w:color="auto"/>
        <w:bottom w:val="none" w:sz="0" w:space="0" w:color="auto"/>
        <w:right w:val="none" w:sz="0" w:space="0" w:color="auto"/>
      </w:divBdr>
    </w:div>
    <w:div w:id="666174381">
      <w:bodyDiv w:val="1"/>
      <w:marLeft w:val="0"/>
      <w:marRight w:val="0"/>
      <w:marTop w:val="0"/>
      <w:marBottom w:val="0"/>
      <w:divBdr>
        <w:top w:val="none" w:sz="0" w:space="0" w:color="auto"/>
        <w:left w:val="none" w:sz="0" w:space="0" w:color="auto"/>
        <w:bottom w:val="none" w:sz="0" w:space="0" w:color="auto"/>
        <w:right w:val="none" w:sz="0" w:space="0" w:color="auto"/>
      </w:divBdr>
    </w:div>
    <w:div w:id="668020049">
      <w:bodyDiv w:val="1"/>
      <w:marLeft w:val="0"/>
      <w:marRight w:val="0"/>
      <w:marTop w:val="0"/>
      <w:marBottom w:val="0"/>
      <w:divBdr>
        <w:top w:val="none" w:sz="0" w:space="0" w:color="auto"/>
        <w:left w:val="none" w:sz="0" w:space="0" w:color="auto"/>
        <w:bottom w:val="none" w:sz="0" w:space="0" w:color="auto"/>
        <w:right w:val="none" w:sz="0" w:space="0" w:color="auto"/>
      </w:divBdr>
    </w:div>
    <w:div w:id="668751602">
      <w:bodyDiv w:val="1"/>
      <w:marLeft w:val="0"/>
      <w:marRight w:val="0"/>
      <w:marTop w:val="0"/>
      <w:marBottom w:val="0"/>
      <w:divBdr>
        <w:top w:val="none" w:sz="0" w:space="0" w:color="auto"/>
        <w:left w:val="none" w:sz="0" w:space="0" w:color="auto"/>
        <w:bottom w:val="none" w:sz="0" w:space="0" w:color="auto"/>
        <w:right w:val="none" w:sz="0" w:space="0" w:color="auto"/>
      </w:divBdr>
    </w:div>
    <w:div w:id="670109545">
      <w:bodyDiv w:val="1"/>
      <w:marLeft w:val="0"/>
      <w:marRight w:val="0"/>
      <w:marTop w:val="0"/>
      <w:marBottom w:val="0"/>
      <w:divBdr>
        <w:top w:val="none" w:sz="0" w:space="0" w:color="auto"/>
        <w:left w:val="none" w:sz="0" w:space="0" w:color="auto"/>
        <w:bottom w:val="none" w:sz="0" w:space="0" w:color="auto"/>
        <w:right w:val="none" w:sz="0" w:space="0" w:color="auto"/>
      </w:divBdr>
    </w:div>
    <w:div w:id="673799227">
      <w:bodyDiv w:val="1"/>
      <w:marLeft w:val="0"/>
      <w:marRight w:val="0"/>
      <w:marTop w:val="0"/>
      <w:marBottom w:val="0"/>
      <w:divBdr>
        <w:top w:val="none" w:sz="0" w:space="0" w:color="auto"/>
        <w:left w:val="none" w:sz="0" w:space="0" w:color="auto"/>
        <w:bottom w:val="none" w:sz="0" w:space="0" w:color="auto"/>
        <w:right w:val="none" w:sz="0" w:space="0" w:color="auto"/>
      </w:divBdr>
    </w:div>
    <w:div w:id="677390977">
      <w:bodyDiv w:val="1"/>
      <w:marLeft w:val="0"/>
      <w:marRight w:val="0"/>
      <w:marTop w:val="0"/>
      <w:marBottom w:val="0"/>
      <w:divBdr>
        <w:top w:val="none" w:sz="0" w:space="0" w:color="auto"/>
        <w:left w:val="none" w:sz="0" w:space="0" w:color="auto"/>
        <w:bottom w:val="none" w:sz="0" w:space="0" w:color="auto"/>
        <w:right w:val="none" w:sz="0" w:space="0" w:color="auto"/>
      </w:divBdr>
    </w:div>
    <w:div w:id="683940029">
      <w:bodyDiv w:val="1"/>
      <w:marLeft w:val="0"/>
      <w:marRight w:val="0"/>
      <w:marTop w:val="0"/>
      <w:marBottom w:val="0"/>
      <w:divBdr>
        <w:top w:val="none" w:sz="0" w:space="0" w:color="auto"/>
        <w:left w:val="none" w:sz="0" w:space="0" w:color="auto"/>
        <w:bottom w:val="none" w:sz="0" w:space="0" w:color="auto"/>
        <w:right w:val="none" w:sz="0" w:space="0" w:color="auto"/>
      </w:divBdr>
    </w:div>
    <w:div w:id="696390094">
      <w:bodyDiv w:val="1"/>
      <w:marLeft w:val="0"/>
      <w:marRight w:val="0"/>
      <w:marTop w:val="0"/>
      <w:marBottom w:val="0"/>
      <w:divBdr>
        <w:top w:val="none" w:sz="0" w:space="0" w:color="auto"/>
        <w:left w:val="none" w:sz="0" w:space="0" w:color="auto"/>
        <w:bottom w:val="none" w:sz="0" w:space="0" w:color="auto"/>
        <w:right w:val="none" w:sz="0" w:space="0" w:color="auto"/>
      </w:divBdr>
    </w:div>
    <w:div w:id="700013184">
      <w:bodyDiv w:val="1"/>
      <w:marLeft w:val="0"/>
      <w:marRight w:val="0"/>
      <w:marTop w:val="0"/>
      <w:marBottom w:val="0"/>
      <w:divBdr>
        <w:top w:val="none" w:sz="0" w:space="0" w:color="auto"/>
        <w:left w:val="none" w:sz="0" w:space="0" w:color="auto"/>
        <w:bottom w:val="none" w:sz="0" w:space="0" w:color="auto"/>
        <w:right w:val="none" w:sz="0" w:space="0" w:color="auto"/>
      </w:divBdr>
    </w:div>
    <w:div w:id="710347752">
      <w:bodyDiv w:val="1"/>
      <w:marLeft w:val="0"/>
      <w:marRight w:val="0"/>
      <w:marTop w:val="0"/>
      <w:marBottom w:val="0"/>
      <w:divBdr>
        <w:top w:val="none" w:sz="0" w:space="0" w:color="auto"/>
        <w:left w:val="none" w:sz="0" w:space="0" w:color="auto"/>
        <w:bottom w:val="none" w:sz="0" w:space="0" w:color="auto"/>
        <w:right w:val="none" w:sz="0" w:space="0" w:color="auto"/>
      </w:divBdr>
    </w:div>
    <w:div w:id="720909656">
      <w:bodyDiv w:val="1"/>
      <w:marLeft w:val="0"/>
      <w:marRight w:val="0"/>
      <w:marTop w:val="0"/>
      <w:marBottom w:val="0"/>
      <w:divBdr>
        <w:top w:val="none" w:sz="0" w:space="0" w:color="auto"/>
        <w:left w:val="none" w:sz="0" w:space="0" w:color="auto"/>
        <w:bottom w:val="none" w:sz="0" w:space="0" w:color="auto"/>
        <w:right w:val="none" w:sz="0" w:space="0" w:color="auto"/>
      </w:divBdr>
    </w:div>
    <w:div w:id="725177408">
      <w:bodyDiv w:val="1"/>
      <w:marLeft w:val="0"/>
      <w:marRight w:val="0"/>
      <w:marTop w:val="0"/>
      <w:marBottom w:val="0"/>
      <w:divBdr>
        <w:top w:val="none" w:sz="0" w:space="0" w:color="auto"/>
        <w:left w:val="none" w:sz="0" w:space="0" w:color="auto"/>
        <w:bottom w:val="none" w:sz="0" w:space="0" w:color="auto"/>
        <w:right w:val="none" w:sz="0" w:space="0" w:color="auto"/>
      </w:divBdr>
    </w:div>
    <w:div w:id="728309771">
      <w:bodyDiv w:val="1"/>
      <w:marLeft w:val="0"/>
      <w:marRight w:val="0"/>
      <w:marTop w:val="0"/>
      <w:marBottom w:val="0"/>
      <w:divBdr>
        <w:top w:val="none" w:sz="0" w:space="0" w:color="auto"/>
        <w:left w:val="none" w:sz="0" w:space="0" w:color="auto"/>
        <w:bottom w:val="none" w:sz="0" w:space="0" w:color="auto"/>
        <w:right w:val="none" w:sz="0" w:space="0" w:color="auto"/>
      </w:divBdr>
    </w:div>
    <w:div w:id="734738536">
      <w:bodyDiv w:val="1"/>
      <w:marLeft w:val="0"/>
      <w:marRight w:val="0"/>
      <w:marTop w:val="0"/>
      <w:marBottom w:val="0"/>
      <w:divBdr>
        <w:top w:val="none" w:sz="0" w:space="0" w:color="auto"/>
        <w:left w:val="none" w:sz="0" w:space="0" w:color="auto"/>
        <w:bottom w:val="none" w:sz="0" w:space="0" w:color="auto"/>
        <w:right w:val="none" w:sz="0" w:space="0" w:color="auto"/>
      </w:divBdr>
    </w:div>
    <w:div w:id="738358669">
      <w:bodyDiv w:val="1"/>
      <w:marLeft w:val="0"/>
      <w:marRight w:val="0"/>
      <w:marTop w:val="0"/>
      <w:marBottom w:val="0"/>
      <w:divBdr>
        <w:top w:val="none" w:sz="0" w:space="0" w:color="auto"/>
        <w:left w:val="none" w:sz="0" w:space="0" w:color="auto"/>
        <w:bottom w:val="none" w:sz="0" w:space="0" w:color="auto"/>
        <w:right w:val="none" w:sz="0" w:space="0" w:color="auto"/>
      </w:divBdr>
    </w:div>
    <w:div w:id="740106975">
      <w:bodyDiv w:val="1"/>
      <w:marLeft w:val="0"/>
      <w:marRight w:val="0"/>
      <w:marTop w:val="0"/>
      <w:marBottom w:val="0"/>
      <w:divBdr>
        <w:top w:val="none" w:sz="0" w:space="0" w:color="auto"/>
        <w:left w:val="none" w:sz="0" w:space="0" w:color="auto"/>
        <w:bottom w:val="none" w:sz="0" w:space="0" w:color="auto"/>
        <w:right w:val="none" w:sz="0" w:space="0" w:color="auto"/>
      </w:divBdr>
    </w:div>
    <w:div w:id="742020582">
      <w:bodyDiv w:val="1"/>
      <w:marLeft w:val="0"/>
      <w:marRight w:val="0"/>
      <w:marTop w:val="0"/>
      <w:marBottom w:val="0"/>
      <w:divBdr>
        <w:top w:val="none" w:sz="0" w:space="0" w:color="auto"/>
        <w:left w:val="none" w:sz="0" w:space="0" w:color="auto"/>
        <w:bottom w:val="none" w:sz="0" w:space="0" w:color="auto"/>
        <w:right w:val="none" w:sz="0" w:space="0" w:color="auto"/>
      </w:divBdr>
    </w:div>
    <w:div w:id="742408567">
      <w:bodyDiv w:val="1"/>
      <w:marLeft w:val="0"/>
      <w:marRight w:val="0"/>
      <w:marTop w:val="0"/>
      <w:marBottom w:val="0"/>
      <w:divBdr>
        <w:top w:val="none" w:sz="0" w:space="0" w:color="auto"/>
        <w:left w:val="none" w:sz="0" w:space="0" w:color="auto"/>
        <w:bottom w:val="none" w:sz="0" w:space="0" w:color="auto"/>
        <w:right w:val="none" w:sz="0" w:space="0" w:color="auto"/>
      </w:divBdr>
    </w:div>
    <w:div w:id="743990553">
      <w:bodyDiv w:val="1"/>
      <w:marLeft w:val="0"/>
      <w:marRight w:val="0"/>
      <w:marTop w:val="0"/>
      <w:marBottom w:val="0"/>
      <w:divBdr>
        <w:top w:val="none" w:sz="0" w:space="0" w:color="auto"/>
        <w:left w:val="none" w:sz="0" w:space="0" w:color="auto"/>
        <w:bottom w:val="none" w:sz="0" w:space="0" w:color="auto"/>
        <w:right w:val="none" w:sz="0" w:space="0" w:color="auto"/>
      </w:divBdr>
    </w:div>
    <w:div w:id="747776156">
      <w:bodyDiv w:val="1"/>
      <w:marLeft w:val="0"/>
      <w:marRight w:val="0"/>
      <w:marTop w:val="0"/>
      <w:marBottom w:val="0"/>
      <w:divBdr>
        <w:top w:val="none" w:sz="0" w:space="0" w:color="auto"/>
        <w:left w:val="none" w:sz="0" w:space="0" w:color="auto"/>
        <w:bottom w:val="none" w:sz="0" w:space="0" w:color="auto"/>
        <w:right w:val="none" w:sz="0" w:space="0" w:color="auto"/>
      </w:divBdr>
    </w:div>
    <w:div w:id="751853274">
      <w:bodyDiv w:val="1"/>
      <w:marLeft w:val="0"/>
      <w:marRight w:val="0"/>
      <w:marTop w:val="0"/>
      <w:marBottom w:val="0"/>
      <w:divBdr>
        <w:top w:val="none" w:sz="0" w:space="0" w:color="auto"/>
        <w:left w:val="none" w:sz="0" w:space="0" w:color="auto"/>
        <w:bottom w:val="none" w:sz="0" w:space="0" w:color="auto"/>
        <w:right w:val="none" w:sz="0" w:space="0" w:color="auto"/>
      </w:divBdr>
    </w:div>
    <w:div w:id="753088498">
      <w:bodyDiv w:val="1"/>
      <w:marLeft w:val="0"/>
      <w:marRight w:val="0"/>
      <w:marTop w:val="0"/>
      <w:marBottom w:val="0"/>
      <w:divBdr>
        <w:top w:val="none" w:sz="0" w:space="0" w:color="auto"/>
        <w:left w:val="none" w:sz="0" w:space="0" w:color="auto"/>
        <w:bottom w:val="none" w:sz="0" w:space="0" w:color="auto"/>
        <w:right w:val="none" w:sz="0" w:space="0" w:color="auto"/>
      </w:divBdr>
    </w:div>
    <w:div w:id="756554926">
      <w:bodyDiv w:val="1"/>
      <w:marLeft w:val="0"/>
      <w:marRight w:val="0"/>
      <w:marTop w:val="0"/>
      <w:marBottom w:val="0"/>
      <w:divBdr>
        <w:top w:val="none" w:sz="0" w:space="0" w:color="auto"/>
        <w:left w:val="none" w:sz="0" w:space="0" w:color="auto"/>
        <w:bottom w:val="none" w:sz="0" w:space="0" w:color="auto"/>
        <w:right w:val="none" w:sz="0" w:space="0" w:color="auto"/>
      </w:divBdr>
    </w:div>
    <w:div w:id="760612179">
      <w:bodyDiv w:val="1"/>
      <w:marLeft w:val="0"/>
      <w:marRight w:val="0"/>
      <w:marTop w:val="0"/>
      <w:marBottom w:val="0"/>
      <w:divBdr>
        <w:top w:val="none" w:sz="0" w:space="0" w:color="auto"/>
        <w:left w:val="none" w:sz="0" w:space="0" w:color="auto"/>
        <w:bottom w:val="none" w:sz="0" w:space="0" w:color="auto"/>
        <w:right w:val="none" w:sz="0" w:space="0" w:color="auto"/>
      </w:divBdr>
    </w:div>
    <w:div w:id="767507781">
      <w:bodyDiv w:val="1"/>
      <w:marLeft w:val="0"/>
      <w:marRight w:val="0"/>
      <w:marTop w:val="0"/>
      <w:marBottom w:val="0"/>
      <w:divBdr>
        <w:top w:val="none" w:sz="0" w:space="0" w:color="auto"/>
        <w:left w:val="none" w:sz="0" w:space="0" w:color="auto"/>
        <w:bottom w:val="none" w:sz="0" w:space="0" w:color="auto"/>
        <w:right w:val="none" w:sz="0" w:space="0" w:color="auto"/>
      </w:divBdr>
    </w:div>
    <w:div w:id="768887034">
      <w:bodyDiv w:val="1"/>
      <w:marLeft w:val="0"/>
      <w:marRight w:val="0"/>
      <w:marTop w:val="0"/>
      <w:marBottom w:val="0"/>
      <w:divBdr>
        <w:top w:val="none" w:sz="0" w:space="0" w:color="auto"/>
        <w:left w:val="none" w:sz="0" w:space="0" w:color="auto"/>
        <w:bottom w:val="none" w:sz="0" w:space="0" w:color="auto"/>
        <w:right w:val="none" w:sz="0" w:space="0" w:color="auto"/>
      </w:divBdr>
    </w:div>
    <w:div w:id="771509741">
      <w:bodyDiv w:val="1"/>
      <w:marLeft w:val="0"/>
      <w:marRight w:val="0"/>
      <w:marTop w:val="0"/>
      <w:marBottom w:val="0"/>
      <w:divBdr>
        <w:top w:val="none" w:sz="0" w:space="0" w:color="auto"/>
        <w:left w:val="none" w:sz="0" w:space="0" w:color="auto"/>
        <w:bottom w:val="none" w:sz="0" w:space="0" w:color="auto"/>
        <w:right w:val="none" w:sz="0" w:space="0" w:color="auto"/>
      </w:divBdr>
    </w:div>
    <w:div w:id="773600354">
      <w:bodyDiv w:val="1"/>
      <w:marLeft w:val="0"/>
      <w:marRight w:val="0"/>
      <w:marTop w:val="0"/>
      <w:marBottom w:val="0"/>
      <w:divBdr>
        <w:top w:val="none" w:sz="0" w:space="0" w:color="auto"/>
        <w:left w:val="none" w:sz="0" w:space="0" w:color="auto"/>
        <w:bottom w:val="none" w:sz="0" w:space="0" w:color="auto"/>
        <w:right w:val="none" w:sz="0" w:space="0" w:color="auto"/>
      </w:divBdr>
    </w:div>
    <w:div w:id="774599711">
      <w:bodyDiv w:val="1"/>
      <w:marLeft w:val="0"/>
      <w:marRight w:val="0"/>
      <w:marTop w:val="0"/>
      <w:marBottom w:val="0"/>
      <w:divBdr>
        <w:top w:val="none" w:sz="0" w:space="0" w:color="auto"/>
        <w:left w:val="none" w:sz="0" w:space="0" w:color="auto"/>
        <w:bottom w:val="none" w:sz="0" w:space="0" w:color="auto"/>
        <w:right w:val="none" w:sz="0" w:space="0" w:color="auto"/>
      </w:divBdr>
    </w:div>
    <w:div w:id="775367802">
      <w:bodyDiv w:val="1"/>
      <w:marLeft w:val="0"/>
      <w:marRight w:val="0"/>
      <w:marTop w:val="0"/>
      <w:marBottom w:val="0"/>
      <w:divBdr>
        <w:top w:val="none" w:sz="0" w:space="0" w:color="auto"/>
        <w:left w:val="none" w:sz="0" w:space="0" w:color="auto"/>
        <w:bottom w:val="none" w:sz="0" w:space="0" w:color="auto"/>
        <w:right w:val="none" w:sz="0" w:space="0" w:color="auto"/>
      </w:divBdr>
    </w:div>
    <w:div w:id="775561674">
      <w:bodyDiv w:val="1"/>
      <w:marLeft w:val="0"/>
      <w:marRight w:val="0"/>
      <w:marTop w:val="0"/>
      <w:marBottom w:val="0"/>
      <w:divBdr>
        <w:top w:val="none" w:sz="0" w:space="0" w:color="auto"/>
        <w:left w:val="none" w:sz="0" w:space="0" w:color="auto"/>
        <w:bottom w:val="none" w:sz="0" w:space="0" w:color="auto"/>
        <w:right w:val="none" w:sz="0" w:space="0" w:color="auto"/>
      </w:divBdr>
    </w:div>
    <w:div w:id="776675383">
      <w:bodyDiv w:val="1"/>
      <w:marLeft w:val="0"/>
      <w:marRight w:val="0"/>
      <w:marTop w:val="0"/>
      <w:marBottom w:val="0"/>
      <w:divBdr>
        <w:top w:val="none" w:sz="0" w:space="0" w:color="auto"/>
        <w:left w:val="none" w:sz="0" w:space="0" w:color="auto"/>
        <w:bottom w:val="none" w:sz="0" w:space="0" w:color="auto"/>
        <w:right w:val="none" w:sz="0" w:space="0" w:color="auto"/>
      </w:divBdr>
    </w:div>
    <w:div w:id="779111291">
      <w:bodyDiv w:val="1"/>
      <w:marLeft w:val="0"/>
      <w:marRight w:val="0"/>
      <w:marTop w:val="0"/>
      <w:marBottom w:val="0"/>
      <w:divBdr>
        <w:top w:val="none" w:sz="0" w:space="0" w:color="auto"/>
        <w:left w:val="none" w:sz="0" w:space="0" w:color="auto"/>
        <w:bottom w:val="none" w:sz="0" w:space="0" w:color="auto"/>
        <w:right w:val="none" w:sz="0" w:space="0" w:color="auto"/>
      </w:divBdr>
    </w:div>
    <w:div w:id="781266079">
      <w:bodyDiv w:val="1"/>
      <w:marLeft w:val="0"/>
      <w:marRight w:val="0"/>
      <w:marTop w:val="0"/>
      <w:marBottom w:val="0"/>
      <w:divBdr>
        <w:top w:val="none" w:sz="0" w:space="0" w:color="auto"/>
        <w:left w:val="none" w:sz="0" w:space="0" w:color="auto"/>
        <w:bottom w:val="none" w:sz="0" w:space="0" w:color="auto"/>
        <w:right w:val="none" w:sz="0" w:space="0" w:color="auto"/>
      </w:divBdr>
    </w:div>
    <w:div w:id="786047632">
      <w:bodyDiv w:val="1"/>
      <w:marLeft w:val="0"/>
      <w:marRight w:val="0"/>
      <w:marTop w:val="0"/>
      <w:marBottom w:val="0"/>
      <w:divBdr>
        <w:top w:val="none" w:sz="0" w:space="0" w:color="auto"/>
        <w:left w:val="none" w:sz="0" w:space="0" w:color="auto"/>
        <w:bottom w:val="none" w:sz="0" w:space="0" w:color="auto"/>
        <w:right w:val="none" w:sz="0" w:space="0" w:color="auto"/>
      </w:divBdr>
    </w:div>
    <w:div w:id="786781268">
      <w:bodyDiv w:val="1"/>
      <w:marLeft w:val="0"/>
      <w:marRight w:val="0"/>
      <w:marTop w:val="0"/>
      <w:marBottom w:val="0"/>
      <w:divBdr>
        <w:top w:val="none" w:sz="0" w:space="0" w:color="auto"/>
        <w:left w:val="none" w:sz="0" w:space="0" w:color="auto"/>
        <w:bottom w:val="none" w:sz="0" w:space="0" w:color="auto"/>
        <w:right w:val="none" w:sz="0" w:space="0" w:color="auto"/>
      </w:divBdr>
    </w:div>
    <w:div w:id="790712955">
      <w:bodyDiv w:val="1"/>
      <w:marLeft w:val="0"/>
      <w:marRight w:val="0"/>
      <w:marTop w:val="0"/>
      <w:marBottom w:val="0"/>
      <w:divBdr>
        <w:top w:val="none" w:sz="0" w:space="0" w:color="auto"/>
        <w:left w:val="none" w:sz="0" w:space="0" w:color="auto"/>
        <w:bottom w:val="none" w:sz="0" w:space="0" w:color="auto"/>
        <w:right w:val="none" w:sz="0" w:space="0" w:color="auto"/>
      </w:divBdr>
    </w:div>
    <w:div w:id="794060310">
      <w:bodyDiv w:val="1"/>
      <w:marLeft w:val="0"/>
      <w:marRight w:val="0"/>
      <w:marTop w:val="0"/>
      <w:marBottom w:val="0"/>
      <w:divBdr>
        <w:top w:val="none" w:sz="0" w:space="0" w:color="auto"/>
        <w:left w:val="none" w:sz="0" w:space="0" w:color="auto"/>
        <w:bottom w:val="none" w:sz="0" w:space="0" w:color="auto"/>
        <w:right w:val="none" w:sz="0" w:space="0" w:color="auto"/>
      </w:divBdr>
    </w:div>
    <w:div w:id="794565673">
      <w:bodyDiv w:val="1"/>
      <w:marLeft w:val="0"/>
      <w:marRight w:val="0"/>
      <w:marTop w:val="0"/>
      <w:marBottom w:val="0"/>
      <w:divBdr>
        <w:top w:val="none" w:sz="0" w:space="0" w:color="auto"/>
        <w:left w:val="none" w:sz="0" w:space="0" w:color="auto"/>
        <w:bottom w:val="none" w:sz="0" w:space="0" w:color="auto"/>
        <w:right w:val="none" w:sz="0" w:space="0" w:color="auto"/>
      </w:divBdr>
    </w:div>
    <w:div w:id="796684276">
      <w:bodyDiv w:val="1"/>
      <w:marLeft w:val="0"/>
      <w:marRight w:val="0"/>
      <w:marTop w:val="0"/>
      <w:marBottom w:val="0"/>
      <w:divBdr>
        <w:top w:val="none" w:sz="0" w:space="0" w:color="auto"/>
        <w:left w:val="none" w:sz="0" w:space="0" w:color="auto"/>
        <w:bottom w:val="none" w:sz="0" w:space="0" w:color="auto"/>
        <w:right w:val="none" w:sz="0" w:space="0" w:color="auto"/>
      </w:divBdr>
    </w:div>
    <w:div w:id="797532988">
      <w:bodyDiv w:val="1"/>
      <w:marLeft w:val="0"/>
      <w:marRight w:val="0"/>
      <w:marTop w:val="0"/>
      <w:marBottom w:val="0"/>
      <w:divBdr>
        <w:top w:val="none" w:sz="0" w:space="0" w:color="auto"/>
        <w:left w:val="none" w:sz="0" w:space="0" w:color="auto"/>
        <w:bottom w:val="none" w:sz="0" w:space="0" w:color="auto"/>
        <w:right w:val="none" w:sz="0" w:space="0" w:color="auto"/>
      </w:divBdr>
    </w:div>
    <w:div w:id="798575659">
      <w:bodyDiv w:val="1"/>
      <w:marLeft w:val="0"/>
      <w:marRight w:val="0"/>
      <w:marTop w:val="0"/>
      <w:marBottom w:val="0"/>
      <w:divBdr>
        <w:top w:val="none" w:sz="0" w:space="0" w:color="auto"/>
        <w:left w:val="none" w:sz="0" w:space="0" w:color="auto"/>
        <w:bottom w:val="none" w:sz="0" w:space="0" w:color="auto"/>
        <w:right w:val="none" w:sz="0" w:space="0" w:color="auto"/>
      </w:divBdr>
    </w:div>
    <w:div w:id="799228003">
      <w:bodyDiv w:val="1"/>
      <w:marLeft w:val="0"/>
      <w:marRight w:val="0"/>
      <w:marTop w:val="0"/>
      <w:marBottom w:val="0"/>
      <w:divBdr>
        <w:top w:val="none" w:sz="0" w:space="0" w:color="auto"/>
        <w:left w:val="none" w:sz="0" w:space="0" w:color="auto"/>
        <w:bottom w:val="none" w:sz="0" w:space="0" w:color="auto"/>
        <w:right w:val="none" w:sz="0" w:space="0" w:color="auto"/>
      </w:divBdr>
    </w:div>
    <w:div w:id="802964231">
      <w:bodyDiv w:val="1"/>
      <w:marLeft w:val="0"/>
      <w:marRight w:val="0"/>
      <w:marTop w:val="0"/>
      <w:marBottom w:val="0"/>
      <w:divBdr>
        <w:top w:val="none" w:sz="0" w:space="0" w:color="auto"/>
        <w:left w:val="none" w:sz="0" w:space="0" w:color="auto"/>
        <w:bottom w:val="none" w:sz="0" w:space="0" w:color="auto"/>
        <w:right w:val="none" w:sz="0" w:space="0" w:color="auto"/>
      </w:divBdr>
    </w:div>
    <w:div w:id="807624153">
      <w:bodyDiv w:val="1"/>
      <w:marLeft w:val="0"/>
      <w:marRight w:val="0"/>
      <w:marTop w:val="0"/>
      <w:marBottom w:val="0"/>
      <w:divBdr>
        <w:top w:val="none" w:sz="0" w:space="0" w:color="auto"/>
        <w:left w:val="none" w:sz="0" w:space="0" w:color="auto"/>
        <w:bottom w:val="none" w:sz="0" w:space="0" w:color="auto"/>
        <w:right w:val="none" w:sz="0" w:space="0" w:color="auto"/>
      </w:divBdr>
    </w:div>
    <w:div w:id="809131299">
      <w:bodyDiv w:val="1"/>
      <w:marLeft w:val="0"/>
      <w:marRight w:val="0"/>
      <w:marTop w:val="0"/>
      <w:marBottom w:val="0"/>
      <w:divBdr>
        <w:top w:val="none" w:sz="0" w:space="0" w:color="auto"/>
        <w:left w:val="none" w:sz="0" w:space="0" w:color="auto"/>
        <w:bottom w:val="none" w:sz="0" w:space="0" w:color="auto"/>
        <w:right w:val="none" w:sz="0" w:space="0" w:color="auto"/>
      </w:divBdr>
    </w:div>
    <w:div w:id="809447543">
      <w:bodyDiv w:val="1"/>
      <w:marLeft w:val="0"/>
      <w:marRight w:val="0"/>
      <w:marTop w:val="0"/>
      <w:marBottom w:val="0"/>
      <w:divBdr>
        <w:top w:val="none" w:sz="0" w:space="0" w:color="auto"/>
        <w:left w:val="none" w:sz="0" w:space="0" w:color="auto"/>
        <w:bottom w:val="none" w:sz="0" w:space="0" w:color="auto"/>
        <w:right w:val="none" w:sz="0" w:space="0" w:color="auto"/>
      </w:divBdr>
    </w:div>
    <w:div w:id="809903682">
      <w:bodyDiv w:val="1"/>
      <w:marLeft w:val="0"/>
      <w:marRight w:val="0"/>
      <w:marTop w:val="0"/>
      <w:marBottom w:val="0"/>
      <w:divBdr>
        <w:top w:val="none" w:sz="0" w:space="0" w:color="auto"/>
        <w:left w:val="none" w:sz="0" w:space="0" w:color="auto"/>
        <w:bottom w:val="none" w:sz="0" w:space="0" w:color="auto"/>
        <w:right w:val="none" w:sz="0" w:space="0" w:color="auto"/>
      </w:divBdr>
    </w:div>
    <w:div w:id="810639046">
      <w:bodyDiv w:val="1"/>
      <w:marLeft w:val="0"/>
      <w:marRight w:val="0"/>
      <w:marTop w:val="0"/>
      <w:marBottom w:val="0"/>
      <w:divBdr>
        <w:top w:val="none" w:sz="0" w:space="0" w:color="auto"/>
        <w:left w:val="none" w:sz="0" w:space="0" w:color="auto"/>
        <w:bottom w:val="none" w:sz="0" w:space="0" w:color="auto"/>
        <w:right w:val="none" w:sz="0" w:space="0" w:color="auto"/>
      </w:divBdr>
    </w:div>
    <w:div w:id="818494826">
      <w:bodyDiv w:val="1"/>
      <w:marLeft w:val="0"/>
      <w:marRight w:val="0"/>
      <w:marTop w:val="0"/>
      <w:marBottom w:val="0"/>
      <w:divBdr>
        <w:top w:val="none" w:sz="0" w:space="0" w:color="auto"/>
        <w:left w:val="none" w:sz="0" w:space="0" w:color="auto"/>
        <w:bottom w:val="none" w:sz="0" w:space="0" w:color="auto"/>
        <w:right w:val="none" w:sz="0" w:space="0" w:color="auto"/>
      </w:divBdr>
    </w:div>
    <w:div w:id="822743645">
      <w:bodyDiv w:val="1"/>
      <w:marLeft w:val="0"/>
      <w:marRight w:val="0"/>
      <w:marTop w:val="0"/>
      <w:marBottom w:val="0"/>
      <w:divBdr>
        <w:top w:val="none" w:sz="0" w:space="0" w:color="auto"/>
        <w:left w:val="none" w:sz="0" w:space="0" w:color="auto"/>
        <w:bottom w:val="none" w:sz="0" w:space="0" w:color="auto"/>
        <w:right w:val="none" w:sz="0" w:space="0" w:color="auto"/>
      </w:divBdr>
    </w:div>
    <w:div w:id="823354891">
      <w:bodyDiv w:val="1"/>
      <w:marLeft w:val="0"/>
      <w:marRight w:val="0"/>
      <w:marTop w:val="0"/>
      <w:marBottom w:val="0"/>
      <w:divBdr>
        <w:top w:val="none" w:sz="0" w:space="0" w:color="auto"/>
        <w:left w:val="none" w:sz="0" w:space="0" w:color="auto"/>
        <w:bottom w:val="none" w:sz="0" w:space="0" w:color="auto"/>
        <w:right w:val="none" w:sz="0" w:space="0" w:color="auto"/>
      </w:divBdr>
    </w:div>
    <w:div w:id="827480159">
      <w:bodyDiv w:val="1"/>
      <w:marLeft w:val="0"/>
      <w:marRight w:val="0"/>
      <w:marTop w:val="0"/>
      <w:marBottom w:val="0"/>
      <w:divBdr>
        <w:top w:val="none" w:sz="0" w:space="0" w:color="auto"/>
        <w:left w:val="none" w:sz="0" w:space="0" w:color="auto"/>
        <w:bottom w:val="none" w:sz="0" w:space="0" w:color="auto"/>
        <w:right w:val="none" w:sz="0" w:space="0" w:color="auto"/>
      </w:divBdr>
    </w:div>
    <w:div w:id="837379364">
      <w:bodyDiv w:val="1"/>
      <w:marLeft w:val="0"/>
      <w:marRight w:val="0"/>
      <w:marTop w:val="0"/>
      <w:marBottom w:val="0"/>
      <w:divBdr>
        <w:top w:val="none" w:sz="0" w:space="0" w:color="auto"/>
        <w:left w:val="none" w:sz="0" w:space="0" w:color="auto"/>
        <w:bottom w:val="none" w:sz="0" w:space="0" w:color="auto"/>
        <w:right w:val="none" w:sz="0" w:space="0" w:color="auto"/>
      </w:divBdr>
    </w:div>
    <w:div w:id="843011126">
      <w:bodyDiv w:val="1"/>
      <w:marLeft w:val="0"/>
      <w:marRight w:val="0"/>
      <w:marTop w:val="0"/>
      <w:marBottom w:val="0"/>
      <w:divBdr>
        <w:top w:val="none" w:sz="0" w:space="0" w:color="auto"/>
        <w:left w:val="none" w:sz="0" w:space="0" w:color="auto"/>
        <w:bottom w:val="none" w:sz="0" w:space="0" w:color="auto"/>
        <w:right w:val="none" w:sz="0" w:space="0" w:color="auto"/>
      </w:divBdr>
    </w:div>
    <w:div w:id="844368424">
      <w:bodyDiv w:val="1"/>
      <w:marLeft w:val="0"/>
      <w:marRight w:val="0"/>
      <w:marTop w:val="0"/>
      <w:marBottom w:val="0"/>
      <w:divBdr>
        <w:top w:val="none" w:sz="0" w:space="0" w:color="auto"/>
        <w:left w:val="none" w:sz="0" w:space="0" w:color="auto"/>
        <w:bottom w:val="none" w:sz="0" w:space="0" w:color="auto"/>
        <w:right w:val="none" w:sz="0" w:space="0" w:color="auto"/>
      </w:divBdr>
    </w:div>
    <w:div w:id="846208709">
      <w:bodyDiv w:val="1"/>
      <w:marLeft w:val="0"/>
      <w:marRight w:val="0"/>
      <w:marTop w:val="0"/>
      <w:marBottom w:val="0"/>
      <w:divBdr>
        <w:top w:val="none" w:sz="0" w:space="0" w:color="auto"/>
        <w:left w:val="none" w:sz="0" w:space="0" w:color="auto"/>
        <w:bottom w:val="none" w:sz="0" w:space="0" w:color="auto"/>
        <w:right w:val="none" w:sz="0" w:space="0" w:color="auto"/>
      </w:divBdr>
    </w:div>
    <w:div w:id="848257488">
      <w:bodyDiv w:val="1"/>
      <w:marLeft w:val="0"/>
      <w:marRight w:val="0"/>
      <w:marTop w:val="0"/>
      <w:marBottom w:val="0"/>
      <w:divBdr>
        <w:top w:val="none" w:sz="0" w:space="0" w:color="auto"/>
        <w:left w:val="none" w:sz="0" w:space="0" w:color="auto"/>
        <w:bottom w:val="none" w:sz="0" w:space="0" w:color="auto"/>
        <w:right w:val="none" w:sz="0" w:space="0" w:color="auto"/>
      </w:divBdr>
    </w:div>
    <w:div w:id="851917836">
      <w:bodyDiv w:val="1"/>
      <w:marLeft w:val="0"/>
      <w:marRight w:val="0"/>
      <w:marTop w:val="0"/>
      <w:marBottom w:val="0"/>
      <w:divBdr>
        <w:top w:val="none" w:sz="0" w:space="0" w:color="auto"/>
        <w:left w:val="none" w:sz="0" w:space="0" w:color="auto"/>
        <w:bottom w:val="none" w:sz="0" w:space="0" w:color="auto"/>
        <w:right w:val="none" w:sz="0" w:space="0" w:color="auto"/>
      </w:divBdr>
    </w:div>
    <w:div w:id="853764032">
      <w:bodyDiv w:val="1"/>
      <w:marLeft w:val="0"/>
      <w:marRight w:val="0"/>
      <w:marTop w:val="0"/>
      <w:marBottom w:val="0"/>
      <w:divBdr>
        <w:top w:val="none" w:sz="0" w:space="0" w:color="auto"/>
        <w:left w:val="none" w:sz="0" w:space="0" w:color="auto"/>
        <w:bottom w:val="none" w:sz="0" w:space="0" w:color="auto"/>
        <w:right w:val="none" w:sz="0" w:space="0" w:color="auto"/>
      </w:divBdr>
    </w:div>
    <w:div w:id="855578573">
      <w:bodyDiv w:val="1"/>
      <w:marLeft w:val="0"/>
      <w:marRight w:val="0"/>
      <w:marTop w:val="0"/>
      <w:marBottom w:val="0"/>
      <w:divBdr>
        <w:top w:val="none" w:sz="0" w:space="0" w:color="auto"/>
        <w:left w:val="none" w:sz="0" w:space="0" w:color="auto"/>
        <w:bottom w:val="none" w:sz="0" w:space="0" w:color="auto"/>
        <w:right w:val="none" w:sz="0" w:space="0" w:color="auto"/>
      </w:divBdr>
    </w:div>
    <w:div w:id="858004674">
      <w:bodyDiv w:val="1"/>
      <w:marLeft w:val="0"/>
      <w:marRight w:val="0"/>
      <w:marTop w:val="0"/>
      <w:marBottom w:val="0"/>
      <w:divBdr>
        <w:top w:val="none" w:sz="0" w:space="0" w:color="auto"/>
        <w:left w:val="none" w:sz="0" w:space="0" w:color="auto"/>
        <w:bottom w:val="none" w:sz="0" w:space="0" w:color="auto"/>
        <w:right w:val="none" w:sz="0" w:space="0" w:color="auto"/>
      </w:divBdr>
    </w:div>
    <w:div w:id="860704943">
      <w:bodyDiv w:val="1"/>
      <w:marLeft w:val="0"/>
      <w:marRight w:val="0"/>
      <w:marTop w:val="0"/>
      <w:marBottom w:val="0"/>
      <w:divBdr>
        <w:top w:val="none" w:sz="0" w:space="0" w:color="auto"/>
        <w:left w:val="none" w:sz="0" w:space="0" w:color="auto"/>
        <w:bottom w:val="none" w:sz="0" w:space="0" w:color="auto"/>
        <w:right w:val="none" w:sz="0" w:space="0" w:color="auto"/>
      </w:divBdr>
    </w:div>
    <w:div w:id="862011387">
      <w:bodyDiv w:val="1"/>
      <w:marLeft w:val="0"/>
      <w:marRight w:val="0"/>
      <w:marTop w:val="0"/>
      <w:marBottom w:val="0"/>
      <w:divBdr>
        <w:top w:val="none" w:sz="0" w:space="0" w:color="auto"/>
        <w:left w:val="none" w:sz="0" w:space="0" w:color="auto"/>
        <w:bottom w:val="none" w:sz="0" w:space="0" w:color="auto"/>
        <w:right w:val="none" w:sz="0" w:space="0" w:color="auto"/>
      </w:divBdr>
    </w:div>
    <w:div w:id="862087032">
      <w:bodyDiv w:val="1"/>
      <w:marLeft w:val="0"/>
      <w:marRight w:val="0"/>
      <w:marTop w:val="0"/>
      <w:marBottom w:val="0"/>
      <w:divBdr>
        <w:top w:val="none" w:sz="0" w:space="0" w:color="auto"/>
        <w:left w:val="none" w:sz="0" w:space="0" w:color="auto"/>
        <w:bottom w:val="none" w:sz="0" w:space="0" w:color="auto"/>
        <w:right w:val="none" w:sz="0" w:space="0" w:color="auto"/>
      </w:divBdr>
    </w:div>
    <w:div w:id="865293913">
      <w:bodyDiv w:val="1"/>
      <w:marLeft w:val="0"/>
      <w:marRight w:val="0"/>
      <w:marTop w:val="0"/>
      <w:marBottom w:val="0"/>
      <w:divBdr>
        <w:top w:val="none" w:sz="0" w:space="0" w:color="auto"/>
        <w:left w:val="none" w:sz="0" w:space="0" w:color="auto"/>
        <w:bottom w:val="none" w:sz="0" w:space="0" w:color="auto"/>
        <w:right w:val="none" w:sz="0" w:space="0" w:color="auto"/>
      </w:divBdr>
    </w:div>
    <w:div w:id="865562845">
      <w:bodyDiv w:val="1"/>
      <w:marLeft w:val="0"/>
      <w:marRight w:val="0"/>
      <w:marTop w:val="0"/>
      <w:marBottom w:val="0"/>
      <w:divBdr>
        <w:top w:val="none" w:sz="0" w:space="0" w:color="auto"/>
        <w:left w:val="none" w:sz="0" w:space="0" w:color="auto"/>
        <w:bottom w:val="none" w:sz="0" w:space="0" w:color="auto"/>
        <w:right w:val="none" w:sz="0" w:space="0" w:color="auto"/>
      </w:divBdr>
    </w:div>
    <w:div w:id="870455796">
      <w:bodyDiv w:val="1"/>
      <w:marLeft w:val="0"/>
      <w:marRight w:val="0"/>
      <w:marTop w:val="0"/>
      <w:marBottom w:val="0"/>
      <w:divBdr>
        <w:top w:val="none" w:sz="0" w:space="0" w:color="auto"/>
        <w:left w:val="none" w:sz="0" w:space="0" w:color="auto"/>
        <w:bottom w:val="none" w:sz="0" w:space="0" w:color="auto"/>
        <w:right w:val="none" w:sz="0" w:space="0" w:color="auto"/>
      </w:divBdr>
    </w:div>
    <w:div w:id="871648226">
      <w:bodyDiv w:val="1"/>
      <w:marLeft w:val="0"/>
      <w:marRight w:val="0"/>
      <w:marTop w:val="0"/>
      <w:marBottom w:val="0"/>
      <w:divBdr>
        <w:top w:val="none" w:sz="0" w:space="0" w:color="auto"/>
        <w:left w:val="none" w:sz="0" w:space="0" w:color="auto"/>
        <w:bottom w:val="none" w:sz="0" w:space="0" w:color="auto"/>
        <w:right w:val="none" w:sz="0" w:space="0" w:color="auto"/>
      </w:divBdr>
    </w:div>
    <w:div w:id="872692737">
      <w:bodyDiv w:val="1"/>
      <w:marLeft w:val="0"/>
      <w:marRight w:val="0"/>
      <w:marTop w:val="0"/>
      <w:marBottom w:val="0"/>
      <w:divBdr>
        <w:top w:val="none" w:sz="0" w:space="0" w:color="auto"/>
        <w:left w:val="none" w:sz="0" w:space="0" w:color="auto"/>
        <w:bottom w:val="none" w:sz="0" w:space="0" w:color="auto"/>
        <w:right w:val="none" w:sz="0" w:space="0" w:color="auto"/>
      </w:divBdr>
    </w:div>
    <w:div w:id="879123434">
      <w:bodyDiv w:val="1"/>
      <w:marLeft w:val="0"/>
      <w:marRight w:val="0"/>
      <w:marTop w:val="0"/>
      <w:marBottom w:val="0"/>
      <w:divBdr>
        <w:top w:val="none" w:sz="0" w:space="0" w:color="auto"/>
        <w:left w:val="none" w:sz="0" w:space="0" w:color="auto"/>
        <w:bottom w:val="none" w:sz="0" w:space="0" w:color="auto"/>
        <w:right w:val="none" w:sz="0" w:space="0" w:color="auto"/>
      </w:divBdr>
    </w:div>
    <w:div w:id="882519493">
      <w:bodyDiv w:val="1"/>
      <w:marLeft w:val="0"/>
      <w:marRight w:val="0"/>
      <w:marTop w:val="0"/>
      <w:marBottom w:val="0"/>
      <w:divBdr>
        <w:top w:val="none" w:sz="0" w:space="0" w:color="auto"/>
        <w:left w:val="none" w:sz="0" w:space="0" w:color="auto"/>
        <w:bottom w:val="none" w:sz="0" w:space="0" w:color="auto"/>
        <w:right w:val="none" w:sz="0" w:space="0" w:color="auto"/>
      </w:divBdr>
    </w:div>
    <w:div w:id="885990386">
      <w:bodyDiv w:val="1"/>
      <w:marLeft w:val="0"/>
      <w:marRight w:val="0"/>
      <w:marTop w:val="0"/>
      <w:marBottom w:val="0"/>
      <w:divBdr>
        <w:top w:val="none" w:sz="0" w:space="0" w:color="auto"/>
        <w:left w:val="none" w:sz="0" w:space="0" w:color="auto"/>
        <w:bottom w:val="none" w:sz="0" w:space="0" w:color="auto"/>
        <w:right w:val="none" w:sz="0" w:space="0" w:color="auto"/>
      </w:divBdr>
    </w:div>
    <w:div w:id="886916907">
      <w:bodyDiv w:val="1"/>
      <w:marLeft w:val="0"/>
      <w:marRight w:val="0"/>
      <w:marTop w:val="0"/>
      <w:marBottom w:val="0"/>
      <w:divBdr>
        <w:top w:val="none" w:sz="0" w:space="0" w:color="auto"/>
        <w:left w:val="none" w:sz="0" w:space="0" w:color="auto"/>
        <w:bottom w:val="none" w:sz="0" w:space="0" w:color="auto"/>
        <w:right w:val="none" w:sz="0" w:space="0" w:color="auto"/>
      </w:divBdr>
    </w:div>
    <w:div w:id="892884516">
      <w:bodyDiv w:val="1"/>
      <w:marLeft w:val="0"/>
      <w:marRight w:val="0"/>
      <w:marTop w:val="0"/>
      <w:marBottom w:val="0"/>
      <w:divBdr>
        <w:top w:val="none" w:sz="0" w:space="0" w:color="auto"/>
        <w:left w:val="none" w:sz="0" w:space="0" w:color="auto"/>
        <w:bottom w:val="none" w:sz="0" w:space="0" w:color="auto"/>
        <w:right w:val="none" w:sz="0" w:space="0" w:color="auto"/>
      </w:divBdr>
    </w:div>
    <w:div w:id="897595550">
      <w:bodyDiv w:val="1"/>
      <w:marLeft w:val="0"/>
      <w:marRight w:val="0"/>
      <w:marTop w:val="0"/>
      <w:marBottom w:val="0"/>
      <w:divBdr>
        <w:top w:val="none" w:sz="0" w:space="0" w:color="auto"/>
        <w:left w:val="none" w:sz="0" w:space="0" w:color="auto"/>
        <w:bottom w:val="none" w:sz="0" w:space="0" w:color="auto"/>
        <w:right w:val="none" w:sz="0" w:space="0" w:color="auto"/>
      </w:divBdr>
    </w:div>
    <w:div w:id="902326976">
      <w:bodyDiv w:val="1"/>
      <w:marLeft w:val="0"/>
      <w:marRight w:val="0"/>
      <w:marTop w:val="0"/>
      <w:marBottom w:val="0"/>
      <w:divBdr>
        <w:top w:val="none" w:sz="0" w:space="0" w:color="auto"/>
        <w:left w:val="none" w:sz="0" w:space="0" w:color="auto"/>
        <w:bottom w:val="none" w:sz="0" w:space="0" w:color="auto"/>
        <w:right w:val="none" w:sz="0" w:space="0" w:color="auto"/>
      </w:divBdr>
    </w:div>
    <w:div w:id="904990525">
      <w:bodyDiv w:val="1"/>
      <w:marLeft w:val="0"/>
      <w:marRight w:val="0"/>
      <w:marTop w:val="0"/>
      <w:marBottom w:val="0"/>
      <w:divBdr>
        <w:top w:val="none" w:sz="0" w:space="0" w:color="auto"/>
        <w:left w:val="none" w:sz="0" w:space="0" w:color="auto"/>
        <w:bottom w:val="none" w:sz="0" w:space="0" w:color="auto"/>
        <w:right w:val="none" w:sz="0" w:space="0" w:color="auto"/>
      </w:divBdr>
    </w:div>
    <w:div w:id="905608037">
      <w:bodyDiv w:val="1"/>
      <w:marLeft w:val="0"/>
      <w:marRight w:val="0"/>
      <w:marTop w:val="0"/>
      <w:marBottom w:val="0"/>
      <w:divBdr>
        <w:top w:val="none" w:sz="0" w:space="0" w:color="auto"/>
        <w:left w:val="none" w:sz="0" w:space="0" w:color="auto"/>
        <w:bottom w:val="none" w:sz="0" w:space="0" w:color="auto"/>
        <w:right w:val="none" w:sz="0" w:space="0" w:color="auto"/>
      </w:divBdr>
    </w:div>
    <w:div w:id="911962560">
      <w:bodyDiv w:val="1"/>
      <w:marLeft w:val="0"/>
      <w:marRight w:val="0"/>
      <w:marTop w:val="0"/>
      <w:marBottom w:val="0"/>
      <w:divBdr>
        <w:top w:val="none" w:sz="0" w:space="0" w:color="auto"/>
        <w:left w:val="none" w:sz="0" w:space="0" w:color="auto"/>
        <w:bottom w:val="none" w:sz="0" w:space="0" w:color="auto"/>
        <w:right w:val="none" w:sz="0" w:space="0" w:color="auto"/>
      </w:divBdr>
    </w:div>
    <w:div w:id="915944634">
      <w:bodyDiv w:val="1"/>
      <w:marLeft w:val="0"/>
      <w:marRight w:val="0"/>
      <w:marTop w:val="0"/>
      <w:marBottom w:val="0"/>
      <w:divBdr>
        <w:top w:val="none" w:sz="0" w:space="0" w:color="auto"/>
        <w:left w:val="none" w:sz="0" w:space="0" w:color="auto"/>
        <w:bottom w:val="none" w:sz="0" w:space="0" w:color="auto"/>
        <w:right w:val="none" w:sz="0" w:space="0" w:color="auto"/>
      </w:divBdr>
    </w:div>
    <w:div w:id="921259687">
      <w:bodyDiv w:val="1"/>
      <w:marLeft w:val="0"/>
      <w:marRight w:val="0"/>
      <w:marTop w:val="0"/>
      <w:marBottom w:val="0"/>
      <w:divBdr>
        <w:top w:val="none" w:sz="0" w:space="0" w:color="auto"/>
        <w:left w:val="none" w:sz="0" w:space="0" w:color="auto"/>
        <w:bottom w:val="none" w:sz="0" w:space="0" w:color="auto"/>
        <w:right w:val="none" w:sz="0" w:space="0" w:color="auto"/>
      </w:divBdr>
    </w:div>
    <w:div w:id="922227499">
      <w:bodyDiv w:val="1"/>
      <w:marLeft w:val="0"/>
      <w:marRight w:val="0"/>
      <w:marTop w:val="0"/>
      <w:marBottom w:val="0"/>
      <w:divBdr>
        <w:top w:val="none" w:sz="0" w:space="0" w:color="auto"/>
        <w:left w:val="none" w:sz="0" w:space="0" w:color="auto"/>
        <w:bottom w:val="none" w:sz="0" w:space="0" w:color="auto"/>
        <w:right w:val="none" w:sz="0" w:space="0" w:color="auto"/>
      </w:divBdr>
    </w:div>
    <w:div w:id="928847693">
      <w:bodyDiv w:val="1"/>
      <w:marLeft w:val="0"/>
      <w:marRight w:val="0"/>
      <w:marTop w:val="0"/>
      <w:marBottom w:val="0"/>
      <w:divBdr>
        <w:top w:val="none" w:sz="0" w:space="0" w:color="auto"/>
        <w:left w:val="none" w:sz="0" w:space="0" w:color="auto"/>
        <w:bottom w:val="none" w:sz="0" w:space="0" w:color="auto"/>
        <w:right w:val="none" w:sz="0" w:space="0" w:color="auto"/>
      </w:divBdr>
    </w:div>
    <w:div w:id="929972463">
      <w:bodyDiv w:val="1"/>
      <w:marLeft w:val="0"/>
      <w:marRight w:val="0"/>
      <w:marTop w:val="0"/>
      <w:marBottom w:val="0"/>
      <w:divBdr>
        <w:top w:val="none" w:sz="0" w:space="0" w:color="auto"/>
        <w:left w:val="none" w:sz="0" w:space="0" w:color="auto"/>
        <w:bottom w:val="none" w:sz="0" w:space="0" w:color="auto"/>
        <w:right w:val="none" w:sz="0" w:space="0" w:color="auto"/>
      </w:divBdr>
    </w:div>
    <w:div w:id="930940745">
      <w:bodyDiv w:val="1"/>
      <w:marLeft w:val="0"/>
      <w:marRight w:val="0"/>
      <w:marTop w:val="0"/>
      <w:marBottom w:val="0"/>
      <w:divBdr>
        <w:top w:val="none" w:sz="0" w:space="0" w:color="auto"/>
        <w:left w:val="none" w:sz="0" w:space="0" w:color="auto"/>
        <w:bottom w:val="none" w:sz="0" w:space="0" w:color="auto"/>
        <w:right w:val="none" w:sz="0" w:space="0" w:color="auto"/>
      </w:divBdr>
    </w:div>
    <w:div w:id="931278537">
      <w:bodyDiv w:val="1"/>
      <w:marLeft w:val="0"/>
      <w:marRight w:val="0"/>
      <w:marTop w:val="0"/>
      <w:marBottom w:val="0"/>
      <w:divBdr>
        <w:top w:val="none" w:sz="0" w:space="0" w:color="auto"/>
        <w:left w:val="none" w:sz="0" w:space="0" w:color="auto"/>
        <w:bottom w:val="none" w:sz="0" w:space="0" w:color="auto"/>
        <w:right w:val="none" w:sz="0" w:space="0" w:color="auto"/>
      </w:divBdr>
    </w:div>
    <w:div w:id="933896627">
      <w:bodyDiv w:val="1"/>
      <w:marLeft w:val="0"/>
      <w:marRight w:val="0"/>
      <w:marTop w:val="0"/>
      <w:marBottom w:val="0"/>
      <w:divBdr>
        <w:top w:val="none" w:sz="0" w:space="0" w:color="auto"/>
        <w:left w:val="none" w:sz="0" w:space="0" w:color="auto"/>
        <w:bottom w:val="none" w:sz="0" w:space="0" w:color="auto"/>
        <w:right w:val="none" w:sz="0" w:space="0" w:color="auto"/>
      </w:divBdr>
      <w:divsChild>
        <w:div w:id="1602256386">
          <w:marLeft w:val="0"/>
          <w:marRight w:val="0"/>
          <w:marTop w:val="0"/>
          <w:marBottom w:val="0"/>
          <w:divBdr>
            <w:top w:val="none" w:sz="0" w:space="0" w:color="auto"/>
            <w:left w:val="none" w:sz="0" w:space="0" w:color="auto"/>
            <w:bottom w:val="none" w:sz="0" w:space="0" w:color="auto"/>
            <w:right w:val="none" w:sz="0" w:space="0" w:color="auto"/>
          </w:divBdr>
          <w:divsChild>
            <w:div w:id="996612667">
              <w:marLeft w:val="0"/>
              <w:marRight w:val="0"/>
              <w:marTop w:val="0"/>
              <w:marBottom w:val="0"/>
              <w:divBdr>
                <w:top w:val="none" w:sz="0" w:space="0" w:color="auto"/>
                <w:left w:val="none" w:sz="0" w:space="0" w:color="auto"/>
                <w:bottom w:val="none" w:sz="0" w:space="0" w:color="auto"/>
                <w:right w:val="none" w:sz="0" w:space="0" w:color="auto"/>
              </w:divBdr>
              <w:divsChild>
                <w:div w:id="1689257115">
                  <w:marLeft w:val="0"/>
                  <w:marRight w:val="0"/>
                  <w:marTop w:val="0"/>
                  <w:marBottom w:val="0"/>
                  <w:divBdr>
                    <w:top w:val="none" w:sz="0" w:space="0" w:color="auto"/>
                    <w:left w:val="none" w:sz="0" w:space="0" w:color="auto"/>
                    <w:bottom w:val="none" w:sz="0" w:space="0" w:color="auto"/>
                    <w:right w:val="none" w:sz="0" w:space="0" w:color="auto"/>
                  </w:divBdr>
                  <w:divsChild>
                    <w:div w:id="757018523">
                      <w:marLeft w:val="0"/>
                      <w:marRight w:val="0"/>
                      <w:marTop w:val="0"/>
                      <w:marBottom w:val="0"/>
                      <w:divBdr>
                        <w:top w:val="none" w:sz="0" w:space="0" w:color="auto"/>
                        <w:left w:val="none" w:sz="0" w:space="0" w:color="auto"/>
                        <w:bottom w:val="none" w:sz="0" w:space="0" w:color="auto"/>
                        <w:right w:val="none" w:sz="0" w:space="0" w:color="auto"/>
                      </w:divBdr>
                      <w:divsChild>
                        <w:div w:id="1670325615">
                          <w:marLeft w:val="0"/>
                          <w:marRight w:val="0"/>
                          <w:marTop w:val="0"/>
                          <w:marBottom w:val="0"/>
                          <w:divBdr>
                            <w:top w:val="none" w:sz="0" w:space="0" w:color="auto"/>
                            <w:left w:val="none" w:sz="0" w:space="0" w:color="auto"/>
                            <w:bottom w:val="none" w:sz="0" w:space="0" w:color="auto"/>
                            <w:right w:val="none" w:sz="0" w:space="0" w:color="auto"/>
                          </w:divBdr>
                          <w:divsChild>
                            <w:div w:id="181313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556289">
      <w:bodyDiv w:val="1"/>
      <w:marLeft w:val="0"/>
      <w:marRight w:val="0"/>
      <w:marTop w:val="0"/>
      <w:marBottom w:val="0"/>
      <w:divBdr>
        <w:top w:val="none" w:sz="0" w:space="0" w:color="auto"/>
        <w:left w:val="none" w:sz="0" w:space="0" w:color="auto"/>
        <w:bottom w:val="none" w:sz="0" w:space="0" w:color="auto"/>
        <w:right w:val="none" w:sz="0" w:space="0" w:color="auto"/>
      </w:divBdr>
    </w:div>
    <w:div w:id="935015527">
      <w:bodyDiv w:val="1"/>
      <w:marLeft w:val="0"/>
      <w:marRight w:val="0"/>
      <w:marTop w:val="0"/>
      <w:marBottom w:val="0"/>
      <w:divBdr>
        <w:top w:val="none" w:sz="0" w:space="0" w:color="auto"/>
        <w:left w:val="none" w:sz="0" w:space="0" w:color="auto"/>
        <w:bottom w:val="none" w:sz="0" w:space="0" w:color="auto"/>
        <w:right w:val="none" w:sz="0" w:space="0" w:color="auto"/>
      </w:divBdr>
    </w:div>
    <w:div w:id="938828518">
      <w:bodyDiv w:val="1"/>
      <w:marLeft w:val="0"/>
      <w:marRight w:val="0"/>
      <w:marTop w:val="0"/>
      <w:marBottom w:val="0"/>
      <w:divBdr>
        <w:top w:val="none" w:sz="0" w:space="0" w:color="auto"/>
        <w:left w:val="none" w:sz="0" w:space="0" w:color="auto"/>
        <w:bottom w:val="none" w:sz="0" w:space="0" w:color="auto"/>
        <w:right w:val="none" w:sz="0" w:space="0" w:color="auto"/>
      </w:divBdr>
    </w:div>
    <w:div w:id="942423260">
      <w:bodyDiv w:val="1"/>
      <w:marLeft w:val="0"/>
      <w:marRight w:val="0"/>
      <w:marTop w:val="0"/>
      <w:marBottom w:val="0"/>
      <w:divBdr>
        <w:top w:val="none" w:sz="0" w:space="0" w:color="auto"/>
        <w:left w:val="none" w:sz="0" w:space="0" w:color="auto"/>
        <w:bottom w:val="none" w:sz="0" w:space="0" w:color="auto"/>
        <w:right w:val="none" w:sz="0" w:space="0" w:color="auto"/>
      </w:divBdr>
    </w:div>
    <w:div w:id="944577324">
      <w:bodyDiv w:val="1"/>
      <w:marLeft w:val="0"/>
      <w:marRight w:val="0"/>
      <w:marTop w:val="0"/>
      <w:marBottom w:val="0"/>
      <w:divBdr>
        <w:top w:val="none" w:sz="0" w:space="0" w:color="auto"/>
        <w:left w:val="none" w:sz="0" w:space="0" w:color="auto"/>
        <w:bottom w:val="none" w:sz="0" w:space="0" w:color="auto"/>
        <w:right w:val="none" w:sz="0" w:space="0" w:color="auto"/>
      </w:divBdr>
    </w:div>
    <w:div w:id="945425513">
      <w:bodyDiv w:val="1"/>
      <w:marLeft w:val="0"/>
      <w:marRight w:val="0"/>
      <w:marTop w:val="0"/>
      <w:marBottom w:val="0"/>
      <w:divBdr>
        <w:top w:val="none" w:sz="0" w:space="0" w:color="auto"/>
        <w:left w:val="none" w:sz="0" w:space="0" w:color="auto"/>
        <w:bottom w:val="none" w:sz="0" w:space="0" w:color="auto"/>
        <w:right w:val="none" w:sz="0" w:space="0" w:color="auto"/>
      </w:divBdr>
    </w:div>
    <w:div w:id="946036996">
      <w:bodyDiv w:val="1"/>
      <w:marLeft w:val="0"/>
      <w:marRight w:val="0"/>
      <w:marTop w:val="0"/>
      <w:marBottom w:val="0"/>
      <w:divBdr>
        <w:top w:val="none" w:sz="0" w:space="0" w:color="auto"/>
        <w:left w:val="none" w:sz="0" w:space="0" w:color="auto"/>
        <w:bottom w:val="none" w:sz="0" w:space="0" w:color="auto"/>
        <w:right w:val="none" w:sz="0" w:space="0" w:color="auto"/>
      </w:divBdr>
    </w:div>
    <w:div w:id="946624802">
      <w:bodyDiv w:val="1"/>
      <w:marLeft w:val="0"/>
      <w:marRight w:val="0"/>
      <w:marTop w:val="0"/>
      <w:marBottom w:val="0"/>
      <w:divBdr>
        <w:top w:val="none" w:sz="0" w:space="0" w:color="auto"/>
        <w:left w:val="none" w:sz="0" w:space="0" w:color="auto"/>
        <w:bottom w:val="none" w:sz="0" w:space="0" w:color="auto"/>
        <w:right w:val="none" w:sz="0" w:space="0" w:color="auto"/>
      </w:divBdr>
    </w:div>
    <w:div w:id="948701140">
      <w:bodyDiv w:val="1"/>
      <w:marLeft w:val="0"/>
      <w:marRight w:val="0"/>
      <w:marTop w:val="0"/>
      <w:marBottom w:val="0"/>
      <w:divBdr>
        <w:top w:val="none" w:sz="0" w:space="0" w:color="auto"/>
        <w:left w:val="none" w:sz="0" w:space="0" w:color="auto"/>
        <w:bottom w:val="none" w:sz="0" w:space="0" w:color="auto"/>
        <w:right w:val="none" w:sz="0" w:space="0" w:color="auto"/>
      </w:divBdr>
    </w:div>
    <w:div w:id="949360114">
      <w:bodyDiv w:val="1"/>
      <w:marLeft w:val="0"/>
      <w:marRight w:val="0"/>
      <w:marTop w:val="0"/>
      <w:marBottom w:val="0"/>
      <w:divBdr>
        <w:top w:val="none" w:sz="0" w:space="0" w:color="auto"/>
        <w:left w:val="none" w:sz="0" w:space="0" w:color="auto"/>
        <w:bottom w:val="none" w:sz="0" w:space="0" w:color="auto"/>
        <w:right w:val="none" w:sz="0" w:space="0" w:color="auto"/>
      </w:divBdr>
    </w:div>
    <w:div w:id="952127720">
      <w:bodyDiv w:val="1"/>
      <w:marLeft w:val="0"/>
      <w:marRight w:val="0"/>
      <w:marTop w:val="0"/>
      <w:marBottom w:val="0"/>
      <w:divBdr>
        <w:top w:val="none" w:sz="0" w:space="0" w:color="auto"/>
        <w:left w:val="none" w:sz="0" w:space="0" w:color="auto"/>
        <w:bottom w:val="none" w:sz="0" w:space="0" w:color="auto"/>
        <w:right w:val="none" w:sz="0" w:space="0" w:color="auto"/>
      </w:divBdr>
    </w:div>
    <w:div w:id="953948807">
      <w:bodyDiv w:val="1"/>
      <w:marLeft w:val="0"/>
      <w:marRight w:val="0"/>
      <w:marTop w:val="0"/>
      <w:marBottom w:val="0"/>
      <w:divBdr>
        <w:top w:val="none" w:sz="0" w:space="0" w:color="auto"/>
        <w:left w:val="none" w:sz="0" w:space="0" w:color="auto"/>
        <w:bottom w:val="none" w:sz="0" w:space="0" w:color="auto"/>
        <w:right w:val="none" w:sz="0" w:space="0" w:color="auto"/>
      </w:divBdr>
    </w:div>
    <w:div w:id="957488931">
      <w:bodyDiv w:val="1"/>
      <w:marLeft w:val="0"/>
      <w:marRight w:val="0"/>
      <w:marTop w:val="0"/>
      <w:marBottom w:val="0"/>
      <w:divBdr>
        <w:top w:val="none" w:sz="0" w:space="0" w:color="auto"/>
        <w:left w:val="none" w:sz="0" w:space="0" w:color="auto"/>
        <w:bottom w:val="none" w:sz="0" w:space="0" w:color="auto"/>
        <w:right w:val="none" w:sz="0" w:space="0" w:color="auto"/>
      </w:divBdr>
    </w:div>
    <w:div w:id="961425745">
      <w:bodyDiv w:val="1"/>
      <w:marLeft w:val="0"/>
      <w:marRight w:val="0"/>
      <w:marTop w:val="0"/>
      <w:marBottom w:val="0"/>
      <w:divBdr>
        <w:top w:val="none" w:sz="0" w:space="0" w:color="auto"/>
        <w:left w:val="none" w:sz="0" w:space="0" w:color="auto"/>
        <w:bottom w:val="none" w:sz="0" w:space="0" w:color="auto"/>
        <w:right w:val="none" w:sz="0" w:space="0" w:color="auto"/>
      </w:divBdr>
    </w:div>
    <w:div w:id="966618826">
      <w:bodyDiv w:val="1"/>
      <w:marLeft w:val="0"/>
      <w:marRight w:val="0"/>
      <w:marTop w:val="0"/>
      <w:marBottom w:val="0"/>
      <w:divBdr>
        <w:top w:val="none" w:sz="0" w:space="0" w:color="auto"/>
        <w:left w:val="none" w:sz="0" w:space="0" w:color="auto"/>
        <w:bottom w:val="none" w:sz="0" w:space="0" w:color="auto"/>
        <w:right w:val="none" w:sz="0" w:space="0" w:color="auto"/>
      </w:divBdr>
    </w:div>
    <w:div w:id="967467385">
      <w:bodyDiv w:val="1"/>
      <w:marLeft w:val="0"/>
      <w:marRight w:val="0"/>
      <w:marTop w:val="0"/>
      <w:marBottom w:val="0"/>
      <w:divBdr>
        <w:top w:val="none" w:sz="0" w:space="0" w:color="auto"/>
        <w:left w:val="none" w:sz="0" w:space="0" w:color="auto"/>
        <w:bottom w:val="none" w:sz="0" w:space="0" w:color="auto"/>
        <w:right w:val="none" w:sz="0" w:space="0" w:color="auto"/>
      </w:divBdr>
    </w:div>
    <w:div w:id="969048005">
      <w:bodyDiv w:val="1"/>
      <w:marLeft w:val="0"/>
      <w:marRight w:val="0"/>
      <w:marTop w:val="0"/>
      <w:marBottom w:val="0"/>
      <w:divBdr>
        <w:top w:val="none" w:sz="0" w:space="0" w:color="auto"/>
        <w:left w:val="none" w:sz="0" w:space="0" w:color="auto"/>
        <w:bottom w:val="none" w:sz="0" w:space="0" w:color="auto"/>
        <w:right w:val="none" w:sz="0" w:space="0" w:color="auto"/>
      </w:divBdr>
    </w:div>
    <w:div w:id="972488845">
      <w:bodyDiv w:val="1"/>
      <w:marLeft w:val="0"/>
      <w:marRight w:val="0"/>
      <w:marTop w:val="0"/>
      <w:marBottom w:val="0"/>
      <w:divBdr>
        <w:top w:val="none" w:sz="0" w:space="0" w:color="auto"/>
        <w:left w:val="none" w:sz="0" w:space="0" w:color="auto"/>
        <w:bottom w:val="none" w:sz="0" w:space="0" w:color="auto"/>
        <w:right w:val="none" w:sz="0" w:space="0" w:color="auto"/>
      </w:divBdr>
    </w:div>
    <w:div w:id="977607245">
      <w:bodyDiv w:val="1"/>
      <w:marLeft w:val="0"/>
      <w:marRight w:val="0"/>
      <w:marTop w:val="0"/>
      <w:marBottom w:val="0"/>
      <w:divBdr>
        <w:top w:val="none" w:sz="0" w:space="0" w:color="auto"/>
        <w:left w:val="none" w:sz="0" w:space="0" w:color="auto"/>
        <w:bottom w:val="none" w:sz="0" w:space="0" w:color="auto"/>
        <w:right w:val="none" w:sz="0" w:space="0" w:color="auto"/>
      </w:divBdr>
    </w:div>
    <w:div w:id="979917736">
      <w:bodyDiv w:val="1"/>
      <w:marLeft w:val="0"/>
      <w:marRight w:val="0"/>
      <w:marTop w:val="0"/>
      <w:marBottom w:val="0"/>
      <w:divBdr>
        <w:top w:val="none" w:sz="0" w:space="0" w:color="auto"/>
        <w:left w:val="none" w:sz="0" w:space="0" w:color="auto"/>
        <w:bottom w:val="none" w:sz="0" w:space="0" w:color="auto"/>
        <w:right w:val="none" w:sz="0" w:space="0" w:color="auto"/>
      </w:divBdr>
    </w:div>
    <w:div w:id="980042364">
      <w:bodyDiv w:val="1"/>
      <w:marLeft w:val="0"/>
      <w:marRight w:val="0"/>
      <w:marTop w:val="0"/>
      <w:marBottom w:val="0"/>
      <w:divBdr>
        <w:top w:val="none" w:sz="0" w:space="0" w:color="auto"/>
        <w:left w:val="none" w:sz="0" w:space="0" w:color="auto"/>
        <w:bottom w:val="none" w:sz="0" w:space="0" w:color="auto"/>
        <w:right w:val="none" w:sz="0" w:space="0" w:color="auto"/>
      </w:divBdr>
    </w:div>
    <w:div w:id="986083158">
      <w:bodyDiv w:val="1"/>
      <w:marLeft w:val="0"/>
      <w:marRight w:val="0"/>
      <w:marTop w:val="0"/>
      <w:marBottom w:val="0"/>
      <w:divBdr>
        <w:top w:val="none" w:sz="0" w:space="0" w:color="auto"/>
        <w:left w:val="none" w:sz="0" w:space="0" w:color="auto"/>
        <w:bottom w:val="none" w:sz="0" w:space="0" w:color="auto"/>
        <w:right w:val="none" w:sz="0" w:space="0" w:color="auto"/>
      </w:divBdr>
    </w:div>
    <w:div w:id="986478125">
      <w:bodyDiv w:val="1"/>
      <w:marLeft w:val="0"/>
      <w:marRight w:val="0"/>
      <w:marTop w:val="0"/>
      <w:marBottom w:val="0"/>
      <w:divBdr>
        <w:top w:val="none" w:sz="0" w:space="0" w:color="auto"/>
        <w:left w:val="none" w:sz="0" w:space="0" w:color="auto"/>
        <w:bottom w:val="none" w:sz="0" w:space="0" w:color="auto"/>
        <w:right w:val="none" w:sz="0" w:space="0" w:color="auto"/>
      </w:divBdr>
    </w:div>
    <w:div w:id="990017593">
      <w:bodyDiv w:val="1"/>
      <w:marLeft w:val="0"/>
      <w:marRight w:val="0"/>
      <w:marTop w:val="0"/>
      <w:marBottom w:val="0"/>
      <w:divBdr>
        <w:top w:val="none" w:sz="0" w:space="0" w:color="auto"/>
        <w:left w:val="none" w:sz="0" w:space="0" w:color="auto"/>
        <w:bottom w:val="none" w:sz="0" w:space="0" w:color="auto"/>
        <w:right w:val="none" w:sz="0" w:space="0" w:color="auto"/>
      </w:divBdr>
    </w:div>
    <w:div w:id="1004211527">
      <w:bodyDiv w:val="1"/>
      <w:marLeft w:val="0"/>
      <w:marRight w:val="0"/>
      <w:marTop w:val="0"/>
      <w:marBottom w:val="0"/>
      <w:divBdr>
        <w:top w:val="none" w:sz="0" w:space="0" w:color="auto"/>
        <w:left w:val="none" w:sz="0" w:space="0" w:color="auto"/>
        <w:bottom w:val="none" w:sz="0" w:space="0" w:color="auto"/>
        <w:right w:val="none" w:sz="0" w:space="0" w:color="auto"/>
      </w:divBdr>
    </w:div>
    <w:div w:id="1004823664">
      <w:bodyDiv w:val="1"/>
      <w:marLeft w:val="0"/>
      <w:marRight w:val="0"/>
      <w:marTop w:val="0"/>
      <w:marBottom w:val="0"/>
      <w:divBdr>
        <w:top w:val="none" w:sz="0" w:space="0" w:color="auto"/>
        <w:left w:val="none" w:sz="0" w:space="0" w:color="auto"/>
        <w:bottom w:val="none" w:sz="0" w:space="0" w:color="auto"/>
        <w:right w:val="none" w:sz="0" w:space="0" w:color="auto"/>
      </w:divBdr>
    </w:div>
    <w:div w:id="1006327050">
      <w:bodyDiv w:val="1"/>
      <w:marLeft w:val="0"/>
      <w:marRight w:val="0"/>
      <w:marTop w:val="0"/>
      <w:marBottom w:val="0"/>
      <w:divBdr>
        <w:top w:val="none" w:sz="0" w:space="0" w:color="auto"/>
        <w:left w:val="none" w:sz="0" w:space="0" w:color="auto"/>
        <w:bottom w:val="none" w:sz="0" w:space="0" w:color="auto"/>
        <w:right w:val="none" w:sz="0" w:space="0" w:color="auto"/>
      </w:divBdr>
    </w:div>
    <w:div w:id="1012294288">
      <w:bodyDiv w:val="1"/>
      <w:marLeft w:val="0"/>
      <w:marRight w:val="0"/>
      <w:marTop w:val="0"/>
      <w:marBottom w:val="0"/>
      <w:divBdr>
        <w:top w:val="none" w:sz="0" w:space="0" w:color="auto"/>
        <w:left w:val="none" w:sz="0" w:space="0" w:color="auto"/>
        <w:bottom w:val="none" w:sz="0" w:space="0" w:color="auto"/>
        <w:right w:val="none" w:sz="0" w:space="0" w:color="auto"/>
      </w:divBdr>
    </w:div>
    <w:div w:id="1018850094">
      <w:bodyDiv w:val="1"/>
      <w:marLeft w:val="0"/>
      <w:marRight w:val="0"/>
      <w:marTop w:val="0"/>
      <w:marBottom w:val="0"/>
      <w:divBdr>
        <w:top w:val="none" w:sz="0" w:space="0" w:color="auto"/>
        <w:left w:val="none" w:sz="0" w:space="0" w:color="auto"/>
        <w:bottom w:val="none" w:sz="0" w:space="0" w:color="auto"/>
        <w:right w:val="none" w:sz="0" w:space="0" w:color="auto"/>
      </w:divBdr>
    </w:div>
    <w:div w:id="1023630138">
      <w:bodyDiv w:val="1"/>
      <w:marLeft w:val="0"/>
      <w:marRight w:val="0"/>
      <w:marTop w:val="0"/>
      <w:marBottom w:val="0"/>
      <w:divBdr>
        <w:top w:val="none" w:sz="0" w:space="0" w:color="auto"/>
        <w:left w:val="none" w:sz="0" w:space="0" w:color="auto"/>
        <w:bottom w:val="none" w:sz="0" w:space="0" w:color="auto"/>
        <w:right w:val="none" w:sz="0" w:space="0" w:color="auto"/>
      </w:divBdr>
    </w:div>
    <w:div w:id="1024794923">
      <w:bodyDiv w:val="1"/>
      <w:marLeft w:val="0"/>
      <w:marRight w:val="0"/>
      <w:marTop w:val="0"/>
      <w:marBottom w:val="0"/>
      <w:divBdr>
        <w:top w:val="none" w:sz="0" w:space="0" w:color="auto"/>
        <w:left w:val="none" w:sz="0" w:space="0" w:color="auto"/>
        <w:bottom w:val="none" w:sz="0" w:space="0" w:color="auto"/>
        <w:right w:val="none" w:sz="0" w:space="0" w:color="auto"/>
      </w:divBdr>
    </w:div>
    <w:div w:id="1027802786">
      <w:bodyDiv w:val="1"/>
      <w:marLeft w:val="0"/>
      <w:marRight w:val="0"/>
      <w:marTop w:val="0"/>
      <w:marBottom w:val="0"/>
      <w:divBdr>
        <w:top w:val="none" w:sz="0" w:space="0" w:color="auto"/>
        <w:left w:val="none" w:sz="0" w:space="0" w:color="auto"/>
        <w:bottom w:val="none" w:sz="0" w:space="0" w:color="auto"/>
        <w:right w:val="none" w:sz="0" w:space="0" w:color="auto"/>
      </w:divBdr>
    </w:div>
    <w:div w:id="1031031433">
      <w:bodyDiv w:val="1"/>
      <w:marLeft w:val="0"/>
      <w:marRight w:val="0"/>
      <w:marTop w:val="0"/>
      <w:marBottom w:val="0"/>
      <w:divBdr>
        <w:top w:val="none" w:sz="0" w:space="0" w:color="auto"/>
        <w:left w:val="none" w:sz="0" w:space="0" w:color="auto"/>
        <w:bottom w:val="none" w:sz="0" w:space="0" w:color="auto"/>
        <w:right w:val="none" w:sz="0" w:space="0" w:color="auto"/>
      </w:divBdr>
    </w:div>
    <w:div w:id="1031885092">
      <w:bodyDiv w:val="1"/>
      <w:marLeft w:val="0"/>
      <w:marRight w:val="0"/>
      <w:marTop w:val="0"/>
      <w:marBottom w:val="0"/>
      <w:divBdr>
        <w:top w:val="none" w:sz="0" w:space="0" w:color="auto"/>
        <w:left w:val="none" w:sz="0" w:space="0" w:color="auto"/>
        <w:bottom w:val="none" w:sz="0" w:space="0" w:color="auto"/>
        <w:right w:val="none" w:sz="0" w:space="0" w:color="auto"/>
      </w:divBdr>
    </w:div>
    <w:div w:id="1043561253">
      <w:bodyDiv w:val="1"/>
      <w:marLeft w:val="0"/>
      <w:marRight w:val="0"/>
      <w:marTop w:val="0"/>
      <w:marBottom w:val="0"/>
      <w:divBdr>
        <w:top w:val="none" w:sz="0" w:space="0" w:color="auto"/>
        <w:left w:val="none" w:sz="0" w:space="0" w:color="auto"/>
        <w:bottom w:val="none" w:sz="0" w:space="0" w:color="auto"/>
        <w:right w:val="none" w:sz="0" w:space="0" w:color="auto"/>
      </w:divBdr>
    </w:div>
    <w:div w:id="1044867187">
      <w:bodyDiv w:val="1"/>
      <w:marLeft w:val="0"/>
      <w:marRight w:val="0"/>
      <w:marTop w:val="0"/>
      <w:marBottom w:val="0"/>
      <w:divBdr>
        <w:top w:val="none" w:sz="0" w:space="0" w:color="auto"/>
        <w:left w:val="none" w:sz="0" w:space="0" w:color="auto"/>
        <w:bottom w:val="none" w:sz="0" w:space="0" w:color="auto"/>
        <w:right w:val="none" w:sz="0" w:space="0" w:color="auto"/>
      </w:divBdr>
    </w:div>
    <w:div w:id="1045519646">
      <w:bodyDiv w:val="1"/>
      <w:marLeft w:val="0"/>
      <w:marRight w:val="0"/>
      <w:marTop w:val="0"/>
      <w:marBottom w:val="0"/>
      <w:divBdr>
        <w:top w:val="none" w:sz="0" w:space="0" w:color="auto"/>
        <w:left w:val="none" w:sz="0" w:space="0" w:color="auto"/>
        <w:bottom w:val="none" w:sz="0" w:space="0" w:color="auto"/>
        <w:right w:val="none" w:sz="0" w:space="0" w:color="auto"/>
      </w:divBdr>
    </w:div>
    <w:div w:id="1053164519">
      <w:bodyDiv w:val="1"/>
      <w:marLeft w:val="0"/>
      <w:marRight w:val="0"/>
      <w:marTop w:val="0"/>
      <w:marBottom w:val="0"/>
      <w:divBdr>
        <w:top w:val="none" w:sz="0" w:space="0" w:color="auto"/>
        <w:left w:val="none" w:sz="0" w:space="0" w:color="auto"/>
        <w:bottom w:val="none" w:sz="0" w:space="0" w:color="auto"/>
        <w:right w:val="none" w:sz="0" w:space="0" w:color="auto"/>
      </w:divBdr>
    </w:div>
    <w:div w:id="1059093369">
      <w:bodyDiv w:val="1"/>
      <w:marLeft w:val="0"/>
      <w:marRight w:val="0"/>
      <w:marTop w:val="0"/>
      <w:marBottom w:val="0"/>
      <w:divBdr>
        <w:top w:val="none" w:sz="0" w:space="0" w:color="auto"/>
        <w:left w:val="none" w:sz="0" w:space="0" w:color="auto"/>
        <w:bottom w:val="none" w:sz="0" w:space="0" w:color="auto"/>
        <w:right w:val="none" w:sz="0" w:space="0" w:color="auto"/>
      </w:divBdr>
    </w:div>
    <w:div w:id="1060522619">
      <w:bodyDiv w:val="1"/>
      <w:marLeft w:val="0"/>
      <w:marRight w:val="0"/>
      <w:marTop w:val="0"/>
      <w:marBottom w:val="0"/>
      <w:divBdr>
        <w:top w:val="none" w:sz="0" w:space="0" w:color="auto"/>
        <w:left w:val="none" w:sz="0" w:space="0" w:color="auto"/>
        <w:bottom w:val="none" w:sz="0" w:space="0" w:color="auto"/>
        <w:right w:val="none" w:sz="0" w:space="0" w:color="auto"/>
      </w:divBdr>
    </w:div>
    <w:div w:id="1061365075">
      <w:bodyDiv w:val="1"/>
      <w:marLeft w:val="0"/>
      <w:marRight w:val="0"/>
      <w:marTop w:val="0"/>
      <w:marBottom w:val="0"/>
      <w:divBdr>
        <w:top w:val="none" w:sz="0" w:space="0" w:color="auto"/>
        <w:left w:val="none" w:sz="0" w:space="0" w:color="auto"/>
        <w:bottom w:val="none" w:sz="0" w:space="0" w:color="auto"/>
        <w:right w:val="none" w:sz="0" w:space="0" w:color="auto"/>
      </w:divBdr>
    </w:div>
    <w:div w:id="1065227356">
      <w:bodyDiv w:val="1"/>
      <w:marLeft w:val="0"/>
      <w:marRight w:val="0"/>
      <w:marTop w:val="0"/>
      <w:marBottom w:val="0"/>
      <w:divBdr>
        <w:top w:val="none" w:sz="0" w:space="0" w:color="auto"/>
        <w:left w:val="none" w:sz="0" w:space="0" w:color="auto"/>
        <w:bottom w:val="none" w:sz="0" w:space="0" w:color="auto"/>
        <w:right w:val="none" w:sz="0" w:space="0" w:color="auto"/>
      </w:divBdr>
    </w:div>
    <w:div w:id="1067070016">
      <w:bodyDiv w:val="1"/>
      <w:marLeft w:val="0"/>
      <w:marRight w:val="0"/>
      <w:marTop w:val="0"/>
      <w:marBottom w:val="0"/>
      <w:divBdr>
        <w:top w:val="none" w:sz="0" w:space="0" w:color="auto"/>
        <w:left w:val="none" w:sz="0" w:space="0" w:color="auto"/>
        <w:bottom w:val="none" w:sz="0" w:space="0" w:color="auto"/>
        <w:right w:val="none" w:sz="0" w:space="0" w:color="auto"/>
      </w:divBdr>
    </w:div>
    <w:div w:id="1072193948">
      <w:bodyDiv w:val="1"/>
      <w:marLeft w:val="0"/>
      <w:marRight w:val="0"/>
      <w:marTop w:val="0"/>
      <w:marBottom w:val="0"/>
      <w:divBdr>
        <w:top w:val="none" w:sz="0" w:space="0" w:color="auto"/>
        <w:left w:val="none" w:sz="0" w:space="0" w:color="auto"/>
        <w:bottom w:val="none" w:sz="0" w:space="0" w:color="auto"/>
        <w:right w:val="none" w:sz="0" w:space="0" w:color="auto"/>
      </w:divBdr>
    </w:div>
    <w:div w:id="1074088023">
      <w:bodyDiv w:val="1"/>
      <w:marLeft w:val="0"/>
      <w:marRight w:val="0"/>
      <w:marTop w:val="0"/>
      <w:marBottom w:val="0"/>
      <w:divBdr>
        <w:top w:val="none" w:sz="0" w:space="0" w:color="auto"/>
        <w:left w:val="none" w:sz="0" w:space="0" w:color="auto"/>
        <w:bottom w:val="none" w:sz="0" w:space="0" w:color="auto"/>
        <w:right w:val="none" w:sz="0" w:space="0" w:color="auto"/>
      </w:divBdr>
    </w:div>
    <w:div w:id="1075014968">
      <w:bodyDiv w:val="1"/>
      <w:marLeft w:val="0"/>
      <w:marRight w:val="0"/>
      <w:marTop w:val="0"/>
      <w:marBottom w:val="0"/>
      <w:divBdr>
        <w:top w:val="none" w:sz="0" w:space="0" w:color="auto"/>
        <w:left w:val="none" w:sz="0" w:space="0" w:color="auto"/>
        <w:bottom w:val="none" w:sz="0" w:space="0" w:color="auto"/>
        <w:right w:val="none" w:sz="0" w:space="0" w:color="auto"/>
      </w:divBdr>
    </w:div>
    <w:div w:id="1075203171">
      <w:bodyDiv w:val="1"/>
      <w:marLeft w:val="0"/>
      <w:marRight w:val="0"/>
      <w:marTop w:val="0"/>
      <w:marBottom w:val="0"/>
      <w:divBdr>
        <w:top w:val="none" w:sz="0" w:space="0" w:color="auto"/>
        <w:left w:val="none" w:sz="0" w:space="0" w:color="auto"/>
        <w:bottom w:val="none" w:sz="0" w:space="0" w:color="auto"/>
        <w:right w:val="none" w:sz="0" w:space="0" w:color="auto"/>
      </w:divBdr>
    </w:div>
    <w:div w:id="1077164547">
      <w:bodyDiv w:val="1"/>
      <w:marLeft w:val="0"/>
      <w:marRight w:val="0"/>
      <w:marTop w:val="0"/>
      <w:marBottom w:val="0"/>
      <w:divBdr>
        <w:top w:val="none" w:sz="0" w:space="0" w:color="auto"/>
        <w:left w:val="none" w:sz="0" w:space="0" w:color="auto"/>
        <w:bottom w:val="none" w:sz="0" w:space="0" w:color="auto"/>
        <w:right w:val="none" w:sz="0" w:space="0" w:color="auto"/>
      </w:divBdr>
    </w:div>
    <w:div w:id="1081678168">
      <w:bodyDiv w:val="1"/>
      <w:marLeft w:val="0"/>
      <w:marRight w:val="0"/>
      <w:marTop w:val="0"/>
      <w:marBottom w:val="0"/>
      <w:divBdr>
        <w:top w:val="none" w:sz="0" w:space="0" w:color="auto"/>
        <w:left w:val="none" w:sz="0" w:space="0" w:color="auto"/>
        <w:bottom w:val="none" w:sz="0" w:space="0" w:color="auto"/>
        <w:right w:val="none" w:sz="0" w:space="0" w:color="auto"/>
      </w:divBdr>
    </w:div>
    <w:div w:id="1082331417">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92551354">
      <w:bodyDiv w:val="1"/>
      <w:marLeft w:val="0"/>
      <w:marRight w:val="0"/>
      <w:marTop w:val="0"/>
      <w:marBottom w:val="0"/>
      <w:divBdr>
        <w:top w:val="none" w:sz="0" w:space="0" w:color="auto"/>
        <w:left w:val="none" w:sz="0" w:space="0" w:color="auto"/>
        <w:bottom w:val="none" w:sz="0" w:space="0" w:color="auto"/>
        <w:right w:val="none" w:sz="0" w:space="0" w:color="auto"/>
      </w:divBdr>
    </w:div>
    <w:div w:id="1093286112">
      <w:bodyDiv w:val="1"/>
      <w:marLeft w:val="0"/>
      <w:marRight w:val="0"/>
      <w:marTop w:val="0"/>
      <w:marBottom w:val="0"/>
      <w:divBdr>
        <w:top w:val="none" w:sz="0" w:space="0" w:color="auto"/>
        <w:left w:val="none" w:sz="0" w:space="0" w:color="auto"/>
        <w:bottom w:val="none" w:sz="0" w:space="0" w:color="auto"/>
        <w:right w:val="none" w:sz="0" w:space="0" w:color="auto"/>
      </w:divBdr>
    </w:div>
    <w:div w:id="1097795429">
      <w:bodyDiv w:val="1"/>
      <w:marLeft w:val="0"/>
      <w:marRight w:val="0"/>
      <w:marTop w:val="0"/>
      <w:marBottom w:val="0"/>
      <w:divBdr>
        <w:top w:val="none" w:sz="0" w:space="0" w:color="auto"/>
        <w:left w:val="none" w:sz="0" w:space="0" w:color="auto"/>
        <w:bottom w:val="none" w:sz="0" w:space="0" w:color="auto"/>
        <w:right w:val="none" w:sz="0" w:space="0" w:color="auto"/>
      </w:divBdr>
    </w:div>
    <w:div w:id="1104376546">
      <w:bodyDiv w:val="1"/>
      <w:marLeft w:val="0"/>
      <w:marRight w:val="0"/>
      <w:marTop w:val="0"/>
      <w:marBottom w:val="0"/>
      <w:divBdr>
        <w:top w:val="none" w:sz="0" w:space="0" w:color="auto"/>
        <w:left w:val="none" w:sz="0" w:space="0" w:color="auto"/>
        <w:bottom w:val="none" w:sz="0" w:space="0" w:color="auto"/>
        <w:right w:val="none" w:sz="0" w:space="0" w:color="auto"/>
      </w:divBdr>
    </w:div>
    <w:div w:id="1105155498">
      <w:bodyDiv w:val="1"/>
      <w:marLeft w:val="0"/>
      <w:marRight w:val="0"/>
      <w:marTop w:val="0"/>
      <w:marBottom w:val="0"/>
      <w:divBdr>
        <w:top w:val="none" w:sz="0" w:space="0" w:color="auto"/>
        <w:left w:val="none" w:sz="0" w:space="0" w:color="auto"/>
        <w:bottom w:val="none" w:sz="0" w:space="0" w:color="auto"/>
        <w:right w:val="none" w:sz="0" w:space="0" w:color="auto"/>
      </w:divBdr>
    </w:div>
    <w:div w:id="1105803593">
      <w:bodyDiv w:val="1"/>
      <w:marLeft w:val="0"/>
      <w:marRight w:val="0"/>
      <w:marTop w:val="0"/>
      <w:marBottom w:val="0"/>
      <w:divBdr>
        <w:top w:val="none" w:sz="0" w:space="0" w:color="auto"/>
        <w:left w:val="none" w:sz="0" w:space="0" w:color="auto"/>
        <w:bottom w:val="none" w:sz="0" w:space="0" w:color="auto"/>
        <w:right w:val="none" w:sz="0" w:space="0" w:color="auto"/>
      </w:divBdr>
    </w:div>
    <w:div w:id="1109933942">
      <w:bodyDiv w:val="1"/>
      <w:marLeft w:val="0"/>
      <w:marRight w:val="0"/>
      <w:marTop w:val="0"/>
      <w:marBottom w:val="0"/>
      <w:divBdr>
        <w:top w:val="none" w:sz="0" w:space="0" w:color="auto"/>
        <w:left w:val="none" w:sz="0" w:space="0" w:color="auto"/>
        <w:bottom w:val="none" w:sz="0" w:space="0" w:color="auto"/>
        <w:right w:val="none" w:sz="0" w:space="0" w:color="auto"/>
      </w:divBdr>
    </w:div>
    <w:div w:id="1110591298">
      <w:bodyDiv w:val="1"/>
      <w:marLeft w:val="0"/>
      <w:marRight w:val="0"/>
      <w:marTop w:val="0"/>
      <w:marBottom w:val="0"/>
      <w:divBdr>
        <w:top w:val="none" w:sz="0" w:space="0" w:color="auto"/>
        <w:left w:val="none" w:sz="0" w:space="0" w:color="auto"/>
        <w:bottom w:val="none" w:sz="0" w:space="0" w:color="auto"/>
        <w:right w:val="none" w:sz="0" w:space="0" w:color="auto"/>
      </w:divBdr>
    </w:div>
    <w:div w:id="1115556606">
      <w:bodyDiv w:val="1"/>
      <w:marLeft w:val="0"/>
      <w:marRight w:val="0"/>
      <w:marTop w:val="0"/>
      <w:marBottom w:val="0"/>
      <w:divBdr>
        <w:top w:val="none" w:sz="0" w:space="0" w:color="auto"/>
        <w:left w:val="none" w:sz="0" w:space="0" w:color="auto"/>
        <w:bottom w:val="none" w:sz="0" w:space="0" w:color="auto"/>
        <w:right w:val="none" w:sz="0" w:space="0" w:color="auto"/>
      </w:divBdr>
    </w:div>
    <w:div w:id="1118718473">
      <w:bodyDiv w:val="1"/>
      <w:marLeft w:val="0"/>
      <w:marRight w:val="0"/>
      <w:marTop w:val="0"/>
      <w:marBottom w:val="0"/>
      <w:divBdr>
        <w:top w:val="none" w:sz="0" w:space="0" w:color="auto"/>
        <w:left w:val="none" w:sz="0" w:space="0" w:color="auto"/>
        <w:bottom w:val="none" w:sz="0" w:space="0" w:color="auto"/>
        <w:right w:val="none" w:sz="0" w:space="0" w:color="auto"/>
      </w:divBdr>
    </w:div>
    <w:div w:id="1119298314">
      <w:bodyDiv w:val="1"/>
      <w:marLeft w:val="0"/>
      <w:marRight w:val="0"/>
      <w:marTop w:val="0"/>
      <w:marBottom w:val="0"/>
      <w:divBdr>
        <w:top w:val="none" w:sz="0" w:space="0" w:color="auto"/>
        <w:left w:val="none" w:sz="0" w:space="0" w:color="auto"/>
        <w:bottom w:val="none" w:sz="0" w:space="0" w:color="auto"/>
        <w:right w:val="none" w:sz="0" w:space="0" w:color="auto"/>
      </w:divBdr>
    </w:div>
    <w:div w:id="1120802056">
      <w:bodyDiv w:val="1"/>
      <w:marLeft w:val="0"/>
      <w:marRight w:val="0"/>
      <w:marTop w:val="0"/>
      <w:marBottom w:val="0"/>
      <w:divBdr>
        <w:top w:val="none" w:sz="0" w:space="0" w:color="auto"/>
        <w:left w:val="none" w:sz="0" w:space="0" w:color="auto"/>
        <w:bottom w:val="none" w:sz="0" w:space="0" w:color="auto"/>
        <w:right w:val="none" w:sz="0" w:space="0" w:color="auto"/>
      </w:divBdr>
    </w:div>
    <w:div w:id="1126116368">
      <w:bodyDiv w:val="1"/>
      <w:marLeft w:val="0"/>
      <w:marRight w:val="0"/>
      <w:marTop w:val="0"/>
      <w:marBottom w:val="0"/>
      <w:divBdr>
        <w:top w:val="none" w:sz="0" w:space="0" w:color="auto"/>
        <w:left w:val="none" w:sz="0" w:space="0" w:color="auto"/>
        <w:bottom w:val="none" w:sz="0" w:space="0" w:color="auto"/>
        <w:right w:val="none" w:sz="0" w:space="0" w:color="auto"/>
      </w:divBdr>
    </w:div>
    <w:div w:id="1126974529">
      <w:bodyDiv w:val="1"/>
      <w:marLeft w:val="0"/>
      <w:marRight w:val="0"/>
      <w:marTop w:val="0"/>
      <w:marBottom w:val="0"/>
      <w:divBdr>
        <w:top w:val="none" w:sz="0" w:space="0" w:color="auto"/>
        <w:left w:val="none" w:sz="0" w:space="0" w:color="auto"/>
        <w:bottom w:val="none" w:sz="0" w:space="0" w:color="auto"/>
        <w:right w:val="none" w:sz="0" w:space="0" w:color="auto"/>
      </w:divBdr>
    </w:div>
    <w:div w:id="1127041203">
      <w:bodyDiv w:val="1"/>
      <w:marLeft w:val="0"/>
      <w:marRight w:val="0"/>
      <w:marTop w:val="0"/>
      <w:marBottom w:val="0"/>
      <w:divBdr>
        <w:top w:val="none" w:sz="0" w:space="0" w:color="auto"/>
        <w:left w:val="none" w:sz="0" w:space="0" w:color="auto"/>
        <w:bottom w:val="none" w:sz="0" w:space="0" w:color="auto"/>
        <w:right w:val="none" w:sz="0" w:space="0" w:color="auto"/>
      </w:divBdr>
    </w:div>
    <w:div w:id="1128549148">
      <w:bodyDiv w:val="1"/>
      <w:marLeft w:val="0"/>
      <w:marRight w:val="0"/>
      <w:marTop w:val="0"/>
      <w:marBottom w:val="0"/>
      <w:divBdr>
        <w:top w:val="none" w:sz="0" w:space="0" w:color="auto"/>
        <w:left w:val="none" w:sz="0" w:space="0" w:color="auto"/>
        <w:bottom w:val="none" w:sz="0" w:space="0" w:color="auto"/>
        <w:right w:val="none" w:sz="0" w:space="0" w:color="auto"/>
      </w:divBdr>
    </w:div>
    <w:div w:id="1129779588">
      <w:bodyDiv w:val="1"/>
      <w:marLeft w:val="0"/>
      <w:marRight w:val="0"/>
      <w:marTop w:val="0"/>
      <w:marBottom w:val="0"/>
      <w:divBdr>
        <w:top w:val="none" w:sz="0" w:space="0" w:color="auto"/>
        <w:left w:val="none" w:sz="0" w:space="0" w:color="auto"/>
        <w:bottom w:val="none" w:sz="0" w:space="0" w:color="auto"/>
        <w:right w:val="none" w:sz="0" w:space="0" w:color="auto"/>
      </w:divBdr>
    </w:div>
    <w:div w:id="1130629676">
      <w:bodyDiv w:val="1"/>
      <w:marLeft w:val="0"/>
      <w:marRight w:val="0"/>
      <w:marTop w:val="0"/>
      <w:marBottom w:val="0"/>
      <w:divBdr>
        <w:top w:val="none" w:sz="0" w:space="0" w:color="auto"/>
        <w:left w:val="none" w:sz="0" w:space="0" w:color="auto"/>
        <w:bottom w:val="none" w:sz="0" w:space="0" w:color="auto"/>
        <w:right w:val="none" w:sz="0" w:space="0" w:color="auto"/>
      </w:divBdr>
    </w:div>
    <w:div w:id="1131439550">
      <w:bodyDiv w:val="1"/>
      <w:marLeft w:val="0"/>
      <w:marRight w:val="0"/>
      <w:marTop w:val="0"/>
      <w:marBottom w:val="0"/>
      <w:divBdr>
        <w:top w:val="none" w:sz="0" w:space="0" w:color="auto"/>
        <w:left w:val="none" w:sz="0" w:space="0" w:color="auto"/>
        <w:bottom w:val="none" w:sz="0" w:space="0" w:color="auto"/>
        <w:right w:val="none" w:sz="0" w:space="0" w:color="auto"/>
      </w:divBdr>
    </w:div>
    <w:div w:id="1135296444">
      <w:bodyDiv w:val="1"/>
      <w:marLeft w:val="0"/>
      <w:marRight w:val="0"/>
      <w:marTop w:val="0"/>
      <w:marBottom w:val="0"/>
      <w:divBdr>
        <w:top w:val="none" w:sz="0" w:space="0" w:color="auto"/>
        <w:left w:val="none" w:sz="0" w:space="0" w:color="auto"/>
        <w:bottom w:val="none" w:sz="0" w:space="0" w:color="auto"/>
        <w:right w:val="none" w:sz="0" w:space="0" w:color="auto"/>
      </w:divBdr>
    </w:div>
    <w:div w:id="1138379265">
      <w:bodyDiv w:val="1"/>
      <w:marLeft w:val="0"/>
      <w:marRight w:val="0"/>
      <w:marTop w:val="0"/>
      <w:marBottom w:val="0"/>
      <w:divBdr>
        <w:top w:val="none" w:sz="0" w:space="0" w:color="auto"/>
        <w:left w:val="none" w:sz="0" w:space="0" w:color="auto"/>
        <w:bottom w:val="none" w:sz="0" w:space="0" w:color="auto"/>
        <w:right w:val="none" w:sz="0" w:space="0" w:color="auto"/>
      </w:divBdr>
    </w:div>
    <w:div w:id="1140348630">
      <w:bodyDiv w:val="1"/>
      <w:marLeft w:val="0"/>
      <w:marRight w:val="0"/>
      <w:marTop w:val="0"/>
      <w:marBottom w:val="0"/>
      <w:divBdr>
        <w:top w:val="none" w:sz="0" w:space="0" w:color="auto"/>
        <w:left w:val="none" w:sz="0" w:space="0" w:color="auto"/>
        <w:bottom w:val="none" w:sz="0" w:space="0" w:color="auto"/>
        <w:right w:val="none" w:sz="0" w:space="0" w:color="auto"/>
      </w:divBdr>
    </w:div>
    <w:div w:id="1147473514">
      <w:bodyDiv w:val="1"/>
      <w:marLeft w:val="0"/>
      <w:marRight w:val="0"/>
      <w:marTop w:val="0"/>
      <w:marBottom w:val="0"/>
      <w:divBdr>
        <w:top w:val="none" w:sz="0" w:space="0" w:color="auto"/>
        <w:left w:val="none" w:sz="0" w:space="0" w:color="auto"/>
        <w:bottom w:val="none" w:sz="0" w:space="0" w:color="auto"/>
        <w:right w:val="none" w:sz="0" w:space="0" w:color="auto"/>
      </w:divBdr>
    </w:div>
    <w:div w:id="1150950122">
      <w:bodyDiv w:val="1"/>
      <w:marLeft w:val="0"/>
      <w:marRight w:val="0"/>
      <w:marTop w:val="0"/>
      <w:marBottom w:val="0"/>
      <w:divBdr>
        <w:top w:val="none" w:sz="0" w:space="0" w:color="auto"/>
        <w:left w:val="none" w:sz="0" w:space="0" w:color="auto"/>
        <w:bottom w:val="none" w:sz="0" w:space="0" w:color="auto"/>
        <w:right w:val="none" w:sz="0" w:space="0" w:color="auto"/>
      </w:divBdr>
      <w:divsChild>
        <w:div w:id="1074469177">
          <w:marLeft w:val="0"/>
          <w:marRight w:val="0"/>
          <w:marTop w:val="0"/>
          <w:marBottom w:val="0"/>
          <w:divBdr>
            <w:top w:val="none" w:sz="0" w:space="0" w:color="auto"/>
            <w:left w:val="none" w:sz="0" w:space="0" w:color="auto"/>
            <w:bottom w:val="none" w:sz="0" w:space="0" w:color="auto"/>
            <w:right w:val="none" w:sz="0" w:space="0" w:color="auto"/>
          </w:divBdr>
          <w:divsChild>
            <w:div w:id="952321791">
              <w:marLeft w:val="0"/>
              <w:marRight w:val="0"/>
              <w:marTop w:val="0"/>
              <w:marBottom w:val="0"/>
              <w:divBdr>
                <w:top w:val="none" w:sz="0" w:space="0" w:color="auto"/>
                <w:left w:val="none" w:sz="0" w:space="0" w:color="auto"/>
                <w:bottom w:val="none" w:sz="0" w:space="0" w:color="auto"/>
                <w:right w:val="none" w:sz="0" w:space="0" w:color="auto"/>
              </w:divBdr>
              <w:divsChild>
                <w:div w:id="566887105">
                  <w:marLeft w:val="0"/>
                  <w:marRight w:val="0"/>
                  <w:marTop w:val="0"/>
                  <w:marBottom w:val="0"/>
                  <w:divBdr>
                    <w:top w:val="none" w:sz="0" w:space="0" w:color="auto"/>
                    <w:left w:val="none" w:sz="0" w:space="0" w:color="auto"/>
                    <w:bottom w:val="none" w:sz="0" w:space="0" w:color="auto"/>
                    <w:right w:val="none" w:sz="0" w:space="0" w:color="auto"/>
                  </w:divBdr>
                  <w:divsChild>
                    <w:div w:id="803540817">
                      <w:marLeft w:val="0"/>
                      <w:marRight w:val="0"/>
                      <w:marTop w:val="0"/>
                      <w:marBottom w:val="0"/>
                      <w:divBdr>
                        <w:top w:val="none" w:sz="0" w:space="0" w:color="auto"/>
                        <w:left w:val="none" w:sz="0" w:space="0" w:color="auto"/>
                        <w:bottom w:val="none" w:sz="0" w:space="0" w:color="auto"/>
                        <w:right w:val="none" w:sz="0" w:space="0" w:color="auto"/>
                      </w:divBdr>
                      <w:divsChild>
                        <w:div w:id="852646589">
                          <w:marLeft w:val="0"/>
                          <w:marRight w:val="0"/>
                          <w:marTop w:val="0"/>
                          <w:marBottom w:val="0"/>
                          <w:divBdr>
                            <w:top w:val="none" w:sz="0" w:space="0" w:color="auto"/>
                            <w:left w:val="none" w:sz="0" w:space="0" w:color="auto"/>
                            <w:bottom w:val="none" w:sz="0" w:space="0" w:color="auto"/>
                            <w:right w:val="none" w:sz="0" w:space="0" w:color="auto"/>
                          </w:divBdr>
                          <w:divsChild>
                            <w:div w:id="38944080">
                              <w:marLeft w:val="0"/>
                              <w:marRight w:val="0"/>
                              <w:marTop w:val="0"/>
                              <w:marBottom w:val="0"/>
                              <w:divBdr>
                                <w:top w:val="none" w:sz="0" w:space="0" w:color="auto"/>
                                <w:left w:val="none" w:sz="0" w:space="0" w:color="auto"/>
                                <w:bottom w:val="none" w:sz="0" w:space="0" w:color="auto"/>
                                <w:right w:val="none" w:sz="0" w:space="0" w:color="auto"/>
                              </w:divBdr>
                              <w:divsChild>
                                <w:div w:id="1028138457">
                                  <w:marLeft w:val="0"/>
                                  <w:marRight w:val="0"/>
                                  <w:marTop w:val="0"/>
                                  <w:marBottom w:val="0"/>
                                  <w:divBdr>
                                    <w:top w:val="none" w:sz="0" w:space="0" w:color="auto"/>
                                    <w:left w:val="none" w:sz="0" w:space="0" w:color="auto"/>
                                    <w:bottom w:val="none" w:sz="0" w:space="0" w:color="auto"/>
                                    <w:right w:val="none" w:sz="0" w:space="0" w:color="auto"/>
                                  </w:divBdr>
                                  <w:divsChild>
                                    <w:div w:id="501429163">
                                      <w:marLeft w:val="0"/>
                                      <w:marRight w:val="0"/>
                                      <w:marTop w:val="0"/>
                                      <w:marBottom w:val="0"/>
                                      <w:divBdr>
                                        <w:top w:val="none" w:sz="0" w:space="0" w:color="auto"/>
                                        <w:left w:val="none" w:sz="0" w:space="0" w:color="auto"/>
                                        <w:bottom w:val="none" w:sz="0" w:space="0" w:color="auto"/>
                                        <w:right w:val="none" w:sz="0" w:space="0" w:color="auto"/>
                                      </w:divBdr>
                                      <w:divsChild>
                                        <w:div w:id="562570156">
                                          <w:marLeft w:val="0"/>
                                          <w:marRight w:val="0"/>
                                          <w:marTop w:val="0"/>
                                          <w:marBottom w:val="0"/>
                                          <w:divBdr>
                                            <w:top w:val="none" w:sz="0" w:space="0" w:color="auto"/>
                                            <w:left w:val="none" w:sz="0" w:space="0" w:color="auto"/>
                                            <w:bottom w:val="none" w:sz="0" w:space="0" w:color="auto"/>
                                            <w:right w:val="none" w:sz="0" w:space="0" w:color="auto"/>
                                          </w:divBdr>
                                          <w:divsChild>
                                            <w:div w:id="101897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8181171">
          <w:marLeft w:val="0"/>
          <w:marRight w:val="0"/>
          <w:marTop w:val="0"/>
          <w:marBottom w:val="0"/>
          <w:divBdr>
            <w:top w:val="none" w:sz="0" w:space="0" w:color="auto"/>
            <w:left w:val="none" w:sz="0" w:space="0" w:color="auto"/>
            <w:bottom w:val="none" w:sz="0" w:space="0" w:color="auto"/>
            <w:right w:val="none" w:sz="0" w:space="0" w:color="auto"/>
          </w:divBdr>
          <w:divsChild>
            <w:div w:id="654183266">
              <w:marLeft w:val="0"/>
              <w:marRight w:val="0"/>
              <w:marTop w:val="0"/>
              <w:marBottom w:val="0"/>
              <w:divBdr>
                <w:top w:val="none" w:sz="0" w:space="0" w:color="auto"/>
                <w:left w:val="none" w:sz="0" w:space="0" w:color="auto"/>
                <w:bottom w:val="none" w:sz="0" w:space="0" w:color="auto"/>
                <w:right w:val="none" w:sz="0" w:space="0" w:color="auto"/>
              </w:divBdr>
              <w:divsChild>
                <w:div w:id="992413063">
                  <w:marLeft w:val="0"/>
                  <w:marRight w:val="0"/>
                  <w:marTop w:val="0"/>
                  <w:marBottom w:val="0"/>
                  <w:divBdr>
                    <w:top w:val="none" w:sz="0" w:space="0" w:color="auto"/>
                    <w:left w:val="none" w:sz="0" w:space="0" w:color="auto"/>
                    <w:bottom w:val="none" w:sz="0" w:space="0" w:color="auto"/>
                    <w:right w:val="none" w:sz="0" w:space="0" w:color="auto"/>
                  </w:divBdr>
                  <w:divsChild>
                    <w:div w:id="2034383334">
                      <w:marLeft w:val="0"/>
                      <w:marRight w:val="0"/>
                      <w:marTop w:val="0"/>
                      <w:marBottom w:val="0"/>
                      <w:divBdr>
                        <w:top w:val="none" w:sz="0" w:space="0" w:color="auto"/>
                        <w:left w:val="none" w:sz="0" w:space="0" w:color="auto"/>
                        <w:bottom w:val="none" w:sz="0" w:space="0" w:color="auto"/>
                        <w:right w:val="none" w:sz="0" w:space="0" w:color="auto"/>
                      </w:divBdr>
                      <w:divsChild>
                        <w:div w:id="45110768">
                          <w:marLeft w:val="0"/>
                          <w:marRight w:val="0"/>
                          <w:marTop w:val="0"/>
                          <w:marBottom w:val="0"/>
                          <w:divBdr>
                            <w:top w:val="none" w:sz="0" w:space="0" w:color="auto"/>
                            <w:left w:val="none" w:sz="0" w:space="0" w:color="auto"/>
                            <w:bottom w:val="none" w:sz="0" w:space="0" w:color="auto"/>
                            <w:right w:val="none" w:sz="0" w:space="0" w:color="auto"/>
                          </w:divBdr>
                          <w:divsChild>
                            <w:div w:id="369183252">
                              <w:marLeft w:val="0"/>
                              <w:marRight w:val="0"/>
                              <w:marTop w:val="0"/>
                              <w:marBottom w:val="0"/>
                              <w:divBdr>
                                <w:top w:val="none" w:sz="0" w:space="0" w:color="auto"/>
                                <w:left w:val="none" w:sz="0" w:space="0" w:color="auto"/>
                                <w:bottom w:val="none" w:sz="0" w:space="0" w:color="auto"/>
                                <w:right w:val="none" w:sz="0" w:space="0" w:color="auto"/>
                              </w:divBdr>
                              <w:divsChild>
                                <w:div w:id="368921062">
                                  <w:marLeft w:val="0"/>
                                  <w:marRight w:val="0"/>
                                  <w:marTop w:val="0"/>
                                  <w:marBottom w:val="0"/>
                                  <w:divBdr>
                                    <w:top w:val="none" w:sz="0" w:space="0" w:color="auto"/>
                                    <w:left w:val="none" w:sz="0" w:space="0" w:color="auto"/>
                                    <w:bottom w:val="none" w:sz="0" w:space="0" w:color="auto"/>
                                    <w:right w:val="none" w:sz="0" w:space="0" w:color="auto"/>
                                  </w:divBdr>
                                  <w:divsChild>
                                    <w:div w:id="562450852">
                                      <w:marLeft w:val="0"/>
                                      <w:marRight w:val="0"/>
                                      <w:marTop w:val="0"/>
                                      <w:marBottom w:val="0"/>
                                      <w:divBdr>
                                        <w:top w:val="none" w:sz="0" w:space="0" w:color="auto"/>
                                        <w:left w:val="none" w:sz="0" w:space="0" w:color="auto"/>
                                        <w:bottom w:val="none" w:sz="0" w:space="0" w:color="auto"/>
                                        <w:right w:val="none" w:sz="0" w:space="0" w:color="auto"/>
                                      </w:divBdr>
                                      <w:divsChild>
                                        <w:div w:id="87932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4834574">
      <w:bodyDiv w:val="1"/>
      <w:marLeft w:val="0"/>
      <w:marRight w:val="0"/>
      <w:marTop w:val="0"/>
      <w:marBottom w:val="0"/>
      <w:divBdr>
        <w:top w:val="none" w:sz="0" w:space="0" w:color="auto"/>
        <w:left w:val="none" w:sz="0" w:space="0" w:color="auto"/>
        <w:bottom w:val="none" w:sz="0" w:space="0" w:color="auto"/>
        <w:right w:val="none" w:sz="0" w:space="0" w:color="auto"/>
      </w:divBdr>
    </w:div>
    <w:div w:id="1168473945">
      <w:bodyDiv w:val="1"/>
      <w:marLeft w:val="0"/>
      <w:marRight w:val="0"/>
      <w:marTop w:val="0"/>
      <w:marBottom w:val="0"/>
      <w:divBdr>
        <w:top w:val="none" w:sz="0" w:space="0" w:color="auto"/>
        <w:left w:val="none" w:sz="0" w:space="0" w:color="auto"/>
        <w:bottom w:val="none" w:sz="0" w:space="0" w:color="auto"/>
        <w:right w:val="none" w:sz="0" w:space="0" w:color="auto"/>
      </w:divBdr>
    </w:div>
    <w:div w:id="1168908050">
      <w:bodyDiv w:val="1"/>
      <w:marLeft w:val="0"/>
      <w:marRight w:val="0"/>
      <w:marTop w:val="0"/>
      <w:marBottom w:val="0"/>
      <w:divBdr>
        <w:top w:val="none" w:sz="0" w:space="0" w:color="auto"/>
        <w:left w:val="none" w:sz="0" w:space="0" w:color="auto"/>
        <w:bottom w:val="none" w:sz="0" w:space="0" w:color="auto"/>
        <w:right w:val="none" w:sz="0" w:space="0" w:color="auto"/>
      </w:divBdr>
    </w:div>
    <w:div w:id="1169515897">
      <w:bodyDiv w:val="1"/>
      <w:marLeft w:val="0"/>
      <w:marRight w:val="0"/>
      <w:marTop w:val="0"/>
      <w:marBottom w:val="0"/>
      <w:divBdr>
        <w:top w:val="none" w:sz="0" w:space="0" w:color="auto"/>
        <w:left w:val="none" w:sz="0" w:space="0" w:color="auto"/>
        <w:bottom w:val="none" w:sz="0" w:space="0" w:color="auto"/>
        <w:right w:val="none" w:sz="0" w:space="0" w:color="auto"/>
      </w:divBdr>
    </w:div>
    <w:div w:id="1170175150">
      <w:bodyDiv w:val="1"/>
      <w:marLeft w:val="0"/>
      <w:marRight w:val="0"/>
      <w:marTop w:val="0"/>
      <w:marBottom w:val="0"/>
      <w:divBdr>
        <w:top w:val="none" w:sz="0" w:space="0" w:color="auto"/>
        <w:left w:val="none" w:sz="0" w:space="0" w:color="auto"/>
        <w:bottom w:val="none" w:sz="0" w:space="0" w:color="auto"/>
        <w:right w:val="none" w:sz="0" w:space="0" w:color="auto"/>
      </w:divBdr>
    </w:div>
    <w:div w:id="1170682907">
      <w:bodyDiv w:val="1"/>
      <w:marLeft w:val="0"/>
      <w:marRight w:val="0"/>
      <w:marTop w:val="0"/>
      <w:marBottom w:val="0"/>
      <w:divBdr>
        <w:top w:val="none" w:sz="0" w:space="0" w:color="auto"/>
        <w:left w:val="none" w:sz="0" w:space="0" w:color="auto"/>
        <w:bottom w:val="none" w:sz="0" w:space="0" w:color="auto"/>
        <w:right w:val="none" w:sz="0" w:space="0" w:color="auto"/>
      </w:divBdr>
    </w:div>
    <w:div w:id="1172139175">
      <w:bodyDiv w:val="1"/>
      <w:marLeft w:val="0"/>
      <w:marRight w:val="0"/>
      <w:marTop w:val="0"/>
      <w:marBottom w:val="0"/>
      <w:divBdr>
        <w:top w:val="none" w:sz="0" w:space="0" w:color="auto"/>
        <w:left w:val="none" w:sz="0" w:space="0" w:color="auto"/>
        <w:bottom w:val="none" w:sz="0" w:space="0" w:color="auto"/>
        <w:right w:val="none" w:sz="0" w:space="0" w:color="auto"/>
      </w:divBdr>
    </w:div>
    <w:div w:id="1174567234">
      <w:bodyDiv w:val="1"/>
      <w:marLeft w:val="0"/>
      <w:marRight w:val="0"/>
      <w:marTop w:val="0"/>
      <w:marBottom w:val="0"/>
      <w:divBdr>
        <w:top w:val="none" w:sz="0" w:space="0" w:color="auto"/>
        <w:left w:val="none" w:sz="0" w:space="0" w:color="auto"/>
        <w:bottom w:val="none" w:sz="0" w:space="0" w:color="auto"/>
        <w:right w:val="none" w:sz="0" w:space="0" w:color="auto"/>
      </w:divBdr>
    </w:div>
    <w:div w:id="1182670474">
      <w:bodyDiv w:val="1"/>
      <w:marLeft w:val="0"/>
      <w:marRight w:val="0"/>
      <w:marTop w:val="0"/>
      <w:marBottom w:val="0"/>
      <w:divBdr>
        <w:top w:val="none" w:sz="0" w:space="0" w:color="auto"/>
        <w:left w:val="none" w:sz="0" w:space="0" w:color="auto"/>
        <w:bottom w:val="none" w:sz="0" w:space="0" w:color="auto"/>
        <w:right w:val="none" w:sz="0" w:space="0" w:color="auto"/>
      </w:divBdr>
    </w:div>
    <w:div w:id="1185362731">
      <w:bodyDiv w:val="1"/>
      <w:marLeft w:val="0"/>
      <w:marRight w:val="0"/>
      <w:marTop w:val="0"/>
      <w:marBottom w:val="0"/>
      <w:divBdr>
        <w:top w:val="none" w:sz="0" w:space="0" w:color="auto"/>
        <w:left w:val="none" w:sz="0" w:space="0" w:color="auto"/>
        <w:bottom w:val="none" w:sz="0" w:space="0" w:color="auto"/>
        <w:right w:val="none" w:sz="0" w:space="0" w:color="auto"/>
      </w:divBdr>
    </w:div>
    <w:div w:id="1185830422">
      <w:bodyDiv w:val="1"/>
      <w:marLeft w:val="0"/>
      <w:marRight w:val="0"/>
      <w:marTop w:val="0"/>
      <w:marBottom w:val="0"/>
      <w:divBdr>
        <w:top w:val="none" w:sz="0" w:space="0" w:color="auto"/>
        <w:left w:val="none" w:sz="0" w:space="0" w:color="auto"/>
        <w:bottom w:val="none" w:sz="0" w:space="0" w:color="auto"/>
        <w:right w:val="none" w:sz="0" w:space="0" w:color="auto"/>
      </w:divBdr>
    </w:div>
    <w:div w:id="1188979631">
      <w:bodyDiv w:val="1"/>
      <w:marLeft w:val="0"/>
      <w:marRight w:val="0"/>
      <w:marTop w:val="0"/>
      <w:marBottom w:val="0"/>
      <w:divBdr>
        <w:top w:val="none" w:sz="0" w:space="0" w:color="auto"/>
        <w:left w:val="none" w:sz="0" w:space="0" w:color="auto"/>
        <w:bottom w:val="none" w:sz="0" w:space="0" w:color="auto"/>
        <w:right w:val="none" w:sz="0" w:space="0" w:color="auto"/>
      </w:divBdr>
    </w:div>
    <w:div w:id="1195574772">
      <w:bodyDiv w:val="1"/>
      <w:marLeft w:val="0"/>
      <w:marRight w:val="0"/>
      <w:marTop w:val="0"/>
      <w:marBottom w:val="0"/>
      <w:divBdr>
        <w:top w:val="none" w:sz="0" w:space="0" w:color="auto"/>
        <w:left w:val="none" w:sz="0" w:space="0" w:color="auto"/>
        <w:bottom w:val="none" w:sz="0" w:space="0" w:color="auto"/>
        <w:right w:val="none" w:sz="0" w:space="0" w:color="auto"/>
      </w:divBdr>
    </w:div>
    <w:div w:id="1197237189">
      <w:bodyDiv w:val="1"/>
      <w:marLeft w:val="0"/>
      <w:marRight w:val="0"/>
      <w:marTop w:val="0"/>
      <w:marBottom w:val="0"/>
      <w:divBdr>
        <w:top w:val="none" w:sz="0" w:space="0" w:color="auto"/>
        <w:left w:val="none" w:sz="0" w:space="0" w:color="auto"/>
        <w:bottom w:val="none" w:sz="0" w:space="0" w:color="auto"/>
        <w:right w:val="none" w:sz="0" w:space="0" w:color="auto"/>
      </w:divBdr>
    </w:div>
    <w:div w:id="1201092705">
      <w:bodyDiv w:val="1"/>
      <w:marLeft w:val="0"/>
      <w:marRight w:val="0"/>
      <w:marTop w:val="0"/>
      <w:marBottom w:val="0"/>
      <w:divBdr>
        <w:top w:val="none" w:sz="0" w:space="0" w:color="auto"/>
        <w:left w:val="none" w:sz="0" w:space="0" w:color="auto"/>
        <w:bottom w:val="none" w:sz="0" w:space="0" w:color="auto"/>
        <w:right w:val="none" w:sz="0" w:space="0" w:color="auto"/>
      </w:divBdr>
    </w:div>
    <w:div w:id="1204946028">
      <w:bodyDiv w:val="1"/>
      <w:marLeft w:val="0"/>
      <w:marRight w:val="0"/>
      <w:marTop w:val="0"/>
      <w:marBottom w:val="0"/>
      <w:divBdr>
        <w:top w:val="none" w:sz="0" w:space="0" w:color="auto"/>
        <w:left w:val="none" w:sz="0" w:space="0" w:color="auto"/>
        <w:bottom w:val="none" w:sz="0" w:space="0" w:color="auto"/>
        <w:right w:val="none" w:sz="0" w:space="0" w:color="auto"/>
      </w:divBdr>
    </w:div>
    <w:div w:id="1207060099">
      <w:bodyDiv w:val="1"/>
      <w:marLeft w:val="0"/>
      <w:marRight w:val="0"/>
      <w:marTop w:val="0"/>
      <w:marBottom w:val="0"/>
      <w:divBdr>
        <w:top w:val="none" w:sz="0" w:space="0" w:color="auto"/>
        <w:left w:val="none" w:sz="0" w:space="0" w:color="auto"/>
        <w:bottom w:val="none" w:sz="0" w:space="0" w:color="auto"/>
        <w:right w:val="none" w:sz="0" w:space="0" w:color="auto"/>
      </w:divBdr>
    </w:div>
    <w:div w:id="1210264585">
      <w:bodyDiv w:val="1"/>
      <w:marLeft w:val="0"/>
      <w:marRight w:val="0"/>
      <w:marTop w:val="0"/>
      <w:marBottom w:val="0"/>
      <w:divBdr>
        <w:top w:val="none" w:sz="0" w:space="0" w:color="auto"/>
        <w:left w:val="none" w:sz="0" w:space="0" w:color="auto"/>
        <w:bottom w:val="none" w:sz="0" w:space="0" w:color="auto"/>
        <w:right w:val="none" w:sz="0" w:space="0" w:color="auto"/>
      </w:divBdr>
    </w:div>
    <w:div w:id="1211772024">
      <w:bodyDiv w:val="1"/>
      <w:marLeft w:val="0"/>
      <w:marRight w:val="0"/>
      <w:marTop w:val="0"/>
      <w:marBottom w:val="0"/>
      <w:divBdr>
        <w:top w:val="none" w:sz="0" w:space="0" w:color="auto"/>
        <w:left w:val="none" w:sz="0" w:space="0" w:color="auto"/>
        <w:bottom w:val="none" w:sz="0" w:space="0" w:color="auto"/>
        <w:right w:val="none" w:sz="0" w:space="0" w:color="auto"/>
      </w:divBdr>
    </w:div>
    <w:div w:id="1216510514">
      <w:bodyDiv w:val="1"/>
      <w:marLeft w:val="0"/>
      <w:marRight w:val="0"/>
      <w:marTop w:val="0"/>
      <w:marBottom w:val="0"/>
      <w:divBdr>
        <w:top w:val="none" w:sz="0" w:space="0" w:color="auto"/>
        <w:left w:val="none" w:sz="0" w:space="0" w:color="auto"/>
        <w:bottom w:val="none" w:sz="0" w:space="0" w:color="auto"/>
        <w:right w:val="none" w:sz="0" w:space="0" w:color="auto"/>
      </w:divBdr>
    </w:div>
    <w:div w:id="1218081177">
      <w:bodyDiv w:val="1"/>
      <w:marLeft w:val="0"/>
      <w:marRight w:val="0"/>
      <w:marTop w:val="0"/>
      <w:marBottom w:val="0"/>
      <w:divBdr>
        <w:top w:val="none" w:sz="0" w:space="0" w:color="auto"/>
        <w:left w:val="none" w:sz="0" w:space="0" w:color="auto"/>
        <w:bottom w:val="none" w:sz="0" w:space="0" w:color="auto"/>
        <w:right w:val="none" w:sz="0" w:space="0" w:color="auto"/>
      </w:divBdr>
    </w:div>
    <w:div w:id="1219172416">
      <w:bodyDiv w:val="1"/>
      <w:marLeft w:val="0"/>
      <w:marRight w:val="0"/>
      <w:marTop w:val="0"/>
      <w:marBottom w:val="0"/>
      <w:divBdr>
        <w:top w:val="none" w:sz="0" w:space="0" w:color="auto"/>
        <w:left w:val="none" w:sz="0" w:space="0" w:color="auto"/>
        <w:bottom w:val="none" w:sz="0" w:space="0" w:color="auto"/>
        <w:right w:val="none" w:sz="0" w:space="0" w:color="auto"/>
      </w:divBdr>
    </w:div>
    <w:div w:id="1227258483">
      <w:bodyDiv w:val="1"/>
      <w:marLeft w:val="0"/>
      <w:marRight w:val="0"/>
      <w:marTop w:val="0"/>
      <w:marBottom w:val="0"/>
      <w:divBdr>
        <w:top w:val="none" w:sz="0" w:space="0" w:color="auto"/>
        <w:left w:val="none" w:sz="0" w:space="0" w:color="auto"/>
        <w:bottom w:val="none" w:sz="0" w:space="0" w:color="auto"/>
        <w:right w:val="none" w:sz="0" w:space="0" w:color="auto"/>
      </w:divBdr>
    </w:div>
    <w:div w:id="1228226948">
      <w:bodyDiv w:val="1"/>
      <w:marLeft w:val="0"/>
      <w:marRight w:val="0"/>
      <w:marTop w:val="0"/>
      <w:marBottom w:val="0"/>
      <w:divBdr>
        <w:top w:val="none" w:sz="0" w:space="0" w:color="auto"/>
        <w:left w:val="none" w:sz="0" w:space="0" w:color="auto"/>
        <w:bottom w:val="none" w:sz="0" w:space="0" w:color="auto"/>
        <w:right w:val="none" w:sz="0" w:space="0" w:color="auto"/>
      </w:divBdr>
    </w:div>
    <w:div w:id="1228807517">
      <w:bodyDiv w:val="1"/>
      <w:marLeft w:val="0"/>
      <w:marRight w:val="0"/>
      <w:marTop w:val="0"/>
      <w:marBottom w:val="0"/>
      <w:divBdr>
        <w:top w:val="none" w:sz="0" w:space="0" w:color="auto"/>
        <w:left w:val="none" w:sz="0" w:space="0" w:color="auto"/>
        <w:bottom w:val="none" w:sz="0" w:space="0" w:color="auto"/>
        <w:right w:val="none" w:sz="0" w:space="0" w:color="auto"/>
      </w:divBdr>
    </w:div>
    <w:div w:id="1228958160">
      <w:bodyDiv w:val="1"/>
      <w:marLeft w:val="0"/>
      <w:marRight w:val="0"/>
      <w:marTop w:val="0"/>
      <w:marBottom w:val="0"/>
      <w:divBdr>
        <w:top w:val="none" w:sz="0" w:space="0" w:color="auto"/>
        <w:left w:val="none" w:sz="0" w:space="0" w:color="auto"/>
        <w:bottom w:val="none" w:sz="0" w:space="0" w:color="auto"/>
        <w:right w:val="none" w:sz="0" w:space="0" w:color="auto"/>
      </w:divBdr>
    </w:div>
    <w:div w:id="1235973818">
      <w:bodyDiv w:val="1"/>
      <w:marLeft w:val="0"/>
      <w:marRight w:val="0"/>
      <w:marTop w:val="0"/>
      <w:marBottom w:val="0"/>
      <w:divBdr>
        <w:top w:val="none" w:sz="0" w:space="0" w:color="auto"/>
        <w:left w:val="none" w:sz="0" w:space="0" w:color="auto"/>
        <w:bottom w:val="none" w:sz="0" w:space="0" w:color="auto"/>
        <w:right w:val="none" w:sz="0" w:space="0" w:color="auto"/>
      </w:divBdr>
    </w:div>
    <w:div w:id="1236277625">
      <w:bodyDiv w:val="1"/>
      <w:marLeft w:val="0"/>
      <w:marRight w:val="0"/>
      <w:marTop w:val="0"/>
      <w:marBottom w:val="0"/>
      <w:divBdr>
        <w:top w:val="none" w:sz="0" w:space="0" w:color="auto"/>
        <w:left w:val="none" w:sz="0" w:space="0" w:color="auto"/>
        <w:bottom w:val="none" w:sz="0" w:space="0" w:color="auto"/>
        <w:right w:val="none" w:sz="0" w:space="0" w:color="auto"/>
      </w:divBdr>
    </w:div>
    <w:div w:id="1237209411">
      <w:bodyDiv w:val="1"/>
      <w:marLeft w:val="0"/>
      <w:marRight w:val="0"/>
      <w:marTop w:val="0"/>
      <w:marBottom w:val="0"/>
      <w:divBdr>
        <w:top w:val="none" w:sz="0" w:space="0" w:color="auto"/>
        <w:left w:val="none" w:sz="0" w:space="0" w:color="auto"/>
        <w:bottom w:val="none" w:sz="0" w:space="0" w:color="auto"/>
        <w:right w:val="none" w:sz="0" w:space="0" w:color="auto"/>
      </w:divBdr>
      <w:divsChild>
        <w:div w:id="616789381">
          <w:marLeft w:val="0"/>
          <w:marRight w:val="0"/>
          <w:marTop w:val="0"/>
          <w:marBottom w:val="0"/>
          <w:divBdr>
            <w:top w:val="none" w:sz="0" w:space="0" w:color="auto"/>
            <w:left w:val="none" w:sz="0" w:space="0" w:color="auto"/>
            <w:bottom w:val="none" w:sz="0" w:space="0" w:color="auto"/>
            <w:right w:val="none" w:sz="0" w:space="0" w:color="auto"/>
          </w:divBdr>
          <w:divsChild>
            <w:div w:id="1533109506">
              <w:marLeft w:val="0"/>
              <w:marRight w:val="0"/>
              <w:marTop w:val="0"/>
              <w:marBottom w:val="0"/>
              <w:divBdr>
                <w:top w:val="none" w:sz="0" w:space="0" w:color="auto"/>
                <w:left w:val="none" w:sz="0" w:space="0" w:color="auto"/>
                <w:bottom w:val="none" w:sz="0" w:space="0" w:color="auto"/>
                <w:right w:val="none" w:sz="0" w:space="0" w:color="auto"/>
              </w:divBdr>
              <w:divsChild>
                <w:div w:id="1076241523">
                  <w:marLeft w:val="0"/>
                  <w:marRight w:val="0"/>
                  <w:marTop w:val="0"/>
                  <w:marBottom w:val="0"/>
                  <w:divBdr>
                    <w:top w:val="none" w:sz="0" w:space="0" w:color="auto"/>
                    <w:left w:val="none" w:sz="0" w:space="0" w:color="auto"/>
                    <w:bottom w:val="none" w:sz="0" w:space="0" w:color="auto"/>
                    <w:right w:val="none" w:sz="0" w:space="0" w:color="auto"/>
                  </w:divBdr>
                  <w:divsChild>
                    <w:div w:id="713239607">
                      <w:marLeft w:val="0"/>
                      <w:marRight w:val="0"/>
                      <w:marTop w:val="0"/>
                      <w:marBottom w:val="0"/>
                      <w:divBdr>
                        <w:top w:val="none" w:sz="0" w:space="0" w:color="auto"/>
                        <w:left w:val="none" w:sz="0" w:space="0" w:color="auto"/>
                        <w:bottom w:val="none" w:sz="0" w:space="0" w:color="auto"/>
                        <w:right w:val="none" w:sz="0" w:space="0" w:color="auto"/>
                      </w:divBdr>
                      <w:divsChild>
                        <w:div w:id="398526242">
                          <w:marLeft w:val="0"/>
                          <w:marRight w:val="0"/>
                          <w:marTop w:val="0"/>
                          <w:marBottom w:val="0"/>
                          <w:divBdr>
                            <w:top w:val="none" w:sz="0" w:space="0" w:color="auto"/>
                            <w:left w:val="none" w:sz="0" w:space="0" w:color="auto"/>
                            <w:bottom w:val="none" w:sz="0" w:space="0" w:color="auto"/>
                            <w:right w:val="none" w:sz="0" w:space="0" w:color="auto"/>
                          </w:divBdr>
                          <w:divsChild>
                            <w:div w:id="107163535">
                              <w:marLeft w:val="0"/>
                              <w:marRight w:val="0"/>
                              <w:marTop w:val="0"/>
                              <w:marBottom w:val="0"/>
                              <w:divBdr>
                                <w:top w:val="none" w:sz="0" w:space="0" w:color="auto"/>
                                <w:left w:val="none" w:sz="0" w:space="0" w:color="auto"/>
                                <w:bottom w:val="none" w:sz="0" w:space="0" w:color="auto"/>
                                <w:right w:val="none" w:sz="0" w:space="0" w:color="auto"/>
                              </w:divBdr>
                              <w:divsChild>
                                <w:div w:id="1563908436">
                                  <w:marLeft w:val="0"/>
                                  <w:marRight w:val="0"/>
                                  <w:marTop w:val="0"/>
                                  <w:marBottom w:val="0"/>
                                  <w:divBdr>
                                    <w:top w:val="none" w:sz="0" w:space="0" w:color="auto"/>
                                    <w:left w:val="none" w:sz="0" w:space="0" w:color="auto"/>
                                    <w:bottom w:val="none" w:sz="0" w:space="0" w:color="auto"/>
                                    <w:right w:val="none" w:sz="0" w:space="0" w:color="auto"/>
                                  </w:divBdr>
                                  <w:divsChild>
                                    <w:div w:id="1618675848">
                                      <w:marLeft w:val="0"/>
                                      <w:marRight w:val="0"/>
                                      <w:marTop w:val="0"/>
                                      <w:marBottom w:val="0"/>
                                      <w:divBdr>
                                        <w:top w:val="none" w:sz="0" w:space="0" w:color="auto"/>
                                        <w:left w:val="none" w:sz="0" w:space="0" w:color="auto"/>
                                        <w:bottom w:val="none" w:sz="0" w:space="0" w:color="auto"/>
                                        <w:right w:val="none" w:sz="0" w:space="0" w:color="auto"/>
                                      </w:divBdr>
                                      <w:divsChild>
                                        <w:div w:id="334189643">
                                          <w:marLeft w:val="0"/>
                                          <w:marRight w:val="0"/>
                                          <w:marTop w:val="0"/>
                                          <w:marBottom w:val="0"/>
                                          <w:divBdr>
                                            <w:top w:val="none" w:sz="0" w:space="0" w:color="auto"/>
                                            <w:left w:val="none" w:sz="0" w:space="0" w:color="auto"/>
                                            <w:bottom w:val="none" w:sz="0" w:space="0" w:color="auto"/>
                                            <w:right w:val="none" w:sz="0" w:space="0" w:color="auto"/>
                                          </w:divBdr>
                                          <w:divsChild>
                                            <w:div w:id="186728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2540970">
          <w:marLeft w:val="0"/>
          <w:marRight w:val="0"/>
          <w:marTop w:val="0"/>
          <w:marBottom w:val="0"/>
          <w:divBdr>
            <w:top w:val="none" w:sz="0" w:space="0" w:color="auto"/>
            <w:left w:val="none" w:sz="0" w:space="0" w:color="auto"/>
            <w:bottom w:val="none" w:sz="0" w:space="0" w:color="auto"/>
            <w:right w:val="none" w:sz="0" w:space="0" w:color="auto"/>
          </w:divBdr>
          <w:divsChild>
            <w:div w:id="406002264">
              <w:marLeft w:val="0"/>
              <w:marRight w:val="0"/>
              <w:marTop w:val="0"/>
              <w:marBottom w:val="0"/>
              <w:divBdr>
                <w:top w:val="none" w:sz="0" w:space="0" w:color="auto"/>
                <w:left w:val="none" w:sz="0" w:space="0" w:color="auto"/>
                <w:bottom w:val="none" w:sz="0" w:space="0" w:color="auto"/>
                <w:right w:val="none" w:sz="0" w:space="0" w:color="auto"/>
              </w:divBdr>
              <w:divsChild>
                <w:div w:id="1646279938">
                  <w:marLeft w:val="0"/>
                  <w:marRight w:val="0"/>
                  <w:marTop w:val="0"/>
                  <w:marBottom w:val="0"/>
                  <w:divBdr>
                    <w:top w:val="none" w:sz="0" w:space="0" w:color="auto"/>
                    <w:left w:val="none" w:sz="0" w:space="0" w:color="auto"/>
                    <w:bottom w:val="none" w:sz="0" w:space="0" w:color="auto"/>
                    <w:right w:val="none" w:sz="0" w:space="0" w:color="auto"/>
                  </w:divBdr>
                  <w:divsChild>
                    <w:div w:id="1851287268">
                      <w:marLeft w:val="0"/>
                      <w:marRight w:val="0"/>
                      <w:marTop w:val="0"/>
                      <w:marBottom w:val="0"/>
                      <w:divBdr>
                        <w:top w:val="none" w:sz="0" w:space="0" w:color="auto"/>
                        <w:left w:val="none" w:sz="0" w:space="0" w:color="auto"/>
                        <w:bottom w:val="none" w:sz="0" w:space="0" w:color="auto"/>
                        <w:right w:val="none" w:sz="0" w:space="0" w:color="auto"/>
                      </w:divBdr>
                      <w:divsChild>
                        <w:div w:id="1904364172">
                          <w:marLeft w:val="0"/>
                          <w:marRight w:val="0"/>
                          <w:marTop w:val="0"/>
                          <w:marBottom w:val="0"/>
                          <w:divBdr>
                            <w:top w:val="none" w:sz="0" w:space="0" w:color="auto"/>
                            <w:left w:val="none" w:sz="0" w:space="0" w:color="auto"/>
                            <w:bottom w:val="none" w:sz="0" w:space="0" w:color="auto"/>
                            <w:right w:val="none" w:sz="0" w:space="0" w:color="auto"/>
                          </w:divBdr>
                          <w:divsChild>
                            <w:div w:id="1142233333">
                              <w:marLeft w:val="0"/>
                              <w:marRight w:val="0"/>
                              <w:marTop w:val="0"/>
                              <w:marBottom w:val="0"/>
                              <w:divBdr>
                                <w:top w:val="none" w:sz="0" w:space="0" w:color="auto"/>
                                <w:left w:val="none" w:sz="0" w:space="0" w:color="auto"/>
                                <w:bottom w:val="none" w:sz="0" w:space="0" w:color="auto"/>
                                <w:right w:val="none" w:sz="0" w:space="0" w:color="auto"/>
                              </w:divBdr>
                              <w:divsChild>
                                <w:div w:id="1823085865">
                                  <w:marLeft w:val="0"/>
                                  <w:marRight w:val="0"/>
                                  <w:marTop w:val="0"/>
                                  <w:marBottom w:val="0"/>
                                  <w:divBdr>
                                    <w:top w:val="none" w:sz="0" w:space="0" w:color="auto"/>
                                    <w:left w:val="none" w:sz="0" w:space="0" w:color="auto"/>
                                    <w:bottom w:val="none" w:sz="0" w:space="0" w:color="auto"/>
                                    <w:right w:val="none" w:sz="0" w:space="0" w:color="auto"/>
                                  </w:divBdr>
                                  <w:divsChild>
                                    <w:div w:id="1704745056">
                                      <w:marLeft w:val="0"/>
                                      <w:marRight w:val="0"/>
                                      <w:marTop w:val="0"/>
                                      <w:marBottom w:val="0"/>
                                      <w:divBdr>
                                        <w:top w:val="none" w:sz="0" w:space="0" w:color="auto"/>
                                        <w:left w:val="none" w:sz="0" w:space="0" w:color="auto"/>
                                        <w:bottom w:val="none" w:sz="0" w:space="0" w:color="auto"/>
                                        <w:right w:val="none" w:sz="0" w:space="0" w:color="auto"/>
                                      </w:divBdr>
                                      <w:divsChild>
                                        <w:div w:id="18745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9633821">
      <w:bodyDiv w:val="1"/>
      <w:marLeft w:val="0"/>
      <w:marRight w:val="0"/>
      <w:marTop w:val="0"/>
      <w:marBottom w:val="0"/>
      <w:divBdr>
        <w:top w:val="none" w:sz="0" w:space="0" w:color="auto"/>
        <w:left w:val="none" w:sz="0" w:space="0" w:color="auto"/>
        <w:bottom w:val="none" w:sz="0" w:space="0" w:color="auto"/>
        <w:right w:val="none" w:sz="0" w:space="0" w:color="auto"/>
      </w:divBdr>
    </w:div>
    <w:div w:id="1241600848">
      <w:bodyDiv w:val="1"/>
      <w:marLeft w:val="0"/>
      <w:marRight w:val="0"/>
      <w:marTop w:val="0"/>
      <w:marBottom w:val="0"/>
      <w:divBdr>
        <w:top w:val="none" w:sz="0" w:space="0" w:color="auto"/>
        <w:left w:val="none" w:sz="0" w:space="0" w:color="auto"/>
        <w:bottom w:val="none" w:sz="0" w:space="0" w:color="auto"/>
        <w:right w:val="none" w:sz="0" w:space="0" w:color="auto"/>
      </w:divBdr>
    </w:div>
    <w:div w:id="1243757827">
      <w:bodyDiv w:val="1"/>
      <w:marLeft w:val="0"/>
      <w:marRight w:val="0"/>
      <w:marTop w:val="0"/>
      <w:marBottom w:val="0"/>
      <w:divBdr>
        <w:top w:val="none" w:sz="0" w:space="0" w:color="auto"/>
        <w:left w:val="none" w:sz="0" w:space="0" w:color="auto"/>
        <w:bottom w:val="none" w:sz="0" w:space="0" w:color="auto"/>
        <w:right w:val="none" w:sz="0" w:space="0" w:color="auto"/>
      </w:divBdr>
    </w:div>
    <w:div w:id="1252275274">
      <w:bodyDiv w:val="1"/>
      <w:marLeft w:val="0"/>
      <w:marRight w:val="0"/>
      <w:marTop w:val="0"/>
      <w:marBottom w:val="0"/>
      <w:divBdr>
        <w:top w:val="none" w:sz="0" w:space="0" w:color="auto"/>
        <w:left w:val="none" w:sz="0" w:space="0" w:color="auto"/>
        <w:bottom w:val="none" w:sz="0" w:space="0" w:color="auto"/>
        <w:right w:val="none" w:sz="0" w:space="0" w:color="auto"/>
      </w:divBdr>
    </w:div>
    <w:div w:id="1255750157">
      <w:bodyDiv w:val="1"/>
      <w:marLeft w:val="0"/>
      <w:marRight w:val="0"/>
      <w:marTop w:val="0"/>
      <w:marBottom w:val="0"/>
      <w:divBdr>
        <w:top w:val="none" w:sz="0" w:space="0" w:color="auto"/>
        <w:left w:val="none" w:sz="0" w:space="0" w:color="auto"/>
        <w:bottom w:val="none" w:sz="0" w:space="0" w:color="auto"/>
        <w:right w:val="none" w:sz="0" w:space="0" w:color="auto"/>
      </w:divBdr>
    </w:div>
    <w:div w:id="1256671969">
      <w:bodyDiv w:val="1"/>
      <w:marLeft w:val="0"/>
      <w:marRight w:val="0"/>
      <w:marTop w:val="0"/>
      <w:marBottom w:val="0"/>
      <w:divBdr>
        <w:top w:val="none" w:sz="0" w:space="0" w:color="auto"/>
        <w:left w:val="none" w:sz="0" w:space="0" w:color="auto"/>
        <w:bottom w:val="none" w:sz="0" w:space="0" w:color="auto"/>
        <w:right w:val="none" w:sz="0" w:space="0" w:color="auto"/>
      </w:divBdr>
    </w:div>
    <w:div w:id="1263338958">
      <w:bodyDiv w:val="1"/>
      <w:marLeft w:val="0"/>
      <w:marRight w:val="0"/>
      <w:marTop w:val="0"/>
      <w:marBottom w:val="0"/>
      <w:divBdr>
        <w:top w:val="none" w:sz="0" w:space="0" w:color="auto"/>
        <w:left w:val="none" w:sz="0" w:space="0" w:color="auto"/>
        <w:bottom w:val="none" w:sz="0" w:space="0" w:color="auto"/>
        <w:right w:val="none" w:sz="0" w:space="0" w:color="auto"/>
      </w:divBdr>
    </w:div>
    <w:div w:id="1264222126">
      <w:bodyDiv w:val="1"/>
      <w:marLeft w:val="0"/>
      <w:marRight w:val="0"/>
      <w:marTop w:val="0"/>
      <w:marBottom w:val="0"/>
      <w:divBdr>
        <w:top w:val="none" w:sz="0" w:space="0" w:color="auto"/>
        <w:left w:val="none" w:sz="0" w:space="0" w:color="auto"/>
        <w:bottom w:val="none" w:sz="0" w:space="0" w:color="auto"/>
        <w:right w:val="none" w:sz="0" w:space="0" w:color="auto"/>
      </w:divBdr>
    </w:div>
    <w:div w:id="1266573869">
      <w:bodyDiv w:val="1"/>
      <w:marLeft w:val="0"/>
      <w:marRight w:val="0"/>
      <w:marTop w:val="0"/>
      <w:marBottom w:val="0"/>
      <w:divBdr>
        <w:top w:val="none" w:sz="0" w:space="0" w:color="auto"/>
        <w:left w:val="none" w:sz="0" w:space="0" w:color="auto"/>
        <w:bottom w:val="none" w:sz="0" w:space="0" w:color="auto"/>
        <w:right w:val="none" w:sz="0" w:space="0" w:color="auto"/>
      </w:divBdr>
    </w:div>
    <w:div w:id="1275593786">
      <w:bodyDiv w:val="1"/>
      <w:marLeft w:val="0"/>
      <w:marRight w:val="0"/>
      <w:marTop w:val="0"/>
      <w:marBottom w:val="0"/>
      <w:divBdr>
        <w:top w:val="none" w:sz="0" w:space="0" w:color="auto"/>
        <w:left w:val="none" w:sz="0" w:space="0" w:color="auto"/>
        <w:bottom w:val="none" w:sz="0" w:space="0" w:color="auto"/>
        <w:right w:val="none" w:sz="0" w:space="0" w:color="auto"/>
      </w:divBdr>
    </w:div>
    <w:div w:id="1276211975">
      <w:bodyDiv w:val="1"/>
      <w:marLeft w:val="0"/>
      <w:marRight w:val="0"/>
      <w:marTop w:val="0"/>
      <w:marBottom w:val="0"/>
      <w:divBdr>
        <w:top w:val="none" w:sz="0" w:space="0" w:color="auto"/>
        <w:left w:val="none" w:sz="0" w:space="0" w:color="auto"/>
        <w:bottom w:val="none" w:sz="0" w:space="0" w:color="auto"/>
        <w:right w:val="none" w:sz="0" w:space="0" w:color="auto"/>
      </w:divBdr>
    </w:div>
    <w:div w:id="1280262236">
      <w:bodyDiv w:val="1"/>
      <w:marLeft w:val="0"/>
      <w:marRight w:val="0"/>
      <w:marTop w:val="0"/>
      <w:marBottom w:val="0"/>
      <w:divBdr>
        <w:top w:val="none" w:sz="0" w:space="0" w:color="auto"/>
        <w:left w:val="none" w:sz="0" w:space="0" w:color="auto"/>
        <w:bottom w:val="none" w:sz="0" w:space="0" w:color="auto"/>
        <w:right w:val="none" w:sz="0" w:space="0" w:color="auto"/>
      </w:divBdr>
    </w:div>
    <w:div w:id="1281764024">
      <w:bodyDiv w:val="1"/>
      <w:marLeft w:val="0"/>
      <w:marRight w:val="0"/>
      <w:marTop w:val="0"/>
      <w:marBottom w:val="0"/>
      <w:divBdr>
        <w:top w:val="none" w:sz="0" w:space="0" w:color="auto"/>
        <w:left w:val="none" w:sz="0" w:space="0" w:color="auto"/>
        <w:bottom w:val="none" w:sz="0" w:space="0" w:color="auto"/>
        <w:right w:val="none" w:sz="0" w:space="0" w:color="auto"/>
      </w:divBdr>
    </w:div>
    <w:div w:id="1288505218">
      <w:bodyDiv w:val="1"/>
      <w:marLeft w:val="0"/>
      <w:marRight w:val="0"/>
      <w:marTop w:val="0"/>
      <w:marBottom w:val="0"/>
      <w:divBdr>
        <w:top w:val="none" w:sz="0" w:space="0" w:color="auto"/>
        <w:left w:val="none" w:sz="0" w:space="0" w:color="auto"/>
        <w:bottom w:val="none" w:sz="0" w:space="0" w:color="auto"/>
        <w:right w:val="none" w:sz="0" w:space="0" w:color="auto"/>
      </w:divBdr>
    </w:div>
    <w:div w:id="1288858055">
      <w:bodyDiv w:val="1"/>
      <w:marLeft w:val="0"/>
      <w:marRight w:val="0"/>
      <w:marTop w:val="0"/>
      <w:marBottom w:val="0"/>
      <w:divBdr>
        <w:top w:val="none" w:sz="0" w:space="0" w:color="auto"/>
        <w:left w:val="none" w:sz="0" w:space="0" w:color="auto"/>
        <w:bottom w:val="none" w:sz="0" w:space="0" w:color="auto"/>
        <w:right w:val="none" w:sz="0" w:space="0" w:color="auto"/>
      </w:divBdr>
    </w:div>
    <w:div w:id="1290627867">
      <w:bodyDiv w:val="1"/>
      <w:marLeft w:val="0"/>
      <w:marRight w:val="0"/>
      <w:marTop w:val="0"/>
      <w:marBottom w:val="0"/>
      <w:divBdr>
        <w:top w:val="none" w:sz="0" w:space="0" w:color="auto"/>
        <w:left w:val="none" w:sz="0" w:space="0" w:color="auto"/>
        <w:bottom w:val="none" w:sz="0" w:space="0" w:color="auto"/>
        <w:right w:val="none" w:sz="0" w:space="0" w:color="auto"/>
      </w:divBdr>
    </w:div>
    <w:div w:id="1291520215">
      <w:bodyDiv w:val="1"/>
      <w:marLeft w:val="0"/>
      <w:marRight w:val="0"/>
      <w:marTop w:val="0"/>
      <w:marBottom w:val="0"/>
      <w:divBdr>
        <w:top w:val="none" w:sz="0" w:space="0" w:color="auto"/>
        <w:left w:val="none" w:sz="0" w:space="0" w:color="auto"/>
        <w:bottom w:val="none" w:sz="0" w:space="0" w:color="auto"/>
        <w:right w:val="none" w:sz="0" w:space="0" w:color="auto"/>
      </w:divBdr>
    </w:div>
    <w:div w:id="1297180330">
      <w:bodyDiv w:val="1"/>
      <w:marLeft w:val="0"/>
      <w:marRight w:val="0"/>
      <w:marTop w:val="0"/>
      <w:marBottom w:val="0"/>
      <w:divBdr>
        <w:top w:val="none" w:sz="0" w:space="0" w:color="auto"/>
        <w:left w:val="none" w:sz="0" w:space="0" w:color="auto"/>
        <w:bottom w:val="none" w:sz="0" w:space="0" w:color="auto"/>
        <w:right w:val="none" w:sz="0" w:space="0" w:color="auto"/>
      </w:divBdr>
    </w:div>
    <w:div w:id="1299843472">
      <w:bodyDiv w:val="1"/>
      <w:marLeft w:val="0"/>
      <w:marRight w:val="0"/>
      <w:marTop w:val="0"/>
      <w:marBottom w:val="0"/>
      <w:divBdr>
        <w:top w:val="none" w:sz="0" w:space="0" w:color="auto"/>
        <w:left w:val="none" w:sz="0" w:space="0" w:color="auto"/>
        <w:bottom w:val="none" w:sz="0" w:space="0" w:color="auto"/>
        <w:right w:val="none" w:sz="0" w:space="0" w:color="auto"/>
      </w:divBdr>
    </w:div>
    <w:div w:id="1301496654">
      <w:bodyDiv w:val="1"/>
      <w:marLeft w:val="0"/>
      <w:marRight w:val="0"/>
      <w:marTop w:val="0"/>
      <w:marBottom w:val="0"/>
      <w:divBdr>
        <w:top w:val="none" w:sz="0" w:space="0" w:color="auto"/>
        <w:left w:val="none" w:sz="0" w:space="0" w:color="auto"/>
        <w:bottom w:val="none" w:sz="0" w:space="0" w:color="auto"/>
        <w:right w:val="none" w:sz="0" w:space="0" w:color="auto"/>
      </w:divBdr>
    </w:div>
    <w:div w:id="1301764521">
      <w:bodyDiv w:val="1"/>
      <w:marLeft w:val="0"/>
      <w:marRight w:val="0"/>
      <w:marTop w:val="0"/>
      <w:marBottom w:val="0"/>
      <w:divBdr>
        <w:top w:val="none" w:sz="0" w:space="0" w:color="auto"/>
        <w:left w:val="none" w:sz="0" w:space="0" w:color="auto"/>
        <w:bottom w:val="none" w:sz="0" w:space="0" w:color="auto"/>
        <w:right w:val="none" w:sz="0" w:space="0" w:color="auto"/>
      </w:divBdr>
      <w:divsChild>
        <w:div w:id="1729762487">
          <w:marLeft w:val="0"/>
          <w:marRight w:val="0"/>
          <w:marTop w:val="0"/>
          <w:marBottom w:val="0"/>
          <w:divBdr>
            <w:top w:val="none" w:sz="0" w:space="0" w:color="auto"/>
            <w:left w:val="none" w:sz="0" w:space="0" w:color="auto"/>
            <w:bottom w:val="none" w:sz="0" w:space="0" w:color="auto"/>
            <w:right w:val="none" w:sz="0" w:space="0" w:color="auto"/>
          </w:divBdr>
          <w:divsChild>
            <w:div w:id="45222472">
              <w:marLeft w:val="0"/>
              <w:marRight w:val="0"/>
              <w:marTop w:val="0"/>
              <w:marBottom w:val="0"/>
              <w:divBdr>
                <w:top w:val="none" w:sz="0" w:space="0" w:color="auto"/>
                <w:left w:val="none" w:sz="0" w:space="0" w:color="auto"/>
                <w:bottom w:val="none" w:sz="0" w:space="0" w:color="auto"/>
                <w:right w:val="none" w:sz="0" w:space="0" w:color="auto"/>
              </w:divBdr>
              <w:divsChild>
                <w:div w:id="777873886">
                  <w:marLeft w:val="0"/>
                  <w:marRight w:val="0"/>
                  <w:marTop w:val="0"/>
                  <w:marBottom w:val="0"/>
                  <w:divBdr>
                    <w:top w:val="none" w:sz="0" w:space="0" w:color="auto"/>
                    <w:left w:val="none" w:sz="0" w:space="0" w:color="auto"/>
                    <w:bottom w:val="none" w:sz="0" w:space="0" w:color="auto"/>
                    <w:right w:val="none" w:sz="0" w:space="0" w:color="auto"/>
                  </w:divBdr>
                  <w:divsChild>
                    <w:div w:id="1631787861">
                      <w:marLeft w:val="0"/>
                      <w:marRight w:val="0"/>
                      <w:marTop w:val="0"/>
                      <w:marBottom w:val="0"/>
                      <w:divBdr>
                        <w:top w:val="none" w:sz="0" w:space="0" w:color="auto"/>
                        <w:left w:val="none" w:sz="0" w:space="0" w:color="auto"/>
                        <w:bottom w:val="none" w:sz="0" w:space="0" w:color="auto"/>
                        <w:right w:val="none" w:sz="0" w:space="0" w:color="auto"/>
                      </w:divBdr>
                      <w:divsChild>
                        <w:div w:id="1721707292">
                          <w:marLeft w:val="0"/>
                          <w:marRight w:val="0"/>
                          <w:marTop w:val="0"/>
                          <w:marBottom w:val="0"/>
                          <w:divBdr>
                            <w:top w:val="none" w:sz="0" w:space="0" w:color="auto"/>
                            <w:left w:val="none" w:sz="0" w:space="0" w:color="auto"/>
                            <w:bottom w:val="none" w:sz="0" w:space="0" w:color="auto"/>
                            <w:right w:val="none" w:sz="0" w:space="0" w:color="auto"/>
                          </w:divBdr>
                          <w:divsChild>
                            <w:div w:id="66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267921">
      <w:bodyDiv w:val="1"/>
      <w:marLeft w:val="0"/>
      <w:marRight w:val="0"/>
      <w:marTop w:val="0"/>
      <w:marBottom w:val="0"/>
      <w:divBdr>
        <w:top w:val="none" w:sz="0" w:space="0" w:color="auto"/>
        <w:left w:val="none" w:sz="0" w:space="0" w:color="auto"/>
        <w:bottom w:val="none" w:sz="0" w:space="0" w:color="auto"/>
        <w:right w:val="none" w:sz="0" w:space="0" w:color="auto"/>
      </w:divBdr>
    </w:div>
    <w:div w:id="1323579183">
      <w:bodyDiv w:val="1"/>
      <w:marLeft w:val="0"/>
      <w:marRight w:val="0"/>
      <w:marTop w:val="0"/>
      <w:marBottom w:val="0"/>
      <w:divBdr>
        <w:top w:val="none" w:sz="0" w:space="0" w:color="auto"/>
        <w:left w:val="none" w:sz="0" w:space="0" w:color="auto"/>
        <w:bottom w:val="none" w:sz="0" w:space="0" w:color="auto"/>
        <w:right w:val="none" w:sz="0" w:space="0" w:color="auto"/>
      </w:divBdr>
    </w:div>
    <w:div w:id="1323653931">
      <w:bodyDiv w:val="1"/>
      <w:marLeft w:val="0"/>
      <w:marRight w:val="0"/>
      <w:marTop w:val="0"/>
      <w:marBottom w:val="0"/>
      <w:divBdr>
        <w:top w:val="none" w:sz="0" w:space="0" w:color="auto"/>
        <w:left w:val="none" w:sz="0" w:space="0" w:color="auto"/>
        <w:bottom w:val="none" w:sz="0" w:space="0" w:color="auto"/>
        <w:right w:val="none" w:sz="0" w:space="0" w:color="auto"/>
      </w:divBdr>
    </w:div>
    <w:div w:id="1323661515">
      <w:bodyDiv w:val="1"/>
      <w:marLeft w:val="0"/>
      <w:marRight w:val="0"/>
      <w:marTop w:val="0"/>
      <w:marBottom w:val="0"/>
      <w:divBdr>
        <w:top w:val="none" w:sz="0" w:space="0" w:color="auto"/>
        <w:left w:val="none" w:sz="0" w:space="0" w:color="auto"/>
        <w:bottom w:val="none" w:sz="0" w:space="0" w:color="auto"/>
        <w:right w:val="none" w:sz="0" w:space="0" w:color="auto"/>
      </w:divBdr>
    </w:div>
    <w:div w:id="1325744665">
      <w:bodyDiv w:val="1"/>
      <w:marLeft w:val="0"/>
      <w:marRight w:val="0"/>
      <w:marTop w:val="0"/>
      <w:marBottom w:val="0"/>
      <w:divBdr>
        <w:top w:val="none" w:sz="0" w:space="0" w:color="auto"/>
        <w:left w:val="none" w:sz="0" w:space="0" w:color="auto"/>
        <w:bottom w:val="none" w:sz="0" w:space="0" w:color="auto"/>
        <w:right w:val="none" w:sz="0" w:space="0" w:color="auto"/>
      </w:divBdr>
    </w:div>
    <w:div w:id="1326012111">
      <w:bodyDiv w:val="1"/>
      <w:marLeft w:val="0"/>
      <w:marRight w:val="0"/>
      <w:marTop w:val="0"/>
      <w:marBottom w:val="0"/>
      <w:divBdr>
        <w:top w:val="none" w:sz="0" w:space="0" w:color="auto"/>
        <w:left w:val="none" w:sz="0" w:space="0" w:color="auto"/>
        <w:bottom w:val="none" w:sz="0" w:space="0" w:color="auto"/>
        <w:right w:val="none" w:sz="0" w:space="0" w:color="auto"/>
      </w:divBdr>
    </w:div>
    <w:div w:id="1328754579">
      <w:bodyDiv w:val="1"/>
      <w:marLeft w:val="0"/>
      <w:marRight w:val="0"/>
      <w:marTop w:val="0"/>
      <w:marBottom w:val="0"/>
      <w:divBdr>
        <w:top w:val="none" w:sz="0" w:space="0" w:color="auto"/>
        <w:left w:val="none" w:sz="0" w:space="0" w:color="auto"/>
        <w:bottom w:val="none" w:sz="0" w:space="0" w:color="auto"/>
        <w:right w:val="none" w:sz="0" w:space="0" w:color="auto"/>
      </w:divBdr>
    </w:div>
    <w:div w:id="1336108121">
      <w:bodyDiv w:val="1"/>
      <w:marLeft w:val="0"/>
      <w:marRight w:val="0"/>
      <w:marTop w:val="0"/>
      <w:marBottom w:val="0"/>
      <w:divBdr>
        <w:top w:val="none" w:sz="0" w:space="0" w:color="auto"/>
        <w:left w:val="none" w:sz="0" w:space="0" w:color="auto"/>
        <w:bottom w:val="none" w:sz="0" w:space="0" w:color="auto"/>
        <w:right w:val="none" w:sz="0" w:space="0" w:color="auto"/>
      </w:divBdr>
    </w:div>
    <w:div w:id="1338115428">
      <w:bodyDiv w:val="1"/>
      <w:marLeft w:val="0"/>
      <w:marRight w:val="0"/>
      <w:marTop w:val="0"/>
      <w:marBottom w:val="0"/>
      <w:divBdr>
        <w:top w:val="none" w:sz="0" w:space="0" w:color="auto"/>
        <w:left w:val="none" w:sz="0" w:space="0" w:color="auto"/>
        <w:bottom w:val="none" w:sz="0" w:space="0" w:color="auto"/>
        <w:right w:val="none" w:sz="0" w:space="0" w:color="auto"/>
      </w:divBdr>
    </w:div>
    <w:div w:id="1339768918">
      <w:bodyDiv w:val="1"/>
      <w:marLeft w:val="0"/>
      <w:marRight w:val="0"/>
      <w:marTop w:val="0"/>
      <w:marBottom w:val="0"/>
      <w:divBdr>
        <w:top w:val="none" w:sz="0" w:space="0" w:color="auto"/>
        <w:left w:val="none" w:sz="0" w:space="0" w:color="auto"/>
        <w:bottom w:val="none" w:sz="0" w:space="0" w:color="auto"/>
        <w:right w:val="none" w:sz="0" w:space="0" w:color="auto"/>
      </w:divBdr>
    </w:div>
    <w:div w:id="1342782263">
      <w:bodyDiv w:val="1"/>
      <w:marLeft w:val="0"/>
      <w:marRight w:val="0"/>
      <w:marTop w:val="0"/>
      <w:marBottom w:val="0"/>
      <w:divBdr>
        <w:top w:val="none" w:sz="0" w:space="0" w:color="auto"/>
        <w:left w:val="none" w:sz="0" w:space="0" w:color="auto"/>
        <w:bottom w:val="none" w:sz="0" w:space="0" w:color="auto"/>
        <w:right w:val="none" w:sz="0" w:space="0" w:color="auto"/>
      </w:divBdr>
    </w:div>
    <w:div w:id="1344628456">
      <w:bodyDiv w:val="1"/>
      <w:marLeft w:val="0"/>
      <w:marRight w:val="0"/>
      <w:marTop w:val="0"/>
      <w:marBottom w:val="0"/>
      <w:divBdr>
        <w:top w:val="none" w:sz="0" w:space="0" w:color="auto"/>
        <w:left w:val="none" w:sz="0" w:space="0" w:color="auto"/>
        <w:bottom w:val="none" w:sz="0" w:space="0" w:color="auto"/>
        <w:right w:val="none" w:sz="0" w:space="0" w:color="auto"/>
      </w:divBdr>
    </w:div>
    <w:div w:id="1353534551">
      <w:bodyDiv w:val="1"/>
      <w:marLeft w:val="0"/>
      <w:marRight w:val="0"/>
      <w:marTop w:val="0"/>
      <w:marBottom w:val="0"/>
      <w:divBdr>
        <w:top w:val="none" w:sz="0" w:space="0" w:color="auto"/>
        <w:left w:val="none" w:sz="0" w:space="0" w:color="auto"/>
        <w:bottom w:val="none" w:sz="0" w:space="0" w:color="auto"/>
        <w:right w:val="none" w:sz="0" w:space="0" w:color="auto"/>
      </w:divBdr>
    </w:div>
    <w:div w:id="1355226635">
      <w:bodyDiv w:val="1"/>
      <w:marLeft w:val="0"/>
      <w:marRight w:val="0"/>
      <w:marTop w:val="0"/>
      <w:marBottom w:val="0"/>
      <w:divBdr>
        <w:top w:val="none" w:sz="0" w:space="0" w:color="auto"/>
        <w:left w:val="none" w:sz="0" w:space="0" w:color="auto"/>
        <w:bottom w:val="none" w:sz="0" w:space="0" w:color="auto"/>
        <w:right w:val="none" w:sz="0" w:space="0" w:color="auto"/>
      </w:divBdr>
    </w:div>
    <w:div w:id="1355881323">
      <w:bodyDiv w:val="1"/>
      <w:marLeft w:val="0"/>
      <w:marRight w:val="0"/>
      <w:marTop w:val="0"/>
      <w:marBottom w:val="0"/>
      <w:divBdr>
        <w:top w:val="none" w:sz="0" w:space="0" w:color="auto"/>
        <w:left w:val="none" w:sz="0" w:space="0" w:color="auto"/>
        <w:bottom w:val="none" w:sz="0" w:space="0" w:color="auto"/>
        <w:right w:val="none" w:sz="0" w:space="0" w:color="auto"/>
      </w:divBdr>
    </w:div>
    <w:div w:id="1361396705">
      <w:bodyDiv w:val="1"/>
      <w:marLeft w:val="0"/>
      <w:marRight w:val="0"/>
      <w:marTop w:val="0"/>
      <w:marBottom w:val="0"/>
      <w:divBdr>
        <w:top w:val="none" w:sz="0" w:space="0" w:color="auto"/>
        <w:left w:val="none" w:sz="0" w:space="0" w:color="auto"/>
        <w:bottom w:val="none" w:sz="0" w:space="0" w:color="auto"/>
        <w:right w:val="none" w:sz="0" w:space="0" w:color="auto"/>
      </w:divBdr>
    </w:div>
    <w:div w:id="1365987075">
      <w:bodyDiv w:val="1"/>
      <w:marLeft w:val="0"/>
      <w:marRight w:val="0"/>
      <w:marTop w:val="0"/>
      <w:marBottom w:val="0"/>
      <w:divBdr>
        <w:top w:val="none" w:sz="0" w:space="0" w:color="auto"/>
        <w:left w:val="none" w:sz="0" w:space="0" w:color="auto"/>
        <w:bottom w:val="none" w:sz="0" w:space="0" w:color="auto"/>
        <w:right w:val="none" w:sz="0" w:space="0" w:color="auto"/>
      </w:divBdr>
    </w:div>
    <w:div w:id="1368332578">
      <w:bodyDiv w:val="1"/>
      <w:marLeft w:val="0"/>
      <w:marRight w:val="0"/>
      <w:marTop w:val="0"/>
      <w:marBottom w:val="0"/>
      <w:divBdr>
        <w:top w:val="none" w:sz="0" w:space="0" w:color="auto"/>
        <w:left w:val="none" w:sz="0" w:space="0" w:color="auto"/>
        <w:bottom w:val="none" w:sz="0" w:space="0" w:color="auto"/>
        <w:right w:val="none" w:sz="0" w:space="0" w:color="auto"/>
      </w:divBdr>
    </w:div>
    <w:div w:id="1377200465">
      <w:bodyDiv w:val="1"/>
      <w:marLeft w:val="0"/>
      <w:marRight w:val="0"/>
      <w:marTop w:val="0"/>
      <w:marBottom w:val="0"/>
      <w:divBdr>
        <w:top w:val="none" w:sz="0" w:space="0" w:color="auto"/>
        <w:left w:val="none" w:sz="0" w:space="0" w:color="auto"/>
        <w:bottom w:val="none" w:sz="0" w:space="0" w:color="auto"/>
        <w:right w:val="none" w:sz="0" w:space="0" w:color="auto"/>
      </w:divBdr>
    </w:div>
    <w:div w:id="1380133208">
      <w:bodyDiv w:val="1"/>
      <w:marLeft w:val="0"/>
      <w:marRight w:val="0"/>
      <w:marTop w:val="0"/>
      <w:marBottom w:val="0"/>
      <w:divBdr>
        <w:top w:val="none" w:sz="0" w:space="0" w:color="auto"/>
        <w:left w:val="none" w:sz="0" w:space="0" w:color="auto"/>
        <w:bottom w:val="none" w:sz="0" w:space="0" w:color="auto"/>
        <w:right w:val="none" w:sz="0" w:space="0" w:color="auto"/>
      </w:divBdr>
    </w:div>
    <w:div w:id="1383872002">
      <w:bodyDiv w:val="1"/>
      <w:marLeft w:val="0"/>
      <w:marRight w:val="0"/>
      <w:marTop w:val="0"/>
      <w:marBottom w:val="0"/>
      <w:divBdr>
        <w:top w:val="none" w:sz="0" w:space="0" w:color="auto"/>
        <w:left w:val="none" w:sz="0" w:space="0" w:color="auto"/>
        <w:bottom w:val="none" w:sz="0" w:space="0" w:color="auto"/>
        <w:right w:val="none" w:sz="0" w:space="0" w:color="auto"/>
      </w:divBdr>
    </w:div>
    <w:div w:id="1384601464">
      <w:bodyDiv w:val="1"/>
      <w:marLeft w:val="0"/>
      <w:marRight w:val="0"/>
      <w:marTop w:val="0"/>
      <w:marBottom w:val="0"/>
      <w:divBdr>
        <w:top w:val="none" w:sz="0" w:space="0" w:color="auto"/>
        <w:left w:val="none" w:sz="0" w:space="0" w:color="auto"/>
        <w:bottom w:val="none" w:sz="0" w:space="0" w:color="auto"/>
        <w:right w:val="none" w:sz="0" w:space="0" w:color="auto"/>
      </w:divBdr>
    </w:div>
    <w:div w:id="1385250597">
      <w:bodyDiv w:val="1"/>
      <w:marLeft w:val="0"/>
      <w:marRight w:val="0"/>
      <w:marTop w:val="0"/>
      <w:marBottom w:val="0"/>
      <w:divBdr>
        <w:top w:val="none" w:sz="0" w:space="0" w:color="auto"/>
        <w:left w:val="none" w:sz="0" w:space="0" w:color="auto"/>
        <w:bottom w:val="none" w:sz="0" w:space="0" w:color="auto"/>
        <w:right w:val="none" w:sz="0" w:space="0" w:color="auto"/>
      </w:divBdr>
    </w:div>
    <w:div w:id="1387531487">
      <w:bodyDiv w:val="1"/>
      <w:marLeft w:val="0"/>
      <w:marRight w:val="0"/>
      <w:marTop w:val="0"/>
      <w:marBottom w:val="0"/>
      <w:divBdr>
        <w:top w:val="none" w:sz="0" w:space="0" w:color="auto"/>
        <w:left w:val="none" w:sz="0" w:space="0" w:color="auto"/>
        <w:bottom w:val="none" w:sz="0" w:space="0" w:color="auto"/>
        <w:right w:val="none" w:sz="0" w:space="0" w:color="auto"/>
      </w:divBdr>
    </w:div>
    <w:div w:id="1395471810">
      <w:bodyDiv w:val="1"/>
      <w:marLeft w:val="0"/>
      <w:marRight w:val="0"/>
      <w:marTop w:val="0"/>
      <w:marBottom w:val="0"/>
      <w:divBdr>
        <w:top w:val="none" w:sz="0" w:space="0" w:color="auto"/>
        <w:left w:val="none" w:sz="0" w:space="0" w:color="auto"/>
        <w:bottom w:val="none" w:sz="0" w:space="0" w:color="auto"/>
        <w:right w:val="none" w:sz="0" w:space="0" w:color="auto"/>
      </w:divBdr>
    </w:div>
    <w:div w:id="1396663696">
      <w:bodyDiv w:val="1"/>
      <w:marLeft w:val="0"/>
      <w:marRight w:val="0"/>
      <w:marTop w:val="0"/>
      <w:marBottom w:val="0"/>
      <w:divBdr>
        <w:top w:val="none" w:sz="0" w:space="0" w:color="auto"/>
        <w:left w:val="none" w:sz="0" w:space="0" w:color="auto"/>
        <w:bottom w:val="none" w:sz="0" w:space="0" w:color="auto"/>
        <w:right w:val="none" w:sz="0" w:space="0" w:color="auto"/>
      </w:divBdr>
    </w:div>
    <w:div w:id="1399747454">
      <w:bodyDiv w:val="1"/>
      <w:marLeft w:val="0"/>
      <w:marRight w:val="0"/>
      <w:marTop w:val="0"/>
      <w:marBottom w:val="0"/>
      <w:divBdr>
        <w:top w:val="none" w:sz="0" w:space="0" w:color="auto"/>
        <w:left w:val="none" w:sz="0" w:space="0" w:color="auto"/>
        <w:bottom w:val="none" w:sz="0" w:space="0" w:color="auto"/>
        <w:right w:val="none" w:sz="0" w:space="0" w:color="auto"/>
      </w:divBdr>
    </w:div>
    <w:div w:id="1402412402">
      <w:bodyDiv w:val="1"/>
      <w:marLeft w:val="0"/>
      <w:marRight w:val="0"/>
      <w:marTop w:val="0"/>
      <w:marBottom w:val="0"/>
      <w:divBdr>
        <w:top w:val="none" w:sz="0" w:space="0" w:color="auto"/>
        <w:left w:val="none" w:sz="0" w:space="0" w:color="auto"/>
        <w:bottom w:val="none" w:sz="0" w:space="0" w:color="auto"/>
        <w:right w:val="none" w:sz="0" w:space="0" w:color="auto"/>
      </w:divBdr>
    </w:div>
    <w:div w:id="1402562642">
      <w:bodyDiv w:val="1"/>
      <w:marLeft w:val="0"/>
      <w:marRight w:val="0"/>
      <w:marTop w:val="0"/>
      <w:marBottom w:val="0"/>
      <w:divBdr>
        <w:top w:val="none" w:sz="0" w:space="0" w:color="auto"/>
        <w:left w:val="none" w:sz="0" w:space="0" w:color="auto"/>
        <w:bottom w:val="none" w:sz="0" w:space="0" w:color="auto"/>
        <w:right w:val="none" w:sz="0" w:space="0" w:color="auto"/>
      </w:divBdr>
    </w:div>
    <w:div w:id="1405102965">
      <w:bodyDiv w:val="1"/>
      <w:marLeft w:val="0"/>
      <w:marRight w:val="0"/>
      <w:marTop w:val="0"/>
      <w:marBottom w:val="0"/>
      <w:divBdr>
        <w:top w:val="none" w:sz="0" w:space="0" w:color="auto"/>
        <w:left w:val="none" w:sz="0" w:space="0" w:color="auto"/>
        <w:bottom w:val="none" w:sz="0" w:space="0" w:color="auto"/>
        <w:right w:val="none" w:sz="0" w:space="0" w:color="auto"/>
      </w:divBdr>
    </w:div>
    <w:div w:id="1406144274">
      <w:bodyDiv w:val="1"/>
      <w:marLeft w:val="0"/>
      <w:marRight w:val="0"/>
      <w:marTop w:val="0"/>
      <w:marBottom w:val="0"/>
      <w:divBdr>
        <w:top w:val="none" w:sz="0" w:space="0" w:color="auto"/>
        <w:left w:val="none" w:sz="0" w:space="0" w:color="auto"/>
        <w:bottom w:val="none" w:sz="0" w:space="0" w:color="auto"/>
        <w:right w:val="none" w:sz="0" w:space="0" w:color="auto"/>
      </w:divBdr>
    </w:div>
    <w:div w:id="1419867409">
      <w:bodyDiv w:val="1"/>
      <w:marLeft w:val="0"/>
      <w:marRight w:val="0"/>
      <w:marTop w:val="0"/>
      <w:marBottom w:val="0"/>
      <w:divBdr>
        <w:top w:val="none" w:sz="0" w:space="0" w:color="auto"/>
        <w:left w:val="none" w:sz="0" w:space="0" w:color="auto"/>
        <w:bottom w:val="none" w:sz="0" w:space="0" w:color="auto"/>
        <w:right w:val="none" w:sz="0" w:space="0" w:color="auto"/>
      </w:divBdr>
    </w:div>
    <w:div w:id="1423986727">
      <w:bodyDiv w:val="1"/>
      <w:marLeft w:val="0"/>
      <w:marRight w:val="0"/>
      <w:marTop w:val="0"/>
      <w:marBottom w:val="0"/>
      <w:divBdr>
        <w:top w:val="none" w:sz="0" w:space="0" w:color="auto"/>
        <w:left w:val="none" w:sz="0" w:space="0" w:color="auto"/>
        <w:bottom w:val="none" w:sz="0" w:space="0" w:color="auto"/>
        <w:right w:val="none" w:sz="0" w:space="0" w:color="auto"/>
      </w:divBdr>
    </w:div>
    <w:div w:id="1425761488">
      <w:bodyDiv w:val="1"/>
      <w:marLeft w:val="0"/>
      <w:marRight w:val="0"/>
      <w:marTop w:val="0"/>
      <w:marBottom w:val="0"/>
      <w:divBdr>
        <w:top w:val="none" w:sz="0" w:space="0" w:color="auto"/>
        <w:left w:val="none" w:sz="0" w:space="0" w:color="auto"/>
        <w:bottom w:val="none" w:sz="0" w:space="0" w:color="auto"/>
        <w:right w:val="none" w:sz="0" w:space="0" w:color="auto"/>
      </w:divBdr>
      <w:divsChild>
        <w:div w:id="1523275244">
          <w:marLeft w:val="0"/>
          <w:marRight w:val="0"/>
          <w:marTop w:val="0"/>
          <w:marBottom w:val="0"/>
          <w:divBdr>
            <w:top w:val="none" w:sz="0" w:space="0" w:color="auto"/>
            <w:left w:val="none" w:sz="0" w:space="0" w:color="auto"/>
            <w:bottom w:val="none" w:sz="0" w:space="0" w:color="auto"/>
            <w:right w:val="none" w:sz="0" w:space="0" w:color="auto"/>
          </w:divBdr>
          <w:divsChild>
            <w:div w:id="1726638380">
              <w:marLeft w:val="0"/>
              <w:marRight w:val="0"/>
              <w:marTop w:val="0"/>
              <w:marBottom w:val="0"/>
              <w:divBdr>
                <w:top w:val="none" w:sz="0" w:space="0" w:color="auto"/>
                <w:left w:val="none" w:sz="0" w:space="0" w:color="auto"/>
                <w:bottom w:val="none" w:sz="0" w:space="0" w:color="auto"/>
                <w:right w:val="none" w:sz="0" w:space="0" w:color="auto"/>
              </w:divBdr>
              <w:divsChild>
                <w:div w:id="2065790513">
                  <w:marLeft w:val="0"/>
                  <w:marRight w:val="0"/>
                  <w:marTop w:val="0"/>
                  <w:marBottom w:val="0"/>
                  <w:divBdr>
                    <w:top w:val="none" w:sz="0" w:space="0" w:color="auto"/>
                    <w:left w:val="none" w:sz="0" w:space="0" w:color="auto"/>
                    <w:bottom w:val="none" w:sz="0" w:space="0" w:color="auto"/>
                    <w:right w:val="none" w:sz="0" w:space="0" w:color="auto"/>
                  </w:divBdr>
                  <w:divsChild>
                    <w:div w:id="1091927472">
                      <w:marLeft w:val="0"/>
                      <w:marRight w:val="0"/>
                      <w:marTop w:val="0"/>
                      <w:marBottom w:val="0"/>
                      <w:divBdr>
                        <w:top w:val="none" w:sz="0" w:space="0" w:color="auto"/>
                        <w:left w:val="none" w:sz="0" w:space="0" w:color="auto"/>
                        <w:bottom w:val="none" w:sz="0" w:space="0" w:color="auto"/>
                        <w:right w:val="none" w:sz="0" w:space="0" w:color="auto"/>
                      </w:divBdr>
                      <w:divsChild>
                        <w:div w:id="1456757671">
                          <w:marLeft w:val="0"/>
                          <w:marRight w:val="0"/>
                          <w:marTop w:val="0"/>
                          <w:marBottom w:val="0"/>
                          <w:divBdr>
                            <w:top w:val="none" w:sz="0" w:space="0" w:color="auto"/>
                            <w:left w:val="none" w:sz="0" w:space="0" w:color="auto"/>
                            <w:bottom w:val="none" w:sz="0" w:space="0" w:color="auto"/>
                            <w:right w:val="none" w:sz="0" w:space="0" w:color="auto"/>
                          </w:divBdr>
                          <w:divsChild>
                            <w:div w:id="160900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039557">
      <w:bodyDiv w:val="1"/>
      <w:marLeft w:val="0"/>
      <w:marRight w:val="0"/>
      <w:marTop w:val="0"/>
      <w:marBottom w:val="0"/>
      <w:divBdr>
        <w:top w:val="none" w:sz="0" w:space="0" w:color="auto"/>
        <w:left w:val="none" w:sz="0" w:space="0" w:color="auto"/>
        <w:bottom w:val="none" w:sz="0" w:space="0" w:color="auto"/>
        <w:right w:val="none" w:sz="0" w:space="0" w:color="auto"/>
      </w:divBdr>
    </w:div>
    <w:div w:id="1433741137">
      <w:bodyDiv w:val="1"/>
      <w:marLeft w:val="0"/>
      <w:marRight w:val="0"/>
      <w:marTop w:val="0"/>
      <w:marBottom w:val="0"/>
      <w:divBdr>
        <w:top w:val="none" w:sz="0" w:space="0" w:color="auto"/>
        <w:left w:val="none" w:sz="0" w:space="0" w:color="auto"/>
        <w:bottom w:val="none" w:sz="0" w:space="0" w:color="auto"/>
        <w:right w:val="none" w:sz="0" w:space="0" w:color="auto"/>
      </w:divBdr>
    </w:div>
    <w:div w:id="1440947983">
      <w:bodyDiv w:val="1"/>
      <w:marLeft w:val="0"/>
      <w:marRight w:val="0"/>
      <w:marTop w:val="0"/>
      <w:marBottom w:val="0"/>
      <w:divBdr>
        <w:top w:val="none" w:sz="0" w:space="0" w:color="auto"/>
        <w:left w:val="none" w:sz="0" w:space="0" w:color="auto"/>
        <w:bottom w:val="none" w:sz="0" w:space="0" w:color="auto"/>
        <w:right w:val="none" w:sz="0" w:space="0" w:color="auto"/>
      </w:divBdr>
    </w:div>
    <w:div w:id="1444576367">
      <w:bodyDiv w:val="1"/>
      <w:marLeft w:val="0"/>
      <w:marRight w:val="0"/>
      <w:marTop w:val="0"/>
      <w:marBottom w:val="0"/>
      <w:divBdr>
        <w:top w:val="none" w:sz="0" w:space="0" w:color="auto"/>
        <w:left w:val="none" w:sz="0" w:space="0" w:color="auto"/>
        <w:bottom w:val="none" w:sz="0" w:space="0" w:color="auto"/>
        <w:right w:val="none" w:sz="0" w:space="0" w:color="auto"/>
      </w:divBdr>
    </w:div>
    <w:div w:id="1446652938">
      <w:bodyDiv w:val="1"/>
      <w:marLeft w:val="0"/>
      <w:marRight w:val="0"/>
      <w:marTop w:val="0"/>
      <w:marBottom w:val="0"/>
      <w:divBdr>
        <w:top w:val="none" w:sz="0" w:space="0" w:color="auto"/>
        <w:left w:val="none" w:sz="0" w:space="0" w:color="auto"/>
        <w:bottom w:val="none" w:sz="0" w:space="0" w:color="auto"/>
        <w:right w:val="none" w:sz="0" w:space="0" w:color="auto"/>
      </w:divBdr>
    </w:div>
    <w:div w:id="1449659119">
      <w:bodyDiv w:val="1"/>
      <w:marLeft w:val="0"/>
      <w:marRight w:val="0"/>
      <w:marTop w:val="0"/>
      <w:marBottom w:val="0"/>
      <w:divBdr>
        <w:top w:val="none" w:sz="0" w:space="0" w:color="auto"/>
        <w:left w:val="none" w:sz="0" w:space="0" w:color="auto"/>
        <w:bottom w:val="none" w:sz="0" w:space="0" w:color="auto"/>
        <w:right w:val="none" w:sz="0" w:space="0" w:color="auto"/>
      </w:divBdr>
    </w:div>
    <w:div w:id="1454444042">
      <w:bodyDiv w:val="1"/>
      <w:marLeft w:val="0"/>
      <w:marRight w:val="0"/>
      <w:marTop w:val="0"/>
      <w:marBottom w:val="0"/>
      <w:divBdr>
        <w:top w:val="none" w:sz="0" w:space="0" w:color="auto"/>
        <w:left w:val="none" w:sz="0" w:space="0" w:color="auto"/>
        <w:bottom w:val="none" w:sz="0" w:space="0" w:color="auto"/>
        <w:right w:val="none" w:sz="0" w:space="0" w:color="auto"/>
      </w:divBdr>
    </w:div>
    <w:div w:id="1458723543">
      <w:bodyDiv w:val="1"/>
      <w:marLeft w:val="0"/>
      <w:marRight w:val="0"/>
      <w:marTop w:val="0"/>
      <w:marBottom w:val="0"/>
      <w:divBdr>
        <w:top w:val="none" w:sz="0" w:space="0" w:color="auto"/>
        <w:left w:val="none" w:sz="0" w:space="0" w:color="auto"/>
        <w:bottom w:val="none" w:sz="0" w:space="0" w:color="auto"/>
        <w:right w:val="none" w:sz="0" w:space="0" w:color="auto"/>
      </w:divBdr>
    </w:div>
    <w:div w:id="1459452936">
      <w:bodyDiv w:val="1"/>
      <w:marLeft w:val="0"/>
      <w:marRight w:val="0"/>
      <w:marTop w:val="0"/>
      <w:marBottom w:val="0"/>
      <w:divBdr>
        <w:top w:val="none" w:sz="0" w:space="0" w:color="auto"/>
        <w:left w:val="none" w:sz="0" w:space="0" w:color="auto"/>
        <w:bottom w:val="none" w:sz="0" w:space="0" w:color="auto"/>
        <w:right w:val="none" w:sz="0" w:space="0" w:color="auto"/>
      </w:divBdr>
    </w:div>
    <w:div w:id="1459880638">
      <w:bodyDiv w:val="1"/>
      <w:marLeft w:val="0"/>
      <w:marRight w:val="0"/>
      <w:marTop w:val="0"/>
      <w:marBottom w:val="0"/>
      <w:divBdr>
        <w:top w:val="none" w:sz="0" w:space="0" w:color="auto"/>
        <w:left w:val="none" w:sz="0" w:space="0" w:color="auto"/>
        <w:bottom w:val="none" w:sz="0" w:space="0" w:color="auto"/>
        <w:right w:val="none" w:sz="0" w:space="0" w:color="auto"/>
      </w:divBdr>
    </w:div>
    <w:div w:id="1461533698">
      <w:bodyDiv w:val="1"/>
      <w:marLeft w:val="0"/>
      <w:marRight w:val="0"/>
      <w:marTop w:val="0"/>
      <w:marBottom w:val="0"/>
      <w:divBdr>
        <w:top w:val="none" w:sz="0" w:space="0" w:color="auto"/>
        <w:left w:val="none" w:sz="0" w:space="0" w:color="auto"/>
        <w:bottom w:val="none" w:sz="0" w:space="0" w:color="auto"/>
        <w:right w:val="none" w:sz="0" w:space="0" w:color="auto"/>
      </w:divBdr>
    </w:div>
    <w:div w:id="1461724705">
      <w:bodyDiv w:val="1"/>
      <w:marLeft w:val="0"/>
      <w:marRight w:val="0"/>
      <w:marTop w:val="0"/>
      <w:marBottom w:val="0"/>
      <w:divBdr>
        <w:top w:val="none" w:sz="0" w:space="0" w:color="auto"/>
        <w:left w:val="none" w:sz="0" w:space="0" w:color="auto"/>
        <w:bottom w:val="none" w:sz="0" w:space="0" w:color="auto"/>
        <w:right w:val="none" w:sz="0" w:space="0" w:color="auto"/>
      </w:divBdr>
    </w:div>
    <w:div w:id="1466653841">
      <w:bodyDiv w:val="1"/>
      <w:marLeft w:val="0"/>
      <w:marRight w:val="0"/>
      <w:marTop w:val="0"/>
      <w:marBottom w:val="0"/>
      <w:divBdr>
        <w:top w:val="none" w:sz="0" w:space="0" w:color="auto"/>
        <w:left w:val="none" w:sz="0" w:space="0" w:color="auto"/>
        <w:bottom w:val="none" w:sz="0" w:space="0" w:color="auto"/>
        <w:right w:val="none" w:sz="0" w:space="0" w:color="auto"/>
      </w:divBdr>
    </w:div>
    <w:div w:id="1468284113">
      <w:bodyDiv w:val="1"/>
      <w:marLeft w:val="0"/>
      <w:marRight w:val="0"/>
      <w:marTop w:val="0"/>
      <w:marBottom w:val="0"/>
      <w:divBdr>
        <w:top w:val="none" w:sz="0" w:space="0" w:color="auto"/>
        <w:left w:val="none" w:sz="0" w:space="0" w:color="auto"/>
        <w:bottom w:val="none" w:sz="0" w:space="0" w:color="auto"/>
        <w:right w:val="none" w:sz="0" w:space="0" w:color="auto"/>
      </w:divBdr>
    </w:div>
    <w:div w:id="1473450897">
      <w:bodyDiv w:val="1"/>
      <w:marLeft w:val="0"/>
      <w:marRight w:val="0"/>
      <w:marTop w:val="0"/>
      <w:marBottom w:val="0"/>
      <w:divBdr>
        <w:top w:val="none" w:sz="0" w:space="0" w:color="auto"/>
        <w:left w:val="none" w:sz="0" w:space="0" w:color="auto"/>
        <w:bottom w:val="none" w:sz="0" w:space="0" w:color="auto"/>
        <w:right w:val="none" w:sz="0" w:space="0" w:color="auto"/>
      </w:divBdr>
    </w:div>
    <w:div w:id="1478184657">
      <w:bodyDiv w:val="1"/>
      <w:marLeft w:val="0"/>
      <w:marRight w:val="0"/>
      <w:marTop w:val="0"/>
      <w:marBottom w:val="0"/>
      <w:divBdr>
        <w:top w:val="none" w:sz="0" w:space="0" w:color="auto"/>
        <w:left w:val="none" w:sz="0" w:space="0" w:color="auto"/>
        <w:bottom w:val="none" w:sz="0" w:space="0" w:color="auto"/>
        <w:right w:val="none" w:sz="0" w:space="0" w:color="auto"/>
      </w:divBdr>
    </w:div>
    <w:div w:id="1478299402">
      <w:bodyDiv w:val="1"/>
      <w:marLeft w:val="0"/>
      <w:marRight w:val="0"/>
      <w:marTop w:val="0"/>
      <w:marBottom w:val="0"/>
      <w:divBdr>
        <w:top w:val="none" w:sz="0" w:space="0" w:color="auto"/>
        <w:left w:val="none" w:sz="0" w:space="0" w:color="auto"/>
        <w:bottom w:val="none" w:sz="0" w:space="0" w:color="auto"/>
        <w:right w:val="none" w:sz="0" w:space="0" w:color="auto"/>
      </w:divBdr>
    </w:div>
    <w:div w:id="1481269757">
      <w:bodyDiv w:val="1"/>
      <w:marLeft w:val="0"/>
      <w:marRight w:val="0"/>
      <w:marTop w:val="0"/>
      <w:marBottom w:val="0"/>
      <w:divBdr>
        <w:top w:val="none" w:sz="0" w:space="0" w:color="auto"/>
        <w:left w:val="none" w:sz="0" w:space="0" w:color="auto"/>
        <w:bottom w:val="none" w:sz="0" w:space="0" w:color="auto"/>
        <w:right w:val="none" w:sz="0" w:space="0" w:color="auto"/>
      </w:divBdr>
    </w:div>
    <w:div w:id="1483738696">
      <w:bodyDiv w:val="1"/>
      <w:marLeft w:val="0"/>
      <w:marRight w:val="0"/>
      <w:marTop w:val="0"/>
      <w:marBottom w:val="0"/>
      <w:divBdr>
        <w:top w:val="none" w:sz="0" w:space="0" w:color="auto"/>
        <w:left w:val="none" w:sz="0" w:space="0" w:color="auto"/>
        <w:bottom w:val="none" w:sz="0" w:space="0" w:color="auto"/>
        <w:right w:val="none" w:sz="0" w:space="0" w:color="auto"/>
      </w:divBdr>
    </w:div>
    <w:div w:id="1484857042">
      <w:bodyDiv w:val="1"/>
      <w:marLeft w:val="0"/>
      <w:marRight w:val="0"/>
      <w:marTop w:val="0"/>
      <w:marBottom w:val="0"/>
      <w:divBdr>
        <w:top w:val="none" w:sz="0" w:space="0" w:color="auto"/>
        <w:left w:val="none" w:sz="0" w:space="0" w:color="auto"/>
        <w:bottom w:val="none" w:sz="0" w:space="0" w:color="auto"/>
        <w:right w:val="none" w:sz="0" w:space="0" w:color="auto"/>
      </w:divBdr>
    </w:div>
    <w:div w:id="1486121884">
      <w:bodyDiv w:val="1"/>
      <w:marLeft w:val="0"/>
      <w:marRight w:val="0"/>
      <w:marTop w:val="0"/>
      <w:marBottom w:val="0"/>
      <w:divBdr>
        <w:top w:val="none" w:sz="0" w:space="0" w:color="auto"/>
        <w:left w:val="none" w:sz="0" w:space="0" w:color="auto"/>
        <w:bottom w:val="none" w:sz="0" w:space="0" w:color="auto"/>
        <w:right w:val="none" w:sz="0" w:space="0" w:color="auto"/>
      </w:divBdr>
    </w:div>
    <w:div w:id="1488783113">
      <w:bodyDiv w:val="1"/>
      <w:marLeft w:val="0"/>
      <w:marRight w:val="0"/>
      <w:marTop w:val="0"/>
      <w:marBottom w:val="0"/>
      <w:divBdr>
        <w:top w:val="none" w:sz="0" w:space="0" w:color="auto"/>
        <w:left w:val="none" w:sz="0" w:space="0" w:color="auto"/>
        <w:bottom w:val="none" w:sz="0" w:space="0" w:color="auto"/>
        <w:right w:val="none" w:sz="0" w:space="0" w:color="auto"/>
      </w:divBdr>
    </w:div>
    <w:div w:id="1491560493">
      <w:bodyDiv w:val="1"/>
      <w:marLeft w:val="0"/>
      <w:marRight w:val="0"/>
      <w:marTop w:val="0"/>
      <w:marBottom w:val="0"/>
      <w:divBdr>
        <w:top w:val="none" w:sz="0" w:space="0" w:color="auto"/>
        <w:left w:val="none" w:sz="0" w:space="0" w:color="auto"/>
        <w:bottom w:val="none" w:sz="0" w:space="0" w:color="auto"/>
        <w:right w:val="none" w:sz="0" w:space="0" w:color="auto"/>
      </w:divBdr>
      <w:divsChild>
        <w:div w:id="305164175">
          <w:marLeft w:val="0"/>
          <w:marRight w:val="0"/>
          <w:marTop w:val="0"/>
          <w:marBottom w:val="0"/>
          <w:divBdr>
            <w:top w:val="none" w:sz="0" w:space="0" w:color="auto"/>
            <w:left w:val="none" w:sz="0" w:space="0" w:color="auto"/>
            <w:bottom w:val="none" w:sz="0" w:space="0" w:color="auto"/>
            <w:right w:val="none" w:sz="0" w:space="0" w:color="auto"/>
          </w:divBdr>
          <w:divsChild>
            <w:div w:id="239944886">
              <w:marLeft w:val="0"/>
              <w:marRight w:val="0"/>
              <w:marTop w:val="0"/>
              <w:marBottom w:val="0"/>
              <w:divBdr>
                <w:top w:val="none" w:sz="0" w:space="0" w:color="auto"/>
                <w:left w:val="none" w:sz="0" w:space="0" w:color="auto"/>
                <w:bottom w:val="none" w:sz="0" w:space="0" w:color="auto"/>
                <w:right w:val="none" w:sz="0" w:space="0" w:color="auto"/>
              </w:divBdr>
              <w:divsChild>
                <w:div w:id="376514443">
                  <w:marLeft w:val="0"/>
                  <w:marRight w:val="0"/>
                  <w:marTop w:val="0"/>
                  <w:marBottom w:val="0"/>
                  <w:divBdr>
                    <w:top w:val="none" w:sz="0" w:space="0" w:color="auto"/>
                    <w:left w:val="none" w:sz="0" w:space="0" w:color="auto"/>
                    <w:bottom w:val="none" w:sz="0" w:space="0" w:color="auto"/>
                    <w:right w:val="none" w:sz="0" w:space="0" w:color="auto"/>
                  </w:divBdr>
                  <w:divsChild>
                    <w:div w:id="1922370428">
                      <w:marLeft w:val="0"/>
                      <w:marRight w:val="0"/>
                      <w:marTop w:val="0"/>
                      <w:marBottom w:val="0"/>
                      <w:divBdr>
                        <w:top w:val="none" w:sz="0" w:space="0" w:color="auto"/>
                        <w:left w:val="none" w:sz="0" w:space="0" w:color="auto"/>
                        <w:bottom w:val="none" w:sz="0" w:space="0" w:color="auto"/>
                        <w:right w:val="none" w:sz="0" w:space="0" w:color="auto"/>
                      </w:divBdr>
                      <w:divsChild>
                        <w:div w:id="982123059">
                          <w:marLeft w:val="0"/>
                          <w:marRight w:val="0"/>
                          <w:marTop w:val="0"/>
                          <w:marBottom w:val="0"/>
                          <w:divBdr>
                            <w:top w:val="none" w:sz="0" w:space="0" w:color="auto"/>
                            <w:left w:val="none" w:sz="0" w:space="0" w:color="auto"/>
                            <w:bottom w:val="none" w:sz="0" w:space="0" w:color="auto"/>
                            <w:right w:val="none" w:sz="0" w:space="0" w:color="auto"/>
                          </w:divBdr>
                          <w:divsChild>
                            <w:div w:id="9468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757062">
      <w:bodyDiv w:val="1"/>
      <w:marLeft w:val="0"/>
      <w:marRight w:val="0"/>
      <w:marTop w:val="0"/>
      <w:marBottom w:val="0"/>
      <w:divBdr>
        <w:top w:val="none" w:sz="0" w:space="0" w:color="auto"/>
        <w:left w:val="none" w:sz="0" w:space="0" w:color="auto"/>
        <w:bottom w:val="none" w:sz="0" w:space="0" w:color="auto"/>
        <w:right w:val="none" w:sz="0" w:space="0" w:color="auto"/>
      </w:divBdr>
    </w:div>
    <w:div w:id="1496073592">
      <w:bodyDiv w:val="1"/>
      <w:marLeft w:val="0"/>
      <w:marRight w:val="0"/>
      <w:marTop w:val="0"/>
      <w:marBottom w:val="0"/>
      <w:divBdr>
        <w:top w:val="none" w:sz="0" w:space="0" w:color="auto"/>
        <w:left w:val="none" w:sz="0" w:space="0" w:color="auto"/>
        <w:bottom w:val="none" w:sz="0" w:space="0" w:color="auto"/>
        <w:right w:val="none" w:sz="0" w:space="0" w:color="auto"/>
      </w:divBdr>
    </w:div>
    <w:div w:id="1496340743">
      <w:bodyDiv w:val="1"/>
      <w:marLeft w:val="0"/>
      <w:marRight w:val="0"/>
      <w:marTop w:val="0"/>
      <w:marBottom w:val="0"/>
      <w:divBdr>
        <w:top w:val="none" w:sz="0" w:space="0" w:color="auto"/>
        <w:left w:val="none" w:sz="0" w:space="0" w:color="auto"/>
        <w:bottom w:val="none" w:sz="0" w:space="0" w:color="auto"/>
        <w:right w:val="none" w:sz="0" w:space="0" w:color="auto"/>
      </w:divBdr>
    </w:div>
    <w:div w:id="1501459543">
      <w:bodyDiv w:val="1"/>
      <w:marLeft w:val="0"/>
      <w:marRight w:val="0"/>
      <w:marTop w:val="0"/>
      <w:marBottom w:val="0"/>
      <w:divBdr>
        <w:top w:val="none" w:sz="0" w:space="0" w:color="auto"/>
        <w:left w:val="none" w:sz="0" w:space="0" w:color="auto"/>
        <w:bottom w:val="none" w:sz="0" w:space="0" w:color="auto"/>
        <w:right w:val="none" w:sz="0" w:space="0" w:color="auto"/>
      </w:divBdr>
    </w:div>
    <w:div w:id="1505126720">
      <w:bodyDiv w:val="1"/>
      <w:marLeft w:val="0"/>
      <w:marRight w:val="0"/>
      <w:marTop w:val="0"/>
      <w:marBottom w:val="0"/>
      <w:divBdr>
        <w:top w:val="none" w:sz="0" w:space="0" w:color="auto"/>
        <w:left w:val="none" w:sz="0" w:space="0" w:color="auto"/>
        <w:bottom w:val="none" w:sz="0" w:space="0" w:color="auto"/>
        <w:right w:val="none" w:sz="0" w:space="0" w:color="auto"/>
      </w:divBdr>
    </w:div>
    <w:div w:id="1505783564">
      <w:bodyDiv w:val="1"/>
      <w:marLeft w:val="0"/>
      <w:marRight w:val="0"/>
      <w:marTop w:val="0"/>
      <w:marBottom w:val="0"/>
      <w:divBdr>
        <w:top w:val="none" w:sz="0" w:space="0" w:color="auto"/>
        <w:left w:val="none" w:sz="0" w:space="0" w:color="auto"/>
        <w:bottom w:val="none" w:sz="0" w:space="0" w:color="auto"/>
        <w:right w:val="none" w:sz="0" w:space="0" w:color="auto"/>
      </w:divBdr>
    </w:div>
    <w:div w:id="1515152566">
      <w:bodyDiv w:val="1"/>
      <w:marLeft w:val="0"/>
      <w:marRight w:val="0"/>
      <w:marTop w:val="0"/>
      <w:marBottom w:val="0"/>
      <w:divBdr>
        <w:top w:val="none" w:sz="0" w:space="0" w:color="auto"/>
        <w:left w:val="none" w:sz="0" w:space="0" w:color="auto"/>
        <w:bottom w:val="none" w:sz="0" w:space="0" w:color="auto"/>
        <w:right w:val="none" w:sz="0" w:space="0" w:color="auto"/>
      </w:divBdr>
    </w:div>
    <w:div w:id="1517226683">
      <w:bodyDiv w:val="1"/>
      <w:marLeft w:val="0"/>
      <w:marRight w:val="0"/>
      <w:marTop w:val="0"/>
      <w:marBottom w:val="0"/>
      <w:divBdr>
        <w:top w:val="none" w:sz="0" w:space="0" w:color="auto"/>
        <w:left w:val="none" w:sz="0" w:space="0" w:color="auto"/>
        <w:bottom w:val="none" w:sz="0" w:space="0" w:color="auto"/>
        <w:right w:val="none" w:sz="0" w:space="0" w:color="auto"/>
      </w:divBdr>
    </w:div>
    <w:div w:id="1519125721">
      <w:bodyDiv w:val="1"/>
      <w:marLeft w:val="0"/>
      <w:marRight w:val="0"/>
      <w:marTop w:val="0"/>
      <w:marBottom w:val="0"/>
      <w:divBdr>
        <w:top w:val="none" w:sz="0" w:space="0" w:color="auto"/>
        <w:left w:val="none" w:sz="0" w:space="0" w:color="auto"/>
        <w:bottom w:val="none" w:sz="0" w:space="0" w:color="auto"/>
        <w:right w:val="none" w:sz="0" w:space="0" w:color="auto"/>
      </w:divBdr>
    </w:div>
    <w:div w:id="1523326758">
      <w:bodyDiv w:val="1"/>
      <w:marLeft w:val="0"/>
      <w:marRight w:val="0"/>
      <w:marTop w:val="0"/>
      <w:marBottom w:val="0"/>
      <w:divBdr>
        <w:top w:val="none" w:sz="0" w:space="0" w:color="auto"/>
        <w:left w:val="none" w:sz="0" w:space="0" w:color="auto"/>
        <w:bottom w:val="none" w:sz="0" w:space="0" w:color="auto"/>
        <w:right w:val="none" w:sz="0" w:space="0" w:color="auto"/>
      </w:divBdr>
    </w:div>
    <w:div w:id="1524047992">
      <w:bodyDiv w:val="1"/>
      <w:marLeft w:val="0"/>
      <w:marRight w:val="0"/>
      <w:marTop w:val="0"/>
      <w:marBottom w:val="0"/>
      <w:divBdr>
        <w:top w:val="none" w:sz="0" w:space="0" w:color="auto"/>
        <w:left w:val="none" w:sz="0" w:space="0" w:color="auto"/>
        <w:bottom w:val="none" w:sz="0" w:space="0" w:color="auto"/>
        <w:right w:val="none" w:sz="0" w:space="0" w:color="auto"/>
      </w:divBdr>
    </w:div>
    <w:div w:id="1531336106">
      <w:bodyDiv w:val="1"/>
      <w:marLeft w:val="0"/>
      <w:marRight w:val="0"/>
      <w:marTop w:val="0"/>
      <w:marBottom w:val="0"/>
      <w:divBdr>
        <w:top w:val="none" w:sz="0" w:space="0" w:color="auto"/>
        <w:left w:val="none" w:sz="0" w:space="0" w:color="auto"/>
        <w:bottom w:val="none" w:sz="0" w:space="0" w:color="auto"/>
        <w:right w:val="none" w:sz="0" w:space="0" w:color="auto"/>
      </w:divBdr>
    </w:div>
    <w:div w:id="1535266763">
      <w:bodyDiv w:val="1"/>
      <w:marLeft w:val="0"/>
      <w:marRight w:val="0"/>
      <w:marTop w:val="0"/>
      <w:marBottom w:val="0"/>
      <w:divBdr>
        <w:top w:val="none" w:sz="0" w:space="0" w:color="auto"/>
        <w:left w:val="none" w:sz="0" w:space="0" w:color="auto"/>
        <w:bottom w:val="none" w:sz="0" w:space="0" w:color="auto"/>
        <w:right w:val="none" w:sz="0" w:space="0" w:color="auto"/>
      </w:divBdr>
    </w:div>
    <w:div w:id="1538354293">
      <w:bodyDiv w:val="1"/>
      <w:marLeft w:val="0"/>
      <w:marRight w:val="0"/>
      <w:marTop w:val="0"/>
      <w:marBottom w:val="0"/>
      <w:divBdr>
        <w:top w:val="none" w:sz="0" w:space="0" w:color="auto"/>
        <w:left w:val="none" w:sz="0" w:space="0" w:color="auto"/>
        <w:bottom w:val="none" w:sz="0" w:space="0" w:color="auto"/>
        <w:right w:val="none" w:sz="0" w:space="0" w:color="auto"/>
      </w:divBdr>
    </w:div>
    <w:div w:id="1539509369">
      <w:bodyDiv w:val="1"/>
      <w:marLeft w:val="0"/>
      <w:marRight w:val="0"/>
      <w:marTop w:val="0"/>
      <w:marBottom w:val="0"/>
      <w:divBdr>
        <w:top w:val="none" w:sz="0" w:space="0" w:color="auto"/>
        <w:left w:val="none" w:sz="0" w:space="0" w:color="auto"/>
        <w:bottom w:val="none" w:sz="0" w:space="0" w:color="auto"/>
        <w:right w:val="none" w:sz="0" w:space="0" w:color="auto"/>
      </w:divBdr>
    </w:div>
    <w:div w:id="1539666160">
      <w:bodyDiv w:val="1"/>
      <w:marLeft w:val="0"/>
      <w:marRight w:val="0"/>
      <w:marTop w:val="0"/>
      <w:marBottom w:val="0"/>
      <w:divBdr>
        <w:top w:val="none" w:sz="0" w:space="0" w:color="auto"/>
        <w:left w:val="none" w:sz="0" w:space="0" w:color="auto"/>
        <w:bottom w:val="none" w:sz="0" w:space="0" w:color="auto"/>
        <w:right w:val="none" w:sz="0" w:space="0" w:color="auto"/>
      </w:divBdr>
    </w:div>
    <w:div w:id="1543131452">
      <w:bodyDiv w:val="1"/>
      <w:marLeft w:val="0"/>
      <w:marRight w:val="0"/>
      <w:marTop w:val="0"/>
      <w:marBottom w:val="0"/>
      <w:divBdr>
        <w:top w:val="none" w:sz="0" w:space="0" w:color="auto"/>
        <w:left w:val="none" w:sz="0" w:space="0" w:color="auto"/>
        <w:bottom w:val="none" w:sz="0" w:space="0" w:color="auto"/>
        <w:right w:val="none" w:sz="0" w:space="0" w:color="auto"/>
      </w:divBdr>
    </w:div>
    <w:div w:id="1543399049">
      <w:bodyDiv w:val="1"/>
      <w:marLeft w:val="0"/>
      <w:marRight w:val="0"/>
      <w:marTop w:val="0"/>
      <w:marBottom w:val="0"/>
      <w:divBdr>
        <w:top w:val="none" w:sz="0" w:space="0" w:color="auto"/>
        <w:left w:val="none" w:sz="0" w:space="0" w:color="auto"/>
        <w:bottom w:val="none" w:sz="0" w:space="0" w:color="auto"/>
        <w:right w:val="none" w:sz="0" w:space="0" w:color="auto"/>
      </w:divBdr>
    </w:div>
    <w:div w:id="1544825632">
      <w:bodyDiv w:val="1"/>
      <w:marLeft w:val="0"/>
      <w:marRight w:val="0"/>
      <w:marTop w:val="0"/>
      <w:marBottom w:val="0"/>
      <w:divBdr>
        <w:top w:val="none" w:sz="0" w:space="0" w:color="auto"/>
        <w:left w:val="none" w:sz="0" w:space="0" w:color="auto"/>
        <w:bottom w:val="none" w:sz="0" w:space="0" w:color="auto"/>
        <w:right w:val="none" w:sz="0" w:space="0" w:color="auto"/>
      </w:divBdr>
    </w:div>
    <w:div w:id="1544901846">
      <w:bodyDiv w:val="1"/>
      <w:marLeft w:val="0"/>
      <w:marRight w:val="0"/>
      <w:marTop w:val="0"/>
      <w:marBottom w:val="0"/>
      <w:divBdr>
        <w:top w:val="none" w:sz="0" w:space="0" w:color="auto"/>
        <w:left w:val="none" w:sz="0" w:space="0" w:color="auto"/>
        <w:bottom w:val="none" w:sz="0" w:space="0" w:color="auto"/>
        <w:right w:val="none" w:sz="0" w:space="0" w:color="auto"/>
      </w:divBdr>
    </w:div>
    <w:div w:id="1551650437">
      <w:bodyDiv w:val="1"/>
      <w:marLeft w:val="0"/>
      <w:marRight w:val="0"/>
      <w:marTop w:val="0"/>
      <w:marBottom w:val="0"/>
      <w:divBdr>
        <w:top w:val="none" w:sz="0" w:space="0" w:color="auto"/>
        <w:left w:val="none" w:sz="0" w:space="0" w:color="auto"/>
        <w:bottom w:val="none" w:sz="0" w:space="0" w:color="auto"/>
        <w:right w:val="none" w:sz="0" w:space="0" w:color="auto"/>
      </w:divBdr>
    </w:div>
    <w:div w:id="1555383929">
      <w:bodyDiv w:val="1"/>
      <w:marLeft w:val="0"/>
      <w:marRight w:val="0"/>
      <w:marTop w:val="0"/>
      <w:marBottom w:val="0"/>
      <w:divBdr>
        <w:top w:val="none" w:sz="0" w:space="0" w:color="auto"/>
        <w:left w:val="none" w:sz="0" w:space="0" w:color="auto"/>
        <w:bottom w:val="none" w:sz="0" w:space="0" w:color="auto"/>
        <w:right w:val="none" w:sz="0" w:space="0" w:color="auto"/>
      </w:divBdr>
    </w:div>
    <w:div w:id="1556701017">
      <w:bodyDiv w:val="1"/>
      <w:marLeft w:val="0"/>
      <w:marRight w:val="0"/>
      <w:marTop w:val="0"/>
      <w:marBottom w:val="0"/>
      <w:divBdr>
        <w:top w:val="none" w:sz="0" w:space="0" w:color="auto"/>
        <w:left w:val="none" w:sz="0" w:space="0" w:color="auto"/>
        <w:bottom w:val="none" w:sz="0" w:space="0" w:color="auto"/>
        <w:right w:val="none" w:sz="0" w:space="0" w:color="auto"/>
      </w:divBdr>
    </w:div>
    <w:div w:id="1556816174">
      <w:bodyDiv w:val="1"/>
      <w:marLeft w:val="0"/>
      <w:marRight w:val="0"/>
      <w:marTop w:val="0"/>
      <w:marBottom w:val="0"/>
      <w:divBdr>
        <w:top w:val="none" w:sz="0" w:space="0" w:color="auto"/>
        <w:left w:val="none" w:sz="0" w:space="0" w:color="auto"/>
        <w:bottom w:val="none" w:sz="0" w:space="0" w:color="auto"/>
        <w:right w:val="none" w:sz="0" w:space="0" w:color="auto"/>
      </w:divBdr>
    </w:div>
    <w:div w:id="1558125747">
      <w:bodyDiv w:val="1"/>
      <w:marLeft w:val="0"/>
      <w:marRight w:val="0"/>
      <w:marTop w:val="0"/>
      <w:marBottom w:val="0"/>
      <w:divBdr>
        <w:top w:val="none" w:sz="0" w:space="0" w:color="auto"/>
        <w:left w:val="none" w:sz="0" w:space="0" w:color="auto"/>
        <w:bottom w:val="none" w:sz="0" w:space="0" w:color="auto"/>
        <w:right w:val="none" w:sz="0" w:space="0" w:color="auto"/>
      </w:divBdr>
    </w:div>
    <w:div w:id="1559633622">
      <w:bodyDiv w:val="1"/>
      <w:marLeft w:val="0"/>
      <w:marRight w:val="0"/>
      <w:marTop w:val="0"/>
      <w:marBottom w:val="0"/>
      <w:divBdr>
        <w:top w:val="none" w:sz="0" w:space="0" w:color="auto"/>
        <w:left w:val="none" w:sz="0" w:space="0" w:color="auto"/>
        <w:bottom w:val="none" w:sz="0" w:space="0" w:color="auto"/>
        <w:right w:val="none" w:sz="0" w:space="0" w:color="auto"/>
      </w:divBdr>
    </w:div>
    <w:div w:id="1560751810">
      <w:bodyDiv w:val="1"/>
      <w:marLeft w:val="0"/>
      <w:marRight w:val="0"/>
      <w:marTop w:val="0"/>
      <w:marBottom w:val="0"/>
      <w:divBdr>
        <w:top w:val="none" w:sz="0" w:space="0" w:color="auto"/>
        <w:left w:val="none" w:sz="0" w:space="0" w:color="auto"/>
        <w:bottom w:val="none" w:sz="0" w:space="0" w:color="auto"/>
        <w:right w:val="none" w:sz="0" w:space="0" w:color="auto"/>
      </w:divBdr>
    </w:div>
    <w:div w:id="1561668106">
      <w:bodyDiv w:val="1"/>
      <w:marLeft w:val="0"/>
      <w:marRight w:val="0"/>
      <w:marTop w:val="0"/>
      <w:marBottom w:val="0"/>
      <w:divBdr>
        <w:top w:val="none" w:sz="0" w:space="0" w:color="auto"/>
        <w:left w:val="none" w:sz="0" w:space="0" w:color="auto"/>
        <w:bottom w:val="none" w:sz="0" w:space="0" w:color="auto"/>
        <w:right w:val="none" w:sz="0" w:space="0" w:color="auto"/>
      </w:divBdr>
    </w:div>
    <w:div w:id="1564566244">
      <w:bodyDiv w:val="1"/>
      <w:marLeft w:val="0"/>
      <w:marRight w:val="0"/>
      <w:marTop w:val="0"/>
      <w:marBottom w:val="0"/>
      <w:divBdr>
        <w:top w:val="none" w:sz="0" w:space="0" w:color="auto"/>
        <w:left w:val="none" w:sz="0" w:space="0" w:color="auto"/>
        <w:bottom w:val="none" w:sz="0" w:space="0" w:color="auto"/>
        <w:right w:val="none" w:sz="0" w:space="0" w:color="auto"/>
      </w:divBdr>
    </w:div>
    <w:div w:id="1567257680">
      <w:bodyDiv w:val="1"/>
      <w:marLeft w:val="0"/>
      <w:marRight w:val="0"/>
      <w:marTop w:val="0"/>
      <w:marBottom w:val="0"/>
      <w:divBdr>
        <w:top w:val="none" w:sz="0" w:space="0" w:color="auto"/>
        <w:left w:val="none" w:sz="0" w:space="0" w:color="auto"/>
        <w:bottom w:val="none" w:sz="0" w:space="0" w:color="auto"/>
        <w:right w:val="none" w:sz="0" w:space="0" w:color="auto"/>
      </w:divBdr>
    </w:div>
    <w:div w:id="1567490916">
      <w:bodyDiv w:val="1"/>
      <w:marLeft w:val="0"/>
      <w:marRight w:val="0"/>
      <w:marTop w:val="0"/>
      <w:marBottom w:val="0"/>
      <w:divBdr>
        <w:top w:val="none" w:sz="0" w:space="0" w:color="auto"/>
        <w:left w:val="none" w:sz="0" w:space="0" w:color="auto"/>
        <w:bottom w:val="none" w:sz="0" w:space="0" w:color="auto"/>
        <w:right w:val="none" w:sz="0" w:space="0" w:color="auto"/>
      </w:divBdr>
    </w:div>
    <w:div w:id="1568761261">
      <w:bodyDiv w:val="1"/>
      <w:marLeft w:val="0"/>
      <w:marRight w:val="0"/>
      <w:marTop w:val="0"/>
      <w:marBottom w:val="0"/>
      <w:divBdr>
        <w:top w:val="none" w:sz="0" w:space="0" w:color="auto"/>
        <w:left w:val="none" w:sz="0" w:space="0" w:color="auto"/>
        <w:bottom w:val="none" w:sz="0" w:space="0" w:color="auto"/>
        <w:right w:val="none" w:sz="0" w:space="0" w:color="auto"/>
      </w:divBdr>
    </w:div>
    <w:div w:id="1569456865">
      <w:bodyDiv w:val="1"/>
      <w:marLeft w:val="0"/>
      <w:marRight w:val="0"/>
      <w:marTop w:val="0"/>
      <w:marBottom w:val="0"/>
      <w:divBdr>
        <w:top w:val="none" w:sz="0" w:space="0" w:color="auto"/>
        <w:left w:val="none" w:sz="0" w:space="0" w:color="auto"/>
        <w:bottom w:val="none" w:sz="0" w:space="0" w:color="auto"/>
        <w:right w:val="none" w:sz="0" w:space="0" w:color="auto"/>
      </w:divBdr>
    </w:div>
    <w:div w:id="1570263323">
      <w:bodyDiv w:val="1"/>
      <w:marLeft w:val="0"/>
      <w:marRight w:val="0"/>
      <w:marTop w:val="0"/>
      <w:marBottom w:val="0"/>
      <w:divBdr>
        <w:top w:val="none" w:sz="0" w:space="0" w:color="auto"/>
        <w:left w:val="none" w:sz="0" w:space="0" w:color="auto"/>
        <w:bottom w:val="none" w:sz="0" w:space="0" w:color="auto"/>
        <w:right w:val="none" w:sz="0" w:space="0" w:color="auto"/>
      </w:divBdr>
    </w:div>
    <w:div w:id="1573395585">
      <w:bodyDiv w:val="1"/>
      <w:marLeft w:val="0"/>
      <w:marRight w:val="0"/>
      <w:marTop w:val="0"/>
      <w:marBottom w:val="0"/>
      <w:divBdr>
        <w:top w:val="none" w:sz="0" w:space="0" w:color="auto"/>
        <w:left w:val="none" w:sz="0" w:space="0" w:color="auto"/>
        <w:bottom w:val="none" w:sz="0" w:space="0" w:color="auto"/>
        <w:right w:val="none" w:sz="0" w:space="0" w:color="auto"/>
      </w:divBdr>
    </w:div>
    <w:div w:id="1573733232">
      <w:bodyDiv w:val="1"/>
      <w:marLeft w:val="0"/>
      <w:marRight w:val="0"/>
      <w:marTop w:val="0"/>
      <w:marBottom w:val="0"/>
      <w:divBdr>
        <w:top w:val="none" w:sz="0" w:space="0" w:color="auto"/>
        <w:left w:val="none" w:sz="0" w:space="0" w:color="auto"/>
        <w:bottom w:val="none" w:sz="0" w:space="0" w:color="auto"/>
        <w:right w:val="none" w:sz="0" w:space="0" w:color="auto"/>
      </w:divBdr>
    </w:div>
    <w:div w:id="1585140167">
      <w:bodyDiv w:val="1"/>
      <w:marLeft w:val="0"/>
      <w:marRight w:val="0"/>
      <w:marTop w:val="0"/>
      <w:marBottom w:val="0"/>
      <w:divBdr>
        <w:top w:val="none" w:sz="0" w:space="0" w:color="auto"/>
        <w:left w:val="none" w:sz="0" w:space="0" w:color="auto"/>
        <w:bottom w:val="none" w:sz="0" w:space="0" w:color="auto"/>
        <w:right w:val="none" w:sz="0" w:space="0" w:color="auto"/>
      </w:divBdr>
    </w:div>
    <w:div w:id="1585532891">
      <w:bodyDiv w:val="1"/>
      <w:marLeft w:val="0"/>
      <w:marRight w:val="0"/>
      <w:marTop w:val="0"/>
      <w:marBottom w:val="0"/>
      <w:divBdr>
        <w:top w:val="none" w:sz="0" w:space="0" w:color="auto"/>
        <w:left w:val="none" w:sz="0" w:space="0" w:color="auto"/>
        <w:bottom w:val="none" w:sz="0" w:space="0" w:color="auto"/>
        <w:right w:val="none" w:sz="0" w:space="0" w:color="auto"/>
      </w:divBdr>
    </w:div>
    <w:div w:id="1587224522">
      <w:bodyDiv w:val="1"/>
      <w:marLeft w:val="0"/>
      <w:marRight w:val="0"/>
      <w:marTop w:val="0"/>
      <w:marBottom w:val="0"/>
      <w:divBdr>
        <w:top w:val="none" w:sz="0" w:space="0" w:color="auto"/>
        <w:left w:val="none" w:sz="0" w:space="0" w:color="auto"/>
        <w:bottom w:val="none" w:sz="0" w:space="0" w:color="auto"/>
        <w:right w:val="none" w:sz="0" w:space="0" w:color="auto"/>
      </w:divBdr>
    </w:div>
    <w:div w:id="1587811835">
      <w:bodyDiv w:val="1"/>
      <w:marLeft w:val="0"/>
      <w:marRight w:val="0"/>
      <w:marTop w:val="0"/>
      <w:marBottom w:val="0"/>
      <w:divBdr>
        <w:top w:val="none" w:sz="0" w:space="0" w:color="auto"/>
        <w:left w:val="none" w:sz="0" w:space="0" w:color="auto"/>
        <w:bottom w:val="none" w:sz="0" w:space="0" w:color="auto"/>
        <w:right w:val="none" w:sz="0" w:space="0" w:color="auto"/>
      </w:divBdr>
    </w:div>
    <w:div w:id="1588462880">
      <w:bodyDiv w:val="1"/>
      <w:marLeft w:val="0"/>
      <w:marRight w:val="0"/>
      <w:marTop w:val="0"/>
      <w:marBottom w:val="0"/>
      <w:divBdr>
        <w:top w:val="none" w:sz="0" w:space="0" w:color="auto"/>
        <w:left w:val="none" w:sz="0" w:space="0" w:color="auto"/>
        <w:bottom w:val="none" w:sz="0" w:space="0" w:color="auto"/>
        <w:right w:val="none" w:sz="0" w:space="0" w:color="auto"/>
      </w:divBdr>
    </w:div>
    <w:div w:id="1588660598">
      <w:bodyDiv w:val="1"/>
      <w:marLeft w:val="0"/>
      <w:marRight w:val="0"/>
      <w:marTop w:val="0"/>
      <w:marBottom w:val="0"/>
      <w:divBdr>
        <w:top w:val="none" w:sz="0" w:space="0" w:color="auto"/>
        <w:left w:val="none" w:sz="0" w:space="0" w:color="auto"/>
        <w:bottom w:val="none" w:sz="0" w:space="0" w:color="auto"/>
        <w:right w:val="none" w:sz="0" w:space="0" w:color="auto"/>
      </w:divBdr>
    </w:div>
    <w:div w:id="1592351401">
      <w:bodyDiv w:val="1"/>
      <w:marLeft w:val="0"/>
      <w:marRight w:val="0"/>
      <w:marTop w:val="0"/>
      <w:marBottom w:val="0"/>
      <w:divBdr>
        <w:top w:val="none" w:sz="0" w:space="0" w:color="auto"/>
        <w:left w:val="none" w:sz="0" w:space="0" w:color="auto"/>
        <w:bottom w:val="none" w:sz="0" w:space="0" w:color="auto"/>
        <w:right w:val="none" w:sz="0" w:space="0" w:color="auto"/>
      </w:divBdr>
    </w:div>
    <w:div w:id="1594438787">
      <w:bodyDiv w:val="1"/>
      <w:marLeft w:val="0"/>
      <w:marRight w:val="0"/>
      <w:marTop w:val="0"/>
      <w:marBottom w:val="0"/>
      <w:divBdr>
        <w:top w:val="none" w:sz="0" w:space="0" w:color="auto"/>
        <w:left w:val="none" w:sz="0" w:space="0" w:color="auto"/>
        <w:bottom w:val="none" w:sz="0" w:space="0" w:color="auto"/>
        <w:right w:val="none" w:sz="0" w:space="0" w:color="auto"/>
      </w:divBdr>
    </w:div>
    <w:div w:id="1597983854">
      <w:bodyDiv w:val="1"/>
      <w:marLeft w:val="0"/>
      <w:marRight w:val="0"/>
      <w:marTop w:val="0"/>
      <w:marBottom w:val="0"/>
      <w:divBdr>
        <w:top w:val="none" w:sz="0" w:space="0" w:color="auto"/>
        <w:left w:val="none" w:sz="0" w:space="0" w:color="auto"/>
        <w:bottom w:val="none" w:sz="0" w:space="0" w:color="auto"/>
        <w:right w:val="none" w:sz="0" w:space="0" w:color="auto"/>
      </w:divBdr>
    </w:div>
    <w:div w:id="1600522487">
      <w:bodyDiv w:val="1"/>
      <w:marLeft w:val="0"/>
      <w:marRight w:val="0"/>
      <w:marTop w:val="0"/>
      <w:marBottom w:val="0"/>
      <w:divBdr>
        <w:top w:val="none" w:sz="0" w:space="0" w:color="auto"/>
        <w:left w:val="none" w:sz="0" w:space="0" w:color="auto"/>
        <w:bottom w:val="none" w:sz="0" w:space="0" w:color="auto"/>
        <w:right w:val="none" w:sz="0" w:space="0" w:color="auto"/>
      </w:divBdr>
    </w:div>
    <w:div w:id="1609972832">
      <w:bodyDiv w:val="1"/>
      <w:marLeft w:val="0"/>
      <w:marRight w:val="0"/>
      <w:marTop w:val="0"/>
      <w:marBottom w:val="0"/>
      <w:divBdr>
        <w:top w:val="none" w:sz="0" w:space="0" w:color="auto"/>
        <w:left w:val="none" w:sz="0" w:space="0" w:color="auto"/>
        <w:bottom w:val="none" w:sz="0" w:space="0" w:color="auto"/>
        <w:right w:val="none" w:sz="0" w:space="0" w:color="auto"/>
      </w:divBdr>
    </w:div>
    <w:div w:id="1614091656">
      <w:bodyDiv w:val="1"/>
      <w:marLeft w:val="0"/>
      <w:marRight w:val="0"/>
      <w:marTop w:val="0"/>
      <w:marBottom w:val="0"/>
      <w:divBdr>
        <w:top w:val="none" w:sz="0" w:space="0" w:color="auto"/>
        <w:left w:val="none" w:sz="0" w:space="0" w:color="auto"/>
        <w:bottom w:val="none" w:sz="0" w:space="0" w:color="auto"/>
        <w:right w:val="none" w:sz="0" w:space="0" w:color="auto"/>
      </w:divBdr>
    </w:div>
    <w:div w:id="1615480303">
      <w:bodyDiv w:val="1"/>
      <w:marLeft w:val="0"/>
      <w:marRight w:val="0"/>
      <w:marTop w:val="0"/>
      <w:marBottom w:val="0"/>
      <w:divBdr>
        <w:top w:val="none" w:sz="0" w:space="0" w:color="auto"/>
        <w:left w:val="none" w:sz="0" w:space="0" w:color="auto"/>
        <w:bottom w:val="none" w:sz="0" w:space="0" w:color="auto"/>
        <w:right w:val="none" w:sz="0" w:space="0" w:color="auto"/>
      </w:divBdr>
    </w:div>
    <w:div w:id="1618945320">
      <w:bodyDiv w:val="1"/>
      <w:marLeft w:val="0"/>
      <w:marRight w:val="0"/>
      <w:marTop w:val="0"/>
      <w:marBottom w:val="0"/>
      <w:divBdr>
        <w:top w:val="none" w:sz="0" w:space="0" w:color="auto"/>
        <w:left w:val="none" w:sz="0" w:space="0" w:color="auto"/>
        <w:bottom w:val="none" w:sz="0" w:space="0" w:color="auto"/>
        <w:right w:val="none" w:sz="0" w:space="0" w:color="auto"/>
      </w:divBdr>
    </w:div>
    <w:div w:id="1620142220">
      <w:bodyDiv w:val="1"/>
      <w:marLeft w:val="0"/>
      <w:marRight w:val="0"/>
      <w:marTop w:val="0"/>
      <w:marBottom w:val="0"/>
      <w:divBdr>
        <w:top w:val="none" w:sz="0" w:space="0" w:color="auto"/>
        <w:left w:val="none" w:sz="0" w:space="0" w:color="auto"/>
        <w:bottom w:val="none" w:sz="0" w:space="0" w:color="auto"/>
        <w:right w:val="none" w:sz="0" w:space="0" w:color="auto"/>
      </w:divBdr>
    </w:div>
    <w:div w:id="1621300936">
      <w:bodyDiv w:val="1"/>
      <w:marLeft w:val="0"/>
      <w:marRight w:val="0"/>
      <w:marTop w:val="0"/>
      <w:marBottom w:val="0"/>
      <w:divBdr>
        <w:top w:val="none" w:sz="0" w:space="0" w:color="auto"/>
        <w:left w:val="none" w:sz="0" w:space="0" w:color="auto"/>
        <w:bottom w:val="none" w:sz="0" w:space="0" w:color="auto"/>
        <w:right w:val="none" w:sz="0" w:space="0" w:color="auto"/>
      </w:divBdr>
    </w:div>
    <w:div w:id="1630476618">
      <w:bodyDiv w:val="1"/>
      <w:marLeft w:val="0"/>
      <w:marRight w:val="0"/>
      <w:marTop w:val="0"/>
      <w:marBottom w:val="0"/>
      <w:divBdr>
        <w:top w:val="none" w:sz="0" w:space="0" w:color="auto"/>
        <w:left w:val="none" w:sz="0" w:space="0" w:color="auto"/>
        <w:bottom w:val="none" w:sz="0" w:space="0" w:color="auto"/>
        <w:right w:val="none" w:sz="0" w:space="0" w:color="auto"/>
      </w:divBdr>
    </w:div>
    <w:div w:id="1632321661">
      <w:bodyDiv w:val="1"/>
      <w:marLeft w:val="0"/>
      <w:marRight w:val="0"/>
      <w:marTop w:val="0"/>
      <w:marBottom w:val="0"/>
      <w:divBdr>
        <w:top w:val="none" w:sz="0" w:space="0" w:color="auto"/>
        <w:left w:val="none" w:sz="0" w:space="0" w:color="auto"/>
        <w:bottom w:val="none" w:sz="0" w:space="0" w:color="auto"/>
        <w:right w:val="none" w:sz="0" w:space="0" w:color="auto"/>
      </w:divBdr>
    </w:div>
    <w:div w:id="1635022242">
      <w:bodyDiv w:val="1"/>
      <w:marLeft w:val="0"/>
      <w:marRight w:val="0"/>
      <w:marTop w:val="0"/>
      <w:marBottom w:val="0"/>
      <w:divBdr>
        <w:top w:val="none" w:sz="0" w:space="0" w:color="auto"/>
        <w:left w:val="none" w:sz="0" w:space="0" w:color="auto"/>
        <w:bottom w:val="none" w:sz="0" w:space="0" w:color="auto"/>
        <w:right w:val="none" w:sz="0" w:space="0" w:color="auto"/>
      </w:divBdr>
    </w:div>
    <w:div w:id="1642267104">
      <w:bodyDiv w:val="1"/>
      <w:marLeft w:val="0"/>
      <w:marRight w:val="0"/>
      <w:marTop w:val="0"/>
      <w:marBottom w:val="0"/>
      <w:divBdr>
        <w:top w:val="none" w:sz="0" w:space="0" w:color="auto"/>
        <w:left w:val="none" w:sz="0" w:space="0" w:color="auto"/>
        <w:bottom w:val="none" w:sz="0" w:space="0" w:color="auto"/>
        <w:right w:val="none" w:sz="0" w:space="0" w:color="auto"/>
      </w:divBdr>
    </w:div>
    <w:div w:id="1645426574">
      <w:bodyDiv w:val="1"/>
      <w:marLeft w:val="0"/>
      <w:marRight w:val="0"/>
      <w:marTop w:val="0"/>
      <w:marBottom w:val="0"/>
      <w:divBdr>
        <w:top w:val="none" w:sz="0" w:space="0" w:color="auto"/>
        <w:left w:val="none" w:sz="0" w:space="0" w:color="auto"/>
        <w:bottom w:val="none" w:sz="0" w:space="0" w:color="auto"/>
        <w:right w:val="none" w:sz="0" w:space="0" w:color="auto"/>
      </w:divBdr>
    </w:div>
    <w:div w:id="1647707333">
      <w:bodyDiv w:val="1"/>
      <w:marLeft w:val="0"/>
      <w:marRight w:val="0"/>
      <w:marTop w:val="0"/>
      <w:marBottom w:val="0"/>
      <w:divBdr>
        <w:top w:val="none" w:sz="0" w:space="0" w:color="auto"/>
        <w:left w:val="none" w:sz="0" w:space="0" w:color="auto"/>
        <w:bottom w:val="none" w:sz="0" w:space="0" w:color="auto"/>
        <w:right w:val="none" w:sz="0" w:space="0" w:color="auto"/>
      </w:divBdr>
    </w:div>
    <w:div w:id="1653440218">
      <w:bodyDiv w:val="1"/>
      <w:marLeft w:val="0"/>
      <w:marRight w:val="0"/>
      <w:marTop w:val="0"/>
      <w:marBottom w:val="0"/>
      <w:divBdr>
        <w:top w:val="none" w:sz="0" w:space="0" w:color="auto"/>
        <w:left w:val="none" w:sz="0" w:space="0" w:color="auto"/>
        <w:bottom w:val="none" w:sz="0" w:space="0" w:color="auto"/>
        <w:right w:val="none" w:sz="0" w:space="0" w:color="auto"/>
      </w:divBdr>
    </w:div>
    <w:div w:id="1661813941">
      <w:bodyDiv w:val="1"/>
      <w:marLeft w:val="0"/>
      <w:marRight w:val="0"/>
      <w:marTop w:val="0"/>
      <w:marBottom w:val="0"/>
      <w:divBdr>
        <w:top w:val="none" w:sz="0" w:space="0" w:color="auto"/>
        <w:left w:val="none" w:sz="0" w:space="0" w:color="auto"/>
        <w:bottom w:val="none" w:sz="0" w:space="0" w:color="auto"/>
        <w:right w:val="none" w:sz="0" w:space="0" w:color="auto"/>
      </w:divBdr>
    </w:div>
    <w:div w:id="1662267929">
      <w:bodyDiv w:val="1"/>
      <w:marLeft w:val="0"/>
      <w:marRight w:val="0"/>
      <w:marTop w:val="0"/>
      <w:marBottom w:val="0"/>
      <w:divBdr>
        <w:top w:val="none" w:sz="0" w:space="0" w:color="auto"/>
        <w:left w:val="none" w:sz="0" w:space="0" w:color="auto"/>
        <w:bottom w:val="none" w:sz="0" w:space="0" w:color="auto"/>
        <w:right w:val="none" w:sz="0" w:space="0" w:color="auto"/>
      </w:divBdr>
    </w:div>
    <w:div w:id="1662540977">
      <w:bodyDiv w:val="1"/>
      <w:marLeft w:val="0"/>
      <w:marRight w:val="0"/>
      <w:marTop w:val="0"/>
      <w:marBottom w:val="0"/>
      <w:divBdr>
        <w:top w:val="none" w:sz="0" w:space="0" w:color="auto"/>
        <w:left w:val="none" w:sz="0" w:space="0" w:color="auto"/>
        <w:bottom w:val="none" w:sz="0" w:space="0" w:color="auto"/>
        <w:right w:val="none" w:sz="0" w:space="0" w:color="auto"/>
      </w:divBdr>
    </w:div>
    <w:div w:id="1665624307">
      <w:bodyDiv w:val="1"/>
      <w:marLeft w:val="0"/>
      <w:marRight w:val="0"/>
      <w:marTop w:val="0"/>
      <w:marBottom w:val="0"/>
      <w:divBdr>
        <w:top w:val="none" w:sz="0" w:space="0" w:color="auto"/>
        <w:left w:val="none" w:sz="0" w:space="0" w:color="auto"/>
        <w:bottom w:val="none" w:sz="0" w:space="0" w:color="auto"/>
        <w:right w:val="none" w:sz="0" w:space="0" w:color="auto"/>
      </w:divBdr>
    </w:div>
    <w:div w:id="1666857361">
      <w:bodyDiv w:val="1"/>
      <w:marLeft w:val="0"/>
      <w:marRight w:val="0"/>
      <w:marTop w:val="0"/>
      <w:marBottom w:val="0"/>
      <w:divBdr>
        <w:top w:val="none" w:sz="0" w:space="0" w:color="auto"/>
        <w:left w:val="none" w:sz="0" w:space="0" w:color="auto"/>
        <w:bottom w:val="none" w:sz="0" w:space="0" w:color="auto"/>
        <w:right w:val="none" w:sz="0" w:space="0" w:color="auto"/>
      </w:divBdr>
    </w:div>
    <w:div w:id="1677269561">
      <w:bodyDiv w:val="1"/>
      <w:marLeft w:val="0"/>
      <w:marRight w:val="0"/>
      <w:marTop w:val="0"/>
      <w:marBottom w:val="0"/>
      <w:divBdr>
        <w:top w:val="none" w:sz="0" w:space="0" w:color="auto"/>
        <w:left w:val="none" w:sz="0" w:space="0" w:color="auto"/>
        <w:bottom w:val="none" w:sz="0" w:space="0" w:color="auto"/>
        <w:right w:val="none" w:sz="0" w:space="0" w:color="auto"/>
      </w:divBdr>
    </w:div>
    <w:div w:id="1685395855">
      <w:bodyDiv w:val="1"/>
      <w:marLeft w:val="0"/>
      <w:marRight w:val="0"/>
      <w:marTop w:val="0"/>
      <w:marBottom w:val="0"/>
      <w:divBdr>
        <w:top w:val="none" w:sz="0" w:space="0" w:color="auto"/>
        <w:left w:val="none" w:sz="0" w:space="0" w:color="auto"/>
        <w:bottom w:val="none" w:sz="0" w:space="0" w:color="auto"/>
        <w:right w:val="none" w:sz="0" w:space="0" w:color="auto"/>
      </w:divBdr>
    </w:div>
    <w:div w:id="1687057860">
      <w:bodyDiv w:val="1"/>
      <w:marLeft w:val="0"/>
      <w:marRight w:val="0"/>
      <w:marTop w:val="0"/>
      <w:marBottom w:val="0"/>
      <w:divBdr>
        <w:top w:val="none" w:sz="0" w:space="0" w:color="auto"/>
        <w:left w:val="none" w:sz="0" w:space="0" w:color="auto"/>
        <w:bottom w:val="none" w:sz="0" w:space="0" w:color="auto"/>
        <w:right w:val="none" w:sz="0" w:space="0" w:color="auto"/>
      </w:divBdr>
    </w:div>
    <w:div w:id="1687554172">
      <w:bodyDiv w:val="1"/>
      <w:marLeft w:val="0"/>
      <w:marRight w:val="0"/>
      <w:marTop w:val="0"/>
      <w:marBottom w:val="0"/>
      <w:divBdr>
        <w:top w:val="none" w:sz="0" w:space="0" w:color="auto"/>
        <w:left w:val="none" w:sz="0" w:space="0" w:color="auto"/>
        <w:bottom w:val="none" w:sz="0" w:space="0" w:color="auto"/>
        <w:right w:val="none" w:sz="0" w:space="0" w:color="auto"/>
      </w:divBdr>
    </w:div>
    <w:div w:id="1697541960">
      <w:bodyDiv w:val="1"/>
      <w:marLeft w:val="0"/>
      <w:marRight w:val="0"/>
      <w:marTop w:val="0"/>
      <w:marBottom w:val="0"/>
      <w:divBdr>
        <w:top w:val="none" w:sz="0" w:space="0" w:color="auto"/>
        <w:left w:val="none" w:sz="0" w:space="0" w:color="auto"/>
        <w:bottom w:val="none" w:sz="0" w:space="0" w:color="auto"/>
        <w:right w:val="none" w:sz="0" w:space="0" w:color="auto"/>
      </w:divBdr>
    </w:div>
    <w:div w:id="1700857340">
      <w:bodyDiv w:val="1"/>
      <w:marLeft w:val="0"/>
      <w:marRight w:val="0"/>
      <w:marTop w:val="0"/>
      <w:marBottom w:val="0"/>
      <w:divBdr>
        <w:top w:val="none" w:sz="0" w:space="0" w:color="auto"/>
        <w:left w:val="none" w:sz="0" w:space="0" w:color="auto"/>
        <w:bottom w:val="none" w:sz="0" w:space="0" w:color="auto"/>
        <w:right w:val="none" w:sz="0" w:space="0" w:color="auto"/>
      </w:divBdr>
    </w:div>
    <w:div w:id="1711418340">
      <w:bodyDiv w:val="1"/>
      <w:marLeft w:val="0"/>
      <w:marRight w:val="0"/>
      <w:marTop w:val="0"/>
      <w:marBottom w:val="0"/>
      <w:divBdr>
        <w:top w:val="none" w:sz="0" w:space="0" w:color="auto"/>
        <w:left w:val="none" w:sz="0" w:space="0" w:color="auto"/>
        <w:bottom w:val="none" w:sz="0" w:space="0" w:color="auto"/>
        <w:right w:val="none" w:sz="0" w:space="0" w:color="auto"/>
      </w:divBdr>
    </w:div>
    <w:div w:id="1717777644">
      <w:bodyDiv w:val="1"/>
      <w:marLeft w:val="0"/>
      <w:marRight w:val="0"/>
      <w:marTop w:val="0"/>
      <w:marBottom w:val="0"/>
      <w:divBdr>
        <w:top w:val="none" w:sz="0" w:space="0" w:color="auto"/>
        <w:left w:val="none" w:sz="0" w:space="0" w:color="auto"/>
        <w:bottom w:val="none" w:sz="0" w:space="0" w:color="auto"/>
        <w:right w:val="none" w:sz="0" w:space="0" w:color="auto"/>
      </w:divBdr>
    </w:div>
    <w:div w:id="1724282077">
      <w:bodyDiv w:val="1"/>
      <w:marLeft w:val="0"/>
      <w:marRight w:val="0"/>
      <w:marTop w:val="0"/>
      <w:marBottom w:val="0"/>
      <w:divBdr>
        <w:top w:val="none" w:sz="0" w:space="0" w:color="auto"/>
        <w:left w:val="none" w:sz="0" w:space="0" w:color="auto"/>
        <w:bottom w:val="none" w:sz="0" w:space="0" w:color="auto"/>
        <w:right w:val="none" w:sz="0" w:space="0" w:color="auto"/>
      </w:divBdr>
    </w:div>
    <w:div w:id="1724912828">
      <w:bodyDiv w:val="1"/>
      <w:marLeft w:val="0"/>
      <w:marRight w:val="0"/>
      <w:marTop w:val="0"/>
      <w:marBottom w:val="0"/>
      <w:divBdr>
        <w:top w:val="none" w:sz="0" w:space="0" w:color="auto"/>
        <w:left w:val="none" w:sz="0" w:space="0" w:color="auto"/>
        <w:bottom w:val="none" w:sz="0" w:space="0" w:color="auto"/>
        <w:right w:val="none" w:sz="0" w:space="0" w:color="auto"/>
      </w:divBdr>
    </w:div>
    <w:div w:id="1726371718">
      <w:bodyDiv w:val="1"/>
      <w:marLeft w:val="0"/>
      <w:marRight w:val="0"/>
      <w:marTop w:val="0"/>
      <w:marBottom w:val="0"/>
      <w:divBdr>
        <w:top w:val="none" w:sz="0" w:space="0" w:color="auto"/>
        <w:left w:val="none" w:sz="0" w:space="0" w:color="auto"/>
        <w:bottom w:val="none" w:sz="0" w:space="0" w:color="auto"/>
        <w:right w:val="none" w:sz="0" w:space="0" w:color="auto"/>
      </w:divBdr>
    </w:div>
    <w:div w:id="1737170914">
      <w:bodyDiv w:val="1"/>
      <w:marLeft w:val="0"/>
      <w:marRight w:val="0"/>
      <w:marTop w:val="0"/>
      <w:marBottom w:val="0"/>
      <w:divBdr>
        <w:top w:val="none" w:sz="0" w:space="0" w:color="auto"/>
        <w:left w:val="none" w:sz="0" w:space="0" w:color="auto"/>
        <w:bottom w:val="none" w:sz="0" w:space="0" w:color="auto"/>
        <w:right w:val="none" w:sz="0" w:space="0" w:color="auto"/>
      </w:divBdr>
    </w:div>
    <w:div w:id="1740515444">
      <w:bodyDiv w:val="1"/>
      <w:marLeft w:val="0"/>
      <w:marRight w:val="0"/>
      <w:marTop w:val="0"/>
      <w:marBottom w:val="0"/>
      <w:divBdr>
        <w:top w:val="none" w:sz="0" w:space="0" w:color="auto"/>
        <w:left w:val="none" w:sz="0" w:space="0" w:color="auto"/>
        <w:bottom w:val="none" w:sz="0" w:space="0" w:color="auto"/>
        <w:right w:val="none" w:sz="0" w:space="0" w:color="auto"/>
      </w:divBdr>
    </w:div>
    <w:div w:id="1742487271">
      <w:bodyDiv w:val="1"/>
      <w:marLeft w:val="0"/>
      <w:marRight w:val="0"/>
      <w:marTop w:val="0"/>
      <w:marBottom w:val="0"/>
      <w:divBdr>
        <w:top w:val="none" w:sz="0" w:space="0" w:color="auto"/>
        <w:left w:val="none" w:sz="0" w:space="0" w:color="auto"/>
        <w:bottom w:val="none" w:sz="0" w:space="0" w:color="auto"/>
        <w:right w:val="none" w:sz="0" w:space="0" w:color="auto"/>
      </w:divBdr>
    </w:div>
    <w:div w:id="1750426097">
      <w:bodyDiv w:val="1"/>
      <w:marLeft w:val="0"/>
      <w:marRight w:val="0"/>
      <w:marTop w:val="0"/>
      <w:marBottom w:val="0"/>
      <w:divBdr>
        <w:top w:val="none" w:sz="0" w:space="0" w:color="auto"/>
        <w:left w:val="none" w:sz="0" w:space="0" w:color="auto"/>
        <w:bottom w:val="none" w:sz="0" w:space="0" w:color="auto"/>
        <w:right w:val="none" w:sz="0" w:space="0" w:color="auto"/>
      </w:divBdr>
    </w:div>
    <w:div w:id="1751656506">
      <w:bodyDiv w:val="1"/>
      <w:marLeft w:val="0"/>
      <w:marRight w:val="0"/>
      <w:marTop w:val="0"/>
      <w:marBottom w:val="0"/>
      <w:divBdr>
        <w:top w:val="none" w:sz="0" w:space="0" w:color="auto"/>
        <w:left w:val="none" w:sz="0" w:space="0" w:color="auto"/>
        <w:bottom w:val="none" w:sz="0" w:space="0" w:color="auto"/>
        <w:right w:val="none" w:sz="0" w:space="0" w:color="auto"/>
      </w:divBdr>
    </w:div>
    <w:div w:id="1751847076">
      <w:bodyDiv w:val="1"/>
      <w:marLeft w:val="0"/>
      <w:marRight w:val="0"/>
      <w:marTop w:val="0"/>
      <w:marBottom w:val="0"/>
      <w:divBdr>
        <w:top w:val="none" w:sz="0" w:space="0" w:color="auto"/>
        <w:left w:val="none" w:sz="0" w:space="0" w:color="auto"/>
        <w:bottom w:val="none" w:sz="0" w:space="0" w:color="auto"/>
        <w:right w:val="none" w:sz="0" w:space="0" w:color="auto"/>
      </w:divBdr>
    </w:div>
    <w:div w:id="1759207889">
      <w:bodyDiv w:val="1"/>
      <w:marLeft w:val="0"/>
      <w:marRight w:val="0"/>
      <w:marTop w:val="0"/>
      <w:marBottom w:val="0"/>
      <w:divBdr>
        <w:top w:val="none" w:sz="0" w:space="0" w:color="auto"/>
        <w:left w:val="none" w:sz="0" w:space="0" w:color="auto"/>
        <w:bottom w:val="none" w:sz="0" w:space="0" w:color="auto"/>
        <w:right w:val="none" w:sz="0" w:space="0" w:color="auto"/>
      </w:divBdr>
    </w:div>
    <w:div w:id="1759212328">
      <w:bodyDiv w:val="1"/>
      <w:marLeft w:val="0"/>
      <w:marRight w:val="0"/>
      <w:marTop w:val="0"/>
      <w:marBottom w:val="0"/>
      <w:divBdr>
        <w:top w:val="none" w:sz="0" w:space="0" w:color="auto"/>
        <w:left w:val="none" w:sz="0" w:space="0" w:color="auto"/>
        <w:bottom w:val="none" w:sz="0" w:space="0" w:color="auto"/>
        <w:right w:val="none" w:sz="0" w:space="0" w:color="auto"/>
      </w:divBdr>
    </w:div>
    <w:div w:id="1762487320">
      <w:bodyDiv w:val="1"/>
      <w:marLeft w:val="0"/>
      <w:marRight w:val="0"/>
      <w:marTop w:val="0"/>
      <w:marBottom w:val="0"/>
      <w:divBdr>
        <w:top w:val="none" w:sz="0" w:space="0" w:color="auto"/>
        <w:left w:val="none" w:sz="0" w:space="0" w:color="auto"/>
        <w:bottom w:val="none" w:sz="0" w:space="0" w:color="auto"/>
        <w:right w:val="none" w:sz="0" w:space="0" w:color="auto"/>
      </w:divBdr>
    </w:div>
    <w:div w:id="1766422076">
      <w:bodyDiv w:val="1"/>
      <w:marLeft w:val="0"/>
      <w:marRight w:val="0"/>
      <w:marTop w:val="0"/>
      <w:marBottom w:val="0"/>
      <w:divBdr>
        <w:top w:val="none" w:sz="0" w:space="0" w:color="auto"/>
        <w:left w:val="none" w:sz="0" w:space="0" w:color="auto"/>
        <w:bottom w:val="none" w:sz="0" w:space="0" w:color="auto"/>
        <w:right w:val="none" w:sz="0" w:space="0" w:color="auto"/>
      </w:divBdr>
    </w:div>
    <w:div w:id="1766924140">
      <w:bodyDiv w:val="1"/>
      <w:marLeft w:val="0"/>
      <w:marRight w:val="0"/>
      <w:marTop w:val="0"/>
      <w:marBottom w:val="0"/>
      <w:divBdr>
        <w:top w:val="none" w:sz="0" w:space="0" w:color="auto"/>
        <w:left w:val="none" w:sz="0" w:space="0" w:color="auto"/>
        <w:bottom w:val="none" w:sz="0" w:space="0" w:color="auto"/>
        <w:right w:val="none" w:sz="0" w:space="0" w:color="auto"/>
      </w:divBdr>
    </w:div>
    <w:div w:id="1772816570">
      <w:bodyDiv w:val="1"/>
      <w:marLeft w:val="0"/>
      <w:marRight w:val="0"/>
      <w:marTop w:val="0"/>
      <w:marBottom w:val="0"/>
      <w:divBdr>
        <w:top w:val="none" w:sz="0" w:space="0" w:color="auto"/>
        <w:left w:val="none" w:sz="0" w:space="0" w:color="auto"/>
        <w:bottom w:val="none" w:sz="0" w:space="0" w:color="auto"/>
        <w:right w:val="none" w:sz="0" w:space="0" w:color="auto"/>
      </w:divBdr>
    </w:div>
    <w:div w:id="1777210745">
      <w:bodyDiv w:val="1"/>
      <w:marLeft w:val="0"/>
      <w:marRight w:val="0"/>
      <w:marTop w:val="0"/>
      <w:marBottom w:val="0"/>
      <w:divBdr>
        <w:top w:val="none" w:sz="0" w:space="0" w:color="auto"/>
        <w:left w:val="none" w:sz="0" w:space="0" w:color="auto"/>
        <w:bottom w:val="none" w:sz="0" w:space="0" w:color="auto"/>
        <w:right w:val="none" w:sz="0" w:space="0" w:color="auto"/>
      </w:divBdr>
    </w:div>
    <w:div w:id="1777216451">
      <w:bodyDiv w:val="1"/>
      <w:marLeft w:val="0"/>
      <w:marRight w:val="0"/>
      <w:marTop w:val="0"/>
      <w:marBottom w:val="0"/>
      <w:divBdr>
        <w:top w:val="none" w:sz="0" w:space="0" w:color="auto"/>
        <w:left w:val="none" w:sz="0" w:space="0" w:color="auto"/>
        <w:bottom w:val="none" w:sz="0" w:space="0" w:color="auto"/>
        <w:right w:val="none" w:sz="0" w:space="0" w:color="auto"/>
      </w:divBdr>
    </w:div>
    <w:div w:id="1777795181">
      <w:bodyDiv w:val="1"/>
      <w:marLeft w:val="0"/>
      <w:marRight w:val="0"/>
      <w:marTop w:val="0"/>
      <w:marBottom w:val="0"/>
      <w:divBdr>
        <w:top w:val="none" w:sz="0" w:space="0" w:color="auto"/>
        <w:left w:val="none" w:sz="0" w:space="0" w:color="auto"/>
        <w:bottom w:val="none" w:sz="0" w:space="0" w:color="auto"/>
        <w:right w:val="none" w:sz="0" w:space="0" w:color="auto"/>
      </w:divBdr>
    </w:div>
    <w:div w:id="1779787223">
      <w:bodyDiv w:val="1"/>
      <w:marLeft w:val="0"/>
      <w:marRight w:val="0"/>
      <w:marTop w:val="0"/>
      <w:marBottom w:val="0"/>
      <w:divBdr>
        <w:top w:val="none" w:sz="0" w:space="0" w:color="auto"/>
        <w:left w:val="none" w:sz="0" w:space="0" w:color="auto"/>
        <w:bottom w:val="none" w:sz="0" w:space="0" w:color="auto"/>
        <w:right w:val="none" w:sz="0" w:space="0" w:color="auto"/>
      </w:divBdr>
    </w:div>
    <w:div w:id="1780181155">
      <w:bodyDiv w:val="1"/>
      <w:marLeft w:val="0"/>
      <w:marRight w:val="0"/>
      <w:marTop w:val="0"/>
      <w:marBottom w:val="0"/>
      <w:divBdr>
        <w:top w:val="none" w:sz="0" w:space="0" w:color="auto"/>
        <w:left w:val="none" w:sz="0" w:space="0" w:color="auto"/>
        <w:bottom w:val="none" w:sz="0" w:space="0" w:color="auto"/>
        <w:right w:val="none" w:sz="0" w:space="0" w:color="auto"/>
      </w:divBdr>
    </w:div>
    <w:div w:id="1783188131">
      <w:bodyDiv w:val="1"/>
      <w:marLeft w:val="0"/>
      <w:marRight w:val="0"/>
      <w:marTop w:val="0"/>
      <w:marBottom w:val="0"/>
      <w:divBdr>
        <w:top w:val="none" w:sz="0" w:space="0" w:color="auto"/>
        <w:left w:val="none" w:sz="0" w:space="0" w:color="auto"/>
        <w:bottom w:val="none" w:sz="0" w:space="0" w:color="auto"/>
        <w:right w:val="none" w:sz="0" w:space="0" w:color="auto"/>
      </w:divBdr>
    </w:div>
    <w:div w:id="1784108739">
      <w:bodyDiv w:val="1"/>
      <w:marLeft w:val="0"/>
      <w:marRight w:val="0"/>
      <w:marTop w:val="0"/>
      <w:marBottom w:val="0"/>
      <w:divBdr>
        <w:top w:val="none" w:sz="0" w:space="0" w:color="auto"/>
        <w:left w:val="none" w:sz="0" w:space="0" w:color="auto"/>
        <w:bottom w:val="none" w:sz="0" w:space="0" w:color="auto"/>
        <w:right w:val="none" w:sz="0" w:space="0" w:color="auto"/>
      </w:divBdr>
    </w:div>
    <w:div w:id="1784955940">
      <w:bodyDiv w:val="1"/>
      <w:marLeft w:val="0"/>
      <w:marRight w:val="0"/>
      <w:marTop w:val="0"/>
      <w:marBottom w:val="0"/>
      <w:divBdr>
        <w:top w:val="none" w:sz="0" w:space="0" w:color="auto"/>
        <w:left w:val="none" w:sz="0" w:space="0" w:color="auto"/>
        <w:bottom w:val="none" w:sz="0" w:space="0" w:color="auto"/>
        <w:right w:val="none" w:sz="0" w:space="0" w:color="auto"/>
      </w:divBdr>
    </w:div>
    <w:div w:id="1785343832">
      <w:bodyDiv w:val="1"/>
      <w:marLeft w:val="0"/>
      <w:marRight w:val="0"/>
      <w:marTop w:val="0"/>
      <w:marBottom w:val="0"/>
      <w:divBdr>
        <w:top w:val="none" w:sz="0" w:space="0" w:color="auto"/>
        <w:left w:val="none" w:sz="0" w:space="0" w:color="auto"/>
        <w:bottom w:val="none" w:sz="0" w:space="0" w:color="auto"/>
        <w:right w:val="none" w:sz="0" w:space="0" w:color="auto"/>
      </w:divBdr>
    </w:div>
    <w:div w:id="1785617193">
      <w:bodyDiv w:val="1"/>
      <w:marLeft w:val="0"/>
      <w:marRight w:val="0"/>
      <w:marTop w:val="0"/>
      <w:marBottom w:val="0"/>
      <w:divBdr>
        <w:top w:val="none" w:sz="0" w:space="0" w:color="auto"/>
        <w:left w:val="none" w:sz="0" w:space="0" w:color="auto"/>
        <w:bottom w:val="none" w:sz="0" w:space="0" w:color="auto"/>
        <w:right w:val="none" w:sz="0" w:space="0" w:color="auto"/>
      </w:divBdr>
    </w:div>
    <w:div w:id="1791432812">
      <w:bodyDiv w:val="1"/>
      <w:marLeft w:val="0"/>
      <w:marRight w:val="0"/>
      <w:marTop w:val="0"/>
      <w:marBottom w:val="0"/>
      <w:divBdr>
        <w:top w:val="none" w:sz="0" w:space="0" w:color="auto"/>
        <w:left w:val="none" w:sz="0" w:space="0" w:color="auto"/>
        <w:bottom w:val="none" w:sz="0" w:space="0" w:color="auto"/>
        <w:right w:val="none" w:sz="0" w:space="0" w:color="auto"/>
      </w:divBdr>
    </w:div>
    <w:div w:id="1792161563">
      <w:bodyDiv w:val="1"/>
      <w:marLeft w:val="0"/>
      <w:marRight w:val="0"/>
      <w:marTop w:val="0"/>
      <w:marBottom w:val="0"/>
      <w:divBdr>
        <w:top w:val="none" w:sz="0" w:space="0" w:color="auto"/>
        <w:left w:val="none" w:sz="0" w:space="0" w:color="auto"/>
        <w:bottom w:val="none" w:sz="0" w:space="0" w:color="auto"/>
        <w:right w:val="none" w:sz="0" w:space="0" w:color="auto"/>
      </w:divBdr>
    </w:div>
    <w:div w:id="1792355740">
      <w:bodyDiv w:val="1"/>
      <w:marLeft w:val="0"/>
      <w:marRight w:val="0"/>
      <w:marTop w:val="0"/>
      <w:marBottom w:val="0"/>
      <w:divBdr>
        <w:top w:val="none" w:sz="0" w:space="0" w:color="auto"/>
        <w:left w:val="none" w:sz="0" w:space="0" w:color="auto"/>
        <w:bottom w:val="none" w:sz="0" w:space="0" w:color="auto"/>
        <w:right w:val="none" w:sz="0" w:space="0" w:color="auto"/>
      </w:divBdr>
      <w:divsChild>
        <w:div w:id="278493085">
          <w:marLeft w:val="0"/>
          <w:marRight w:val="0"/>
          <w:marTop w:val="0"/>
          <w:marBottom w:val="0"/>
          <w:divBdr>
            <w:top w:val="none" w:sz="0" w:space="0" w:color="auto"/>
            <w:left w:val="none" w:sz="0" w:space="0" w:color="auto"/>
            <w:bottom w:val="none" w:sz="0" w:space="0" w:color="auto"/>
            <w:right w:val="none" w:sz="0" w:space="0" w:color="auto"/>
          </w:divBdr>
          <w:divsChild>
            <w:div w:id="856226">
              <w:marLeft w:val="0"/>
              <w:marRight w:val="0"/>
              <w:marTop w:val="0"/>
              <w:marBottom w:val="0"/>
              <w:divBdr>
                <w:top w:val="none" w:sz="0" w:space="0" w:color="auto"/>
                <w:left w:val="none" w:sz="0" w:space="0" w:color="auto"/>
                <w:bottom w:val="none" w:sz="0" w:space="0" w:color="auto"/>
                <w:right w:val="none" w:sz="0" w:space="0" w:color="auto"/>
              </w:divBdr>
              <w:divsChild>
                <w:div w:id="1897933804">
                  <w:marLeft w:val="0"/>
                  <w:marRight w:val="0"/>
                  <w:marTop w:val="0"/>
                  <w:marBottom w:val="0"/>
                  <w:divBdr>
                    <w:top w:val="none" w:sz="0" w:space="0" w:color="auto"/>
                    <w:left w:val="none" w:sz="0" w:space="0" w:color="auto"/>
                    <w:bottom w:val="none" w:sz="0" w:space="0" w:color="auto"/>
                    <w:right w:val="none" w:sz="0" w:space="0" w:color="auto"/>
                  </w:divBdr>
                  <w:divsChild>
                    <w:div w:id="1357147954">
                      <w:marLeft w:val="0"/>
                      <w:marRight w:val="0"/>
                      <w:marTop w:val="0"/>
                      <w:marBottom w:val="0"/>
                      <w:divBdr>
                        <w:top w:val="none" w:sz="0" w:space="0" w:color="auto"/>
                        <w:left w:val="none" w:sz="0" w:space="0" w:color="auto"/>
                        <w:bottom w:val="none" w:sz="0" w:space="0" w:color="auto"/>
                        <w:right w:val="none" w:sz="0" w:space="0" w:color="auto"/>
                      </w:divBdr>
                      <w:divsChild>
                        <w:div w:id="1458373914">
                          <w:marLeft w:val="0"/>
                          <w:marRight w:val="0"/>
                          <w:marTop w:val="0"/>
                          <w:marBottom w:val="0"/>
                          <w:divBdr>
                            <w:top w:val="none" w:sz="0" w:space="0" w:color="auto"/>
                            <w:left w:val="none" w:sz="0" w:space="0" w:color="auto"/>
                            <w:bottom w:val="none" w:sz="0" w:space="0" w:color="auto"/>
                            <w:right w:val="none" w:sz="0" w:space="0" w:color="auto"/>
                          </w:divBdr>
                          <w:divsChild>
                            <w:div w:id="204855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3">
      <w:bodyDiv w:val="1"/>
      <w:marLeft w:val="0"/>
      <w:marRight w:val="0"/>
      <w:marTop w:val="0"/>
      <w:marBottom w:val="0"/>
      <w:divBdr>
        <w:top w:val="none" w:sz="0" w:space="0" w:color="auto"/>
        <w:left w:val="none" w:sz="0" w:space="0" w:color="auto"/>
        <w:bottom w:val="none" w:sz="0" w:space="0" w:color="auto"/>
        <w:right w:val="none" w:sz="0" w:space="0" w:color="auto"/>
      </w:divBdr>
    </w:div>
    <w:div w:id="1792479977">
      <w:bodyDiv w:val="1"/>
      <w:marLeft w:val="0"/>
      <w:marRight w:val="0"/>
      <w:marTop w:val="0"/>
      <w:marBottom w:val="0"/>
      <w:divBdr>
        <w:top w:val="none" w:sz="0" w:space="0" w:color="auto"/>
        <w:left w:val="none" w:sz="0" w:space="0" w:color="auto"/>
        <w:bottom w:val="none" w:sz="0" w:space="0" w:color="auto"/>
        <w:right w:val="none" w:sz="0" w:space="0" w:color="auto"/>
      </w:divBdr>
    </w:div>
    <w:div w:id="1794905457">
      <w:bodyDiv w:val="1"/>
      <w:marLeft w:val="0"/>
      <w:marRight w:val="0"/>
      <w:marTop w:val="0"/>
      <w:marBottom w:val="0"/>
      <w:divBdr>
        <w:top w:val="none" w:sz="0" w:space="0" w:color="auto"/>
        <w:left w:val="none" w:sz="0" w:space="0" w:color="auto"/>
        <w:bottom w:val="none" w:sz="0" w:space="0" w:color="auto"/>
        <w:right w:val="none" w:sz="0" w:space="0" w:color="auto"/>
      </w:divBdr>
    </w:div>
    <w:div w:id="1796866275">
      <w:bodyDiv w:val="1"/>
      <w:marLeft w:val="0"/>
      <w:marRight w:val="0"/>
      <w:marTop w:val="0"/>
      <w:marBottom w:val="0"/>
      <w:divBdr>
        <w:top w:val="none" w:sz="0" w:space="0" w:color="auto"/>
        <w:left w:val="none" w:sz="0" w:space="0" w:color="auto"/>
        <w:bottom w:val="none" w:sz="0" w:space="0" w:color="auto"/>
        <w:right w:val="none" w:sz="0" w:space="0" w:color="auto"/>
      </w:divBdr>
    </w:div>
    <w:div w:id="1797066917">
      <w:bodyDiv w:val="1"/>
      <w:marLeft w:val="0"/>
      <w:marRight w:val="0"/>
      <w:marTop w:val="0"/>
      <w:marBottom w:val="0"/>
      <w:divBdr>
        <w:top w:val="none" w:sz="0" w:space="0" w:color="auto"/>
        <w:left w:val="none" w:sz="0" w:space="0" w:color="auto"/>
        <w:bottom w:val="none" w:sz="0" w:space="0" w:color="auto"/>
        <w:right w:val="none" w:sz="0" w:space="0" w:color="auto"/>
      </w:divBdr>
    </w:div>
    <w:div w:id="1800879655">
      <w:bodyDiv w:val="1"/>
      <w:marLeft w:val="0"/>
      <w:marRight w:val="0"/>
      <w:marTop w:val="0"/>
      <w:marBottom w:val="0"/>
      <w:divBdr>
        <w:top w:val="none" w:sz="0" w:space="0" w:color="auto"/>
        <w:left w:val="none" w:sz="0" w:space="0" w:color="auto"/>
        <w:bottom w:val="none" w:sz="0" w:space="0" w:color="auto"/>
        <w:right w:val="none" w:sz="0" w:space="0" w:color="auto"/>
      </w:divBdr>
    </w:div>
    <w:div w:id="1802729176">
      <w:bodyDiv w:val="1"/>
      <w:marLeft w:val="0"/>
      <w:marRight w:val="0"/>
      <w:marTop w:val="0"/>
      <w:marBottom w:val="0"/>
      <w:divBdr>
        <w:top w:val="none" w:sz="0" w:space="0" w:color="auto"/>
        <w:left w:val="none" w:sz="0" w:space="0" w:color="auto"/>
        <w:bottom w:val="none" w:sz="0" w:space="0" w:color="auto"/>
        <w:right w:val="none" w:sz="0" w:space="0" w:color="auto"/>
      </w:divBdr>
    </w:div>
    <w:div w:id="1804885594">
      <w:bodyDiv w:val="1"/>
      <w:marLeft w:val="0"/>
      <w:marRight w:val="0"/>
      <w:marTop w:val="0"/>
      <w:marBottom w:val="0"/>
      <w:divBdr>
        <w:top w:val="none" w:sz="0" w:space="0" w:color="auto"/>
        <w:left w:val="none" w:sz="0" w:space="0" w:color="auto"/>
        <w:bottom w:val="none" w:sz="0" w:space="0" w:color="auto"/>
        <w:right w:val="none" w:sz="0" w:space="0" w:color="auto"/>
      </w:divBdr>
    </w:div>
    <w:div w:id="1805077845">
      <w:bodyDiv w:val="1"/>
      <w:marLeft w:val="0"/>
      <w:marRight w:val="0"/>
      <w:marTop w:val="0"/>
      <w:marBottom w:val="0"/>
      <w:divBdr>
        <w:top w:val="none" w:sz="0" w:space="0" w:color="auto"/>
        <w:left w:val="none" w:sz="0" w:space="0" w:color="auto"/>
        <w:bottom w:val="none" w:sz="0" w:space="0" w:color="auto"/>
        <w:right w:val="none" w:sz="0" w:space="0" w:color="auto"/>
      </w:divBdr>
    </w:div>
    <w:div w:id="1805925648">
      <w:bodyDiv w:val="1"/>
      <w:marLeft w:val="0"/>
      <w:marRight w:val="0"/>
      <w:marTop w:val="0"/>
      <w:marBottom w:val="0"/>
      <w:divBdr>
        <w:top w:val="none" w:sz="0" w:space="0" w:color="auto"/>
        <w:left w:val="none" w:sz="0" w:space="0" w:color="auto"/>
        <w:bottom w:val="none" w:sz="0" w:space="0" w:color="auto"/>
        <w:right w:val="none" w:sz="0" w:space="0" w:color="auto"/>
      </w:divBdr>
    </w:div>
    <w:div w:id="1806242210">
      <w:bodyDiv w:val="1"/>
      <w:marLeft w:val="0"/>
      <w:marRight w:val="0"/>
      <w:marTop w:val="0"/>
      <w:marBottom w:val="0"/>
      <w:divBdr>
        <w:top w:val="none" w:sz="0" w:space="0" w:color="auto"/>
        <w:left w:val="none" w:sz="0" w:space="0" w:color="auto"/>
        <w:bottom w:val="none" w:sz="0" w:space="0" w:color="auto"/>
        <w:right w:val="none" w:sz="0" w:space="0" w:color="auto"/>
      </w:divBdr>
    </w:div>
    <w:div w:id="1809325511">
      <w:bodyDiv w:val="1"/>
      <w:marLeft w:val="0"/>
      <w:marRight w:val="0"/>
      <w:marTop w:val="0"/>
      <w:marBottom w:val="0"/>
      <w:divBdr>
        <w:top w:val="none" w:sz="0" w:space="0" w:color="auto"/>
        <w:left w:val="none" w:sz="0" w:space="0" w:color="auto"/>
        <w:bottom w:val="none" w:sz="0" w:space="0" w:color="auto"/>
        <w:right w:val="none" w:sz="0" w:space="0" w:color="auto"/>
      </w:divBdr>
    </w:div>
    <w:div w:id="1811512795">
      <w:bodyDiv w:val="1"/>
      <w:marLeft w:val="0"/>
      <w:marRight w:val="0"/>
      <w:marTop w:val="0"/>
      <w:marBottom w:val="0"/>
      <w:divBdr>
        <w:top w:val="none" w:sz="0" w:space="0" w:color="auto"/>
        <w:left w:val="none" w:sz="0" w:space="0" w:color="auto"/>
        <w:bottom w:val="none" w:sz="0" w:space="0" w:color="auto"/>
        <w:right w:val="none" w:sz="0" w:space="0" w:color="auto"/>
      </w:divBdr>
    </w:div>
    <w:div w:id="1813980618">
      <w:bodyDiv w:val="1"/>
      <w:marLeft w:val="0"/>
      <w:marRight w:val="0"/>
      <w:marTop w:val="0"/>
      <w:marBottom w:val="0"/>
      <w:divBdr>
        <w:top w:val="none" w:sz="0" w:space="0" w:color="auto"/>
        <w:left w:val="none" w:sz="0" w:space="0" w:color="auto"/>
        <w:bottom w:val="none" w:sz="0" w:space="0" w:color="auto"/>
        <w:right w:val="none" w:sz="0" w:space="0" w:color="auto"/>
      </w:divBdr>
    </w:div>
    <w:div w:id="1817916657">
      <w:bodyDiv w:val="1"/>
      <w:marLeft w:val="0"/>
      <w:marRight w:val="0"/>
      <w:marTop w:val="0"/>
      <w:marBottom w:val="0"/>
      <w:divBdr>
        <w:top w:val="none" w:sz="0" w:space="0" w:color="auto"/>
        <w:left w:val="none" w:sz="0" w:space="0" w:color="auto"/>
        <w:bottom w:val="none" w:sz="0" w:space="0" w:color="auto"/>
        <w:right w:val="none" w:sz="0" w:space="0" w:color="auto"/>
      </w:divBdr>
    </w:div>
    <w:div w:id="1825393851">
      <w:bodyDiv w:val="1"/>
      <w:marLeft w:val="0"/>
      <w:marRight w:val="0"/>
      <w:marTop w:val="0"/>
      <w:marBottom w:val="0"/>
      <w:divBdr>
        <w:top w:val="none" w:sz="0" w:space="0" w:color="auto"/>
        <w:left w:val="none" w:sz="0" w:space="0" w:color="auto"/>
        <w:bottom w:val="none" w:sz="0" w:space="0" w:color="auto"/>
        <w:right w:val="none" w:sz="0" w:space="0" w:color="auto"/>
      </w:divBdr>
    </w:div>
    <w:div w:id="1836023069">
      <w:bodyDiv w:val="1"/>
      <w:marLeft w:val="0"/>
      <w:marRight w:val="0"/>
      <w:marTop w:val="0"/>
      <w:marBottom w:val="0"/>
      <w:divBdr>
        <w:top w:val="none" w:sz="0" w:space="0" w:color="auto"/>
        <w:left w:val="none" w:sz="0" w:space="0" w:color="auto"/>
        <w:bottom w:val="none" w:sz="0" w:space="0" w:color="auto"/>
        <w:right w:val="none" w:sz="0" w:space="0" w:color="auto"/>
      </w:divBdr>
    </w:div>
    <w:div w:id="1837454058">
      <w:bodyDiv w:val="1"/>
      <w:marLeft w:val="0"/>
      <w:marRight w:val="0"/>
      <w:marTop w:val="0"/>
      <w:marBottom w:val="0"/>
      <w:divBdr>
        <w:top w:val="none" w:sz="0" w:space="0" w:color="auto"/>
        <w:left w:val="none" w:sz="0" w:space="0" w:color="auto"/>
        <w:bottom w:val="none" w:sz="0" w:space="0" w:color="auto"/>
        <w:right w:val="none" w:sz="0" w:space="0" w:color="auto"/>
      </w:divBdr>
    </w:div>
    <w:div w:id="1838960140">
      <w:bodyDiv w:val="1"/>
      <w:marLeft w:val="0"/>
      <w:marRight w:val="0"/>
      <w:marTop w:val="0"/>
      <w:marBottom w:val="0"/>
      <w:divBdr>
        <w:top w:val="none" w:sz="0" w:space="0" w:color="auto"/>
        <w:left w:val="none" w:sz="0" w:space="0" w:color="auto"/>
        <w:bottom w:val="none" w:sz="0" w:space="0" w:color="auto"/>
        <w:right w:val="none" w:sz="0" w:space="0" w:color="auto"/>
      </w:divBdr>
    </w:div>
    <w:div w:id="1841967607">
      <w:bodyDiv w:val="1"/>
      <w:marLeft w:val="0"/>
      <w:marRight w:val="0"/>
      <w:marTop w:val="0"/>
      <w:marBottom w:val="0"/>
      <w:divBdr>
        <w:top w:val="none" w:sz="0" w:space="0" w:color="auto"/>
        <w:left w:val="none" w:sz="0" w:space="0" w:color="auto"/>
        <w:bottom w:val="none" w:sz="0" w:space="0" w:color="auto"/>
        <w:right w:val="none" w:sz="0" w:space="0" w:color="auto"/>
      </w:divBdr>
    </w:div>
    <w:div w:id="1845122033">
      <w:bodyDiv w:val="1"/>
      <w:marLeft w:val="0"/>
      <w:marRight w:val="0"/>
      <w:marTop w:val="0"/>
      <w:marBottom w:val="0"/>
      <w:divBdr>
        <w:top w:val="none" w:sz="0" w:space="0" w:color="auto"/>
        <w:left w:val="none" w:sz="0" w:space="0" w:color="auto"/>
        <w:bottom w:val="none" w:sz="0" w:space="0" w:color="auto"/>
        <w:right w:val="none" w:sz="0" w:space="0" w:color="auto"/>
      </w:divBdr>
    </w:div>
    <w:div w:id="1848400717">
      <w:bodyDiv w:val="1"/>
      <w:marLeft w:val="0"/>
      <w:marRight w:val="0"/>
      <w:marTop w:val="0"/>
      <w:marBottom w:val="0"/>
      <w:divBdr>
        <w:top w:val="none" w:sz="0" w:space="0" w:color="auto"/>
        <w:left w:val="none" w:sz="0" w:space="0" w:color="auto"/>
        <w:bottom w:val="none" w:sz="0" w:space="0" w:color="auto"/>
        <w:right w:val="none" w:sz="0" w:space="0" w:color="auto"/>
      </w:divBdr>
    </w:div>
    <w:div w:id="1848516871">
      <w:bodyDiv w:val="1"/>
      <w:marLeft w:val="0"/>
      <w:marRight w:val="0"/>
      <w:marTop w:val="0"/>
      <w:marBottom w:val="0"/>
      <w:divBdr>
        <w:top w:val="none" w:sz="0" w:space="0" w:color="auto"/>
        <w:left w:val="none" w:sz="0" w:space="0" w:color="auto"/>
        <w:bottom w:val="none" w:sz="0" w:space="0" w:color="auto"/>
        <w:right w:val="none" w:sz="0" w:space="0" w:color="auto"/>
      </w:divBdr>
    </w:div>
    <w:div w:id="1850632713">
      <w:bodyDiv w:val="1"/>
      <w:marLeft w:val="0"/>
      <w:marRight w:val="0"/>
      <w:marTop w:val="0"/>
      <w:marBottom w:val="0"/>
      <w:divBdr>
        <w:top w:val="none" w:sz="0" w:space="0" w:color="auto"/>
        <w:left w:val="none" w:sz="0" w:space="0" w:color="auto"/>
        <w:bottom w:val="none" w:sz="0" w:space="0" w:color="auto"/>
        <w:right w:val="none" w:sz="0" w:space="0" w:color="auto"/>
      </w:divBdr>
    </w:div>
    <w:div w:id="1851531435">
      <w:bodyDiv w:val="1"/>
      <w:marLeft w:val="0"/>
      <w:marRight w:val="0"/>
      <w:marTop w:val="0"/>
      <w:marBottom w:val="0"/>
      <w:divBdr>
        <w:top w:val="none" w:sz="0" w:space="0" w:color="auto"/>
        <w:left w:val="none" w:sz="0" w:space="0" w:color="auto"/>
        <w:bottom w:val="none" w:sz="0" w:space="0" w:color="auto"/>
        <w:right w:val="none" w:sz="0" w:space="0" w:color="auto"/>
      </w:divBdr>
    </w:div>
    <w:div w:id="1852375673">
      <w:bodyDiv w:val="1"/>
      <w:marLeft w:val="0"/>
      <w:marRight w:val="0"/>
      <w:marTop w:val="0"/>
      <w:marBottom w:val="0"/>
      <w:divBdr>
        <w:top w:val="none" w:sz="0" w:space="0" w:color="auto"/>
        <w:left w:val="none" w:sz="0" w:space="0" w:color="auto"/>
        <w:bottom w:val="none" w:sz="0" w:space="0" w:color="auto"/>
        <w:right w:val="none" w:sz="0" w:space="0" w:color="auto"/>
      </w:divBdr>
    </w:div>
    <w:div w:id="1855338208">
      <w:bodyDiv w:val="1"/>
      <w:marLeft w:val="0"/>
      <w:marRight w:val="0"/>
      <w:marTop w:val="0"/>
      <w:marBottom w:val="0"/>
      <w:divBdr>
        <w:top w:val="none" w:sz="0" w:space="0" w:color="auto"/>
        <w:left w:val="none" w:sz="0" w:space="0" w:color="auto"/>
        <w:bottom w:val="none" w:sz="0" w:space="0" w:color="auto"/>
        <w:right w:val="none" w:sz="0" w:space="0" w:color="auto"/>
      </w:divBdr>
    </w:div>
    <w:div w:id="1859077022">
      <w:bodyDiv w:val="1"/>
      <w:marLeft w:val="0"/>
      <w:marRight w:val="0"/>
      <w:marTop w:val="0"/>
      <w:marBottom w:val="0"/>
      <w:divBdr>
        <w:top w:val="none" w:sz="0" w:space="0" w:color="auto"/>
        <w:left w:val="none" w:sz="0" w:space="0" w:color="auto"/>
        <w:bottom w:val="none" w:sz="0" w:space="0" w:color="auto"/>
        <w:right w:val="none" w:sz="0" w:space="0" w:color="auto"/>
      </w:divBdr>
    </w:div>
    <w:div w:id="1860897137">
      <w:bodyDiv w:val="1"/>
      <w:marLeft w:val="0"/>
      <w:marRight w:val="0"/>
      <w:marTop w:val="0"/>
      <w:marBottom w:val="0"/>
      <w:divBdr>
        <w:top w:val="none" w:sz="0" w:space="0" w:color="auto"/>
        <w:left w:val="none" w:sz="0" w:space="0" w:color="auto"/>
        <w:bottom w:val="none" w:sz="0" w:space="0" w:color="auto"/>
        <w:right w:val="none" w:sz="0" w:space="0" w:color="auto"/>
      </w:divBdr>
    </w:div>
    <w:div w:id="1864787557">
      <w:bodyDiv w:val="1"/>
      <w:marLeft w:val="0"/>
      <w:marRight w:val="0"/>
      <w:marTop w:val="0"/>
      <w:marBottom w:val="0"/>
      <w:divBdr>
        <w:top w:val="none" w:sz="0" w:space="0" w:color="auto"/>
        <w:left w:val="none" w:sz="0" w:space="0" w:color="auto"/>
        <w:bottom w:val="none" w:sz="0" w:space="0" w:color="auto"/>
        <w:right w:val="none" w:sz="0" w:space="0" w:color="auto"/>
      </w:divBdr>
    </w:div>
    <w:div w:id="1864972033">
      <w:bodyDiv w:val="1"/>
      <w:marLeft w:val="0"/>
      <w:marRight w:val="0"/>
      <w:marTop w:val="0"/>
      <w:marBottom w:val="0"/>
      <w:divBdr>
        <w:top w:val="none" w:sz="0" w:space="0" w:color="auto"/>
        <w:left w:val="none" w:sz="0" w:space="0" w:color="auto"/>
        <w:bottom w:val="none" w:sz="0" w:space="0" w:color="auto"/>
        <w:right w:val="none" w:sz="0" w:space="0" w:color="auto"/>
      </w:divBdr>
    </w:div>
    <w:div w:id="1866206792">
      <w:bodyDiv w:val="1"/>
      <w:marLeft w:val="0"/>
      <w:marRight w:val="0"/>
      <w:marTop w:val="0"/>
      <w:marBottom w:val="0"/>
      <w:divBdr>
        <w:top w:val="none" w:sz="0" w:space="0" w:color="auto"/>
        <w:left w:val="none" w:sz="0" w:space="0" w:color="auto"/>
        <w:bottom w:val="none" w:sz="0" w:space="0" w:color="auto"/>
        <w:right w:val="none" w:sz="0" w:space="0" w:color="auto"/>
      </w:divBdr>
    </w:div>
    <w:div w:id="1866941152">
      <w:bodyDiv w:val="1"/>
      <w:marLeft w:val="0"/>
      <w:marRight w:val="0"/>
      <w:marTop w:val="0"/>
      <w:marBottom w:val="0"/>
      <w:divBdr>
        <w:top w:val="none" w:sz="0" w:space="0" w:color="auto"/>
        <w:left w:val="none" w:sz="0" w:space="0" w:color="auto"/>
        <w:bottom w:val="none" w:sz="0" w:space="0" w:color="auto"/>
        <w:right w:val="none" w:sz="0" w:space="0" w:color="auto"/>
      </w:divBdr>
    </w:div>
    <w:div w:id="1872183021">
      <w:bodyDiv w:val="1"/>
      <w:marLeft w:val="0"/>
      <w:marRight w:val="0"/>
      <w:marTop w:val="0"/>
      <w:marBottom w:val="0"/>
      <w:divBdr>
        <w:top w:val="none" w:sz="0" w:space="0" w:color="auto"/>
        <w:left w:val="none" w:sz="0" w:space="0" w:color="auto"/>
        <w:bottom w:val="none" w:sz="0" w:space="0" w:color="auto"/>
        <w:right w:val="none" w:sz="0" w:space="0" w:color="auto"/>
      </w:divBdr>
    </w:div>
    <w:div w:id="1881284855">
      <w:bodyDiv w:val="1"/>
      <w:marLeft w:val="0"/>
      <w:marRight w:val="0"/>
      <w:marTop w:val="0"/>
      <w:marBottom w:val="0"/>
      <w:divBdr>
        <w:top w:val="none" w:sz="0" w:space="0" w:color="auto"/>
        <w:left w:val="none" w:sz="0" w:space="0" w:color="auto"/>
        <w:bottom w:val="none" w:sz="0" w:space="0" w:color="auto"/>
        <w:right w:val="none" w:sz="0" w:space="0" w:color="auto"/>
      </w:divBdr>
    </w:div>
    <w:div w:id="1885947775">
      <w:bodyDiv w:val="1"/>
      <w:marLeft w:val="0"/>
      <w:marRight w:val="0"/>
      <w:marTop w:val="0"/>
      <w:marBottom w:val="0"/>
      <w:divBdr>
        <w:top w:val="none" w:sz="0" w:space="0" w:color="auto"/>
        <w:left w:val="none" w:sz="0" w:space="0" w:color="auto"/>
        <w:bottom w:val="none" w:sz="0" w:space="0" w:color="auto"/>
        <w:right w:val="none" w:sz="0" w:space="0" w:color="auto"/>
      </w:divBdr>
    </w:div>
    <w:div w:id="1889756058">
      <w:bodyDiv w:val="1"/>
      <w:marLeft w:val="0"/>
      <w:marRight w:val="0"/>
      <w:marTop w:val="0"/>
      <w:marBottom w:val="0"/>
      <w:divBdr>
        <w:top w:val="none" w:sz="0" w:space="0" w:color="auto"/>
        <w:left w:val="none" w:sz="0" w:space="0" w:color="auto"/>
        <w:bottom w:val="none" w:sz="0" w:space="0" w:color="auto"/>
        <w:right w:val="none" w:sz="0" w:space="0" w:color="auto"/>
      </w:divBdr>
    </w:div>
    <w:div w:id="1889760341">
      <w:bodyDiv w:val="1"/>
      <w:marLeft w:val="0"/>
      <w:marRight w:val="0"/>
      <w:marTop w:val="0"/>
      <w:marBottom w:val="0"/>
      <w:divBdr>
        <w:top w:val="none" w:sz="0" w:space="0" w:color="auto"/>
        <w:left w:val="none" w:sz="0" w:space="0" w:color="auto"/>
        <w:bottom w:val="none" w:sz="0" w:space="0" w:color="auto"/>
        <w:right w:val="none" w:sz="0" w:space="0" w:color="auto"/>
      </w:divBdr>
    </w:div>
    <w:div w:id="1891644099">
      <w:bodyDiv w:val="1"/>
      <w:marLeft w:val="0"/>
      <w:marRight w:val="0"/>
      <w:marTop w:val="0"/>
      <w:marBottom w:val="0"/>
      <w:divBdr>
        <w:top w:val="none" w:sz="0" w:space="0" w:color="auto"/>
        <w:left w:val="none" w:sz="0" w:space="0" w:color="auto"/>
        <w:bottom w:val="none" w:sz="0" w:space="0" w:color="auto"/>
        <w:right w:val="none" w:sz="0" w:space="0" w:color="auto"/>
      </w:divBdr>
    </w:div>
    <w:div w:id="1892418977">
      <w:bodyDiv w:val="1"/>
      <w:marLeft w:val="0"/>
      <w:marRight w:val="0"/>
      <w:marTop w:val="0"/>
      <w:marBottom w:val="0"/>
      <w:divBdr>
        <w:top w:val="none" w:sz="0" w:space="0" w:color="auto"/>
        <w:left w:val="none" w:sz="0" w:space="0" w:color="auto"/>
        <w:bottom w:val="none" w:sz="0" w:space="0" w:color="auto"/>
        <w:right w:val="none" w:sz="0" w:space="0" w:color="auto"/>
      </w:divBdr>
    </w:div>
    <w:div w:id="1895041699">
      <w:bodyDiv w:val="1"/>
      <w:marLeft w:val="0"/>
      <w:marRight w:val="0"/>
      <w:marTop w:val="0"/>
      <w:marBottom w:val="0"/>
      <w:divBdr>
        <w:top w:val="none" w:sz="0" w:space="0" w:color="auto"/>
        <w:left w:val="none" w:sz="0" w:space="0" w:color="auto"/>
        <w:bottom w:val="none" w:sz="0" w:space="0" w:color="auto"/>
        <w:right w:val="none" w:sz="0" w:space="0" w:color="auto"/>
      </w:divBdr>
    </w:div>
    <w:div w:id="1901358696">
      <w:bodyDiv w:val="1"/>
      <w:marLeft w:val="0"/>
      <w:marRight w:val="0"/>
      <w:marTop w:val="0"/>
      <w:marBottom w:val="0"/>
      <w:divBdr>
        <w:top w:val="none" w:sz="0" w:space="0" w:color="auto"/>
        <w:left w:val="none" w:sz="0" w:space="0" w:color="auto"/>
        <w:bottom w:val="none" w:sz="0" w:space="0" w:color="auto"/>
        <w:right w:val="none" w:sz="0" w:space="0" w:color="auto"/>
      </w:divBdr>
    </w:div>
    <w:div w:id="1901668648">
      <w:bodyDiv w:val="1"/>
      <w:marLeft w:val="0"/>
      <w:marRight w:val="0"/>
      <w:marTop w:val="0"/>
      <w:marBottom w:val="0"/>
      <w:divBdr>
        <w:top w:val="none" w:sz="0" w:space="0" w:color="auto"/>
        <w:left w:val="none" w:sz="0" w:space="0" w:color="auto"/>
        <w:bottom w:val="none" w:sz="0" w:space="0" w:color="auto"/>
        <w:right w:val="none" w:sz="0" w:space="0" w:color="auto"/>
      </w:divBdr>
    </w:div>
    <w:div w:id="1902981471">
      <w:bodyDiv w:val="1"/>
      <w:marLeft w:val="0"/>
      <w:marRight w:val="0"/>
      <w:marTop w:val="0"/>
      <w:marBottom w:val="0"/>
      <w:divBdr>
        <w:top w:val="none" w:sz="0" w:space="0" w:color="auto"/>
        <w:left w:val="none" w:sz="0" w:space="0" w:color="auto"/>
        <w:bottom w:val="none" w:sz="0" w:space="0" w:color="auto"/>
        <w:right w:val="none" w:sz="0" w:space="0" w:color="auto"/>
      </w:divBdr>
    </w:div>
    <w:div w:id="1904410680">
      <w:bodyDiv w:val="1"/>
      <w:marLeft w:val="0"/>
      <w:marRight w:val="0"/>
      <w:marTop w:val="0"/>
      <w:marBottom w:val="0"/>
      <w:divBdr>
        <w:top w:val="none" w:sz="0" w:space="0" w:color="auto"/>
        <w:left w:val="none" w:sz="0" w:space="0" w:color="auto"/>
        <w:bottom w:val="none" w:sz="0" w:space="0" w:color="auto"/>
        <w:right w:val="none" w:sz="0" w:space="0" w:color="auto"/>
      </w:divBdr>
    </w:div>
    <w:div w:id="1922061950">
      <w:bodyDiv w:val="1"/>
      <w:marLeft w:val="0"/>
      <w:marRight w:val="0"/>
      <w:marTop w:val="0"/>
      <w:marBottom w:val="0"/>
      <w:divBdr>
        <w:top w:val="none" w:sz="0" w:space="0" w:color="auto"/>
        <w:left w:val="none" w:sz="0" w:space="0" w:color="auto"/>
        <w:bottom w:val="none" w:sz="0" w:space="0" w:color="auto"/>
        <w:right w:val="none" w:sz="0" w:space="0" w:color="auto"/>
      </w:divBdr>
    </w:div>
    <w:div w:id="1929462486">
      <w:bodyDiv w:val="1"/>
      <w:marLeft w:val="0"/>
      <w:marRight w:val="0"/>
      <w:marTop w:val="0"/>
      <w:marBottom w:val="0"/>
      <w:divBdr>
        <w:top w:val="none" w:sz="0" w:space="0" w:color="auto"/>
        <w:left w:val="none" w:sz="0" w:space="0" w:color="auto"/>
        <w:bottom w:val="none" w:sz="0" w:space="0" w:color="auto"/>
        <w:right w:val="none" w:sz="0" w:space="0" w:color="auto"/>
      </w:divBdr>
    </w:div>
    <w:div w:id="1933511677">
      <w:bodyDiv w:val="1"/>
      <w:marLeft w:val="0"/>
      <w:marRight w:val="0"/>
      <w:marTop w:val="0"/>
      <w:marBottom w:val="0"/>
      <w:divBdr>
        <w:top w:val="none" w:sz="0" w:space="0" w:color="auto"/>
        <w:left w:val="none" w:sz="0" w:space="0" w:color="auto"/>
        <w:bottom w:val="none" w:sz="0" w:space="0" w:color="auto"/>
        <w:right w:val="none" w:sz="0" w:space="0" w:color="auto"/>
      </w:divBdr>
    </w:div>
    <w:div w:id="1942444181">
      <w:bodyDiv w:val="1"/>
      <w:marLeft w:val="0"/>
      <w:marRight w:val="0"/>
      <w:marTop w:val="0"/>
      <w:marBottom w:val="0"/>
      <w:divBdr>
        <w:top w:val="none" w:sz="0" w:space="0" w:color="auto"/>
        <w:left w:val="none" w:sz="0" w:space="0" w:color="auto"/>
        <w:bottom w:val="none" w:sz="0" w:space="0" w:color="auto"/>
        <w:right w:val="none" w:sz="0" w:space="0" w:color="auto"/>
      </w:divBdr>
    </w:div>
    <w:div w:id="1944607212">
      <w:bodyDiv w:val="1"/>
      <w:marLeft w:val="0"/>
      <w:marRight w:val="0"/>
      <w:marTop w:val="0"/>
      <w:marBottom w:val="0"/>
      <w:divBdr>
        <w:top w:val="none" w:sz="0" w:space="0" w:color="auto"/>
        <w:left w:val="none" w:sz="0" w:space="0" w:color="auto"/>
        <w:bottom w:val="none" w:sz="0" w:space="0" w:color="auto"/>
        <w:right w:val="none" w:sz="0" w:space="0" w:color="auto"/>
      </w:divBdr>
    </w:div>
    <w:div w:id="1945722402">
      <w:bodyDiv w:val="1"/>
      <w:marLeft w:val="0"/>
      <w:marRight w:val="0"/>
      <w:marTop w:val="0"/>
      <w:marBottom w:val="0"/>
      <w:divBdr>
        <w:top w:val="none" w:sz="0" w:space="0" w:color="auto"/>
        <w:left w:val="none" w:sz="0" w:space="0" w:color="auto"/>
        <w:bottom w:val="none" w:sz="0" w:space="0" w:color="auto"/>
        <w:right w:val="none" w:sz="0" w:space="0" w:color="auto"/>
      </w:divBdr>
    </w:div>
    <w:div w:id="1950699276">
      <w:bodyDiv w:val="1"/>
      <w:marLeft w:val="0"/>
      <w:marRight w:val="0"/>
      <w:marTop w:val="0"/>
      <w:marBottom w:val="0"/>
      <w:divBdr>
        <w:top w:val="none" w:sz="0" w:space="0" w:color="auto"/>
        <w:left w:val="none" w:sz="0" w:space="0" w:color="auto"/>
        <w:bottom w:val="none" w:sz="0" w:space="0" w:color="auto"/>
        <w:right w:val="none" w:sz="0" w:space="0" w:color="auto"/>
      </w:divBdr>
    </w:div>
    <w:div w:id="1951471755">
      <w:bodyDiv w:val="1"/>
      <w:marLeft w:val="0"/>
      <w:marRight w:val="0"/>
      <w:marTop w:val="0"/>
      <w:marBottom w:val="0"/>
      <w:divBdr>
        <w:top w:val="none" w:sz="0" w:space="0" w:color="auto"/>
        <w:left w:val="none" w:sz="0" w:space="0" w:color="auto"/>
        <w:bottom w:val="none" w:sz="0" w:space="0" w:color="auto"/>
        <w:right w:val="none" w:sz="0" w:space="0" w:color="auto"/>
      </w:divBdr>
    </w:div>
    <w:div w:id="1959947360">
      <w:bodyDiv w:val="1"/>
      <w:marLeft w:val="0"/>
      <w:marRight w:val="0"/>
      <w:marTop w:val="0"/>
      <w:marBottom w:val="0"/>
      <w:divBdr>
        <w:top w:val="none" w:sz="0" w:space="0" w:color="auto"/>
        <w:left w:val="none" w:sz="0" w:space="0" w:color="auto"/>
        <w:bottom w:val="none" w:sz="0" w:space="0" w:color="auto"/>
        <w:right w:val="none" w:sz="0" w:space="0" w:color="auto"/>
      </w:divBdr>
    </w:div>
    <w:div w:id="1962033133">
      <w:bodyDiv w:val="1"/>
      <w:marLeft w:val="0"/>
      <w:marRight w:val="0"/>
      <w:marTop w:val="0"/>
      <w:marBottom w:val="0"/>
      <w:divBdr>
        <w:top w:val="none" w:sz="0" w:space="0" w:color="auto"/>
        <w:left w:val="none" w:sz="0" w:space="0" w:color="auto"/>
        <w:bottom w:val="none" w:sz="0" w:space="0" w:color="auto"/>
        <w:right w:val="none" w:sz="0" w:space="0" w:color="auto"/>
      </w:divBdr>
    </w:div>
    <w:div w:id="1962374683">
      <w:bodyDiv w:val="1"/>
      <w:marLeft w:val="0"/>
      <w:marRight w:val="0"/>
      <w:marTop w:val="0"/>
      <w:marBottom w:val="0"/>
      <w:divBdr>
        <w:top w:val="none" w:sz="0" w:space="0" w:color="auto"/>
        <w:left w:val="none" w:sz="0" w:space="0" w:color="auto"/>
        <w:bottom w:val="none" w:sz="0" w:space="0" w:color="auto"/>
        <w:right w:val="none" w:sz="0" w:space="0" w:color="auto"/>
      </w:divBdr>
    </w:div>
    <w:div w:id="1963993878">
      <w:bodyDiv w:val="1"/>
      <w:marLeft w:val="0"/>
      <w:marRight w:val="0"/>
      <w:marTop w:val="0"/>
      <w:marBottom w:val="0"/>
      <w:divBdr>
        <w:top w:val="none" w:sz="0" w:space="0" w:color="auto"/>
        <w:left w:val="none" w:sz="0" w:space="0" w:color="auto"/>
        <w:bottom w:val="none" w:sz="0" w:space="0" w:color="auto"/>
        <w:right w:val="none" w:sz="0" w:space="0" w:color="auto"/>
      </w:divBdr>
    </w:div>
    <w:div w:id="1966428670">
      <w:bodyDiv w:val="1"/>
      <w:marLeft w:val="0"/>
      <w:marRight w:val="0"/>
      <w:marTop w:val="0"/>
      <w:marBottom w:val="0"/>
      <w:divBdr>
        <w:top w:val="none" w:sz="0" w:space="0" w:color="auto"/>
        <w:left w:val="none" w:sz="0" w:space="0" w:color="auto"/>
        <w:bottom w:val="none" w:sz="0" w:space="0" w:color="auto"/>
        <w:right w:val="none" w:sz="0" w:space="0" w:color="auto"/>
      </w:divBdr>
    </w:div>
    <w:div w:id="1971469107">
      <w:bodyDiv w:val="1"/>
      <w:marLeft w:val="0"/>
      <w:marRight w:val="0"/>
      <w:marTop w:val="0"/>
      <w:marBottom w:val="0"/>
      <w:divBdr>
        <w:top w:val="none" w:sz="0" w:space="0" w:color="auto"/>
        <w:left w:val="none" w:sz="0" w:space="0" w:color="auto"/>
        <w:bottom w:val="none" w:sz="0" w:space="0" w:color="auto"/>
        <w:right w:val="none" w:sz="0" w:space="0" w:color="auto"/>
      </w:divBdr>
    </w:div>
    <w:div w:id="1971745606">
      <w:bodyDiv w:val="1"/>
      <w:marLeft w:val="0"/>
      <w:marRight w:val="0"/>
      <w:marTop w:val="0"/>
      <w:marBottom w:val="0"/>
      <w:divBdr>
        <w:top w:val="none" w:sz="0" w:space="0" w:color="auto"/>
        <w:left w:val="none" w:sz="0" w:space="0" w:color="auto"/>
        <w:bottom w:val="none" w:sz="0" w:space="0" w:color="auto"/>
        <w:right w:val="none" w:sz="0" w:space="0" w:color="auto"/>
      </w:divBdr>
    </w:div>
    <w:div w:id="1974747240">
      <w:bodyDiv w:val="1"/>
      <w:marLeft w:val="0"/>
      <w:marRight w:val="0"/>
      <w:marTop w:val="0"/>
      <w:marBottom w:val="0"/>
      <w:divBdr>
        <w:top w:val="none" w:sz="0" w:space="0" w:color="auto"/>
        <w:left w:val="none" w:sz="0" w:space="0" w:color="auto"/>
        <w:bottom w:val="none" w:sz="0" w:space="0" w:color="auto"/>
        <w:right w:val="none" w:sz="0" w:space="0" w:color="auto"/>
      </w:divBdr>
    </w:div>
    <w:div w:id="1975327958">
      <w:bodyDiv w:val="1"/>
      <w:marLeft w:val="0"/>
      <w:marRight w:val="0"/>
      <w:marTop w:val="0"/>
      <w:marBottom w:val="0"/>
      <w:divBdr>
        <w:top w:val="none" w:sz="0" w:space="0" w:color="auto"/>
        <w:left w:val="none" w:sz="0" w:space="0" w:color="auto"/>
        <w:bottom w:val="none" w:sz="0" w:space="0" w:color="auto"/>
        <w:right w:val="none" w:sz="0" w:space="0" w:color="auto"/>
      </w:divBdr>
    </w:div>
    <w:div w:id="1976640716">
      <w:bodyDiv w:val="1"/>
      <w:marLeft w:val="0"/>
      <w:marRight w:val="0"/>
      <w:marTop w:val="0"/>
      <w:marBottom w:val="0"/>
      <w:divBdr>
        <w:top w:val="none" w:sz="0" w:space="0" w:color="auto"/>
        <w:left w:val="none" w:sz="0" w:space="0" w:color="auto"/>
        <w:bottom w:val="none" w:sz="0" w:space="0" w:color="auto"/>
        <w:right w:val="none" w:sz="0" w:space="0" w:color="auto"/>
      </w:divBdr>
    </w:div>
    <w:div w:id="1986473591">
      <w:bodyDiv w:val="1"/>
      <w:marLeft w:val="0"/>
      <w:marRight w:val="0"/>
      <w:marTop w:val="0"/>
      <w:marBottom w:val="0"/>
      <w:divBdr>
        <w:top w:val="none" w:sz="0" w:space="0" w:color="auto"/>
        <w:left w:val="none" w:sz="0" w:space="0" w:color="auto"/>
        <w:bottom w:val="none" w:sz="0" w:space="0" w:color="auto"/>
        <w:right w:val="none" w:sz="0" w:space="0" w:color="auto"/>
      </w:divBdr>
    </w:div>
    <w:div w:id="1988976835">
      <w:bodyDiv w:val="1"/>
      <w:marLeft w:val="0"/>
      <w:marRight w:val="0"/>
      <w:marTop w:val="0"/>
      <w:marBottom w:val="0"/>
      <w:divBdr>
        <w:top w:val="none" w:sz="0" w:space="0" w:color="auto"/>
        <w:left w:val="none" w:sz="0" w:space="0" w:color="auto"/>
        <w:bottom w:val="none" w:sz="0" w:space="0" w:color="auto"/>
        <w:right w:val="none" w:sz="0" w:space="0" w:color="auto"/>
      </w:divBdr>
    </w:div>
    <w:div w:id="1989285589">
      <w:bodyDiv w:val="1"/>
      <w:marLeft w:val="0"/>
      <w:marRight w:val="0"/>
      <w:marTop w:val="0"/>
      <w:marBottom w:val="0"/>
      <w:divBdr>
        <w:top w:val="none" w:sz="0" w:space="0" w:color="auto"/>
        <w:left w:val="none" w:sz="0" w:space="0" w:color="auto"/>
        <w:bottom w:val="none" w:sz="0" w:space="0" w:color="auto"/>
        <w:right w:val="none" w:sz="0" w:space="0" w:color="auto"/>
      </w:divBdr>
    </w:div>
    <w:div w:id="1991127108">
      <w:bodyDiv w:val="1"/>
      <w:marLeft w:val="0"/>
      <w:marRight w:val="0"/>
      <w:marTop w:val="0"/>
      <w:marBottom w:val="0"/>
      <w:divBdr>
        <w:top w:val="none" w:sz="0" w:space="0" w:color="auto"/>
        <w:left w:val="none" w:sz="0" w:space="0" w:color="auto"/>
        <w:bottom w:val="none" w:sz="0" w:space="0" w:color="auto"/>
        <w:right w:val="none" w:sz="0" w:space="0" w:color="auto"/>
      </w:divBdr>
    </w:div>
    <w:div w:id="1991442523">
      <w:bodyDiv w:val="1"/>
      <w:marLeft w:val="0"/>
      <w:marRight w:val="0"/>
      <w:marTop w:val="0"/>
      <w:marBottom w:val="0"/>
      <w:divBdr>
        <w:top w:val="none" w:sz="0" w:space="0" w:color="auto"/>
        <w:left w:val="none" w:sz="0" w:space="0" w:color="auto"/>
        <w:bottom w:val="none" w:sz="0" w:space="0" w:color="auto"/>
        <w:right w:val="none" w:sz="0" w:space="0" w:color="auto"/>
      </w:divBdr>
    </w:div>
    <w:div w:id="1994985187">
      <w:bodyDiv w:val="1"/>
      <w:marLeft w:val="0"/>
      <w:marRight w:val="0"/>
      <w:marTop w:val="0"/>
      <w:marBottom w:val="0"/>
      <w:divBdr>
        <w:top w:val="none" w:sz="0" w:space="0" w:color="auto"/>
        <w:left w:val="none" w:sz="0" w:space="0" w:color="auto"/>
        <w:bottom w:val="none" w:sz="0" w:space="0" w:color="auto"/>
        <w:right w:val="none" w:sz="0" w:space="0" w:color="auto"/>
      </w:divBdr>
    </w:div>
    <w:div w:id="2000890215">
      <w:bodyDiv w:val="1"/>
      <w:marLeft w:val="0"/>
      <w:marRight w:val="0"/>
      <w:marTop w:val="0"/>
      <w:marBottom w:val="0"/>
      <w:divBdr>
        <w:top w:val="none" w:sz="0" w:space="0" w:color="auto"/>
        <w:left w:val="none" w:sz="0" w:space="0" w:color="auto"/>
        <w:bottom w:val="none" w:sz="0" w:space="0" w:color="auto"/>
        <w:right w:val="none" w:sz="0" w:space="0" w:color="auto"/>
      </w:divBdr>
    </w:div>
    <w:div w:id="2002731393">
      <w:bodyDiv w:val="1"/>
      <w:marLeft w:val="0"/>
      <w:marRight w:val="0"/>
      <w:marTop w:val="0"/>
      <w:marBottom w:val="0"/>
      <w:divBdr>
        <w:top w:val="none" w:sz="0" w:space="0" w:color="auto"/>
        <w:left w:val="none" w:sz="0" w:space="0" w:color="auto"/>
        <w:bottom w:val="none" w:sz="0" w:space="0" w:color="auto"/>
        <w:right w:val="none" w:sz="0" w:space="0" w:color="auto"/>
      </w:divBdr>
    </w:div>
    <w:div w:id="2010597842">
      <w:bodyDiv w:val="1"/>
      <w:marLeft w:val="0"/>
      <w:marRight w:val="0"/>
      <w:marTop w:val="0"/>
      <w:marBottom w:val="0"/>
      <w:divBdr>
        <w:top w:val="none" w:sz="0" w:space="0" w:color="auto"/>
        <w:left w:val="none" w:sz="0" w:space="0" w:color="auto"/>
        <w:bottom w:val="none" w:sz="0" w:space="0" w:color="auto"/>
        <w:right w:val="none" w:sz="0" w:space="0" w:color="auto"/>
      </w:divBdr>
    </w:div>
    <w:div w:id="2013947407">
      <w:bodyDiv w:val="1"/>
      <w:marLeft w:val="0"/>
      <w:marRight w:val="0"/>
      <w:marTop w:val="0"/>
      <w:marBottom w:val="0"/>
      <w:divBdr>
        <w:top w:val="none" w:sz="0" w:space="0" w:color="auto"/>
        <w:left w:val="none" w:sz="0" w:space="0" w:color="auto"/>
        <w:bottom w:val="none" w:sz="0" w:space="0" w:color="auto"/>
        <w:right w:val="none" w:sz="0" w:space="0" w:color="auto"/>
      </w:divBdr>
    </w:div>
    <w:div w:id="2014994447">
      <w:bodyDiv w:val="1"/>
      <w:marLeft w:val="0"/>
      <w:marRight w:val="0"/>
      <w:marTop w:val="0"/>
      <w:marBottom w:val="0"/>
      <w:divBdr>
        <w:top w:val="none" w:sz="0" w:space="0" w:color="auto"/>
        <w:left w:val="none" w:sz="0" w:space="0" w:color="auto"/>
        <w:bottom w:val="none" w:sz="0" w:space="0" w:color="auto"/>
        <w:right w:val="none" w:sz="0" w:space="0" w:color="auto"/>
      </w:divBdr>
    </w:div>
    <w:div w:id="2024548906">
      <w:bodyDiv w:val="1"/>
      <w:marLeft w:val="0"/>
      <w:marRight w:val="0"/>
      <w:marTop w:val="0"/>
      <w:marBottom w:val="0"/>
      <w:divBdr>
        <w:top w:val="none" w:sz="0" w:space="0" w:color="auto"/>
        <w:left w:val="none" w:sz="0" w:space="0" w:color="auto"/>
        <w:bottom w:val="none" w:sz="0" w:space="0" w:color="auto"/>
        <w:right w:val="none" w:sz="0" w:space="0" w:color="auto"/>
      </w:divBdr>
    </w:div>
    <w:div w:id="2026401944">
      <w:bodyDiv w:val="1"/>
      <w:marLeft w:val="0"/>
      <w:marRight w:val="0"/>
      <w:marTop w:val="0"/>
      <w:marBottom w:val="0"/>
      <w:divBdr>
        <w:top w:val="none" w:sz="0" w:space="0" w:color="auto"/>
        <w:left w:val="none" w:sz="0" w:space="0" w:color="auto"/>
        <w:bottom w:val="none" w:sz="0" w:space="0" w:color="auto"/>
        <w:right w:val="none" w:sz="0" w:space="0" w:color="auto"/>
      </w:divBdr>
    </w:div>
    <w:div w:id="2035301118">
      <w:bodyDiv w:val="1"/>
      <w:marLeft w:val="0"/>
      <w:marRight w:val="0"/>
      <w:marTop w:val="0"/>
      <w:marBottom w:val="0"/>
      <w:divBdr>
        <w:top w:val="none" w:sz="0" w:space="0" w:color="auto"/>
        <w:left w:val="none" w:sz="0" w:space="0" w:color="auto"/>
        <w:bottom w:val="none" w:sz="0" w:space="0" w:color="auto"/>
        <w:right w:val="none" w:sz="0" w:space="0" w:color="auto"/>
      </w:divBdr>
    </w:div>
    <w:div w:id="2035498778">
      <w:bodyDiv w:val="1"/>
      <w:marLeft w:val="0"/>
      <w:marRight w:val="0"/>
      <w:marTop w:val="0"/>
      <w:marBottom w:val="0"/>
      <w:divBdr>
        <w:top w:val="none" w:sz="0" w:space="0" w:color="auto"/>
        <w:left w:val="none" w:sz="0" w:space="0" w:color="auto"/>
        <w:bottom w:val="none" w:sz="0" w:space="0" w:color="auto"/>
        <w:right w:val="none" w:sz="0" w:space="0" w:color="auto"/>
      </w:divBdr>
    </w:div>
    <w:div w:id="2036077432">
      <w:bodyDiv w:val="1"/>
      <w:marLeft w:val="0"/>
      <w:marRight w:val="0"/>
      <w:marTop w:val="0"/>
      <w:marBottom w:val="0"/>
      <w:divBdr>
        <w:top w:val="none" w:sz="0" w:space="0" w:color="auto"/>
        <w:left w:val="none" w:sz="0" w:space="0" w:color="auto"/>
        <w:bottom w:val="none" w:sz="0" w:space="0" w:color="auto"/>
        <w:right w:val="none" w:sz="0" w:space="0" w:color="auto"/>
      </w:divBdr>
    </w:div>
    <w:div w:id="2036885764">
      <w:bodyDiv w:val="1"/>
      <w:marLeft w:val="0"/>
      <w:marRight w:val="0"/>
      <w:marTop w:val="0"/>
      <w:marBottom w:val="0"/>
      <w:divBdr>
        <w:top w:val="none" w:sz="0" w:space="0" w:color="auto"/>
        <w:left w:val="none" w:sz="0" w:space="0" w:color="auto"/>
        <w:bottom w:val="none" w:sz="0" w:space="0" w:color="auto"/>
        <w:right w:val="none" w:sz="0" w:space="0" w:color="auto"/>
      </w:divBdr>
    </w:div>
    <w:div w:id="2042002791">
      <w:bodyDiv w:val="1"/>
      <w:marLeft w:val="0"/>
      <w:marRight w:val="0"/>
      <w:marTop w:val="0"/>
      <w:marBottom w:val="0"/>
      <w:divBdr>
        <w:top w:val="none" w:sz="0" w:space="0" w:color="auto"/>
        <w:left w:val="none" w:sz="0" w:space="0" w:color="auto"/>
        <w:bottom w:val="none" w:sz="0" w:space="0" w:color="auto"/>
        <w:right w:val="none" w:sz="0" w:space="0" w:color="auto"/>
      </w:divBdr>
    </w:div>
    <w:div w:id="2043478364">
      <w:bodyDiv w:val="1"/>
      <w:marLeft w:val="0"/>
      <w:marRight w:val="0"/>
      <w:marTop w:val="0"/>
      <w:marBottom w:val="0"/>
      <w:divBdr>
        <w:top w:val="none" w:sz="0" w:space="0" w:color="auto"/>
        <w:left w:val="none" w:sz="0" w:space="0" w:color="auto"/>
        <w:bottom w:val="none" w:sz="0" w:space="0" w:color="auto"/>
        <w:right w:val="none" w:sz="0" w:space="0" w:color="auto"/>
      </w:divBdr>
    </w:div>
    <w:div w:id="2047286865">
      <w:bodyDiv w:val="1"/>
      <w:marLeft w:val="0"/>
      <w:marRight w:val="0"/>
      <w:marTop w:val="0"/>
      <w:marBottom w:val="0"/>
      <w:divBdr>
        <w:top w:val="none" w:sz="0" w:space="0" w:color="auto"/>
        <w:left w:val="none" w:sz="0" w:space="0" w:color="auto"/>
        <w:bottom w:val="none" w:sz="0" w:space="0" w:color="auto"/>
        <w:right w:val="none" w:sz="0" w:space="0" w:color="auto"/>
      </w:divBdr>
    </w:div>
    <w:div w:id="2047362470">
      <w:bodyDiv w:val="1"/>
      <w:marLeft w:val="0"/>
      <w:marRight w:val="0"/>
      <w:marTop w:val="0"/>
      <w:marBottom w:val="0"/>
      <w:divBdr>
        <w:top w:val="none" w:sz="0" w:space="0" w:color="auto"/>
        <w:left w:val="none" w:sz="0" w:space="0" w:color="auto"/>
        <w:bottom w:val="none" w:sz="0" w:space="0" w:color="auto"/>
        <w:right w:val="none" w:sz="0" w:space="0" w:color="auto"/>
      </w:divBdr>
    </w:div>
    <w:div w:id="2050186303">
      <w:bodyDiv w:val="1"/>
      <w:marLeft w:val="0"/>
      <w:marRight w:val="0"/>
      <w:marTop w:val="0"/>
      <w:marBottom w:val="0"/>
      <w:divBdr>
        <w:top w:val="none" w:sz="0" w:space="0" w:color="auto"/>
        <w:left w:val="none" w:sz="0" w:space="0" w:color="auto"/>
        <w:bottom w:val="none" w:sz="0" w:space="0" w:color="auto"/>
        <w:right w:val="none" w:sz="0" w:space="0" w:color="auto"/>
      </w:divBdr>
    </w:div>
    <w:div w:id="2055887165">
      <w:bodyDiv w:val="1"/>
      <w:marLeft w:val="0"/>
      <w:marRight w:val="0"/>
      <w:marTop w:val="0"/>
      <w:marBottom w:val="0"/>
      <w:divBdr>
        <w:top w:val="none" w:sz="0" w:space="0" w:color="auto"/>
        <w:left w:val="none" w:sz="0" w:space="0" w:color="auto"/>
        <w:bottom w:val="none" w:sz="0" w:space="0" w:color="auto"/>
        <w:right w:val="none" w:sz="0" w:space="0" w:color="auto"/>
      </w:divBdr>
      <w:divsChild>
        <w:div w:id="2008093500">
          <w:marLeft w:val="0"/>
          <w:marRight w:val="0"/>
          <w:marTop w:val="0"/>
          <w:marBottom w:val="0"/>
          <w:divBdr>
            <w:top w:val="none" w:sz="0" w:space="0" w:color="auto"/>
            <w:left w:val="none" w:sz="0" w:space="0" w:color="auto"/>
            <w:bottom w:val="none" w:sz="0" w:space="0" w:color="auto"/>
            <w:right w:val="none" w:sz="0" w:space="0" w:color="auto"/>
          </w:divBdr>
          <w:divsChild>
            <w:div w:id="1191459063">
              <w:marLeft w:val="0"/>
              <w:marRight w:val="0"/>
              <w:marTop w:val="0"/>
              <w:marBottom w:val="0"/>
              <w:divBdr>
                <w:top w:val="none" w:sz="0" w:space="0" w:color="auto"/>
                <w:left w:val="none" w:sz="0" w:space="0" w:color="auto"/>
                <w:bottom w:val="none" w:sz="0" w:space="0" w:color="auto"/>
                <w:right w:val="none" w:sz="0" w:space="0" w:color="auto"/>
              </w:divBdr>
              <w:divsChild>
                <w:div w:id="366756473">
                  <w:marLeft w:val="0"/>
                  <w:marRight w:val="0"/>
                  <w:marTop w:val="0"/>
                  <w:marBottom w:val="0"/>
                  <w:divBdr>
                    <w:top w:val="none" w:sz="0" w:space="0" w:color="auto"/>
                    <w:left w:val="none" w:sz="0" w:space="0" w:color="auto"/>
                    <w:bottom w:val="none" w:sz="0" w:space="0" w:color="auto"/>
                    <w:right w:val="none" w:sz="0" w:space="0" w:color="auto"/>
                  </w:divBdr>
                  <w:divsChild>
                    <w:div w:id="1891267069">
                      <w:marLeft w:val="0"/>
                      <w:marRight w:val="0"/>
                      <w:marTop w:val="0"/>
                      <w:marBottom w:val="0"/>
                      <w:divBdr>
                        <w:top w:val="none" w:sz="0" w:space="0" w:color="auto"/>
                        <w:left w:val="none" w:sz="0" w:space="0" w:color="auto"/>
                        <w:bottom w:val="none" w:sz="0" w:space="0" w:color="auto"/>
                        <w:right w:val="none" w:sz="0" w:space="0" w:color="auto"/>
                      </w:divBdr>
                      <w:divsChild>
                        <w:div w:id="612059157">
                          <w:marLeft w:val="0"/>
                          <w:marRight w:val="0"/>
                          <w:marTop w:val="0"/>
                          <w:marBottom w:val="0"/>
                          <w:divBdr>
                            <w:top w:val="none" w:sz="0" w:space="0" w:color="auto"/>
                            <w:left w:val="none" w:sz="0" w:space="0" w:color="auto"/>
                            <w:bottom w:val="none" w:sz="0" w:space="0" w:color="auto"/>
                            <w:right w:val="none" w:sz="0" w:space="0" w:color="auto"/>
                          </w:divBdr>
                          <w:divsChild>
                            <w:div w:id="1893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541596">
      <w:bodyDiv w:val="1"/>
      <w:marLeft w:val="0"/>
      <w:marRight w:val="0"/>
      <w:marTop w:val="0"/>
      <w:marBottom w:val="0"/>
      <w:divBdr>
        <w:top w:val="none" w:sz="0" w:space="0" w:color="auto"/>
        <w:left w:val="none" w:sz="0" w:space="0" w:color="auto"/>
        <w:bottom w:val="none" w:sz="0" w:space="0" w:color="auto"/>
        <w:right w:val="none" w:sz="0" w:space="0" w:color="auto"/>
      </w:divBdr>
    </w:div>
    <w:div w:id="2056654842">
      <w:bodyDiv w:val="1"/>
      <w:marLeft w:val="0"/>
      <w:marRight w:val="0"/>
      <w:marTop w:val="0"/>
      <w:marBottom w:val="0"/>
      <w:divBdr>
        <w:top w:val="none" w:sz="0" w:space="0" w:color="auto"/>
        <w:left w:val="none" w:sz="0" w:space="0" w:color="auto"/>
        <w:bottom w:val="none" w:sz="0" w:space="0" w:color="auto"/>
        <w:right w:val="none" w:sz="0" w:space="0" w:color="auto"/>
      </w:divBdr>
    </w:div>
    <w:div w:id="2060277907">
      <w:bodyDiv w:val="1"/>
      <w:marLeft w:val="0"/>
      <w:marRight w:val="0"/>
      <w:marTop w:val="0"/>
      <w:marBottom w:val="0"/>
      <w:divBdr>
        <w:top w:val="none" w:sz="0" w:space="0" w:color="auto"/>
        <w:left w:val="none" w:sz="0" w:space="0" w:color="auto"/>
        <w:bottom w:val="none" w:sz="0" w:space="0" w:color="auto"/>
        <w:right w:val="none" w:sz="0" w:space="0" w:color="auto"/>
      </w:divBdr>
    </w:div>
    <w:div w:id="2060321033">
      <w:bodyDiv w:val="1"/>
      <w:marLeft w:val="0"/>
      <w:marRight w:val="0"/>
      <w:marTop w:val="0"/>
      <w:marBottom w:val="0"/>
      <w:divBdr>
        <w:top w:val="none" w:sz="0" w:space="0" w:color="auto"/>
        <w:left w:val="none" w:sz="0" w:space="0" w:color="auto"/>
        <w:bottom w:val="none" w:sz="0" w:space="0" w:color="auto"/>
        <w:right w:val="none" w:sz="0" w:space="0" w:color="auto"/>
      </w:divBdr>
    </w:div>
    <w:div w:id="2062512103">
      <w:bodyDiv w:val="1"/>
      <w:marLeft w:val="0"/>
      <w:marRight w:val="0"/>
      <w:marTop w:val="0"/>
      <w:marBottom w:val="0"/>
      <w:divBdr>
        <w:top w:val="none" w:sz="0" w:space="0" w:color="auto"/>
        <w:left w:val="none" w:sz="0" w:space="0" w:color="auto"/>
        <w:bottom w:val="none" w:sz="0" w:space="0" w:color="auto"/>
        <w:right w:val="none" w:sz="0" w:space="0" w:color="auto"/>
      </w:divBdr>
    </w:div>
    <w:div w:id="2063093489">
      <w:bodyDiv w:val="1"/>
      <w:marLeft w:val="0"/>
      <w:marRight w:val="0"/>
      <w:marTop w:val="0"/>
      <w:marBottom w:val="0"/>
      <w:divBdr>
        <w:top w:val="none" w:sz="0" w:space="0" w:color="auto"/>
        <w:left w:val="none" w:sz="0" w:space="0" w:color="auto"/>
        <w:bottom w:val="none" w:sz="0" w:space="0" w:color="auto"/>
        <w:right w:val="none" w:sz="0" w:space="0" w:color="auto"/>
      </w:divBdr>
    </w:div>
    <w:div w:id="2063746469">
      <w:bodyDiv w:val="1"/>
      <w:marLeft w:val="0"/>
      <w:marRight w:val="0"/>
      <w:marTop w:val="0"/>
      <w:marBottom w:val="0"/>
      <w:divBdr>
        <w:top w:val="none" w:sz="0" w:space="0" w:color="auto"/>
        <w:left w:val="none" w:sz="0" w:space="0" w:color="auto"/>
        <w:bottom w:val="none" w:sz="0" w:space="0" w:color="auto"/>
        <w:right w:val="none" w:sz="0" w:space="0" w:color="auto"/>
      </w:divBdr>
    </w:div>
    <w:div w:id="2065257525">
      <w:bodyDiv w:val="1"/>
      <w:marLeft w:val="0"/>
      <w:marRight w:val="0"/>
      <w:marTop w:val="0"/>
      <w:marBottom w:val="0"/>
      <w:divBdr>
        <w:top w:val="none" w:sz="0" w:space="0" w:color="auto"/>
        <w:left w:val="none" w:sz="0" w:space="0" w:color="auto"/>
        <w:bottom w:val="none" w:sz="0" w:space="0" w:color="auto"/>
        <w:right w:val="none" w:sz="0" w:space="0" w:color="auto"/>
      </w:divBdr>
    </w:div>
    <w:div w:id="2069839869">
      <w:bodyDiv w:val="1"/>
      <w:marLeft w:val="0"/>
      <w:marRight w:val="0"/>
      <w:marTop w:val="0"/>
      <w:marBottom w:val="0"/>
      <w:divBdr>
        <w:top w:val="none" w:sz="0" w:space="0" w:color="auto"/>
        <w:left w:val="none" w:sz="0" w:space="0" w:color="auto"/>
        <w:bottom w:val="none" w:sz="0" w:space="0" w:color="auto"/>
        <w:right w:val="none" w:sz="0" w:space="0" w:color="auto"/>
      </w:divBdr>
    </w:div>
    <w:div w:id="2071415516">
      <w:bodyDiv w:val="1"/>
      <w:marLeft w:val="0"/>
      <w:marRight w:val="0"/>
      <w:marTop w:val="0"/>
      <w:marBottom w:val="0"/>
      <w:divBdr>
        <w:top w:val="none" w:sz="0" w:space="0" w:color="auto"/>
        <w:left w:val="none" w:sz="0" w:space="0" w:color="auto"/>
        <w:bottom w:val="none" w:sz="0" w:space="0" w:color="auto"/>
        <w:right w:val="none" w:sz="0" w:space="0" w:color="auto"/>
      </w:divBdr>
    </w:div>
    <w:div w:id="2071610078">
      <w:bodyDiv w:val="1"/>
      <w:marLeft w:val="0"/>
      <w:marRight w:val="0"/>
      <w:marTop w:val="0"/>
      <w:marBottom w:val="0"/>
      <w:divBdr>
        <w:top w:val="none" w:sz="0" w:space="0" w:color="auto"/>
        <w:left w:val="none" w:sz="0" w:space="0" w:color="auto"/>
        <w:bottom w:val="none" w:sz="0" w:space="0" w:color="auto"/>
        <w:right w:val="none" w:sz="0" w:space="0" w:color="auto"/>
      </w:divBdr>
    </w:div>
    <w:div w:id="2076274898">
      <w:bodyDiv w:val="1"/>
      <w:marLeft w:val="0"/>
      <w:marRight w:val="0"/>
      <w:marTop w:val="0"/>
      <w:marBottom w:val="0"/>
      <w:divBdr>
        <w:top w:val="none" w:sz="0" w:space="0" w:color="auto"/>
        <w:left w:val="none" w:sz="0" w:space="0" w:color="auto"/>
        <w:bottom w:val="none" w:sz="0" w:space="0" w:color="auto"/>
        <w:right w:val="none" w:sz="0" w:space="0" w:color="auto"/>
      </w:divBdr>
    </w:div>
    <w:div w:id="2079471838">
      <w:bodyDiv w:val="1"/>
      <w:marLeft w:val="0"/>
      <w:marRight w:val="0"/>
      <w:marTop w:val="0"/>
      <w:marBottom w:val="0"/>
      <w:divBdr>
        <w:top w:val="none" w:sz="0" w:space="0" w:color="auto"/>
        <w:left w:val="none" w:sz="0" w:space="0" w:color="auto"/>
        <w:bottom w:val="none" w:sz="0" w:space="0" w:color="auto"/>
        <w:right w:val="none" w:sz="0" w:space="0" w:color="auto"/>
      </w:divBdr>
    </w:div>
    <w:div w:id="2079590240">
      <w:bodyDiv w:val="1"/>
      <w:marLeft w:val="0"/>
      <w:marRight w:val="0"/>
      <w:marTop w:val="0"/>
      <w:marBottom w:val="0"/>
      <w:divBdr>
        <w:top w:val="none" w:sz="0" w:space="0" w:color="auto"/>
        <w:left w:val="none" w:sz="0" w:space="0" w:color="auto"/>
        <w:bottom w:val="none" w:sz="0" w:space="0" w:color="auto"/>
        <w:right w:val="none" w:sz="0" w:space="0" w:color="auto"/>
      </w:divBdr>
    </w:div>
    <w:div w:id="2079938804">
      <w:bodyDiv w:val="1"/>
      <w:marLeft w:val="0"/>
      <w:marRight w:val="0"/>
      <w:marTop w:val="0"/>
      <w:marBottom w:val="0"/>
      <w:divBdr>
        <w:top w:val="none" w:sz="0" w:space="0" w:color="auto"/>
        <w:left w:val="none" w:sz="0" w:space="0" w:color="auto"/>
        <w:bottom w:val="none" w:sz="0" w:space="0" w:color="auto"/>
        <w:right w:val="none" w:sz="0" w:space="0" w:color="auto"/>
      </w:divBdr>
    </w:div>
    <w:div w:id="2081293585">
      <w:bodyDiv w:val="1"/>
      <w:marLeft w:val="0"/>
      <w:marRight w:val="0"/>
      <w:marTop w:val="0"/>
      <w:marBottom w:val="0"/>
      <w:divBdr>
        <w:top w:val="none" w:sz="0" w:space="0" w:color="auto"/>
        <w:left w:val="none" w:sz="0" w:space="0" w:color="auto"/>
        <w:bottom w:val="none" w:sz="0" w:space="0" w:color="auto"/>
        <w:right w:val="none" w:sz="0" w:space="0" w:color="auto"/>
      </w:divBdr>
    </w:div>
    <w:div w:id="2083062472">
      <w:bodyDiv w:val="1"/>
      <w:marLeft w:val="0"/>
      <w:marRight w:val="0"/>
      <w:marTop w:val="0"/>
      <w:marBottom w:val="0"/>
      <w:divBdr>
        <w:top w:val="none" w:sz="0" w:space="0" w:color="auto"/>
        <w:left w:val="none" w:sz="0" w:space="0" w:color="auto"/>
        <w:bottom w:val="none" w:sz="0" w:space="0" w:color="auto"/>
        <w:right w:val="none" w:sz="0" w:space="0" w:color="auto"/>
      </w:divBdr>
    </w:div>
    <w:div w:id="2086610435">
      <w:bodyDiv w:val="1"/>
      <w:marLeft w:val="0"/>
      <w:marRight w:val="0"/>
      <w:marTop w:val="0"/>
      <w:marBottom w:val="0"/>
      <w:divBdr>
        <w:top w:val="none" w:sz="0" w:space="0" w:color="auto"/>
        <w:left w:val="none" w:sz="0" w:space="0" w:color="auto"/>
        <w:bottom w:val="none" w:sz="0" w:space="0" w:color="auto"/>
        <w:right w:val="none" w:sz="0" w:space="0" w:color="auto"/>
      </w:divBdr>
    </w:div>
    <w:div w:id="2090693453">
      <w:bodyDiv w:val="1"/>
      <w:marLeft w:val="0"/>
      <w:marRight w:val="0"/>
      <w:marTop w:val="0"/>
      <w:marBottom w:val="0"/>
      <w:divBdr>
        <w:top w:val="none" w:sz="0" w:space="0" w:color="auto"/>
        <w:left w:val="none" w:sz="0" w:space="0" w:color="auto"/>
        <w:bottom w:val="none" w:sz="0" w:space="0" w:color="auto"/>
        <w:right w:val="none" w:sz="0" w:space="0" w:color="auto"/>
      </w:divBdr>
    </w:div>
    <w:div w:id="2092239859">
      <w:bodyDiv w:val="1"/>
      <w:marLeft w:val="0"/>
      <w:marRight w:val="0"/>
      <w:marTop w:val="0"/>
      <w:marBottom w:val="0"/>
      <w:divBdr>
        <w:top w:val="none" w:sz="0" w:space="0" w:color="auto"/>
        <w:left w:val="none" w:sz="0" w:space="0" w:color="auto"/>
        <w:bottom w:val="none" w:sz="0" w:space="0" w:color="auto"/>
        <w:right w:val="none" w:sz="0" w:space="0" w:color="auto"/>
      </w:divBdr>
    </w:div>
    <w:div w:id="2099399789">
      <w:bodyDiv w:val="1"/>
      <w:marLeft w:val="0"/>
      <w:marRight w:val="0"/>
      <w:marTop w:val="0"/>
      <w:marBottom w:val="0"/>
      <w:divBdr>
        <w:top w:val="none" w:sz="0" w:space="0" w:color="auto"/>
        <w:left w:val="none" w:sz="0" w:space="0" w:color="auto"/>
        <w:bottom w:val="none" w:sz="0" w:space="0" w:color="auto"/>
        <w:right w:val="none" w:sz="0" w:space="0" w:color="auto"/>
      </w:divBdr>
    </w:div>
    <w:div w:id="2100058435">
      <w:bodyDiv w:val="1"/>
      <w:marLeft w:val="0"/>
      <w:marRight w:val="0"/>
      <w:marTop w:val="0"/>
      <w:marBottom w:val="0"/>
      <w:divBdr>
        <w:top w:val="none" w:sz="0" w:space="0" w:color="auto"/>
        <w:left w:val="none" w:sz="0" w:space="0" w:color="auto"/>
        <w:bottom w:val="none" w:sz="0" w:space="0" w:color="auto"/>
        <w:right w:val="none" w:sz="0" w:space="0" w:color="auto"/>
      </w:divBdr>
    </w:div>
    <w:div w:id="2102338074">
      <w:bodyDiv w:val="1"/>
      <w:marLeft w:val="0"/>
      <w:marRight w:val="0"/>
      <w:marTop w:val="0"/>
      <w:marBottom w:val="0"/>
      <w:divBdr>
        <w:top w:val="none" w:sz="0" w:space="0" w:color="auto"/>
        <w:left w:val="none" w:sz="0" w:space="0" w:color="auto"/>
        <w:bottom w:val="none" w:sz="0" w:space="0" w:color="auto"/>
        <w:right w:val="none" w:sz="0" w:space="0" w:color="auto"/>
      </w:divBdr>
    </w:div>
    <w:div w:id="2102673972">
      <w:bodyDiv w:val="1"/>
      <w:marLeft w:val="0"/>
      <w:marRight w:val="0"/>
      <w:marTop w:val="0"/>
      <w:marBottom w:val="0"/>
      <w:divBdr>
        <w:top w:val="none" w:sz="0" w:space="0" w:color="auto"/>
        <w:left w:val="none" w:sz="0" w:space="0" w:color="auto"/>
        <w:bottom w:val="none" w:sz="0" w:space="0" w:color="auto"/>
        <w:right w:val="none" w:sz="0" w:space="0" w:color="auto"/>
      </w:divBdr>
    </w:div>
    <w:div w:id="2106225848">
      <w:bodyDiv w:val="1"/>
      <w:marLeft w:val="0"/>
      <w:marRight w:val="0"/>
      <w:marTop w:val="0"/>
      <w:marBottom w:val="0"/>
      <w:divBdr>
        <w:top w:val="none" w:sz="0" w:space="0" w:color="auto"/>
        <w:left w:val="none" w:sz="0" w:space="0" w:color="auto"/>
        <w:bottom w:val="none" w:sz="0" w:space="0" w:color="auto"/>
        <w:right w:val="none" w:sz="0" w:space="0" w:color="auto"/>
      </w:divBdr>
    </w:div>
    <w:div w:id="2107342304">
      <w:bodyDiv w:val="1"/>
      <w:marLeft w:val="0"/>
      <w:marRight w:val="0"/>
      <w:marTop w:val="0"/>
      <w:marBottom w:val="0"/>
      <w:divBdr>
        <w:top w:val="none" w:sz="0" w:space="0" w:color="auto"/>
        <w:left w:val="none" w:sz="0" w:space="0" w:color="auto"/>
        <w:bottom w:val="none" w:sz="0" w:space="0" w:color="auto"/>
        <w:right w:val="none" w:sz="0" w:space="0" w:color="auto"/>
      </w:divBdr>
    </w:div>
    <w:div w:id="2109613175">
      <w:bodyDiv w:val="1"/>
      <w:marLeft w:val="0"/>
      <w:marRight w:val="0"/>
      <w:marTop w:val="0"/>
      <w:marBottom w:val="0"/>
      <w:divBdr>
        <w:top w:val="none" w:sz="0" w:space="0" w:color="auto"/>
        <w:left w:val="none" w:sz="0" w:space="0" w:color="auto"/>
        <w:bottom w:val="none" w:sz="0" w:space="0" w:color="auto"/>
        <w:right w:val="none" w:sz="0" w:space="0" w:color="auto"/>
      </w:divBdr>
    </w:div>
    <w:div w:id="2109765631">
      <w:bodyDiv w:val="1"/>
      <w:marLeft w:val="0"/>
      <w:marRight w:val="0"/>
      <w:marTop w:val="0"/>
      <w:marBottom w:val="0"/>
      <w:divBdr>
        <w:top w:val="none" w:sz="0" w:space="0" w:color="auto"/>
        <w:left w:val="none" w:sz="0" w:space="0" w:color="auto"/>
        <w:bottom w:val="none" w:sz="0" w:space="0" w:color="auto"/>
        <w:right w:val="none" w:sz="0" w:space="0" w:color="auto"/>
      </w:divBdr>
    </w:div>
    <w:div w:id="2109962395">
      <w:bodyDiv w:val="1"/>
      <w:marLeft w:val="0"/>
      <w:marRight w:val="0"/>
      <w:marTop w:val="0"/>
      <w:marBottom w:val="0"/>
      <w:divBdr>
        <w:top w:val="none" w:sz="0" w:space="0" w:color="auto"/>
        <w:left w:val="none" w:sz="0" w:space="0" w:color="auto"/>
        <w:bottom w:val="none" w:sz="0" w:space="0" w:color="auto"/>
        <w:right w:val="none" w:sz="0" w:space="0" w:color="auto"/>
      </w:divBdr>
    </w:div>
    <w:div w:id="2110462928">
      <w:bodyDiv w:val="1"/>
      <w:marLeft w:val="0"/>
      <w:marRight w:val="0"/>
      <w:marTop w:val="0"/>
      <w:marBottom w:val="0"/>
      <w:divBdr>
        <w:top w:val="none" w:sz="0" w:space="0" w:color="auto"/>
        <w:left w:val="none" w:sz="0" w:space="0" w:color="auto"/>
        <w:bottom w:val="none" w:sz="0" w:space="0" w:color="auto"/>
        <w:right w:val="none" w:sz="0" w:space="0" w:color="auto"/>
      </w:divBdr>
    </w:div>
    <w:div w:id="2111512000">
      <w:bodyDiv w:val="1"/>
      <w:marLeft w:val="0"/>
      <w:marRight w:val="0"/>
      <w:marTop w:val="0"/>
      <w:marBottom w:val="0"/>
      <w:divBdr>
        <w:top w:val="none" w:sz="0" w:space="0" w:color="auto"/>
        <w:left w:val="none" w:sz="0" w:space="0" w:color="auto"/>
        <w:bottom w:val="none" w:sz="0" w:space="0" w:color="auto"/>
        <w:right w:val="none" w:sz="0" w:space="0" w:color="auto"/>
      </w:divBdr>
    </w:div>
    <w:div w:id="2112580126">
      <w:bodyDiv w:val="1"/>
      <w:marLeft w:val="0"/>
      <w:marRight w:val="0"/>
      <w:marTop w:val="0"/>
      <w:marBottom w:val="0"/>
      <w:divBdr>
        <w:top w:val="none" w:sz="0" w:space="0" w:color="auto"/>
        <w:left w:val="none" w:sz="0" w:space="0" w:color="auto"/>
        <w:bottom w:val="none" w:sz="0" w:space="0" w:color="auto"/>
        <w:right w:val="none" w:sz="0" w:space="0" w:color="auto"/>
      </w:divBdr>
    </w:div>
    <w:div w:id="2115054710">
      <w:bodyDiv w:val="1"/>
      <w:marLeft w:val="0"/>
      <w:marRight w:val="0"/>
      <w:marTop w:val="0"/>
      <w:marBottom w:val="0"/>
      <w:divBdr>
        <w:top w:val="none" w:sz="0" w:space="0" w:color="auto"/>
        <w:left w:val="none" w:sz="0" w:space="0" w:color="auto"/>
        <w:bottom w:val="none" w:sz="0" w:space="0" w:color="auto"/>
        <w:right w:val="none" w:sz="0" w:space="0" w:color="auto"/>
      </w:divBdr>
    </w:div>
    <w:div w:id="2115400810">
      <w:bodyDiv w:val="1"/>
      <w:marLeft w:val="0"/>
      <w:marRight w:val="0"/>
      <w:marTop w:val="0"/>
      <w:marBottom w:val="0"/>
      <w:divBdr>
        <w:top w:val="none" w:sz="0" w:space="0" w:color="auto"/>
        <w:left w:val="none" w:sz="0" w:space="0" w:color="auto"/>
        <w:bottom w:val="none" w:sz="0" w:space="0" w:color="auto"/>
        <w:right w:val="none" w:sz="0" w:space="0" w:color="auto"/>
      </w:divBdr>
    </w:div>
    <w:div w:id="2115511812">
      <w:bodyDiv w:val="1"/>
      <w:marLeft w:val="0"/>
      <w:marRight w:val="0"/>
      <w:marTop w:val="0"/>
      <w:marBottom w:val="0"/>
      <w:divBdr>
        <w:top w:val="none" w:sz="0" w:space="0" w:color="auto"/>
        <w:left w:val="none" w:sz="0" w:space="0" w:color="auto"/>
        <w:bottom w:val="none" w:sz="0" w:space="0" w:color="auto"/>
        <w:right w:val="none" w:sz="0" w:space="0" w:color="auto"/>
      </w:divBdr>
    </w:div>
    <w:div w:id="2116712223">
      <w:bodyDiv w:val="1"/>
      <w:marLeft w:val="0"/>
      <w:marRight w:val="0"/>
      <w:marTop w:val="0"/>
      <w:marBottom w:val="0"/>
      <w:divBdr>
        <w:top w:val="none" w:sz="0" w:space="0" w:color="auto"/>
        <w:left w:val="none" w:sz="0" w:space="0" w:color="auto"/>
        <w:bottom w:val="none" w:sz="0" w:space="0" w:color="auto"/>
        <w:right w:val="none" w:sz="0" w:space="0" w:color="auto"/>
      </w:divBdr>
    </w:div>
    <w:div w:id="2118483630">
      <w:bodyDiv w:val="1"/>
      <w:marLeft w:val="0"/>
      <w:marRight w:val="0"/>
      <w:marTop w:val="0"/>
      <w:marBottom w:val="0"/>
      <w:divBdr>
        <w:top w:val="none" w:sz="0" w:space="0" w:color="auto"/>
        <w:left w:val="none" w:sz="0" w:space="0" w:color="auto"/>
        <w:bottom w:val="none" w:sz="0" w:space="0" w:color="auto"/>
        <w:right w:val="none" w:sz="0" w:space="0" w:color="auto"/>
      </w:divBdr>
    </w:div>
    <w:div w:id="2119988037">
      <w:bodyDiv w:val="1"/>
      <w:marLeft w:val="0"/>
      <w:marRight w:val="0"/>
      <w:marTop w:val="0"/>
      <w:marBottom w:val="0"/>
      <w:divBdr>
        <w:top w:val="none" w:sz="0" w:space="0" w:color="auto"/>
        <w:left w:val="none" w:sz="0" w:space="0" w:color="auto"/>
        <w:bottom w:val="none" w:sz="0" w:space="0" w:color="auto"/>
        <w:right w:val="none" w:sz="0" w:space="0" w:color="auto"/>
      </w:divBdr>
    </w:div>
    <w:div w:id="2123261586">
      <w:bodyDiv w:val="1"/>
      <w:marLeft w:val="0"/>
      <w:marRight w:val="0"/>
      <w:marTop w:val="0"/>
      <w:marBottom w:val="0"/>
      <w:divBdr>
        <w:top w:val="none" w:sz="0" w:space="0" w:color="auto"/>
        <w:left w:val="none" w:sz="0" w:space="0" w:color="auto"/>
        <w:bottom w:val="none" w:sz="0" w:space="0" w:color="auto"/>
        <w:right w:val="none" w:sz="0" w:space="0" w:color="auto"/>
      </w:divBdr>
    </w:div>
    <w:div w:id="2124034076">
      <w:bodyDiv w:val="1"/>
      <w:marLeft w:val="0"/>
      <w:marRight w:val="0"/>
      <w:marTop w:val="0"/>
      <w:marBottom w:val="0"/>
      <w:divBdr>
        <w:top w:val="none" w:sz="0" w:space="0" w:color="auto"/>
        <w:left w:val="none" w:sz="0" w:space="0" w:color="auto"/>
        <w:bottom w:val="none" w:sz="0" w:space="0" w:color="auto"/>
        <w:right w:val="none" w:sz="0" w:space="0" w:color="auto"/>
      </w:divBdr>
    </w:div>
    <w:div w:id="2124957465">
      <w:bodyDiv w:val="1"/>
      <w:marLeft w:val="0"/>
      <w:marRight w:val="0"/>
      <w:marTop w:val="0"/>
      <w:marBottom w:val="0"/>
      <w:divBdr>
        <w:top w:val="none" w:sz="0" w:space="0" w:color="auto"/>
        <w:left w:val="none" w:sz="0" w:space="0" w:color="auto"/>
        <w:bottom w:val="none" w:sz="0" w:space="0" w:color="auto"/>
        <w:right w:val="none" w:sz="0" w:space="0" w:color="auto"/>
      </w:divBdr>
    </w:div>
    <w:div w:id="2126464443">
      <w:bodyDiv w:val="1"/>
      <w:marLeft w:val="0"/>
      <w:marRight w:val="0"/>
      <w:marTop w:val="0"/>
      <w:marBottom w:val="0"/>
      <w:divBdr>
        <w:top w:val="none" w:sz="0" w:space="0" w:color="auto"/>
        <w:left w:val="none" w:sz="0" w:space="0" w:color="auto"/>
        <w:bottom w:val="none" w:sz="0" w:space="0" w:color="auto"/>
        <w:right w:val="none" w:sz="0" w:space="0" w:color="auto"/>
      </w:divBdr>
    </w:div>
    <w:div w:id="2133013689">
      <w:bodyDiv w:val="1"/>
      <w:marLeft w:val="0"/>
      <w:marRight w:val="0"/>
      <w:marTop w:val="0"/>
      <w:marBottom w:val="0"/>
      <w:divBdr>
        <w:top w:val="none" w:sz="0" w:space="0" w:color="auto"/>
        <w:left w:val="none" w:sz="0" w:space="0" w:color="auto"/>
        <w:bottom w:val="none" w:sz="0" w:space="0" w:color="auto"/>
        <w:right w:val="none" w:sz="0" w:space="0" w:color="auto"/>
      </w:divBdr>
    </w:div>
    <w:div w:id="2135441990">
      <w:bodyDiv w:val="1"/>
      <w:marLeft w:val="0"/>
      <w:marRight w:val="0"/>
      <w:marTop w:val="0"/>
      <w:marBottom w:val="0"/>
      <w:divBdr>
        <w:top w:val="none" w:sz="0" w:space="0" w:color="auto"/>
        <w:left w:val="none" w:sz="0" w:space="0" w:color="auto"/>
        <w:bottom w:val="none" w:sz="0" w:space="0" w:color="auto"/>
        <w:right w:val="none" w:sz="0" w:space="0" w:color="auto"/>
      </w:divBdr>
    </w:div>
    <w:div w:id="2135978794">
      <w:bodyDiv w:val="1"/>
      <w:marLeft w:val="0"/>
      <w:marRight w:val="0"/>
      <w:marTop w:val="0"/>
      <w:marBottom w:val="0"/>
      <w:divBdr>
        <w:top w:val="none" w:sz="0" w:space="0" w:color="auto"/>
        <w:left w:val="none" w:sz="0" w:space="0" w:color="auto"/>
        <w:bottom w:val="none" w:sz="0" w:space="0" w:color="auto"/>
        <w:right w:val="none" w:sz="0" w:space="0" w:color="auto"/>
      </w:divBdr>
    </w:div>
    <w:div w:id="2138066964">
      <w:bodyDiv w:val="1"/>
      <w:marLeft w:val="0"/>
      <w:marRight w:val="0"/>
      <w:marTop w:val="0"/>
      <w:marBottom w:val="0"/>
      <w:divBdr>
        <w:top w:val="none" w:sz="0" w:space="0" w:color="auto"/>
        <w:left w:val="none" w:sz="0" w:space="0" w:color="auto"/>
        <w:bottom w:val="none" w:sz="0" w:space="0" w:color="auto"/>
        <w:right w:val="none" w:sz="0" w:space="0" w:color="auto"/>
      </w:divBdr>
    </w:div>
    <w:div w:id="2138257184">
      <w:bodyDiv w:val="1"/>
      <w:marLeft w:val="0"/>
      <w:marRight w:val="0"/>
      <w:marTop w:val="0"/>
      <w:marBottom w:val="0"/>
      <w:divBdr>
        <w:top w:val="none" w:sz="0" w:space="0" w:color="auto"/>
        <w:left w:val="none" w:sz="0" w:space="0" w:color="auto"/>
        <w:bottom w:val="none" w:sz="0" w:space="0" w:color="auto"/>
        <w:right w:val="none" w:sz="0" w:space="0" w:color="auto"/>
      </w:divBdr>
    </w:div>
    <w:div w:id="2143621030">
      <w:bodyDiv w:val="1"/>
      <w:marLeft w:val="0"/>
      <w:marRight w:val="0"/>
      <w:marTop w:val="0"/>
      <w:marBottom w:val="0"/>
      <w:divBdr>
        <w:top w:val="none" w:sz="0" w:space="0" w:color="auto"/>
        <w:left w:val="none" w:sz="0" w:space="0" w:color="auto"/>
        <w:bottom w:val="none" w:sz="0" w:space="0" w:color="auto"/>
        <w:right w:val="none" w:sz="0" w:space="0" w:color="auto"/>
      </w:divBdr>
    </w:div>
    <w:div w:id="214561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ikafinance.com/" TargetMode="External"/><Relationship Id="rId18" Type="http://schemas.openxmlformats.org/officeDocument/2006/relationships/hyperlink" Target="https://www.koaci.com" TargetMode="External"/><Relationship Id="rId26" Type="http://schemas.openxmlformats.org/officeDocument/2006/relationships/hyperlink" Target="https://www.aib.media" TargetMode="External"/><Relationship Id="rId39" Type="http://schemas.openxmlformats.org/officeDocument/2006/relationships/hyperlink" Target="https://www.journaltahalil.com/category/economie/" TargetMode="External"/><Relationship Id="rId21" Type="http://schemas.openxmlformats.org/officeDocument/2006/relationships/hyperlink" Target="https://lesoleil.sn/rubriques/actualites/economie/" TargetMode="External"/><Relationship Id="rId34" Type="http://schemas.openxmlformats.org/officeDocument/2006/relationships/hyperlink" Target="https://www.moa.gov.lr/media/press-releases" TargetMode="External"/><Relationship Id="rId42" Type="http://schemas.openxmlformats.org/officeDocument/2006/relationships/hyperlink" Target="https://atop.tg" TargetMode="External"/><Relationship Id="rId47" Type="http://schemas.openxmlformats.org/officeDocument/2006/relationships/hyperlink" Target="http://www.tresor.economie.gouv.fr/tresor-international"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infodrome.com" TargetMode="External"/><Relationship Id="rId29" Type="http://schemas.openxmlformats.org/officeDocument/2006/relationships/hyperlink" Target="https://standard.gm/all-news/" TargetMode="External"/><Relationship Id="rId11" Type="http://schemas.openxmlformats.org/officeDocument/2006/relationships/hyperlink" Target="https://www.jeuneafrique.com" TargetMode="External"/><Relationship Id="rId24" Type="http://schemas.openxmlformats.org/officeDocument/2006/relationships/hyperlink" Target="https://www.inforpress.cv/fr/tags/economy" TargetMode="External"/><Relationship Id="rId32" Type="http://schemas.openxmlformats.org/officeDocument/2006/relationships/hyperlink" Target="https://guineenews.org/category/news/economie/" TargetMode="External"/><Relationship Id="rId37" Type="http://schemas.openxmlformats.org/officeDocument/2006/relationships/hyperlink" Target="https://bamada.net/category/economie" TargetMode="External"/><Relationship Id="rId40" Type="http://schemas.openxmlformats.org/officeDocument/2006/relationships/hyperlink" Target="https://www.lesahel.org/category/economie/" TargetMode="External"/><Relationship Id="rId45" Type="http://schemas.openxmlformats.org/officeDocument/2006/relationships/hyperlink" Target="https://www.agridigitale.net/" TargetMode="External"/><Relationship Id="rId5" Type="http://schemas.openxmlformats.org/officeDocument/2006/relationships/webSettings" Target="webSettings.xml"/><Relationship Id="rId15" Type="http://schemas.openxmlformats.org/officeDocument/2006/relationships/hyperlink" Target="https://connectionivoirienne.net" TargetMode="External"/><Relationship Id="rId23" Type="http://schemas.openxmlformats.org/officeDocument/2006/relationships/hyperlink" Target="https://www.governo.cv/" TargetMode="External"/><Relationship Id="rId28" Type="http://schemas.openxmlformats.org/officeDocument/2006/relationships/hyperlink" Target="https://lefaso.net/spip.php?rubrique3" TargetMode="External"/><Relationship Id="rId36" Type="http://schemas.openxmlformats.org/officeDocument/2006/relationships/hyperlink" Target="https://frontpageafricaonline.com/category/news/" TargetMode="External"/><Relationship Id="rId49" Type="http://schemas.openxmlformats.org/officeDocument/2006/relationships/fontTable" Target="fontTable.xml"/><Relationship Id="rId10" Type="http://schemas.openxmlformats.org/officeDocument/2006/relationships/hyperlink" Target="https://www.rfi.fr" TargetMode="External"/><Relationship Id="rId19" Type="http://schemas.openxmlformats.org/officeDocument/2006/relationships/hyperlink" Target="https://www.7info.ci" TargetMode="External"/><Relationship Id="rId31" Type="http://schemas.openxmlformats.org/officeDocument/2006/relationships/hyperlink" Target="https://presidence.gov.gn/actualite/" TargetMode="External"/><Relationship Id="rId44" Type="http://schemas.openxmlformats.org/officeDocument/2006/relationships/hyperlink" Target="https://www.republiquetogolaise.com/agro/" TargetMode="External"/><Relationship Id="rId4" Type="http://schemas.openxmlformats.org/officeDocument/2006/relationships/settings" Target="settings.xml"/><Relationship Id="rId9" Type="http://schemas.openxmlformats.org/officeDocument/2006/relationships/hyperlink" Target="https://news.abidjan.net" TargetMode="External"/><Relationship Id="rId14" Type="http://schemas.openxmlformats.org/officeDocument/2006/relationships/hyperlink" Target="https://www.aip.ci" TargetMode="External"/><Relationship Id="rId22" Type="http://schemas.openxmlformats.org/officeDocument/2006/relationships/hyperlink" Target="https://www.seneweb.com/news/Economie/" TargetMode="External"/><Relationship Id="rId27" Type="http://schemas.openxmlformats.org/officeDocument/2006/relationships/hyperlink" Target="https://www.sidwaya.info/bfcategories/economie/" TargetMode="External"/><Relationship Id="rId30" Type="http://schemas.openxmlformats.org/officeDocument/2006/relationships/hyperlink" Target="https://agpguinee.com" TargetMode="External"/><Relationship Id="rId35" Type="http://schemas.openxmlformats.org/officeDocument/2006/relationships/hyperlink" Target="https://www.liberianobserver.com/farm/" TargetMode="External"/><Relationship Id="rId43" Type="http://schemas.openxmlformats.org/officeDocument/2006/relationships/hyperlink" Target="https://www.republicoftogo.com/" TargetMode="External"/><Relationship Id="rId48" Type="http://schemas.openxmlformats.org/officeDocument/2006/relationships/header" Target="header1.xml"/><Relationship Id="rId8" Type="http://schemas.openxmlformats.org/officeDocument/2006/relationships/hyperlink" Target="https://www.agenceecofin.com/agro" TargetMode="External"/><Relationship Id="rId3" Type="http://schemas.openxmlformats.org/officeDocument/2006/relationships/styles" Target="styles.xml"/><Relationship Id="rId12" Type="http://schemas.openxmlformats.org/officeDocument/2006/relationships/hyperlink" Target="https://fr.apanews.net" TargetMode="External"/><Relationship Id="rId17" Type="http://schemas.openxmlformats.org/officeDocument/2006/relationships/hyperlink" Target="https://www.fratmat.info/morearticles/economie?pgno=6" TargetMode="External"/><Relationship Id="rId25" Type="http://schemas.openxmlformats.org/officeDocument/2006/relationships/hyperlink" Target="https://matinlibre.com/category/benin/national-economie/" TargetMode="External"/><Relationship Id="rId33" Type="http://schemas.openxmlformats.org/officeDocument/2006/relationships/hyperlink" Target="https://www.odemocratagb.com/?cat=23" TargetMode="External"/><Relationship Id="rId38" Type="http://schemas.openxmlformats.org/officeDocument/2006/relationships/hyperlink" Target="https://www.cridem.org/C_InfoCat.php?cat=16" TargetMode="External"/><Relationship Id="rId46" Type="http://schemas.openxmlformats.org/officeDocument/2006/relationships/hyperlink" Target="http://www.tresor.economie.gouv.fr/tresor-international" TargetMode="External"/><Relationship Id="rId20" Type="http://schemas.openxmlformats.org/officeDocument/2006/relationships/hyperlink" Target="https://aps.sn" TargetMode="External"/><Relationship Id="rId41" Type="http://schemas.openxmlformats.org/officeDocument/2006/relationships/hyperlink" Target="https://www.thesierraleonetelegraph.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58935-4481-41B1-9587-991973A8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87</Pages>
  <Words>50953</Words>
  <Characters>280246</Characters>
  <Application>Microsoft Office Word</Application>
  <DocSecurity>0</DocSecurity>
  <Lines>2335</Lines>
  <Paragraphs>661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BABIN Tristan</dc:creator>
  <cp:keywords/>
  <dc:description/>
  <cp:lastModifiedBy>RAFFIN Régis</cp:lastModifiedBy>
  <cp:revision>3</cp:revision>
  <cp:lastPrinted>2025-09-03T17:34:00Z</cp:lastPrinted>
  <dcterms:created xsi:type="dcterms:W3CDTF">2026-07-13T19:02:00Z</dcterms:created>
  <dcterms:modified xsi:type="dcterms:W3CDTF">2026-07-13T19:56:00Z</dcterms:modified>
</cp:coreProperties>
</file>