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A82A2" w14:textId="23AB9F8A" w:rsidR="00064AB6" w:rsidRDefault="006D6AAB" w:rsidP="00064AB6">
      <w:pPr>
        <w:spacing w:line="240" w:lineRule="auto"/>
        <w:ind w:right="1"/>
        <w:rPr>
          <w:rFonts w:ascii="Segoe UI" w:hAnsi="Segoe UI" w:cs="Segoe UI"/>
          <w:color w:val="000099"/>
          <w:sz w:val="20"/>
          <w:szCs w:val="20"/>
        </w:rPr>
      </w:pPr>
      <w:r w:rsidRPr="000C3D96">
        <w:rPr>
          <w:rFonts w:ascii="Segoe UI" w:eastAsia="Calibri" w:hAnsi="Segoe UI" w:cs="Segoe UI"/>
          <w:noProof/>
          <w:color w:val="000091"/>
        </w:rPr>
        <mc:AlternateContent>
          <mc:Choice Requires="wps">
            <w:drawing>
              <wp:anchor distT="0" distB="0" distL="114300" distR="114300" simplePos="0" relativeHeight="251659264" behindDoc="0" locked="0" layoutInCell="1" allowOverlap="1" wp14:anchorId="750D02D3" wp14:editId="530D0221">
                <wp:simplePos x="0" y="0"/>
                <wp:positionH relativeFrom="margin">
                  <wp:posOffset>-400685</wp:posOffset>
                </wp:positionH>
                <wp:positionV relativeFrom="paragraph">
                  <wp:posOffset>1435736</wp:posOffset>
                </wp:positionV>
                <wp:extent cx="6800850" cy="361950"/>
                <wp:effectExtent l="0" t="0" r="0" b="0"/>
                <wp:wrapNone/>
                <wp:docPr id="4" name="Rectangle 4"/>
                <wp:cNvGraphicFramePr/>
                <a:graphic xmlns:a="http://schemas.openxmlformats.org/drawingml/2006/main">
                  <a:graphicData uri="http://schemas.microsoft.com/office/word/2010/wordprocessingShape">
                    <wps:wsp>
                      <wps:cNvSpPr/>
                      <wps:spPr>
                        <a:xfrm>
                          <a:off x="0" y="0"/>
                          <a:ext cx="6800850" cy="361950"/>
                        </a:xfrm>
                        <a:prstGeom prst="rect">
                          <a:avLst/>
                        </a:prstGeom>
                        <a:solidFill>
                          <a:srgbClr val="FCC63A"/>
                        </a:solidFill>
                        <a:ln w="12700" cap="flat" cmpd="sng" algn="ctr">
                          <a:noFill/>
                          <a:prstDash val="solid"/>
                          <a:miter lim="800000"/>
                        </a:ln>
                        <a:effectLst/>
                      </wps:spPr>
                      <wps:txbx>
                        <w:txbxContent>
                          <w:p w14:paraId="7A2807D3" w14:textId="02D087AA" w:rsidR="000C3D96" w:rsidRPr="00891074" w:rsidRDefault="006802EF" w:rsidP="000C3D96">
                            <w:pPr>
                              <w:jc w:val="center"/>
                              <w:rPr>
                                <w:lang w:val="en-US"/>
                              </w:rPr>
                            </w:pPr>
                            <w:r>
                              <w:rPr>
                                <w:rFonts w:ascii="Segoe UI" w:hAnsi="Segoe UI" w:cs="Segoe UI"/>
                                <w:b/>
                                <w:bCs/>
                                <w:color w:val="000091"/>
                                <w:sz w:val="32"/>
                                <w:szCs w:val="20"/>
                                <w:lang w:val="en-US"/>
                              </w:rPr>
                              <w:t>MALDIVES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0D02D3" id="Rectangle 4" o:spid="_x0000_s1026" style="position:absolute;margin-left:-31.55pt;margin-top:113.05pt;width:535.5pt;height:2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" fillcolor="#fcc63a" stroked="f" strokeweight="1pt">
                <v:textbox>
                  <w:txbxContent>
                    <w:p w14:paraId="7A2807D3" w14:textId="02D087AA" w:rsidR="000C3D96" w:rsidRPr="00891074" w:rsidRDefault="006802EF" w:rsidP="000C3D96">
                      <w:pPr>
                        <w:jc w:val="center"/>
                        <w:rPr>
                          <w:lang w:val="en-US"/>
                        </w:rPr>
                      </w:pPr>
                      <w:r>
                        <w:rPr>
                          <w:rFonts w:ascii="Segoe UI" w:hAnsi="Segoe UI" w:cs="Segoe UI"/>
                          <w:b/>
                          <w:bCs/>
                          <w:color w:val="000091"/>
                          <w:sz w:val="32"/>
                          <w:szCs w:val="20"/>
                          <w:lang w:val="en-US"/>
                        </w:rPr>
                        <w:t>MALDIVES</w:t>
                      </w:r>
                    </w:p>
                  </w:txbxContent>
                </v:textbox>
                <w10:wrap anchorx="margin"/>
              </v:rect>
            </w:pict>
          </mc:Fallback>
        </mc:AlternateContent>
      </w:r>
      <w:r w:rsidRPr="000C3D96">
        <w:rPr>
          <w:rFonts w:ascii="Segoe UI" w:eastAsia="Calibri" w:hAnsi="Segoe UI" w:cs="Segoe UI"/>
          <w:noProof/>
          <w:color w:val="000091"/>
        </w:rPr>
        <mc:AlternateContent>
          <mc:Choice Requires="wps">
            <w:drawing>
              <wp:anchor distT="0" distB="0" distL="114300" distR="114300" simplePos="0" relativeHeight="251660288" behindDoc="0" locked="0" layoutInCell="1" allowOverlap="1" wp14:anchorId="484FB2A5" wp14:editId="3BE1AC76">
                <wp:simplePos x="0" y="0"/>
                <wp:positionH relativeFrom="margin">
                  <wp:posOffset>-410210</wp:posOffset>
                </wp:positionH>
                <wp:positionV relativeFrom="paragraph">
                  <wp:posOffset>988060</wp:posOffset>
                </wp:positionV>
                <wp:extent cx="6800850" cy="438150"/>
                <wp:effectExtent l="0" t="0" r="0" b="0"/>
                <wp:wrapTopAndBottom/>
                <wp:docPr id="2" name="Rectangle 2"/>
                <wp:cNvGraphicFramePr/>
                <a:graphic xmlns:a="http://schemas.openxmlformats.org/drawingml/2006/main">
                  <a:graphicData uri="http://schemas.microsoft.com/office/word/2010/wordprocessingShape">
                    <wps:wsp>
                      <wps:cNvSpPr/>
                      <wps:spPr>
                        <a:xfrm>
                          <a:off x="0" y="0"/>
                          <a:ext cx="6800850" cy="438150"/>
                        </a:xfrm>
                        <a:prstGeom prst="rect">
                          <a:avLst/>
                        </a:prstGeom>
                        <a:solidFill>
                          <a:srgbClr val="FCC63A">
                            <a:lumMod val="40000"/>
                            <a:lumOff val="60000"/>
                          </a:srgbClr>
                        </a:solidFill>
                        <a:ln w="12700" cap="flat" cmpd="sng" algn="ctr">
                          <a:noFill/>
                          <a:prstDash val="solid"/>
                          <a:miter lim="800000"/>
                        </a:ln>
                        <a:effectLst/>
                      </wps:spPr>
                      <wps:txbx>
                        <w:txbxContent>
                          <w:p w14:paraId="2AAF8AEA" w14:textId="77777777" w:rsidR="000C3D96" w:rsidRPr="000C3D96" w:rsidRDefault="000C3D96" w:rsidP="000C3D96">
                            <w:pPr>
                              <w:tabs>
                                <w:tab w:val="left" w:pos="3969"/>
                              </w:tabs>
                              <w:spacing w:after="0"/>
                              <w:ind w:left="57"/>
                              <w:rPr>
                                <w:rFonts w:ascii="Segoe UI" w:hAnsi="Segoe UI" w:cs="Segoe UI"/>
                                <w:bCs/>
                                <w:color w:val="000091"/>
                                <w:sz w:val="18"/>
                                <w:szCs w:val="18"/>
                                <w:lang w:eastAsia="ja-JP"/>
                              </w:rPr>
                            </w:pPr>
                            <w:r w:rsidRPr="000C3D96">
                              <w:rPr>
                                <w:rFonts w:ascii="Segoe UI" w:hAnsi="Segoe UI" w:cs="Segoe UI"/>
                                <w:bCs/>
                                <w:color w:val="000091"/>
                                <w:sz w:val="18"/>
                                <w:szCs w:val="18"/>
                                <w:lang w:eastAsia="ja-JP"/>
                              </w:rPr>
                              <w:t>Ambassade de France au Sri Lanka et aux Maldives</w:t>
                            </w:r>
                          </w:p>
                          <w:p w14:paraId="2B70F5D9" w14:textId="77777777" w:rsidR="000C3D96" w:rsidRPr="00A0743B" w:rsidRDefault="000C3D96" w:rsidP="000C3D96">
                            <w:pPr>
                              <w:spacing w:after="0"/>
                              <w:ind w:left="57" w:right="614"/>
                              <w:jc w:val="both"/>
                              <w:rPr>
                                <w:rFonts w:ascii="Arial" w:hAnsi="Arial" w:cs="Arial"/>
                                <w:b/>
                                <w:bCs/>
                                <w:sz w:val="20"/>
                                <w:szCs w:val="20"/>
                              </w:rPr>
                            </w:pPr>
                            <w:r w:rsidRPr="000C3D96">
                              <w:rPr>
                                <w:rFonts w:ascii="Segoe UI" w:hAnsi="Segoe UI" w:cs="Segoe UI"/>
                                <w:bCs/>
                                <w:color w:val="000091"/>
                                <w:sz w:val="18"/>
                                <w:szCs w:val="18"/>
                                <w:lang w:eastAsia="ja-JP"/>
                              </w:rPr>
                              <w:t>Service économique de Colombo</w:t>
                            </w:r>
                            <w:r w:rsidRPr="00A0743B">
                              <w:rPr>
                                <w:rFonts w:ascii="Arial" w:hAnsi="Arial" w:cs="Arial"/>
                                <w:b/>
                                <w:bCs/>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84FB2A5" id="Rectangle 2" o:spid="_x0000_s1027" style="position:absolute;margin-left:-32.3pt;margin-top:77.8pt;width:535.5pt;height:34.5pt;z-index:2516602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" fillcolor="#fee8b0" stroked="f" strokeweight="1pt">
                <v:textbox>
                  <w:txbxContent>
                    <w:p w14:paraId="2AAF8AEA" w14:textId="77777777" w:rsidR="000C3D96" w:rsidRPr="000C3D96" w:rsidRDefault="000C3D96" w:rsidP="000C3D96">
                      <w:pPr>
                        <w:tabs>
                          <w:tab w:val="left" w:pos="3969"/>
                        </w:tabs>
                        <w:spacing w:after="0"/>
                        <w:ind w:left="57"/>
                        <w:rPr>
                          <w:rFonts w:ascii="Segoe UI" w:hAnsi="Segoe UI" w:cs="Segoe UI"/>
                          <w:bCs/>
                          <w:color w:val="000091"/>
                          <w:sz w:val="18"/>
                          <w:szCs w:val="18"/>
                          <w:lang w:eastAsia="ja-JP"/>
                        </w:rPr>
                      </w:pPr>
                      <w:r w:rsidRPr="000C3D96">
                        <w:rPr>
                          <w:rFonts w:ascii="Segoe UI" w:hAnsi="Segoe UI" w:cs="Segoe UI"/>
                          <w:bCs/>
                          <w:color w:val="000091"/>
                          <w:sz w:val="18"/>
                          <w:szCs w:val="18"/>
                          <w:lang w:eastAsia="ja-JP"/>
                        </w:rPr>
                        <w:t>Ambassade de France au Sri Lanka et aux Maldives</w:t>
                      </w:r>
                    </w:p>
                    <w:p w14:paraId="2B70F5D9" w14:textId="77777777" w:rsidR="000C3D96" w:rsidRPr="00A0743B" w:rsidRDefault="000C3D96" w:rsidP="000C3D96">
                      <w:pPr>
                        <w:spacing w:after="0"/>
                        <w:ind w:left="57" w:right="614"/>
                        <w:jc w:val="both"/>
                        <w:rPr>
                          <w:rFonts w:ascii="Arial" w:hAnsi="Arial" w:cs="Arial"/>
                          <w:b/>
                          <w:bCs/>
                          <w:sz w:val="20"/>
                          <w:szCs w:val="20"/>
                        </w:rPr>
                      </w:pPr>
                      <w:r w:rsidRPr="000C3D96">
                        <w:rPr>
                          <w:rFonts w:ascii="Segoe UI" w:hAnsi="Segoe UI" w:cs="Segoe UI"/>
                          <w:bCs/>
                          <w:color w:val="000091"/>
                          <w:sz w:val="18"/>
                          <w:szCs w:val="18"/>
                          <w:lang w:eastAsia="ja-JP"/>
                        </w:rPr>
                        <w:t>Service économique de Colombo</w:t>
                      </w:r>
                      <w:r w:rsidRPr="00A0743B">
                        <w:rPr>
                          <w:rFonts w:ascii="Arial" w:hAnsi="Arial" w:cs="Arial"/>
                          <w:b/>
                          <w:bCs/>
                          <w:sz w:val="20"/>
                          <w:szCs w:val="20"/>
                        </w:rPr>
                        <w:t xml:space="preserve"> </w:t>
                      </w:r>
                    </w:p>
                  </w:txbxContent>
                </v:textbox>
                <w10:wrap type="topAndBottom" anchorx="margin"/>
              </v:rect>
            </w:pict>
          </mc:Fallback>
        </mc:AlternateContent>
      </w:r>
      <w:bookmarkStart w:id="0" w:name="_Hlk216338221"/>
      <w:bookmarkEnd w:id="0"/>
      <w:r w:rsidR="00F00756" w:rsidRPr="000C3D96">
        <w:rPr>
          <w:rFonts w:ascii="Segoe UI" w:eastAsia="Calibri" w:hAnsi="Segoe UI" w:cs="Segoe UI"/>
          <w:noProof/>
          <w:color w:val="000091"/>
        </w:rPr>
        <mc:AlternateContent>
          <mc:Choice Requires="wps">
            <w:drawing>
              <wp:anchor distT="0" distB="0" distL="114300" distR="114300" simplePos="0" relativeHeight="251662336" behindDoc="0" locked="0" layoutInCell="1" allowOverlap="1" wp14:anchorId="15CA6673" wp14:editId="42C8347B">
                <wp:simplePos x="0" y="0"/>
                <wp:positionH relativeFrom="margin">
                  <wp:posOffset>3695065</wp:posOffset>
                </wp:positionH>
                <wp:positionV relativeFrom="paragraph">
                  <wp:posOffset>988060</wp:posOffset>
                </wp:positionV>
                <wp:extent cx="2508250" cy="647700"/>
                <wp:effectExtent l="0" t="0" r="0" b="0"/>
                <wp:wrapNone/>
                <wp:docPr id="3" name="Zone de texte 3"/>
                <wp:cNvGraphicFramePr/>
                <a:graphic xmlns:a="http://schemas.openxmlformats.org/drawingml/2006/main">
                  <a:graphicData uri="http://schemas.microsoft.com/office/word/2010/wordprocessingShape">
                    <wps:wsp>
                      <wps:cNvSpPr txBox="1"/>
                      <wps:spPr>
                        <a:xfrm>
                          <a:off x="0" y="0"/>
                          <a:ext cx="2508250" cy="647700"/>
                        </a:xfrm>
                        <a:prstGeom prst="rect">
                          <a:avLst/>
                        </a:prstGeom>
                        <a:noFill/>
                        <a:ln w="6350">
                          <a:noFill/>
                        </a:ln>
                      </wps:spPr>
                      <wps:txbx>
                        <w:txbxContent>
                          <w:p w14:paraId="6CC1323F" w14:textId="38C9F653" w:rsidR="000C3D96" w:rsidRDefault="000C3D96" w:rsidP="000C3D96">
                            <w:pPr>
                              <w:tabs>
                                <w:tab w:val="left" w:pos="3969"/>
                              </w:tabs>
                              <w:spacing w:after="0"/>
                              <w:jc w:val="right"/>
                              <w:rPr>
                                <w:rFonts w:ascii="Segoe UI" w:hAnsi="Segoe UI" w:cs="Segoe UI"/>
                                <w:color w:val="000091"/>
                                <w:sz w:val="17"/>
                                <w:szCs w:val="17"/>
                                <w:lang w:eastAsia="ja-JP"/>
                              </w:rPr>
                            </w:pPr>
                            <w:r w:rsidRPr="000C3D96">
                              <w:rPr>
                                <w:rFonts w:ascii="Segoe UI" w:hAnsi="Segoe UI" w:cs="Segoe UI"/>
                                <w:color w:val="000091"/>
                                <w:sz w:val="17"/>
                                <w:szCs w:val="17"/>
                                <w:lang w:eastAsia="ja-JP"/>
                              </w:rPr>
                              <w:t xml:space="preserve">Affaire suivie par </w:t>
                            </w:r>
                            <w:r w:rsidR="00FB11DF" w:rsidRPr="00FB11DF">
                              <w:rPr>
                                <w:rFonts w:ascii="Segoe UI" w:hAnsi="Segoe UI" w:cs="Segoe UI"/>
                                <w:color w:val="000091"/>
                                <w:sz w:val="17"/>
                                <w:szCs w:val="17"/>
                                <w:lang w:eastAsia="ja-JP"/>
                              </w:rPr>
                              <w:t>Youri DESVIGNE-HANSCH</w:t>
                            </w:r>
                          </w:p>
                          <w:p w14:paraId="169C342F" w14:textId="44D71807" w:rsidR="00F00756" w:rsidRDefault="00FB11DF" w:rsidP="000C3D96">
                            <w:pPr>
                              <w:tabs>
                                <w:tab w:val="left" w:pos="3969"/>
                              </w:tabs>
                              <w:spacing w:after="0"/>
                              <w:jc w:val="right"/>
                              <w:rPr>
                                <w:rFonts w:ascii="Segoe UI" w:hAnsi="Segoe UI" w:cs="Segoe UI"/>
                                <w:color w:val="000091"/>
                                <w:sz w:val="17"/>
                                <w:szCs w:val="17"/>
                                <w:lang w:eastAsia="ja-JP"/>
                              </w:rPr>
                            </w:pPr>
                            <w:r>
                              <w:rPr>
                                <w:rFonts w:ascii="Segoe UI" w:hAnsi="Segoe UI" w:cs="Segoe UI"/>
                                <w:color w:val="000091"/>
                                <w:sz w:val="17"/>
                                <w:szCs w:val="17"/>
                                <w:lang w:eastAsia="ja-JP"/>
                              </w:rPr>
                              <w:t>Visa</w:t>
                            </w:r>
                            <w:r w:rsidR="00544052">
                              <w:rPr>
                                <w:rFonts w:ascii="Segoe UI" w:hAnsi="Segoe UI" w:cs="Segoe UI"/>
                                <w:color w:val="000091"/>
                                <w:sz w:val="17"/>
                                <w:szCs w:val="17"/>
                                <w:lang w:eastAsia="ja-JP"/>
                              </w:rPr>
                              <w:t xml:space="preserve"> </w:t>
                            </w:r>
                            <w:r w:rsidR="00F00756">
                              <w:rPr>
                                <w:rFonts w:ascii="Segoe UI" w:hAnsi="Segoe UI" w:cs="Segoe UI"/>
                                <w:color w:val="000091"/>
                                <w:sz w:val="17"/>
                                <w:szCs w:val="17"/>
                                <w:lang w:eastAsia="ja-JP"/>
                              </w:rPr>
                              <w:t xml:space="preserve">: </w:t>
                            </w:r>
                            <w:r>
                              <w:rPr>
                                <w:rFonts w:ascii="Segoe UI" w:hAnsi="Segoe UI" w:cs="Segoe UI"/>
                                <w:color w:val="000091"/>
                                <w:sz w:val="17"/>
                                <w:szCs w:val="17"/>
                                <w:lang w:eastAsia="ja-JP"/>
                              </w:rPr>
                              <w:t>Philippe FOUET</w:t>
                            </w:r>
                          </w:p>
                          <w:p w14:paraId="62AF32B7" w14:textId="77777777" w:rsidR="00F00756" w:rsidRDefault="00F00756" w:rsidP="000C3D96">
                            <w:pPr>
                              <w:tabs>
                                <w:tab w:val="left" w:pos="3969"/>
                              </w:tabs>
                              <w:spacing w:after="0"/>
                              <w:jc w:val="right"/>
                              <w:rPr>
                                <w:rFonts w:ascii="Segoe UI" w:hAnsi="Segoe UI" w:cs="Segoe UI"/>
                                <w:color w:val="000091"/>
                                <w:sz w:val="17"/>
                                <w:szCs w:val="17"/>
                                <w:lang w:eastAsia="ja-JP"/>
                              </w:rPr>
                            </w:pPr>
                          </w:p>
                          <w:p w14:paraId="4AB179D2" w14:textId="77777777" w:rsidR="000C3D96" w:rsidRPr="000C3D96" w:rsidRDefault="000C3D96" w:rsidP="0022687E">
                            <w:pPr>
                              <w:spacing w:after="0"/>
                              <w:ind w:left="142" w:right="-88"/>
                              <w:jc w:val="center"/>
                              <w:rPr>
                                <w:rFonts w:ascii="Arial" w:hAnsi="Arial" w:cs="Arial"/>
                                <w:color w:val="00009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CA6673" id="_x0000_t202" coordsize="21600,21600" o:spt="202" path="m,l,21600r21600,l21600,xe">
                <v:stroke joinstyle="miter"/>
                <v:path gradientshapeok="t" o:connecttype="rect"/>
              </v:shapetype>
              <v:shape id="Zone de texte 3" o:spid="_x0000_s1028" type="#_x0000_t202" style="position:absolute;margin-left:290.95pt;margin-top:77.8pt;width:197.5pt;height:51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" filled="f" stroked="f" strokeweight=".5pt">
                <v:textbox>
                  <w:txbxContent>
                    <w:p w14:paraId="6CC1323F" w14:textId="38C9F653" w:rsidR="000C3D96" w:rsidRDefault="000C3D96" w:rsidP="000C3D96">
                      <w:pPr>
                        <w:tabs>
                          <w:tab w:val="left" w:pos="3969"/>
                        </w:tabs>
                        <w:spacing w:after="0"/>
                        <w:jc w:val="right"/>
                        <w:rPr>
                          <w:rFonts w:ascii="Segoe UI" w:hAnsi="Segoe UI" w:cs="Segoe UI"/>
                          <w:color w:val="000091"/>
                          <w:sz w:val="17"/>
                          <w:szCs w:val="17"/>
                          <w:lang w:eastAsia="ja-JP"/>
                        </w:rPr>
                      </w:pPr>
                      <w:r w:rsidRPr="000C3D96">
                        <w:rPr>
                          <w:rFonts w:ascii="Segoe UI" w:hAnsi="Segoe UI" w:cs="Segoe UI"/>
                          <w:color w:val="000091"/>
                          <w:sz w:val="17"/>
                          <w:szCs w:val="17"/>
                          <w:lang w:eastAsia="ja-JP"/>
                        </w:rPr>
                        <w:t xml:space="preserve">Affaire suivie par </w:t>
                      </w:r>
                      <w:r w:rsidR="00FB11DF" w:rsidRPr="00FB11DF">
                        <w:rPr>
                          <w:rFonts w:ascii="Segoe UI" w:hAnsi="Segoe UI" w:cs="Segoe UI"/>
                          <w:color w:val="000091"/>
                          <w:sz w:val="17"/>
                          <w:szCs w:val="17"/>
                          <w:lang w:eastAsia="ja-JP"/>
                        </w:rPr>
                        <w:t>Youri DESVIGNE-HANSCH</w:t>
                      </w:r>
                    </w:p>
                    <w:p w14:paraId="169C342F" w14:textId="44D71807" w:rsidR="00F00756" w:rsidRDefault="00FB11DF" w:rsidP="000C3D96">
                      <w:pPr>
                        <w:tabs>
                          <w:tab w:val="left" w:pos="3969"/>
                        </w:tabs>
                        <w:spacing w:after="0"/>
                        <w:jc w:val="right"/>
                        <w:rPr>
                          <w:rFonts w:ascii="Segoe UI" w:hAnsi="Segoe UI" w:cs="Segoe UI"/>
                          <w:color w:val="000091"/>
                          <w:sz w:val="17"/>
                          <w:szCs w:val="17"/>
                          <w:lang w:eastAsia="ja-JP"/>
                        </w:rPr>
                      </w:pPr>
                      <w:r>
                        <w:rPr>
                          <w:rFonts w:ascii="Segoe UI" w:hAnsi="Segoe UI" w:cs="Segoe UI"/>
                          <w:color w:val="000091"/>
                          <w:sz w:val="17"/>
                          <w:szCs w:val="17"/>
                          <w:lang w:eastAsia="ja-JP"/>
                        </w:rPr>
                        <w:t>Visa</w:t>
                      </w:r>
                      <w:r w:rsidR="00544052">
                        <w:rPr>
                          <w:rFonts w:ascii="Segoe UI" w:hAnsi="Segoe UI" w:cs="Segoe UI"/>
                          <w:color w:val="000091"/>
                          <w:sz w:val="17"/>
                          <w:szCs w:val="17"/>
                          <w:lang w:eastAsia="ja-JP"/>
                        </w:rPr>
                        <w:t xml:space="preserve"> </w:t>
                      </w:r>
                      <w:r w:rsidR="00F00756">
                        <w:rPr>
                          <w:rFonts w:ascii="Segoe UI" w:hAnsi="Segoe UI" w:cs="Segoe UI"/>
                          <w:color w:val="000091"/>
                          <w:sz w:val="17"/>
                          <w:szCs w:val="17"/>
                          <w:lang w:eastAsia="ja-JP"/>
                        </w:rPr>
                        <w:t xml:space="preserve">: </w:t>
                      </w:r>
                      <w:r>
                        <w:rPr>
                          <w:rFonts w:ascii="Segoe UI" w:hAnsi="Segoe UI" w:cs="Segoe UI"/>
                          <w:color w:val="000091"/>
                          <w:sz w:val="17"/>
                          <w:szCs w:val="17"/>
                          <w:lang w:eastAsia="ja-JP"/>
                        </w:rPr>
                        <w:t>Philippe FOUET</w:t>
                      </w:r>
                    </w:p>
                    <w:p w14:paraId="62AF32B7" w14:textId="77777777" w:rsidR="00F00756" w:rsidRDefault="00F00756" w:rsidP="000C3D96">
                      <w:pPr>
                        <w:tabs>
                          <w:tab w:val="left" w:pos="3969"/>
                        </w:tabs>
                        <w:spacing w:after="0"/>
                        <w:jc w:val="right"/>
                        <w:rPr>
                          <w:rFonts w:ascii="Segoe UI" w:hAnsi="Segoe UI" w:cs="Segoe UI"/>
                          <w:color w:val="000091"/>
                          <w:sz w:val="17"/>
                          <w:szCs w:val="17"/>
                          <w:lang w:eastAsia="ja-JP"/>
                        </w:rPr>
                      </w:pPr>
                    </w:p>
                    <w:p w14:paraId="4AB179D2" w14:textId="77777777" w:rsidR="000C3D96" w:rsidRPr="000C3D96" w:rsidRDefault="000C3D96" w:rsidP="0022687E">
                      <w:pPr>
                        <w:spacing w:after="0"/>
                        <w:ind w:left="142" w:right="-88"/>
                        <w:jc w:val="center"/>
                        <w:rPr>
                          <w:rFonts w:ascii="Arial" w:hAnsi="Arial" w:cs="Arial"/>
                          <w:color w:val="000091"/>
                          <w:sz w:val="18"/>
                          <w:szCs w:val="18"/>
                        </w:rPr>
                      </w:pPr>
                    </w:p>
                  </w:txbxContent>
                </v:textbox>
                <w10:wrap anchorx="margin"/>
              </v:shape>
            </w:pict>
          </mc:Fallback>
        </mc:AlternateContent>
      </w:r>
      <w:r w:rsidR="007157EF" w:rsidRPr="000C3D96">
        <w:rPr>
          <w:rFonts w:ascii="Segoe UI" w:eastAsia="Calibri" w:hAnsi="Segoe UI" w:cs="Segoe UI"/>
          <w:noProof/>
          <w:color w:val="000091"/>
        </w:rPr>
        <w:drawing>
          <wp:anchor distT="0" distB="0" distL="114300" distR="114300" simplePos="0" relativeHeight="251661312" behindDoc="1" locked="0" layoutInCell="1" allowOverlap="1" wp14:anchorId="7FFC541D" wp14:editId="2DB2E562">
            <wp:simplePos x="0" y="0"/>
            <wp:positionH relativeFrom="column">
              <wp:posOffset>-261620</wp:posOffset>
            </wp:positionH>
            <wp:positionV relativeFrom="margin">
              <wp:align>top</wp:align>
            </wp:positionV>
            <wp:extent cx="2638425" cy="1003935"/>
            <wp:effectExtent l="0" t="0" r="9525" b="5715"/>
            <wp:wrapTopAndBottom/>
            <wp:docPr id="1"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qu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38425" cy="1003935"/>
                    </a:xfrm>
                    <a:prstGeom prst="rect">
                      <a:avLst/>
                    </a:prstGeom>
                  </pic:spPr>
                </pic:pic>
              </a:graphicData>
            </a:graphic>
            <wp14:sizeRelH relativeFrom="margin">
              <wp14:pctWidth>0</wp14:pctWidth>
            </wp14:sizeRelH>
            <wp14:sizeRelV relativeFrom="margin">
              <wp14:pctHeight>0</wp14:pctHeight>
            </wp14:sizeRelV>
          </wp:anchor>
        </w:drawing>
      </w:r>
      <w:r w:rsidR="000C3D96" w:rsidRPr="000C3D96">
        <w:rPr>
          <w:rFonts w:ascii="Segoe UI" w:eastAsia="Calibri" w:hAnsi="Segoe UI" w:cs="Segoe UI"/>
          <w:noProof/>
          <w:color w:val="000091"/>
        </w:rPr>
        <mc:AlternateContent>
          <mc:Choice Requires="wps">
            <w:drawing>
              <wp:anchor distT="45720" distB="45720" distL="114300" distR="114300" simplePos="0" relativeHeight="251663360" behindDoc="0" locked="0" layoutInCell="1" allowOverlap="1" wp14:anchorId="0A5D9024" wp14:editId="5C577BBF">
                <wp:simplePos x="0" y="0"/>
                <wp:positionH relativeFrom="margin">
                  <wp:posOffset>3844290</wp:posOffset>
                </wp:positionH>
                <wp:positionV relativeFrom="paragraph">
                  <wp:posOffset>605155</wp:posOffset>
                </wp:positionV>
                <wp:extent cx="2524125" cy="352425"/>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352425"/>
                        </a:xfrm>
                        <a:prstGeom prst="rect">
                          <a:avLst/>
                        </a:prstGeom>
                        <a:noFill/>
                        <a:ln w="9525">
                          <a:noFill/>
                          <a:miter lim="800000"/>
                          <a:headEnd/>
                          <a:tailEnd/>
                        </a:ln>
                      </wps:spPr>
                      <wps:txbx>
                        <w:txbxContent>
                          <w:p w14:paraId="159B4C87" w14:textId="2F186A09" w:rsidR="000C3D96" w:rsidRPr="000C3D96" w:rsidRDefault="000C3D96" w:rsidP="000C3D96">
                            <w:pPr>
                              <w:spacing w:before="120" w:after="120"/>
                              <w:ind w:right="284"/>
                              <w:jc w:val="right"/>
                              <w:rPr>
                                <w:color w:val="986E02"/>
                                <w:sz w:val="17"/>
                                <w:szCs w:val="17"/>
                              </w:rPr>
                            </w:pPr>
                            <w:r w:rsidRPr="000C3D96">
                              <w:rPr>
                                <w:rFonts w:ascii="Segoe UI" w:hAnsi="Segoe UI" w:cs="Segoe UI"/>
                                <w:color w:val="986E02"/>
                                <w:sz w:val="17"/>
                                <w:szCs w:val="17"/>
                                <w:lang w:eastAsia="ja-JP"/>
                              </w:rPr>
                              <w:t xml:space="preserve">Colombo, </w:t>
                            </w:r>
                            <w:r w:rsidR="00447E36">
                              <w:rPr>
                                <w:rFonts w:ascii="Segoe UI" w:hAnsi="Segoe UI" w:cs="Segoe UI"/>
                                <w:color w:val="986E02"/>
                                <w:sz w:val="17"/>
                                <w:szCs w:val="17"/>
                                <w:lang w:eastAsia="ja-JP"/>
                              </w:rPr>
                              <w:t xml:space="preserve">le </w:t>
                            </w:r>
                            <w:r w:rsidR="00721DD7">
                              <w:rPr>
                                <w:rFonts w:ascii="Segoe UI" w:hAnsi="Segoe UI" w:cs="Segoe UI"/>
                                <w:color w:val="986E02"/>
                                <w:sz w:val="17"/>
                                <w:szCs w:val="17"/>
                                <w:lang w:eastAsia="ja-JP"/>
                              </w:rPr>
                              <w:t>8</w:t>
                            </w:r>
                            <w:r w:rsidR="001B3674">
                              <w:rPr>
                                <w:rFonts w:ascii="Segoe UI" w:hAnsi="Segoe UI" w:cs="Segoe UI"/>
                                <w:color w:val="986E02"/>
                                <w:sz w:val="17"/>
                                <w:szCs w:val="17"/>
                                <w:lang w:eastAsia="ja-JP"/>
                              </w:rPr>
                              <w:t xml:space="preserve"> </w:t>
                            </w:r>
                            <w:r w:rsidR="00544052">
                              <w:rPr>
                                <w:rFonts w:ascii="Segoe UI" w:hAnsi="Segoe UI" w:cs="Segoe UI"/>
                                <w:color w:val="986E02"/>
                                <w:sz w:val="17"/>
                                <w:szCs w:val="17"/>
                                <w:lang w:eastAsia="ja-JP"/>
                              </w:rPr>
                              <w:t>octobre</w:t>
                            </w:r>
                            <w:r w:rsidR="00447E36">
                              <w:rPr>
                                <w:rFonts w:ascii="Segoe UI" w:hAnsi="Segoe UI" w:cs="Segoe UI"/>
                                <w:color w:val="986E02"/>
                                <w:sz w:val="17"/>
                                <w:szCs w:val="17"/>
                                <w:lang w:eastAsia="ja-JP"/>
                              </w:rPr>
                              <w:t xml:space="preserve"> 202</w:t>
                            </w:r>
                            <w:r w:rsidR="00127A10">
                              <w:rPr>
                                <w:rFonts w:ascii="Segoe UI" w:hAnsi="Segoe UI" w:cs="Segoe UI"/>
                                <w:color w:val="986E02"/>
                                <w:sz w:val="17"/>
                                <w:szCs w:val="17"/>
                                <w:lang w:eastAsia="ja-JP"/>
                              </w:rPr>
                              <w:t>6</w:t>
                            </w:r>
                          </w:p>
                          <w:p w14:paraId="01D3855A" w14:textId="77777777" w:rsidR="000C3D96" w:rsidRPr="00490B3C" w:rsidRDefault="000C3D96" w:rsidP="000C3D96">
                            <w:pP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5D9024" id="Zone de texte 2" o:spid="_x0000_s1029" type="#_x0000_t202" style="position:absolute;margin-left:302.7pt;margin-top:47.65pt;width:198.75pt;height:27.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" filled="f" stroked="f">
                <v:textbox>
                  <w:txbxContent>
                    <w:p w14:paraId="159B4C87" w14:textId="2F186A09" w:rsidR="000C3D96" w:rsidRPr="000C3D96" w:rsidRDefault="000C3D96" w:rsidP="000C3D96">
                      <w:pPr>
                        <w:spacing w:before="120" w:after="120"/>
                        <w:ind w:right="284"/>
                        <w:jc w:val="right"/>
                        <w:rPr>
                          <w:color w:val="986E02"/>
                          <w:sz w:val="17"/>
                          <w:szCs w:val="17"/>
                        </w:rPr>
                      </w:pPr>
                      <w:r w:rsidRPr="000C3D96">
                        <w:rPr>
                          <w:rFonts w:ascii="Segoe UI" w:hAnsi="Segoe UI" w:cs="Segoe UI"/>
                          <w:color w:val="986E02"/>
                          <w:sz w:val="17"/>
                          <w:szCs w:val="17"/>
                          <w:lang w:eastAsia="ja-JP"/>
                        </w:rPr>
                        <w:t xml:space="preserve">Colombo, </w:t>
                      </w:r>
                      <w:r w:rsidR="00447E36">
                        <w:rPr>
                          <w:rFonts w:ascii="Segoe UI" w:hAnsi="Segoe UI" w:cs="Segoe UI"/>
                          <w:color w:val="986E02"/>
                          <w:sz w:val="17"/>
                          <w:szCs w:val="17"/>
                          <w:lang w:eastAsia="ja-JP"/>
                        </w:rPr>
                        <w:t xml:space="preserve">le </w:t>
                      </w:r>
                      <w:r w:rsidR="00721DD7">
                        <w:rPr>
                          <w:rFonts w:ascii="Segoe UI" w:hAnsi="Segoe UI" w:cs="Segoe UI"/>
                          <w:color w:val="986E02"/>
                          <w:sz w:val="17"/>
                          <w:szCs w:val="17"/>
                          <w:lang w:eastAsia="ja-JP"/>
                        </w:rPr>
                        <w:t>8</w:t>
                      </w:r>
                      <w:r w:rsidR="001B3674">
                        <w:rPr>
                          <w:rFonts w:ascii="Segoe UI" w:hAnsi="Segoe UI" w:cs="Segoe UI"/>
                          <w:color w:val="986E02"/>
                          <w:sz w:val="17"/>
                          <w:szCs w:val="17"/>
                          <w:lang w:eastAsia="ja-JP"/>
                        </w:rPr>
                        <w:t xml:space="preserve"> </w:t>
                      </w:r>
                      <w:r w:rsidR="00544052">
                        <w:rPr>
                          <w:rFonts w:ascii="Segoe UI" w:hAnsi="Segoe UI" w:cs="Segoe UI"/>
                          <w:color w:val="986E02"/>
                          <w:sz w:val="17"/>
                          <w:szCs w:val="17"/>
                          <w:lang w:eastAsia="ja-JP"/>
                        </w:rPr>
                        <w:t>octobre</w:t>
                      </w:r>
                      <w:r w:rsidR="00447E36">
                        <w:rPr>
                          <w:rFonts w:ascii="Segoe UI" w:hAnsi="Segoe UI" w:cs="Segoe UI"/>
                          <w:color w:val="986E02"/>
                          <w:sz w:val="17"/>
                          <w:szCs w:val="17"/>
                          <w:lang w:eastAsia="ja-JP"/>
                        </w:rPr>
                        <w:t xml:space="preserve"> 202</w:t>
                      </w:r>
                      <w:r w:rsidR="00127A10">
                        <w:rPr>
                          <w:rFonts w:ascii="Segoe UI" w:hAnsi="Segoe UI" w:cs="Segoe UI"/>
                          <w:color w:val="986E02"/>
                          <w:sz w:val="17"/>
                          <w:szCs w:val="17"/>
                          <w:lang w:eastAsia="ja-JP"/>
                        </w:rPr>
                        <w:t>6</w:t>
                      </w:r>
                    </w:p>
                    <w:p w14:paraId="01D3855A" w14:textId="77777777" w:rsidR="000C3D96" w:rsidRPr="00490B3C" w:rsidRDefault="000C3D96" w:rsidP="000C3D96">
                      <w:pPr>
                        <w:rPr>
                          <w:sz w:val="28"/>
                          <w:szCs w:val="28"/>
                        </w:rPr>
                      </w:pPr>
                    </w:p>
                  </w:txbxContent>
                </v:textbox>
                <w10:wrap type="square" anchorx="margin"/>
              </v:shape>
            </w:pict>
          </mc:Fallback>
        </mc:AlternateContent>
      </w:r>
    </w:p>
    <w:p w14:paraId="793502EF" w14:textId="409A45DE" w:rsidR="00064AB6" w:rsidRDefault="00064AB6" w:rsidP="00064AB6">
      <w:pPr>
        <w:spacing w:line="240" w:lineRule="auto"/>
        <w:ind w:right="1"/>
        <w:rPr>
          <w:rFonts w:ascii="Segoe UI" w:hAnsi="Segoe UI" w:cs="Segoe UI"/>
          <w:color w:val="000099"/>
          <w:sz w:val="32"/>
          <w:szCs w:val="32"/>
        </w:rPr>
      </w:pPr>
    </w:p>
    <w:p w14:paraId="65C8CC63" w14:textId="6E065104" w:rsidR="00D951AD" w:rsidRPr="004E319B" w:rsidRDefault="00035FBC" w:rsidP="004E319B">
      <w:pPr>
        <w:spacing w:line="240" w:lineRule="auto"/>
        <w:ind w:right="1"/>
        <w:jc w:val="center"/>
        <w:rPr>
          <w:rFonts w:ascii="Segoe UI" w:hAnsi="Segoe UI" w:cs="Segoe UI"/>
          <w:color w:val="000099"/>
          <w:sz w:val="32"/>
          <w:szCs w:val="32"/>
        </w:rPr>
      </w:pPr>
      <w:r w:rsidRPr="00035FBC">
        <w:rPr>
          <w:rFonts w:ascii="Segoe UI" w:hAnsi="Segoe UI" w:cs="Segoe UI"/>
          <w:color w:val="000099"/>
          <w:sz w:val="32"/>
          <w:szCs w:val="32"/>
        </w:rPr>
        <w:t xml:space="preserve">Situation économique et financière </w:t>
      </w:r>
      <w:r w:rsidR="00FB11DF">
        <w:rPr>
          <w:rFonts w:ascii="Segoe UI" w:hAnsi="Segoe UI" w:cs="Segoe UI"/>
          <w:color w:val="000099"/>
          <w:sz w:val="32"/>
          <w:szCs w:val="32"/>
        </w:rPr>
        <w:t>à l’automne</w:t>
      </w:r>
      <w:r w:rsidRPr="00035FBC">
        <w:rPr>
          <w:rFonts w:ascii="Segoe UI" w:hAnsi="Segoe UI" w:cs="Segoe UI"/>
          <w:color w:val="000099"/>
          <w:sz w:val="32"/>
          <w:szCs w:val="32"/>
        </w:rPr>
        <w:t xml:space="preserve"> 2026</w:t>
      </w:r>
    </w:p>
    <w:p w14:paraId="24BDCDF7" w14:textId="698A229A" w:rsidR="006345B7" w:rsidRPr="006345B7" w:rsidRDefault="006345B7" w:rsidP="006345B7">
      <w:pPr>
        <w:spacing w:before="120" w:line="240" w:lineRule="auto"/>
        <w:ind w:left="-283" w:right="-283"/>
        <w:jc w:val="both"/>
        <w:rPr>
          <w:rFonts w:ascii="Segoe UI" w:hAnsi="Segoe UI" w:cs="Segoe UI"/>
          <w:color w:val="000099"/>
          <w:sz w:val="20"/>
          <w:szCs w:val="20"/>
        </w:rPr>
      </w:pPr>
      <w:bookmarkStart w:id="1" w:name="_Hlk222820580"/>
      <w:bookmarkStart w:id="2" w:name="_Hlk222820738"/>
      <w:r w:rsidRPr="006345B7">
        <w:rPr>
          <w:rFonts w:ascii="Segoe UI" w:hAnsi="Segoe UI" w:cs="Segoe UI"/>
          <w:color w:val="000099"/>
          <w:sz w:val="20"/>
          <w:szCs w:val="20"/>
        </w:rPr>
        <w:t xml:space="preserve">La guerre en Iran provoque un choc majeur sur l’économie maldivienne, en pesant sur le tourisme et en faisant bondir la facture énergétique, ce qui devrait ramener la croissance </w:t>
      </w:r>
      <w:r w:rsidR="008B4450">
        <w:rPr>
          <w:rFonts w:ascii="Segoe UI" w:hAnsi="Segoe UI" w:cs="Segoe UI"/>
          <w:color w:val="000099"/>
          <w:sz w:val="20"/>
          <w:szCs w:val="20"/>
        </w:rPr>
        <w:t xml:space="preserve">au mieux </w:t>
      </w:r>
      <w:r w:rsidRPr="006345B7">
        <w:rPr>
          <w:rFonts w:ascii="Segoe UI" w:hAnsi="Segoe UI" w:cs="Segoe UI"/>
          <w:color w:val="000099"/>
          <w:sz w:val="20"/>
          <w:szCs w:val="20"/>
        </w:rPr>
        <w:t xml:space="preserve">à 1 % en 2026 et creuser le déficit courant à 17,6 % du PIB. </w:t>
      </w:r>
      <w:r w:rsidR="001661C1" w:rsidRPr="001661C1">
        <w:rPr>
          <w:rFonts w:ascii="Segoe UI" w:hAnsi="Segoe UI" w:cs="Segoe UI"/>
          <w:color w:val="000099"/>
          <w:sz w:val="20"/>
          <w:szCs w:val="20"/>
        </w:rPr>
        <w:t>La dégradation de la position extérieure accentue la pénurie de dollars, qui pénalise les entreprises importatrices</w:t>
      </w:r>
      <w:r w:rsidR="00C23338">
        <w:rPr>
          <w:rFonts w:ascii="Segoe UI" w:hAnsi="Segoe UI" w:cs="Segoe UI"/>
          <w:color w:val="000099"/>
          <w:sz w:val="20"/>
          <w:szCs w:val="20"/>
        </w:rPr>
        <w:t xml:space="preserve">. </w:t>
      </w:r>
      <w:r w:rsidR="00F64A67">
        <w:rPr>
          <w:rFonts w:ascii="Segoe UI" w:hAnsi="Segoe UI" w:cs="Segoe UI"/>
          <w:color w:val="000099"/>
          <w:sz w:val="20"/>
          <w:szCs w:val="20"/>
        </w:rPr>
        <w:t xml:space="preserve">Si les Maldives ont réussi à éviter le défaut financier </w:t>
      </w:r>
      <w:r w:rsidRPr="006345B7">
        <w:rPr>
          <w:rFonts w:ascii="Segoe UI" w:hAnsi="Segoe UI" w:cs="Segoe UI"/>
          <w:color w:val="000099"/>
          <w:sz w:val="20"/>
          <w:szCs w:val="20"/>
        </w:rPr>
        <w:t>en 2026, la dette reste insoutenable et les autorités doivent multiplier les expédients pour couvrir leurs besoins de financement</w:t>
      </w:r>
      <w:r>
        <w:rPr>
          <w:rFonts w:ascii="Segoe UI" w:hAnsi="Segoe UI" w:cs="Segoe UI"/>
          <w:color w:val="000099"/>
          <w:sz w:val="20"/>
          <w:szCs w:val="20"/>
        </w:rPr>
        <w:t xml:space="preserve">. </w:t>
      </w:r>
    </w:p>
    <w:bookmarkEnd w:id="1"/>
    <w:p w14:paraId="76F1B08D" w14:textId="553FF2D4" w:rsidR="00726320" w:rsidRPr="00E517D1" w:rsidRDefault="00035FBC" w:rsidP="00B24B30">
      <w:pPr>
        <w:spacing w:before="120" w:line="240" w:lineRule="auto"/>
        <w:ind w:left="-283" w:right="-283"/>
        <w:jc w:val="both"/>
        <w:rPr>
          <w:rFonts w:ascii="Segoe UI" w:hAnsi="Segoe UI" w:cs="Segoe UI"/>
          <w:color w:val="000099"/>
          <w:sz w:val="20"/>
          <w:szCs w:val="20"/>
        </w:rPr>
      </w:pPr>
      <w:r w:rsidRPr="00035FBC">
        <w:rPr>
          <w:rFonts w:ascii="Segoe UI" w:hAnsi="Segoe UI" w:cs="Segoe UI"/>
          <w:b/>
          <w:bCs/>
          <w:color w:val="000099"/>
        </w:rPr>
        <w:t>L</w:t>
      </w:r>
      <w:r w:rsidR="00200312">
        <w:rPr>
          <w:rFonts w:ascii="Segoe UI" w:hAnsi="Segoe UI" w:cs="Segoe UI"/>
          <w:b/>
          <w:bCs/>
          <w:color w:val="000099"/>
        </w:rPr>
        <w:t>es conséquences de la guerre en Iran accentuent les déséquilibres macroéconomiques</w:t>
      </w:r>
      <w:r w:rsidRPr="00035FBC">
        <w:rPr>
          <w:rFonts w:ascii="Segoe UI" w:hAnsi="Segoe UI" w:cs="Segoe UI"/>
          <w:b/>
          <w:bCs/>
          <w:color w:val="000099"/>
        </w:rPr>
        <w:t>.</w:t>
      </w:r>
    </w:p>
    <w:bookmarkEnd w:id="2"/>
    <w:p w14:paraId="64A8B5BC" w14:textId="5E5AE540" w:rsidR="004F2595" w:rsidRDefault="00B56DB6" w:rsidP="004F2595">
      <w:pPr>
        <w:spacing w:before="120" w:line="240" w:lineRule="auto"/>
        <w:ind w:left="-283" w:right="-283"/>
        <w:jc w:val="both"/>
        <w:rPr>
          <w:rFonts w:ascii="Segoe UI" w:hAnsi="Segoe UI" w:cs="Segoe UI"/>
          <w:sz w:val="20"/>
          <w:szCs w:val="20"/>
        </w:rPr>
      </w:pPr>
      <w:r w:rsidRPr="00B56DB6">
        <w:rPr>
          <w:rFonts w:ascii="Segoe UI" w:hAnsi="Segoe UI" w:cs="Segoe UI"/>
          <w:b/>
          <w:bCs/>
          <w:sz w:val="20"/>
          <w:szCs w:val="20"/>
        </w:rPr>
        <w:t>Les Maldives sont une des économies les plus vulnérables en Asie aux conséquences de la guerre en Iran</w:t>
      </w:r>
      <w:r w:rsidRPr="00B56DB6">
        <w:rPr>
          <w:rFonts w:ascii="Segoe UI" w:hAnsi="Segoe UI" w:cs="Segoe UI"/>
          <w:sz w:val="20"/>
          <w:szCs w:val="20"/>
        </w:rPr>
        <w:t xml:space="preserve">. D’abord à cause de </w:t>
      </w:r>
      <w:r w:rsidR="00682661">
        <w:rPr>
          <w:rFonts w:ascii="Segoe UI" w:hAnsi="Segoe UI" w:cs="Segoe UI"/>
          <w:sz w:val="20"/>
          <w:szCs w:val="20"/>
        </w:rPr>
        <w:t>leur</w:t>
      </w:r>
      <w:r w:rsidRPr="00B56DB6">
        <w:rPr>
          <w:rFonts w:ascii="Segoe UI" w:hAnsi="Segoe UI" w:cs="Segoe UI"/>
          <w:sz w:val="20"/>
          <w:szCs w:val="20"/>
        </w:rPr>
        <w:t xml:space="preserve"> dépendance au tourisme, qui représente 30% du PIB en valeur directe et plus de la moitié avec ses retombées indirectes, ainsi que le tiers au moins des recettes budgétaires. Si la chute des arrivées aux premiers mois de la guerre s’est partiellement résorbée à partir du printemps, on enregistre entre le 1</w:t>
      </w:r>
      <w:r w:rsidRPr="00B56DB6">
        <w:rPr>
          <w:rFonts w:ascii="Segoe UI" w:hAnsi="Segoe UI" w:cs="Segoe UI"/>
          <w:sz w:val="20"/>
          <w:szCs w:val="20"/>
          <w:vertAlign w:val="superscript"/>
        </w:rPr>
        <w:t>er</w:t>
      </w:r>
      <w:r w:rsidRPr="00B56DB6">
        <w:rPr>
          <w:rFonts w:ascii="Segoe UI" w:hAnsi="Segoe UI" w:cs="Segoe UI"/>
          <w:sz w:val="20"/>
          <w:szCs w:val="20"/>
        </w:rPr>
        <w:t xml:space="preserve"> mars et le 31 août une baisse de 10,1% des arrivées</w:t>
      </w:r>
      <w:r w:rsidRPr="00B56DB6">
        <w:rPr>
          <w:rFonts w:ascii="Segoe UI" w:hAnsi="Segoe UI" w:cs="Segoe UI"/>
          <w:sz w:val="20"/>
          <w:szCs w:val="20"/>
          <w:vertAlign w:val="superscript"/>
        </w:rPr>
        <w:endnoteReference w:id="1"/>
      </w:r>
      <w:r w:rsidRPr="00B56DB6">
        <w:rPr>
          <w:rFonts w:ascii="Segoe UI" w:hAnsi="Segoe UI" w:cs="Segoe UI"/>
          <w:sz w:val="20"/>
          <w:szCs w:val="20"/>
        </w:rPr>
        <w:t xml:space="preserve"> en glissement annuel. La guerre affecte ensuite l’économie maldivienne par le canal énergétique, compte tenu de la dépendance presque complète de l’archipel aux hydrocarbures importés pour la production d’électricité et les transports.</w:t>
      </w:r>
      <w:r w:rsidR="00BB4201">
        <w:rPr>
          <w:rFonts w:ascii="Segoe UI" w:hAnsi="Segoe UI" w:cs="Segoe UI"/>
          <w:sz w:val="20"/>
          <w:szCs w:val="20"/>
        </w:rPr>
        <w:t xml:space="preserve"> Selon les dernières données disponibles,</w:t>
      </w:r>
      <w:r w:rsidRPr="00B56DB6">
        <w:rPr>
          <w:rFonts w:ascii="Segoe UI" w:hAnsi="Segoe UI" w:cs="Segoe UI"/>
          <w:sz w:val="20"/>
          <w:szCs w:val="20"/>
        </w:rPr>
        <w:t xml:space="preserve"> </w:t>
      </w:r>
      <w:r w:rsidR="00BB4201">
        <w:rPr>
          <w:rFonts w:ascii="Segoe UI" w:hAnsi="Segoe UI" w:cs="Segoe UI"/>
          <w:sz w:val="20"/>
          <w:szCs w:val="20"/>
        </w:rPr>
        <w:t>e</w:t>
      </w:r>
      <w:r w:rsidRPr="00B56DB6">
        <w:rPr>
          <w:rFonts w:ascii="Segoe UI" w:hAnsi="Segoe UI" w:cs="Segoe UI"/>
          <w:sz w:val="20"/>
          <w:szCs w:val="20"/>
        </w:rPr>
        <w:t>ntre le 1</w:t>
      </w:r>
      <w:r w:rsidRPr="00B56DB6">
        <w:rPr>
          <w:rFonts w:ascii="Segoe UI" w:hAnsi="Segoe UI" w:cs="Segoe UI"/>
          <w:sz w:val="20"/>
          <w:szCs w:val="20"/>
          <w:vertAlign w:val="superscript"/>
        </w:rPr>
        <w:t>er</w:t>
      </w:r>
      <w:r w:rsidRPr="00B56DB6">
        <w:rPr>
          <w:rFonts w:ascii="Segoe UI" w:hAnsi="Segoe UI" w:cs="Segoe UI"/>
          <w:sz w:val="20"/>
          <w:szCs w:val="20"/>
        </w:rPr>
        <w:t xml:space="preserve"> mars et le 31 août, la facture pétrolière a augmenté de 99,4%, soit un surcoût de 333 MUSD (environ 4% du PIB). </w:t>
      </w:r>
    </w:p>
    <w:p w14:paraId="382F4F42" w14:textId="31F90FA2" w:rsidR="00D76448" w:rsidRPr="00C71BD3" w:rsidRDefault="004F2595" w:rsidP="00512704">
      <w:pPr>
        <w:spacing w:before="120" w:line="240" w:lineRule="auto"/>
        <w:ind w:left="-283" w:right="-283"/>
        <w:jc w:val="both"/>
        <w:rPr>
          <w:rFonts w:ascii="Segoe UI" w:hAnsi="Segoe UI" w:cs="Segoe UI"/>
          <w:sz w:val="20"/>
          <w:szCs w:val="20"/>
        </w:rPr>
      </w:pPr>
      <w:r w:rsidRPr="004F2595">
        <w:rPr>
          <w:rFonts w:ascii="Segoe UI" w:hAnsi="Segoe UI" w:cs="Segoe UI"/>
          <w:b/>
          <w:bCs/>
          <w:sz w:val="20"/>
          <w:szCs w:val="20"/>
        </w:rPr>
        <w:t xml:space="preserve">Un fort ralentissement de la croissance est attendu en 2026. </w:t>
      </w:r>
      <w:r w:rsidRPr="004F2595">
        <w:rPr>
          <w:rFonts w:ascii="Segoe UI" w:hAnsi="Segoe UI" w:cs="Segoe UI"/>
          <w:sz w:val="20"/>
          <w:szCs w:val="20"/>
        </w:rPr>
        <w:t xml:space="preserve">Après avoir atteint 5,4% en 2025, elle devrait se limiter à 1% cette année, selon l’estimation la plus optimiste qui repose sur l’hypothèse d’un rebond des arrivées touristiques au dernier trimestre 2026. </w:t>
      </w:r>
      <w:r w:rsidR="00FA5B1D">
        <w:rPr>
          <w:rFonts w:ascii="Segoe UI" w:hAnsi="Segoe UI" w:cs="Segoe UI"/>
          <w:sz w:val="20"/>
          <w:szCs w:val="20"/>
        </w:rPr>
        <w:t>L</w:t>
      </w:r>
      <w:r w:rsidRPr="004F2595">
        <w:rPr>
          <w:rFonts w:ascii="Segoe UI" w:hAnsi="Segoe UI" w:cs="Segoe UI"/>
          <w:sz w:val="20"/>
          <w:szCs w:val="20"/>
        </w:rPr>
        <w:t>a dégradation du secteur de la pêche</w:t>
      </w:r>
      <w:r w:rsidR="001921B4">
        <w:rPr>
          <w:rStyle w:val="Appeldenotedefin"/>
          <w:rFonts w:ascii="Segoe UI" w:hAnsi="Segoe UI" w:cs="Segoe UI"/>
          <w:sz w:val="20"/>
          <w:szCs w:val="20"/>
        </w:rPr>
        <w:endnoteReference w:id="2"/>
      </w:r>
      <w:r w:rsidRPr="004F2595">
        <w:rPr>
          <w:rFonts w:ascii="Segoe UI" w:hAnsi="Segoe UI" w:cs="Segoe UI"/>
          <w:sz w:val="20"/>
          <w:szCs w:val="20"/>
        </w:rPr>
        <w:t>,</w:t>
      </w:r>
      <w:r w:rsidR="00FA5B1D">
        <w:rPr>
          <w:rFonts w:ascii="Segoe UI" w:hAnsi="Segoe UI" w:cs="Segoe UI"/>
          <w:sz w:val="20"/>
          <w:szCs w:val="20"/>
        </w:rPr>
        <w:t xml:space="preserve"> </w:t>
      </w:r>
      <w:r w:rsidR="00FA5B1D" w:rsidRPr="004F2595">
        <w:rPr>
          <w:rFonts w:ascii="Segoe UI" w:hAnsi="Segoe UI" w:cs="Segoe UI"/>
          <w:sz w:val="20"/>
          <w:szCs w:val="20"/>
        </w:rPr>
        <w:t>avec une baisse de 49,7 % des exportations en glissement annuel</w:t>
      </w:r>
      <w:r w:rsidRPr="004F2595">
        <w:rPr>
          <w:rFonts w:ascii="Segoe UI" w:hAnsi="Segoe UI" w:cs="Segoe UI"/>
          <w:sz w:val="20"/>
          <w:szCs w:val="20"/>
        </w:rPr>
        <w:t xml:space="preserve">, pèse aussi sur l’activité. </w:t>
      </w:r>
      <w:r w:rsidRPr="004F2595">
        <w:rPr>
          <w:rFonts w:ascii="Segoe UI" w:hAnsi="Segoe UI" w:cs="Segoe UI"/>
          <w:b/>
          <w:bCs/>
          <w:sz w:val="20"/>
          <w:szCs w:val="20"/>
        </w:rPr>
        <w:t>L’inflation devrait accélérer à au moins 4 % en 2026</w:t>
      </w:r>
      <w:r w:rsidRPr="004F2595">
        <w:rPr>
          <w:rFonts w:ascii="Segoe UI" w:hAnsi="Segoe UI" w:cs="Segoe UI"/>
          <w:sz w:val="20"/>
          <w:szCs w:val="20"/>
        </w:rPr>
        <w:t>, sous l’effet de l’inflation importée, mais devrait être contenue par la hausse massive des subventions</w:t>
      </w:r>
      <w:r w:rsidR="005661EC">
        <w:rPr>
          <w:rStyle w:val="Appeldenotedefin"/>
          <w:rFonts w:ascii="Segoe UI" w:hAnsi="Segoe UI" w:cs="Segoe UI"/>
          <w:sz w:val="20"/>
          <w:szCs w:val="20"/>
        </w:rPr>
        <w:endnoteReference w:id="3"/>
      </w:r>
      <w:r w:rsidRPr="004F2595">
        <w:rPr>
          <w:rFonts w:ascii="Segoe UI" w:hAnsi="Segoe UI" w:cs="Segoe UI"/>
          <w:sz w:val="20"/>
          <w:szCs w:val="20"/>
        </w:rPr>
        <w:t>, notamment sur l’électricité.</w:t>
      </w:r>
      <w:r w:rsidR="00512704">
        <w:rPr>
          <w:rFonts w:ascii="Segoe UI" w:hAnsi="Segoe UI" w:cs="Segoe UI"/>
          <w:sz w:val="20"/>
          <w:szCs w:val="20"/>
        </w:rPr>
        <w:t xml:space="preserve"> </w:t>
      </w:r>
      <w:r w:rsidR="00D76448" w:rsidRPr="00D76448">
        <w:rPr>
          <w:rFonts w:ascii="Segoe UI" w:hAnsi="Segoe UI" w:cs="Segoe UI"/>
          <w:b/>
          <w:bCs/>
          <w:sz w:val="20"/>
          <w:szCs w:val="20"/>
        </w:rPr>
        <w:t>La hausse des subventions devrait creuser le déficit primaire à 10,9% du PIB et le déficit budgétaire à 13,4% en 2026</w:t>
      </w:r>
      <w:r w:rsidR="00D76448" w:rsidRPr="00D76448">
        <w:rPr>
          <w:rFonts w:ascii="Segoe UI" w:hAnsi="Segoe UI" w:cs="Segoe UI"/>
          <w:sz w:val="20"/>
          <w:szCs w:val="20"/>
        </w:rPr>
        <w:t>. L’Etat avait affiché une consolidation budgétaire relative en 2025, permettant d’obtenir un excédent primaire de 0,4% du PIB et un déficit budgétaire réduit à 3,6% du PIB</w:t>
      </w:r>
      <w:r w:rsidR="007D3DEF">
        <w:rPr>
          <w:rFonts w:ascii="Segoe UI" w:hAnsi="Segoe UI" w:cs="Segoe UI"/>
          <w:sz w:val="20"/>
          <w:szCs w:val="20"/>
        </w:rPr>
        <w:t xml:space="preserve">, </w:t>
      </w:r>
      <w:r w:rsidR="00A77A8C">
        <w:rPr>
          <w:rFonts w:ascii="Segoe UI" w:hAnsi="Segoe UI" w:cs="Segoe UI"/>
          <w:sz w:val="20"/>
          <w:szCs w:val="20"/>
        </w:rPr>
        <w:t>résult</w:t>
      </w:r>
      <w:r w:rsidR="007D3DEF">
        <w:rPr>
          <w:rFonts w:ascii="Segoe UI" w:hAnsi="Segoe UI" w:cs="Segoe UI"/>
          <w:sz w:val="20"/>
          <w:szCs w:val="20"/>
        </w:rPr>
        <w:t>ant</w:t>
      </w:r>
      <w:r w:rsidR="00A77A8C">
        <w:rPr>
          <w:rFonts w:ascii="Segoe UI" w:hAnsi="Segoe UI" w:cs="Segoe UI"/>
          <w:sz w:val="20"/>
          <w:szCs w:val="20"/>
        </w:rPr>
        <w:t xml:space="preserve"> </w:t>
      </w:r>
      <w:r w:rsidR="00D76448" w:rsidRPr="00D76448">
        <w:rPr>
          <w:rFonts w:ascii="Segoe UI" w:hAnsi="Segoe UI" w:cs="Segoe UI"/>
          <w:sz w:val="20"/>
          <w:szCs w:val="20"/>
        </w:rPr>
        <w:t xml:space="preserve">essentiellement </w:t>
      </w:r>
      <w:r w:rsidR="00A77A8C">
        <w:rPr>
          <w:rFonts w:ascii="Segoe UI" w:hAnsi="Segoe UI" w:cs="Segoe UI"/>
          <w:sz w:val="20"/>
          <w:szCs w:val="20"/>
        </w:rPr>
        <w:t>d’</w:t>
      </w:r>
      <w:r w:rsidR="00D76448" w:rsidRPr="00D76448">
        <w:rPr>
          <w:rFonts w:ascii="Segoe UI" w:hAnsi="Segoe UI" w:cs="Segoe UI"/>
          <w:sz w:val="20"/>
          <w:szCs w:val="20"/>
        </w:rPr>
        <w:t>artifices comptables</w:t>
      </w:r>
      <w:r w:rsidR="00BD3DA2">
        <w:rPr>
          <w:rStyle w:val="Appeldenotedefin"/>
          <w:rFonts w:ascii="Segoe UI" w:hAnsi="Segoe UI" w:cs="Segoe UI"/>
          <w:sz w:val="20"/>
          <w:szCs w:val="20"/>
        </w:rPr>
        <w:endnoteReference w:id="4"/>
      </w:r>
      <w:r w:rsidR="00A77A8C">
        <w:rPr>
          <w:rFonts w:ascii="Segoe UI" w:hAnsi="Segoe UI" w:cs="Segoe UI"/>
          <w:sz w:val="20"/>
          <w:szCs w:val="20"/>
        </w:rPr>
        <w:t>.</w:t>
      </w:r>
      <w:r w:rsidR="00D76448" w:rsidRPr="00D76448">
        <w:rPr>
          <w:rFonts w:ascii="Segoe UI" w:hAnsi="Segoe UI" w:cs="Segoe UI"/>
          <w:sz w:val="20"/>
          <w:szCs w:val="20"/>
        </w:rPr>
        <w:t xml:space="preserve"> En plus de ces</w:t>
      </w:r>
      <w:r w:rsidR="00CB7F3E">
        <w:rPr>
          <w:rFonts w:ascii="Segoe UI" w:hAnsi="Segoe UI" w:cs="Segoe UI"/>
          <w:sz w:val="20"/>
          <w:szCs w:val="20"/>
        </w:rPr>
        <w:t xml:space="preserve"> opérations hors-bilan</w:t>
      </w:r>
      <w:r w:rsidR="00D76448" w:rsidRPr="00D76448">
        <w:rPr>
          <w:rFonts w:ascii="Segoe UI" w:hAnsi="Segoe UI" w:cs="Segoe UI"/>
          <w:sz w:val="20"/>
          <w:szCs w:val="20"/>
        </w:rPr>
        <w:t>, la baisse apparente des dépenses publiques en 2025 masquait</w:t>
      </w:r>
      <w:r w:rsidR="006F0011">
        <w:rPr>
          <w:rFonts w:ascii="Segoe UI" w:hAnsi="Segoe UI" w:cs="Segoe UI"/>
          <w:sz w:val="20"/>
          <w:szCs w:val="20"/>
        </w:rPr>
        <w:t xml:space="preserve"> </w:t>
      </w:r>
      <w:r w:rsidR="00D76448" w:rsidRPr="00D76448">
        <w:rPr>
          <w:rFonts w:ascii="Segoe UI" w:hAnsi="Segoe UI" w:cs="Segoe UI"/>
          <w:sz w:val="20"/>
          <w:szCs w:val="20"/>
        </w:rPr>
        <w:t>des arriérés envers les contractants</w:t>
      </w:r>
      <w:r w:rsidR="0033568F">
        <w:rPr>
          <w:rStyle w:val="Appeldenotedefin"/>
          <w:rFonts w:ascii="Segoe UI" w:hAnsi="Segoe UI" w:cs="Segoe UI"/>
          <w:sz w:val="20"/>
          <w:szCs w:val="20"/>
        </w:rPr>
        <w:endnoteReference w:id="5"/>
      </w:r>
      <w:r w:rsidR="00CE4AC3">
        <w:rPr>
          <w:rFonts w:ascii="Segoe UI" w:hAnsi="Segoe UI" w:cs="Segoe UI"/>
          <w:sz w:val="20"/>
          <w:szCs w:val="20"/>
        </w:rPr>
        <w:t>,</w:t>
      </w:r>
      <w:r w:rsidR="00D5452D">
        <w:rPr>
          <w:rFonts w:ascii="Segoe UI" w:hAnsi="Segoe UI" w:cs="Segoe UI"/>
          <w:sz w:val="20"/>
          <w:szCs w:val="20"/>
        </w:rPr>
        <w:t xml:space="preserve"> </w:t>
      </w:r>
      <w:r w:rsidR="00430EDF">
        <w:rPr>
          <w:rFonts w:ascii="Segoe UI" w:hAnsi="Segoe UI" w:cs="Segoe UI"/>
          <w:sz w:val="20"/>
          <w:szCs w:val="20"/>
        </w:rPr>
        <w:t xml:space="preserve">qui </w:t>
      </w:r>
      <w:r w:rsidR="00430EDF" w:rsidRPr="00D76448">
        <w:rPr>
          <w:rFonts w:ascii="Segoe UI" w:hAnsi="Segoe UI" w:cs="Segoe UI"/>
          <w:sz w:val="20"/>
          <w:szCs w:val="20"/>
        </w:rPr>
        <w:t>continuent de s’accumuler en 2026</w:t>
      </w:r>
      <w:r w:rsidR="008B68A0">
        <w:rPr>
          <w:rFonts w:ascii="Segoe UI" w:hAnsi="Segoe UI" w:cs="Segoe UI"/>
          <w:sz w:val="20"/>
          <w:szCs w:val="20"/>
        </w:rPr>
        <w:t>.</w:t>
      </w:r>
      <w:r w:rsidR="00EF1E5A">
        <w:rPr>
          <w:rFonts w:ascii="Segoe UI" w:hAnsi="Segoe UI" w:cs="Segoe UI"/>
          <w:sz w:val="20"/>
          <w:szCs w:val="20"/>
        </w:rPr>
        <w:t xml:space="preserve"> </w:t>
      </w:r>
      <w:r w:rsidR="00872795" w:rsidRPr="00872795">
        <w:rPr>
          <w:rFonts w:ascii="Segoe UI" w:hAnsi="Segoe UI" w:cs="Segoe UI"/>
          <w:sz w:val="20"/>
          <w:szCs w:val="20"/>
        </w:rPr>
        <w:t>L’État cherche à accroître les recettes fiscales tirées du tourisme, notamment en taxant les marges des agences de voyages étrangères commercialisant des séjours aux Maldives, un dispositif extraterritorial dont l’entrée en vigueur a été reportée à avril 2027 sous la pression des professionnels du secteur.</w:t>
      </w:r>
    </w:p>
    <w:p w14:paraId="2B13394C" w14:textId="1213A937" w:rsidR="000770AB" w:rsidRPr="000770AB" w:rsidRDefault="00412D06" w:rsidP="009E7BDA">
      <w:pPr>
        <w:spacing w:before="120" w:line="240" w:lineRule="auto"/>
        <w:ind w:left="-283" w:right="-283"/>
        <w:jc w:val="both"/>
        <w:rPr>
          <w:rFonts w:ascii="Segoe UI" w:hAnsi="Segoe UI" w:cs="Segoe UI"/>
          <w:sz w:val="20"/>
          <w:szCs w:val="20"/>
        </w:rPr>
      </w:pPr>
      <w:r w:rsidRPr="00412D06">
        <w:rPr>
          <w:rFonts w:ascii="Segoe UI" w:hAnsi="Segoe UI" w:cs="Segoe UI"/>
          <w:b/>
          <w:bCs/>
          <w:sz w:val="20"/>
          <w:szCs w:val="20"/>
        </w:rPr>
        <w:t>Les conséquences de la guerre en Iran ont nettement dégradé la position extérieure des Maldives</w:t>
      </w:r>
      <w:r w:rsidRPr="00412D06">
        <w:rPr>
          <w:rFonts w:ascii="Segoe UI" w:hAnsi="Segoe UI" w:cs="Segoe UI"/>
          <w:sz w:val="20"/>
          <w:szCs w:val="20"/>
        </w:rPr>
        <w:t>. Le FMI prévoit un creusement du déficit courant à 17,6% du PIB en 2026, pour 6,1% en 2025, à cause du renchérissement des importations d’hydrocarbures et de la baisse des recettes touristiques. Ce déficit, auquel s’ajoute le remboursement de plusieurs échéances de la dette extérieure,</w:t>
      </w:r>
      <w:r w:rsidR="00C23338">
        <w:rPr>
          <w:rFonts w:ascii="Segoe UI" w:hAnsi="Segoe UI" w:cs="Segoe UI"/>
          <w:sz w:val="20"/>
          <w:szCs w:val="20"/>
        </w:rPr>
        <w:t xml:space="preserve"> a</w:t>
      </w:r>
      <w:r w:rsidRPr="00412D06">
        <w:rPr>
          <w:rFonts w:ascii="Segoe UI" w:hAnsi="Segoe UI" w:cs="Segoe UI"/>
          <w:sz w:val="20"/>
          <w:szCs w:val="20"/>
        </w:rPr>
        <w:t xml:space="preserve"> réduit les réserves nettes à 200,6 MUSD</w:t>
      </w:r>
      <w:r w:rsidR="00520B99">
        <w:rPr>
          <w:rFonts w:ascii="Segoe UI" w:hAnsi="Segoe UI" w:cs="Segoe UI"/>
          <w:sz w:val="20"/>
          <w:szCs w:val="20"/>
        </w:rPr>
        <w:t xml:space="preserve"> fin août</w:t>
      </w:r>
      <w:r w:rsidRPr="00412D06">
        <w:rPr>
          <w:rFonts w:ascii="Segoe UI" w:hAnsi="Segoe UI" w:cs="Segoe UI"/>
          <w:sz w:val="20"/>
          <w:szCs w:val="20"/>
        </w:rPr>
        <w:t xml:space="preserve"> soit environ deux semaines d’importations, alors qu’elles s’étaient redressées à 409 MUSD en mars 2026. </w:t>
      </w:r>
      <w:r w:rsidR="009E7BDA">
        <w:rPr>
          <w:rFonts w:ascii="Segoe UI" w:hAnsi="Segoe UI" w:cs="Segoe UI"/>
          <w:sz w:val="20"/>
          <w:szCs w:val="20"/>
        </w:rPr>
        <w:t xml:space="preserve">En conséquence, </w:t>
      </w:r>
      <w:r w:rsidR="008E59BA" w:rsidRPr="008E59BA">
        <w:rPr>
          <w:rFonts w:ascii="Segoe UI" w:hAnsi="Segoe UI" w:cs="Segoe UI"/>
          <w:sz w:val="20"/>
          <w:szCs w:val="20"/>
        </w:rPr>
        <w:t xml:space="preserve">la capacité de la </w:t>
      </w:r>
      <w:r w:rsidR="005D6D5F">
        <w:rPr>
          <w:rFonts w:ascii="Segoe UI" w:hAnsi="Segoe UI" w:cs="Segoe UI"/>
          <w:sz w:val="20"/>
          <w:szCs w:val="20"/>
        </w:rPr>
        <w:t>Maldives</w:t>
      </w:r>
      <w:r w:rsidR="000861B1">
        <w:rPr>
          <w:rFonts w:ascii="Segoe UI" w:hAnsi="Segoe UI" w:cs="Segoe UI"/>
          <w:sz w:val="20"/>
          <w:szCs w:val="20"/>
        </w:rPr>
        <w:t xml:space="preserve"> </w:t>
      </w:r>
      <w:r w:rsidR="005D6D5F">
        <w:rPr>
          <w:rFonts w:ascii="Segoe UI" w:hAnsi="Segoe UI" w:cs="Segoe UI"/>
          <w:sz w:val="20"/>
          <w:szCs w:val="20"/>
        </w:rPr>
        <w:t xml:space="preserve">Monetary Authority (MMA) </w:t>
      </w:r>
      <w:r w:rsidR="0055632A">
        <w:rPr>
          <w:rFonts w:ascii="Segoe UI" w:hAnsi="Segoe UI" w:cs="Segoe UI"/>
          <w:sz w:val="20"/>
          <w:szCs w:val="20"/>
        </w:rPr>
        <w:t>et la</w:t>
      </w:r>
      <w:r w:rsidR="009E4B07">
        <w:rPr>
          <w:rFonts w:ascii="Segoe UI" w:hAnsi="Segoe UI" w:cs="Segoe UI"/>
          <w:sz w:val="20"/>
          <w:szCs w:val="20"/>
        </w:rPr>
        <w:t xml:space="preserve"> </w:t>
      </w:r>
      <w:r w:rsidR="0055632A">
        <w:rPr>
          <w:rFonts w:ascii="Segoe UI" w:hAnsi="Segoe UI" w:cs="Segoe UI"/>
          <w:sz w:val="20"/>
          <w:szCs w:val="20"/>
        </w:rPr>
        <w:t>Bank of Maldives</w:t>
      </w:r>
      <w:r w:rsidR="008E59BA" w:rsidRPr="008E59BA">
        <w:rPr>
          <w:rFonts w:ascii="Segoe UI" w:hAnsi="Segoe UI" w:cs="Segoe UI"/>
          <w:sz w:val="20"/>
          <w:szCs w:val="20"/>
        </w:rPr>
        <w:t xml:space="preserve"> à approvisionner l’économie en dollars par les canaux officiels</w:t>
      </w:r>
      <w:r w:rsidR="00666113">
        <w:rPr>
          <w:rFonts w:ascii="Segoe UI" w:hAnsi="Segoe UI" w:cs="Segoe UI"/>
          <w:sz w:val="20"/>
          <w:szCs w:val="20"/>
        </w:rPr>
        <w:t xml:space="preserve"> s’est réduite, </w:t>
      </w:r>
      <w:r w:rsidR="009E4B07">
        <w:rPr>
          <w:rFonts w:ascii="Segoe UI" w:hAnsi="Segoe UI" w:cs="Segoe UI"/>
          <w:sz w:val="20"/>
          <w:szCs w:val="20"/>
        </w:rPr>
        <w:t>alors</w:t>
      </w:r>
      <w:r w:rsidR="00666113">
        <w:rPr>
          <w:rFonts w:ascii="Segoe UI" w:hAnsi="Segoe UI" w:cs="Segoe UI"/>
          <w:sz w:val="20"/>
          <w:szCs w:val="20"/>
        </w:rPr>
        <w:t xml:space="preserve"> même</w:t>
      </w:r>
      <w:r w:rsidR="009E4B07">
        <w:rPr>
          <w:rFonts w:ascii="Segoe UI" w:hAnsi="Segoe UI" w:cs="Segoe UI"/>
          <w:sz w:val="20"/>
          <w:szCs w:val="20"/>
        </w:rPr>
        <w:t xml:space="preserve"> que la demande</w:t>
      </w:r>
      <w:r w:rsidR="000C6E59">
        <w:rPr>
          <w:rFonts w:ascii="Segoe UI" w:hAnsi="Segoe UI" w:cs="Segoe UI"/>
          <w:sz w:val="20"/>
          <w:szCs w:val="20"/>
        </w:rPr>
        <w:t xml:space="preserve"> de</w:t>
      </w:r>
      <w:r w:rsidR="009E4B07">
        <w:rPr>
          <w:rFonts w:ascii="Segoe UI" w:hAnsi="Segoe UI" w:cs="Segoe UI"/>
          <w:sz w:val="20"/>
          <w:szCs w:val="20"/>
        </w:rPr>
        <w:t xml:space="preserve"> devises pour les importations </w:t>
      </w:r>
      <w:r w:rsidR="00666113">
        <w:rPr>
          <w:rFonts w:ascii="Segoe UI" w:hAnsi="Segoe UI" w:cs="Segoe UI"/>
          <w:sz w:val="20"/>
          <w:szCs w:val="20"/>
        </w:rPr>
        <w:t>augmentait</w:t>
      </w:r>
      <w:r w:rsidR="00F82D30">
        <w:rPr>
          <w:rStyle w:val="Appeldenotedefin"/>
          <w:rFonts w:ascii="Segoe UI" w:hAnsi="Segoe UI" w:cs="Segoe UI"/>
          <w:sz w:val="20"/>
          <w:szCs w:val="20"/>
        </w:rPr>
        <w:endnoteReference w:id="6"/>
      </w:r>
      <w:r w:rsidR="009E7BDA">
        <w:rPr>
          <w:rFonts w:ascii="Segoe UI" w:hAnsi="Segoe UI" w:cs="Segoe UI"/>
          <w:sz w:val="20"/>
          <w:szCs w:val="20"/>
        </w:rPr>
        <w:t xml:space="preserve">, </w:t>
      </w:r>
      <w:r w:rsidR="008611C8">
        <w:rPr>
          <w:rFonts w:ascii="Segoe UI" w:hAnsi="Segoe UI" w:cs="Segoe UI"/>
          <w:sz w:val="20"/>
          <w:szCs w:val="20"/>
        </w:rPr>
        <w:t xml:space="preserve">portant </w:t>
      </w:r>
      <w:r w:rsidR="008E59BA" w:rsidRPr="008E59BA">
        <w:rPr>
          <w:rFonts w:ascii="Segoe UI" w:hAnsi="Segoe UI" w:cs="Segoe UI"/>
          <w:sz w:val="20"/>
          <w:szCs w:val="20"/>
        </w:rPr>
        <w:t xml:space="preserve">le taux de change sur le marché parallèle </w:t>
      </w:r>
      <w:r w:rsidR="009E7BDA">
        <w:rPr>
          <w:rFonts w:ascii="Segoe UI" w:hAnsi="Segoe UI" w:cs="Segoe UI"/>
          <w:sz w:val="20"/>
          <w:szCs w:val="20"/>
        </w:rPr>
        <w:t xml:space="preserve">à </w:t>
      </w:r>
      <w:r w:rsidR="008E59BA" w:rsidRPr="008E59BA">
        <w:rPr>
          <w:rFonts w:ascii="Segoe UI" w:hAnsi="Segoe UI" w:cs="Segoe UI"/>
          <w:sz w:val="20"/>
          <w:szCs w:val="20"/>
        </w:rPr>
        <w:t xml:space="preserve">22 MVR pour 1 USD en août, soit </w:t>
      </w:r>
      <w:r w:rsidR="00F671AB">
        <w:rPr>
          <w:rFonts w:ascii="Segoe UI" w:hAnsi="Segoe UI" w:cs="Segoe UI"/>
          <w:sz w:val="20"/>
          <w:szCs w:val="20"/>
        </w:rPr>
        <w:t>près</w:t>
      </w:r>
      <w:r w:rsidR="008E59BA" w:rsidRPr="008E59BA">
        <w:rPr>
          <w:rFonts w:ascii="Segoe UI" w:hAnsi="Segoe UI" w:cs="Segoe UI"/>
          <w:sz w:val="20"/>
          <w:szCs w:val="20"/>
        </w:rPr>
        <w:t xml:space="preserve"> de 50 % au-dessus du taux officiel. Pour réduire cet écart et préserver la crédibilité de l’ancrage de la rufiyaa au dollar, les autorités ont intensifié la lutte contre le marché parallèle</w:t>
      </w:r>
      <w:r w:rsidR="00844A40">
        <w:rPr>
          <w:rStyle w:val="Appeldenotedefin"/>
          <w:rFonts w:ascii="Segoe UI" w:hAnsi="Segoe UI" w:cs="Segoe UI"/>
          <w:sz w:val="20"/>
          <w:szCs w:val="20"/>
        </w:rPr>
        <w:endnoteReference w:id="7"/>
      </w:r>
      <w:r w:rsidR="0072292F">
        <w:rPr>
          <w:rFonts w:ascii="Segoe UI" w:hAnsi="Segoe UI" w:cs="Segoe UI"/>
          <w:sz w:val="20"/>
          <w:szCs w:val="20"/>
        </w:rPr>
        <w:t xml:space="preserve">, parvenant à stabiliser la </w:t>
      </w:r>
      <w:r w:rsidR="00CB0AB8">
        <w:rPr>
          <w:rFonts w:ascii="Segoe UI" w:hAnsi="Segoe UI" w:cs="Segoe UI"/>
          <w:sz w:val="20"/>
          <w:szCs w:val="20"/>
        </w:rPr>
        <w:t>devise locale</w:t>
      </w:r>
      <w:r w:rsidR="008E59BA" w:rsidRPr="008E59BA">
        <w:rPr>
          <w:rFonts w:ascii="Segoe UI" w:hAnsi="Segoe UI" w:cs="Segoe UI"/>
          <w:sz w:val="20"/>
          <w:szCs w:val="20"/>
        </w:rPr>
        <w:t>.</w:t>
      </w:r>
      <w:r w:rsidR="0000628F">
        <w:rPr>
          <w:rFonts w:ascii="Segoe UI" w:hAnsi="Segoe UI" w:cs="Segoe UI"/>
          <w:sz w:val="20"/>
          <w:szCs w:val="20"/>
        </w:rPr>
        <w:t xml:space="preserve"> </w:t>
      </w:r>
      <w:r w:rsidR="00060493">
        <w:rPr>
          <w:rFonts w:ascii="Segoe UI" w:hAnsi="Segoe UI" w:cs="Segoe UI"/>
          <w:sz w:val="20"/>
          <w:szCs w:val="20"/>
        </w:rPr>
        <w:t xml:space="preserve">En parallèle </w:t>
      </w:r>
      <w:r w:rsidR="000770AB" w:rsidRPr="000770AB">
        <w:rPr>
          <w:rFonts w:ascii="Segoe UI" w:hAnsi="Segoe UI" w:cs="Segoe UI"/>
          <w:sz w:val="20"/>
          <w:szCs w:val="20"/>
        </w:rPr>
        <w:t xml:space="preserve">la MMA a porté de 20% à 40 % la part des recettes mensuelles en devises que les complexes touristiques </w:t>
      </w:r>
      <w:r w:rsidR="000770AB" w:rsidRPr="000770AB">
        <w:rPr>
          <w:rFonts w:ascii="Segoe UI" w:hAnsi="Segoe UI" w:cs="Segoe UI"/>
          <w:sz w:val="20"/>
          <w:szCs w:val="20"/>
        </w:rPr>
        <w:lastRenderedPageBreak/>
        <w:t>doivent convertir en rufiyaa auprès des banques commerciales</w:t>
      </w:r>
      <w:r w:rsidR="000770AB" w:rsidRPr="000770AB">
        <w:rPr>
          <w:rFonts w:ascii="Segoe UI" w:hAnsi="Segoe UI" w:cs="Segoe UI"/>
          <w:sz w:val="20"/>
          <w:szCs w:val="20"/>
          <w:vertAlign w:val="superscript"/>
        </w:rPr>
        <w:endnoteReference w:id="8"/>
      </w:r>
      <w:r w:rsidR="00060493">
        <w:rPr>
          <w:rFonts w:ascii="Segoe UI" w:hAnsi="Segoe UI" w:cs="Segoe UI"/>
          <w:sz w:val="20"/>
          <w:szCs w:val="20"/>
        </w:rPr>
        <w:t xml:space="preserve"> </w:t>
      </w:r>
      <w:r w:rsidR="000770AB" w:rsidRPr="000770AB">
        <w:rPr>
          <w:rFonts w:ascii="Segoe UI" w:hAnsi="Segoe UI" w:cs="Segoe UI"/>
          <w:sz w:val="20"/>
          <w:szCs w:val="20"/>
        </w:rPr>
        <w:t>à compter du 1er septembre</w:t>
      </w:r>
      <w:r w:rsidR="00060493">
        <w:rPr>
          <w:rFonts w:ascii="Segoe UI" w:hAnsi="Segoe UI" w:cs="Segoe UI"/>
          <w:sz w:val="20"/>
          <w:szCs w:val="20"/>
        </w:rPr>
        <w:t>, afin d’atténuer la pénurie de dollars</w:t>
      </w:r>
      <w:r w:rsidR="00060493">
        <w:rPr>
          <w:rStyle w:val="Appeldenotedefin"/>
          <w:rFonts w:ascii="Segoe UI" w:hAnsi="Segoe UI" w:cs="Segoe UI"/>
          <w:sz w:val="20"/>
          <w:szCs w:val="20"/>
        </w:rPr>
        <w:endnoteReference w:id="9"/>
      </w:r>
      <w:r w:rsidR="00060493">
        <w:rPr>
          <w:rFonts w:ascii="Segoe UI" w:hAnsi="Segoe UI" w:cs="Segoe UI"/>
          <w:sz w:val="20"/>
          <w:szCs w:val="20"/>
        </w:rPr>
        <w:t xml:space="preserve">. </w:t>
      </w:r>
    </w:p>
    <w:p w14:paraId="394BD093" w14:textId="429C0005" w:rsidR="00A2153D" w:rsidRPr="00E6541D" w:rsidRDefault="007B4E37" w:rsidP="009D5E46">
      <w:pPr>
        <w:spacing w:before="120" w:line="240" w:lineRule="auto"/>
        <w:ind w:left="-283" w:right="-283"/>
        <w:jc w:val="both"/>
        <w:rPr>
          <w:rFonts w:ascii="Segoe UI" w:hAnsi="Segoe UI" w:cs="Segoe UI"/>
          <w:sz w:val="20"/>
          <w:szCs w:val="20"/>
        </w:rPr>
      </w:pPr>
      <w:r w:rsidRPr="007B4E37">
        <w:rPr>
          <w:rFonts w:ascii="Segoe UI" w:hAnsi="Segoe UI" w:cs="Segoe UI"/>
          <w:b/>
          <w:bCs/>
          <w:color w:val="000099"/>
        </w:rPr>
        <w:t>Le franchissement du pic d’échéances de 2026 ne rétablit pas la soutenabilité de la dette maldivienne</w:t>
      </w:r>
      <w:r>
        <w:rPr>
          <w:rFonts w:ascii="Segoe UI" w:hAnsi="Segoe UI" w:cs="Segoe UI"/>
          <w:b/>
          <w:bCs/>
          <w:color w:val="000099"/>
        </w:rPr>
        <w:t xml:space="preserve">. </w:t>
      </w:r>
    </w:p>
    <w:p w14:paraId="642C2FA6" w14:textId="10D95DE6" w:rsidR="00102140" w:rsidRDefault="00B66580" w:rsidP="00102140">
      <w:pPr>
        <w:spacing w:before="120" w:line="240" w:lineRule="auto"/>
        <w:ind w:left="-283" w:right="-283"/>
        <w:jc w:val="both"/>
        <w:rPr>
          <w:rFonts w:ascii="Segoe UI" w:hAnsi="Segoe UI" w:cs="Segoe UI"/>
          <w:sz w:val="20"/>
          <w:szCs w:val="20"/>
        </w:rPr>
      </w:pPr>
      <w:r w:rsidRPr="00B66580">
        <w:rPr>
          <w:rFonts w:ascii="Segoe UI" w:hAnsi="Segoe UI" w:cs="Segoe UI"/>
          <w:b/>
          <w:bCs/>
          <w:sz w:val="20"/>
          <w:szCs w:val="20"/>
        </w:rPr>
        <w:t>Les</w:t>
      </w:r>
      <w:r>
        <w:rPr>
          <w:rFonts w:ascii="Segoe UI" w:hAnsi="Segoe UI" w:cs="Segoe UI"/>
          <w:sz w:val="20"/>
          <w:szCs w:val="20"/>
        </w:rPr>
        <w:t xml:space="preserve"> </w:t>
      </w:r>
      <w:r w:rsidRPr="00B66580">
        <w:rPr>
          <w:rFonts w:ascii="Segoe UI" w:hAnsi="Segoe UI" w:cs="Segoe UI"/>
          <w:b/>
          <w:bCs/>
          <w:sz w:val="20"/>
          <w:szCs w:val="20"/>
        </w:rPr>
        <w:t>Maldives ont évité le défaut, face au pic historique d’1</w:t>
      </w:r>
      <w:r w:rsidR="00374AFA">
        <w:rPr>
          <w:rFonts w:ascii="Segoe UI" w:hAnsi="Segoe UI" w:cs="Segoe UI"/>
          <w:b/>
          <w:bCs/>
          <w:sz w:val="20"/>
          <w:szCs w:val="20"/>
        </w:rPr>
        <w:t>,6</w:t>
      </w:r>
      <w:r w:rsidRPr="00B66580">
        <w:rPr>
          <w:rFonts w:ascii="Segoe UI" w:hAnsi="Segoe UI" w:cs="Segoe UI"/>
          <w:b/>
          <w:bCs/>
          <w:sz w:val="20"/>
          <w:szCs w:val="20"/>
        </w:rPr>
        <w:t xml:space="preserve"> Md</w:t>
      </w:r>
      <w:r w:rsidR="00CF6249">
        <w:rPr>
          <w:rFonts w:ascii="Segoe UI" w:hAnsi="Segoe UI" w:cs="Segoe UI"/>
          <w:b/>
          <w:bCs/>
          <w:sz w:val="20"/>
          <w:szCs w:val="20"/>
        </w:rPr>
        <w:t xml:space="preserve"> USD</w:t>
      </w:r>
      <w:r w:rsidRPr="00B66580">
        <w:rPr>
          <w:rFonts w:ascii="Segoe UI" w:hAnsi="Segoe UI" w:cs="Segoe UI"/>
          <w:b/>
          <w:bCs/>
          <w:sz w:val="20"/>
          <w:szCs w:val="20"/>
        </w:rPr>
        <w:t xml:space="preserve"> </w:t>
      </w:r>
      <w:r w:rsidR="00DD3992">
        <w:rPr>
          <w:rFonts w:ascii="Segoe UI" w:hAnsi="Segoe UI" w:cs="Segoe UI"/>
          <w:b/>
          <w:bCs/>
          <w:sz w:val="20"/>
          <w:szCs w:val="20"/>
        </w:rPr>
        <w:t xml:space="preserve">de service de la </w:t>
      </w:r>
      <w:r w:rsidRPr="00B66580">
        <w:rPr>
          <w:rFonts w:ascii="Segoe UI" w:hAnsi="Segoe UI" w:cs="Segoe UI"/>
          <w:b/>
          <w:bCs/>
          <w:sz w:val="20"/>
          <w:szCs w:val="20"/>
        </w:rPr>
        <w:t>dette extérieure en 2026</w:t>
      </w:r>
      <w:r w:rsidRPr="00B66580">
        <w:rPr>
          <w:rFonts w:ascii="Segoe UI" w:hAnsi="Segoe UI" w:cs="Segoe UI"/>
          <w:sz w:val="20"/>
          <w:szCs w:val="20"/>
        </w:rPr>
        <w:t xml:space="preserve">. </w:t>
      </w:r>
      <w:r w:rsidRPr="00BB554A">
        <w:rPr>
          <w:rFonts w:ascii="Segoe UI" w:hAnsi="Segoe UI" w:cs="Segoe UI"/>
          <w:b/>
          <w:bCs/>
          <w:sz w:val="20"/>
          <w:szCs w:val="20"/>
        </w:rPr>
        <w:t>Une partie des échéances a été remboursée</w:t>
      </w:r>
      <w:r w:rsidRPr="00B66580">
        <w:rPr>
          <w:rFonts w:ascii="Segoe UI" w:hAnsi="Segoe UI" w:cs="Segoe UI"/>
          <w:sz w:val="20"/>
          <w:szCs w:val="20"/>
        </w:rPr>
        <w:t xml:space="preserve"> en prélevant sur les réserves officielles et le fonds souverain : le sukuk de 500 MUSD </w:t>
      </w:r>
      <w:r w:rsidR="004C3075">
        <w:rPr>
          <w:rFonts w:ascii="Segoe UI" w:hAnsi="Segoe UI" w:cs="Segoe UI"/>
          <w:sz w:val="20"/>
          <w:szCs w:val="20"/>
        </w:rPr>
        <w:t xml:space="preserve">arrivé à échéance en avril </w:t>
      </w:r>
      <w:r w:rsidRPr="00B66580">
        <w:rPr>
          <w:rFonts w:ascii="Segoe UI" w:hAnsi="Segoe UI" w:cs="Segoe UI"/>
          <w:sz w:val="20"/>
          <w:szCs w:val="20"/>
        </w:rPr>
        <w:t>a été remboursé intégralement et un prêt de 100 MUSD a été remboursé à Cargill Finance en mars. A cela s’ajoute le remboursement</w:t>
      </w:r>
      <w:r w:rsidR="00FA5E9C">
        <w:rPr>
          <w:rFonts w:ascii="Segoe UI" w:hAnsi="Segoe UI" w:cs="Segoe UI"/>
          <w:sz w:val="20"/>
          <w:szCs w:val="20"/>
        </w:rPr>
        <w:t xml:space="preserve"> </w:t>
      </w:r>
      <w:r w:rsidRPr="00B66580">
        <w:rPr>
          <w:rFonts w:ascii="Segoe UI" w:hAnsi="Segoe UI" w:cs="Segoe UI"/>
          <w:sz w:val="20"/>
          <w:szCs w:val="20"/>
        </w:rPr>
        <w:t xml:space="preserve">en deux tranches de 50 MUSD, </w:t>
      </w:r>
      <w:r w:rsidR="00397F71" w:rsidRPr="00B66580">
        <w:rPr>
          <w:rFonts w:ascii="Segoe UI" w:hAnsi="Segoe UI" w:cs="Segoe UI"/>
          <w:sz w:val="20"/>
          <w:szCs w:val="20"/>
        </w:rPr>
        <w:t>en mai puis en septembre</w:t>
      </w:r>
      <w:r w:rsidR="00397F71">
        <w:rPr>
          <w:rFonts w:ascii="Segoe UI" w:hAnsi="Segoe UI" w:cs="Segoe UI"/>
          <w:sz w:val="20"/>
          <w:szCs w:val="20"/>
        </w:rPr>
        <w:t>,</w:t>
      </w:r>
      <w:r w:rsidR="00397F71" w:rsidRPr="00B66580">
        <w:rPr>
          <w:rFonts w:ascii="Segoe UI" w:hAnsi="Segoe UI" w:cs="Segoe UI"/>
          <w:sz w:val="20"/>
          <w:szCs w:val="20"/>
        </w:rPr>
        <w:t xml:space="preserve"> </w:t>
      </w:r>
      <w:r w:rsidRPr="00B66580">
        <w:rPr>
          <w:rFonts w:ascii="Segoe UI" w:hAnsi="Segoe UI" w:cs="Segoe UI"/>
          <w:sz w:val="20"/>
          <w:szCs w:val="20"/>
        </w:rPr>
        <w:t xml:space="preserve">de bons du Trésor souscrits par la State Bank of India, qui étaient comptabilisés dans la dette intérieure, bien que libellés en </w:t>
      </w:r>
      <w:r w:rsidR="00975572">
        <w:rPr>
          <w:rFonts w:ascii="Segoe UI" w:hAnsi="Segoe UI" w:cs="Segoe UI"/>
          <w:sz w:val="20"/>
          <w:szCs w:val="20"/>
        </w:rPr>
        <w:t>dollars américains</w:t>
      </w:r>
      <w:r w:rsidRPr="00B66580">
        <w:rPr>
          <w:rFonts w:ascii="Segoe UI" w:hAnsi="Segoe UI" w:cs="Segoe UI"/>
          <w:sz w:val="20"/>
          <w:szCs w:val="20"/>
        </w:rPr>
        <w:t xml:space="preserve">. </w:t>
      </w:r>
      <w:r w:rsidRPr="00BB554A">
        <w:rPr>
          <w:rFonts w:ascii="Segoe UI" w:hAnsi="Segoe UI" w:cs="Segoe UI"/>
          <w:b/>
          <w:bCs/>
          <w:sz w:val="20"/>
          <w:szCs w:val="20"/>
        </w:rPr>
        <w:t>Une partie des échéances de 2026 a été reportée</w:t>
      </w:r>
      <w:r w:rsidRPr="00B66580">
        <w:rPr>
          <w:rFonts w:ascii="Segoe UI" w:hAnsi="Segoe UI" w:cs="Segoe UI"/>
          <w:sz w:val="20"/>
          <w:szCs w:val="20"/>
        </w:rPr>
        <w:t xml:space="preserve"> : </w:t>
      </w:r>
      <w:r w:rsidR="00581F85">
        <w:rPr>
          <w:rFonts w:ascii="Segoe UI" w:hAnsi="Segoe UI" w:cs="Segoe UI"/>
          <w:sz w:val="20"/>
          <w:szCs w:val="20"/>
        </w:rPr>
        <w:t xml:space="preserve">les Maldives ont obtenu </w:t>
      </w:r>
      <w:r w:rsidRPr="00B66580">
        <w:rPr>
          <w:rFonts w:ascii="Segoe UI" w:hAnsi="Segoe UI" w:cs="Segoe UI"/>
          <w:sz w:val="20"/>
          <w:szCs w:val="20"/>
        </w:rPr>
        <w:t xml:space="preserve">un report de 5 ans d’une obligation de 100 MUSD détenue par un fonds d’Abu Dhabi, des reports de dette </w:t>
      </w:r>
      <w:r w:rsidR="00581F85">
        <w:rPr>
          <w:rFonts w:ascii="Segoe UI" w:hAnsi="Segoe UI" w:cs="Segoe UI"/>
          <w:sz w:val="20"/>
          <w:szCs w:val="20"/>
        </w:rPr>
        <w:t xml:space="preserve">chinoise </w:t>
      </w:r>
      <w:r w:rsidRPr="00B66580">
        <w:rPr>
          <w:rFonts w:ascii="Segoe UI" w:hAnsi="Segoe UI" w:cs="Segoe UI"/>
          <w:sz w:val="20"/>
          <w:szCs w:val="20"/>
        </w:rPr>
        <w:t>dont les montants n’ont pas été précisés et un remplacement de la ligne de swap indienne de 400 MUSD, réglée à son échéance en mai et remplacée par une ligne de swap d</w:t>
      </w:r>
      <w:r w:rsidR="00D43971">
        <w:rPr>
          <w:rFonts w:ascii="Segoe UI" w:hAnsi="Segoe UI" w:cs="Segoe UI"/>
          <w:sz w:val="20"/>
          <w:szCs w:val="20"/>
        </w:rPr>
        <w:t xml:space="preserve">e </w:t>
      </w:r>
      <w:r w:rsidRPr="00B66580">
        <w:rPr>
          <w:rFonts w:ascii="Segoe UI" w:hAnsi="Segoe UI" w:cs="Segoe UI"/>
          <w:sz w:val="20"/>
          <w:szCs w:val="20"/>
        </w:rPr>
        <w:t xml:space="preserve">30 Mds INR (environ 319 MUSD), réduisant le soutien disponible de 81 MUSD et le rendant moins liquide car libellé en roupies indiennes. </w:t>
      </w:r>
    </w:p>
    <w:p w14:paraId="387C0102" w14:textId="4059149F" w:rsidR="00B00FBE" w:rsidRPr="000A38E5" w:rsidRDefault="00C564F8" w:rsidP="00B00FBE">
      <w:pPr>
        <w:spacing w:before="120" w:line="240" w:lineRule="auto"/>
        <w:ind w:left="-283" w:right="-283"/>
        <w:jc w:val="both"/>
        <w:rPr>
          <w:rFonts w:ascii="Segoe UI" w:hAnsi="Segoe UI" w:cs="Segoe UI"/>
          <w:sz w:val="20"/>
          <w:szCs w:val="20"/>
        </w:rPr>
      </w:pPr>
      <w:r>
        <w:rPr>
          <w:rFonts w:ascii="Segoe UI" w:hAnsi="Segoe UI" w:cs="Segoe UI"/>
          <w:b/>
          <w:bCs/>
          <w:sz w:val="20"/>
          <w:szCs w:val="20"/>
        </w:rPr>
        <w:t xml:space="preserve">La dette reste </w:t>
      </w:r>
      <w:r w:rsidR="00102140" w:rsidRPr="00102140">
        <w:rPr>
          <w:rFonts w:ascii="Segoe UI" w:hAnsi="Segoe UI" w:cs="Segoe UI"/>
          <w:b/>
          <w:bCs/>
          <w:sz w:val="20"/>
          <w:szCs w:val="20"/>
        </w:rPr>
        <w:t>insoutenable</w:t>
      </w:r>
      <w:r w:rsidR="00102140" w:rsidRPr="00102140">
        <w:rPr>
          <w:rFonts w:ascii="Segoe UI" w:hAnsi="Segoe UI" w:cs="Segoe UI"/>
          <w:sz w:val="20"/>
          <w:szCs w:val="20"/>
        </w:rPr>
        <w:t>. Le taux d’endettement public</w:t>
      </w:r>
      <w:r w:rsidR="0088071A">
        <w:rPr>
          <w:rFonts w:ascii="Segoe UI" w:hAnsi="Segoe UI" w:cs="Segoe UI"/>
          <w:sz w:val="20"/>
          <w:szCs w:val="20"/>
        </w:rPr>
        <w:t xml:space="preserve"> </w:t>
      </w:r>
      <w:r w:rsidR="00967E03" w:rsidRPr="00102140">
        <w:rPr>
          <w:rFonts w:ascii="Segoe UI" w:hAnsi="Segoe UI" w:cs="Segoe UI"/>
          <w:sz w:val="20"/>
          <w:szCs w:val="20"/>
        </w:rPr>
        <w:t>devrait</w:t>
      </w:r>
      <w:r w:rsidR="00102140" w:rsidRPr="00102140">
        <w:rPr>
          <w:rFonts w:ascii="Segoe UI" w:hAnsi="Segoe UI" w:cs="Segoe UI"/>
          <w:sz w:val="20"/>
          <w:szCs w:val="20"/>
        </w:rPr>
        <w:t xml:space="preserve"> remonter</w:t>
      </w:r>
      <w:r w:rsidR="001529A0">
        <w:rPr>
          <w:rStyle w:val="Appeldenotedefin"/>
          <w:rFonts w:ascii="Segoe UI" w:hAnsi="Segoe UI" w:cs="Segoe UI"/>
          <w:sz w:val="20"/>
          <w:szCs w:val="20"/>
        </w:rPr>
        <w:endnoteReference w:id="10"/>
      </w:r>
      <w:r w:rsidR="00102140" w:rsidRPr="00102140">
        <w:rPr>
          <w:rFonts w:ascii="Segoe UI" w:hAnsi="Segoe UI" w:cs="Segoe UI"/>
          <w:sz w:val="20"/>
          <w:szCs w:val="20"/>
        </w:rPr>
        <w:t xml:space="preserve"> à 132,2% du PIB en 2026</w:t>
      </w:r>
      <w:r w:rsidR="00D829EB">
        <w:rPr>
          <w:rFonts w:ascii="Segoe UI" w:hAnsi="Segoe UI" w:cs="Segoe UI"/>
          <w:sz w:val="20"/>
          <w:szCs w:val="20"/>
        </w:rPr>
        <w:t>,</w:t>
      </w:r>
      <w:r w:rsidR="00102140" w:rsidRPr="00102140">
        <w:rPr>
          <w:rFonts w:ascii="Segoe UI" w:hAnsi="Segoe UI" w:cs="Segoe UI"/>
          <w:sz w:val="20"/>
          <w:szCs w:val="20"/>
        </w:rPr>
        <w:t xml:space="preserve"> malgré les remboursements de dette extérieure. La baisse de</w:t>
      </w:r>
      <w:r w:rsidR="000F2E4C">
        <w:rPr>
          <w:rFonts w:ascii="Segoe UI" w:hAnsi="Segoe UI" w:cs="Segoe UI"/>
          <w:sz w:val="20"/>
          <w:szCs w:val="20"/>
        </w:rPr>
        <w:t xml:space="preserve"> moitié</w:t>
      </w:r>
      <w:r w:rsidR="00102140" w:rsidRPr="00102140">
        <w:rPr>
          <w:rFonts w:ascii="Segoe UI" w:hAnsi="Segoe UI" w:cs="Segoe UI"/>
          <w:sz w:val="20"/>
          <w:szCs w:val="20"/>
        </w:rPr>
        <w:t xml:space="preserve"> des réserves nettes par rapport à mars dernier, </w:t>
      </w:r>
      <w:r w:rsidR="00F60CD7">
        <w:rPr>
          <w:rFonts w:ascii="Segoe UI" w:hAnsi="Segoe UI" w:cs="Segoe UI"/>
          <w:sz w:val="20"/>
          <w:szCs w:val="20"/>
        </w:rPr>
        <w:t xml:space="preserve">liée à ces </w:t>
      </w:r>
      <w:r w:rsidR="00443F8A">
        <w:rPr>
          <w:rFonts w:ascii="Segoe UI" w:hAnsi="Segoe UI" w:cs="Segoe UI"/>
          <w:sz w:val="20"/>
          <w:szCs w:val="20"/>
        </w:rPr>
        <w:t>échéances</w:t>
      </w:r>
      <w:r w:rsidR="00AF2220">
        <w:rPr>
          <w:rFonts w:ascii="Segoe UI" w:hAnsi="Segoe UI" w:cs="Segoe UI"/>
          <w:sz w:val="20"/>
          <w:szCs w:val="20"/>
        </w:rPr>
        <w:t>,</w:t>
      </w:r>
      <w:r w:rsidR="00102140" w:rsidRPr="00102140">
        <w:rPr>
          <w:rFonts w:ascii="Segoe UI" w:hAnsi="Segoe UI" w:cs="Segoe UI"/>
          <w:sz w:val="20"/>
          <w:szCs w:val="20"/>
        </w:rPr>
        <w:t xml:space="preserve"> limite encore la capacité d’absorption de nouveaux chocs</w:t>
      </w:r>
      <w:r w:rsidR="00B77578">
        <w:rPr>
          <w:rFonts w:ascii="Segoe UI" w:hAnsi="Segoe UI" w:cs="Segoe UI"/>
          <w:sz w:val="20"/>
          <w:szCs w:val="20"/>
        </w:rPr>
        <w:t xml:space="preserve"> sur la croissance, les taux d’intérêt ou les finances publiques. </w:t>
      </w:r>
    </w:p>
    <w:p w14:paraId="153FA2A4" w14:textId="42A0ACCB" w:rsidR="00035FBC" w:rsidRPr="00035FBC" w:rsidRDefault="00B00FBE" w:rsidP="00BB582F">
      <w:pPr>
        <w:spacing w:before="120" w:line="240" w:lineRule="auto"/>
        <w:ind w:left="-283" w:right="-283"/>
        <w:jc w:val="both"/>
        <w:rPr>
          <w:rFonts w:ascii="Segoe UI" w:hAnsi="Segoe UI" w:cs="Segoe UI"/>
          <w:sz w:val="20"/>
          <w:szCs w:val="20"/>
        </w:rPr>
      </w:pPr>
      <w:r w:rsidRPr="00571661">
        <w:rPr>
          <w:rFonts w:ascii="Segoe UI" w:hAnsi="Segoe UI" w:cs="Segoe UI"/>
          <w:b/>
          <w:bCs/>
          <w:sz w:val="20"/>
          <w:szCs w:val="20"/>
        </w:rPr>
        <w:t>Les difficultés de financement s’accentuent, contraignant les autorités à recourir à des</w:t>
      </w:r>
      <w:r w:rsidR="00004A24">
        <w:rPr>
          <w:rFonts w:ascii="Segoe UI" w:hAnsi="Segoe UI" w:cs="Segoe UI"/>
          <w:b/>
          <w:bCs/>
          <w:sz w:val="20"/>
          <w:szCs w:val="20"/>
        </w:rPr>
        <w:t xml:space="preserve"> solutions de court-terme</w:t>
      </w:r>
      <w:r w:rsidRPr="00571661">
        <w:rPr>
          <w:rFonts w:ascii="Segoe UI" w:hAnsi="Segoe UI" w:cs="Segoe UI"/>
          <w:b/>
          <w:bCs/>
          <w:sz w:val="20"/>
          <w:szCs w:val="20"/>
        </w:rPr>
        <w:t>.</w:t>
      </w:r>
      <w:r w:rsidRPr="00B00FBE">
        <w:rPr>
          <w:rFonts w:ascii="Segoe UI" w:hAnsi="Segoe UI" w:cs="Segoe UI"/>
          <w:b/>
          <w:bCs/>
          <w:sz w:val="20"/>
          <w:szCs w:val="20"/>
        </w:rPr>
        <w:t xml:space="preserve"> </w:t>
      </w:r>
      <w:r w:rsidRPr="00B00FBE">
        <w:rPr>
          <w:rFonts w:ascii="Segoe UI" w:hAnsi="Segoe UI" w:cs="Segoe UI"/>
          <w:sz w:val="20"/>
          <w:szCs w:val="20"/>
        </w:rPr>
        <w:t>Si le service de</w:t>
      </w:r>
      <w:r w:rsidR="00071968">
        <w:rPr>
          <w:rFonts w:ascii="Segoe UI" w:hAnsi="Segoe UI" w:cs="Segoe UI"/>
          <w:sz w:val="20"/>
          <w:szCs w:val="20"/>
        </w:rPr>
        <w:t xml:space="preserve"> la</w:t>
      </w:r>
      <w:r w:rsidRPr="00B00FBE">
        <w:rPr>
          <w:rFonts w:ascii="Segoe UI" w:hAnsi="Segoe UI" w:cs="Segoe UI"/>
          <w:sz w:val="20"/>
          <w:szCs w:val="20"/>
        </w:rPr>
        <w:t xml:space="preserve"> dette devrait baisser à 450 MUSD en 2027, le FMI identifie un besoin de financement extérieur de 632 MUSD restant à couvrir sur la période 2026-2028. Or, les options de financement sont de plus en plus limitées : les marchés financiers internationaux sont quasi-fermés, comme en témoigne la perspective, rapportée par la presse, d’un emprunt international à un taux de 14 ou 15% auprès de Cargill Finance; la mise en concurrence des bailleurs chinois et indien</w:t>
      </w:r>
      <w:r w:rsidR="00352C8E">
        <w:rPr>
          <w:rStyle w:val="Appeldenotedefin"/>
          <w:rFonts w:ascii="Segoe UI" w:hAnsi="Segoe UI" w:cs="Segoe UI"/>
          <w:sz w:val="20"/>
          <w:szCs w:val="20"/>
        </w:rPr>
        <w:endnoteReference w:id="11"/>
      </w:r>
      <w:r w:rsidRPr="00B00FBE">
        <w:rPr>
          <w:rFonts w:ascii="Segoe UI" w:hAnsi="Segoe UI" w:cs="Segoe UI"/>
          <w:sz w:val="20"/>
          <w:szCs w:val="20"/>
        </w:rPr>
        <w:t xml:space="preserve"> permet d’obtenir des reports d’échéances, mais plus des nouveaux soutiens financiers ; le système bancaire local a atteint un niveau élevé d’exposition au risque souverain, le portefeuille de titre public</w:t>
      </w:r>
      <w:r w:rsidR="00603694">
        <w:rPr>
          <w:rFonts w:ascii="Segoe UI" w:hAnsi="Segoe UI" w:cs="Segoe UI"/>
          <w:sz w:val="20"/>
          <w:szCs w:val="20"/>
        </w:rPr>
        <w:t>s</w:t>
      </w:r>
      <w:r w:rsidRPr="00B00FBE">
        <w:rPr>
          <w:rFonts w:ascii="Segoe UI" w:hAnsi="Segoe UI" w:cs="Segoe UI"/>
          <w:sz w:val="20"/>
          <w:szCs w:val="20"/>
        </w:rPr>
        <w:t xml:space="preserve"> des banques commerciales dépassant 36% des actifs. </w:t>
      </w:r>
      <w:r w:rsidR="00F264F1" w:rsidRPr="00F264F1">
        <w:rPr>
          <w:rFonts w:ascii="Segoe UI" w:hAnsi="Segoe UI" w:cs="Segoe UI"/>
          <w:sz w:val="20"/>
          <w:szCs w:val="20"/>
        </w:rPr>
        <w:t>Le gouvernement est ainsi co</w:t>
      </w:r>
      <w:r w:rsidR="00F538B7">
        <w:rPr>
          <w:rFonts w:ascii="Segoe UI" w:hAnsi="Segoe UI" w:cs="Segoe UI"/>
          <w:sz w:val="20"/>
          <w:szCs w:val="20"/>
        </w:rPr>
        <w:t>ntraint</w:t>
      </w:r>
      <w:r w:rsidR="00F264F1" w:rsidRPr="00F264F1">
        <w:rPr>
          <w:rFonts w:ascii="Segoe UI" w:hAnsi="Segoe UI" w:cs="Segoe UI"/>
          <w:sz w:val="20"/>
          <w:szCs w:val="20"/>
        </w:rPr>
        <w:t xml:space="preserve"> à rechercher des solutions de financement alternatives</w:t>
      </w:r>
      <w:r w:rsidR="00F264F1">
        <w:rPr>
          <w:rFonts w:ascii="Segoe UI" w:hAnsi="Segoe UI" w:cs="Segoe UI"/>
          <w:sz w:val="20"/>
          <w:szCs w:val="20"/>
        </w:rPr>
        <w:t xml:space="preserve">. </w:t>
      </w:r>
      <w:r w:rsidRPr="00B00FBE">
        <w:rPr>
          <w:rFonts w:ascii="Segoe UI" w:hAnsi="Segoe UI" w:cs="Segoe UI"/>
          <w:sz w:val="20"/>
          <w:szCs w:val="20"/>
        </w:rPr>
        <w:t>La Banque mondiale et l</w:t>
      </w:r>
      <w:r w:rsidR="00F31507">
        <w:rPr>
          <w:rFonts w:ascii="Segoe UI" w:hAnsi="Segoe UI" w:cs="Segoe UI"/>
          <w:sz w:val="20"/>
          <w:szCs w:val="20"/>
        </w:rPr>
        <w:t>a</w:t>
      </w:r>
      <w:r w:rsidRPr="00B00FBE">
        <w:rPr>
          <w:rFonts w:ascii="Segoe UI" w:hAnsi="Segoe UI" w:cs="Segoe UI"/>
          <w:sz w:val="20"/>
          <w:szCs w:val="20"/>
        </w:rPr>
        <w:t xml:space="preserve"> BAsD ont chacune annoncé un financement d’urgence de 50 MUSD pour couvrir les besoins d’importations d’hydrocarbures</w:t>
      </w:r>
      <w:r w:rsidRPr="00B00FBE">
        <w:rPr>
          <w:rFonts w:ascii="Segoe UI" w:hAnsi="Segoe UI" w:cs="Segoe UI"/>
          <w:sz w:val="20"/>
          <w:szCs w:val="20"/>
          <w:vertAlign w:val="superscript"/>
        </w:rPr>
        <w:endnoteReference w:id="12"/>
      </w:r>
      <w:r w:rsidRPr="00B00FBE">
        <w:rPr>
          <w:rFonts w:ascii="Segoe UI" w:hAnsi="Segoe UI" w:cs="Segoe UI"/>
          <w:sz w:val="20"/>
          <w:szCs w:val="20"/>
        </w:rPr>
        <w:t>. Un accord de principe avec la Malaisie a été annoncé en septembre, pour mettre en place une ligne de swap de devises de 100 MUSD. Des représentants de Bank of Maldives</w:t>
      </w:r>
      <w:r w:rsidR="00874401">
        <w:rPr>
          <w:rFonts w:ascii="Segoe UI" w:hAnsi="Segoe UI" w:cs="Segoe UI"/>
          <w:sz w:val="20"/>
          <w:szCs w:val="20"/>
        </w:rPr>
        <w:t xml:space="preserve"> </w:t>
      </w:r>
      <w:r w:rsidRPr="00B00FBE">
        <w:rPr>
          <w:rFonts w:ascii="Segoe UI" w:hAnsi="Segoe UI" w:cs="Segoe UI"/>
          <w:sz w:val="20"/>
          <w:szCs w:val="20"/>
        </w:rPr>
        <w:t>ont</w:t>
      </w:r>
      <w:r w:rsidR="002E487C">
        <w:rPr>
          <w:rFonts w:ascii="Segoe UI" w:hAnsi="Segoe UI" w:cs="Segoe UI"/>
          <w:sz w:val="20"/>
          <w:szCs w:val="20"/>
        </w:rPr>
        <w:t xml:space="preserve"> </w:t>
      </w:r>
      <w:r w:rsidRPr="00B00FBE">
        <w:rPr>
          <w:rFonts w:ascii="Segoe UI" w:hAnsi="Segoe UI" w:cs="Segoe UI"/>
          <w:sz w:val="20"/>
          <w:szCs w:val="20"/>
        </w:rPr>
        <w:t xml:space="preserve">aussi démarché des investisseurs institutionnels à Hong-Kong et à Londres en avril dernier afin d’émettre un nouveau sukuk de 300 MUSD. Enfin, une opération obligataire impliquant le Pension Office a été menée en juillet dernier. </w:t>
      </w:r>
    </w:p>
    <w:p w14:paraId="1B538881" w14:textId="4A16E399" w:rsidR="00410D48" w:rsidRDefault="00130B3C" w:rsidP="00410D48">
      <w:pPr>
        <w:spacing w:before="120" w:line="240" w:lineRule="auto"/>
        <w:ind w:left="-283" w:right="-283"/>
        <w:jc w:val="both"/>
        <w:rPr>
          <w:rFonts w:ascii="Segoe UI" w:hAnsi="Segoe UI" w:cs="Segoe UI"/>
          <w:sz w:val="20"/>
          <w:szCs w:val="20"/>
        </w:rPr>
      </w:pPr>
      <w:r w:rsidRPr="00130B3C">
        <w:rPr>
          <w:rFonts w:ascii="Segoe UI" w:hAnsi="Segoe UI" w:cs="Segoe UI"/>
          <w:b/>
          <w:bCs/>
          <w:sz w:val="20"/>
          <w:szCs w:val="20"/>
        </w:rPr>
        <w:t xml:space="preserve">Les Maldives misent sur un nouveau projet </w:t>
      </w:r>
      <w:r w:rsidR="00FC1919">
        <w:rPr>
          <w:rFonts w:ascii="Segoe UI" w:hAnsi="Segoe UI" w:cs="Segoe UI"/>
          <w:b/>
          <w:bCs/>
          <w:sz w:val="20"/>
          <w:szCs w:val="20"/>
        </w:rPr>
        <w:t xml:space="preserve">d’envergure </w:t>
      </w:r>
      <w:r w:rsidRPr="00130B3C">
        <w:rPr>
          <w:rFonts w:ascii="Segoe UI" w:hAnsi="Segoe UI" w:cs="Segoe UI"/>
          <w:b/>
          <w:bCs/>
          <w:sz w:val="20"/>
          <w:szCs w:val="20"/>
        </w:rPr>
        <w:t xml:space="preserve">pour développer l’économie. </w:t>
      </w:r>
      <w:r w:rsidRPr="00130B3C">
        <w:rPr>
          <w:rFonts w:ascii="Segoe UI" w:hAnsi="Segoe UI" w:cs="Segoe UI"/>
          <w:sz w:val="20"/>
          <w:szCs w:val="20"/>
        </w:rPr>
        <w:t>Le gouvernement a confié en septembre le développement du vaste projet de remblaiement de Ras Malé au promoteur immobil</w:t>
      </w:r>
      <w:r w:rsidR="00603694">
        <w:rPr>
          <w:rFonts w:ascii="Segoe UI" w:hAnsi="Segoe UI" w:cs="Segoe UI"/>
          <w:sz w:val="20"/>
          <w:szCs w:val="20"/>
        </w:rPr>
        <w:t>ier</w:t>
      </w:r>
      <w:r w:rsidRPr="00130B3C">
        <w:rPr>
          <w:rFonts w:ascii="Segoe UI" w:hAnsi="Segoe UI" w:cs="Segoe UI"/>
          <w:sz w:val="20"/>
          <w:szCs w:val="20"/>
        </w:rPr>
        <w:t xml:space="preserve"> émirati Eagle Hills. Annoncé par phase</w:t>
      </w:r>
      <w:r w:rsidR="001559A6">
        <w:rPr>
          <w:rFonts w:ascii="Segoe UI" w:hAnsi="Segoe UI" w:cs="Segoe UI"/>
          <w:sz w:val="20"/>
          <w:szCs w:val="20"/>
        </w:rPr>
        <w:t>s</w:t>
      </w:r>
      <w:r w:rsidRPr="00130B3C">
        <w:rPr>
          <w:rFonts w:ascii="Segoe UI" w:hAnsi="Segoe UI" w:cs="Segoe UI"/>
          <w:sz w:val="20"/>
          <w:szCs w:val="20"/>
        </w:rPr>
        <w:t xml:space="preserve"> à partir de 2027, il prévoit la création d’un nouveau pôle urbain et touristique de 500 ha, comprenant notamment des logements, des infrastructures hôtelières, commerciales et de loisirs ainsi qu’une marina. </w:t>
      </w:r>
      <w:r w:rsidR="00E44874" w:rsidRPr="00E44874">
        <w:rPr>
          <w:rFonts w:ascii="Segoe UI" w:hAnsi="Segoe UI" w:cs="Segoe UI"/>
          <w:sz w:val="20"/>
          <w:szCs w:val="20"/>
        </w:rPr>
        <w:t xml:space="preserve">Le promoteur préfinancerait 5 000 logements destinés aux Maldiviens, que l’État rachèterait ensuite grâce aux revenus générés par </w:t>
      </w:r>
      <w:r w:rsidRPr="00130B3C">
        <w:rPr>
          <w:rFonts w:ascii="Segoe UI" w:hAnsi="Segoe UI" w:cs="Segoe UI"/>
          <w:sz w:val="20"/>
          <w:szCs w:val="20"/>
        </w:rPr>
        <w:t>le projet</w:t>
      </w:r>
      <w:r w:rsidRPr="00130B3C">
        <w:rPr>
          <w:rFonts w:ascii="Segoe UI" w:hAnsi="Segoe UI" w:cs="Segoe UI"/>
          <w:sz w:val="20"/>
          <w:szCs w:val="20"/>
          <w:vertAlign w:val="superscript"/>
        </w:rPr>
        <w:endnoteReference w:id="13"/>
      </w:r>
      <w:r w:rsidRPr="00130B3C">
        <w:rPr>
          <w:rFonts w:ascii="Segoe UI" w:hAnsi="Segoe UI" w:cs="Segoe UI"/>
          <w:sz w:val="20"/>
          <w:szCs w:val="20"/>
        </w:rPr>
        <w:t xml:space="preserve">. </w:t>
      </w:r>
      <w:r w:rsidR="006754C7">
        <w:rPr>
          <w:rFonts w:ascii="Segoe UI" w:hAnsi="Segoe UI" w:cs="Segoe UI"/>
          <w:sz w:val="20"/>
          <w:szCs w:val="20"/>
        </w:rPr>
        <w:t>L</w:t>
      </w:r>
      <w:r w:rsidRPr="00130B3C">
        <w:rPr>
          <w:rFonts w:ascii="Segoe UI" w:hAnsi="Segoe UI" w:cs="Segoe UI"/>
          <w:sz w:val="20"/>
          <w:szCs w:val="20"/>
        </w:rPr>
        <w:t>es perspectives</w:t>
      </w:r>
      <w:r w:rsidR="006754C7">
        <w:rPr>
          <w:rFonts w:ascii="Segoe UI" w:hAnsi="Segoe UI" w:cs="Segoe UI"/>
          <w:sz w:val="20"/>
          <w:szCs w:val="20"/>
        </w:rPr>
        <w:t xml:space="preserve"> de </w:t>
      </w:r>
      <w:r w:rsidR="00FF6EBB">
        <w:rPr>
          <w:rFonts w:ascii="Segoe UI" w:hAnsi="Segoe UI" w:cs="Segoe UI"/>
          <w:sz w:val="20"/>
          <w:szCs w:val="20"/>
        </w:rPr>
        <w:t>c</w:t>
      </w:r>
      <w:r w:rsidR="006754C7">
        <w:rPr>
          <w:rFonts w:ascii="Segoe UI" w:hAnsi="Segoe UI" w:cs="Segoe UI"/>
          <w:sz w:val="20"/>
          <w:szCs w:val="20"/>
        </w:rPr>
        <w:t>e projet</w:t>
      </w:r>
      <w:r w:rsidRPr="00130B3C">
        <w:rPr>
          <w:rFonts w:ascii="Segoe UI" w:hAnsi="Segoe UI" w:cs="Segoe UI"/>
          <w:sz w:val="20"/>
          <w:szCs w:val="20"/>
        </w:rPr>
        <w:t xml:space="preserve"> apparaissent</w:t>
      </w:r>
      <w:r w:rsidR="006754C7">
        <w:rPr>
          <w:rFonts w:ascii="Segoe UI" w:hAnsi="Segoe UI" w:cs="Segoe UI"/>
          <w:sz w:val="20"/>
          <w:szCs w:val="20"/>
        </w:rPr>
        <w:t xml:space="preserve"> </w:t>
      </w:r>
      <w:r w:rsidRPr="00130B3C">
        <w:rPr>
          <w:rFonts w:ascii="Segoe UI" w:hAnsi="Segoe UI" w:cs="Segoe UI"/>
          <w:sz w:val="20"/>
          <w:szCs w:val="20"/>
        </w:rPr>
        <w:t>plus crédibles que celles de la zone franche financière de 8,8 Mds USD qui semble aujourd’hui au point mort, notamment en raison de l’implication d’un promoteur international expérimenté. Au-delà des projections spectaculaires (12 à 20 Mds USD d’IDE, soit</w:t>
      </w:r>
      <w:r w:rsidR="00B2180E">
        <w:rPr>
          <w:rFonts w:ascii="Segoe UI" w:hAnsi="Segoe UI" w:cs="Segoe UI"/>
          <w:sz w:val="20"/>
          <w:szCs w:val="20"/>
        </w:rPr>
        <w:t xml:space="preserve"> </w:t>
      </w:r>
      <w:r w:rsidRPr="00130B3C">
        <w:rPr>
          <w:rFonts w:ascii="Segoe UI" w:hAnsi="Segoe UI" w:cs="Segoe UI"/>
          <w:sz w:val="20"/>
          <w:szCs w:val="20"/>
        </w:rPr>
        <w:t xml:space="preserve">1,5 à 2,6 fois le PIB des Maldives), qui restent à ce stade théoriques, l’enjeu sera de mesurer la valeur effectivement captée par l’économie maldivienne, compte tenu de sa forte dépendance aux importations et à la main-d’œuvre étrangère, susceptibles de limiter les retombées locales du projet. </w:t>
      </w:r>
    </w:p>
    <w:p w14:paraId="365077B8" w14:textId="77777777" w:rsidR="007B560E" w:rsidRDefault="007B560E" w:rsidP="00102C10">
      <w:pPr>
        <w:spacing w:before="120" w:line="240" w:lineRule="auto"/>
        <w:ind w:left="-283" w:right="-283"/>
        <w:jc w:val="center"/>
        <w:rPr>
          <w:rFonts w:ascii="Segoe UI" w:hAnsi="Segoe UI" w:cs="Segoe UI"/>
          <w:color w:val="0000CC"/>
          <w:sz w:val="20"/>
          <w:szCs w:val="20"/>
        </w:rPr>
      </w:pPr>
    </w:p>
    <w:p w14:paraId="4D4E889C" w14:textId="77777777" w:rsidR="007B560E" w:rsidRDefault="007B560E" w:rsidP="00102C10">
      <w:pPr>
        <w:spacing w:before="120" w:line="240" w:lineRule="auto"/>
        <w:ind w:left="-283" w:right="-283"/>
        <w:jc w:val="center"/>
        <w:rPr>
          <w:rFonts w:ascii="Segoe UI" w:hAnsi="Segoe UI" w:cs="Segoe UI"/>
          <w:color w:val="0000CC"/>
          <w:sz w:val="20"/>
          <w:szCs w:val="20"/>
        </w:rPr>
      </w:pPr>
    </w:p>
    <w:p w14:paraId="7E5ABD39" w14:textId="77777777" w:rsidR="007B560E" w:rsidRDefault="007B560E" w:rsidP="00102C10">
      <w:pPr>
        <w:spacing w:before="120" w:line="240" w:lineRule="auto"/>
        <w:ind w:left="-283" w:right="-283"/>
        <w:jc w:val="center"/>
        <w:rPr>
          <w:rFonts w:ascii="Segoe UI" w:hAnsi="Segoe UI" w:cs="Segoe UI"/>
          <w:color w:val="0000CC"/>
          <w:sz w:val="20"/>
          <w:szCs w:val="20"/>
        </w:rPr>
      </w:pPr>
    </w:p>
    <w:p w14:paraId="585D9960" w14:textId="77777777" w:rsidR="007B560E" w:rsidRDefault="007B560E" w:rsidP="00102C10">
      <w:pPr>
        <w:spacing w:before="120" w:line="240" w:lineRule="auto"/>
        <w:ind w:left="-283" w:right="-283"/>
        <w:jc w:val="center"/>
        <w:rPr>
          <w:rFonts w:ascii="Segoe UI" w:hAnsi="Segoe UI" w:cs="Segoe UI"/>
          <w:color w:val="0000CC"/>
          <w:sz w:val="20"/>
          <w:szCs w:val="20"/>
        </w:rPr>
      </w:pPr>
    </w:p>
    <w:p w14:paraId="23E54E72" w14:textId="77777777" w:rsidR="007B560E" w:rsidRDefault="007B560E" w:rsidP="00102C10">
      <w:pPr>
        <w:spacing w:before="120" w:line="240" w:lineRule="auto"/>
        <w:ind w:left="-283" w:right="-283"/>
        <w:jc w:val="center"/>
        <w:rPr>
          <w:rFonts w:ascii="Segoe UI" w:hAnsi="Segoe UI" w:cs="Segoe UI"/>
          <w:color w:val="0000CC"/>
          <w:sz w:val="20"/>
          <w:szCs w:val="20"/>
        </w:rPr>
      </w:pPr>
    </w:p>
    <w:p w14:paraId="36F11421" w14:textId="19D1E25A" w:rsidR="00102C10" w:rsidRPr="00102C10" w:rsidRDefault="00102C10" w:rsidP="00102C10">
      <w:pPr>
        <w:spacing w:before="120" w:line="240" w:lineRule="auto"/>
        <w:ind w:left="-283" w:right="-283"/>
        <w:jc w:val="center"/>
        <w:rPr>
          <w:rFonts w:ascii="Segoe UI" w:hAnsi="Segoe UI" w:cs="Segoe UI"/>
          <w:color w:val="0000CC"/>
          <w:sz w:val="24"/>
          <w:szCs w:val="24"/>
        </w:rPr>
      </w:pPr>
      <w:r>
        <w:rPr>
          <w:rFonts w:ascii="Segoe UI" w:hAnsi="Segoe UI" w:cs="Segoe UI"/>
          <w:color w:val="0000CC"/>
          <w:sz w:val="24"/>
          <w:szCs w:val="24"/>
        </w:rPr>
        <w:lastRenderedPageBreak/>
        <w:t>NOTES DE FIN</w:t>
      </w:r>
    </w:p>
    <w:sectPr w:rsidR="00102C10" w:rsidRPr="00102C10" w:rsidSect="00544FB7">
      <w:footerReference w:type="default" r:id="rId9"/>
      <w:endnotePr>
        <w:numFmt w:val="decimal"/>
      </w:endnotePr>
      <w:pgSz w:w="11906" w:h="16838"/>
      <w:pgMar w:top="709" w:right="1276" w:bottom="709"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5C6D1" w14:textId="77777777" w:rsidR="005A626E" w:rsidRDefault="005A626E" w:rsidP="0044549D">
      <w:pPr>
        <w:spacing w:after="0" w:line="240" w:lineRule="auto"/>
      </w:pPr>
      <w:r>
        <w:separator/>
      </w:r>
    </w:p>
  </w:endnote>
  <w:endnote w:type="continuationSeparator" w:id="0">
    <w:p w14:paraId="6BDE7789" w14:textId="77777777" w:rsidR="005A626E" w:rsidRDefault="005A626E" w:rsidP="0044549D">
      <w:pPr>
        <w:spacing w:after="0" w:line="240" w:lineRule="auto"/>
      </w:pPr>
      <w:r>
        <w:continuationSeparator/>
      </w:r>
    </w:p>
  </w:endnote>
  <w:endnote w:id="1">
    <w:p w14:paraId="4A1B5ADF" w14:textId="795995F5" w:rsidR="00B56DB6" w:rsidRPr="001921B4" w:rsidRDefault="00B56DB6" w:rsidP="001921B4">
      <w:pPr>
        <w:pStyle w:val="Notedefin"/>
        <w:jc w:val="both"/>
        <w:rPr>
          <w:rFonts w:ascii="Segoe UI" w:hAnsi="Segoe UI" w:cs="Segoe UI"/>
        </w:rPr>
      </w:pPr>
      <w:r w:rsidRPr="001921B4">
        <w:rPr>
          <w:rStyle w:val="Appeldenotedefin"/>
          <w:rFonts w:ascii="Segoe UI" w:hAnsi="Segoe UI" w:cs="Segoe UI"/>
        </w:rPr>
        <w:endnoteRef/>
      </w:r>
      <w:r w:rsidRPr="001921B4">
        <w:rPr>
          <w:rFonts w:ascii="Segoe UI" w:hAnsi="Segoe UI" w:cs="Segoe UI"/>
        </w:rPr>
        <w:t xml:space="preserve"> </w:t>
      </w:r>
      <w:r w:rsidR="00102C10" w:rsidRPr="001921B4">
        <w:rPr>
          <w:rFonts w:ascii="Segoe UI" w:hAnsi="Segoe UI" w:cs="Segoe UI"/>
        </w:rPr>
        <w:t xml:space="preserve">La désorganisation des </w:t>
      </w:r>
      <w:r w:rsidRPr="001921B4">
        <w:rPr>
          <w:rFonts w:ascii="Segoe UI" w:hAnsi="Segoe UI" w:cs="Segoe UI"/>
        </w:rPr>
        <w:t>hubs aériens</w:t>
      </w:r>
      <w:r w:rsidR="00102C10" w:rsidRPr="001921B4">
        <w:rPr>
          <w:rFonts w:ascii="Segoe UI" w:hAnsi="Segoe UI" w:cs="Segoe UI"/>
        </w:rPr>
        <w:t xml:space="preserve"> du</w:t>
      </w:r>
      <w:r w:rsidRPr="001921B4">
        <w:rPr>
          <w:rFonts w:ascii="Segoe UI" w:hAnsi="Segoe UI" w:cs="Segoe UI"/>
        </w:rPr>
        <w:t xml:space="preserve"> Golfe</w:t>
      </w:r>
      <w:r w:rsidR="00102C10" w:rsidRPr="001921B4">
        <w:rPr>
          <w:rFonts w:ascii="Segoe UI" w:hAnsi="Segoe UI" w:cs="Segoe UI"/>
        </w:rPr>
        <w:t xml:space="preserve"> a fait chuter les arrivées de</w:t>
      </w:r>
      <w:r w:rsidRPr="001921B4">
        <w:rPr>
          <w:rFonts w:ascii="Segoe UI" w:hAnsi="Segoe UI" w:cs="Segoe UI"/>
        </w:rPr>
        <w:t xml:space="preserve"> touristes européens et américains</w:t>
      </w:r>
      <w:r w:rsidR="00102C10" w:rsidRPr="001921B4">
        <w:rPr>
          <w:rFonts w:ascii="Segoe UI" w:hAnsi="Segoe UI" w:cs="Segoe UI"/>
        </w:rPr>
        <w:t xml:space="preserve"> dont les </w:t>
      </w:r>
      <w:r w:rsidR="00186834" w:rsidRPr="001921B4">
        <w:rPr>
          <w:rFonts w:ascii="Segoe UI" w:hAnsi="Segoe UI" w:cs="Segoe UI"/>
        </w:rPr>
        <w:t xml:space="preserve">dépenses sont les plus élevées en moyenne. </w:t>
      </w:r>
    </w:p>
  </w:endnote>
  <w:endnote w:id="2">
    <w:p w14:paraId="6393E6CA" w14:textId="7FEA2434" w:rsidR="001921B4" w:rsidRPr="001921B4" w:rsidRDefault="001921B4" w:rsidP="001921B4">
      <w:pPr>
        <w:pStyle w:val="Notedefin"/>
        <w:jc w:val="both"/>
        <w:rPr>
          <w:rFonts w:ascii="Segoe UI" w:hAnsi="Segoe UI" w:cs="Segoe UI"/>
        </w:rPr>
      </w:pPr>
      <w:r w:rsidRPr="001921B4">
        <w:rPr>
          <w:rStyle w:val="Appeldenotedefin"/>
          <w:rFonts w:ascii="Segoe UI" w:hAnsi="Segoe UI" w:cs="Segoe UI"/>
        </w:rPr>
        <w:endnoteRef/>
      </w:r>
      <w:r w:rsidRPr="001921B4">
        <w:rPr>
          <w:rFonts w:ascii="Segoe UI" w:hAnsi="Segoe UI" w:cs="Segoe UI"/>
        </w:rPr>
        <w:t xml:space="preserve"> Selon certains observateurs, la baisse des captures résulte notamment du détournement par les pêcheurs du diesel subventionné vers la revente, au détriment de son utilisation pour la pêche. </w:t>
      </w:r>
    </w:p>
  </w:endnote>
  <w:endnote w:id="3">
    <w:p w14:paraId="0DF4448F" w14:textId="766D654F" w:rsidR="005661EC" w:rsidRPr="001921B4" w:rsidRDefault="005661EC" w:rsidP="001921B4">
      <w:pPr>
        <w:pStyle w:val="Notedefin"/>
        <w:jc w:val="both"/>
        <w:rPr>
          <w:rFonts w:ascii="Segoe UI" w:hAnsi="Segoe UI" w:cs="Segoe UI"/>
        </w:rPr>
      </w:pPr>
      <w:r w:rsidRPr="001921B4">
        <w:rPr>
          <w:rStyle w:val="Appeldenotedefin"/>
          <w:rFonts w:ascii="Segoe UI" w:hAnsi="Segoe UI" w:cs="Segoe UI"/>
        </w:rPr>
        <w:endnoteRef/>
      </w:r>
      <w:r w:rsidRPr="001921B4">
        <w:rPr>
          <w:rFonts w:ascii="Segoe UI" w:hAnsi="Segoe UI" w:cs="Segoe UI"/>
        </w:rPr>
        <w:t xml:space="preserve"> </w:t>
      </w:r>
      <w:r w:rsidR="00920691" w:rsidRPr="001921B4">
        <w:rPr>
          <w:rFonts w:ascii="Segoe UI" w:hAnsi="Segoe UI" w:cs="Segoe UI"/>
        </w:rPr>
        <w:t>Les dépenses de subventions</w:t>
      </w:r>
      <w:r w:rsidR="00EC515F" w:rsidRPr="001921B4">
        <w:rPr>
          <w:rFonts w:ascii="Segoe UI" w:hAnsi="Segoe UI" w:cs="Segoe UI"/>
        </w:rPr>
        <w:t xml:space="preserve"> on</w:t>
      </w:r>
      <w:r w:rsidR="000806FE" w:rsidRPr="001921B4">
        <w:rPr>
          <w:rFonts w:ascii="Segoe UI" w:hAnsi="Segoe UI" w:cs="Segoe UI"/>
        </w:rPr>
        <w:t>t</w:t>
      </w:r>
      <w:r w:rsidR="00EC515F" w:rsidRPr="001921B4">
        <w:rPr>
          <w:rFonts w:ascii="Segoe UI" w:hAnsi="Segoe UI" w:cs="Segoe UI"/>
        </w:rPr>
        <w:t xml:space="preserve"> atteint 4,2 Mds MVR au 1er octobre, </w:t>
      </w:r>
      <w:r w:rsidR="00920691" w:rsidRPr="001921B4">
        <w:rPr>
          <w:rFonts w:ascii="Segoe UI" w:hAnsi="Segoe UI" w:cs="Segoe UI"/>
        </w:rPr>
        <w:t>dépass</w:t>
      </w:r>
      <w:r w:rsidR="00EC515F" w:rsidRPr="001921B4">
        <w:rPr>
          <w:rFonts w:ascii="Segoe UI" w:hAnsi="Segoe UI" w:cs="Segoe UI"/>
        </w:rPr>
        <w:t>ant</w:t>
      </w:r>
      <w:r w:rsidR="00920691" w:rsidRPr="001921B4">
        <w:rPr>
          <w:rFonts w:ascii="Segoe UI" w:hAnsi="Segoe UI" w:cs="Segoe UI"/>
        </w:rPr>
        <w:t xml:space="preserve"> de 45 % l'enveloppe budgétaire</w:t>
      </w:r>
      <w:r w:rsidR="00EC515F" w:rsidRPr="001921B4">
        <w:rPr>
          <w:rFonts w:ascii="Segoe UI" w:hAnsi="Segoe UI" w:cs="Segoe UI"/>
        </w:rPr>
        <w:t xml:space="preserve"> de 2,9 Mds MVR</w:t>
      </w:r>
      <w:r w:rsidR="00920691" w:rsidRPr="001921B4">
        <w:rPr>
          <w:rFonts w:ascii="Segoe UI" w:hAnsi="Segoe UI" w:cs="Segoe UI"/>
        </w:rPr>
        <w:t xml:space="preserve"> prévue pour l'ensemble de 2026</w:t>
      </w:r>
      <w:r w:rsidR="00EC515F" w:rsidRPr="001921B4">
        <w:rPr>
          <w:rFonts w:ascii="Segoe UI" w:hAnsi="Segoe UI" w:cs="Segoe UI"/>
        </w:rPr>
        <w:t xml:space="preserve">. </w:t>
      </w:r>
    </w:p>
  </w:endnote>
  <w:endnote w:id="4">
    <w:p w14:paraId="38D785E6" w14:textId="2A1ED658" w:rsidR="00BD3DA2" w:rsidRPr="001921B4" w:rsidRDefault="00BD3DA2" w:rsidP="001921B4">
      <w:pPr>
        <w:pStyle w:val="Notedefin"/>
        <w:jc w:val="both"/>
        <w:rPr>
          <w:rFonts w:ascii="Segoe UI" w:hAnsi="Segoe UI" w:cs="Segoe UI"/>
        </w:rPr>
      </w:pPr>
      <w:r w:rsidRPr="001921B4">
        <w:rPr>
          <w:rStyle w:val="Appeldenotedefin"/>
          <w:rFonts w:ascii="Segoe UI" w:hAnsi="Segoe UI" w:cs="Segoe UI"/>
        </w:rPr>
        <w:endnoteRef/>
      </w:r>
      <w:r w:rsidRPr="001921B4">
        <w:rPr>
          <w:rFonts w:ascii="Segoe UI" w:hAnsi="Segoe UI" w:cs="Segoe UI"/>
        </w:rPr>
        <w:t xml:space="preserve"> La baisse des dépenses en capital en 2025 avait été obtenue par le transfert d’une partie des investissements vers des entreprises publiques sous forme d’injection en capital</w:t>
      </w:r>
      <w:r w:rsidR="006F30C8" w:rsidRPr="001921B4">
        <w:rPr>
          <w:rFonts w:ascii="Segoe UI" w:hAnsi="Segoe UI" w:cs="Segoe UI"/>
        </w:rPr>
        <w:t>, hors-bilan</w:t>
      </w:r>
      <w:r w:rsidRPr="001921B4">
        <w:rPr>
          <w:rFonts w:ascii="Segoe UI" w:hAnsi="Segoe UI" w:cs="Segoe UI"/>
        </w:rPr>
        <w:t xml:space="preserve">. </w:t>
      </w:r>
    </w:p>
  </w:endnote>
  <w:endnote w:id="5">
    <w:p w14:paraId="2B87C7DB" w14:textId="2F60B912" w:rsidR="0033568F" w:rsidRPr="001921B4" w:rsidRDefault="0033568F" w:rsidP="001921B4">
      <w:pPr>
        <w:pStyle w:val="Notedefin"/>
        <w:jc w:val="both"/>
        <w:rPr>
          <w:rFonts w:ascii="Segoe UI" w:hAnsi="Segoe UI" w:cs="Segoe UI"/>
        </w:rPr>
      </w:pPr>
      <w:r w:rsidRPr="001921B4">
        <w:rPr>
          <w:rStyle w:val="Appeldenotedefin"/>
          <w:rFonts w:ascii="Segoe UI" w:hAnsi="Segoe UI" w:cs="Segoe UI"/>
        </w:rPr>
        <w:endnoteRef/>
      </w:r>
      <w:r w:rsidRPr="001921B4">
        <w:rPr>
          <w:rFonts w:ascii="Segoe UI" w:hAnsi="Segoe UI" w:cs="Segoe UI"/>
        </w:rPr>
        <w:t xml:space="preserve"> Le montant de ces arriérés n’est pas public. Ils dépasseraient 1 Md USD, auxquels s’ajouteraient 610 MUSD de retards envers la Housing Development Corporation. De nombreuses remontées d’informations d’entreprises (y compris étrangères) font état du poids de ces arriérés sur leur trésorerie.</w:t>
      </w:r>
    </w:p>
  </w:endnote>
  <w:endnote w:id="6">
    <w:p w14:paraId="35F4E167" w14:textId="14509723" w:rsidR="00F82D30" w:rsidRPr="001921B4" w:rsidRDefault="00F82D30" w:rsidP="001921B4">
      <w:pPr>
        <w:pStyle w:val="Notedefin"/>
        <w:jc w:val="both"/>
        <w:rPr>
          <w:rFonts w:ascii="Segoe UI" w:hAnsi="Segoe UI" w:cs="Segoe UI"/>
        </w:rPr>
      </w:pPr>
      <w:r w:rsidRPr="001921B4">
        <w:rPr>
          <w:rStyle w:val="Appeldenotedefin"/>
          <w:rFonts w:ascii="Segoe UI" w:hAnsi="Segoe UI" w:cs="Segoe UI"/>
        </w:rPr>
        <w:endnoteRef/>
      </w:r>
      <w:r w:rsidRPr="001921B4">
        <w:rPr>
          <w:rFonts w:ascii="Segoe UI" w:hAnsi="Segoe UI" w:cs="Segoe UI"/>
        </w:rPr>
        <w:t xml:space="preserve"> La Bank of Maldives indique avoir vendu 653 MUSD de devises au cours des huit premiers mois de 2026, soit une moyenne de 81,6 MUSD par mois, en hausse de 33,3 % par rapport à la même période de 2025. </w:t>
      </w:r>
    </w:p>
  </w:endnote>
  <w:endnote w:id="7">
    <w:p w14:paraId="33D44687" w14:textId="63FC3558" w:rsidR="00844A40" w:rsidRPr="001921B4" w:rsidRDefault="00844A40" w:rsidP="001921B4">
      <w:pPr>
        <w:pStyle w:val="Notedefin"/>
        <w:jc w:val="both"/>
        <w:rPr>
          <w:rFonts w:ascii="Segoe UI" w:hAnsi="Segoe UI" w:cs="Segoe UI"/>
        </w:rPr>
      </w:pPr>
      <w:r w:rsidRPr="001921B4">
        <w:rPr>
          <w:rStyle w:val="Appeldenotedefin"/>
          <w:rFonts w:ascii="Segoe UI" w:hAnsi="Segoe UI" w:cs="Segoe UI"/>
        </w:rPr>
        <w:endnoteRef/>
      </w:r>
      <w:r w:rsidRPr="001921B4">
        <w:rPr>
          <w:rFonts w:ascii="Segoe UI" w:hAnsi="Segoe UI" w:cs="Segoe UI"/>
        </w:rPr>
        <w:t xml:space="preserve"> Le marché parallèle était jusqu’à présent</w:t>
      </w:r>
      <w:r w:rsidR="007359B3" w:rsidRPr="001921B4">
        <w:rPr>
          <w:rFonts w:ascii="Segoe UI" w:hAnsi="Segoe UI" w:cs="Segoe UI"/>
        </w:rPr>
        <w:t>, bien qu’illégal,</w:t>
      </w:r>
      <w:r w:rsidRPr="001921B4">
        <w:rPr>
          <w:rFonts w:ascii="Segoe UI" w:hAnsi="Segoe UI" w:cs="Segoe UI"/>
        </w:rPr>
        <w:t xml:space="preserve"> toléré dans les faits</w:t>
      </w:r>
      <w:r w:rsidR="007359B3" w:rsidRPr="001921B4">
        <w:rPr>
          <w:rFonts w:ascii="Segoe UI" w:hAnsi="Segoe UI" w:cs="Segoe UI"/>
        </w:rPr>
        <w:t>,</w:t>
      </w:r>
      <w:r w:rsidRPr="001921B4">
        <w:rPr>
          <w:rFonts w:ascii="Segoe UI" w:hAnsi="Segoe UI" w:cs="Segoe UI"/>
        </w:rPr>
        <w:t xml:space="preserve"> car il permettait de contourner le rationnement des devises au taux officiel</w:t>
      </w:r>
      <w:r w:rsidR="007359B3" w:rsidRPr="001921B4">
        <w:rPr>
          <w:rFonts w:ascii="Segoe UI" w:hAnsi="Segoe UI" w:cs="Segoe UI"/>
        </w:rPr>
        <w:t>.</w:t>
      </w:r>
      <w:r w:rsidR="001E173C" w:rsidRPr="001921B4">
        <w:rPr>
          <w:rFonts w:ascii="Segoe UI" w:hAnsi="Segoe UI" w:cs="Segoe UI"/>
        </w:rPr>
        <w:t xml:space="preserve"> Depuis août dernier, la vente, la tentative de vente ou la publicité d’un cours supérieur à celui fixé par la MMA ont été érigés en infraction pénale. Les autorités ont également procédé à plusieurs arrestations médiatisées de changeurs illégaux. </w:t>
      </w:r>
    </w:p>
  </w:endnote>
  <w:endnote w:id="8">
    <w:p w14:paraId="139794F0" w14:textId="10BBA226" w:rsidR="000770AB" w:rsidRPr="001921B4" w:rsidRDefault="000770AB" w:rsidP="001921B4">
      <w:pPr>
        <w:pStyle w:val="Notedefin"/>
        <w:jc w:val="both"/>
        <w:rPr>
          <w:rFonts w:ascii="Segoe UI" w:hAnsi="Segoe UI" w:cs="Segoe UI"/>
        </w:rPr>
      </w:pPr>
      <w:r w:rsidRPr="001921B4">
        <w:rPr>
          <w:rStyle w:val="Appeldenotedefin"/>
          <w:rFonts w:ascii="Segoe UI" w:hAnsi="Segoe UI" w:cs="Segoe UI"/>
        </w:rPr>
        <w:endnoteRef/>
      </w:r>
      <w:r w:rsidRPr="001921B4">
        <w:rPr>
          <w:rFonts w:ascii="Segoe UI" w:hAnsi="Segoe UI" w:cs="Segoe UI"/>
        </w:rPr>
        <w:t xml:space="preserve"> </w:t>
      </w:r>
      <w:r w:rsidR="00F8294C" w:rsidRPr="001921B4">
        <w:rPr>
          <w:rFonts w:ascii="Segoe UI" w:hAnsi="Segoe UI" w:cs="Segoe UI"/>
        </w:rPr>
        <w:t>L</w:t>
      </w:r>
      <w:r w:rsidRPr="001921B4">
        <w:rPr>
          <w:rFonts w:ascii="Segoe UI" w:hAnsi="Segoe UI" w:cs="Segoe UI"/>
        </w:rPr>
        <w:t>es banques</w:t>
      </w:r>
      <w:r w:rsidR="00F8294C" w:rsidRPr="001921B4">
        <w:rPr>
          <w:rFonts w:ascii="Segoe UI" w:hAnsi="Segoe UI" w:cs="Segoe UI"/>
        </w:rPr>
        <w:t xml:space="preserve"> commerciales </w:t>
      </w:r>
      <w:r w:rsidRPr="001921B4">
        <w:rPr>
          <w:rFonts w:ascii="Segoe UI" w:hAnsi="Segoe UI" w:cs="Segoe UI"/>
        </w:rPr>
        <w:t>sont</w:t>
      </w:r>
      <w:r w:rsidR="00F8294C" w:rsidRPr="001921B4">
        <w:rPr>
          <w:rFonts w:ascii="Segoe UI" w:hAnsi="Segoe UI" w:cs="Segoe UI"/>
        </w:rPr>
        <w:t xml:space="preserve"> elles-mêmes</w:t>
      </w:r>
      <w:r w:rsidRPr="001921B4">
        <w:rPr>
          <w:rFonts w:ascii="Segoe UI" w:hAnsi="Segoe UI" w:cs="Segoe UI"/>
        </w:rPr>
        <w:t xml:space="preserve"> tenues de céder 90% </w:t>
      </w:r>
      <w:r w:rsidR="00F81A0A" w:rsidRPr="001921B4">
        <w:rPr>
          <w:rFonts w:ascii="Segoe UI" w:hAnsi="Segoe UI" w:cs="Segoe UI"/>
        </w:rPr>
        <w:t xml:space="preserve">des devises ainsi obtenues dans le cadre des conversions obligatoires </w:t>
      </w:r>
      <w:r w:rsidR="00F8294C" w:rsidRPr="001921B4">
        <w:rPr>
          <w:rFonts w:ascii="Segoe UI" w:hAnsi="Segoe UI" w:cs="Segoe UI"/>
        </w:rPr>
        <w:t xml:space="preserve">à la MMA. </w:t>
      </w:r>
    </w:p>
  </w:endnote>
  <w:endnote w:id="9">
    <w:p w14:paraId="424A521E" w14:textId="7B7D69FA" w:rsidR="00060493" w:rsidRPr="001921B4" w:rsidRDefault="00060493" w:rsidP="001921B4">
      <w:pPr>
        <w:pStyle w:val="Notedefin"/>
        <w:jc w:val="both"/>
        <w:rPr>
          <w:rFonts w:ascii="Segoe UI" w:hAnsi="Segoe UI" w:cs="Segoe UI"/>
        </w:rPr>
      </w:pPr>
      <w:r w:rsidRPr="001921B4">
        <w:rPr>
          <w:rStyle w:val="Appeldenotedefin"/>
          <w:rFonts w:ascii="Segoe UI" w:hAnsi="Segoe UI" w:cs="Segoe UI"/>
        </w:rPr>
        <w:endnoteRef/>
      </w:r>
      <w:r w:rsidRPr="001921B4">
        <w:rPr>
          <w:rFonts w:ascii="Segoe UI" w:hAnsi="Segoe UI" w:cs="Segoe UI"/>
        </w:rPr>
        <w:t xml:space="preserve"> Depuis plusieurs semaines, les entreprises et les particuliers signalent une quasi-impossibilité de se procurer des dollars, tant sur le marché parallèle que par les canaux officiels, ce qui pénalise les entreprises importatrices</w:t>
      </w:r>
      <w:r w:rsidR="00C23338" w:rsidRPr="001921B4">
        <w:rPr>
          <w:rFonts w:ascii="Segoe UI" w:hAnsi="Segoe UI" w:cs="Segoe UI"/>
        </w:rPr>
        <w:t xml:space="preserve">. </w:t>
      </w:r>
    </w:p>
  </w:endnote>
  <w:endnote w:id="10">
    <w:p w14:paraId="7D42A307" w14:textId="1CCBFC8F" w:rsidR="001529A0" w:rsidRPr="001921B4" w:rsidRDefault="001529A0" w:rsidP="001921B4">
      <w:pPr>
        <w:pStyle w:val="Notedefin"/>
        <w:jc w:val="both"/>
        <w:rPr>
          <w:rFonts w:ascii="Segoe UI" w:hAnsi="Segoe UI" w:cs="Segoe UI"/>
        </w:rPr>
      </w:pPr>
      <w:r w:rsidRPr="001921B4">
        <w:rPr>
          <w:rStyle w:val="Appeldenotedefin"/>
          <w:rFonts w:ascii="Segoe UI" w:hAnsi="Segoe UI" w:cs="Segoe UI"/>
        </w:rPr>
        <w:endnoteRef/>
      </w:r>
      <w:r w:rsidRPr="001921B4">
        <w:rPr>
          <w:rFonts w:ascii="Segoe UI" w:hAnsi="Segoe UI" w:cs="Segoe UI"/>
        </w:rPr>
        <w:t xml:space="preserve"> Le taux d’endettement public avait diminué de 133,3% du PIB en 2024 à 129,3% fin 2025, principalement sous l’effet de la hausse du PIB nominal, qui accroît le dénominateur du ratio. </w:t>
      </w:r>
    </w:p>
  </w:endnote>
  <w:endnote w:id="11">
    <w:p w14:paraId="6BC84F11" w14:textId="1EDE2290" w:rsidR="00352C8E" w:rsidRPr="001921B4" w:rsidRDefault="00352C8E" w:rsidP="001921B4">
      <w:pPr>
        <w:pStyle w:val="Notedefin"/>
        <w:jc w:val="both"/>
        <w:rPr>
          <w:rFonts w:ascii="Segoe UI" w:hAnsi="Segoe UI" w:cs="Segoe UI"/>
        </w:rPr>
      </w:pPr>
      <w:r w:rsidRPr="001921B4">
        <w:rPr>
          <w:rStyle w:val="Appeldenotedefin"/>
          <w:rFonts w:ascii="Segoe UI" w:hAnsi="Segoe UI" w:cs="Segoe UI"/>
        </w:rPr>
        <w:endnoteRef/>
      </w:r>
      <w:r w:rsidRPr="001921B4">
        <w:rPr>
          <w:rFonts w:ascii="Segoe UI" w:hAnsi="Segoe UI" w:cs="Segoe UI"/>
        </w:rPr>
        <w:t xml:space="preserve"> L’Inde est le premier créancier des Maldives et détient environ 37% de sa dette extérieure et la Chine le second, avec environ 13% de sa dette extérieure. </w:t>
      </w:r>
    </w:p>
  </w:endnote>
  <w:endnote w:id="12">
    <w:p w14:paraId="69DB3A10" w14:textId="245988B9" w:rsidR="00B00FBE" w:rsidRPr="001921B4" w:rsidRDefault="00B00FBE" w:rsidP="001921B4">
      <w:pPr>
        <w:pStyle w:val="Notedefin"/>
        <w:jc w:val="both"/>
        <w:rPr>
          <w:rFonts w:ascii="Segoe UI" w:hAnsi="Segoe UI" w:cs="Segoe UI"/>
        </w:rPr>
      </w:pPr>
      <w:r w:rsidRPr="001921B4">
        <w:rPr>
          <w:rStyle w:val="Appeldenotedefin"/>
          <w:rFonts w:ascii="Segoe UI" w:hAnsi="Segoe UI" w:cs="Segoe UI"/>
        </w:rPr>
        <w:endnoteRef/>
      </w:r>
      <w:r w:rsidRPr="001921B4">
        <w:rPr>
          <w:rFonts w:ascii="Segoe UI" w:hAnsi="Segoe UI" w:cs="Segoe UI"/>
        </w:rPr>
        <w:t xml:space="preserve"> </w:t>
      </w:r>
      <w:r w:rsidR="007F7CB2" w:rsidRPr="001921B4">
        <w:rPr>
          <w:rFonts w:ascii="Segoe UI" w:hAnsi="Segoe UI" w:cs="Segoe UI"/>
        </w:rPr>
        <w:t xml:space="preserve">Les 100 MUSD </w:t>
      </w:r>
      <w:r w:rsidR="00CC6072" w:rsidRPr="001921B4">
        <w:rPr>
          <w:rFonts w:ascii="Segoe UI" w:hAnsi="Segoe UI" w:cs="Segoe UI"/>
        </w:rPr>
        <w:t xml:space="preserve">mobilisés </w:t>
      </w:r>
      <w:r w:rsidR="007F7CB2" w:rsidRPr="001921B4">
        <w:rPr>
          <w:rFonts w:ascii="Segoe UI" w:hAnsi="Segoe UI" w:cs="Segoe UI"/>
        </w:rPr>
        <w:t xml:space="preserve">par les deux prêts cumulés représentent </w:t>
      </w:r>
      <w:r w:rsidR="00542591" w:rsidRPr="001921B4">
        <w:rPr>
          <w:rFonts w:ascii="Segoe UI" w:hAnsi="Segoe UI" w:cs="Segoe UI"/>
        </w:rPr>
        <w:t xml:space="preserve">environ un </w:t>
      </w:r>
      <w:r w:rsidR="007F7CB2" w:rsidRPr="001921B4">
        <w:rPr>
          <w:rFonts w:ascii="Segoe UI" w:hAnsi="Segoe UI" w:cs="Segoe UI"/>
        </w:rPr>
        <w:t xml:space="preserve">mois d’importations de pétrole. </w:t>
      </w:r>
    </w:p>
  </w:endnote>
  <w:endnote w:id="13">
    <w:p w14:paraId="5590B343" w14:textId="7C7772F2" w:rsidR="00130B3C" w:rsidRPr="001921B4" w:rsidRDefault="00130B3C" w:rsidP="001921B4">
      <w:pPr>
        <w:pStyle w:val="Notedefin"/>
        <w:jc w:val="both"/>
        <w:rPr>
          <w:rFonts w:ascii="Segoe UI" w:hAnsi="Segoe UI" w:cs="Segoe UI"/>
        </w:rPr>
      </w:pPr>
      <w:r w:rsidRPr="001921B4">
        <w:rPr>
          <w:rStyle w:val="Appeldenotedefin"/>
          <w:rFonts w:ascii="Segoe UI" w:hAnsi="Segoe UI" w:cs="Segoe UI"/>
        </w:rPr>
        <w:endnoteRef/>
      </w:r>
      <w:r w:rsidRPr="001921B4">
        <w:rPr>
          <w:rFonts w:ascii="Segoe UI" w:hAnsi="Segoe UI" w:cs="Segoe UI"/>
        </w:rPr>
        <w:t xml:space="preserve"> L’État percevrait la taxe sur les biens et services touristiques (TGST) sans exemption, ainsi que 10 % des revenus du promoteur principal et 4 % des transactions immobilières. Le ministère des Finances estime à 11 Md</w:t>
      </w:r>
      <w:r w:rsidR="007F7CB2" w:rsidRPr="001921B4">
        <w:rPr>
          <w:rFonts w:ascii="Segoe UI" w:hAnsi="Segoe UI" w:cs="Segoe UI"/>
        </w:rPr>
        <w:t>s</w:t>
      </w:r>
      <w:r w:rsidRPr="001921B4">
        <w:rPr>
          <w:rFonts w:ascii="Segoe UI" w:hAnsi="Segoe UI" w:cs="Segoe UI"/>
        </w:rPr>
        <w:t xml:space="preserve"> USD les recettes fiscales susceptibles d’être générées</w:t>
      </w:r>
      <w:r w:rsidR="00AF7CE1" w:rsidRPr="001921B4">
        <w:rPr>
          <w:rFonts w:ascii="Segoe UI" w:hAnsi="Segoe UI" w:cs="Segoe UI"/>
        </w:rPr>
        <w:t xml:space="preserve"> au total.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3689567"/>
      <w:docPartObj>
        <w:docPartGallery w:val="Page Numbers (Bottom of Page)"/>
        <w:docPartUnique/>
      </w:docPartObj>
    </w:sdtPr>
    <w:sdtContent>
      <w:p w14:paraId="6E1E5DBF" w14:textId="67991A6A" w:rsidR="00271AE9" w:rsidRDefault="00271AE9">
        <w:pPr>
          <w:pStyle w:val="Pieddepage"/>
          <w:jc w:val="right"/>
        </w:pPr>
        <w:r>
          <w:fldChar w:fldCharType="begin"/>
        </w:r>
        <w:r>
          <w:instrText>PAGE   \* MERGEFORMAT</w:instrText>
        </w:r>
        <w:r>
          <w:fldChar w:fldCharType="separate"/>
        </w:r>
        <w:r>
          <w:t>2</w:t>
        </w:r>
        <w:r>
          <w:fldChar w:fldCharType="end"/>
        </w:r>
      </w:p>
    </w:sdtContent>
  </w:sdt>
  <w:p w14:paraId="038091EB" w14:textId="77777777" w:rsidR="00271AE9" w:rsidRDefault="00271AE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B2439" w14:textId="77777777" w:rsidR="005A626E" w:rsidRDefault="005A626E" w:rsidP="0044549D">
      <w:pPr>
        <w:spacing w:after="0" w:line="240" w:lineRule="auto"/>
      </w:pPr>
      <w:r>
        <w:separator/>
      </w:r>
    </w:p>
  </w:footnote>
  <w:footnote w:type="continuationSeparator" w:id="0">
    <w:p w14:paraId="1AFB0425" w14:textId="77777777" w:rsidR="005A626E" w:rsidRDefault="005A626E" w:rsidP="004454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DE0F9F8"/>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8B793D"/>
    <w:multiLevelType w:val="hybridMultilevel"/>
    <w:tmpl w:val="C6A64B46"/>
    <w:lvl w:ilvl="0" w:tplc="040C0001">
      <w:start w:val="1"/>
      <w:numFmt w:val="bullet"/>
      <w:lvlText w:val=""/>
      <w:lvlJc w:val="left"/>
      <w:pPr>
        <w:ind w:left="437" w:hanging="360"/>
      </w:pPr>
      <w:rPr>
        <w:rFonts w:ascii="Symbol" w:hAnsi="Symbol" w:hint="default"/>
      </w:rPr>
    </w:lvl>
    <w:lvl w:ilvl="1" w:tplc="040C0003" w:tentative="1">
      <w:start w:val="1"/>
      <w:numFmt w:val="bullet"/>
      <w:lvlText w:val="o"/>
      <w:lvlJc w:val="left"/>
      <w:pPr>
        <w:ind w:left="1157" w:hanging="360"/>
      </w:pPr>
      <w:rPr>
        <w:rFonts w:ascii="Courier New" w:hAnsi="Courier New" w:cs="Courier New" w:hint="default"/>
      </w:rPr>
    </w:lvl>
    <w:lvl w:ilvl="2" w:tplc="040C0005" w:tentative="1">
      <w:start w:val="1"/>
      <w:numFmt w:val="bullet"/>
      <w:lvlText w:val=""/>
      <w:lvlJc w:val="left"/>
      <w:pPr>
        <w:ind w:left="1877" w:hanging="360"/>
      </w:pPr>
      <w:rPr>
        <w:rFonts w:ascii="Wingdings" w:hAnsi="Wingdings" w:hint="default"/>
      </w:rPr>
    </w:lvl>
    <w:lvl w:ilvl="3" w:tplc="040C0001" w:tentative="1">
      <w:start w:val="1"/>
      <w:numFmt w:val="bullet"/>
      <w:lvlText w:val=""/>
      <w:lvlJc w:val="left"/>
      <w:pPr>
        <w:ind w:left="2597" w:hanging="360"/>
      </w:pPr>
      <w:rPr>
        <w:rFonts w:ascii="Symbol" w:hAnsi="Symbol" w:hint="default"/>
      </w:rPr>
    </w:lvl>
    <w:lvl w:ilvl="4" w:tplc="040C0003" w:tentative="1">
      <w:start w:val="1"/>
      <w:numFmt w:val="bullet"/>
      <w:lvlText w:val="o"/>
      <w:lvlJc w:val="left"/>
      <w:pPr>
        <w:ind w:left="3317" w:hanging="360"/>
      </w:pPr>
      <w:rPr>
        <w:rFonts w:ascii="Courier New" w:hAnsi="Courier New" w:cs="Courier New" w:hint="default"/>
      </w:rPr>
    </w:lvl>
    <w:lvl w:ilvl="5" w:tplc="040C0005" w:tentative="1">
      <w:start w:val="1"/>
      <w:numFmt w:val="bullet"/>
      <w:lvlText w:val=""/>
      <w:lvlJc w:val="left"/>
      <w:pPr>
        <w:ind w:left="4037" w:hanging="360"/>
      </w:pPr>
      <w:rPr>
        <w:rFonts w:ascii="Wingdings" w:hAnsi="Wingdings" w:hint="default"/>
      </w:rPr>
    </w:lvl>
    <w:lvl w:ilvl="6" w:tplc="040C0001" w:tentative="1">
      <w:start w:val="1"/>
      <w:numFmt w:val="bullet"/>
      <w:lvlText w:val=""/>
      <w:lvlJc w:val="left"/>
      <w:pPr>
        <w:ind w:left="4757" w:hanging="360"/>
      </w:pPr>
      <w:rPr>
        <w:rFonts w:ascii="Symbol" w:hAnsi="Symbol" w:hint="default"/>
      </w:rPr>
    </w:lvl>
    <w:lvl w:ilvl="7" w:tplc="040C0003" w:tentative="1">
      <w:start w:val="1"/>
      <w:numFmt w:val="bullet"/>
      <w:lvlText w:val="o"/>
      <w:lvlJc w:val="left"/>
      <w:pPr>
        <w:ind w:left="5477" w:hanging="360"/>
      </w:pPr>
      <w:rPr>
        <w:rFonts w:ascii="Courier New" w:hAnsi="Courier New" w:cs="Courier New" w:hint="default"/>
      </w:rPr>
    </w:lvl>
    <w:lvl w:ilvl="8" w:tplc="040C0005" w:tentative="1">
      <w:start w:val="1"/>
      <w:numFmt w:val="bullet"/>
      <w:lvlText w:val=""/>
      <w:lvlJc w:val="left"/>
      <w:pPr>
        <w:ind w:left="6197" w:hanging="360"/>
      </w:pPr>
      <w:rPr>
        <w:rFonts w:ascii="Wingdings" w:hAnsi="Wingdings" w:hint="default"/>
      </w:rPr>
    </w:lvl>
  </w:abstractNum>
  <w:abstractNum w:abstractNumId="2" w15:restartNumberingAfterBreak="0">
    <w:nsid w:val="12C36F2D"/>
    <w:multiLevelType w:val="hybridMultilevel"/>
    <w:tmpl w:val="C6B00A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35D7A9E"/>
    <w:multiLevelType w:val="hybridMultilevel"/>
    <w:tmpl w:val="8BB8A7DC"/>
    <w:lvl w:ilvl="0" w:tplc="FD9A910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6EA3AB0"/>
    <w:multiLevelType w:val="hybridMultilevel"/>
    <w:tmpl w:val="3D3466F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4243624"/>
    <w:multiLevelType w:val="hybridMultilevel"/>
    <w:tmpl w:val="7FC403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1B12060"/>
    <w:multiLevelType w:val="multilevel"/>
    <w:tmpl w:val="67FCBCCA"/>
    <w:lvl w:ilvl="0">
      <w:start w:val="1"/>
      <w:numFmt w:val="bullet"/>
      <w:lvlText w:val=""/>
      <w:lvlJc w:val="left"/>
      <w:pPr>
        <w:tabs>
          <w:tab w:val="num" w:pos="1776"/>
        </w:tabs>
        <w:ind w:left="1776" w:hanging="360"/>
      </w:pPr>
      <w:rPr>
        <w:rFonts w:ascii="Symbol" w:hAnsi="Symbol" w:hint="default"/>
        <w:sz w:val="20"/>
      </w:rPr>
    </w:lvl>
    <w:lvl w:ilvl="1" w:tentative="1">
      <w:start w:val="1"/>
      <w:numFmt w:val="bullet"/>
      <w:lvlText w:val="o"/>
      <w:lvlJc w:val="left"/>
      <w:pPr>
        <w:tabs>
          <w:tab w:val="num" w:pos="2496"/>
        </w:tabs>
        <w:ind w:left="2496" w:hanging="360"/>
      </w:pPr>
      <w:rPr>
        <w:rFonts w:ascii="Courier New" w:hAnsi="Courier New" w:hint="default"/>
        <w:sz w:val="20"/>
      </w:rPr>
    </w:lvl>
    <w:lvl w:ilvl="2" w:tentative="1">
      <w:start w:val="1"/>
      <w:numFmt w:val="bullet"/>
      <w:lvlText w:val=""/>
      <w:lvlJc w:val="left"/>
      <w:pPr>
        <w:tabs>
          <w:tab w:val="num" w:pos="3216"/>
        </w:tabs>
        <w:ind w:left="3216" w:hanging="360"/>
      </w:pPr>
      <w:rPr>
        <w:rFonts w:ascii="Wingdings" w:hAnsi="Wingdings" w:hint="default"/>
        <w:sz w:val="20"/>
      </w:rPr>
    </w:lvl>
    <w:lvl w:ilvl="3" w:tentative="1">
      <w:start w:val="1"/>
      <w:numFmt w:val="bullet"/>
      <w:lvlText w:val=""/>
      <w:lvlJc w:val="left"/>
      <w:pPr>
        <w:tabs>
          <w:tab w:val="num" w:pos="3936"/>
        </w:tabs>
        <w:ind w:left="3936" w:hanging="360"/>
      </w:pPr>
      <w:rPr>
        <w:rFonts w:ascii="Wingdings" w:hAnsi="Wingdings" w:hint="default"/>
        <w:sz w:val="20"/>
      </w:rPr>
    </w:lvl>
    <w:lvl w:ilvl="4" w:tentative="1">
      <w:start w:val="1"/>
      <w:numFmt w:val="bullet"/>
      <w:lvlText w:val=""/>
      <w:lvlJc w:val="left"/>
      <w:pPr>
        <w:tabs>
          <w:tab w:val="num" w:pos="4656"/>
        </w:tabs>
        <w:ind w:left="4656" w:hanging="360"/>
      </w:pPr>
      <w:rPr>
        <w:rFonts w:ascii="Wingdings" w:hAnsi="Wingdings" w:hint="default"/>
        <w:sz w:val="20"/>
      </w:rPr>
    </w:lvl>
    <w:lvl w:ilvl="5" w:tentative="1">
      <w:start w:val="1"/>
      <w:numFmt w:val="bullet"/>
      <w:lvlText w:val=""/>
      <w:lvlJc w:val="left"/>
      <w:pPr>
        <w:tabs>
          <w:tab w:val="num" w:pos="5376"/>
        </w:tabs>
        <w:ind w:left="5376" w:hanging="360"/>
      </w:pPr>
      <w:rPr>
        <w:rFonts w:ascii="Wingdings" w:hAnsi="Wingdings" w:hint="default"/>
        <w:sz w:val="20"/>
      </w:rPr>
    </w:lvl>
    <w:lvl w:ilvl="6" w:tentative="1">
      <w:start w:val="1"/>
      <w:numFmt w:val="bullet"/>
      <w:lvlText w:val=""/>
      <w:lvlJc w:val="left"/>
      <w:pPr>
        <w:tabs>
          <w:tab w:val="num" w:pos="6096"/>
        </w:tabs>
        <w:ind w:left="6096" w:hanging="360"/>
      </w:pPr>
      <w:rPr>
        <w:rFonts w:ascii="Wingdings" w:hAnsi="Wingdings" w:hint="default"/>
        <w:sz w:val="20"/>
      </w:rPr>
    </w:lvl>
    <w:lvl w:ilvl="7" w:tentative="1">
      <w:start w:val="1"/>
      <w:numFmt w:val="bullet"/>
      <w:lvlText w:val=""/>
      <w:lvlJc w:val="left"/>
      <w:pPr>
        <w:tabs>
          <w:tab w:val="num" w:pos="6816"/>
        </w:tabs>
        <w:ind w:left="6816" w:hanging="360"/>
      </w:pPr>
      <w:rPr>
        <w:rFonts w:ascii="Wingdings" w:hAnsi="Wingdings" w:hint="default"/>
        <w:sz w:val="20"/>
      </w:rPr>
    </w:lvl>
    <w:lvl w:ilvl="8" w:tentative="1">
      <w:start w:val="1"/>
      <w:numFmt w:val="bullet"/>
      <w:lvlText w:val=""/>
      <w:lvlJc w:val="left"/>
      <w:pPr>
        <w:tabs>
          <w:tab w:val="num" w:pos="7536"/>
        </w:tabs>
        <w:ind w:left="7536" w:hanging="360"/>
      </w:pPr>
      <w:rPr>
        <w:rFonts w:ascii="Wingdings" w:hAnsi="Wingdings" w:hint="default"/>
        <w:sz w:val="20"/>
      </w:rPr>
    </w:lvl>
  </w:abstractNum>
  <w:abstractNum w:abstractNumId="7" w15:restartNumberingAfterBreak="0">
    <w:nsid w:val="39867D08"/>
    <w:multiLevelType w:val="hybridMultilevel"/>
    <w:tmpl w:val="DB56FD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D581D60"/>
    <w:multiLevelType w:val="multilevel"/>
    <w:tmpl w:val="260C2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9A07A1"/>
    <w:multiLevelType w:val="hybridMultilevel"/>
    <w:tmpl w:val="DE5AB7EC"/>
    <w:lvl w:ilvl="0" w:tplc="9DC287B0">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3136E72"/>
    <w:multiLevelType w:val="hybridMultilevel"/>
    <w:tmpl w:val="D0B2D3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8D72EA1"/>
    <w:multiLevelType w:val="hybridMultilevel"/>
    <w:tmpl w:val="AE662ED0"/>
    <w:lvl w:ilvl="0" w:tplc="DAB60A48">
      <w:numFmt w:val="bullet"/>
      <w:lvlText w:val="-"/>
      <w:lvlJc w:val="left"/>
      <w:pPr>
        <w:ind w:left="77" w:hanging="360"/>
      </w:pPr>
      <w:rPr>
        <w:rFonts w:ascii="Segoe UI" w:eastAsiaTheme="minorHAnsi" w:hAnsi="Segoe UI" w:cs="Segoe UI" w:hint="default"/>
      </w:rPr>
    </w:lvl>
    <w:lvl w:ilvl="1" w:tplc="040C0003" w:tentative="1">
      <w:start w:val="1"/>
      <w:numFmt w:val="bullet"/>
      <w:lvlText w:val="o"/>
      <w:lvlJc w:val="left"/>
      <w:pPr>
        <w:ind w:left="797" w:hanging="360"/>
      </w:pPr>
      <w:rPr>
        <w:rFonts w:ascii="Courier New" w:hAnsi="Courier New" w:cs="Courier New" w:hint="default"/>
      </w:rPr>
    </w:lvl>
    <w:lvl w:ilvl="2" w:tplc="040C0005" w:tentative="1">
      <w:start w:val="1"/>
      <w:numFmt w:val="bullet"/>
      <w:lvlText w:val=""/>
      <w:lvlJc w:val="left"/>
      <w:pPr>
        <w:ind w:left="1517" w:hanging="360"/>
      </w:pPr>
      <w:rPr>
        <w:rFonts w:ascii="Wingdings" w:hAnsi="Wingdings" w:hint="default"/>
      </w:rPr>
    </w:lvl>
    <w:lvl w:ilvl="3" w:tplc="040C0001" w:tentative="1">
      <w:start w:val="1"/>
      <w:numFmt w:val="bullet"/>
      <w:lvlText w:val=""/>
      <w:lvlJc w:val="left"/>
      <w:pPr>
        <w:ind w:left="2237" w:hanging="360"/>
      </w:pPr>
      <w:rPr>
        <w:rFonts w:ascii="Symbol" w:hAnsi="Symbol" w:hint="default"/>
      </w:rPr>
    </w:lvl>
    <w:lvl w:ilvl="4" w:tplc="040C0003" w:tentative="1">
      <w:start w:val="1"/>
      <w:numFmt w:val="bullet"/>
      <w:lvlText w:val="o"/>
      <w:lvlJc w:val="left"/>
      <w:pPr>
        <w:ind w:left="2957" w:hanging="360"/>
      </w:pPr>
      <w:rPr>
        <w:rFonts w:ascii="Courier New" w:hAnsi="Courier New" w:cs="Courier New" w:hint="default"/>
      </w:rPr>
    </w:lvl>
    <w:lvl w:ilvl="5" w:tplc="040C0005" w:tentative="1">
      <w:start w:val="1"/>
      <w:numFmt w:val="bullet"/>
      <w:lvlText w:val=""/>
      <w:lvlJc w:val="left"/>
      <w:pPr>
        <w:ind w:left="3677" w:hanging="360"/>
      </w:pPr>
      <w:rPr>
        <w:rFonts w:ascii="Wingdings" w:hAnsi="Wingdings" w:hint="default"/>
      </w:rPr>
    </w:lvl>
    <w:lvl w:ilvl="6" w:tplc="040C0001" w:tentative="1">
      <w:start w:val="1"/>
      <w:numFmt w:val="bullet"/>
      <w:lvlText w:val=""/>
      <w:lvlJc w:val="left"/>
      <w:pPr>
        <w:ind w:left="4397" w:hanging="360"/>
      </w:pPr>
      <w:rPr>
        <w:rFonts w:ascii="Symbol" w:hAnsi="Symbol" w:hint="default"/>
      </w:rPr>
    </w:lvl>
    <w:lvl w:ilvl="7" w:tplc="040C0003" w:tentative="1">
      <w:start w:val="1"/>
      <w:numFmt w:val="bullet"/>
      <w:lvlText w:val="o"/>
      <w:lvlJc w:val="left"/>
      <w:pPr>
        <w:ind w:left="5117" w:hanging="360"/>
      </w:pPr>
      <w:rPr>
        <w:rFonts w:ascii="Courier New" w:hAnsi="Courier New" w:cs="Courier New" w:hint="default"/>
      </w:rPr>
    </w:lvl>
    <w:lvl w:ilvl="8" w:tplc="040C0005" w:tentative="1">
      <w:start w:val="1"/>
      <w:numFmt w:val="bullet"/>
      <w:lvlText w:val=""/>
      <w:lvlJc w:val="left"/>
      <w:pPr>
        <w:ind w:left="5837" w:hanging="360"/>
      </w:pPr>
      <w:rPr>
        <w:rFonts w:ascii="Wingdings" w:hAnsi="Wingdings" w:hint="default"/>
      </w:rPr>
    </w:lvl>
  </w:abstractNum>
  <w:abstractNum w:abstractNumId="12" w15:restartNumberingAfterBreak="0">
    <w:nsid w:val="54D37D1E"/>
    <w:multiLevelType w:val="hybridMultilevel"/>
    <w:tmpl w:val="9E2A602E"/>
    <w:lvl w:ilvl="0" w:tplc="2648EE60">
      <w:numFmt w:val="bullet"/>
      <w:lvlText w:val=""/>
      <w:lvlJc w:val="left"/>
      <w:pPr>
        <w:ind w:left="720" w:hanging="360"/>
      </w:pPr>
      <w:rPr>
        <w:rFonts w:ascii="Symbol" w:eastAsiaTheme="minorHAnsi" w:hAnsi="Symbol"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B591F49"/>
    <w:multiLevelType w:val="hybridMultilevel"/>
    <w:tmpl w:val="46ACC3AC"/>
    <w:lvl w:ilvl="0" w:tplc="C21C6312">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C340F34"/>
    <w:multiLevelType w:val="hybridMultilevel"/>
    <w:tmpl w:val="3FEA62E0"/>
    <w:lvl w:ilvl="0" w:tplc="EC68F6B0">
      <w:numFmt w:val="bullet"/>
      <w:lvlText w:val=""/>
      <w:lvlJc w:val="left"/>
      <w:pPr>
        <w:ind w:left="77" w:hanging="360"/>
      </w:pPr>
      <w:rPr>
        <w:rFonts w:ascii="Symbol" w:eastAsiaTheme="minorHAnsi" w:hAnsi="Symbol" w:cs="Segoe UI" w:hint="default"/>
      </w:rPr>
    </w:lvl>
    <w:lvl w:ilvl="1" w:tplc="040C0003" w:tentative="1">
      <w:start w:val="1"/>
      <w:numFmt w:val="bullet"/>
      <w:lvlText w:val="o"/>
      <w:lvlJc w:val="left"/>
      <w:pPr>
        <w:ind w:left="797" w:hanging="360"/>
      </w:pPr>
      <w:rPr>
        <w:rFonts w:ascii="Courier New" w:hAnsi="Courier New" w:cs="Courier New" w:hint="default"/>
      </w:rPr>
    </w:lvl>
    <w:lvl w:ilvl="2" w:tplc="040C0005" w:tentative="1">
      <w:start w:val="1"/>
      <w:numFmt w:val="bullet"/>
      <w:lvlText w:val=""/>
      <w:lvlJc w:val="left"/>
      <w:pPr>
        <w:ind w:left="1517" w:hanging="360"/>
      </w:pPr>
      <w:rPr>
        <w:rFonts w:ascii="Wingdings" w:hAnsi="Wingdings" w:hint="default"/>
      </w:rPr>
    </w:lvl>
    <w:lvl w:ilvl="3" w:tplc="040C0001" w:tentative="1">
      <w:start w:val="1"/>
      <w:numFmt w:val="bullet"/>
      <w:lvlText w:val=""/>
      <w:lvlJc w:val="left"/>
      <w:pPr>
        <w:ind w:left="2237" w:hanging="360"/>
      </w:pPr>
      <w:rPr>
        <w:rFonts w:ascii="Symbol" w:hAnsi="Symbol" w:hint="default"/>
      </w:rPr>
    </w:lvl>
    <w:lvl w:ilvl="4" w:tplc="040C0003" w:tentative="1">
      <w:start w:val="1"/>
      <w:numFmt w:val="bullet"/>
      <w:lvlText w:val="o"/>
      <w:lvlJc w:val="left"/>
      <w:pPr>
        <w:ind w:left="2957" w:hanging="360"/>
      </w:pPr>
      <w:rPr>
        <w:rFonts w:ascii="Courier New" w:hAnsi="Courier New" w:cs="Courier New" w:hint="default"/>
      </w:rPr>
    </w:lvl>
    <w:lvl w:ilvl="5" w:tplc="040C0005" w:tentative="1">
      <w:start w:val="1"/>
      <w:numFmt w:val="bullet"/>
      <w:lvlText w:val=""/>
      <w:lvlJc w:val="left"/>
      <w:pPr>
        <w:ind w:left="3677" w:hanging="360"/>
      </w:pPr>
      <w:rPr>
        <w:rFonts w:ascii="Wingdings" w:hAnsi="Wingdings" w:hint="default"/>
      </w:rPr>
    </w:lvl>
    <w:lvl w:ilvl="6" w:tplc="040C0001" w:tentative="1">
      <w:start w:val="1"/>
      <w:numFmt w:val="bullet"/>
      <w:lvlText w:val=""/>
      <w:lvlJc w:val="left"/>
      <w:pPr>
        <w:ind w:left="4397" w:hanging="360"/>
      </w:pPr>
      <w:rPr>
        <w:rFonts w:ascii="Symbol" w:hAnsi="Symbol" w:hint="default"/>
      </w:rPr>
    </w:lvl>
    <w:lvl w:ilvl="7" w:tplc="040C0003" w:tentative="1">
      <w:start w:val="1"/>
      <w:numFmt w:val="bullet"/>
      <w:lvlText w:val="o"/>
      <w:lvlJc w:val="left"/>
      <w:pPr>
        <w:ind w:left="5117" w:hanging="360"/>
      </w:pPr>
      <w:rPr>
        <w:rFonts w:ascii="Courier New" w:hAnsi="Courier New" w:cs="Courier New" w:hint="default"/>
      </w:rPr>
    </w:lvl>
    <w:lvl w:ilvl="8" w:tplc="040C0005" w:tentative="1">
      <w:start w:val="1"/>
      <w:numFmt w:val="bullet"/>
      <w:lvlText w:val=""/>
      <w:lvlJc w:val="left"/>
      <w:pPr>
        <w:ind w:left="5837" w:hanging="360"/>
      </w:pPr>
      <w:rPr>
        <w:rFonts w:ascii="Wingdings" w:hAnsi="Wingdings" w:hint="default"/>
      </w:rPr>
    </w:lvl>
  </w:abstractNum>
  <w:abstractNum w:abstractNumId="15" w15:restartNumberingAfterBreak="0">
    <w:nsid w:val="641A187F"/>
    <w:multiLevelType w:val="hybridMultilevel"/>
    <w:tmpl w:val="918403C6"/>
    <w:lvl w:ilvl="0" w:tplc="472830D4">
      <w:numFmt w:val="bullet"/>
      <w:lvlText w:val=""/>
      <w:lvlJc w:val="left"/>
      <w:pPr>
        <w:ind w:left="720" w:hanging="360"/>
      </w:pPr>
      <w:rPr>
        <w:rFonts w:ascii="Symbol" w:eastAsiaTheme="minorHAnsi" w:hAnsi="Symbol"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6E47CD2"/>
    <w:multiLevelType w:val="hybridMultilevel"/>
    <w:tmpl w:val="AECAE5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B062645"/>
    <w:multiLevelType w:val="hybridMultilevel"/>
    <w:tmpl w:val="584E08C0"/>
    <w:lvl w:ilvl="0" w:tplc="D77677AA">
      <w:start w:val="1"/>
      <w:numFmt w:val="upperRoman"/>
      <w:lvlText w:val="%1."/>
      <w:lvlJc w:val="left"/>
      <w:pPr>
        <w:ind w:left="437" w:hanging="720"/>
      </w:pPr>
      <w:rPr>
        <w:rFonts w:hint="default"/>
      </w:rPr>
    </w:lvl>
    <w:lvl w:ilvl="1" w:tplc="040C0019" w:tentative="1">
      <w:start w:val="1"/>
      <w:numFmt w:val="lowerLetter"/>
      <w:lvlText w:val="%2."/>
      <w:lvlJc w:val="left"/>
      <w:pPr>
        <w:ind w:left="797" w:hanging="360"/>
      </w:pPr>
    </w:lvl>
    <w:lvl w:ilvl="2" w:tplc="040C001B" w:tentative="1">
      <w:start w:val="1"/>
      <w:numFmt w:val="lowerRoman"/>
      <w:lvlText w:val="%3."/>
      <w:lvlJc w:val="right"/>
      <w:pPr>
        <w:ind w:left="1517" w:hanging="180"/>
      </w:pPr>
    </w:lvl>
    <w:lvl w:ilvl="3" w:tplc="040C000F" w:tentative="1">
      <w:start w:val="1"/>
      <w:numFmt w:val="decimal"/>
      <w:lvlText w:val="%4."/>
      <w:lvlJc w:val="left"/>
      <w:pPr>
        <w:ind w:left="2237" w:hanging="360"/>
      </w:pPr>
    </w:lvl>
    <w:lvl w:ilvl="4" w:tplc="040C0019" w:tentative="1">
      <w:start w:val="1"/>
      <w:numFmt w:val="lowerLetter"/>
      <w:lvlText w:val="%5."/>
      <w:lvlJc w:val="left"/>
      <w:pPr>
        <w:ind w:left="2957" w:hanging="360"/>
      </w:pPr>
    </w:lvl>
    <w:lvl w:ilvl="5" w:tplc="040C001B" w:tentative="1">
      <w:start w:val="1"/>
      <w:numFmt w:val="lowerRoman"/>
      <w:lvlText w:val="%6."/>
      <w:lvlJc w:val="right"/>
      <w:pPr>
        <w:ind w:left="3677" w:hanging="180"/>
      </w:pPr>
    </w:lvl>
    <w:lvl w:ilvl="6" w:tplc="040C000F" w:tentative="1">
      <w:start w:val="1"/>
      <w:numFmt w:val="decimal"/>
      <w:lvlText w:val="%7."/>
      <w:lvlJc w:val="left"/>
      <w:pPr>
        <w:ind w:left="4397" w:hanging="360"/>
      </w:pPr>
    </w:lvl>
    <w:lvl w:ilvl="7" w:tplc="040C0019" w:tentative="1">
      <w:start w:val="1"/>
      <w:numFmt w:val="lowerLetter"/>
      <w:lvlText w:val="%8."/>
      <w:lvlJc w:val="left"/>
      <w:pPr>
        <w:ind w:left="5117" w:hanging="360"/>
      </w:pPr>
    </w:lvl>
    <w:lvl w:ilvl="8" w:tplc="040C001B" w:tentative="1">
      <w:start w:val="1"/>
      <w:numFmt w:val="lowerRoman"/>
      <w:lvlText w:val="%9."/>
      <w:lvlJc w:val="right"/>
      <w:pPr>
        <w:ind w:left="5837" w:hanging="180"/>
      </w:pPr>
    </w:lvl>
  </w:abstractNum>
  <w:abstractNum w:abstractNumId="18" w15:restartNumberingAfterBreak="0">
    <w:nsid w:val="6BC2355F"/>
    <w:multiLevelType w:val="hybridMultilevel"/>
    <w:tmpl w:val="D388A1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1382FB0"/>
    <w:multiLevelType w:val="hybridMultilevel"/>
    <w:tmpl w:val="7242E8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15652404">
    <w:abstractNumId w:val="13"/>
  </w:num>
  <w:num w:numId="2" w16cid:durableId="400911089">
    <w:abstractNumId w:val="9"/>
  </w:num>
  <w:num w:numId="3" w16cid:durableId="1301422384">
    <w:abstractNumId w:val="3"/>
  </w:num>
  <w:num w:numId="4" w16cid:durableId="1660427073">
    <w:abstractNumId w:val="4"/>
  </w:num>
  <w:num w:numId="5" w16cid:durableId="1384140681">
    <w:abstractNumId w:val="15"/>
  </w:num>
  <w:num w:numId="6" w16cid:durableId="2065640632">
    <w:abstractNumId w:val="12"/>
  </w:num>
  <w:num w:numId="7" w16cid:durableId="2110932792">
    <w:abstractNumId w:val="14"/>
  </w:num>
  <w:num w:numId="8" w16cid:durableId="116223046">
    <w:abstractNumId w:val="8"/>
  </w:num>
  <w:num w:numId="9" w16cid:durableId="14230118">
    <w:abstractNumId w:val="6"/>
  </w:num>
  <w:num w:numId="10" w16cid:durableId="754589952">
    <w:abstractNumId w:val="11"/>
  </w:num>
  <w:num w:numId="11" w16cid:durableId="1919362079">
    <w:abstractNumId w:val="17"/>
  </w:num>
  <w:num w:numId="12" w16cid:durableId="1326665124">
    <w:abstractNumId w:val="1"/>
  </w:num>
  <w:num w:numId="13" w16cid:durableId="960647606">
    <w:abstractNumId w:val="0"/>
  </w:num>
  <w:num w:numId="14" w16cid:durableId="2034525686">
    <w:abstractNumId w:val="16"/>
  </w:num>
  <w:num w:numId="15" w16cid:durableId="46490817">
    <w:abstractNumId w:val="18"/>
  </w:num>
  <w:num w:numId="16" w16cid:durableId="1779330328">
    <w:abstractNumId w:val="7"/>
  </w:num>
  <w:num w:numId="17" w16cid:durableId="1181091024">
    <w:abstractNumId w:val="19"/>
  </w:num>
  <w:num w:numId="18" w16cid:durableId="2010330622">
    <w:abstractNumId w:val="5"/>
  </w:num>
  <w:num w:numId="19" w16cid:durableId="39523546">
    <w:abstractNumId w:val="10"/>
  </w:num>
  <w:num w:numId="20" w16cid:durableId="13416588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9CD"/>
    <w:rsid w:val="000008D1"/>
    <w:rsid w:val="00003DBC"/>
    <w:rsid w:val="00003E53"/>
    <w:rsid w:val="000047D8"/>
    <w:rsid w:val="00004802"/>
    <w:rsid w:val="00004A24"/>
    <w:rsid w:val="0000603E"/>
    <w:rsid w:val="0000628F"/>
    <w:rsid w:val="00006F4D"/>
    <w:rsid w:val="00007380"/>
    <w:rsid w:val="00007CCA"/>
    <w:rsid w:val="00007FB3"/>
    <w:rsid w:val="0001094A"/>
    <w:rsid w:val="0001137A"/>
    <w:rsid w:val="00011A27"/>
    <w:rsid w:val="0001387D"/>
    <w:rsid w:val="00013BB4"/>
    <w:rsid w:val="000154E7"/>
    <w:rsid w:val="00015AB8"/>
    <w:rsid w:val="00017933"/>
    <w:rsid w:val="00020E5A"/>
    <w:rsid w:val="00021685"/>
    <w:rsid w:val="00025944"/>
    <w:rsid w:val="00026F8E"/>
    <w:rsid w:val="000270D1"/>
    <w:rsid w:val="00027537"/>
    <w:rsid w:val="000279FB"/>
    <w:rsid w:val="00031ABD"/>
    <w:rsid w:val="00031DDF"/>
    <w:rsid w:val="00032BC4"/>
    <w:rsid w:val="00032D70"/>
    <w:rsid w:val="000332BB"/>
    <w:rsid w:val="00034A54"/>
    <w:rsid w:val="0003591D"/>
    <w:rsid w:val="00035FBC"/>
    <w:rsid w:val="000370D1"/>
    <w:rsid w:val="000373B1"/>
    <w:rsid w:val="00037601"/>
    <w:rsid w:val="00040031"/>
    <w:rsid w:val="00041703"/>
    <w:rsid w:val="00041F07"/>
    <w:rsid w:val="00041F4A"/>
    <w:rsid w:val="00043862"/>
    <w:rsid w:val="0004481C"/>
    <w:rsid w:val="00045525"/>
    <w:rsid w:val="000457D4"/>
    <w:rsid w:val="0004694B"/>
    <w:rsid w:val="000509B4"/>
    <w:rsid w:val="00051DA5"/>
    <w:rsid w:val="00053847"/>
    <w:rsid w:val="000551E6"/>
    <w:rsid w:val="00056160"/>
    <w:rsid w:val="00057B68"/>
    <w:rsid w:val="00060493"/>
    <w:rsid w:val="000606E0"/>
    <w:rsid w:val="00061DD3"/>
    <w:rsid w:val="00062050"/>
    <w:rsid w:val="00062211"/>
    <w:rsid w:val="00063B0F"/>
    <w:rsid w:val="00063B95"/>
    <w:rsid w:val="00064AB6"/>
    <w:rsid w:val="00064C11"/>
    <w:rsid w:val="00065CCD"/>
    <w:rsid w:val="00066AE1"/>
    <w:rsid w:val="000675C5"/>
    <w:rsid w:val="00067D03"/>
    <w:rsid w:val="000708C4"/>
    <w:rsid w:val="00070E5D"/>
    <w:rsid w:val="00070FD9"/>
    <w:rsid w:val="00071968"/>
    <w:rsid w:val="00072111"/>
    <w:rsid w:val="00072FA4"/>
    <w:rsid w:val="000770AB"/>
    <w:rsid w:val="000806AB"/>
    <w:rsid w:val="000806FE"/>
    <w:rsid w:val="00080DCC"/>
    <w:rsid w:val="0008198A"/>
    <w:rsid w:val="00082DF5"/>
    <w:rsid w:val="00083F79"/>
    <w:rsid w:val="0008404D"/>
    <w:rsid w:val="0008457C"/>
    <w:rsid w:val="000861B1"/>
    <w:rsid w:val="00086C93"/>
    <w:rsid w:val="00087688"/>
    <w:rsid w:val="0009098C"/>
    <w:rsid w:val="00091A42"/>
    <w:rsid w:val="00093F04"/>
    <w:rsid w:val="00094A32"/>
    <w:rsid w:val="000956AA"/>
    <w:rsid w:val="00096278"/>
    <w:rsid w:val="000972B0"/>
    <w:rsid w:val="000A3449"/>
    <w:rsid w:val="000A38E5"/>
    <w:rsid w:val="000A3FDB"/>
    <w:rsid w:val="000A4E0C"/>
    <w:rsid w:val="000A561E"/>
    <w:rsid w:val="000A5869"/>
    <w:rsid w:val="000A59DB"/>
    <w:rsid w:val="000A62E2"/>
    <w:rsid w:val="000A6FE9"/>
    <w:rsid w:val="000B02A7"/>
    <w:rsid w:val="000B0329"/>
    <w:rsid w:val="000B0B32"/>
    <w:rsid w:val="000B1AF9"/>
    <w:rsid w:val="000B2C6C"/>
    <w:rsid w:val="000B34E3"/>
    <w:rsid w:val="000B3CA1"/>
    <w:rsid w:val="000B5187"/>
    <w:rsid w:val="000B6591"/>
    <w:rsid w:val="000B6ED8"/>
    <w:rsid w:val="000C1664"/>
    <w:rsid w:val="000C19B0"/>
    <w:rsid w:val="000C3D96"/>
    <w:rsid w:val="000C41C2"/>
    <w:rsid w:val="000C6E59"/>
    <w:rsid w:val="000C701D"/>
    <w:rsid w:val="000D25E9"/>
    <w:rsid w:val="000D266C"/>
    <w:rsid w:val="000D2DDF"/>
    <w:rsid w:val="000D2FC5"/>
    <w:rsid w:val="000D316D"/>
    <w:rsid w:val="000D368F"/>
    <w:rsid w:val="000D4D9F"/>
    <w:rsid w:val="000D5476"/>
    <w:rsid w:val="000E0EE3"/>
    <w:rsid w:val="000E1A72"/>
    <w:rsid w:val="000E1AB8"/>
    <w:rsid w:val="000E2F56"/>
    <w:rsid w:val="000E3282"/>
    <w:rsid w:val="000E32E1"/>
    <w:rsid w:val="000E39FD"/>
    <w:rsid w:val="000E4264"/>
    <w:rsid w:val="000E5AB7"/>
    <w:rsid w:val="000E6699"/>
    <w:rsid w:val="000E6EBC"/>
    <w:rsid w:val="000F00A7"/>
    <w:rsid w:val="000F078E"/>
    <w:rsid w:val="000F0E03"/>
    <w:rsid w:val="000F0F31"/>
    <w:rsid w:val="000F2088"/>
    <w:rsid w:val="000F2E4C"/>
    <w:rsid w:val="000F3020"/>
    <w:rsid w:val="000F5DA8"/>
    <w:rsid w:val="000F6298"/>
    <w:rsid w:val="000F695D"/>
    <w:rsid w:val="000F6A54"/>
    <w:rsid w:val="001003B5"/>
    <w:rsid w:val="00102140"/>
    <w:rsid w:val="00102C10"/>
    <w:rsid w:val="001030F4"/>
    <w:rsid w:val="001038EF"/>
    <w:rsid w:val="00103F51"/>
    <w:rsid w:val="001043FC"/>
    <w:rsid w:val="00106A21"/>
    <w:rsid w:val="001073D9"/>
    <w:rsid w:val="00107D67"/>
    <w:rsid w:val="00110762"/>
    <w:rsid w:val="0011087C"/>
    <w:rsid w:val="00111ED8"/>
    <w:rsid w:val="00113904"/>
    <w:rsid w:val="00113F0E"/>
    <w:rsid w:val="00114465"/>
    <w:rsid w:val="00114993"/>
    <w:rsid w:val="00114AA9"/>
    <w:rsid w:val="00115B88"/>
    <w:rsid w:val="00116252"/>
    <w:rsid w:val="001168C9"/>
    <w:rsid w:val="001178E4"/>
    <w:rsid w:val="001178FE"/>
    <w:rsid w:val="00117E00"/>
    <w:rsid w:val="0012106A"/>
    <w:rsid w:val="001210E9"/>
    <w:rsid w:val="00122B2D"/>
    <w:rsid w:val="00123AA6"/>
    <w:rsid w:val="00123C1E"/>
    <w:rsid w:val="00127A10"/>
    <w:rsid w:val="00127B70"/>
    <w:rsid w:val="00130B3C"/>
    <w:rsid w:val="00131CA0"/>
    <w:rsid w:val="001330E1"/>
    <w:rsid w:val="00133520"/>
    <w:rsid w:val="001363B2"/>
    <w:rsid w:val="00137290"/>
    <w:rsid w:val="00137837"/>
    <w:rsid w:val="00137892"/>
    <w:rsid w:val="00137DFB"/>
    <w:rsid w:val="00142C9C"/>
    <w:rsid w:val="00142FC4"/>
    <w:rsid w:val="00144AA3"/>
    <w:rsid w:val="001452E4"/>
    <w:rsid w:val="00146922"/>
    <w:rsid w:val="00150786"/>
    <w:rsid w:val="00151694"/>
    <w:rsid w:val="00152574"/>
    <w:rsid w:val="001529A0"/>
    <w:rsid w:val="00153C46"/>
    <w:rsid w:val="001559A6"/>
    <w:rsid w:val="00157439"/>
    <w:rsid w:val="00157C81"/>
    <w:rsid w:val="00157E30"/>
    <w:rsid w:val="00157E33"/>
    <w:rsid w:val="00160A29"/>
    <w:rsid w:val="0016110B"/>
    <w:rsid w:val="00162D53"/>
    <w:rsid w:val="00164220"/>
    <w:rsid w:val="00164A77"/>
    <w:rsid w:val="0016542A"/>
    <w:rsid w:val="001661C1"/>
    <w:rsid w:val="00166543"/>
    <w:rsid w:val="0016713E"/>
    <w:rsid w:val="001705C2"/>
    <w:rsid w:val="00170BB3"/>
    <w:rsid w:val="0017111A"/>
    <w:rsid w:val="00172F1B"/>
    <w:rsid w:val="00173FD2"/>
    <w:rsid w:val="001742D0"/>
    <w:rsid w:val="00175286"/>
    <w:rsid w:val="0017559B"/>
    <w:rsid w:val="001759C2"/>
    <w:rsid w:val="00175C21"/>
    <w:rsid w:val="00175DBA"/>
    <w:rsid w:val="001761C1"/>
    <w:rsid w:val="001763C5"/>
    <w:rsid w:val="00176CBD"/>
    <w:rsid w:val="0018012F"/>
    <w:rsid w:val="00180385"/>
    <w:rsid w:val="00180998"/>
    <w:rsid w:val="00180EE6"/>
    <w:rsid w:val="0018193D"/>
    <w:rsid w:val="00181996"/>
    <w:rsid w:val="00182D73"/>
    <w:rsid w:val="001832FE"/>
    <w:rsid w:val="00185205"/>
    <w:rsid w:val="0018628F"/>
    <w:rsid w:val="00186370"/>
    <w:rsid w:val="00186468"/>
    <w:rsid w:val="00186834"/>
    <w:rsid w:val="001873EF"/>
    <w:rsid w:val="00190ABA"/>
    <w:rsid w:val="00191679"/>
    <w:rsid w:val="001921B4"/>
    <w:rsid w:val="001928B3"/>
    <w:rsid w:val="001939E5"/>
    <w:rsid w:val="00193E4A"/>
    <w:rsid w:val="00194B35"/>
    <w:rsid w:val="00194F1C"/>
    <w:rsid w:val="001977BE"/>
    <w:rsid w:val="001A213D"/>
    <w:rsid w:val="001A27F2"/>
    <w:rsid w:val="001A4BE3"/>
    <w:rsid w:val="001A4E51"/>
    <w:rsid w:val="001A5BAA"/>
    <w:rsid w:val="001A666B"/>
    <w:rsid w:val="001A6841"/>
    <w:rsid w:val="001A6CF1"/>
    <w:rsid w:val="001A7588"/>
    <w:rsid w:val="001B3674"/>
    <w:rsid w:val="001B4BA1"/>
    <w:rsid w:val="001B4BC8"/>
    <w:rsid w:val="001B4F74"/>
    <w:rsid w:val="001B58A7"/>
    <w:rsid w:val="001C16FA"/>
    <w:rsid w:val="001C2942"/>
    <w:rsid w:val="001C2E15"/>
    <w:rsid w:val="001C394A"/>
    <w:rsid w:val="001C45AD"/>
    <w:rsid w:val="001C485C"/>
    <w:rsid w:val="001C583B"/>
    <w:rsid w:val="001C63DB"/>
    <w:rsid w:val="001C7E8B"/>
    <w:rsid w:val="001D3593"/>
    <w:rsid w:val="001D3801"/>
    <w:rsid w:val="001D4C2F"/>
    <w:rsid w:val="001D5195"/>
    <w:rsid w:val="001D54B5"/>
    <w:rsid w:val="001D67AD"/>
    <w:rsid w:val="001D7439"/>
    <w:rsid w:val="001D7F68"/>
    <w:rsid w:val="001E001B"/>
    <w:rsid w:val="001E0189"/>
    <w:rsid w:val="001E0E57"/>
    <w:rsid w:val="001E1260"/>
    <w:rsid w:val="001E173C"/>
    <w:rsid w:val="001E2E0D"/>
    <w:rsid w:val="001E3694"/>
    <w:rsid w:val="001E398F"/>
    <w:rsid w:val="001E3F89"/>
    <w:rsid w:val="001E48E9"/>
    <w:rsid w:val="001E4C09"/>
    <w:rsid w:val="001E577B"/>
    <w:rsid w:val="001E7B30"/>
    <w:rsid w:val="001F0CA0"/>
    <w:rsid w:val="001F1378"/>
    <w:rsid w:val="001F319D"/>
    <w:rsid w:val="001F320C"/>
    <w:rsid w:val="001F3328"/>
    <w:rsid w:val="001F361A"/>
    <w:rsid w:val="001F3D9D"/>
    <w:rsid w:val="001F4D8E"/>
    <w:rsid w:val="001F6889"/>
    <w:rsid w:val="001F6EDA"/>
    <w:rsid w:val="001F75C0"/>
    <w:rsid w:val="00200312"/>
    <w:rsid w:val="00200D10"/>
    <w:rsid w:val="00203D27"/>
    <w:rsid w:val="00203F45"/>
    <w:rsid w:val="002043D4"/>
    <w:rsid w:val="00206746"/>
    <w:rsid w:val="0021089C"/>
    <w:rsid w:val="00210A24"/>
    <w:rsid w:val="00210A2E"/>
    <w:rsid w:val="00213585"/>
    <w:rsid w:val="00214573"/>
    <w:rsid w:val="002145DC"/>
    <w:rsid w:val="00215BBD"/>
    <w:rsid w:val="00216A36"/>
    <w:rsid w:val="0022191A"/>
    <w:rsid w:val="0022279B"/>
    <w:rsid w:val="00223628"/>
    <w:rsid w:val="0022633B"/>
    <w:rsid w:val="002263DC"/>
    <w:rsid w:val="0022687E"/>
    <w:rsid w:val="0023073F"/>
    <w:rsid w:val="002308E6"/>
    <w:rsid w:val="0023124F"/>
    <w:rsid w:val="00231A41"/>
    <w:rsid w:val="0023268F"/>
    <w:rsid w:val="002335C5"/>
    <w:rsid w:val="0023604C"/>
    <w:rsid w:val="00236181"/>
    <w:rsid w:val="0023797F"/>
    <w:rsid w:val="002409F6"/>
    <w:rsid w:val="00243516"/>
    <w:rsid w:val="00244BA1"/>
    <w:rsid w:val="00245A6D"/>
    <w:rsid w:val="00245F2C"/>
    <w:rsid w:val="00247803"/>
    <w:rsid w:val="00251C2C"/>
    <w:rsid w:val="0025225D"/>
    <w:rsid w:val="002529CA"/>
    <w:rsid w:val="0025429C"/>
    <w:rsid w:val="00254D5A"/>
    <w:rsid w:val="00262375"/>
    <w:rsid w:val="00263098"/>
    <w:rsid w:val="00263B38"/>
    <w:rsid w:val="0026420F"/>
    <w:rsid w:val="002643AC"/>
    <w:rsid w:val="00265A03"/>
    <w:rsid w:val="002665E6"/>
    <w:rsid w:val="002666AA"/>
    <w:rsid w:val="00266BA1"/>
    <w:rsid w:val="00267615"/>
    <w:rsid w:val="00271AE9"/>
    <w:rsid w:val="002738D4"/>
    <w:rsid w:val="002752FC"/>
    <w:rsid w:val="002775D7"/>
    <w:rsid w:val="00277BE2"/>
    <w:rsid w:val="00281031"/>
    <w:rsid w:val="0028162E"/>
    <w:rsid w:val="0028490D"/>
    <w:rsid w:val="0028612E"/>
    <w:rsid w:val="0028696E"/>
    <w:rsid w:val="00286E64"/>
    <w:rsid w:val="00287720"/>
    <w:rsid w:val="0028774C"/>
    <w:rsid w:val="00287C9C"/>
    <w:rsid w:val="00290D7E"/>
    <w:rsid w:val="00292698"/>
    <w:rsid w:val="00294088"/>
    <w:rsid w:val="002943B4"/>
    <w:rsid w:val="00294FFD"/>
    <w:rsid w:val="00295265"/>
    <w:rsid w:val="002953FE"/>
    <w:rsid w:val="00296511"/>
    <w:rsid w:val="002A0777"/>
    <w:rsid w:val="002A333C"/>
    <w:rsid w:val="002A33AB"/>
    <w:rsid w:val="002A4A43"/>
    <w:rsid w:val="002A5715"/>
    <w:rsid w:val="002A5DA6"/>
    <w:rsid w:val="002A6213"/>
    <w:rsid w:val="002A6561"/>
    <w:rsid w:val="002B11A8"/>
    <w:rsid w:val="002B1E05"/>
    <w:rsid w:val="002B42CC"/>
    <w:rsid w:val="002B48EB"/>
    <w:rsid w:val="002B6AA6"/>
    <w:rsid w:val="002B7394"/>
    <w:rsid w:val="002B7685"/>
    <w:rsid w:val="002B7B79"/>
    <w:rsid w:val="002B7E2D"/>
    <w:rsid w:val="002C1353"/>
    <w:rsid w:val="002C1CBA"/>
    <w:rsid w:val="002C1EC1"/>
    <w:rsid w:val="002C53ED"/>
    <w:rsid w:val="002C54E7"/>
    <w:rsid w:val="002D0397"/>
    <w:rsid w:val="002D2356"/>
    <w:rsid w:val="002D2773"/>
    <w:rsid w:val="002D3B4E"/>
    <w:rsid w:val="002D529D"/>
    <w:rsid w:val="002D576F"/>
    <w:rsid w:val="002D6CEB"/>
    <w:rsid w:val="002D6DF4"/>
    <w:rsid w:val="002D793B"/>
    <w:rsid w:val="002E0711"/>
    <w:rsid w:val="002E1165"/>
    <w:rsid w:val="002E130E"/>
    <w:rsid w:val="002E2660"/>
    <w:rsid w:val="002E2935"/>
    <w:rsid w:val="002E3C80"/>
    <w:rsid w:val="002E487C"/>
    <w:rsid w:val="002E50FD"/>
    <w:rsid w:val="002E517D"/>
    <w:rsid w:val="002E6CE2"/>
    <w:rsid w:val="002E6DE6"/>
    <w:rsid w:val="002E7882"/>
    <w:rsid w:val="002E7908"/>
    <w:rsid w:val="002F0311"/>
    <w:rsid w:val="002F067B"/>
    <w:rsid w:val="002F16FE"/>
    <w:rsid w:val="002F1FBE"/>
    <w:rsid w:val="002F3685"/>
    <w:rsid w:val="002F4BD5"/>
    <w:rsid w:val="002F4D6B"/>
    <w:rsid w:val="002F4E9F"/>
    <w:rsid w:val="002F53F6"/>
    <w:rsid w:val="002F5507"/>
    <w:rsid w:val="002F6084"/>
    <w:rsid w:val="002F640C"/>
    <w:rsid w:val="002F6D4A"/>
    <w:rsid w:val="0030096B"/>
    <w:rsid w:val="0030124B"/>
    <w:rsid w:val="003015B9"/>
    <w:rsid w:val="00302272"/>
    <w:rsid w:val="0030329B"/>
    <w:rsid w:val="00303A0A"/>
    <w:rsid w:val="00304CA0"/>
    <w:rsid w:val="003069C9"/>
    <w:rsid w:val="003106C3"/>
    <w:rsid w:val="00310F4B"/>
    <w:rsid w:val="00311841"/>
    <w:rsid w:val="00311BE7"/>
    <w:rsid w:val="0031216F"/>
    <w:rsid w:val="00312565"/>
    <w:rsid w:val="003126CF"/>
    <w:rsid w:val="0031364F"/>
    <w:rsid w:val="003139CD"/>
    <w:rsid w:val="00313E72"/>
    <w:rsid w:val="00315070"/>
    <w:rsid w:val="003172A4"/>
    <w:rsid w:val="0032142F"/>
    <w:rsid w:val="00323FFF"/>
    <w:rsid w:val="00325C0E"/>
    <w:rsid w:val="00327C4C"/>
    <w:rsid w:val="00327F54"/>
    <w:rsid w:val="00330C33"/>
    <w:rsid w:val="0033158E"/>
    <w:rsid w:val="00331642"/>
    <w:rsid w:val="00331EC2"/>
    <w:rsid w:val="003321AC"/>
    <w:rsid w:val="00332DF2"/>
    <w:rsid w:val="003347B0"/>
    <w:rsid w:val="0033568F"/>
    <w:rsid w:val="0033713C"/>
    <w:rsid w:val="003379CD"/>
    <w:rsid w:val="003409E5"/>
    <w:rsid w:val="003415A8"/>
    <w:rsid w:val="0034190C"/>
    <w:rsid w:val="003436D7"/>
    <w:rsid w:val="00344409"/>
    <w:rsid w:val="003449CD"/>
    <w:rsid w:val="003463CA"/>
    <w:rsid w:val="00347984"/>
    <w:rsid w:val="003508FB"/>
    <w:rsid w:val="00352C8E"/>
    <w:rsid w:val="00352FF3"/>
    <w:rsid w:val="003531AF"/>
    <w:rsid w:val="003545B0"/>
    <w:rsid w:val="003546FF"/>
    <w:rsid w:val="003563CB"/>
    <w:rsid w:val="003563ED"/>
    <w:rsid w:val="00360498"/>
    <w:rsid w:val="00363306"/>
    <w:rsid w:val="00363943"/>
    <w:rsid w:val="00365AA8"/>
    <w:rsid w:val="00367D5A"/>
    <w:rsid w:val="0037193E"/>
    <w:rsid w:val="003730A9"/>
    <w:rsid w:val="00374AFA"/>
    <w:rsid w:val="00374B1E"/>
    <w:rsid w:val="0037564C"/>
    <w:rsid w:val="00376E6C"/>
    <w:rsid w:val="00376EEF"/>
    <w:rsid w:val="003775AC"/>
    <w:rsid w:val="003777C3"/>
    <w:rsid w:val="00377E02"/>
    <w:rsid w:val="003803B5"/>
    <w:rsid w:val="003823A6"/>
    <w:rsid w:val="00383FD4"/>
    <w:rsid w:val="00391535"/>
    <w:rsid w:val="0039259D"/>
    <w:rsid w:val="00392D79"/>
    <w:rsid w:val="0039375B"/>
    <w:rsid w:val="00394829"/>
    <w:rsid w:val="00396C80"/>
    <w:rsid w:val="00397F71"/>
    <w:rsid w:val="003A4095"/>
    <w:rsid w:val="003A45C8"/>
    <w:rsid w:val="003A477A"/>
    <w:rsid w:val="003A49B7"/>
    <w:rsid w:val="003A4AC4"/>
    <w:rsid w:val="003A5B06"/>
    <w:rsid w:val="003A67AF"/>
    <w:rsid w:val="003A6D84"/>
    <w:rsid w:val="003A6EC7"/>
    <w:rsid w:val="003B0013"/>
    <w:rsid w:val="003B2763"/>
    <w:rsid w:val="003B607F"/>
    <w:rsid w:val="003B717A"/>
    <w:rsid w:val="003B73F2"/>
    <w:rsid w:val="003B789B"/>
    <w:rsid w:val="003C00B5"/>
    <w:rsid w:val="003C00E6"/>
    <w:rsid w:val="003C0555"/>
    <w:rsid w:val="003C0A3D"/>
    <w:rsid w:val="003C0D26"/>
    <w:rsid w:val="003C2704"/>
    <w:rsid w:val="003C2CE9"/>
    <w:rsid w:val="003C30BD"/>
    <w:rsid w:val="003C45A3"/>
    <w:rsid w:val="003C49BF"/>
    <w:rsid w:val="003C72DF"/>
    <w:rsid w:val="003C7AB5"/>
    <w:rsid w:val="003D048D"/>
    <w:rsid w:val="003D0523"/>
    <w:rsid w:val="003D2C76"/>
    <w:rsid w:val="003D3050"/>
    <w:rsid w:val="003D6392"/>
    <w:rsid w:val="003D7A68"/>
    <w:rsid w:val="003D7C94"/>
    <w:rsid w:val="003E0161"/>
    <w:rsid w:val="003E07AE"/>
    <w:rsid w:val="003E0B81"/>
    <w:rsid w:val="003E1558"/>
    <w:rsid w:val="003E1C86"/>
    <w:rsid w:val="003E2714"/>
    <w:rsid w:val="003E2D3A"/>
    <w:rsid w:val="003E4421"/>
    <w:rsid w:val="003E4C6F"/>
    <w:rsid w:val="003E58BE"/>
    <w:rsid w:val="003E723E"/>
    <w:rsid w:val="003E7313"/>
    <w:rsid w:val="003E7CA0"/>
    <w:rsid w:val="003F1F1A"/>
    <w:rsid w:val="003F2DAF"/>
    <w:rsid w:val="003F325C"/>
    <w:rsid w:val="003F5DE1"/>
    <w:rsid w:val="003F7820"/>
    <w:rsid w:val="00400F37"/>
    <w:rsid w:val="00401008"/>
    <w:rsid w:val="0040125B"/>
    <w:rsid w:val="00401799"/>
    <w:rsid w:val="00403F12"/>
    <w:rsid w:val="00405FD3"/>
    <w:rsid w:val="004065E9"/>
    <w:rsid w:val="00406A11"/>
    <w:rsid w:val="00406B26"/>
    <w:rsid w:val="00407895"/>
    <w:rsid w:val="0041022F"/>
    <w:rsid w:val="00410D48"/>
    <w:rsid w:val="00411E45"/>
    <w:rsid w:val="00412C92"/>
    <w:rsid w:val="00412D06"/>
    <w:rsid w:val="00412E52"/>
    <w:rsid w:val="00412FDB"/>
    <w:rsid w:val="0041391B"/>
    <w:rsid w:val="00413A5D"/>
    <w:rsid w:val="0041409C"/>
    <w:rsid w:val="00414F4F"/>
    <w:rsid w:val="004151B5"/>
    <w:rsid w:val="004168ED"/>
    <w:rsid w:val="00420BE1"/>
    <w:rsid w:val="004211D6"/>
    <w:rsid w:val="00421392"/>
    <w:rsid w:val="00422BD6"/>
    <w:rsid w:val="00422C8E"/>
    <w:rsid w:val="00423D25"/>
    <w:rsid w:val="004246FC"/>
    <w:rsid w:val="00426077"/>
    <w:rsid w:val="00430023"/>
    <w:rsid w:val="00430EDF"/>
    <w:rsid w:val="00432073"/>
    <w:rsid w:val="00433DB7"/>
    <w:rsid w:val="0043430B"/>
    <w:rsid w:val="00437581"/>
    <w:rsid w:val="00437BAD"/>
    <w:rsid w:val="0044222F"/>
    <w:rsid w:val="0044244D"/>
    <w:rsid w:val="00442BC8"/>
    <w:rsid w:val="004433F4"/>
    <w:rsid w:val="00443F8A"/>
    <w:rsid w:val="00444992"/>
    <w:rsid w:val="0044549D"/>
    <w:rsid w:val="0044598E"/>
    <w:rsid w:val="00446898"/>
    <w:rsid w:val="00446AB7"/>
    <w:rsid w:val="00447E36"/>
    <w:rsid w:val="0045018B"/>
    <w:rsid w:val="00450272"/>
    <w:rsid w:val="0045325E"/>
    <w:rsid w:val="004542C8"/>
    <w:rsid w:val="00456599"/>
    <w:rsid w:val="0046014D"/>
    <w:rsid w:val="00460407"/>
    <w:rsid w:val="004606F7"/>
    <w:rsid w:val="0046098E"/>
    <w:rsid w:val="0046164A"/>
    <w:rsid w:val="004617A5"/>
    <w:rsid w:val="004623C4"/>
    <w:rsid w:val="00462AB2"/>
    <w:rsid w:val="00463C8A"/>
    <w:rsid w:val="00464856"/>
    <w:rsid w:val="00464CCE"/>
    <w:rsid w:val="00464DA2"/>
    <w:rsid w:val="004661E5"/>
    <w:rsid w:val="00470087"/>
    <w:rsid w:val="0047213F"/>
    <w:rsid w:val="00474A6B"/>
    <w:rsid w:val="0047577B"/>
    <w:rsid w:val="00475F52"/>
    <w:rsid w:val="00476D1F"/>
    <w:rsid w:val="00476E53"/>
    <w:rsid w:val="004774A6"/>
    <w:rsid w:val="004800A9"/>
    <w:rsid w:val="00482C24"/>
    <w:rsid w:val="00484C68"/>
    <w:rsid w:val="004853F7"/>
    <w:rsid w:val="00485A60"/>
    <w:rsid w:val="00485C80"/>
    <w:rsid w:val="004860BD"/>
    <w:rsid w:val="0048623D"/>
    <w:rsid w:val="004862F3"/>
    <w:rsid w:val="004868CD"/>
    <w:rsid w:val="0049041A"/>
    <w:rsid w:val="00490604"/>
    <w:rsid w:val="004941F0"/>
    <w:rsid w:val="004954B9"/>
    <w:rsid w:val="00495505"/>
    <w:rsid w:val="00495F8A"/>
    <w:rsid w:val="0049601E"/>
    <w:rsid w:val="00496229"/>
    <w:rsid w:val="00496DBE"/>
    <w:rsid w:val="004976AF"/>
    <w:rsid w:val="004A0C21"/>
    <w:rsid w:val="004A12F9"/>
    <w:rsid w:val="004A3B36"/>
    <w:rsid w:val="004A51BE"/>
    <w:rsid w:val="004A5227"/>
    <w:rsid w:val="004A6B9F"/>
    <w:rsid w:val="004B134E"/>
    <w:rsid w:val="004B22BF"/>
    <w:rsid w:val="004B2D2C"/>
    <w:rsid w:val="004B35D1"/>
    <w:rsid w:val="004B3763"/>
    <w:rsid w:val="004B38B7"/>
    <w:rsid w:val="004B4A9C"/>
    <w:rsid w:val="004B4FE1"/>
    <w:rsid w:val="004B53B6"/>
    <w:rsid w:val="004B5EA1"/>
    <w:rsid w:val="004B606D"/>
    <w:rsid w:val="004B6E5C"/>
    <w:rsid w:val="004C109D"/>
    <w:rsid w:val="004C1CFF"/>
    <w:rsid w:val="004C1D3E"/>
    <w:rsid w:val="004C2759"/>
    <w:rsid w:val="004C2CBE"/>
    <w:rsid w:val="004C3075"/>
    <w:rsid w:val="004C3161"/>
    <w:rsid w:val="004C39C5"/>
    <w:rsid w:val="004C5955"/>
    <w:rsid w:val="004C7591"/>
    <w:rsid w:val="004D0EC9"/>
    <w:rsid w:val="004D232F"/>
    <w:rsid w:val="004D3526"/>
    <w:rsid w:val="004D378E"/>
    <w:rsid w:val="004D4C46"/>
    <w:rsid w:val="004D5349"/>
    <w:rsid w:val="004D61AD"/>
    <w:rsid w:val="004D6B92"/>
    <w:rsid w:val="004D702C"/>
    <w:rsid w:val="004D70CC"/>
    <w:rsid w:val="004D7939"/>
    <w:rsid w:val="004E0280"/>
    <w:rsid w:val="004E319B"/>
    <w:rsid w:val="004E3A0A"/>
    <w:rsid w:val="004E3DD3"/>
    <w:rsid w:val="004E52CC"/>
    <w:rsid w:val="004E65C8"/>
    <w:rsid w:val="004E715F"/>
    <w:rsid w:val="004E78FD"/>
    <w:rsid w:val="004E7FE7"/>
    <w:rsid w:val="004F03A1"/>
    <w:rsid w:val="004F2595"/>
    <w:rsid w:val="004F4FDB"/>
    <w:rsid w:val="004F7632"/>
    <w:rsid w:val="00500E99"/>
    <w:rsid w:val="00502933"/>
    <w:rsid w:val="00502C45"/>
    <w:rsid w:val="00505692"/>
    <w:rsid w:val="005059C9"/>
    <w:rsid w:val="005069A2"/>
    <w:rsid w:val="005078AB"/>
    <w:rsid w:val="00512704"/>
    <w:rsid w:val="0051306E"/>
    <w:rsid w:val="005143F2"/>
    <w:rsid w:val="005144AA"/>
    <w:rsid w:val="00515990"/>
    <w:rsid w:val="00515DA6"/>
    <w:rsid w:val="00515F4F"/>
    <w:rsid w:val="005169BF"/>
    <w:rsid w:val="00516B82"/>
    <w:rsid w:val="00516C5C"/>
    <w:rsid w:val="00517A26"/>
    <w:rsid w:val="00520226"/>
    <w:rsid w:val="00520B99"/>
    <w:rsid w:val="00520D6D"/>
    <w:rsid w:val="00521E26"/>
    <w:rsid w:val="00521FA3"/>
    <w:rsid w:val="00525CBD"/>
    <w:rsid w:val="0052622D"/>
    <w:rsid w:val="005304F8"/>
    <w:rsid w:val="00530707"/>
    <w:rsid w:val="00531181"/>
    <w:rsid w:val="00532B81"/>
    <w:rsid w:val="0053307E"/>
    <w:rsid w:val="00533AE8"/>
    <w:rsid w:val="00534F9B"/>
    <w:rsid w:val="0053532D"/>
    <w:rsid w:val="005379F4"/>
    <w:rsid w:val="00541143"/>
    <w:rsid w:val="0054257D"/>
    <w:rsid w:val="00542591"/>
    <w:rsid w:val="00543114"/>
    <w:rsid w:val="00543313"/>
    <w:rsid w:val="00544052"/>
    <w:rsid w:val="00544FB7"/>
    <w:rsid w:val="005451E4"/>
    <w:rsid w:val="00545830"/>
    <w:rsid w:val="00546141"/>
    <w:rsid w:val="0054731A"/>
    <w:rsid w:val="00547C65"/>
    <w:rsid w:val="00550619"/>
    <w:rsid w:val="00551357"/>
    <w:rsid w:val="005527C3"/>
    <w:rsid w:val="00552D0A"/>
    <w:rsid w:val="005535E8"/>
    <w:rsid w:val="00553F63"/>
    <w:rsid w:val="00554458"/>
    <w:rsid w:val="00554620"/>
    <w:rsid w:val="00555B01"/>
    <w:rsid w:val="0055632A"/>
    <w:rsid w:val="0055699B"/>
    <w:rsid w:val="00563975"/>
    <w:rsid w:val="00563C9B"/>
    <w:rsid w:val="005661EC"/>
    <w:rsid w:val="00566D70"/>
    <w:rsid w:val="00567965"/>
    <w:rsid w:val="00570CFA"/>
    <w:rsid w:val="00570F42"/>
    <w:rsid w:val="00570F86"/>
    <w:rsid w:val="00571279"/>
    <w:rsid w:val="00572EED"/>
    <w:rsid w:val="00573137"/>
    <w:rsid w:val="00573449"/>
    <w:rsid w:val="0057476A"/>
    <w:rsid w:val="00574A49"/>
    <w:rsid w:val="00575512"/>
    <w:rsid w:val="00576312"/>
    <w:rsid w:val="00576C1D"/>
    <w:rsid w:val="005777D2"/>
    <w:rsid w:val="005804AD"/>
    <w:rsid w:val="00581ADC"/>
    <w:rsid w:val="00581F85"/>
    <w:rsid w:val="00582EEB"/>
    <w:rsid w:val="00583A8D"/>
    <w:rsid w:val="005857B8"/>
    <w:rsid w:val="00586723"/>
    <w:rsid w:val="00590039"/>
    <w:rsid w:val="00591966"/>
    <w:rsid w:val="00594A4E"/>
    <w:rsid w:val="00596028"/>
    <w:rsid w:val="00596D92"/>
    <w:rsid w:val="005A03A1"/>
    <w:rsid w:val="005A102C"/>
    <w:rsid w:val="005A2826"/>
    <w:rsid w:val="005A28FC"/>
    <w:rsid w:val="005A2F76"/>
    <w:rsid w:val="005A3657"/>
    <w:rsid w:val="005A3789"/>
    <w:rsid w:val="005A3901"/>
    <w:rsid w:val="005A5830"/>
    <w:rsid w:val="005A5F4E"/>
    <w:rsid w:val="005A5F96"/>
    <w:rsid w:val="005A5F99"/>
    <w:rsid w:val="005A626E"/>
    <w:rsid w:val="005A6E08"/>
    <w:rsid w:val="005A70DA"/>
    <w:rsid w:val="005B2563"/>
    <w:rsid w:val="005B2EDF"/>
    <w:rsid w:val="005B3596"/>
    <w:rsid w:val="005B3E73"/>
    <w:rsid w:val="005B3F38"/>
    <w:rsid w:val="005B7E1C"/>
    <w:rsid w:val="005C1808"/>
    <w:rsid w:val="005C2E71"/>
    <w:rsid w:val="005C553D"/>
    <w:rsid w:val="005C5650"/>
    <w:rsid w:val="005C7308"/>
    <w:rsid w:val="005D0716"/>
    <w:rsid w:val="005D0833"/>
    <w:rsid w:val="005D0CA0"/>
    <w:rsid w:val="005D120D"/>
    <w:rsid w:val="005D2610"/>
    <w:rsid w:val="005D4B3A"/>
    <w:rsid w:val="005D4FE0"/>
    <w:rsid w:val="005D5C6E"/>
    <w:rsid w:val="005D6D5F"/>
    <w:rsid w:val="005D6FFA"/>
    <w:rsid w:val="005D7D0D"/>
    <w:rsid w:val="005E0140"/>
    <w:rsid w:val="005E1BF7"/>
    <w:rsid w:val="005E4074"/>
    <w:rsid w:val="005E685A"/>
    <w:rsid w:val="005E6DD8"/>
    <w:rsid w:val="005E7238"/>
    <w:rsid w:val="005F000B"/>
    <w:rsid w:val="005F0DEE"/>
    <w:rsid w:val="005F158D"/>
    <w:rsid w:val="005F16C4"/>
    <w:rsid w:val="005F230F"/>
    <w:rsid w:val="005F6080"/>
    <w:rsid w:val="005F6933"/>
    <w:rsid w:val="005F693B"/>
    <w:rsid w:val="005F6C03"/>
    <w:rsid w:val="005F71B6"/>
    <w:rsid w:val="00601A3B"/>
    <w:rsid w:val="00602572"/>
    <w:rsid w:val="00602E7F"/>
    <w:rsid w:val="00603694"/>
    <w:rsid w:val="00604989"/>
    <w:rsid w:val="00606140"/>
    <w:rsid w:val="00606CDD"/>
    <w:rsid w:val="00607BD5"/>
    <w:rsid w:val="0061226C"/>
    <w:rsid w:val="00613111"/>
    <w:rsid w:val="0061381E"/>
    <w:rsid w:val="00613A00"/>
    <w:rsid w:val="00613B06"/>
    <w:rsid w:val="00613CEB"/>
    <w:rsid w:val="006140CB"/>
    <w:rsid w:val="00614169"/>
    <w:rsid w:val="006155F3"/>
    <w:rsid w:val="00616A5F"/>
    <w:rsid w:val="006171CE"/>
    <w:rsid w:val="006203A7"/>
    <w:rsid w:val="0062152B"/>
    <w:rsid w:val="00621752"/>
    <w:rsid w:val="006231C1"/>
    <w:rsid w:val="006233AA"/>
    <w:rsid w:val="00623F04"/>
    <w:rsid w:val="0062458B"/>
    <w:rsid w:val="006275E9"/>
    <w:rsid w:val="00630895"/>
    <w:rsid w:val="00631CC5"/>
    <w:rsid w:val="00633F85"/>
    <w:rsid w:val="0063416E"/>
    <w:rsid w:val="006345B7"/>
    <w:rsid w:val="0063641C"/>
    <w:rsid w:val="006379FA"/>
    <w:rsid w:val="00637B01"/>
    <w:rsid w:val="006405D2"/>
    <w:rsid w:val="00640F27"/>
    <w:rsid w:val="00641DB3"/>
    <w:rsid w:val="006424F8"/>
    <w:rsid w:val="00642601"/>
    <w:rsid w:val="006426A1"/>
    <w:rsid w:val="006451C1"/>
    <w:rsid w:val="006451C6"/>
    <w:rsid w:val="00646ADE"/>
    <w:rsid w:val="006474A3"/>
    <w:rsid w:val="00651205"/>
    <w:rsid w:val="00651765"/>
    <w:rsid w:val="00653978"/>
    <w:rsid w:val="006541AF"/>
    <w:rsid w:val="006543DD"/>
    <w:rsid w:val="00654E14"/>
    <w:rsid w:val="0065505E"/>
    <w:rsid w:val="006553C4"/>
    <w:rsid w:val="00655713"/>
    <w:rsid w:val="006560C8"/>
    <w:rsid w:val="00657403"/>
    <w:rsid w:val="006574CE"/>
    <w:rsid w:val="006575E2"/>
    <w:rsid w:val="006602BE"/>
    <w:rsid w:val="0066040C"/>
    <w:rsid w:val="0066379A"/>
    <w:rsid w:val="006641E2"/>
    <w:rsid w:val="00666113"/>
    <w:rsid w:val="00666B4B"/>
    <w:rsid w:val="006672FA"/>
    <w:rsid w:val="006702B9"/>
    <w:rsid w:val="00671893"/>
    <w:rsid w:val="00671C20"/>
    <w:rsid w:val="00672C49"/>
    <w:rsid w:val="006739F6"/>
    <w:rsid w:val="006742D5"/>
    <w:rsid w:val="006754C7"/>
    <w:rsid w:val="00676F15"/>
    <w:rsid w:val="00677807"/>
    <w:rsid w:val="006802EF"/>
    <w:rsid w:val="00680755"/>
    <w:rsid w:val="00680A3D"/>
    <w:rsid w:val="00680D57"/>
    <w:rsid w:val="00681045"/>
    <w:rsid w:val="006812D4"/>
    <w:rsid w:val="00682661"/>
    <w:rsid w:val="006834E3"/>
    <w:rsid w:val="0068409F"/>
    <w:rsid w:val="00684A5F"/>
    <w:rsid w:val="00686C80"/>
    <w:rsid w:val="00690A3E"/>
    <w:rsid w:val="00692150"/>
    <w:rsid w:val="00694888"/>
    <w:rsid w:val="006948C8"/>
    <w:rsid w:val="00694D05"/>
    <w:rsid w:val="00695147"/>
    <w:rsid w:val="006977F7"/>
    <w:rsid w:val="00697B1B"/>
    <w:rsid w:val="006A0201"/>
    <w:rsid w:val="006A0877"/>
    <w:rsid w:val="006A119A"/>
    <w:rsid w:val="006A2A68"/>
    <w:rsid w:val="006A45D2"/>
    <w:rsid w:val="006A5DE7"/>
    <w:rsid w:val="006A612D"/>
    <w:rsid w:val="006A7425"/>
    <w:rsid w:val="006A7EBC"/>
    <w:rsid w:val="006B1CF1"/>
    <w:rsid w:val="006B23FA"/>
    <w:rsid w:val="006B313B"/>
    <w:rsid w:val="006B316A"/>
    <w:rsid w:val="006B326F"/>
    <w:rsid w:val="006B402D"/>
    <w:rsid w:val="006B42ED"/>
    <w:rsid w:val="006B45C4"/>
    <w:rsid w:val="006B54E1"/>
    <w:rsid w:val="006B55A0"/>
    <w:rsid w:val="006B782D"/>
    <w:rsid w:val="006B7A5E"/>
    <w:rsid w:val="006C0D06"/>
    <w:rsid w:val="006C2B6B"/>
    <w:rsid w:val="006C313E"/>
    <w:rsid w:val="006C48C1"/>
    <w:rsid w:val="006C496F"/>
    <w:rsid w:val="006C54E4"/>
    <w:rsid w:val="006C6EA6"/>
    <w:rsid w:val="006C7220"/>
    <w:rsid w:val="006D108A"/>
    <w:rsid w:val="006D1177"/>
    <w:rsid w:val="006D1257"/>
    <w:rsid w:val="006D4E96"/>
    <w:rsid w:val="006D543E"/>
    <w:rsid w:val="006D6AAB"/>
    <w:rsid w:val="006D6BE3"/>
    <w:rsid w:val="006D7168"/>
    <w:rsid w:val="006D7CF2"/>
    <w:rsid w:val="006D7D27"/>
    <w:rsid w:val="006E0089"/>
    <w:rsid w:val="006E2225"/>
    <w:rsid w:val="006E26A2"/>
    <w:rsid w:val="006E34FE"/>
    <w:rsid w:val="006E355E"/>
    <w:rsid w:val="006E3A0C"/>
    <w:rsid w:val="006E4F05"/>
    <w:rsid w:val="006E5BC5"/>
    <w:rsid w:val="006E66D9"/>
    <w:rsid w:val="006E731B"/>
    <w:rsid w:val="006E7F3B"/>
    <w:rsid w:val="006F0011"/>
    <w:rsid w:val="006F02D3"/>
    <w:rsid w:val="006F2B35"/>
    <w:rsid w:val="006F30C8"/>
    <w:rsid w:val="006F464A"/>
    <w:rsid w:val="006F4B36"/>
    <w:rsid w:val="006F7C10"/>
    <w:rsid w:val="006F7D1C"/>
    <w:rsid w:val="0070033A"/>
    <w:rsid w:val="00700AFE"/>
    <w:rsid w:val="00705384"/>
    <w:rsid w:val="00705485"/>
    <w:rsid w:val="007063EE"/>
    <w:rsid w:val="00707355"/>
    <w:rsid w:val="00707445"/>
    <w:rsid w:val="00710EEF"/>
    <w:rsid w:val="00712E68"/>
    <w:rsid w:val="00714B52"/>
    <w:rsid w:val="007157EF"/>
    <w:rsid w:val="00715855"/>
    <w:rsid w:val="00715B67"/>
    <w:rsid w:val="00715C31"/>
    <w:rsid w:val="00715F60"/>
    <w:rsid w:val="00717987"/>
    <w:rsid w:val="007200CD"/>
    <w:rsid w:val="007203E5"/>
    <w:rsid w:val="00721DD7"/>
    <w:rsid w:val="00721DDE"/>
    <w:rsid w:val="00721FF2"/>
    <w:rsid w:val="0072292F"/>
    <w:rsid w:val="007229BB"/>
    <w:rsid w:val="00723D4E"/>
    <w:rsid w:val="0072468D"/>
    <w:rsid w:val="00724B99"/>
    <w:rsid w:val="00724DDD"/>
    <w:rsid w:val="00725E77"/>
    <w:rsid w:val="00726320"/>
    <w:rsid w:val="007324E5"/>
    <w:rsid w:val="00732BFA"/>
    <w:rsid w:val="00733204"/>
    <w:rsid w:val="0073320E"/>
    <w:rsid w:val="007339EE"/>
    <w:rsid w:val="007340D9"/>
    <w:rsid w:val="007341E8"/>
    <w:rsid w:val="00734F3E"/>
    <w:rsid w:val="007359B3"/>
    <w:rsid w:val="00735F58"/>
    <w:rsid w:val="00740E4A"/>
    <w:rsid w:val="007414AF"/>
    <w:rsid w:val="00742B1B"/>
    <w:rsid w:val="00744207"/>
    <w:rsid w:val="007445A4"/>
    <w:rsid w:val="0074461E"/>
    <w:rsid w:val="00745224"/>
    <w:rsid w:val="00745520"/>
    <w:rsid w:val="0074572E"/>
    <w:rsid w:val="007467AB"/>
    <w:rsid w:val="00747C7A"/>
    <w:rsid w:val="007538A4"/>
    <w:rsid w:val="00753E35"/>
    <w:rsid w:val="0075541E"/>
    <w:rsid w:val="00755F73"/>
    <w:rsid w:val="00756033"/>
    <w:rsid w:val="007564A3"/>
    <w:rsid w:val="00756553"/>
    <w:rsid w:val="00761B8D"/>
    <w:rsid w:val="007625D2"/>
    <w:rsid w:val="00762754"/>
    <w:rsid w:val="00762EFC"/>
    <w:rsid w:val="00762F62"/>
    <w:rsid w:val="007632AE"/>
    <w:rsid w:val="00763B3A"/>
    <w:rsid w:val="0076555B"/>
    <w:rsid w:val="007655E1"/>
    <w:rsid w:val="007666E6"/>
    <w:rsid w:val="00766E7C"/>
    <w:rsid w:val="00767D75"/>
    <w:rsid w:val="007705E7"/>
    <w:rsid w:val="007724BA"/>
    <w:rsid w:val="00772617"/>
    <w:rsid w:val="0077275E"/>
    <w:rsid w:val="007729E2"/>
    <w:rsid w:val="007738AA"/>
    <w:rsid w:val="007752C3"/>
    <w:rsid w:val="00776B68"/>
    <w:rsid w:val="00780005"/>
    <w:rsid w:val="007807FA"/>
    <w:rsid w:val="00780B68"/>
    <w:rsid w:val="007820F6"/>
    <w:rsid w:val="00782E73"/>
    <w:rsid w:val="007845F0"/>
    <w:rsid w:val="00784B2C"/>
    <w:rsid w:val="0078516A"/>
    <w:rsid w:val="0078545E"/>
    <w:rsid w:val="00785665"/>
    <w:rsid w:val="0078655F"/>
    <w:rsid w:val="00787AFC"/>
    <w:rsid w:val="00790E97"/>
    <w:rsid w:val="00791B2A"/>
    <w:rsid w:val="007923FC"/>
    <w:rsid w:val="00793D62"/>
    <w:rsid w:val="007958E7"/>
    <w:rsid w:val="00796FE3"/>
    <w:rsid w:val="0079784D"/>
    <w:rsid w:val="007A0A14"/>
    <w:rsid w:val="007A1096"/>
    <w:rsid w:val="007A2194"/>
    <w:rsid w:val="007A2C31"/>
    <w:rsid w:val="007A36B1"/>
    <w:rsid w:val="007A3C77"/>
    <w:rsid w:val="007A5EE9"/>
    <w:rsid w:val="007A67FF"/>
    <w:rsid w:val="007A6B79"/>
    <w:rsid w:val="007A7C1E"/>
    <w:rsid w:val="007A7E86"/>
    <w:rsid w:val="007B0D48"/>
    <w:rsid w:val="007B147E"/>
    <w:rsid w:val="007B3DBA"/>
    <w:rsid w:val="007B3EC8"/>
    <w:rsid w:val="007B45D9"/>
    <w:rsid w:val="007B4D07"/>
    <w:rsid w:val="007B4E37"/>
    <w:rsid w:val="007B560E"/>
    <w:rsid w:val="007B5786"/>
    <w:rsid w:val="007B58AB"/>
    <w:rsid w:val="007B5982"/>
    <w:rsid w:val="007B622F"/>
    <w:rsid w:val="007B6689"/>
    <w:rsid w:val="007B78CF"/>
    <w:rsid w:val="007C0AEE"/>
    <w:rsid w:val="007C0C6B"/>
    <w:rsid w:val="007C1AE8"/>
    <w:rsid w:val="007C3717"/>
    <w:rsid w:val="007C4CEF"/>
    <w:rsid w:val="007C6A75"/>
    <w:rsid w:val="007C6B93"/>
    <w:rsid w:val="007C6D71"/>
    <w:rsid w:val="007C7FDD"/>
    <w:rsid w:val="007D172E"/>
    <w:rsid w:val="007D1F8D"/>
    <w:rsid w:val="007D2368"/>
    <w:rsid w:val="007D329A"/>
    <w:rsid w:val="007D353C"/>
    <w:rsid w:val="007D3936"/>
    <w:rsid w:val="007D3DEF"/>
    <w:rsid w:val="007D4604"/>
    <w:rsid w:val="007D48DC"/>
    <w:rsid w:val="007D507D"/>
    <w:rsid w:val="007E2170"/>
    <w:rsid w:val="007E2C56"/>
    <w:rsid w:val="007E36ED"/>
    <w:rsid w:val="007E4020"/>
    <w:rsid w:val="007E4122"/>
    <w:rsid w:val="007E5A57"/>
    <w:rsid w:val="007E7D1E"/>
    <w:rsid w:val="007F31EB"/>
    <w:rsid w:val="007F35BF"/>
    <w:rsid w:val="007F38A6"/>
    <w:rsid w:val="007F46DC"/>
    <w:rsid w:val="007F54B5"/>
    <w:rsid w:val="007F59A2"/>
    <w:rsid w:val="007F6E61"/>
    <w:rsid w:val="007F7758"/>
    <w:rsid w:val="007F7CB2"/>
    <w:rsid w:val="007F7EB3"/>
    <w:rsid w:val="00801CAD"/>
    <w:rsid w:val="008043FA"/>
    <w:rsid w:val="00804EC5"/>
    <w:rsid w:val="00807B14"/>
    <w:rsid w:val="0081023A"/>
    <w:rsid w:val="0081089F"/>
    <w:rsid w:val="00811638"/>
    <w:rsid w:val="0081257E"/>
    <w:rsid w:val="00812A67"/>
    <w:rsid w:val="00812EF0"/>
    <w:rsid w:val="00814636"/>
    <w:rsid w:val="00814D6D"/>
    <w:rsid w:val="008157DF"/>
    <w:rsid w:val="00815922"/>
    <w:rsid w:val="008206AE"/>
    <w:rsid w:val="00820DA0"/>
    <w:rsid w:val="00821138"/>
    <w:rsid w:val="00821C6D"/>
    <w:rsid w:val="00822AD5"/>
    <w:rsid w:val="00822CE5"/>
    <w:rsid w:val="008268A5"/>
    <w:rsid w:val="00827DC1"/>
    <w:rsid w:val="008306C4"/>
    <w:rsid w:val="008326E2"/>
    <w:rsid w:val="00833850"/>
    <w:rsid w:val="008358ED"/>
    <w:rsid w:val="00835E74"/>
    <w:rsid w:val="00836856"/>
    <w:rsid w:val="0084357C"/>
    <w:rsid w:val="00843BB2"/>
    <w:rsid w:val="00844A40"/>
    <w:rsid w:val="00846A02"/>
    <w:rsid w:val="00846DD9"/>
    <w:rsid w:val="008479C3"/>
    <w:rsid w:val="00850067"/>
    <w:rsid w:val="008511CD"/>
    <w:rsid w:val="00851CE8"/>
    <w:rsid w:val="0085208E"/>
    <w:rsid w:val="00853652"/>
    <w:rsid w:val="00854025"/>
    <w:rsid w:val="0085424D"/>
    <w:rsid w:val="00856541"/>
    <w:rsid w:val="00856C64"/>
    <w:rsid w:val="0085764A"/>
    <w:rsid w:val="008611C8"/>
    <w:rsid w:val="00861B5D"/>
    <w:rsid w:val="00862F40"/>
    <w:rsid w:val="008640FA"/>
    <w:rsid w:val="00864EFD"/>
    <w:rsid w:val="0086662B"/>
    <w:rsid w:val="0087048A"/>
    <w:rsid w:val="00870FB0"/>
    <w:rsid w:val="008718CC"/>
    <w:rsid w:val="0087262F"/>
    <w:rsid w:val="00872795"/>
    <w:rsid w:val="00873293"/>
    <w:rsid w:val="00873BA1"/>
    <w:rsid w:val="00873F3D"/>
    <w:rsid w:val="00874401"/>
    <w:rsid w:val="00874DFB"/>
    <w:rsid w:val="00875872"/>
    <w:rsid w:val="0087754F"/>
    <w:rsid w:val="00877BE1"/>
    <w:rsid w:val="0088071A"/>
    <w:rsid w:val="00881954"/>
    <w:rsid w:val="008838C4"/>
    <w:rsid w:val="00884AD1"/>
    <w:rsid w:val="00885D39"/>
    <w:rsid w:val="00885E41"/>
    <w:rsid w:val="00885F36"/>
    <w:rsid w:val="0088699A"/>
    <w:rsid w:val="0088731C"/>
    <w:rsid w:val="00890771"/>
    <w:rsid w:val="00891074"/>
    <w:rsid w:val="008921E0"/>
    <w:rsid w:val="00892718"/>
    <w:rsid w:val="008927EC"/>
    <w:rsid w:val="00892A6A"/>
    <w:rsid w:val="00893C0E"/>
    <w:rsid w:val="00894E90"/>
    <w:rsid w:val="008951EC"/>
    <w:rsid w:val="00895506"/>
    <w:rsid w:val="008955BA"/>
    <w:rsid w:val="008959DD"/>
    <w:rsid w:val="00896159"/>
    <w:rsid w:val="00896F85"/>
    <w:rsid w:val="00897600"/>
    <w:rsid w:val="008976DE"/>
    <w:rsid w:val="008A0CB8"/>
    <w:rsid w:val="008A1230"/>
    <w:rsid w:val="008A168E"/>
    <w:rsid w:val="008A1FA7"/>
    <w:rsid w:val="008A289F"/>
    <w:rsid w:val="008A2F5F"/>
    <w:rsid w:val="008A66E4"/>
    <w:rsid w:val="008A744C"/>
    <w:rsid w:val="008B0D42"/>
    <w:rsid w:val="008B1D1E"/>
    <w:rsid w:val="008B2C7D"/>
    <w:rsid w:val="008B2C89"/>
    <w:rsid w:val="008B4450"/>
    <w:rsid w:val="008B68A0"/>
    <w:rsid w:val="008C1317"/>
    <w:rsid w:val="008C1B4C"/>
    <w:rsid w:val="008C1FD3"/>
    <w:rsid w:val="008C329A"/>
    <w:rsid w:val="008C3901"/>
    <w:rsid w:val="008C3B4E"/>
    <w:rsid w:val="008C4028"/>
    <w:rsid w:val="008C46A0"/>
    <w:rsid w:val="008C71B7"/>
    <w:rsid w:val="008C737B"/>
    <w:rsid w:val="008D0005"/>
    <w:rsid w:val="008D286C"/>
    <w:rsid w:val="008D353C"/>
    <w:rsid w:val="008D419C"/>
    <w:rsid w:val="008D6602"/>
    <w:rsid w:val="008D6972"/>
    <w:rsid w:val="008D7242"/>
    <w:rsid w:val="008E0070"/>
    <w:rsid w:val="008E2A03"/>
    <w:rsid w:val="008E3539"/>
    <w:rsid w:val="008E4BC8"/>
    <w:rsid w:val="008E4EAF"/>
    <w:rsid w:val="008E59BA"/>
    <w:rsid w:val="008E5DE3"/>
    <w:rsid w:val="008E6B6C"/>
    <w:rsid w:val="008F1130"/>
    <w:rsid w:val="008F1551"/>
    <w:rsid w:val="008F1E73"/>
    <w:rsid w:val="008F2C2D"/>
    <w:rsid w:val="008F2DCE"/>
    <w:rsid w:val="008F385A"/>
    <w:rsid w:val="008F3E7B"/>
    <w:rsid w:val="008F4AD4"/>
    <w:rsid w:val="008F4FCA"/>
    <w:rsid w:val="008F56DA"/>
    <w:rsid w:val="008F67A7"/>
    <w:rsid w:val="009025A1"/>
    <w:rsid w:val="00903D9D"/>
    <w:rsid w:val="009061FB"/>
    <w:rsid w:val="00911737"/>
    <w:rsid w:val="009142D7"/>
    <w:rsid w:val="00914D2A"/>
    <w:rsid w:val="00914E1C"/>
    <w:rsid w:val="00914EAD"/>
    <w:rsid w:val="0091574A"/>
    <w:rsid w:val="00915AB9"/>
    <w:rsid w:val="00917077"/>
    <w:rsid w:val="00920691"/>
    <w:rsid w:val="00920AC6"/>
    <w:rsid w:val="00920D92"/>
    <w:rsid w:val="0092138F"/>
    <w:rsid w:val="00922B1B"/>
    <w:rsid w:val="00922BCD"/>
    <w:rsid w:val="009231A4"/>
    <w:rsid w:val="00924D9D"/>
    <w:rsid w:val="00926248"/>
    <w:rsid w:val="009266F2"/>
    <w:rsid w:val="009303B1"/>
    <w:rsid w:val="0093054C"/>
    <w:rsid w:val="00930571"/>
    <w:rsid w:val="00931612"/>
    <w:rsid w:val="00931B00"/>
    <w:rsid w:val="00931C0E"/>
    <w:rsid w:val="00932153"/>
    <w:rsid w:val="00932D60"/>
    <w:rsid w:val="009340B7"/>
    <w:rsid w:val="009359F9"/>
    <w:rsid w:val="009366D8"/>
    <w:rsid w:val="009402D7"/>
    <w:rsid w:val="00942134"/>
    <w:rsid w:val="009424B5"/>
    <w:rsid w:val="00942583"/>
    <w:rsid w:val="0094329E"/>
    <w:rsid w:val="009462DE"/>
    <w:rsid w:val="00950D06"/>
    <w:rsid w:val="009512D3"/>
    <w:rsid w:val="0095190F"/>
    <w:rsid w:val="00952387"/>
    <w:rsid w:val="00953166"/>
    <w:rsid w:val="00953DAB"/>
    <w:rsid w:val="00953F0C"/>
    <w:rsid w:val="00955436"/>
    <w:rsid w:val="00956BF2"/>
    <w:rsid w:val="00956F9A"/>
    <w:rsid w:val="00956FB8"/>
    <w:rsid w:val="00960516"/>
    <w:rsid w:val="00961654"/>
    <w:rsid w:val="0096220F"/>
    <w:rsid w:val="00963067"/>
    <w:rsid w:val="00963793"/>
    <w:rsid w:val="00964D3A"/>
    <w:rsid w:val="00965D1C"/>
    <w:rsid w:val="00966A2C"/>
    <w:rsid w:val="00967E03"/>
    <w:rsid w:val="00970BC2"/>
    <w:rsid w:val="00970D5D"/>
    <w:rsid w:val="00970FF0"/>
    <w:rsid w:val="00971146"/>
    <w:rsid w:val="0097121C"/>
    <w:rsid w:val="00971261"/>
    <w:rsid w:val="009712A5"/>
    <w:rsid w:val="0097210E"/>
    <w:rsid w:val="00974BF0"/>
    <w:rsid w:val="00975164"/>
    <w:rsid w:val="00975572"/>
    <w:rsid w:val="00976415"/>
    <w:rsid w:val="00976FC7"/>
    <w:rsid w:val="0097727E"/>
    <w:rsid w:val="0097758E"/>
    <w:rsid w:val="00981FC0"/>
    <w:rsid w:val="009827BA"/>
    <w:rsid w:val="00982AE1"/>
    <w:rsid w:val="0098366C"/>
    <w:rsid w:val="00984764"/>
    <w:rsid w:val="00985C98"/>
    <w:rsid w:val="00985DB9"/>
    <w:rsid w:val="009862F2"/>
    <w:rsid w:val="00991811"/>
    <w:rsid w:val="0099669B"/>
    <w:rsid w:val="00996955"/>
    <w:rsid w:val="009A031D"/>
    <w:rsid w:val="009A24C3"/>
    <w:rsid w:val="009A276B"/>
    <w:rsid w:val="009A2D2A"/>
    <w:rsid w:val="009A325A"/>
    <w:rsid w:val="009A32A3"/>
    <w:rsid w:val="009A477D"/>
    <w:rsid w:val="009A56EF"/>
    <w:rsid w:val="009A5D0F"/>
    <w:rsid w:val="009A61B2"/>
    <w:rsid w:val="009A65A8"/>
    <w:rsid w:val="009A69F4"/>
    <w:rsid w:val="009A6BD1"/>
    <w:rsid w:val="009B04E6"/>
    <w:rsid w:val="009B05FF"/>
    <w:rsid w:val="009B0C48"/>
    <w:rsid w:val="009B163B"/>
    <w:rsid w:val="009B257A"/>
    <w:rsid w:val="009B37E1"/>
    <w:rsid w:val="009B4AE3"/>
    <w:rsid w:val="009B589C"/>
    <w:rsid w:val="009B5F57"/>
    <w:rsid w:val="009B7D39"/>
    <w:rsid w:val="009C09BC"/>
    <w:rsid w:val="009C168C"/>
    <w:rsid w:val="009C1F83"/>
    <w:rsid w:val="009C2CC6"/>
    <w:rsid w:val="009C3254"/>
    <w:rsid w:val="009C3B1D"/>
    <w:rsid w:val="009C495F"/>
    <w:rsid w:val="009C5288"/>
    <w:rsid w:val="009C5EB2"/>
    <w:rsid w:val="009C6984"/>
    <w:rsid w:val="009D0EFC"/>
    <w:rsid w:val="009D0FE5"/>
    <w:rsid w:val="009D2578"/>
    <w:rsid w:val="009D2E9D"/>
    <w:rsid w:val="009D5E46"/>
    <w:rsid w:val="009D6F37"/>
    <w:rsid w:val="009E27DF"/>
    <w:rsid w:val="009E354C"/>
    <w:rsid w:val="009E4B07"/>
    <w:rsid w:val="009E59EC"/>
    <w:rsid w:val="009E5D21"/>
    <w:rsid w:val="009E615A"/>
    <w:rsid w:val="009E6E0D"/>
    <w:rsid w:val="009E7BDA"/>
    <w:rsid w:val="009F09E3"/>
    <w:rsid w:val="009F0E0A"/>
    <w:rsid w:val="009F0EE4"/>
    <w:rsid w:val="009F0F79"/>
    <w:rsid w:val="009F1416"/>
    <w:rsid w:val="009F15E9"/>
    <w:rsid w:val="009F2A57"/>
    <w:rsid w:val="009F319A"/>
    <w:rsid w:val="009F32FD"/>
    <w:rsid w:val="009F34A8"/>
    <w:rsid w:val="009F5280"/>
    <w:rsid w:val="009F6900"/>
    <w:rsid w:val="009F72C4"/>
    <w:rsid w:val="009F7586"/>
    <w:rsid w:val="00A0179D"/>
    <w:rsid w:val="00A02BB9"/>
    <w:rsid w:val="00A0418D"/>
    <w:rsid w:val="00A04508"/>
    <w:rsid w:val="00A046EF"/>
    <w:rsid w:val="00A052C3"/>
    <w:rsid w:val="00A0584B"/>
    <w:rsid w:val="00A07C54"/>
    <w:rsid w:val="00A10D7C"/>
    <w:rsid w:val="00A11767"/>
    <w:rsid w:val="00A130BE"/>
    <w:rsid w:val="00A131A0"/>
    <w:rsid w:val="00A13444"/>
    <w:rsid w:val="00A15DCD"/>
    <w:rsid w:val="00A162F9"/>
    <w:rsid w:val="00A16547"/>
    <w:rsid w:val="00A17E92"/>
    <w:rsid w:val="00A17F2D"/>
    <w:rsid w:val="00A2153D"/>
    <w:rsid w:val="00A22518"/>
    <w:rsid w:val="00A2305B"/>
    <w:rsid w:val="00A24204"/>
    <w:rsid w:val="00A255C3"/>
    <w:rsid w:val="00A26A48"/>
    <w:rsid w:val="00A30069"/>
    <w:rsid w:val="00A30569"/>
    <w:rsid w:val="00A30D17"/>
    <w:rsid w:val="00A30F9E"/>
    <w:rsid w:val="00A3195C"/>
    <w:rsid w:val="00A346D4"/>
    <w:rsid w:val="00A35E69"/>
    <w:rsid w:val="00A362F1"/>
    <w:rsid w:val="00A36BF9"/>
    <w:rsid w:val="00A36D87"/>
    <w:rsid w:val="00A37B75"/>
    <w:rsid w:val="00A4060A"/>
    <w:rsid w:val="00A407F7"/>
    <w:rsid w:val="00A428A7"/>
    <w:rsid w:val="00A42911"/>
    <w:rsid w:val="00A4413C"/>
    <w:rsid w:val="00A44B8A"/>
    <w:rsid w:val="00A44C87"/>
    <w:rsid w:val="00A45761"/>
    <w:rsid w:val="00A4676F"/>
    <w:rsid w:val="00A467A4"/>
    <w:rsid w:val="00A46B09"/>
    <w:rsid w:val="00A46B47"/>
    <w:rsid w:val="00A5113A"/>
    <w:rsid w:val="00A51531"/>
    <w:rsid w:val="00A52D41"/>
    <w:rsid w:val="00A536FE"/>
    <w:rsid w:val="00A5391E"/>
    <w:rsid w:val="00A5396C"/>
    <w:rsid w:val="00A53AC6"/>
    <w:rsid w:val="00A5485E"/>
    <w:rsid w:val="00A55F1D"/>
    <w:rsid w:val="00A56D86"/>
    <w:rsid w:val="00A57A1C"/>
    <w:rsid w:val="00A60CB7"/>
    <w:rsid w:val="00A614F8"/>
    <w:rsid w:val="00A62B1B"/>
    <w:rsid w:val="00A6441C"/>
    <w:rsid w:val="00A6506B"/>
    <w:rsid w:val="00A653B5"/>
    <w:rsid w:val="00A66290"/>
    <w:rsid w:val="00A67058"/>
    <w:rsid w:val="00A7031F"/>
    <w:rsid w:val="00A71BBB"/>
    <w:rsid w:val="00A72958"/>
    <w:rsid w:val="00A72A28"/>
    <w:rsid w:val="00A72DA9"/>
    <w:rsid w:val="00A73BE7"/>
    <w:rsid w:val="00A74F30"/>
    <w:rsid w:val="00A75097"/>
    <w:rsid w:val="00A767BC"/>
    <w:rsid w:val="00A770F1"/>
    <w:rsid w:val="00A772B4"/>
    <w:rsid w:val="00A77A8C"/>
    <w:rsid w:val="00A77B78"/>
    <w:rsid w:val="00A77D94"/>
    <w:rsid w:val="00A80AEE"/>
    <w:rsid w:val="00A81492"/>
    <w:rsid w:val="00A81A5B"/>
    <w:rsid w:val="00A82465"/>
    <w:rsid w:val="00A8279C"/>
    <w:rsid w:val="00A827E7"/>
    <w:rsid w:val="00A83176"/>
    <w:rsid w:val="00A83678"/>
    <w:rsid w:val="00A84EBF"/>
    <w:rsid w:val="00A85583"/>
    <w:rsid w:val="00A85C1D"/>
    <w:rsid w:val="00A85C84"/>
    <w:rsid w:val="00A87E56"/>
    <w:rsid w:val="00A87F68"/>
    <w:rsid w:val="00A9098D"/>
    <w:rsid w:val="00A9120E"/>
    <w:rsid w:val="00A9121B"/>
    <w:rsid w:val="00A915FC"/>
    <w:rsid w:val="00A918AD"/>
    <w:rsid w:val="00A91E76"/>
    <w:rsid w:val="00A92991"/>
    <w:rsid w:val="00A9359B"/>
    <w:rsid w:val="00A943FF"/>
    <w:rsid w:val="00A951B8"/>
    <w:rsid w:val="00A9659D"/>
    <w:rsid w:val="00A965C0"/>
    <w:rsid w:val="00A97F52"/>
    <w:rsid w:val="00AA00AD"/>
    <w:rsid w:val="00AA05A7"/>
    <w:rsid w:val="00AA1CFC"/>
    <w:rsid w:val="00AA1D90"/>
    <w:rsid w:val="00AA4132"/>
    <w:rsid w:val="00AA41D2"/>
    <w:rsid w:val="00AA41F4"/>
    <w:rsid w:val="00AA528C"/>
    <w:rsid w:val="00AA5474"/>
    <w:rsid w:val="00AA5B22"/>
    <w:rsid w:val="00AA6D91"/>
    <w:rsid w:val="00AA700F"/>
    <w:rsid w:val="00AA7CF0"/>
    <w:rsid w:val="00AB0C8C"/>
    <w:rsid w:val="00AB14B6"/>
    <w:rsid w:val="00AB16AA"/>
    <w:rsid w:val="00AB356A"/>
    <w:rsid w:val="00AB3EF5"/>
    <w:rsid w:val="00AB472B"/>
    <w:rsid w:val="00AB5D08"/>
    <w:rsid w:val="00AB742B"/>
    <w:rsid w:val="00AC08BA"/>
    <w:rsid w:val="00AC1818"/>
    <w:rsid w:val="00AC24D6"/>
    <w:rsid w:val="00AC36D7"/>
    <w:rsid w:val="00AC4C88"/>
    <w:rsid w:val="00AC5D20"/>
    <w:rsid w:val="00AC677B"/>
    <w:rsid w:val="00AC7A58"/>
    <w:rsid w:val="00AD0022"/>
    <w:rsid w:val="00AD1225"/>
    <w:rsid w:val="00AD41F2"/>
    <w:rsid w:val="00AD46DC"/>
    <w:rsid w:val="00AD6024"/>
    <w:rsid w:val="00AD7768"/>
    <w:rsid w:val="00AD7DAE"/>
    <w:rsid w:val="00AD7ECE"/>
    <w:rsid w:val="00AE0DD8"/>
    <w:rsid w:val="00AE15CB"/>
    <w:rsid w:val="00AE1802"/>
    <w:rsid w:val="00AE23BA"/>
    <w:rsid w:val="00AE2D42"/>
    <w:rsid w:val="00AE375D"/>
    <w:rsid w:val="00AE4DEA"/>
    <w:rsid w:val="00AE548F"/>
    <w:rsid w:val="00AE5EBE"/>
    <w:rsid w:val="00AF069E"/>
    <w:rsid w:val="00AF202D"/>
    <w:rsid w:val="00AF2220"/>
    <w:rsid w:val="00AF400C"/>
    <w:rsid w:val="00AF446E"/>
    <w:rsid w:val="00AF449E"/>
    <w:rsid w:val="00AF582B"/>
    <w:rsid w:val="00AF5F61"/>
    <w:rsid w:val="00AF63D8"/>
    <w:rsid w:val="00AF6A9E"/>
    <w:rsid w:val="00AF707F"/>
    <w:rsid w:val="00AF7CE1"/>
    <w:rsid w:val="00B0036E"/>
    <w:rsid w:val="00B00FBE"/>
    <w:rsid w:val="00B017F6"/>
    <w:rsid w:val="00B01F46"/>
    <w:rsid w:val="00B042E6"/>
    <w:rsid w:val="00B049AA"/>
    <w:rsid w:val="00B04A3E"/>
    <w:rsid w:val="00B04B52"/>
    <w:rsid w:val="00B05AD0"/>
    <w:rsid w:val="00B05CC5"/>
    <w:rsid w:val="00B05DC4"/>
    <w:rsid w:val="00B0631F"/>
    <w:rsid w:val="00B06A48"/>
    <w:rsid w:val="00B07487"/>
    <w:rsid w:val="00B07A90"/>
    <w:rsid w:val="00B07DEC"/>
    <w:rsid w:val="00B10288"/>
    <w:rsid w:val="00B13787"/>
    <w:rsid w:val="00B13C3A"/>
    <w:rsid w:val="00B144AA"/>
    <w:rsid w:val="00B1458F"/>
    <w:rsid w:val="00B163C4"/>
    <w:rsid w:val="00B16749"/>
    <w:rsid w:val="00B16A07"/>
    <w:rsid w:val="00B20689"/>
    <w:rsid w:val="00B20892"/>
    <w:rsid w:val="00B20C47"/>
    <w:rsid w:val="00B21575"/>
    <w:rsid w:val="00B2180E"/>
    <w:rsid w:val="00B24B30"/>
    <w:rsid w:val="00B2609A"/>
    <w:rsid w:val="00B27180"/>
    <w:rsid w:val="00B278A3"/>
    <w:rsid w:val="00B27CDA"/>
    <w:rsid w:val="00B27E94"/>
    <w:rsid w:val="00B311DD"/>
    <w:rsid w:val="00B31844"/>
    <w:rsid w:val="00B31B1F"/>
    <w:rsid w:val="00B322A0"/>
    <w:rsid w:val="00B322B7"/>
    <w:rsid w:val="00B33A88"/>
    <w:rsid w:val="00B3533B"/>
    <w:rsid w:val="00B35BD0"/>
    <w:rsid w:val="00B36718"/>
    <w:rsid w:val="00B36E9C"/>
    <w:rsid w:val="00B400C8"/>
    <w:rsid w:val="00B4239B"/>
    <w:rsid w:val="00B4381C"/>
    <w:rsid w:val="00B43840"/>
    <w:rsid w:val="00B43909"/>
    <w:rsid w:val="00B44DDC"/>
    <w:rsid w:val="00B45832"/>
    <w:rsid w:val="00B46555"/>
    <w:rsid w:val="00B46C46"/>
    <w:rsid w:val="00B474CD"/>
    <w:rsid w:val="00B51B1C"/>
    <w:rsid w:val="00B52C13"/>
    <w:rsid w:val="00B53088"/>
    <w:rsid w:val="00B531FC"/>
    <w:rsid w:val="00B54E49"/>
    <w:rsid w:val="00B54EE8"/>
    <w:rsid w:val="00B5526C"/>
    <w:rsid w:val="00B55433"/>
    <w:rsid w:val="00B56DB6"/>
    <w:rsid w:val="00B571B7"/>
    <w:rsid w:val="00B6030A"/>
    <w:rsid w:val="00B60601"/>
    <w:rsid w:val="00B630D4"/>
    <w:rsid w:val="00B6328B"/>
    <w:rsid w:val="00B64E53"/>
    <w:rsid w:val="00B66580"/>
    <w:rsid w:val="00B70567"/>
    <w:rsid w:val="00B7081C"/>
    <w:rsid w:val="00B70A50"/>
    <w:rsid w:val="00B70C87"/>
    <w:rsid w:val="00B71EE9"/>
    <w:rsid w:val="00B721B0"/>
    <w:rsid w:val="00B73008"/>
    <w:rsid w:val="00B7497F"/>
    <w:rsid w:val="00B772E1"/>
    <w:rsid w:val="00B77307"/>
    <w:rsid w:val="00B77578"/>
    <w:rsid w:val="00B8035B"/>
    <w:rsid w:val="00B80671"/>
    <w:rsid w:val="00B81E08"/>
    <w:rsid w:val="00B81E49"/>
    <w:rsid w:val="00B82A06"/>
    <w:rsid w:val="00B82CFB"/>
    <w:rsid w:val="00B83AF3"/>
    <w:rsid w:val="00B84828"/>
    <w:rsid w:val="00B85C96"/>
    <w:rsid w:val="00B85F2E"/>
    <w:rsid w:val="00B91C39"/>
    <w:rsid w:val="00B92CF1"/>
    <w:rsid w:val="00B94C4F"/>
    <w:rsid w:val="00BA05E9"/>
    <w:rsid w:val="00BA0F79"/>
    <w:rsid w:val="00BA121D"/>
    <w:rsid w:val="00BA3DBC"/>
    <w:rsid w:val="00BA4D4E"/>
    <w:rsid w:val="00BA5FCF"/>
    <w:rsid w:val="00BA7622"/>
    <w:rsid w:val="00BA7825"/>
    <w:rsid w:val="00BB1C38"/>
    <w:rsid w:val="00BB20F8"/>
    <w:rsid w:val="00BB2B28"/>
    <w:rsid w:val="00BB2CC6"/>
    <w:rsid w:val="00BB30B1"/>
    <w:rsid w:val="00BB4201"/>
    <w:rsid w:val="00BB554A"/>
    <w:rsid w:val="00BB582F"/>
    <w:rsid w:val="00BB608A"/>
    <w:rsid w:val="00BB6975"/>
    <w:rsid w:val="00BB6D8A"/>
    <w:rsid w:val="00BB70AB"/>
    <w:rsid w:val="00BC1CDF"/>
    <w:rsid w:val="00BC28F3"/>
    <w:rsid w:val="00BC3C6A"/>
    <w:rsid w:val="00BC4048"/>
    <w:rsid w:val="00BC4A3F"/>
    <w:rsid w:val="00BC528E"/>
    <w:rsid w:val="00BC7598"/>
    <w:rsid w:val="00BD183E"/>
    <w:rsid w:val="00BD198F"/>
    <w:rsid w:val="00BD2086"/>
    <w:rsid w:val="00BD2AEC"/>
    <w:rsid w:val="00BD3DA2"/>
    <w:rsid w:val="00BD6896"/>
    <w:rsid w:val="00BD6BC8"/>
    <w:rsid w:val="00BE055A"/>
    <w:rsid w:val="00BE103D"/>
    <w:rsid w:val="00BE10B7"/>
    <w:rsid w:val="00BE1697"/>
    <w:rsid w:val="00BE2147"/>
    <w:rsid w:val="00BE4864"/>
    <w:rsid w:val="00BE57B1"/>
    <w:rsid w:val="00BE5936"/>
    <w:rsid w:val="00BE5A0C"/>
    <w:rsid w:val="00BE689E"/>
    <w:rsid w:val="00BE7166"/>
    <w:rsid w:val="00BF0589"/>
    <w:rsid w:val="00BF0A37"/>
    <w:rsid w:val="00BF1629"/>
    <w:rsid w:val="00BF1D81"/>
    <w:rsid w:val="00BF2B63"/>
    <w:rsid w:val="00BF384B"/>
    <w:rsid w:val="00BF4843"/>
    <w:rsid w:val="00BF484D"/>
    <w:rsid w:val="00BF4A7E"/>
    <w:rsid w:val="00BF6FDA"/>
    <w:rsid w:val="00BF7B70"/>
    <w:rsid w:val="00C00BD2"/>
    <w:rsid w:val="00C0226A"/>
    <w:rsid w:val="00C0269A"/>
    <w:rsid w:val="00C02E11"/>
    <w:rsid w:val="00C03A31"/>
    <w:rsid w:val="00C0480F"/>
    <w:rsid w:val="00C0543F"/>
    <w:rsid w:val="00C05562"/>
    <w:rsid w:val="00C07CD7"/>
    <w:rsid w:val="00C07D18"/>
    <w:rsid w:val="00C07E9F"/>
    <w:rsid w:val="00C10F46"/>
    <w:rsid w:val="00C11114"/>
    <w:rsid w:val="00C11D2A"/>
    <w:rsid w:val="00C1237B"/>
    <w:rsid w:val="00C12625"/>
    <w:rsid w:val="00C126CC"/>
    <w:rsid w:val="00C12737"/>
    <w:rsid w:val="00C137C1"/>
    <w:rsid w:val="00C15BF8"/>
    <w:rsid w:val="00C160C2"/>
    <w:rsid w:val="00C16158"/>
    <w:rsid w:val="00C178BB"/>
    <w:rsid w:val="00C17928"/>
    <w:rsid w:val="00C20FFE"/>
    <w:rsid w:val="00C21B75"/>
    <w:rsid w:val="00C21CD0"/>
    <w:rsid w:val="00C2260B"/>
    <w:rsid w:val="00C23249"/>
    <w:rsid w:val="00C23338"/>
    <w:rsid w:val="00C26712"/>
    <w:rsid w:val="00C2673E"/>
    <w:rsid w:val="00C273AE"/>
    <w:rsid w:val="00C27B87"/>
    <w:rsid w:val="00C306F7"/>
    <w:rsid w:val="00C32D8B"/>
    <w:rsid w:val="00C333B8"/>
    <w:rsid w:val="00C33BF2"/>
    <w:rsid w:val="00C341A4"/>
    <w:rsid w:val="00C3452D"/>
    <w:rsid w:val="00C3644B"/>
    <w:rsid w:val="00C36617"/>
    <w:rsid w:val="00C37652"/>
    <w:rsid w:val="00C40129"/>
    <w:rsid w:val="00C40684"/>
    <w:rsid w:val="00C416F7"/>
    <w:rsid w:val="00C436E8"/>
    <w:rsid w:val="00C437E2"/>
    <w:rsid w:val="00C444BA"/>
    <w:rsid w:val="00C45542"/>
    <w:rsid w:val="00C46FF3"/>
    <w:rsid w:val="00C4793B"/>
    <w:rsid w:val="00C47DEE"/>
    <w:rsid w:val="00C47F76"/>
    <w:rsid w:val="00C518E8"/>
    <w:rsid w:val="00C52555"/>
    <w:rsid w:val="00C52B0F"/>
    <w:rsid w:val="00C53CD2"/>
    <w:rsid w:val="00C54330"/>
    <w:rsid w:val="00C564F8"/>
    <w:rsid w:val="00C5737B"/>
    <w:rsid w:val="00C60DC1"/>
    <w:rsid w:val="00C61AEA"/>
    <w:rsid w:val="00C61DDB"/>
    <w:rsid w:val="00C646A3"/>
    <w:rsid w:val="00C64A31"/>
    <w:rsid w:val="00C67149"/>
    <w:rsid w:val="00C70A0A"/>
    <w:rsid w:val="00C71BD3"/>
    <w:rsid w:val="00C7427F"/>
    <w:rsid w:val="00C750BA"/>
    <w:rsid w:val="00C753D9"/>
    <w:rsid w:val="00C755F4"/>
    <w:rsid w:val="00C75A87"/>
    <w:rsid w:val="00C76870"/>
    <w:rsid w:val="00C7703E"/>
    <w:rsid w:val="00C77DB9"/>
    <w:rsid w:val="00C808DC"/>
    <w:rsid w:val="00C820A2"/>
    <w:rsid w:val="00C82CC0"/>
    <w:rsid w:val="00C82F0A"/>
    <w:rsid w:val="00C83AF3"/>
    <w:rsid w:val="00C846A1"/>
    <w:rsid w:val="00C84C30"/>
    <w:rsid w:val="00C85150"/>
    <w:rsid w:val="00C86932"/>
    <w:rsid w:val="00C87069"/>
    <w:rsid w:val="00C9144B"/>
    <w:rsid w:val="00C92084"/>
    <w:rsid w:val="00C9245E"/>
    <w:rsid w:val="00C93242"/>
    <w:rsid w:val="00C9437B"/>
    <w:rsid w:val="00C95557"/>
    <w:rsid w:val="00C97672"/>
    <w:rsid w:val="00CA24DC"/>
    <w:rsid w:val="00CA2FCF"/>
    <w:rsid w:val="00CA2FFC"/>
    <w:rsid w:val="00CA3612"/>
    <w:rsid w:val="00CA3B8B"/>
    <w:rsid w:val="00CA4296"/>
    <w:rsid w:val="00CA5652"/>
    <w:rsid w:val="00CA5694"/>
    <w:rsid w:val="00CA6BBB"/>
    <w:rsid w:val="00CB03E6"/>
    <w:rsid w:val="00CB0644"/>
    <w:rsid w:val="00CB0AB8"/>
    <w:rsid w:val="00CB1F2C"/>
    <w:rsid w:val="00CB20D8"/>
    <w:rsid w:val="00CB24C6"/>
    <w:rsid w:val="00CB254A"/>
    <w:rsid w:val="00CB26BD"/>
    <w:rsid w:val="00CB394E"/>
    <w:rsid w:val="00CB4103"/>
    <w:rsid w:val="00CB47DE"/>
    <w:rsid w:val="00CB5EF5"/>
    <w:rsid w:val="00CB6ABE"/>
    <w:rsid w:val="00CB7F3E"/>
    <w:rsid w:val="00CC1328"/>
    <w:rsid w:val="00CC19A3"/>
    <w:rsid w:val="00CC4523"/>
    <w:rsid w:val="00CC535F"/>
    <w:rsid w:val="00CC6072"/>
    <w:rsid w:val="00CC7B67"/>
    <w:rsid w:val="00CC7E61"/>
    <w:rsid w:val="00CD033C"/>
    <w:rsid w:val="00CD038B"/>
    <w:rsid w:val="00CD1967"/>
    <w:rsid w:val="00CD2F62"/>
    <w:rsid w:val="00CD35E8"/>
    <w:rsid w:val="00CD3733"/>
    <w:rsid w:val="00CD4F15"/>
    <w:rsid w:val="00CE03EC"/>
    <w:rsid w:val="00CE0C8C"/>
    <w:rsid w:val="00CE194E"/>
    <w:rsid w:val="00CE3392"/>
    <w:rsid w:val="00CE3650"/>
    <w:rsid w:val="00CE4AC3"/>
    <w:rsid w:val="00CE4C61"/>
    <w:rsid w:val="00CE4E7A"/>
    <w:rsid w:val="00CE7326"/>
    <w:rsid w:val="00CF0256"/>
    <w:rsid w:val="00CF095E"/>
    <w:rsid w:val="00CF0AAE"/>
    <w:rsid w:val="00CF1205"/>
    <w:rsid w:val="00CF12BB"/>
    <w:rsid w:val="00CF31F9"/>
    <w:rsid w:val="00CF517E"/>
    <w:rsid w:val="00CF5759"/>
    <w:rsid w:val="00CF6249"/>
    <w:rsid w:val="00CF7BDC"/>
    <w:rsid w:val="00D01702"/>
    <w:rsid w:val="00D01871"/>
    <w:rsid w:val="00D01B88"/>
    <w:rsid w:val="00D02A0C"/>
    <w:rsid w:val="00D056C1"/>
    <w:rsid w:val="00D05E2A"/>
    <w:rsid w:val="00D06B65"/>
    <w:rsid w:val="00D07322"/>
    <w:rsid w:val="00D10584"/>
    <w:rsid w:val="00D11332"/>
    <w:rsid w:val="00D11495"/>
    <w:rsid w:val="00D119BE"/>
    <w:rsid w:val="00D14A4C"/>
    <w:rsid w:val="00D15C9D"/>
    <w:rsid w:val="00D162B9"/>
    <w:rsid w:val="00D1731A"/>
    <w:rsid w:val="00D20890"/>
    <w:rsid w:val="00D21562"/>
    <w:rsid w:val="00D231F0"/>
    <w:rsid w:val="00D241A6"/>
    <w:rsid w:val="00D24C54"/>
    <w:rsid w:val="00D24DDA"/>
    <w:rsid w:val="00D24E20"/>
    <w:rsid w:val="00D24F57"/>
    <w:rsid w:val="00D25854"/>
    <w:rsid w:val="00D26387"/>
    <w:rsid w:val="00D263D4"/>
    <w:rsid w:val="00D31A68"/>
    <w:rsid w:val="00D32257"/>
    <w:rsid w:val="00D327E2"/>
    <w:rsid w:val="00D33237"/>
    <w:rsid w:val="00D33410"/>
    <w:rsid w:val="00D334E6"/>
    <w:rsid w:val="00D33E72"/>
    <w:rsid w:val="00D34A72"/>
    <w:rsid w:val="00D34CF3"/>
    <w:rsid w:val="00D36EF1"/>
    <w:rsid w:val="00D37432"/>
    <w:rsid w:val="00D40CDE"/>
    <w:rsid w:val="00D42814"/>
    <w:rsid w:val="00D438C9"/>
    <w:rsid w:val="00D43971"/>
    <w:rsid w:val="00D44251"/>
    <w:rsid w:val="00D45C17"/>
    <w:rsid w:val="00D46C79"/>
    <w:rsid w:val="00D500DD"/>
    <w:rsid w:val="00D50EF7"/>
    <w:rsid w:val="00D53339"/>
    <w:rsid w:val="00D5452D"/>
    <w:rsid w:val="00D54D93"/>
    <w:rsid w:val="00D55EFF"/>
    <w:rsid w:val="00D57CE0"/>
    <w:rsid w:val="00D60D3C"/>
    <w:rsid w:val="00D612B3"/>
    <w:rsid w:val="00D62850"/>
    <w:rsid w:val="00D643FD"/>
    <w:rsid w:val="00D654CA"/>
    <w:rsid w:val="00D65743"/>
    <w:rsid w:val="00D65BB4"/>
    <w:rsid w:val="00D660F3"/>
    <w:rsid w:val="00D67D75"/>
    <w:rsid w:val="00D70032"/>
    <w:rsid w:val="00D70819"/>
    <w:rsid w:val="00D7148C"/>
    <w:rsid w:val="00D71DE0"/>
    <w:rsid w:val="00D722B0"/>
    <w:rsid w:val="00D73464"/>
    <w:rsid w:val="00D73F1B"/>
    <w:rsid w:val="00D74F78"/>
    <w:rsid w:val="00D75B7E"/>
    <w:rsid w:val="00D76296"/>
    <w:rsid w:val="00D7629A"/>
    <w:rsid w:val="00D76448"/>
    <w:rsid w:val="00D776C4"/>
    <w:rsid w:val="00D776FF"/>
    <w:rsid w:val="00D7796B"/>
    <w:rsid w:val="00D77AA4"/>
    <w:rsid w:val="00D80BA8"/>
    <w:rsid w:val="00D813C0"/>
    <w:rsid w:val="00D8165C"/>
    <w:rsid w:val="00D829EB"/>
    <w:rsid w:val="00D836E2"/>
    <w:rsid w:val="00D83DAE"/>
    <w:rsid w:val="00D848A9"/>
    <w:rsid w:val="00D84D0F"/>
    <w:rsid w:val="00D85626"/>
    <w:rsid w:val="00D85656"/>
    <w:rsid w:val="00D8610C"/>
    <w:rsid w:val="00D878D5"/>
    <w:rsid w:val="00D9059F"/>
    <w:rsid w:val="00D920F6"/>
    <w:rsid w:val="00D93A4E"/>
    <w:rsid w:val="00D93A9D"/>
    <w:rsid w:val="00D949D7"/>
    <w:rsid w:val="00D951AD"/>
    <w:rsid w:val="00DA0CC2"/>
    <w:rsid w:val="00DA1398"/>
    <w:rsid w:val="00DA251A"/>
    <w:rsid w:val="00DA3400"/>
    <w:rsid w:val="00DA41B1"/>
    <w:rsid w:val="00DA4E67"/>
    <w:rsid w:val="00DA5FBF"/>
    <w:rsid w:val="00DA635F"/>
    <w:rsid w:val="00DA7C58"/>
    <w:rsid w:val="00DB2D08"/>
    <w:rsid w:val="00DB2FF4"/>
    <w:rsid w:val="00DB34C8"/>
    <w:rsid w:val="00DB3CC4"/>
    <w:rsid w:val="00DB65D3"/>
    <w:rsid w:val="00DC12C7"/>
    <w:rsid w:val="00DC1B17"/>
    <w:rsid w:val="00DC1B96"/>
    <w:rsid w:val="00DC23A3"/>
    <w:rsid w:val="00DC4723"/>
    <w:rsid w:val="00DC4F3B"/>
    <w:rsid w:val="00DC5BE8"/>
    <w:rsid w:val="00DC5E32"/>
    <w:rsid w:val="00DC60D5"/>
    <w:rsid w:val="00DC626F"/>
    <w:rsid w:val="00DC7927"/>
    <w:rsid w:val="00DC7DD0"/>
    <w:rsid w:val="00DD0215"/>
    <w:rsid w:val="00DD0F09"/>
    <w:rsid w:val="00DD2D81"/>
    <w:rsid w:val="00DD3992"/>
    <w:rsid w:val="00DD40DD"/>
    <w:rsid w:val="00DD47DF"/>
    <w:rsid w:val="00DD6711"/>
    <w:rsid w:val="00DD7BF5"/>
    <w:rsid w:val="00DE1061"/>
    <w:rsid w:val="00DE132E"/>
    <w:rsid w:val="00DE28CC"/>
    <w:rsid w:val="00DE53A8"/>
    <w:rsid w:val="00DE5FBA"/>
    <w:rsid w:val="00DE6028"/>
    <w:rsid w:val="00DE655E"/>
    <w:rsid w:val="00DE6C87"/>
    <w:rsid w:val="00DE78C1"/>
    <w:rsid w:val="00DF155D"/>
    <w:rsid w:val="00DF2857"/>
    <w:rsid w:val="00DF3E0F"/>
    <w:rsid w:val="00DF420D"/>
    <w:rsid w:val="00DF444F"/>
    <w:rsid w:val="00DF5450"/>
    <w:rsid w:val="00DF5A98"/>
    <w:rsid w:val="00DF680C"/>
    <w:rsid w:val="00DF742F"/>
    <w:rsid w:val="00E03588"/>
    <w:rsid w:val="00E04F80"/>
    <w:rsid w:val="00E068F5"/>
    <w:rsid w:val="00E07DE3"/>
    <w:rsid w:val="00E07F10"/>
    <w:rsid w:val="00E10930"/>
    <w:rsid w:val="00E10E2A"/>
    <w:rsid w:val="00E136BB"/>
    <w:rsid w:val="00E15109"/>
    <w:rsid w:val="00E15D18"/>
    <w:rsid w:val="00E16308"/>
    <w:rsid w:val="00E1738C"/>
    <w:rsid w:val="00E17E8D"/>
    <w:rsid w:val="00E17F55"/>
    <w:rsid w:val="00E20188"/>
    <w:rsid w:val="00E20B7C"/>
    <w:rsid w:val="00E20ECB"/>
    <w:rsid w:val="00E211B5"/>
    <w:rsid w:val="00E21D99"/>
    <w:rsid w:val="00E229CD"/>
    <w:rsid w:val="00E240C8"/>
    <w:rsid w:val="00E24584"/>
    <w:rsid w:val="00E24A56"/>
    <w:rsid w:val="00E250ED"/>
    <w:rsid w:val="00E25728"/>
    <w:rsid w:val="00E27A5B"/>
    <w:rsid w:val="00E30096"/>
    <w:rsid w:val="00E30CE1"/>
    <w:rsid w:val="00E343F3"/>
    <w:rsid w:val="00E34BC3"/>
    <w:rsid w:val="00E35B83"/>
    <w:rsid w:val="00E35C7C"/>
    <w:rsid w:val="00E363A8"/>
    <w:rsid w:val="00E40EAA"/>
    <w:rsid w:val="00E41B3B"/>
    <w:rsid w:val="00E42C83"/>
    <w:rsid w:val="00E42D35"/>
    <w:rsid w:val="00E443DC"/>
    <w:rsid w:val="00E44820"/>
    <w:rsid w:val="00E44874"/>
    <w:rsid w:val="00E472B0"/>
    <w:rsid w:val="00E502EA"/>
    <w:rsid w:val="00E517D1"/>
    <w:rsid w:val="00E52273"/>
    <w:rsid w:val="00E528B3"/>
    <w:rsid w:val="00E5449E"/>
    <w:rsid w:val="00E544F3"/>
    <w:rsid w:val="00E54656"/>
    <w:rsid w:val="00E54869"/>
    <w:rsid w:val="00E5532B"/>
    <w:rsid w:val="00E55600"/>
    <w:rsid w:val="00E55C65"/>
    <w:rsid w:val="00E55FC5"/>
    <w:rsid w:val="00E562BC"/>
    <w:rsid w:val="00E56955"/>
    <w:rsid w:val="00E60990"/>
    <w:rsid w:val="00E61848"/>
    <w:rsid w:val="00E62197"/>
    <w:rsid w:val="00E6239E"/>
    <w:rsid w:val="00E643A2"/>
    <w:rsid w:val="00E64E3F"/>
    <w:rsid w:val="00E6541D"/>
    <w:rsid w:val="00E66F70"/>
    <w:rsid w:val="00E67163"/>
    <w:rsid w:val="00E67E8A"/>
    <w:rsid w:val="00E71AD1"/>
    <w:rsid w:val="00E721C1"/>
    <w:rsid w:val="00E730D0"/>
    <w:rsid w:val="00E73747"/>
    <w:rsid w:val="00E74296"/>
    <w:rsid w:val="00E743E4"/>
    <w:rsid w:val="00E74A0D"/>
    <w:rsid w:val="00E753C6"/>
    <w:rsid w:val="00E75D74"/>
    <w:rsid w:val="00E76834"/>
    <w:rsid w:val="00E80309"/>
    <w:rsid w:val="00E82B30"/>
    <w:rsid w:val="00E83AE5"/>
    <w:rsid w:val="00E851D1"/>
    <w:rsid w:val="00E858F1"/>
    <w:rsid w:val="00E87EF1"/>
    <w:rsid w:val="00E9173E"/>
    <w:rsid w:val="00E9239B"/>
    <w:rsid w:val="00E92A77"/>
    <w:rsid w:val="00E94208"/>
    <w:rsid w:val="00E9476F"/>
    <w:rsid w:val="00E95CA7"/>
    <w:rsid w:val="00E96278"/>
    <w:rsid w:val="00E97029"/>
    <w:rsid w:val="00E97388"/>
    <w:rsid w:val="00E9771C"/>
    <w:rsid w:val="00E97C5B"/>
    <w:rsid w:val="00EA072A"/>
    <w:rsid w:val="00EA1C83"/>
    <w:rsid w:val="00EA7EA8"/>
    <w:rsid w:val="00EB202E"/>
    <w:rsid w:val="00EB26AE"/>
    <w:rsid w:val="00EB33FC"/>
    <w:rsid w:val="00EB3FA9"/>
    <w:rsid w:val="00EB4677"/>
    <w:rsid w:val="00EB54C4"/>
    <w:rsid w:val="00EB5FF1"/>
    <w:rsid w:val="00EB6010"/>
    <w:rsid w:val="00EB6692"/>
    <w:rsid w:val="00EB6A23"/>
    <w:rsid w:val="00EB7873"/>
    <w:rsid w:val="00EC1F8A"/>
    <w:rsid w:val="00EC2006"/>
    <w:rsid w:val="00EC23A3"/>
    <w:rsid w:val="00EC2A22"/>
    <w:rsid w:val="00EC2B4D"/>
    <w:rsid w:val="00EC39CD"/>
    <w:rsid w:val="00EC413E"/>
    <w:rsid w:val="00EC515F"/>
    <w:rsid w:val="00EC61DE"/>
    <w:rsid w:val="00EC68EB"/>
    <w:rsid w:val="00EC6B65"/>
    <w:rsid w:val="00EC75EC"/>
    <w:rsid w:val="00EC7DF6"/>
    <w:rsid w:val="00ED0F97"/>
    <w:rsid w:val="00ED236A"/>
    <w:rsid w:val="00ED4B2B"/>
    <w:rsid w:val="00ED4E26"/>
    <w:rsid w:val="00ED5324"/>
    <w:rsid w:val="00ED68D9"/>
    <w:rsid w:val="00ED6F51"/>
    <w:rsid w:val="00ED7A14"/>
    <w:rsid w:val="00ED7BFB"/>
    <w:rsid w:val="00EE0AA6"/>
    <w:rsid w:val="00EE0AF8"/>
    <w:rsid w:val="00EE0CD2"/>
    <w:rsid w:val="00EE162E"/>
    <w:rsid w:val="00EE2BD7"/>
    <w:rsid w:val="00EE3446"/>
    <w:rsid w:val="00EE45C3"/>
    <w:rsid w:val="00EE5E2B"/>
    <w:rsid w:val="00EE751F"/>
    <w:rsid w:val="00EE7A2C"/>
    <w:rsid w:val="00EF1576"/>
    <w:rsid w:val="00EF1D00"/>
    <w:rsid w:val="00EF1E5A"/>
    <w:rsid w:val="00EF21D4"/>
    <w:rsid w:val="00EF3AEF"/>
    <w:rsid w:val="00EF5B33"/>
    <w:rsid w:val="00EF6747"/>
    <w:rsid w:val="00EF7C89"/>
    <w:rsid w:val="00F00280"/>
    <w:rsid w:val="00F00756"/>
    <w:rsid w:val="00F01593"/>
    <w:rsid w:val="00F019D6"/>
    <w:rsid w:val="00F021D5"/>
    <w:rsid w:val="00F0265A"/>
    <w:rsid w:val="00F02925"/>
    <w:rsid w:val="00F02A0D"/>
    <w:rsid w:val="00F03A1F"/>
    <w:rsid w:val="00F05C69"/>
    <w:rsid w:val="00F0655C"/>
    <w:rsid w:val="00F07A2A"/>
    <w:rsid w:val="00F10284"/>
    <w:rsid w:val="00F10471"/>
    <w:rsid w:val="00F1133C"/>
    <w:rsid w:val="00F153DE"/>
    <w:rsid w:val="00F15BC4"/>
    <w:rsid w:val="00F2256A"/>
    <w:rsid w:val="00F254EE"/>
    <w:rsid w:val="00F255A2"/>
    <w:rsid w:val="00F264F1"/>
    <w:rsid w:val="00F26C36"/>
    <w:rsid w:val="00F270E0"/>
    <w:rsid w:val="00F31507"/>
    <w:rsid w:val="00F32567"/>
    <w:rsid w:val="00F33BE2"/>
    <w:rsid w:val="00F34611"/>
    <w:rsid w:val="00F35C2B"/>
    <w:rsid w:val="00F3675D"/>
    <w:rsid w:val="00F36E13"/>
    <w:rsid w:val="00F36E95"/>
    <w:rsid w:val="00F370A7"/>
    <w:rsid w:val="00F3722B"/>
    <w:rsid w:val="00F410F5"/>
    <w:rsid w:val="00F4313C"/>
    <w:rsid w:val="00F437EE"/>
    <w:rsid w:val="00F45CFA"/>
    <w:rsid w:val="00F45E56"/>
    <w:rsid w:val="00F4613D"/>
    <w:rsid w:val="00F462AE"/>
    <w:rsid w:val="00F46CC2"/>
    <w:rsid w:val="00F50548"/>
    <w:rsid w:val="00F51AEE"/>
    <w:rsid w:val="00F5247C"/>
    <w:rsid w:val="00F538B7"/>
    <w:rsid w:val="00F542A6"/>
    <w:rsid w:val="00F54A2C"/>
    <w:rsid w:val="00F5547B"/>
    <w:rsid w:val="00F60309"/>
    <w:rsid w:val="00F6062A"/>
    <w:rsid w:val="00F60B44"/>
    <w:rsid w:val="00F60CD7"/>
    <w:rsid w:val="00F62B0F"/>
    <w:rsid w:val="00F638B9"/>
    <w:rsid w:val="00F64324"/>
    <w:rsid w:val="00F64A67"/>
    <w:rsid w:val="00F64FDC"/>
    <w:rsid w:val="00F6640D"/>
    <w:rsid w:val="00F66411"/>
    <w:rsid w:val="00F668C3"/>
    <w:rsid w:val="00F66CEF"/>
    <w:rsid w:val="00F67042"/>
    <w:rsid w:val="00F671AB"/>
    <w:rsid w:val="00F672C6"/>
    <w:rsid w:val="00F67B7A"/>
    <w:rsid w:val="00F70447"/>
    <w:rsid w:val="00F71BFC"/>
    <w:rsid w:val="00F71D59"/>
    <w:rsid w:val="00F71F5F"/>
    <w:rsid w:val="00F74D0E"/>
    <w:rsid w:val="00F750C6"/>
    <w:rsid w:val="00F750DC"/>
    <w:rsid w:val="00F75575"/>
    <w:rsid w:val="00F75F22"/>
    <w:rsid w:val="00F7656A"/>
    <w:rsid w:val="00F76D45"/>
    <w:rsid w:val="00F76FE0"/>
    <w:rsid w:val="00F77CE9"/>
    <w:rsid w:val="00F8180B"/>
    <w:rsid w:val="00F81812"/>
    <w:rsid w:val="00F81A0A"/>
    <w:rsid w:val="00F81ACF"/>
    <w:rsid w:val="00F8294C"/>
    <w:rsid w:val="00F82D30"/>
    <w:rsid w:val="00F82ED3"/>
    <w:rsid w:val="00F83050"/>
    <w:rsid w:val="00F84351"/>
    <w:rsid w:val="00F848E5"/>
    <w:rsid w:val="00F86185"/>
    <w:rsid w:val="00F86976"/>
    <w:rsid w:val="00F86BCA"/>
    <w:rsid w:val="00F87F3E"/>
    <w:rsid w:val="00F905B3"/>
    <w:rsid w:val="00F91083"/>
    <w:rsid w:val="00F91683"/>
    <w:rsid w:val="00F92A1F"/>
    <w:rsid w:val="00F9381C"/>
    <w:rsid w:val="00F93B4E"/>
    <w:rsid w:val="00F95010"/>
    <w:rsid w:val="00F955F2"/>
    <w:rsid w:val="00F95D29"/>
    <w:rsid w:val="00F96B4A"/>
    <w:rsid w:val="00F96C9B"/>
    <w:rsid w:val="00FA1814"/>
    <w:rsid w:val="00FA1827"/>
    <w:rsid w:val="00FA298E"/>
    <w:rsid w:val="00FA3445"/>
    <w:rsid w:val="00FA3782"/>
    <w:rsid w:val="00FA3A1B"/>
    <w:rsid w:val="00FA49A5"/>
    <w:rsid w:val="00FA5B1D"/>
    <w:rsid w:val="00FA5E9C"/>
    <w:rsid w:val="00FA6083"/>
    <w:rsid w:val="00FA721A"/>
    <w:rsid w:val="00FA78C7"/>
    <w:rsid w:val="00FA7BD6"/>
    <w:rsid w:val="00FB036E"/>
    <w:rsid w:val="00FB0664"/>
    <w:rsid w:val="00FB0734"/>
    <w:rsid w:val="00FB0C02"/>
    <w:rsid w:val="00FB11DF"/>
    <w:rsid w:val="00FB2620"/>
    <w:rsid w:val="00FB33BA"/>
    <w:rsid w:val="00FB37E2"/>
    <w:rsid w:val="00FB469C"/>
    <w:rsid w:val="00FB4A6D"/>
    <w:rsid w:val="00FB5753"/>
    <w:rsid w:val="00FB5A99"/>
    <w:rsid w:val="00FB7169"/>
    <w:rsid w:val="00FB7243"/>
    <w:rsid w:val="00FC1328"/>
    <w:rsid w:val="00FC1919"/>
    <w:rsid w:val="00FC2DEE"/>
    <w:rsid w:val="00FC3930"/>
    <w:rsid w:val="00FC3BE5"/>
    <w:rsid w:val="00FC4079"/>
    <w:rsid w:val="00FC49F9"/>
    <w:rsid w:val="00FC6BAB"/>
    <w:rsid w:val="00FC74ED"/>
    <w:rsid w:val="00FC7AF3"/>
    <w:rsid w:val="00FD031D"/>
    <w:rsid w:val="00FD0E95"/>
    <w:rsid w:val="00FD1FED"/>
    <w:rsid w:val="00FD2310"/>
    <w:rsid w:val="00FD23C6"/>
    <w:rsid w:val="00FD3989"/>
    <w:rsid w:val="00FD417B"/>
    <w:rsid w:val="00FD4B1A"/>
    <w:rsid w:val="00FD551F"/>
    <w:rsid w:val="00FD63A3"/>
    <w:rsid w:val="00FD6FF6"/>
    <w:rsid w:val="00FD7876"/>
    <w:rsid w:val="00FD7E69"/>
    <w:rsid w:val="00FE0227"/>
    <w:rsid w:val="00FE05B8"/>
    <w:rsid w:val="00FE0C70"/>
    <w:rsid w:val="00FE16BE"/>
    <w:rsid w:val="00FE32F6"/>
    <w:rsid w:val="00FE3E94"/>
    <w:rsid w:val="00FE6BEE"/>
    <w:rsid w:val="00FF005B"/>
    <w:rsid w:val="00FF0396"/>
    <w:rsid w:val="00FF087F"/>
    <w:rsid w:val="00FF0A3B"/>
    <w:rsid w:val="00FF21F7"/>
    <w:rsid w:val="00FF35C8"/>
    <w:rsid w:val="00FF3E42"/>
    <w:rsid w:val="00FF4AC1"/>
    <w:rsid w:val="00FF6EBB"/>
    <w:rsid w:val="00FF70F6"/>
    <w:rsid w:val="00FF757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031E4"/>
  <w15:chartTrackingRefBased/>
  <w15:docId w15:val="{2CABE28E-F171-44BF-985F-CC6F97B4E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57E3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44549D"/>
    <w:pPr>
      <w:spacing w:after="0" w:line="240" w:lineRule="auto"/>
    </w:pPr>
    <w:rPr>
      <w:sz w:val="20"/>
      <w:szCs w:val="20"/>
    </w:rPr>
  </w:style>
  <w:style w:type="character" w:customStyle="1" w:styleId="NotedebasdepageCar">
    <w:name w:val="Note de bas de page Car"/>
    <w:basedOn w:val="Policepardfaut"/>
    <w:link w:val="Notedebasdepage"/>
    <w:uiPriority w:val="99"/>
    <w:rsid w:val="0044549D"/>
    <w:rPr>
      <w:sz w:val="20"/>
      <w:szCs w:val="20"/>
    </w:rPr>
  </w:style>
  <w:style w:type="character" w:styleId="Appelnotedebasdep">
    <w:name w:val="footnote reference"/>
    <w:basedOn w:val="Policepardfaut"/>
    <w:uiPriority w:val="99"/>
    <w:semiHidden/>
    <w:unhideWhenUsed/>
    <w:rsid w:val="0044549D"/>
    <w:rPr>
      <w:vertAlign w:val="superscript"/>
    </w:rPr>
  </w:style>
  <w:style w:type="paragraph" w:styleId="En-tte">
    <w:name w:val="header"/>
    <w:basedOn w:val="Normal"/>
    <w:link w:val="En-tteCar"/>
    <w:uiPriority w:val="99"/>
    <w:unhideWhenUsed/>
    <w:rsid w:val="003A67AF"/>
    <w:pPr>
      <w:tabs>
        <w:tab w:val="center" w:pos="4536"/>
        <w:tab w:val="right" w:pos="9072"/>
      </w:tabs>
      <w:spacing w:after="0" w:line="240" w:lineRule="auto"/>
    </w:pPr>
  </w:style>
  <w:style w:type="character" w:customStyle="1" w:styleId="En-tteCar">
    <w:name w:val="En-tête Car"/>
    <w:basedOn w:val="Policepardfaut"/>
    <w:link w:val="En-tte"/>
    <w:uiPriority w:val="99"/>
    <w:rsid w:val="003A67AF"/>
  </w:style>
  <w:style w:type="paragraph" w:styleId="Pieddepage">
    <w:name w:val="footer"/>
    <w:basedOn w:val="Normal"/>
    <w:link w:val="PieddepageCar"/>
    <w:uiPriority w:val="99"/>
    <w:unhideWhenUsed/>
    <w:rsid w:val="003A67A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A67AF"/>
  </w:style>
  <w:style w:type="paragraph" w:styleId="Paragraphedeliste">
    <w:name w:val="List Paragraph"/>
    <w:basedOn w:val="Normal"/>
    <w:uiPriority w:val="34"/>
    <w:qFormat/>
    <w:rsid w:val="00723D4E"/>
    <w:pPr>
      <w:ind w:left="720"/>
      <w:contextualSpacing/>
    </w:pPr>
  </w:style>
  <w:style w:type="paragraph" w:customStyle="1" w:styleId="Default">
    <w:name w:val="Default"/>
    <w:rsid w:val="003B789B"/>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6543DD"/>
    <w:rPr>
      <w:rFonts w:ascii="Times New Roman" w:hAnsi="Times New Roman" w:cs="Times New Roman"/>
      <w:sz w:val="24"/>
      <w:szCs w:val="24"/>
    </w:rPr>
  </w:style>
  <w:style w:type="character" w:styleId="Lienhypertexte">
    <w:name w:val="Hyperlink"/>
    <w:basedOn w:val="Policepardfaut"/>
    <w:uiPriority w:val="99"/>
    <w:unhideWhenUsed/>
    <w:rsid w:val="00C9437B"/>
    <w:rPr>
      <w:color w:val="0563C1" w:themeColor="hyperlink"/>
      <w:u w:val="single"/>
    </w:rPr>
  </w:style>
  <w:style w:type="character" w:styleId="Mentionnonrsolue">
    <w:name w:val="Unresolved Mention"/>
    <w:basedOn w:val="Policepardfaut"/>
    <w:uiPriority w:val="99"/>
    <w:semiHidden/>
    <w:unhideWhenUsed/>
    <w:rsid w:val="00C9437B"/>
    <w:rPr>
      <w:color w:val="605E5C"/>
      <w:shd w:val="clear" w:color="auto" w:fill="E1DFDD"/>
    </w:rPr>
  </w:style>
  <w:style w:type="character" w:styleId="Lienhypertextesuivivisit">
    <w:name w:val="FollowedHyperlink"/>
    <w:basedOn w:val="Policepardfaut"/>
    <w:uiPriority w:val="99"/>
    <w:semiHidden/>
    <w:unhideWhenUsed/>
    <w:rsid w:val="00FA7BD6"/>
    <w:rPr>
      <w:color w:val="954F72" w:themeColor="followedHyperlink"/>
      <w:u w:val="single"/>
    </w:rPr>
  </w:style>
  <w:style w:type="table" w:styleId="Grilledutableau">
    <w:name w:val="Table Grid"/>
    <w:basedOn w:val="TableauNormal"/>
    <w:uiPriority w:val="39"/>
    <w:rsid w:val="009F14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fin">
    <w:name w:val="endnote text"/>
    <w:basedOn w:val="Normal"/>
    <w:link w:val="NotedefinCar"/>
    <w:uiPriority w:val="99"/>
    <w:semiHidden/>
    <w:unhideWhenUsed/>
    <w:rsid w:val="00BF0589"/>
    <w:pPr>
      <w:spacing w:after="0" w:line="240" w:lineRule="auto"/>
    </w:pPr>
    <w:rPr>
      <w:sz w:val="20"/>
      <w:szCs w:val="20"/>
    </w:rPr>
  </w:style>
  <w:style w:type="character" w:customStyle="1" w:styleId="NotedefinCar">
    <w:name w:val="Note de fin Car"/>
    <w:basedOn w:val="Policepardfaut"/>
    <w:link w:val="Notedefin"/>
    <w:uiPriority w:val="99"/>
    <w:semiHidden/>
    <w:rsid w:val="00BF0589"/>
    <w:rPr>
      <w:sz w:val="20"/>
      <w:szCs w:val="20"/>
    </w:rPr>
  </w:style>
  <w:style w:type="character" w:styleId="Appeldenotedefin">
    <w:name w:val="endnote reference"/>
    <w:basedOn w:val="Policepardfaut"/>
    <w:uiPriority w:val="99"/>
    <w:semiHidden/>
    <w:unhideWhenUsed/>
    <w:rsid w:val="00BF0589"/>
    <w:rPr>
      <w:vertAlign w:val="superscript"/>
    </w:rPr>
  </w:style>
  <w:style w:type="character" w:styleId="Marquedecommentaire">
    <w:name w:val="annotation reference"/>
    <w:basedOn w:val="Policepardfaut"/>
    <w:uiPriority w:val="99"/>
    <w:semiHidden/>
    <w:unhideWhenUsed/>
    <w:rsid w:val="00D7148C"/>
    <w:rPr>
      <w:sz w:val="16"/>
      <w:szCs w:val="16"/>
    </w:rPr>
  </w:style>
  <w:style w:type="paragraph" w:styleId="Commentaire">
    <w:name w:val="annotation text"/>
    <w:basedOn w:val="Normal"/>
    <w:link w:val="CommentaireCar"/>
    <w:uiPriority w:val="99"/>
    <w:semiHidden/>
    <w:unhideWhenUsed/>
    <w:rsid w:val="00D7148C"/>
    <w:pPr>
      <w:spacing w:line="240" w:lineRule="auto"/>
    </w:pPr>
    <w:rPr>
      <w:sz w:val="20"/>
      <w:szCs w:val="20"/>
    </w:rPr>
  </w:style>
  <w:style w:type="character" w:customStyle="1" w:styleId="CommentaireCar">
    <w:name w:val="Commentaire Car"/>
    <w:basedOn w:val="Policepardfaut"/>
    <w:link w:val="Commentaire"/>
    <w:uiPriority w:val="99"/>
    <w:semiHidden/>
    <w:rsid w:val="00D7148C"/>
    <w:rPr>
      <w:sz w:val="20"/>
      <w:szCs w:val="20"/>
    </w:rPr>
  </w:style>
  <w:style w:type="paragraph" w:styleId="Objetducommentaire">
    <w:name w:val="annotation subject"/>
    <w:basedOn w:val="Commentaire"/>
    <w:next w:val="Commentaire"/>
    <w:link w:val="ObjetducommentaireCar"/>
    <w:uiPriority w:val="99"/>
    <w:semiHidden/>
    <w:unhideWhenUsed/>
    <w:rsid w:val="00D7148C"/>
    <w:rPr>
      <w:b/>
      <w:bCs/>
    </w:rPr>
  </w:style>
  <w:style w:type="character" w:customStyle="1" w:styleId="ObjetducommentaireCar">
    <w:name w:val="Objet du commentaire Car"/>
    <w:basedOn w:val="CommentaireCar"/>
    <w:link w:val="Objetducommentaire"/>
    <w:uiPriority w:val="99"/>
    <w:semiHidden/>
    <w:rsid w:val="00D7148C"/>
    <w:rPr>
      <w:b/>
      <w:bCs/>
      <w:sz w:val="20"/>
      <w:szCs w:val="20"/>
    </w:rPr>
  </w:style>
  <w:style w:type="character" w:customStyle="1" w:styleId="Titre1Car">
    <w:name w:val="Titre 1 Car"/>
    <w:basedOn w:val="Policepardfaut"/>
    <w:link w:val="Titre1"/>
    <w:uiPriority w:val="9"/>
    <w:rsid w:val="00157E30"/>
    <w:rPr>
      <w:rFonts w:asciiTheme="majorHAnsi" w:eastAsiaTheme="majorEastAsia" w:hAnsiTheme="majorHAnsi" w:cstheme="majorBidi"/>
      <w:color w:val="2F5496" w:themeColor="accent1" w:themeShade="BF"/>
      <w:sz w:val="32"/>
      <w:szCs w:val="32"/>
    </w:rPr>
  </w:style>
  <w:style w:type="character" w:customStyle="1" w:styleId="hgkelc">
    <w:name w:val="hgkelc"/>
    <w:basedOn w:val="Policepardfaut"/>
    <w:rsid w:val="00E76834"/>
  </w:style>
  <w:style w:type="paragraph" w:styleId="Rvision">
    <w:name w:val="Revision"/>
    <w:hidden/>
    <w:uiPriority w:val="99"/>
    <w:semiHidden/>
    <w:rsid w:val="00956FB8"/>
    <w:pPr>
      <w:spacing w:after="0" w:line="240" w:lineRule="auto"/>
    </w:pPr>
  </w:style>
  <w:style w:type="paragraph" w:styleId="Listepuces">
    <w:name w:val="List Bullet"/>
    <w:basedOn w:val="Normal"/>
    <w:uiPriority w:val="99"/>
    <w:unhideWhenUsed/>
    <w:rsid w:val="009F09E3"/>
    <w:pPr>
      <w:numPr>
        <w:numId w:val="1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350744">
      <w:bodyDiv w:val="1"/>
      <w:marLeft w:val="0"/>
      <w:marRight w:val="0"/>
      <w:marTop w:val="0"/>
      <w:marBottom w:val="0"/>
      <w:divBdr>
        <w:top w:val="none" w:sz="0" w:space="0" w:color="auto"/>
        <w:left w:val="none" w:sz="0" w:space="0" w:color="auto"/>
        <w:bottom w:val="none" w:sz="0" w:space="0" w:color="auto"/>
        <w:right w:val="none" w:sz="0" w:space="0" w:color="auto"/>
      </w:divBdr>
    </w:div>
    <w:div w:id="144322924">
      <w:bodyDiv w:val="1"/>
      <w:marLeft w:val="0"/>
      <w:marRight w:val="0"/>
      <w:marTop w:val="0"/>
      <w:marBottom w:val="0"/>
      <w:divBdr>
        <w:top w:val="none" w:sz="0" w:space="0" w:color="auto"/>
        <w:left w:val="none" w:sz="0" w:space="0" w:color="auto"/>
        <w:bottom w:val="none" w:sz="0" w:space="0" w:color="auto"/>
        <w:right w:val="none" w:sz="0" w:space="0" w:color="auto"/>
      </w:divBdr>
    </w:div>
    <w:div w:id="178547415">
      <w:bodyDiv w:val="1"/>
      <w:marLeft w:val="0"/>
      <w:marRight w:val="0"/>
      <w:marTop w:val="0"/>
      <w:marBottom w:val="0"/>
      <w:divBdr>
        <w:top w:val="none" w:sz="0" w:space="0" w:color="auto"/>
        <w:left w:val="none" w:sz="0" w:space="0" w:color="auto"/>
        <w:bottom w:val="none" w:sz="0" w:space="0" w:color="auto"/>
        <w:right w:val="none" w:sz="0" w:space="0" w:color="auto"/>
      </w:divBdr>
    </w:div>
    <w:div w:id="248656269">
      <w:bodyDiv w:val="1"/>
      <w:marLeft w:val="0"/>
      <w:marRight w:val="0"/>
      <w:marTop w:val="0"/>
      <w:marBottom w:val="0"/>
      <w:divBdr>
        <w:top w:val="none" w:sz="0" w:space="0" w:color="auto"/>
        <w:left w:val="none" w:sz="0" w:space="0" w:color="auto"/>
        <w:bottom w:val="none" w:sz="0" w:space="0" w:color="auto"/>
        <w:right w:val="none" w:sz="0" w:space="0" w:color="auto"/>
      </w:divBdr>
    </w:div>
    <w:div w:id="261838834">
      <w:bodyDiv w:val="1"/>
      <w:marLeft w:val="0"/>
      <w:marRight w:val="0"/>
      <w:marTop w:val="0"/>
      <w:marBottom w:val="0"/>
      <w:divBdr>
        <w:top w:val="none" w:sz="0" w:space="0" w:color="auto"/>
        <w:left w:val="none" w:sz="0" w:space="0" w:color="auto"/>
        <w:bottom w:val="none" w:sz="0" w:space="0" w:color="auto"/>
        <w:right w:val="none" w:sz="0" w:space="0" w:color="auto"/>
      </w:divBdr>
    </w:div>
    <w:div w:id="274754424">
      <w:bodyDiv w:val="1"/>
      <w:marLeft w:val="0"/>
      <w:marRight w:val="0"/>
      <w:marTop w:val="0"/>
      <w:marBottom w:val="0"/>
      <w:divBdr>
        <w:top w:val="none" w:sz="0" w:space="0" w:color="auto"/>
        <w:left w:val="none" w:sz="0" w:space="0" w:color="auto"/>
        <w:bottom w:val="none" w:sz="0" w:space="0" w:color="auto"/>
        <w:right w:val="none" w:sz="0" w:space="0" w:color="auto"/>
      </w:divBdr>
    </w:div>
    <w:div w:id="354815014">
      <w:bodyDiv w:val="1"/>
      <w:marLeft w:val="0"/>
      <w:marRight w:val="0"/>
      <w:marTop w:val="0"/>
      <w:marBottom w:val="0"/>
      <w:divBdr>
        <w:top w:val="none" w:sz="0" w:space="0" w:color="auto"/>
        <w:left w:val="none" w:sz="0" w:space="0" w:color="auto"/>
        <w:bottom w:val="none" w:sz="0" w:space="0" w:color="auto"/>
        <w:right w:val="none" w:sz="0" w:space="0" w:color="auto"/>
      </w:divBdr>
    </w:div>
    <w:div w:id="379676228">
      <w:bodyDiv w:val="1"/>
      <w:marLeft w:val="0"/>
      <w:marRight w:val="0"/>
      <w:marTop w:val="0"/>
      <w:marBottom w:val="0"/>
      <w:divBdr>
        <w:top w:val="none" w:sz="0" w:space="0" w:color="auto"/>
        <w:left w:val="none" w:sz="0" w:space="0" w:color="auto"/>
        <w:bottom w:val="none" w:sz="0" w:space="0" w:color="auto"/>
        <w:right w:val="none" w:sz="0" w:space="0" w:color="auto"/>
      </w:divBdr>
    </w:div>
    <w:div w:id="405760346">
      <w:bodyDiv w:val="1"/>
      <w:marLeft w:val="0"/>
      <w:marRight w:val="0"/>
      <w:marTop w:val="0"/>
      <w:marBottom w:val="0"/>
      <w:divBdr>
        <w:top w:val="none" w:sz="0" w:space="0" w:color="auto"/>
        <w:left w:val="none" w:sz="0" w:space="0" w:color="auto"/>
        <w:bottom w:val="none" w:sz="0" w:space="0" w:color="auto"/>
        <w:right w:val="none" w:sz="0" w:space="0" w:color="auto"/>
      </w:divBdr>
    </w:div>
    <w:div w:id="482355206">
      <w:bodyDiv w:val="1"/>
      <w:marLeft w:val="0"/>
      <w:marRight w:val="0"/>
      <w:marTop w:val="0"/>
      <w:marBottom w:val="0"/>
      <w:divBdr>
        <w:top w:val="none" w:sz="0" w:space="0" w:color="auto"/>
        <w:left w:val="none" w:sz="0" w:space="0" w:color="auto"/>
        <w:bottom w:val="none" w:sz="0" w:space="0" w:color="auto"/>
        <w:right w:val="none" w:sz="0" w:space="0" w:color="auto"/>
      </w:divBdr>
      <w:divsChild>
        <w:div w:id="1520779281">
          <w:marLeft w:val="0"/>
          <w:marRight w:val="0"/>
          <w:marTop w:val="0"/>
          <w:marBottom w:val="0"/>
          <w:divBdr>
            <w:top w:val="single" w:sz="2" w:space="0" w:color="auto"/>
            <w:left w:val="single" w:sz="2" w:space="0" w:color="auto"/>
            <w:bottom w:val="single" w:sz="2" w:space="0" w:color="auto"/>
            <w:right w:val="single" w:sz="2" w:space="0" w:color="auto"/>
          </w:divBdr>
          <w:divsChild>
            <w:div w:id="261108412">
              <w:marLeft w:val="0"/>
              <w:marRight w:val="0"/>
              <w:marTop w:val="0"/>
              <w:marBottom w:val="0"/>
              <w:divBdr>
                <w:top w:val="single" w:sz="2" w:space="0" w:color="auto"/>
                <w:left w:val="single" w:sz="2" w:space="0" w:color="auto"/>
                <w:bottom w:val="single" w:sz="2" w:space="0" w:color="auto"/>
                <w:right w:val="single" w:sz="2" w:space="0" w:color="auto"/>
              </w:divBdr>
              <w:divsChild>
                <w:div w:id="1145046554">
                  <w:marLeft w:val="0"/>
                  <w:marRight w:val="0"/>
                  <w:marTop w:val="0"/>
                  <w:marBottom w:val="0"/>
                  <w:divBdr>
                    <w:top w:val="single" w:sz="2" w:space="18" w:color="auto"/>
                    <w:left w:val="single" w:sz="2" w:space="18" w:color="auto"/>
                    <w:bottom w:val="single" w:sz="2" w:space="18" w:color="auto"/>
                    <w:right w:val="single" w:sz="2" w:space="18" w:color="auto"/>
                  </w:divBdr>
                  <w:divsChild>
                    <w:div w:id="1466700539">
                      <w:marLeft w:val="0"/>
                      <w:marRight w:val="0"/>
                      <w:marTop w:val="0"/>
                      <w:marBottom w:val="0"/>
                      <w:divBdr>
                        <w:top w:val="single" w:sz="2" w:space="0" w:color="auto"/>
                        <w:left w:val="single" w:sz="2" w:space="0" w:color="auto"/>
                        <w:bottom w:val="single" w:sz="2" w:space="0" w:color="auto"/>
                        <w:right w:val="single" w:sz="2" w:space="0" w:color="auto"/>
                      </w:divBdr>
                      <w:divsChild>
                        <w:div w:id="125397081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973829005">
          <w:marLeft w:val="0"/>
          <w:marRight w:val="0"/>
          <w:marTop w:val="0"/>
          <w:marBottom w:val="0"/>
          <w:divBdr>
            <w:top w:val="single" w:sz="2" w:space="0" w:color="auto"/>
            <w:left w:val="single" w:sz="2" w:space="0" w:color="auto"/>
            <w:bottom w:val="single" w:sz="2" w:space="0" w:color="auto"/>
            <w:right w:val="single" w:sz="2" w:space="0" w:color="auto"/>
          </w:divBdr>
          <w:divsChild>
            <w:div w:id="485825392">
              <w:marLeft w:val="0"/>
              <w:marRight w:val="0"/>
              <w:marTop w:val="0"/>
              <w:marBottom w:val="0"/>
              <w:divBdr>
                <w:top w:val="single" w:sz="2" w:space="0" w:color="auto"/>
                <w:left w:val="single" w:sz="2" w:space="0" w:color="auto"/>
                <w:bottom w:val="single" w:sz="2" w:space="0" w:color="auto"/>
                <w:right w:val="single" w:sz="2" w:space="0" w:color="auto"/>
              </w:divBdr>
              <w:divsChild>
                <w:div w:id="1648322451">
                  <w:marLeft w:val="0"/>
                  <w:marRight w:val="0"/>
                  <w:marTop w:val="0"/>
                  <w:marBottom w:val="0"/>
                  <w:divBdr>
                    <w:top w:val="single" w:sz="2" w:space="18" w:color="auto"/>
                    <w:left w:val="single" w:sz="2" w:space="18" w:color="auto"/>
                    <w:bottom w:val="single" w:sz="2" w:space="18" w:color="auto"/>
                    <w:right w:val="single" w:sz="2" w:space="18" w:color="auto"/>
                  </w:divBdr>
                  <w:divsChild>
                    <w:div w:id="15097097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517040401">
      <w:bodyDiv w:val="1"/>
      <w:marLeft w:val="0"/>
      <w:marRight w:val="0"/>
      <w:marTop w:val="0"/>
      <w:marBottom w:val="0"/>
      <w:divBdr>
        <w:top w:val="none" w:sz="0" w:space="0" w:color="auto"/>
        <w:left w:val="none" w:sz="0" w:space="0" w:color="auto"/>
        <w:bottom w:val="none" w:sz="0" w:space="0" w:color="auto"/>
        <w:right w:val="none" w:sz="0" w:space="0" w:color="auto"/>
      </w:divBdr>
    </w:div>
    <w:div w:id="617569382">
      <w:bodyDiv w:val="1"/>
      <w:marLeft w:val="0"/>
      <w:marRight w:val="0"/>
      <w:marTop w:val="0"/>
      <w:marBottom w:val="0"/>
      <w:divBdr>
        <w:top w:val="none" w:sz="0" w:space="0" w:color="auto"/>
        <w:left w:val="none" w:sz="0" w:space="0" w:color="auto"/>
        <w:bottom w:val="none" w:sz="0" w:space="0" w:color="auto"/>
        <w:right w:val="none" w:sz="0" w:space="0" w:color="auto"/>
      </w:divBdr>
      <w:divsChild>
        <w:div w:id="697849319">
          <w:marLeft w:val="0"/>
          <w:marRight w:val="0"/>
          <w:marTop w:val="0"/>
          <w:marBottom w:val="0"/>
          <w:divBdr>
            <w:top w:val="none" w:sz="0" w:space="0" w:color="auto"/>
            <w:left w:val="none" w:sz="0" w:space="0" w:color="auto"/>
            <w:bottom w:val="none" w:sz="0" w:space="0" w:color="auto"/>
            <w:right w:val="none" w:sz="0" w:space="0" w:color="auto"/>
          </w:divBdr>
          <w:divsChild>
            <w:div w:id="799225898">
              <w:marLeft w:val="0"/>
              <w:marRight w:val="0"/>
              <w:marTop w:val="0"/>
              <w:marBottom w:val="0"/>
              <w:divBdr>
                <w:top w:val="none" w:sz="0" w:space="0" w:color="auto"/>
                <w:left w:val="none" w:sz="0" w:space="0" w:color="auto"/>
                <w:bottom w:val="none" w:sz="0" w:space="0" w:color="auto"/>
                <w:right w:val="none" w:sz="0" w:space="0" w:color="auto"/>
              </w:divBdr>
              <w:divsChild>
                <w:div w:id="142403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522568">
      <w:bodyDiv w:val="1"/>
      <w:marLeft w:val="0"/>
      <w:marRight w:val="0"/>
      <w:marTop w:val="0"/>
      <w:marBottom w:val="0"/>
      <w:divBdr>
        <w:top w:val="none" w:sz="0" w:space="0" w:color="auto"/>
        <w:left w:val="none" w:sz="0" w:space="0" w:color="auto"/>
        <w:bottom w:val="none" w:sz="0" w:space="0" w:color="auto"/>
        <w:right w:val="none" w:sz="0" w:space="0" w:color="auto"/>
      </w:divBdr>
    </w:div>
    <w:div w:id="669715004">
      <w:bodyDiv w:val="1"/>
      <w:marLeft w:val="0"/>
      <w:marRight w:val="0"/>
      <w:marTop w:val="0"/>
      <w:marBottom w:val="0"/>
      <w:divBdr>
        <w:top w:val="none" w:sz="0" w:space="0" w:color="auto"/>
        <w:left w:val="none" w:sz="0" w:space="0" w:color="auto"/>
        <w:bottom w:val="none" w:sz="0" w:space="0" w:color="auto"/>
        <w:right w:val="none" w:sz="0" w:space="0" w:color="auto"/>
      </w:divBdr>
    </w:div>
    <w:div w:id="873469654">
      <w:bodyDiv w:val="1"/>
      <w:marLeft w:val="0"/>
      <w:marRight w:val="0"/>
      <w:marTop w:val="0"/>
      <w:marBottom w:val="0"/>
      <w:divBdr>
        <w:top w:val="none" w:sz="0" w:space="0" w:color="auto"/>
        <w:left w:val="none" w:sz="0" w:space="0" w:color="auto"/>
        <w:bottom w:val="none" w:sz="0" w:space="0" w:color="auto"/>
        <w:right w:val="none" w:sz="0" w:space="0" w:color="auto"/>
      </w:divBdr>
    </w:div>
    <w:div w:id="988023225">
      <w:bodyDiv w:val="1"/>
      <w:marLeft w:val="0"/>
      <w:marRight w:val="0"/>
      <w:marTop w:val="0"/>
      <w:marBottom w:val="0"/>
      <w:divBdr>
        <w:top w:val="none" w:sz="0" w:space="0" w:color="auto"/>
        <w:left w:val="none" w:sz="0" w:space="0" w:color="auto"/>
        <w:bottom w:val="none" w:sz="0" w:space="0" w:color="auto"/>
        <w:right w:val="none" w:sz="0" w:space="0" w:color="auto"/>
      </w:divBdr>
    </w:div>
    <w:div w:id="1098139731">
      <w:bodyDiv w:val="1"/>
      <w:marLeft w:val="0"/>
      <w:marRight w:val="0"/>
      <w:marTop w:val="0"/>
      <w:marBottom w:val="0"/>
      <w:divBdr>
        <w:top w:val="none" w:sz="0" w:space="0" w:color="auto"/>
        <w:left w:val="none" w:sz="0" w:space="0" w:color="auto"/>
        <w:bottom w:val="none" w:sz="0" w:space="0" w:color="auto"/>
        <w:right w:val="none" w:sz="0" w:space="0" w:color="auto"/>
      </w:divBdr>
    </w:div>
    <w:div w:id="1194229028">
      <w:bodyDiv w:val="1"/>
      <w:marLeft w:val="0"/>
      <w:marRight w:val="0"/>
      <w:marTop w:val="0"/>
      <w:marBottom w:val="0"/>
      <w:divBdr>
        <w:top w:val="none" w:sz="0" w:space="0" w:color="auto"/>
        <w:left w:val="none" w:sz="0" w:space="0" w:color="auto"/>
        <w:bottom w:val="none" w:sz="0" w:space="0" w:color="auto"/>
        <w:right w:val="none" w:sz="0" w:space="0" w:color="auto"/>
      </w:divBdr>
    </w:div>
    <w:div w:id="1224024865">
      <w:bodyDiv w:val="1"/>
      <w:marLeft w:val="0"/>
      <w:marRight w:val="0"/>
      <w:marTop w:val="0"/>
      <w:marBottom w:val="0"/>
      <w:divBdr>
        <w:top w:val="none" w:sz="0" w:space="0" w:color="auto"/>
        <w:left w:val="none" w:sz="0" w:space="0" w:color="auto"/>
        <w:bottom w:val="none" w:sz="0" w:space="0" w:color="auto"/>
        <w:right w:val="none" w:sz="0" w:space="0" w:color="auto"/>
      </w:divBdr>
    </w:div>
    <w:div w:id="1255162057">
      <w:bodyDiv w:val="1"/>
      <w:marLeft w:val="0"/>
      <w:marRight w:val="0"/>
      <w:marTop w:val="0"/>
      <w:marBottom w:val="0"/>
      <w:divBdr>
        <w:top w:val="none" w:sz="0" w:space="0" w:color="auto"/>
        <w:left w:val="none" w:sz="0" w:space="0" w:color="auto"/>
        <w:bottom w:val="none" w:sz="0" w:space="0" w:color="auto"/>
        <w:right w:val="none" w:sz="0" w:space="0" w:color="auto"/>
      </w:divBdr>
      <w:divsChild>
        <w:div w:id="1806072502">
          <w:marLeft w:val="0"/>
          <w:marRight w:val="0"/>
          <w:marTop w:val="0"/>
          <w:marBottom w:val="0"/>
          <w:divBdr>
            <w:top w:val="none" w:sz="0" w:space="0" w:color="auto"/>
            <w:left w:val="none" w:sz="0" w:space="0" w:color="auto"/>
            <w:bottom w:val="none" w:sz="0" w:space="0" w:color="auto"/>
            <w:right w:val="none" w:sz="0" w:space="0" w:color="auto"/>
          </w:divBdr>
          <w:divsChild>
            <w:div w:id="193008774">
              <w:marLeft w:val="0"/>
              <w:marRight w:val="0"/>
              <w:marTop w:val="0"/>
              <w:marBottom w:val="0"/>
              <w:divBdr>
                <w:top w:val="none" w:sz="0" w:space="0" w:color="auto"/>
                <w:left w:val="none" w:sz="0" w:space="0" w:color="auto"/>
                <w:bottom w:val="none" w:sz="0" w:space="0" w:color="auto"/>
                <w:right w:val="none" w:sz="0" w:space="0" w:color="auto"/>
              </w:divBdr>
              <w:divsChild>
                <w:div w:id="1304122284">
                  <w:marLeft w:val="0"/>
                  <w:marRight w:val="0"/>
                  <w:marTop w:val="0"/>
                  <w:marBottom w:val="0"/>
                  <w:divBdr>
                    <w:top w:val="none" w:sz="0" w:space="0" w:color="auto"/>
                    <w:left w:val="none" w:sz="0" w:space="0" w:color="auto"/>
                    <w:bottom w:val="none" w:sz="0" w:space="0" w:color="auto"/>
                    <w:right w:val="none" w:sz="0" w:space="0" w:color="auto"/>
                  </w:divBdr>
                  <w:divsChild>
                    <w:div w:id="849098791">
                      <w:marLeft w:val="0"/>
                      <w:marRight w:val="0"/>
                      <w:marTop w:val="0"/>
                      <w:marBottom w:val="0"/>
                      <w:divBdr>
                        <w:top w:val="none" w:sz="0" w:space="0" w:color="auto"/>
                        <w:left w:val="none" w:sz="0" w:space="0" w:color="auto"/>
                        <w:bottom w:val="none" w:sz="0" w:space="0" w:color="auto"/>
                        <w:right w:val="none" w:sz="0" w:space="0" w:color="auto"/>
                      </w:divBdr>
                      <w:divsChild>
                        <w:div w:id="1586456324">
                          <w:marLeft w:val="0"/>
                          <w:marRight w:val="0"/>
                          <w:marTop w:val="0"/>
                          <w:marBottom w:val="0"/>
                          <w:divBdr>
                            <w:top w:val="none" w:sz="0" w:space="0" w:color="auto"/>
                            <w:left w:val="none" w:sz="0" w:space="0" w:color="auto"/>
                            <w:bottom w:val="none" w:sz="0" w:space="0" w:color="auto"/>
                            <w:right w:val="none" w:sz="0" w:space="0" w:color="auto"/>
                          </w:divBdr>
                          <w:divsChild>
                            <w:div w:id="1562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7597463">
      <w:bodyDiv w:val="1"/>
      <w:marLeft w:val="0"/>
      <w:marRight w:val="0"/>
      <w:marTop w:val="0"/>
      <w:marBottom w:val="0"/>
      <w:divBdr>
        <w:top w:val="none" w:sz="0" w:space="0" w:color="auto"/>
        <w:left w:val="none" w:sz="0" w:space="0" w:color="auto"/>
        <w:bottom w:val="none" w:sz="0" w:space="0" w:color="auto"/>
        <w:right w:val="none" w:sz="0" w:space="0" w:color="auto"/>
      </w:divBdr>
    </w:div>
    <w:div w:id="1302923335">
      <w:bodyDiv w:val="1"/>
      <w:marLeft w:val="0"/>
      <w:marRight w:val="0"/>
      <w:marTop w:val="0"/>
      <w:marBottom w:val="0"/>
      <w:divBdr>
        <w:top w:val="none" w:sz="0" w:space="0" w:color="auto"/>
        <w:left w:val="none" w:sz="0" w:space="0" w:color="auto"/>
        <w:bottom w:val="none" w:sz="0" w:space="0" w:color="auto"/>
        <w:right w:val="none" w:sz="0" w:space="0" w:color="auto"/>
      </w:divBdr>
    </w:div>
    <w:div w:id="1338460701">
      <w:bodyDiv w:val="1"/>
      <w:marLeft w:val="0"/>
      <w:marRight w:val="0"/>
      <w:marTop w:val="0"/>
      <w:marBottom w:val="0"/>
      <w:divBdr>
        <w:top w:val="none" w:sz="0" w:space="0" w:color="auto"/>
        <w:left w:val="none" w:sz="0" w:space="0" w:color="auto"/>
        <w:bottom w:val="none" w:sz="0" w:space="0" w:color="auto"/>
        <w:right w:val="none" w:sz="0" w:space="0" w:color="auto"/>
      </w:divBdr>
    </w:div>
    <w:div w:id="1364016271">
      <w:bodyDiv w:val="1"/>
      <w:marLeft w:val="0"/>
      <w:marRight w:val="0"/>
      <w:marTop w:val="0"/>
      <w:marBottom w:val="0"/>
      <w:divBdr>
        <w:top w:val="none" w:sz="0" w:space="0" w:color="auto"/>
        <w:left w:val="none" w:sz="0" w:space="0" w:color="auto"/>
        <w:bottom w:val="none" w:sz="0" w:space="0" w:color="auto"/>
        <w:right w:val="none" w:sz="0" w:space="0" w:color="auto"/>
      </w:divBdr>
    </w:div>
    <w:div w:id="1367871503">
      <w:bodyDiv w:val="1"/>
      <w:marLeft w:val="0"/>
      <w:marRight w:val="0"/>
      <w:marTop w:val="0"/>
      <w:marBottom w:val="0"/>
      <w:divBdr>
        <w:top w:val="none" w:sz="0" w:space="0" w:color="auto"/>
        <w:left w:val="none" w:sz="0" w:space="0" w:color="auto"/>
        <w:bottom w:val="none" w:sz="0" w:space="0" w:color="auto"/>
        <w:right w:val="none" w:sz="0" w:space="0" w:color="auto"/>
      </w:divBdr>
    </w:div>
    <w:div w:id="1430613674">
      <w:bodyDiv w:val="1"/>
      <w:marLeft w:val="0"/>
      <w:marRight w:val="0"/>
      <w:marTop w:val="0"/>
      <w:marBottom w:val="0"/>
      <w:divBdr>
        <w:top w:val="none" w:sz="0" w:space="0" w:color="auto"/>
        <w:left w:val="none" w:sz="0" w:space="0" w:color="auto"/>
        <w:bottom w:val="none" w:sz="0" w:space="0" w:color="auto"/>
        <w:right w:val="none" w:sz="0" w:space="0" w:color="auto"/>
      </w:divBdr>
      <w:divsChild>
        <w:div w:id="866064388">
          <w:marLeft w:val="0"/>
          <w:marRight w:val="0"/>
          <w:marTop w:val="0"/>
          <w:marBottom w:val="0"/>
          <w:divBdr>
            <w:top w:val="none" w:sz="0" w:space="0" w:color="auto"/>
            <w:left w:val="none" w:sz="0" w:space="0" w:color="auto"/>
            <w:bottom w:val="none" w:sz="0" w:space="0" w:color="auto"/>
            <w:right w:val="none" w:sz="0" w:space="0" w:color="auto"/>
          </w:divBdr>
          <w:divsChild>
            <w:div w:id="445466580">
              <w:marLeft w:val="0"/>
              <w:marRight w:val="0"/>
              <w:marTop w:val="0"/>
              <w:marBottom w:val="0"/>
              <w:divBdr>
                <w:top w:val="none" w:sz="0" w:space="0" w:color="auto"/>
                <w:left w:val="none" w:sz="0" w:space="0" w:color="auto"/>
                <w:bottom w:val="none" w:sz="0" w:space="0" w:color="auto"/>
                <w:right w:val="none" w:sz="0" w:space="0" w:color="auto"/>
              </w:divBdr>
              <w:divsChild>
                <w:div w:id="210922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420170">
      <w:bodyDiv w:val="1"/>
      <w:marLeft w:val="0"/>
      <w:marRight w:val="0"/>
      <w:marTop w:val="0"/>
      <w:marBottom w:val="0"/>
      <w:divBdr>
        <w:top w:val="none" w:sz="0" w:space="0" w:color="auto"/>
        <w:left w:val="none" w:sz="0" w:space="0" w:color="auto"/>
        <w:bottom w:val="none" w:sz="0" w:space="0" w:color="auto"/>
        <w:right w:val="none" w:sz="0" w:space="0" w:color="auto"/>
      </w:divBdr>
    </w:div>
    <w:div w:id="1710255936">
      <w:bodyDiv w:val="1"/>
      <w:marLeft w:val="0"/>
      <w:marRight w:val="0"/>
      <w:marTop w:val="0"/>
      <w:marBottom w:val="0"/>
      <w:divBdr>
        <w:top w:val="none" w:sz="0" w:space="0" w:color="auto"/>
        <w:left w:val="none" w:sz="0" w:space="0" w:color="auto"/>
        <w:bottom w:val="none" w:sz="0" w:space="0" w:color="auto"/>
        <w:right w:val="none" w:sz="0" w:space="0" w:color="auto"/>
      </w:divBdr>
    </w:div>
    <w:div w:id="1753356225">
      <w:bodyDiv w:val="1"/>
      <w:marLeft w:val="0"/>
      <w:marRight w:val="0"/>
      <w:marTop w:val="0"/>
      <w:marBottom w:val="0"/>
      <w:divBdr>
        <w:top w:val="none" w:sz="0" w:space="0" w:color="auto"/>
        <w:left w:val="none" w:sz="0" w:space="0" w:color="auto"/>
        <w:bottom w:val="none" w:sz="0" w:space="0" w:color="auto"/>
        <w:right w:val="none" w:sz="0" w:space="0" w:color="auto"/>
      </w:divBdr>
    </w:div>
    <w:div w:id="1829396229">
      <w:bodyDiv w:val="1"/>
      <w:marLeft w:val="0"/>
      <w:marRight w:val="0"/>
      <w:marTop w:val="0"/>
      <w:marBottom w:val="0"/>
      <w:divBdr>
        <w:top w:val="none" w:sz="0" w:space="0" w:color="auto"/>
        <w:left w:val="none" w:sz="0" w:space="0" w:color="auto"/>
        <w:bottom w:val="none" w:sz="0" w:space="0" w:color="auto"/>
        <w:right w:val="none" w:sz="0" w:space="0" w:color="auto"/>
      </w:divBdr>
    </w:div>
    <w:div w:id="1864243574">
      <w:bodyDiv w:val="1"/>
      <w:marLeft w:val="0"/>
      <w:marRight w:val="0"/>
      <w:marTop w:val="0"/>
      <w:marBottom w:val="0"/>
      <w:divBdr>
        <w:top w:val="none" w:sz="0" w:space="0" w:color="auto"/>
        <w:left w:val="none" w:sz="0" w:space="0" w:color="auto"/>
        <w:bottom w:val="none" w:sz="0" w:space="0" w:color="auto"/>
        <w:right w:val="none" w:sz="0" w:space="0" w:color="auto"/>
      </w:divBdr>
    </w:div>
    <w:div w:id="1894999033">
      <w:bodyDiv w:val="1"/>
      <w:marLeft w:val="0"/>
      <w:marRight w:val="0"/>
      <w:marTop w:val="0"/>
      <w:marBottom w:val="0"/>
      <w:divBdr>
        <w:top w:val="none" w:sz="0" w:space="0" w:color="auto"/>
        <w:left w:val="none" w:sz="0" w:space="0" w:color="auto"/>
        <w:bottom w:val="none" w:sz="0" w:space="0" w:color="auto"/>
        <w:right w:val="none" w:sz="0" w:space="0" w:color="auto"/>
      </w:divBdr>
    </w:div>
    <w:div w:id="1952737771">
      <w:bodyDiv w:val="1"/>
      <w:marLeft w:val="0"/>
      <w:marRight w:val="0"/>
      <w:marTop w:val="0"/>
      <w:marBottom w:val="0"/>
      <w:divBdr>
        <w:top w:val="none" w:sz="0" w:space="0" w:color="auto"/>
        <w:left w:val="none" w:sz="0" w:space="0" w:color="auto"/>
        <w:bottom w:val="none" w:sz="0" w:space="0" w:color="auto"/>
        <w:right w:val="none" w:sz="0" w:space="0" w:color="auto"/>
      </w:divBdr>
    </w:div>
    <w:div w:id="2012949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16563-ADD0-466D-A2D9-DAEC57D53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414</TotalTime>
  <Pages>3</Pages>
  <Words>1324</Words>
  <Characters>7288</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DESCAMPS Grégoire</dc:creator>
  <cp:keywords/>
  <dc:description/>
  <cp:lastModifiedBy>DESVIGNE-HANSCH Youri</cp:lastModifiedBy>
  <cp:revision>467</cp:revision>
  <cp:lastPrinted>2026-04-21T09:51:00Z</cp:lastPrinted>
  <dcterms:created xsi:type="dcterms:W3CDTF">2026-10-06T04:02:00Z</dcterms:created>
  <dcterms:modified xsi:type="dcterms:W3CDTF">2026-10-08T10:17:00Z</dcterms:modified>
</cp:coreProperties>
</file>