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A0D8" w14:textId="3FEA6C88" w:rsidR="00803876" w:rsidRDefault="00803876" w:rsidP="00097BB7">
      <w:pPr>
        <w:spacing w:before="120" w:after="120" w:line="240" w:lineRule="auto"/>
        <w:ind w:left="142" w:right="-425"/>
        <w:jc w:val="center"/>
        <w:rPr>
          <w:rFonts w:ascii="Segoe UI" w:hAnsi="Segoe UI" w:cs="Segoe UI"/>
          <w:b/>
          <w:bCs/>
          <w:sz w:val="32"/>
          <w:szCs w:val="32"/>
        </w:rPr>
      </w:pPr>
      <w:r w:rsidRPr="00803876">
        <w:rPr>
          <w:rFonts w:ascii="Segoe UI" w:hAnsi="Segoe UI" w:cs="Segoe UI"/>
          <w:b/>
          <w:bCs/>
          <w:sz w:val="32"/>
          <w:szCs w:val="32"/>
        </w:rPr>
        <w:t>Annexes</w:t>
      </w:r>
    </w:p>
    <w:p w14:paraId="601F5EDF" w14:textId="5EC1E1D2" w:rsidR="00803876" w:rsidRPr="00803876" w:rsidRDefault="00803876" w:rsidP="00EA4BD1">
      <w:pPr>
        <w:spacing w:before="120" w:after="120" w:line="240" w:lineRule="auto"/>
        <w:ind w:left="142" w:right="-425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876">
        <w:rPr>
          <w:rFonts w:ascii="Segoe UI" w:hAnsi="Segoe UI" w:cs="Segoe UI"/>
          <w:b/>
          <w:bCs/>
          <w:sz w:val="24"/>
          <w:szCs w:val="24"/>
        </w:rPr>
        <w:t xml:space="preserve">Annexe 1 – Echanges </w:t>
      </w:r>
      <w:r w:rsidR="008C2F69">
        <w:rPr>
          <w:rFonts w:ascii="Segoe UI" w:hAnsi="Segoe UI" w:cs="Segoe UI"/>
          <w:b/>
          <w:bCs/>
          <w:sz w:val="24"/>
          <w:szCs w:val="24"/>
        </w:rPr>
        <w:t xml:space="preserve">de biens entre la France et la </w:t>
      </w:r>
      <w:r w:rsidR="004E0FC5">
        <w:rPr>
          <w:rFonts w:ascii="Segoe UI" w:hAnsi="Segoe UI" w:cs="Segoe UI"/>
          <w:b/>
          <w:bCs/>
          <w:sz w:val="24"/>
          <w:szCs w:val="24"/>
        </w:rPr>
        <w:t>R</w:t>
      </w:r>
      <w:r w:rsidR="008C2F69">
        <w:rPr>
          <w:rFonts w:ascii="Segoe UI" w:hAnsi="Segoe UI" w:cs="Segoe UI"/>
          <w:b/>
          <w:bCs/>
          <w:sz w:val="24"/>
          <w:szCs w:val="24"/>
        </w:rPr>
        <w:t>épublique tchèque</w:t>
      </w:r>
    </w:p>
    <w:p w14:paraId="2E8778CA" w14:textId="3AEAB6A4" w:rsidR="00803876" w:rsidRDefault="00E41107" w:rsidP="00097BB7">
      <w:pPr>
        <w:spacing w:before="120" w:after="120" w:line="240" w:lineRule="auto"/>
        <w:ind w:left="142" w:right="-425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07309F6B" wp14:editId="07A582A1">
            <wp:extent cx="5440045" cy="3556610"/>
            <wp:effectExtent l="0" t="0" r="825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198" cy="356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953B3" w14:textId="19CC6F2C" w:rsidR="00803876" w:rsidRPr="00E41107" w:rsidRDefault="00E41107" w:rsidP="00097BB7">
      <w:pPr>
        <w:spacing w:before="120" w:after="120" w:line="240" w:lineRule="auto"/>
        <w:ind w:left="142" w:right="-425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Source</w:t>
      </w:r>
      <w:r w:rsidR="00803876" w:rsidRPr="00E41107">
        <w:rPr>
          <w:rFonts w:ascii="Segoe UI" w:hAnsi="Segoe UI" w:cs="Segoe UI"/>
          <w:sz w:val="18"/>
          <w:szCs w:val="18"/>
        </w:rPr>
        <w:t xml:space="preserve"> : </w:t>
      </w:r>
      <w:r w:rsidRPr="00E41107">
        <w:rPr>
          <w:rFonts w:ascii="Segoe UI" w:hAnsi="Segoe UI" w:cs="Segoe UI"/>
          <w:sz w:val="18"/>
          <w:szCs w:val="18"/>
        </w:rPr>
        <w:t>douanes françaises</w:t>
      </w:r>
      <w:r w:rsidR="00803876" w:rsidRPr="00E41107">
        <w:rPr>
          <w:rFonts w:ascii="Segoe UI" w:hAnsi="Segoe UI" w:cs="Segoe UI"/>
          <w:sz w:val="18"/>
          <w:szCs w:val="18"/>
        </w:rPr>
        <w:t xml:space="preserve">. </w:t>
      </w:r>
    </w:p>
    <w:p w14:paraId="5894164E" w14:textId="4F0122AF" w:rsidR="00DD58FF" w:rsidRPr="00DD58FF" w:rsidRDefault="00DD58FF" w:rsidP="00EA4BD1">
      <w:pPr>
        <w:spacing w:before="120" w:after="120" w:line="240" w:lineRule="auto"/>
        <w:ind w:right="-425"/>
        <w:jc w:val="center"/>
        <w:rPr>
          <w:rFonts w:ascii="Segoe UI" w:hAnsi="Segoe UI" w:cs="Segoe UI"/>
          <w:b/>
          <w:bCs/>
          <w:sz w:val="24"/>
          <w:szCs w:val="24"/>
        </w:rPr>
      </w:pPr>
      <w:r w:rsidRPr="00DD58FF">
        <w:rPr>
          <w:rFonts w:ascii="Segoe UI" w:hAnsi="Segoe UI" w:cs="Segoe UI"/>
          <w:b/>
          <w:bCs/>
          <w:sz w:val="24"/>
          <w:szCs w:val="24"/>
        </w:rPr>
        <w:t xml:space="preserve">Annexe </w:t>
      </w:r>
      <w:r w:rsidR="002D281E">
        <w:rPr>
          <w:rFonts w:ascii="Segoe UI" w:hAnsi="Segoe UI" w:cs="Segoe UI"/>
          <w:b/>
          <w:bCs/>
          <w:sz w:val="24"/>
          <w:szCs w:val="24"/>
        </w:rPr>
        <w:t>2</w:t>
      </w:r>
      <w:r w:rsidRPr="00DD58FF">
        <w:rPr>
          <w:rFonts w:ascii="Segoe UI" w:hAnsi="Segoe UI" w:cs="Segoe UI"/>
          <w:b/>
          <w:bCs/>
          <w:sz w:val="24"/>
          <w:szCs w:val="24"/>
        </w:rPr>
        <w:t>- Echanges de services entre la France et la République</w:t>
      </w:r>
    </w:p>
    <w:p w14:paraId="39C83888" w14:textId="3EED7BF7" w:rsidR="00DD58FF" w:rsidRDefault="00CA7121" w:rsidP="00097BB7">
      <w:pPr>
        <w:spacing w:before="120" w:after="120" w:line="240" w:lineRule="auto"/>
        <w:ind w:left="142" w:right="-425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4008A566" wp14:editId="636A1439">
            <wp:extent cx="5176299" cy="3376246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031" cy="3389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7C1B4" w14:textId="66802195" w:rsidR="00940F3B" w:rsidRPr="00E41107" w:rsidRDefault="00DD58FF" w:rsidP="00097BB7">
      <w:pPr>
        <w:spacing w:before="120" w:after="120" w:line="240" w:lineRule="auto"/>
        <w:ind w:left="142" w:right="-425"/>
        <w:rPr>
          <w:rFonts w:ascii="Segoe UI" w:hAnsi="Segoe UI" w:cs="Segoe UI"/>
          <w:sz w:val="18"/>
          <w:szCs w:val="18"/>
        </w:rPr>
      </w:pPr>
      <w:r w:rsidRPr="00E41107">
        <w:rPr>
          <w:rFonts w:ascii="Segoe UI" w:hAnsi="Segoe UI" w:cs="Segoe UI"/>
          <w:sz w:val="18"/>
          <w:szCs w:val="18"/>
        </w:rPr>
        <w:t>Source : CNB (Banque centrale tchèque)</w:t>
      </w:r>
    </w:p>
    <w:p w14:paraId="5C953BFA" w14:textId="4A53077D" w:rsidR="00CE64AE" w:rsidRPr="00132408" w:rsidRDefault="00CE64AE" w:rsidP="00EA4BD1">
      <w:pPr>
        <w:spacing w:before="120" w:after="120" w:line="240" w:lineRule="auto"/>
        <w:ind w:left="142" w:right="-425"/>
        <w:jc w:val="center"/>
        <w:rPr>
          <w:rFonts w:ascii="Segoe UI" w:hAnsi="Segoe UI" w:cs="Segoe UI"/>
          <w:b/>
          <w:bCs/>
          <w:sz w:val="24"/>
          <w:szCs w:val="24"/>
        </w:rPr>
      </w:pPr>
      <w:r w:rsidRPr="00132408">
        <w:rPr>
          <w:rFonts w:ascii="Segoe UI" w:hAnsi="Segoe UI" w:cs="Segoe UI"/>
          <w:b/>
          <w:bCs/>
          <w:sz w:val="24"/>
          <w:szCs w:val="24"/>
        </w:rPr>
        <w:lastRenderedPageBreak/>
        <w:t xml:space="preserve">Annexe </w:t>
      </w:r>
      <w:r w:rsidR="00A058DE">
        <w:rPr>
          <w:rFonts w:ascii="Segoe UI" w:hAnsi="Segoe UI" w:cs="Segoe UI"/>
          <w:b/>
          <w:bCs/>
          <w:sz w:val="24"/>
          <w:szCs w:val="24"/>
        </w:rPr>
        <w:t>3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132408">
        <w:rPr>
          <w:rFonts w:ascii="Segoe UI" w:hAnsi="Segoe UI" w:cs="Segoe UI"/>
          <w:b/>
          <w:bCs/>
          <w:sz w:val="24"/>
          <w:szCs w:val="24"/>
        </w:rPr>
        <w:t>- Secteurs d’exportations et d’importations des services entre la France et la Tchéquie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5A479E" w:rsidRPr="00CE64AE" w14:paraId="4377610A" w14:textId="77777777" w:rsidTr="00132408">
        <w:trPr>
          <w:trHeight w:val="9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1C686F8" w14:textId="77777777" w:rsidR="00CE64AE" w:rsidRPr="00CE64AE" w:rsidRDefault="00CE64AE" w:rsidP="005A47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Services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34BC1F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Part dans le total des exportations françaises de services en Tchéquie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21DDE9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Part dans le total des importations françaises de services en Tchéquie</w:t>
            </w:r>
          </w:p>
        </w:tc>
      </w:tr>
      <w:tr w:rsidR="005A479E" w:rsidRPr="00CE64AE" w14:paraId="7BE9C01C" w14:textId="77777777" w:rsidTr="00132408">
        <w:trPr>
          <w:trHeight w:val="194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4C895" w14:textId="77777777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Autres services aux entreprises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FF9C8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36%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5F05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25%</w:t>
            </w:r>
          </w:p>
        </w:tc>
      </w:tr>
      <w:tr w:rsidR="005A479E" w:rsidRPr="00CE64AE" w14:paraId="132A7DF4" w14:textId="77777777" w:rsidTr="00132408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7153435" w14:textId="77777777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Transport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808283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24%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1BAA58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39%</w:t>
            </w:r>
          </w:p>
        </w:tc>
      </w:tr>
      <w:tr w:rsidR="005A479E" w:rsidRPr="00CE64AE" w14:paraId="505E34CF" w14:textId="77777777" w:rsidTr="00132408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4FE6C" w14:textId="28F76E42" w:rsidR="00CE64AE" w:rsidRPr="00CE64AE" w:rsidRDefault="00EE544D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>
              <w:rPr>
                <w:rFonts w:ascii="Segoe UI" w:eastAsia="Times New Roman" w:hAnsi="Segoe UI" w:cs="Segoe UI"/>
                <w:lang w:eastAsia="fr-FR"/>
              </w:rPr>
              <w:t>Tourisme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58BE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13%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2CE5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7%</w:t>
            </w:r>
          </w:p>
        </w:tc>
      </w:tr>
      <w:tr w:rsidR="005A479E" w:rsidRPr="00CE64AE" w14:paraId="48E3E72B" w14:textId="77777777" w:rsidTr="00132408">
        <w:trPr>
          <w:trHeight w:val="336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8180920" w14:textId="190DAD76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 xml:space="preserve">Frais d'utilisation de propriété intellectuelle </w:t>
            </w:r>
            <w:proofErr w:type="spellStart"/>
            <w:r w:rsidRPr="00CE64AE">
              <w:rPr>
                <w:rFonts w:ascii="Segoe UI" w:eastAsia="Times New Roman" w:hAnsi="Segoe UI" w:cs="Segoe UI"/>
                <w:lang w:eastAsia="fr-FR"/>
              </w:rPr>
              <w:t>n.c.a</w:t>
            </w:r>
            <w:proofErr w:type="spellEnd"/>
            <w:r>
              <w:rPr>
                <w:rFonts w:ascii="Segoe UI" w:eastAsia="Times New Roman" w:hAnsi="Segoe UI" w:cs="Segoe UI"/>
                <w:lang w:eastAsia="fr-FR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2308CE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11%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5D487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0%</w:t>
            </w:r>
          </w:p>
        </w:tc>
      </w:tr>
      <w:tr w:rsidR="005A479E" w:rsidRPr="00CE64AE" w14:paraId="7AED901F" w14:textId="77777777" w:rsidTr="00132408">
        <w:trPr>
          <w:trHeight w:val="514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B89EB" w14:textId="77777777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Services de télécommunications, informatique, information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BD2E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9%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927B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17%</w:t>
            </w:r>
          </w:p>
        </w:tc>
      </w:tr>
      <w:tr w:rsidR="005A479E" w:rsidRPr="00CE64AE" w14:paraId="0490E5CE" w14:textId="77777777" w:rsidTr="00132408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6DAF702" w14:textId="77777777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Services d'assurance de pension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42CD6A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3%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CF0C22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1%</w:t>
            </w:r>
          </w:p>
        </w:tc>
      </w:tr>
      <w:tr w:rsidR="005A479E" w:rsidRPr="00CE64AE" w14:paraId="7590D03F" w14:textId="77777777" w:rsidTr="00132408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7A4E4" w14:textId="291B2696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 xml:space="preserve">Services d'entretien et de réparation </w:t>
            </w:r>
            <w:proofErr w:type="spellStart"/>
            <w:r w:rsidRPr="00CE64AE">
              <w:rPr>
                <w:rFonts w:ascii="Segoe UI" w:eastAsia="Times New Roman" w:hAnsi="Segoe UI" w:cs="Segoe UI"/>
                <w:lang w:eastAsia="fr-FR"/>
              </w:rPr>
              <w:t>n.c.a</w:t>
            </w:r>
            <w:proofErr w:type="spellEnd"/>
            <w:r w:rsidRPr="00CE64AE">
              <w:rPr>
                <w:rFonts w:ascii="Segoe UI" w:eastAsia="Times New Roman" w:hAnsi="Segoe UI" w:cs="Segoe UI"/>
                <w:lang w:eastAsia="fr-FR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7ED1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2%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F66A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3%</w:t>
            </w:r>
          </w:p>
        </w:tc>
      </w:tr>
      <w:tr w:rsidR="005A479E" w:rsidRPr="00CE64AE" w14:paraId="6BB52182" w14:textId="77777777" w:rsidTr="00132408">
        <w:trPr>
          <w:trHeight w:val="443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20FB8FC" w14:textId="77777777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Services de fabrication d'intrants physiques appartenant à des tiers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388101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1%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B9B497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4%</w:t>
            </w:r>
          </w:p>
        </w:tc>
      </w:tr>
      <w:tr w:rsidR="005A479E" w:rsidRPr="00CE64AE" w14:paraId="4FE21477" w14:textId="77777777" w:rsidTr="00132408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A6DF7" w14:textId="77777777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Services personnels, culturels et loisirs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5FB7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1%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D828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0%</w:t>
            </w:r>
          </w:p>
        </w:tc>
      </w:tr>
      <w:tr w:rsidR="005A479E" w:rsidRPr="00CE64AE" w14:paraId="5B2F2D0D" w14:textId="77777777" w:rsidTr="00132408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9C90E9C" w14:textId="77777777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Services financiers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424259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1%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F83BB4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2%</w:t>
            </w:r>
          </w:p>
        </w:tc>
      </w:tr>
      <w:tr w:rsidR="005A479E" w:rsidRPr="00CE64AE" w14:paraId="7E7FE0D0" w14:textId="77777777" w:rsidTr="00132408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0EFD6" w14:textId="77777777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Construction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BDE8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0%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4CF7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0%</w:t>
            </w:r>
          </w:p>
        </w:tc>
      </w:tr>
      <w:tr w:rsidR="005A479E" w:rsidRPr="00CE64AE" w14:paraId="3EEE2D7A" w14:textId="77777777" w:rsidTr="00132408">
        <w:trPr>
          <w:trHeight w:val="284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D268AAF" w14:textId="77777777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 xml:space="preserve">Biens et services des administrations publiques </w:t>
            </w:r>
            <w:proofErr w:type="spellStart"/>
            <w:r w:rsidRPr="00CE64AE">
              <w:rPr>
                <w:rFonts w:ascii="Segoe UI" w:eastAsia="Times New Roman" w:hAnsi="Segoe UI" w:cs="Segoe UI"/>
                <w:lang w:eastAsia="fr-FR"/>
              </w:rPr>
              <w:t>n.c.a</w:t>
            </w:r>
            <w:proofErr w:type="spellEnd"/>
            <w:r w:rsidRPr="00CE64AE">
              <w:rPr>
                <w:rFonts w:ascii="Segoe UI" w:eastAsia="Times New Roman" w:hAnsi="Segoe UI" w:cs="Segoe UI"/>
                <w:lang w:eastAsia="fr-FR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A34705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0%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E876CA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0%</w:t>
            </w:r>
          </w:p>
        </w:tc>
      </w:tr>
      <w:tr w:rsidR="005A479E" w:rsidRPr="00CE64AE" w14:paraId="497EEDDF" w14:textId="77777777" w:rsidTr="00132408">
        <w:trPr>
          <w:trHeight w:val="15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3B653" w14:textId="77777777" w:rsidR="00CE64AE" w:rsidRPr="00CE64AE" w:rsidRDefault="00CE64AE" w:rsidP="005A479E">
            <w:pPr>
              <w:spacing w:after="0" w:line="240" w:lineRule="auto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Services non alloués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43F4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AB27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0%</w:t>
            </w:r>
          </w:p>
        </w:tc>
      </w:tr>
      <w:tr w:rsidR="00CE64AE" w:rsidRPr="00CE64AE" w14:paraId="6E5A85C1" w14:textId="77777777" w:rsidTr="00132408">
        <w:trPr>
          <w:trHeight w:val="33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30208" w14:textId="4FA2554B" w:rsidR="00CE64AE" w:rsidRPr="00CE64AE" w:rsidRDefault="005A479E" w:rsidP="00CE6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  <w:t>Source :</w:t>
            </w:r>
            <w:r w:rsidR="00CE64AE" w:rsidRPr="00CE64AE"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  <w:t xml:space="preserve"> CNB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1BE93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90D28" w14:textId="77777777" w:rsidR="00CE64AE" w:rsidRPr="00CE64AE" w:rsidRDefault="00CE64AE" w:rsidP="00CE6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fr-FR"/>
              </w:rPr>
            </w:pPr>
            <w:r w:rsidRPr="00CE64AE">
              <w:rPr>
                <w:rFonts w:ascii="Segoe UI" w:eastAsia="Times New Roman" w:hAnsi="Segoe UI" w:cs="Segoe UI"/>
                <w:lang w:eastAsia="fr-FR"/>
              </w:rPr>
              <w:t> </w:t>
            </w:r>
          </w:p>
        </w:tc>
      </w:tr>
    </w:tbl>
    <w:p w14:paraId="5A75E894" w14:textId="77777777" w:rsidR="004E0FC5" w:rsidRPr="00DD58FF" w:rsidRDefault="004E0FC5" w:rsidP="00097BB7">
      <w:pPr>
        <w:spacing w:before="120" w:after="120" w:line="240" w:lineRule="auto"/>
        <w:ind w:left="142" w:right="-425"/>
        <w:rPr>
          <w:rFonts w:ascii="Segoe UI" w:hAnsi="Segoe UI" w:cs="Segoe UI"/>
          <w:sz w:val="24"/>
          <w:szCs w:val="24"/>
        </w:rPr>
      </w:pPr>
    </w:p>
    <w:p w14:paraId="52AB67B0" w14:textId="6A277EC6" w:rsidR="00D55013" w:rsidRPr="00C46634" w:rsidRDefault="00C46634" w:rsidP="00C46634">
      <w:pPr>
        <w:spacing w:before="120" w:after="120" w:line="240" w:lineRule="auto"/>
        <w:ind w:left="142" w:right="-425"/>
        <w:jc w:val="center"/>
        <w:rPr>
          <w:rFonts w:ascii="Segoe UI" w:hAnsi="Segoe UI" w:cs="Segoe UI"/>
          <w:b/>
          <w:bCs/>
        </w:rPr>
      </w:pPr>
      <w:r w:rsidRPr="00C46634">
        <w:rPr>
          <w:rFonts w:ascii="Segoe UI" w:hAnsi="Segoe UI" w:cs="Segoe UI"/>
          <w:b/>
          <w:bCs/>
        </w:rPr>
        <w:t>Annexe 4 – Principaux groupes français implantés en Tchéquie</w:t>
      </w:r>
    </w:p>
    <w:p w14:paraId="1A453806" w14:textId="6C83272D" w:rsidR="00D55013" w:rsidRDefault="00D55013" w:rsidP="00097BB7">
      <w:pPr>
        <w:spacing w:before="120" w:after="120" w:line="240" w:lineRule="auto"/>
        <w:ind w:left="142" w:right="-425"/>
        <w:rPr>
          <w:rFonts w:ascii="Segoe UI" w:hAnsi="Segoe UI" w:cs="Segoe UI"/>
        </w:rPr>
      </w:pPr>
    </w:p>
    <w:p w14:paraId="7A3ED1E7" w14:textId="4CE5299D" w:rsidR="00C46634" w:rsidRPr="00E24ABC" w:rsidRDefault="00C46634" w:rsidP="00C46634">
      <w:pPr>
        <w:widowControl w:val="0"/>
        <w:spacing w:before="120" w:after="120"/>
        <w:ind w:right="-428"/>
        <w:jc w:val="both"/>
        <w:rPr>
          <w:rFonts w:ascii="Segoe UI" w:hAnsi="Segoe UI" w:cs="Segoe UI"/>
          <w:bCs/>
          <w:sz w:val="20"/>
          <w:szCs w:val="20"/>
        </w:rPr>
      </w:pPr>
      <w:r w:rsidRPr="00E24ABC">
        <w:rPr>
          <w:rFonts w:ascii="Segoe UI" w:hAnsi="Segoe UI" w:cs="Segoe UI"/>
          <w:b/>
          <w:sz w:val="20"/>
          <w:szCs w:val="20"/>
        </w:rPr>
        <w:t>Les groupes français sont présents dans de nombreux secteurs d’activité</w:t>
      </w:r>
      <w:r w:rsidRPr="00E24ABC">
        <w:rPr>
          <w:rFonts w:ascii="Segoe UI" w:hAnsi="Segoe UI" w:cs="Segoe UI"/>
          <w:bCs/>
          <w:sz w:val="20"/>
          <w:szCs w:val="20"/>
        </w:rPr>
        <w:t>, à l’exception de la grande distribution généraliste</w:t>
      </w:r>
      <w:r w:rsidRPr="00E24ABC">
        <w:rPr>
          <w:rStyle w:val="Appeldenotedefin"/>
          <w:rFonts w:ascii="Segoe UI" w:hAnsi="Segoe UI" w:cs="Segoe UI"/>
          <w:bCs/>
          <w:sz w:val="20"/>
          <w:szCs w:val="20"/>
        </w:rPr>
        <w:endnoteReference w:id="1"/>
      </w:r>
      <w:r w:rsidRPr="00E24ABC">
        <w:rPr>
          <w:rFonts w:ascii="Segoe UI" w:hAnsi="Segoe UI" w:cs="Segoe UI"/>
          <w:bCs/>
          <w:sz w:val="20"/>
          <w:szCs w:val="20"/>
        </w:rPr>
        <w:t>, des services de télécommunications et des assurances</w:t>
      </w:r>
      <w:r w:rsidRPr="00E24ABC">
        <w:rPr>
          <w:rStyle w:val="Appeldenotedefin"/>
          <w:rFonts w:ascii="Segoe UI" w:hAnsi="Segoe UI" w:cs="Segoe UI"/>
          <w:bCs/>
          <w:sz w:val="20"/>
          <w:szCs w:val="20"/>
        </w:rPr>
        <w:endnoteReference w:id="2"/>
      </w:r>
      <w:r w:rsidRPr="00E24ABC">
        <w:rPr>
          <w:rFonts w:ascii="Segoe UI" w:hAnsi="Segoe UI" w:cs="Segoe UI"/>
          <w:bCs/>
          <w:sz w:val="20"/>
          <w:szCs w:val="20"/>
        </w:rPr>
        <w:t>.</w:t>
      </w:r>
    </w:p>
    <w:p w14:paraId="57079682" w14:textId="77777777" w:rsidR="00C46634" w:rsidRPr="00E24ABC" w:rsidRDefault="00C46634" w:rsidP="00C46634">
      <w:pPr>
        <w:widowControl w:val="0"/>
        <w:spacing w:before="120" w:after="120"/>
        <w:ind w:right="-428"/>
        <w:jc w:val="both"/>
        <w:rPr>
          <w:rFonts w:ascii="Segoe UI" w:hAnsi="Segoe UI" w:cs="Segoe UI"/>
          <w:sz w:val="20"/>
          <w:szCs w:val="20"/>
        </w:rPr>
      </w:pPr>
      <w:r w:rsidRPr="00E24ABC">
        <w:rPr>
          <w:rFonts w:ascii="Segoe UI" w:hAnsi="Segoe UI" w:cs="Segoe UI"/>
          <w:b/>
          <w:sz w:val="20"/>
          <w:szCs w:val="20"/>
        </w:rPr>
        <w:t xml:space="preserve">Les </w:t>
      </w:r>
      <w:r w:rsidRPr="00E24ABC">
        <w:rPr>
          <w:rFonts w:ascii="Segoe UI" w:hAnsi="Segoe UI" w:cs="Segoe UI"/>
          <w:b/>
          <w:sz w:val="20"/>
          <w:szCs w:val="20"/>
          <w:u w:val="single"/>
        </w:rPr>
        <w:t xml:space="preserve">secteurs de l’énergie, de l’eau et de l’économie circulaire </w:t>
      </w:r>
      <w:r w:rsidRPr="00E24ABC">
        <w:rPr>
          <w:rFonts w:ascii="Segoe UI" w:hAnsi="Segoe UI" w:cs="Segoe UI"/>
          <w:b/>
          <w:sz w:val="20"/>
          <w:szCs w:val="20"/>
        </w:rPr>
        <w:t>(10 000 emplois)</w:t>
      </w:r>
      <w:r w:rsidRPr="00E24ABC">
        <w:rPr>
          <w:rFonts w:ascii="Segoe UI" w:hAnsi="Segoe UI" w:cs="Segoe UI"/>
          <w:bCs/>
          <w:sz w:val="20"/>
          <w:szCs w:val="20"/>
        </w:rPr>
        <w:t>,</w:t>
      </w:r>
      <w:r w:rsidRPr="00E24ABC">
        <w:rPr>
          <w:rFonts w:ascii="Segoe UI" w:hAnsi="Segoe UI" w:cs="Segoe UI"/>
          <w:b/>
          <w:sz w:val="20"/>
          <w:szCs w:val="20"/>
        </w:rPr>
        <w:t xml:space="preserve"> sont investis par </w:t>
      </w:r>
      <w:r w:rsidRPr="00E24ABC">
        <w:rPr>
          <w:rFonts w:ascii="Segoe UI" w:hAnsi="Segoe UI" w:cs="Segoe UI"/>
          <w:b/>
          <w:bCs/>
          <w:sz w:val="20"/>
          <w:szCs w:val="20"/>
        </w:rPr>
        <w:t>Veolia</w:t>
      </w:r>
      <w:r w:rsidRPr="00E24ABC">
        <w:rPr>
          <w:rFonts w:ascii="Segoe UI" w:hAnsi="Segoe UI" w:cs="Segoe UI"/>
          <w:sz w:val="20"/>
          <w:szCs w:val="20"/>
        </w:rPr>
        <w:t xml:space="preserve"> présent sur ses trois métiers (n°1 du marché de l'eau avec 3,6 M habitants dont Prague, 1</w:t>
      </w:r>
      <w:r w:rsidRPr="00E24ABC">
        <w:rPr>
          <w:rFonts w:ascii="Segoe UI" w:hAnsi="Segoe UI" w:cs="Segoe UI"/>
          <w:sz w:val="20"/>
          <w:szCs w:val="20"/>
          <w:vertAlign w:val="superscript"/>
        </w:rPr>
        <w:t>er</w:t>
      </w:r>
      <w:r w:rsidRPr="00E24ABC">
        <w:rPr>
          <w:rFonts w:ascii="Segoe UI" w:hAnsi="Segoe UI" w:cs="Segoe UI"/>
          <w:sz w:val="20"/>
          <w:szCs w:val="20"/>
        </w:rPr>
        <w:t xml:space="preserve"> producteur de chaleur, gestion des déchets), </w:t>
      </w:r>
      <w:r w:rsidRPr="00E24ABC">
        <w:rPr>
          <w:rFonts w:ascii="Segoe UI" w:hAnsi="Segoe UI" w:cs="Segoe UI"/>
          <w:b/>
          <w:bCs/>
          <w:sz w:val="20"/>
          <w:szCs w:val="20"/>
        </w:rPr>
        <w:t>Suez</w:t>
      </w:r>
      <w:r w:rsidRPr="00E24ABC">
        <w:rPr>
          <w:rFonts w:ascii="Segoe UI" w:hAnsi="Segoe UI" w:cs="Segoe UI"/>
          <w:sz w:val="20"/>
          <w:szCs w:val="20"/>
        </w:rPr>
        <w:t xml:space="preserve"> (eau pour 1,1 M habitants dont Brno, Ostrava ou </w:t>
      </w:r>
      <w:proofErr w:type="spellStart"/>
      <w:r w:rsidRPr="00E24ABC">
        <w:rPr>
          <w:rFonts w:ascii="Segoe UI" w:hAnsi="Segoe UI" w:cs="Segoe UI"/>
          <w:sz w:val="20"/>
          <w:szCs w:val="20"/>
        </w:rPr>
        <w:t>Karlovy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24ABC">
        <w:rPr>
          <w:rFonts w:ascii="Segoe UI" w:hAnsi="Segoe UI" w:cs="Segoe UI"/>
          <w:sz w:val="20"/>
          <w:szCs w:val="20"/>
        </w:rPr>
        <w:t>Vary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, 1 700 salariés). </w:t>
      </w:r>
      <w:r w:rsidRPr="00E24ABC">
        <w:rPr>
          <w:rFonts w:ascii="Segoe UI" w:hAnsi="Segoe UI" w:cs="Segoe UI"/>
          <w:b/>
          <w:bCs/>
          <w:sz w:val="20"/>
          <w:szCs w:val="20"/>
        </w:rPr>
        <w:t>Engie</w:t>
      </w:r>
      <w:r w:rsidRPr="00E24ABC">
        <w:rPr>
          <w:rFonts w:ascii="Segoe UI" w:hAnsi="Segoe UI" w:cs="Segoe UI"/>
          <w:sz w:val="20"/>
          <w:szCs w:val="20"/>
        </w:rPr>
        <w:t xml:space="preserve"> et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TotalEnergies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(1 200 salariés, dont Hutchinson et </w:t>
      </w:r>
      <w:proofErr w:type="spellStart"/>
      <w:r w:rsidRPr="00E24ABC">
        <w:rPr>
          <w:rFonts w:ascii="Segoe UI" w:hAnsi="Segoe UI" w:cs="Segoe UI"/>
          <w:sz w:val="20"/>
          <w:szCs w:val="20"/>
        </w:rPr>
        <w:t>Saft</w:t>
      </w:r>
      <w:proofErr w:type="spellEnd"/>
      <w:r w:rsidRPr="00E24ABC">
        <w:rPr>
          <w:rFonts w:ascii="Segoe UI" w:hAnsi="Segoe UI" w:cs="Segoe UI"/>
          <w:sz w:val="20"/>
          <w:szCs w:val="20"/>
        </w:rPr>
        <w:t>) sont également présents.</w:t>
      </w:r>
    </w:p>
    <w:p w14:paraId="5925E25A" w14:textId="77777777" w:rsidR="00C46634" w:rsidRPr="00E24ABC" w:rsidRDefault="00C46634" w:rsidP="00C46634">
      <w:pPr>
        <w:widowControl w:val="0"/>
        <w:spacing w:before="120" w:after="120"/>
        <w:ind w:right="-428"/>
        <w:jc w:val="both"/>
        <w:rPr>
          <w:rFonts w:ascii="Segoe UI" w:hAnsi="Segoe UI" w:cs="Segoe UI"/>
          <w:sz w:val="20"/>
          <w:szCs w:val="20"/>
        </w:rPr>
      </w:pPr>
      <w:r w:rsidRPr="00E24ABC">
        <w:rPr>
          <w:rFonts w:ascii="Segoe UI" w:hAnsi="Segoe UI" w:cs="Segoe UI"/>
          <w:b/>
          <w:bCs/>
          <w:sz w:val="20"/>
          <w:szCs w:val="20"/>
        </w:rPr>
        <w:t xml:space="preserve">Dans le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secteur de la construction et du BTP (12 000 emplois)</w:t>
      </w:r>
      <w:r w:rsidRPr="00E24ABC">
        <w:rPr>
          <w:rFonts w:ascii="Segoe UI" w:hAnsi="Segoe UI" w:cs="Segoe UI"/>
          <w:sz w:val="20"/>
          <w:szCs w:val="20"/>
        </w:rPr>
        <w:t xml:space="preserve">, </w:t>
      </w:r>
      <w:r w:rsidRPr="00E24ABC">
        <w:rPr>
          <w:rFonts w:ascii="Segoe UI" w:hAnsi="Segoe UI" w:cs="Segoe UI"/>
          <w:b/>
          <w:bCs/>
          <w:sz w:val="20"/>
          <w:szCs w:val="20"/>
        </w:rPr>
        <w:t>Vinci</w:t>
      </w:r>
      <w:r w:rsidRPr="00E24ABC">
        <w:rPr>
          <w:rFonts w:ascii="Segoe UI" w:hAnsi="Segoe UI" w:cs="Segoe UI"/>
          <w:sz w:val="20"/>
          <w:szCs w:val="20"/>
        </w:rPr>
        <w:t xml:space="preserve"> (6 000 salariés) est actif dans la construction de routes avec Eurovia, les services liées à l’énergie (Vinci Energies détient 28 sociétés dont Axians, </w:t>
      </w:r>
      <w:proofErr w:type="spellStart"/>
      <w:r w:rsidRPr="00E24ABC">
        <w:rPr>
          <w:rFonts w:ascii="Segoe UI" w:hAnsi="Segoe UI" w:cs="Segoe UI"/>
          <w:sz w:val="20"/>
          <w:szCs w:val="20"/>
        </w:rPr>
        <w:t>Elekrotrans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E24ABC">
        <w:rPr>
          <w:rFonts w:ascii="Segoe UI" w:hAnsi="Segoe UI" w:cs="Segoe UI"/>
          <w:sz w:val="20"/>
          <w:szCs w:val="20"/>
        </w:rPr>
        <w:t>Kastt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, Cegelec, etc.), les concessions autoroutières (Via Salis, consortium entre Vinci Highways et </w:t>
      </w:r>
      <w:proofErr w:type="spellStart"/>
      <w:r w:rsidRPr="00E24ABC">
        <w:rPr>
          <w:rFonts w:ascii="Segoe UI" w:hAnsi="Segoe UI" w:cs="Segoe UI"/>
          <w:sz w:val="20"/>
          <w:szCs w:val="20"/>
        </w:rPr>
        <w:t>Meridiam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pour la construction d’autoroutes en PPP), la maintenance d’installations nucléaires (</w:t>
      </w:r>
      <w:proofErr w:type="spellStart"/>
      <w:r w:rsidRPr="00E24ABC">
        <w:rPr>
          <w:rFonts w:ascii="Segoe UI" w:hAnsi="Segoe UI" w:cs="Segoe UI"/>
          <w:sz w:val="20"/>
          <w:szCs w:val="20"/>
        </w:rPr>
        <w:t>Nuvia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). </w:t>
      </w:r>
      <w:r w:rsidRPr="00E24ABC">
        <w:rPr>
          <w:rFonts w:ascii="Segoe UI" w:hAnsi="Segoe UI" w:cs="Segoe UI"/>
          <w:b/>
          <w:bCs/>
          <w:sz w:val="20"/>
          <w:szCs w:val="20"/>
        </w:rPr>
        <w:t>Bouygues</w:t>
      </w:r>
      <w:r w:rsidRPr="00E24ABC">
        <w:rPr>
          <w:rFonts w:ascii="Segoe UI" w:hAnsi="Segoe UI" w:cs="Segoe UI"/>
          <w:sz w:val="20"/>
          <w:szCs w:val="20"/>
        </w:rPr>
        <w:t xml:space="preserve"> (2 500 salariés) est présent avec Colas (1 300 salariés, routes), VCES (450 salariés, constructions de bâtiments), </w:t>
      </w:r>
      <w:proofErr w:type="spellStart"/>
      <w:r w:rsidRPr="00E24ABC">
        <w:rPr>
          <w:rFonts w:ascii="Segoe UI" w:hAnsi="Segoe UI" w:cs="Segoe UI"/>
          <w:sz w:val="20"/>
          <w:szCs w:val="20"/>
        </w:rPr>
        <w:t>Elektroline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(infrastructures ferroviaires), </w:t>
      </w:r>
      <w:proofErr w:type="spellStart"/>
      <w:r w:rsidRPr="00E24ABC">
        <w:rPr>
          <w:rFonts w:ascii="Segoe UI" w:hAnsi="Segoe UI" w:cs="Segoe UI"/>
          <w:sz w:val="20"/>
          <w:szCs w:val="20"/>
        </w:rPr>
        <w:t>Equans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(600 employés, équipements énergétiques). Le groupe </w:t>
      </w:r>
      <w:r w:rsidRPr="00E24ABC">
        <w:rPr>
          <w:rFonts w:ascii="Segoe UI" w:hAnsi="Segoe UI" w:cs="Segoe UI"/>
          <w:b/>
          <w:bCs/>
          <w:sz w:val="20"/>
          <w:szCs w:val="20"/>
        </w:rPr>
        <w:t>Saint Gobain</w:t>
      </w:r>
      <w:r w:rsidRPr="00E24ABC">
        <w:rPr>
          <w:rFonts w:ascii="Segoe UI" w:hAnsi="Segoe UI" w:cs="Segoe UI"/>
          <w:sz w:val="20"/>
          <w:szCs w:val="20"/>
        </w:rPr>
        <w:t xml:space="preserve"> (4 500 salariés) exploite 13 usines et 14 marques. </w:t>
      </w:r>
    </w:p>
    <w:p w14:paraId="1D696A78" w14:textId="77777777" w:rsidR="00C46634" w:rsidRPr="00E24ABC" w:rsidRDefault="00C46634" w:rsidP="00C46634">
      <w:pPr>
        <w:widowControl w:val="0"/>
        <w:spacing w:before="120" w:after="120"/>
        <w:ind w:right="-428"/>
        <w:jc w:val="both"/>
        <w:rPr>
          <w:rFonts w:ascii="Segoe UI" w:hAnsi="Segoe UI" w:cs="Segoe UI"/>
          <w:sz w:val="20"/>
          <w:szCs w:val="20"/>
        </w:rPr>
      </w:pPr>
      <w:r w:rsidRPr="00E24ABC">
        <w:rPr>
          <w:rFonts w:ascii="Segoe UI" w:hAnsi="Segoe UI" w:cs="Segoe UI"/>
          <w:b/>
          <w:sz w:val="20"/>
          <w:szCs w:val="20"/>
          <w:u w:val="single"/>
        </w:rPr>
        <w:t>Dans l’industrie manufacturière</w:t>
      </w:r>
      <w:r w:rsidRPr="00E24ABC">
        <w:rPr>
          <w:rFonts w:ascii="Segoe UI" w:hAnsi="Segoe UI" w:cs="Segoe UI"/>
          <w:b/>
          <w:sz w:val="20"/>
          <w:szCs w:val="20"/>
        </w:rPr>
        <w:t xml:space="preserve">, </w:t>
      </w:r>
      <w:r w:rsidRPr="00E24ABC">
        <w:rPr>
          <w:rFonts w:ascii="Segoe UI" w:hAnsi="Segoe UI" w:cs="Segoe UI"/>
          <w:b/>
          <w:sz w:val="20"/>
          <w:szCs w:val="20"/>
          <w:u w:val="single"/>
        </w:rPr>
        <w:t>l’industrie automobile</w:t>
      </w:r>
      <w:r w:rsidRPr="00E24ABC">
        <w:rPr>
          <w:rFonts w:ascii="Segoe UI" w:hAnsi="Segoe UI" w:cs="Segoe UI"/>
          <w:b/>
          <w:sz w:val="20"/>
          <w:szCs w:val="20"/>
        </w:rPr>
        <w:t xml:space="preserve"> </w:t>
      </w:r>
      <w:r w:rsidRPr="00E24ABC">
        <w:rPr>
          <w:rFonts w:ascii="Segoe UI" w:hAnsi="Segoe UI" w:cs="Segoe UI"/>
          <w:bCs/>
          <w:sz w:val="20"/>
          <w:szCs w:val="20"/>
        </w:rPr>
        <w:t>représente le 1</w:t>
      </w:r>
      <w:r w:rsidRPr="00E24ABC">
        <w:rPr>
          <w:rFonts w:ascii="Segoe UI" w:hAnsi="Segoe UI" w:cs="Segoe UI"/>
          <w:bCs/>
          <w:sz w:val="20"/>
          <w:szCs w:val="20"/>
          <w:vertAlign w:val="superscript"/>
        </w:rPr>
        <w:t>er</w:t>
      </w:r>
      <w:r w:rsidRPr="00E24ABC">
        <w:rPr>
          <w:rFonts w:ascii="Segoe UI" w:hAnsi="Segoe UI" w:cs="Segoe UI"/>
          <w:bCs/>
          <w:sz w:val="20"/>
          <w:szCs w:val="20"/>
        </w:rPr>
        <w:t xml:space="preserve"> secteur avec plus de </w:t>
      </w:r>
      <w:r w:rsidRPr="00E24ABC">
        <w:rPr>
          <w:rFonts w:ascii="Segoe UI" w:hAnsi="Segoe UI" w:cs="Segoe UI"/>
          <w:b/>
          <w:sz w:val="20"/>
          <w:szCs w:val="20"/>
        </w:rPr>
        <w:t>14 000 emplois</w:t>
      </w:r>
      <w:r w:rsidRPr="00E24ABC">
        <w:rPr>
          <w:rFonts w:ascii="Segoe UI" w:hAnsi="Segoe UI" w:cs="Segoe UI"/>
          <w:bCs/>
          <w:sz w:val="20"/>
          <w:szCs w:val="20"/>
        </w:rPr>
        <w:t>,</w:t>
      </w:r>
      <w:r w:rsidRPr="00E24ABC">
        <w:rPr>
          <w:rFonts w:ascii="Segoe UI" w:hAnsi="Segoe UI" w:cs="Segoe UI"/>
          <w:b/>
          <w:sz w:val="20"/>
          <w:szCs w:val="20"/>
        </w:rPr>
        <w:t xml:space="preserve"> </w:t>
      </w:r>
      <w:r w:rsidRPr="00E24ABC">
        <w:rPr>
          <w:rFonts w:ascii="Segoe UI" w:hAnsi="Segoe UI" w:cs="Segoe UI"/>
          <w:bCs/>
          <w:sz w:val="20"/>
          <w:szCs w:val="20"/>
        </w:rPr>
        <w:t>bien qu’aucun constructeur de véhicules français ne soit plus présent depuis le retrait de PSA</w:t>
      </w:r>
      <w:r w:rsidRPr="00E24ABC">
        <w:rPr>
          <w:rStyle w:val="Appeldenotedefin"/>
          <w:rFonts w:ascii="Segoe UI" w:hAnsi="Segoe UI" w:cs="Segoe UI"/>
          <w:bCs/>
          <w:sz w:val="20"/>
          <w:szCs w:val="20"/>
        </w:rPr>
        <w:endnoteReference w:id="3"/>
      </w:r>
      <w:r w:rsidRPr="00E24ABC">
        <w:rPr>
          <w:rFonts w:ascii="Segoe UI" w:hAnsi="Segoe UI" w:cs="Segoe UI"/>
          <w:bCs/>
          <w:sz w:val="20"/>
          <w:szCs w:val="20"/>
        </w:rPr>
        <w:t>, mais une dizaine d’</w:t>
      </w:r>
      <w:r w:rsidRPr="00E24ABC">
        <w:rPr>
          <w:rFonts w:ascii="Segoe UI" w:hAnsi="Segoe UI" w:cs="Segoe UI"/>
          <w:sz w:val="20"/>
          <w:szCs w:val="20"/>
        </w:rPr>
        <w:t xml:space="preserve">équipementiers y restent implantés, notamment :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Forvia</w:t>
      </w:r>
      <w:proofErr w:type="spellEnd"/>
      <w:r w:rsidRPr="00E24ABC">
        <w:rPr>
          <w:rFonts w:ascii="Segoe UI" w:hAnsi="Segoe UI" w:cs="Segoe UI"/>
          <w:b/>
          <w:bCs/>
          <w:sz w:val="20"/>
          <w:szCs w:val="20"/>
        </w:rPr>
        <w:t>-Faurecia</w:t>
      </w:r>
      <w:r w:rsidRPr="00E24ABC">
        <w:rPr>
          <w:rFonts w:ascii="Segoe UI" w:hAnsi="Segoe UI" w:cs="Segoe UI"/>
          <w:sz w:val="20"/>
          <w:szCs w:val="20"/>
        </w:rPr>
        <w:t xml:space="preserve"> (7 unités de production dans les domaines de l’aménagement intérieur, des sièges, des système de contrôle des émissions, 5000 salariés) ; </w:t>
      </w:r>
      <w:r w:rsidRPr="00E24ABC">
        <w:rPr>
          <w:rFonts w:ascii="Segoe UI" w:hAnsi="Segoe UI" w:cs="Segoe UI"/>
          <w:b/>
          <w:bCs/>
          <w:sz w:val="20"/>
          <w:szCs w:val="20"/>
        </w:rPr>
        <w:t>Valeo</w:t>
      </w:r>
      <w:r w:rsidRPr="00E24ABC">
        <w:rPr>
          <w:rFonts w:ascii="Segoe UI" w:hAnsi="Segoe UI" w:cs="Segoe UI"/>
          <w:sz w:val="20"/>
          <w:szCs w:val="20"/>
        </w:rPr>
        <w:t xml:space="preserve"> (5 unités de </w:t>
      </w:r>
      <w:r w:rsidRPr="00E24ABC">
        <w:rPr>
          <w:rFonts w:ascii="Segoe UI" w:hAnsi="Segoe UI" w:cs="Segoe UI"/>
          <w:sz w:val="20"/>
          <w:szCs w:val="20"/>
        </w:rPr>
        <w:lastRenderedPageBreak/>
        <w:t xml:space="preserve">production, 1 centre R&amp;D : climatisation, panneaux de contrôle et compresseurs ; 4400 salariés) ; </w:t>
      </w:r>
      <w:r w:rsidRPr="00E24ABC">
        <w:rPr>
          <w:rFonts w:ascii="Segoe UI" w:hAnsi="Segoe UI" w:cs="Segoe UI"/>
          <w:b/>
          <w:bCs/>
          <w:sz w:val="20"/>
          <w:szCs w:val="20"/>
        </w:rPr>
        <w:t>SNOP Dunois</w:t>
      </w:r>
      <w:r w:rsidRPr="00E24ABC">
        <w:rPr>
          <w:rFonts w:ascii="Segoe UI" w:hAnsi="Segoe UI" w:cs="Segoe UI"/>
          <w:sz w:val="20"/>
          <w:szCs w:val="20"/>
        </w:rPr>
        <w:t xml:space="preserve"> (4 unités de production : éléments de carrosserie ; 1200 salariés,) ;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Saint-Gobain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Sekurit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(1 usine de vitrages pour automobiles, 750 emplois). Les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matériels roulants ferroviaires</w:t>
      </w:r>
      <w:r w:rsidRPr="00E24ABC">
        <w:rPr>
          <w:rFonts w:ascii="Segoe UI" w:hAnsi="Segoe UI" w:cs="Segoe UI"/>
          <w:sz w:val="20"/>
          <w:szCs w:val="20"/>
        </w:rPr>
        <w:t xml:space="preserve"> sont représentés par </w:t>
      </w:r>
      <w:r w:rsidRPr="00E24ABC">
        <w:rPr>
          <w:rFonts w:ascii="Segoe UI" w:hAnsi="Segoe UI" w:cs="Segoe UI"/>
          <w:b/>
          <w:bCs/>
          <w:sz w:val="20"/>
          <w:szCs w:val="20"/>
        </w:rPr>
        <w:t>Alstom</w:t>
      </w:r>
      <w:r w:rsidRPr="00E24ABC">
        <w:rPr>
          <w:rFonts w:ascii="Segoe UI" w:hAnsi="Segoe UI" w:cs="Segoe UI"/>
          <w:sz w:val="20"/>
          <w:szCs w:val="20"/>
        </w:rPr>
        <w:t xml:space="preserve"> (1 usine, 1 000 salariés) et le secteur des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matériels aéronautiques</w:t>
      </w:r>
      <w:r w:rsidRPr="00E24ABC">
        <w:rPr>
          <w:rFonts w:ascii="Segoe UI" w:hAnsi="Segoe UI" w:cs="Segoe UI"/>
          <w:sz w:val="20"/>
          <w:szCs w:val="20"/>
        </w:rPr>
        <w:t xml:space="preserve"> est illustré par Safran </w:t>
      </w:r>
      <w:proofErr w:type="spellStart"/>
      <w:r w:rsidRPr="00E24ABC">
        <w:rPr>
          <w:rFonts w:ascii="Segoe UI" w:hAnsi="Segoe UI" w:cs="Segoe UI"/>
          <w:sz w:val="20"/>
          <w:szCs w:val="20"/>
        </w:rPr>
        <w:t>Cabin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(1 usine d’équipements de cabine et </w:t>
      </w:r>
      <w:proofErr w:type="spellStart"/>
      <w:r w:rsidRPr="00E24ABC">
        <w:rPr>
          <w:rFonts w:ascii="Segoe UI" w:hAnsi="Segoe UI" w:cs="Segoe UI"/>
          <w:sz w:val="20"/>
          <w:szCs w:val="20"/>
        </w:rPr>
        <w:t>galleys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, 1200 salariés) et </w:t>
      </w:r>
      <w:r w:rsidRPr="00E24ABC">
        <w:rPr>
          <w:rFonts w:ascii="Segoe UI" w:hAnsi="Segoe UI" w:cs="Segoe UI"/>
          <w:b/>
          <w:bCs/>
          <w:sz w:val="20"/>
          <w:szCs w:val="20"/>
        </w:rPr>
        <w:t>Latécoère</w:t>
      </w:r>
      <w:r w:rsidRPr="00E24ABC">
        <w:rPr>
          <w:rFonts w:ascii="Segoe UI" w:hAnsi="Segoe UI" w:cs="Segoe UI"/>
          <w:sz w:val="20"/>
          <w:szCs w:val="20"/>
        </w:rPr>
        <w:t xml:space="preserve"> (1 usine de composants d’avions, 500 salariés,).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Dans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l’industrie agroalimentaire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 (3 000 emplois),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Savencia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(ex-Bongrain) est le premier producteur de fromages du pays (un tiers du marché, 1 000 employés). </w:t>
      </w:r>
      <w:r w:rsidRPr="00E24ABC">
        <w:rPr>
          <w:rFonts w:ascii="Segoe UI" w:hAnsi="Segoe UI" w:cs="Segoe UI"/>
          <w:b/>
          <w:bCs/>
          <w:sz w:val="20"/>
          <w:szCs w:val="20"/>
        </w:rPr>
        <w:t>Lactalis</w:t>
      </w:r>
      <w:r w:rsidRPr="00E24ABC">
        <w:rPr>
          <w:rFonts w:ascii="Segoe UI" w:hAnsi="Segoe UI" w:cs="Segoe UI"/>
          <w:sz w:val="20"/>
          <w:szCs w:val="20"/>
        </w:rPr>
        <w:t xml:space="preserve"> dispose de deux laiteries ; </w:t>
      </w:r>
      <w:r w:rsidRPr="00E24ABC">
        <w:rPr>
          <w:rFonts w:ascii="Segoe UI" w:hAnsi="Segoe UI" w:cs="Segoe UI"/>
          <w:b/>
          <w:bCs/>
          <w:sz w:val="20"/>
          <w:szCs w:val="20"/>
        </w:rPr>
        <w:t>Danone</w:t>
      </w:r>
      <w:r w:rsidRPr="00E24ABC">
        <w:rPr>
          <w:rFonts w:ascii="Segoe UI" w:hAnsi="Segoe UI" w:cs="Segoe UI"/>
          <w:sz w:val="20"/>
          <w:szCs w:val="20"/>
        </w:rPr>
        <w:t xml:space="preserve"> est leader des yaourts et des produits laitiers fermentés ; (230 employés) ; les Fromageries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Bel </w:t>
      </w:r>
      <w:r w:rsidRPr="00E24ABC">
        <w:rPr>
          <w:rFonts w:ascii="Segoe UI" w:hAnsi="Segoe UI" w:cs="Segoe UI"/>
          <w:sz w:val="20"/>
          <w:szCs w:val="20"/>
        </w:rPr>
        <w:t xml:space="preserve">(150 employés) produisent des fromages fondus distribués localement.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Pernod-Ricard </w:t>
      </w:r>
      <w:r w:rsidRPr="00E24ABC">
        <w:rPr>
          <w:rFonts w:ascii="Segoe UI" w:hAnsi="Segoe UI" w:cs="Segoe UI"/>
          <w:sz w:val="20"/>
          <w:szCs w:val="20"/>
        </w:rPr>
        <w:t>(130 employés)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24ABC">
        <w:rPr>
          <w:rFonts w:ascii="Segoe UI" w:hAnsi="Segoe UI" w:cs="Segoe UI"/>
          <w:sz w:val="20"/>
          <w:szCs w:val="20"/>
        </w:rPr>
        <w:t xml:space="preserve">a racheté en 1997 Jan Becher, qui produit la </w:t>
      </w:r>
      <w:proofErr w:type="spellStart"/>
      <w:r w:rsidRPr="00E24ABC">
        <w:rPr>
          <w:rFonts w:ascii="Segoe UI" w:hAnsi="Segoe UI" w:cs="Segoe UI"/>
          <w:sz w:val="20"/>
          <w:szCs w:val="20"/>
        </w:rPr>
        <w:t>Becherovka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, liqueur emblématique tchèque. Les </w:t>
      </w:r>
      <w:r w:rsidRPr="00E24ABC">
        <w:rPr>
          <w:rFonts w:ascii="Segoe UI" w:hAnsi="Segoe UI" w:cs="Segoe UI"/>
          <w:b/>
          <w:bCs/>
          <w:sz w:val="20"/>
          <w:szCs w:val="20"/>
        </w:rPr>
        <w:t>Malteries Soufflet</w:t>
      </w:r>
      <w:r w:rsidRPr="00E24ABC">
        <w:rPr>
          <w:rFonts w:ascii="Segoe UI" w:hAnsi="Segoe UI" w:cs="Segoe UI"/>
          <w:sz w:val="20"/>
          <w:szCs w:val="20"/>
        </w:rPr>
        <w:t xml:space="preserve"> (groupe InVivo) produit 350 000 tonnes de malt dans 5 usines dont 1/3 est destiné aux brasseries tchèques et 2/3 à l’export. </w:t>
      </w:r>
      <w:r w:rsidRPr="00E24ABC">
        <w:rPr>
          <w:rFonts w:ascii="Segoe UI" w:hAnsi="Segoe UI" w:cs="Segoe UI"/>
          <w:b/>
          <w:bCs/>
          <w:sz w:val="20"/>
          <w:szCs w:val="20"/>
        </w:rPr>
        <w:t>Tereos</w:t>
      </w:r>
      <w:r w:rsidRPr="00E24ABC">
        <w:rPr>
          <w:rFonts w:ascii="Segoe UI" w:hAnsi="Segoe UI" w:cs="Segoe UI"/>
          <w:sz w:val="20"/>
          <w:szCs w:val="20"/>
        </w:rPr>
        <w:t xml:space="preserve"> (500 employés) est le premier producteur de sucre de betteraves en Tchéquie (400 000 t/an). Dans le domaine des intrants, sont présents </w:t>
      </w:r>
      <w:r w:rsidRPr="00E24ABC">
        <w:rPr>
          <w:rFonts w:ascii="Segoe UI" w:hAnsi="Segoe UI" w:cs="Segoe UI"/>
          <w:b/>
          <w:bCs/>
          <w:sz w:val="20"/>
          <w:szCs w:val="20"/>
        </w:rPr>
        <w:t>Lesaffre</w:t>
      </w:r>
      <w:r w:rsidRPr="00E24ABC">
        <w:rPr>
          <w:rFonts w:ascii="Segoe UI" w:hAnsi="Segoe UI" w:cs="Segoe UI"/>
          <w:sz w:val="20"/>
          <w:szCs w:val="20"/>
        </w:rPr>
        <w:t xml:space="preserve">, </w:t>
      </w:r>
      <w:r w:rsidRPr="00E24ABC">
        <w:rPr>
          <w:rFonts w:ascii="Segoe UI" w:hAnsi="Segoe UI" w:cs="Segoe UI"/>
          <w:b/>
          <w:bCs/>
          <w:sz w:val="20"/>
          <w:szCs w:val="20"/>
        </w:rPr>
        <w:t>Vilmorin</w:t>
      </w:r>
      <w:r w:rsidRPr="00E24ABC">
        <w:rPr>
          <w:rFonts w:ascii="Segoe UI" w:hAnsi="Segoe UI" w:cs="Segoe UI"/>
          <w:sz w:val="20"/>
          <w:szCs w:val="20"/>
        </w:rPr>
        <w:t xml:space="preserve"> et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Timac</w:t>
      </w:r>
      <w:proofErr w:type="spellEnd"/>
      <w:r w:rsidRPr="00E24ABC">
        <w:rPr>
          <w:rFonts w:ascii="Segoe UI" w:hAnsi="Segoe UI" w:cs="Segoe UI"/>
          <w:b/>
          <w:bCs/>
          <w:sz w:val="20"/>
          <w:szCs w:val="20"/>
        </w:rPr>
        <w:t xml:space="preserve"> Agro</w:t>
      </w:r>
      <w:r w:rsidRPr="00E24ABC">
        <w:rPr>
          <w:rFonts w:ascii="Segoe UI" w:hAnsi="Segoe UI" w:cs="Segoe UI"/>
          <w:sz w:val="20"/>
          <w:szCs w:val="20"/>
        </w:rPr>
        <w:t xml:space="preserve"> (groupe </w:t>
      </w:r>
      <w:proofErr w:type="spellStart"/>
      <w:r w:rsidRPr="00E24ABC">
        <w:rPr>
          <w:rFonts w:ascii="Segoe UI" w:hAnsi="Segoe UI" w:cs="Segoe UI"/>
          <w:sz w:val="20"/>
          <w:szCs w:val="20"/>
        </w:rPr>
        <w:t>Roullier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).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Le secteur pharmaceutique</w:t>
      </w:r>
      <w:r w:rsidRPr="00E24ABC">
        <w:rPr>
          <w:rFonts w:ascii="Segoe UI" w:hAnsi="Segoe UI" w:cs="Segoe UI"/>
          <w:sz w:val="20"/>
          <w:szCs w:val="20"/>
        </w:rPr>
        <w:t xml:space="preserve"> (2 000 emplois) est représenté par </w:t>
      </w:r>
      <w:r w:rsidRPr="00E24ABC">
        <w:rPr>
          <w:rFonts w:ascii="Segoe UI" w:hAnsi="Segoe UI" w:cs="Segoe UI"/>
          <w:b/>
          <w:bCs/>
          <w:sz w:val="20"/>
          <w:szCs w:val="20"/>
        </w:rPr>
        <w:t>Sanofi</w:t>
      </w:r>
      <w:r w:rsidRPr="00E24ABC">
        <w:rPr>
          <w:rFonts w:ascii="Segoe UI" w:hAnsi="Segoe UI" w:cs="Segoe UI"/>
          <w:sz w:val="20"/>
          <w:szCs w:val="20"/>
        </w:rPr>
        <w:t xml:space="preserve"> (1 300 employés),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Servier </w:t>
      </w:r>
      <w:r w:rsidRPr="00E24ABC">
        <w:rPr>
          <w:rFonts w:ascii="Segoe UI" w:hAnsi="Segoe UI" w:cs="Segoe UI"/>
          <w:sz w:val="20"/>
          <w:szCs w:val="20"/>
        </w:rPr>
        <w:t xml:space="preserve">(150 salariés), les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laboratoires Pierre Fabre,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Biomérieux</w:t>
      </w:r>
      <w:proofErr w:type="spellEnd"/>
      <w:r w:rsidRPr="00E24ABC">
        <w:rPr>
          <w:rFonts w:ascii="Segoe UI" w:hAnsi="Segoe UI" w:cs="Segoe UI"/>
          <w:b/>
          <w:bCs/>
          <w:sz w:val="20"/>
          <w:szCs w:val="20"/>
        </w:rPr>
        <w:t xml:space="preserve"> et Théa. Dans les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autres industries manufacturières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24ABC">
        <w:rPr>
          <w:rFonts w:ascii="Segoe UI" w:hAnsi="Segoe UI" w:cs="Segoe UI"/>
          <w:sz w:val="20"/>
          <w:szCs w:val="20"/>
        </w:rPr>
        <w:t>(2 000 emplois), la fabrication d’équipements électriques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24ABC">
        <w:rPr>
          <w:rFonts w:ascii="Segoe UI" w:hAnsi="Segoe UI" w:cs="Segoe UI"/>
          <w:sz w:val="20"/>
          <w:szCs w:val="20"/>
        </w:rPr>
        <w:t xml:space="preserve">est représentée par </w:t>
      </w:r>
      <w:r w:rsidRPr="00E24ABC">
        <w:rPr>
          <w:rFonts w:ascii="Segoe UI" w:hAnsi="Segoe UI" w:cs="Segoe UI"/>
          <w:b/>
          <w:bCs/>
          <w:sz w:val="20"/>
          <w:szCs w:val="20"/>
        </w:rPr>
        <w:t>Schneider Electric</w:t>
      </w:r>
      <w:r w:rsidRPr="00E24ABC">
        <w:rPr>
          <w:rFonts w:ascii="Segoe UI" w:hAnsi="Segoe UI" w:cs="Segoe UI"/>
          <w:sz w:val="20"/>
          <w:szCs w:val="20"/>
        </w:rPr>
        <w:t xml:space="preserve"> (1 usine, 500 salariés), tandis que différents groupes sont actifs dans la fabrication ou le traitement d’objets métalliques (Constellium, Baud Industries, GMI, Jacquet </w:t>
      </w:r>
      <w:proofErr w:type="spellStart"/>
      <w:r w:rsidRPr="00E24ABC">
        <w:rPr>
          <w:rFonts w:ascii="Segoe UI" w:hAnsi="Segoe UI" w:cs="Segoe UI"/>
          <w:sz w:val="20"/>
          <w:szCs w:val="20"/>
        </w:rPr>
        <w:t>Metals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E24ABC">
        <w:rPr>
          <w:rFonts w:ascii="Segoe UI" w:hAnsi="Segoe UI" w:cs="Segoe UI"/>
          <w:sz w:val="20"/>
          <w:szCs w:val="20"/>
        </w:rPr>
        <w:t>Oxymetal</w:t>
      </w:r>
      <w:proofErr w:type="spellEnd"/>
      <w:r w:rsidRPr="00E24ABC">
        <w:rPr>
          <w:rFonts w:ascii="Segoe UI" w:hAnsi="Segoe UI" w:cs="Segoe UI"/>
          <w:sz w:val="20"/>
          <w:szCs w:val="20"/>
        </w:rPr>
        <w:t>, Electropoli) ou plastiques (</w:t>
      </w:r>
      <w:proofErr w:type="spellStart"/>
      <w:r w:rsidRPr="00E24ABC">
        <w:rPr>
          <w:rFonts w:ascii="Segoe UI" w:hAnsi="Segoe UI" w:cs="Segoe UI"/>
          <w:sz w:val="20"/>
          <w:szCs w:val="20"/>
        </w:rPr>
        <w:t>Neobaie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, groupe Hamelin).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EssilorLuxottica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(500 salariés) est présent dans la fabrication de verres de lunettes et la distribution (</w:t>
      </w:r>
      <w:proofErr w:type="spellStart"/>
      <w:r w:rsidRPr="00E24ABC">
        <w:rPr>
          <w:rFonts w:ascii="Segoe UI" w:hAnsi="Segoe UI" w:cs="Segoe UI"/>
          <w:sz w:val="20"/>
          <w:szCs w:val="20"/>
        </w:rPr>
        <w:t>GrandOptical</w:t>
      </w:r>
      <w:proofErr w:type="spellEnd"/>
      <w:r w:rsidRPr="00E24ABC">
        <w:rPr>
          <w:rFonts w:ascii="Segoe UI" w:hAnsi="Segoe UI" w:cs="Segoe UI"/>
          <w:sz w:val="20"/>
          <w:szCs w:val="20"/>
        </w:rPr>
        <w:t>).</w:t>
      </w:r>
    </w:p>
    <w:p w14:paraId="702633EA" w14:textId="77777777" w:rsidR="00C46634" w:rsidRDefault="00C46634" w:rsidP="00C46634">
      <w:pPr>
        <w:widowControl w:val="0"/>
        <w:spacing w:before="120" w:after="120"/>
        <w:ind w:right="-428"/>
        <w:jc w:val="both"/>
        <w:rPr>
          <w:rFonts w:ascii="Segoe UI" w:hAnsi="Segoe UI" w:cs="Segoe UI"/>
          <w:sz w:val="20"/>
          <w:szCs w:val="20"/>
        </w:rPr>
      </w:pPr>
      <w:r w:rsidRPr="00E24ABC">
        <w:rPr>
          <w:rFonts w:ascii="Segoe UI" w:hAnsi="Segoe UI" w:cs="Segoe UI"/>
          <w:b/>
          <w:bCs/>
          <w:sz w:val="20"/>
          <w:szCs w:val="20"/>
        </w:rPr>
        <w:t xml:space="preserve">Dans les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services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,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le secteur financier</w:t>
      </w:r>
      <w:r w:rsidRPr="00E24ABC">
        <w:rPr>
          <w:rFonts w:ascii="Segoe UI" w:hAnsi="Segoe UI" w:cs="Segoe UI"/>
          <w:sz w:val="20"/>
          <w:szCs w:val="20"/>
        </w:rPr>
        <w:t xml:space="preserve"> (10 000 emplois) est principalement investi par le groupe </w:t>
      </w:r>
      <w:r w:rsidRPr="00E24ABC">
        <w:rPr>
          <w:rFonts w:ascii="Segoe UI" w:hAnsi="Segoe UI" w:cs="Segoe UI"/>
          <w:b/>
          <w:bCs/>
          <w:sz w:val="20"/>
          <w:szCs w:val="20"/>
        </w:rPr>
        <w:t>Société générale</w:t>
      </w:r>
      <w:r w:rsidRPr="00E24ABC">
        <w:rPr>
          <w:rFonts w:ascii="Segoe UI" w:hAnsi="Segoe UI" w:cs="Segoe UI"/>
          <w:sz w:val="20"/>
          <w:szCs w:val="20"/>
        </w:rPr>
        <w:t xml:space="preserve"> qui contrôle depuis 2001 l</w:t>
      </w:r>
      <w:r>
        <w:rPr>
          <w:rFonts w:ascii="Segoe UI" w:hAnsi="Segoe UI" w:cs="Segoe UI"/>
          <w:sz w:val="20"/>
          <w:szCs w:val="20"/>
        </w:rPr>
        <w:t>a</w:t>
      </w:r>
      <w:r w:rsidRPr="00E24AB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E24ABC">
        <w:rPr>
          <w:rFonts w:ascii="Segoe UI" w:hAnsi="Segoe UI" w:cs="Segoe UI"/>
          <w:sz w:val="20"/>
          <w:szCs w:val="20"/>
        </w:rPr>
        <w:t>Komercni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Banka (3</w:t>
      </w:r>
      <w:r w:rsidRPr="00E24ABC">
        <w:rPr>
          <w:rFonts w:ascii="Segoe UI" w:hAnsi="Segoe UI" w:cs="Segoe UI"/>
          <w:sz w:val="20"/>
          <w:szCs w:val="20"/>
          <w:vertAlign w:val="superscript"/>
        </w:rPr>
        <w:t>ème</w:t>
      </w:r>
      <w:r w:rsidRPr="00E24ABC">
        <w:rPr>
          <w:rFonts w:ascii="Segoe UI" w:hAnsi="Segoe UI" w:cs="Segoe UI"/>
          <w:sz w:val="20"/>
          <w:szCs w:val="20"/>
        </w:rPr>
        <w:t xml:space="preserve"> banque tchèque en taille de bilan, 7 500 employés). </w:t>
      </w:r>
      <w:r w:rsidRPr="00E24ABC">
        <w:rPr>
          <w:rFonts w:ascii="Segoe UI" w:hAnsi="Segoe UI" w:cs="Segoe UI"/>
          <w:b/>
          <w:bCs/>
          <w:sz w:val="20"/>
          <w:szCs w:val="20"/>
        </w:rPr>
        <w:t>BNP Paribas</w:t>
      </w:r>
      <w:r w:rsidRPr="00E24ABC">
        <w:rPr>
          <w:rFonts w:ascii="Segoe UI" w:hAnsi="Segoe UI" w:cs="Segoe UI"/>
          <w:sz w:val="20"/>
          <w:szCs w:val="20"/>
        </w:rPr>
        <w:t xml:space="preserve"> est présent dans les activités d’assurances (</w:t>
      </w:r>
      <w:proofErr w:type="spellStart"/>
      <w:r w:rsidRPr="00E24ABC">
        <w:rPr>
          <w:rFonts w:ascii="Segoe UI" w:hAnsi="Segoe UI" w:cs="Segoe UI"/>
          <w:sz w:val="20"/>
          <w:szCs w:val="20"/>
        </w:rPr>
        <w:t>Cardif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), de BFI, et immobilières, mais a cédé en 2023 les activités de crédit à la consommation. Le </w:t>
      </w:r>
      <w:r w:rsidRPr="00E24ABC">
        <w:rPr>
          <w:rFonts w:ascii="Segoe UI" w:hAnsi="Segoe UI" w:cs="Segoe UI"/>
          <w:b/>
          <w:bCs/>
          <w:sz w:val="20"/>
          <w:szCs w:val="20"/>
        </w:rPr>
        <w:t>Crédit Agricole</w:t>
      </w:r>
      <w:r w:rsidRPr="00E24ABC">
        <w:rPr>
          <w:rFonts w:ascii="Segoe UI" w:hAnsi="Segoe UI" w:cs="Segoe UI"/>
          <w:sz w:val="20"/>
          <w:szCs w:val="20"/>
        </w:rPr>
        <w:t xml:space="preserve"> est actif dans le crédit à la consommation (Cofidis). Les prestataires de paiement spécifiques (chèques-repas) sont très présents avec </w:t>
      </w:r>
      <w:r w:rsidRPr="00E24ABC">
        <w:rPr>
          <w:rFonts w:ascii="Segoe UI" w:hAnsi="Segoe UI" w:cs="Segoe UI"/>
          <w:b/>
          <w:bCs/>
          <w:sz w:val="20"/>
          <w:szCs w:val="20"/>
        </w:rPr>
        <w:t>Edenred</w:t>
      </w:r>
      <w:r w:rsidRPr="00E24ABC">
        <w:rPr>
          <w:rFonts w:ascii="Segoe UI" w:hAnsi="Segoe UI" w:cs="Segoe UI"/>
          <w:sz w:val="20"/>
          <w:szCs w:val="20"/>
        </w:rPr>
        <w:t xml:space="preserve">, </w:t>
      </w:r>
      <w:r w:rsidRPr="00E24ABC">
        <w:rPr>
          <w:rFonts w:ascii="Segoe UI" w:hAnsi="Segoe UI" w:cs="Segoe UI"/>
          <w:b/>
          <w:bCs/>
          <w:sz w:val="20"/>
          <w:szCs w:val="20"/>
        </w:rPr>
        <w:t>Sodexo</w:t>
      </w:r>
      <w:r w:rsidRPr="00E24ABC">
        <w:rPr>
          <w:rFonts w:ascii="Segoe UI" w:hAnsi="Segoe UI" w:cs="Segoe UI"/>
          <w:sz w:val="20"/>
          <w:szCs w:val="20"/>
        </w:rPr>
        <w:t xml:space="preserve"> et </w:t>
      </w:r>
      <w:r w:rsidRPr="00E24ABC">
        <w:rPr>
          <w:rFonts w:ascii="Segoe UI" w:hAnsi="Segoe UI" w:cs="Segoe UI"/>
          <w:b/>
          <w:bCs/>
          <w:sz w:val="20"/>
          <w:szCs w:val="20"/>
        </w:rPr>
        <w:t>Up</w:t>
      </w:r>
      <w:r w:rsidRPr="00E24ABC">
        <w:rPr>
          <w:rFonts w:ascii="Segoe UI" w:hAnsi="Segoe UI" w:cs="Segoe UI"/>
          <w:sz w:val="20"/>
          <w:szCs w:val="20"/>
        </w:rPr>
        <w:t xml:space="preserve">.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Dans le secteur de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l’immobilier commercial</w:t>
      </w:r>
      <w:r w:rsidRPr="00E24ABC">
        <w:rPr>
          <w:rFonts w:ascii="Segoe UI" w:hAnsi="Segoe UI" w:cs="Segoe UI"/>
          <w:sz w:val="20"/>
          <w:szCs w:val="20"/>
        </w:rPr>
        <w:t xml:space="preserve">, </w:t>
      </w:r>
      <w:r w:rsidRPr="00E24ABC">
        <w:rPr>
          <w:rFonts w:ascii="Segoe UI" w:hAnsi="Segoe UI" w:cs="Segoe UI"/>
          <w:b/>
          <w:bCs/>
          <w:sz w:val="20"/>
          <w:szCs w:val="20"/>
        </w:rPr>
        <w:t>Unibail-Rodamco-Westfield</w:t>
      </w:r>
      <w:r w:rsidRPr="00E24ABC">
        <w:rPr>
          <w:rFonts w:ascii="Segoe UI" w:hAnsi="Segoe UI" w:cs="Segoe UI"/>
          <w:sz w:val="20"/>
          <w:szCs w:val="20"/>
        </w:rPr>
        <w:t xml:space="preserve"> et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Klepierre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possèdent plusieurs centres commerciaux. Les services de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transport et la logistique</w:t>
      </w:r>
      <w:r w:rsidRPr="00E24ABC">
        <w:rPr>
          <w:rFonts w:ascii="Segoe UI" w:hAnsi="Segoe UI" w:cs="Segoe UI"/>
          <w:sz w:val="20"/>
          <w:szCs w:val="20"/>
        </w:rPr>
        <w:t xml:space="preserve"> (3 000 emplois) sont représentés par </w:t>
      </w:r>
      <w:r w:rsidRPr="00E24ABC">
        <w:rPr>
          <w:rFonts w:ascii="Segoe UI" w:hAnsi="Segoe UI" w:cs="Segoe UI"/>
          <w:b/>
          <w:bCs/>
          <w:sz w:val="20"/>
          <w:szCs w:val="20"/>
        </w:rPr>
        <w:t>Transdev</w:t>
      </w:r>
      <w:r w:rsidRPr="00E24ABC">
        <w:rPr>
          <w:rFonts w:ascii="Segoe UI" w:hAnsi="Segoe UI" w:cs="Segoe UI"/>
          <w:sz w:val="20"/>
          <w:szCs w:val="20"/>
        </w:rPr>
        <w:t xml:space="preserve"> (exploitation de réseaux de bus et cars, 1500 salariés),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FM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Logistic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(430 salariés), </w:t>
      </w:r>
      <w:r w:rsidRPr="00E24ABC">
        <w:rPr>
          <w:rFonts w:ascii="Segoe UI" w:hAnsi="Segoe UI" w:cs="Segoe UI"/>
          <w:b/>
          <w:bCs/>
          <w:sz w:val="20"/>
          <w:szCs w:val="20"/>
        </w:rPr>
        <w:t>La Poste</w:t>
      </w:r>
      <w:r w:rsidRPr="00E24ABC">
        <w:rPr>
          <w:rFonts w:ascii="Segoe UI" w:hAnsi="Segoe UI" w:cs="Segoe UI"/>
          <w:sz w:val="20"/>
          <w:szCs w:val="20"/>
        </w:rPr>
        <w:t xml:space="preserve"> (DPD, 360 salariés),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Ceva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Logistics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(ex GEFCO, 380 salariés). Dans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la distribution</w:t>
      </w:r>
      <w:r w:rsidRPr="00E24ABC">
        <w:rPr>
          <w:rFonts w:ascii="Segoe UI" w:hAnsi="Segoe UI" w:cs="Segoe UI"/>
          <w:sz w:val="20"/>
          <w:szCs w:val="20"/>
        </w:rPr>
        <w:t xml:space="preserve"> (5000 emplois), </w:t>
      </w:r>
      <w:r w:rsidRPr="00E24ABC">
        <w:rPr>
          <w:rFonts w:ascii="Segoe UI" w:hAnsi="Segoe UI" w:cs="Segoe UI"/>
          <w:b/>
          <w:bCs/>
          <w:sz w:val="20"/>
          <w:szCs w:val="20"/>
        </w:rPr>
        <w:t>Decathlon</w:t>
      </w:r>
      <w:r w:rsidRPr="00E24ABC">
        <w:rPr>
          <w:rFonts w:ascii="Segoe UI" w:hAnsi="Segoe UI" w:cs="Segoe UI"/>
          <w:sz w:val="20"/>
          <w:szCs w:val="20"/>
        </w:rPr>
        <w:t xml:space="preserve"> est présent (1 500 salariés), ainsi que le </w:t>
      </w:r>
      <w:r w:rsidRPr="00E24ABC">
        <w:rPr>
          <w:rFonts w:ascii="Segoe UI" w:hAnsi="Segoe UI" w:cs="Segoe UI"/>
          <w:b/>
          <w:bCs/>
          <w:sz w:val="20"/>
          <w:szCs w:val="20"/>
        </w:rPr>
        <w:t>groupe Rocher</w:t>
      </w:r>
      <w:r w:rsidRPr="00E24ABC">
        <w:rPr>
          <w:rFonts w:ascii="Segoe UI" w:hAnsi="Segoe UI" w:cs="Segoe UI"/>
          <w:sz w:val="20"/>
          <w:szCs w:val="20"/>
        </w:rPr>
        <w:t xml:space="preserve"> (400 salariés),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LVMH </w:t>
      </w:r>
      <w:r w:rsidRPr="00E24ABC">
        <w:rPr>
          <w:rFonts w:ascii="Segoe UI" w:hAnsi="Segoe UI" w:cs="Segoe UI"/>
          <w:sz w:val="20"/>
          <w:szCs w:val="20"/>
        </w:rPr>
        <w:t xml:space="preserve">(Sephora, </w:t>
      </w:r>
      <w:proofErr w:type="spellStart"/>
      <w:r w:rsidRPr="00E24ABC">
        <w:rPr>
          <w:rFonts w:ascii="Segoe UI" w:hAnsi="Segoe UI" w:cs="Segoe UI"/>
          <w:sz w:val="20"/>
          <w:szCs w:val="20"/>
        </w:rPr>
        <w:t>Moet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Hennessy, Louis Vuitton, </w:t>
      </w:r>
      <w:proofErr w:type="spellStart"/>
      <w:r w:rsidRPr="00E24ABC">
        <w:rPr>
          <w:rFonts w:ascii="Segoe UI" w:hAnsi="Segoe UI" w:cs="Segoe UI"/>
          <w:sz w:val="20"/>
          <w:szCs w:val="20"/>
        </w:rPr>
        <w:t>Rimowa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), </w:t>
      </w:r>
      <w:r w:rsidRPr="00E24ABC">
        <w:rPr>
          <w:rFonts w:ascii="Segoe UI" w:hAnsi="Segoe UI" w:cs="Segoe UI"/>
          <w:b/>
          <w:bCs/>
          <w:sz w:val="20"/>
          <w:szCs w:val="20"/>
        </w:rPr>
        <w:t>Etam</w:t>
      </w:r>
      <w:r w:rsidRPr="00E24ABC">
        <w:rPr>
          <w:rFonts w:ascii="Segoe UI" w:hAnsi="Segoe UI" w:cs="Segoe UI"/>
          <w:sz w:val="20"/>
          <w:szCs w:val="20"/>
        </w:rPr>
        <w:t xml:space="preserve">, </w:t>
      </w:r>
      <w:r w:rsidRPr="00E24ABC">
        <w:rPr>
          <w:rFonts w:ascii="Segoe UI" w:hAnsi="Segoe UI" w:cs="Segoe UI"/>
          <w:b/>
          <w:bCs/>
          <w:sz w:val="20"/>
          <w:szCs w:val="20"/>
        </w:rPr>
        <w:t>Celio,</w:t>
      </w:r>
      <w:r w:rsidRPr="00E24ABC">
        <w:rPr>
          <w:rFonts w:ascii="Segoe UI" w:hAnsi="Segoe UI" w:cs="Segoe UI"/>
          <w:sz w:val="20"/>
          <w:szCs w:val="20"/>
        </w:rPr>
        <w:t xml:space="preserve"> </w:t>
      </w:r>
      <w:r w:rsidRPr="00E24ABC">
        <w:rPr>
          <w:rFonts w:ascii="Segoe UI" w:hAnsi="Segoe UI" w:cs="Segoe UI"/>
          <w:b/>
          <w:bCs/>
          <w:sz w:val="20"/>
          <w:szCs w:val="20"/>
        </w:rPr>
        <w:t>Marionnaud</w:t>
      </w:r>
      <w:r w:rsidRPr="00E24ABC">
        <w:rPr>
          <w:rFonts w:ascii="Segoe UI" w:hAnsi="Segoe UI" w:cs="Segoe UI"/>
          <w:sz w:val="20"/>
          <w:szCs w:val="20"/>
        </w:rPr>
        <w:t xml:space="preserve">. Les </w:t>
      </w:r>
      <w:r w:rsidRPr="00E24ABC">
        <w:rPr>
          <w:rFonts w:ascii="Segoe UI" w:hAnsi="Segoe UI" w:cs="Segoe UI"/>
          <w:b/>
          <w:bCs/>
          <w:sz w:val="20"/>
          <w:szCs w:val="20"/>
        </w:rPr>
        <w:t>groupes SEB</w:t>
      </w:r>
      <w:r w:rsidRPr="00E24ABC">
        <w:rPr>
          <w:rFonts w:ascii="Segoe UI" w:hAnsi="Segoe UI" w:cs="Segoe UI"/>
          <w:sz w:val="20"/>
          <w:szCs w:val="20"/>
        </w:rPr>
        <w:t xml:space="preserve"> et </w:t>
      </w:r>
      <w:r w:rsidRPr="00E24ABC">
        <w:rPr>
          <w:rFonts w:ascii="Segoe UI" w:hAnsi="Segoe UI" w:cs="Segoe UI"/>
          <w:b/>
          <w:bCs/>
          <w:sz w:val="20"/>
          <w:szCs w:val="20"/>
        </w:rPr>
        <w:t>Legrand</w:t>
      </w:r>
      <w:r w:rsidRPr="00E24ABC">
        <w:rPr>
          <w:rFonts w:ascii="Segoe UI" w:hAnsi="Segoe UI" w:cs="Segoe UI"/>
          <w:sz w:val="20"/>
          <w:szCs w:val="20"/>
        </w:rPr>
        <w:t xml:space="preserve"> distribuent des produits électroménagers grand public.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Lagardère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Travel</w:t>
      </w:r>
      <w:proofErr w:type="spellEnd"/>
      <w:r w:rsidRPr="00E24ABC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retail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est 1</w:t>
      </w:r>
      <w:r w:rsidRPr="00E24ABC">
        <w:rPr>
          <w:rFonts w:ascii="Segoe UI" w:hAnsi="Segoe UI" w:cs="Segoe UI"/>
          <w:sz w:val="20"/>
          <w:szCs w:val="20"/>
          <w:vertAlign w:val="superscript"/>
        </w:rPr>
        <w:t>er</w:t>
      </w:r>
      <w:r w:rsidRPr="00E24ABC">
        <w:rPr>
          <w:rFonts w:ascii="Segoe UI" w:hAnsi="Segoe UI" w:cs="Segoe UI"/>
          <w:sz w:val="20"/>
          <w:szCs w:val="20"/>
        </w:rPr>
        <w:t xml:space="preserve"> opérateur de </w:t>
      </w:r>
      <w:proofErr w:type="spellStart"/>
      <w:r w:rsidRPr="00E24ABC">
        <w:rPr>
          <w:rFonts w:ascii="Segoe UI" w:hAnsi="Segoe UI" w:cs="Segoe UI"/>
          <w:i/>
          <w:iCs/>
          <w:sz w:val="20"/>
          <w:szCs w:val="20"/>
        </w:rPr>
        <w:t>travel</w:t>
      </w:r>
      <w:proofErr w:type="spellEnd"/>
      <w:r w:rsidRPr="00E24ABC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E24ABC">
        <w:rPr>
          <w:rFonts w:ascii="Segoe UI" w:hAnsi="Segoe UI" w:cs="Segoe UI"/>
          <w:i/>
          <w:iCs/>
          <w:sz w:val="20"/>
          <w:szCs w:val="20"/>
        </w:rPr>
        <w:t>retail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(2000 employés).</w:t>
      </w:r>
    </w:p>
    <w:p w14:paraId="04A28C4D" w14:textId="77777777" w:rsidR="00C46634" w:rsidRPr="00A47E10" w:rsidRDefault="00C46634" w:rsidP="00C46634">
      <w:pPr>
        <w:widowControl w:val="0"/>
        <w:spacing w:before="120" w:after="120"/>
        <w:ind w:right="-428"/>
        <w:jc w:val="both"/>
        <w:rPr>
          <w:rFonts w:ascii="Segoe UI" w:hAnsi="Segoe UI" w:cs="Segoe UI"/>
          <w:b/>
          <w:bCs/>
          <w:sz w:val="21"/>
          <w:szCs w:val="21"/>
          <w:lang w:eastAsia="fr-FR"/>
        </w:rPr>
      </w:pPr>
      <w:r w:rsidRPr="00E24ABC">
        <w:rPr>
          <w:rFonts w:ascii="Segoe UI" w:hAnsi="Segoe UI" w:cs="Segoe UI"/>
          <w:b/>
          <w:bCs/>
          <w:sz w:val="20"/>
          <w:szCs w:val="20"/>
        </w:rPr>
        <w:t xml:space="preserve">Dans les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services informatiques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, </w:t>
      </w:r>
      <w:r w:rsidRPr="00E24ABC">
        <w:rPr>
          <w:rFonts w:ascii="Segoe UI" w:hAnsi="Segoe UI" w:cs="Segoe UI"/>
          <w:sz w:val="20"/>
          <w:szCs w:val="20"/>
        </w:rPr>
        <w:t xml:space="preserve">sont présents </w:t>
      </w:r>
      <w:r w:rsidRPr="00E24ABC">
        <w:rPr>
          <w:rFonts w:ascii="Segoe UI" w:hAnsi="Segoe UI" w:cs="Segoe UI"/>
          <w:b/>
          <w:bCs/>
          <w:sz w:val="20"/>
          <w:szCs w:val="20"/>
        </w:rPr>
        <w:t>Cap Gemini</w:t>
      </w:r>
      <w:r w:rsidRPr="00E24ABC">
        <w:rPr>
          <w:rFonts w:ascii="Segoe UI" w:hAnsi="Segoe UI" w:cs="Segoe UI"/>
          <w:sz w:val="20"/>
          <w:szCs w:val="20"/>
        </w:rPr>
        <w:t xml:space="preserve"> (300 salariés), </w:t>
      </w:r>
      <w:r w:rsidRPr="00E24ABC">
        <w:rPr>
          <w:rFonts w:ascii="Segoe UI" w:hAnsi="Segoe UI" w:cs="Segoe UI"/>
          <w:b/>
          <w:bCs/>
          <w:sz w:val="20"/>
          <w:szCs w:val="20"/>
        </w:rPr>
        <w:t>Atos</w:t>
      </w:r>
      <w:r w:rsidRPr="00E24ABC">
        <w:rPr>
          <w:rFonts w:ascii="Segoe UI" w:hAnsi="Segoe UI" w:cs="Segoe UI"/>
          <w:sz w:val="20"/>
          <w:szCs w:val="20"/>
        </w:rPr>
        <w:t xml:space="preserve"> (250 salariés), </w:t>
      </w:r>
      <w:r w:rsidRPr="00E24ABC">
        <w:rPr>
          <w:rFonts w:ascii="Segoe UI" w:hAnsi="Segoe UI" w:cs="Segoe UI"/>
          <w:b/>
          <w:bCs/>
          <w:sz w:val="20"/>
          <w:szCs w:val="20"/>
        </w:rPr>
        <w:t>Thales</w:t>
      </w:r>
      <w:r w:rsidRPr="00E24ABC">
        <w:rPr>
          <w:rFonts w:ascii="Segoe UI" w:hAnsi="Segoe UI" w:cs="Segoe UI"/>
          <w:sz w:val="20"/>
          <w:szCs w:val="20"/>
        </w:rPr>
        <w:t xml:space="preserve"> identité et sécurité (ex Gemalto, 300 salariés),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Quadient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(400 salariés), </w:t>
      </w:r>
      <w:r w:rsidRPr="00E24ABC">
        <w:rPr>
          <w:rFonts w:ascii="Segoe UI" w:hAnsi="Segoe UI" w:cs="Segoe UI"/>
          <w:b/>
          <w:bCs/>
          <w:sz w:val="20"/>
          <w:szCs w:val="20"/>
        </w:rPr>
        <w:t>SII</w:t>
      </w:r>
      <w:r w:rsidRPr="00E24ABC">
        <w:rPr>
          <w:rFonts w:ascii="Segoe UI" w:hAnsi="Segoe UI" w:cs="Segoe UI"/>
          <w:sz w:val="20"/>
          <w:szCs w:val="20"/>
        </w:rPr>
        <w:t xml:space="preserve"> (60 salariés),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Devoteam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(80 salariés) et </w:t>
      </w:r>
      <w:r w:rsidRPr="00E24ABC">
        <w:rPr>
          <w:rFonts w:ascii="Segoe UI" w:hAnsi="Segoe UI" w:cs="Segoe UI"/>
          <w:b/>
          <w:bCs/>
          <w:sz w:val="20"/>
          <w:szCs w:val="20"/>
        </w:rPr>
        <w:t>ESI group</w:t>
      </w:r>
      <w:r w:rsidRPr="00E24ABC">
        <w:rPr>
          <w:rFonts w:ascii="Segoe UI" w:hAnsi="Segoe UI" w:cs="Segoe UI"/>
          <w:sz w:val="20"/>
          <w:szCs w:val="20"/>
        </w:rPr>
        <w:t xml:space="preserve"> (80 salariés). Dans les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autres services aux entreprises</w:t>
      </w:r>
      <w:r w:rsidRPr="00E24ABC">
        <w:rPr>
          <w:rFonts w:ascii="Segoe UI" w:hAnsi="Segoe UI" w:cs="Segoe UI"/>
          <w:sz w:val="20"/>
          <w:szCs w:val="20"/>
        </w:rPr>
        <w:t xml:space="preserve">, sont présents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Teleperformance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(400 salariés), </w:t>
      </w:r>
      <w:r w:rsidRPr="00E24ABC">
        <w:rPr>
          <w:rFonts w:ascii="Segoe UI" w:hAnsi="Segoe UI" w:cs="Segoe UI"/>
          <w:b/>
          <w:bCs/>
          <w:sz w:val="20"/>
          <w:szCs w:val="20"/>
        </w:rPr>
        <w:t>IPSOS</w:t>
      </w:r>
      <w:r w:rsidRPr="00E24ABC">
        <w:rPr>
          <w:rFonts w:ascii="Segoe UI" w:hAnsi="Segoe UI" w:cs="Segoe UI"/>
          <w:sz w:val="20"/>
          <w:szCs w:val="20"/>
        </w:rPr>
        <w:t xml:space="preserve"> (400 salariés),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Bluelink</w:t>
      </w:r>
      <w:proofErr w:type="spellEnd"/>
      <w:r w:rsidRPr="00E24ABC">
        <w:rPr>
          <w:rFonts w:ascii="Segoe UI" w:hAnsi="Segoe UI" w:cs="Segoe UI"/>
          <w:b/>
          <w:bCs/>
          <w:sz w:val="20"/>
          <w:szCs w:val="20"/>
        </w:rPr>
        <w:t xml:space="preserve"> international</w:t>
      </w:r>
      <w:r w:rsidRPr="00E24ABC">
        <w:rPr>
          <w:rFonts w:ascii="Segoe UI" w:hAnsi="Segoe UI" w:cs="Segoe UI"/>
          <w:sz w:val="20"/>
          <w:szCs w:val="20"/>
        </w:rPr>
        <w:t xml:space="preserve"> (groupe Air France-KLM, 500 salariés), </w:t>
      </w:r>
      <w:r w:rsidRPr="00E24ABC">
        <w:rPr>
          <w:rFonts w:ascii="Segoe UI" w:hAnsi="Segoe UI" w:cs="Segoe UI"/>
          <w:b/>
          <w:bCs/>
          <w:sz w:val="20"/>
          <w:szCs w:val="20"/>
        </w:rPr>
        <w:t>Bureau Veritas</w:t>
      </w:r>
      <w:r w:rsidRPr="00E24ABC">
        <w:rPr>
          <w:rFonts w:ascii="Segoe UI" w:hAnsi="Segoe UI" w:cs="Segoe UI"/>
          <w:sz w:val="20"/>
          <w:szCs w:val="20"/>
        </w:rPr>
        <w:t xml:space="preserve"> (90 salariés),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Mazars </w:t>
      </w:r>
      <w:r w:rsidRPr="00E24ABC">
        <w:rPr>
          <w:rFonts w:ascii="Segoe UI" w:hAnsi="Segoe UI" w:cs="Segoe UI"/>
          <w:sz w:val="20"/>
          <w:szCs w:val="20"/>
        </w:rPr>
        <w:t xml:space="preserve">(250 salariés), </w:t>
      </w:r>
      <w:proofErr w:type="spellStart"/>
      <w:r w:rsidRPr="00E24ABC">
        <w:rPr>
          <w:rFonts w:ascii="Segoe UI" w:hAnsi="Segoe UI" w:cs="Segoe UI"/>
          <w:b/>
          <w:bCs/>
          <w:sz w:val="20"/>
          <w:szCs w:val="20"/>
        </w:rPr>
        <w:t>Atalian</w:t>
      </w:r>
      <w:proofErr w:type="spellEnd"/>
      <w:r w:rsidRPr="00E24ABC">
        <w:rPr>
          <w:rFonts w:ascii="Segoe UI" w:hAnsi="Segoe UI" w:cs="Segoe UI"/>
          <w:sz w:val="20"/>
          <w:szCs w:val="20"/>
        </w:rPr>
        <w:t xml:space="preserve"> (1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24ABC">
        <w:rPr>
          <w:rFonts w:ascii="Segoe UI" w:hAnsi="Segoe UI" w:cs="Segoe UI"/>
          <w:sz w:val="20"/>
          <w:szCs w:val="20"/>
        </w:rPr>
        <w:t xml:space="preserve">200 salariés), </w:t>
      </w:r>
      <w:r w:rsidRPr="00E24ABC">
        <w:rPr>
          <w:rFonts w:ascii="Segoe UI" w:hAnsi="Segoe UI" w:cs="Segoe UI"/>
          <w:b/>
          <w:bCs/>
          <w:sz w:val="20"/>
          <w:szCs w:val="20"/>
        </w:rPr>
        <w:t>Sodexo</w:t>
      </w:r>
      <w:r w:rsidRPr="00E24ABC">
        <w:rPr>
          <w:rFonts w:ascii="Segoe UI" w:hAnsi="Segoe UI" w:cs="Segoe UI"/>
          <w:sz w:val="20"/>
          <w:szCs w:val="20"/>
        </w:rPr>
        <w:t xml:space="preserve"> (1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24ABC">
        <w:rPr>
          <w:rFonts w:ascii="Segoe UI" w:hAnsi="Segoe UI" w:cs="Segoe UI"/>
          <w:sz w:val="20"/>
          <w:szCs w:val="20"/>
        </w:rPr>
        <w:t xml:space="preserve">250 salariés). Enfin, le </w:t>
      </w:r>
      <w:r w:rsidRPr="00E24ABC">
        <w:rPr>
          <w:rFonts w:ascii="Segoe UI" w:hAnsi="Segoe UI" w:cs="Segoe UI"/>
          <w:b/>
          <w:bCs/>
          <w:sz w:val="20"/>
          <w:szCs w:val="20"/>
          <w:u w:val="single"/>
        </w:rPr>
        <w:t>secteur de la communication et des médias</w:t>
      </w:r>
      <w:r w:rsidRPr="00E24ABC">
        <w:rPr>
          <w:rFonts w:ascii="Segoe UI" w:hAnsi="Segoe UI" w:cs="Segoe UI"/>
          <w:sz w:val="20"/>
          <w:szCs w:val="20"/>
        </w:rPr>
        <w:t xml:space="preserve"> est représenté par 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JCDecaux, Havas </w:t>
      </w:r>
      <w:r w:rsidRPr="00E24ABC">
        <w:rPr>
          <w:rFonts w:ascii="Segoe UI" w:hAnsi="Segoe UI" w:cs="Segoe UI"/>
          <w:sz w:val="20"/>
          <w:szCs w:val="20"/>
        </w:rPr>
        <w:t>(groupe Vivendi, 100 salariés)</w:t>
      </w:r>
      <w:r w:rsidRPr="00E24ABC">
        <w:rPr>
          <w:rFonts w:ascii="Segoe UI" w:hAnsi="Segoe UI" w:cs="Segoe UI"/>
          <w:b/>
          <w:bCs/>
          <w:sz w:val="20"/>
          <w:szCs w:val="20"/>
        </w:rPr>
        <w:t xml:space="preserve"> et Publicis </w:t>
      </w:r>
      <w:r w:rsidRPr="00E24ABC">
        <w:rPr>
          <w:rFonts w:ascii="Segoe UI" w:hAnsi="Segoe UI" w:cs="Segoe UI"/>
          <w:sz w:val="20"/>
          <w:szCs w:val="20"/>
        </w:rPr>
        <w:t xml:space="preserve">(400 salariés). </w:t>
      </w:r>
    </w:p>
    <w:p w14:paraId="7E82C7FB" w14:textId="77777777" w:rsidR="00C46634" w:rsidRPr="00D55013" w:rsidRDefault="00C46634" w:rsidP="00C46634">
      <w:pPr>
        <w:spacing w:before="120" w:after="120" w:line="240" w:lineRule="auto"/>
        <w:ind w:right="-428"/>
        <w:rPr>
          <w:rFonts w:ascii="Segoe UI" w:hAnsi="Segoe UI" w:cs="Segoe UI"/>
        </w:rPr>
      </w:pPr>
    </w:p>
    <w:sectPr w:rsidR="00C46634" w:rsidRPr="00D55013" w:rsidSect="00C8579F">
      <w:pgSz w:w="11906" w:h="16838"/>
      <w:pgMar w:top="1418" w:right="1418" w:bottom="1418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89E1" w14:textId="77777777" w:rsidR="00684894" w:rsidRDefault="00684894" w:rsidP="00246574">
      <w:pPr>
        <w:spacing w:after="0" w:line="240" w:lineRule="auto"/>
      </w:pPr>
      <w:r>
        <w:separator/>
      </w:r>
    </w:p>
  </w:endnote>
  <w:endnote w:type="continuationSeparator" w:id="0">
    <w:p w14:paraId="4C85025A" w14:textId="77777777" w:rsidR="00684894" w:rsidRDefault="00684894" w:rsidP="00246574">
      <w:pPr>
        <w:spacing w:after="0" w:line="240" w:lineRule="auto"/>
      </w:pPr>
      <w:r>
        <w:continuationSeparator/>
      </w:r>
    </w:p>
  </w:endnote>
  <w:endnote w:id="1">
    <w:p w14:paraId="6AED15D9" w14:textId="77777777" w:rsidR="00C46634" w:rsidRDefault="00C46634" w:rsidP="00C46634">
      <w:pPr>
        <w:pStyle w:val="Notedefin"/>
        <w:ind w:right="-661"/>
        <w:jc w:val="both"/>
      </w:pPr>
      <w:r>
        <w:rPr>
          <w:rStyle w:val="Appeldenotedefin"/>
        </w:rPr>
        <w:endnoteRef/>
      </w:r>
      <w:r>
        <w:t xml:space="preserve"> Entré en 1998 à Pilsen sur le marché tchèque, le groupe Carrefour y a ouvert progressivement plusieurs hypermarchés (Brno, Ostrava, Olomouc puis Prague en 2001). Le 1</w:t>
      </w:r>
      <w:r w:rsidRPr="00D473AB">
        <w:rPr>
          <w:vertAlign w:val="superscript"/>
        </w:rPr>
        <w:t>er</w:t>
      </w:r>
      <w:r>
        <w:t xml:space="preserve"> juin 2006, Carrefour cède l’ensemble de ses activités et sites en Tchéquie et Slovaquie au groupe britannique Tesco, qui devient la 4</w:t>
      </w:r>
      <w:r w:rsidRPr="00154888">
        <w:rPr>
          <w:vertAlign w:val="superscript"/>
        </w:rPr>
        <w:t>ème</w:t>
      </w:r>
      <w:r>
        <w:t xml:space="preserve"> chaîne sur le marché tchèque.</w:t>
      </w:r>
    </w:p>
  </w:endnote>
  <w:endnote w:id="2">
    <w:p w14:paraId="246C28A9" w14:textId="77777777" w:rsidR="00C46634" w:rsidRDefault="00C46634" w:rsidP="00C46634">
      <w:pPr>
        <w:pStyle w:val="Notedefin"/>
      </w:pPr>
      <w:r>
        <w:rPr>
          <w:rStyle w:val="Appeldenotedefin"/>
        </w:rPr>
        <w:endnoteRef/>
      </w:r>
      <w:r>
        <w:t xml:space="preserve"> Le groupe Axa a cédé en août 2021 sa filiale tchèque au groupe d’assurances autrichien </w:t>
      </w:r>
      <w:proofErr w:type="spellStart"/>
      <w:r>
        <w:t>Uniqa</w:t>
      </w:r>
      <w:proofErr w:type="spellEnd"/>
      <w:r>
        <w:t>.</w:t>
      </w:r>
    </w:p>
  </w:endnote>
  <w:endnote w:id="3">
    <w:p w14:paraId="64609490" w14:textId="77777777" w:rsidR="00C46634" w:rsidRPr="001D6DD9" w:rsidRDefault="00C46634" w:rsidP="00C46634">
      <w:pPr>
        <w:pStyle w:val="Notedefin"/>
        <w:spacing w:before="120" w:after="120"/>
        <w:ind w:right="-522"/>
        <w:jc w:val="both"/>
        <w:rPr>
          <w:rFonts w:cstheme="minorHAnsi"/>
        </w:rPr>
      </w:pPr>
      <w:r w:rsidRPr="001D6DD9">
        <w:rPr>
          <w:rStyle w:val="Appeldenotedefin"/>
          <w:rFonts w:cstheme="minorHAnsi"/>
        </w:rPr>
        <w:endnoteRef/>
      </w:r>
      <w:r w:rsidRPr="001D6DD9">
        <w:rPr>
          <w:rFonts w:cstheme="minorHAnsi"/>
        </w:rPr>
        <w:t xml:space="preserve"> PSA </w:t>
      </w:r>
      <w:r>
        <w:rPr>
          <w:rFonts w:cstheme="minorHAnsi"/>
        </w:rPr>
        <w:t>était présent en Tchéquie jusqu’au 1</w:t>
      </w:r>
      <w:r w:rsidRPr="00154888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janvier 2021 </w:t>
      </w:r>
      <w:r w:rsidRPr="001D6DD9">
        <w:rPr>
          <w:rFonts w:cstheme="minorHAnsi"/>
        </w:rPr>
        <w:t xml:space="preserve">via TPCA, co-entreprise </w:t>
      </w:r>
      <w:r>
        <w:rPr>
          <w:rFonts w:cstheme="minorHAnsi"/>
        </w:rPr>
        <w:t xml:space="preserve">qui était </w:t>
      </w:r>
      <w:r w:rsidRPr="001D6DD9">
        <w:rPr>
          <w:rFonts w:cstheme="minorHAnsi"/>
        </w:rPr>
        <w:t>détenue à 50/50 avec Toyota</w:t>
      </w:r>
      <w:r>
        <w:rPr>
          <w:rFonts w:cstheme="minorHAnsi"/>
        </w:rPr>
        <w:t xml:space="preserve"> pour l’exploitation de l’usine de </w:t>
      </w:r>
      <w:proofErr w:type="spellStart"/>
      <w:r>
        <w:rPr>
          <w:rFonts w:cstheme="minorHAnsi"/>
        </w:rPr>
        <w:t>Kolin</w:t>
      </w:r>
      <w:proofErr w:type="spellEnd"/>
      <w:r>
        <w:rPr>
          <w:rFonts w:cstheme="minorHAnsi"/>
        </w:rPr>
        <w:t xml:space="preserve"> ; Toyota est désormais </w:t>
      </w:r>
      <w:r w:rsidRPr="001D6DD9">
        <w:rPr>
          <w:rFonts w:cstheme="minorHAnsi"/>
        </w:rPr>
        <w:t>l’actionnaire unique</w:t>
      </w:r>
      <w:r>
        <w:rPr>
          <w:rFonts w:cstheme="minorHAnsi"/>
        </w:rPr>
        <w:t xml:space="preserve"> et continue seul de fabriquer des voitures à </w:t>
      </w:r>
      <w:proofErr w:type="spellStart"/>
      <w:r>
        <w:rPr>
          <w:rFonts w:cstheme="minorHAnsi"/>
        </w:rPr>
        <w:t>Kolin</w:t>
      </w:r>
      <w:proofErr w:type="spellEnd"/>
      <w:r w:rsidRPr="001D6DD9">
        <w:rPr>
          <w:rFonts w:cstheme="minorHAnsi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3AB2" w14:textId="77777777" w:rsidR="00684894" w:rsidRDefault="00684894" w:rsidP="00246574">
      <w:pPr>
        <w:spacing w:after="0" w:line="240" w:lineRule="auto"/>
      </w:pPr>
      <w:r>
        <w:separator/>
      </w:r>
    </w:p>
  </w:footnote>
  <w:footnote w:type="continuationSeparator" w:id="0">
    <w:p w14:paraId="4B0F2882" w14:textId="77777777" w:rsidR="00684894" w:rsidRDefault="00684894" w:rsidP="0024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1F9"/>
    <w:multiLevelType w:val="hybridMultilevel"/>
    <w:tmpl w:val="98E06E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5F1D"/>
    <w:multiLevelType w:val="hybridMultilevel"/>
    <w:tmpl w:val="075A72C4"/>
    <w:lvl w:ilvl="0" w:tplc="4BAC94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E3E96"/>
    <w:multiLevelType w:val="hybridMultilevel"/>
    <w:tmpl w:val="173801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986"/>
    <w:multiLevelType w:val="hybridMultilevel"/>
    <w:tmpl w:val="BF6890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06723"/>
    <w:multiLevelType w:val="hybridMultilevel"/>
    <w:tmpl w:val="7004DCFC"/>
    <w:lvl w:ilvl="0" w:tplc="7B3C3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D4294"/>
    <w:multiLevelType w:val="hybridMultilevel"/>
    <w:tmpl w:val="6E02E392"/>
    <w:lvl w:ilvl="0" w:tplc="831C68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32"/>
    <w:rsid w:val="000061FF"/>
    <w:rsid w:val="000107EF"/>
    <w:rsid w:val="00014954"/>
    <w:rsid w:val="00016015"/>
    <w:rsid w:val="000163A9"/>
    <w:rsid w:val="00027AFF"/>
    <w:rsid w:val="00030FAD"/>
    <w:rsid w:val="00031236"/>
    <w:rsid w:val="0003761F"/>
    <w:rsid w:val="00041DD5"/>
    <w:rsid w:val="000429B1"/>
    <w:rsid w:val="000504BC"/>
    <w:rsid w:val="00055CE9"/>
    <w:rsid w:val="00084875"/>
    <w:rsid w:val="00097BB7"/>
    <w:rsid w:val="000A605D"/>
    <w:rsid w:val="000B5207"/>
    <w:rsid w:val="000B6040"/>
    <w:rsid w:val="000C077D"/>
    <w:rsid w:val="000E246A"/>
    <w:rsid w:val="000E46E5"/>
    <w:rsid w:val="00111F0D"/>
    <w:rsid w:val="00113562"/>
    <w:rsid w:val="00115328"/>
    <w:rsid w:val="00132408"/>
    <w:rsid w:val="00147412"/>
    <w:rsid w:val="0018734B"/>
    <w:rsid w:val="00194589"/>
    <w:rsid w:val="001B42AD"/>
    <w:rsid w:val="001E3675"/>
    <w:rsid w:val="001F373E"/>
    <w:rsid w:val="00207747"/>
    <w:rsid w:val="00224968"/>
    <w:rsid w:val="002456BD"/>
    <w:rsid w:val="00246574"/>
    <w:rsid w:val="00257B3D"/>
    <w:rsid w:val="002649DA"/>
    <w:rsid w:val="00270880"/>
    <w:rsid w:val="002957B7"/>
    <w:rsid w:val="0029777E"/>
    <w:rsid w:val="002A5828"/>
    <w:rsid w:val="002B5C7F"/>
    <w:rsid w:val="002D1ACD"/>
    <w:rsid w:val="002D281E"/>
    <w:rsid w:val="002D3795"/>
    <w:rsid w:val="002E3F6C"/>
    <w:rsid w:val="00302279"/>
    <w:rsid w:val="00303FCB"/>
    <w:rsid w:val="00310FCD"/>
    <w:rsid w:val="00320137"/>
    <w:rsid w:val="00336946"/>
    <w:rsid w:val="003369B8"/>
    <w:rsid w:val="00357534"/>
    <w:rsid w:val="0036112F"/>
    <w:rsid w:val="00376186"/>
    <w:rsid w:val="0038678D"/>
    <w:rsid w:val="003B1470"/>
    <w:rsid w:val="003D4CE5"/>
    <w:rsid w:val="003F2E96"/>
    <w:rsid w:val="00407965"/>
    <w:rsid w:val="004201ED"/>
    <w:rsid w:val="004352FA"/>
    <w:rsid w:val="00447371"/>
    <w:rsid w:val="00451AC3"/>
    <w:rsid w:val="00493C15"/>
    <w:rsid w:val="004A3045"/>
    <w:rsid w:val="004B17FE"/>
    <w:rsid w:val="004C75B6"/>
    <w:rsid w:val="004E0FC5"/>
    <w:rsid w:val="004F01F4"/>
    <w:rsid w:val="004F35A7"/>
    <w:rsid w:val="00501740"/>
    <w:rsid w:val="00501747"/>
    <w:rsid w:val="005365D2"/>
    <w:rsid w:val="005A479E"/>
    <w:rsid w:val="005A5386"/>
    <w:rsid w:val="005B4EFA"/>
    <w:rsid w:val="005B7E31"/>
    <w:rsid w:val="0061280F"/>
    <w:rsid w:val="006410B6"/>
    <w:rsid w:val="00653A21"/>
    <w:rsid w:val="0065719B"/>
    <w:rsid w:val="006609FB"/>
    <w:rsid w:val="006711B6"/>
    <w:rsid w:val="00673806"/>
    <w:rsid w:val="00684894"/>
    <w:rsid w:val="00684A5F"/>
    <w:rsid w:val="00690447"/>
    <w:rsid w:val="006A09C9"/>
    <w:rsid w:val="006B4D54"/>
    <w:rsid w:val="006B6F09"/>
    <w:rsid w:val="006C22EE"/>
    <w:rsid w:val="006C41A4"/>
    <w:rsid w:val="006F2B48"/>
    <w:rsid w:val="007125F1"/>
    <w:rsid w:val="007137DD"/>
    <w:rsid w:val="00723D23"/>
    <w:rsid w:val="007257E4"/>
    <w:rsid w:val="00746E03"/>
    <w:rsid w:val="00766480"/>
    <w:rsid w:val="00792CF8"/>
    <w:rsid w:val="00793834"/>
    <w:rsid w:val="007959A4"/>
    <w:rsid w:val="00797ECD"/>
    <w:rsid w:val="007A39C1"/>
    <w:rsid w:val="007C155A"/>
    <w:rsid w:val="007C72F4"/>
    <w:rsid w:val="007E1211"/>
    <w:rsid w:val="007E12ED"/>
    <w:rsid w:val="007E4DAC"/>
    <w:rsid w:val="00800951"/>
    <w:rsid w:val="00803199"/>
    <w:rsid w:val="00803876"/>
    <w:rsid w:val="00852A41"/>
    <w:rsid w:val="00860A80"/>
    <w:rsid w:val="008639F7"/>
    <w:rsid w:val="00872B88"/>
    <w:rsid w:val="0089031B"/>
    <w:rsid w:val="00892CE8"/>
    <w:rsid w:val="008B33CC"/>
    <w:rsid w:val="008B610D"/>
    <w:rsid w:val="008C2F69"/>
    <w:rsid w:val="0093278F"/>
    <w:rsid w:val="00940F3B"/>
    <w:rsid w:val="00953266"/>
    <w:rsid w:val="00961F63"/>
    <w:rsid w:val="00984A15"/>
    <w:rsid w:val="009A0057"/>
    <w:rsid w:val="00A01DCB"/>
    <w:rsid w:val="00A02889"/>
    <w:rsid w:val="00A02F73"/>
    <w:rsid w:val="00A058DE"/>
    <w:rsid w:val="00A063C1"/>
    <w:rsid w:val="00A06B52"/>
    <w:rsid w:val="00A11A63"/>
    <w:rsid w:val="00A204E3"/>
    <w:rsid w:val="00A25D31"/>
    <w:rsid w:val="00A618B1"/>
    <w:rsid w:val="00A62912"/>
    <w:rsid w:val="00A71BB2"/>
    <w:rsid w:val="00AA2A73"/>
    <w:rsid w:val="00AC0742"/>
    <w:rsid w:val="00AC0D65"/>
    <w:rsid w:val="00AE539F"/>
    <w:rsid w:val="00AF0340"/>
    <w:rsid w:val="00B0074A"/>
    <w:rsid w:val="00B036E3"/>
    <w:rsid w:val="00B04641"/>
    <w:rsid w:val="00B40EFF"/>
    <w:rsid w:val="00B45DF2"/>
    <w:rsid w:val="00B71E4B"/>
    <w:rsid w:val="00B8013C"/>
    <w:rsid w:val="00B8381A"/>
    <w:rsid w:val="00B860CF"/>
    <w:rsid w:val="00BA1DBE"/>
    <w:rsid w:val="00BD0319"/>
    <w:rsid w:val="00C03B05"/>
    <w:rsid w:val="00C043CA"/>
    <w:rsid w:val="00C173AF"/>
    <w:rsid w:val="00C31826"/>
    <w:rsid w:val="00C37ED4"/>
    <w:rsid w:val="00C46634"/>
    <w:rsid w:val="00C64249"/>
    <w:rsid w:val="00C64C3B"/>
    <w:rsid w:val="00C82FE5"/>
    <w:rsid w:val="00C8579F"/>
    <w:rsid w:val="00CA0E9A"/>
    <w:rsid w:val="00CA6C60"/>
    <w:rsid w:val="00CA7121"/>
    <w:rsid w:val="00CD1D0F"/>
    <w:rsid w:val="00CE64AE"/>
    <w:rsid w:val="00CF285A"/>
    <w:rsid w:val="00CF6179"/>
    <w:rsid w:val="00D027D5"/>
    <w:rsid w:val="00D05184"/>
    <w:rsid w:val="00D17E89"/>
    <w:rsid w:val="00D24CAB"/>
    <w:rsid w:val="00D24E58"/>
    <w:rsid w:val="00D27F62"/>
    <w:rsid w:val="00D32E95"/>
    <w:rsid w:val="00D455E0"/>
    <w:rsid w:val="00D55013"/>
    <w:rsid w:val="00D63941"/>
    <w:rsid w:val="00D64F2C"/>
    <w:rsid w:val="00D86D52"/>
    <w:rsid w:val="00D87D9C"/>
    <w:rsid w:val="00D907F6"/>
    <w:rsid w:val="00DC4B80"/>
    <w:rsid w:val="00DD2E15"/>
    <w:rsid w:val="00DD58FF"/>
    <w:rsid w:val="00DE0345"/>
    <w:rsid w:val="00DE4227"/>
    <w:rsid w:val="00DE6155"/>
    <w:rsid w:val="00E10063"/>
    <w:rsid w:val="00E117DA"/>
    <w:rsid w:val="00E15A97"/>
    <w:rsid w:val="00E30523"/>
    <w:rsid w:val="00E36401"/>
    <w:rsid w:val="00E41107"/>
    <w:rsid w:val="00E4178E"/>
    <w:rsid w:val="00E44EF2"/>
    <w:rsid w:val="00E604CB"/>
    <w:rsid w:val="00E73505"/>
    <w:rsid w:val="00E945F0"/>
    <w:rsid w:val="00EA4BD1"/>
    <w:rsid w:val="00EA5A9E"/>
    <w:rsid w:val="00EB4E9A"/>
    <w:rsid w:val="00EC533E"/>
    <w:rsid w:val="00ED245B"/>
    <w:rsid w:val="00EE544D"/>
    <w:rsid w:val="00F00532"/>
    <w:rsid w:val="00F14302"/>
    <w:rsid w:val="00F14316"/>
    <w:rsid w:val="00F150C4"/>
    <w:rsid w:val="00F16D6A"/>
    <w:rsid w:val="00F17FF4"/>
    <w:rsid w:val="00F23A7E"/>
    <w:rsid w:val="00F33A56"/>
    <w:rsid w:val="00F52843"/>
    <w:rsid w:val="00F63085"/>
    <w:rsid w:val="00F672DE"/>
    <w:rsid w:val="00F74229"/>
    <w:rsid w:val="00F8324B"/>
    <w:rsid w:val="00F954B3"/>
    <w:rsid w:val="00FA0A88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944984"/>
  <w15:chartTrackingRefBased/>
  <w15:docId w15:val="{EB26119B-A52A-4729-BCA3-9EB7FA71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5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574"/>
  </w:style>
  <w:style w:type="paragraph" w:styleId="Pieddepage">
    <w:name w:val="footer"/>
    <w:basedOn w:val="Normal"/>
    <w:link w:val="PieddepageCar"/>
    <w:uiPriority w:val="99"/>
    <w:unhideWhenUsed/>
    <w:rsid w:val="0024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574"/>
  </w:style>
  <w:style w:type="paragraph" w:styleId="Notedebasdepage">
    <w:name w:val="footnote text"/>
    <w:basedOn w:val="Normal"/>
    <w:link w:val="NotedebasdepageCar"/>
    <w:uiPriority w:val="99"/>
    <w:unhideWhenUsed/>
    <w:rsid w:val="003B14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B1470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B147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53A21"/>
    <w:rPr>
      <w:color w:val="808080"/>
    </w:rPr>
  </w:style>
  <w:style w:type="table" w:styleId="Grilledutableau">
    <w:name w:val="Table Grid"/>
    <w:basedOn w:val="TableauNormal"/>
    <w:uiPriority w:val="39"/>
    <w:rsid w:val="002D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37E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7E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7E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7E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7ED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37ED4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0095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095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0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E179-9025-49A9-838A-201658B0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SAGET Barbara</dc:creator>
  <cp:keywords/>
  <dc:description/>
  <cp:lastModifiedBy>MURO Julie</cp:lastModifiedBy>
  <cp:revision>2</cp:revision>
  <cp:lastPrinted>2023-04-18T09:58:00Z</cp:lastPrinted>
  <dcterms:created xsi:type="dcterms:W3CDTF">2023-08-01T14:52:00Z</dcterms:created>
  <dcterms:modified xsi:type="dcterms:W3CDTF">2023-08-01T14:52:00Z</dcterms:modified>
</cp:coreProperties>
</file>