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5" w:type="dxa"/>
        <w:tblCellMar>
          <w:left w:w="0" w:type="dxa"/>
          <w:right w:w="0" w:type="dxa"/>
        </w:tblCellMar>
        <w:tblLook w:val="04A0" w:firstRow="1" w:lastRow="0" w:firstColumn="1" w:lastColumn="0" w:noHBand="0" w:noVBand="1"/>
      </w:tblPr>
      <w:tblGrid>
        <w:gridCol w:w="7100"/>
        <w:gridCol w:w="3675"/>
      </w:tblGrid>
      <w:tr w:rsidR="009334CD" w:rsidRPr="008D36B5" w14:paraId="4549CA2D" w14:textId="77777777" w:rsidTr="00F778C2">
        <w:trPr>
          <w:trHeight w:val="258"/>
        </w:trPr>
        <w:tc>
          <w:tcPr>
            <w:tcW w:w="7100" w:type="dxa"/>
            <w:shd w:val="clear" w:color="auto" w:fill="auto"/>
            <w:vAlign w:val="center"/>
            <w:hideMark/>
          </w:tcPr>
          <w:p w14:paraId="233E1392" w14:textId="77777777" w:rsidR="009334CD" w:rsidRPr="008D36B5" w:rsidRDefault="22897566" w:rsidP="002D101E">
            <w:pPr>
              <w:spacing w:after="100" w:afterAutospacing="1" w:line="240" w:lineRule="auto"/>
              <w:textAlignment w:val="baseline"/>
              <w:rPr>
                <w:rFonts w:ascii="Times New Roman" w:eastAsia="Times New Roman" w:hAnsi="Times New Roman" w:cs="Times New Roman"/>
                <w:b/>
                <w:bCs/>
                <w:sz w:val="18"/>
                <w:szCs w:val="18"/>
                <w:lang w:eastAsia="fr-FR"/>
              </w:rPr>
            </w:pPr>
            <w:r w:rsidRPr="008D36B5">
              <w:rPr>
                <w:rFonts w:ascii="Segoe UI" w:eastAsia="Times New Roman" w:hAnsi="Segoe UI" w:cs="Segoe UI"/>
                <w:b/>
                <w:bCs/>
                <w:sz w:val="18"/>
                <w:szCs w:val="18"/>
                <w:lang w:eastAsia="fr-FR"/>
              </w:rPr>
              <w:t>Ambassade de France au Canada </w:t>
            </w:r>
            <w:r w:rsidR="009334CD" w:rsidRPr="008D36B5">
              <w:rPr>
                <w:sz w:val="18"/>
                <w:szCs w:val="18"/>
              </w:rPr>
              <w:br/>
            </w:r>
            <w:r w:rsidRPr="008D36B5">
              <w:rPr>
                <w:rFonts w:ascii="Segoe UI" w:eastAsia="Times New Roman" w:hAnsi="Segoe UI" w:cs="Segoe UI"/>
                <w:b/>
                <w:bCs/>
                <w:sz w:val="18"/>
                <w:szCs w:val="18"/>
                <w:lang w:eastAsia="fr-FR"/>
              </w:rPr>
              <w:t>Service économique régional d’Ottawa </w:t>
            </w:r>
          </w:p>
        </w:tc>
        <w:tc>
          <w:tcPr>
            <w:tcW w:w="3675" w:type="dxa"/>
            <w:shd w:val="clear" w:color="auto" w:fill="auto"/>
            <w:vAlign w:val="center"/>
            <w:hideMark/>
          </w:tcPr>
          <w:p w14:paraId="1F817A9E" w14:textId="3E496933" w:rsidR="009334CD" w:rsidRPr="008D36B5" w:rsidRDefault="22897566" w:rsidP="004716F8">
            <w:pPr>
              <w:spacing w:after="100" w:afterAutospacing="1" w:line="240" w:lineRule="auto"/>
              <w:jc w:val="right"/>
              <w:textAlignment w:val="baseline"/>
              <w:rPr>
                <w:rFonts w:ascii="Times New Roman" w:eastAsia="Times New Roman" w:hAnsi="Times New Roman" w:cs="Times New Roman"/>
                <w:b/>
                <w:bCs/>
                <w:sz w:val="18"/>
                <w:szCs w:val="18"/>
                <w:lang w:eastAsia="fr-FR"/>
              </w:rPr>
            </w:pPr>
            <w:r w:rsidRPr="008D36B5">
              <w:rPr>
                <w:rFonts w:ascii="Segoe UI" w:eastAsia="Times New Roman" w:hAnsi="Segoe UI" w:cs="Segoe UI"/>
                <w:b/>
                <w:bCs/>
                <w:sz w:val="18"/>
                <w:szCs w:val="18"/>
                <w:lang w:eastAsia="fr-FR"/>
              </w:rPr>
              <w:t>Ottawa,</w:t>
            </w:r>
            <w:r w:rsidR="00A7322B" w:rsidRPr="008D36B5">
              <w:rPr>
                <w:rFonts w:ascii="Segoe UI" w:eastAsia="Times New Roman" w:hAnsi="Segoe UI" w:cs="Segoe UI"/>
                <w:b/>
                <w:bCs/>
                <w:sz w:val="18"/>
                <w:szCs w:val="18"/>
                <w:lang w:eastAsia="fr-FR"/>
              </w:rPr>
              <w:t xml:space="preserve"> </w:t>
            </w:r>
            <w:r w:rsidR="004716F8" w:rsidRPr="008D36B5">
              <w:rPr>
                <w:rFonts w:ascii="Segoe UI" w:eastAsia="Times New Roman" w:hAnsi="Segoe UI" w:cs="Segoe UI"/>
                <w:b/>
                <w:bCs/>
                <w:sz w:val="18"/>
                <w:szCs w:val="18"/>
                <w:lang w:eastAsia="fr-FR"/>
              </w:rPr>
              <w:t xml:space="preserve">le </w:t>
            </w:r>
            <w:r w:rsidR="00AE1878">
              <w:rPr>
                <w:rFonts w:ascii="Segoe UI" w:eastAsia="Times New Roman" w:hAnsi="Segoe UI" w:cs="Segoe UI"/>
                <w:b/>
                <w:bCs/>
                <w:sz w:val="18"/>
                <w:szCs w:val="18"/>
                <w:lang w:eastAsia="fr-FR"/>
              </w:rPr>
              <w:t>20</w:t>
            </w:r>
            <w:r w:rsidR="00B32F0B">
              <w:rPr>
                <w:rFonts w:ascii="Segoe UI" w:eastAsia="Times New Roman" w:hAnsi="Segoe UI" w:cs="Segoe UI"/>
                <w:b/>
                <w:bCs/>
                <w:sz w:val="18"/>
                <w:szCs w:val="18"/>
                <w:lang w:eastAsia="fr-FR"/>
              </w:rPr>
              <w:t>/02</w:t>
            </w:r>
            <w:r w:rsidR="004716F8" w:rsidRPr="008D36B5">
              <w:rPr>
                <w:rFonts w:ascii="Segoe UI" w:eastAsia="Times New Roman" w:hAnsi="Segoe UI" w:cs="Segoe UI"/>
                <w:b/>
                <w:bCs/>
                <w:sz w:val="18"/>
                <w:szCs w:val="18"/>
                <w:lang w:eastAsia="fr-FR"/>
              </w:rPr>
              <w:t>/202</w:t>
            </w:r>
            <w:r w:rsidR="00B32F0B">
              <w:rPr>
                <w:rFonts w:ascii="Segoe UI" w:eastAsia="Times New Roman" w:hAnsi="Segoe UI" w:cs="Segoe UI"/>
                <w:b/>
                <w:bCs/>
                <w:sz w:val="18"/>
                <w:szCs w:val="18"/>
                <w:lang w:eastAsia="fr-FR"/>
              </w:rPr>
              <w:t>4</w:t>
            </w:r>
            <w:r w:rsidRPr="008D36B5">
              <w:rPr>
                <w:rFonts w:ascii="Segoe UI" w:eastAsia="Times New Roman" w:hAnsi="Segoe UI" w:cs="Segoe UI"/>
                <w:b/>
                <w:bCs/>
                <w:sz w:val="18"/>
                <w:szCs w:val="18"/>
                <w:lang w:eastAsia="fr-FR"/>
              </w:rPr>
              <w:t> </w:t>
            </w:r>
            <w:r w:rsidR="009334CD" w:rsidRPr="008D36B5">
              <w:rPr>
                <w:sz w:val="18"/>
                <w:szCs w:val="18"/>
              </w:rPr>
              <w:br/>
            </w:r>
            <w:r w:rsidRPr="008D36B5">
              <w:rPr>
                <w:rFonts w:ascii="Segoe UI" w:eastAsia="Times New Roman" w:hAnsi="Segoe UI" w:cs="Segoe UI"/>
                <w:b/>
                <w:bCs/>
                <w:sz w:val="18"/>
                <w:szCs w:val="18"/>
                <w:lang w:eastAsia="fr-FR"/>
              </w:rPr>
              <w:t>Rédigé par</w:t>
            </w:r>
            <w:r w:rsidR="00F05FFD">
              <w:rPr>
                <w:rFonts w:ascii="Segoe UI" w:eastAsia="Times New Roman" w:hAnsi="Segoe UI" w:cs="Segoe UI"/>
                <w:b/>
                <w:bCs/>
                <w:sz w:val="18"/>
                <w:szCs w:val="18"/>
                <w:lang w:eastAsia="fr-FR"/>
              </w:rPr>
              <w:t xml:space="preserve"> </w:t>
            </w:r>
            <w:r w:rsidR="00025AF6">
              <w:rPr>
                <w:rFonts w:ascii="Segoe UI" w:eastAsia="Times New Roman" w:hAnsi="Segoe UI" w:cs="Segoe UI"/>
                <w:b/>
                <w:bCs/>
                <w:sz w:val="18"/>
                <w:szCs w:val="18"/>
                <w:lang w:eastAsia="fr-FR"/>
              </w:rPr>
              <w:t>Jean-Toussaint Battestini</w:t>
            </w:r>
            <w:r w:rsidR="005A27D0">
              <w:rPr>
                <w:rFonts w:ascii="Segoe UI" w:eastAsia="Times New Roman" w:hAnsi="Segoe UI" w:cs="Segoe UI"/>
                <w:b/>
                <w:bCs/>
                <w:sz w:val="18"/>
                <w:szCs w:val="18"/>
                <w:lang w:eastAsia="fr-FR"/>
              </w:rPr>
              <w:t xml:space="preserve"> </w:t>
            </w:r>
          </w:p>
        </w:tc>
      </w:tr>
    </w:tbl>
    <w:p w14:paraId="3ADE04D4" w14:textId="77777777" w:rsidR="009334CD" w:rsidRPr="004711DB" w:rsidRDefault="009334CD" w:rsidP="004927C5">
      <w:pPr>
        <w:spacing w:after="0" w:line="240" w:lineRule="auto"/>
        <w:jc w:val="right"/>
        <w:textAlignment w:val="baseline"/>
        <w:rPr>
          <w:rFonts w:ascii="Segoe UI" w:eastAsia="Times New Roman" w:hAnsi="Segoe UI" w:cs="Segoe UI"/>
          <w:b/>
          <w:bCs/>
          <w:color w:val="006CE5"/>
          <w:sz w:val="18"/>
          <w:lang w:eastAsia="fr-FR"/>
        </w:rPr>
      </w:pPr>
    </w:p>
    <w:p w14:paraId="726C02BE" w14:textId="681A5C7D" w:rsidR="009334CD" w:rsidRPr="0003266D" w:rsidRDefault="00B32F0B" w:rsidP="003E764F">
      <w:pPr>
        <w:spacing w:after="80" w:line="240" w:lineRule="auto"/>
        <w:jc w:val="center"/>
        <w:textAlignment w:val="baseline"/>
        <w:rPr>
          <w:rFonts w:ascii="Segoe UI" w:eastAsia="Times New Roman" w:hAnsi="Segoe UI" w:cs="Segoe UI"/>
          <w:sz w:val="18"/>
          <w:szCs w:val="18"/>
          <w:lang w:eastAsia="fr-FR"/>
        </w:rPr>
      </w:pPr>
      <w:r>
        <w:rPr>
          <w:rFonts w:ascii="Segoe UI" w:eastAsia="Times New Roman" w:hAnsi="Segoe UI" w:cs="Segoe UI"/>
          <w:b/>
          <w:bCs/>
          <w:color w:val="006CE5"/>
          <w:lang w:eastAsia="fr-FR"/>
        </w:rPr>
        <w:t xml:space="preserve">Canada : </w:t>
      </w:r>
      <w:r w:rsidR="001F0063">
        <w:rPr>
          <w:rFonts w:ascii="Segoe UI" w:eastAsia="Times New Roman" w:hAnsi="Segoe UI" w:cs="Segoe UI"/>
          <w:b/>
          <w:bCs/>
          <w:color w:val="006CE5"/>
          <w:lang w:eastAsia="fr-FR"/>
        </w:rPr>
        <w:t xml:space="preserve">le commerce extérieur marque un </w:t>
      </w:r>
      <w:r w:rsidR="00E8047E">
        <w:rPr>
          <w:rFonts w:ascii="Segoe UI" w:eastAsia="Times New Roman" w:hAnsi="Segoe UI" w:cs="Segoe UI"/>
          <w:b/>
          <w:bCs/>
          <w:color w:val="006CE5"/>
          <w:lang w:eastAsia="fr-FR"/>
        </w:rPr>
        <w:t>coup</w:t>
      </w:r>
      <w:r w:rsidR="001F0063">
        <w:rPr>
          <w:rFonts w:ascii="Segoe UI" w:eastAsia="Times New Roman" w:hAnsi="Segoe UI" w:cs="Segoe UI"/>
          <w:b/>
          <w:bCs/>
          <w:color w:val="006CE5"/>
          <w:lang w:eastAsia="fr-FR"/>
        </w:rPr>
        <w:t xml:space="preserve"> d’arrêt après deux ans de </w:t>
      </w:r>
      <w:r w:rsidR="00E82CE9">
        <w:rPr>
          <w:rFonts w:ascii="Segoe UI" w:eastAsia="Times New Roman" w:hAnsi="Segoe UI" w:cs="Segoe UI"/>
          <w:b/>
          <w:bCs/>
          <w:color w:val="006CE5"/>
          <w:lang w:eastAsia="fr-FR"/>
        </w:rPr>
        <w:t xml:space="preserve">forte </w:t>
      </w:r>
      <w:r w:rsidR="001F0063">
        <w:rPr>
          <w:rFonts w:ascii="Segoe UI" w:eastAsia="Times New Roman" w:hAnsi="Segoe UI" w:cs="Segoe UI"/>
          <w:b/>
          <w:bCs/>
          <w:color w:val="006CE5"/>
          <w:lang w:eastAsia="fr-FR"/>
        </w:rPr>
        <w:t>croissance</w:t>
      </w:r>
      <w:r w:rsidR="008D7467">
        <w:rPr>
          <w:rFonts w:ascii="Segoe UI" w:eastAsia="Times New Roman" w:hAnsi="Segoe UI" w:cs="Segoe UI"/>
          <w:b/>
          <w:bCs/>
          <w:color w:val="006CE5"/>
          <w:lang w:eastAsia="fr-FR"/>
        </w:rPr>
        <w:t xml:space="preserve"> </w:t>
      </w:r>
    </w:p>
    <w:p w14:paraId="34B22909" w14:textId="3DF34747" w:rsidR="009334CD" w:rsidRPr="0003266D" w:rsidRDefault="000C3A0B" w:rsidP="00620F80">
      <w:pPr>
        <w:tabs>
          <w:tab w:val="left" w:pos="1560"/>
        </w:tabs>
        <w:spacing w:after="120" w:line="240" w:lineRule="auto"/>
        <w:jc w:val="both"/>
        <w:textAlignment w:val="baseline"/>
        <w:rPr>
          <w:rFonts w:ascii="Segoe UI" w:eastAsia="Times New Roman" w:hAnsi="Segoe UI" w:cs="Segoe UI"/>
          <w:sz w:val="18"/>
          <w:szCs w:val="18"/>
          <w:lang w:eastAsia="fr-FR"/>
        </w:rPr>
      </w:pPr>
      <w:r>
        <w:rPr>
          <w:rFonts w:ascii="Segoe UI" w:eastAsia="Times New Roman" w:hAnsi="Segoe UI" w:cs="Segoe UI"/>
          <w:i/>
          <w:iCs/>
          <w:color w:val="006CE5"/>
          <w:sz w:val="18"/>
          <w:szCs w:val="18"/>
          <w:lang w:eastAsia="fr-FR"/>
        </w:rPr>
        <w:t>Après deux années de</w:t>
      </w:r>
      <w:r w:rsidR="00031A95">
        <w:rPr>
          <w:rFonts w:ascii="Segoe UI" w:eastAsia="Times New Roman" w:hAnsi="Segoe UI" w:cs="Segoe UI"/>
          <w:i/>
          <w:iCs/>
          <w:color w:val="006CE5"/>
          <w:sz w:val="18"/>
          <w:szCs w:val="18"/>
          <w:lang w:eastAsia="fr-FR"/>
        </w:rPr>
        <w:t xml:space="preserve"> forte</w:t>
      </w:r>
      <w:r>
        <w:rPr>
          <w:rFonts w:ascii="Segoe UI" w:eastAsia="Times New Roman" w:hAnsi="Segoe UI" w:cs="Segoe UI"/>
          <w:i/>
          <w:iCs/>
          <w:color w:val="006CE5"/>
          <w:sz w:val="18"/>
          <w:szCs w:val="18"/>
          <w:lang w:eastAsia="fr-FR"/>
        </w:rPr>
        <w:t xml:space="preserve"> croissance du commerce</w:t>
      </w:r>
      <w:r w:rsidR="00C33169">
        <w:rPr>
          <w:rFonts w:ascii="Segoe UI" w:eastAsia="Times New Roman" w:hAnsi="Segoe UI" w:cs="Segoe UI"/>
          <w:i/>
          <w:iCs/>
          <w:color w:val="006CE5"/>
          <w:sz w:val="18"/>
          <w:szCs w:val="18"/>
          <w:lang w:eastAsia="fr-FR"/>
        </w:rPr>
        <w:t xml:space="preserve"> et d</w:t>
      </w:r>
      <w:r w:rsidR="00FE40F5">
        <w:rPr>
          <w:rFonts w:ascii="Segoe UI" w:eastAsia="Times New Roman" w:hAnsi="Segoe UI" w:cs="Segoe UI"/>
          <w:i/>
          <w:iCs/>
          <w:color w:val="006CE5"/>
          <w:sz w:val="18"/>
          <w:szCs w:val="18"/>
          <w:lang w:eastAsia="fr-FR"/>
        </w:rPr>
        <w:t xml:space="preserve">e son </w:t>
      </w:r>
      <w:r w:rsidR="00C33169">
        <w:rPr>
          <w:rFonts w:ascii="Segoe UI" w:eastAsia="Times New Roman" w:hAnsi="Segoe UI" w:cs="Segoe UI"/>
          <w:i/>
          <w:iCs/>
          <w:color w:val="006CE5"/>
          <w:sz w:val="18"/>
          <w:szCs w:val="18"/>
          <w:lang w:eastAsia="fr-FR"/>
        </w:rPr>
        <w:t>excédent</w:t>
      </w:r>
      <w:r w:rsidR="004F42AD">
        <w:rPr>
          <w:rFonts w:ascii="Segoe UI" w:eastAsia="Times New Roman" w:hAnsi="Segoe UI" w:cs="Segoe UI"/>
          <w:i/>
          <w:iCs/>
          <w:color w:val="006CE5"/>
          <w:sz w:val="18"/>
          <w:szCs w:val="18"/>
          <w:lang w:eastAsia="fr-FR"/>
        </w:rPr>
        <w:t xml:space="preserve"> </w:t>
      </w:r>
      <w:r w:rsidR="00FE40F5">
        <w:rPr>
          <w:rFonts w:ascii="Segoe UI" w:eastAsia="Times New Roman" w:hAnsi="Segoe UI" w:cs="Segoe UI"/>
          <w:i/>
          <w:iCs/>
          <w:color w:val="006CE5"/>
          <w:sz w:val="18"/>
          <w:szCs w:val="18"/>
          <w:lang w:eastAsia="fr-FR"/>
        </w:rPr>
        <w:t>sur</w:t>
      </w:r>
      <w:r w:rsidR="004F42AD">
        <w:rPr>
          <w:rFonts w:ascii="Segoe UI" w:eastAsia="Times New Roman" w:hAnsi="Segoe UI" w:cs="Segoe UI"/>
          <w:i/>
          <w:iCs/>
          <w:color w:val="006CE5"/>
          <w:sz w:val="18"/>
          <w:szCs w:val="18"/>
          <w:lang w:eastAsia="fr-FR"/>
        </w:rPr>
        <w:t xml:space="preserve"> sa</w:t>
      </w:r>
      <w:r w:rsidR="00C33169">
        <w:rPr>
          <w:rFonts w:ascii="Segoe UI" w:eastAsia="Times New Roman" w:hAnsi="Segoe UI" w:cs="Segoe UI"/>
          <w:i/>
          <w:iCs/>
          <w:color w:val="006CE5"/>
          <w:sz w:val="18"/>
          <w:szCs w:val="18"/>
          <w:lang w:eastAsia="fr-FR"/>
        </w:rPr>
        <w:t xml:space="preserve"> balance des biens</w:t>
      </w:r>
      <w:r w:rsidR="009F0A80">
        <w:rPr>
          <w:rFonts w:ascii="Segoe UI" w:eastAsia="Times New Roman" w:hAnsi="Segoe UI" w:cs="Segoe UI"/>
          <w:i/>
          <w:iCs/>
          <w:color w:val="006CE5"/>
          <w:sz w:val="18"/>
          <w:szCs w:val="18"/>
          <w:lang w:eastAsia="fr-FR"/>
        </w:rPr>
        <w:t>,</w:t>
      </w:r>
      <w:r>
        <w:rPr>
          <w:rFonts w:ascii="Segoe UI" w:eastAsia="Times New Roman" w:hAnsi="Segoe UI" w:cs="Segoe UI"/>
          <w:i/>
          <w:iCs/>
          <w:color w:val="006CE5"/>
          <w:sz w:val="18"/>
          <w:szCs w:val="18"/>
          <w:lang w:eastAsia="fr-FR"/>
        </w:rPr>
        <w:t xml:space="preserve"> le Canada renoue avec une position déficitaire</w:t>
      </w:r>
      <w:r w:rsidR="004B4243">
        <w:rPr>
          <w:rFonts w:ascii="Segoe UI" w:eastAsia="Times New Roman" w:hAnsi="Segoe UI" w:cs="Segoe UI"/>
          <w:i/>
          <w:iCs/>
          <w:color w:val="006CE5"/>
          <w:sz w:val="18"/>
          <w:szCs w:val="18"/>
          <w:lang w:eastAsia="fr-FR"/>
        </w:rPr>
        <w:t xml:space="preserve"> (-1,4 Md CAD)</w:t>
      </w:r>
      <w:r>
        <w:rPr>
          <w:rFonts w:ascii="Segoe UI" w:eastAsia="Times New Roman" w:hAnsi="Segoe UI" w:cs="Segoe UI"/>
          <w:i/>
          <w:iCs/>
          <w:color w:val="006CE5"/>
          <w:sz w:val="18"/>
          <w:szCs w:val="18"/>
          <w:lang w:eastAsia="fr-FR"/>
        </w:rPr>
        <w:t>. La normalisation du cours des hydrocarbures</w:t>
      </w:r>
      <w:r w:rsidR="004F42AD">
        <w:rPr>
          <w:rFonts w:ascii="Segoe UI" w:eastAsia="Times New Roman" w:hAnsi="Segoe UI" w:cs="Segoe UI"/>
          <w:i/>
          <w:iCs/>
          <w:color w:val="006CE5"/>
          <w:sz w:val="18"/>
          <w:szCs w:val="18"/>
          <w:lang w:eastAsia="fr-FR"/>
        </w:rPr>
        <w:t>,</w:t>
      </w:r>
      <w:r>
        <w:rPr>
          <w:rFonts w:ascii="Segoe UI" w:eastAsia="Times New Roman" w:hAnsi="Segoe UI" w:cs="Segoe UI"/>
          <w:i/>
          <w:iCs/>
          <w:color w:val="006CE5"/>
          <w:sz w:val="18"/>
          <w:szCs w:val="18"/>
          <w:lang w:eastAsia="fr-FR"/>
        </w:rPr>
        <w:t xml:space="preserve"> </w:t>
      </w:r>
      <w:r w:rsidR="00531B5B">
        <w:rPr>
          <w:rFonts w:ascii="Segoe UI" w:eastAsia="Times New Roman" w:hAnsi="Segoe UI" w:cs="Segoe UI"/>
          <w:i/>
          <w:iCs/>
          <w:color w:val="006CE5"/>
          <w:sz w:val="18"/>
          <w:szCs w:val="18"/>
          <w:lang w:eastAsia="fr-FR"/>
        </w:rPr>
        <w:t xml:space="preserve">démarrée </w:t>
      </w:r>
      <w:r>
        <w:rPr>
          <w:rFonts w:ascii="Segoe UI" w:eastAsia="Times New Roman" w:hAnsi="Segoe UI" w:cs="Segoe UI"/>
          <w:i/>
          <w:iCs/>
          <w:color w:val="006CE5"/>
          <w:sz w:val="18"/>
          <w:szCs w:val="18"/>
          <w:lang w:eastAsia="fr-FR"/>
        </w:rPr>
        <w:t xml:space="preserve">fin 2022 </w:t>
      </w:r>
      <w:r w:rsidR="004F42AD">
        <w:rPr>
          <w:rFonts w:ascii="Segoe UI" w:eastAsia="Times New Roman" w:hAnsi="Segoe UI" w:cs="Segoe UI"/>
          <w:i/>
          <w:iCs/>
          <w:color w:val="006CE5"/>
          <w:sz w:val="18"/>
          <w:szCs w:val="18"/>
          <w:lang w:eastAsia="fr-FR"/>
        </w:rPr>
        <w:t xml:space="preserve">et qui </w:t>
      </w:r>
      <w:r w:rsidR="00531B5B">
        <w:rPr>
          <w:rFonts w:ascii="Segoe UI" w:eastAsia="Times New Roman" w:hAnsi="Segoe UI" w:cs="Segoe UI"/>
          <w:i/>
          <w:iCs/>
          <w:color w:val="006CE5"/>
          <w:sz w:val="18"/>
          <w:szCs w:val="18"/>
          <w:lang w:eastAsia="fr-FR"/>
        </w:rPr>
        <w:t>s’est poursuivie</w:t>
      </w:r>
      <w:r>
        <w:rPr>
          <w:rFonts w:ascii="Segoe UI" w:eastAsia="Times New Roman" w:hAnsi="Segoe UI" w:cs="Segoe UI"/>
          <w:i/>
          <w:iCs/>
          <w:color w:val="006CE5"/>
          <w:sz w:val="18"/>
          <w:szCs w:val="18"/>
          <w:lang w:eastAsia="fr-FR"/>
        </w:rPr>
        <w:t xml:space="preserve"> en 2023</w:t>
      </w:r>
      <w:r w:rsidR="00AD191A">
        <w:rPr>
          <w:rFonts w:ascii="Segoe UI" w:eastAsia="Times New Roman" w:hAnsi="Segoe UI" w:cs="Segoe UI"/>
          <w:i/>
          <w:iCs/>
          <w:color w:val="006CE5"/>
          <w:sz w:val="18"/>
          <w:szCs w:val="18"/>
          <w:lang w:eastAsia="fr-FR"/>
        </w:rPr>
        <w:t>,</w:t>
      </w:r>
      <w:r w:rsidR="004A13A8">
        <w:rPr>
          <w:rFonts w:ascii="Segoe UI" w:eastAsia="Times New Roman" w:hAnsi="Segoe UI" w:cs="Segoe UI"/>
          <w:i/>
          <w:iCs/>
          <w:color w:val="006CE5"/>
          <w:sz w:val="18"/>
          <w:szCs w:val="18"/>
          <w:lang w:eastAsia="fr-FR"/>
        </w:rPr>
        <w:t xml:space="preserve"> </w:t>
      </w:r>
      <w:r w:rsidR="004F42AD">
        <w:rPr>
          <w:rFonts w:ascii="Segoe UI" w:eastAsia="Times New Roman" w:hAnsi="Segoe UI" w:cs="Segoe UI"/>
          <w:i/>
          <w:iCs/>
          <w:color w:val="006CE5"/>
          <w:sz w:val="18"/>
          <w:szCs w:val="18"/>
          <w:lang w:eastAsia="fr-FR"/>
        </w:rPr>
        <w:t>a affecté les</w:t>
      </w:r>
      <w:r w:rsidR="000D1022">
        <w:rPr>
          <w:rFonts w:ascii="Segoe UI" w:eastAsia="Times New Roman" w:hAnsi="Segoe UI" w:cs="Segoe UI"/>
          <w:i/>
          <w:iCs/>
          <w:color w:val="006CE5"/>
          <w:sz w:val="18"/>
          <w:szCs w:val="18"/>
          <w:lang w:eastAsia="fr-FR"/>
        </w:rPr>
        <w:t xml:space="preserve"> exportations canadiennes</w:t>
      </w:r>
      <w:r w:rsidR="00A93CE6">
        <w:rPr>
          <w:rFonts w:ascii="Segoe UI" w:eastAsia="Times New Roman" w:hAnsi="Segoe UI" w:cs="Segoe UI"/>
          <w:i/>
          <w:iCs/>
          <w:color w:val="006CE5"/>
          <w:sz w:val="18"/>
          <w:szCs w:val="18"/>
          <w:lang w:eastAsia="fr-FR"/>
        </w:rPr>
        <w:t xml:space="preserve"> </w:t>
      </w:r>
      <w:r w:rsidR="00D94371">
        <w:rPr>
          <w:rFonts w:ascii="Segoe UI" w:eastAsia="Times New Roman" w:hAnsi="Segoe UI" w:cs="Segoe UI"/>
          <w:i/>
          <w:iCs/>
          <w:color w:val="006CE5"/>
          <w:sz w:val="18"/>
          <w:szCs w:val="18"/>
          <w:lang w:eastAsia="fr-FR"/>
        </w:rPr>
        <w:t>(-1%</w:t>
      </w:r>
      <w:r w:rsidR="00A93CE6">
        <w:rPr>
          <w:rFonts w:ascii="Segoe UI" w:eastAsia="Times New Roman" w:hAnsi="Segoe UI" w:cs="Segoe UI"/>
          <w:i/>
          <w:iCs/>
          <w:color w:val="006CE5"/>
          <w:sz w:val="18"/>
          <w:szCs w:val="18"/>
          <w:lang w:eastAsia="fr-FR"/>
        </w:rPr>
        <w:t>)</w:t>
      </w:r>
      <w:r w:rsidR="004F42AD">
        <w:rPr>
          <w:rFonts w:ascii="Segoe UI" w:eastAsia="Times New Roman" w:hAnsi="Segoe UI" w:cs="Segoe UI"/>
          <w:i/>
          <w:iCs/>
          <w:color w:val="006CE5"/>
          <w:sz w:val="18"/>
          <w:szCs w:val="18"/>
          <w:lang w:eastAsia="fr-FR"/>
        </w:rPr>
        <w:t xml:space="preserve"> alors que les importations, limitées </w:t>
      </w:r>
      <w:r w:rsidR="00484E8F">
        <w:rPr>
          <w:rFonts w:ascii="Segoe UI" w:eastAsia="Times New Roman" w:hAnsi="Segoe UI" w:cs="Segoe UI"/>
          <w:i/>
          <w:iCs/>
          <w:color w:val="006CE5"/>
          <w:sz w:val="18"/>
          <w:szCs w:val="18"/>
          <w:lang w:eastAsia="fr-FR"/>
        </w:rPr>
        <w:t>à partir du second semestre 2023</w:t>
      </w:r>
      <w:r w:rsidR="004F42AD">
        <w:rPr>
          <w:rFonts w:ascii="Segoe UI" w:eastAsia="Times New Roman" w:hAnsi="Segoe UI" w:cs="Segoe UI"/>
          <w:i/>
          <w:iCs/>
          <w:color w:val="006CE5"/>
          <w:sz w:val="18"/>
          <w:szCs w:val="18"/>
          <w:lang w:eastAsia="fr-FR"/>
        </w:rPr>
        <w:t xml:space="preserve"> par le tassement de la demande intérieure,</w:t>
      </w:r>
      <w:r w:rsidR="00006C1D">
        <w:rPr>
          <w:rFonts w:ascii="Segoe UI" w:eastAsia="Times New Roman" w:hAnsi="Segoe UI" w:cs="Segoe UI"/>
          <w:i/>
          <w:iCs/>
          <w:color w:val="006CE5"/>
          <w:sz w:val="18"/>
          <w:szCs w:val="18"/>
          <w:lang w:eastAsia="fr-FR"/>
        </w:rPr>
        <w:t xml:space="preserve"> </w:t>
      </w:r>
      <w:r w:rsidR="004F42AD">
        <w:rPr>
          <w:rFonts w:ascii="Segoe UI" w:eastAsia="Times New Roman" w:hAnsi="Segoe UI" w:cs="Segoe UI"/>
          <w:i/>
          <w:iCs/>
          <w:color w:val="006CE5"/>
          <w:sz w:val="18"/>
          <w:szCs w:val="18"/>
          <w:lang w:eastAsia="fr-FR"/>
        </w:rPr>
        <w:t>n</w:t>
      </w:r>
      <w:r w:rsidR="00FE40F5">
        <w:rPr>
          <w:rFonts w:ascii="Segoe UI" w:eastAsia="Times New Roman" w:hAnsi="Segoe UI" w:cs="Segoe UI"/>
          <w:i/>
          <w:iCs/>
          <w:color w:val="006CE5"/>
          <w:sz w:val="18"/>
          <w:szCs w:val="18"/>
          <w:lang w:eastAsia="fr-FR"/>
        </w:rPr>
        <w:t>e se sont accrues</w:t>
      </w:r>
      <w:r w:rsidR="004F42AD">
        <w:rPr>
          <w:rFonts w:ascii="Segoe UI" w:eastAsia="Times New Roman" w:hAnsi="Segoe UI" w:cs="Segoe UI"/>
          <w:i/>
          <w:iCs/>
          <w:color w:val="006CE5"/>
          <w:sz w:val="18"/>
          <w:szCs w:val="18"/>
          <w:lang w:eastAsia="fr-FR"/>
        </w:rPr>
        <w:t xml:space="preserve"> que de </w:t>
      </w:r>
      <w:r w:rsidR="002769E1">
        <w:rPr>
          <w:rFonts w:ascii="Segoe UI" w:eastAsia="Times New Roman" w:hAnsi="Segoe UI" w:cs="Segoe UI"/>
          <w:i/>
          <w:iCs/>
          <w:color w:val="006CE5"/>
          <w:sz w:val="18"/>
          <w:szCs w:val="18"/>
          <w:lang w:eastAsia="fr-FR"/>
        </w:rPr>
        <w:t>+1%</w:t>
      </w:r>
      <w:r w:rsidR="00A944CC">
        <w:rPr>
          <w:rFonts w:ascii="Segoe UI" w:eastAsia="Times New Roman" w:hAnsi="Segoe UI" w:cs="Segoe UI"/>
          <w:i/>
          <w:iCs/>
          <w:color w:val="006CE5"/>
          <w:sz w:val="18"/>
          <w:szCs w:val="18"/>
          <w:lang w:eastAsia="fr-FR"/>
        </w:rPr>
        <w:t xml:space="preserve">. </w:t>
      </w:r>
      <w:r w:rsidR="004F42AD">
        <w:rPr>
          <w:rFonts w:ascii="Segoe UI" w:eastAsia="Times New Roman" w:hAnsi="Segoe UI" w:cs="Segoe UI"/>
          <w:i/>
          <w:iCs/>
          <w:color w:val="006CE5"/>
          <w:sz w:val="18"/>
          <w:szCs w:val="18"/>
          <w:lang w:eastAsia="fr-FR"/>
        </w:rPr>
        <w:t>Du point de vue sectoriel, on notera l</w:t>
      </w:r>
      <w:r w:rsidR="00A944CC">
        <w:rPr>
          <w:rFonts w:ascii="Segoe UI" w:eastAsia="Times New Roman" w:hAnsi="Segoe UI" w:cs="Segoe UI"/>
          <w:i/>
          <w:iCs/>
          <w:color w:val="006CE5"/>
          <w:sz w:val="18"/>
          <w:szCs w:val="18"/>
          <w:lang w:eastAsia="fr-FR"/>
        </w:rPr>
        <w:t xml:space="preserve">e </w:t>
      </w:r>
      <w:r w:rsidR="004F42AD">
        <w:rPr>
          <w:rFonts w:ascii="Segoe UI" w:eastAsia="Times New Roman" w:hAnsi="Segoe UI" w:cs="Segoe UI"/>
          <w:i/>
          <w:iCs/>
          <w:color w:val="006CE5"/>
          <w:sz w:val="18"/>
          <w:szCs w:val="18"/>
          <w:lang w:eastAsia="fr-FR"/>
        </w:rPr>
        <w:t>rebond</w:t>
      </w:r>
      <w:r w:rsidR="00A944CC">
        <w:rPr>
          <w:rFonts w:ascii="Segoe UI" w:eastAsia="Times New Roman" w:hAnsi="Segoe UI" w:cs="Segoe UI"/>
          <w:i/>
          <w:iCs/>
          <w:color w:val="006CE5"/>
          <w:sz w:val="18"/>
          <w:szCs w:val="18"/>
          <w:lang w:eastAsia="fr-FR"/>
        </w:rPr>
        <w:t xml:space="preserve"> </w:t>
      </w:r>
      <w:r w:rsidR="00B63268">
        <w:rPr>
          <w:rFonts w:ascii="Segoe UI" w:eastAsia="Times New Roman" w:hAnsi="Segoe UI" w:cs="Segoe UI"/>
          <w:i/>
          <w:iCs/>
          <w:color w:val="006CE5"/>
          <w:sz w:val="18"/>
          <w:szCs w:val="18"/>
          <w:lang w:eastAsia="fr-FR"/>
        </w:rPr>
        <w:t>de</w:t>
      </w:r>
      <w:r w:rsidR="004146A0">
        <w:rPr>
          <w:rFonts w:ascii="Segoe UI" w:eastAsia="Times New Roman" w:hAnsi="Segoe UI" w:cs="Segoe UI"/>
          <w:i/>
          <w:iCs/>
          <w:color w:val="006CE5"/>
          <w:sz w:val="18"/>
          <w:szCs w:val="18"/>
          <w:lang w:eastAsia="fr-FR"/>
        </w:rPr>
        <w:t xml:space="preserve">s </w:t>
      </w:r>
      <w:r w:rsidR="00A944CC">
        <w:rPr>
          <w:rFonts w:ascii="Segoe UI" w:eastAsia="Times New Roman" w:hAnsi="Segoe UI" w:cs="Segoe UI"/>
          <w:i/>
          <w:iCs/>
          <w:color w:val="006CE5"/>
          <w:sz w:val="18"/>
          <w:szCs w:val="18"/>
          <w:lang w:eastAsia="fr-FR"/>
        </w:rPr>
        <w:t>industrie</w:t>
      </w:r>
      <w:r w:rsidR="004146A0">
        <w:rPr>
          <w:rFonts w:ascii="Segoe UI" w:eastAsia="Times New Roman" w:hAnsi="Segoe UI" w:cs="Segoe UI"/>
          <w:i/>
          <w:iCs/>
          <w:color w:val="006CE5"/>
          <w:sz w:val="18"/>
          <w:szCs w:val="18"/>
          <w:lang w:eastAsia="fr-FR"/>
        </w:rPr>
        <w:t>s</w:t>
      </w:r>
      <w:r w:rsidR="00A944CC">
        <w:rPr>
          <w:rFonts w:ascii="Segoe UI" w:eastAsia="Times New Roman" w:hAnsi="Segoe UI" w:cs="Segoe UI"/>
          <w:i/>
          <w:iCs/>
          <w:color w:val="006CE5"/>
          <w:sz w:val="18"/>
          <w:szCs w:val="18"/>
          <w:lang w:eastAsia="fr-FR"/>
        </w:rPr>
        <w:t xml:space="preserve"> automobile et aérospatiale</w:t>
      </w:r>
      <w:r w:rsidR="004F42AD">
        <w:rPr>
          <w:rFonts w:ascii="Segoe UI" w:eastAsia="Times New Roman" w:hAnsi="Segoe UI" w:cs="Segoe UI"/>
          <w:i/>
          <w:iCs/>
          <w:color w:val="006CE5"/>
          <w:sz w:val="18"/>
          <w:szCs w:val="18"/>
          <w:lang w:eastAsia="fr-FR"/>
        </w:rPr>
        <w:t>, avec</w:t>
      </w:r>
      <w:r w:rsidR="00A944CC">
        <w:rPr>
          <w:rFonts w:ascii="Segoe UI" w:eastAsia="Times New Roman" w:hAnsi="Segoe UI" w:cs="Segoe UI"/>
          <w:i/>
          <w:iCs/>
          <w:color w:val="006CE5"/>
          <w:sz w:val="18"/>
          <w:szCs w:val="18"/>
          <w:lang w:eastAsia="fr-FR"/>
        </w:rPr>
        <w:t xml:space="preserve"> </w:t>
      </w:r>
      <w:r w:rsidR="004F42AD">
        <w:rPr>
          <w:rFonts w:ascii="Segoe UI" w:eastAsia="Times New Roman" w:hAnsi="Segoe UI" w:cs="Segoe UI"/>
          <w:i/>
          <w:iCs/>
          <w:color w:val="006CE5"/>
          <w:sz w:val="18"/>
          <w:szCs w:val="18"/>
          <w:lang w:eastAsia="fr-FR"/>
        </w:rPr>
        <w:t>le retour à des</w:t>
      </w:r>
      <w:r w:rsidR="00BE5DF4">
        <w:rPr>
          <w:rFonts w:ascii="Segoe UI" w:eastAsia="Times New Roman" w:hAnsi="Segoe UI" w:cs="Segoe UI"/>
          <w:i/>
          <w:iCs/>
          <w:color w:val="006CE5"/>
          <w:sz w:val="18"/>
          <w:szCs w:val="18"/>
          <w:lang w:eastAsia="fr-FR"/>
        </w:rPr>
        <w:t xml:space="preserve"> niveaux </w:t>
      </w:r>
      <w:r w:rsidR="004B4243">
        <w:rPr>
          <w:rFonts w:ascii="Segoe UI" w:eastAsia="Times New Roman" w:hAnsi="Segoe UI" w:cs="Segoe UI"/>
          <w:i/>
          <w:iCs/>
          <w:color w:val="006CE5"/>
          <w:sz w:val="18"/>
          <w:szCs w:val="18"/>
          <w:lang w:eastAsia="fr-FR"/>
        </w:rPr>
        <w:t>prépandémiques</w:t>
      </w:r>
      <w:r w:rsidR="004F42AD">
        <w:rPr>
          <w:rFonts w:ascii="Segoe UI" w:eastAsia="Times New Roman" w:hAnsi="Segoe UI" w:cs="Segoe UI"/>
          <w:i/>
          <w:iCs/>
          <w:color w:val="006CE5"/>
          <w:sz w:val="18"/>
          <w:szCs w:val="18"/>
          <w:lang w:eastAsia="fr-FR"/>
        </w:rPr>
        <w:t>. Au niveau agrégé, l</w:t>
      </w:r>
      <w:r w:rsidR="0001507F">
        <w:rPr>
          <w:rFonts w:ascii="Segoe UI" w:eastAsia="Times New Roman" w:hAnsi="Segoe UI" w:cs="Segoe UI"/>
          <w:i/>
          <w:iCs/>
          <w:color w:val="006CE5"/>
          <w:sz w:val="18"/>
          <w:szCs w:val="18"/>
          <w:lang w:eastAsia="fr-FR"/>
        </w:rPr>
        <w:t xml:space="preserve">a dépendance canadienne </w:t>
      </w:r>
      <w:r w:rsidR="004F42AD">
        <w:rPr>
          <w:rFonts w:ascii="Segoe UI" w:eastAsia="Times New Roman" w:hAnsi="Segoe UI" w:cs="Segoe UI"/>
          <w:i/>
          <w:iCs/>
          <w:color w:val="006CE5"/>
          <w:sz w:val="18"/>
          <w:szCs w:val="18"/>
          <w:lang w:eastAsia="fr-FR"/>
        </w:rPr>
        <w:t>à l’égard</w:t>
      </w:r>
      <w:r w:rsidR="002867D3">
        <w:rPr>
          <w:rFonts w:ascii="Segoe UI" w:eastAsia="Times New Roman" w:hAnsi="Segoe UI" w:cs="Segoe UI"/>
          <w:i/>
          <w:iCs/>
          <w:color w:val="006CE5"/>
          <w:sz w:val="18"/>
          <w:szCs w:val="18"/>
          <w:lang w:eastAsia="fr-FR"/>
        </w:rPr>
        <w:t xml:space="preserve"> de</w:t>
      </w:r>
      <w:r w:rsidR="004F391A">
        <w:rPr>
          <w:rFonts w:ascii="Segoe UI" w:eastAsia="Times New Roman" w:hAnsi="Segoe UI" w:cs="Segoe UI"/>
          <w:i/>
          <w:iCs/>
          <w:color w:val="006CE5"/>
          <w:sz w:val="18"/>
          <w:szCs w:val="18"/>
          <w:lang w:eastAsia="fr-FR"/>
        </w:rPr>
        <w:t xml:space="preserve">s Etats-Unis </w:t>
      </w:r>
      <w:r w:rsidR="004F42AD">
        <w:rPr>
          <w:rFonts w:ascii="Segoe UI" w:eastAsia="Times New Roman" w:hAnsi="Segoe UI" w:cs="Segoe UI"/>
          <w:i/>
          <w:iCs/>
          <w:color w:val="006CE5"/>
          <w:sz w:val="18"/>
          <w:szCs w:val="18"/>
          <w:lang w:eastAsia="fr-FR"/>
        </w:rPr>
        <w:t>se renforce</w:t>
      </w:r>
      <w:r w:rsidR="0001507F">
        <w:rPr>
          <w:rFonts w:ascii="Segoe UI" w:eastAsia="Times New Roman" w:hAnsi="Segoe UI" w:cs="Segoe UI"/>
          <w:i/>
          <w:iCs/>
          <w:color w:val="006CE5"/>
          <w:sz w:val="18"/>
          <w:szCs w:val="18"/>
          <w:lang w:eastAsia="fr-FR"/>
        </w:rPr>
        <w:t xml:space="preserve"> : 77% (+1,5 point) des exportations y sont dirigées </w:t>
      </w:r>
      <w:r w:rsidR="004F391A">
        <w:rPr>
          <w:rFonts w:ascii="Segoe UI" w:eastAsia="Times New Roman" w:hAnsi="Segoe UI" w:cs="Segoe UI"/>
          <w:i/>
          <w:iCs/>
          <w:color w:val="006CE5"/>
          <w:sz w:val="18"/>
          <w:szCs w:val="18"/>
          <w:lang w:eastAsia="fr-FR"/>
        </w:rPr>
        <w:t xml:space="preserve">et </w:t>
      </w:r>
      <w:r w:rsidR="0001507F">
        <w:rPr>
          <w:rFonts w:ascii="Segoe UI" w:eastAsia="Times New Roman" w:hAnsi="Segoe UI" w:cs="Segoe UI"/>
          <w:i/>
          <w:iCs/>
          <w:color w:val="006CE5"/>
          <w:sz w:val="18"/>
          <w:szCs w:val="18"/>
          <w:lang w:eastAsia="fr-FR"/>
        </w:rPr>
        <w:t>6</w:t>
      </w:r>
      <w:r w:rsidR="00A64547">
        <w:rPr>
          <w:rFonts w:ascii="Segoe UI" w:eastAsia="Times New Roman" w:hAnsi="Segoe UI" w:cs="Segoe UI"/>
          <w:i/>
          <w:iCs/>
          <w:color w:val="006CE5"/>
          <w:sz w:val="18"/>
          <w:szCs w:val="18"/>
          <w:lang w:eastAsia="fr-FR"/>
        </w:rPr>
        <w:t>3</w:t>
      </w:r>
      <w:r w:rsidR="0001507F">
        <w:rPr>
          <w:rFonts w:ascii="Segoe UI" w:eastAsia="Times New Roman" w:hAnsi="Segoe UI" w:cs="Segoe UI"/>
          <w:i/>
          <w:iCs/>
          <w:color w:val="006CE5"/>
          <w:sz w:val="18"/>
          <w:szCs w:val="18"/>
          <w:lang w:eastAsia="fr-FR"/>
        </w:rPr>
        <w:t>% (+</w:t>
      </w:r>
      <w:r w:rsidR="00A64547">
        <w:rPr>
          <w:rFonts w:ascii="Segoe UI" w:eastAsia="Times New Roman" w:hAnsi="Segoe UI" w:cs="Segoe UI"/>
          <w:i/>
          <w:iCs/>
          <w:color w:val="006CE5"/>
          <w:sz w:val="18"/>
          <w:szCs w:val="18"/>
          <w:lang w:eastAsia="fr-FR"/>
        </w:rPr>
        <w:t>1</w:t>
      </w:r>
      <w:r w:rsidR="0001507F">
        <w:rPr>
          <w:rFonts w:ascii="Segoe UI" w:eastAsia="Times New Roman" w:hAnsi="Segoe UI" w:cs="Segoe UI"/>
          <w:i/>
          <w:iCs/>
          <w:color w:val="006CE5"/>
          <w:sz w:val="18"/>
          <w:szCs w:val="18"/>
          <w:lang w:eastAsia="fr-FR"/>
        </w:rPr>
        <w:t xml:space="preserve"> point) pour les importations</w:t>
      </w:r>
      <w:r w:rsidR="004F391A">
        <w:rPr>
          <w:rFonts w:ascii="Segoe UI" w:eastAsia="Times New Roman" w:hAnsi="Segoe UI" w:cs="Segoe UI"/>
          <w:i/>
          <w:iCs/>
          <w:color w:val="006CE5"/>
          <w:sz w:val="18"/>
          <w:szCs w:val="18"/>
          <w:lang w:eastAsia="fr-FR"/>
        </w:rPr>
        <w:t xml:space="preserve"> en proviennent</w:t>
      </w:r>
      <w:r w:rsidR="00BE09A5">
        <w:rPr>
          <w:rFonts w:ascii="Segoe UI" w:eastAsia="Times New Roman" w:hAnsi="Segoe UI" w:cs="Segoe UI"/>
          <w:i/>
          <w:iCs/>
          <w:color w:val="006CE5"/>
          <w:sz w:val="18"/>
          <w:szCs w:val="18"/>
          <w:lang w:eastAsia="fr-FR"/>
        </w:rPr>
        <w:t xml:space="preserve">. </w:t>
      </w:r>
    </w:p>
    <w:tbl>
      <w:tblPr>
        <w:tblStyle w:val="Grilledutableau"/>
        <w:tblW w:w="10757" w:type="dxa"/>
        <w:tblBorders>
          <w:top w:val="single" w:sz="4" w:space="0" w:color="006CE5"/>
          <w:left w:val="single" w:sz="4" w:space="0" w:color="006CE5"/>
          <w:bottom w:val="single" w:sz="4" w:space="0" w:color="006CE5"/>
          <w:right w:val="single" w:sz="4" w:space="0" w:color="006CE5"/>
          <w:insideH w:val="single" w:sz="4" w:space="0" w:color="006CE5"/>
          <w:insideV w:val="single" w:sz="4" w:space="0" w:color="006CE5"/>
        </w:tblBorders>
        <w:tblLook w:val="04A0" w:firstRow="1" w:lastRow="0" w:firstColumn="1" w:lastColumn="0" w:noHBand="0" w:noVBand="1"/>
      </w:tblPr>
      <w:tblGrid>
        <w:gridCol w:w="10757"/>
      </w:tblGrid>
      <w:tr w:rsidR="009334CD" w:rsidRPr="00D36BFB" w14:paraId="0A713628" w14:textId="77777777" w:rsidTr="00F778C2">
        <w:trPr>
          <w:trHeight w:val="414"/>
        </w:trPr>
        <w:tc>
          <w:tcPr>
            <w:tcW w:w="10757" w:type="dxa"/>
            <w:shd w:val="clear" w:color="auto" w:fill="006CE5"/>
            <w:vAlign w:val="center"/>
          </w:tcPr>
          <w:p w14:paraId="31DD1B68" w14:textId="390041E0" w:rsidR="009334CD" w:rsidRPr="00D36BFB" w:rsidRDefault="004F391A" w:rsidP="007A143B">
            <w:pPr>
              <w:ind w:right="-108"/>
              <w:jc w:val="both"/>
              <w:textAlignment w:val="baseline"/>
              <w:rPr>
                <w:rFonts w:ascii="Segoe UI" w:eastAsia="Times New Roman" w:hAnsi="Segoe UI" w:cs="Segoe UI"/>
                <w:b/>
                <w:bCs/>
                <w:color w:val="FFFFFF" w:themeColor="background1"/>
                <w:sz w:val="20"/>
                <w:szCs w:val="20"/>
                <w:lang w:eastAsia="fr-FR"/>
              </w:rPr>
            </w:pPr>
            <w:r>
              <w:rPr>
                <w:rFonts w:ascii="Segoe UI" w:eastAsia="Times New Roman" w:hAnsi="Segoe UI" w:cs="Segoe UI"/>
                <w:b/>
                <w:bCs/>
                <w:color w:val="FFFFFF" w:themeColor="background1"/>
                <w:sz w:val="20"/>
                <w:szCs w:val="20"/>
                <w:lang w:eastAsia="fr-FR"/>
              </w:rPr>
              <w:t>A</w:t>
            </w:r>
            <w:r w:rsidR="00D27320">
              <w:rPr>
                <w:rFonts w:ascii="Segoe UI" w:eastAsia="Times New Roman" w:hAnsi="Segoe UI" w:cs="Segoe UI"/>
                <w:b/>
                <w:bCs/>
                <w:color w:val="FFFFFF" w:themeColor="background1"/>
                <w:sz w:val="20"/>
                <w:szCs w:val="20"/>
                <w:lang w:eastAsia="fr-FR"/>
              </w:rPr>
              <w:t>près une année 2022 record</w:t>
            </w:r>
            <w:r>
              <w:rPr>
                <w:rFonts w:ascii="Segoe UI" w:eastAsia="Times New Roman" w:hAnsi="Segoe UI" w:cs="Segoe UI"/>
                <w:b/>
                <w:bCs/>
                <w:color w:val="FFFFFF" w:themeColor="background1"/>
                <w:sz w:val="20"/>
                <w:szCs w:val="20"/>
                <w:lang w:eastAsia="fr-FR"/>
              </w:rPr>
              <w:t>, les exportations ont stagné en 2023</w:t>
            </w:r>
            <w:r w:rsidR="001B73C9">
              <w:rPr>
                <w:rFonts w:ascii="Segoe UI" w:eastAsia="Times New Roman" w:hAnsi="Segoe UI" w:cs="Segoe UI"/>
                <w:b/>
                <w:bCs/>
                <w:color w:val="FFFFFF" w:themeColor="background1"/>
                <w:sz w:val="20"/>
                <w:szCs w:val="20"/>
                <w:lang w:eastAsia="fr-FR"/>
              </w:rPr>
              <w:t xml:space="preserve">, </w:t>
            </w:r>
            <w:r w:rsidR="00D27320">
              <w:rPr>
                <w:rFonts w:ascii="Segoe UI" w:eastAsia="Times New Roman" w:hAnsi="Segoe UI" w:cs="Segoe UI"/>
                <w:b/>
                <w:bCs/>
                <w:color w:val="FFFFFF" w:themeColor="background1"/>
                <w:sz w:val="20"/>
                <w:szCs w:val="20"/>
                <w:lang w:eastAsia="fr-FR"/>
              </w:rPr>
              <w:t xml:space="preserve">en raison </w:t>
            </w:r>
            <w:r w:rsidR="001B73C9">
              <w:rPr>
                <w:rFonts w:ascii="Segoe UI" w:eastAsia="Times New Roman" w:hAnsi="Segoe UI" w:cs="Segoe UI"/>
                <w:b/>
                <w:bCs/>
                <w:color w:val="FFFFFF" w:themeColor="background1"/>
                <w:sz w:val="20"/>
                <w:szCs w:val="20"/>
                <w:lang w:eastAsia="fr-FR"/>
              </w:rPr>
              <w:t xml:space="preserve">en particulier </w:t>
            </w:r>
            <w:r w:rsidR="00D27320">
              <w:rPr>
                <w:rFonts w:ascii="Segoe UI" w:eastAsia="Times New Roman" w:hAnsi="Segoe UI" w:cs="Segoe UI"/>
                <w:b/>
                <w:bCs/>
                <w:color w:val="FFFFFF" w:themeColor="background1"/>
                <w:sz w:val="20"/>
                <w:szCs w:val="20"/>
                <w:lang w:eastAsia="fr-FR"/>
              </w:rPr>
              <w:t xml:space="preserve">du recul </w:t>
            </w:r>
            <w:r w:rsidR="00E11317">
              <w:rPr>
                <w:rFonts w:ascii="Segoe UI" w:eastAsia="Times New Roman" w:hAnsi="Segoe UI" w:cs="Segoe UI"/>
                <w:b/>
                <w:bCs/>
                <w:color w:val="FFFFFF" w:themeColor="background1"/>
                <w:sz w:val="20"/>
                <w:szCs w:val="20"/>
                <w:lang w:eastAsia="fr-FR"/>
              </w:rPr>
              <w:t>des industries extractives</w:t>
            </w:r>
            <w:r w:rsidR="001B73C9">
              <w:rPr>
                <w:rFonts w:ascii="Segoe UI" w:eastAsia="Times New Roman" w:hAnsi="Segoe UI" w:cs="Segoe UI"/>
                <w:b/>
                <w:bCs/>
                <w:color w:val="FFFFFF" w:themeColor="background1"/>
                <w:sz w:val="20"/>
                <w:szCs w:val="20"/>
                <w:lang w:eastAsia="fr-FR"/>
              </w:rPr>
              <w:t xml:space="preserve"> que n’a que partiellement</w:t>
            </w:r>
            <w:r w:rsidR="00D27320">
              <w:rPr>
                <w:rFonts w:ascii="Segoe UI" w:eastAsia="Times New Roman" w:hAnsi="Segoe UI" w:cs="Segoe UI"/>
                <w:b/>
                <w:bCs/>
                <w:color w:val="FFFFFF" w:themeColor="background1"/>
                <w:sz w:val="20"/>
                <w:szCs w:val="20"/>
                <w:lang w:eastAsia="fr-FR"/>
              </w:rPr>
              <w:t xml:space="preserve"> compensé </w:t>
            </w:r>
            <w:r w:rsidR="001B73C9">
              <w:rPr>
                <w:rFonts w:ascii="Segoe UI" w:eastAsia="Times New Roman" w:hAnsi="Segoe UI" w:cs="Segoe UI"/>
                <w:b/>
                <w:bCs/>
                <w:color w:val="FFFFFF" w:themeColor="background1"/>
                <w:sz w:val="20"/>
                <w:szCs w:val="20"/>
                <w:lang w:eastAsia="fr-FR"/>
              </w:rPr>
              <w:t xml:space="preserve">la bonne </w:t>
            </w:r>
            <w:r w:rsidR="00EE0D20">
              <w:rPr>
                <w:rFonts w:ascii="Segoe UI" w:eastAsia="Times New Roman" w:hAnsi="Segoe UI" w:cs="Segoe UI"/>
                <w:b/>
                <w:bCs/>
                <w:color w:val="FFFFFF" w:themeColor="background1"/>
                <w:sz w:val="20"/>
                <w:szCs w:val="20"/>
                <w:lang w:eastAsia="fr-FR"/>
              </w:rPr>
              <w:t xml:space="preserve">performance </w:t>
            </w:r>
            <w:r w:rsidR="00F771DD">
              <w:rPr>
                <w:rFonts w:ascii="Segoe UI" w:eastAsia="Times New Roman" w:hAnsi="Segoe UI" w:cs="Segoe UI"/>
                <w:b/>
                <w:bCs/>
                <w:color w:val="FFFFFF" w:themeColor="background1"/>
                <w:sz w:val="20"/>
                <w:szCs w:val="20"/>
                <w:lang w:eastAsia="fr-FR"/>
              </w:rPr>
              <w:t>des autres</w:t>
            </w:r>
            <w:r w:rsidR="001B73C9">
              <w:rPr>
                <w:rFonts w:ascii="Segoe UI" w:eastAsia="Times New Roman" w:hAnsi="Segoe UI" w:cs="Segoe UI"/>
                <w:b/>
                <w:bCs/>
                <w:color w:val="FFFFFF" w:themeColor="background1"/>
                <w:sz w:val="20"/>
                <w:szCs w:val="20"/>
                <w:lang w:eastAsia="fr-FR"/>
              </w:rPr>
              <w:t xml:space="preserve"> </w:t>
            </w:r>
            <w:r w:rsidR="00D27320">
              <w:rPr>
                <w:rFonts w:ascii="Segoe UI" w:eastAsia="Times New Roman" w:hAnsi="Segoe UI" w:cs="Segoe UI"/>
                <w:b/>
                <w:bCs/>
                <w:color w:val="FFFFFF" w:themeColor="background1"/>
                <w:sz w:val="20"/>
                <w:szCs w:val="20"/>
                <w:lang w:eastAsia="fr-FR"/>
              </w:rPr>
              <w:t xml:space="preserve">secteurs </w:t>
            </w:r>
          </w:p>
        </w:tc>
      </w:tr>
    </w:tbl>
    <w:p w14:paraId="2DFD475E" w14:textId="421DB07E" w:rsidR="00061736" w:rsidRPr="008D0260" w:rsidRDefault="002B5933" w:rsidP="00061736">
      <w:pPr>
        <w:spacing w:before="60" w:after="0"/>
        <w:jc w:val="both"/>
        <w:rPr>
          <w:rFonts w:ascii="Segoe UI" w:hAnsi="Segoe UI" w:cs="Segoe UI"/>
          <w:sz w:val="18"/>
          <w:szCs w:val="18"/>
        </w:rPr>
      </w:pPr>
      <w:r>
        <w:rPr>
          <w:rFonts w:ascii="Segoe UI" w:hAnsi="Segoe UI" w:cs="Segoe UI"/>
          <w:b/>
          <w:bCs/>
          <w:sz w:val="18"/>
          <w:szCs w:val="18"/>
        </w:rPr>
        <w:t>La dynamique positive des exportations canadiennes</w:t>
      </w:r>
      <w:r w:rsidR="009841E4">
        <w:rPr>
          <w:rStyle w:val="Appelnotedebasdep"/>
          <w:rFonts w:ascii="Segoe UI" w:hAnsi="Segoe UI" w:cs="Segoe UI"/>
          <w:b/>
          <w:bCs/>
          <w:sz w:val="18"/>
          <w:szCs w:val="18"/>
        </w:rPr>
        <w:footnoteReference w:id="1"/>
      </w:r>
      <w:r>
        <w:rPr>
          <w:rFonts w:ascii="Segoe UI" w:hAnsi="Segoe UI" w:cs="Segoe UI"/>
          <w:b/>
          <w:bCs/>
          <w:sz w:val="18"/>
          <w:szCs w:val="18"/>
        </w:rPr>
        <w:t xml:space="preserve"> observée depuis </w:t>
      </w:r>
      <w:r w:rsidR="00892E2E">
        <w:rPr>
          <w:rFonts w:ascii="Segoe UI" w:hAnsi="Segoe UI" w:cs="Segoe UI"/>
          <w:b/>
          <w:bCs/>
          <w:sz w:val="18"/>
          <w:szCs w:val="18"/>
        </w:rPr>
        <w:t>2021 a pris fin en 2023</w:t>
      </w:r>
      <w:r w:rsidR="009A606F">
        <w:rPr>
          <w:rFonts w:ascii="Segoe UI" w:hAnsi="Segoe UI" w:cs="Segoe UI"/>
          <w:b/>
          <w:bCs/>
          <w:sz w:val="18"/>
          <w:szCs w:val="18"/>
        </w:rPr>
        <w:t xml:space="preserve"> (-1%)</w:t>
      </w:r>
      <w:r w:rsidR="00892E2E">
        <w:rPr>
          <w:rFonts w:ascii="Segoe UI" w:hAnsi="Segoe UI" w:cs="Segoe UI"/>
          <w:b/>
          <w:bCs/>
          <w:sz w:val="18"/>
          <w:szCs w:val="18"/>
        </w:rPr>
        <w:t xml:space="preserve">. </w:t>
      </w:r>
      <w:r w:rsidR="006748D7">
        <w:rPr>
          <w:rFonts w:ascii="Segoe UI" w:hAnsi="Segoe UI" w:cs="Segoe UI"/>
          <w:sz w:val="18"/>
          <w:szCs w:val="18"/>
        </w:rPr>
        <w:t xml:space="preserve">Après deux années où les exportations </w:t>
      </w:r>
      <w:r w:rsidR="00935A22">
        <w:rPr>
          <w:rFonts w:ascii="Segoe UI" w:hAnsi="Segoe UI" w:cs="Segoe UI"/>
          <w:sz w:val="18"/>
          <w:szCs w:val="18"/>
        </w:rPr>
        <w:t xml:space="preserve">de biens </w:t>
      </w:r>
      <w:r w:rsidR="006748D7">
        <w:rPr>
          <w:rFonts w:ascii="Segoe UI" w:hAnsi="Segoe UI" w:cs="Segoe UI"/>
          <w:sz w:val="18"/>
          <w:szCs w:val="18"/>
        </w:rPr>
        <w:t xml:space="preserve">ont progressé de 22% </w:t>
      </w:r>
      <w:r w:rsidR="00951D05">
        <w:rPr>
          <w:rFonts w:ascii="Segoe UI" w:hAnsi="Segoe UI" w:cs="Segoe UI"/>
          <w:sz w:val="18"/>
          <w:szCs w:val="18"/>
        </w:rPr>
        <w:t>chaque année</w:t>
      </w:r>
      <w:r w:rsidR="00B260BE">
        <w:rPr>
          <w:rFonts w:ascii="Segoe UI" w:hAnsi="Segoe UI" w:cs="Segoe UI"/>
          <w:sz w:val="18"/>
          <w:szCs w:val="18"/>
        </w:rPr>
        <w:t xml:space="preserve">, elles </w:t>
      </w:r>
      <w:r w:rsidR="004F391A">
        <w:rPr>
          <w:rFonts w:ascii="Segoe UI" w:hAnsi="Segoe UI" w:cs="Segoe UI"/>
          <w:sz w:val="18"/>
          <w:szCs w:val="18"/>
        </w:rPr>
        <w:t xml:space="preserve">ont reculé </w:t>
      </w:r>
      <w:r w:rsidR="000F00D8">
        <w:rPr>
          <w:rFonts w:ascii="Segoe UI" w:hAnsi="Segoe UI" w:cs="Segoe UI"/>
          <w:sz w:val="18"/>
          <w:szCs w:val="18"/>
        </w:rPr>
        <w:t>de 1% en 2023</w:t>
      </w:r>
      <w:r w:rsidR="001D0A02">
        <w:rPr>
          <w:rFonts w:ascii="Segoe UI" w:hAnsi="Segoe UI" w:cs="Segoe UI"/>
          <w:sz w:val="18"/>
          <w:szCs w:val="18"/>
        </w:rPr>
        <w:t xml:space="preserve">, pour atteindre 768,6 Md CAD, soit </w:t>
      </w:r>
      <w:r w:rsidR="001F7823" w:rsidRPr="001F7823">
        <w:rPr>
          <w:rFonts w:ascii="Segoe UI" w:hAnsi="Segoe UI" w:cs="Segoe UI"/>
          <w:sz w:val="18"/>
          <w:szCs w:val="18"/>
        </w:rPr>
        <w:t>530</w:t>
      </w:r>
      <w:r w:rsidR="001D0A02" w:rsidRPr="001F7823">
        <w:rPr>
          <w:rFonts w:ascii="Segoe UI" w:hAnsi="Segoe UI" w:cs="Segoe UI"/>
          <w:sz w:val="18"/>
          <w:szCs w:val="18"/>
        </w:rPr>
        <w:t xml:space="preserve"> Md€</w:t>
      </w:r>
      <w:r w:rsidR="000F00D8" w:rsidRPr="001F7823">
        <w:rPr>
          <w:rFonts w:ascii="Segoe UI" w:hAnsi="Segoe UI" w:cs="Segoe UI"/>
          <w:sz w:val="18"/>
          <w:szCs w:val="18"/>
        </w:rPr>
        <w:t xml:space="preserve">. </w:t>
      </w:r>
      <w:r w:rsidR="00D96E94" w:rsidRPr="001F7823">
        <w:rPr>
          <w:rFonts w:ascii="Segoe UI" w:hAnsi="Segoe UI" w:cs="Segoe UI"/>
          <w:sz w:val="18"/>
          <w:szCs w:val="18"/>
        </w:rPr>
        <w:t>2023 reste</w:t>
      </w:r>
      <w:r w:rsidR="004F391A">
        <w:rPr>
          <w:rFonts w:ascii="Segoe UI" w:hAnsi="Segoe UI" w:cs="Segoe UI"/>
          <w:sz w:val="18"/>
          <w:szCs w:val="18"/>
        </w:rPr>
        <w:t xml:space="preserve"> tout</w:t>
      </w:r>
      <w:r w:rsidR="001B73C9">
        <w:rPr>
          <w:rFonts w:ascii="Segoe UI" w:hAnsi="Segoe UI" w:cs="Segoe UI"/>
          <w:sz w:val="18"/>
          <w:szCs w:val="18"/>
        </w:rPr>
        <w:t xml:space="preserve"> de même</w:t>
      </w:r>
      <w:r w:rsidR="00D96E94">
        <w:rPr>
          <w:rFonts w:ascii="Segoe UI" w:hAnsi="Segoe UI" w:cs="Segoe UI"/>
          <w:sz w:val="18"/>
          <w:szCs w:val="18"/>
        </w:rPr>
        <w:t xml:space="preserve"> la deuxième meilleure année </w:t>
      </w:r>
      <w:r w:rsidR="006F3BC6">
        <w:rPr>
          <w:rFonts w:ascii="Segoe UI" w:hAnsi="Segoe UI" w:cs="Segoe UI"/>
          <w:sz w:val="18"/>
          <w:szCs w:val="18"/>
        </w:rPr>
        <w:t xml:space="preserve">pour le commerce extérieur canadien </w:t>
      </w:r>
      <w:r w:rsidR="00AA3C5D">
        <w:rPr>
          <w:rFonts w:ascii="Segoe UI" w:hAnsi="Segoe UI" w:cs="Segoe UI"/>
          <w:sz w:val="18"/>
          <w:szCs w:val="18"/>
        </w:rPr>
        <w:t xml:space="preserve">après 2022. </w:t>
      </w:r>
      <w:r w:rsidR="00CD7E2C">
        <w:rPr>
          <w:rFonts w:ascii="Segoe UI" w:hAnsi="Segoe UI" w:cs="Segoe UI"/>
          <w:sz w:val="18"/>
          <w:szCs w:val="18"/>
        </w:rPr>
        <w:t xml:space="preserve">Les </w:t>
      </w:r>
      <w:r w:rsidR="00CD7E2C" w:rsidRPr="00CD7E2C">
        <w:rPr>
          <w:rFonts w:ascii="Segoe UI" w:hAnsi="Segoe UI" w:cs="Segoe UI"/>
          <w:sz w:val="18"/>
          <w:szCs w:val="18"/>
          <w:u w:val="single"/>
        </w:rPr>
        <w:t>Etats-Unis</w:t>
      </w:r>
      <w:r w:rsidR="00CD7E2C">
        <w:rPr>
          <w:rFonts w:ascii="Segoe UI" w:hAnsi="Segoe UI" w:cs="Segoe UI"/>
          <w:sz w:val="18"/>
          <w:szCs w:val="18"/>
        </w:rPr>
        <w:t xml:space="preserve">, de loin </w:t>
      </w:r>
      <w:r w:rsidR="001B73C9">
        <w:rPr>
          <w:rFonts w:ascii="Segoe UI" w:hAnsi="Segoe UI" w:cs="Segoe UI"/>
          <w:sz w:val="18"/>
          <w:szCs w:val="18"/>
        </w:rPr>
        <w:t xml:space="preserve">le </w:t>
      </w:r>
      <w:r w:rsidR="00CD7E2C">
        <w:rPr>
          <w:rFonts w:ascii="Segoe UI" w:hAnsi="Segoe UI" w:cs="Segoe UI"/>
          <w:sz w:val="18"/>
          <w:szCs w:val="18"/>
        </w:rPr>
        <w:t>premier débouché du Canada (</w:t>
      </w:r>
      <w:r w:rsidR="001D0A02">
        <w:rPr>
          <w:rFonts w:ascii="Segoe UI" w:hAnsi="Segoe UI" w:cs="Segoe UI"/>
          <w:sz w:val="18"/>
          <w:szCs w:val="18"/>
        </w:rPr>
        <w:t xml:space="preserve">593 Md CAD/409 Md€, soit </w:t>
      </w:r>
      <w:r w:rsidR="00CD7E2C">
        <w:rPr>
          <w:rFonts w:ascii="Segoe UI" w:hAnsi="Segoe UI" w:cs="Segoe UI"/>
          <w:sz w:val="18"/>
          <w:szCs w:val="18"/>
        </w:rPr>
        <w:t>77%</w:t>
      </w:r>
      <w:r w:rsidR="001D0A02">
        <w:rPr>
          <w:rFonts w:ascii="Segoe UI" w:hAnsi="Segoe UI" w:cs="Segoe UI"/>
          <w:sz w:val="18"/>
          <w:szCs w:val="18"/>
        </w:rPr>
        <w:t xml:space="preserve"> des exportations canadiennes</w:t>
      </w:r>
      <w:r w:rsidR="003218C5">
        <w:rPr>
          <w:rFonts w:ascii="Segoe UI" w:hAnsi="Segoe UI" w:cs="Segoe UI"/>
          <w:sz w:val="18"/>
          <w:szCs w:val="18"/>
        </w:rPr>
        <w:t> ; +1</w:t>
      </w:r>
      <w:r w:rsidR="00D0307F">
        <w:rPr>
          <w:rFonts w:ascii="Segoe UI" w:hAnsi="Segoe UI" w:cs="Segoe UI"/>
          <w:sz w:val="18"/>
          <w:szCs w:val="18"/>
        </w:rPr>
        <w:t>,5</w:t>
      </w:r>
      <w:r w:rsidR="003218C5">
        <w:rPr>
          <w:rFonts w:ascii="Segoe UI" w:hAnsi="Segoe UI" w:cs="Segoe UI"/>
          <w:sz w:val="18"/>
          <w:szCs w:val="18"/>
        </w:rPr>
        <w:t xml:space="preserve"> point sur un an</w:t>
      </w:r>
      <w:r w:rsidR="00CD7E2C">
        <w:rPr>
          <w:rFonts w:ascii="Segoe UI" w:hAnsi="Segoe UI" w:cs="Segoe UI"/>
          <w:sz w:val="18"/>
          <w:szCs w:val="18"/>
        </w:rPr>
        <w:t>)</w:t>
      </w:r>
      <w:r w:rsidR="001B73C9">
        <w:rPr>
          <w:rFonts w:ascii="Segoe UI" w:hAnsi="Segoe UI" w:cs="Segoe UI"/>
          <w:sz w:val="18"/>
          <w:szCs w:val="18"/>
        </w:rPr>
        <w:t>,</w:t>
      </w:r>
      <w:r w:rsidR="00CD7E2C">
        <w:rPr>
          <w:rFonts w:ascii="Segoe UI" w:hAnsi="Segoe UI" w:cs="Segoe UI"/>
          <w:sz w:val="18"/>
          <w:szCs w:val="18"/>
        </w:rPr>
        <w:t xml:space="preserve"> </w:t>
      </w:r>
      <w:r w:rsidR="009D6B8C">
        <w:rPr>
          <w:rFonts w:ascii="Segoe UI" w:hAnsi="Segoe UI" w:cs="Segoe UI"/>
          <w:sz w:val="18"/>
          <w:szCs w:val="18"/>
        </w:rPr>
        <w:t>explique</w:t>
      </w:r>
      <w:r w:rsidR="00EC05F0">
        <w:rPr>
          <w:rFonts w:ascii="Segoe UI" w:hAnsi="Segoe UI" w:cs="Segoe UI"/>
          <w:sz w:val="18"/>
          <w:szCs w:val="18"/>
        </w:rPr>
        <w:t>nt</w:t>
      </w:r>
      <w:r w:rsidR="009D6B8C">
        <w:rPr>
          <w:rFonts w:ascii="Segoe UI" w:hAnsi="Segoe UI" w:cs="Segoe UI"/>
          <w:sz w:val="18"/>
          <w:szCs w:val="18"/>
        </w:rPr>
        <w:t xml:space="preserve"> </w:t>
      </w:r>
      <w:r w:rsidR="0016257A">
        <w:rPr>
          <w:rFonts w:ascii="Segoe UI" w:hAnsi="Segoe UI" w:cs="Segoe UI"/>
          <w:sz w:val="18"/>
          <w:szCs w:val="18"/>
        </w:rPr>
        <w:t>en grande partie ce recul</w:t>
      </w:r>
      <w:r w:rsidR="009D6B8C">
        <w:rPr>
          <w:rFonts w:ascii="Segoe UI" w:hAnsi="Segoe UI" w:cs="Segoe UI"/>
          <w:sz w:val="18"/>
          <w:szCs w:val="18"/>
        </w:rPr>
        <w:t xml:space="preserve"> : </w:t>
      </w:r>
      <w:r w:rsidR="009D6B8C" w:rsidRPr="00AE1878">
        <w:rPr>
          <w:rFonts w:ascii="Segoe UI" w:hAnsi="Segoe UI" w:cs="Segoe UI"/>
          <w:sz w:val="18"/>
          <w:szCs w:val="18"/>
          <w:u w:val="single"/>
        </w:rPr>
        <w:t xml:space="preserve">la normalisation du </w:t>
      </w:r>
      <w:r w:rsidR="00013B59" w:rsidRPr="00AE1878">
        <w:rPr>
          <w:rFonts w:ascii="Segoe UI" w:hAnsi="Segoe UI" w:cs="Segoe UI"/>
          <w:sz w:val="18"/>
          <w:szCs w:val="18"/>
          <w:u w:val="single"/>
        </w:rPr>
        <w:t>cours</w:t>
      </w:r>
      <w:r w:rsidR="009D6B8C" w:rsidRPr="00AE1878">
        <w:rPr>
          <w:rFonts w:ascii="Segoe UI" w:hAnsi="Segoe UI" w:cs="Segoe UI"/>
          <w:sz w:val="18"/>
          <w:szCs w:val="18"/>
          <w:u w:val="single"/>
        </w:rPr>
        <w:t xml:space="preserve"> des hydrocarbures</w:t>
      </w:r>
      <w:r w:rsidR="009D6B8C">
        <w:rPr>
          <w:rFonts w:ascii="Segoe UI" w:hAnsi="Segoe UI" w:cs="Segoe UI"/>
          <w:sz w:val="18"/>
          <w:szCs w:val="18"/>
        </w:rPr>
        <w:t xml:space="preserve"> </w:t>
      </w:r>
      <w:r w:rsidR="00364B29">
        <w:rPr>
          <w:rFonts w:ascii="Segoe UI" w:hAnsi="Segoe UI" w:cs="Segoe UI"/>
          <w:sz w:val="18"/>
          <w:szCs w:val="18"/>
        </w:rPr>
        <w:t>s’accompagne</w:t>
      </w:r>
      <w:r w:rsidR="009D6B8C">
        <w:rPr>
          <w:rFonts w:ascii="Segoe UI" w:hAnsi="Segoe UI" w:cs="Segoe UI"/>
          <w:sz w:val="18"/>
          <w:szCs w:val="18"/>
        </w:rPr>
        <w:t xml:space="preserve"> d’une baisse de </w:t>
      </w:r>
      <w:r w:rsidR="002016B9">
        <w:rPr>
          <w:rFonts w:ascii="Segoe UI" w:hAnsi="Segoe UI" w:cs="Segoe UI"/>
          <w:sz w:val="18"/>
          <w:szCs w:val="18"/>
        </w:rPr>
        <w:t>19</w:t>
      </w:r>
      <w:r w:rsidR="00455230">
        <w:rPr>
          <w:rFonts w:ascii="Segoe UI" w:hAnsi="Segoe UI" w:cs="Segoe UI"/>
          <w:sz w:val="18"/>
          <w:szCs w:val="18"/>
        </w:rPr>
        <w:t>% de</w:t>
      </w:r>
      <w:r w:rsidR="00BC0C87">
        <w:rPr>
          <w:rFonts w:ascii="Segoe UI" w:hAnsi="Segoe UI" w:cs="Segoe UI"/>
          <w:sz w:val="18"/>
          <w:szCs w:val="18"/>
        </w:rPr>
        <w:t>s</w:t>
      </w:r>
      <w:r w:rsidR="002D42C1">
        <w:rPr>
          <w:rFonts w:ascii="Segoe UI" w:hAnsi="Segoe UI" w:cs="Segoe UI"/>
          <w:sz w:val="18"/>
          <w:szCs w:val="18"/>
        </w:rPr>
        <w:t xml:space="preserve"> </w:t>
      </w:r>
      <w:r w:rsidR="00455230">
        <w:rPr>
          <w:rFonts w:ascii="Segoe UI" w:hAnsi="Segoe UI" w:cs="Segoe UI"/>
          <w:sz w:val="18"/>
          <w:szCs w:val="18"/>
        </w:rPr>
        <w:t>exportations</w:t>
      </w:r>
      <w:r w:rsidR="006C1DDA">
        <w:rPr>
          <w:rFonts w:ascii="Segoe UI" w:hAnsi="Segoe UI" w:cs="Segoe UI"/>
          <w:sz w:val="18"/>
          <w:szCs w:val="18"/>
        </w:rPr>
        <w:t xml:space="preserve"> canadiennes</w:t>
      </w:r>
      <w:r w:rsidR="009429EE">
        <w:rPr>
          <w:rFonts w:ascii="Segoe UI" w:hAnsi="Segoe UI" w:cs="Segoe UI"/>
          <w:sz w:val="18"/>
          <w:szCs w:val="18"/>
        </w:rPr>
        <w:t xml:space="preserve"> d’hydrocarbures</w:t>
      </w:r>
      <w:r w:rsidR="00455230">
        <w:rPr>
          <w:rFonts w:ascii="Segoe UI" w:hAnsi="Segoe UI" w:cs="Segoe UI"/>
          <w:sz w:val="18"/>
          <w:szCs w:val="18"/>
        </w:rPr>
        <w:t xml:space="preserve"> vers </w:t>
      </w:r>
      <w:r w:rsidR="00F0304C">
        <w:rPr>
          <w:rFonts w:ascii="Segoe UI" w:hAnsi="Segoe UI" w:cs="Segoe UI"/>
          <w:sz w:val="18"/>
          <w:szCs w:val="18"/>
        </w:rPr>
        <w:t>les E-</w:t>
      </w:r>
      <w:r w:rsidR="00F63803">
        <w:rPr>
          <w:rFonts w:ascii="Segoe UI" w:hAnsi="Segoe UI" w:cs="Segoe UI"/>
          <w:sz w:val="18"/>
          <w:szCs w:val="18"/>
        </w:rPr>
        <w:t>U</w:t>
      </w:r>
      <w:r w:rsidR="00F316C6">
        <w:rPr>
          <w:rFonts w:ascii="Segoe UI" w:hAnsi="Segoe UI" w:cs="Segoe UI"/>
          <w:sz w:val="18"/>
          <w:szCs w:val="18"/>
        </w:rPr>
        <w:t>, à 1</w:t>
      </w:r>
      <w:r w:rsidR="002016B9">
        <w:rPr>
          <w:rFonts w:ascii="Segoe UI" w:hAnsi="Segoe UI" w:cs="Segoe UI"/>
          <w:sz w:val="18"/>
          <w:szCs w:val="18"/>
        </w:rPr>
        <w:t>6</w:t>
      </w:r>
      <w:r w:rsidR="00F316C6">
        <w:rPr>
          <w:rFonts w:ascii="Segoe UI" w:hAnsi="Segoe UI" w:cs="Segoe UI"/>
          <w:sz w:val="18"/>
          <w:szCs w:val="18"/>
        </w:rPr>
        <w:t>9</w:t>
      </w:r>
      <w:r w:rsidR="002016B9">
        <w:rPr>
          <w:rFonts w:ascii="Segoe UI" w:hAnsi="Segoe UI" w:cs="Segoe UI"/>
          <w:sz w:val="18"/>
          <w:szCs w:val="18"/>
        </w:rPr>
        <w:t xml:space="preserve"> </w:t>
      </w:r>
      <w:r w:rsidR="00F316C6">
        <w:rPr>
          <w:rFonts w:ascii="Segoe UI" w:hAnsi="Segoe UI" w:cs="Segoe UI"/>
          <w:sz w:val="18"/>
          <w:szCs w:val="18"/>
        </w:rPr>
        <w:t>Md CAD (1</w:t>
      </w:r>
      <w:r w:rsidR="002016B9">
        <w:rPr>
          <w:rFonts w:ascii="Segoe UI" w:hAnsi="Segoe UI" w:cs="Segoe UI"/>
          <w:sz w:val="18"/>
          <w:szCs w:val="18"/>
        </w:rPr>
        <w:t>16</w:t>
      </w:r>
      <w:r w:rsidR="00F316C6">
        <w:rPr>
          <w:rFonts w:ascii="Segoe UI" w:hAnsi="Segoe UI" w:cs="Segoe UI"/>
          <w:sz w:val="18"/>
          <w:szCs w:val="18"/>
        </w:rPr>
        <w:t xml:space="preserve"> Md€</w:t>
      </w:r>
      <w:r w:rsidR="00CB0E31">
        <w:rPr>
          <w:rFonts w:ascii="Segoe UI" w:hAnsi="Segoe UI" w:cs="Segoe UI"/>
          <w:sz w:val="18"/>
          <w:szCs w:val="18"/>
        </w:rPr>
        <w:t>), soit</w:t>
      </w:r>
      <w:r w:rsidR="007E2F3F">
        <w:rPr>
          <w:rFonts w:ascii="Segoe UI" w:hAnsi="Segoe UI" w:cs="Segoe UI"/>
          <w:sz w:val="18"/>
          <w:szCs w:val="18"/>
        </w:rPr>
        <w:t xml:space="preserve"> 28% des exportations canadiennes vers </w:t>
      </w:r>
      <w:r w:rsidR="00CA5672">
        <w:rPr>
          <w:rFonts w:ascii="Segoe UI" w:hAnsi="Segoe UI" w:cs="Segoe UI"/>
          <w:sz w:val="18"/>
          <w:szCs w:val="18"/>
        </w:rPr>
        <w:t>son</w:t>
      </w:r>
      <w:r w:rsidR="006F0B78">
        <w:rPr>
          <w:rFonts w:ascii="Segoe UI" w:hAnsi="Segoe UI" w:cs="Segoe UI"/>
          <w:sz w:val="18"/>
          <w:szCs w:val="18"/>
        </w:rPr>
        <w:t xml:space="preserve"> voisin du Sud</w:t>
      </w:r>
      <w:r w:rsidR="00F044D7">
        <w:rPr>
          <w:rFonts w:ascii="Segoe UI" w:hAnsi="Segoe UI" w:cs="Segoe UI"/>
          <w:sz w:val="18"/>
          <w:szCs w:val="18"/>
        </w:rPr>
        <w:t>.</w:t>
      </w:r>
      <w:r w:rsidR="001D0A02">
        <w:rPr>
          <w:rFonts w:ascii="Segoe UI" w:hAnsi="Segoe UI" w:cs="Segoe UI"/>
          <w:sz w:val="18"/>
          <w:szCs w:val="18"/>
        </w:rPr>
        <w:t xml:space="preserve"> </w:t>
      </w:r>
      <w:r w:rsidR="00F044D7">
        <w:rPr>
          <w:rFonts w:ascii="Segoe UI" w:hAnsi="Segoe UI" w:cs="Segoe UI"/>
          <w:sz w:val="18"/>
          <w:szCs w:val="18"/>
        </w:rPr>
        <w:t xml:space="preserve">Cette baisse est </w:t>
      </w:r>
      <w:r w:rsidR="0016257A">
        <w:rPr>
          <w:rFonts w:ascii="Segoe UI" w:hAnsi="Segoe UI" w:cs="Segoe UI"/>
          <w:sz w:val="18"/>
          <w:szCs w:val="18"/>
        </w:rPr>
        <w:t xml:space="preserve">en partie </w:t>
      </w:r>
      <w:r w:rsidR="00E0589B">
        <w:rPr>
          <w:rFonts w:ascii="Segoe UI" w:hAnsi="Segoe UI" w:cs="Segoe UI"/>
          <w:sz w:val="18"/>
          <w:szCs w:val="18"/>
        </w:rPr>
        <w:t xml:space="preserve">compensée par l’augmentation des exportations de </w:t>
      </w:r>
      <w:r w:rsidR="00065A56">
        <w:rPr>
          <w:rFonts w:ascii="Segoe UI" w:hAnsi="Segoe UI" w:cs="Segoe UI"/>
          <w:sz w:val="18"/>
          <w:szCs w:val="18"/>
        </w:rPr>
        <w:t xml:space="preserve">l’industrie </w:t>
      </w:r>
      <w:r w:rsidR="00065A56" w:rsidRPr="00065A56">
        <w:rPr>
          <w:rFonts w:ascii="Segoe UI" w:hAnsi="Segoe UI" w:cs="Segoe UI"/>
          <w:sz w:val="18"/>
          <w:szCs w:val="18"/>
          <w:u w:val="single"/>
        </w:rPr>
        <w:t>automobile</w:t>
      </w:r>
      <w:r w:rsidR="00E0589B">
        <w:rPr>
          <w:rFonts w:ascii="Segoe UI" w:hAnsi="Segoe UI" w:cs="Segoe UI"/>
          <w:sz w:val="18"/>
          <w:szCs w:val="18"/>
        </w:rPr>
        <w:t xml:space="preserve"> </w:t>
      </w:r>
      <w:r w:rsidR="00065A56">
        <w:rPr>
          <w:rFonts w:ascii="Segoe UI" w:hAnsi="Segoe UI" w:cs="Segoe UI"/>
          <w:sz w:val="18"/>
          <w:szCs w:val="18"/>
        </w:rPr>
        <w:t>(+31% ; 85 Md CAD/59 Md€)</w:t>
      </w:r>
      <w:r w:rsidR="00674D83">
        <w:rPr>
          <w:rFonts w:ascii="Segoe UI" w:hAnsi="Segoe UI" w:cs="Segoe UI"/>
          <w:sz w:val="18"/>
          <w:szCs w:val="18"/>
        </w:rPr>
        <w:t xml:space="preserve"> et </w:t>
      </w:r>
      <w:r w:rsidR="00674D83" w:rsidRPr="00674D83">
        <w:rPr>
          <w:rFonts w:ascii="Segoe UI" w:hAnsi="Segoe UI" w:cs="Segoe UI"/>
          <w:sz w:val="18"/>
          <w:szCs w:val="18"/>
          <w:u w:val="single"/>
        </w:rPr>
        <w:t>aérospatiale</w:t>
      </w:r>
      <w:r w:rsidR="00674D83">
        <w:rPr>
          <w:rFonts w:ascii="Segoe UI" w:hAnsi="Segoe UI" w:cs="Segoe UI"/>
          <w:sz w:val="18"/>
          <w:szCs w:val="18"/>
        </w:rPr>
        <w:t xml:space="preserve"> (+41% ; 18 Md CAD/12,5 M€</w:t>
      </w:r>
      <w:r w:rsidR="001028BE">
        <w:rPr>
          <w:rFonts w:ascii="Segoe UI" w:hAnsi="Segoe UI" w:cs="Segoe UI"/>
          <w:sz w:val="18"/>
          <w:szCs w:val="18"/>
        </w:rPr>
        <w:t>)</w:t>
      </w:r>
      <w:r w:rsidR="006D3714">
        <w:rPr>
          <w:rFonts w:ascii="Segoe UI" w:hAnsi="Segoe UI" w:cs="Segoe UI"/>
          <w:sz w:val="18"/>
          <w:szCs w:val="18"/>
        </w:rPr>
        <w:t>.</w:t>
      </w:r>
      <w:r w:rsidR="00400EAD">
        <w:rPr>
          <w:rFonts w:ascii="Segoe UI" w:hAnsi="Segoe UI" w:cs="Segoe UI"/>
          <w:sz w:val="18"/>
          <w:szCs w:val="18"/>
        </w:rPr>
        <w:t xml:space="preserve"> </w:t>
      </w:r>
      <w:r w:rsidR="001D0A02">
        <w:rPr>
          <w:rFonts w:ascii="Segoe UI" w:hAnsi="Segoe UI" w:cs="Segoe UI"/>
          <w:sz w:val="18"/>
          <w:szCs w:val="18"/>
        </w:rPr>
        <w:t>A rebours</w:t>
      </w:r>
      <w:r w:rsidR="0016257A">
        <w:rPr>
          <w:rFonts w:ascii="Segoe UI" w:hAnsi="Segoe UI" w:cs="Segoe UI"/>
          <w:sz w:val="18"/>
          <w:szCs w:val="18"/>
        </w:rPr>
        <w:t xml:space="preserve"> interrogations croissantes sur la place de </w:t>
      </w:r>
      <w:r w:rsidR="0016257A" w:rsidRPr="0016257A">
        <w:rPr>
          <w:rFonts w:ascii="Segoe UI" w:hAnsi="Segoe UI" w:cs="Segoe UI"/>
          <w:sz w:val="18"/>
          <w:szCs w:val="18"/>
          <w:u w:val="single"/>
        </w:rPr>
        <w:t>la Chine</w:t>
      </w:r>
      <w:r w:rsidR="0016257A">
        <w:rPr>
          <w:rFonts w:ascii="Segoe UI" w:hAnsi="Segoe UI" w:cs="Segoe UI"/>
          <w:sz w:val="18"/>
          <w:szCs w:val="18"/>
        </w:rPr>
        <w:t>,</w:t>
      </w:r>
      <w:r w:rsidR="001D0A02">
        <w:rPr>
          <w:rFonts w:ascii="Segoe UI" w:hAnsi="Segoe UI" w:cs="Segoe UI"/>
          <w:sz w:val="18"/>
          <w:szCs w:val="18"/>
        </w:rPr>
        <w:t xml:space="preserve"> les exportations vers</w:t>
      </w:r>
      <w:r w:rsidR="001F4403">
        <w:rPr>
          <w:rFonts w:ascii="Segoe UI" w:hAnsi="Segoe UI" w:cs="Segoe UI"/>
          <w:sz w:val="18"/>
          <w:szCs w:val="18"/>
        </w:rPr>
        <w:t xml:space="preserve"> </w:t>
      </w:r>
      <w:r w:rsidR="0016257A">
        <w:rPr>
          <w:rFonts w:ascii="Segoe UI" w:hAnsi="Segoe UI" w:cs="Segoe UI"/>
          <w:sz w:val="18"/>
          <w:szCs w:val="18"/>
        </w:rPr>
        <w:t>ce pays</w:t>
      </w:r>
      <w:r w:rsidR="001F4403">
        <w:rPr>
          <w:rFonts w:ascii="Segoe UI" w:hAnsi="Segoe UI" w:cs="Segoe UI"/>
          <w:sz w:val="18"/>
          <w:szCs w:val="18"/>
        </w:rPr>
        <w:t xml:space="preserve"> </w:t>
      </w:r>
      <w:r w:rsidR="00476C0F">
        <w:rPr>
          <w:rFonts w:ascii="Segoe UI" w:hAnsi="Segoe UI" w:cs="Segoe UI"/>
          <w:sz w:val="18"/>
          <w:szCs w:val="18"/>
        </w:rPr>
        <w:t xml:space="preserve">(+6% sur un an ; 31 Md CAD/21,4 Md€) et </w:t>
      </w:r>
      <w:r w:rsidR="0016257A">
        <w:rPr>
          <w:rFonts w:ascii="Segoe UI" w:hAnsi="Segoe UI" w:cs="Segoe UI"/>
          <w:sz w:val="18"/>
          <w:szCs w:val="18"/>
        </w:rPr>
        <w:t>vers</w:t>
      </w:r>
      <w:r w:rsidR="00476C0F">
        <w:rPr>
          <w:rFonts w:ascii="Segoe UI" w:hAnsi="Segoe UI" w:cs="Segoe UI"/>
          <w:sz w:val="18"/>
          <w:szCs w:val="18"/>
        </w:rPr>
        <w:t xml:space="preserve"> </w:t>
      </w:r>
      <w:r w:rsidR="00476C0F" w:rsidRPr="00476C0F">
        <w:rPr>
          <w:rFonts w:ascii="Segoe UI" w:hAnsi="Segoe UI" w:cs="Segoe UI"/>
          <w:sz w:val="18"/>
          <w:szCs w:val="18"/>
          <w:u w:val="single"/>
        </w:rPr>
        <w:t>Hong Kong</w:t>
      </w:r>
      <w:r w:rsidR="00476C0F">
        <w:rPr>
          <w:rFonts w:ascii="Segoe UI" w:hAnsi="Segoe UI" w:cs="Segoe UI"/>
          <w:sz w:val="18"/>
          <w:szCs w:val="18"/>
        </w:rPr>
        <w:t xml:space="preserve"> (+26% ; 4,9 Md CAD/3,4 Md€) </w:t>
      </w:r>
      <w:r w:rsidR="002979A7">
        <w:rPr>
          <w:rFonts w:ascii="Segoe UI" w:hAnsi="Segoe UI" w:cs="Segoe UI"/>
          <w:sz w:val="18"/>
          <w:szCs w:val="18"/>
        </w:rPr>
        <w:t xml:space="preserve">ont augmenté, </w:t>
      </w:r>
      <w:r w:rsidR="0016257A">
        <w:rPr>
          <w:rFonts w:ascii="Segoe UI" w:hAnsi="Segoe UI" w:cs="Segoe UI"/>
          <w:sz w:val="18"/>
          <w:szCs w:val="18"/>
        </w:rPr>
        <w:t xml:space="preserve">alors qu’elles reculent dans d’autres pays importants de la zone, </w:t>
      </w:r>
      <w:r w:rsidR="00B65B45">
        <w:rPr>
          <w:rFonts w:ascii="Segoe UI" w:hAnsi="Segoe UI" w:cs="Segoe UI"/>
          <w:sz w:val="18"/>
          <w:szCs w:val="18"/>
        </w:rPr>
        <w:t xml:space="preserve">comme </w:t>
      </w:r>
      <w:r w:rsidR="002979A7">
        <w:rPr>
          <w:rFonts w:ascii="Segoe UI" w:hAnsi="Segoe UI" w:cs="Segoe UI"/>
          <w:sz w:val="18"/>
          <w:szCs w:val="18"/>
        </w:rPr>
        <w:t xml:space="preserve">vers le </w:t>
      </w:r>
      <w:r w:rsidR="00B65B45" w:rsidRPr="00B65B45">
        <w:rPr>
          <w:rFonts w:ascii="Segoe UI" w:hAnsi="Segoe UI" w:cs="Segoe UI"/>
          <w:sz w:val="18"/>
          <w:szCs w:val="18"/>
          <w:u w:val="single"/>
        </w:rPr>
        <w:t>Japon</w:t>
      </w:r>
      <w:r w:rsidR="00B65B45">
        <w:rPr>
          <w:rFonts w:ascii="Segoe UI" w:hAnsi="Segoe UI" w:cs="Segoe UI"/>
          <w:sz w:val="18"/>
          <w:szCs w:val="18"/>
        </w:rPr>
        <w:t xml:space="preserve"> (-13% ; 16 Md€/11 Md€), </w:t>
      </w:r>
      <w:r w:rsidR="002979A7">
        <w:rPr>
          <w:rFonts w:ascii="Segoe UI" w:hAnsi="Segoe UI" w:cs="Segoe UI"/>
          <w:sz w:val="18"/>
          <w:szCs w:val="18"/>
        </w:rPr>
        <w:t xml:space="preserve">la </w:t>
      </w:r>
      <w:r w:rsidR="00B65B45" w:rsidRPr="00B65B45">
        <w:rPr>
          <w:rFonts w:ascii="Segoe UI" w:hAnsi="Segoe UI" w:cs="Segoe UI"/>
          <w:sz w:val="18"/>
          <w:szCs w:val="18"/>
          <w:u w:val="single"/>
        </w:rPr>
        <w:t>Corée du Sud</w:t>
      </w:r>
      <w:r w:rsidR="006C1444">
        <w:rPr>
          <w:rFonts w:ascii="Segoe UI" w:hAnsi="Segoe UI" w:cs="Segoe UI"/>
          <w:sz w:val="18"/>
          <w:szCs w:val="18"/>
        </w:rPr>
        <w:t xml:space="preserve"> (-20% ; 7 Md CAD/4,8 Md€</w:t>
      </w:r>
      <w:r w:rsidR="00851F2E">
        <w:rPr>
          <w:rFonts w:ascii="Segoe UI" w:hAnsi="Segoe UI" w:cs="Segoe UI"/>
          <w:sz w:val="18"/>
          <w:szCs w:val="18"/>
        </w:rPr>
        <w:t>)</w:t>
      </w:r>
      <w:r w:rsidR="0096624B">
        <w:rPr>
          <w:rFonts w:ascii="Segoe UI" w:hAnsi="Segoe UI" w:cs="Segoe UI"/>
          <w:sz w:val="18"/>
          <w:szCs w:val="18"/>
        </w:rPr>
        <w:t xml:space="preserve">, </w:t>
      </w:r>
      <w:r w:rsidR="008A05BC">
        <w:rPr>
          <w:rFonts w:ascii="Segoe UI" w:hAnsi="Segoe UI" w:cs="Segoe UI"/>
          <w:sz w:val="18"/>
          <w:szCs w:val="18"/>
        </w:rPr>
        <w:t>l’</w:t>
      </w:r>
      <w:r w:rsidR="008A05BC">
        <w:rPr>
          <w:rFonts w:ascii="Segoe UI" w:hAnsi="Segoe UI" w:cs="Segoe UI"/>
          <w:sz w:val="18"/>
          <w:szCs w:val="18"/>
          <w:u w:val="single"/>
        </w:rPr>
        <w:t>Inde</w:t>
      </w:r>
      <w:r w:rsidR="008A05BC">
        <w:rPr>
          <w:rFonts w:ascii="Segoe UI" w:hAnsi="Segoe UI" w:cs="Segoe UI"/>
          <w:sz w:val="18"/>
          <w:szCs w:val="18"/>
        </w:rPr>
        <w:t xml:space="preserve"> (-4% ; 5,2 Md CAD/3,6 M</w:t>
      </w:r>
      <w:r w:rsidR="003F4D16">
        <w:rPr>
          <w:rFonts w:ascii="Segoe UI" w:hAnsi="Segoe UI" w:cs="Segoe UI"/>
          <w:sz w:val="18"/>
          <w:szCs w:val="18"/>
        </w:rPr>
        <w:t>d€)</w:t>
      </w:r>
      <w:r w:rsidR="0027456F">
        <w:rPr>
          <w:rFonts w:ascii="Segoe UI" w:hAnsi="Segoe UI" w:cs="Segoe UI"/>
          <w:sz w:val="18"/>
          <w:szCs w:val="18"/>
        </w:rPr>
        <w:t>, l’</w:t>
      </w:r>
      <w:r w:rsidR="0027456F" w:rsidRPr="005D7A2D">
        <w:rPr>
          <w:rFonts w:ascii="Segoe UI" w:hAnsi="Segoe UI" w:cs="Segoe UI"/>
          <w:sz w:val="18"/>
          <w:szCs w:val="18"/>
          <w:u w:val="single"/>
        </w:rPr>
        <w:t>Indonésie</w:t>
      </w:r>
      <w:r w:rsidR="0027456F">
        <w:rPr>
          <w:rFonts w:ascii="Segoe UI" w:hAnsi="Segoe UI" w:cs="Segoe UI"/>
          <w:sz w:val="18"/>
          <w:szCs w:val="18"/>
        </w:rPr>
        <w:t xml:space="preserve"> (-30% ; 2,3 Md CAD/1,6 Md€) et </w:t>
      </w:r>
      <w:r w:rsidR="0027456F" w:rsidRPr="00770C32">
        <w:rPr>
          <w:rFonts w:ascii="Segoe UI" w:hAnsi="Segoe UI" w:cs="Segoe UI"/>
          <w:sz w:val="18"/>
          <w:szCs w:val="18"/>
          <w:u w:val="single"/>
        </w:rPr>
        <w:t>Taïwan</w:t>
      </w:r>
      <w:r w:rsidR="0027456F">
        <w:rPr>
          <w:rFonts w:ascii="Segoe UI" w:hAnsi="Segoe UI" w:cs="Segoe UI"/>
          <w:sz w:val="18"/>
          <w:szCs w:val="18"/>
        </w:rPr>
        <w:t xml:space="preserve"> (-22% ; 2 Md CAD/1,5 Md€)</w:t>
      </w:r>
      <w:r w:rsidR="009C08CA">
        <w:rPr>
          <w:rFonts w:ascii="Segoe UI" w:hAnsi="Segoe UI" w:cs="Segoe UI"/>
          <w:sz w:val="18"/>
          <w:szCs w:val="18"/>
        </w:rPr>
        <w:t>.</w:t>
      </w:r>
      <w:r w:rsidR="00DE4898">
        <w:rPr>
          <w:rFonts w:ascii="Segoe UI" w:hAnsi="Segoe UI" w:cs="Segoe UI"/>
          <w:sz w:val="18"/>
          <w:szCs w:val="18"/>
        </w:rPr>
        <w:t xml:space="preserve"> Les exportations vers l’</w:t>
      </w:r>
      <w:r w:rsidR="00DE4898" w:rsidRPr="00067047">
        <w:rPr>
          <w:rFonts w:ascii="Segoe UI" w:hAnsi="Segoe UI" w:cs="Segoe UI"/>
          <w:sz w:val="18"/>
          <w:szCs w:val="18"/>
          <w:u w:val="single"/>
        </w:rPr>
        <w:t>Union européenne</w:t>
      </w:r>
      <w:r w:rsidR="00DE4898" w:rsidRPr="00995295">
        <w:rPr>
          <w:rFonts w:ascii="Segoe UI" w:hAnsi="Segoe UI" w:cs="Segoe UI"/>
          <w:sz w:val="18"/>
          <w:szCs w:val="18"/>
        </w:rPr>
        <w:t xml:space="preserve"> </w:t>
      </w:r>
      <w:r w:rsidR="0016257A">
        <w:rPr>
          <w:rFonts w:ascii="Segoe UI" w:hAnsi="Segoe UI" w:cs="Segoe UI"/>
          <w:sz w:val="18"/>
          <w:szCs w:val="18"/>
        </w:rPr>
        <w:t>sont en baisse également</w:t>
      </w:r>
      <w:r w:rsidR="002979A7">
        <w:rPr>
          <w:rFonts w:ascii="Segoe UI" w:hAnsi="Segoe UI" w:cs="Segoe UI"/>
          <w:sz w:val="18"/>
          <w:szCs w:val="18"/>
        </w:rPr>
        <w:t xml:space="preserve"> </w:t>
      </w:r>
      <w:r w:rsidR="00DE4898">
        <w:rPr>
          <w:rFonts w:ascii="Segoe UI" w:hAnsi="Segoe UI" w:cs="Segoe UI"/>
          <w:sz w:val="18"/>
          <w:szCs w:val="18"/>
        </w:rPr>
        <w:t>(-5% ; 34,5 Md CAD/2</w:t>
      </w:r>
      <w:r w:rsidR="00067047">
        <w:rPr>
          <w:rFonts w:ascii="Segoe UI" w:hAnsi="Segoe UI" w:cs="Segoe UI"/>
          <w:sz w:val="18"/>
          <w:szCs w:val="18"/>
        </w:rPr>
        <w:t>3,7 Md€)</w:t>
      </w:r>
      <w:r w:rsidR="002979A7">
        <w:rPr>
          <w:rFonts w:ascii="Segoe UI" w:hAnsi="Segoe UI" w:cs="Segoe UI"/>
          <w:sz w:val="18"/>
          <w:szCs w:val="18"/>
        </w:rPr>
        <w:t xml:space="preserve">, mais l’Union demeure le </w:t>
      </w:r>
      <w:r w:rsidR="00572A04">
        <w:rPr>
          <w:rFonts w:ascii="Segoe UI" w:hAnsi="Segoe UI" w:cs="Segoe UI"/>
          <w:sz w:val="18"/>
          <w:szCs w:val="18"/>
        </w:rPr>
        <w:t>deuxième</w:t>
      </w:r>
      <w:r w:rsidR="002979A7">
        <w:rPr>
          <w:rFonts w:ascii="Segoe UI" w:hAnsi="Segoe UI" w:cs="Segoe UI"/>
          <w:sz w:val="18"/>
          <w:szCs w:val="18"/>
        </w:rPr>
        <w:t xml:space="preserve"> débouché des exportations canadiennes, tandis que</w:t>
      </w:r>
      <w:r w:rsidR="00995295">
        <w:rPr>
          <w:rFonts w:ascii="Segoe UI" w:hAnsi="Segoe UI" w:cs="Segoe UI"/>
          <w:sz w:val="18"/>
          <w:szCs w:val="18"/>
        </w:rPr>
        <w:t xml:space="preserve"> </w:t>
      </w:r>
      <w:r w:rsidR="00DE5012">
        <w:rPr>
          <w:rFonts w:ascii="Segoe UI" w:hAnsi="Segoe UI" w:cs="Segoe UI"/>
          <w:sz w:val="18"/>
          <w:szCs w:val="18"/>
        </w:rPr>
        <w:t>les exportations</w:t>
      </w:r>
      <w:r w:rsidR="00995295">
        <w:rPr>
          <w:rFonts w:ascii="Segoe UI" w:hAnsi="Segoe UI" w:cs="Segoe UI"/>
          <w:sz w:val="18"/>
          <w:szCs w:val="18"/>
        </w:rPr>
        <w:t xml:space="preserve"> vers la </w:t>
      </w:r>
      <w:r w:rsidR="00995295" w:rsidRPr="006900F8">
        <w:rPr>
          <w:rFonts w:ascii="Segoe UI" w:hAnsi="Segoe UI" w:cs="Segoe UI"/>
          <w:sz w:val="18"/>
          <w:szCs w:val="18"/>
          <w:u w:val="single"/>
        </w:rPr>
        <w:t>Russie</w:t>
      </w:r>
      <w:r w:rsidR="00995295">
        <w:rPr>
          <w:rFonts w:ascii="Segoe UI" w:hAnsi="Segoe UI" w:cs="Segoe UI"/>
          <w:sz w:val="18"/>
          <w:szCs w:val="18"/>
        </w:rPr>
        <w:t xml:space="preserve"> </w:t>
      </w:r>
      <w:r w:rsidR="007971CB">
        <w:rPr>
          <w:rFonts w:ascii="Segoe UI" w:hAnsi="Segoe UI" w:cs="Segoe UI"/>
          <w:sz w:val="18"/>
          <w:szCs w:val="18"/>
        </w:rPr>
        <w:t xml:space="preserve">continuent leur </w:t>
      </w:r>
      <w:r w:rsidR="002979A7">
        <w:rPr>
          <w:rFonts w:ascii="Segoe UI" w:hAnsi="Segoe UI" w:cs="Segoe UI"/>
          <w:sz w:val="18"/>
          <w:szCs w:val="18"/>
        </w:rPr>
        <w:t>chute</w:t>
      </w:r>
      <w:r w:rsidR="002A4DAA">
        <w:rPr>
          <w:rFonts w:ascii="Segoe UI" w:hAnsi="Segoe UI" w:cs="Segoe UI"/>
          <w:sz w:val="18"/>
          <w:szCs w:val="18"/>
        </w:rPr>
        <w:t>,</w:t>
      </w:r>
      <w:r w:rsidR="006900F8">
        <w:rPr>
          <w:rFonts w:ascii="Segoe UI" w:hAnsi="Segoe UI" w:cs="Segoe UI"/>
          <w:sz w:val="18"/>
          <w:szCs w:val="18"/>
        </w:rPr>
        <w:t xml:space="preserve"> </w:t>
      </w:r>
      <w:r w:rsidR="002A4DAA">
        <w:rPr>
          <w:rFonts w:ascii="Segoe UI" w:hAnsi="Segoe UI" w:cs="Segoe UI"/>
          <w:sz w:val="18"/>
          <w:szCs w:val="18"/>
        </w:rPr>
        <w:t xml:space="preserve">conséquences des sanctions </w:t>
      </w:r>
      <w:r w:rsidR="0016257A">
        <w:rPr>
          <w:rFonts w:ascii="Segoe UI" w:hAnsi="Segoe UI" w:cs="Segoe UI"/>
          <w:sz w:val="18"/>
          <w:szCs w:val="18"/>
        </w:rPr>
        <w:t xml:space="preserve">internationales </w:t>
      </w:r>
      <w:r w:rsidR="006900F8">
        <w:rPr>
          <w:rFonts w:ascii="Segoe UI" w:hAnsi="Segoe UI" w:cs="Segoe UI"/>
          <w:sz w:val="18"/>
          <w:szCs w:val="18"/>
        </w:rPr>
        <w:t>(-77% ; 50 M CAD/35 M€)</w:t>
      </w:r>
      <w:r w:rsidR="00995295">
        <w:rPr>
          <w:rFonts w:ascii="Segoe UI" w:hAnsi="Segoe UI" w:cs="Segoe UI"/>
          <w:sz w:val="18"/>
          <w:szCs w:val="18"/>
        </w:rPr>
        <w:t>.</w:t>
      </w:r>
      <w:r w:rsidR="001B54F6">
        <w:rPr>
          <w:rFonts w:ascii="Segoe UI" w:hAnsi="Segoe UI" w:cs="Segoe UI"/>
          <w:sz w:val="18"/>
          <w:szCs w:val="18"/>
        </w:rPr>
        <w:t xml:space="preserve"> La normalisation des relations diplomatiques avec l’</w:t>
      </w:r>
      <w:r w:rsidR="001B54F6" w:rsidRPr="00B6397C">
        <w:rPr>
          <w:rFonts w:ascii="Segoe UI" w:hAnsi="Segoe UI" w:cs="Segoe UI"/>
          <w:sz w:val="18"/>
          <w:szCs w:val="18"/>
          <w:u w:val="single"/>
        </w:rPr>
        <w:t>Arabie Saoudite</w:t>
      </w:r>
      <w:r w:rsidR="001B54F6" w:rsidRPr="00136E8A">
        <w:rPr>
          <w:rFonts w:ascii="Segoe UI" w:hAnsi="Segoe UI" w:cs="Segoe UI"/>
          <w:sz w:val="18"/>
          <w:szCs w:val="18"/>
        </w:rPr>
        <w:t xml:space="preserve"> </w:t>
      </w:r>
      <w:r w:rsidR="001B54F6">
        <w:rPr>
          <w:rFonts w:ascii="Segoe UI" w:hAnsi="Segoe UI" w:cs="Segoe UI"/>
          <w:sz w:val="18"/>
          <w:szCs w:val="18"/>
        </w:rPr>
        <w:t xml:space="preserve">en mai 2023 </w:t>
      </w:r>
      <w:r w:rsidR="00C35B56">
        <w:rPr>
          <w:rFonts w:ascii="Segoe UI" w:hAnsi="Segoe UI" w:cs="Segoe UI"/>
          <w:sz w:val="18"/>
          <w:szCs w:val="18"/>
        </w:rPr>
        <w:t>permet</w:t>
      </w:r>
      <w:r w:rsidR="001B54F6">
        <w:rPr>
          <w:rFonts w:ascii="Segoe UI" w:hAnsi="Segoe UI" w:cs="Segoe UI"/>
          <w:sz w:val="18"/>
          <w:szCs w:val="18"/>
        </w:rPr>
        <w:t xml:space="preserve"> un rebond des exportations avec la reprise de l’attribution de licences </w:t>
      </w:r>
      <w:r w:rsidR="00EA2916">
        <w:rPr>
          <w:rFonts w:ascii="Segoe UI" w:hAnsi="Segoe UI" w:cs="Segoe UI"/>
          <w:sz w:val="18"/>
          <w:szCs w:val="18"/>
        </w:rPr>
        <w:t xml:space="preserve">à l’export </w:t>
      </w:r>
      <w:r w:rsidR="00742C0F">
        <w:rPr>
          <w:rFonts w:ascii="Segoe UI" w:hAnsi="Segoe UI" w:cs="Segoe UI"/>
          <w:sz w:val="18"/>
          <w:szCs w:val="18"/>
        </w:rPr>
        <w:t>(+69% ; 2,2 Md CAD/1,5 Md€)</w:t>
      </w:r>
      <w:r w:rsidR="00CF7982">
        <w:rPr>
          <w:rFonts w:ascii="Segoe UI" w:hAnsi="Segoe UI" w:cs="Segoe UI"/>
          <w:sz w:val="18"/>
          <w:szCs w:val="18"/>
        </w:rPr>
        <w:t xml:space="preserve">. </w:t>
      </w:r>
      <w:r w:rsidR="003E61BA">
        <w:rPr>
          <w:rFonts w:ascii="Segoe UI" w:hAnsi="Segoe UI" w:cs="Segoe UI"/>
          <w:sz w:val="18"/>
          <w:szCs w:val="18"/>
        </w:rPr>
        <w:t xml:space="preserve">A l’exception de </w:t>
      </w:r>
      <w:r w:rsidR="003E61BA" w:rsidRPr="003E61BA">
        <w:rPr>
          <w:rFonts w:ascii="Segoe UI" w:hAnsi="Segoe UI" w:cs="Segoe UI"/>
          <w:sz w:val="18"/>
          <w:szCs w:val="18"/>
        </w:rPr>
        <w:t>l’Union européenne</w:t>
      </w:r>
      <w:r w:rsidR="002979A7">
        <w:rPr>
          <w:rFonts w:ascii="Segoe UI" w:hAnsi="Segoe UI" w:cs="Segoe UI"/>
          <w:sz w:val="18"/>
          <w:szCs w:val="18"/>
        </w:rPr>
        <w:t>,</w:t>
      </w:r>
      <w:r w:rsidR="003E61BA">
        <w:rPr>
          <w:rFonts w:ascii="Segoe UI" w:hAnsi="Segoe UI" w:cs="Segoe UI"/>
          <w:sz w:val="18"/>
          <w:szCs w:val="18"/>
        </w:rPr>
        <w:t xml:space="preserve"> qui compte pour 5% des exportations canadiennes, de la Chine (4%), du Japon (2%), et du Royaume-Uni (2%), aucun pays ne </w:t>
      </w:r>
      <w:r w:rsidR="00F11786">
        <w:rPr>
          <w:rFonts w:ascii="Segoe UI" w:hAnsi="Segoe UI" w:cs="Segoe UI"/>
          <w:sz w:val="18"/>
          <w:szCs w:val="18"/>
        </w:rPr>
        <w:t xml:space="preserve">dépasse le seuil de </w:t>
      </w:r>
      <w:r w:rsidR="003E61BA">
        <w:rPr>
          <w:rFonts w:ascii="Segoe UI" w:hAnsi="Segoe UI" w:cs="Segoe UI"/>
          <w:sz w:val="18"/>
          <w:szCs w:val="18"/>
        </w:rPr>
        <w:t xml:space="preserve">1% </w:t>
      </w:r>
      <w:r w:rsidR="002B11FB">
        <w:rPr>
          <w:rFonts w:ascii="Segoe UI" w:hAnsi="Segoe UI" w:cs="Segoe UI"/>
          <w:sz w:val="18"/>
          <w:szCs w:val="18"/>
        </w:rPr>
        <w:t>(</w:t>
      </w:r>
      <w:r w:rsidR="002B11FB" w:rsidRPr="00B2671E">
        <w:rPr>
          <w:rFonts w:ascii="Segoe UI" w:hAnsi="Segoe UI" w:cs="Segoe UI"/>
          <w:i/>
          <w:iCs/>
          <w:sz w:val="18"/>
          <w:szCs w:val="18"/>
        </w:rPr>
        <w:t>Annexe II</w:t>
      </w:r>
      <w:r w:rsidR="007913EE">
        <w:rPr>
          <w:rFonts w:ascii="Segoe UI" w:hAnsi="Segoe UI" w:cs="Segoe UI"/>
          <w:i/>
          <w:iCs/>
          <w:sz w:val="18"/>
          <w:szCs w:val="18"/>
        </w:rPr>
        <w:t xml:space="preserve"> et Annexe III</w:t>
      </w:r>
      <w:r w:rsidR="002B11FB">
        <w:rPr>
          <w:rFonts w:ascii="Segoe UI" w:hAnsi="Segoe UI" w:cs="Segoe UI"/>
          <w:sz w:val="18"/>
          <w:szCs w:val="18"/>
        </w:rPr>
        <w:t>)</w:t>
      </w:r>
      <w:r w:rsidR="007913EE">
        <w:rPr>
          <w:rFonts w:ascii="Segoe UI" w:hAnsi="Segoe UI" w:cs="Segoe UI"/>
          <w:sz w:val="18"/>
          <w:szCs w:val="18"/>
        </w:rPr>
        <w:t>.</w:t>
      </w:r>
    </w:p>
    <w:p w14:paraId="72F48C9B" w14:textId="13F68353" w:rsidR="004F2178" w:rsidRPr="00FA1E70" w:rsidRDefault="00E11317" w:rsidP="005C5596">
      <w:pPr>
        <w:spacing w:before="60" w:after="60"/>
        <w:jc w:val="both"/>
        <w:rPr>
          <w:rFonts w:ascii="Segoe UI" w:hAnsi="Segoe UI" w:cs="Segoe UI"/>
          <w:sz w:val="18"/>
          <w:szCs w:val="18"/>
        </w:rPr>
      </w:pPr>
      <w:r>
        <w:rPr>
          <w:rFonts w:ascii="Segoe UI" w:hAnsi="Segoe UI" w:cs="Segoe UI"/>
          <w:b/>
          <w:bCs/>
          <w:sz w:val="18"/>
          <w:szCs w:val="18"/>
        </w:rPr>
        <w:t>A</w:t>
      </w:r>
      <w:r w:rsidRPr="00C25FAC">
        <w:rPr>
          <w:rFonts w:ascii="Segoe UI" w:hAnsi="Segoe UI" w:cs="Segoe UI"/>
          <w:b/>
          <w:bCs/>
          <w:sz w:val="18"/>
          <w:szCs w:val="18"/>
        </w:rPr>
        <w:t xml:space="preserve"> l’exception des industries extractives et des produits chimiques</w:t>
      </w:r>
      <w:r>
        <w:rPr>
          <w:rFonts w:ascii="Segoe UI" w:hAnsi="Segoe UI" w:cs="Segoe UI"/>
          <w:b/>
          <w:bCs/>
          <w:sz w:val="18"/>
          <w:szCs w:val="18"/>
        </w:rPr>
        <w:t>, le</w:t>
      </w:r>
      <w:r w:rsidR="00C25FAC" w:rsidRPr="00C25FAC">
        <w:rPr>
          <w:rFonts w:ascii="Segoe UI" w:hAnsi="Segoe UI" w:cs="Segoe UI"/>
          <w:b/>
          <w:bCs/>
          <w:sz w:val="18"/>
          <w:szCs w:val="18"/>
        </w:rPr>
        <w:t xml:space="preserve">s exportations augmentent dans tous les secteurs. </w:t>
      </w:r>
      <w:r w:rsidR="00FE263B">
        <w:rPr>
          <w:rFonts w:ascii="Segoe UI" w:hAnsi="Segoe UI" w:cs="Segoe UI"/>
          <w:sz w:val="18"/>
          <w:szCs w:val="18"/>
        </w:rPr>
        <w:t xml:space="preserve">Premier poste </w:t>
      </w:r>
      <w:r w:rsidR="00F62EDA">
        <w:rPr>
          <w:rFonts w:ascii="Segoe UI" w:hAnsi="Segoe UI" w:cs="Segoe UI"/>
          <w:sz w:val="18"/>
          <w:szCs w:val="18"/>
        </w:rPr>
        <w:t>à l’export</w:t>
      </w:r>
      <w:r w:rsidR="00FE263B">
        <w:rPr>
          <w:rFonts w:ascii="Segoe UI" w:hAnsi="Segoe UI" w:cs="Segoe UI"/>
          <w:sz w:val="18"/>
          <w:szCs w:val="18"/>
        </w:rPr>
        <w:t xml:space="preserve"> (</w:t>
      </w:r>
      <w:r w:rsidR="002979A7">
        <w:rPr>
          <w:rFonts w:ascii="Segoe UI" w:hAnsi="Segoe UI" w:cs="Segoe UI"/>
          <w:sz w:val="18"/>
          <w:szCs w:val="18"/>
        </w:rPr>
        <w:t xml:space="preserve">174 Md CAD/120 Md€, soit </w:t>
      </w:r>
      <w:r w:rsidR="00FE263B">
        <w:rPr>
          <w:rFonts w:ascii="Segoe UI" w:hAnsi="Segoe UI" w:cs="Segoe UI"/>
          <w:sz w:val="18"/>
          <w:szCs w:val="18"/>
        </w:rPr>
        <w:t>23% du total)</w:t>
      </w:r>
      <w:r w:rsidR="00BC260D">
        <w:rPr>
          <w:rFonts w:ascii="Segoe UI" w:hAnsi="Segoe UI" w:cs="Segoe UI"/>
          <w:sz w:val="18"/>
          <w:szCs w:val="18"/>
        </w:rPr>
        <w:t xml:space="preserve">, les </w:t>
      </w:r>
      <w:r w:rsidR="00BC260D" w:rsidRPr="00BC260D">
        <w:rPr>
          <w:rFonts w:ascii="Segoe UI" w:hAnsi="Segoe UI" w:cs="Segoe UI"/>
          <w:sz w:val="18"/>
          <w:szCs w:val="18"/>
          <w:u w:val="single"/>
        </w:rPr>
        <w:t>produits énergétique</w:t>
      </w:r>
      <w:r w:rsidR="00C35B56">
        <w:rPr>
          <w:rFonts w:ascii="Segoe UI" w:hAnsi="Segoe UI" w:cs="Segoe UI"/>
          <w:sz w:val="18"/>
          <w:szCs w:val="18"/>
          <w:u w:val="single"/>
        </w:rPr>
        <w:t>s</w:t>
      </w:r>
      <w:r w:rsidR="00C35B56">
        <w:rPr>
          <w:rFonts w:ascii="Segoe UI" w:hAnsi="Segoe UI" w:cs="Segoe UI"/>
          <w:sz w:val="18"/>
          <w:szCs w:val="18"/>
        </w:rPr>
        <w:t xml:space="preserve"> connaissent la plus forte</w:t>
      </w:r>
      <w:r w:rsidR="00F355E7">
        <w:rPr>
          <w:rFonts w:ascii="Segoe UI" w:hAnsi="Segoe UI" w:cs="Segoe UI"/>
          <w:sz w:val="18"/>
          <w:szCs w:val="18"/>
        </w:rPr>
        <w:t xml:space="preserve"> baisse</w:t>
      </w:r>
      <w:r w:rsidR="00291185">
        <w:rPr>
          <w:rFonts w:ascii="Segoe UI" w:hAnsi="Segoe UI" w:cs="Segoe UI"/>
          <w:sz w:val="18"/>
          <w:szCs w:val="18"/>
        </w:rPr>
        <w:t xml:space="preserve"> </w:t>
      </w:r>
      <w:r w:rsidR="002979A7">
        <w:rPr>
          <w:rFonts w:ascii="Segoe UI" w:hAnsi="Segoe UI" w:cs="Segoe UI"/>
          <w:sz w:val="18"/>
          <w:szCs w:val="18"/>
        </w:rPr>
        <w:t>parmi l’ensemble des secteurs</w:t>
      </w:r>
      <w:r w:rsidR="00FB77A1">
        <w:rPr>
          <w:rFonts w:ascii="Segoe UI" w:hAnsi="Segoe UI" w:cs="Segoe UI"/>
          <w:sz w:val="18"/>
          <w:szCs w:val="18"/>
        </w:rPr>
        <w:t xml:space="preserve"> (-19%)</w:t>
      </w:r>
      <w:r>
        <w:rPr>
          <w:rFonts w:ascii="Segoe UI" w:hAnsi="Segoe UI" w:cs="Segoe UI"/>
          <w:sz w:val="18"/>
          <w:szCs w:val="18"/>
        </w:rPr>
        <w:t>,</w:t>
      </w:r>
      <w:r w:rsidR="00FB77A1">
        <w:rPr>
          <w:rFonts w:ascii="Segoe UI" w:hAnsi="Segoe UI" w:cs="Segoe UI"/>
          <w:sz w:val="18"/>
          <w:szCs w:val="18"/>
        </w:rPr>
        <w:t xml:space="preserve"> </w:t>
      </w:r>
      <w:r w:rsidR="002979A7">
        <w:rPr>
          <w:rFonts w:ascii="Segoe UI" w:hAnsi="Segoe UI" w:cs="Segoe UI"/>
          <w:sz w:val="18"/>
          <w:szCs w:val="18"/>
        </w:rPr>
        <w:t>suite à</w:t>
      </w:r>
      <w:r w:rsidR="009B2B40">
        <w:rPr>
          <w:rFonts w:ascii="Segoe UI" w:hAnsi="Segoe UI" w:cs="Segoe UI"/>
          <w:sz w:val="18"/>
          <w:szCs w:val="18"/>
        </w:rPr>
        <w:t xml:space="preserve"> la </w:t>
      </w:r>
      <w:r>
        <w:rPr>
          <w:rFonts w:ascii="Segoe UI" w:hAnsi="Segoe UI" w:cs="Segoe UI"/>
          <w:sz w:val="18"/>
          <w:szCs w:val="18"/>
        </w:rPr>
        <w:t>baisse</w:t>
      </w:r>
      <w:r w:rsidR="00FB77A1">
        <w:rPr>
          <w:rFonts w:ascii="Segoe UI" w:hAnsi="Segoe UI" w:cs="Segoe UI"/>
          <w:sz w:val="18"/>
          <w:szCs w:val="18"/>
        </w:rPr>
        <w:t xml:space="preserve"> du cours du pétrole brut et du </w:t>
      </w:r>
      <w:r w:rsidR="00624E37">
        <w:rPr>
          <w:rFonts w:ascii="Segoe UI" w:hAnsi="Segoe UI" w:cs="Segoe UI"/>
          <w:sz w:val="18"/>
          <w:szCs w:val="18"/>
        </w:rPr>
        <w:t>gaz, alors</w:t>
      </w:r>
      <w:r w:rsidR="002979A7">
        <w:rPr>
          <w:rFonts w:ascii="Segoe UI" w:hAnsi="Segoe UI" w:cs="Segoe UI"/>
          <w:sz w:val="18"/>
          <w:szCs w:val="18"/>
        </w:rPr>
        <w:t xml:space="preserve"> même que </w:t>
      </w:r>
      <w:r w:rsidR="00CA4CB6">
        <w:rPr>
          <w:rFonts w:ascii="Segoe UI" w:hAnsi="Segoe UI" w:cs="Segoe UI"/>
          <w:sz w:val="18"/>
          <w:szCs w:val="18"/>
        </w:rPr>
        <w:t xml:space="preserve">le Canada </w:t>
      </w:r>
      <w:r w:rsidR="002979A7">
        <w:rPr>
          <w:rFonts w:ascii="Segoe UI" w:hAnsi="Segoe UI" w:cs="Segoe UI"/>
          <w:sz w:val="18"/>
          <w:szCs w:val="18"/>
        </w:rPr>
        <w:t>a battu</w:t>
      </w:r>
      <w:r w:rsidR="00CA4CB6">
        <w:rPr>
          <w:rFonts w:ascii="Segoe UI" w:hAnsi="Segoe UI" w:cs="Segoe UI"/>
          <w:sz w:val="18"/>
          <w:szCs w:val="18"/>
        </w:rPr>
        <w:t xml:space="preserve"> son record de production</w:t>
      </w:r>
      <w:r w:rsidR="00B8639E">
        <w:rPr>
          <w:rFonts w:ascii="Segoe UI" w:hAnsi="Segoe UI" w:cs="Segoe UI"/>
          <w:sz w:val="18"/>
          <w:szCs w:val="18"/>
        </w:rPr>
        <w:t xml:space="preserve"> et d’exportation</w:t>
      </w:r>
      <w:r w:rsidR="00CA4CB6">
        <w:rPr>
          <w:rFonts w:ascii="Segoe UI" w:hAnsi="Segoe UI" w:cs="Segoe UI"/>
          <w:sz w:val="18"/>
          <w:szCs w:val="18"/>
        </w:rPr>
        <w:t xml:space="preserve"> de pétrole et de gaz </w:t>
      </w:r>
      <w:r w:rsidR="00B8639E">
        <w:rPr>
          <w:rFonts w:ascii="Segoe UI" w:hAnsi="Segoe UI" w:cs="Segoe UI"/>
          <w:sz w:val="18"/>
          <w:szCs w:val="18"/>
        </w:rPr>
        <w:t xml:space="preserve">en volume </w:t>
      </w:r>
      <w:r w:rsidR="00CA4CB6">
        <w:rPr>
          <w:rFonts w:ascii="Segoe UI" w:hAnsi="Segoe UI" w:cs="Segoe UI"/>
          <w:sz w:val="18"/>
          <w:szCs w:val="18"/>
        </w:rPr>
        <w:t xml:space="preserve">en 2023. </w:t>
      </w:r>
      <w:r w:rsidR="0057292B">
        <w:rPr>
          <w:rFonts w:ascii="Segoe UI" w:hAnsi="Segoe UI" w:cs="Segoe UI"/>
          <w:sz w:val="18"/>
          <w:szCs w:val="18"/>
        </w:rPr>
        <w:t xml:space="preserve">Les autres industries extractives comme les </w:t>
      </w:r>
      <w:r w:rsidR="0057292B" w:rsidRPr="0057292B">
        <w:rPr>
          <w:rFonts w:ascii="Segoe UI" w:hAnsi="Segoe UI" w:cs="Segoe UI"/>
          <w:sz w:val="18"/>
          <w:szCs w:val="18"/>
          <w:u w:val="single"/>
        </w:rPr>
        <w:t>produits forestiers</w:t>
      </w:r>
      <w:r w:rsidR="0057292B">
        <w:rPr>
          <w:rFonts w:ascii="Segoe UI" w:hAnsi="Segoe UI" w:cs="Segoe UI"/>
          <w:sz w:val="18"/>
          <w:szCs w:val="18"/>
        </w:rPr>
        <w:t xml:space="preserve"> (46,7 Md CAD/32,2 Md€) et les </w:t>
      </w:r>
      <w:r w:rsidR="0057292B" w:rsidRPr="0057292B">
        <w:rPr>
          <w:rFonts w:ascii="Segoe UI" w:hAnsi="Segoe UI" w:cs="Segoe UI"/>
          <w:sz w:val="18"/>
          <w:szCs w:val="18"/>
          <w:u w:val="single"/>
        </w:rPr>
        <w:t>minerais</w:t>
      </w:r>
      <w:r w:rsidR="0057292B">
        <w:rPr>
          <w:rFonts w:ascii="Segoe UI" w:hAnsi="Segoe UI" w:cs="Segoe UI"/>
          <w:sz w:val="18"/>
          <w:szCs w:val="18"/>
        </w:rPr>
        <w:t xml:space="preserve"> (</w:t>
      </w:r>
      <w:r w:rsidR="00CA4CB6">
        <w:rPr>
          <w:rFonts w:ascii="Segoe UI" w:hAnsi="Segoe UI" w:cs="Segoe UI"/>
          <w:sz w:val="18"/>
          <w:szCs w:val="18"/>
        </w:rPr>
        <w:t>29,2 Md CAD/20 Md</w:t>
      </w:r>
      <w:r w:rsidR="00F555E5">
        <w:rPr>
          <w:rFonts w:ascii="Segoe UI" w:hAnsi="Segoe UI" w:cs="Segoe UI"/>
          <w:sz w:val="18"/>
          <w:szCs w:val="18"/>
        </w:rPr>
        <w:t>€)</w:t>
      </w:r>
      <w:r w:rsidR="008C391B">
        <w:rPr>
          <w:rFonts w:ascii="Segoe UI" w:hAnsi="Segoe UI" w:cs="Segoe UI"/>
          <w:sz w:val="18"/>
          <w:szCs w:val="18"/>
        </w:rPr>
        <w:t xml:space="preserve"> connaissent respectivement une baisse de </w:t>
      </w:r>
      <w:r w:rsidR="005E0380">
        <w:rPr>
          <w:rFonts w:ascii="Segoe UI" w:hAnsi="Segoe UI" w:cs="Segoe UI"/>
          <w:sz w:val="18"/>
          <w:szCs w:val="18"/>
        </w:rPr>
        <w:t>16% et 15% sur un an</w:t>
      </w:r>
      <w:r w:rsidR="00CF5F6E">
        <w:rPr>
          <w:rFonts w:ascii="Segoe UI" w:hAnsi="Segoe UI" w:cs="Segoe UI"/>
          <w:sz w:val="18"/>
          <w:szCs w:val="18"/>
        </w:rPr>
        <w:t xml:space="preserve"> : l’indice du prix des produits forestiers de la Banque du Canada a chuté de 20% entre 2022 et 2023 ; </w:t>
      </w:r>
      <w:r w:rsidR="005F20A4">
        <w:rPr>
          <w:rFonts w:ascii="Segoe UI" w:hAnsi="Segoe UI" w:cs="Segoe UI"/>
          <w:sz w:val="18"/>
          <w:szCs w:val="18"/>
        </w:rPr>
        <w:t>-</w:t>
      </w:r>
      <w:r w:rsidR="00CF5F6E">
        <w:rPr>
          <w:rFonts w:ascii="Segoe UI" w:hAnsi="Segoe UI" w:cs="Segoe UI"/>
          <w:sz w:val="18"/>
          <w:szCs w:val="18"/>
        </w:rPr>
        <w:t>33% pour l’indice du prix des minerais</w:t>
      </w:r>
      <w:r w:rsidR="005E0380">
        <w:rPr>
          <w:rFonts w:ascii="Segoe UI" w:hAnsi="Segoe UI" w:cs="Segoe UI"/>
          <w:sz w:val="18"/>
          <w:szCs w:val="18"/>
        </w:rPr>
        <w:t xml:space="preserve">. </w:t>
      </w:r>
      <w:r w:rsidR="00FA1E70">
        <w:rPr>
          <w:rFonts w:ascii="Segoe UI" w:hAnsi="Segoe UI" w:cs="Segoe UI"/>
          <w:sz w:val="18"/>
          <w:szCs w:val="18"/>
        </w:rPr>
        <w:t xml:space="preserve">Hormis les </w:t>
      </w:r>
      <w:r w:rsidR="00FA1E70" w:rsidRPr="00FA1E70">
        <w:rPr>
          <w:rFonts w:ascii="Segoe UI" w:hAnsi="Segoe UI" w:cs="Segoe UI"/>
          <w:sz w:val="18"/>
          <w:szCs w:val="18"/>
          <w:u w:val="single"/>
        </w:rPr>
        <w:t>produits chimiques</w:t>
      </w:r>
      <w:r w:rsidR="00FA1E70">
        <w:rPr>
          <w:rFonts w:ascii="Segoe UI" w:hAnsi="Segoe UI" w:cs="Segoe UI"/>
          <w:sz w:val="18"/>
          <w:szCs w:val="18"/>
        </w:rPr>
        <w:t xml:space="preserve"> (-6% ; 42,5 Md CAD/29,1 Md€), </w:t>
      </w:r>
      <w:r w:rsidR="006E40F6">
        <w:rPr>
          <w:rFonts w:ascii="Segoe UI" w:hAnsi="Segoe UI" w:cs="Segoe UI"/>
          <w:sz w:val="18"/>
          <w:szCs w:val="18"/>
        </w:rPr>
        <w:t xml:space="preserve">les autres secteurs sont </w:t>
      </w:r>
      <w:r w:rsidR="00BA0BAE">
        <w:rPr>
          <w:rFonts w:ascii="Segoe UI" w:hAnsi="Segoe UI" w:cs="Segoe UI"/>
          <w:sz w:val="18"/>
          <w:szCs w:val="18"/>
        </w:rPr>
        <w:t xml:space="preserve">orientés </w:t>
      </w:r>
      <w:r w:rsidR="006E40F6">
        <w:rPr>
          <w:rFonts w:ascii="Segoe UI" w:hAnsi="Segoe UI" w:cs="Segoe UI"/>
          <w:sz w:val="18"/>
          <w:szCs w:val="18"/>
        </w:rPr>
        <w:t xml:space="preserve">à la hausse : </w:t>
      </w:r>
      <w:r w:rsidR="003C4309">
        <w:rPr>
          <w:rFonts w:ascii="Segoe UI" w:hAnsi="Segoe UI" w:cs="Segoe UI"/>
          <w:sz w:val="18"/>
          <w:szCs w:val="18"/>
        </w:rPr>
        <w:t xml:space="preserve">les exportations de l’industrie </w:t>
      </w:r>
      <w:r w:rsidR="003C4309" w:rsidRPr="003C4309">
        <w:rPr>
          <w:rFonts w:ascii="Segoe UI" w:hAnsi="Segoe UI" w:cs="Segoe UI"/>
          <w:sz w:val="18"/>
          <w:szCs w:val="18"/>
          <w:u w:val="single"/>
        </w:rPr>
        <w:t>automobile</w:t>
      </w:r>
      <w:r w:rsidR="003C4309">
        <w:rPr>
          <w:rFonts w:ascii="Segoe UI" w:hAnsi="Segoe UI" w:cs="Segoe UI"/>
          <w:sz w:val="18"/>
          <w:szCs w:val="18"/>
        </w:rPr>
        <w:t xml:space="preserve"> (+26% ; 102 Md CAD/70 Md€) et d</w:t>
      </w:r>
      <w:r w:rsidR="00E130E2">
        <w:rPr>
          <w:rFonts w:ascii="Segoe UI" w:hAnsi="Segoe UI" w:cs="Segoe UI"/>
          <w:sz w:val="18"/>
          <w:szCs w:val="18"/>
        </w:rPr>
        <w:t>e l’</w:t>
      </w:r>
      <w:r w:rsidR="003C4309" w:rsidRPr="0041147D">
        <w:rPr>
          <w:rFonts w:ascii="Segoe UI" w:hAnsi="Segoe UI" w:cs="Segoe UI"/>
          <w:sz w:val="18"/>
          <w:szCs w:val="18"/>
          <w:u w:val="single"/>
        </w:rPr>
        <w:t>aérospatial</w:t>
      </w:r>
      <w:r w:rsidR="002B6EBC">
        <w:rPr>
          <w:rFonts w:ascii="Segoe UI" w:hAnsi="Segoe UI" w:cs="Segoe UI"/>
          <w:sz w:val="18"/>
          <w:szCs w:val="18"/>
          <w:u w:val="single"/>
        </w:rPr>
        <w:t>e</w:t>
      </w:r>
      <w:r w:rsidR="00EA5B43">
        <w:rPr>
          <w:rFonts w:ascii="Segoe UI" w:hAnsi="Segoe UI" w:cs="Segoe UI"/>
          <w:sz w:val="18"/>
          <w:szCs w:val="18"/>
        </w:rPr>
        <w:t xml:space="preserve"> (+25% ; 30 Md CAD/20,7 Md€) dépassent </w:t>
      </w:r>
      <w:r w:rsidR="007058C6">
        <w:rPr>
          <w:rFonts w:ascii="Segoe UI" w:hAnsi="Segoe UI" w:cs="Segoe UI"/>
          <w:sz w:val="18"/>
          <w:szCs w:val="18"/>
        </w:rPr>
        <w:t>pour</w:t>
      </w:r>
      <w:r w:rsidR="000F25B9">
        <w:rPr>
          <w:rFonts w:ascii="Segoe UI" w:hAnsi="Segoe UI" w:cs="Segoe UI"/>
          <w:sz w:val="18"/>
          <w:szCs w:val="18"/>
        </w:rPr>
        <w:t xml:space="preserve"> la première fois</w:t>
      </w:r>
      <w:r w:rsidR="00EA5B43">
        <w:rPr>
          <w:rFonts w:ascii="Segoe UI" w:hAnsi="Segoe UI" w:cs="Segoe UI"/>
          <w:sz w:val="18"/>
          <w:szCs w:val="18"/>
        </w:rPr>
        <w:t xml:space="preserve"> leur niveau </w:t>
      </w:r>
      <w:r w:rsidR="00B528FC">
        <w:rPr>
          <w:rFonts w:ascii="Segoe UI" w:hAnsi="Segoe UI" w:cs="Segoe UI"/>
          <w:sz w:val="18"/>
          <w:szCs w:val="18"/>
        </w:rPr>
        <w:t>de 2019</w:t>
      </w:r>
      <w:r w:rsidR="00EA5B43">
        <w:rPr>
          <w:rFonts w:ascii="Segoe UI" w:hAnsi="Segoe UI" w:cs="Segoe UI"/>
          <w:sz w:val="18"/>
          <w:szCs w:val="18"/>
        </w:rPr>
        <w:t xml:space="preserve">. </w:t>
      </w:r>
      <w:r w:rsidR="000B5403">
        <w:rPr>
          <w:rFonts w:ascii="Segoe UI" w:hAnsi="Segoe UI" w:cs="Segoe UI"/>
          <w:sz w:val="18"/>
          <w:szCs w:val="18"/>
        </w:rPr>
        <w:t>L</w:t>
      </w:r>
      <w:r w:rsidR="00B214E6">
        <w:rPr>
          <w:rFonts w:ascii="Segoe UI" w:hAnsi="Segoe UI" w:cs="Segoe UI"/>
          <w:sz w:val="18"/>
          <w:szCs w:val="18"/>
        </w:rPr>
        <w:t xml:space="preserve">es </w:t>
      </w:r>
      <w:r w:rsidR="00B214E6" w:rsidRPr="00B214E6">
        <w:rPr>
          <w:rFonts w:ascii="Segoe UI" w:hAnsi="Segoe UI" w:cs="Segoe UI"/>
          <w:sz w:val="18"/>
          <w:szCs w:val="18"/>
          <w:u w:val="single"/>
        </w:rPr>
        <w:t>produits agricoles</w:t>
      </w:r>
      <w:r w:rsidR="00A15A1E">
        <w:rPr>
          <w:rFonts w:ascii="Segoe UI" w:hAnsi="Segoe UI" w:cs="Segoe UI"/>
          <w:sz w:val="18"/>
          <w:szCs w:val="18"/>
        </w:rPr>
        <w:t xml:space="preserve"> (</w:t>
      </w:r>
      <w:r w:rsidR="000F133F">
        <w:rPr>
          <w:rFonts w:ascii="Segoe UI" w:hAnsi="Segoe UI" w:cs="Segoe UI"/>
          <w:sz w:val="18"/>
          <w:szCs w:val="18"/>
        </w:rPr>
        <w:t>+6% ; 61 Md CAD/42 Md€)</w:t>
      </w:r>
      <w:r w:rsidR="00B214E6">
        <w:rPr>
          <w:rFonts w:ascii="Segoe UI" w:hAnsi="Segoe UI" w:cs="Segoe UI"/>
          <w:sz w:val="18"/>
          <w:szCs w:val="18"/>
        </w:rPr>
        <w:t xml:space="preserve">, et les </w:t>
      </w:r>
      <w:r w:rsidR="00B214E6">
        <w:rPr>
          <w:rFonts w:ascii="Segoe UI" w:hAnsi="Segoe UI" w:cs="Segoe UI"/>
          <w:sz w:val="18"/>
          <w:szCs w:val="18"/>
          <w:u w:val="single"/>
        </w:rPr>
        <w:t>pièces industrielles</w:t>
      </w:r>
      <w:r w:rsidR="00B214E6">
        <w:rPr>
          <w:rFonts w:ascii="Segoe UI" w:hAnsi="Segoe UI" w:cs="Segoe UI"/>
          <w:sz w:val="18"/>
          <w:szCs w:val="18"/>
        </w:rPr>
        <w:t xml:space="preserve"> </w:t>
      </w:r>
      <w:r w:rsidR="0032757B">
        <w:rPr>
          <w:rFonts w:ascii="Segoe UI" w:hAnsi="Segoe UI" w:cs="Segoe UI"/>
          <w:sz w:val="18"/>
          <w:szCs w:val="18"/>
        </w:rPr>
        <w:t>(+12% ; 51,4 Md CAD/35,5 Md</w:t>
      </w:r>
      <w:r w:rsidR="00916316">
        <w:rPr>
          <w:rFonts w:ascii="Segoe UI" w:hAnsi="Segoe UI" w:cs="Segoe UI"/>
          <w:sz w:val="18"/>
          <w:szCs w:val="18"/>
        </w:rPr>
        <w:t>€</w:t>
      </w:r>
      <w:r w:rsidR="00857CCF">
        <w:rPr>
          <w:rFonts w:ascii="Segoe UI" w:hAnsi="Segoe UI" w:cs="Segoe UI"/>
          <w:sz w:val="18"/>
          <w:szCs w:val="18"/>
        </w:rPr>
        <w:t xml:space="preserve">), qui avaient respectivement dépassé les niveaux </w:t>
      </w:r>
      <w:r w:rsidR="001B4E61">
        <w:rPr>
          <w:rFonts w:ascii="Segoe UI" w:hAnsi="Segoe UI" w:cs="Segoe UI"/>
          <w:sz w:val="18"/>
          <w:szCs w:val="18"/>
        </w:rPr>
        <w:t>prépandémiques</w:t>
      </w:r>
      <w:r w:rsidR="00857CCF">
        <w:rPr>
          <w:rFonts w:ascii="Segoe UI" w:hAnsi="Segoe UI" w:cs="Segoe UI"/>
          <w:sz w:val="18"/>
          <w:szCs w:val="18"/>
        </w:rPr>
        <w:t xml:space="preserve"> en 2021 et en 2022</w:t>
      </w:r>
      <w:r>
        <w:rPr>
          <w:rFonts w:ascii="Segoe UI" w:hAnsi="Segoe UI" w:cs="Segoe UI"/>
          <w:sz w:val="18"/>
          <w:szCs w:val="18"/>
        </w:rPr>
        <w:t>,</w:t>
      </w:r>
      <w:r w:rsidR="00857CCF">
        <w:rPr>
          <w:rFonts w:ascii="Segoe UI" w:hAnsi="Segoe UI" w:cs="Segoe UI"/>
          <w:sz w:val="18"/>
          <w:szCs w:val="18"/>
        </w:rPr>
        <w:t xml:space="preserve"> continuent leur progression</w:t>
      </w:r>
      <w:r w:rsidR="00FD003D">
        <w:rPr>
          <w:rFonts w:ascii="Segoe UI" w:hAnsi="Segoe UI" w:cs="Segoe UI"/>
          <w:sz w:val="18"/>
          <w:szCs w:val="18"/>
        </w:rPr>
        <w:t xml:space="preserve"> sur l’année 2023</w:t>
      </w:r>
      <w:r w:rsidR="00857CCF">
        <w:rPr>
          <w:rFonts w:ascii="Segoe UI" w:hAnsi="Segoe UI" w:cs="Segoe UI"/>
          <w:sz w:val="18"/>
          <w:szCs w:val="18"/>
        </w:rPr>
        <w:t xml:space="preserve"> </w:t>
      </w:r>
      <w:r w:rsidR="00EB58C5">
        <w:rPr>
          <w:rFonts w:ascii="Segoe UI" w:hAnsi="Segoe UI" w:cs="Segoe UI"/>
          <w:sz w:val="18"/>
          <w:szCs w:val="18"/>
        </w:rPr>
        <w:t>(</w:t>
      </w:r>
      <w:r w:rsidR="00B214E6" w:rsidRPr="002322B3">
        <w:rPr>
          <w:rFonts w:ascii="Segoe UI" w:hAnsi="Segoe UI" w:cs="Segoe UI"/>
          <w:i/>
          <w:iCs/>
          <w:sz w:val="18"/>
          <w:szCs w:val="18"/>
        </w:rPr>
        <w:t>Annexe III</w:t>
      </w:r>
      <w:r w:rsidR="00B214E6">
        <w:rPr>
          <w:rFonts w:ascii="Segoe UI" w:hAnsi="Segoe UI" w:cs="Segoe UI"/>
          <w:sz w:val="18"/>
          <w:szCs w:val="18"/>
        </w:rPr>
        <w:t>)</w:t>
      </w:r>
      <w:r w:rsidR="00354567">
        <w:rPr>
          <w:rFonts w:ascii="Segoe UI" w:hAnsi="Segoe UI" w:cs="Segoe UI"/>
          <w:sz w:val="18"/>
          <w:szCs w:val="18"/>
        </w:rPr>
        <w:t>.</w:t>
      </w:r>
      <w:r w:rsidR="00B214E6">
        <w:rPr>
          <w:rFonts w:ascii="Segoe UI" w:hAnsi="Segoe UI" w:cs="Segoe UI"/>
          <w:sz w:val="18"/>
          <w:szCs w:val="18"/>
        </w:rPr>
        <w:t xml:space="preserve">   </w:t>
      </w:r>
    </w:p>
    <w:p w14:paraId="2DA15D06" w14:textId="751D4012" w:rsidR="00C25FAC" w:rsidRPr="00436A38" w:rsidRDefault="00C25FAC" w:rsidP="00371454">
      <w:pPr>
        <w:spacing w:after="60"/>
        <w:jc w:val="both"/>
        <w:rPr>
          <w:rFonts w:ascii="Segoe UI" w:hAnsi="Segoe UI" w:cs="Segoe UI"/>
          <w:sz w:val="18"/>
          <w:szCs w:val="18"/>
        </w:rPr>
      </w:pPr>
      <w:r>
        <w:rPr>
          <w:rFonts w:ascii="Segoe UI" w:hAnsi="Segoe UI" w:cs="Segoe UI"/>
          <w:b/>
          <w:bCs/>
          <w:sz w:val="18"/>
          <w:szCs w:val="18"/>
        </w:rPr>
        <w:t xml:space="preserve">L’Ontario </w:t>
      </w:r>
      <w:r w:rsidR="006E40F6">
        <w:rPr>
          <w:rFonts w:ascii="Segoe UI" w:hAnsi="Segoe UI" w:cs="Segoe UI"/>
          <w:b/>
          <w:bCs/>
          <w:sz w:val="18"/>
          <w:szCs w:val="18"/>
        </w:rPr>
        <w:t xml:space="preserve">(35% des exportations) </w:t>
      </w:r>
      <w:r w:rsidR="007F0C41">
        <w:rPr>
          <w:rFonts w:ascii="Segoe UI" w:hAnsi="Segoe UI" w:cs="Segoe UI"/>
          <w:b/>
          <w:bCs/>
          <w:sz w:val="18"/>
          <w:szCs w:val="18"/>
        </w:rPr>
        <w:t>et le Québec</w:t>
      </w:r>
      <w:r w:rsidR="006E40F6">
        <w:rPr>
          <w:rFonts w:ascii="Segoe UI" w:hAnsi="Segoe UI" w:cs="Segoe UI"/>
          <w:b/>
          <w:bCs/>
          <w:sz w:val="18"/>
          <w:szCs w:val="18"/>
        </w:rPr>
        <w:t xml:space="preserve"> (16%)</w:t>
      </w:r>
      <w:r w:rsidR="007F0C41">
        <w:rPr>
          <w:rFonts w:ascii="Segoe UI" w:hAnsi="Segoe UI" w:cs="Segoe UI"/>
          <w:b/>
          <w:bCs/>
          <w:sz w:val="18"/>
          <w:szCs w:val="18"/>
        </w:rPr>
        <w:t xml:space="preserve"> renforcent leur importance dans les exportations </w:t>
      </w:r>
      <w:r w:rsidR="0012015C">
        <w:rPr>
          <w:rFonts w:ascii="Segoe UI" w:hAnsi="Segoe UI" w:cs="Segoe UI"/>
          <w:b/>
          <w:bCs/>
          <w:sz w:val="18"/>
          <w:szCs w:val="18"/>
        </w:rPr>
        <w:t>totales</w:t>
      </w:r>
      <w:r w:rsidR="00E11317">
        <w:rPr>
          <w:rFonts w:ascii="Segoe UI" w:hAnsi="Segoe UI" w:cs="Segoe UI"/>
          <w:b/>
          <w:bCs/>
          <w:sz w:val="18"/>
          <w:szCs w:val="18"/>
        </w:rPr>
        <w:t>,</w:t>
      </w:r>
      <w:r w:rsidR="0073191A">
        <w:rPr>
          <w:rFonts w:ascii="Segoe UI" w:hAnsi="Segoe UI" w:cs="Segoe UI"/>
          <w:b/>
          <w:bCs/>
          <w:sz w:val="18"/>
          <w:szCs w:val="18"/>
        </w:rPr>
        <w:t xml:space="preserve"> </w:t>
      </w:r>
      <w:r w:rsidR="007F0C41">
        <w:rPr>
          <w:rFonts w:ascii="Segoe UI" w:hAnsi="Segoe UI" w:cs="Segoe UI"/>
          <w:b/>
          <w:bCs/>
          <w:sz w:val="18"/>
          <w:szCs w:val="18"/>
        </w:rPr>
        <w:t xml:space="preserve">tandis que l’Alberta subit le repli du cours des hydrocarbures (25%). </w:t>
      </w:r>
      <w:r w:rsidR="00436A38">
        <w:rPr>
          <w:rFonts w:ascii="Segoe UI" w:hAnsi="Segoe UI" w:cs="Segoe UI"/>
          <w:sz w:val="18"/>
          <w:szCs w:val="18"/>
        </w:rPr>
        <w:t xml:space="preserve">Avec </w:t>
      </w:r>
      <w:r w:rsidR="00871868">
        <w:rPr>
          <w:rFonts w:ascii="Segoe UI" w:hAnsi="Segoe UI" w:cs="Segoe UI"/>
          <w:sz w:val="18"/>
          <w:szCs w:val="18"/>
        </w:rPr>
        <w:t>35%</w:t>
      </w:r>
      <w:r w:rsidR="00436A38">
        <w:rPr>
          <w:rFonts w:ascii="Segoe UI" w:hAnsi="Segoe UI" w:cs="Segoe UI"/>
          <w:sz w:val="18"/>
          <w:szCs w:val="18"/>
        </w:rPr>
        <w:t xml:space="preserve"> des exportations canadiennes</w:t>
      </w:r>
      <w:r w:rsidR="00D027A7">
        <w:rPr>
          <w:rFonts w:ascii="Segoe UI" w:hAnsi="Segoe UI" w:cs="Segoe UI"/>
          <w:sz w:val="18"/>
          <w:szCs w:val="18"/>
        </w:rPr>
        <w:t xml:space="preserve"> contre 31% il y a un an</w:t>
      </w:r>
      <w:r w:rsidR="0089376C">
        <w:rPr>
          <w:rFonts w:ascii="Segoe UI" w:hAnsi="Segoe UI" w:cs="Segoe UI"/>
          <w:sz w:val="18"/>
          <w:szCs w:val="18"/>
        </w:rPr>
        <w:t xml:space="preserve">, </w:t>
      </w:r>
      <w:r w:rsidR="00436A38">
        <w:rPr>
          <w:rFonts w:ascii="Segoe UI" w:hAnsi="Segoe UI" w:cs="Segoe UI"/>
          <w:sz w:val="18"/>
          <w:szCs w:val="18"/>
        </w:rPr>
        <w:t>l’</w:t>
      </w:r>
      <w:r w:rsidR="00436A38" w:rsidRPr="007A26A0">
        <w:rPr>
          <w:rFonts w:ascii="Segoe UI" w:hAnsi="Segoe UI" w:cs="Segoe UI"/>
          <w:sz w:val="18"/>
          <w:szCs w:val="18"/>
          <w:u w:val="single"/>
        </w:rPr>
        <w:t>Ontario</w:t>
      </w:r>
      <w:r w:rsidR="00436A38">
        <w:rPr>
          <w:rFonts w:ascii="Segoe UI" w:hAnsi="Segoe UI" w:cs="Segoe UI"/>
          <w:sz w:val="18"/>
          <w:szCs w:val="18"/>
        </w:rPr>
        <w:t xml:space="preserve"> (</w:t>
      </w:r>
      <w:r w:rsidR="004D6E28">
        <w:rPr>
          <w:rFonts w:ascii="Segoe UI" w:hAnsi="Segoe UI" w:cs="Segoe UI"/>
          <w:sz w:val="18"/>
          <w:szCs w:val="18"/>
        </w:rPr>
        <w:t>39</w:t>
      </w:r>
      <w:r w:rsidR="00436A38">
        <w:rPr>
          <w:rFonts w:ascii="Segoe UI" w:hAnsi="Segoe UI" w:cs="Segoe UI"/>
          <w:sz w:val="18"/>
          <w:szCs w:val="18"/>
        </w:rPr>
        <w:t>% du PIB et de la population</w:t>
      </w:r>
      <w:r w:rsidR="004D6E28">
        <w:rPr>
          <w:rFonts w:ascii="Segoe UI" w:hAnsi="Segoe UI" w:cs="Segoe UI"/>
          <w:sz w:val="18"/>
          <w:szCs w:val="18"/>
        </w:rPr>
        <w:t xml:space="preserve">) </w:t>
      </w:r>
      <w:r w:rsidR="006E40F6">
        <w:rPr>
          <w:rFonts w:ascii="Segoe UI" w:hAnsi="Segoe UI" w:cs="Segoe UI"/>
          <w:sz w:val="18"/>
          <w:szCs w:val="18"/>
        </w:rPr>
        <w:t>demeure le cœur de la machine exportatrice</w:t>
      </w:r>
      <w:r w:rsidR="00871868">
        <w:rPr>
          <w:rFonts w:ascii="Segoe UI" w:hAnsi="Segoe UI" w:cs="Segoe UI"/>
          <w:sz w:val="18"/>
          <w:szCs w:val="18"/>
        </w:rPr>
        <w:t xml:space="preserve"> du pays</w:t>
      </w:r>
      <w:r w:rsidR="00A95E06">
        <w:rPr>
          <w:rFonts w:ascii="Segoe UI" w:hAnsi="Segoe UI" w:cs="Segoe UI"/>
          <w:sz w:val="18"/>
          <w:szCs w:val="18"/>
        </w:rPr>
        <w:t xml:space="preserve">. </w:t>
      </w:r>
      <w:r w:rsidR="001D58AD">
        <w:rPr>
          <w:rFonts w:ascii="Segoe UI" w:hAnsi="Segoe UI" w:cs="Segoe UI"/>
          <w:sz w:val="18"/>
          <w:szCs w:val="18"/>
        </w:rPr>
        <w:t>L</w:t>
      </w:r>
      <w:r w:rsidR="0089376C">
        <w:rPr>
          <w:rFonts w:ascii="Segoe UI" w:hAnsi="Segoe UI" w:cs="Segoe UI"/>
          <w:sz w:val="18"/>
          <w:szCs w:val="18"/>
        </w:rPr>
        <w:t>a province a exporté</w:t>
      </w:r>
      <w:r w:rsidR="001D58AD">
        <w:rPr>
          <w:rFonts w:ascii="Segoe UI" w:hAnsi="Segoe UI" w:cs="Segoe UI"/>
          <w:sz w:val="18"/>
          <w:szCs w:val="18"/>
        </w:rPr>
        <w:t xml:space="preserve"> pour</w:t>
      </w:r>
      <w:r w:rsidR="0089376C">
        <w:rPr>
          <w:rFonts w:ascii="Segoe UI" w:hAnsi="Segoe UI" w:cs="Segoe UI"/>
          <w:sz w:val="18"/>
          <w:szCs w:val="18"/>
        </w:rPr>
        <w:t xml:space="preserve"> 251,6 Md CAD (173,5 Md€)</w:t>
      </w:r>
      <w:r w:rsidR="00EE5C89">
        <w:rPr>
          <w:rFonts w:ascii="Segoe UI" w:hAnsi="Segoe UI" w:cs="Segoe UI"/>
          <w:sz w:val="18"/>
          <w:szCs w:val="18"/>
        </w:rPr>
        <w:t>, soit 11% de plus qu’en 2022</w:t>
      </w:r>
      <w:r w:rsidR="006E40F6">
        <w:rPr>
          <w:rFonts w:ascii="Segoe UI" w:hAnsi="Segoe UI" w:cs="Segoe UI"/>
          <w:sz w:val="18"/>
          <w:szCs w:val="18"/>
        </w:rPr>
        <w:t> : d</w:t>
      </w:r>
      <w:r w:rsidR="00D97553">
        <w:rPr>
          <w:rFonts w:ascii="Segoe UI" w:hAnsi="Segoe UI" w:cs="Segoe UI"/>
          <w:sz w:val="18"/>
          <w:szCs w:val="18"/>
        </w:rPr>
        <w:t xml:space="preserve">es résultats qui </w:t>
      </w:r>
      <w:r w:rsidR="007F0A89">
        <w:rPr>
          <w:rFonts w:ascii="Segoe UI" w:hAnsi="Segoe UI" w:cs="Segoe UI"/>
          <w:sz w:val="18"/>
          <w:szCs w:val="18"/>
        </w:rPr>
        <w:t xml:space="preserve">tiennent </w:t>
      </w:r>
      <w:r w:rsidR="006E40F6">
        <w:rPr>
          <w:rFonts w:ascii="Segoe UI" w:hAnsi="Segoe UI" w:cs="Segoe UI"/>
          <w:sz w:val="18"/>
          <w:szCs w:val="18"/>
        </w:rPr>
        <w:t xml:space="preserve">aux exportations de </w:t>
      </w:r>
      <w:r w:rsidR="007A26A0">
        <w:rPr>
          <w:rFonts w:ascii="Segoe UI" w:hAnsi="Segoe UI" w:cs="Segoe UI"/>
          <w:sz w:val="18"/>
          <w:szCs w:val="18"/>
        </w:rPr>
        <w:t>son industrie automobile</w:t>
      </w:r>
      <w:r w:rsidR="00C53470">
        <w:rPr>
          <w:rFonts w:ascii="Segoe UI" w:hAnsi="Segoe UI" w:cs="Segoe UI"/>
          <w:sz w:val="18"/>
          <w:szCs w:val="18"/>
        </w:rPr>
        <w:t xml:space="preserve"> (</w:t>
      </w:r>
      <w:r w:rsidR="00603A7A">
        <w:rPr>
          <w:rFonts w:ascii="Segoe UI" w:hAnsi="Segoe UI" w:cs="Segoe UI"/>
          <w:sz w:val="18"/>
          <w:szCs w:val="18"/>
        </w:rPr>
        <w:t>88</w:t>
      </w:r>
      <w:r w:rsidR="00AA682F">
        <w:rPr>
          <w:rFonts w:ascii="Segoe UI" w:hAnsi="Segoe UI" w:cs="Segoe UI"/>
          <w:sz w:val="18"/>
          <w:szCs w:val="18"/>
        </w:rPr>
        <w:t xml:space="preserve">% </w:t>
      </w:r>
      <w:r w:rsidR="00603A7A">
        <w:rPr>
          <w:rFonts w:ascii="Segoe UI" w:hAnsi="Segoe UI" w:cs="Segoe UI"/>
          <w:sz w:val="18"/>
          <w:szCs w:val="18"/>
        </w:rPr>
        <w:t xml:space="preserve">du </w:t>
      </w:r>
      <w:r w:rsidR="007F0A89">
        <w:rPr>
          <w:rFonts w:ascii="Segoe UI" w:hAnsi="Segoe UI" w:cs="Segoe UI"/>
          <w:sz w:val="18"/>
          <w:szCs w:val="18"/>
        </w:rPr>
        <w:t>total canadien</w:t>
      </w:r>
      <w:r w:rsidR="006E40F6">
        <w:rPr>
          <w:rFonts w:ascii="Segoe UI" w:hAnsi="Segoe UI" w:cs="Segoe UI"/>
          <w:sz w:val="18"/>
          <w:szCs w:val="18"/>
        </w:rPr>
        <w:t>)</w:t>
      </w:r>
      <w:r w:rsidR="0075032E">
        <w:rPr>
          <w:rFonts w:ascii="Segoe UI" w:hAnsi="Segoe UI" w:cs="Segoe UI"/>
          <w:sz w:val="18"/>
          <w:szCs w:val="18"/>
        </w:rPr>
        <w:t xml:space="preserve"> qui ont augmenté de 31% sur un an</w:t>
      </w:r>
      <w:r w:rsidR="00BD2BA2">
        <w:rPr>
          <w:rFonts w:ascii="Segoe UI" w:hAnsi="Segoe UI" w:cs="Segoe UI"/>
          <w:sz w:val="18"/>
          <w:szCs w:val="18"/>
        </w:rPr>
        <w:t xml:space="preserve">, </w:t>
      </w:r>
      <w:r w:rsidR="008510B1">
        <w:rPr>
          <w:rFonts w:ascii="Segoe UI" w:hAnsi="Segoe UI" w:cs="Segoe UI"/>
          <w:sz w:val="18"/>
          <w:szCs w:val="18"/>
        </w:rPr>
        <w:t>de</w:t>
      </w:r>
      <w:r w:rsidR="006E40F6">
        <w:rPr>
          <w:rFonts w:ascii="Segoe UI" w:hAnsi="Segoe UI" w:cs="Segoe UI"/>
          <w:sz w:val="18"/>
          <w:szCs w:val="18"/>
        </w:rPr>
        <w:t>s</w:t>
      </w:r>
      <w:r w:rsidR="008510B1">
        <w:rPr>
          <w:rFonts w:ascii="Segoe UI" w:hAnsi="Segoe UI" w:cs="Segoe UI"/>
          <w:sz w:val="18"/>
          <w:szCs w:val="18"/>
        </w:rPr>
        <w:t xml:space="preserve"> produits en métal et minéraux non-métalliques (</w:t>
      </w:r>
      <w:r w:rsidR="005173BE">
        <w:rPr>
          <w:rFonts w:ascii="Segoe UI" w:hAnsi="Segoe UI" w:cs="Segoe UI"/>
          <w:sz w:val="18"/>
          <w:szCs w:val="18"/>
        </w:rPr>
        <w:t>58</w:t>
      </w:r>
      <w:r w:rsidR="008510B1">
        <w:rPr>
          <w:rFonts w:ascii="Segoe UI" w:hAnsi="Segoe UI" w:cs="Segoe UI"/>
          <w:sz w:val="18"/>
          <w:szCs w:val="18"/>
        </w:rPr>
        <w:t>% du total canadien</w:t>
      </w:r>
      <w:r w:rsidR="0065691E">
        <w:rPr>
          <w:rFonts w:ascii="Segoe UI" w:hAnsi="Segoe UI" w:cs="Segoe UI"/>
          <w:sz w:val="18"/>
          <w:szCs w:val="18"/>
        </w:rPr>
        <w:t xml:space="preserve"> ; </w:t>
      </w:r>
      <w:r w:rsidR="00870BCD">
        <w:rPr>
          <w:rFonts w:ascii="Segoe UI" w:hAnsi="Segoe UI" w:cs="Segoe UI"/>
          <w:sz w:val="18"/>
          <w:szCs w:val="18"/>
        </w:rPr>
        <w:t>+4% sur un an</w:t>
      </w:r>
      <w:r w:rsidR="008510B1">
        <w:rPr>
          <w:rFonts w:ascii="Segoe UI" w:hAnsi="Segoe UI" w:cs="Segoe UI"/>
          <w:sz w:val="18"/>
          <w:szCs w:val="18"/>
        </w:rPr>
        <w:t>), et de</w:t>
      </w:r>
      <w:r w:rsidR="00763D36">
        <w:rPr>
          <w:rFonts w:ascii="Segoe UI" w:hAnsi="Segoe UI" w:cs="Segoe UI"/>
          <w:sz w:val="18"/>
          <w:szCs w:val="18"/>
        </w:rPr>
        <w:t>s</w:t>
      </w:r>
      <w:r w:rsidR="008510B1">
        <w:rPr>
          <w:rFonts w:ascii="Segoe UI" w:hAnsi="Segoe UI" w:cs="Segoe UI"/>
          <w:sz w:val="18"/>
          <w:szCs w:val="18"/>
        </w:rPr>
        <w:t xml:space="preserve"> biens de consommation (</w:t>
      </w:r>
      <w:r w:rsidR="00DD089A">
        <w:rPr>
          <w:rFonts w:ascii="Segoe UI" w:hAnsi="Segoe UI" w:cs="Segoe UI"/>
          <w:sz w:val="18"/>
          <w:szCs w:val="18"/>
        </w:rPr>
        <w:t>53</w:t>
      </w:r>
      <w:r w:rsidR="008510B1">
        <w:rPr>
          <w:rFonts w:ascii="Segoe UI" w:hAnsi="Segoe UI" w:cs="Segoe UI"/>
          <w:sz w:val="18"/>
          <w:szCs w:val="18"/>
        </w:rPr>
        <w:t>% du total canadien</w:t>
      </w:r>
      <w:r w:rsidR="008E2AEA">
        <w:rPr>
          <w:rFonts w:ascii="Segoe UI" w:hAnsi="Segoe UI" w:cs="Segoe UI"/>
          <w:sz w:val="18"/>
          <w:szCs w:val="18"/>
        </w:rPr>
        <w:t xml:space="preserve"> ; +</w:t>
      </w:r>
      <w:r w:rsidR="006C0CA8">
        <w:rPr>
          <w:rFonts w:ascii="Segoe UI" w:hAnsi="Segoe UI" w:cs="Segoe UI"/>
          <w:sz w:val="18"/>
          <w:szCs w:val="18"/>
        </w:rPr>
        <w:t>4</w:t>
      </w:r>
      <w:r w:rsidR="00870BCD">
        <w:rPr>
          <w:rFonts w:ascii="Segoe UI" w:hAnsi="Segoe UI" w:cs="Segoe UI"/>
          <w:sz w:val="18"/>
          <w:szCs w:val="18"/>
        </w:rPr>
        <w:t>%</w:t>
      </w:r>
      <w:r w:rsidR="0063431E">
        <w:rPr>
          <w:rFonts w:ascii="Segoe UI" w:hAnsi="Segoe UI" w:cs="Segoe UI"/>
          <w:sz w:val="18"/>
          <w:szCs w:val="18"/>
        </w:rPr>
        <w:t xml:space="preserve"> sur un an</w:t>
      </w:r>
      <w:r w:rsidR="008510B1">
        <w:rPr>
          <w:rFonts w:ascii="Segoe UI" w:hAnsi="Segoe UI" w:cs="Segoe UI"/>
          <w:sz w:val="18"/>
          <w:szCs w:val="18"/>
        </w:rPr>
        <w:t>)</w:t>
      </w:r>
      <w:r w:rsidR="006A3BC6">
        <w:rPr>
          <w:rFonts w:ascii="Segoe UI" w:hAnsi="Segoe UI" w:cs="Segoe UI"/>
          <w:sz w:val="18"/>
          <w:szCs w:val="18"/>
        </w:rPr>
        <w:t xml:space="preserve">. </w:t>
      </w:r>
      <w:r w:rsidR="004702D6">
        <w:rPr>
          <w:rFonts w:ascii="Segoe UI" w:hAnsi="Segoe UI" w:cs="Segoe UI"/>
          <w:sz w:val="18"/>
          <w:szCs w:val="18"/>
        </w:rPr>
        <w:t>L’</w:t>
      </w:r>
      <w:r w:rsidR="004702D6" w:rsidRPr="00D3722B">
        <w:rPr>
          <w:rFonts w:ascii="Segoe UI" w:hAnsi="Segoe UI" w:cs="Segoe UI"/>
          <w:sz w:val="18"/>
          <w:szCs w:val="18"/>
          <w:u w:val="single"/>
        </w:rPr>
        <w:t>Alberta</w:t>
      </w:r>
      <w:r w:rsidR="00BB350E">
        <w:rPr>
          <w:rFonts w:ascii="Segoe UI" w:hAnsi="Segoe UI" w:cs="Segoe UI"/>
          <w:sz w:val="18"/>
          <w:szCs w:val="18"/>
        </w:rPr>
        <w:t xml:space="preserve">, qui </w:t>
      </w:r>
      <w:r w:rsidR="004702D6">
        <w:rPr>
          <w:rFonts w:ascii="Segoe UI" w:hAnsi="Segoe UI" w:cs="Segoe UI"/>
          <w:sz w:val="18"/>
          <w:szCs w:val="18"/>
        </w:rPr>
        <w:t>totalise un quart des exportations canadiennes (-3 points sur un an)</w:t>
      </w:r>
      <w:r w:rsidR="0075032E">
        <w:rPr>
          <w:rFonts w:ascii="Segoe UI" w:hAnsi="Segoe UI" w:cs="Segoe UI"/>
          <w:sz w:val="18"/>
          <w:szCs w:val="18"/>
        </w:rPr>
        <w:t>,</w:t>
      </w:r>
      <w:r w:rsidR="009E1F39">
        <w:rPr>
          <w:rFonts w:ascii="Segoe UI" w:hAnsi="Segoe UI" w:cs="Segoe UI"/>
          <w:sz w:val="18"/>
          <w:szCs w:val="18"/>
        </w:rPr>
        <w:t xml:space="preserve"> tire </w:t>
      </w:r>
      <w:r w:rsidR="00CB2FE3">
        <w:rPr>
          <w:rFonts w:ascii="Segoe UI" w:hAnsi="Segoe UI" w:cs="Segoe UI"/>
          <w:sz w:val="18"/>
          <w:szCs w:val="18"/>
        </w:rPr>
        <w:t>les trois quarts</w:t>
      </w:r>
      <w:r w:rsidR="009E1F39">
        <w:rPr>
          <w:rFonts w:ascii="Segoe UI" w:hAnsi="Segoe UI" w:cs="Segoe UI"/>
          <w:sz w:val="18"/>
          <w:szCs w:val="18"/>
        </w:rPr>
        <w:t xml:space="preserve"> de ses revenus </w:t>
      </w:r>
      <w:r w:rsidR="00D74B04">
        <w:rPr>
          <w:rFonts w:ascii="Segoe UI" w:hAnsi="Segoe UI" w:cs="Segoe UI"/>
          <w:sz w:val="18"/>
          <w:szCs w:val="18"/>
        </w:rPr>
        <w:t>extérieurs</w:t>
      </w:r>
      <w:r w:rsidR="009E1F39">
        <w:rPr>
          <w:rFonts w:ascii="Segoe UI" w:hAnsi="Segoe UI" w:cs="Segoe UI"/>
          <w:sz w:val="18"/>
          <w:szCs w:val="18"/>
        </w:rPr>
        <w:t xml:space="preserve"> des exportations </w:t>
      </w:r>
      <w:r w:rsidR="00FB7FAF">
        <w:rPr>
          <w:rFonts w:ascii="Segoe UI" w:hAnsi="Segoe UI" w:cs="Segoe UI"/>
          <w:sz w:val="18"/>
          <w:szCs w:val="18"/>
        </w:rPr>
        <w:t xml:space="preserve">d’énergie </w:t>
      </w:r>
      <w:r w:rsidR="009E1F39">
        <w:rPr>
          <w:rFonts w:ascii="Segoe UI" w:hAnsi="Segoe UI" w:cs="Segoe UI"/>
          <w:sz w:val="18"/>
          <w:szCs w:val="18"/>
        </w:rPr>
        <w:t>(131 Md CAD/90,3 Md€)</w:t>
      </w:r>
      <w:r w:rsidR="00763D36">
        <w:rPr>
          <w:rFonts w:ascii="Segoe UI" w:hAnsi="Segoe UI" w:cs="Segoe UI"/>
          <w:sz w:val="18"/>
          <w:szCs w:val="18"/>
        </w:rPr>
        <w:t> :</w:t>
      </w:r>
      <w:r w:rsidR="00230779">
        <w:rPr>
          <w:rFonts w:ascii="Segoe UI" w:hAnsi="Segoe UI" w:cs="Segoe UI"/>
          <w:sz w:val="18"/>
          <w:szCs w:val="18"/>
        </w:rPr>
        <w:t xml:space="preserve"> </w:t>
      </w:r>
      <w:r w:rsidR="00763D36">
        <w:rPr>
          <w:rFonts w:ascii="Segoe UI" w:hAnsi="Segoe UI" w:cs="Segoe UI"/>
          <w:sz w:val="18"/>
          <w:szCs w:val="18"/>
        </w:rPr>
        <w:t>l</w:t>
      </w:r>
      <w:r w:rsidR="006E5B68">
        <w:rPr>
          <w:rFonts w:ascii="Segoe UI" w:hAnsi="Segoe UI" w:cs="Segoe UI"/>
          <w:sz w:val="18"/>
          <w:szCs w:val="18"/>
        </w:rPr>
        <w:t>a province</w:t>
      </w:r>
      <w:r w:rsidR="00E740A2">
        <w:rPr>
          <w:rFonts w:ascii="Segoe UI" w:hAnsi="Segoe UI" w:cs="Segoe UI"/>
          <w:sz w:val="18"/>
          <w:szCs w:val="18"/>
        </w:rPr>
        <w:t xml:space="preserve"> subit l</w:t>
      </w:r>
      <w:r w:rsidR="006205D9">
        <w:rPr>
          <w:rFonts w:ascii="Segoe UI" w:hAnsi="Segoe UI" w:cs="Segoe UI"/>
          <w:sz w:val="18"/>
          <w:szCs w:val="18"/>
        </w:rPr>
        <w:t xml:space="preserve">e recul </w:t>
      </w:r>
      <w:r w:rsidR="00E740A2">
        <w:rPr>
          <w:rFonts w:ascii="Segoe UI" w:hAnsi="Segoe UI" w:cs="Segoe UI"/>
          <w:sz w:val="18"/>
          <w:szCs w:val="18"/>
        </w:rPr>
        <w:t xml:space="preserve">du cours des hydrocarbures avec une baisse de 19% </w:t>
      </w:r>
      <w:r w:rsidR="00D5114C">
        <w:rPr>
          <w:rFonts w:ascii="Segoe UI" w:hAnsi="Segoe UI" w:cs="Segoe UI"/>
          <w:sz w:val="18"/>
          <w:szCs w:val="18"/>
        </w:rPr>
        <w:t>en valeur sur un an</w:t>
      </w:r>
      <w:r w:rsidR="00E740A2">
        <w:rPr>
          <w:rFonts w:ascii="Segoe UI" w:hAnsi="Segoe UI" w:cs="Segoe UI"/>
          <w:sz w:val="18"/>
          <w:szCs w:val="18"/>
        </w:rPr>
        <w:t>.</w:t>
      </w:r>
      <w:r w:rsidR="00CB2FE3">
        <w:rPr>
          <w:rFonts w:ascii="Segoe UI" w:hAnsi="Segoe UI" w:cs="Segoe UI"/>
          <w:sz w:val="18"/>
          <w:szCs w:val="18"/>
        </w:rPr>
        <w:t xml:space="preserve"> Le </w:t>
      </w:r>
      <w:r w:rsidR="00CB2FE3" w:rsidRPr="00CB2FE3">
        <w:rPr>
          <w:rFonts w:ascii="Segoe UI" w:hAnsi="Segoe UI" w:cs="Segoe UI"/>
          <w:sz w:val="18"/>
          <w:szCs w:val="18"/>
          <w:u w:val="single"/>
        </w:rPr>
        <w:t>Québec</w:t>
      </w:r>
      <w:r w:rsidR="00763D36">
        <w:rPr>
          <w:rFonts w:ascii="Segoe UI" w:hAnsi="Segoe UI" w:cs="Segoe UI"/>
          <w:sz w:val="18"/>
          <w:szCs w:val="18"/>
        </w:rPr>
        <w:t>, qui</w:t>
      </w:r>
      <w:r w:rsidR="00CB2FE3">
        <w:rPr>
          <w:rFonts w:ascii="Segoe UI" w:hAnsi="Segoe UI" w:cs="Segoe UI"/>
          <w:sz w:val="18"/>
          <w:szCs w:val="18"/>
        </w:rPr>
        <w:t xml:space="preserve"> </w:t>
      </w:r>
      <w:r w:rsidR="007D0186">
        <w:rPr>
          <w:rFonts w:ascii="Segoe UI" w:hAnsi="Segoe UI" w:cs="Segoe UI"/>
          <w:sz w:val="18"/>
          <w:szCs w:val="18"/>
        </w:rPr>
        <w:t>a exporté pour 116 Md CAD (80 Md€</w:t>
      </w:r>
      <w:r w:rsidR="001B5859">
        <w:rPr>
          <w:rFonts w:ascii="Segoe UI" w:hAnsi="Segoe UI" w:cs="Segoe UI"/>
          <w:sz w:val="18"/>
          <w:szCs w:val="18"/>
        </w:rPr>
        <w:t> ;</w:t>
      </w:r>
      <w:r w:rsidR="00763D36">
        <w:rPr>
          <w:rFonts w:ascii="Segoe UI" w:hAnsi="Segoe UI" w:cs="Segoe UI"/>
          <w:sz w:val="18"/>
          <w:szCs w:val="18"/>
        </w:rPr>
        <w:t xml:space="preserve"> </w:t>
      </w:r>
      <w:r w:rsidR="007D0186">
        <w:rPr>
          <w:rFonts w:ascii="Segoe UI" w:hAnsi="Segoe UI" w:cs="Segoe UI"/>
          <w:sz w:val="18"/>
          <w:szCs w:val="18"/>
        </w:rPr>
        <w:t>16% du total), soit 4% de plus qu’en 2022</w:t>
      </w:r>
      <w:r w:rsidR="00E44FF5">
        <w:rPr>
          <w:rFonts w:ascii="Segoe UI" w:hAnsi="Segoe UI" w:cs="Segoe UI"/>
          <w:sz w:val="18"/>
          <w:szCs w:val="18"/>
        </w:rPr>
        <w:t xml:space="preserve"> </w:t>
      </w:r>
      <w:r w:rsidR="00AE7644">
        <w:rPr>
          <w:rFonts w:ascii="Segoe UI" w:hAnsi="Segoe UI" w:cs="Segoe UI"/>
          <w:sz w:val="18"/>
          <w:szCs w:val="18"/>
        </w:rPr>
        <w:t>grâce à la hausse de</w:t>
      </w:r>
      <w:r w:rsidR="00826980">
        <w:rPr>
          <w:rFonts w:ascii="Segoe UI" w:hAnsi="Segoe UI" w:cs="Segoe UI"/>
          <w:sz w:val="18"/>
          <w:szCs w:val="18"/>
        </w:rPr>
        <w:t>s exportations de l’industrie</w:t>
      </w:r>
      <w:r w:rsidR="00AE7644">
        <w:rPr>
          <w:rFonts w:ascii="Segoe UI" w:hAnsi="Segoe UI" w:cs="Segoe UI"/>
          <w:sz w:val="18"/>
          <w:szCs w:val="18"/>
        </w:rPr>
        <w:t xml:space="preserve"> aérospatial</w:t>
      </w:r>
      <w:r w:rsidR="00826980">
        <w:rPr>
          <w:rFonts w:ascii="Segoe UI" w:hAnsi="Segoe UI" w:cs="Segoe UI"/>
          <w:sz w:val="18"/>
          <w:szCs w:val="18"/>
        </w:rPr>
        <w:t>e</w:t>
      </w:r>
      <w:r w:rsidR="00AE7644">
        <w:rPr>
          <w:rFonts w:ascii="Segoe UI" w:hAnsi="Segoe UI" w:cs="Segoe UI"/>
          <w:sz w:val="18"/>
          <w:szCs w:val="18"/>
        </w:rPr>
        <w:t xml:space="preserve"> (+28%</w:t>
      </w:r>
      <w:r w:rsidR="00763D36">
        <w:rPr>
          <w:rFonts w:ascii="Segoe UI" w:hAnsi="Segoe UI" w:cs="Segoe UI"/>
          <w:sz w:val="18"/>
          <w:szCs w:val="18"/>
        </w:rPr>
        <w:t> </w:t>
      </w:r>
      <w:r w:rsidR="00763D36" w:rsidRPr="00201465">
        <w:rPr>
          <w:rFonts w:ascii="Segoe UI" w:hAnsi="Segoe UI" w:cs="Segoe UI"/>
          <w:sz w:val="18"/>
          <w:szCs w:val="18"/>
        </w:rPr>
        <w:t xml:space="preserve">; </w:t>
      </w:r>
      <w:r w:rsidR="00201465" w:rsidRPr="00201465">
        <w:rPr>
          <w:rFonts w:ascii="Segoe UI" w:hAnsi="Segoe UI" w:cs="Segoe UI"/>
          <w:sz w:val="18"/>
          <w:szCs w:val="18"/>
        </w:rPr>
        <w:t>67</w:t>
      </w:r>
      <w:r w:rsidR="00763D36" w:rsidRPr="00201465">
        <w:rPr>
          <w:rFonts w:ascii="Segoe UI" w:hAnsi="Segoe UI" w:cs="Segoe UI"/>
          <w:sz w:val="18"/>
          <w:szCs w:val="18"/>
        </w:rPr>
        <w:t>%</w:t>
      </w:r>
      <w:r w:rsidR="00763D36">
        <w:rPr>
          <w:rFonts w:ascii="Segoe UI" w:hAnsi="Segoe UI" w:cs="Segoe UI"/>
          <w:sz w:val="18"/>
          <w:szCs w:val="18"/>
        </w:rPr>
        <w:t xml:space="preserve"> du total canadien</w:t>
      </w:r>
      <w:r w:rsidR="00AE7644">
        <w:rPr>
          <w:rFonts w:ascii="Segoe UI" w:hAnsi="Segoe UI" w:cs="Segoe UI"/>
          <w:sz w:val="18"/>
          <w:szCs w:val="18"/>
        </w:rPr>
        <w:t xml:space="preserve">), </w:t>
      </w:r>
      <w:r w:rsidR="00763D36">
        <w:rPr>
          <w:rFonts w:ascii="Segoe UI" w:hAnsi="Segoe UI" w:cs="Segoe UI"/>
          <w:sz w:val="18"/>
          <w:szCs w:val="18"/>
        </w:rPr>
        <w:t>demeure en 3</w:t>
      </w:r>
      <w:r w:rsidR="00E11317">
        <w:rPr>
          <w:rFonts w:ascii="Segoe UI" w:hAnsi="Segoe UI" w:cs="Segoe UI"/>
          <w:sz w:val="18"/>
          <w:szCs w:val="18"/>
          <w:vertAlign w:val="superscript"/>
        </w:rPr>
        <w:t>ème</w:t>
      </w:r>
      <w:r w:rsidR="00763D36">
        <w:rPr>
          <w:rFonts w:ascii="Segoe UI" w:hAnsi="Segoe UI" w:cs="Segoe UI"/>
          <w:sz w:val="18"/>
          <w:szCs w:val="18"/>
        </w:rPr>
        <w:t xml:space="preserve"> </w:t>
      </w:r>
      <w:r w:rsidR="00135202">
        <w:rPr>
          <w:rFonts w:ascii="Segoe UI" w:hAnsi="Segoe UI" w:cs="Segoe UI"/>
          <w:sz w:val="18"/>
          <w:szCs w:val="18"/>
        </w:rPr>
        <w:t>position (</w:t>
      </w:r>
      <w:r w:rsidR="00D63769">
        <w:rPr>
          <w:rFonts w:ascii="Segoe UI" w:hAnsi="Segoe UI" w:cs="Segoe UI"/>
          <w:sz w:val="18"/>
          <w:szCs w:val="18"/>
        </w:rPr>
        <w:t xml:space="preserve">voir </w:t>
      </w:r>
      <w:r w:rsidR="00085FF3" w:rsidRPr="00B53757">
        <w:rPr>
          <w:rFonts w:ascii="Segoe UI" w:hAnsi="Segoe UI" w:cs="Segoe UI"/>
          <w:i/>
          <w:iCs/>
          <w:sz w:val="18"/>
          <w:szCs w:val="18"/>
        </w:rPr>
        <w:t>Annexe IV</w:t>
      </w:r>
      <w:r w:rsidR="00FD7FB3">
        <w:rPr>
          <w:rFonts w:ascii="Segoe UI" w:hAnsi="Segoe UI" w:cs="Segoe UI"/>
          <w:i/>
          <w:iCs/>
          <w:sz w:val="18"/>
          <w:szCs w:val="18"/>
        </w:rPr>
        <w:t>, Fig.1</w:t>
      </w:r>
      <w:r w:rsidR="00085FF3">
        <w:rPr>
          <w:rFonts w:ascii="Segoe UI" w:hAnsi="Segoe UI" w:cs="Segoe UI"/>
          <w:sz w:val="18"/>
          <w:szCs w:val="18"/>
        </w:rPr>
        <w:t>)</w:t>
      </w:r>
      <w:r w:rsidR="008D7233">
        <w:rPr>
          <w:rFonts w:ascii="Segoe UI" w:hAnsi="Segoe UI" w:cs="Segoe UI"/>
          <w:sz w:val="18"/>
          <w:szCs w:val="18"/>
        </w:rPr>
        <w:t>.</w:t>
      </w:r>
    </w:p>
    <w:tbl>
      <w:tblPr>
        <w:tblStyle w:val="Grilledutableau"/>
        <w:tblW w:w="10793" w:type="dxa"/>
        <w:tblBorders>
          <w:top w:val="single" w:sz="4" w:space="0" w:color="006CE5"/>
          <w:left w:val="single" w:sz="4" w:space="0" w:color="006CE5"/>
          <w:bottom w:val="single" w:sz="4" w:space="0" w:color="006CE5"/>
          <w:right w:val="single" w:sz="4" w:space="0" w:color="006CE5"/>
          <w:insideH w:val="single" w:sz="4" w:space="0" w:color="006CE5"/>
          <w:insideV w:val="single" w:sz="4" w:space="0" w:color="006CE5"/>
        </w:tblBorders>
        <w:tblLook w:val="04A0" w:firstRow="1" w:lastRow="0" w:firstColumn="1" w:lastColumn="0" w:noHBand="0" w:noVBand="1"/>
      </w:tblPr>
      <w:tblGrid>
        <w:gridCol w:w="10793"/>
      </w:tblGrid>
      <w:tr w:rsidR="004F2178" w:rsidRPr="00D36BFB" w14:paraId="16B9CE91" w14:textId="77777777" w:rsidTr="00F778C2">
        <w:trPr>
          <w:trHeight w:val="343"/>
        </w:trPr>
        <w:tc>
          <w:tcPr>
            <w:tcW w:w="10793" w:type="dxa"/>
            <w:shd w:val="clear" w:color="auto" w:fill="006CE5"/>
            <w:vAlign w:val="center"/>
          </w:tcPr>
          <w:p w14:paraId="2AC30594" w14:textId="23F562C9" w:rsidR="004F2178" w:rsidRPr="00D36BFB" w:rsidRDefault="00853640" w:rsidP="0048694E">
            <w:pPr>
              <w:ind w:right="-108"/>
              <w:jc w:val="both"/>
              <w:textAlignment w:val="baseline"/>
              <w:rPr>
                <w:rFonts w:ascii="Segoe UI" w:eastAsia="Times New Roman" w:hAnsi="Segoe UI" w:cs="Segoe UI"/>
                <w:b/>
                <w:bCs/>
                <w:color w:val="FFFFFF" w:themeColor="background1"/>
                <w:sz w:val="20"/>
                <w:szCs w:val="20"/>
                <w:lang w:eastAsia="fr-FR"/>
              </w:rPr>
            </w:pPr>
            <w:r>
              <w:rPr>
                <w:rFonts w:ascii="Segoe UI" w:eastAsia="Times New Roman" w:hAnsi="Segoe UI" w:cs="Segoe UI"/>
                <w:b/>
                <w:bCs/>
                <w:color w:val="FFFFFF" w:themeColor="background1"/>
                <w:sz w:val="20"/>
                <w:szCs w:val="20"/>
                <w:lang w:eastAsia="fr-FR"/>
              </w:rPr>
              <w:t xml:space="preserve">Les importations </w:t>
            </w:r>
            <w:r w:rsidR="001711A1">
              <w:rPr>
                <w:rFonts w:ascii="Segoe UI" w:eastAsia="Times New Roman" w:hAnsi="Segoe UI" w:cs="Segoe UI"/>
                <w:b/>
                <w:bCs/>
                <w:color w:val="FFFFFF" w:themeColor="background1"/>
                <w:sz w:val="20"/>
                <w:szCs w:val="20"/>
                <w:lang w:eastAsia="fr-FR"/>
              </w:rPr>
              <w:t>ont été globalement stables</w:t>
            </w:r>
            <w:r w:rsidR="0045707A">
              <w:rPr>
                <w:rFonts w:ascii="Segoe UI" w:eastAsia="Times New Roman" w:hAnsi="Segoe UI" w:cs="Segoe UI"/>
                <w:b/>
                <w:bCs/>
                <w:color w:val="FFFFFF" w:themeColor="background1"/>
                <w:sz w:val="20"/>
                <w:szCs w:val="20"/>
                <w:lang w:eastAsia="fr-FR"/>
              </w:rPr>
              <w:t xml:space="preserve">, </w:t>
            </w:r>
            <w:r w:rsidR="002E6D4E">
              <w:rPr>
                <w:rFonts w:ascii="Segoe UI" w:eastAsia="Times New Roman" w:hAnsi="Segoe UI" w:cs="Segoe UI"/>
                <w:b/>
                <w:bCs/>
                <w:color w:val="FFFFFF" w:themeColor="background1"/>
                <w:sz w:val="20"/>
                <w:szCs w:val="20"/>
                <w:lang w:eastAsia="fr-FR"/>
              </w:rPr>
              <w:t>avec une place toujours prépondérante de l’Ontario</w:t>
            </w:r>
            <w:r w:rsidR="00C96B7D">
              <w:rPr>
                <w:rFonts w:ascii="Segoe UI" w:eastAsia="Times New Roman" w:hAnsi="Segoe UI" w:cs="Segoe UI"/>
                <w:b/>
                <w:bCs/>
                <w:color w:val="FFFFFF" w:themeColor="background1"/>
                <w:sz w:val="20"/>
                <w:szCs w:val="20"/>
                <w:lang w:eastAsia="fr-FR"/>
              </w:rPr>
              <w:t xml:space="preserve"> </w:t>
            </w:r>
          </w:p>
        </w:tc>
      </w:tr>
    </w:tbl>
    <w:p w14:paraId="7F94B4ED" w14:textId="1FE1A699" w:rsidR="004F2178" w:rsidRPr="006020B1" w:rsidRDefault="00236A17" w:rsidP="00685A34">
      <w:pPr>
        <w:spacing w:before="60" w:after="60"/>
        <w:jc w:val="both"/>
      </w:pPr>
      <w:r>
        <w:rPr>
          <w:rFonts w:ascii="Segoe UI" w:hAnsi="Segoe UI" w:cs="Segoe UI"/>
          <w:b/>
          <w:bCs/>
          <w:sz w:val="18"/>
          <w:szCs w:val="18"/>
        </w:rPr>
        <w:t>L</w:t>
      </w:r>
      <w:r w:rsidR="00685A34">
        <w:rPr>
          <w:rFonts w:ascii="Segoe UI" w:hAnsi="Segoe UI" w:cs="Segoe UI"/>
          <w:b/>
          <w:bCs/>
          <w:sz w:val="18"/>
          <w:szCs w:val="18"/>
        </w:rPr>
        <w:t>a dynamique des</w:t>
      </w:r>
      <w:r>
        <w:rPr>
          <w:rFonts w:ascii="Segoe UI" w:hAnsi="Segoe UI" w:cs="Segoe UI"/>
          <w:b/>
          <w:bCs/>
          <w:sz w:val="18"/>
          <w:szCs w:val="18"/>
        </w:rPr>
        <w:t xml:space="preserve"> importations canadiennes </w:t>
      </w:r>
      <w:r w:rsidR="00685A34">
        <w:rPr>
          <w:rFonts w:ascii="Segoe UI" w:hAnsi="Segoe UI" w:cs="Segoe UI"/>
          <w:b/>
          <w:bCs/>
          <w:sz w:val="18"/>
          <w:szCs w:val="18"/>
        </w:rPr>
        <w:t xml:space="preserve">s’est stabilisée en 2023 (+1%). </w:t>
      </w:r>
      <w:r w:rsidR="00CF5C2B">
        <w:rPr>
          <w:rFonts w:ascii="Segoe UI" w:hAnsi="Segoe UI" w:cs="Segoe UI"/>
          <w:sz w:val="18"/>
          <w:szCs w:val="18"/>
        </w:rPr>
        <w:t xml:space="preserve">Les importations </w:t>
      </w:r>
      <w:r w:rsidR="00763D36">
        <w:rPr>
          <w:rFonts w:ascii="Segoe UI" w:hAnsi="Segoe UI" w:cs="Segoe UI"/>
          <w:sz w:val="18"/>
          <w:szCs w:val="18"/>
        </w:rPr>
        <w:t xml:space="preserve">ont </w:t>
      </w:r>
      <w:r w:rsidR="006E7450">
        <w:rPr>
          <w:rFonts w:ascii="Segoe UI" w:hAnsi="Segoe UI" w:cs="Segoe UI"/>
          <w:sz w:val="18"/>
          <w:szCs w:val="18"/>
        </w:rPr>
        <w:t>légèrement</w:t>
      </w:r>
      <w:r w:rsidR="00AE39D4">
        <w:rPr>
          <w:rFonts w:ascii="Segoe UI" w:hAnsi="Segoe UI" w:cs="Segoe UI"/>
          <w:sz w:val="18"/>
          <w:szCs w:val="18"/>
        </w:rPr>
        <w:t xml:space="preserve"> </w:t>
      </w:r>
      <w:r w:rsidR="00763D36">
        <w:rPr>
          <w:rFonts w:ascii="Segoe UI" w:hAnsi="Segoe UI" w:cs="Segoe UI"/>
          <w:sz w:val="18"/>
          <w:szCs w:val="18"/>
        </w:rPr>
        <w:t xml:space="preserve">progressé, </w:t>
      </w:r>
      <w:r w:rsidR="00CF5C2B">
        <w:rPr>
          <w:rFonts w:ascii="Segoe UI" w:hAnsi="Segoe UI" w:cs="Segoe UI"/>
          <w:sz w:val="18"/>
          <w:szCs w:val="18"/>
        </w:rPr>
        <w:t xml:space="preserve">de 1%, </w:t>
      </w:r>
      <w:r w:rsidR="00763D36">
        <w:rPr>
          <w:rFonts w:ascii="Segoe UI" w:hAnsi="Segoe UI" w:cs="Segoe UI"/>
          <w:sz w:val="18"/>
          <w:szCs w:val="18"/>
        </w:rPr>
        <w:t>pour atteindre</w:t>
      </w:r>
      <w:r w:rsidR="00CF5C2B">
        <w:rPr>
          <w:rFonts w:ascii="Segoe UI" w:hAnsi="Segoe UI" w:cs="Segoe UI"/>
          <w:sz w:val="18"/>
          <w:szCs w:val="18"/>
        </w:rPr>
        <w:t xml:space="preserve"> 770,1 Md CAD (531 Md€</w:t>
      </w:r>
      <w:r w:rsidR="00135202">
        <w:rPr>
          <w:rFonts w:ascii="Segoe UI" w:hAnsi="Segoe UI" w:cs="Segoe UI"/>
          <w:sz w:val="18"/>
          <w:szCs w:val="18"/>
        </w:rPr>
        <w:t>), ce</w:t>
      </w:r>
      <w:r w:rsidR="00763D36">
        <w:rPr>
          <w:rFonts w:ascii="Segoe UI" w:hAnsi="Segoe UI" w:cs="Segoe UI"/>
          <w:sz w:val="18"/>
          <w:szCs w:val="18"/>
        </w:rPr>
        <w:t xml:space="preserve"> qui fait de 2023</w:t>
      </w:r>
      <w:r w:rsidR="00294D34">
        <w:rPr>
          <w:rFonts w:ascii="Segoe UI" w:hAnsi="Segoe UI" w:cs="Segoe UI"/>
          <w:sz w:val="18"/>
          <w:szCs w:val="18"/>
        </w:rPr>
        <w:t xml:space="preserve"> la </w:t>
      </w:r>
      <w:r w:rsidR="00771D08">
        <w:rPr>
          <w:rFonts w:ascii="Segoe UI" w:hAnsi="Segoe UI" w:cs="Segoe UI"/>
          <w:sz w:val="18"/>
          <w:szCs w:val="18"/>
        </w:rPr>
        <w:t>meilleure</w:t>
      </w:r>
      <w:r w:rsidR="00294D34">
        <w:rPr>
          <w:rFonts w:ascii="Segoe UI" w:hAnsi="Segoe UI" w:cs="Segoe UI"/>
          <w:sz w:val="18"/>
          <w:szCs w:val="18"/>
        </w:rPr>
        <w:t xml:space="preserve"> année enregistrée</w:t>
      </w:r>
      <w:r w:rsidR="00CF56E9">
        <w:rPr>
          <w:rFonts w:ascii="Segoe UI" w:hAnsi="Segoe UI" w:cs="Segoe UI"/>
          <w:sz w:val="18"/>
          <w:szCs w:val="18"/>
        </w:rPr>
        <w:t xml:space="preserve"> après 2022</w:t>
      </w:r>
      <w:r w:rsidR="003C31F8">
        <w:rPr>
          <w:rFonts w:ascii="Segoe UI" w:hAnsi="Segoe UI" w:cs="Segoe UI"/>
          <w:sz w:val="18"/>
          <w:szCs w:val="18"/>
        </w:rPr>
        <w:t xml:space="preserve">. Les </w:t>
      </w:r>
      <w:r w:rsidR="006950F4">
        <w:rPr>
          <w:rFonts w:ascii="Segoe UI" w:hAnsi="Segoe UI" w:cs="Segoe UI"/>
          <w:sz w:val="18"/>
          <w:szCs w:val="18"/>
        </w:rPr>
        <w:t xml:space="preserve">importations </w:t>
      </w:r>
      <w:r w:rsidR="004A7383">
        <w:rPr>
          <w:rFonts w:ascii="Segoe UI" w:hAnsi="Segoe UI" w:cs="Segoe UI"/>
          <w:sz w:val="18"/>
          <w:szCs w:val="18"/>
        </w:rPr>
        <w:t xml:space="preserve">de biens </w:t>
      </w:r>
      <w:r w:rsidR="006950F4">
        <w:rPr>
          <w:rFonts w:ascii="Segoe UI" w:hAnsi="Segoe UI" w:cs="Segoe UI"/>
          <w:sz w:val="18"/>
          <w:szCs w:val="18"/>
        </w:rPr>
        <w:t xml:space="preserve">depuis les </w:t>
      </w:r>
      <w:r w:rsidR="003C31F8" w:rsidRPr="00F806B7">
        <w:rPr>
          <w:rFonts w:ascii="Segoe UI" w:hAnsi="Segoe UI" w:cs="Segoe UI"/>
          <w:sz w:val="18"/>
          <w:szCs w:val="18"/>
          <w:u w:val="single"/>
        </w:rPr>
        <w:t>Etats-Unis</w:t>
      </w:r>
      <w:r w:rsidR="003C31F8">
        <w:rPr>
          <w:rFonts w:ascii="Segoe UI" w:hAnsi="Segoe UI" w:cs="Segoe UI"/>
          <w:sz w:val="18"/>
          <w:szCs w:val="18"/>
        </w:rPr>
        <w:t>, premier fournisseur du Canada (6</w:t>
      </w:r>
      <w:r w:rsidR="00325F22">
        <w:rPr>
          <w:rFonts w:ascii="Segoe UI" w:hAnsi="Segoe UI" w:cs="Segoe UI"/>
          <w:sz w:val="18"/>
          <w:szCs w:val="18"/>
        </w:rPr>
        <w:t>3</w:t>
      </w:r>
      <w:r w:rsidR="003C31F8">
        <w:rPr>
          <w:rFonts w:ascii="Segoe UI" w:hAnsi="Segoe UI" w:cs="Segoe UI"/>
          <w:sz w:val="18"/>
          <w:szCs w:val="18"/>
        </w:rPr>
        <w:t>% ; +</w:t>
      </w:r>
      <w:r w:rsidR="00977F86">
        <w:rPr>
          <w:rFonts w:ascii="Segoe UI" w:hAnsi="Segoe UI" w:cs="Segoe UI"/>
          <w:sz w:val="18"/>
          <w:szCs w:val="18"/>
        </w:rPr>
        <w:t>1</w:t>
      </w:r>
      <w:r w:rsidR="003C31F8">
        <w:rPr>
          <w:rFonts w:ascii="Segoe UI" w:hAnsi="Segoe UI" w:cs="Segoe UI"/>
          <w:sz w:val="18"/>
          <w:szCs w:val="18"/>
        </w:rPr>
        <w:t xml:space="preserve"> point sur un an</w:t>
      </w:r>
      <w:r w:rsidR="007B4CB4">
        <w:rPr>
          <w:rFonts w:ascii="Segoe UI" w:hAnsi="Segoe UI" w:cs="Segoe UI"/>
          <w:sz w:val="18"/>
          <w:szCs w:val="18"/>
        </w:rPr>
        <w:t>)</w:t>
      </w:r>
      <w:r w:rsidR="00DA1A47">
        <w:rPr>
          <w:rFonts w:ascii="Segoe UI" w:hAnsi="Segoe UI" w:cs="Segoe UI"/>
          <w:sz w:val="18"/>
          <w:szCs w:val="18"/>
        </w:rPr>
        <w:t xml:space="preserve">, </w:t>
      </w:r>
      <w:r w:rsidR="00785316">
        <w:rPr>
          <w:rFonts w:ascii="Segoe UI" w:hAnsi="Segoe UI" w:cs="Segoe UI"/>
          <w:sz w:val="18"/>
          <w:szCs w:val="18"/>
        </w:rPr>
        <w:t xml:space="preserve">ont légèrement augmenté </w:t>
      </w:r>
      <w:r w:rsidR="00DA1A47">
        <w:rPr>
          <w:rFonts w:ascii="Segoe UI" w:hAnsi="Segoe UI" w:cs="Segoe UI"/>
          <w:sz w:val="18"/>
          <w:szCs w:val="18"/>
        </w:rPr>
        <w:t xml:space="preserve">de </w:t>
      </w:r>
      <w:r w:rsidR="00B80BE7">
        <w:rPr>
          <w:rFonts w:ascii="Segoe UI" w:hAnsi="Segoe UI" w:cs="Segoe UI"/>
          <w:sz w:val="18"/>
          <w:szCs w:val="18"/>
        </w:rPr>
        <w:t>2% sur la période, à 484,2 Md CAD (334 Md€)</w:t>
      </w:r>
      <w:r w:rsidR="00785316">
        <w:rPr>
          <w:rFonts w:ascii="Segoe UI" w:hAnsi="Segoe UI" w:cs="Segoe UI"/>
          <w:sz w:val="18"/>
          <w:szCs w:val="18"/>
        </w:rPr>
        <w:t> ; l</w:t>
      </w:r>
      <w:r w:rsidR="0058680E">
        <w:rPr>
          <w:rFonts w:ascii="Segoe UI" w:hAnsi="Segoe UI" w:cs="Segoe UI"/>
          <w:sz w:val="18"/>
          <w:szCs w:val="18"/>
        </w:rPr>
        <w:t xml:space="preserve">es principaux postes d’importations depuis les Etats-Unis </w:t>
      </w:r>
      <w:r w:rsidR="00F53D2E">
        <w:rPr>
          <w:rFonts w:ascii="Segoe UI" w:hAnsi="Segoe UI" w:cs="Segoe UI"/>
          <w:sz w:val="18"/>
          <w:szCs w:val="18"/>
        </w:rPr>
        <w:t xml:space="preserve">concernent </w:t>
      </w:r>
      <w:r w:rsidR="00435E80">
        <w:rPr>
          <w:rFonts w:ascii="Segoe UI" w:hAnsi="Segoe UI" w:cs="Segoe UI"/>
          <w:sz w:val="18"/>
          <w:szCs w:val="18"/>
        </w:rPr>
        <w:t>l’</w:t>
      </w:r>
      <w:r w:rsidR="00F53D2E" w:rsidRPr="00F53D2E">
        <w:rPr>
          <w:rFonts w:ascii="Segoe UI" w:hAnsi="Segoe UI" w:cs="Segoe UI"/>
          <w:sz w:val="18"/>
          <w:szCs w:val="18"/>
          <w:u w:val="single"/>
        </w:rPr>
        <w:t>automobile</w:t>
      </w:r>
      <w:r w:rsidR="00F53D2E">
        <w:rPr>
          <w:rFonts w:ascii="Segoe UI" w:hAnsi="Segoe UI" w:cs="Segoe UI"/>
          <w:sz w:val="18"/>
          <w:szCs w:val="18"/>
        </w:rPr>
        <w:t xml:space="preserve"> (83,2 Md CAD/57,4 Md</w:t>
      </w:r>
      <w:r w:rsidR="009962B9">
        <w:rPr>
          <w:rFonts w:ascii="Segoe UI" w:hAnsi="Segoe UI" w:cs="Segoe UI"/>
          <w:sz w:val="18"/>
          <w:szCs w:val="18"/>
        </w:rPr>
        <w:t> ; +</w:t>
      </w:r>
      <w:r w:rsidR="003502FC">
        <w:rPr>
          <w:rFonts w:ascii="Segoe UI" w:hAnsi="Segoe UI" w:cs="Segoe UI"/>
          <w:sz w:val="18"/>
          <w:szCs w:val="18"/>
        </w:rPr>
        <w:t>10</w:t>
      </w:r>
      <w:r w:rsidR="009962B9">
        <w:rPr>
          <w:rFonts w:ascii="Segoe UI" w:hAnsi="Segoe UI" w:cs="Segoe UI"/>
          <w:sz w:val="18"/>
          <w:szCs w:val="18"/>
        </w:rPr>
        <w:t>%</w:t>
      </w:r>
      <w:r w:rsidR="00C503EB">
        <w:rPr>
          <w:rFonts w:ascii="Segoe UI" w:hAnsi="Segoe UI" w:cs="Segoe UI"/>
          <w:sz w:val="18"/>
          <w:szCs w:val="18"/>
        </w:rPr>
        <w:t xml:space="preserve"> sur un an</w:t>
      </w:r>
      <w:r w:rsidR="00F53D2E">
        <w:rPr>
          <w:rFonts w:ascii="Segoe UI" w:hAnsi="Segoe UI" w:cs="Segoe UI"/>
          <w:sz w:val="18"/>
          <w:szCs w:val="18"/>
        </w:rPr>
        <w:t>)</w:t>
      </w:r>
      <w:r w:rsidR="008D6070">
        <w:rPr>
          <w:rFonts w:ascii="Segoe UI" w:hAnsi="Segoe UI" w:cs="Segoe UI"/>
          <w:sz w:val="18"/>
          <w:szCs w:val="18"/>
        </w:rPr>
        <w:t xml:space="preserve">, les </w:t>
      </w:r>
      <w:r w:rsidR="008D6070" w:rsidRPr="008D6070">
        <w:rPr>
          <w:rFonts w:ascii="Segoe UI" w:hAnsi="Segoe UI" w:cs="Segoe UI"/>
          <w:sz w:val="18"/>
          <w:szCs w:val="18"/>
          <w:u w:val="single"/>
        </w:rPr>
        <w:t>pièces industrielles</w:t>
      </w:r>
      <w:r w:rsidR="008D6070">
        <w:rPr>
          <w:rFonts w:ascii="Segoe UI" w:hAnsi="Segoe UI" w:cs="Segoe UI"/>
          <w:sz w:val="18"/>
          <w:szCs w:val="18"/>
        </w:rPr>
        <w:t xml:space="preserve"> (</w:t>
      </w:r>
      <w:r w:rsidR="008A63F6">
        <w:rPr>
          <w:rFonts w:ascii="Segoe UI" w:hAnsi="Segoe UI" w:cs="Segoe UI"/>
          <w:sz w:val="18"/>
          <w:szCs w:val="18"/>
        </w:rPr>
        <w:t xml:space="preserve">41,5 Md CAD/28,6 Md€ ; </w:t>
      </w:r>
      <w:r w:rsidR="008D6070">
        <w:rPr>
          <w:rFonts w:ascii="Segoe UI" w:hAnsi="Segoe UI" w:cs="Segoe UI"/>
          <w:sz w:val="18"/>
          <w:szCs w:val="18"/>
        </w:rPr>
        <w:t xml:space="preserve">+10%) et </w:t>
      </w:r>
      <w:r w:rsidR="004B116F">
        <w:rPr>
          <w:rFonts w:ascii="Segoe UI" w:hAnsi="Segoe UI" w:cs="Segoe UI"/>
          <w:sz w:val="18"/>
          <w:szCs w:val="18"/>
        </w:rPr>
        <w:t xml:space="preserve">le </w:t>
      </w:r>
      <w:r w:rsidR="004B116F" w:rsidRPr="00A308F1">
        <w:rPr>
          <w:rFonts w:ascii="Segoe UI" w:hAnsi="Segoe UI" w:cs="Segoe UI"/>
          <w:sz w:val="18"/>
          <w:szCs w:val="18"/>
          <w:u w:val="single"/>
        </w:rPr>
        <w:t xml:space="preserve">matériel électrique et </w:t>
      </w:r>
      <w:r w:rsidR="008231C9" w:rsidRPr="00A308F1">
        <w:rPr>
          <w:rFonts w:ascii="Segoe UI" w:hAnsi="Segoe UI" w:cs="Segoe UI"/>
          <w:sz w:val="18"/>
          <w:szCs w:val="18"/>
          <w:u w:val="single"/>
        </w:rPr>
        <w:t>électronique</w:t>
      </w:r>
      <w:r w:rsidR="004B116F">
        <w:rPr>
          <w:rFonts w:ascii="Segoe UI" w:hAnsi="Segoe UI" w:cs="Segoe UI"/>
          <w:sz w:val="18"/>
          <w:szCs w:val="18"/>
        </w:rPr>
        <w:t xml:space="preserve"> (</w:t>
      </w:r>
      <w:r w:rsidR="00A308F1">
        <w:rPr>
          <w:rFonts w:ascii="Segoe UI" w:hAnsi="Segoe UI" w:cs="Segoe UI"/>
          <w:sz w:val="18"/>
          <w:szCs w:val="18"/>
        </w:rPr>
        <w:t>23,4 Md CAD/16,1 Md€</w:t>
      </w:r>
      <w:r w:rsidR="00D65E8A">
        <w:rPr>
          <w:rFonts w:ascii="Segoe UI" w:hAnsi="Segoe UI" w:cs="Segoe UI"/>
          <w:sz w:val="18"/>
          <w:szCs w:val="18"/>
        </w:rPr>
        <w:t> ;</w:t>
      </w:r>
      <w:r w:rsidR="00495AB6">
        <w:rPr>
          <w:rFonts w:ascii="Segoe UI" w:hAnsi="Segoe UI" w:cs="Segoe UI"/>
          <w:sz w:val="18"/>
          <w:szCs w:val="18"/>
        </w:rPr>
        <w:t xml:space="preserve"> </w:t>
      </w:r>
      <w:r w:rsidR="004B116F">
        <w:rPr>
          <w:rFonts w:ascii="Segoe UI" w:hAnsi="Segoe UI" w:cs="Segoe UI"/>
          <w:sz w:val="18"/>
          <w:szCs w:val="18"/>
        </w:rPr>
        <w:t>+13%)</w:t>
      </w:r>
      <w:r w:rsidR="00825312">
        <w:rPr>
          <w:rFonts w:ascii="Segoe UI" w:hAnsi="Segoe UI" w:cs="Segoe UI"/>
          <w:sz w:val="18"/>
          <w:szCs w:val="18"/>
        </w:rPr>
        <w:t>.</w:t>
      </w:r>
      <w:r w:rsidR="000B31AF">
        <w:rPr>
          <w:rFonts w:ascii="Segoe UI" w:hAnsi="Segoe UI" w:cs="Segoe UI"/>
          <w:sz w:val="18"/>
          <w:szCs w:val="18"/>
        </w:rPr>
        <w:t xml:space="preserve"> Hors Etats-Unis</w:t>
      </w:r>
      <w:r w:rsidR="00AC35D8">
        <w:rPr>
          <w:rFonts w:ascii="Segoe UI" w:hAnsi="Segoe UI" w:cs="Segoe UI"/>
          <w:sz w:val="18"/>
          <w:szCs w:val="18"/>
        </w:rPr>
        <w:t xml:space="preserve">, les </w:t>
      </w:r>
      <w:r w:rsidR="00785316">
        <w:rPr>
          <w:rFonts w:ascii="Segoe UI" w:hAnsi="Segoe UI" w:cs="Segoe UI"/>
          <w:sz w:val="18"/>
          <w:szCs w:val="18"/>
        </w:rPr>
        <w:t xml:space="preserve">principales </w:t>
      </w:r>
      <w:r w:rsidR="00AC35D8">
        <w:rPr>
          <w:rFonts w:ascii="Segoe UI" w:hAnsi="Segoe UI" w:cs="Segoe UI"/>
          <w:sz w:val="18"/>
          <w:szCs w:val="18"/>
        </w:rPr>
        <w:t xml:space="preserve">dynamiques </w:t>
      </w:r>
      <w:r w:rsidR="00785316">
        <w:rPr>
          <w:rFonts w:ascii="Segoe UI" w:hAnsi="Segoe UI" w:cs="Segoe UI"/>
          <w:sz w:val="18"/>
          <w:szCs w:val="18"/>
        </w:rPr>
        <w:t xml:space="preserve">haussières </w:t>
      </w:r>
      <w:r w:rsidR="00AC35D8">
        <w:rPr>
          <w:rFonts w:ascii="Segoe UI" w:hAnsi="Segoe UI" w:cs="Segoe UI"/>
          <w:sz w:val="18"/>
          <w:szCs w:val="18"/>
        </w:rPr>
        <w:t>concernent</w:t>
      </w:r>
      <w:r w:rsidR="0087378F">
        <w:rPr>
          <w:rFonts w:ascii="Segoe UI" w:hAnsi="Segoe UI" w:cs="Segoe UI"/>
          <w:sz w:val="18"/>
          <w:szCs w:val="18"/>
        </w:rPr>
        <w:t xml:space="preserve"> l’</w:t>
      </w:r>
      <w:r w:rsidR="0087378F" w:rsidRPr="0087378F">
        <w:rPr>
          <w:rFonts w:ascii="Segoe UI" w:hAnsi="Segoe UI" w:cs="Segoe UI"/>
          <w:sz w:val="18"/>
          <w:szCs w:val="18"/>
          <w:u w:val="single"/>
        </w:rPr>
        <w:t>Union européenne</w:t>
      </w:r>
      <w:r w:rsidR="0087378F">
        <w:rPr>
          <w:rFonts w:ascii="Segoe UI" w:hAnsi="Segoe UI" w:cs="Segoe UI"/>
          <w:sz w:val="18"/>
          <w:szCs w:val="18"/>
        </w:rPr>
        <w:t xml:space="preserve"> (74,6 Md CAD/51,4 Md€ ; +8%)</w:t>
      </w:r>
      <w:r w:rsidR="007B72B0">
        <w:rPr>
          <w:rFonts w:ascii="Segoe UI" w:hAnsi="Segoe UI" w:cs="Segoe UI"/>
          <w:sz w:val="18"/>
          <w:szCs w:val="18"/>
        </w:rPr>
        <w:t xml:space="preserve"> qui devient le deuxième fournisseur du Canada devant la </w:t>
      </w:r>
      <w:r w:rsidR="007B72B0" w:rsidRPr="00AE1878">
        <w:rPr>
          <w:rFonts w:ascii="Segoe UI" w:hAnsi="Segoe UI" w:cs="Segoe UI"/>
          <w:sz w:val="18"/>
          <w:szCs w:val="18"/>
          <w:u w:val="single"/>
        </w:rPr>
        <w:t>Chine</w:t>
      </w:r>
      <w:r w:rsidR="007B72B0">
        <w:rPr>
          <w:rFonts w:ascii="Segoe UI" w:hAnsi="Segoe UI" w:cs="Segoe UI"/>
          <w:sz w:val="18"/>
          <w:szCs w:val="18"/>
        </w:rPr>
        <w:t>,</w:t>
      </w:r>
      <w:r w:rsidR="00785316">
        <w:rPr>
          <w:rFonts w:ascii="Segoe UI" w:hAnsi="Segoe UI" w:cs="Segoe UI"/>
          <w:sz w:val="18"/>
          <w:szCs w:val="18"/>
        </w:rPr>
        <w:t xml:space="preserve"> en fort recul (60,2 Md CAD/ 41,5 Md€ ; -14%),</w:t>
      </w:r>
      <w:r w:rsidR="0087378F">
        <w:rPr>
          <w:rFonts w:ascii="Segoe UI" w:hAnsi="Segoe UI" w:cs="Segoe UI"/>
          <w:sz w:val="18"/>
          <w:szCs w:val="18"/>
        </w:rPr>
        <w:t xml:space="preserve"> le </w:t>
      </w:r>
      <w:r w:rsidR="0087378F" w:rsidRPr="0087378F">
        <w:rPr>
          <w:rFonts w:ascii="Segoe UI" w:hAnsi="Segoe UI" w:cs="Segoe UI"/>
          <w:sz w:val="18"/>
          <w:szCs w:val="18"/>
          <w:u w:val="single"/>
        </w:rPr>
        <w:t>Japon</w:t>
      </w:r>
      <w:r w:rsidR="0087378F">
        <w:rPr>
          <w:rFonts w:ascii="Segoe UI" w:hAnsi="Segoe UI" w:cs="Segoe UI"/>
          <w:sz w:val="18"/>
          <w:szCs w:val="18"/>
        </w:rPr>
        <w:t xml:space="preserve"> (15,2 Md CAD/10,5 Md€ ; +27%) et le </w:t>
      </w:r>
      <w:r w:rsidR="0087378F" w:rsidRPr="000159C3">
        <w:rPr>
          <w:rFonts w:ascii="Segoe UI" w:hAnsi="Segoe UI" w:cs="Segoe UI"/>
          <w:sz w:val="18"/>
          <w:szCs w:val="18"/>
          <w:u w:val="single"/>
        </w:rPr>
        <w:lastRenderedPageBreak/>
        <w:t>Mexique</w:t>
      </w:r>
      <w:r w:rsidR="0087378F">
        <w:rPr>
          <w:rFonts w:ascii="Segoe UI" w:hAnsi="Segoe UI" w:cs="Segoe UI"/>
          <w:sz w:val="18"/>
          <w:szCs w:val="18"/>
        </w:rPr>
        <w:t xml:space="preserve"> (28,7 Md CAD/20 Md€ ; +18%). </w:t>
      </w:r>
      <w:r w:rsidR="007B72B0">
        <w:rPr>
          <w:rFonts w:ascii="Segoe UI" w:hAnsi="Segoe UI" w:cs="Segoe UI"/>
          <w:sz w:val="18"/>
          <w:szCs w:val="18"/>
        </w:rPr>
        <w:t xml:space="preserve">A </w:t>
      </w:r>
      <w:r w:rsidR="007B72B0" w:rsidRPr="007B72B0">
        <w:rPr>
          <w:rFonts w:ascii="Segoe UI" w:hAnsi="Segoe UI" w:cs="Segoe UI"/>
          <w:i/>
          <w:iCs/>
          <w:sz w:val="18"/>
          <w:szCs w:val="18"/>
        </w:rPr>
        <w:t>contrario</w:t>
      </w:r>
      <w:r w:rsidR="007B72B0">
        <w:rPr>
          <w:rFonts w:ascii="Segoe UI" w:hAnsi="Segoe UI" w:cs="Segoe UI"/>
          <w:sz w:val="18"/>
          <w:szCs w:val="18"/>
        </w:rPr>
        <w:t xml:space="preserve">, </w:t>
      </w:r>
      <w:r w:rsidR="00550017">
        <w:rPr>
          <w:rFonts w:ascii="Segoe UI" w:hAnsi="Segoe UI" w:cs="Segoe UI"/>
          <w:sz w:val="18"/>
          <w:szCs w:val="18"/>
        </w:rPr>
        <w:t xml:space="preserve">les volumes d’importations reculent </w:t>
      </w:r>
      <w:r w:rsidR="00CF4E84">
        <w:rPr>
          <w:rFonts w:ascii="Segoe UI" w:hAnsi="Segoe UI" w:cs="Segoe UI"/>
          <w:sz w:val="18"/>
          <w:szCs w:val="18"/>
        </w:rPr>
        <w:t>avec l’</w:t>
      </w:r>
      <w:r w:rsidR="00CF4E84" w:rsidRPr="001711A1">
        <w:rPr>
          <w:rFonts w:ascii="Segoe UI" w:hAnsi="Segoe UI" w:cs="Segoe UI"/>
          <w:sz w:val="18"/>
          <w:szCs w:val="18"/>
          <w:u w:val="single"/>
        </w:rPr>
        <w:t>Inde</w:t>
      </w:r>
      <w:r w:rsidR="009F780C">
        <w:rPr>
          <w:rFonts w:ascii="Segoe UI" w:hAnsi="Segoe UI" w:cs="Segoe UI"/>
          <w:sz w:val="18"/>
          <w:szCs w:val="18"/>
        </w:rPr>
        <w:t xml:space="preserve"> (5,5 Md CAD/</w:t>
      </w:r>
      <w:r w:rsidR="008D50F8">
        <w:rPr>
          <w:rFonts w:ascii="Segoe UI" w:hAnsi="Segoe UI" w:cs="Segoe UI"/>
          <w:sz w:val="18"/>
          <w:szCs w:val="18"/>
        </w:rPr>
        <w:t>3,8</w:t>
      </w:r>
      <w:r w:rsidR="009F780C">
        <w:rPr>
          <w:rFonts w:ascii="Segoe UI" w:hAnsi="Segoe UI" w:cs="Segoe UI"/>
          <w:sz w:val="18"/>
          <w:szCs w:val="18"/>
        </w:rPr>
        <w:t xml:space="preserve"> Md€</w:t>
      </w:r>
      <w:r w:rsidR="00CB7209">
        <w:rPr>
          <w:rFonts w:ascii="Segoe UI" w:hAnsi="Segoe UI" w:cs="Segoe UI"/>
          <w:sz w:val="18"/>
          <w:szCs w:val="18"/>
        </w:rPr>
        <w:t> ; -15%</w:t>
      </w:r>
      <w:r w:rsidR="009F780C">
        <w:rPr>
          <w:rFonts w:ascii="Segoe UI" w:hAnsi="Segoe UI" w:cs="Segoe UI"/>
          <w:sz w:val="18"/>
          <w:szCs w:val="18"/>
        </w:rPr>
        <w:t>)</w:t>
      </w:r>
      <w:r w:rsidR="001711A1">
        <w:rPr>
          <w:rFonts w:ascii="Segoe UI" w:hAnsi="Segoe UI" w:cs="Segoe UI"/>
          <w:sz w:val="18"/>
          <w:szCs w:val="18"/>
        </w:rPr>
        <w:t>,</w:t>
      </w:r>
      <w:r w:rsidR="00785316">
        <w:rPr>
          <w:rFonts w:ascii="Segoe UI" w:hAnsi="Segoe UI" w:cs="Segoe UI"/>
          <w:sz w:val="18"/>
          <w:szCs w:val="18"/>
        </w:rPr>
        <w:t xml:space="preserve"> s</w:t>
      </w:r>
      <w:r w:rsidR="001711A1">
        <w:rPr>
          <w:rFonts w:ascii="Segoe UI" w:hAnsi="Segoe UI" w:cs="Segoe UI"/>
          <w:sz w:val="18"/>
          <w:szCs w:val="18"/>
        </w:rPr>
        <w:t>ur</w:t>
      </w:r>
      <w:r w:rsidR="00785316">
        <w:rPr>
          <w:rFonts w:ascii="Segoe UI" w:hAnsi="Segoe UI" w:cs="Segoe UI"/>
          <w:sz w:val="18"/>
          <w:szCs w:val="18"/>
        </w:rPr>
        <w:t xml:space="preserve"> </w:t>
      </w:r>
      <w:r w:rsidR="001711A1">
        <w:rPr>
          <w:rFonts w:ascii="Segoe UI" w:hAnsi="Segoe UI" w:cs="Segoe UI"/>
          <w:sz w:val="18"/>
          <w:szCs w:val="18"/>
        </w:rPr>
        <w:t>fond</w:t>
      </w:r>
      <w:r w:rsidR="00785316">
        <w:rPr>
          <w:rFonts w:ascii="Segoe UI" w:hAnsi="Segoe UI" w:cs="Segoe UI"/>
          <w:sz w:val="18"/>
          <w:szCs w:val="18"/>
        </w:rPr>
        <w:t xml:space="preserve"> de tensions diplomatiques</w:t>
      </w:r>
      <w:r w:rsidR="001711A1">
        <w:rPr>
          <w:rFonts w:ascii="Segoe UI" w:hAnsi="Segoe UI" w:cs="Segoe UI"/>
          <w:sz w:val="18"/>
          <w:szCs w:val="18"/>
        </w:rPr>
        <w:t xml:space="preserve"> croissantes</w:t>
      </w:r>
      <w:r w:rsidR="00550017">
        <w:rPr>
          <w:rFonts w:ascii="Segoe UI" w:hAnsi="Segoe UI" w:cs="Segoe UI"/>
          <w:sz w:val="18"/>
          <w:szCs w:val="18"/>
        </w:rPr>
        <w:t>, l’</w:t>
      </w:r>
      <w:r w:rsidR="00550017">
        <w:rPr>
          <w:rFonts w:ascii="Segoe UI" w:hAnsi="Segoe UI" w:cs="Segoe UI"/>
          <w:sz w:val="18"/>
          <w:szCs w:val="18"/>
          <w:u w:val="single"/>
        </w:rPr>
        <w:t>Arabie Saoudite</w:t>
      </w:r>
      <w:r w:rsidR="003B28A6">
        <w:rPr>
          <w:rFonts w:ascii="Segoe UI" w:hAnsi="Segoe UI" w:cs="Segoe UI"/>
          <w:sz w:val="18"/>
          <w:szCs w:val="18"/>
        </w:rPr>
        <w:t xml:space="preserve"> (2,1 Md CAD/</w:t>
      </w:r>
      <w:r w:rsidR="00DC1DE8">
        <w:rPr>
          <w:rFonts w:ascii="Segoe UI" w:hAnsi="Segoe UI" w:cs="Segoe UI"/>
          <w:sz w:val="18"/>
          <w:szCs w:val="18"/>
        </w:rPr>
        <w:t>1,5</w:t>
      </w:r>
      <w:r w:rsidR="003B28A6">
        <w:rPr>
          <w:rFonts w:ascii="Segoe UI" w:hAnsi="Segoe UI" w:cs="Segoe UI"/>
          <w:sz w:val="18"/>
          <w:szCs w:val="18"/>
        </w:rPr>
        <w:t xml:space="preserve"> Md€ ; -42%)</w:t>
      </w:r>
      <w:r w:rsidR="001711A1">
        <w:rPr>
          <w:rFonts w:ascii="Segoe UI" w:hAnsi="Segoe UI" w:cs="Segoe UI"/>
          <w:sz w:val="18"/>
          <w:szCs w:val="18"/>
        </w:rPr>
        <w:t xml:space="preserve">, </w:t>
      </w:r>
      <w:r w:rsidR="00CF4E84">
        <w:rPr>
          <w:rFonts w:ascii="Segoe UI" w:hAnsi="Segoe UI" w:cs="Segoe UI"/>
          <w:sz w:val="18"/>
          <w:szCs w:val="18"/>
        </w:rPr>
        <w:t>malgré la reprise des relations diplomatiques</w:t>
      </w:r>
      <w:r w:rsidR="00550017">
        <w:rPr>
          <w:rFonts w:ascii="Segoe UI" w:hAnsi="Segoe UI" w:cs="Segoe UI"/>
          <w:sz w:val="18"/>
          <w:szCs w:val="18"/>
        </w:rPr>
        <w:t xml:space="preserve">, et </w:t>
      </w:r>
      <w:r w:rsidR="00550017" w:rsidRPr="00550017">
        <w:rPr>
          <w:rFonts w:ascii="Segoe UI" w:hAnsi="Segoe UI" w:cs="Segoe UI"/>
          <w:sz w:val="18"/>
          <w:szCs w:val="18"/>
          <w:u w:val="single"/>
        </w:rPr>
        <w:t>Taïwan</w:t>
      </w:r>
      <w:r w:rsidR="003B28A6">
        <w:rPr>
          <w:rFonts w:ascii="Segoe UI" w:hAnsi="Segoe UI" w:cs="Segoe UI"/>
          <w:sz w:val="18"/>
          <w:szCs w:val="18"/>
        </w:rPr>
        <w:t xml:space="preserve"> (4,2 Md CAD/</w:t>
      </w:r>
      <w:r w:rsidR="00B96E7B">
        <w:rPr>
          <w:rFonts w:ascii="Segoe UI" w:hAnsi="Segoe UI" w:cs="Segoe UI"/>
          <w:sz w:val="18"/>
          <w:szCs w:val="18"/>
        </w:rPr>
        <w:t>2,9</w:t>
      </w:r>
      <w:r w:rsidR="003B28A6">
        <w:rPr>
          <w:rFonts w:ascii="Segoe UI" w:hAnsi="Segoe UI" w:cs="Segoe UI"/>
          <w:sz w:val="18"/>
          <w:szCs w:val="18"/>
        </w:rPr>
        <w:t xml:space="preserve"> Md€ ; -20%)</w:t>
      </w:r>
      <w:r w:rsidR="001D78E5">
        <w:rPr>
          <w:rFonts w:ascii="Segoe UI" w:hAnsi="Segoe UI" w:cs="Segoe UI"/>
          <w:sz w:val="18"/>
          <w:szCs w:val="18"/>
        </w:rPr>
        <w:t xml:space="preserve">. Les importations depuis la </w:t>
      </w:r>
      <w:r w:rsidR="001D78E5" w:rsidRPr="00DA2F5F">
        <w:rPr>
          <w:rFonts w:ascii="Segoe UI" w:hAnsi="Segoe UI" w:cs="Segoe UI"/>
          <w:sz w:val="18"/>
          <w:szCs w:val="18"/>
          <w:u w:val="single"/>
        </w:rPr>
        <w:t>Russie</w:t>
      </w:r>
      <w:r w:rsidR="001D78E5">
        <w:rPr>
          <w:rFonts w:ascii="Segoe UI" w:hAnsi="Segoe UI" w:cs="Segoe UI"/>
          <w:sz w:val="18"/>
          <w:szCs w:val="18"/>
        </w:rPr>
        <w:t xml:space="preserve"> deviennent anecdotiques (25 M CAD/17 M€ ; -93%).</w:t>
      </w:r>
    </w:p>
    <w:p w14:paraId="6922BDE6" w14:textId="53F8CEB0" w:rsidR="00685A34" w:rsidRPr="007E5A42" w:rsidRDefault="00685A34" w:rsidP="00685A34">
      <w:pPr>
        <w:spacing w:before="60" w:after="60"/>
        <w:jc w:val="both"/>
        <w:rPr>
          <w:rFonts w:ascii="Segoe UI" w:hAnsi="Segoe UI" w:cs="Segoe UI"/>
          <w:sz w:val="18"/>
          <w:szCs w:val="18"/>
        </w:rPr>
      </w:pPr>
      <w:r>
        <w:rPr>
          <w:rFonts w:ascii="Segoe UI" w:hAnsi="Segoe UI" w:cs="Segoe UI"/>
          <w:b/>
          <w:bCs/>
          <w:sz w:val="18"/>
          <w:szCs w:val="18"/>
        </w:rPr>
        <w:t xml:space="preserve">Les importations ont reculé dans la </w:t>
      </w:r>
      <w:r w:rsidR="00784260">
        <w:rPr>
          <w:rFonts w:ascii="Segoe UI" w:hAnsi="Segoe UI" w:cs="Segoe UI"/>
          <w:b/>
          <w:bCs/>
          <w:sz w:val="18"/>
          <w:szCs w:val="18"/>
        </w:rPr>
        <w:t>moitié</w:t>
      </w:r>
      <w:r>
        <w:rPr>
          <w:rFonts w:ascii="Segoe UI" w:hAnsi="Segoe UI" w:cs="Segoe UI"/>
          <w:b/>
          <w:bCs/>
          <w:sz w:val="18"/>
          <w:szCs w:val="18"/>
        </w:rPr>
        <w:t xml:space="preserve"> des secteurs</w:t>
      </w:r>
      <w:r w:rsidR="001711A1">
        <w:rPr>
          <w:rFonts w:ascii="Segoe UI" w:hAnsi="Segoe UI" w:cs="Segoe UI"/>
          <w:b/>
          <w:bCs/>
          <w:sz w:val="18"/>
          <w:szCs w:val="18"/>
        </w:rPr>
        <w:t xml:space="preserve"> </w:t>
      </w:r>
      <w:r>
        <w:rPr>
          <w:rFonts w:ascii="Segoe UI" w:hAnsi="Segoe UI" w:cs="Segoe UI"/>
          <w:b/>
          <w:bCs/>
          <w:sz w:val="18"/>
          <w:szCs w:val="18"/>
        </w:rPr>
        <w:t xml:space="preserve">mais ont été </w:t>
      </w:r>
      <w:r w:rsidR="001711A1">
        <w:rPr>
          <w:rFonts w:ascii="Segoe UI" w:hAnsi="Segoe UI" w:cs="Segoe UI"/>
          <w:b/>
          <w:bCs/>
          <w:sz w:val="18"/>
          <w:szCs w:val="18"/>
        </w:rPr>
        <w:t>très dynamiques</w:t>
      </w:r>
      <w:r>
        <w:rPr>
          <w:rFonts w:ascii="Segoe UI" w:hAnsi="Segoe UI" w:cs="Segoe UI"/>
          <w:b/>
          <w:bCs/>
          <w:sz w:val="18"/>
          <w:szCs w:val="18"/>
        </w:rPr>
        <w:t xml:space="preserve"> dans le </w:t>
      </w:r>
      <w:r w:rsidR="00545F89">
        <w:rPr>
          <w:rFonts w:ascii="Segoe UI" w:hAnsi="Segoe UI" w:cs="Segoe UI"/>
          <w:b/>
          <w:bCs/>
          <w:sz w:val="18"/>
          <w:szCs w:val="18"/>
        </w:rPr>
        <w:t>secteur automobile</w:t>
      </w:r>
      <w:r>
        <w:rPr>
          <w:rFonts w:ascii="Segoe UI" w:hAnsi="Segoe UI" w:cs="Segoe UI"/>
          <w:b/>
          <w:bCs/>
          <w:sz w:val="18"/>
          <w:szCs w:val="18"/>
        </w:rPr>
        <w:t xml:space="preserve"> et aérospatial. </w:t>
      </w:r>
      <w:r w:rsidR="007E5A42">
        <w:rPr>
          <w:rFonts w:ascii="Segoe UI" w:hAnsi="Segoe UI" w:cs="Segoe UI"/>
          <w:sz w:val="18"/>
          <w:szCs w:val="18"/>
        </w:rPr>
        <w:t xml:space="preserve">Les </w:t>
      </w:r>
      <w:r w:rsidR="007E5A42" w:rsidRPr="0039463B">
        <w:rPr>
          <w:rFonts w:ascii="Segoe UI" w:hAnsi="Segoe UI" w:cs="Segoe UI"/>
          <w:sz w:val="18"/>
          <w:szCs w:val="18"/>
          <w:u w:val="single"/>
        </w:rPr>
        <w:t>biens de consommation</w:t>
      </w:r>
      <w:r w:rsidR="007E5A42">
        <w:rPr>
          <w:rFonts w:ascii="Segoe UI" w:hAnsi="Segoe UI" w:cs="Segoe UI"/>
          <w:sz w:val="18"/>
          <w:szCs w:val="18"/>
        </w:rPr>
        <w:t xml:space="preserve"> </w:t>
      </w:r>
      <w:r w:rsidR="0039463B">
        <w:rPr>
          <w:rFonts w:ascii="Segoe UI" w:hAnsi="Segoe UI" w:cs="Segoe UI"/>
          <w:sz w:val="18"/>
          <w:szCs w:val="18"/>
        </w:rPr>
        <w:t>restent</w:t>
      </w:r>
      <w:r w:rsidR="007E5A42">
        <w:rPr>
          <w:rFonts w:ascii="Segoe UI" w:hAnsi="Segoe UI" w:cs="Segoe UI"/>
          <w:sz w:val="18"/>
          <w:szCs w:val="18"/>
        </w:rPr>
        <w:t xml:space="preserve"> le premier poste d’importation </w:t>
      </w:r>
      <w:r w:rsidR="00C478FF">
        <w:rPr>
          <w:rFonts w:ascii="Segoe UI" w:hAnsi="Segoe UI" w:cs="Segoe UI"/>
          <w:sz w:val="18"/>
          <w:szCs w:val="18"/>
        </w:rPr>
        <w:t>du Canada</w:t>
      </w:r>
      <w:r w:rsidR="007E5A42">
        <w:rPr>
          <w:rFonts w:ascii="Segoe UI" w:hAnsi="Segoe UI" w:cs="Segoe UI"/>
          <w:sz w:val="18"/>
          <w:szCs w:val="18"/>
        </w:rPr>
        <w:t xml:space="preserve"> (</w:t>
      </w:r>
      <w:r w:rsidR="00B44C80">
        <w:rPr>
          <w:rFonts w:ascii="Segoe UI" w:hAnsi="Segoe UI" w:cs="Segoe UI"/>
          <w:sz w:val="18"/>
          <w:szCs w:val="18"/>
        </w:rPr>
        <w:t xml:space="preserve">150 Md CAD/110 Md€ ; </w:t>
      </w:r>
      <w:r w:rsidR="007E5A42">
        <w:rPr>
          <w:rFonts w:ascii="Segoe UI" w:hAnsi="Segoe UI" w:cs="Segoe UI"/>
          <w:sz w:val="18"/>
          <w:szCs w:val="18"/>
        </w:rPr>
        <w:t>19% du total)</w:t>
      </w:r>
      <w:r w:rsidR="001711A1">
        <w:rPr>
          <w:rFonts w:ascii="Segoe UI" w:hAnsi="Segoe UI" w:cs="Segoe UI"/>
          <w:sz w:val="18"/>
          <w:szCs w:val="18"/>
        </w:rPr>
        <w:t xml:space="preserve">, en recul toutefois </w:t>
      </w:r>
      <w:r w:rsidR="007E5A42">
        <w:rPr>
          <w:rFonts w:ascii="Segoe UI" w:hAnsi="Segoe UI" w:cs="Segoe UI"/>
          <w:sz w:val="18"/>
          <w:szCs w:val="18"/>
        </w:rPr>
        <w:t xml:space="preserve">de 3% </w:t>
      </w:r>
      <w:r w:rsidR="007D4F7D">
        <w:rPr>
          <w:rFonts w:ascii="Segoe UI" w:hAnsi="Segoe UI" w:cs="Segoe UI"/>
          <w:sz w:val="18"/>
          <w:szCs w:val="18"/>
        </w:rPr>
        <w:t xml:space="preserve">sur l’année, </w:t>
      </w:r>
      <w:r w:rsidR="007E5A42">
        <w:rPr>
          <w:rFonts w:ascii="Segoe UI" w:hAnsi="Segoe UI" w:cs="Segoe UI"/>
          <w:sz w:val="18"/>
          <w:szCs w:val="18"/>
        </w:rPr>
        <w:t xml:space="preserve">signe du ralentissement de la croissance </w:t>
      </w:r>
      <w:r w:rsidR="00A93D0B">
        <w:rPr>
          <w:rFonts w:ascii="Segoe UI" w:hAnsi="Segoe UI" w:cs="Segoe UI"/>
          <w:sz w:val="18"/>
          <w:szCs w:val="18"/>
        </w:rPr>
        <w:t xml:space="preserve">observé depuis </w:t>
      </w:r>
      <w:r w:rsidR="00804F9A">
        <w:rPr>
          <w:rFonts w:ascii="Segoe UI" w:hAnsi="Segoe UI" w:cs="Segoe UI"/>
          <w:sz w:val="18"/>
          <w:szCs w:val="18"/>
        </w:rPr>
        <w:t>le</w:t>
      </w:r>
      <w:r w:rsidR="002F040A">
        <w:rPr>
          <w:rFonts w:ascii="Segoe UI" w:hAnsi="Segoe UI" w:cs="Segoe UI"/>
          <w:sz w:val="18"/>
          <w:szCs w:val="18"/>
        </w:rPr>
        <w:t xml:space="preserve"> </w:t>
      </w:r>
      <w:r w:rsidR="00804F9A">
        <w:rPr>
          <w:rFonts w:ascii="Segoe UI" w:hAnsi="Segoe UI" w:cs="Segoe UI"/>
          <w:sz w:val="18"/>
          <w:szCs w:val="18"/>
        </w:rPr>
        <w:t>second semestre</w:t>
      </w:r>
      <w:r w:rsidR="00A93D0B">
        <w:rPr>
          <w:rFonts w:ascii="Segoe UI" w:hAnsi="Segoe UI" w:cs="Segoe UI"/>
          <w:sz w:val="18"/>
          <w:szCs w:val="18"/>
        </w:rPr>
        <w:t>.</w:t>
      </w:r>
      <w:r w:rsidR="00784260">
        <w:rPr>
          <w:rFonts w:ascii="Segoe UI" w:hAnsi="Segoe UI" w:cs="Segoe UI"/>
          <w:sz w:val="18"/>
          <w:szCs w:val="18"/>
        </w:rPr>
        <w:t xml:space="preserve"> De même, les importations de </w:t>
      </w:r>
      <w:r w:rsidR="00784260" w:rsidRPr="002174D7">
        <w:rPr>
          <w:rFonts w:ascii="Segoe UI" w:hAnsi="Segoe UI" w:cs="Segoe UI"/>
          <w:sz w:val="18"/>
          <w:szCs w:val="18"/>
          <w:u w:val="single"/>
        </w:rPr>
        <w:t>produits chimiques</w:t>
      </w:r>
      <w:r w:rsidR="00784260">
        <w:rPr>
          <w:rFonts w:ascii="Segoe UI" w:hAnsi="Segoe UI" w:cs="Segoe UI"/>
          <w:sz w:val="18"/>
          <w:szCs w:val="18"/>
        </w:rPr>
        <w:t xml:space="preserve"> </w:t>
      </w:r>
      <w:r w:rsidR="00CA5D58">
        <w:rPr>
          <w:rFonts w:ascii="Segoe UI" w:hAnsi="Segoe UI" w:cs="Segoe UI"/>
          <w:sz w:val="18"/>
          <w:szCs w:val="18"/>
        </w:rPr>
        <w:t>(</w:t>
      </w:r>
      <w:r w:rsidR="00AB3685">
        <w:rPr>
          <w:rFonts w:ascii="Segoe UI" w:hAnsi="Segoe UI" w:cs="Segoe UI"/>
          <w:sz w:val="18"/>
          <w:szCs w:val="18"/>
        </w:rPr>
        <w:t xml:space="preserve">-10% ; </w:t>
      </w:r>
      <w:r w:rsidR="00CA5D58">
        <w:rPr>
          <w:rFonts w:ascii="Segoe UI" w:hAnsi="Segoe UI" w:cs="Segoe UI"/>
          <w:sz w:val="18"/>
          <w:szCs w:val="18"/>
        </w:rPr>
        <w:t xml:space="preserve">60 Md CAD/41 Md€), de </w:t>
      </w:r>
      <w:r w:rsidR="00CA5D58" w:rsidRPr="00BF542D">
        <w:rPr>
          <w:rFonts w:ascii="Segoe UI" w:hAnsi="Segoe UI" w:cs="Segoe UI"/>
          <w:sz w:val="18"/>
          <w:szCs w:val="18"/>
          <w:u w:val="single"/>
        </w:rPr>
        <w:t>produits énergétiques</w:t>
      </w:r>
      <w:r w:rsidR="00CA5D58">
        <w:rPr>
          <w:rFonts w:ascii="Segoe UI" w:hAnsi="Segoe UI" w:cs="Segoe UI"/>
          <w:sz w:val="18"/>
          <w:szCs w:val="18"/>
        </w:rPr>
        <w:t xml:space="preserve"> (</w:t>
      </w:r>
      <w:r w:rsidR="00AB3685">
        <w:rPr>
          <w:rFonts w:ascii="Segoe UI" w:hAnsi="Segoe UI" w:cs="Segoe UI"/>
          <w:sz w:val="18"/>
          <w:szCs w:val="18"/>
        </w:rPr>
        <w:t xml:space="preserve">-15% ; </w:t>
      </w:r>
      <w:r w:rsidR="00CA5D58">
        <w:rPr>
          <w:rFonts w:ascii="Segoe UI" w:hAnsi="Segoe UI" w:cs="Segoe UI"/>
          <w:sz w:val="18"/>
          <w:szCs w:val="18"/>
        </w:rPr>
        <w:t xml:space="preserve">43,6 Md CAD/31,5 Md€) et de </w:t>
      </w:r>
      <w:r w:rsidR="00CA5D58" w:rsidRPr="0068190A">
        <w:rPr>
          <w:rFonts w:ascii="Segoe UI" w:hAnsi="Segoe UI" w:cs="Segoe UI"/>
          <w:sz w:val="18"/>
          <w:szCs w:val="18"/>
          <w:u w:val="single"/>
        </w:rPr>
        <w:t>produits forestiers</w:t>
      </w:r>
      <w:r w:rsidR="00CA5D58">
        <w:rPr>
          <w:rFonts w:ascii="Segoe UI" w:hAnsi="Segoe UI" w:cs="Segoe UI"/>
          <w:sz w:val="18"/>
          <w:szCs w:val="18"/>
        </w:rPr>
        <w:t xml:space="preserve"> (</w:t>
      </w:r>
      <w:r w:rsidR="00AB3685">
        <w:rPr>
          <w:rFonts w:ascii="Segoe UI" w:hAnsi="Segoe UI" w:cs="Segoe UI"/>
          <w:sz w:val="18"/>
          <w:szCs w:val="18"/>
        </w:rPr>
        <w:t xml:space="preserve">-5% ; </w:t>
      </w:r>
      <w:r w:rsidR="00CA5D58">
        <w:rPr>
          <w:rFonts w:ascii="Segoe UI" w:hAnsi="Segoe UI" w:cs="Segoe UI"/>
          <w:sz w:val="18"/>
          <w:szCs w:val="18"/>
        </w:rPr>
        <w:t>33,5 Md CAD/23 Md€) ont reculé sur l’année.</w:t>
      </w:r>
      <w:r w:rsidR="00180134">
        <w:rPr>
          <w:rFonts w:ascii="Segoe UI" w:hAnsi="Segoe UI" w:cs="Segoe UI"/>
          <w:sz w:val="18"/>
          <w:szCs w:val="18"/>
        </w:rPr>
        <w:t xml:space="preserve"> Les importations de l’industrie </w:t>
      </w:r>
      <w:r w:rsidR="00180134" w:rsidRPr="00233002">
        <w:rPr>
          <w:rFonts w:ascii="Segoe UI" w:hAnsi="Segoe UI" w:cs="Segoe UI"/>
          <w:sz w:val="18"/>
          <w:szCs w:val="18"/>
          <w:u w:val="single"/>
        </w:rPr>
        <w:t>automobile</w:t>
      </w:r>
      <w:r w:rsidR="00636039">
        <w:rPr>
          <w:rFonts w:ascii="Segoe UI" w:hAnsi="Segoe UI" w:cs="Segoe UI"/>
          <w:sz w:val="18"/>
          <w:szCs w:val="18"/>
        </w:rPr>
        <w:t xml:space="preserve"> </w:t>
      </w:r>
      <w:r w:rsidR="00180134">
        <w:rPr>
          <w:rFonts w:ascii="Segoe UI" w:hAnsi="Segoe UI" w:cs="Segoe UI"/>
          <w:sz w:val="18"/>
          <w:szCs w:val="18"/>
        </w:rPr>
        <w:t>(</w:t>
      </w:r>
      <w:r w:rsidR="00AB3685">
        <w:rPr>
          <w:rFonts w:ascii="Segoe UI" w:hAnsi="Segoe UI" w:cs="Segoe UI"/>
          <w:sz w:val="18"/>
          <w:szCs w:val="18"/>
        </w:rPr>
        <w:t xml:space="preserve">+20% ; </w:t>
      </w:r>
      <w:r w:rsidR="00180134">
        <w:rPr>
          <w:rFonts w:ascii="Segoe UI" w:hAnsi="Segoe UI" w:cs="Segoe UI"/>
          <w:sz w:val="18"/>
          <w:szCs w:val="18"/>
        </w:rPr>
        <w:t>141,8 Md CAD/98 Md€) et de l’</w:t>
      </w:r>
      <w:r w:rsidR="00180134" w:rsidRPr="00AC7625">
        <w:rPr>
          <w:rFonts w:ascii="Segoe UI" w:hAnsi="Segoe UI" w:cs="Segoe UI"/>
          <w:sz w:val="18"/>
          <w:szCs w:val="18"/>
          <w:u w:val="single"/>
        </w:rPr>
        <w:t>aérospatial</w:t>
      </w:r>
      <w:r w:rsidR="00180134">
        <w:rPr>
          <w:rFonts w:ascii="Segoe UI" w:hAnsi="Segoe UI" w:cs="Segoe UI"/>
          <w:sz w:val="18"/>
          <w:szCs w:val="18"/>
        </w:rPr>
        <w:t xml:space="preserve"> (</w:t>
      </w:r>
      <w:r w:rsidR="00AB3685">
        <w:rPr>
          <w:rFonts w:ascii="Segoe UI" w:hAnsi="Segoe UI" w:cs="Segoe UI"/>
          <w:sz w:val="18"/>
          <w:szCs w:val="18"/>
        </w:rPr>
        <w:t xml:space="preserve">+10% ; </w:t>
      </w:r>
      <w:r w:rsidR="00180134">
        <w:rPr>
          <w:rFonts w:ascii="Segoe UI" w:hAnsi="Segoe UI" w:cs="Segoe UI"/>
          <w:sz w:val="18"/>
          <w:szCs w:val="18"/>
        </w:rPr>
        <w:t xml:space="preserve">26 Md CAD/18 Md€) </w:t>
      </w:r>
      <w:r w:rsidR="00785316">
        <w:rPr>
          <w:rFonts w:ascii="Segoe UI" w:hAnsi="Segoe UI" w:cs="Segoe UI"/>
          <w:sz w:val="18"/>
          <w:szCs w:val="18"/>
        </w:rPr>
        <w:t xml:space="preserve">ont connu </w:t>
      </w:r>
      <w:r w:rsidR="00180134">
        <w:rPr>
          <w:rFonts w:ascii="Segoe UI" w:hAnsi="Segoe UI" w:cs="Segoe UI"/>
          <w:sz w:val="18"/>
          <w:szCs w:val="18"/>
        </w:rPr>
        <w:t xml:space="preserve">les plus fortes hausses, </w:t>
      </w:r>
      <w:r w:rsidR="00AB3685">
        <w:rPr>
          <w:rFonts w:ascii="Segoe UI" w:hAnsi="Segoe UI" w:cs="Segoe UI"/>
          <w:sz w:val="18"/>
          <w:szCs w:val="18"/>
        </w:rPr>
        <w:t xml:space="preserve">signe d’une reprise de l’activité, également constatée du côté des exportations </w:t>
      </w:r>
      <w:r w:rsidR="00FE4C63">
        <w:rPr>
          <w:rFonts w:ascii="Segoe UI" w:hAnsi="Segoe UI" w:cs="Segoe UI"/>
          <w:sz w:val="18"/>
          <w:szCs w:val="18"/>
        </w:rPr>
        <w:t>(</w:t>
      </w:r>
      <w:r w:rsidR="00FE4C63" w:rsidRPr="001373D1">
        <w:rPr>
          <w:rFonts w:ascii="Segoe UI" w:hAnsi="Segoe UI" w:cs="Segoe UI"/>
          <w:i/>
          <w:iCs/>
          <w:sz w:val="18"/>
          <w:szCs w:val="18"/>
        </w:rPr>
        <w:t>Annexe III</w:t>
      </w:r>
      <w:r w:rsidR="00FE4C63">
        <w:rPr>
          <w:rFonts w:ascii="Segoe UI" w:hAnsi="Segoe UI" w:cs="Segoe UI"/>
          <w:sz w:val="18"/>
          <w:szCs w:val="18"/>
        </w:rPr>
        <w:t>).</w:t>
      </w:r>
    </w:p>
    <w:p w14:paraId="3C8D3A9B" w14:textId="0CB18E94" w:rsidR="0073191A" w:rsidRPr="004E2DAE" w:rsidRDefault="00C66405" w:rsidP="00685A34">
      <w:pPr>
        <w:spacing w:before="60" w:after="60"/>
        <w:jc w:val="both"/>
        <w:rPr>
          <w:rFonts w:ascii="Segoe UI" w:hAnsi="Segoe UI" w:cs="Segoe UI"/>
          <w:sz w:val="18"/>
          <w:szCs w:val="18"/>
        </w:rPr>
      </w:pPr>
      <w:r>
        <w:rPr>
          <w:rFonts w:ascii="Segoe UI" w:hAnsi="Segoe UI" w:cs="Segoe UI"/>
          <w:b/>
          <w:bCs/>
          <w:sz w:val="18"/>
          <w:szCs w:val="18"/>
        </w:rPr>
        <w:t>L’Ontario (61%), le Québec (14%) et la Colombie-Britannique</w:t>
      </w:r>
      <w:r w:rsidR="005E46F9">
        <w:rPr>
          <w:rStyle w:val="Appelnotedebasdep"/>
          <w:rFonts w:ascii="Segoe UI" w:hAnsi="Segoe UI" w:cs="Segoe UI"/>
          <w:b/>
          <w:bCs/>
          <w:sz w:val="18"/>
          <w:szCs w:val="18"/>
        </w:rPr>
        <w:footnoteReference w:id="2"/>
      </w:r>
      <w:r>
        <w:rPr>
          <w:rFonts w:ascii="Segoe UI" w:hAnsi="Segoe UI" w:cs="Segoe UI"/>
          <w:b/>
          <w:bCs/>
          <w:sz w:val="18"/>
          <w:szCs w:val="18"/>
        </w:rPr>
        <w:t xml:space="preserve"> </w:t>
      </w:r>
      <w:r w:rsidR="002E6D4E">
        <w:rPr>
          <w:rFonts w:ascii="Segoe UI" w:hAnsi="Segoe UI" w:cs="Segoe UI"/>
          <w:b/>
          <w:bCs/>
          <w:sz w:val="18"/>
          <w:szCs w:val="18"/>
        </w:rPr>
        <w:t>représentent la majeure partie</w:t>
      </w:r>
      <w:r>
        <w:rPr>
          <w:rFonts w:ascii="Segoe UI" w:hAnsi="Segoe UI" w:cs="Segoe UI"/>
          <w:b/>
          <w:bCs/>
          <w:sz w:val="18"/>
          <w:szCs w:val="18"/>
        </w:rPr>
        <w:t xml:space="preserve"> </w:t>
      </w:r>
      <w:r w:rsidR="00824C6D">
        <w:rPr>
          <w:rFonts w:ascii="Segoe UI" w:hAnsi="Segoe UI" w:cs="Segoe UI"/>
          <w:b/>
          <w:bCs/>
          <w:sz w:val="18"/>
          <w:szCs w:val="18"/>
        </w:rPr>
        <w:t xml:space="preserve">(84%) </w:t>
      </w:r>
      <w:r>
        <w:rPr>
          <w:rFonts w:ascii="Segoe UI" w:hAnsi="Segoe UI" w:cs="Segoe UI"/>
          <w:b/>
          <w:bCs/>
          <w:sz w:val="18"/>
          <w:szCs w:val="18"/>
        </w:rPr>
        <w:t>des importations canadienne</w:t>
      </w:r>
      <w:r w:rsidR="00755FBA">
        <w:rPr>
          <w:rFonts w:ascii="Segoe UI" w:hAnsi="Segoe UI" w:cs="Segoe UI"/>
          <w:b/>
          <w:bCs/>
          <w:sz w:val="18"/>
          <w:szCs w:val="18"/>
        </w:rPr>
        <w:t>s.</w:t>
      </w:r>
      <w:r w:rsidR="00AE1C81">
        <w:rPr>
          <w:rFonts w:ascii="Segoe UI" w:hAnsi="Segoe UI" w:cs="Segoe UI"/>
          <w:b/>
          <w:bCs/>
          <w:sz w:val="18"/>
          <w:szCs w:val="18"/>
        </w:rPr>
        <w:t xml:space="preserve"> </w:t>
      </w:r>
      <w:r w:rsidR="00AE1C81">
        <w:rPr>
          <w:rFonts w:ascii="Segoe UI" w:hAnsi="Segoe UI" w:cs="Segoe UI"/>
          <w:sz w:val="18"/>
          <w:szCs w:val="18"/>
        </w:rPr>
        <w:t xml:space="preserve">L’Ontario </w:t>
      </w:r>
      <w:r w:rsidR="00AB3685">
        <w:rPr>
          <w:rFonts w:ascii="Segoe UI" w:hAnsi="Segoe UI" w:cs="Segoe UI"/>
          <w:sz w:val="18"/>
          <w:szCs w:val="18"/>
        </w:rPr>
        <w:t>représente ainsi près des deux tiers des importations, pour 40% de la population : avec</w:t>
      </w:r>
      <w:r w:rsidR="00AE1C81">
        <w:rPr>
          <w:rFonts w:ascii="Segoe UI" w:hAnsi="Segoe UI" w:cs="Segoe UI"/>
          <w:sz w:val="18"/>
          <w:szCs w:val="18"/>
        </w:rPr>
        <w:t xml:space="preserve"> 45</w:t>
      </w:r>
      <w:r w:rsidR="006E4B75">
        <w:rPr>
          <w:rFonts w:ascii="Segoe UI" w:hAnsi="Segoe UI" w:cs="Segoe UI"/>
          <w:sz w:val="18"/>
          <w:szCs w:val="18"/>
        </w:rPr>
        <w:t>8</w:t>
      </w:r>
      <w:r w:rsidR="00AE1C81">
        <w:rPr>
          <w:rFonts w:ascii="Segoe UI" w:hAnsi="Segoe UI" w:cs="Segoe UI"/>
          <w:sz w:val="18"/>
          <w:szCs w:val="18"/>
        </w:rPr>
        <w:t xml:space="preserve"> Md CAD (31</w:t>
      </w:r>
      <w:r w:rsidR="006E4B75">
        <w:rPr>
          <w:rFonts w:ascii="Segoe UI" w:hAnsi="Segoe UI" w:cs="Segoe UI"/>
          <w:sz w:val="18"/>
          <w:szCs w:val="18"/>
        </w:rPr>
        <w:t>6</w:t>
      </w:r>
      <w:r w:rsidR="00AE1C81">
        <w:rPr>
          <w:rFonts w:ascii="Segoe UI" w:hAnsi="Segoe UI" w:cs="Segoe UI"/>
          <w:sz w:val="18"/>
          <w:szCs w:val="18"/>
        </w:rPr>
        <w:t xml:space="preserve"> Md€)</w:t>
      </w:r>
      <w:r w:rsidR="007B11B2">
        <w:rPr>
          <w:rFonts w:ascii="Segoe UI" w:hAnsi="Segoe UI" w:cs="Segoe UI"/>
          <w:sz w:val="18"/>
          <w:szCs w:val="18"/>
        </w:rPr>
        <w:t xml:space="preserve"> en 2023, </w:t>
      </w:r>
      <w:r w:rsidR="00AB3685">
        <w:rPr>
          <w:rFonts w:ascii="Segoe UI" w:hAnsi="Segoe UI" w:cs="Segoe UI"/>
          <w:sz w:val="18"/>
          <w:szCs w:val="18"/>
        </w:rPr>
        <w:t xml:space="preserve">les importations ont augmenté de </w:t>
      </w:r>
      <w:r w:rsidR="007B11B2">
        <w:rPr>
          <w:rFonts w:ascii="Segoe UI" w:hAnsi="Segoe UI" w:cs="Segoe UI"/>
          <w:sz w:val="18"/>
          <w:szCs w:val="18"/>
        </w:rPr>
        <w:t xml:space="preserve">3% </w:t>
      </w:r>
      <w:r w:rsidR="00AB3685">
        <w:rPr>
          <w:rFonts w:ascii="Segoe UI" w:hAnsi="Segoe UI" w:cs="Segoe UI"/>
          <w:sz w:val="18"/>
          <w:szCs w:val="18"/>
        </w:rPr>
        <w:t>sur l’année</w:t>
      </w:r>
      <w:r w:rsidR="007B11B2">
        <w:rPr>
          <w:rFonts w:ascii="Segoe UI" w:hAnsi="Segoe UI" w:cs="Segoe UI"/>
          <w:sz w:val="18"/>
          <w:szCs w:val="18"/>
        </w:rPr>
        <w:t>.</w:t>
      </w:r>
      <w:r w:rsidR="00796A16">
        <w:rPr>
          <w:rFonts w:ascii="Segoe UI" w:hAnsi="Segoe UI" w:cs="Segoe UI"/>
          <w:sz w:val="18"/>
          <w:szCs w:val="18"/>
        </w:rPr>
        <w:t xml:space="preserve"> Il s’agit notamment de produits de </w:t>
      </w:r>
      <w:r w:rsidR="00796A16" w:rsidRPr="0007501B">
        <w:rPr>
          <w:rFonts w:ascii="Segoe UI" w:hAnsi="Segoe UI" w:cs="Segoe UI"/>
          <w:sz w:val="18"/>
          <w:szCs w:val="18"/>
        </w:rPr>
        <w:t xml:space="preserve">l’industrie automobile </w:t>
      </w:r>
      <w:r w:rsidR="00156188" w:rsidRPr="0007501B">
        <w:rPr>
          <w:rFonts w:ascii="Segoe UI" w:hAnsi="Segoe UI" w:cs="Segoe UI"/>
          <w:sz w:val="18"/>
          <w:szCs w:val="18"/>
        </w:rPr>
        <w:t>(88</w:t>
      </w:r>
      <w:r w:rsidR="00AB3685" w:rsidRPr="0007501B">
        <w:rPr>
          <w:rFonts w:ascii="Segoe UI" w:hAnsi="Segoe UI" w:cs="Segoe UI"/>
          <w:sz w:val="18"/>
          <w:szCs w:val="18"/>
        </w:rPr>
        <w:t>% du total</w:t>
      </w:r>
      <w:r w:rsidR="00796A16" w:rsidRPr="0007501B">
        <w:rPr>
          <w:rFonts w:ascii="Segoe UI" w:hAnsi="Segoe UI" w:cs="Segoe UI"/>
          <w:sz w:val="18"/>
          <w:szCs w:val="18"/>
        </w:rPr>
        <w:t>), de biens de consommation (</w:t>
      </w:r>
      <w:r w:rsidR="0007501B" w:rsidRPr="0007501B">
        <w:rPr>
          <w:rFonts w:ascii="Segoe UI" w:hAnsi="Segoe UI" w:cs="Segoe UI"/>
          <w:sz w:val="18"/>
          <w:szCs w:val="18"/>
        </w:rPr>
        <w:t>53</w:t>
      </w:r>
      <w:r w:rsidR="00AB3685" w:rsidRPr="0007501B">
        <w:rPr>
          <w:rFonts w:ascii="Segoe UI" w:hAnsi="Segoe UI" w:cs="Segoe UI"/>
          <w:sz w:val="18"/>
          <w:szCs w:val="18"/>
        </w:rPr>
        <w:t>% du total)</w:t>
      </w:r>
      <w:r w:rsidR="00796A16" w:rsidRPr="0007501B">
        <w:rPr>
          <w:rFonts w:ascii="Segoe UI" w:hAnsi="Segoe UI" w:cs="Segoe UI"/>
          <w:sz w:val="18"/>
          <w:szCs w:val="18"/>
        </w:rPr>
        <w:t xml:space="preserve"> et de matériel électrique et électronique (</w:t>
      </w:r>
      <w:r w:rsidR="0007501B" w:rsidRPr="0007501B">
        <w:rPr>
          <w:rFonts w:ascii="Segoe UI" w:hAnsi="Segoe UI" w:cs="Segoe UI"/>
          <w:sz w:val="18"/>
          <w:szCs w:val="18"/>
        </w:rPr>
        <w:t>51</w:t>
      </w:r>
      <w:r w:rsidR="00AB3685" w:rsidRPr="0007501B">
        <w:rPr>
          <w:rFonts w:ascii="Segoe UI" w:hAnsi="Segoe UI" w:cs="Segoe UI"/>
          <w:sz w:val="18"/>
          <w:szCs w:val="18"/>
        </w:rPr>
        <w:t>% du total).</w:t>
      </w:r>
      <w:r w:rsidR="00796A16" w:rsidRPr="0007501B">
        <w:rPr>
          <w:rFonts w:ascii="Segoe UI" w:hAnsi="Segoe UI" w:cs="Segoe UI"/>
          <w:sz w:val="18"/>
          <w:szCs w:val="18"/>
        </w:rPr>
        <w:t xml:space="preserve"> </w:t>
      </w:r>
      <w:r w:rsidR="004E2DAE" w:rsidRPr="0007501B">
        <w:rPr>
          <w:rFonts w:ascii="Segoe UI" w:hAnsi="Segoe UI" w:cs="Segoe UI"/>
          <w:sz w:val="18"/>
          <w:szCs w:val="18"/>
        </w:rPr>
        <w:t xml:space="preserve">Le </w:t>
      </w:r>
      <w:r w:rsidR="004E2DAE" w:rsidRPr="0007501B">
        <w:rPr>
          <w:rFonts w:ascii="Segoe UI" w:hAnsi="Segoe UI" w:cs="Segoe UI"/>
          <w:sz w:val="18"/>
          <w:szCs w:val="18"/>
          <w:u w:val="single"/>
        </w:rPr>
        <w:t>Québec</w:t>
      </w:r>
      <w:r w:rsidR="004E2DAE">
        <w:rPr>
          <w:rFonts w:ascii="Segoe UI" w:hAnsi="Segoe UI" w:cs="Segoe UI"/>
          <w:sz w:val="18"/>
          <w:szCs w:val="18"/>
        </w:rPr>
        <w:t xml:space="preserve"> représente 14% des importations canadiennes (104 Md CAD/72 Md€)</w:t>
      </w:r>
      <w:r w:rsidR="0049265C">
        <w:rPr>
          <w:rFonts w:ascii="Segoe UI" w:hAnsi="Segoe UI" w:cs="Segoe UI"/>
          <w:sz w:val="18"/>
          <w:szCs w:val="18"/>
        </w:rPr>
        <w:t xml:space="preserve">, suivi de la Colombie-Britannique à 10% (74,2 Md CAD/51,2 Md€). Les </w:t>
      </w:r>
      <w:r w:rsidR="0049265C" w:rsidRPr="00160AA5">
        <w:rPr>
          <w:rFonts w:ascii="Segoe UI" w:hAnsi="Segoe UI" w:cs="Segoe UI"/>
          <w:sz w:val="18"/>
          <w:szCs w:val="18"/>
          <w:u w:val="single"/>
        </w:rPr>
        <w:t>Prairies (Alberta, Saskatchewan, Manitoba)</w:t>
      </w:r>
      <w:r w:rsidR="0049265C">
        <w:rPr>
          <w:rFonts w:ascii="Segoe UI" w:hAnsi="Segoe UI" w:cs="Segoe UI"/>
          <w:sz w:val="18"/>
          <w:szCs w:val="18"/>
        </w:rPr>
        <w:t xml:space="preserve"> importent peu, respectivement 5%, 4% et 2% du total canadien, soit 87,7 Md CAD </w:t>
      </w:r>
      <w:r w:rsidR="00AB3685">
        <w:rPr>
          <w:rFonts w:ascii="Segoe UI" w:hAnsi="Segoe UI" w:cs="Segoe UI"/>
          <w:sz w:val="18"/>
          <w:szCs w:val="18"/>
        </w:rPr>
        <w:t xml:space="preserve">(61 Md€) </w:t>
      </w:r>
      <w:r w:rsidR="0049265C">
        <w:rPr>
          <w:rFonts w:ascii="Segoe UI" w:hAnsi="Segoe UI" w:cs="Segoe UI"/>
          <w:sz w:val="18"/>
          <w:szCs w:val="18"/>
        </w:rPr>
        <w:t>à elles trois</w:t>
      </w:r>
      <w:r w:rsidR="00C63ACF">
        <w:rPr>
          <w:rFonts w:ascii="Segoe UI" w:hAnsi="Segoe UI" w:cs="Segoe UI"/>
          <w:sz w:val="18"/>
          <w:szCs w:val="18"/>
        </w:rPr>
        <w:t xml:space="preserve">. </w:t>
      </w:r>
      <w:r w:rsidR="00CB5B5C">
        <w:rPr>
          <w:rFonts w:ascii="Segoe UI" w:hAnsi="Segoe UI" w:cs="Segoe UI"/>
          <w:sz w:val="18"/>
          <w:szCs w:val="18"/>
        </w:rPr>
        <w:t xml:space="preserve">Enfin, les </w:t>
      </w:r>
      <w:r w:rsidR="00CB5B5C" w:rsidRPr="00A56A79">
        <w:rPr>
          <w:rFonts w:ascii="Segoe UI" w:hAnsi="Segoe UI" w:cs="Segoe UI"/>
          <w:sz w:val="18"/>
          <w:szCs w:val="18"/>
          <w:u w:val="single"/>
        </w:rPr>
        <w:t>Maritimes (Nouvelle-Ecosse, Terre-Neuve-et-Labrador, Nouveau-Brunswick, Île-du-Prince-Edouard)</w:t>
      </w:r>
      <w:r w:rsidR="00A56A79">
        <w:rPr>
          <w:rFonts w:ascii="Segoe UI" w:hAnsi="Segoe UI" w:cs="Segoe UI"/>
          <w:sz w:val="18"/>
          <w:szCs w:val="18"/>
        </w:rPr>
        <w:t xml:space="preserve">, comptent pour </w:t>
      </w:r>
      <w:r w:rsidR="006B24EB">
        <w:rPr>
          <w:rFonts w:ascii="Segoe UI" w:hAnsi="Segoe UI" w:cs="Segoe UI"/>
          <w:sz w:val="18"/>
          <w:szCs w:val="18"/>
        </w:rPr>
        <w:t>2</w:t>
      </w:r>
      <w:r w:rsidR="00A56A79">
        <w:rPr>
          <w:rFonts w:ascii="Segoe UI" w:hAnsi="Segoe UI" w:cs="Segoe UI"/>
          <w:sz w:val="18"/>
          <w:szCs w:val="18"/>
        </w:rPr>
        <w:t>% des importations totales, soit 14 Md CAD (10 Md€</w:t>
      </w:r>
      <w:r w:rsidR="006906EB">
        <w:rPr>
          <w:rFonts w:ascii="Segoe UI" w:hAnsi="Segoe UI" w:cs="Segoe UI"/>
          <w:sz w:val="18"/>
          <w:szCs w:val="18"/>
        </w:rPr>
        <w:t xml:space="preserve"> ; voir </w:t>
      </w:r>
      <w:r w:rsidR="006906EB" w:rsidRPr="003B4C7E">
        <w:rPr>
          <w:rFonts w:ascii="Segoe UI" w:hAnsi="Segoe UI" w:cs="Segoe UI"/>
          <w:i/>
          <w:iCs/>
          <w:sz w:val="18"/>
          <w:szCs w:val="18"/>
        </w:rPr>
        <w:t>Annexe IV, Fig.</w:t>
      </w:r>
      <w:r w:rsidR="003B4C7E">
        <w:rPr>
          <w:rFonts w:ascii="Segoe UI" w:hAnsi="Segoe UI" w:cs="Segoe UI"/>
          <w:i/>
          <w:iCs/>
          <w:sz w:val="18"/>
          <w:szCs w:val="18"/>
        </w:rPr>
        <w:t xml:space="preserve"> </w:t>
      </w:r>
      <w:r w:rsidR="006906EB" w:rsidRPr="003B4C7E">
        <w:rPr>
          <w:rFonts w:ascii="Segoe UI" w:hAnsi="Segoe UI" w:cs="Segoe UI"/>
          <w:i/>
          <w:iCs/>
          <w:sz w:val="18"/>
          <w:szCs w:val="18"/>
        </w:rPr>
        <w:t>2</w:t>
      </w:r>
      <w:r w:rsidR="00A56A79">
        <w:rPr>
          <w:rFonts w:ascii="Segoe UI" w:hAnsi="Segoe UI" w:cs="Segoe UI"/>
          <w:sz w:val="18"/>
          <w:szCs w:val="18"/>
        </w:rPr>
        <w:t>)</w:t>
      </w:r>
      <w:r w:rsidR="002256C1">
        <w:rPr>
          <w:rFonts w:ascii="Segoe UI" w:hAnsi="Segoe UI" w:cs="Segoe UI"/>
          <w:sz w:val="18"/>
          <w:szCs w:val="18"/>
        </w:rPr>
        <w:t xml:space="preserve">. </w:t>
      </w:r>
      <w:r w:rsidR="00A56A79">
        <w:rPr>
          <w:rFonts w:ascii="Segoe UI" w:hAnsi="Segoe UI" w:cs="Segoe UI"/>
          <w:sz w:val="18"/>
          <w:szCs w:val="18"/>
        </w:rPr>
        <w:t xml:space="preserve"> </w:t>
      </w:r>
      <w:r w:rsidR="00CB5B5C">
        <w:rPr>
          <w:rFonts w:ascii="Segoe UI" w:hAnsi="Segoe UI" w:cs="Segoe UI"/>
          <w:sz w:val="18"/>
          <w:szCs w:val="18"/>
        </w:rPr>
        <w:t xml:space="preserve"> </w:t>
      </w:r>
    </w:p>
    <w:tbl>
      <w:tblPr>
        <w:tblStyle w:val="Grilledutableau"/>
        <w:tblW w:w="10793" w:type="dxa"/>
        <w:tblBorders>
          <w:top w:val="single" w:sz="4" w:space="0" w:color="006CE5"/>
          <w:left w:val="single" w:sz="4" w:space="0" w:color="006CE5"/>
          <w:bottom w:val="single" w:sz="4" w:space="0" w:color="006CE5"/>
          <w:right w:val="single" w:sz="4" w:space="0" w:color="006CE5"/>
          <w:insideH w:val="single" w:sz="4" w:space="0" w:color="006CE5"/>
          <w:insideV w:val="single" w:sz="4" w:space="0" w:color="006CE5"/>
        </w:tblBorders>
        <w:tblLook w:val="04A0" w:firstRow="1" w:lastRow="0" w:firstColumn="1" w:lastColumn="0" w:noHBand="0" w:noVBand="1"/>
      </w:tblPr>
      <w:tblGrid>
        <w:gridCol w:w="10793"/>
      </w:tblGrid>
      <w:tr w:rsidR="004F2178" w:rsidRPr="00D36BFB" w14:paraId="6DF31ACB" w14:textId="77777777" w:rsidTr="00F778C2">
        <w:trPr>
          <w:trHeight w:val="367"/>
        </w:trPr>
        <w:tc>
          <w:tcPr>
            <w:tcW w:w="10793" w:type="dxa"/>
            <w:shd w:val="clear" w:color="auto" w:fill="006CE5"/>
            <w:vAlign w:val="center"/>
          </w:tcPr>
          <w:p w14:paraId="06EDDAE4" w14:textId="4301E0D2" w:rsidR="004F2178" w:rsidRPr="00D36BFB" w:rsidRDefault="00857E3B" w:rsidP="0048694E">
            <w:pPr>
              <w:ind w:right="-108"/>
              <w:jc w:val="both"/>
              <w:textAlignment w:val="baseline"/>
              <w:rPr>
                <w:rFonts w:ascii="Segoe UI" w:eastAsia="Times New Roman" w:hAnsi="Segoe UI" w:cs="Segoe UI"/>
                <w:b/>
                <w:bCs/>
                <w:color w:val="FFFFFF" w:themeColor="background1"/>
                <w:sz w:val="20"/>
                <w:szCs w:val="20"/>
                <w:lang w:eastAsia="fr-FR"/>
              </w:rPr>
            </w:pPr>
            <w:r>
              <w:rPr>
                <w:rFonts w:ascii="Segoe UI" w:eastAsia="Times New Roman" w:hAnsi="Segoe UI" w:cs="Segoe UI"/>
                <w:b/>
                <w:bCs/>
                <w:color w:val="FFFFFF" w:themeColor="background1"/>
                <w:sz w:val="20"/>
                <w:szCs w:val="20"/>
                <w:lang w:eastAsia="fr-FR"/>
              </w:rPr>
              <w:t xml:space="preserve">Le Canada </w:t>
            </w:r>
            <w:r w:rsidR="00460FA9">
              <w:rPr>
                <w:rFonts w:ascii="Segoe UI" w:eastAsia="Times New Roman" w:hAnsi="Segoe UI" w:cs="Segoe UI"/>
                <w:b/>
                <w:bCs/>
                <w:color w:val="FFFFFF" w:themeColor="background1"/>
                <w:sz w:val="20"/>
                <w:szCs w:val="20"/>
                <w:lang w:eastAsia="fr-FR"/>
              </w:rPr>
              <w:t>renoue avec</w:t>
            </w:r>
            <w:r>
              <w:rPr>
                <w:rFonts w:ascii="Segoe UI" w:eastAsia="Times New Roman" w:hAnsi="Segoe UI" w:cs="Segoe UI"/>
                <w:b/>
                <w:bCs/>
                <w:color w:val="FFFFFF" w:themeColor="background1"/>
                <w:sz w:val="20"/>
                <w:szCs w:val="20"/>
                <w:lang w:eastAsia="fr-FR"/>
              </w:rPr>
              <w:t xml:space="preserve"> </w:t>
            </w:r>
            <w:r w:rsidR="002E6D4E">
              <w:rPr>
                <w:rFonts w:ascii="Segoe UI" w:eastAsia="Times New Roman" w:hAnsi="Segoe UI" w:cs="Segoe UI"/>
                <w:b/>
                <w:bCs/>
                <w:color w:val="FFFFFF" w:themeColor="background1"/>
                <w:sz w:val="20"/>
                <w:szCs w:val="20"/>
                <w:lang w:eastAsia="fr-FR"/>
              </w:rPr>
              <w:t>un solde commercial</w:t>
            </w:r>
            <w:r>
              <w:rPr>
                <w:rFonts w:ascii="Segoe UI" w:eastAsia="Times New Roman" w:hAnsi="Segoe UI" w:cs="Segoe UI"/>
                <w:b/>
                <w:bCs/>
                <w:color w:val="FFFFFF" w:themeColor="background1"/>
                <w:sz w:val="20"/>
                <w:szCs w:val="20"/>
                <w:lang w:eastAsia="fr-FR"/>
              </w:rPr>
              <w:t xml:space="preserve"> déficitaire</w:t>
            </w:r>
            <w:r w:rsidR="002E6D4E">
              <w:rPr>
                <w:rFonts w:ascii="Segoe UI" w:eastAsia="Times New Roman" w:hAnsi="Segoe UI" w:cs="Segoe UI"/>
                <w:b/>
                <w:bCs/>
                <w:color w:val="FFFFFF" w:themeColor="background1"/>
                <w:sz w:val="20"/>
                <w:szCs w:val="20"/>
                <w:lang w:eastAsia="fr-FR"/>
              </w:rPr>
              <w:t xml:space="preserve">, le premier depuis trois ans </w:t>
            </w:r>
          </w:p>
        </w:tc>
      </w:tr>
    </w:tbl>
    <w:p w14:paraId="5A447FA1" w14:textId="2057C428" w:rsidR="00416104" w:rsidRPr="00C74FC5" w:rsidRDefault="00014F41" w:rsidP="002B5933">
      <w:pPr>
        <w:spacing w:before="60" w:after="0"/>
        <w:jc w:val="both"/>
        <w:rPr>
          <w:rFonts w:ascii="Segoe UI" w:hAnsi="Segoe UI" w:cs="Segoe UI"/>
          <w:sz w:val="18"/>
          <w:szCs w:val="18"/>
        </w:rPr>
      </w:pPr>
      <w:r>
        <w:rPr>
          <w:rFonts w:ascii="Segoe UI" w:hAnsi="Segoe UI" w:cs="Segoe UI"/>
          <w:b/>
          <w:bCs/>
          <w:sz w:val="18"/>
          <w:szCs w:val="18"/>
        </w:rPr>
        <w:t xml:space="preserve">La </w:t>
      </w:r>
      <w:r w:rsidR="000F1548">
        <w:rPr>
          <w:rFonts w:ascii="Segoe UI" w:hAnsi="Segoe UI" w:cs="Segoe UI"/>
          <w:b/>
          <w:bCs/>
          <w:sz w:val="18"/>
          <w:szCs w:val="18"/>
        </w:rPr>
        <w:t xml:space="preserve">dynamique positive portée par le cours des </w:t>
      </w:r>
      <w:r w:rsidR="00BA0BA6">
        <w:rPr>
          <w:rFonts w:ascii="Segoe UI" w:hAnsi="Segoe UI" w:cs="Segoe UI"/>
          <w:b/>
          <w:bCs/>
          <w:sz w:val="18"/>
          <w:szCs w:val="18"/>
        </w:rPr>
        <w:t>produits de base</w:t>
      </w:r>
      <w:r w:rsidR="000F1548">
        <w:rPr>
          <w:rFonts w:ascii="Segoe UI" w:hAnsi="Segoe UI" w:cs="Segoe UI"/>
          <w:b/>
          <w:bCs/>
          <w:sz w:val="18"/>
          <w:szCs w:val="18"/>
        </w:rPr>
        <w:t xml:space="preserve"> depuis 2021 </w:t>
      </w:r>
      <w:r w:rsidR="009829DA">
        <w:rPr>
          <w:rFonts w:ascii="Segoe UI" w:hAnsi="Segoe UI" w:cs="Segoe UI"/>
          <w:b/>
          <w:bCs/>
          <w:sz w:val="18"/>
          <w:szCs w:val="18"/>
        </w:rPr>
        <w:t xml:space="preserve">a pris </w:t>
      </w:r>
      <w:r w:rsidR="000F1548">
        <w:rPr>
          <w:rFonts w:ascii="Segoe UI" w:hAnsi="Segoe UI" w:cs="Segoe UI"/>
          <w:b/>
          <w:bCs/>
          <w:sz w:val="18"/>
          <w:szCs w:val="18"/>
        </w:rPr>
        <w:t xml:space="preserve">fin, </w:t>
      </w:r>
      <w:r w:rsidR="003E3270">
        <w:rPr>
          <w:rFonts w:ascii="Segoe UI" w:hAnsi="Segoe UI" w:cs="Segoe UI"/>
          <w:b/>
          <w:bCs/>
          <w:sz w:val="18"/>
          <w:szCs w:val="18"/>
        </w:rPr>
        <w:t>conduisant à un</w:t>
      </w:r>
      <w:r w:rsidR="009829DA">
        <w:rPr>
          <w:rFonts w:ascii="Segoe UI" w:hAnsi="Segoe UI" w:cs="Segoe UI"/>
          <w:b/>
          <w:bCs/>
          <w:sz w:val="18"/>
          <w:szCs w:val="18"/>
        </w:rPr>
        <w:t xml:space="preserve"> premier déficit commercial, bien que limité, </w:t>
      </w:r>
      <w:r w:rsidR="003E3270">
        <w:rPr>
          <w:rFonts w:ascii="Segoe UI" w:hAnsi="Segoe UI" w:cs="Segoe UI"/>
          <w:b/>
          <w:bCs/>
          <w:sz w:val="18"/>
          <w:szCs w:val="18"/>
        </w:rPr>
        <w:t>depuis</w:t>
      </w:r>
      <w:r w:rsidR="009829DA">
        <w:rPr>
          <w:rFonts w:ascii="Segoe UI" w:hAnsi="Segoe UI" w:cs="Segoe UI"/>
          <w:b/>
          <w:bCs/>
          <w:sz w:val="18"/>
          <w:szCs w:val="18"/>
        </w:rPr>
        <w:t xml:space="preserve"> 3 ans.</w:t>
      </w:r>
      <w:r>
        <w:rPr>
          <w:rFonts w:ascii="Segoe UI" w:hAnsi="Segoe UI" w:cs="Segoe UI"/>
          <w:b/>
          <w:bCs/>
          <w:sz w:val="18"/>
          <w:szCs w:val="18"/>
        </w:rPr>
        <w:t xml:space="preserve"> </w:t>
      </w:r>
      <w:r w:rsidR="00F132A1">
        <w:rPr>
          <w:rFonts w:ascii="Segoe UI" w:hAnsi="Segoe UI" w:cs="Segoe UI"/>
          <w:sz w:val="18"/>
          <w:szCs w:val="18"/>
        </w:rPr>
        <w:t>Le déficit sur la balance des biens est de 1,4 Md CAD (1 Md€) en 2023</w:t>
      </w:r>
      <w:r w:rsidR="001D0E8D">
        <w:rPr>
          <w:rFonts w:ascii="Segoe UI" w:hAnsi="Segoe UI" w:cs="Segoe UI"/>
          <w:sz w:val="18"/>
          <w:szCs w:val="18"/>
        </w:rPr>
        <w:t xml:space="preserve">, </w:t>
      </w:r>
      <w:r w:rsidR="005621B7">
        <w:rPr>
          <w:rFonts w:ascii="Segoe UI" w:hAnsi="Segoe UI" w:cs="Segoe UI"/>
          <w:sz w:val="18"/>
          <w:szCs w:val="18"/>
        </w:rPr>
        <w:t xml:space="preserve">en recul </w:t>
      </w:r>
      <w:r w:rsidR="001D0E8D">
        <w:rPr>
          <w:rFonts w:ascii="Segoe UI" w:hAnsi="Segoe UI" w:cs="Segoe UI"/>
          <w:sz w:val="18"/>
          <w:szCs w:val="18"/>
        </w:rPr>
        <w:t>par rapport à 2022 où le Canada était en position excédentaire (+19,7 Md CAD/13,6 Md€) ou encore 2021 (+2,5 Md CAD/1,7 Md€).</w:t>
      </w:r>
      <w:r w:rsidR="000505D1">
        <w:rPr>
          <w:rFonts w:ascii="Segoe UI" w:hAnsi="Segoe UI" w:cs="Segoe UI"/>
          <w:sz w:val="18"/>
          <w:szCs w:val="18"/>
        </w:rPr>
        <w:t xml:space="preserve"> </w:t>
      </w:r>
      <w:r w:rsidR="00E4485C">
        <w:rPr>
          <w:rFonts w:ascii="Segoe UI" w:hAnsi="Segoe UI" w:cs="Segoe UI"/>
          <w:sz w:val="18"/>
          <w:szCs w:val="18"/>
        </w:rPr>
        <w:t xml:space="preserve">Le Canada </w:t>
      </w:r>
      <w:r w:rsidR="00501E10">
        <w:rPr>
          <w:rFonts w:ascii="Segoe UI" w:hAnsi="Segoe UI" w:cs="Segoe UI"/>
          <w:sz w:val="18"/>
          <w:szCs w:val="18"/>
        </w:rPr>
        <w:t>est</w:t>
      </w:r>
      <w:r w:rsidR="00A22C5A">
        <w:rPr>
          <w:rFonts w:ascii="Segoe UI" w:hAnsi="Segoe UI" w:cs="Segoe UI"/>
          <w:sz w:val="18"/>
          <w:szCs w:val="18"/>
        </w:rPr>
        <w:t xml:space="preserve"> </w:t>
      </w:r>
      <w:r w:rsidR="007621C0">
        <w:rPr>
          <w:rFonts w:ascii="Segoe UI" w:hAnsi="Segoe UI" w:cs="Segoe UI"/>
          <w:sz w:val="18"/>
          <w:szCs w:val="18"/>
        </w:rPr>
        <w:t>aussi</w:t>
      </w:r>
      <w:r w:rsidR="00A22C5A">
        <w:rPr>
          <w:rFonts w:ascii="Segoe UI" w:hAnsi="Segoe UI" w:cs="Segoe UI"/>
          <w:sz w:val="18"/>
          <w:szCs w:val="18"/>
        </w:rPr>
        <w:t xml:space="preserve"> </w:t>
      </w:r>
      <w:r w:rsidR="00501E10">
        <w:rPr>
          <w:rFonts w:ascii="Segoe UI" w:hAnsi="Segoe UI" w:cs="Segoe UI"/>
          <w:sz w:val="18"/>
          <w:szCs w:val="18"/>
        </w:rPr>
        <w:t>en</w:t>
      </w:r>
      <w:r w:rsidR="00A22C5A">
        <w:rPr>
          <w:rFonts w:ascii="Segoe UI" w:hAnsi="Segoe UI" w:cs="Segoe UI"/>
          <w:sz w:val="18"/>
          <w:szCs w:val="18"/>
        </w:rPr>
        <w:t xml:space="preserve"> position déficitaire sur la balance </w:t>
      </w:r>
      <w:r w:rsidR="00501E10">
        <w:rPr>
          <w:rFonts w:ascii="Segoe UI" w:hAnsi="Segoe UI" w:cs="Segoe UI"/>
          <w:sz w:val="18"/>
          <w:szCs w:val="18"/>
        </w:rPr>
        <w:t>des services</w:t>
      </w:r>
      <w:r w:rsidR="001E0629">
        <w:rPr>
          <w:rFonts w:ascii="Segoe UI" w:hAnsi="Segoe UI" w:cs="Segoe UI"/>
          <w:sz w:val="18"/>
          <w:szCs w:val="18"/>
        </w:rPr>
        <w:t xml:space="preserve"> en 2023</w:t>
      </w:r>
      <w:r w:rsidR="00501E10">
        <w:rPr>
          <w:rFonts w:ascii="Segoe UI" w:hAnsi="Segoe UI" w:cs="Segoe UI"/>
          <w:sz w:val="18"/>
          <w:szCs w:val="18"/>
        </w:rPr>
        <w:t xml:space="preserve"> (-14 Md CAD/10 Md€)</w:t>
      </w:r>
      <w:r w:rsidR="001E0629">
        <w:rPr>
          <w:rFonts w:ascii="Segoe UI" w:hAnsi="Segoe UI" w:cs="Segoe UI"/>
          <w:sz w:val="18"/>
          <w:szCs w:val="18"/>
        </w:rPr>
        <w:t>, en lég</w:t>
      </w:r>
      <w:r w:rsidR="00C72D9B">
        <w:rPr>
          <w:rFonts w:ascii="Segoe UI" w:hAnsi="Segoe UI" w:cs="Segoe UI"/>
          <w:sz w:val="18"/>
          <w:szCs w:val="18"/>
        </w:rPr>
        <w:t>er</w:t>
      </w:r>
      <w:r w:rsidR="001E0629">
        <w:rPr>
          <w:rFonts w:ascii="Segoe UI" w:hAnsi="Segoe UI" w:cs="Segoe UI"/>
          <w:sz w:val="18"/>
          <w:szCs w:val="18"/>
        </w:rPr>
        <w:t xml:space="preserve"> recul par rapport à il y a un an (-12%)</w:t>
      </w:r>
      <w:r w:rsidR="00771D08">
        <w:rPr>
          <w:rFonts w:ascii="Segoe UI" w:hAnsi="Segoe UI" w:cs="Segoe UI"/>
          <w:sz w:val="18"/>
          <w:szCs w:val="18"/>
        </w:rPr>
        <w:t xml:space="preserve"> : les exportations de services ont </w:t>
      </w:r>
      <w:r w:rsidR="001E5A37">
        <w:rPr>
          <w:rFonts w:ascii="Segoe UI" w:hAnsi="Segoe UI" w:cs="Segoe UI"/>
          <w:sz w:val="18"/>
          <w:szCs w:val="18"/>
        </w:rPr>
        <w:t xml:space="preserve">certes </w:t>
      </w:r>
      <w:r w:rsidR="00771D08">
        <w:rPr>
          <w:rFonts w:ascii="Segoe UI" w:hAnsi="Segoe UI" w:cs="Segoe UI"/>
          <w:sz w:val="18"/>
          <w:szCs w:val="18"/>
        </w:rPr>
        <w:t>augmenté de 10,5% sur un an</w:t>
      </w:r>
      <w:r w:rsidR="003E3270">
        <w:rPr>
          <w:rFonts w:ascii="Segoe UI" w:hAnsi="Segoe UI" w:cs="Segoe UI"/>
          <w:sz w:val="18"/>
          <w:szCs w:val="18"/>
        </w:rPr>
        <w:t xml:space="preserve">, atteignant </w:t>
      </w:r>
      <w:r w:rsidR="00771D08">
        <w:rPr>
          <w:rFonts w:ascii="Segoe UI" w:hAnsi="Segoe UI" w:cs="Segoe UI"/>
          <w:sz w:val="18"/>
          <w:szCs w:val="18"/>
        </w:rPr>
        <w:t>un nouveau record, à 195 Md CAD (134 Md €</w:t>
      </w:r>
      <w:r w:rsidR="001E5A37">
        <w:rPr>
          <w:rFonts w:ascii="Segoe UI" w:hAnsi="Segoe UI" w:cs="Segoe UI"/>
          <w:sz w:val="18"/>
          <w:szCs w:val="18"/>
        </w:rPr>
        <w:t xml:space="preserve">), mais </w:t>
      </w:r>
      <w:r w:rsidR="00014445">
        <w:rPr>
          <w:rFonts w:ascii="Segoe UI" w:hAnsi="Segoe UI" w:cs="Segoe UI"/>
          <w:sz w:val="18"/>
          <w:szCs w:val="18"/>
        </w:rPr>
        <w:t xml:space="preserve">les importations de services ont progressé davantage (+13%) et </w:t>
      </w:r>
      <w:r w:rsidR="00AA1267">
        <w:rPr>
          <w:rFonts w:ascii="Segoe UI" w:hAnsi="Segoe UI" w:cs="Segoe UI"/>
          <w:sz w:val="18"/>
          <w:szCs w:val="18"/>
        </w:rPr>
        <w:t>s’élèvent à</w:t>
      </w:r>
      <w:r w:rsidR="00014445">
        <w:rPr>
          <w:rFonts w:ascii="Segoe UI" w:hAnsi="Segoe UI" w:cs="Segoe UI"/>
          <w:sz w:val="18"/>
          <w:szCs w:val="18"/>
        </w:rPr>
        <w:t xml:space="preserve"> 209 Md CAD (144 Md€),</w:t>
      </w:r>
      <w:r w:rsidR="001E5A37">
        <w:rPr>
          <w:rFonts w:ascii="Segoe UI" w:hAnsi="Segoe UI" w:cs="Segoe UI"/>
          <w:sz w:val="18"/>
          <w:szCs w:val="18"/>
        </w:rPr>
        <w:t xml:space="preserve"> là-aussi</w:t>
      </w:r>
      <w:r w:rsidR="00014445">
        <w:rPr>
          <w:rFonts w:ascii="Segoe UI" w:hAnsi="Segoe UI" w:cs="Segoe UI"/>
          <w:sz w:val="18"/>
          <w:szCs w:val="18"/>
        </w:rPr>
        <w:t xml:space="preserve"> un nouveau </w:t>
      </w:r>
      <w:r w:rsidR="00576841">
        <w:rPr>
          <w:rFonts w:ascii="Segoe UI" w:hAnsi="Segoe UI" w:cs="Segoe UI"/>
          <w:sz w:val="18"/>
          <w:szCs w:val="18"/>
        </w:rPr>
        <w:t>record. Biens</w:t>
      </w:r>
      <w:r w:rsidR="00B23859">
        <w:rPr>
          <w:rFonts w:ascii="Segoe UI" w:hAnsi="Segoe UI" w:cs="Segoe UI"/>
          <w:sz w:val="18"/>
          <w:szCs w:val="18"/>
        </w:rPr>
        <w:t xml:space="preserve"> et services confondus, le Canada enregistre un déficit </w:t>
      </w:r>
      <w:r w:rsidR="00865123">
        <w:rPr>
          <w:rFonts w:ascii="Segoe UI" w:hAnsi="Segoe UI" w:cs="Segoe UI"/>
          <w:sz w:val="18"/>
          <w:szCs w:val="18"/>
        </w:rPr>
        <w:t xml:space="preserve">commercial de </w:t>
      </w:r>
      <w:r w:rsidR="00050074">
        <w:rPr>
          <w:rFonts w:ascii="Segoe UI" w:hAnsi="Segoe UI" w:cs="Segoe UI"/>
          <w:sz w:val="18"/>
          <w:szCs w:val="18"/>
        </w:rPr>
        <w:t>15,5 Md CAD</w:t>
      </w:r>
      <w:r w:rsidR="00513FF6">
        <w:rPr>
          <w:rFonts w:ascii="Segoe UI" w:hAnsi="Segoe UI" w:cs="Segoe UI"/>
          <w:sz w:val="18"/>
          <w:szCs w:val="18"/>
        </w:rPr>
        <w:t xml:space="preserve"> (10,7 Md€)</w:t>
      </w:r>
      <w:r w:rsidR="00050074">
        <w:rPr>
          <w:rFonts w:ascii="Segoe UI" w:hAnsi="Segoe UI" w:cs="Segoe UI"/>
          <w:sz w:val="18"/>
          <w:szCs w:val="18"/>
        </w:rPr>
        <w:t xml:space="preserve"> en 2023</w:t>
      </w:r>
      <w:r w:rsidR="007E1F60">
        <w:rPr>
          <w:rFonts w:ascii="Segoe UI" w:hAnsi="Segoe UI" w:cs="Segoe UI"/>
          <w:sz w:val="18"/>
          <w:szCs w:val="18"/>
        </w:rPr>
        <w:t>,</w:t>
      </w:r>
      <w:r w:rsidR="00CE442F">
        <w:rPr>
          <w:rFonts w:ascii="Segoe UI" w:hAnsi="Segoe UI" w:cs="Segoe UI"/>
          <w:sz w:val="18"/>
          <w:szCs w:val="18"/>
        </w:rPr>
        <w:t xml:space="preserve"> contre une position excédentaire de 3,7 Md€ (2,5 Md€) en 2022.</w:t>
      </w:r>
      <w:r w:rsidR="003C7433" w:rsidRPr="003C7433">
        <w:rPr>
          <w:rFonts w:ascii="Segoe UI" w:hAnsi="Segoe UI" w:cs="Segoe UI"/>
          <w:sz w:val="18"/>
          <w:szCs w:val="18"/>
        </w:rPr>
        <w:t xml:space="preserve"> </w:t>
      </w:r>
      <w:r w:rsidR="007E1F60">
        <w:rPr>
          <w:rFonts w:ascii="Segoe UI" w:hAnsi="Segoe UI" w:cs="Segoe UI"/>
          <w:sz w:val="18"/>
          <w:szCs w:val="18"/>
        </w:rPr>
        <w:t>C’est toutefois le</w:t>
      </w:r>
      <w:r w:rsidR="003C7433">
        <w:rPr>
          <w:rFonts w:ascii="Segoe UI" w:hAnsi="Segoe UI" w:cs="Segoe UI"/>
          <w:sz w:val="18"/>
          <w:szCs w:val="18"/>
        </w:rPr>
        <w:t xml:space="preserve"> déficit commercial canadien le moins important que le Canada ait connu sur les dix dernières années (</w:t>
      </w:r>
      <w:r w:rsidR="003C7433" w:rsidRPr="00F50C03">
        <w:rPr>
          <w:rFonts w:ascii="Segoe UI" w:hAnsi="Segoe UI" w:cs="Segoe UI"/>
          <w:i/>
          <w:iCs/>
          <w:sz w:val="18"/>
          <w:szCs w:val="18"/>
        </w:rPr>
        <w:t>Annexe I</w:t>
      </w:r>
      <w:r w:rsidR="003C7433">
        <w:rPr>
          <w:rFonts w:ascii="Segoe UI" w:hAnsi="Segoe UI" w:cs="Segoe UI"/>
          <w:sz w:val="18"/>
          <w:szCs w:val="18"/>
        </w:rPr>
        <w:t>)</w:t>
      </w:r>
      <w:r w:rsidR="001E2627">
        <w:rPr>
          <w:rFonts w:ascii="Segoe UI" w:hAnsi="Segoe UI" w:cs="Segoe UI"/>
          <w:sz w:val="18"/>
          <w:szCs w:val="18"/>
        </w:rPr>
        <w:t xml:space="preserve">, avec pour principale cause la baisse </w:t>
      </w:r>
      <w:r w:rsidR="00F14671">
        <w:rPr>
          <w:rFonts w:ascii="Segoe UI" w:hAnsi="Segoe UI" w:cs="Segoe UI"/>
          <w:sz w:val="18"/>
          <w:szCs w:val="18"/>
        </w:rPr>
        <w:t>du cours des hydrocarbures</w:t>
      </w:r>
      <w:r w:rsidR="001E2627">
        <w:rPr>
          <w:rFonts w:ascii="Segoe UI" w:hAnsi="Segoe UI" w:cs="Segoe UI"/>
          <w:sz w:val="18"/>
          <w:szCs w:val="18"/>
        </w:rPr>
        <w:t> </w:t>
      </w:r>
      <w:r w:rsidR="000F3DB1">
        <w:rPr>
          <w:rFonts w:ascii="Segoe UI" w:hAnsi="Segoe UI" w:cs="Segoe UI"/>
          <w:sz w:val="18"/>
          <w:szCs w:val="18"/>
        </w:rPr>
        <w:t>: l’excédent canadien</w:t>
      </w:r>
      <w:r w:rsidR="00C80BCC">
        <w:rPr>
          <w:rFonts w:ascii="Segoe UI" w:hAnsi="Segoe UI" w:cs="Segoe UI"/>
          <w:sz w:val="18"/>
          <w:szCs w:val="18"/>
        </w:rPr>
        <w:t xml:space="preserve"> </w:t>
      </w:r>
      <w:r w:rsidR="00420503">
        <w:rPr>
          <w:rFonts w:ascii="Segoe UI" w:hAnsi="Segoe UI" w:cs="Segoe UI"/>
          <w:sz w:val="18"/>
          <w:szCs w:val="18"/>
        </w:rPr>
        <w:t>pour</w:t>
      </w:r>
      <w:r w:rsidR="00C80BCC">
        <w:rPr>
          <w:rFonts w:ascii="Segoe UI" w:hAnsi="Segoe UI" w:cs="Segoe UI"/>
          <w:sz w:val="18"/>
          <w:szCs w:val="18"/>
        </w:rPr>
        <w:t xml:space="preserve"> les </w:t>
      </w:r>
      <w:r w:rsidR="00C80BCC" w:rsidRPr="00C80BCC">
        <w:rPr>
          <w:rFonts w:ascii="Segoe UI" w:hAnsi="Segoe UI" w:cs="Segoe UI"/>
          <w:sz w:val="18"/>
          <w:szCs w:val="18"/>
          <w:u w:val="single"/>
        </w:rPr>
        <w:t>produits énergétiques</w:t>
      </w:r>
      <w:r w:rsidR="00554CD6">
        <w:rPr>
          <w:rFonts w:ascii="Segoe UI" w:hAnsi="Segoe UI" w:cs="Segoe UI"/>
          <w:sz w:val="18"/>
          <w:szCs w:val="18"/>
        </w:rPr>
        <w:t xml:space="preserve"> a reculé de 20% en un an</w:t>
      </w:r>
      <w:r w:rsidR="00B64480">
        <w:rPr>
          <w:rFonts w:ascii="Segoe UI" w:hAnsi="Segoe UI" w:cs="Segoe UI"/>
          <w:sz w:val="18"/>
          <w:szCs w:val="18"/>
        </w:rPr>
        <w:t>, à 130 Md CAD (90 Md€)</w:t>
      </w:r>
      <w:r w:rsidR="006909AA">
        <w:rPr>
          <w:rFonts w:ascii="Segoe UI" w:hAnsi="Segoe UI" w:cs="Segoe UI"/>
          <w:sz w:val="18"/>
          <w:szCs w:val="18"/>
        </w:rPr>
        <w:t>. Ce recul suffit à lui seul à</w:t>
      </w:r>
      <w:r w:rsidR="009829DA">
        <w:rPr>
          <w:rFonts w:ascii="Segoe UI" w:hAnsi="Segoe UI" w:cs="Segoe UI"/>
          <w:sz w:val="18"/>
          <w:szCs w:val="18"/>
        </w:rPr>
        <w:t xml:space="preserve"> limiter </w:t>
      </w:r>
      <w:r w:rsidR="006909AA">
        <w:rPr>
          <w:rFonts w:ascii="Segoe UI" w:hAnsi="Segoe UI" w:cs="Segoe UI"/>
          <w:sz w:val="18"/>
          <w:szCs w:val="18"/>
        </w:rPr>
        <w:t xml:space="preserve">les gains enregistrés dans d’autres secteurs comme les </w:t>
      </w:r>
      <w:r w:rsidR="006909AA" w:rsidRPr="006909AA">
        <w:rPr>
          <w:rFonts w:ascii="Segoe UI" w:hAnsi="Segoe UI" w:cs="Segoe UI"/>
          <w:sz w:val="18"/>
          <w:szCs w:val="18"/>
          <w:u w:val="single"/>
        </w:rPr>
        <w:t>produits de métal et les minéraux non-métalliques</w:t>
      </w:r>
      <w:r w:rsidR="006909AA">
        <w:rPr>
          <w:rFonts w:ascii="Segoe UI" w:hAnsi="Segoe UI" w:cs="Segoe UI"/>
          <w:sz w:val="18"/>
          <w:szCs w:val="18"/>
          <w:u w:val="single"/>
        </w:rPr>
        <w:t xml:space="preserve"> </w:t>
      </w:r>
      <w:r w:rsidR="006909AA">
        <w:rPr>
          <w:rFonts w:ascii="Segoe UI" w:hAnsi="Segoe UI" w:cs="Segoe UI"/>
          <w:sz w:val="18"/>
          <w:szCs w:val="18"/>
        </w:rPr>
        <w:t xml:space="preserve">(+31% ; 27 Md CAD </w:t>
      </w:r>
      <w:r w:rsidR="009829DA">
        <w:rPr>
          <w:rFonts w:ascii="Segoe UI" w:hAnsi="Segoe UI" w:cs="Segoe UI"/>
          <w:sz w:val="18"/>
          <w:szCs w:val="18"/>
        </w:rPr>
        <w:t>/</w:t>
      </w:r>
      <w:r w:rsidR="006909AA">
        <w:rPr>
          <w:rFonts w:ascii="Segoe UI" w:hAnsi="Segoe UI" w:cs="Segoe UI"/>
          <w:sz w:val="18"/>
          <w:szCs w:val="18"/>
        </w:rPr>
        <w:t xml:space="preserve"> 18,5 Md€)</w:t>
      </w:r>
      <w:r w:rsidR="005677D6">
        <w:rPr>
          <w:rFonts w:ascii="Segoe UI" w:hAnsi="Segoe UI" w:cs="Segoe UI"/>
          <w:sz w:val="18"/>
          <w:szCs w:val="18"/>
        </w:rPr>
        <w:t xml:space="preserve">, les </w:t>
      </w:r>
      <w:r w:rsidR="005677D6" w:rsidRPr="003976E3">
        <w:rPr>
          <w:rFonts w:ascii="Segoe UI" w:hAnsi="Segoe UI" w:cs="Segoe UI"/>
          <w:sz w:val="18"/>
          <w:szCs w:val="18"/>
          <w:u w:val="single"/>
        </w:rPr>
        <w:t>produits agricoles</w:t>
      </w:r>
      <w:r w:rsidR="005677D6">
        <w:rPr>
          <w:rFonts w:ascii="Segoe UI" w:hAnsi="Segoe UI" w:cs="Segoe UI"/>
          <w:sz w:val="18"/>
          <w:szCs w:val="18"/>
        </w:rPr>
        <w:t xml:space="preserve"> (+12% ; 32,5 Md CAD </w:t>
      </w:r>
      <w:r w:rsidR="009829DA">
        <w:rPr>
          <w:rFonts w:ascii="Segoe UI" w:hAnsi="Segoe UI" w:cs="Segoe UI"/>
          <w:sz w:val="18"/>
          <w:szCs w:val="18"/>
        </w:rPr>
        <w:t>/</w:t>
      </w:r>
      <w:r w:rsidR="005677D6">
        <w:rPr>
          <w:rFonts w:ascii="Segoe UI" w:hAnsi="Segoe UI" w:cs="Segoe UI"/>
          <w:sz w:val="18"/>
          <w:szCs w:val="18"/>
        </w:rPr>
        <w:t xml:space="preserve"> 22,4 Md€)</w:t>
      </w:r>
      <w:r w:rsidR="00FB043D">
        <w:rPr>
          <w:rFonts w:ascii="Segoe UI" w:hAnsi="Segoe UI" w:cs="Segoe UI"/>
          <w:sz w:val="18"/>
          <w:szCs w:val="18"/>
        </w:rPr>
        <w:t xml:space="preserve"> ou encore le </w:t>
      </w:r>
      <w:r w:rsidR="00FB043D" w:rsidRPr="00FB043D">
        <w:rPr>
          <w:rFonts w:ascii="Segoe UI" w:hAnsi="Segoe UI" w:cs="Segoe UI"/>
          <w:sz w:val="18"/>
          <w:szCs w:val="18"/>
          <w:u w:val="single"/>
        </w:rPr>
        <w:t>matériel de transport</w:t>
      </w:r>
      <w:r w:rsidR="00183EB9">
        <w:rPr>
          <w:rFonts w:ascii="Segoe UI" w:hAnsi="Segoe UI" w:cs="Segoe UI"/>
          <w:sz w:val="18"/>
          <w:szCs w:val="18"/>
        </w:rPr>
        <w:t xml:space="preserve"> (multiplié par 6,3 ; 3,7 Md CAD </w:t>
      </w:r>
      <w:r w:rsidR="009829DA">
        <w:rPr>
          <w:rFonts w:ascii="Segoe UI" w:hAnsi="Segoe UI" w:cs="Segoe UI"/>
          <w:sz w:val="18"/>
          <w:szCs w:val="18"/>
        </w:rPr>
        <w:t>/</w:t>
      </w:r>
      <w:r w:rsidR="00183EB9">
        <w:rPr>
          <w:rFonts w:ascii="Segoe UI" w:hAnsi="Segoe UI" w:cs="Segoe UI"/>
          <w:sz w:val="18"/>
          <w:szCs w:val="18"/>
        </w:rPr>
        <w:t xml:space="preserve"> 2,5 Md €</w:t>
      </w:r>
      <w:r w:rsidR="00653161">
        <w:rPr>
          <w:rFonts w:ascii="Segoe UI" w:hAnsi="Segoe UI" w:cs="Segoe UI"/>
          <w:sz w:val="18"/>
          <w:szCs w:val="18"/>
        </w:rPr>
        <w:t xml:space="preserve"> ; voir </w:t>
      </w:r>
      <w:r w:rsidR="00653161" w:rsidRPr="00345119">
        <w:rPr>
          <w:rFonts w:ascii="Segoe UI" w:hAnsi="Segoe UI" w:cs="Segoe UI"/>
          <w:i/>
          <w:iCs/>
          <w:sz w:val="18"/>
          <w:szCs w:val="18"/>
        </w:rPr>
        <w:t xml:space="preserve">Annexe </w:t>
      </w:r>
      <w:r w:rsidR="005C3961">
        <w:rPr>
          <w:rFonts w:ascii="Segoe UI" w:hAnsi="Segoe UI" w:cs="Segoe UI"/>
          <w:i/>
          <w:iCs/>
          <w:sz w:val="18"/>
          <w:szCs w:val="18"/>
        </w:rPr>
        <w:t>I</w:t>
      </w:r>
      <w:r w:rsidR="00653161" w:rsidRPr="00345119">
        <w:rPr>
          <w:rFonts w:ascii="Segoe UI" w:hAnsi="Segoe UI" w:cs="Segoe UI"/>
          <w:i/>
          <w:iCs/>
          <w:sz w:val="18"/>
          <w:szCs w:val="18"/>
        </w:rPr>
        <w:t>II</w:t>
      </w:r>
      <w:r w:rsidR="00183EB9">
        <w:rPr>
          <w:rFonts w:ascii="Segoe UI" w:hAnsi="Segoe UI" w:cs="Segoe UI"/>
          <w:sz w:val="18"/>
          <w:szCs w:val="18"/>
        </w:rPr>
        <w:t xml:space="preserve">). </w:t>
      </w:r>
    </w:p>
    <w:p w14:paraId="06306E96" w14:textId="132A27F5" w:rsidR="00E50FE6" w:rsidRDefault="008C45B5" w:rsidP="002B5933">
      <w:pPr>
        <w:spacing w:before="60" w:after="0"/>
        <w:jc w:val="both"/>
        <w:rPr>
          <w:rFonts w:ascii="Segoe UI" w:hAnsi="Segoe UI" w:cs="Segoe UI"/>
          <w:sz w:val="18"/>
          <w:szCs w:val="18"/>
        </w:rPr>
      </w:pPr>
      <w:r>
        <w:rPr>
          <w:rFonts w:ascii="Segoe UI" w:hAnsi="Segoe UI" w:cs="Segoe UI"/>
          <w:b/>
          <w:bCs/>
          <w:sz w:val="18"/>
          <w:szCs w:val="18"/>
        </w:rPr>
        <w:t>La balance commerciale</w:t>
      </w:r>
      <w:r w:rsidR="00257F36">
        <w:rPr>
          <w:rFonts w:ascii="Segoe UI" w:hAnsi="Segoe UI" w:cs="Segoe UI"/>
          <w:b/>
          <w:bCs/>
          <w:sz w:val="18"/>
          <w:szCs w:val="18"/>
        </w:rPr>
        <w:t xml:space="preserve"> </w:t>
      </w:r>
      <w:r>
        <w:rPr>
          <w:rFonts w:ascii="Segoe UI" w:hAnsi="Segoe UI" w:cs="Segoe UI"/>
          <w:b/>
          <w:bCs/>
          <w:sz w:val="18"/>
          <w:szCs w:val="18"/>
        </w:rPr>
        <w:t xml:space="preserve">du Canada se dégrade </w:t>
      </w:r>
      <w:r w:rsidR="001E2627">
        <w:rPr>
          <w:rFonts w:ascii="Segoe UI" w:hAnsi="Segoe UI" w:cs="Segoe UI"/>
          <w:b/>
          <w:bCs/>
          <w:sz w:val="18"/>
          <w:szCs w:val="18"/>
        </w:rPr>
        <w:t>avec</w:t>
      </w:r>
      <w:r>
        <w:rPr>
          <w:rFonts w:ascii="Segoe UI" w:hAnsi="Segoe UI" w:cs="Segoe UI"/>
          <w:b/>
          <w:bCs/>
          <w:sz w:val="18"/>
          <w:szCs w:val="18"/>
        </w:rPr>
        <w:t xml:space="preserve"> la plupart de ses principaux partenaires commerciaux, à l’exception</w:t>
      </w:r>
      <w:r w:rsidR="00FA18FB">
        <w:rPr>
          <w:rFonts w:ascii="Segoe UI" w:hAnsi="Segoe UI" w:cs="Segoe UI"/>
          <w:b/>
          <w:bCs/>
          <w:sz w:val="18"/>
          <w:szCs w:val="18"/>
        </w:rPr>
        <w:t xml:space="preserve"> notable</w:t>
      </w:r>
      <w:r>
        <w:rPr>
          <w:rFonts w:ascii="Segoe UI" w:hAnsi="Segoe UI" w:cs="Segoe UI"/>
          <w:b/>
          <w:bCs/>
          <w:sz w:val="18"/>
          <w:szCs w:val="18"/>
        </w:rPr>
        <w:t xml:space="preserve"> de la Chine</w:t>
      </w:r>
      <w:r w:rsidR="007D2BAF">
        <w:rPr>
          <w:rFonts w:ascii="Segoe UI" w:hAnsi="Segoe UI" w:cs="Segoe UI"/>
          <w:b/>
          <w:bCs/>
          <w:sz w:val="18"/>
          <w:szCs w:val="18"/>
        </w:rPr>
        <w:t>, l’Inde</w:t>
      </w:r>
      <w:r w:rsidR="00AB0E59">
        <w:rPr>
          <w:rFonts w:ascii="Segoe UI" w:hAnsi="Segoe UI" w:cs="Segoe UI"/>
          <w:b/>
          <w:bCs/>
          <w:sz w:val="18"/>
          <w:szCs w:val="18"/>
        </w:rPr>
        <w:t xml:space="preserve">, la Suisse et l’Arabie </w:t>
      </w:r>
      <w:r w:rsidR="00FA18FB">
        <w:rPr>
          <w:rFonts w:ascii="Segoe UI" w:hAnsi="Segoe UI" w:cs="Segoe UI"/>
          <w:b/>
          <w:bCs/>
          <w:sz w:val="18"/>
          <w:szCs w:val="18"/>
        </w:rPr>
        <w:t>Saoudite</w:t>
      </w:r>
      <w:r>
        <w:rPr>
          <w:rFonts w:ascii="Segoe UI" w:hAnsi="Segoe UI" w:cs="Segoe UI"/>
          <w:b/>
          <w:bCs/>
          <w:sz w:val="18"/>
          <w:szCs w:val="18"/>
        </w:rPr>
        <w:t xml:space="preserve">. </w:t>
      </w:r>
      <w:r w:rsidR="003A0DA9">
        <w:rPr>
          <w:rFonts w:ascii="Segoe UI" w:hAnsi="Segoe UI" w:cs="Segoe UI"/>
          <w:sz w:val="18"/>
          <w:szCs w:val="18"/>
        </w:rPr>
        <w:t xml:space="preserve">L’excédent commercial </w:t>
      </w:r>
      <w:r w:rsidR="008C6797">
        <w:rPr>
          <w:rFonts w:ascii="Segoe UI" w:hAnsi="Segoe UI" w:cs="Segoe UI"/>
          <w:sz w:val="18"/>
          <w:szCs w:val="18"/>
        </w:rPr>
        <w:t>canadien</w:t>
      </w:r>
      <w:r w:rsidR="003A0DA9">
        <w:rPr>
          <w:rFonts w:ascii="Segoe UI" w:hAnsi="Segoe UI" w:cs="Segoe UI"/>
          <w:sz w:val="18"/>
          <w:szCs w:val="18"/>
        </w:rPr>
        <w:t xml:space="preserve"> vis-à-vis des </w:t>
      </w:r>
      <w:r w:rsidR="003A0DA9" w:rsidRPr="00E661E1">
        <w:rPr>
          <w:rFonts w:ascii="Segoe UI" w:hAnsi="Segoe UI" w:cs="Segoe UI"/>
          <w:sz w:val="18"/>
          <w:szCs w:val="18"/>
          <w:u w:val="single"/>
        </w:rPr>
        <w:t>Etats-Unis</w:t>
      </w:r>
      <w:r w:rsidR="003A0DA9">
        <w:rPr>
          <w:rFonts w:ascii="Segoe UI" w:hAnsi="Segoe UI" w:cs="Segoe UI"/>
          <w:sz w:val="18"/>
          <w:szCs w:val="18"/>
        </w:rPr>
        <w:t xml:space="preserve"> </w:t>
      </w:r>
      <w:r w:rsidR="00FE5AE7">
        <w:rPr>
          <w:rFonts w:ascii="Segoe UI" w:hAnsi="Segoe UI" w:cs="Segoe UI"/>
          <w:sz w:val="18"/>
          <w:szCs w:val="18"/>
        </w:rPr>
        <w:t>se contracte</w:t>
      </w:r>
      <w:r w:rsidR="003A0DA9">
        <w:rPr>
          <w:rFonts w:ascii="Segoe UI" w:hAnsi="Segoe UI" w:cs="Segoe UI"/>
          <w:sz w:val="18"/>
          <w:szCs w:val="18"/>
        </w:rPr>
        <w:t xml:space="preserve"> de 10%, à 109 Md CAD (75 Md€)</w:t>
      </w:r>
      <w:r w:rsidR="000D6336">
        <w:rPr>
          <w:rFonts w:ascii="Segoe UI" w:hAnsi="Segoe UI" w:cs="Segoe UI"/>
          <w:sz w:val="18"/>
          <w:szCs w:val="18"/>
        </w:rPr>
        <w:t xml:space="preserve"> en 2023</w:t>
      </w:r>
      <w:r w:rsidR="009E576B">
        <w:rPr>
          <w:rFonts w:ascii="Segoe UI" w:hAnsi="Segoe UI" w:cs="Segoe UI"/>
          <w:sz w:val="18"/>
          <w:szCs w:val="18"/>
        </w:rPr>
        <w:t xml:space="preserve">, </w:t>
      </w:r>
      <w:r w:rsidR="000A3725">
        <w:rPr>
          <w:rFonts w:ascii="Segoe UI" w:hAnsi="Segoe UI" w:cs="Segoe UI"/>
          <w:sz w:val="18"/>
          <w:szCs w:val="18"/>
        </w:rPr>
        <w:t xml:space="preserve">soit </w:t>
      </w:r>
      <w:r w:rsidR="001E2627">
        <w:rPr>
          <w:rFonts w:ascii="Segoe UI" w:hAnsi="Segoe UI" w:cs="Segoe UI"/>
          <w:sz w:val="18"/>
          <w:szCs w:val="18"/>
        </w:rPr>
        <w:t xml:space="preserve">tout de même </w:t>
      </w:r>
      <w:r w:rsidR="000A3725">
        <w:rPr>
          <w:rFonts w:ascii="Segoe UI" w:hAnsi="Segoe UI" w:cs="Segoe UI"/>
          <w:sz w:val="18"/>
          <w:szCs w:val="18"/>
        </w:rPr>
        <w:t xml:space="preserve">le deuxième plus </w:t>
      </w:r>
      <w:r w:rsidR="001E6201">
        <w:rPr>
          <w:rFonts w:ascii="Segoe UI" w:hAnsi="Segoe UI" w:cs="Segoe UI"/>
          <w:sz w:val="18"/>
          <w:szCs w:val="18"/>
        </w:rPr>
        <w:t>élevé</w:t>
      </w:r>
      <w:r w:rsidR="000A3725">
        <w:rPr>
          <w:rFonts w:ascii="Segoe UI" w:hAnsi="Segoe UI" w:cs="Segoe UI"/>
          <w:sz w:val="18"/>
          <w:szCs w:val="18"/>
        </w:rPr>
        <w:t xml:space="preserve"> enregistré après 2022 (122 Md CAD/</w:t>
      </w:r>
      <w:r w:rsidR="008E5549">
        <w:rPr>
          <w:rFonts w:ascii="Segoe UI" w:hAnsi="Segoe UI" w:cs="Segoe UI"/>
          <w:sz w:val="18"/>
          <w:szCs w:val="18"/>
        </w:rPr>
        <w:t>83</w:t>
      </w:r>
      <w:r w:rsidR="000A3725">
        <w:rPr>
          <w:rFonts w:ascii="Segoe UI" w:hAnsi="Segoe UI" w:cs="Segoe UI"/>
          <w:sz w:val="18"/>
          <w:szCs w:val="18"/>
        </w:rPr>
        <w:t xml:space="preserve"> Md€)</w:t>
      </w:r>
      <w:r w:rsidR="009829DA">
        <w:rPr>
          <w:rFonts w:ascii="Segoe UI" w:hAnsi="Segoe UI" w:cs="Segoe UI"/>
          <w:sz w:val="18"/>
          <w:szCs w:val="18"/>
        </w:rPr>
        <w:t> :</w:t>
      </w:r>
      <w:r w:rsidR="00D52889">
        <w:rPr>
          <w:rFonts w:ascii="Segoe UI" w:hAnsi="Segoe UI" w:cs="Segoe UI"/>
          <w:sz w:val="18"/>
          <w:szCs w:val="18"/>
        </w:rPr>
        <w:t xml:space="preserve"> </w:t>
      </w:r>
      <w:r w:rsidR="009829DA">
        <w:rPr>
          <w:rFonts w:ascii="Segoe UI" w:hAnsi="Segoe UI" w:cs="Segoe UI"/>
          <w:sz w:val="18"/>
          <w:szCs w:val="18"/>
        </w:rPr>
        <w:t>s</w:t>
      </w:r>
      <w:r w:rsidR="007C4CE8">
        <w:rPr>
          <w:rFonts w:ascii="Segoe UI" w:hAnsi="Segoe UI" w:cs="Segoe UI"/>
          <w:sz w:val="18"/>
          <w:szCs w:val="18"/>
        </w:rPr>
        <w:t xml:space="preserve">ans l’excédent canadien vis-à-vis de son voisin américain, le déficit commercial canadien aurait été de 110,5 Md CAD (76 Md€). </w:t>
      </w:r>
      <w:r w:rsidR="00DA2126">
        <w:rPr>
          <w:rFonts w:ascii="Segoe UI" w:hAnsi="Segoe UI" w:cs="Segoe UI"/>
          <w:sz w:val="18"/>
          <w:szCs w:val="18"/>
        </w:rPr>
        <w:t xml:space="preserve">L’excédent commercial canadien </w:t>
      </w:r>
      <w:r w:rsidR="00F7572B">
        <w:rPr>
          <w:rFonts w:ascii="Segoe UI" w:hAnsi="Segoe UI" w:cs="Segoe UI"/>
          <w:sz w:val="18"/>
          <w:szCs w:val="18"/>
        </w:rPr>
        <w:t>chute</w:t>
      </w:r>
      <w:r w:rsidR="00DA2126">
        <w:rPr>
          <w:rFonts w:ascii="Segoe UI" w:hAnsi="Segoe UI" w:cs="Segoe UI"/>
          <w:sz w:val="18"/>
          <w:szCs w:val="18"/>
        </w:rPr>
        <w:t xml:space="preserve"> vis-à-vis du </w:t>
      </w:r>
      <w:r w:rsidR="00DA2126" w:rsidRPr="00DA2126">
        <w:rPr>
          <w:rFonts w:ascii="Segoe UI" w:hAnsi="Segoe UI" w:cs="Segoe UI"/>
          <w:sz w:val="18"/>
          <w:szCs w:val="18"/>
          <w:u w:val="single"/>
        </w:rPr>
        <w:t>Japon</w:t>
      </w:r>
      <w:r w:rsidR="00DA2126">
        <w:rPr>
          <w:rFonts w:ascii="Segoe UI" w:hAnsi="Segoe UI" w:cs="Segoe UI"/>
          <w:sz w:val="18"/>
          <w:szCs w:val="18"/>
        </w:rPr>
        <w:t xml:space="preserve"> (-88% ; 740 M CAD/509 M€) et du </w:t>
      </w:r>
      <w:r w:rsidR="00DA2126" w:rsidRPr="00DA2126">
        <w:rPr>
          <w:rFonts w:ascii="Segoe UI" w:hAnsi="Segoe UI" w:cs="Segoe UI"/>
          <w:sz w:val="18"/>
          <w:szCs w:val="18"/>
          <w:u w:val="single"/>
        </w:rPr>
        <w:t>Royaume-Uni</w:t>
      </w:r>
      <w:r w:rsidR="00DA2126">
        <w:rPr>
          <w:rFonts w:ascii="Segoe UI" w:hAnsi="Segoe UI" w:cs="Segoe UI"/>
          <w:sz w:val="18"/>
          <w:szCs w:val="18"/>
        </w:rPr>
        <w:t xml:space="preserve"> (</w:t>
      </w:r>
      <w:r w:rsidR="00A37279">
        <w:rPr>
          <w:rFonts w:ascii="Segoe UI" w:hAnsi="Segoe UI" w:cs="Segoe UI"/>
          <w:sz w:val="18"/>
          <w:szCs w:val="18"/>
        </w:rPr>
        <w:t xml:space="preserve">-57% ; </w:t>
      </w:r>
      <w:r w:rsidR="00DA2126">
        <w:rPr>
          <w:rFonts w:ascii="Segoe UI" w:hAnsi="Segoe UI" w:cs="Segoe UI"/>
          <w:sz w:val="18"/>
          <w:szCs w:val="18"/>
        </w:rPr>
        <w:t>4,3 Md CAD/2,9</w:t>
      </w:r>
      <w:r w:rsidR="001F29D9">
        <w:rPr>
          <w:rFonts w:ascii="Segoe UI" w:hAnsi="Segoe UI" w:cs="Segoe UI"/>
          <w:sz w:val="18"/>
          <w:szCs w:val="18"/>
        </w:rPr>
        <w:t xml:space="preserve"> Md€</w:t>
      </w:r>
      <w:r w:rsidR="00801F9A">
        <w:rPr>
          <w:rFonts w:ascii="Segoe UI" w:hAnsi="Segoe UI" w:cs="Segoe UI"/>
          <w:sz w:val="18"/>
          <w:szCs w:val="18"/>
        </w:rPr>
        <w:t>)</w:t>
      </w:r>
      <w:r w:rsidR="001758A6">
        <w:rPr>
          <w:rFonts w:ascii="Segoe UI" w:hAnsi="Segoe UI" w:cs="Segoe UI"/>
          <w:sz w:val="18"/>
          <w:szCs w:val="18"/>
        </w:rPr>
        <w:t>, tandis que le</w:t>
      </w:r>
      <w:r w:rsidR="00ED1C65">
        <w:rPr>
          <w:rFonts w:ascii="Segoe UI" w:hAnsi="Segoe UI" w:cs="Segoe UI"/>
          <w:sz w:val="18"/>
          <w:szCs w:val="18"/>
        </w:rPr>
        <w:t xml:space="preserve"> déficit commercial canadien se creuse vis-à-vis de l’</w:t>
      </w:r>
      <w:r w:rsidR="00ED1C65" w:rsidRPr="00ED1C65">
        <w:rPr>
          <w:rFonts w:ascii="Segoe UI" w:hAnsi="Segoe UI" w:cs="Segoe UI"/>
          <w:sz w:val="18"/>
          <w:szCs w:val="18"/>
          <w:u w:val="single"/>
        </w:rPr>
        <w:t>Union européenne</w:t>
      </w:r>
      <w:r w:rsidR="0005762B">
        <w:rPr>
          <w:rFonts w:ascii="Segoe UI" w:hAnsi="Segoe UI" w:cs="Segoe UI"/>
          <w:sz w:val="18"/>
          <w:szCs w:val="18"/>
        </w:rPr>
        <w:t xml:space="preserve"> (+23% ; -40 Md CAD/-</w:t>
      </w:r>
      <w:r w:rsidR="00E71917">
        <w:rPr>
          <w:rFonts w:ascii="Segoe UI" w:hAnsi="Segoe UI" w:cs="Segoe UI"/>
          <w:sz w:val="18"/>
          <w:szCs w:val="18"/>
        </w:rPr>
        <w:t>30</w:t>
      </w:r>
      <w:r w:rsidR="0005762B">
        <w:rPr>
          <w:rFonts w:ascii="Segoe UI" w:hAnsi="Segoe UI" w:cs="Segoe UI"/>
          <w:sz w:val="18"/>
          <w:szCs w:val="18"/>
        </w:rPr>
        <w:t xml:space="preserve"> Md€) </w:t>
      </w:r>
      <w:r w:rsidR="00E71917">
        <w:rPr>
          <w:rFonts w:ascii="Segoe UI" w:hAnsi="Segoe UI" w:cs="Segoe UI"/>
          <w:sz w:val="18"/>
          <w:szCs w:val="18"/>
        </w:rPr>
        <w:t xml:space="preserve">et de la </w:t>
      </w:r>
      <w:r w:rsidR="00E71917" w:rsidRPr="00E71917">
        <w:rPr>
          <w:rFonts w:ascii="Segoe UI" w:hAnsi="Segoe UI" w:cs="Segoe UI"/>
          <w:sz w:val="18"/>
          <w:szCs w:val="18"/>
          <w:u w:val="single"/>
        </w:rPr>
        <w:t>Corée du Sud</w:t>
      </w:r>
      <w:r w:rsidR="00E71917" w:rsidRPr="00E71917">
        <w:rPr>
          <w:rFonts w:ascii="Segoe UI" w:hAnsi="Segoe UI" w:cs="Segoe UI"/>
          <w:sz w:val="18"/>
          <w:szCs w:val="18"/>
        </w:rPr>
        <w:t xml:space="preserve"> </w:t>
      </w:r>
      <w:r w:rsidR="00E71917">
        <w:rPr>
          <w:rFonts w:ascii="Segoe UI" w:hAnsi="Segoe UI" w:cs="Segoe UI"/>
          <w:sz w:val="18"/>
          <w:szCs w:val="18"/>
        </w:rPr>
        <w:t>(multiplié par deux ; -4 Md CAD/3 Md€)</w:t>
      </w:r>
      <w:r w:rsidR="00102883">
        <w:rPr>
          <w:rFonts w:ascii="Segoe UI" w:hAnsi="Segoe UI" w:cs="Segoe UI"/>
          <w:sz w:val="18"/>
          <w:szCs w:val="18"/>
        </w:rPr>
        <w:t xml:space="preserve">. </w:t>
      </w:r>
      <w:r w:rsidR="00900956">
        <w:rPr>
          <w:rFonts w:ascii="Segoe UI" w:hAnsi="Segoe UI" w:cs="Segoe UI"/>
          <w:sz w:val="18"/>
          <w:szCs w:val="18"/>
        </w:rPr>
        <w:t xml:space="preserve">A noter l’amélioration </w:t>
      </w:r>
      <w:r w:rsidR="001E2627">
        <w:rPr>
          <w:rFonts w:ascii="Segoe UI" w:hAnsi="Segoe UI" w:cs="Segoe UI"/>
          <w:sz w:val="18"/>
          <w:szCs w:val="18"/>
        </w:rPr>
        <w:t>du solde canadien avec</w:t>
      </w:r>
      <w:r w:rsidR="00980B9C">
        <w:rPr>
          <w:rFonts w:ascii="Segoe UI" w:hAnsi="Segoe UI" w:cs="Segoe UI"/>
          <w:sz w:val="18"/>
          <w:szCs w:val="18"/>
        </w:rPr>
        <w:t xml:space="preserve"> la </w:t>
      </w:r>
      <w:r w:rsidR="00980B9C" w:rsidRPr="00980B9C">
        <w:rPr>
          <w:rFonts w:ascii="Segoe UI" w:hAnsi="Segoe UI" w:cs="Segoe UI"/>
          <w:sz w:val="18"/>
          <w:szCs w:val="18"/>
          <w:u w:val="single"/>
        </w:rPr>
        <w:t>Chine</w:t>
      </w:r>
      <w:r w:rsidR="00980B9C">
        <w:rPr>
          <w:rFonts w:ascii="Segoe UI" w:hAnsi="Segoe UI" w:cs="Segoe UI"/>
          <w:sz w:val="18"/>
          <w:szCs w:val="18"/>
        </w:rPr>
        <w:t>, (</w:t>
      </w:r>
      <w:r w:rsidR="00D70FB7">
        <w:rPr>
          <w:rFonts w:ascii="Segoe UI" w:hAnsi="Segoe UI" w:cs="Segoe UI"/>
          <w:sz w:val="18"/>
          <w:szCs w:val="18"/>
        </w:rPr>
        <w:t xml:space="preserve">+23% ; </w:t>
      </w:r>
      <w:r w:rsidR="00980B9C">
        <w:rPr>
          <w:rFonts w:ascii="Segoe UI" w:hAnsi="Segoe UI" w:cs="Segoe UI"/>
          <w:sz w:val="18"/>
          <w:szCs w:val="18"/>
        </w:rPr>
        <w:t>-40,2 Md CAD/-28 Md€)</w:t>
      </w:r>
      <w:r w:rsidR="00AB0E59">
        <w:rPr>
          <w:rFonts w:ascii="Segoe UI" w:hAnsi="Segoe UI" w:cs="Segoe UI"/>
          <w:sz w:val="18"/>
          <w:szCs w:val="18"/>
        </w:rPr>
        <w:t xml:space="preserve">, </w:t>
      </w:r>
      <w:r w:rsidR="00E50FE6">
        <w:rPr>
          <w:rFonts w:ascii="Segoe UI" w:hAnsi="Segoe UI" w:cs="Segoe UI"/>
          <w:sz w:val="18"/>
          <w:szCs w:val="18"/>
        </w:rPr>
        <w:t>l</w:t>
      </w:r>
      <w:r w:rsidR="00E50FE6" w:rsidRPr="00E50FE6">
        <w:rPr>
          <w:rFonts w:ascii="Segoe UI" w:hAnsi="Segoe UI" w:cs="Segoe UI"/>
          <w:sz w:val="18"/>
          <w:szCs w:val="18"/>
          <w:u w:val="single"/>
        </w:rPr>
        <w:t>’Inde</w:t>
      </w:r>
      <w:r w:rsidR="00E50FE6">
        <w:rPr>
          <w:rFonts w:ascii="Segoe UI" w:hAnsi="Segoe UI" w:cs="Segoe UI"/>
          <w:sz w:val="18"/>
          <w:szCs w:val="18"/>
        </w:rPr>
        <w:t xml:space="preserve"> (+72% ; -288 M CAD/200 M€)</w:t>
      </w:r>
      <w:r w:rsidR="00FA18FB">
        <w:rPr>
          <w:rFonts w:ascii="Segoe UI" w:hAnsi="Segoe UI" w:cs="Segoe UI"/>
          <w:sz w:val="18"/>
          <w:szCs w:val="18"/>
        </w:rPr>
        <w:t xml:space="preserve"> et la </w:t>
      </w:r>
      <w:r w:rsidR="00FA18FB" w:rsidRPr="00FE5509">
        <w:rPr>
          <w:rFonts w:ascii="Segoe UI" w:hAnsi="Segoe UI" w:cs="Segoe UI"/>
          <w:sz w:val="18"/>
          <w:szCs w:val="18"/>
          <w:u w:val="single"/>
        </w:rPr>
        <w:t>Suisse</w:t>
      </w:r>
      <w:r w:rsidR="00FE5509">
        <w:rPr>
          <w:rFonts w:ascii="Segoe UI" w:hAnsi="Segoe UI" w:cs="Segoe UI"/>
          <w:sz w:val="18"/>
          <w:szCs w:val="18"/>
        </w:rPr>
        <w:t xml:space="preserve"> (+18% ; -3,2 Md CAD/2,2 Md€)</w:t>
      </w:r>
      <w:r w:rsidR="001E2627">
        <w:rPr>
          <w:rFonts w:ascii="Segoe UI" w:hAnsi="Segoe UI" w:cs="Segoe UI"/>
          <w:sz w:val="18"/>
          <w:szCs w:val="18"/>
        </w:rPr>
        <w:t>,</w:t>
      </w:r>
      <w:r w:rsidR="009B2247" w:rsidRPr="009B2247">
        <w:rPr>
          <w:rFonts w:ascii="Segoe UI" w:hAnsi="Segoe UI" w:cs="Segoe UI"/>
          <w:sz w:val="18"/>
          <w:szCs w:val="18"/>
        </w:rPr>
        <w:t xml:space="preserve"> </w:t>
      </w:r>
      <w:r w:rsidR="001E2627">
        <w:rPr>
          <w:rFonts w:ascii="Segoe UI" w:hAnsi="Segoe UI" w:cs="Segoe UI"/>
          <w:sz w:val="18"/>
          <w:szCs w:val="18"/>
        </w:rPr>
        <w:t>quoique toujours déficitaire</w:t>
      </w:r>
      <w:r w:rsidR="00E50FE6">
        <w:rPr>
          <w:rFonts w:ascii="Segoe UI" w:hAnsi="Segoe UI" w:cs="Segoe UI"/>
          <w:sz w:val="18"/>
          <w:szCs w:val="18"/>
        </w:rPr>
        <w:t>.</w:t>
      </w:r>
      <w:r w:rsidR="00D91BEF">
        <w:rPr>
          <w:rFonts w:ascii="Segoe UI" w:hAnsi="Segoe UI" w:cs="Segoe UI"/>
          <w:sz w:val="18"/>
          <w:szCs w:val="18"/>
        </w:rPr>
        <w:t xml:space="preserve"> </w:t>
      </w:r>
      <w:r w:rsidR="00B349B9">
        <w:rPr>
          <w:rFonts w:ascii="Segoe UI" w:hAnsi="Segoe UI" w:cs="Segoe UI"/>
          <w:sz w:val="18"/>
          <w:szCs w:val="18"/>
        </w:rPr>
        <w:t>L</w:t>
      </w:r>
      <w:r w:rsidR="00D91BEF">
        <w:rPr>
          <w:rFonts w:ascii="Segoe UI" w:hAnsi="Segoe UI" w:cs="Segoe UI"/>
          <w:sz w:val="18"/>
          <w:szCs w:val="18"/>
        </w:rPr>
        <w:t xml:space="preserve">a reprise des relations diplomatiques entre le Canada et </w:t>
      </w:r>
      <w:r w:rsidR="00D91BEF" w:rsidRPr="00D91BEF">
        <w:rPr>
          <w:rFonts w:ascii="Segoe UI" w:hAnsi="Segoe UI" w:cs="Segoe UI"/>
          <w:sz w:val="18"/>
          <w:szCs w:val="18"/>
        </w:rPr>
        <w:t>l’</w:t>
      </w:r>
      <w:r w:rsidR="00D91BEF" w:rsidRPr="00D91BEF">
        <w:rPr>
          <w:rFonts w:ascii="Segoe UI" w:hAnsi="Segoe UI" w:cs="Segoe UI"/>
          <w:sz w:val="18"/>
          <w:szCs w:val="18"/>
          <w:u w:val="single"/>
        </w:rPr>
        <w:t>Arabie Saoudite</w:t>
      </w:r>
      <w:r w:rsidR="00D91BEF">
        <w:rPr>
          <w:rFonts w:ascii="Segoe UI" w:hAnsi="Segoe UI" w:cs="Segoe UI"/>
          <w:sz w:val="18"/>
          <w:szCs w:val="18"/>
        </w:rPr>
        <w:t xml:space="preserve"> en mai 2023 s’est accompagné</w:t>
      </w:r>
      <w:r w:rsidR="00C64238">
        <w:rPr>
          <w:rFonts w:ascii="Segoe UI" w:hAnsi="Segoe UI" w:cs="Segoe UI"/>
          <w:sz w:val="18"/>
          <w:szCs w:val="18"/>
        </w:rPr>
        <w:t>e</w:t>
      </w:r>
      <w:r w:rsidR="00D91BEF">
        <w:rPr>
          <w:rFonts w:ascii="Segoe UI" w:hAnsi="Segoe UI" w:cs="Segoe UI"/>
          <w:sz w:val="18"/>
          <w:szCs w:val="18"/>
        </w:rPr>
        <w:t xml:space="preserve"> d’un retour à une situation excédentaire (+101 M CAD/70 M€)</w:t>
      </w:r>
      <w:r w:rsidR="001E2627">
        <w:rPr>
          <w:rFonts w:ascii="Segoe UI" w:hAnsi="Segoe UI" w:cs="Segoe UI"/>
          <w:sz w:val="18"/>
          <w:szCs w:val="18"/>
        </w:rPr>
        <w:t>,</w:t>
      </w:r>
      <w:r w:rsidR="00D91BEF">
        <w:rPr>
          <w:rFonts w:ascii="Segoe UI" w:hAnsi="Segoe UI" w:cs="Segoe UI"/>
          <w:sz w:val="18"/>
          <w:szCs w:val="18"/>
        </w:rPr>
        <w:t xml:space="preserve"> après un déficit de -2,3 Md CAD (1,6 Md€) en 2022</w:t>
      </w:r>
      <w:r w:rsidR="007736C3">
        <w:rPr>
          <w:rFonts w:ascii="Segoe UI" w:hAnsi="Segoe UI" w:cs="Segoe UI"/>
          <w:sz w:val="18"/>
          <w:szCs w:val="18"/>
        </w:rPr>
        <w:t xml:space="preserve"> (</w:t>
      </w:r>
      <w:r w:rsidR="007736C3" w:rsidRPr="00E37AD2">
        <w:rPr>
          <w:rFonts w:ascii="Segoe UI" w:hAnsi="Segoe UI" w:cs="Segoe UI"/>
          <w:i/>
          <w:iCs/>
          <w:sz w:val="18"/>
          <w:szCs w:val="18"/>
        </w:rPr>
        <w:t>Annexe II</w:t>
      </w:r>
      <w:r w:rsidR="007736C3">
        <w:rPr>
          <w:rFonts w:ascii="Segoe UI" w:hAnsi="Segoe UI" w:cs="Segoe UI"/>
          <w:sz w:val="18"/>
          <w:szCs w:val="18"/>
        </w:rPr>
        <w:t>)</w:t>
      </w:r>
      <w:r w:rsidR="00D91BEF">
        <w:rPr>
          <w:rFonts w:ascii="Segoe UI" w:hAnsi="Segoe UI" w:cs="Segoe UI"/>
          <w:sz w:val="18"/>
          <w:szCs w:val="18"/>
        </w:rPr>
        <w:t>.</w:t>
      </w:r>
      <w:r w:rsidR="00E62141">
        <w:rPr>
          <w:rFonts w:ascii="Segoe UI" w:hAnsi="Segoe UI" w:cs="Segoe UI"/>
          <w:sz w:val="18"/>
          <w:szCs w:val="18"/>
        </w:rPr>
        <w:t xml:space="preserve"> </w:t>
      </w:r>
    </w:p>
    <w:p w14:paraId="4395FBB5" w14:textId="28CC9242" w:rsidR="006D3104" w:rsidRPr="005E2D0B" w:rsidRDefault="00BC0B57" w:rsidP="001271A4">
      <w:pPr>
        <w:spacing w:before="60" w:after="60"/>
        <w:jc w:val="both"/>
        <w:rPr>
          <w:rFonts w:ascii="Segoe UI" w:hAnsi="Segoe UI" w:cs="Segoe UI"/>
          <w:sz w:val="18"/>
          <w:szCs w:val="18"/>
        </w:rPr>
      </w:pPr>
      <w:r>
        <w:rPr>
          <w:rFonts w:ascii="Segoe UI" w:hAnsi="Segoe UI" w:cs="Segoe UI"/>
          <w:b/>
          <w:bCs/>
          <w:sz w:val="18"/>
          <w:szCs w:val="18"/>
        </w:rPr>
        <w:t>L’Union européenne creuse l’écart vis-à-vis de la Chine</w:t>
      </w:r>
      <w:r w:rsidR="00250FCB">
        <w:rPr>
          <w:rFonts w:ascii="Segoe UI" w:hAnsi="Segoe UI" w:cs="Segoe UI"/>
          <w:b/>
          <w:bCs/>
          <w:sz w:val="18"/>
          <w:szCs w:val="18"/>
        </w:rPr>
        <w:t xml:space="preserve"> en 2023</w:t>
      </w:r>
      <w:r>
        <w:rPr>
          <w:rFonts w:ascii="Segoe UI" w:hAnsi="Segoe UI" w:cs="Segoe UI"/>
          <w:b/>
          <w:bCs/>
          <w:sz w:val="18"/>
          <w:szCs w:val="18"/>
        </w:rPr>
        <w:t xml:space="preserve"> et s’affirme comme </w:t>
      </w:r>
      <w:r w:rsidR="001758A6">
        <w:rPr>
          <w:rFonts w:ascii="Segoe UI" w:hAnsi="Segoe UI" w:cs="Segoe UI"/>
          <w:b/>
          <w:bCs/>
          <w:sz w:val="18"/>
          <w:szCs w:val="18"/>
        </w:rPr>
        <w:t xml:space="preserve">le </w:t>
      </w:r>
      <w:r>
        <w:rPr>
          <w:rFonts w:ascii="Segoe UI" w:hAnsi="Segoe UI" w:cs="Segoe UI"/>
          <w:b/>
          <w:bCs/>
          <w:sz w:val="18"/>
          <w:szCs w:val="18"/>
        </w:rPr>
        <w:t xml:space="preserve">deuxième partenaire commercial du Canada. </w:t>
      </w:r>
      <w:r w:rsidR="007537C1">
        <w:rPr>
          <w:rFonts w:ascii="Segoe UI" w:hAnsi="Segoe UI" w:cs="Segoe UI"/>
          <w:sz w:val="18"/>
          <w:szCs w:val="18"/>
        </w:rPr>
        <w:t xml:space="preserve">Les données de balance </w:t>
      </w:r>
      <w:r w:rsidR="001E2627">
        <w:rPr>
          <w:rFonts w:ascii="Segoe UI" w:hAnsi="Segoe UI" w:cs="Segoe UI"/>
          <w:sz w:val="18"/>
          <w:szCs w:val="18"/>
        </w:rPr>
        <w:t>commerciale</w:t>
      </w:r>
      <w:r w:rsidR="007537C1">
        <w:rPr>
          <w:rFonts w:ascii="Segoe UI" w:hAnsi="Segoe UI" w:cs="Segoe UI"/>
          <w:sz w:val="18"/>
          <w:szCs w:val="18"/>
        </w:rPr>
        <w:t xml:space="preserve"> place</w:t>
      </w:r>
      <w:r w:rsidR="00DA2BE2">
        <w:rPr>
          <w:rFonts w:ascii="Segoe UI" w:hAnsi="Segoe UI" w:cs="Segoe UI"/>
          <w:sz w:val="18"/>
          <w:szCs w:val="18"/>
        </w:rPr>
        <w:t>nt</w:t>
      </w:r>
      <w:r w:rsidR="007537C1">
        <w:rPr>
          <w:rFonts w:ascii="Segoe UI" w:hAnsi="Segoe UI" w:cs="Segoe UI"/>
          <w:sz w:val="18"/>
          <w:szCs w:val="18"/>
        </w:rPr>
        <w:t xml:space="preserve"> l’Union européenne devant la Chine </w:t>
      </w:r>
      <w:r w:rsidR="00276549">
        <w:rPr>
          <w:rFonts w:ascii="Segoe UI" w:hAnsi="Segoe UI" w:cs="Segoe UI"/>
          <w:sz w:val="18"/>
          <w:szCs w:val="18"/>
        </w:rPr>
        <w:t xml:space="preserve">en 2023 </w:t>
      </w:r>
      <w:r w:rsidR="007537C1">
        <w:rPr>
          <w:rFonts w:ascii="Segoe UI" w:hAnsi="Segoe UI" w:cs="Segoe UI"/>
          <w:sz w:val="18"/>
          <w:szCs w:val="18"/>
        </w:rPr>
        <w:t>aussi bien dans les importations (10%</w:t>
      </w:r>
      <w:r w:rsidR="00237299">
        <w:rPr>
          <w:rFonts w:ascii="Segoe UI" w:hAnsi="Segoe UI" w:cs="Segoe UI"/>
          <w:sz w:val="18"/>
          <w:szCs w:val="18"/>
        </w:rPr>
        <w:t xml:space="preserve"> du total des importations canadiennes</w:t>
      </w:r>
      <w:r w:rsidR="00857584">
        <w:rPr>
          <w:rFonts w:ascii="Segoe UI" w:hAnsi="Segoe UI" w:cs="Segoe UI"/>
          <w:sz w:val="18"/>
          <w:szCs w:val="18"/>
        </w:rPr>
        <w:t xml:space="preserve"> depuis l’Union européenne</w:t>
      </w:r>
      <w:r w:rsidR="007537C1">
        <w:rPr>
          <w:rFonts w:ascii="Segoe UI" w:hAnsi="Segoe UI" w:cs="Segoe UI"/>
          <w:sz w:val="18"/>
          <w:szCs w:val="18"/>
        </w:rPr>
        <w:t xml:space="preserve"> contre 8%</w:t>
      </w:r>
      <w:r w:rsidR="00857584">
        <w:rPr>
          <w:rFonts w:ascii="Segoe UI" w:hAnsi="Segoe UI" w:cs="Segoe UI"/>
          <w:sz w:val="18"/>
          <w:szCs w:val="18"/>
        </w:rPr>
        <w:t xml:space="preserve"> pour la Chine</w:t>
      </w:r>
      <w:r w:rsidR="007537C1">
        <w:rPr>
          <w:rFonts w:ascii="Segoe UI" w:hAnsi="Segoe UI" w:cs="Segoe UI"/>
          <w:sz w:val="18"/>
          <w:szCs w:val="18"/>
        </w:rPr>
        <w:t>) que dans les exportations (5% contre 4%)</w:t>
      </w:r>
      <w:r w:rsidR="00FF0409">
        <w:rPr>
          <w:rFonts w:ascii="Segoe UI" w:hAnsi="Segoe UI" w:cs="Segoe UI"/>
          <w:sz w:val="18"/>
          <w:szCs w:val="18"/>
        </w:rPr>
        <w:t>. Les échanges bilatéraux UE27-Canada totalisent 109 Md CAD (75 Md €) alors que les échanges Chine-Canada comptent pour 91 Md CAD (63 Md€) sur l’année</w:t>
      </w:r>
      <w:r w:rsidR="003008F9">
        <w:rPr>
          <w:rFonts w:ascii="Segoe UI" w:hAnsi="Segoe UI" w:cs="Segoe UI"/>
          <w:sz w:val="18"/>
          <w:szCs w:val="18"/>
        </w:rPr>
        <w:t>, soit un écart de 20%</w:t>
      </w:r>
      <w:r w:rsidR="003350D8">
        <w:rPr>
          <w:rFonts w:ascii="Segoe UI" w:hAnsi="Segoe UI" w:cs="Segoe UI"/>
          <w:sz w:val="18"/>
          <w:szCs w:val="18"/>
        </w:rPr>
        <w:t xml:space="preserve"> (</w:t>
      </w:r>
      <w:r w:rsidR="003350D8" w:rsidRPr="00DA5948">
        <w:rPr>
          <w:rFonts w:ascii="Segoe UI" w:hAnsi="Segoe UI" w:cs="Segoe UI"/>
          <w:i/>
          <w:iCs/>
          <w:sz w:val="18"/>
          <w:szCs w:val="18"/>
        </w:rPr>
        <w:t>Annexe II</w:t>
      </w:r>
      <w:r w:rsidR="003350D8">
        <w:rPr>
          <w:rFonts w:ascii="Segoe UI" w:hAnsi="Segoe UI" w:cs="Segoe UI"/>
          <w:sz w:val="18"/>
          <w:szCs w:val="18"/>
        </w:rPr>
        <w:t>)</w:t>
      </w:r>
      <w:r w:rsidR="003008F9">
        <w:rPr>
          <w:rFonts w:ascii="Segoe UI" w:hAnsi="Segoe UI" w:cs="Segoe UI"/>
          <w:sz w:val="18"/>
          <w:szCs w:val="18"/>
        </w:rPr>
        <w:t xml:space="preserve">. </w:t>
      </w:r>
      <w:r w:rsidR="00402B6A">
        <w:rPr>
          <w:rFonts w:ascii="Segoe UI" w:hAnsi="Segoe UI" w:cs="Segoe UI"/>
          <w:sz w:val="18"/>
          <w:szCs w:val="18"/>
        </w:rPr>
        <w:t xml:space="preserve">Cet écart </w:t>
      </w:r>
      <w:r w:rsidR="003D6DCD">
        <w:rPr>
          <w:rFonts w:ascii="Segoe UI" w:hAnsi="Segoe UI" w:cs="Segoe UI"/>
          <w:sz w:val="18"/>
          <w:szCs w:val="18"/>
        </w:rPr>
        <w:t xml:space="preserve">n’a cessé de se creuser </w:t>
      </w:r>
      <w:r w:rsidR="00380755">
        <w:rPr>
          <w:rFonts w:ascii="Segoe UI" w:hAnsi="Segoe UI" w:cs="Segoe UI"/>
          <w:sz w:val="18"/>
          <w:szCs w:val="18"/>
        </w:rPr>
        <w:t>depuis l</w:t>
      </w:r>
      <w:r w:rsidR="00D748EC">
        <w:rPr>
          <w:rFonts w:ascii="Segoe UI" w:hAnsi="Segoe UI" w:cs="Segoe UI"/>
          <w:sz w:val="18"/>
          <w:szCs w:val="18"/>
        </w:rPr>
        <w:t xml:space="preserve">e redémarrage </w:t>
      </w:r>
      <w:r w:rsidR="00756A3C">
        <w:rPr>
          <w:rFonts w:ascii="Segoe UI" w:hAnsi="Segoe UI" w:cs="Segoe UI"/>
          <w:sz w:val="18"/>
          <w:szCs w:val="18"/>
        </w:rPr>
        <w:t>post-</w:t>
      </w:r>
      <w:r w:rsidR="007B3E17">
        <w:rPr>
          <w:rFonts w:ascii="Segoe UI" w:hAnsi="Segoe UI" w:cs="Segoe UI"/>
          <w:sz w:val="18"/>
          <w:szCs w:val="18"/>
        </w:rPr>
        <w:t>COVID</w:t>
      </w:r>
      <w:r w:rsidR="00380755">
        <w:rPr>
          <w:rFonts w:ascii="Segoe UI" w:hAnsi="Segoe UI" w:cs="Segoe UI"/>
          <w:sz w:val="18"/>
          <w:szCs w:val="18"/>
        </w:rPr>
        <w:t xml:space="preserve"> en 2021</w:t>
      </w:r>
      <w:r w:rsidR="00546B87">
        <w:rPr>
          <w:rFonts w:ascii="Segoe UI" w:hAnsi="Segoe UI" w:cs="Segoe UI"/>
          <w:sz w:val="18"/>
          <w:szCs w:val="18"/>
        </w:rPr>
        <w:t xml:space="preserve"> </w:t>
      </w:r>
      <w:r w:rsidR="003D6DCD">
        <w:rPr>
          <w:rFonts w:ascii="Segoe UI" w:hAnsi="Segoe UI" w:cs="Segoe UI"/>
          <w:sz w:val="18"/>
          <w:szCs w:val="18"/>
        </w:rPr>
        <w:t xml:space="preserve">: il </w:t>
      </w:r>
      <w:r w:rsidR="00FE66D4">
        <w:rPr>
          <w:rFonts w:ascii="Segoe UI" w:hAnsi="Segoe UI" w:cs="Segoe UI"/>
          <w:sz w:val="18"/>
          <w:szCs w:val="18"/>
        </w:rPr>
        <w:t>est</w:t>
      </w:r>
      <w:r w:rsidR="00402B6A">
        <w:rPr>
          <w:rFonts w:ascii="Segoe UI" w:hAnsi="Segoe UI" w:cs="Segoe UI"/>
          <w:sz w:val="18"/>
          <w:szCs w:val="18"/>
        </w:rPr>
        <w:t xml:space="preserve"> 2,8 fois plus important qu’en 2022</w:t>
      </w:r>
      <w:r w:rsidR="004D4719">
        <w:rPr>
          <w:rFonts w:ascii="Segoe UI" w:hAnsi="Segoe UI" w:cs="Segoe UI"/>
          <w:sz w:val="18"/>
          <w:szCs w:val="18"/>
        </w:rPr>
        <w:t xml:space="preserve"> et 6,7 fois plus grand qu’en 2021. </w:t>
      </w:r>
    </w:p>
    <w:p w14:paraId="03420A2B" w14:textId="47F25D99" w:rsidR="00AC504D" w:rsidRDefault="00AC504D" w:rsidP="005621B7">
      <w:pPr>
        <w:spacing w:before="60" w:after="60"/>
        <w:jc w:val="center"/>
        <w:rPr>
          <w:rFonts w:ascii="Segoe UI" w:hAnsi="Segoe UI" w:cs="Segoe UI"/>
          <w:b/>
          <w:bCs/>
          <w:sz w:val="18"/>
          <w:szCs w:val="18"/>
        </w:rPr>
      </w:pPr>
      <w:r>
        <w:rPr>
          <w:rFonts w:ascii="Segoe UI" w:hAnsi="Segoe UI" w:cs="Segoe UI"/>
          <w:b/>
          <w:bCs/>
          <w:sz w:val="18"/>
          <w:szCs w:val="18"/>
        </w:rPr>
        <w:t>***</w:t>
      </w:r>
    </w:p>
    <w:p w14:paraId="37FD9DE9" w14:textId="4EC058B1" w:rsidR="00AC504D" w:rsidRPr="00D07673" w:rsidRDefault="00AC504D" w:rsidP="0005067C">
      <w:pPr>
        <w:spacing w:after="120"/>
        <w:jc w:val="both"/>
        <w:rPr>
          <w:rFonts w:ascii="Segoe UI" w:hAnsi="Segoe UI" w:cs="Segoe UI"/>
          <w:b/>
          <w:sz w:val="18"/>
          <w:szCs w:val="16"/>
          <w:u w:val="single"/>
        </w:rPr>
      </w:pPr>
      <w:r w:rsidRPr="00AC504D">
        <w:rPr>
          <w:rFonts w:ascii="Segoe UI" w:hAnsi="Segoe UI" w:cs="Segoe UI"/>
          <w:i/>
          <w:iCs/>
          <w:sz w:val="18"/>
          <w:szCs w:val="18"/>
          <w:u w:val="single"/>
        </w:rPr>
        <w:t>Commentaires :</w:t>
      </w:r>
      <w:r w:rsidR="000C3A0B">
        <w:rPr>
          <w:rFonts w:ascii="Segoe UI" w:hAnsi="Segoe UI" w:cs="Segoe UI"/>
          <w:sz w:val="18"/>
          <w:szCs w:val="18"/>
        </w:rPr>
        <w:t xml:space="preserve"> </w:t>
      </w:r>
      <w:r w:rsidR="00755026">
        <w:rPr>
          <w:rFonts w:ascii="Segoe UI" w:hAnsi="Segoe UI" w:cs="Segoe UI"/>
          <w:i/>
          <w:iCs/>
          <w:sz w:val="18"/>
          <w:szCs w:val="18"/>
        </w:rPr>
        <w:t xml:space="preserve">« Quand le pétrole </w:t>
      </w:r>
      <w:r w:rsidR="000F2936">
        <w:rPr>
          <w:rFonts w:ascii="Segoe UI" w:hAnsi="Segoe UI" w:cs="Segoe UI"/>
          <w:i/>
          <w:iCs/>
          <w:sz w:val="18"/>
          <w:szCs w:val="18"/>
        </w:rPr>
        <w:t>va, tout va</w:t>
      </w:r>
      <w:r w:rsidR="00755026">
        <w:rPr>
          <w:rFonts w:ascii="Segoe UI" w:hAnsi="Segoe UI" w:cs="Segoe UI"/>
          <w:i/>
          <w:iCs/>
          <w:sz w:val="18"/>
          <w:szCs w:val="18"/>
        </w:rPr>
        <w:t xml:space="preserve"> » </w:t>
      </w:r>
      <w:r w:rsidR="001E2627">
        <w:rPr>
          <w:rFonts w:ascii="Segoe UI" w:hAnsi="Segoe UI" w:cs="Segoe UI"/>
          <w:i/>
          <w:iCs/>
          <w:sz w:val="18"/>
          <w:szCs w:val="18"/>
        </w:rPr>
        <w:t xml:space="preserve">semble être plus que jamais </w:t>
      </w:r>
      <w:r w:rsidR="007A7AF0">
        <w:rPr>
          <w:rFonts w:ascii="Segoe UI" w:hAnsi="Segoe UI" w:cs="Segoe UI"/>
          <w:i/>
          <w:iCs/>
          <w:sz w:val="18"/>
          <w:szCs w:val="18"/>
        </w:rPr>
        <w:t xml:space="preserve">la grille d’analyse </w:t>
      </w:r>
      <w:r w:rsidR="004D663C">
        <w:rPr>
          <w:rFonts w:ascii="Segoe UI" w:hAnsi="Segoe UI" w:cs="Segoe UI"/>
          <w:i/>
          <w:iCs/>
          <w:sz w:val="18"/>
          <w:szCs w:val="18"/>
        </w:rPr>
        <w:t>du</w:t>
      </w:r>
      <w:r w:rsidR="00755026">
        <w:rPr>
          <w:rFonts w:ascii="Segoe UI" w:hAnsi="Segoe UI" w:cs="Segoe UI"/>
          <w:i/>
          <w:iCs/>
          <w:sz w:val="18"/>
          <w:szCs w:val="18"/>
        </w:rPr>
        <w:t xml:space="preserve"> commerce canadien</w:t>
      </w:r>
      <w:r w:rsidR="007A7AF0">
        <w:rPr>
          <w:rFonts w:ascii="Segoe UI" w:hAnsi="Segoe UI" w:cs="Segoe UI"/>
          <w:i/>
          <w:iCs/>
          <w:sz w:val="18"/>
          <w:szCs w:val="18"/>
        </w:rPr>
        <w:t>, dont la santé demeure largement dépendante du cours du Brent et du dynamisme économique de son voisin du sud. Cette dépendance commerciale envers les Etats-Unis, qui traduit également une forte intégration continentale de certaines filières (le secteur automobile en est probablement la meilleure illustration, expliquant dans une large mesure la place prépondérante de l’Ontario dans les importations globales), interpelle alors que les incertitudes politiques</w:t>
      </w:r>
      <w:r w:rsidR="00EE3EBF">
        <w:rPr>
          <w:rFonts w:ascii="Segoe UI" w:hAnsi="Segoe UI" w:cs="Segoe UI"/>
          <w:i/>
          <w:iCs/>
          <w:sz w:val="18"/>
          <w:szCs w:val="18"/>
        </w:rPr>
        <w:t xml:space="preserve"> à Washington DC vont s’accroître courant 2024 et que se profile un</w:t>
      </w:r>
      <w:r w:rsidR="009664BC">
        <w:rPr>
          <w:rFonts w:ascii="Segoe UI" w:hAnsi="Segoe UI" w:cs="Segoe UI"/>
          <w:i/>
          <w:iCs/>
          <w:sz w:val="18"/>
          <w:szCs w:val="18"/>
        </w:rPr>
        <w:t xml:space="preserve"> réexamen de </w:t>
      </w:r>
      <w:r w:rsidR="00EE3EBF">
        <w:rPr>
          <w:rFonts w:ascii="Segoe UI" w:hAnsi="Segoe UI" w:cs="Segoe UI"/>
          <w:i/>
          <w:iCs/>
          <w:sz w:val="18"/>
          <w:szCs w:val="18"/>
        </w:rPr>
        <w:t xml:space="preserve">l’accord de libre-échange </w:t>
      </w:r>
      <w:r w:rsidR="009664BC">
        <w:rPr>
          <w:rFonts w:ascii="Segoe UI" w:hAnsi="Segoe UI" w:cs="Segoe UI"/>
          <w:i/>
          <w:iCs/>
          <w:sz w:val="18"/>
          <w:szCs w:val="18"/>
        </w:rPr>
        <w:t>l’ACEUM</w:t>
      </w:r>
      <w:r w:rsidR="00492D9B">
        <w:rPr>
          <w:rFonts w:ascii="Segoe UI" w:hAnsi="Segoe UI" w:cs="Segoe UI"/>
          <w:i/>
          <w:iCs/>
          <w:sz w:val="18"/>
          <w:szCs w:val="18"/>
        </w:rPr>
        <w:t>.</w:t>
      </w:r>
      <w:r w:rsidR="00EE3EBF">
        <w:rPr>
          <w:rFonts w:ascii="Segoe UI" w:hAnsi="Segoe UI" w:cs="Segoe UI"/>
          <w:i/>
          <w:iCs/>
          <w:sz w:val="18"/>
          <w:szCs w:val="18"/>
        </w:rPr>
        <w:t xml:space="preserve"> Surtout, elle va à rebours des appels répétés depuis près de 10 ans par les Libéraux </w:t>
      </w:r>
      <w:r w:rsidR="00F24D82">
        <w:rPr>
          <w:rFonts w:ascii="Segoe UI" w:hAnsi="Segoe UI" w:cs="Segoe UI"/>
          <w:i/>
          <w:iCs/>
          <w:sz w:val="18"/>
          <w:szCs w:val="18"/>
        </w:rPr>
        <w:t>visant à</w:t>
      </w:r>
      <w:r w:rsidR="00EE3EBF">
        <w:rPr>
          <w:rFonts w:ascii="Segoe UI" w:hAnsi="Segoe UI" w:cs="Segoe UI"/>
          <w:i/>
          <w:iCs/>
          <w:sz w:val="18"/>
          <w:szCs w:val="18"/>
        </w:rPr>
        <w:t xml:space="preserve"> « diversifier » le commerce du pays</w:t>
      </w:r>
      <w:r w:rsidR="00F24D82">
        <w:rPr>
          <w:rFonts w:ascii="Segoe UI" w:hAnsi="Segoe UI" w:cs="Segoe UI"/>
          <w:i/>
          <w:iCs/>
          <w:sz w:val="18"/>
          <w:szCs w:val="18"/>
        </w:rPr>
        <w:t>..</w:t>
      </w:r>
      <w:r w:rsidR="00EE3EBF">
        <w:rPr>
          <w:rFonts w:ascii="Segoe UI" w:hAnsi="Segoe UI" w:cs="Segoe UI"/>
          <w:i/>
          <w:iCs/>
          <w:sz w:val="18"/>
          <w:szCs w:val="18"/>
        </w:rPr>
        <w:t>.</w:t>
      </w:r>
      <w:r w:rsidR="00492D9B">
        <w:rPr>
          <w:rFonts w:ascii="Segoe UI" w:hAnsi="Segoe UI" w:cs="Segoe UI"/>
          <w:i/>
          <w:iCs/>
          <w:sz w:val="18"/>
          <w:szCs w:val="18"/>
        </w:rPr>
        <w:t xml:space="preserve"> </w:t>
      </w:r>
    </w:p>
    <w:p w14:paraId="1F534DB0" w14:textId="68A7AA6D" w:rsidR="0045355C" w:rsidRPr="001E2627" w:rsidRDefault="00CC0FC5" w:rsidP="00A63DAA">
      <w:pPr>
        <w:spacing w:after="0"/>
        <w:jc w:val="right"/>
        <w:rPr>
          <w:rFonts w:ascii="Segoe UI" w:hAnsi="Segoe UI" w:cs="Segoe UI"/>
          <w:b/>
          <w:sz w:val="18"/>
          <w:szCs w:val="16"/>
        </w:rPr>
      </w:pPr>
      <w:r w:rsidRPr="001E2627">
        <w:rPr>
          <w:rFonts w:ascii="Segoe UI" w:hAnsi="Segoe UI" w:cs="Segoe UI"/>
          <w:b/>
          <w:sz w:val="18"/>
          <w:szCs w:val="16"/>
        </w:rPr>
        <w:t>Le Chef du Service économique régional – Morgan Larhant</w:t>
      </w:r>
    </w:p>
    <w:p w14:paraId="4F6459B1" w14:textId="48384B00" w:rsidR="00306ACF" w:rsidRPr="008B4093" w:rsidRDefault="0045355C" w:rsidP="003758DF">
      <w:pPr>
        <w:spacing w:after="80"/>
        <w:jc w:val="both"/>
        <w:rPr>
          <w:rFonts w:ascii="Segoe UI" w:hAnsi="Segoe UI" w:cs="Segoe UI"/>
          <w:b/>
          <w:sz w:val="20"/>
          <w:szCs w:val="18"/>
          <w:u w:val="single"/>
        </w:rPr>
      </w:pPr>
      <w:r w:rsidRPr="008B4093">
        <w:rPr>
          <w:rFonts w:ascii="Segoe UI" w:hAnsi="Segoe UI" w:cs="Segoe UI"/>
          <w:b/>
          <w:sz w:val="20"/>
          <w:szCs w:val="18"/>
          <w:u w:val="single"/>
        </w:rPr>
        <w:br w:type="page"/>
      </w:r>
      <w:r w:rsidR="00B7377B" w:rsidRPr="008B4093">
        <w:rPr>
          <w:rFonts w:ascii="Segoe UI" w:hAnsi="Segoe UI" w:cs="Segoe UI"/>
          <w:b/>
          <w:sz w:val="20"/>
          <w:szCs w:val="18"/>
          <w:u w:val="single"/>
        </w:rPr>
        <w:lastRenderedPageBreak/>
        <w:t xml:space="preserve">Annexe </w:t>
      </w:r>
      <w:r w:rsidR="00306ACF" w:rsidRPr="008B4093">
        <w:rPr>
          <w:rFonts w:ascii="Segoe UI" w:hAnsi="Segoe UI" w:cs="Segoe UI"/>
          <w:b/>
          <w:sz w:val="20"/>
          <w:szCs w:val="18"/>
          <w:u w:val="single"/>
        </w:rPr>
        <w:t>I – Evolution du commerce canadien (biens et services) avec le reste du monde entre 2013 et 2023 (source : Statistique Canada, 202</w:t>
      </w:r>
      <w:r w:rsidR="00443722" w:rsidRPr="008B4093">
        <w:rPr>
          <w:rFonts w:ascii="Segoe UI" w:hAnsi="Segoe UI" w:cs="Segoe UI"/>
          <w:b/>
          <w:sz w:val="20"/>
          <w:szCs w:val="18"/>
          <w:u w:val="single"/>
        </w:rPr>
        <w:t>4</w:t>
      </w:r>
      <w:r w:rsidR="00306ACF" w:rsidRPr="008B4093">
        <w:rPr>
          <w:rFonts w:ascii="Segoe UI" w:hAnsi="Segoe UI" w:cs="Segoe UI"/>
          <w:b/>
          <w:sz w:val="20"/>
          <w:szCs w:val="18"/>
          <w:u w:val="single"/>
        </w:rPr>
        <w:t>)</w:t>
      </w:r>
      <w:r w:rsidR="00B7377B" w:rsidRPr="008B4093">
        <w:rPr>
          <w:rFonts w:ascii="Segoe UI" w:hAnsi="Segoe UI" w:cs="Segoe UI"/>
          <w:b/>
          <w:sz w:val="20"/>
          <w:szCs w:val="18"/>
          <w:u w:val="single"/>
        </w:rPr>
        <w:t xml:space="preserve"> </w:t>
      </w:r>
    </w:p>
    <w:p w14:paraId="4B8E1EE2" w14:textId="1210E4CB" w:rsidR="00326492" w:rsidRPr="00326492" w:rsidRDefault="00326492" w:rsidP="00326492">
      <w:pPr>
        <w:pStyle w:val="Lgende"/>
        <w:keepNext/>
        <w:jc w:val="center"/>
        <w:rPr>
          <w:rFonts w:ascii="Segoe UI" w:hAnsi="Segoe UI" w:cs="Segoe UI"/>
          <w:b/>
          <w:bCs/>
          <w:i w:val="0"/>
          <w:iCs w:val="0"/>
          <w:u w:val="single"/>
        </w:rPr>
      </w:pPr>
      <w:r w:rsidRPr="00326492">
        <w:rPr>
          <w:rFonts w:ascii="Segoe UI" w:hAnsi="Segoe UI" w:cs="Segoe UI"/>
          <w:b/>
          <w:bCs/>
          <w:i w:val="0"/>
          <w:iCs w:val="0"/>
          <w:u w:val="single"/>
        </w:rPr>
        <w:t xml:space="preserve">Fig. </w:t>
      </w:r>
      <w:r w:rsidRPr="00326492">
        <w:rPr>
          <w:rFonts w:ascii="Segoe UI" w:hAnsi="Segoe UI" w:cs="Segoe UI"/>
          <w:b/>
          <w:bCs/>
          <w:i w:val="0"/>
          <w:iCs w:val="0"/>
          <w:u w:val="single"/>
        </w:rPr>
        <w:fldChar w:fldCharType="begin"/>
      </w:r>
      <w:r w:rsidRPr="00326492">
        <w:rPr>
          <w:rFonts w:ascii="Segoe UI" w:hAnsi="Segoe UI" w:cs="Segoe UI"/>
          <w:b/>
          <w:bCs/>
          <w:i w:val="0"/>
          <w:iCs w:val="0"/>
          <w:u w:val="single"/>
        </w:rPr>
        <w:instrText xml:space="preserve"> SEQ Fig. \* ARABIC </w:instrText>
      </w:r>
      <w:r w:rsidRPr="00326492">
        <w:rPr>
          <w:rFonts w:ascii="Segoe UI" w:hAnsi="Segoe UI" w:cs="Segoe UI"/>
          <w:b/>
          <w:bCs/>
          <w:i w:val="0"/>
          <w:iCs w:val="0"/>
          <w:u w:val="single"/>
        </w:rPr>
        <w:fldChar w:fldCharType="separate"/>
      </w:r>
      <w:r w:rsidR="0050687E">
        <w:rPr>
          <w:rFonts w:ascii="Segoe UI" w:hAnsi="Segoe UI" w:cs="Segoe UI"/>
          <w:b/>
          <w:bCs/>
          <w:i w:val="0"/>
          <w:iCs w:val="0"/>
          <w:noProof/>
          <w:u w:val="single"/>
        </w:rPr>
        <w:t>1</w:t>
      </w:r>
      <w:r w:rsidRPr="00326492">
        <w:rPr>
          <w:rFonts w:ascii="Segoe UI" w:hAnsi="Segoe UI" w:cs="Segoe UI"/>
          <w:b/>
          <w:bCs/>
          <w:i w:val="0"/>
          <w:iCs w:val="0"/>
          <w:u w:val="single"/>
        </w:rPr>
        <w:fldChar w:fldCharType="end"/>
      </w:r>
      <w:r w:rsidRPr="00326492">
        <w:rPr>
          <w:rFonts w:ascii="Segoe UI" w:hAnsi="Segoe UI" w:cs="Segoe UI"/>
          <w:b/>
          <w:bCs/>
          <w:i w:val="0"/>
          <w:iCs w:val="0"/>
          <w:u w:val="single"/>
        </w:rPr>
        <w:t xml:space="preserve"> Commerce extérieur canadien de biens</w:t>
      </w:r>
    </w:p>
    <w:p w14:paraId="21502C93" w14:textId="4C4536B6" w:rsidR="00306ACF" w:rsidRDefault="006E73A4" w:rsidP="00730843">
      <w:pPr>
        <w:jc w:val="center"/>
        <w:rPr>
          <w:rFonts w:ascii="Segoe UI" w:hAnsi="Segoe UI" w:cs="Segoe UI"/>
          <w:b/>
          <w:sz w:val="18"/>
          <w:szCs w:val="16"/>
          <w:u w:val="single"/>
        </w:rPr>
      </w:pPr>
      <w:r>
        <w:rPr>
          <w:noProof/>
        </w:rPr>
        <mc:AlternateContent>
          <mc:Choice Requires="wps">
            <w:drawing>
              <wp:anchor distT="0" distB="0" distL="114300" distR="114300" simplePos="0" relativeHeight="251659264" behindDoc="0" locked="0" layoutInCell="1" allowOverlap="1" wp14:anchorId="58443F47" wp14:editId="2688E0DB">
                <wp:simplePos x="0" y="0"/>
                <wp:positionH relativeFrom="margin">
                  <wp:posOffset>109728</wp:posOffset>
                </wp:positionH>
                <wp:positionV relativeFrom="paragraph">
                  <wp:posOffset>3678530</wp:posOffset>
                </wp:positionV>
                <wp:extent cx="2438401" cy="266700"/>
                <wp:effectExtent l="0" t="0" r="0" b="0"/>
                <wp:wrapNone/>
                <wp:docPr id="3" name="ZoneTexte 2">
                  <a:extLst xmlns:a="http://schemas.openxmlformats.org/drawingml/2006/main">
                    <a:ext uri="{FF2B5EF4-FFF2-40B4-BE49-F238E27FC236}">
                      <a16:creationId xmlns:a16="http://schemas.microsoft.com/office/drawing/2014/main" id="{2C3C950A-31B2-4B16-AB5F-AE289C034DC9}"/>
                    </a:ext>
                  </a:extLst>
                </wp:docPr>
                <wp:cNvGraphicFramePr/>
                <a:graphic xmlns:a="http://schemas.openxmlformats.org/drawingml/2006/main">
                  <a:graphicData uri="http://schemas.microsoft.com/office/word/2010/wordprocessingShape">
                    <wps:wsp>
                      <wps:cNvSpPr txBox="1"/>
                      <wps:spPr>
                        <a:xfrm>
                          <a:off x="0" y="0"/>
                          <a:ext cx="2438401"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8387426" w14:textId="77777777" w:rsidR="006E73A4" w:rsidRPr="006E73A4" w:rsidRDefault="006E73A4" w:rsidP="006E73A4">
                            <w:pPr>
                              <w:rPr>
                                <w:rFonts w:ascii="Segoe UI" w:hAnsi="Segoe UI" w:cs="Segoe UI"/>
                                <w:color w:val="000000" w:themeColor="dark1"/>
                                <w:sz w:val="14"/>
                                <w:szCs w:val="14"/>
                              </w:rPr>
                            </w:pPr>
                            <w:r w:rsidRPr="006E73A4">
                              <w:rPr>
                                <w:rFonts w:ascii="Segoe UI" w:hAnsi="Segoe UI" w:cs="Segoe UI"/>
                                <w:color w:val="000000" w:themeColor="dark1"/>
                                <w:sz w:val="14"/>
                                <w:szCs w:val="14"/>
                                <w:u w:val="single"/>
                              </w:rPr>
                              <w:t>Source</w:t>
                            </w:r>
                            <w:r w:rsidRPr="006E73A4">
                              <w:rPr>
                                <w:rFonts w:ascii="Segoe UI" w:hAnsi="Segoe UI" w:cs="Segoe UI"/>
                                <w:color w:val="000000" w:themeColor="dark1"/>
                                <w:sz w:val="14"/>
                                <w:szCs w:val="14"/>
                              </w:rPr>
                              <w:t xml:space="preserve"> : Statistique Canada, 2024</w:t>
                            </w:r>
                          </w:p>
                        </w:txbxContent>
                      </wps:txbx>
                      <wps:bodyPr vertOverflow="clip" horzOverflow="clip" wrap="square" rtlCol="0" anchor="t"/>
                    </wps:wsp>
                  </a:graphicData>
                </a:graphic>
              </wp:anchor>
            </w:drawing>
          </mc:Choice>
          <mc:Fallback>
            <w:pict>
              <v:shapetype w14:anchorId="58443F47" id="_x0000_t202" coordsize="21600,21600" o:spt="202" path="m,l,21600r21600,l21600,xe">
                <v:stroke joinstyle="miter"/>
                <v:path gradientshapeok="t" o:connecttype="rect"/>
              </v:shapetype>
              <v:shape id="ZoneTexte 2" o:spid="_x0000_s1026" type="#_x0000_t202" style="position:absolute;left:0;text-align:left;margin-left:8.65pt;margin-top:289.65pt;width:192pt;height:2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" filled="f" stroked="f">
                <v:textbox>
                  <w:txbxContent>
                    <w:p w14:paraId="58387426" w14:textId="77777777" w:rsidR="006E73A4" w:rsidRPr="006E73A4" w:rsidRDefault="006E73A4" w:rsidP="006E73A4">
                      <w:pPr>
                        <w:rPr>
                          <w:rFonts w:ascii="Segoe UI" w:hAnsi="Segoe UI" w:cs="Segoe UI"/>
                          <w:color w:val="000000" w:themeColor="dark1"/>
                          <w:sz w:val="14"/>
                          <w:szCs w:val="14"/>
                        </w:rPr>
                      </w:pPr>
                      <w:r w:rsidRPr="006E73A4">
                        <w:rPr>
                          <w:rFonts w:ascii="Segoe UI" w:hAnsi="Segoe UI" w:cs="Segoe UI"/>
                          <w:color w:val="000000" w:themeColor="dark1"/>
                          <w:sz w:val="14"/>
                          <w:szCs w:val="14"/>
                          <w:u w:val="single"/>
                        </w:rPr>
                        <w:t>Source</w:t>
                      </w:r>
                      <w:r w:rsidRPr="006E73A4">
                        <w:rPr>
                          <w:rFonts w:ascii="Segoe UI" w:hAnsi="Segoe UI" w:cs="Segoe UI"/>
                          <w:color w:val="000000" w:themeColor="dark1"/>
                          <w:sz w:val="14"/>
                          <w:szCs w:val="14"/>
                        </w:rPr>
                        <w:t xml:space="preserve"> : Statistique Canada, 2024</w:t>
                      </w:r>
                    </w:p>
                  </w:txbxContent>
                </v:textbox>
                <w10:wrap anchorx="margin"/>
              </v:shape>
            </w:pict>
          </mc:Fallback>
        </mc:AlternateContent>
      </w:r>
      <w:r>
        <w:rPr>
          <w:noProof/>
        </w:rPr>
        <w:drawing>
          <wp:inline distT="0" distB="0" distL="0" distR="0" wp14:anchorId="33C52D36" wp14:editId="70CEBE20">
            <wp:extent cx="6551930" cy="3874135"/>
            <wp:effectExtent l="19050" t="19050" r="20320" b="12065"/>
            <wp:docPr id="1" name="Graphique 1">
              <a:extLst xmlns:a="http://schemas.openxmlformats.org/drawingml/2006/main">
                <a:ext uri="{FF2B5EF4-FFF2-40B4-BE49-F238E27FC236}">
                  <a16:creationId xmlns:a16="http://schemas.microsoft.com/office/drawing/2014/main" id="{82503732-AC55-4ED8-B3D9-FFB112AE83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E48BD0" w14:textId="0AE48173" w:rsidR="00730843" w:rsidRPr="00326492" w:rsidRDefault="00730843" w:rsidP="00730843">
      <w:pPr>
        <w:pStyle w:val="Lgende"/>
        <w:keepNext/>
        <w:jc w:val="center"/>
        <w:rPr>
          <w:rFonts w:ascii="Segoe UI" w:hAnsi="Segoe UI" w:cs="Segoe UI"/>
          <w:b/>
          <w:bCs/>
          <w:i w:val="0"/>
          <w:iCs w:val="0"/>
          <w:u w:val="single"/>
        </w:rPr>
      </w:pPr>
      <w:r w:rsidRPr="00326492">
        <w:rPr>
          <w:rFonts w:ascii="Segoe UI" w:hAnsi="Segoe UI" w:cs="Segoe UI"/>
          <w:b/>
          <w:bCs/>
          <w:i w:val="0"/>
          <w:iCs w:val="0"/>
          <w:u w:val="single"/>
        </w:rPr>
        <w:t xml:space="preserve">Fig. </w:t>
      </w:r>
      <w:r>
        <w:rPr>
          <w:rFonts w:ascii="Segoe UI" w:hAnsi="Segoe UI" w:cs="Segoe UI"/>
          <w:b/>
          <w:bCs/>
          <w:i w:val="0"/>
          <w:iCs w:val="0"/>
          <w:u w:val="single"/>
        </w:rPr>
        <w:t>2</w:t>
      </w:r>
      <w:r w:rsidRPr="00326492">
        <w:rPr>
          <w:rFonts w:ascii="Segoe UI" w:hAnsi="Segoe UI" w:cs="Segoe UI"/>
          <w:b/>
          <w:bCs/>
          <w:i w:val="0"/>
          <w:iCs w:val="0"/>
          <w:u w:val="single"/>
        </w:rPr>
        <w:t xml:space="preserve"> Commerce extérieur canadien de </w:t>
      </w:r>
      <w:r>
        <w:rPr>
          <w:rFonts w:ascii="Segoe UI" w:hAnsi="Segoe UI" w:cs="Segoe UI"/>
          <w:b/>
          <w:bCs/>
          <w:i w:val="0"/>
          <w:iCs w:val="0"/>
          <w:u w:val="single"/>
        </w:rPr>
        <w:t>services</w:t>
      </w:r>
    </w:p>
    <w:p w14:paraId="6956D987" w14:textId="0889DC04" w:rsidR="001D6980" w:rsidRDefault="006E73A4" w:rsidP="00730843">
      <w:pPr>
        <w:jc w:val="center"/>
        <w:rPr>
          <w:rFonts w:ascii="Segoe UI" w:hAnsi="Segoe UI" w:cs="Segoe UI"/>
          <w:b/>
          <w:sz w:val="18"/>
          <w:szCs w:val="16"/>
          <w:u w:val="single"/>
        </w:rPr>
      </w:pPr>
      <w:r>
        <w:rPr>
          <w:noProof/>
        </w:rPr>
        <w:drawing>
          <wp:inline distT="0" distB="0" distL="0" distR="0" wp14:anchorId="1A0EF5C8" wp14:editId="682A84A9">
            <wp:extent cx="6571945" cy="3470301"/>
            <wp:effectExtent l="19050" t="19050" r="19685" b="15875"/>
            <wp:docPr id="5" name="Graphique 5">
              <a:extLst xmlns:a="http://schemas.openxmlformats.org/drawingml/2006/main">
                <a:ext uri="{FF2B5EF4-FFF2-40B4-BE49-F238E27FC236}">
                  <a16:creationId xmlns:a16="http://schemas.microsoft.com/office/drawing/2014/main" id="{0EABC4B2-1E59-4DD4-82E4-DFFE6DF846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CA3A0E" w14:textId="0821F232" w:rsidR="0050687E" w:rsidRDefault="0050687E" w:rsidP="00730843">
      <w:pPr>
        <w:jc w:val="center"/>
        <w:rPr>
          <w:rFonts w:ascii="Segoe UI" w:hAnsi="Segoe UI" w:cs="Segoe UI"/>
          <w:b/>
          <w:sz w:val="18"/>
          <w:szCs w:val="16"/>
          <w:u w:val="single"/>
        </w:rPr>
      </w:pPr>
    </w:p>
    <w:p w14:paraId="6B861AC1" w14:textId="12BD4B5D" w:rsidR="0050687E" w:rsidRDefault="0050687E" w:rsidP="0050687E">
      <w:pPr>
        <w:rPr>
          <w:rFonts w:ascii="Segoe UI" w:hAnsi="Segoe UI" w:cs="Segoe UI"/>
          <w:b/>
          <w:sz w:val="18"/>
          <w:szCs w:val="16"/>
          <w:u w:val="single"/>
        </w:rPr>
      </w:pPr>
    </w:p>
    <w:p w14:paraId="3A5724A1" w14:textId="77777777" w:rsidR="009F0DB9" w:rsidRDefault="009F0DB9" w:rsidP="0050687E">
      <w:pPr>
        <w:pStyle w:val="Lgende"/>
        <w:keepNext/>
        <w:jc w:val="center"/>
        <w:rPr>
          <w:rFonts w:ascii="Segoe UI" w:hAnsi="Segoe UI" w:cs="Segoe UI"/>
          <w:b/>
          <w:bCs/>
          <w:i w:val="0"/>
          <w:iCs w:val="0"/>
          <w:u w:val="single"/>
        </w:rPr>
      </w:pPr>
    </w:p>
    <w:p w14:paraId="73CEC7C1" w14:textId="77777777" w:rsidR="009F0DB9" w:rsidRDefault="009F0DB9" w:rsidP="0050687E">
      <w:pPr>
        <w:pStyle w:val="Lgende"/>
        <w:keepNext/>
        <w:jc w:val="center"/>
        <w:rPr>
          <w:rFonts w:ascii="Segoe UI" w:hAnsi="Segoe UI" w:cs="Segoe UI"/>
          <w:b/>
          <w:bCs/>
          <w:i w:val="0"/>
          <w:iCs w:val="0"/>
          <w:u w:val="single"/>
        </w:rPr>
      </w:pPr>
    </w:p>
    <w:p w14:paraId="4144F450" w14:textId="77777777" w:rsidR="009F0DB9" w:rsidRDefault="009F0DB9" w:rsidP="0050687E">
      <w:pPr>
        <w:pStyle w:val="Lgende"/>
        <w:keepNext/>
        <w:jc w:val="center"/>
        <w:rPr>
          <w:rFonts w:ascii="Segoe UI" w:hAnsi="Segoe UI" w:cs="Segoe UI"/>
          <w:b/>
          <w:bCs/>
          <w:i w:val="0"/>
          <w:iCs w:val="0"/>
          <w:u w:val="single"/>
        </w:rPr>
      </w:pPr>
    </w:p>
    <w:p w14:paraId="53FEFB95" w14:textId="77777777" w:rsidR="009F0DB9" w:rsidRDefault="009F0DB9" w:rsidP="0050687E">
      <w:pPr>
        <w:pStyle w:val="Lgende"/>
        <w:keepNext/>
        <w:jc w:val="center"/>
        <w:rPr>
          <w:rFonts w:ascii="Segoe UI" w:hAnsi="Segoe UI" w:cs="Segoe UI"/>
          <w:b/>
          <w:bCs/>
          <w:i w:val="0"/>
          <w:iCs w:val="0"/>
          <w:u w:val="single"/>
        </w:rPr>
      </w:pPr>
    </w:p>
    <w:p w14:paraId="2A7F215C" w14:textId="77777777" w:rsidR="009F0DB9" w:rsidRDefault="009F0DB9" w:rsidP="0050687E">
      <w:pPr>
        <w:pStyle w:val="Lgende"/>
        <w:keepNext/>
        <w:jc w:val="center"/>
        <w:rPr>
          <w:rFonts w:ascii="Segoe UI" w:hAnsi="Segoe UI" w:cs="Segoe UI"/>
          <w:b/>
          <w:bCs/>
          <w:i w:val="0"/>
          <w:iCs w:val="0"/>
          <w:u w:val="single"/>
        </w:rPr>
      </w:pPr>
    </w:p>
    <w:p w14:paraId="3AE2B889" w14:textId="77777777" w:rsidR="009F0DB9" w:rsidRDefault="009F0DB9" w:rsidP="0050687E">
      <w:pPr>
        <w:pStyle w:val="Lgende"/>
        <w:keepNext/>
        <w:jc w:val="center"/>
        <w:rPr>
          <w:rFonts w:ascii="Segoe UI" w:hAnsi="Segoe UI" w:cs="Segoe UI"/>
          <w:b/>
          <w:bCs/>
          <w:i w:val="0"/>
          <w:iCs w:val="0"/>
          <w:u w:val="single"/>
        </w:rPr>
      </w:pPr>
    </w:p>
    <w:p w14:paraId="52061603" w14:textId="77777777" w:rsidR="009F0DB9" w:rsidRDefault="009F0DB9" w:rsidP="0050687E">
      <w:pPr>
        <w:pStyle w:val="Lgende"/>
        <w:keepNext/>
        <w:jc w:val="center"/>
        <w:rPr>
          <w:rFonts w:ascii="Segoe UI" w:hAnsi="Segoe UI" w:cs="Segoe UI"/>
          <w:b/>
          <w:bCs/>
          <w:i w:val="0"/>
          <w:iCs w:val="0"/>
          <w:u w:val="single"/>
        </w:rPr>
      </w:pPr>
    </w:p>
    <w:p w14:paraId="3ABC36D2" w14:textId="77777777" w:rsidR="009F0DB9" w:rsidRDefault="009F0DB9" w:rsidP="0050687E">
      <w:pPr>
        <w:pStyle w:val="Lgende"/>
        <w:keepNext/>
        <w:jc w:val="center"/>
        <w:rPr>
          <w:rFonts w:ascii="Segoe UI" w:hAnsi="Segoe UI" w:cs="Segoe UI"/>
          <w:b/>
          <w:bCs/>
          <w:i w:val="0"/>
          <w:iCs w:val="0"/>
          <w:u w:val="single"/>
        </w:rPr>
      </w:pPr>
    </w:p>
    <w:p w14:paraId="6624DFE3" w14:textId="77777777" w:rsidR="009F0DB9" w:rsidRDefault="009F0DB9" w:rsidP="0050687E">
      <w:pPr>
        <w:pStyle w:val="Lgende"/>
        <w:keepNext/>
        <w:jc w:val="center"/>
        <w:rPr>
          <w:rFonts w:ascii="Segoe UI" w:hAnsi="Segoe UI" w:cs="Segoe UI"/>
          <w:b/>
          <w:bCs/>
          <w:i w:val="0"/>
          <w:iCs w:val="0"/>
          <w:u w:val="single"/>
        </w:rPr>
      </w:pPr>
    </w:p>
    <w:p w14:paraId="71B36383" w14:textId="618FD680" w:rsidR="0050687E" w:rsidRPr="00897660" w:rsidRDefault="0050687E" w:rsidP="0050687E">
      <w:pPr>
        <w:pStyle w:val="Lgende"/>
        <w:keepNext/>
        <w:jc w:val="center"/>
        <w:rPr>
          <w:rFonts w:ascii="Segoe UI" w:hAnsi="Segoe UI" w:cs="Segoe UI"/>
          <w:b/>
          <w:bCs/>
          <w:i w:val="0"/>
          <w:iCs w:val="0"/>
          <w:u w:val="single"/>
        </w:rPr>
      </w:pPr>
      <w:r w:rsidRPr="00897660">
        <w:rPr>
          <w:rFonts w:ascii="Segoe UI" w:hAnsi="Segoe UI" w:cs="Segoe UI"/>
          <w:b/>
          <w:bCs/>
          <w:i w:val="0"/>
          <w:iCs w:val="0"/>
          <w:u w:val="single"/>
        </w:rPr>
        <w:t xml:space="preserve">Fig. </w:t>
      </w:r>
      <w:r w:rsidR="000D62B4" w:rsidRPr="00897660">
        <w:rPr>
          <w:rFonts w:ascii="Segoe UI" w:hAnsi="Segoe UI" w:cs="Segoe UI"/>
          <w:b/>
          <w:bCs/>
          <w:i w:val="0"/>
          <w:iCs w:val="0"/>
          <w:u w:val="single"/>
        </w:rPr>
        <w:t>3</w:t>
      </w:r>
      <w:r w:rsidR="00551D1C" w:rsidRPr="00897660">
        <w:rPr>
          <w:rFonts w:ascii="Segoe UI" w:hAnsi="Segoe UI" w:cs="Segoe UI"/>
          <w:b/>
          <w:bCs/>
          <w:i w:val="0"/>
          <w:iCs w:val="0"/>
          <w:u w:val="single"/>
        </w:rPr>
        <w:t xml:space="preserve"> </w:t>
      </w:r>
      <w:r w:rsidRPr="00897660">
        <w:rPr>
          <w:rFonts w:ascii="Segoe UI" w:hAnsi="Segoe UI" w:cs="Segoe UI"/>
          <w:b/>
          <w:bCs/>
          <w:i w:val="0"/>
          <w:iCs w:val="0"/>
          <w:u w:val="single"/>
        </w:rPr>
        <w:t>Commerce extérieur canadien de biens et de services</w:t>
      </w:r>
    </w:p>
    <w:p w14:paraId="0300DBF9" w14:textId="45104916" w:rsidR="0050687E" w:rsidRDefault="0050687E" w:rsidP="00730843">
      <w:pPr>
        <w:jc w:val="center"/>
        <w:rPr>
          <w:rFonts w:ascii="Segoe UI" w:hAnsi="Segoe UI" w:cs="Segoe UI"/>
          <w:b/>
          <w:sz w:val="18"/>
          <w:szCs w:val="16"/>
          <w:u w:val="single"/>
        </w:rPr>
      </w:pPr>
      <w:r>
        <w:rPr>
          <w:noProof/>
        </w:rPr>
        <w:drawing>
          <wp:inline distT="0" distB="0" distL="0" distR="0" wp14:anchorId="1CD0B5A0" wp14:editId="7407611F">
            <wp:extent cx="6636192" cy="3885041"/>
            <wp:effectExtent l="19050" t="19050" r="12700" b="20320"/>
            <wp:docPr id="7" name="Graphique 7">
              <a:extLst xmlns:a="http://schemas.openxmlformats.org/drawingml/2006/main">
                <a:ext uri="{FF2B5EF4-FFF2-40B4-BE49-F238E27FC236}">
                  <a16:creationId xmlns:a16="http://schemas.microsoft.com/office/drawing/2014/main" id="{3DA695E0-48C2-4669-B2DE-F56009EA71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2F0CF4" w14:textId="77777777" w:rsidR="002D6FA0" w:rsidRDefault="002D6FA0" w:rsidP="004E5AE2">
      <w:pPr>
        <w:spacing w:after="0"/>
        <w:jc w:val="both"/>
        <w:rPr>
          <w:rFonts w:ascii="Segoe UI" w:hAnsi="Segoe UI" w:cs="Segoe UI"/>
          <w:b/>
          <w:sz w:val="18"/>
          <w:szCs w:val="16"/>
          <w:u w:val="single"/>
        </w:rPr>
        <w:sectPr w:rsidR="002D6FA0" w:rsidSect="005E248F">
          <w:headerReference w:type="default" r:id="rId14"/>
          <w:pgSz w:w="11906" w:h="16838"/>
          <w:pgMar w:top="794" w:right="567" w:bottom="397" w:left="567" w:header="709" w:footer="709" w:gutter="0"/>
          <w:cols w:space="708"/>
          <w:docGrid w:linePitch="360"/>
        </w:sectPr>
      </w:pPr>
    </w:p>
    <w:p w14:paraId="768B60FB" w14:textId="77777777" w:rsidR="002D6FA0" w:rsidRDefault="002D6FA0" w:rsidP="004E5AE2">
      <w:pPr>
        <w:spacing w:after="0"/>
        <w:jc w:val="both"/>
        <w:rPr>
          <w:rFonts w:ascii="Segoe UI" w:hAnsi="Segoe UI" w:cs="Segoe UI"/>
          <w:b/>
          <w:sz w:val="18"/>
          <w:szCs w:val="16"/>
          <w:u w:val="single"/>
        </w:rPr>
      </w:pPr>
    </w:p>
    <w:p w14:paraId="17E49EAE" w14:textId="77777777" w:rsidR="002D6FA0" w:rsidRDefault="002D6FA0" w:rsidP="004E5AE2">
      <w:pPr>
        <w:spacing w:after="0"/>
        <w:jc w:val="both"/>
        <w:rPr>
          <w:rFonts w:ascii="Segoe UI" w:hAnsi="Segoe UI" w:cs="Segoe UI"/>
          <w:b/>
          <w:sz w:val="18"/>
          <w:szCs w:val="16"/>
          <w:u w:val="single"/>
        </w:rPr>
      </w:pPr>
    </w:p>
    <w:p w14:paraId="072718EF" w14:textId="48FD3DC5" w:rsidR="001937BB" w:rsidRDefault="001937BB" w:rsidP="001937BB">
      <w:pPr>
        <w:spacing w:after="0"/>
        <w:jc w:val="both"/>
        <w:rPr>
          <w:rFonts w:ascii="Segoe UI" w:hAnsi="Segoe UI" w:cs="Segoe UI"/>
          <w:b/>
          <w:sz w:val="20"/>
          <w:szCs w:val="18"/>
          <w:u w:val="single"/>
        </w:rPr>
      </w:pPr>
      <w:r w:rsidRPr="00062C02">
        <w:rPr>
          <w:rFonts w:ascii="Segoe UI" w:hAnsi="Segoe UI" w:cs="Segoe UI"/>
          <w:b/>
          <w:sz w:val="20"/>
          <w:szCs w:val="18"/>
          <w:u w:val="single"/>
        </w:rPr>
        <w:t>Annexe II – Evolution des exportations et importations et du solde commercial du Canada entre 2022 et 2023 pour les principaux partenaires économiques du Canada</w:t>
      </w:r>
      <w:r w:rsidR="00EE2BB3">
        <w:rPr>
          <w:rFonts w:ascii="Segoe UI" w:hAnsi="Segoe UI" w:cs="Segoe UI"/>
          <w:b/>
          <w:sz w:val="20"/>
          <w:szCs w:val="18"/>
          <w:u w:val="single"/>
        </w:rPr>
        <w:t xml:space="preserve"> </w:t>
      </w:r>
      <w:r w:rsidRPr="00062C02">
        <w:rPr>
          <w:rFonts w:ascii="Segoe UI" w:hAnsi="Segoe UI" w:cs="Segoe UI"/>
          <w:b/>
          <w:sz w:val="20"/>
          <w:szCs w:val="18"/>
          <w:u w:val="single"/>
        </w:rPr>
        <w:t>(Source : Statistique Canada, 2024)</w:t>
      </w:r>
    </w:p>
    <w:p w14:paraId="18DA2EF3" w14:textId="450901F9" w:rsidR="00E1021B" w:rsidRPr="00062C02" w:rsidRDefault="00E1021B" w:rsidP="001937BB">
      <w:pPr>
        <w:spacing w:after="0"/>
        <w:jc w:val="both"/>
        <w:rPr>
          <w:rFonts w:ascii="Segoe UI" w:hAnsi="Segoe UI" w:cs="Segoe UI"/>
          <w:b/>
          <w:sz w:val="20"/>
          <w:szCs w:val="18"/>
          <w:u w:val="single"/>
        </w:rPr>
      </w:pPr>
    </w:p>
    <w:p w14:paraId="6AB3B9B2" w14:textId="77777777" w:rsidR="00C978CB" w:rsidRDefault="00C978CB" w:rsidP="001937BB">
      <w:pPr>
        <w:spacing w:after="0"/>
        <w:jc w:val="both"/>
        <w:rPr>
          <w:rFonts w:ascii="Segoe UI" w:hAnsi="Segoe UI" w:cs="Segoe UI"/>
          <w:b/>
          <w:sz w:val="18"/>
          <w:szCs w:val="16"/>
          <w:u w:val="single"/>
        </w:rPr>
      </w:pPr>
    </w:p>
    <w:p w14:paraId="35AB18E5" w14:textId="6E23B3C0" w:rsidR="00AC2B45" w:rsidRDefault="00E1021B" w:rsidP="001937BB">
      <w:pPr>
        <w:spacing w:after="0"/>
        <w:jc w:val="both"/>
        <w:rPr>
          <w:rFonts w:ascii="Segoe UI" w:hAnsi="Segoe UI" w:cs="Segoe UI"/>
          <w:b/>
          <w:sz w:val="18"/>
          <w:szCs w:val="16"/>
          <w:u w:val="single"/>
        </w:rPr>
      </w:pPr>
      <w:r w:rsidRPr="009437E5">
        <w:rPr>
          <w:noProof/>
        </w:rPr>
        <w:drawing>
          <wp:anchor distT="0" distB="0" distL="114300" distR="114300" simplePos="0" relativeHeight="251663360" behindDoc="0" locked="0" layoutInCell="1" allowOverlap="1" wp14:anchorId="2C04C396" wp14:editId="0F3AA123">
            <wp:simplePos x="0" y="0"/>
            <wp:positionH relativeFrom="margin">
              <wp:align>center</wp:align>
            </wp:positionH>
            <wp:positionV relativeFrom="paragraph">
              <wp:posOffset>242653</wp:posOffset>
            </wp:positionV>
            <wp:extent cx="8828405" cy="4791710"/>
            <wp:effectExtent l="0" t="0" r="0" b="889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8405" cy="4791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23B3DAB6" wp14:editId="5E0DAAAB">
                <wp:simplePos x="0" y="0"/>
                <wp:positionH relativeFrom="margin">
                  <wp:align>center</wp:align>
                </wp:positionH>
                <wp:positionV relativeFrom="paragraph">
                  <wp:posOffset>9304</wp:posOffset>
                </wp:positionV>
                <wp:extent cx="7362825" cy="158750"/>
                <wp:effectExtent l="0" t="0" r="9525" b="0"/>
                <wp:wrapNone/>
                <wp:docPr id="6" name="Zone de texte 6"/>
                <wp:cNvGraphicFramePr/>
                <a:graphic xmlns:a="http://schemas.openxmlformats.org/drawingml/2006/main">
                  <a:graphicData uri="http://schemas.microsoft.com/office/word/2010/wordprocessingShape">
                    <wps:wsp>
                      <wps:cNvSpPr txBox="1"/>
                      <wps:spPr>
                        <a:xfrm>
                          <a:off x="0" y="0"/>
                          <a:ext cx="7362825" cy="158750"/>
                        </a:xfrm>
                        <a:prstGeom prst="rect">
                          <a:avLst/>
                        </a:prstGeom>
                        <a:solidFill>
                          <a:prstClr val="white"/>
                        </a:solidFill>
                        <a:ln>
                          <a:noFill/>
                        </a:ln>
                      </wps:spPr>
                      <wps:txbx>
                        <w:txbxContent>
                          <w:p w14:paraId="54495860" w14:textId="470CADBC" w:rsidR="00642B65" w:rsidRPr="00E1021B" w:rsidRDefault="00642B65" w:rsidP="00642B65">
                            <w:pPr>
                              <w:pStyle w:val="Lgende"/>
                              <w:rPr>
                                <w:rFonts w:ascii="Segoe UI" w:hAnsi="Segoe UI" w:cs="Segoe UI"/>
                                <w:b/>
                                <w:bCs/>
                                <w:i w:val="0"/>
                                <w:iCs w:val="0"/>
                                <w:noProof/>
                                <w:u w:val="single"/>
                              </w:rPr>
                            </w:pPr>
                            <w:r w:rsidRPr="00E1021B">
                              <w:rPr>
                                <w:rFonts w:ascii="Segoe UI" w:hAnsi="Segoe UI" w:cs="Segoe UI"/>
                                <w:b/>
                                <w:bCs/>
                                <w:i w:val="0"/>
                                <w:iCs w:val="0"/>
                                <w:u w:val="single"/>
                              </w:rPr>
                              <w:t xml:space="preserve">Fig. </w:t>
                            </w:r>
                            <w:r w:rsidR="00513A1B">
                              <w:rPr>
                                <w:rFonts w:ascii="Segoe UI" w:hAnsi="Segoe UI" w:cs="Segoe UI"/>
                                <w:b/>
                                <w:bCs/>
                                <w:i w:val="0"/>
                                <w:iCs w:val="0"/>
                                <w:u w:val="single"/>
                              </w:rPr>
                              <w:t>1</w:t>
                            </w:r>
                            <w:r w:rsidRPr="00E1021B">
                              <w:rPr>
                                <w:rFonts w:ascii="Segoe UI" w:hAnsi="Segoe UI" w:cs="Segoe UI"/>
                                <w:b/>
                                <w:bCs/>
                                <w:i w:val="0"/>
                                <w:iCs w:val="0"/>
                                <w:u w:val="single"/>
                              </w:rPr>
                              <w:t xml:space="preserve"> Variation des exportations, des importations et de la balance commerciale pour les principaux partenaires commerciaux du Canada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3DAB6" id="Zone de texte 6" o:spid="_x0000_s1027" type="#_x0000_t202" style="position:absolute;left:0;text-align:left;margin-left:0;margin-top:.75pt;width:579.75pt;height:1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" stroked="f">
                <v:textbox inset="0,0,0,0">
                  <w:txbxContent>
                    <w:p w14:paraId="54495860" w14:textId="470CADBC" w:rsidR="00642B65" w:rsidRPr="00E1021B" w:rsidRDefault="00642B65" w:rsidP="00642B65">
                      <w:pPr>
                        <w:pStyle w:val="Lgende"/>
                        <w:rPr>
                          <w:rFonts w:ascii="Segoe UI" w:hAnsi="Segoe UI" w:cs="Segoe UI"/>
                          <w:b/>
                          <w:bCs/>
                          <w:i w:val="0"/>
                          <w:iCs w:val="0"/>
                          <w:noProof/>
                          <w:u w:val="single"/>
                        </w:rPr>
                      </w:pPr>
                      <w:r w:rsidRPr="00E1021B">
                        <w:rPr>
                          <w:rFonts w:ascii="Segoe UI" w:hAnsi="Segoe UI" w:cs="Segoe UI"/>
                          <w:b/>
                          <w:bCs/>
                          <w:i w:val="0"/>
                          <w:iCs w:val="0"/>
                          <w:u w:val="single"/>
                        </w:rPr>
                        <w:t xml:space="preserve">Fig. </w:t>
                      </w:r>
                      <w:r w:rsidR="00513A1B">
                        <w:rPr>
                          <w:rFonts w:ascii="Segoe UI" w:hAnsi="Segoe UI" w:cs="Segoe UI"/>
                          <w:b/>
                          <w:bCs/>
                          <w:i w:val="0"/>
                          <w:iCs w:val="0"/>
                          <w:u w:val="single"/>
                        </w:rPr>
                        <w:t>1</w:t>
                      </w:r>
                      <w:r w:rsidRPr="00E1021B">
                        <w:rPr>
                          <w:rFonts w:ascii="Segoe UI" w:hAnsi="Segoe UI" w:cs="Segoe UI"/>
                          <w:b/>
                          <w:bCs/>
                          <w:i w:val="0"/>
                          <w:iCs w:val="0"/>
                          <w:u w:val="single"/>
                        </w:rPr>
                        <w:t xml:space="preserve"> Variation des exportations, des importations et de la balance commerciale pour les principaux partenaires commerciaux du Canada</w:t>
                      </w:r>
                    </w:p>
                  </w:txbxContent>
                </v:textbox>
                <w10:wrap anchorx="margin"/>
              </v:shape>
            </w:pict>
          </mc:Fallback>
        </mc:AlternateContent>
      </w:r>
    </w:p>
    <w:p w14:paraId="7A1B7926" w14:textId="3BC93085" w:rsidR="006D3B07" w:rsidRDefault="006D3B07" w:rsidP="006D3B07">
      <w:pPr>
        <w:jc w:val="both"/>
      </w:pPr>
    </w:p>
    <w:p w14:paraId="3057341C" w14:textId="4B4197EA" w:rsidR="00513A1B" w:rsidRDefault="00513A1B" w:rsidP="006D3B07">
      <w:pPr>
        <w:jc w:val="both"/>
      </w:pPr>
    </w:p>
    <w:p w14:paraId="2233D16E" w14:textId="3C15CA13" w:rsidR="00513A1B" w:rsidRDefault="00513A1B" w:rsidP="006D3B07">
      <w:pPr>
        <w:jc w:val="both"/>
      </w:pPr>
    </w:p>
    <w:p w14:paraId="1DE22CCA" w14:textId="2F8E9750" w:rsidR="009437E5" w:rsidRDefault="0020000A" w:rsidP="006D3B07">
      <w:pPr>
        <w:jc w:val="both"/>
      </w:pPr>
      <w:r>
        <w:rPr>
          <w:noProof/>
        </w:rPr>
        <mc:AlternateContent>
          <mc:Choice Requires="wps">
            <w:drawing>
              <wp:anchor distT="0" distB="0" distL="114300" distR="114300" simplePos="0" relativeHeight="251678720" behindDoc="0" locked="0" layoutInCell="1" allowOverlap="1" wp14:anchorId="71675E88" wp14:editId="57F831B2">
                <wp:simplePos x="0" y="0"/>
                <wp:positionH relativeFrom="column">
                  <wp:posOffset>-564180</wp:posOffset>
                </wp:positionH>
                <wp:positionV relativeFrom="paragraph">
                  <wp:posOffset>308837</wp:posOffset>
                </wp:positionV>
                <wp:extent cx="4675517" cy="301924"/>
                <wp:effectExtent l="0" t="0" r="0" b="3175"/>
                <wp:wrapNone/>
                <wp:docPr id="16" name="Zone de texte 16"/>
                <wp:cNvGraphicFramePr/>
                <a:graphic xmlns:a="http://schemas.openxmlformats.org/drawingml/2006/main">
                  <a:graphicData uri="http://schemas.microsoft.com/office/word/2010/wordprocessingShape">
                    <wps:wsp>
                      <wps:cNvSpPr txBox="1"/>
                      <wps:spPr>
                        <a:xfrm>
                          <a:off x="0" y="0"/>
                          <a:ext cx="4675517" cy="301924"/>
                        </a:xfrm>
                        <a:prstGeom prst="rect">
                          <a:avLst/>
                        </a:prstGeom>
                        <a:solidFill>
                          <a:prstClr val="white"/>
                        </a:solidFill>
                        <a:ln>
                          <a:noFill/>
                        </a:ln>
                      </wps:spPr>
                      <wps:txbx>
                        <w:txbxContent>
                          <w:p w14:paraId="38F63517" w14:textId="1C8921DF" w:rsidR="00513A1B" w:rsidRPr="0020000A" w:rsidRDefault="00513A1B" w:rsidP="00513A1B">
                            <w:pPr>
                              <w:pStyle w:val="Lgende"/>
                              <w:jc w:val="center"/>
                              <w:rPr>
                                <w:rFonts w:ascii="Segoe UI" w:hAnsi="Segoe UI" w:cs="Segoe UI"/>
                                <w:b/>
                                <w:bCs/>
                                <w:i w:val="0"/>
                                <w:iCs w:val="0"/>
                                <w:noProof/>
                                <w:sz w:val="20"/>
                                <w:u w:val="single"/>
                              </w:rPr>
                            </w:pPr>
                            <w:r w:rsidRPr="0020000A">
                              <w:rPr>
                                <w:rFonts w:ascii="Segoe UI" w:hAnsi="Segoe UI" w:cs="Segoe UI"/>
                                <w:b/>
                                <w:bCs/>
                                <w:i w:val="0"/>
                                <w:iCs w:val="0"/>
                                <w:sz w:val="20"/>
                                <w:szCs w:val="20"/>
                                <w:u w:val="single"/>
                              </w:rPr>
                              <w:t xml:space="preserve">Fig. </w:t>
                            </w:r>
                            <w:r w:rsidR="00103DC6">
                              <w:rPr>
                                <w:rFonts w:ascii="Segoe UI" w:hAnsi="Segoe UI" w:cs="Segoe UI"/>
                                <w:b/>
                                <w:bCs/>
                                <w:i w:val="0"/>
                                <w:iCs w:val="0"/>
                                <w:sz w:val="20"/>
                                <w:szCs w:val="20"/>
                                <w:u w:val="single"/>
                              </w:rPr>
                              <w:t>2</w:t>
                            </w:r>
                            <w:r w:rsidRPr="0020000A">
                              <w:rPr>
                                <w:rFonts w:ascii="Segoe UI" w:hAnsi="Segoe UI" w:cs="Segoe UI"/>
                                <w:b/>
                                <w:bCs/>
                                <w:i w:val="0"/>
                                <w:iCs w:val="0"/>
                                <w:sz w:val="20"/>
                                <w:szCs w:val="20"/>
                                <w:u w:val="single"/>
                              </w:rPr>
                              <w:t xml:space="preserve"> Part des pays dans les exportations canadiennes en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75E88" id="Zone de texte 16" o:spid="_x0000_s1028" type="#_x0000_t202" style="position:absolute;left:0;text-align:left;margin-left:-44.4pt;margin-top:24.3pt;width:368.15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" stroked="f">
                <v:textbox inset="0,0,0,0">
                  <w:txbxContent>
                    <w:p w14:paraId="38F63517" w14:textId="1C8921DF" w:rsidR="00513A1B" w:rsidRPr="0020000A" w:rsidRDefault="00513A1B" w:rsidP="00513A1B">
                      <w:pPr>
                        <w:pStyle w:val="Lgende"/>
                        <w:jc w:val="center"/>
                        <w:rPr>
                          <w:rFonts w:ascii="Segoe UI" w:hAnsi="Segoe UI" w:cs="Segoe UI"/>
                          <w:b/>
                          <w:bCs/>
                          <w:i w:val="0"/>
                          <w:iCs w:val="0"/>
                          <w:noProof/>
                          <w:sz w:val="20"/>
                          <w:u w:val="single"/>
                        </w:rPr>
                      </w:pPr>
                      <w:r w:rsidRPr="0020000A">
                        <w:rPr>
                          <w:rFonts w:ascii="Segoe UI" w:hAnsi="Segoe UI" w:cs="Segoe UI"/>
                          <w:b/>
                          <w:bCs/>
                          <w:i w:val="0"/>
                          <w:iCs w:val="0"/>
                          <w:sz w:val="20"/>
                          <w:szCs w:val="20"/>
                          <w:u w:val="single"/>
                        </w:rPr>
                        <w:t xml:space="preserve">Fig. </w:t>
                      </w:r>
                      <w:r w:rsidR="00103DC6">
                        <w:rPr>
                          <w:rFonts w:ascii="Segoe UI" w:hAnsi="Segoe UI" w:cs="Segoe UI"/>
                          <w:b/>
                          <w:bCs/>
                          <w:i w:val="0"/>
                          <w:iCs w:val="0"/>
                          <w:sz w:val="20"/>
                          <w:szCs w:val="20"/>
                          <w:u w:val="single"/>
                        </w:rPr>
                        <w:t>2</w:t>
                      </w:r>
                      <w:r w:rsidRPr="0020000A">
                        <w:rPr>
                          <w:rFonts w:ascii="Segoe UI" w:hAnsi="Segoe UI" w:cs="Segoe UI"/>
                          <w:b/>
                          <w:bCs/>
                          <w:i w:val="0"/>
                          <w:iCs w:val="0"/>
                          <w:sz w:val="20"/>
                          <w:szCs w:val="20"/>
                          <w:u w:val="single"/>
                        </w:rPr>
                        <w:t xml:space="preserve"> Part des pays dans les exportations canadiennes en 2023</w:t>
                      </w:r>
                    </w:p>
                  </w:txbxContent>
                </v:textbox>
              </v:shape>
            </w:pict>
          </mc:Fallback>
        </mc:AlternateContent>
      </w:r>
    </w:p>
    <w:p w14:paraId="0BE7BFB4" w14:textId="0C4FAF95" w:rsidR="00C978CB" w:rsidRDefault="0020000A" w:rsidP="00C978CB">
      <w:pPr>
        <w:spacing w:after="0"/>
        <w:jc w:val="both"/>
        <w:rPr>
          <w:rFonts w:ascii="Segoe UI" w:hAnsi="Segoe UI" w:cs="Segoe UI"/>
          <w:b/>
          <w:sz w:val="18"/>
          <w:szCs w:val="16"/>
          <w:u w:val="single"/>
        </w:rPr>
      </w:pPr>
      <w:r>
        <w:rPr>
          <w:noProof/>
        </w:rPr>
        <mc:AlternateContent>
          <mc:Choice Requires="wps">
            <w:drawing>
              <wp:anchor distT="0" distB="0" distL="114300" distR="114300" simplePos="0" relativeHeight="251680768" behindDoc="0" locked="0" layoutInCell="1" allowOverlap="1" wp14:anchorId="0897823E" wp14:editId="518FCB8D">
                <wp:simplePos x="0" y="0"/>
                <wp:positionH relativeFrom="column">
                  <wp:posOffset>5094557</wp:posOffset>
                </wp:positionH>
                <wp:positionV relativeFrom="paragraph">
                  <wp:posOffset>5535</wp:posOffset>
                </wp:positionV>
                <wp:extent cx="3976777" cy="224287"/>
                <wp:effectExtent l="0" t="0" r="5080" b="4445"/>
                <wp:wrapNone/>
                <wp:docPr id="17" name="Zone de texte 17"/>
                <wp:cNvGraphicFramePr/>
                <a:graphic xmlns:a="http://schemas.openxmlformats.org/drawingml/2006/main">
                  <a:graphicData uri="http://schemas.microsoft.com/office/word/2010/wordprocessingShape">
                    <wps:wsp>
                      <wps:cNvSpPr txBox="1"/>
                      <wps:spPr>
                        <a:xfrm>
                          <a:off x="0" y="0"/>
                          <a:ext cx="3976777" cy="224287"/>
                        </a:xfrm>
                        <a:prstGeom prst="rect">
                          <a:avLst/>
                        </a:prstGeom>
                        <a:solidFill>
                          <a:prstClr val="white"/>
                        </a:solidFill>
                        <a:ln>
                          <a:noFill/>
                        </a:ln>
                      </wps:spPr>
                      <wps:txbx>
                        <w:txbxContent>
                          <w:p w14:paraId="192D5DCB" w14:textId="77777777" w:rsidR="00513A1B" w:rsidRPr="0020000A" w:rsidRDefault="00513A1B" w:rsidP="00513A1B">
                            <w:pPr>
                              <w:pStyle w:val="Lgende"/>
                              <w:jc w:val="center"/>
                              <w:rPr>
                                <w:rFonts w:ascii="Segoe UI" w:hAnsi="Segoe UI" w:cs="Segoe UI"/>
                                <w:b/>
                                <w:bCs/>
                                <w:i w:val="0"/>
                                <w:iCs w:val="0"/>
                                <w:noProof/>
                                <w:sz w:val="20"/>
                                <w:u w:val="single"/>
                              </w:rPr>
                            </w:pPr>
                            <w:r w:rsidRPr="0020000A">
                              <w:rPr>
                                <w:rFonts w:ascii="Segoe UI" w:hAnsi="Segoe UI" w:cs="Segoe UI"/>
                                <w:b/>
                                <w:bCs/>
                                <w:i w:val="0"/>
                                <w:iCs w:val="0"/>
                                <w:sz w:val="20"/>
                                <w:szCs w:val="20"/>
                                <w:u w:val="single"/>
                              </w:rPr>
                              <w:t>Fig. 3 Part des pays dans les importations canadiennes en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7823E" id="Zone de texte 17" o:spid="_x0000_s1029" type="#_x0000_t202" style="position:absolute;left:0;text-align:left;margin-left:401.15pt;margin-top:.45pt;width:313.1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" stroked="f">
                <v:textbox inset="0,0,0,0">
                  <w:txbxContent>
                    <w:p w14:paraId="192D5DCB" w14:textId="77777777" w:rsidR="00513A1B" w:rsidRPr="0020000A" w:rsidRDefault="00513A1B" w:rsidP="00513A1B">
                      <w:pPr>
                        <w:pStyle w:val="Lgende"/>
                        <w:jc w:val="center"/>
                        <w:rPr>
                          <w:rFonts w:ascii="Segoe UI" w:hAnsi="Segoe UI" w:cs="Segoe UI"/>
                          <w:b/>
                          <w:bCs/>
                          <w:i w:val="0"/>
                          <w:iCs w:val="0"/>
                          <w:noProof/>
                          <w:sz w:val="20"/>
                          <w:u w:val="single"/>
                        </w:rPr>
                      </w:pPr>
                      <w:r w:rsidRPr="0020000A">
                        <w:rPr>
                          <w:rFonts w:ascii="Segoe UI" w:hAnsi="Segoe UI" w:cs="Segoe UI"/>
                          <w:b/>
                          <w:bCs/>
                          <w:i w:val="0"/>
                          <w:iCs w:val="0"/>
                          <w:sz w:val="20"/>
                          <w:szCs w:val="20"/>
                          <w:u w:val="single"/>
                        </w:rPr>
                        <w:t>Fig. 3 Part des pays dans les importations canadiennes en 2023</w:t>
                      </w:r>
                    </w:p>
                  </w:txbxContent>
                </v:textbox>
              </v:shape>
            </w:pict>
          </mc:Fallback>
        </mc:AlternateContent>
      </w:r>
    </w:p>
    <w:p w14:paraId="180F2E2B" w14:textId="3FD91B27" w:rsidR="00513A1B" w:rsidRDefault="00513A1B" w:rsidP="00C978CB">
      <w:pPr>
        <w:spacing w:after="0"/>
        <w:jc w:val="both"/>
        <w:rPr>
          <w:rFonts w:ascii="Segoe UI" w:hAnsi="Segoe UI" w:cs="Segoe UI"/>
          <w:b/>
          <w:sz w:val="20"/>
          <w:szCs w:val="18"/>
          <w:u w:val="single"/>
        </w:rPr>
      </w:pPr>
    </w:p>
    <w:p w14:paraId="34C2CFFA" w14:textId="06F37074" w:rsidR="00513A1B" w:rsidRDefault="0020000A" w:rsidP="00C978CB">
      <w:pPr>
        <w:spacing w:after="0"/>
        <w:jc w:val="both"/>
        <w:rPr>
          <w:rFonts w:ascii="Segoe UI" w:hAnsi="Segoe UI" w:cs="Segoe UI"/>
          <w:b/>
          <w:sz w:val="20"/>
          <w:szCs w:val="18"/>
          <w:u w:val="single"/>
        </w:rPr>
      </w:pPr>
      <w:r>
        <w:rPr>
          <w:rFonts w:ascii="Segoe UI" w:hAnsi="Segoe UI" w:cs="Segoe UI"/>
          <w:b/>
          <w:noProof/>
          <w:sz w:val="18"/>
          <w:szCs w:val="16"/>
          <w:u w:val="single"/>
        </w:rPr>
        <w:drawing>
          <wp:anchor distT="0" distB="0" distL="114300" distR="114300" simplePos="0" relativeHeight="251681792" behindDoc="0" locked="0" layoutInCell="1" allowOverlap="1" wp14:anchorId="4B90C1FC" wp14:editId="306B172C">
            <wp:simplePos x="0" y="0"/>
            <wp:positionH relativeFrom="page">
              <wp:posOffset>5762350</wp:posOffset>
            </wp:positionH>
            <wp:positionV relativeFrom="paragraph">
              <wp:posOffset>121769</wp:posOffset>
            </wp:positionV>
            <wp:extent cx="4442196" cy="3634403"/>
            <wp:effectExtent l="38100" t="38100" r="34925" b="4254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6018" t="783" r="14468" b="7727"/>
                    <a:stretch/>
                  </pic:blipFill>
                  <pic:spPr bwMode="auto">
                    <a:xfrm>
                      <a:off x="0" y="0"/>
                      <a:ext cx="4442196" cy="3634403"/>
                    </a:xfrm>
                    <a:prstGeom prst="rect">
                      <a:avLst/>
                    </a:prstGeom>
                    <a:noFill/>
                    <a:ln w="2857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723D">
        <w:rPr>
          <w:rFonts w:ascii="Segoe UI" w:hAnsi="Segoe UI" w:cs="Segoe UI"/>
          <w:b/>
          <w:noProof/>
          <w:sz w:val="18"/>
          <w:szCs w:val="16"/>
        </w:rPr>
        <w:drawing>
          <wp:anchor distT="0" distB="0" distL="114300" distR="114300" simplePos="0" relativeHeight="251677696" behindDoc="0" locked="0" layoutInCell="1" allowOverlap="1" wp14:anchorId="621DA6D6" wp14:editId="28BC0A38">
            <wp:simplePos x="0" y="0"/>
            <wp:positionH relativeFrom="margin">
              <wp:posOffset>-500332</wp:posOffset>
            </wp:positionH>
            <wp:positionV relativeFrom="paragraph">
              <wp:posOffset>146578</wp:posOffset>
            </wp:positionV>
            <wp:extent cx="4404360" cy="3609340"/>
            <wp:effectExtent l="38100" t="38100" r="34290" b="2921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5908" t="1381" r="19320" b="6878"/>
                    <a:stretch/>
                  </pic:blipFill>
                  <pic:spPr bwMode="auto">
                    <a:xfrm>
                      <a:off x="0" y="0"/>
                      <a:ext cx="4404360" cy="3609340"/>
                    </a:xfrm>
                    <a:prstGeom prst="rect">
                      <a:avLst/>
                    </a:prstGeom>
                    <a:noFill/>
                    <a:ln w="28575">
                      <a:solidFill>
                        <a:schemeClr val="accent5"/>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6843D4" w14:textId="15D7B0CE" w:rsidR="00513A1B" w:rsidRDefault="00513A1B" w:rsidP="00C978CB">
      <w:pPr>
        <w:spacing w:after="0"/>
        <w:jc w:val="both"/>
        <w:rPr>
          <w:rFonts w:ascii="Segoe UI" w:hAnsi="Segoe UI" w:cs="Segoe UI"/>
          <w:b/>
          <w:sz w:val="20"/>
          <w:szCs w:val="18"/>
          <w:u w:val="single"/>
        </w:rPr>
      </w:pPr>
    </w:p>
    <w:p w14:paraId="22E909BD" w14:textId="77777777" w:rsidR="00513A1B" w:rsidRDefault="00513A1B" w:rsidP="00C978CB">
      <w:pPr>
        <w:spacing w:after="0"/>
        <w:jc w:val="both"/>
        <w:rPr>
          <w:rFonts w:ascii="Segoe UI" w:hAnsi="Segoe UI" w:cs="Segoe UI"/>
          <w:b/>
          <w:sz w:val="20"/>
          <w:szCs w:val="18"/>
          <w:u w:val="single"/>
        </w:rPr>
      </w:pPr>
    </w:p>
    <w:p w14:paraId="3C494613" w14:textId="77777777" w:rsidR="00513A1B" w:rsidRDefault="00513A1B" w:rsidP="00C978CB">
      <w:pPr>
        <w:spacing w:after="0"/>
        <w:jc w:val="both"/>
        <w:rPr>
          <w:rFonts w:ascii="Segoe UI" w:hAnsi="Segoe UI" w:cs="Segoe UI"/>
          <w:b/>
          <w:sz w:val="20"/>
          <w:szCs w:val="18"/>
          <w:u w:val="single"/>
        </w:rPr>
      </w:pPr>
    </w:p>
    <w:p w14:paraId="6DF499E1" w14:textId="77777777" w:rsidR="00513A1B" w:rsidRDefault="00513A1B" w:rsidP="00C978CB">
      <w:pPr>
        <w:spacing w:after="0"/>
        <w:jc w:val="both"/>
        <w:rPr>
          <w:rFonts w:ascii="Segoe UI" w:hAnsi="Segoe UI" w:cs="Segoe UI"/>
          <w:b/>
          <w:sz w:val="20"/>
          <w:szCs w:val="18"/>
          <w:u w:val="single"/>
        </w:rPr>
      </w:pPr>
    </w:p>
    <w:p w14:paraId="7B7709BE" w14:textId="77777777" w:rsidR="00513A1B" w:rsidRDefault="00513A1B" w:rsidP="00C978CB">
      <w:pPr>
        <w:spacing w:after="0"/>
        <w:jc w:val="both"/>
        <w:rPr>
          <w:rFonts w:ascii="Segoe UI" w:hAnsi="Segoe UI" w:cs="Segoe UI"/>
          <w:b/>
          <w:sz w:val="20"/>
          <w:szCs w:val="18"/>
          <w:u w:val="single"/>
        </w:rPr>
      </w:pPr>
    </w:p>
    <w:p w14:paraId="298830C8" w14:textId="77777777" w:rsidR="00513A1B" w:rsidRDefault="00513A1B" w:rsidP="00C978CB">
      <w:pPr>
        <w:spacing w:after="0"/>
        <w:jc w:val="both"/>
        <w:rPr>
          <w:rFonts w:ascii="Segoe UI" w:hAnsi="Segoe UI" w:cs="Segoe UI"/>
          <w:b/>
          <w:sz w:val="20"/>
          <w:szCs w:val="18"/>
          <w:u w:val="single"/>
        </w:rPr>
      </w:pPr>
    </w:p>
    <w:p w14:paraId="4BAAFA25" w14:textId="77777777" w:rsidR="00513A1B" w:rsidRDefault="00513A1B" w:rsidP="00C978CB">
      <w:pPr>
        <w:spacing w:after="0"/>
        <w:jc w:val="both"/>
        <w:rPr>
          <w:rFonts w:ascii="Segoe UI" w:hAnsi="Segoe UI" w:cs="Segoe UI"/>
          <w:b/>
          <w:sz w:val="20"/>
          <w:szCs w:val="18"/>
          <w:u w:val="single"/>
        </w:rPr>
      </w:pPr>
    </w:p>
    <w:p w14:paraId="57076625" w14:textId="77777777" w:rsidR="00513A1B" w:rsidRDefault="00513A1B" w:rsidP="00C978CB">
      <w:pPr>
        <w:spacing w:after="0"/>
        <w:jc w:val="both"/>
        <w:rPr>
          <w:rFonts w:ascii="Segoe UI" w:hAnsi="Segoe UI" w:cs="Segoe UI"/>
          <w:b/>
          <w:sz w:val="20"/>
          <w:szCs w:val="18"/>
          <w:u w:val="single"/>
        </w:rPr>
      </w:pPr>
    </w:p>
    <w:p w14:paraId="37E4F897" w14:textId="77777777" w:rsidR="00513A1B" w:rsidRDefault="00513A1B" w:rsidP="00C978CB">
      <w:pPr>
        <w:spacing w:after="0"/>
        <w:jc w:val="both"/>
        <w:rPr>
          <w:rFonts w:ascii="Segoe UI" w:hAnsi="Segoe UI" w:cs="Segoe UI"/>
          <w:b/>
          <w:sz w:val="20"/>
          <w:szCs w:val="18"/>
          <w:u w:val="single"/>
        </w:rPr>
      </w:pPr>
    </w:p>
    <w:p w14:paraId="2E5C46FD" w14:textId="77777777" w:rsidR="00513A1B" w:rsidRDefault="00513A1B" w:rsidP="00C978CB">
      <w:pPr>
        <w:spacing w:after="0"/>
        <w:jc w:val="both"/>
        <w:rPr>
          <w:rFonts w:ascii="Segoe UI" w:hAnsi="Segoe UI" w:cs="Segoe UI"/>
          <w:b/>
          <w:sz w:val="20"/>
          <w:szCs w:val="18"/>
          <w:u w:val="single"/>
        </w:rPr>
      </w:pPr>
    </w:p>
    <w:p w14:paraId="427FE905" w14:textId="77777777" w:rsidR="00513A1B" w:rsidRDefault="00513A1B" w:rsidP="00C978CB">
      <w:pPr>
        <w:spacing w:after="0"/>
        <w:jc w:val="both"/>
        <w:rPr>
          <w:rFonts w:ascii="Segoe UI" w:hAnsi="Segoe UI" w:cs="Segoe UI"/>
          <w:b/>
          <w:sz w:val="20"/>
          <w:szCs w:val="18"/>
          <w:u w:val="single"/>
        </w:rPr>
      </w:pPr>
    </w:p>
    <w:p w14:paraId="727B8AF7" w14:textId="77777777" w:rsidR="00513A1B" w:rsidRDefault="00513A1B" w:rsidP="00C978CB">
      <w:pPr>
        <w:spacing w:after="0"/>
        <w:jc w:val="both"/>
        <w:rPr>
          <w:rFonts w:ascii="Segoe UI" w:hAnsi="Segoe UI" w:cs="Segoe UI"/>
          <w:b/>
          <w:sz w:val="20"/>
          <w:szCs w:val="18"/>
          <w:u w:val="single"/>
        </w:rPr>
      </w:pPr>
    </w:p>
    <w:p w14:paraId="74730D3B" w14:textId="77777777" w:rsidR="00513A1B" w:rsidRDefault="00513A1B" w:rsidP="00C978CB">
      <w:pPr>
        <w:spacing w:after="0"/>
        <w:jc w:val="both"/>
        <w:rPr>
          <w:rFonts w:ascii="Segoe UI" w:hAnsi="Segoe UI" w:cs="Segoe UI"/>
          <w:b/>
          <w:sz w:val="20"/>
          <w:szCs w:val="18"/>
          <w:u w:val="single"/>
        </w:rPr>
      </w:pPr>
    </w:p>
    <w:p w14:paraId="3E465911" w14:textId="77777777" w:rsidR="00513A1B" w:rsidRDefault="00513A1B" w:rsidP="00C978CB">
      <w:pPr>
        <w:spacing w:after="0"/>
        <w:jc w:val="both"/>
        <w:rPr>
          <w:rFonts w:ascii="Segoe UI" w:hAnsi="Segoe UI" w:cs="Segoe UI"/>
          <w:b/>
          <w:sz w:val="20"/>
          <w:szCs w:val="18"/>
          <w:u w:val="single"/>
        </w:rPr>
      </w:pPr>
    </w:p>
    <w:p w14:paraId="76414889" w14:textId="77777777" w:rsidR="00513A1B" w:rsidRDefault="00513A1B" w:rsidP="00C978CB">
      <w:pPr>
        <w:spacing w:after="0"/>
        <w:jc w:val="both"/>
        <w:rPr>
          <w:rFonts w:ascii="Segoe UI" w:hAnsi="Segoe UI" w:cs="Segoe UI"/>
          <w:b/>
          <w:sz w:val="20"/>
          <w:szCs w:val="18"/>
          <w:u w:val="single"/>
        </w:rPr>
      </w:pPr>
    </w:p>
    <w:p w14:paraId="30419E55" w14:textId="77777777" w:rsidR="00513A1B" w:rsidRDefault="00513A1B" w:rsidP="00C978CB">
      <w:pPr>
        <w:spacing w:after="0"/>
        <w:jc w:val="both"/>
        <w:rPr>
          <w:rFonts w:ascii="Segoe UI" w:hAnsi="Segoe UI" w:cs="Segoe UI"/>
          <w:b/>
          <w:sz w:val="20"/>
          <w:szCs w:val="18"/>
          <w:u w:val="single"/>
        </w:rPr>
      </w:pPr>
    </w:p>
    <w:p w14:paraId="7308FCDF" w14:textId="77777777" w:rsidR="00513A1B" w:rsidRDefault="00513A1B" w:rsidP="00C978CB">
      <w:pPr>
        <w:spacing w:after="0"/>
        <w:jc w:val="both"/>
        <w:rPr>
          <w:rFonts w:ascii="Segoe UI" w:hAnsi="Segoe UI" w:cs="Segoe UI"/>
          <w:b/>
          <w:sz w:val="20"/>
          <w:szCs w:val="18"/>
          <w:u w:val="single"/>
        </w:rPr>
      </w:pPr>
    </w:p>
    <w:p w14:paraId="55F975CB" w14:textId="77777777" w:rsidR="00513A1B" w:rsidRDefault="00513A1B" w:rsidP="00C978CB">
      <w:pPr>
        <w:spacing w:after="0"/>
        <w:jc w:val="both"/>
        <w:rPr>
          <w:rFonts w:ascii="Segoe UI" w:hAnsi="Segoe UI" w:cs="Segoe UI"/>
          <w:b/>
          <w:sz w:val="20"/>
          <w:szCs w:val="18"/>
          <w:u w:val="single"/>
        </w:rPr>
      </w:pPr>
    </w:p>
    <w:p w14:paraId="601D3A38" w14:textId="77777777" w:rsidR="00513A1B" w:rsidRDefault="00513A1B" w:rsidP="00C978CB">
      <w:pPr>
        <w:spacing w:after="0"/>
        <w:jc w:val="both"/>
        <w:rPr>
          <w:rFonts w:ascii="Segoe UI" w:hAnsi="Segoe UI" w:cs="Segoe UI"/>
          <w:b/>
          <w:sz w:val="20"/>
          <w:szCs w:val="18"/>
          <w:u w:val="single"/>
        </w:rPr>
      </w:pPr>
    </w:p>
    <w:p w14:paraId="6C61AE9C" w14:textId="77777777" w:rsidR="00513A1B" w:rsidRDefault="00513A1B" w:rsidP="00C978CB">
      <w:pPr>
        <w:spacing w:after="0"/>
        <w:jc w:val="both"/>
        <w:rPr>
          <w:rFonts w:ascii="Segoe UI" w:hAnsi="Segoe UI" w:cs="Segoe UI"/>
          <w:b/>
          <w:sz w:val="20"/>
          <w:szCs w:val="18"/>
          <w:u w:val="single"/>
        </w:rPr>
      </w:pPr>
    </w:p>
    <w:p w14:paraId="659083E9" w14:textId="77777777" w:rsidR="00513A1B" w:rsidRDefault="00513A1B" w:rsidP="00C978CB">
      <w:pPr>
        <w:spacing w:after="0"/>
        <w:jc w:val="both"/>
        <w:rPr>
          <w:rFonts w:ascii="Segoe UI" w:hAnsi="Segoe UI" w:cs="Segoe UI"/>
          <w:b/>
          <w:sz w:val="20"/>
          <w:szCs w:val="18"/>
          <w:u w:val="single"/>
        </w:rPr>
      </w:pPr>
    </w:p>
    <w:p w14:paraId="42404D5F" w14:textId="77777777" w:rsidR="00513A1B" w:rsidRDefault="00513A1B" w:rsidP="00C978CB">
      <w:pPr>
        <w:spacing w:after="0"/>
        <w:jc w:val="both"/>
        <w:rPr>
          <w:rFonts w:ascii="Segoe UI" w:hAnsi="Segoe UI" w:cs="Segoe UI"/>
          <w:b/>
          <w:sz w:val="20"/>
          <w:szCs w:val="18"/>
          <w:u w:val="single"/>
        </w:rPr>
      </w:pPr>
    </w:p>
    <w:p w14:paraId="66886406" w14:textId="77777777" w:rsidR="00513A1B" w:rsidRDefault="00513A1B" w:rsidP="00C978CB">
      <w:pPr>
        <w:spacing w:after="0"/>
        <w:jc w:val="both"/>
        <w:rPr>
          <w:rFonts w:ascii="Segoe UI" w:hAnsi="Segoe UI" w:cs="Segoe UI"/>
          <w:b/>
          <w:sz w:val="20"/>
          <w:szCs w:val="18"/>
          <w:u w:val="single"/>
        </w:rPr>
      </w:pPr>
    </w:p>
    <w:p w14:paraId="4CEEE204" w14:textId="77777777" w:rsidR="00513A1B" w:rsidRDefault="00513A1B" w:rsidP="00C978CB">
      <w:pPr>
        <w:spacing w:after="0"/>
        <w:jc w:val="both"/>
        <w:rPr>
          <w:rFonts w:ascii="Segoe UI" w:hAnsi="Segoe UI" w:cs="Segoe UI"/>
          <w:b/>
          <w:sz w:val="20"/>
          <w:szCs w:val="18"/>
          <w:u w:val="single"/>
        </w:rPr>
      </w:pPr>
    </w:p>
    <w:p w14:paraId="51CF3866" w14:textId="77777777" w:rsidR="00513A1B" w:rsidRDefault="00513A1B" w:rsidP="00C978CB">
      <w:pPr>
        <w:spacing w:after="0"/>
        <w:jc w:val="both"/>
        <w:rPr>
          <w:rFonts w:ascii="Segoe UI" w:hAnsi="Segoe UI" w:cs="Segoe UI"/>
          <w:b/>
          <w:sz w:val="20"/>
          <w:szCs w:val="18"/>
          <w:u w:val="single"/>
        </w:rPr>
      </w:pPr>
    </w:p>
    <w:p w14:paraId="220E2E66" w14:textId="77777777" w:rsidR="00513A1B" w:rsidRDefault="00513A1B" w:rsidP="00C978CB">
      <w:pPr>
        <w:spacing w:after="0"/>
        <w:jc w:val="both"/>
        <w:rPr>
          <w:rFonts w:ascii="Segoe UI" w:hAnsi="Segoe UI" w:cs="Segoe UI"/>
          <w:b/>
          <w:sz w:val="20"/>
          <w:szCs w:val="18"/>
          <w:u w:val="single"/>
        </w:rPr>
      </w:pPr>
    </w:p>
    <w:p w14:paraId="26583437" w14:textId="77777777" w:rsidR="00513A1B" w:rsidRDefault="00513A1B" w:rsidP="00C978CB">
      <w:pPr>
        <w:spacing w:after="0"/>
        <w:jc w:val="both"/>
        <w:rPr>
          <w:rFonts w:ascii="Segoe UI" w:hAnsi="Segoe UI" w:cs="Segoe UI"/>
          <w:b/>
          <w:sz w:val="20"/>
          <w:szCs w:val="18"/>
          <w:u w:val="single"/>
        </w:rPr>
      </w:pPr>
    </w:p>
    <w:p w14:paraId="1363F855" w14:textId="77777777" w:rsidR="00513A1B" w:rsidRDefault="00513A1B" w:rsidP="00C978CB">
      <w:pPr>
        <w:spacing w:after="0"/>
        <w:jc w:val="both"/>
        <w:rPr>
          <w:rFonts w:ascii="Segoe UI" w:hAnsi="Segoe UI" w:cs="Segoe UI"/>
          <w:b/>
          <w:sz w:val="20"/>
          <w:szCs w:val="18"/>
          <w:u w:val="single"/>
        </w:rPr>
      </w:pPr>
    </w:p>
    <w:p w14:paraId="4D25B358" w14:textId="77777777" w:rsidR="00513A1B" w:rsidRDefault="00513A1B" w:rsidP="00C978CB">
      <w:pPr>
        <w:spacing w:after="0"/>
        <w:jc w:val="both"/>
        <w:rPr>
          <w:rFonts w:ascii="Segoe UI" w:hAnsi="Segoe UI" w:cs="Segoe UI"/>
          <w:b/>
          <w:sz w:val="20"/>
          <w:szCs w:val="18"/>
          <w:u w:val="single"/>
        </w:rPr>
      </w:pPr>
    </w:p>
    <w:p w14:paraId="4943FE01" w14:textId="77777777" w:rsidR="00513A1B" w:rsidRDefault="00513A1B" w:rsidP="00C978CB">
      <w:pPr>
        <w:spacing w:after="0"/>
        <w:jc w:val="both"/>
        <w:rPr>
          <w:rFonts w:ascii="Segoe UI" w:hAnsi="Segoe UI" w:cs="Segoe UI"/>
          <w:b/>
          <w:sz w:val="20"/>
          <w:szCs w:val="18"/>
          <w:u w:val="single"/>
        </w:rPr>
      </w:pPr>
    </w:p>
    <w:p w14:paraId="17F547B8" w14:textId="77777777" w:rsidR="00513A1B" w:rsidRDefault="00513A1B" w:rsidP="00C978CB">
      <w:pPr>
        <w:spacing w:after="0"/>
        <w:jc w:val="both"/>
        <w:rPr>
          <w:rFonts w:ascii="Segoe UI" w:hAnsi="Segoe UI" w:cs="Segoe UI"/>
          <w:b/>
          <w:sz w:val="20"/>
          <w:szCs w:val="18"/>
          <w:u w:val="single"/>
        </w:rPr>
      </w:pPr>
    </w:p>
    <w:p w14:paraId="54B20E4B" w14:textId="507447DA" w:rsidR="00C978CB" w:rsidRDefault="00C978CB" w:rsidP="00C978CB">
      <w:pPr>
        <w:spacing w:after="0"/>
        <w:jc w:val="both"/>
        <w:rPr>
          <w:rFonts w:ascii="Segoe UI" w:hAnsi="Segoe UI" w:cs="Segoe UI"/>
          <w:b/>
          <w:sz w:val="20"/>
          <w:szCs w:val="18"/>
          <w:u w:val="single"/>
        </w:rPr>
      </w:pPr>
      <w:r w:rsidRPr="00062C02">
        <w:rPr>
          <w:rFonts w:ascii="Segoe UI" w:hAnsi="Segoe UI" w:cs="Segoe UI"/>
          <w:b/>
          <w:sz w:val="20"/>
          <w:szCs w:val="18"/>
          <w:u w:val="single"/>
        </w:rPr>
        <w:t>Annexe II</w:t>
      </w:r>
      <w:r>
        <w:rPr>
          <w:rFonts w:ascii="Segoe UI" w:hAnsi="Segoe UI" w:cs="Segoe UI"/>
          <w:b/>
          <w:sz w:val="20"/>
          <w:szCs w:val="18"/>
          <w:u w:val="single"/>
        </w:rPr>
        <w:t>I</w:t>
      </w:r>
      <w:r w:rsidRPr="00062C02">
        <w:rPr>
          <w:rFonts w:ascii="Segoe UI" w:hAnsi="Segoe UI" w:cs="Segoe UI"/>
          <w:b/>
          <w:sz w:val="20"/>
          <w:szCs w:val="18"/>
          <w:u w:val="single"/>
        </w:rPr>
        <w:t xml:space="preserve"> – Evolution des exportations, des importations et du solde commercial du Canada entre 2022 et 2023 par secteur (Source : Statistique Canada, 2024)</w:t>
      </w:r>
    </w:p>
    <w:p w14:paraId="1B2E2495" w14:textId="37CD294C" w:rsidR="009437E5" w:rsidRPr="00513A1B" w:rsidRDefault="00C978CB" w:rsidP="00513A1B">
      <w:pPr>
        <w:spacing w:after="0"/>
        <w:jc w:val="both"/>
        <w:rPr>
          <w:sz w:val="24"/>
          <w:szCs w:val="24"/>
        </w:rPr>
        <w:sectPr w:rsidR="009437E5" w:rsidRPr="00513A1B" w:rsidSect="006D3B07">
          <w:pgSz w:w="16838" w:h="11906" w:orient="landscape"/>
          <w:pgMar w:top="794" w:right="1985" w:bottom="794" w:left="1418" w:header="709" w:footer="709" w:gutter="0"/>
          <w:cols w:space="708"/>
          <w:docGrid w:linePitch="360"/>
        </w:sectPr>
      </w:pPr>
      <w:r w:rsidRPr="00416104">
        <w:rPr>
          <w:noProof/>
        </w:rPr>
        <w:drawing>
          <wp:anchor distT="0" distB="0" distL="114300" distR="114300" simplePos="0" relativeHeight="251675648" behindDoc="0" locked="0" layoutInCell="1" allowOverlap="1" wp14:anchorId="6C353879" wp14:editId="50C466AD">
            <wp:simplePos x="0" y="0"/>
            <wp:positionH relativeFrom="page">
              <wp:posOffset>113334</wp:posOffset>
            </wp:positionH>
            <wp:positionV relativeFrom="paragraph">
              <wp:posOffset>348615</wp:posOffset>
            </wp:positionV>
            <wp:extent cx="10489753" cy="3244133"/>
            <wp:effectExtent l="0" t="0" r="698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89753" cy="32441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107EB" w14:textId="151C1891" w:rsidR="00B74A17" w:rsidRPr="00062C02" w:rsidRDefault="008A0C7F" w:rsidP="00E567DF">
      <w:pPr>
        <w:spacing w:after="0"/>
        <w:jc w:val="both"/>
        <w:rPr>
          <w:rFonts w:ascii="Segoe UI" w:hAnsi="Segoe UI" w:cs="Segoe UI"/>
          <w:b/>
          <w:sz w:val="20"/>
          <w:szCs w:val="18"/>
          <w:u w:val="single"/>
        </w:rPr>
      </w:pPr>
      <w:r w:rsidRPr="00062C02">
        <w:rPr>
          <w:rFonts w:ascii="Segoe UI" w:hAnsi="Segoe UI" w:cs="Segoe UI"/>
          <w:b/>
          <w:sz w:val="20"/>
          <w:szCs w:val="18"/>
          <w:u w:val="single"/>
        </w:rPr>
        <w:lastRenderedPageBreak/>
        <w:t xml:space="preserve">Annexe </w:t>
      </w:r>
      <w:r w:rsidR="00E567DF" w:rsidRPr="00062C02">
        <w:rPr>
          <w:rFonts w:ascii="Segoe UI" w:hAnsi="Segoe UI" w:cs="Segoe UI"/>
          <w:b/>
          <w:sz w:val="20"/>
          <w:szCs w:val="18"/>
          <w:u w:val="single"/>
        </w:rPr>
        <w:t xml:space="preserve">IV – Evolution des exportations et importations des provinces et territoires canadiens entre 2022 et 2023 (source : Statistique Canada, </w:t>
      </w:r>
      <w:r w:rsidR="00E567DF" w:rsidRPr="00062C02">
        <w:rPr>
          <w:rFonts w:ascii="Segoe UI" w:hAnsi="Segoe UI" w:cs="Segoe UI"/>
          <w:b/>
          <w:color w:val="FF0000"/>
          <w:sz w:val="20"/>
          <w:szCs w:val="18"/>
          <w:u w:val="single"/>
        </w:rPr>
        <w:t>Données des douanes canadiennes</w:t>
      </w:r>
      <w:r w:rsidR="00E567DF" w:rsidRPr="00062C02">
        <w:rPr>
          <w:rFonts w:ascii="Segoe UI" w:hAnsi="Segoe UI" w:cs="Segoe UI"/>
          <w:b/>
          <w:sz w:val="20"/>
          <w:szCs w:val="18"/>
          <w:u w:val="single"/>
        </w:rPr>
        <w:t>, 2024)</w:t>
      </w:r>
    </w:p>
    <w:p w14:paraId="6D65E468" w14:textId="6E2EA7AE" w:rsidR="00163E87" w:rsidRDefault="00163E87" w:rsidP="00E567DF">
      <w:pPr>
        <w:spacing w:after="0"/>
        <w:jc w:val="both"/>
        <w:rPr>
          <w:rFonts w:ascii="Segoe UI" w:hAnsi="Segoe UI" w:cs="Segoe UI"/>
          <w:b/>
          <w:sz w:val="18"/>
          <w:szCs w:val="16"/>
          <w:u w:val="single"/>
        </w:rPr>
      </w:pPr>
    </w:p>
    <w:p w14:paraId="27D21724" w14:textId="7459DF84" w:rsidR="00163E87" w:rsidRPr="00163E87" w:rsidRDefault="00163E87" w:rsidP="00163E87">
      <w:pPr>
        <w:pStyle w:val="Lgende"/>
        <w:keepNext/>
        <w:jc w:val="center"/>
        <w:rPr>
          <w:b/>
          <w:bCs/>
          <w:i w:val="0"/>
          <w:iCs w:val="0"/>
          <w:color w:val="auto"/>
          <w:u w:val="single"/>
        </w:rPr>
      </w:pPr>
      <w:r w:rsidRPr="00163E87">
        <w:rPr>
          <w:b/>
          <w:bCs/>
          <w:i w:val="0"/>
          <w:iCs w:val="0"/>
          <w:color w:val="auto"/>
          <w:u w:val="single"/>
        </w:rPr>
        <w:t xml:space="preserve">Fig. </w:t>
      </w:r>
      <w:r>
        <w:rPr>
          <w:b/>
          <w:bCs/>
          <w:i w:val="0"/>
          <w:iCs w:val="0"/>
          <w:color w:val="auto"/>
          <w:u w:val="single"/>
        </w:rPr>
        <w:t xml:space="preserve">1 </w:t>
      </w:r>
      <w:r w:rsidRPr="00163E87">
        <w:rPr>
          <w:b/>
          <w:bCs/>
          <w:i w:val="0"/>
          <w:iCs w:val="0"/>
          <w:color w:val="auto"/>
          <w:u w:val="single"/>
        </w:rPr>
        <w:t>Exportations par province entre 2022 et 2023</w:t>
      </w:r>
    </w:p>
    <w:p w14:paraId="5BDA0A62" w14:textId="1B2B4DB7" w:rsidR="00163E87" w:rsidRDefault="00163E87" w:rsidP="00CB089B">
      <w:pPr>
        <w:spacing w:after="0"/>
        <w:jc w:val="center"/>
        <w:rPr>
          <w:rFonts w:ascii="Segoe UI" w:hAnsi="Segoe UI" w:cs="Segoe UI"/>
          <w:b/>
          <w:sz w:val="18"/>
          <w:szCs w:val="16"/>
          <w:u w:val="single"/>
        </w:rPr>
      </w:pPr>
      <w:r w:rsidRPr="00163E87">
        <w:rPr>
          <w:noProof/>
        </w:rPr>
        <w:drawing>
          <wp:inline distT="0" distB="0" distL="0" distR="0" wp14:anchorId="2F2834BB" wp14:editId="26FF1B15">
            <wp:extent cx="6162261" cy="2240225"/>
            <wp:effectExtent l="0" t="0" r="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0566" cy="2246880"/>
                    </a:xfrm>
                    <a:prstGeom prst="rect">
                      <a:avLst/>
                    </a:prstGeom>
                    <a:noFill/>
                    <a:ln>
                      <a:noFill/>
                    </a:ln>
                  </pic:spPr>
                </pic:pic>
              </a:graphicData>
            </a:graphic>
          </wp:inline>
        </w:drawing>
      </w:r>
    </w:p>
    <w:p w14:paraId="536345EA" w14:textId="761E4455" w:rsidR="00163E87" w:rsidRDefault="00163E87" w:rsidP="00E567DF">
      <w:pPr>
        <w:spacing w:after="0"/>
        <w:jc w:val="both"/>
        <w:rPr>
          <w:rFonts w:ascii="Segoe UI" w:hAnsi="Segoe UI" w:cs="Segoe UI"/>
          <w:b/>
          <w:sz w:val="18"/>
          <w:szCs w:val="16"/>
          <w:u w:val="single"/>
        </w:rPr>
      </w:pPr>
    </w:p>
    <w:p w14:paraId="5A35B755" w14:textId="68222149" w:rsidR="00163E87" w:rsidRPr="009F3F4A" w:rsidRDefault="009F3F4A" w:rsidP="009F3F4A">
      <w:pPr>
        <w:pStyle w:val="Lgende"/>
        <w:keepNext/>
        <w:jc w:val="center"/>
        <w:rPr>
          <w:b/>
          <w:bCs/>
          <w:i w:val="0"/>
          <w:iCs w:val="0"/>
          <w:color w:val="auto"/>
          <w:u w:val="single"/>
        </w:rPr>
      </w:pPr>
      <w:r w:rsidRPr="00163E87">
        <w:rPr>
          <w:b/>
          <w:bCs/>
          <w:i w:val="0"/>
          <w:iCs w:val="0"/>
          <w:color w:val="auto"/>
          <w:u w:val="single"/>
        </w:rPr>
        <w:t xml:space="preserve">Fig. </w:t>
      </w:r>
      <w:r w:rsidR="00CB089B">
        <w:rPr>
          <w:b/>
          <w:bCs/>
          <w:i w:val="0"/>
          <w:iCs w:val="0"/>
          <w:color w:val="auto"/>
          <w:u w:val="single"/>
        </w:rPr>
        <w:t>2</w:t>
      </w:r>
      <w:r>
        <w:rPr>
          <w:b/>
          <w:bCs/>
          <w:i w:val="0"/>
          <w:iCs w:val="0"/>
          <w:color w:val="auto"/>
          <w:u w:val="single"/>
        </w:rPr>
        <w:t xml:space="preserve"> Importations</w:t>
      </w:r>
      <w:r w:rsidRPr="00163E87">
        <w:rPr>
          <w:b/>
          <w:bCs/>
          <w:i w:val="0"/>
          <w:iCs w:val="0"/>
          <w:color w:val="auto"/>
          <w:u w:val="single"/>
        </w:rPr>
        <w:t xml:space="preserve"> par province entre 2022 et 2023</w:t>
      </w:r>
    </w:p>
    <w:p w14:paraId="48AB873A" w14:textId="675136DA" w:rsidR="00163E87" w:rsidRPr="00E3264B" w:rsidRDefault="00CB089B" w:rsidP="00E567DF">
      <w:pPr>
        <w:spacing w:after="0"/>
        <w:jc w:val="both"/>
        <w:rPr>
          <w:rFonts w:ascii="Segoe UI" w:hAnsi="Segoe UI" w:cs="Segoe UI"/>
          <w:b/>
          <w:sz w:val="18"/>
          <w:szCs w:val="16"/>
          <w:u w:val="single"/>
        </w:rPr>
      </w:pPr>
      <w:r w:rsidRPr="00163E87">
        <w:rPr>
          <w:noProof/>
        </w:rPr>
        <w:drawing>
          <wp:anchor distT="0" distB="0" distL="114300" distR="114300" simplePos="0" relativeHeight="251670528" behindDoc="0" locked="0" layoutInCell="1" allowOverlap="1" wp14:anchorId="0C3C9532" wp14:editId="31B22D13">
            <wp:simplePos x="0" y="0"/>
            <wp:positionH relativeFrom="margin">
              <wp:align>center</wp:align>
            </wp:positionH>
            <wp:positionV relativeFrom="paragraph">
              <wp:posOffset>13887</wp:posOffset>
            </wp:positionV>
            <wp:extent cx="6154309" cy="2237334"/>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4309" cy="223733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63E87" w:rsidRPr="00E3264B" w:rsidSect="00782596">
      <w:pgSz w:w="11906" w:h="16838"/>
      <w:pgMar w:top="1985" w:right="794" w:bottom="1418"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3E97" w14:textId="77777777" w:rsidR="00DF5814" w:rsidRDefault="00DF5814" w:rsidP="008F32F3">
      <w:pPr>
        <w:spacing w:after="0" w:line="240" w:lineRule="auto"/>
      </w:pPr>
      <w:r>
        <w:separator/>
      </w:r>
    </w:p>
  </w:endnote>
  <w:endnote w:type="continuationSeparator" w:id="0">
    <w:p w14:paraId="04CF3391" w14:textId="77777777" w:rsidR="00DF5814" w:rsidRDefault="00DF5814" w:rsidP="008F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FC7A" w14:textId="77777777" w:rsidR="00DF5814" w:rsidRDefault="00DF5814" w:rsidP="008F32F3">
      <w:pPr>
        <w:spacing w:after="0" w:line="240" w:lineRule="auto"/>
      </w:pPr>
      <w:r>
        <w:separator/>
      </w:r>
    </w:p>
  </w:footnote>
  <w:footnote w:type="continuationSeparator" w:id="0">
    <w:p w14:paraId="2DAB32B8" w14:textId="77777777" w:rsidR="00DF5814" w:rsidRDefault="00DF5814" w:rsidP="008F32F3">
      <w:pPr>
        <w:spacing w:after="0" w:line="240" w:lineRule="auto"/>
      </w:pPr>
      <w:r>
        <w:continuationSeparator/>
      </w:r>
    </w:p>
  </w:footnote>
  <w:footnote w:id="1">
    <w:p w14:paraId="41B8517F" w14:textId="5A7C07AB" w:rsidR="009841E4" w:rsidRPr="00DB53E6" w:rsidRDefault="009841E4" w:rsidP="00ED32C8">
      <w:pPr>
        <w:pStyle w:val="Notedebasdepage"/>
        <w:jc w:val="both"/>
        <w:rPr>
          <w:sz w:val="18"/>
          <w:szCs w:val="18"/>
        </w:rPr>
      </w:pPr>
      <w:r w:rsidRPr="00DB53E6">
        <w:rPr>
          <w:rStyle w:val="Appelnotedebasdep"/>
          <w:rFonts w:ascii="Segoe UI" w:hAnsi="Segoe UI" w:cs="Segoe UI"/>
          <w:sz w:val="14"/>
          <w:szCs w:val="14"/>
        </w:rPr>
        <w:footnoteRef/>
      </w:r>
      <w:r w:rsidRPr="00DB53E6">
        <w:rPr>
          <w:rFonts w:ascii="Segoe UI" w:hAnsi="Segoe UI" w:cs="Segoe UI"/>
          <w:sz w:val="14"/>
          <w:szCs w:val="14"/>
        </w:rPr>
        <w:t xml:space="preserve"> Sauf indication, tous les chiffres cités </w:t>
      </w:r>
      <w:r w:rsidR="00ED32C8">
        <w:rPr>
          <w:rFonts w:ascii="Segoe UI" w:hAnsi="Segoe UI" w:cs="Segoe UI"/>
          <w:sz w:val="14"/>
          <w:szCs w:val="14"/>
        </w:rPr>
        <w:t>sont</w:t>
      </w:r>
      <w:r w:rsidRPr="00DB53E6">
        <w:rPr>
          <w:rFonts w:ascii="Segoe UI" w:hAnsi="Segoe UI" w:cs="Segoe UI"/>
          <w:sz w:val="14"/>
          <w:szCs w:val="14"/>
        </w:rPr>
        <w:t xml:space="preserve"> </w:t>
      </w:r>
      <w:r w:rsidR="005956FB">
        <w:rPr>
          <w:rFonts w:ascii="Segoe UI" w:hAnsi="Segoe UI" w:cs="Segoe UI"/>
          <w:sz w:val="14"/>
          <w:szCs w:val="14"/>
        </w:rPr>
        <w:t>en</w:t>
      </w:r>
      <w:r w:rsidRPr="00DB53E6">
        <w:rPr>
          <w:rFonts w:ascii="Segoe UI" w:hAnsi="Segoe UI" w:cs="Segoe UI"/>
          <w:sz w:val="14"/>
          <w:szCs w:val="14"/>
        </w:rPr>
        <w:t xml:space="preserve"> « balance des paiements » et désaisonnalisées. Ces données sont les plus communément reprises par les économistes</w:t>
      </w:r>
      <w:r w:rsidR="002A1BCA">
        <w:rPr>
          <w:rFonts w:ascii="Segoe UI" w:hAnsi="Segoe UI" w:cs="Segoe UI"/>
          <w:sz w:val="14"/>
          <w:szCs w:val="14"/>
        </w:rPr>
        <w:t xml:space="preserve"> </w:t>
      </w:r>
      <w:r w:rsidR="00D96E94" w:rsidRPr="00DB53E6">
        <w:rPr>
          <w:rFonts w:ascii="Segoe UI" w:hAnsi="Segoe UI" w:cs="Segoe UI"/>
          <w:sz w:val="14"/>
          <w:szCs w:val="14"/>
        </w:rPr>
        <w:t>au Canada</w:t>
      </w:r>
      <w:r w:rsidRPr="00DB53E6">
        <w:rPr>
          <w:rFonts w:ascii="Segoe UI" w:hAnsi="Segoe UI" w:cs="Segoe UI"/>
          <w:sz w:val="14"/>
          <w:szCs w:val="14"/>
        </w:rPr>
        <w:t xml:space="preserve">. </w:t>
      </w:r>
    </w:p>
  </w:footnote>
  <w:footnote w:id="2">
    <w:p w14:paraId="0CAA2C37" w14:textId="715974D1" w:rsidR="005E46F9" w:rsidRPr="006C445E" w:rsidRDefault="005E46F9" w:rsidP="00ED32C8">
      <w:pPr>
        <w:pStyle w:val="Notedebasdepage"/>
        <w:jc w:val="both"/>
        <w:rPr>
          <w:rFonts w:ascii="Segoe UI" w:hAnsi="Segoe UI" w:cs="Segoe UI"/>
          <w:sz w:val="16"/>
          <w:szCs w:val="16"/>
        </w:rPr>
      </w:pPr>
      <w:r w:rsidRPr="00DB53E6">
        <w:rPr>
          <w:rStyle w:val="Appelnotedebasdep"/>
          <w:rFonts w:ascii="Segoe UI" w:hAnsi="Segoe UI" w:cs="Segoe UI"/>
          <w:sz w:val="14"/>
          <w:szCs w:val="14"/>
        </w:rPr>
        <w:footnoteRef/>
      </w:r>
      <w:r w:rsidRPr="00DB53E6">
        <w:rPr>
          <w:rFonts w:ascii="Segoe UI" w:hAnsi="Segoe UI" w:cs="Segoe UI"/>
          <w:sz w:val="14"/>
          <w:szCs w:val="14"/>
        </w:rPr>
        <w:t xml:space="preserve"> Les données au niveau provincial ne sont pas disponibles en balance des paiements. Il s’agit des données des douanes canadiennes, qui peuvent légèrement différer</w:t>
      </w:r>
      <w:r w:rsidR="00ED32C8">
        <w:rPr>
          <w:rFonts w:ascii="Segoe UI" w:hAnsi="Segoe UI" w:cs="Segoe UI"/>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574A" w14:textId="77777777" w:rsidR="00F8560F" w:rsidRDefault="00F8560F" w:rsidP="00F8560F">
    <w:pPr>
      <w:pStyle w:val="En-tte"/>
      <w:tabs>
        <w:tab w:val="clear" w:pos="4536"/>
        <w:tab w:val="clear" w:pos="9072"/>
        <w:tab w:val="left" w:pos="930"/>
      </w:tabs>
    </w:pPr>
    <w:r w:rsidRPr="00FC6EAE">
      <w:rPr>
        <w:rFonts w:ascii="Segoe UI" w:eastAsia="Segoe UI" w:hAnsi="Segoe UI" w:cs="Segoe UI"/>
        <w:b/>
        <w:bCs/>
        <w:noProof/>
        <w:lang w:eastAsia="fr-FR"/>
      </w:rPr>
      <w:drawing>
        <wp:anchor distT="0" distB="0" distL="114300" distR="114300" simplePos="0" relativeHeight="251658240" behindDoc="0" locked="0" layoutInCell="1" allowOverlap="1" wp14:anchorId="47BD9B43" wp14:editId="344137D3">
          <wp:simplePos x="0" y="0"/>
          <wp:positionH relativeFrom="margin">
            <wp:align>left</wp:align>
          </wp:positionH>
          <wp:positionV relativeFrom="paragraph">
            <wp:posOffset>-389734</wp:posOffset>
          </wp:positionV>
          <wp:extent cx="1518249" cy="538660"/>
          <wp:effectExtent l="0" t="0" r="6350" b="0"/>
          <wp:wrapNone/>
          <wp:docPr id="2" name="Image 2" descr="C:\Users\abahuau\AppData\Local\Microsoft\Windows\INetCache\Content.Outlook\S74E6M90\mefsin + dgtreso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huau\AppData\Local\Microsoft\Windows\INetCache\Content.Outlook\S74E6M90\mefsin + dgtresor (0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415"/>
                  <a:stretch/>
                </pic:blipFill>
                <pic:spPr bwMode="auto">
                  <a:xfrm>
                    <a:off x="0" y="0"/>
                    <a:ext cx="1518249" cy="538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234A"/>
    <w:multiLevelType w:val="hybridMultilevel"/>
    <w:tmpl w:val="1438EBE2"/>
    <w:lvl w:ilvl="0" w:tplc="70D28920">
      <w:start w:val="3"/>
      <w:numFmt w:val="bullet"/>
      <w:lvlText w:val="-"/>
      <w:lvlJc w:val="left"/>
      <w:pPr>
        <w:ind w:left="405" w:hanging="360"/>
      </w:pPr>
      <w:rPr>
        <w:rFonts w:ascii="Segoe UI" w:eastAsiaTheme="minorHAnsi" w:hAnsi="Segoe UI" w:cs="Segoe U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7F"/>
    <w:rsid w:val="00000987"/>
    <w:rsid w:val="000037D5"/>
    <w:rsid w:val="00004C0D"/>
    <w:rsid w:val="00006C1D"/>
    <w:rsid w:val="00007D13"/>
    <w:rsid w:val="0001307C"/>
    <w:rsid w:val="00013B59"/>
    <w:rsid w:val="00013B6A"/>
    <w:rsid w:val="00014445"/>
    <w:rsid w:val="00014F41"/>
    <w:rsid w:val="0001507F"/>
    <w:rsid w:val="000159C3"/>
    <w:rsid w:val="00015BFD"/>
    <w:rsid w:val="00021D07"/>
    <w:rsid w:val="00025AF6"/>
    <w:rsid w:val="00025B9C"/>
    <w:rsid w:val="00025C50"/>
    <w:rsid w:val="00026745"/>
    <w:rsid w:val="000274DF"/>
    <w:rsid w:val="00031A95"/>
    <w:rsid w:val="000338F2"/>
    <w:rsid w:val="0003589F"/>
    <w:rsid w:val="000378BD"/>
    <w:rsid w:val="00050074"/>
    <w:rsid w:val="000505D1"/>
    <w:rsid w:val="0005067C"/>
    <w:rsid w:val="00054370"/>
    <w:rsid w:val="00054602"/>
    <w:rsid w:val="0005557D"/>
    <w:rsid w:val="0005762B"/>
    <w:rsid w:val="00060A3F"/>
    <w:rsid w:val="00061736"/>
    <w:rsid w:val="00062C02"/>
    <w:rsid w:val="00065A56"/>
    <w:rsid w:val="00067047"/>
    <w:rsid w:val="00074A32"/>
    <w:rsid w:val="0007501B"/>
    <w:rsid w:val="00083093"/>
    <w:rsid w:val="00083176"/>
    <w:rsid w:val="00085FF3"/>
    <w:rsid w:val="000901E5"/>
    <w:rsid w:val="000903C2"/>
    <w:rsid w:val="00090B27"/>
    <w:rsid w:val="00091831"/>
    <w:rsid w:val="000929ED"/>
    <w:rsid w:val="00094450"/>
    <w:rsid w:val="00095F9B"/>
    <w:rsid w:val="000A184D"/>
    <w:rsid w:val="000A3725"/>
    <w:rsid w:val="000A3888"/>
    <w:rsid w:val="000A6878"/>
    <w:rsid w:val="000B0C26"/>
    <w:rsid w:val="000B31AF"/>
    <w:rsid w:val="000B5403"/>
    <w:rsid w:val="000C3A0B"/>
    <w:rsid w:val="000D1022"/>
    <w:rsid w:val="000D62B4"/>
    <w:rsid w:val="000D6336"/>
    <w:rsid w:val="000E2EE9"/>
    <w:rsid w:val="000E7CA6"/>
    <w:rsid w:val="000F00D8"/>
    <w:rsid w:val="000F0989"/>
    <w:rsid w:val="000F133F"/>
    <w:rsid w:val="000F1548"/>
    <w:rsid w:val="000F1BB6"/>
    <w:rsid w:val="000F25B9"/>
    <w:rsid w:val="000F2936"/>
    <w:rsid w:val="000F2DA1"/>
    <w:rsid w:val="000F3DB1"/>
    <w:rsid w:val="00100D89"/>
    <w:rsid w:val="00102883"/>
    <w:rsid w:val="001028BE"/>
    <w:rsid w:val="00103DC6"/>
    <w:rsid w:val="0010463E"/>
    <w:rsid w:val="001046AF"/>
    <w:rsid w:val="001118B6"/>
    <w:rsid w:val="00115ED8"/>
    <w:rsid w:val="0012015C"/>
    <w:rsid w:val="00123080"/>
    <w:rsid w:val="001271A4"/>
    <w:rsid w:val="00127FB0"/>
    <w:rsid w:val="00135202"/>
    <w:rsid w:val="00136E8A"/>
    <w:rsid w:val="001373D1"/>
    <w:rsid w:val="00141CA8"/>
    <w:rsid w:val="00142235"/>
    <w:rsid w:val="00142DA6"/>
    <w:rsid w:val="00145C4F"/>
    <w:rsid w:val="0014609A"/>
    <w:rsid w:val="0015159B"/>
    <w:rsid w:val="001545B6"/>
    <w:rsid w:val="00155F2F"/>
    <w:rsid w:val="00156188"/>
    <w:rsid w:val="00160AA5"/>
    <w:rsid w:val="001610DA"/>
    <w:rsid w:val="001613D7"/>
    <w:rsid w:val="0016257A"/>
    <w:rsid w:val="00163E87"/>
    <w:rsid w:val="001666A2"/>
    <w:rsid w:val="0016687F"/>
    <w:rsid w:val="001711A1"/>
    <w:rsid w:val="00171468"/>
    <w:rsid w:val="00173F84"/>
    <w:rsid w:val="00174262"/>
    <w:rsid w:val="001758A6"/>
    <w:rsid w:val="001763C1"/>
    <w:rsid w:val="00180134"/>
    <w:rsid w:val="0018192E"/>
    <w:rsid w:val="00183EB9"/>
    <w:rsid w:val="00191A9A"/>
    <w:rsid w:val="00193053"/>
    <w:rsid w:val="001937BB"/>
    <w:rsid w:val="001959C3"/>
    <w:rsid w:val="001A1F1D"/>
    <w:rsid w:val="001A376B"/>
    <w:rsid w:val="001A4DE5"/>
    <w:rsid w:val="001A66B7"/>
    <w:rsid w:val="001A6E2D"/>
    <w:rsid w:val="001B223B"/>
    <w:rsid w:val="001B4E61"/>
    <w:rsid w:val="001B54F6"/>
    <w:rsid w:val="001B5594"/>
    <w:rsid w:val="001B5859"/>
    <w:rsid w:val="001B5AF5"/>
    <w:rsid w:val="001B73C9"/>
    <w:rsid w:val="001B742D"/>
    <w:rsid w:val="001C2E44"/>
    <w:rsid w:val="001C3751"/>
    <w:rsid w:val="001C38FB"/>
    <w:rsid w:val="001C5B03"/>
    <w:rsid w:val="001C644C"/>
    <w:rsid w:val="001D0A02"/>
    <w:rsid w:val="001D0E8D"/>
    <w:rsid w:val="001D23AD"/>
    <w:rsid w:val="001D2A0E"/>
    <w:rsid w:val="001D3E66"/>
    <w:rsid w:val="001D46EB"/>
    <w:rsid w:val="001D56B3"/>
    <w:rsid w:val="001D58AD"/>
    <w:rsid w:val="001D6433"/>
    <w:rsid w:val="001D6980"/>
    <w:rsid w:val="001D78E5"/>
    <w:rsid w:val="001D7B90"/>
    <w:rsid w:val="001E035D"/>
    <w:rsid w:val="001E0629"/>
    <w:rsid w:val="001E08EF"/>
    <w:rsid w:val="001E2627"/>
    <w:rsid w:val="001E28CE"/>
    <w:rsid w:val="001E5A37"/>
    <w:rsid w:val="001E6201"/>
    <w:rsid w:val="001F0063"/>
    <w:rsid w:val="001F29D9"/>
    <w:rsid w:val="001F31F7"/>
    <w:rsid w:val="001F4277"/>
    <w:rsid w:val="001F4403"/>
    <w:rsid w:val="001F7823"/>
    <w:rsid w:val="0020000A"/>
    <w:rsid w:val="00201465"/>
    <w:rsid w:val="002016B9"/>
    <w:rsid w:val="002054E2"/>
    <w:rsid w:val="00205DA5"/>
    <w:rsid w:val="00206BA2"/>
    <w:rsid w:val="00211303"/>
    <w:rsid w:val="00212FFD"/>
    <w:rsid w:val="002174D7"/>
    <w:rsid w:val="002223A6"/>
    <w:rsid w:val="002256C1"/>
    <w:rsid w:val="00230779"/>
    <w:rsid w:val="002322B3"/>
    <w:rsid w:val="00232A16"/>
    <w:rsid w:val="00233002"/>
    <w:rsid w:val="00234682"/>
    <w:rsid w:val="00235DC0"/>
    <w:rsid w:val="00236A17"/>
    <w:rsid w:val="00237299"/>
    <w:rsid w:val="00240603"/>
    <w:rsid w:val="00240D42"/>
    <w:rsid w:val="002411E1"/>
    <w:rsid w:val="00242401"/>
    <w:rsid w:val="00242E25"/>
    <w:rsid w:val="00244400"/>
    <w:rsid w:val="00246783"/>
    <w:rsid w:val="00250FCB"/>
    <w:rsid w:val="002515FD"/>
    <w:rsid w:val="00254084"/>
    <w:rsid w:val="0025717D"/>
    <w:rsid w:val="00257F36"/>
    <w:rsid w:val="002636EE"/>
    <w:rsid w:val="0026498D"/>
    <w:rsid w:val="00266E8A"/>
    <w:rsid w:val="00272B23"/>
    <w:rsid w:val="00273E88"/>
    <w:rsid w:val="0027456F"/>
    <w:rsid w:val="002758C0"/>
    <w:rsid w:val="00275CE0"/>
    <w:rsid w:val="0027601D"/>
    <w:rsid w:val="00276549"/>
    <w:rsid w:val="002769E1"/>
    <w:rsid w:val="002802DC"/>
    <w:rsid w:val="00281DA4"/>
    <w:rsid w:val="00282429"/>
    <w:rsid w:val="002842D6"/>
    <w:rsid w:val="00285D72"/>
    <w:rsid w:val="002867D3"/>
    <w:rsid w:val="00286A7C"/>
    <w:rsid w:val="0028747B"/>
    <w:rsid w:val="0028756F"/>
    <w:rsid w:val="00291185"/>
    <w:rsid w:val="00293D0B"/>
    <w:rsid w:val="00294D34"/>
    <w:rsid w:val="0029509A"/>
    <w:rsid w:val="0029734E"/>
    <w:rsid w:val="002979A7"/>
    <w:rsid w:val="002A1BCA"/>
    <w:rsid w:val="002A2EE5"/>
    <w:rsid w:val="002A4DAA"/>
    <w:rsid w:val="002A516E"/>
    <w:rsid w:val="002B11FB"/>
    <w:rsid w:val="002B5337"/>
    <w:rsid w:val="002B5933"/>
    <w:rsid w:val="002B6EBC"/>
    <w:rsid w:val="002B7DD2"/>
    <w:rsid w:val="002C178F"/>
    <w:rsid w:val="002C241A"/>
    <w:rsid w:val="002C269E"/>
    <w:rsid w:val="002C2BF2"/>
    <w:rsid w:val="002C4AA3"/>
    <w:rsid w:val="002C5E27"/>
    <w:rsid w:val="002D0D9D"/>
    <w:rsid w:val="002D101E"/>
    <w:rsid w:val="002D42C1"/>
    <w:rsid w:val="002D533E"/>
    <w:rsid w:val="002D6FA0"/>
    <w:rsid w:val="002E1052"/>
    <w:rsid w:val="002E3CE0"/>
    <w:rsid w:val="002E641A"/>
    <w:rsid w:val="002E6D4E"/>
    <w:rsid w:val="002E77B5"/>
    <w:rsid w:val="002F040A"/>
    <w:rsid w:val="003008F9"/>
    <w:rsid w:val="00304A5A"/>
    <w:rsid w:val="00306ACF"/>
    <w:rsid w:val="00306ECD"/>
    <w:rsid w:val="00307FD1"/>
    <w:rsid w:val="00310575"/>
    <w:rsid w:val="0031137F"/>
    <w:rsid w:val="00311AA6"/>
    <w:rsid w:val="00312576"/>
    <w:rsid w:val="003144D5"/>
    <w:rsid w:val="003161CA"/>
    <w:rsid w:val="0031687C"/>
    <w:rsid w:val="003218C5"/>
    <w:rsid w:val="00321B26"/>
    <w:rsid w:val="00321FD8"/>
    <w:rsid w:val="003225FE"/>
    <w:rsid w:val="00325F22"/>
    <w:rsid w:val="00326492"/>
    <w:rsid w:val="00326D73"/>
    <w:rsid w:val="00327170"/>
    <w:rsid w:val="0032757B"/>
    <w:rsid w:val="00327689"/>
    <w:rsid w:val="00327816"/>
    <w:rsid w:val="003327AE"/>
    <w:rsid w:val="003350D8"/>
    <w:rsid w:val="00340029"/>
    <w:rsid w:val="003415F5"/>
    <w:rsid w:val="00342C8C"/>
    <w:rsid w:val="00345119"/>
    <w:rsid w:val="003502FC"/>
    <w:rsid w:val="00354567"/>
    <w:rsid w:val="00355671"/>
    <w:rsid w:val="00355E1B"/>
    <w:rsid w:val="0035684C"/>
    <w:rsid w:val="003575FF"/>
    <w:rsid w:val="0036132D"/>
    <w:rsid w:val="0036347F"/>
    <w:rsid w:val="00364B29"/>
    <w:rsid w:val="00366A89"/>
    <w:rsid w:val="00371454"/>
    <w:rsid w:val="00371B54"/>
    <w:rsid w:val="003736EB"/>
    <w:rsid w:val="00374CDB"/>
    <w:rsid w:val="003758DF"/>
    <w:rsid w:val="00380755"/>
    <w:rsid w:val="00382DA6"/>
    <w:rsid w:val="0038301E"/>
    <w:rsid w:val="0038355E"/>
    <w:rsid w:val="00385443"/>
    <w:rsid w:val="00391B4D"/>
    <w:rsid w:val="003923EB"/>
    <w:rsid w:val="0039463B"/>
    <w:rsid w:val="0039571A"/>
    <w:rsid w:val="00396672"/>
    <w:rsid w:val="0039676C"/>
    <w:rsid w:val="003976E3"/>
    <w:rsid w:val="003A0DA9"/>
    <w:rsid w:val="003A3DCD"/>
    <w:rsid w:val="003A47AE"/>
    <w:rsid w:val="003B024B"/>
    <w:rsid w:val="003B19D5"/>
    <w:rsid w:val="003B2502"/>
    <w:rsid w:val="003B28A6"/>
    <w:rsid w:val="003B3385"/>
    <w:rsid w:val="003B4C7E"/>
    <w:rsid w:val="003B5C69"/>
    <w:rsid w:val="003B6C61"/>
    <w:rsid w:val="003C1AE1"/>
    <w:rsid w:val="003C31F8"/>
    <w:rsid w:val="003C4309"/>
    <w:rsid w:val="003C7433"/>
    <w:rsid w:val="003C7ED4"/>
    <w:rsid w:val="003D1742"/>
    <w:rsid w:val="003D4EB1"/>
    <w:rsid w:val="003D5A91"/>
    <w:rsid w:val="003D6DCD"/>
    <w:rsid w:val="003E08A0"/>
    <w:rsid w:val="003E23D5"/>
    <w:rsid w:val="003E321E"/>
    <w:rsid w:val="003E3270"/>
    <w:rsid w:val="003E61BA"/>
    <w:rsid w:val="003E73D5"/>
    <w:rsid w:val="003E764F"/>
    <w:rsid w:val="003F12A7"/>
    <w:rsid w:val="003F1CE9"/>
    <w:rsid w:val="003F4CF2"/>
    <w:rsid w:val="003F4D16"/>
    <w:rsid w:val="0040035F"/>
    <w:rsid w:val="00400EAD"/>
    <w:rsid w:val="00402B6A"/>
    <w:rsid w:val="00403B13"/>
    <w:rsid w:val="004112B3"/>
    <w:rsid w:val="0041147D"/>
    <w:rsid w:val="00412E69"/>
    <w:rsid w:val="004131A4"/>
    <w:rsid w:val="004146A0"/>
    <w:rsid w:val="00416104"/>
    <w:rsid w:val="00420503"/>
    <w:rsid w:val="004210B7"/>
    <w:rsid w:val="00424736"/>
    <w:rsid w:val="00424B9D"/>
    <w:rsid w:val="004277DF"/>
    <w:rsid w:val="00435E80"/>
    <w:rsid w:val="00436A38"/>
    <w:rsid w:val="00436FBE"/>
    <w:rsid w:val="0044086F"/>
    <w:rsid w:val="00442A40"/>
    <w:rsid w:val="00443722"/>
    <w:rsid w:val="00447BD6"/>
    <w:rsid w:val="00450477"/>
    <w:rsid w:val="004505E8"/>
    <w:rsid w:val="0045355C"/>
    <w:rsid w:val="00453D06"/>
    <w:rsid w:val="00453D86"/>
    <w:rsid w:val="00455171"/>
    <w:rsid w:val="00455230"/>
    <w:rsid w:val="0045707A"/>
    <w:rsid w:val="00457321"/>
    <w:rsid w:val="00460FA9"/>
    <w:rsid w:val="00463780"/>
    <w:rsid w:val="00463CBB"/>
    <w:rsid w:val="004657EF"/>
    <w:rsid w:val="004702D6"/>
    <w:rsid w:val="004711DB"/>
    <w:rsid w:val="004716F8"/>
    <w:rsid w:val="004723F7"/>
    <w:rsid w:val="00472C49"/>
    <w:rsid w:val="00472D78"/>
    <w:rsid w:val="00474F14"/>
    <w:rsid w:val="00476C0F"/>
    <w:rsid w:val="00480B11"/>
    <w:rsid w:val="00483C14"/>
    <w:rsid w:val="00484E8F"/>
    <w:rsid w:val="00490F4E"/>
    <w:rsid w:val="0049265C"/>
    <w:rsid w:val="004927C5"/>
    <w:rsid w:val="004928EA"/>
    <w:rsid w:val="00492D9B"/>
    <w:rsid w:val="00492F18"/>
    <w:rsid w:val="00495AB6"/>
    <w:rsid w:val="004A13A8"/>
    <w:rsid w:val="004A3587"/>
    <w:rsid w:val="004A382C"/>
    <w:rsid w:val="004A6402"/>
    <w:rsid w:val="004A7383"/>
    <w:rsid w:val="004A7F09"/>
    <w:rsid w:val="004B116F"/>
    <w:rsid w:val="004B1BD8"/>
    <w:rsid w:val="004B291C"/>
    <w:rsid w:val="004B3279"/>
    <w:rsid w:val="004B4243"/>
    <w:rsid w:val="004C2D58"/>
    <w:rsid w:val="004C7FBE"/>
    <w:rsid w:val="004D2B3B"/>
    <w:rsid w:val="004D4719"/>
    <w:rsid w:val="004D663C"/>
    <w:rsid w:val="004D6E28"/>
    <w:rsid w:val="004D79E6"/>
    <w:rsid w:val="004E0D87"/>
    <w:rsid w:val="004E2DAE"/>
    <w:rsid w:val="004E43EF"/>
    <w:rsid w:val="004E53B5"/>
    <w:rsid w:val="004E5AE2"/>
    <w:rsid w:val="004F2178"/>
    <w:rsid w:val="004F2591"/>
    <w:rsid w:val="004F2864"/>
    <w:rsid w:val="004F391A"/>
    <w:rsid w:val="004F42AD"/>
    <w:rsid w:val="004F7CC4"/>
    <w:rsid w:val="00501E10"/>
    <w:rsid w:val="00502061"/>
    <w:rsid w:val="005064D8"/>
    <w:rsid w:val="0050687E"/>
    <w:rsid w:val="005075F0"/>
    <w:rsid w:val="00513A1B"/>
    <w:rsid w:val="00513FF6"/>
    <w:rsid w:val="00515103"/>
    <w:rsid w:val="00516CF9"/>
    <w:rsid w:val="005173BE"/>
    <w:rsid w:val="00524344"/>
    <w:rsid w:val="005277FF"/>
    <w:rsid w:val="0052788D"/>
    <w:rsid w:val="00531B5B"/>
    <w:rsid w:val="00534433"/>
    <w:rsid w:val="005347FE"/>
    <w:rsid w:val="00535EC6"/>
    <w:rsid w:val="00536090"/>
    <w:rsid w:val="0054151F"/>
    <w:rsid w:val="005431FF"/>
    <w:rsid w:val="005442CE"/>
    <w:rsid w:val="00545F89"/>
    <w:rsid w:val="00546B87"/>
    <w:rsid w:val="00546CCF"/>
    <w:rsid w:val="00550017"/>
    <w:rsid w:val="00551D1C"/>
    <w:rsid w:val="005541B8"/>
    <w:rsid w:val="00554CD6"/>
    <w:rsid w:val="00557715"/>
    <w:rsid w:val="005620FF"/>
    <w:rsid w:val="005621B7"/>
    <w:rsid w:val="00565DA3"/>
    <w:rsid w:val="005677D6"/>
    <w:rsid w:val="005718CC"/>
    <w:rsid w:val="00571D71"/>
    <w:rsid w:val="005728F6"/>
    <w:rsid w:val="0057292B"/>
    <w:rsid w:val="00572A04"/>
    <w:rsid w:val="00575EBD"/>
    <w:rsid w:val="00576841"/>
    <w:rsid w:val="005775BB"/>
    <w:rsid w:val="0058680E"/>
    <w:rsid w:val="005929BA"/>
    <w:rsid w:val="0059358F"/>
    <w:rsid w:val="005935FA"/>
    <w:rsid w:val="00594D7A"/>
    <w:rsid w:val="005956FB"/>
    <w:rsid w:val="0059682A"/>
    <w:rsid w:val="005A27D0"/>
    <w:rsid w:val="005A3368"/>
    <w:rsid w:val="005A3B6A"/>
    <w:rsid w:val="005A583B"/>
    <w:rsid w:val="005A5DAA"/>
    <w:rsid w:val="005A60E6"/>
    <w:rsid w:val="005B00A1"/>
    <w:rsid w:val="005B1A97"/>
    <w:rsid w:val="005B412A"/>
    <w:rsid w:val="005C09EF"/>
    <w:rsid w:val="005C3961"/>
    <w:rsid w:val="005C5596"/>
    <w:rsid w:val="005C7267"/>
    <w:rsid w:val="005C786F"/>
    <w:rsid w:val="005D23DF"/>
    <w:rsid w:val="005D7A2D"/>
    <w:rsid w:val="005E0380"/>
    <w:rsid w:val="005E08EA"/>
    <w:rsid w:val="005E248F"/>
    <w:rsid w:val="005E2D0B"/>
    <w:rsid w:val="005E46F9"/>
    <w:rsid w:val="005E77E3"/>
    <w:rsid w:val="005F0B7A"/>
    <w:rsid w:val="005F20A4"/>
    <w:rsid w:val="005F3A6F"/>
    <w:rsid w:val="005F5C95"/>
    <w:rsid w:val="005F5DCB"/>
    <w:rsid w:val="005F7E18"/>
    <w:rsid w:val="006003B5"/>
    <w:rsid w:val="006020B1"/>
    <w:rsid w:val="00602306"/>
    <w:rsid w:val="00602FF9"/>
    <w:rsid w:val="0060347D"/>
    <w:rsid w:val="00603A7A"/>
    <w:rsid w:val="00607C13"/>
    <w:rsid w:val="00611A65"/>
    <w:rsid w:val="00615078"/>
    <w:rsid w:val="00616E3A"/>
    <w:rsid w:val="006205D9"/>
    <w:rsid w:val="00620F80"/>
    <w:rsid w:val="00622B65"/>
    <w:rsid w:val="00624E37"/>
    <w:rsid w:val="00630745"/>
    <w:rsid w:val="006324B7"/>
    <w:rsid w:val="0063431E"/>
    <w:rsid w:val="00634332"/>
    <w:rsid w:val="00635D7A"/>
    <w:rsid w:val="00636039"/>
    <w:rsid w:val="0063794E"/>
    <w:rsid w:val="00642B65"/>
    <w:rsid w:val="00642D77"/>
    <w:rsid w:val="0064566C"/>
    <w:rsid w:val="00647289"/>
    <w:rsid w:val="00651934"/>
    <w:rsid w:val="006519E7"/>
    <w:rsid w:val="00653161"/>
    <w:rsid w:val="0065691E"/>
    <w:rsid w:val="00662C66"/>
    <w:rsid w:val="0066788F"/>
    <w:rsid w:val="006709F1"/>
    <w:rsid w:val="006718A2"/>
    <w:rsid w:val="006748D7"/>
    <w:rsid w:val="00674D71"/>
    <w:rsid w:val="00674D83"/>
    <w:rsid w:val="0067552C"/>
    <w:rsid w:val="00675F38"/>
    <w:rsid w:val="0068190A"/>
    <w:rsid w:val="00682E99"/>
    <w:rsid w:val="00684F26"/>
    <w:rsid w:val="006852D8"/>
    <w:rsid w:val="00685A34"/>
    <w:rsid w:val="00687F94"/>
    <w:rsid w:val="006900F8"/>
    <w:rsid w:val="006906EB"/>
    <w:rsid w:val="006909AA"/>
    <w:rsid w:val="00692A2D"/>
    <w:rsid w:val="0069465A"/>
    <w:rsid w:val="00694B26"/>
    <w:rsid w:val="006950F4"/>
    <w:rsid w:val="006A0B32"/>
    <w:rsid w:val="006A3BC6"/>
    <w:rsid w:val="006B24EB"/>
    <w:rsid w:val="006B257C"/>
    <w:rsid w:val="006B2D5A"/>
    <w:rsid w:val="006C0019"/>
    <w:rsid w:val="006C0CA8"/>
    <w:rsid w:val="006C0E0B"/>
    <w:rsid w:val="006C1444"/>
    <w:rsid w:val="006C1DDA"/>
    <w:rsid w:val="006C445E"/>
    <w:rsid w:val="006C6005"/>
    <w:rsid w:val="006D085A"/>
    <w:rsid w:val="006D3104"/>
    <w:rsid w:val="006D3714"/>
    <w:rsid w:val="006D3B07"/>
    <w:rsid w:val="006D53AF"/>
    <w:rsid w:val="006D5DBE"/>
    <w:rsid w:val="006D7F04"/>
    <w:rsid w:val="006E327F"/>
    <w:rsid w:val="006E40F6"/>
    <w:rsid w:val="006E4B75"/>
    <w:rsid w:val="006E5B68"/>
    <w:rsid w:val="006E6BAD"/>
    <w:rsid w:val="006E73A4"/>
    <w:rsid w:val="006E7450"/>
    <w:rsid w:val="006F0B78"/>
    <w:rsid w:val="006F1120"/>
    <w:rsid w:val="006F3BC6"/>
    <w:rsid w:val="006F62DE"/>
    <w:rsid w:val="006F743C"/>
    <w:rsid w:val="0070251C"/>
    <w:rsid w:val="007058C6"/>
    <w:rsid w:val="00706581"/>
    <w:rsid w:val="0070723D"/>
    <w:rsid w:val="00714F83"/>
    <w:rsid w:val="00716828"/>
    <w:rsid w:val="0072264F"/>
    <w:rsid w:val="007227B5"/>
    <w:rsid w:val="007252CE"/>
    <w:rsid w:val="007278AB"/>
    <w:rsid w:val="00730843"/>
    <w:rsid w:val="0073191A"/>
    <w:rsid w:val="00734DFB"/>
    <w:rsid w:val="00735CB9"/>
    <w:rsid w:val="00736632"/>
    <w:rsid w:val="00736679"/>
    <w:rsid w:val="00737269"/>
    <w:rsid w:val="007378C7"/>
    <w:rsid w:val="00741B1E"/>
    <w:rsid w:val="007423AB"/>
    <w:rsid w:val="00742C0F"/>
    <w:rsid w:val="00744234"/>
    <w:rsid w:val="00747D14"/>
    <w:rsid w:val="00750183"/>
    <w:rsid w:val="0075032E"/>
    <w:rsid w:val="007512B8"/>
    <w:rsid w:val="007523BC"/>
    <w:rsid w:val="007537C1"/>
    <w:rsid w:val="00755026"/>
    <w:rsid w:val="00755FBA"/>
    <w:rsid w:val="0075680C"/>
    <w:rsid w:val="00756A3C"/>
    <w:rsid w:val="00760B24"/>
    <w:rsid w:val="007610D7"/>
    <w:rsid w:val="007621C0"/>
    <w:rsid w:val="00763D36"/>
    <w:rsid w:val="00764085"/>
    <w:rsid w:val="0076789C"/>
    <w:rsid w:val="00770C32"/>
    <w:rsid w:val="00771D08"/>
    <w:rsid w:val="007736C3"/>
    <w:rsid w:val="0077379E"/>
    <w:rsid w:val="00774C5F"/>
    <w:rsid w:val="007818E4"/>
    <w:rsid w:val="00782596"/>
    <w:rsid w:val="00784260"/>
    <w:rsid w:val="00784EB5"/>
    <w:rsid w:val="00785316"/>
    <w:rsid w:val="00785DD2"/>
    <w:rsid w:val="00786657"/>
    <w:rsid w:val="00790F35"/>
    <w:rsid w:val="007913EE"/>
    <w:rsid w:val="00793532"/>
    <w:rsid w:val="0079572F"/>
    <w:rsid w:val="0079620B"/>
    <w:rsid w:val="00796A16"/>
    <w:rsid w:val="007971CB"/>
    <w:rsid w:val="00797A3A"/>
    <w:rsid w:val="007A117B"/>
    <w:rsid w:val="007A143B"/>
    <w:rsid w:val="007A26A0"/>
    <w:rsid w:val="007A3258"/>
    <w:rsid w:val="007A39AE"/>
    <w:rsid w:val="007A450F"/>
    <w:rsid w:val="007A559D"/>
    <w:rsid w:val="007A55AE"/>
    <w:rsid w:val="007A5A17"/>
    <w:rsid w:val="007A7AF0"/>
    <w:rsid w:val="007B09A0"/>
    <w:rsid w:val="007B11B2"/>
    <w:rsid w:val="007B1F5D"/>
    <w:rsid w:val="007B362D"/>
    <w:rsid w:val="007B3E17"/>
    <w:rsid w:val="007B46AE"/>
    <w:rsid w:val="007B4704"/>
    <w:rsid w:val="007B4CB4"/>
    <w:rsid w:val="007B52D0"/>
    <w:rsid w:val="007B72B0"/>
    <w:rsid w:val="007C0560"/>
    <w:rsid w:val="007C0777"/>
    <w:rsid w:val="007C2825"/>
    <w:rsid w:val="007C3022"/>
    <w:rsid w:val="007C43DD"/>
    <w:rsid w:val="007C4CE8"/>
    <w:rsid w:val="007C6F02"/>
    <w:rsid w:val="007C7C5E"/>
    <w:rsid w:val="007D0186"/>
    <w:rsid w:val="007D21EA"/>
    <w:rsid w:val="007D2BAF"/>
    <w:rsid w:val="007D3444"/>
    <w:rsid w:val="007D4F7D"/>
    <w:rsid w:val="007E1F60"/>
    <w:rsid w:val="007E2F3F"/>
    <w:rsid w:val="007E5A42"/>
    <w:rsid w:val="007E5F58"/>
    <w:rsid w:val="007E7DD6"/>
    <w:rsid w:val="007F0A89"/>
    <w:rsid w:val="007F0C41"/>
    <w:rsid w:val="007F6818"/>
    <w:rsid w:val="007F7263"/>
    <w:rsid w:val="007F7D26"/>
    <w:rsid w:val="00801F9A"/>
    <w:rsid w:val="00803666"/>
    <w:rsid w:val="00804F9A"/>
    <w:rsid w:val="00810C20"/>
    <w:rsid w:val="00811247"/>
    <w:rsid w:val="00811A97"/>
    <w:rsid w:val="0081592E"/>
    <w:rsid w:val="00817D86"/>
    <w:rsid w:val="008220AB"/>
    <w:rsid w:val="008231C9"/>
    <w:rsid w:val="00824C6D"/>
    <w:rsid w:val="00825312"/>
    <w:rsid w:val="00826980"/>
    <w:rsid w:val="00830D44"/>
    <w:rsid w:val="008356D2"/>
    <w:rsid w:val="00837079"/>
    <w:rsid w:val="00837B62"/>
    <w:rsid w:val="00841A7F"/>
    <w:rsid w:val="00842AE4"/>
    <w:rsid w:val="00846C59"/>
    <w:rsid w:val="0084720E"/>
    <w:rsid w:val="008510B1"/>
    <w:rsid w:val="00851B52"/>
    <w:rsid w:val="00851F02"/>
    <w:rsid w:val="00851F2E"/>
    <w:rsid w:val="00853640"/>
    <w:rsid w:val="00856964"/>
    <w:rsid w:val="00857584"/>
    <w:rsid w:val="00857CCF"/>
    <w:rsid w:val="00857E3B"/>
    <w:rsid w:val="00861689"/>
    <w:rsid w:val="00861890"/>
    <w:rsid w:val="00865123"/>
    <w:rsid w:val="00866D9C"/>
    <w:rsid w:val="00867056"/>
    <w:rsid w:val="00870BCD"/>
    <w:rsid w:val="00871868"/>
    <w:rsid w:val="0087378F"/>
    <w:rsid w:val="00877354"/>
    <w:rsid w:val="00885FE9"/>
    <w:rsid w:val="00891F2E"/>
    <w:rsid w:val="00892E2E"/>
    <w:rsid w:val="0089376C"/>
    <w:rsid w:val="00893E02"/>
    <w:rsid w:val="008975CA"/>
    <w:rsid w:val="00897660"/>
    <w:rsid w:val="008A05BC"/>
    <w:rsid w:val="008A0A37"/>
    <w:rsid w:val="008A0C7F"/>
    <w:rsid w:val="008A4C16"/>
    <w:rsid w:val="008A63F6"/>
    <w:rsid w:val="008A6F46"/>
    <w:rsid w:val="008B3DC8"/>
    <w:rsid w:val="008B4093"/>
    <w:rsid w:val="008B740A"/>
    <w:rsid w:val="008C391B"/>
    <w:rsid w:val="008C3D64"/>
    <w:rsid w:val="008C45B5"/>
    <w:rsid w:val="008C53D9"/>
    <w:rsid w:val="008C58BD"/>
    <w:rsid w:val="008C6797"/>
    <w:rsid w:val="008C6D16"/>
    <w:rsid w:val="008D0260"/>
    <w:rsid w:val="008D21E3"/>
    <w:rsid w:val="008D36B5"/>
    <w:rsid w:val="008D50F8"/>
    <w:rsid w:val="008D6070"/>
    <w:rsid w:val="008D659B"/>
    <w:rsid w:val="008D6855"/>
    <w:rsid w:val="008D7233"/>
    <w:rsid w:val="008D7467"/>
    <w:rsid w:val="008E2AEA"/>
    <w:rsid w:val="008E5549"/>
    <w:rsid w:val="008E6598"/>
    <w:rsid w:val="008E6D9E"/>
    <w:rsid w:val="008F2831"/>
    <w:rsid w:val="008F32D9"/>
    <w:rsid w:val="008F32F3"/>
    <w:rsid w:val="008F3384"/>
    <w:rsid w:val="00900956"/>
    <w:rsid w:val="00900D37"/>
    <w:rsid w:val="00901536"/>
    <w:rsid w:val="009032A8"/>
    <w:rsid w:val="00911EC6"/>
    <w:rsid w:val="00913444"/>
    <w:rsid w:val="0091474F"/>
    <w:rsid w:val="00916316"/>
    <w:rsid w:val="00916CB9"/>
    <w:rsid w:val="0091757B"/>
    <w:rsid w:val="00921565"/>
    <w:rsid w:val="009246A7"/>
    <w:rsid w:val="009272EA"/>
    <w:rsid w:val="00931AED"/>
    <w:rsid w:val="00931E2B"/>
    <w:rsid w:val="009334CD"/>
    <w:rsid w:val="00933C56"/>
    <w:rsid w:val="009348FF"/>
    <w:rsid w:val="00935A22"/>
    <w:rsid w:val="00935F00"/>
    <w:rsid w:val="00937E28"/>
    <w:rsid w:val="00941F67"/>
    <w:rsid w:val="009429EE"/>
    <w:rsid w:val="009437E5"/>
    <w:rsid w:val="009442BE"/>
    <w:rsid w:val="00946681"/>
    <w:rsid w:val="00951D05"/>
    <w:rsid w:val="00954413"/>
    <w:rsid w:val="00955E62"/>
    <w:rsid w:val="00965137"/>
    <w:rsid w:val="00965142"/>
    <w:rsid w:val="0096624B"/>
    <w:rsid w:val="009664BC"/>
    <w:rsid w:val="00967AD0"/>
    <w:rsid w:val="0097258F"/>
    <w:rsid w:val="00975DB5"/>
    <w:rsid w:val="00977F86"/>
    <w:rsid w:val="00980B9C"/>
    <w:rsid w:val="009829DA"/>
    <w:rsid w:val="00983D6C"/>
    <w:rsid w:val="009841E4"/>
    <w:rsid w:val="00985A0B"/>
    <w:rsid w:val="00994593"/>
    <w:rsid w:val="00995295"/>
    <w:rsid w:val="009962B9"/>
    <w:rsid w:val="009A2052"/>
    <w:rsid w:val="009A3767"/>
    <w:rsid w:val="009A606F"/>
    <w:rsid w:val="009B1149"/>
    <w:rsid w:val="009B2247"/>
    <w:rsid w:val="009B2B40"/>
    <w:rsid w:val="009B39A3"/>
    <w:rsid w:val="009B5556"/>
    <w:rsid w:val="009B5770"/>
    <w:rsid w:val="009C08CA"/>
    <w:rsid w:val="009C11F3"/>
    <w:rsid w:val="009C1D63"/>
    <w:rsid w:val="009C5F0D"/>
    <w:rsid w:val="009C7A63"/>
    <w:rsid w:val="009C7EBF"/>
    <w:rsid w:val="009D3862"/>
    <w:rsid w:val="009D5008"/>
    <w:rsid w:val="009D6B8C"/>
    <w:rsid w:val="009E1F39"/>
    <w:rsid w:val="009E3E77"/>
    <w:rsid w:val="009E576B"/>
    <w:rsid w:val="009E6FD4"/>
    <w:rsid w:val="009F0A80"/>
    <w:rsid w:val="009F0BF9"/>
    <w:rsid w:val="009F0DB9"/>
    <w:rsid w:val="009F188E"/>
    <w:rsid w:val="009F3F4A"/>
    <w:rsid w:val="009F659E"/>
    <w:rsid w:val="009F6746"/>
    <w:rsid w:val="009F780C"/>
    <w:rsid w:val="009F7A09"/>
    <w:rsid w:val="00A0572B"/>
    <w:rsid w:val="00A064CF"/>
    <w:rsid w:val="00A07A50"/>
    <w:rsid w:val="00A121FC"/>
    <w:rsid w:val="00A129DF"/>
    <w:rsid w:val="00A12E04"/>
    <w:rsid w:val="00A15A1E"/>
    <w:rsid w:val="00A17FA7"/>
    <w:rsid w:val="00A22C5A"/>
    <w:rsid w:val="00A24AAD"/>
    <w:rsid w:val="00A308F1"/>
    <w:rsid w:val="00A31266"/>
    <w:rsid w:val="00A36147"/>
    <w:rsid w:val="00A37279"/>
    <w:rsid w:val="00A37F54"/>
    <w:rsid w:val="00A454CF"/>
    <w:rsid w:val="00A45AFB"/>
    <w:rsid w:val="00A47922"/>
    <w:rsid w:val="00A47D88"/>
    <w:rsid w:val="00A51F22"/>
    <w:rsid w:val="00A56A79"/>
    <w:rsid w:val="00A63DAA"/>
    <w:rsid w:val="00A64547"/>
    <w:rsid w:val="00A64FC0"/>
    <w:rsid w:val="00A65BBE"/>
    <w:rsid w:val="00A72BD9"/>
    <w:rsid w:val="00A7322B"/>
    <w:rsid w:val="00A766C1"/>
    <w:rsid w:val="00A814F6"/>
    <w:rsid w:val="00A8324B"/>
    <w:rsid w:val="00A86859"/>
    <w:rsid w:val="00A86935"/>
    <w:rsid w:val="00A87135"/>
    <w:rsid w:val="00A903F6"/>
    <w:rsid w:val="00A93CE6"/>
    <w:rsid w:val="00A93D0B"/>
    <w:rsid w:val="00A944CC"/>
    <w:rsid w:val="00A95E06"/>
    <w:rsid w:val="00A970F5"/>
    <w:rsid w:val="00AA1267"/>
    <w:rsid w:val="00AA1F92"/>
    <w:rsid w:val="00AA3C5D"/>
    <w:rsid w:val="00AA682F"/>
    <w:rsid w:val="00AB0E59"/>
    <w:rsid w:val="00AB3685"/>
    <w:rsid w:val="00AC2B45"/>
    <w:rsid w:val="00AC35D8"/>
    <w:rsid w:val="00AC504D"/>
    <w:rsid w:val="00AC5185"/>
    <w:rsid w:val="00AC6E36"/>
    <w:rsid w:val="00AC7625"/>
    <w:rsid w:val="00AD191A"/>
    <w:rsid w:val="00AD3265"/>
    <w:rsid w:val="00AD55C3"/>
    <w:rsid w:val="00AE05D5"/>
    <w:rsid w:val="00AE1878"/>
    <w:rsid w:val="00AE1C81"/>
    <w:rsid w:val="00AE222B"/>
    <w:rsid w:val="00AE2DC0"/>
    <w:rsid w:val="00AE39D4"/>
    <w:rsid w:val="00AE7644"/>
    <w:rsid w:val="00AF242A"/>
    <w:rsid w:val="00AF2878"/>
    <w:rsid w:val="00AF46B7"/>
    <w:rsid w:val="00AF4F01"/>
    <w:rsid w:val="00AF575C"/>
    <w:rsid w:val="00AF6A96"/>
    <w:rsid w:val="00AF73CD"/>
    <w:rsid w:val="00B052F2"/>
    <w:rsid w:val="00B0543E"/>
    <w:rsid w:val="00B05DAE"/>
    <w:rsid w:val="00B062A6"/>
    <w:rsid w:val="00B1007B"/>
    <w:rsid w:val="00B10D7E"/>
    <w:rsid w:val="00B11803"/>
    <w:rsid w:val="00B119AB"/>
    <w:rsid w:val="00B1243E"/>
    <w:rsid w:val="00B13524"/>
    <w:rsid w:val="00B1646C"/>
    <w:rsid w:val="00B17E3D"/>
    <w:rsid w:val="00B214E6"/>
    <w:rsid w:val="00B23859"/>
    <w:rsid w:val="00B23AEA"/>
    <w:rsid w:val="00B255E2"/>
    <w:rsid w:val="00B260BE"/>
    <w:rsid w:val="00B2671E"/>
    <w:rsid w:val="00B27113"/>
    <w:rsid w:val="00B30561"/>
    <w:rsid w:val="00B32F0B"/>
    <w:rsid w:val="00B349B3"/>
    <w:rsid w:val="00B349B9"/>
    <w:rsid w:val="00B37A1F"/>
    <w:rsid w:val="00B402F5"/>
    <w:rsid w:val="00B419F4"/>
    <w:rsid w:val="00B4365B"/>
    <w:rsid w:val="00B447CF"/>
    <w:rsid w:val="00B44C80"/>
    <w:rsid w:val="00B44F1C"/>
    <w:rsid w:val="00B450ED"/>
    <w:rsid w:val="00B528FC"/>
    <w:rsid w:val="00B53757"/>
    <w:rsid w:val="00B545BA"/>
    <w:rsid w:val="00B54755"/>
    <w:rsid w:val="00B54D9D"/>
    <w:rsid w:val="00B606F4"/>
    <w:rsid w:val="00B60BE1"/>
    <w:rsid w:val="00B63268"/>
    <w:rsid w:val="00B6397C"/>
    <w:rsid w:val="00B64463"/>
    <w:rsid w:val="00B64480"/>
    <w:rsid w:val="00B653F5"/>
    <w:rsid w:val="00B65B45"/>
    <w:rsid w:val="00B71BE3"/>
    <w:rsid w:val="00B7377B"/>
    <w:rsid w:val="00B73928"/>
    <w:rsid w:val="00B74831"/>
    <w:rsid w:val="00B74A17"/>
    <w:rsid w:val="00B74CF0"/>
    <w:rsid w:val="00B74D25"/>
    <w:rsid w:val="00B761EA"/>
    <w:rsid w:val="00B76FBB"/>
    <w:rsid w:val="00B802EA"/>
    <w:rsid w:val="00B80BE7"/>
    <w:rsid w:val="00B827D5"/>
    <w:rsid w:val="00B83606"/>
    <w:rsid w:val="00B8639E"/>
    <w:rsid w:val="00B91C62"/>
    <w:rsid w:val="00B96E7B"/>
    <w:rsid w:val="00BA05E9"/>
    <w:rsid w:val="00BA0BA6"/>
    <w:rsid w:val="00BA0BAE"/>
    <w:rsid w:val="00BA14E5"/>
    <w:rsid w:val="00BA265B"/>
    <w:rsid w:val="00BA378B"/>
    <w:rsid w:val="00BA43A7"/>
    <w:rsid w:val="00BA5E7A"/>
    <w:rsid w:val="00BA6A59"/>
    <w:rsid w:val="00BB343C"/>
    <w:rsid w:val="00BB350E"/>
    <w:rsid w:val="00BB76D5"/>
    <w:rsid w:val="00BC0449"/>
    <w:rsid w:val="00BC0B57"/>
    <w:rsid w:val="00BC0C87"/>
    <w:rsid w:val="00BC16EB"/>
    <w:rsid w:val="00BC260D"/>
    <w:rsid w:val="00BC2EB6"/>
    <w:rsid w:val="00BC7005"/>
    <w:rsid w:val="00BD0F52"/>
    <w:rsid w:val="00BD2BA2"/>
    <w:rsid w:val="00BD44BD"/>
    <w:rsid w:val="00BD4BAD"/>
    <w:rsid w:val="00BE09A5"/>
    <w:rsid w:val="00BE1982"/>
    <w:rsid w:val="00BE3024"/>
    <w:rsid w:val="00BE5DF4"/>
    <w:rsid w:val="00BF3C71"/>
    <w:rsid w:val="00BF542D"/>
    <w:rsid w:val="00BF5B64"/>
    <w:rsid w:val="00BF6D05"/>
    <w:rsid w:val="00BF7A38"/>
    <w:rsid w:val="00C029BC"/>
    <w:rsid w:val="00C02F03"/>
    <w:rsid w:val="00C061C3"/>
    <w:rsid w:val="00C07435"/>
    <w:rsid w:val="00C11C00"/>
    <w:rsid w:val="00C12E81"/>
    <w:rsid w:val="00C14259"/>
    <w:rsid w:val="00C21084"/>
    <w:rsid w:val="00C25A6E"/>
    <w:rsid w:val="00C25FAC"/>
    <w:rsid w:val="00C279F6"/>
    <w:rsid w:val="00C328DC"/>
    <w:rsid w:val="00C33169"/>
    <w:rsid w:val="00C33C9E"/>
    <w:rsid w:val="00C35809"/>
    <w:rsid w:val="00C35B56"/>
    <w:rsid w:val="00C41EED"/>
    <w:rsid w:val="00C41FA8"/>
    <w:rsid w:val="00C45649"/>
    <w:rsid w:val="00C478FF"/>
    <w:rsid w:val="00C5022C"/>
    <w:rsid w:val="00C503EB"/>
    <w:rsid w:val="00C51D3C"/>
    <w:rsid w:val="00C53470"/>
    <w:rsid w:val="00C534D9"/>
    <w:rsid w:val="00C548F4"/>
    <w:rsid w:val="00C55F16"/>
    <w:rsid w:val="00C63ACF"/>
    <w:rsid w:val="00C64238"/>
    <w:rsid w:val="00C64278"/>
    <w:rsid w:val="00C66405"/>
    <w:rsid w:val="00C66CBF"/>
    <w:rsid w:val="00C70055"/>
    <w:rsid w:val="00C72D9B"/>
    <w:rsid w:val="00C73E7C"/>
    <w:rsid w:val="00C73EF4"/>
    <w:rsid w:val="00C74FC5"/>
    <w:rsid w:val="00C75DF1"/>
    <w:rsid w:val="00C80BCC"/>
    <w:rsid w:val="00C82193"/>
    <w:rsid w:val="00C82B68"/>
    <w:rsid w:val="00C85D6E"/>
    <w:rsid w:val="00C8684F"/>
    <w:rsid w:val="00C904DB"/>
    <w:rsid w:val="00C92F2D"/>
    <w:rsid w:val="00C95E4A"/>
    <w:rsid w:val="00C96B7D"/>
    <w:rsid w:val="00C978CB"/>
    <w:rsid w:val="00C97E2F"/>
    <w:rsid w:val="00CA2308"/>
    <w:rsid w:val="00CA395C"/>
    <w:rsid w:val="00CA4CB6"/>
    <w:rsid w:val="00CA5672"/>
    <w:rsid w:val="00CA5D58"/>
    <w:rsid w:val="00CA655F"/>
    <w:rsid w:val="00CB06AB"/>
    <w:rsid w:val="00CB089B"/>
    <w:rsid w:val="00CB0E31"/>
    <w:rsid w:val="00CB1B46"/>
    <w:rsid w:val="00CB2FE3"/>
    <w:rsid w:val="00CB5B5C"/>
    <w:rsid w:val="00CB5FB4"/>
    <w:rsid w:val="00CB64ED"/>
    <w:rsid w:val="00CB7209"/>
    <w:rsid w:val="00CB7A4F"/>
    <w:rsid w:val="00CC0A95"/>
    <w:rsid w:val="00CC0FC5"/>
    <w:rsid w:val="00CC58A6"/>
    <w:rsid w:val="00CD613B"/>
    <w:rsid w:val="00CD7E2C"/>
    <w:rsid w:val="00CE0DBE"/>
    <w:rsid w:val="00CE252D"/>
    <w:rsid w:val="00CE442F"/>
    <w:rsid w:val="00CE6921"/>
    <w:rsid w:val="00CF0C29"/>
    <w:rsid w:val="00CF11C6"/>
    <w:rsid w:val="00CF1707"/>
    <w:rsid w:val="00CF4E84"/>
    <w:rsid w:val="00CF56E9"/>
    <w:rsid w:val="00CF5AC9"/>
    <w:rsid w:val="00CF5C2B"/>
    <w:rsid w:val="00CF5F6E"/>
    <w:rsid w:val="00CF7982"/>
    <w:rsid w:val="00D001A9"/>
    <w:rsid w:val="00D00C44"/>
    <w:rsid w:val="00D01FCC"/>
    <w:rsid w:val="00D027A7"/>
    <w:rsid w:val="00D0307F"/>
    <w:rsid w:val="00D07673"/>
    <w:rsid w:val="00D13D9A"/>
    <w:rsid w:val="00D27320"/>
    <w:rsid w:val="00D3722B"/>
    <w:rsid w:val="00D41158"/>
    <w:rsid w:val="00D4576A"/>
    <w:rsid w:val="00D50ED9"/>
    <w:rsid w:val="00D5114C"/>
    <w:rsid w:val="00D52889"/>
    <w:rsid w:val="00D53E49"/>
    <w:rsid w:val="00D61875"/>
    <w:rsid w:val="00D626B3"/>
    <w:rsid w:val="00D62B62"/>
    <w:rsid w:val="00D63769"/>
    <w:rsid w:val="00D651F2"/>
    <w:rsid w:val="00D65E8A"/>
    <w:rsid w:val="00D6715C"/>
    <w:rsid w:val="00D70FB7"/>
    <w:rsid w:val="00D7128F"/>
    <w:rsid w:val="00D71E33"/>
    <w:rsid w:val="00D748EC"/>
    <w:rsid w:val="00D74B04"/>
    <w:rsid w:val="00D74C49"/>
    <w:rsid w:val="00D81E59"/>
    <w:rsid w:val="00D8356A"/>
    <w:rsid w:val="00D91BEF"/>
    <w:rsid w:val="00D94371"/>
    <w:rsid w:val="00D96E94"/>
    <w:rsid w:val="00D97553"/>
    <w:rsid w:val="00DA1A47"/>
    <w:rsid w:val="00DA2126"/>
    <w:rsid w:val="00DA2BE2"/>
    <w:rsid w:val="00DA2F5F"/>
    <w:rsid w:val="00DA5948"/>
    <w:rsid w:val="00DB1955"/>
    <w:rsid w:val="00DB53E6"/>
    <w:rsid w:val="00DB59F2"/>
    <w:rsid w:val="00DB63E5"/>
    <w:rsid w:val="00DC03A0"/>
    <w:rsid w:val="00DC1DE8"/>
    <w:rsid w:val="00DC2CA3"/>
    <w:rsid w:val="00DC366C"/>
    <w:rsid w:val="00DC3C65"/>
    <w:rsid w:val="00DC7475"/>
    <w:rsid w:val="00DD089A"/>
    <w:rsid w:val="00DD1EC8"/>
    <w:rsid w:val="00DD216C"/>
    <w:rsid w:val="00DD5C60"/>
    <w:rsid w:val="00DE1649"/>
    <w:rsid w:val="00DE3B5A"/>
    <w:rsid w:val="00DE4898"/>
    <w:rsid w:val="00DE5012"/>
    <w:rsid w:val="00DE5125"/>
    <w:rsid w:val="00DE52E6"/>
    <w:rsid w:val="00DE58AA"/>
    <w:rsid w:val="00DE759E"/>
    <w:rsid w:val="00DF03E1"/>
    <w:rsid w:val="00DF079D"/>
    <w:rsid w:val="00DF079F"/>
    <w:rsid w:val="00DF1D30"/>
    <w:rsid w:val="00DF3848"/>
    <w:rsid w:val="00DF5814"/>
    <w:rsid w:val="00DF5B82"/>
    <w:rsid w:val="00E00C7F"/>
    <w:rsid w:val="00E050B5"/>
    <w:rsid w:val="00E0589B"/>
    <w:rsid w:val="00E1021B"/>
    <w:rsid w:val="00E11317"/>
    <w:rsid w:val="00E114E1"/>
    <w:rsid w:val="00E130E2"/>
    <w:rsid w:val="00E15096"/>
    <w:rsid w:val="00E15167"/>
    <w:rsid w:val="00E159AD"/>
    <w:rsid w:val="00E20F4B"/>
    <w:rsid w:val="00E22F30"/>
    <w:rsid w:val="00E23C55"/>
    <w:rsid w:val="00E25821"/>
    <w:rsid w:val="00E25E1F"/>
    <w:rsid w:val="00E31EC3"/>
    <w:rsid w:val="00E3264B"/>
    <w:rsid w:val="00E328A6"/>
    <w:rsid w:val="00E32951"/>
    <w:rsid w:val="00E36804"/>
    <w:rsid w:val="00E36F54"/>
    <w:rsid w:val="00E37AD2"/>
    <w:rsid w:val="00E4485C"/>
    <w:rsid w:val="00E44FF5"/>
    <w:rsid w:val="00E45CC2"/>
    <w:rsid w:val="00E462EE"/>
    <w:rsid w:val="00E478DE"/>
    <w:rsid w:val="00E50FE6"/>
    <w:rsid w:val="00E53471"/>
    <w:rsid w:val="00E5385C"/>
    <w:rsid w:val="00E549C5"/>
    <w:rsid w:val="00E55F0C"/>
    <w:rsid w:val="00E567DF"/>
    <w:rsid w:val="00E572B3"/>
    <w:rsid w:val="00E57811"/>
    <w:rsid w:val="00E62141"/>
    <w:rsid w:val="00E65072"/>
    <w:rsid w:val="00E65A42"/>
    <w:rsid w:val="00E661E1"/>
    <w:rsid w:val="00E7033D"/>
    <w:rsid w:val="00E71917"/>
    <w:rsid w:val="00E740A2"/>
    <w:rsid w:val="00E8047E"/>
    <w:rsid w:val="00E82CE9"/>
    <w:rsid w:val="00E82F50"/>
    <w:rsid w:val="00E83254"/>
    <w:rsid w:val="00E9723C"/>
    <w:rsid w:val="00EA2916"/>
    <w:rsid w:val="00EA5B43"/>
    <w:rsid w:val="00EB4CD1"/>
    <w:rsid w:val="00EB58C5"/>
    <w:rsid w:val="00EB66D1"/>
    <w:rsid w:val="00EC05F0"/>
    <w:rsid w:val="00EC0E8A"/>
    <w:rsid w:val="00EC26AB"/>
    <w:rsid w:val="00ED0DE8"/>
    <w:rsid w:val="00ED1C65"/>
    <w:rsid w:val="00ED32C8"/>
    <w:rsid w:val="00EE0D20"/>
    <w:rsid w:val="00EE2271"/>
    <w:rsid w:val="00EE2BB3"/>
    <w:rsid w:val="00EE3EBF"/>
    <w:rsid w:val="00EE4BDA"/>
    <w:rsid w:val="00EE5C89"/>
    <w:rsid w:val="00EE662C"/>
    <w:rsid w:val="00EE774C"/>
    <w:rsid w:val="00EE7872"/>
    <w:rsid w:val="00EF5B51"/>
    <w:rsid w:val="00EF605B"/>
    <w:rsid w:val="00F0304C"/>
    <w:rsid w:val="00F044D7"/>
    <w:rsid w:val="00F05A20"/>
    <w:rsid w:val="00F05D70"/>
    <w:rsid w:val="00F05FFD"/>
    <w:rsid w:val="00F11786"/>
    <w:rsid w:val="00F12D53"/>
    <w:rsid w:val="00F132A1"/>
    <w:rsid w:val="00F13B48"/>
    <w:rsid w:val="00F13FBE"/>
    <w:rsid w:val="00F14671"/>
    <w:rsid w:val="00F174AE"/>
    <w:rsid w:val="00F21811"/>
    <w:rsid w:val="00F24D10"/>
    <w:rsid w:val="00F24D82"/>
    <w:rsid w:val="00F25728"/>
    <w:rsid w:val="00F316C6"/>
    <w:rsid w:val="00F346C5"/>
    <w:rsid w:val="00F355E7"/>
    <w:rsid w:val="00F37069"/>
    <w:rsid w:val="00F37B67"/>
    <w:rsid w:val="00F40B8F"/>
    <w:rsid w:val="00F41539"/>
    <w:rsid w:val="00F420D9"/>
    <w:rsid w:val="00F43111"/>
    <w:rsid w:val="00F503EC"/>
    <w:rsid w:val="00F50C03"/>
    <w:rsid w:val="00F533F8"/>
    <w:rsid w:val="00F53D2E"/>
    <w:rsid w:val="00F54AA8"/>
    <w:rsid w:val="00F555E5"/>
    <w:rsid w:val="00F564FC"/>
    <w:rsid w:val="00F5715B"/>
    <w:rsid w:val="00F624B3"/>
    <w:rsid w:val="00F626CB"/>
    <w:rsid w:val="00F62EDA"/>
    <w:rsid w:val="00F63803"/>
    <w:rsid w:val="00F6738C"/>
    <w:rsid w:val="00F67C10"/>
    <w:rsid w:val="00F708F4"/>
    <w:rsid w:val="00F708FA"/>
    <w:rsid w:val="00F7572B"/>
    <w:rsid w:val="00F771DD"/>
    <w:rsid w:val="00F778C2"/>
    <w:rsid w:val="00F806B7"/>
    <w:rsid w:val="00F8560F"/>
    <w:rsid w:val="00F872DF"/>
    <w:rsid w:val="00F949AC"/>
    <w:rsid w:val="00F969FA"/>
    <w:rsid w:val="00F97E09"/>
    <w:rsid w:val="00FA18FB"/>
    <w:rsid w:val="00FA1E70"/>
    <w:rsid w:val="00FA3D63"/>
    <w:rsid w:val="00FA7A82"/>
    <w:rsid w:val="00FB03E1"/>
    <w:rsid w:val="00FB043D"/>
    <w:rsid w:val="00FB4226"/>
    <w:rsid w:val="00FB452F"/>
    <w:rsid w:val="00FB77A1"/>
    <w:rsid w:val="00FB7D0D"/>
    <w:rsid w:val="00FB7FAF"/>
    <w:rsid w:val="00FC2DD4"/>
    <w:rsid w:val="00FC41A8"/>
    <w:rsid w:val="00FC5107"/>
    <w:rsid w:val="00FD003D"/>
    <w:rsid w:val="00FD2AD4"/>
    <w:rsid w:val="00FD56DB"/>
    <w:rsid w:val="00FD7FB3"/>
    <w:rsid w:val="00FE263B"/>
    <w:rsid w:val="00FE40F5"/>
    <w:rsid w:val="00FE4C63"/>
    <w:rsid w:val="00FE50DB"/>
    <w:rsid w:val="00FE5509"/>
    <w:rsid w:val="00FE5AE7"/>
    <w:rsid w:val="00FE6362"/>
    <w:rsid w:val="00FE66D4"/>
    <w:rsid w:val="00FF0409"/>
    <w:rsid w:val="00FF2E3E"/>
    <w:rsid w:val="00FF42F5"/>
    <w:rsid w:val="22897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5BAF6"/>
  <w15:chartTrackingRefBased/>
  <w15:docId w15:val="{A97BCFA1-36D6-46FC-A142-04B61236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5A0B"/>
    <w:pPr>
      <w:ind w:left="720"/>
      <w:contextualSpacing/>
    </w:pPr>
  </w:style>
  <w:style w:type="paragraph" w:styleId="Notedebasdepage">
    <w:name w:val="footnote text"/>
    <w:basedOn w:val="Normal"/>
    <w:link w:val="NotedebasdepageCar"/>
    <w:uiPriority w:val="99"/>
    <w:semiHidden/>
    <w:unhideWhenUsed/>
    <w:rsid w:val="008F32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32F3"/>
    <w:rPr>
      <w:sz w:val="20"/>
      <w:szCs w:val="20"/>
    </w:rPr>
  </w:style>
  <w:style w:type="character" w:styleId="Appelnotedebasdep">
    <w:name w:val="footnote reference"/>
    <w:basedOn w:val="Policepardfaut"/>
    <w:uiPriority w:val="99"/>
    <w:semiHidden/>
    <w:unhideWhenUsed/>
    <w:rsid w:val="008F32F3"/>
    <w:rPr>
      <w:vertAlign w:val="superscript"/>
    </w:rPr>
  </w:style>
  <w:style w:type="character" w:styleId="Lienhypertexte">
    <w:name w:val="Hyperlink"/>
    <w:basedOn w:val="Policepardfaut"/>
    <w:uiPriority w:val="99"/>
    <w:unhideWhenUsed/>
    <w:rsid w:val="008F32F3"/>
    <w:rPr>
      <w:color w:val="0000FF"/>
      <w:u w:val="single"/>
    </w:rPr>
  </w:style>
  <w:style w:type="character" w:styleId="Lienhypertextesuivivisit">
    <w:name w:val="FollowedHyperlink"/>
    <w:basedOn w:val="Policepardfaut"/>
    <w:uiPriority w:val="99"/>
    <w:semiHidden/>
    <w:unhideWhenUsed/>
    <w:rsid w:val="00C85D6E"/>
    <w:rPr>
      <w:color w:val="954F72" w:themeColor="followedHyperlink"/>
      <w:u w:val="single"/>
    </w:rPr>
  </w:style>
  <w:style w:type="paragraph" w:styleId="En-tte">
    <w:name w:val="header"/>
    <w:basedOn w:val="Normal"/>
    <w:link w:val="En-tteCar"/>
    <w:uiPriority w:val="99"/>
    <w:unhideWhenUsed/>
    <w:rsid w:val="00F8560F"/>
    <w:pPr>
      <w:tabs>
        <w:tab w:val="center" w:pos="4536"/>
        <w:tab w:val="right" w:pos="9072"/>
      </w:tabs>
      <w:spacing w:after="0" w:line="240" w:lineRule="auto"/>
    </w:pPr>
  </w:style>
  <w:style w:type="character" w:customStyle="1" w:styleId="En-tteCar">
    <w:name w:val="En-tête Car"/>
    <w:basedOn w:val="Policepardfaut"/>
    <w:link w:val="En-tte"/>
    <w:uiPriority w:val="99"/>
    <w:rsid w:val="00F8560F"/>
  </w:style>
  <w:style w:type="paragraph" w:styleId="Pieddepage">
    <w:name w:val="footer"/>
    <w:basedOn w:val="Normal"/>
    <w:link w:val="PieddepageCar"/>
    <w:uiPriority w:val="99"/>
    <w:unhideWhenUsed/>
    <w:rsid w:val="00F856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560F"/>
  </w:style>
  <w:style w:type="paragraph" w:customStyle="1" w:styleId="paragraph">
    <w:name w:val="paragraph"/>
    <w:basedOn w:val="Normal"/>
    <w:rsid w:val="003113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1137F"/>
  </w:style>
  <w:style w:type="character" w:customStyle="1" w:styleId="eop">
    <w:name w:val="eop"/>
    <w:basedOn w:val="Policepardfaut"/>
    <w:rsid w:val="0031137F"/>
  </w:style>
  <w:style w:type="character" w:customStyle="1" w:styleId="scxw206420403">
    <w:name w:val="scxw206420403"/>
    <w:basedOn w:val="Policepardfaut"/>
    <w:rsid w:val="0031137F"/>
  </w:style>
  <w:style w:type="table" w:styleId="TableauGrille4-Accentuation3">
    <w:name w:val="Grid Table 4 Accent 3"/>
    <w:basedOn w:val="TableauNormal"/>
    <w:uiPriority w:val="49"/>
    <w:rsid w:val="00BA5E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edebulles">
    <w:name w:val="Balloon Text"/>
    <w:basedOn w:val="Normal"/>
    <w:link w:val="TextedebullesCar"/>
    <w:uiPriority w:val="99"/>
    <w:semiHidden/>
    <w:unhideWhenUsed/>
    <w:rsid w:val="00F54A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4AA8"/>
    <w:rPr>
      <w:rFonts w:ascii="Segoe UI" w:hAnsi="Segoe UI" w:cs="Segoe UI"/>
      <w:sz w:val="18"/>
      <w:szCs w:val="18"/>
    </w:rPr>
  </w:style>
  <w:style w:type="character" w:styleId="Marquedecommentaire">
    <w:name w:val="annotation reference"/>
    <w:basedOn w:val="Policepardfaut"/>
    <w:uiPriority w:val="99"/>
    <w:semiHidden/>
    <w:unhideWhenUsed/>
    <w:rsid w:val="00100D89"/>
    <w:rPr>
      <w:sz w:val="16"/>
      <w:szCs w:val="16"/>
    </w:rPr>
  </w:style>
  <w:style w:type="paragraph" w:styleId="Commentaire">
    <w:name w:val="annotation text"/>
    <w:basedOn w:val="Normal"/>
    <w:link w:val="CommentaireCar"/>
    <w:uiPriority w:val="99"/>
    <w:semiHidden/>
    <w:unhideWhenUsed/>
    <w:rsid w:val="00100D89"/>
    <w:pPr>
      <w:spacing w:line="240" w:lineRule="auto"/>
    </w:pPr>
    <w:rPr>
      <w:sz w:val="20"/>
      <w:szCs w:val="20"/>
    </w:rPr>
  </w:style>
  <w:style w:type="character" w:customStyle="1" w:styleId="CommentaireCar">
    <w:name w:val="Commentaire Car"/>
    <w:basedOn w:val="Policepardfaut"/>
    <w:link w:val="Commentaire"/>
    <w:uiPriority w:val="99"/>
    <w:semiHidden/>
    <w:rsid w:val="00100D89"/>
    <w:rPr>
      <w:sz w:val="20"/>
      <w:szCs w:val="20"/>
    </w:rPr>
  </w:style>
  <w:style w:type="paragraph" w:styleId="Objetducommentaire">
    <w:name w:val="annotation subject"/>
    <w:basedOn w:val="Commentaire"/>
    <w:next w:val="Commentaire"/>
    <w:link w:val="ObjetducommentaireCar"/>
    <w:uiPriority w:val="99"/>
    <w:semiHidden/>
    <w:unhideWhenUsed/>
    <w:rsid w:val="00100D89"/>
    <w:rPr>
      <w:b/>
      <w:bCs/>
    </w:rPr>
  </w:style>
  <w:style w:type="character" w:customStyle="1" w:styleId="ObjetducommentaireCar">
    <w:name w:val="Objet du commentaire Car"/>
    <w:basedOn w:val="CommentaireCar"/>
    <w:link w:val="Objetducommentaire"/>
    <w:uiPriority w:val="99"/>
    <w:semiHidden/>
    <w:rsid w:val="00100D89"/>
    <w:rPr>
      <w:b/>
      <w:bCs/>
      <w:sz w:val="20"/>
      <w:szCs w:val="20"/>
    </w:rPr>
  </w:style>
  <w:style w:type="paragraph" w:styleId="Lgende">
    <w:name w:val="caption"/>
    <w:basedOn w:val="Normal"/>
    <w:next w:val="Normal"/>
    <w:uiPriority w:val="35"/>
    <w:unhideWhenUsed/>
    <w:qFormat/>
    <w:rsid w:val="0032649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264">
      <w:bodyDiv w:val="1"/>
      <w:marLeft w:val="0"/>
      <w:marRight w:val="0"/>
      <w:marTop w:val="0"/>
      <w:marBottom w:val="0"/>
      <w:divBdr>
        <w:top w:val="none" w:sz="0" w:space="0" w:color="auto"/>
        <w:left w:val="none" w:sz="0" w:space="0" w:color="auto"/>
        <w:bottom w:val="none" w:sz="0" w:space="0" w:color="auto"/>
        <w:right w:val="none" w:sz="0" w:space="0" w:color="auto"/>
      </w:divBdr>
    </w:div>
    <w:div w:id="381759984">
      <w:bodyDiv w:val="1"/>
      <w:marLeft w:val="0"/>
      <w:marRight w:val="0"/>
      <w:marTop w:val="0"/>
      <w:marBottom w:val="0"/>
      <w:divBdr>
        <w:top w:val="none" w:sz="0" w:space="0" w:color="auto"/>
        <w:left w:val="none" w:sz="0" w:space="0" w:color="auto"/>
        <w:bottom w:val="none" w:sz="0" w:space="0" w:color="auto"/>
        <w:right w:val="none" w:sz="0" w:space="0" w:color="auto"/>
      </w:divBdr>
      <w:divsChild>
        <w:div w:id="176122699">
          <w:marLeft w:val="0"/>
          <w:marRight w:val="0"/>
          <w:marTop w:val="0"/>
          <w:marBottom w:val="0"/>
          <w:divBdr>
            <w:top w:val="none" w:sz="0" w:space="0" w:color="auto"/>
            <w:left w:val="none" w:sz="0" w:space="0" w:color="auto"/>
            <w:bottom w:val="none" w:sz="0" w:space="0" w:color="auto"/>
            <w:right w:val="none" w:sz="0" w:space="0" w:color="auto"/>
          </w:divBdr>
          <w:divsChild>
            <w:div w:id="1261985816">
              <w:marLeft w:val="0"/>
              <w:marRight w:val="0"/>
              <w:marTop w:val="0"/>
              <w:marBottom w:val="0"/>
              <w:divBdr>
                <w:top w:val="none" w:sz="0" w:space="0" w:color="auto"/>
                <w:left w:val="none" w:sz="0" w:space="0" w:color="auto"/>
                <w:bottom w:val="none" w:sz="0" w:space="0" w:color="auto"/>
                <w:right w:val="none" w:sz="0" w:space="0" w:color="auto"/>
              </w:divBdr>
            </w:div>
          </w:divsChild>
        </w:div>
        <w:div w:id="716049486">
          <w:marLeft w:val="0"/>
          <w:marRight w:val="0"/>
          <w:marTop w:val="0"/>
          <w:marBottom w:val="0"/>
          <w:divBdr>
            <w:top w:val="none" w:sz="0" w:space="0" w:color="auto"/>
            <w:left w:val="none" w:sz="0" w:space="0" w:color="auto"/>
            <w:bottom w:val="none" w:sz="0" w:space="0" w:color="auto"/>
            <w:right w:val="none" w:sz="0" w:space="0" w:color="auto"/>
          </w:divBdr>
          <w:divsChild>
            <w:div w:id="1353264863">
              <w:marLeft w:val="0"/>
              <w:marRight w:val="0"/>
              <w:marTop w:val="0"/>
              <w:marBottom w:val="0"/>
              <w:divBdr>
                <w:top w:val="none" w:sz="0" w:space="0" w:color="auto"/>
                <w:left w:val="none" w:sz="0" w:space="0" w:color="auto"/>
                <w:bottom w:val="none" w:sz="0" w:space="0" w:color="auto"/>
                <w:right w:val="none" w:sz="0" w:space="0" w:color="auto"/>
              </w:divBdr>
            </w:div>
          </w:divsChild>
        </w:div>
        <w:div w:id="1937983938">
          <w:marLeft w:val="0"/>
          <w:marRight w:val="0"/>
          <w:marTop w:val="0"/>
          <w:marBottom w:val="0"/>
          <w:divBdr>
            <w:top w:val="none" w:sz="0" w:space="0" w:color="auto"/>
            <w:left w:val="none" w:sz="0" w:space="0" w:color="auto"/>
            <w:bottom w:val="none" w:sz="0" w:space="0" w:color="auto"/>
            <w:right w:val="none" w:sz="0" w:space="0" w:color="auto"/>
          </w:divBdr>
          <w:divsChild>
            <w:div w:id="117260879">
              <w:marLeft w:val="0"/>
              <w:marRight w:val="0"/>
              <w:marTop w:val="0"/>
              <w:marBottom w:val="0"/>
              <w:divBdr>
                <w:top w:val="none" w:sz="0" w:space="0" w:color="auto"/>
                <w:left w:val="none" w:sz="0" w:space="0" w:color="auto"/>
                <w:bottom w:val="none" w:sz="0" w:space="0" w:color="auto"/>
                <w:right w:val="none" w:sz="0" w:space="0" w:color="auto"/>
              </w:divBdr>
            </w:div>
          </w:divsChild>
        </w:div>
        <w:div w:id="1595550615">
          <w:marLeft w:val="0"/>
          <w:marRight w:val="0"/>
          <w:marTop w:val="0"/>
          <w:marBottom w:val="0"/>
          <w:divBdr>
            <w:top w:val="none" w:sz="0" w:space="0" w:color="auto"/>
            <w:left w:val="none" w:sz="0" w:space="0" w:color="auto"/>
            <w:bottom w:val="none" w:sz="0" w:space="0" w:color="auto"/>
            <w:right w:val="none" w:sz="0" w:space="0" w:color="auto"/>
          </w:divBdr>
          <w:divsChild>
            <w:div w:id="1189100117">
              <w:marLeft w:val="0"/>
              <w:marRight w:val="0"/>
              <w:marTop w:val="0"/>
              <w:marBottom w:val="0"/>
              <w:divBdr>
                <w:top w:val="none" w:sz="0" w:space="0" w:color="auto"/>
                <w:left w:val="none" w:sz="0" w:space="0" w:color="auto"/>
                <w:bottom w:val="none" w:sz="0" w:space="0" w:color="auto"/>
                <w:right w:val="none" w:sz="0" w:space="0" w:color="auto"/>
              </w:divBdr>
            </w:div>
          </w:divsChild>
        </w:div>
        <w:div w:id="1346830936">
          <w:marLeft w:val="0"/>
          <w:marRight w:val="0"/>
          <w:marTop w:val="0"/>
          <w:marBottom w:val="0"/>
          <w:divBdr>
            <w:top w:val="none" w:sz="0" w:space="0" w:color="auto"/>
            <w:left w:val="none" w:sz="0" w:space="0" w:color="auto"/>
            <w:bottom w:val="none" w:sz="0" w:space="0" w:color="auto"/>
            <w:right w:val="none" w:sz="0" w:space="0" w:color="auto"/>
          </w:divBdr>
          <w:divsChild>
            <w:div w:id="1697579931">
              <w:marLeft w:val="0"/>
              <w:marRight w:val="0"/>
              <w:marTop w:val="0"/>
              <w:marBottom w:val="0"/>
              <w:divBdr>
                <w:top w:val="none" w:sz="0" w:space="0" w:color="auto"/>
                <w:left w:val="none" w:sz="0" w:space="0" w:color="auto"/>
                <w:bottom w:val="none" w:sz="0" w:space="0" w:color="auto"/>
                <w:right w:val="none" w:sz="0" w:space="0" w:color="auto"/>
              </w:divBdr>
            </w:div>
          </w:divsChild>
        </w:div>
        <w:div w:id="1516916495">
          <w:marLeft w:val="0"/>
          <w:marRight w:val="0"/>
          <w:marTop w:val="0"/>
          <w:marBottom w:val="0"/>
          <w:divBdr>
            <w:top w:val="none" w:sz="0" w:space="0" w:color="auto"/>
            <w:left w:val="none" w:sz="0" w:space="0" w:color="auto"/>
            <w:bottom w:val="none" w:sz="0" w:space="0" w:color="auto"/>
            <w:right w:val="none" w:sz="0" w:space="0" w:color="auto"/>
          </w:divBdr>
          <w:divsChild>
            <w:div w:id="68887734">
              <w:marLeft w:val="0"/>
              <w:marRight w:val="0"/>
              <w:marTop w:val="0"/>
              <w:marBottom w:val="0"/>
              <w:divBdr>
                <w:top w:val="none" w:sz="0" w:space="0" w:color="auto"/>
                <w:left w:val="none" w:sz="0" w:space="0" w:color="auto"/>
                <w:bottom w:val="none" w:sz="0" w:space="0" w:color="auto"/>
                <w:right w:val="none" w:sz="0" w:space="0" w:color="auto"/>
              </w:divBdr>
            </w:div>
          </w:divsChild>
        </w:div>
        <w:div w:id="1826241129">
          <w:marLeft w:val="0"/>
          <w:marRight w:val="0"/>
          <w:marTop w:val="0"/>
          <w:marBottom w:val="0"/>
          <w:divBdr>
            <w:top w:val="none" w:sz="0" w:space="0" w:color="auto"/>
            <w:left w:val="none" w:sz="0" w:space="0" w:color="auto"/>
            <w:bottom w:val="none" w:sz="0" w:space="0" w:color="auto"/>
            <w:right w:val="none" w:sz="0" w:space="0" w:color="auto"/>
          </w:divBdr>
          <w:divsChild>
            <w:div w:id="99878114">
              <w:marLeft w:val="0"/>
              <w:marRight w:val="0"/>
              <w:marTop w:val="0"/>
              <w:marBottom w:val="0"/>
              <w:divBdr>
                <w:top w:val="none" w:sz="0" w:space="0" w:color="auto"/>
                <w:left w:val="none" w:sz="0" w:space="0" w:color="auto"/>
                <w:bottom w:val="none" w:sz="0" w:space="0" w:color="auto"/>
                <w:right w:val="none" w:sz="0" w:space="0" w:color="auto"/>
              </w:divBdr>
            </w:div>
          </w:divsChild>
        </w:div>
        <w:div w:id="1065909613">
          <w:marLeft w:val="0"/>
          <w:marRight w:val="0"/>
          <w:marTop w:val="0"/>
          <w:marBottom w:val="0"/>
          <w:divBdr>
            <w:top w:val="none" w:sz="0" w:space="0" w:color="auto"/>
            <w:left w:val="none" w:sz="0" w:space="0" w:color="auto"/>
            <w:bottom w:val="none" w:sz="0" w:space="0" w:color="auto"/>
            <w:right w:val="none" w:sz="0" w:space="0" w:color="auto"/>
          </w:divBdr>
          <w:divsChild>
            <w:div w:id="1676421358">
              <w:marLeft w:val="0"/>
              <w:marRight w:val="0"/>
              <w:marTop w:val="0"/>
              <w:marBottom w:val="0"/>
              <w:divBdr>
                <w:top w:val="none" w:sz="0" w:space="0" w:color="auto"/>
                <w:left w:val="none" w:sz="0" w:space="0" w:color="auto"/>
                <w:bottom w:val="none" w:sz="0" w:space="0" w:color="auto"/>
                <w:right w:val="none" w:sz="0" w:space="0" w:color="auto"/>
              </w:divBdr>
            </w:div>
          </w:divsChild>
        </w:div>
        <w:div w:id="416631840">
          <w:marLeft w:val="0"/>
          <w:marRight w:val="0"/>
          <w:marTop w:val="0"/>
          <w:marBottom w:val="0"/>
          <w:divBdr>
            <w:top w:val="none" w:sz="0" w:space="0" w:color="auto"/>
            <w:left w:val="none" w:sz="0" w:space="0" w:color="auto"/>
            <w:bottom w:val="none" w:sz="0" w:space="0" w:color="auto"/>
            <w:right w:val="none" w:sz="0" w:space="0" w:color="auto"/>
          </w:divBdr>
          <w:divsChild>
            <w:div w:id="2052144593">
              <w:marLeft w:val="0"/>
              <w:marRight w:val="0"/>
              <w:marTop w:val="0"/>
              <w:marBottom w:val="0"/>
              <w:divBdr>
                <w:top w:val="none" w:sz="0" w:space="0" w:color="auto"/>
                <w:left w:val="none" w:sz="0" w:space="0" w:color="auto"/>
                <w:bottom w:val="none" w:sz="0" w:space="0" w:color="auto"/>
                <w:right w:val="none" w:sz="0" w:space="0" w:color="auto"/>
              </w:divBdr>
            </w:div>
          </w:divsChild>
        </w:div>
        <w:div w:id="865413326">
          <w:marLeft w:val="0"/>
          <w:marRight w:val="0"/>
          <w:marTop w:val="0"/>
          <w:marBottom w:val="0"/>
          <w:divBdr>
            <w:top w:val="none" w:sz="0" w:space="0" w:color="auto"/>
            <w:left w:val="none" w:sz="0" w:space="0" w:color="auto"/>
            <w:bottom w:val="none" w:sz="0" w:space="0" w:color="auto"/>
            <w:right w:val="none" w:sz="0" w:space="0" w:color="auto"/>
          </w:divBdr>
          <w:divsChild>
            <w:div w:id="234166795">
              <w:marLeft w:val="0"/>
              <w:marRight w:val="0"/>
              <w:marTop w:val="0"/>
              <w:marBottom w:val="0"/>
              <w:divBdr>
                <w:top w:val="none" w:sz="0" w:space="0" w:color="auto"/>
                <w:left w:val="none" w:sz="0" w:space="0" w:color="auto"/>
                <w:bottom w:val="none" w:sz="0" w:space="0" w:color="auto"/>
                <w:right w:val="none" w:sz="0" w:space="0" w:color="auto"/>
              </w:divBdr>
            </w:div>
          </w:divsChild>
        </w:div>
        <w:div w:id="221990661">
          <w:marLeft w:val="0"/>
          <w:marRight w:val="0"/>
          <w:marTop w:val="0"/>
          <w:marBottom w:val="0"/>
          <w:divBdr>
            <w:top w:val="none" w:sz="0" w:space="0" w:color="auto"/>
            <w:left w:val="none" w:sz="0" w:space="0" w:color="auto"/>
            <w:bottom w:val="none" w:sz="0" w:space="0" w:color="auto"/>
            <w:right w:val="none" w:sz="0" w:space="0" w:color="auto"/>
          </w:divBdr>
          <w:divsChild>
            <w:div w:id="1776166902">
              <w:marLeft w:val="0"/>
              <w:marRight w:val="0"/>
              <w:marTop w:val="0"/>
              <w:marBottom w:val="0"/>
              <w:divBdr>
                <w:top w:val="none" w:sz="0" w:space="0" w:color="auto"/>
                <w:left w:val="none" w:sz="0" w:space="0" w:color="auto"/>
                <w:bottom w:val="none" w:sz="0" w:space="0" w:color="auto"/>
                <w:right w:val="none" w:sz="0" w:space="0" w:color="auto"/>
              </w:divBdr>
            </w:div>
          </w:divsChild>
        </w:div>
        <w:div w:id="1230535738">
          <w:marLeft w:val="0"/>
          <w:marRight w:val="0"/>
          <w:marTop w:val="0"/>
          <w:marBottom w:val="0"/>
          <w:divBdr>
            <w:top w:val="none" w:sz="0" w:space="0" w:color="auto"/>
            <w:left w:val="none" w:sz="0" w:space="0" w:color="auto"/>
            <w:bottom w:val="none" w:sz="0" w:space="0" w:color="auto"/>
            <w:right w:val="none" w:sz="0" w:space="0" w:color="auto"/>
          </w:divBdr>
          <w:divsChild>
            <w:div w:id="18702635">
              <w:marLeft w:val="0"/>
              <w:marRight w:val="0"/>
              <w:marTop w:val="0"/>
              <w:marBottom w:val="0"/>
              <w:divBdr>
                <w:top w:val="none" w:sz="0" w:space="0" w:color="auto"/>
                <w:left w:val="none" w:sz="0" w:space="0" w:color="auto"/>
                <w:bottom w:val="none" w:sz="0" w:space="0" w:color="auto"/>
                <w:right w:val="none" w:sz="0" w:space="0" w:color="auto"/>
              </w:divBdr>
            </w:div>
          </w:divsChild>
        </w:div>
        <w:div w:id="138427665">
          <w:marLeft w:val="0"/>
          <w:marRight w:val="0"/>
          <w:marTop w:val="0"/>
          <w:marBottom w:val="0"/>
          <w:divBdr>
            <w:top w:val="none" w:sz="0" w:space="0" w:color="auto"/>
            <w:left w:val="none" w:sz="0" w:space="0" w:color="auto"/>
            <w:bottom w:val="none" w:sz="0" w:space="0" w:color="auto"/>
            <w:right w:val="none" w:sz="0" w:space="0" w:color="auto"/>
          </w:divBdr>
          <w:divsChild>
            <w:div w:id="1576432074">
              <w:marLeft w:val="0"/>
              <w:marRight w:val="0"/>
              <w:marTop w:val="0"/>
              <w:marBottom w:val="0"/>
              <w:divBdr>
                <w:top w:val="none" w:sz="0" w:space="0" w:color="auto"/>
                <w:left w:val="none" w:sz="0" w:space="0" w:color="auto"/>
                <w:bottom w:val="none" w:sz="0" w:space="0" w:color="auto"/>
                <w:right w:val="none" w:sz="0" w:space="0" w:color="auto"/>
              </w:divBdr>
            </w:div>
          </w:divsChild>
        </w:div>
        <w:div w:id="402727745">
          <w:marLeft w:val="0"/>
          <w:marRight w:val="0"/>
          <w:marTop w:val="0"/>
          <w:marBottom w:val="0"/>
          <w:divBdr>
            <w:top w:val="none" w:sz="0" w:space="0" w:color="auto"/>
            <w:left w:val="none" w:sz="0" w:space="0" w:color="auto"/>
            <w:bottom w:val="none" w:sz="0" w:space="0" w:color="auto"/>
            <w:right w:val="none" w:sz="0" w:space="0" w:color="auto"/>
          </w:divBdr>
          <w:divsChild>
            <w:div w:id="1485271012">
              <w:marLeft w:val="0"/>
              <w:marRight w:val="0"/>
              <w:marTop w:val="0"/>
              <w:marBottom w:val="0"/>
              <w:divBdr>
                <w:top w:val="none" w:sz="0" w:space="0" w:color="auto"/>
                <w:left w:val="none" w:sz="0" w:space="0" w:color="auto"/>
                <w:bottom w:val="none" w:sz="0" w:space="0" w:color="auto"/>
                <w:right w:val="none" w:sz="0" w:space="0" w:color="auto"/>
              </w:divBdr>
            </w:div>
          </w:divsChild>
        </w:div>
        <w:div w:id="1911193503">
          <w:marLeft w:val="0"/>
          <w:marRight w:val="0"/>
          <w:marTop w:val="0"/>
          <w:marBottom w:val="0"/>
          <w:divBdr>
            <w:top w:val="none" w:sz="0" w:space="0" w:color="auto"/>
            <w:left w:val="none" w:sz="0" w:space="0" w:color="auto"/>
            <w:bottom w:val="none" w:sz="0" w:space="0" w:color="auto"/>
            <w:right w:val="none" w:sz="0" w:space="0" w:color="auto"/>
          </w:divBdr>
          <w:divsChild>
            <w:div w:id="88043017">
              <w:marLeft w:val="0"/>
              <w:marRight w:val="0"/>
              <w:marTop w:val="0"/>
              <w:marBottom w:val="0"/>
              <w:divBdr>
                <w:top w:val="none" w:sz="0" w:space="0" w:color="auto"/>
                <w:left w:val="none" w:sz="0" w:space="0" w:color="auto"/>
                <w:bottom w:val="none" w:sz="0" w:space="0" w:color="auto"/>
                <w:right w:val="none" w:sz="0" w:space="0" w:color="auto"/>
              </w:divBdr>
            </w:div>
          </w:divsChild>
        </w:div>
        <w:div w:id="526647546">
          <w:marLeft w:val="0"/>
          <w:marRight w:val="0"/>
          <w:marTop w:val="0"/>
          <w:marBottom w:val="0"/>
          <w:divBdr>
            <w:top w:val="none" w:sz="0" w:space="0" w:color="auto"/>
            <w:left w:val="none" w:sz="0" w:space="0" w:color="auto"/>
            <w:bottom w:val="none" w:sz="0" w:space="0" w:color="auto"/>
            <w:right w:val="none" w:sz="0" w:space="0" w:color="auto"/>
          </w:divBdr>
          <w:divsChild>
            <w:div w:id="928386617">
              <w:marLeft w:val="0"/>
              <w:marRight w:val="0"/>
              <w:marTop w:val="0"/>
              <w:marBottom w:val="0"/>
              <w:divBdr>
                <w:top w:val="none" w:sz="0" w:space="0" w:color="auto"/>
                <w:left w:val="none" w:sz="0" w:space="0" w:color="auto"/>
                <w:bottom w:val="none" w:sz="0" w:space="0" w:color="auto"/>
                <w:right w:val="none" w:sz="0" w:space="0" w:color="auto"/>
              </w:divBdr>
            </w:div>
          </w:divsChild>
        </w:div>
        <w:div w:id="1084716560">
          <w:marLeft w:val="0"/>
          <w:marRight w:val="0"/>
          <w:marTop w:val="0"/>
          <w:marBottom w:val="0"/>
          <w:divBdr>
            <w:top w:val="none" w:sz="0" w:space="0" w:color="auto"/>
            <w:left w:val="none" w:sz="0" w:space="0" w:color="auto"/>
            <w:bottom w:val="none" w:sz="0" w:space="0" w:color="auto"/>
            <w:right w:val="none" w:sz="0" w:space="0" w:color="auto"/>
          </w:divBdr>
          <w:divsChild>
            <w:div w:id="93477572">
              <w:marLeft w:val="0"/>
              <w:marRight w:val="0"/>
              <w:marTop w:val="0"/>
              <w:marBottom w:val="0"/>
              <w:divBdr>
                <w:top w:val="none" w:sz="0" w:space="0" w:color="auto"/>
                <w:left w:val="none" w:sz="0" w:space="0" w:color="auto"/>
                <w:bottom w:val="none" w:sz="0" w:space="0" w:color="auto"/>
                <w:right w:val="none" w:sz="0" w:space="0" w:color="auto"/>
              </w:divBdr>
            </w:div>
          </w:divsChild>
        </w:div>
        <w:div w:id="1322348034">
          <w:marLeft w:val="0"/>
          <w:marRight w:val="0"/>
          <w:marTop w:val="0"/>
          <w:marBottom w:val="0"/>
          <w:divBdr>
            <w:top w:val="none" w:sz="0" w:space="0" w:color="auto"/>
            <w:left w:val="none" w:sz="0" w:space="0" w:color="auto"/>
            <w:bottom w:val="none" w:sz="0" w:space="0" w:color="auto"/>
            <w:right w:val="none" w:sz="0" w:space="0" w:color="auto"/>
          </w:divBdr>
          <w:divsChild>
            <w:div w:id="2111392625">
              <w:marLeft w:val="0"/>
              <w:marRight w:val="0"/>
              <w:marTop w:val="0"/>
              <w:marBottom w:val="0"/>
              <w:divBdr>
                <w:top w:val="none" w:sz="0" w:space="0" w:color="auto"/>
                <w:left w:val="none" w:sz="0" w:space="0" w:color="auto"/>
                <w:bottom w:val="none" w:sz="0" w:space="0" w:color="auto"/>
                <w:right w:val="none" w:sz="0" w:space="0" w:color="auto"/>
              </w:divBdr>
            </w:div>
          </w:divsChild>
        </w:div>
        <w:div w:id="1939558758">
          <w:marLeft w:val="0"/>
          <w:marRight w:val="0"/>
          <w:marTop w:val="0"/>
          <w:marBottom w:val="0"/>
          <w:divBdr>
            <w:top w:val="none" w:sz="0" w:space="0" w:color="auto"/>
            <w:left w:val="none" w:sz="0" w:space="0" w:color="auto"/>
            <w:bottom w:val="none" w:sz="0" w:space="0" w:color="auto"/>
            <w:right w:val="none" w:sz="0" w:space="0" w:color="auto"/>
          </w:divBdr>
          <w:divsChild>
            <w:div w:id="1602683670">
              <w:marLeft w:val="0"/>
              <w:marRight w:val="0"/>
              <w:marTop w:val="0"/>
              <w:marBottom w:val="0"/>
              <w:divBdr>
                <w:top w:val="none" w:sz="0" w:space="0" w:color="auto"/>
                <w:left w:val="none" w:sz="0" w:space="0" w:color="auto"/>
                <w:bottom w:val="none" w:sz="0" w:space="0" w:color="auto"/>
                <w:right w:val="none" w:sz="0" w:space="0" w:color="auto"/>
              </w:divBdr>
            </w:div>
          </w:divsChild>
        </w:div>
        <w:div w:id="739865918">
          <w:marLeft w:val="0"/>
          <w:marRight w:val="0"/>
          <w:marTop w:val="0"/>
          <w:marBottom w:val="0"/>
          <w:divBdr>
            <w:top w:val="none" w:sz="0" w:space="0" w:color="auto"/>
            <w:left w:val="none" w:sz="0" w:space="0" w:color="auto"/>
            <w:bottom w:val="none" w:sz="0" w:space="0" w:color="auto"/>
            <w:right w:val="none" w:sz="0" w:space="0" w:color="auto"/>
          </w:divBdr>
          <w:divsChild>
            <w:div w:id="1657412291">
              <w:marLeft w:val="0"/>
              <w:marRight w:val="0"/>
              <w:marTop w:val="0"/>
              <w:marBottom w:val="0"/>
              <w:divBdr>
                <w:top w:val="none" w:sz="0" w:space="0" w:color="auto"/>
                <w:left w:val="none" w:sz="0" w:space="0" w:color="auto"/>
                <w:bottom w:val="none" w:sz="0" w:space="0" w:color="auto"/>
                <w:right w:val="none" w:sz="0" w:space="0" w:color="auto"/>
              </w:divBdr>
            </w:div>
          </w:divsChild>
        </w:div>
        <w:div w:id="990215746">
          <w:marLeft w:val="0"/>
          <w:marRight w:val="0"/>
          <w:marTop w:val="0"/>
          <w:marBottom w:val="0"/>
          <w:divBdr>
            <w:top w:val="none" w:sz="0" w:space="0" w:color="auto"/>
            <w:left w:val="none" w:sz="0" w:space="0" w:color="auto"/>
            <w:bottom w:val="none" w:sz="0" w:space="0" w:color="auto"/>
            <w:right w:val="none" w:sz="0" w:space="0" w:color="auto"/>
          </w:divBdr>
          <w:divsChild>
            <w:div w:id="2017070840">
              <w:marLeft w:val="0"/>
              <w:marRight w:val="0"/>
              <w:marTop w:val="0"/>
              <w:marBottom w:val="0"/>
              <w:divBdr>
                <w:top w:val="none" w:sz="0" w:space="0" w:color="auto"/>
                <w:left w:val="none" w:sz="0" w:space="0" w:color="auto"/>
                <w:bottom w:val="none" w:sz="0" w:space="0" w:color="auto"/>
                <w:right w:val="none" w:sz="0" w:space="0" w:color="auto"/>
              </w:divBdr>
            </w:div>
          </w:divsChild>
        </w:div>
        <w:div w:id="1395591241">
          <w:marLeft w:val="0"/>
          <w:marRight w:val="0"/>
          <w:marTop w:val="0"/>
          <w:marBottom w:val="0"/>
          <w:divBdr>
            <w:top w:val="none" w:sz="0" w:space="0" w:color="auto"/>
            <w:left w:val="none" w:sz="0" w:space="0" w:color="auto"/>
            <w:bottom w:val="none" w:sz="0" w:space="0" w:color="auto"/>
            <w:right w:val="none" w:sz="0" w:space="0" w:color="auto"/>
          </w:divBdr>
          <w:divsChild>
            <w:div w:id="1216743650">
              <w:marLeft w:val="0"/>
              <w:marRight w:val="0"/>
              <w:marTop w:val="0"/>
              <w:marBottom w:val="0"/>
              <w:divBdr>
                <w:top w:val="none" w:sz="0" w:space="0" w:color="auto"/>
                <w:left w:val="none" w:sz="0" w:space="0" w:color="auto"/>
                <w:bottom w:val="none" w:sz="0" w:space="0" w:color="auto"/>
                <w:right w:val="none" w:sz="0" w:space="0" w:color="auto"/>
              </w:divBdr>
            </w:div>
          </w:divsChild>
        </w:div>
        <w:div w:id="1284460879">
          <w:marLeft w:val="0"/>
          <w:marRight w:val="0"/>
          <w:marTop w:val="0"/>
          <w:marBottom w:val="0"/>
          <w:divBdr>
            <w:top w:val="none" w:sz="0" w:space="0" w:color="auto"/>
            <w:left w:val="none" w:sz="0" w:space="0" w:color="auto"/>
            <w:bottom w:val="none" w:sz="0" w:space="0" w:color="auto"/>
            <w:right w:val="none" w:sz="0" w:space="0" w:color="auto"/>
          </w:divBdr>
          <w:divsChild>
            <w:div w:id="1446922570">
              <w:marLeft w:val="0"/>
              <w:marRight w:val="0"/>
              <w:marTop w:val="0"/>
              <w:marBottom w:val="0"/>
              <w:divBdr>
                <w:top w:val="none" w:sz="0" w:space="0" w:color="auto"/>
                <w:left w:val="none" w:sz="0" w:space="0" w:color="auto"/>
                <w:bottom w:val="none" w:sz="0" w:space="0" w:color="auto"/>
                <w:right w:val="none" w:sz="0" w:space="0" w:color="auto"/>
              </w:divBdr>
            </w:div>
          </w:divsChild>
        </w:div>
        <w:div w:id="1834755944">
          <w:marLeft w:val="0"/>
          <w:marRight w:val="0"/>
          <w:marTop w:val="0"/>
          <w:marBottom w:val="0"/>
          <w:divBdr>
            <w:top w:val="none" w:sz="0" w:space="0" w:color="auto"/>
            <w:left w:val="none" w:sz="0" w:space="0" w:color="auto"/>
            <w:bottom w:val="none" w:sz="0" w:space="0" w:color="auto"/>
            <w:right w:val="none" w:sz="0" w:space="0" w:color="auto"/>
          </w:divBdr>
          <w:divsChild>
            <w:div w:id="1676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8640">
      <w:bodyDiv w:val="1"/>
      <w:marLeft w:val="0"/>
      <w:marRight w:val="0"/>
      <w:marTop w:val="0"/>
      <w:marBottom w:val="0"/>
      <w:divBdr>
        <w:top w:val="none" w:sz="0" w:space="0" w:color="auto"/>
        <w:left w:val="none" w:sz="0" w:space="0" w:color="auto"/>
        <w:bottom w:val="none" w:sz="0" w:space="0" w:color="auto"/>
        <w:right w:val="none" w:sz="0" w:space="0" w:color="auto"/>
      </w:divBdr>
    </w:div>
    <w:div w:id="486016486">
      <w:bodyDiv w:val="1"/>
      <w:marLeft w:val="0"/>
      <w:marRight w:val="0"/>
      <w:marTop w:val="0"/>
      <w:marBottom w:val="0"/>
      <w:divBdr>
        <w:top w:val="none" w:sz="0" w:space="0" w:color="auto"/>
        <w:left w:val="none" w:sz="0" w:space="0" w:color="auto"/>
        <w:bottom w:val="none" w:sz="0" w:space="0" w:color="auto"/>
        <w:right w:val="none" w:sz="0" w:space="0" w:color="auto"/>
      </w:divBdr>
    </w:div>
    <w:div w:id="531190504">
      <w:bodyDiv w:val="1"/>
      <w:marLeft w:val="0"/>
      <w:marRight w:val="0"/>
      <w:marTop w:val="0"/>
      <w:marBottom w:val="0"/>
      <w:divBdr>
        <w:top w:val="none" w:sz="0" w:space="0" w:color="auto"/>
        <w:left w:val="none" w:sz="0" w:space="0" w:color="auto"/>
        <w:bottom w:val="none" w:sz="0" w:space="0" w:color="auto"/>
        <w:right w:val="none" w:sz="0" w:space="0" w:color="auto"/>
      </w:divBdr>
    </w:div>
    <w:div w:id="550531771">
      <w:bodyDiv w:val="1"/>
      <w:marLeft w:val="0"/>
      <w:marRight w:val="0"/>
      <w:marTop w:val="0"/>
      <w:marBottom w:val="0"/>
      <w:divBdr>
        <w:top w:val="none" w:sz="0" w:space="0" w:color="auto"/>
        <w:left w:val="none" w:sz="0" w:space="0" w:color="auto"/>
        <w:bottom w:val="none" w:sz="0" w:space="0" w:color="auto"/>
        <w:right w:val="none" w:sz="0" w:space="0" w:color="auto"/>
      </w:divBdr>
      <w:divsChild>
        <w:div w:id="1051075090">
          <w:marLeft w:val="0"/>
          <w:marRight w:val="0"/>
          <w:marTop w:val="0"/>
          <w:marBottom w:val="0"/>
          <w:divBdr>
            <w:top w:val="none" w:sz="0" w:space="0" w:color="auto"/>
            <w:left w:val="none" w:sz="0" w:space="0" w:color="auto"/>
            <w:bottom w:val="none" w:sz="0" w:space="0" w:color="auto"/>
            <w:right w:val="none" w:sz="0" w:space="0" w:color="auto"/>
          </w:divBdr>
          <w:divsChild>
            <w:div w:id="758910521">
              <w:marLeft w:val="0"/>
              <w:marRight w:val="0"/>
              <w:marTop w:val="0"/>
              <w:marBottom w:val="0"/>
              <w:divBdr>
                <w:top w:val="none" w:sz="0" w:space="0" w:color="auto"/>
                <w:left w:val="none" w:sz="0" w:space="0" w:color="auto"/>
                <w:bottom w:val="none" w:sz="0" w:space="0" w:color="auto"/>
                <w:right w:val="none" w:sz="0" w:space="0" w:color="auto"/>
              </w:divBdr>
            </w:div>
          </w:divsChild>
        </w:div>
        <w:div w:id="89930391">
          <w:marLeft w:val="0"/>
          <w:marRight w:val="0"/>
          <w:marTop w:val="0"/>
          <w:marBottom w:val="0"/>
          <w:divBdr>
            <w:top w:val="none" w:sz="0" w:space="0" w:color="auto"/>
            <w:left w:val="none" w:sz="0" w:space="0" w:color="auto"/>
            <w:bottom w:val="none" w:sz="0" w:space="0" w:color="auto"/>
            <w:right w:val="none" w:sz="0" w:space="0" w:color="auto"/>
          </w:divBdr>
          <w:divsChild>
            <w:div w:id="361369388">
              <w:marLeft w:val="0"/>
              <w:marRight w:val="0"/>
              <w:marTop w:val="0"/>
              <w:marBottom w:val="0"/>
              <w:divBdr>
                <w:top w:val="none" w:sz="0" w:space="0" w:color="auto"/>
                <w:left w:val="none" w:sz="0" w:space="0" w:color="auto"/>
                <w:bottom w:val="none" w:sz="0" w:space="0" w:color="auto"/>
                <w:right w:val="none" w:sz="0" w:space="0" w:color="auto"/>
              </w:divBdr>
            </w:div>
          </w:divsChild>
        </w:div>
        <w:div w:id="351953375">
          <w:marLeft w:val="0"/>
          <w:marRight w:val="0"/>
          <w:marTop w:val="0"/>
          <w:marBottom w:val="0"/>
          <w:divBdr>
            <w:top w:val="none" w:sz="0" w:space="0" w:color="auto"/>
            <w:left w:val="none" w:sz="0" w:space="0" w:color="auto"/>
            <w:bottom w:val="none" w:sz="0" w:space="0" w:color="auto"/>
            <w:right w:val="none" w:sz="0" w:space="0" w:color="auto"/>
          </w:divBdr>
          <w:divsChild>
            <w:div w:id="958530798">
              <w:marLeft w:val="0"/>
              <w:marRight w:val="0"/>
              <w:marTop w:val="0"/>
              <w:marBottom w:val="0"/>
              <w:divBdr>
                <w:top w:val="none" w:sz="0" w:space="0" w:color="auto"/>
                <w:left w:val="none" w:sz="0" w:space="0" w:color="auto"/>
                <w:bottom w:val="none" w:sz="0" w:space="0" w:color="auto"/>
                <w:right w:val="none" w:sz="0" w:space="0" w:color="auto"/>
              </w:divBdr>
            </w:div>
          </w:divsChild>
        </w:div>
        <w:div w:id="1056201337">
          <w:marLeft w:val="0"/>
          <w:marRight w:val="0"/>
          <w:marTop w:val="0"/>
          <w:marBottom w:val="0"/>
          <w:divBdr>
            <w:top w:val="none" w:sz="0" w:space="0" w:color="auto"/>
            <w:left w:val="none" w:sz="0" w:space="0" w:color="auto"/>
            <w:bottom w:val="none" w:sz="0" w:space="0" w:color="auto"/>
            <w:right w:val="none" w:sz="0" w:space="0" w:color="auto"/>
          </w:divBdr>
          <w:divsChild>
            <w:div w:id="1081414258">
              <w:marLeft w:val="0"/>
              <w:marRight w:val="0"/>
              <w:marTop w:val="0"/>
              <w:marBottom w:val="0"/>
              <w:divBdr>
                <w:top w:val="none" w:sz="0" w:space="0" w:color="auto"/>
                <w:left w:val="none" w:sz="0" w:space="0" w:color="auto"/>
                <w:bottom w:val="none" w:sz="0" w:space="0" w:color="auto"/>
                <w:right w:val="none" w:sz="0" w:space="0" w:color="auto"/>
              </w:divBdr>
            </w:div>
          </w:divsChild>
        </w:div>
        <w:div w:id="1043360295">
          <w:marLeft w:val="0"/>
          <w:marRight w:val="0"/>
          <w:marTop w:val="0"/>
          <w:marBottom w:val="0"/>
          <w:divBdr>
            <w:top w:val="none" w:sz="0" w:space="0" w:color="auto"/>
            <w:left w:val="none" w:sz="0" w:space="0" w:color="auto"/>
            <w:bottom w:val="none" w:sz="0" w:space="0" w:color="auto"/>
            <w:right w:val="none" w:sz="0" w:space="0" w:color="auto"/>
          </w:divBdr>
          <w:divsChild>
            <w:div w:id="1691486981">
              <w:marLeft w:val="0"/>
              <w:marRight w:val="0"/>
              <w:marTop w:val="0"/>
              <w:marBottom w:val="0"/>
              <w:divBdr>
                <w:top w:val="none" w:sz="0" w:space="0" w:color="auto"/>
                <w:left w:val="none" w:sz="0" w:space="0" w:color="auto"/>
                <w:bottom w:val="none" w:sz="0" w:space="0" w:color="auto"/>
                <w:right w:val="none" w:sz="0" w:space="0" w:color="auto"/>
              </w:divBdr>
            </w:div>
          </w:divsChild>
        </w:div>
        <w:div w:id="1883135005">
          <w:marLeft w:val="0"/>
          <w:marRight w:val="0"/>
          <w:marTop w:val="0"/>
          <w:marBottom w:val="0"/>
          <w:divBdr>
            <w:top w:val="none" w:sz="0" w:space="0" w:color="auto"/>
            <w:left w:val="none" w:sz="0" w:space="0" w:color="auto"/>
            <w:bottom w:val="none" w:sz="0" w:space="0" w:color="auto"/>
            <w:right w:val="none" w:sz="0" w:space="0" w:color="auto"/>
          </w:divBdr>
          <w:divsChild>
            <w:div w:id="189801013">
              <w:marLeft w:val="0"/>
              <w:marRight w:val="0"/>
              <w:marTop w:val="0"/>
              <w:marBottom w:val="0"/>
              <w:divBdr>
                <w:top w:val="none" w:sz="0" w:space="0" w:color="auto"/>
                <w:left w:val="none" w:sz="0" w:space="0" w:color="auto"/>
                <w:bottom w:val="none" w:sz="0" w:space="0" w:color="auto"/>
                <w:right w:val="none" w:sz="0" w:space="0" w:color="auto"/>
              </w:divBdr>
            </w:div>
          </w:divsChild>
        </w:div>
        <w:div w:id="949244918">
          <w:marLeft w:val="0"/>
          <w:marRight w:val="0"/>
          <w:marTop w:val="0"/>
          <w:marBottom w:val="0"/>
          <w:divBdr>
            <w:top w:val="none" w:sz="0" w:space="0" w:color="auto"/>
            <w:left w:val="none" w:sz="0" w:space="0" w:color="auto"/>
            <w:bottom w:val="none" w:sz="0" w:space="0" w:color="auto"/>
            <w:right w:val="none" w:sz="0" w:space="0" w:color="auto"/>
          </w:divBdr>
          <w:divsChild>
            <w:div w:id="2010406440">
              <w:marLeft w:val="0"/>
              <w:marRight w:val="0"/>
              <w:marTop w:val="0"/>
              <w:marBottom w:val="0"/>
              <w:divBdr>
                <w:top w:val="none" w:sz="0" w:space="0" w:color="auto"/>
                <w:left w:val="none" w:sz="0" w:space="0" w:color="auto"/>
                <w:bottom w:val="none" w:sz="0" w:space="0" w:color="auto"/>
                <w:right w:val="none" w:sz="0" w:space="0" w:color="auto"/>
              </w:divBdr>
            </w:div>
          </w:divsChild>
        </w:div>
        <w:div w:id="1970281544">
          <w:marLeft w:val="0"/>
          <w:marRight w:val="0"/>
          <w:marTop w:val="0"/>
          <w:marBottom w:val="0"/>
          <w:divBdr>
            <w:top w:val="none" w:sz="0" w:space="0" w:color="auto"/>
            <w:left w:val="none" w:sz="0" w:space="0" w:color="auto"/>
            <w:bottom w:val="none" w:sz="0" w:space="0" w:color="auto"/>
            <w:right w:val="none" w:sz="0" w:space="0" w:color="auto"/>
          </w:divBdr>
          <w:divsChild>
            <w:div w:id="862599565">
              <w:marLeft w:val="0"/>
              <w:marRight w:val="0"/>
              <w:marTop w:val="0"/>
              <w:marBottom w:val="0"/>
              <w:divBdr>
                <w:top w:val="none" w:sz="0" w:space="0" w:color="auto"/>
                <w:left w:val="none" w:sz="0" w:space="0" w:color="auto"/>
                <w:bottom w:val="none" w:sz="0" w:space="0" w:color="auto"/>
                <w:right w:val="none" w:sz="0" w:space="0" w:color="auto"/>
              </w:divBdr>
            </w:div>
          </w:divsChild>
        </w:div>
        <w:div w:id="1522813455">
          <w:marLeft w:val="0"/>
          <w:marRight w:val="0"/>
          <w:marTop w:val="0"/>
          <w:marBottom w:val="0"/>
          <w:divBdr>
            <w:top w:val="none" w:sz="0" w:space="0" w:color="auto"/>
            <w:left w:val="none" w:sz="0" w:space="0" w:color="auto"/>
            <w:bottom w:val="none" w:sz="0" w:space="0" w:color="auto"/>
            <w:right w:val="none" w:sz="0" w:space="0" w:color="auto"/>
          </w:divBdr>
          <w:divsChild>
            <w:div w:id="419258834">
              <w:marLeft w:val="0"/>
              <w:marRight w:val="0"/>
              <w:marTop w:val="0"/>
              <w:marBottom w:val="0"/>
              <w:divBdr>
                <w:top w:val="none" w:sz="0" w:space="0" w:color="auto"/>
                <w:left w:val="none" w:sz="0" w:space="0" w:color="auto"/>
                <w:bottom w:val="none" w:sz="0" w:space="0" w:color="auto"/>
                <w:right w:val="none" w:sz="0" w:space="0" w:color="auto"/>
              </w:divBdr>
            </w:div>
          </w:divsChild>
        </w:div>
        <w:div w:id="1117211766">
          <w:marLeft w:val="0"/>
          <w:marRight w:val="0"/>
          <w:marTop w:val="0"/>
          <w:marBottom w:val="0"/>
          <w:divBdr>
            <w:top w:val="none" w:sz="0" w:space="0" w:color="auto"/>
            <w:left w:val="none" w:sz="0" w:space="0" w:color="auto"/>
            <w:bottom w:val="none" w:sz="0" w:space="0" w:color="auto"/>
            <w:right w:val="none" w:sz="0" w:space="0" w:color="auto"/>
          </w:divBdr>
          <w:divsChild>
            <w:div w:id="912282204">
              <w:marLeft w:val="0"/>
              <w:marRight w:val="0"/>
              <w:marTop w:val="0"/>
              <w:marBottom w:val="0"/>
              <w:divBdr>
                <w:top w:val="none" w:sz="0" w:space="0" w:color="auto"/>
                <w:left w:val="none" w:sz="0" w:space="0" w:color="auto"/>
                <w:bottom w:val="none" w:sz="0" w:space="0" w:color="auto"/>
                <w:right w:val="none" w:sz="0" w:space="0" w:color="auto"/>
              </w:divBdr>
            </w:div>
          </w:divsChild>
        </w:div>
        <w:div w:id="655573885">
          <w:marLeft w:val="0"/>
          <w:marRight w:val="0"/>
          <w:marTop w:val="0"/>
          <w:marBottom w:val="0"/>
          <w:divBdr>
            <w:top w:val="none" w:sz="0" w:space="0" w:color="auto"/>
            <w:left w:val="none" w:sz="0" w:space="0" w:color="auto"/>
            <w:bottom w:val="none" w:sz="0" w:space="0" w:color="auto"/>
            <w:right w:val="none" w:sz="0" w:space="0" w:color="auto"/>
          </w:divBdr>
          <w:divsChild>
            <w:div w:id="2013753483">
              <w:marLeft w:val="0"/>
              <w:marRight w:val="0"/>
              <w:marTop w:val="0"/>
              <w:marBottom w:val="0"/>
              <w:divBdr>
                <w:top w:val="none" w:sz="0" w:space="0" w:color="auto"/>
                <w:left w:val="none" w:sz="0" w:space="0" w:color="auto"/>
                <w:bottom w:val="none" w:sz="0" w:space="0" w:color="auto"/>
                <w:right w:val="none" w:sz="0" w:space="0" w:color="auto"/>
              </w:divBdr>
            </w:div>
          </w:divsChild>
        </w:div>
        <w:div w:id="743182496">
          <w:marLeft w:val="0"/>
          <w:marRight w:val="0"/>
          <w:marTop w:val="0"/>
          <w:marBottom w:val="0"/>
          <w:divBdr>
            <w:top w:val="none" w:sz="0" w:space="0" w:color="auto"/>
            <w:left w:val="none" w:sz="0" w:space="0" w:color="auto"/>
            <w:bottom w:val="none" w:sz="0" w:space="0" w:color="auto"/>
            <w:right w:val="none" w:sz="0" w:space="0" w:color="auto"/>
          </w:divBdr>
          <w:divsChild>
            <w:div w:id="747504104">
              <w:marLeft w:val="0"/>
              <w:marRight w:val="0"/>
              <w:marTop w:val="0"/>
              <w:marBottom w:val="0"/>
              <w:divBdr>
                <w:top w:val="none" w:sz="0" w:space="0" w:color="auto"/>
                <w:left w:val="none" w:sz="0" w:space="0" w:color="auto"/>
                <w:bottom w:val="none" w:sz="0" w:space="0" w:color="auto"/>
                <w:right w:val="none" w:sz="0" w:space="0" w:color="auto"/>
              </w:divBdr>
            </w:div>
          </w:divsChild>
        </w:div>
        <w:div w:id="2002806390">
          <w:marLeft w:val="0"/>
          <w:marRight w:val="0"/>
          <w:marTop w:val="0"/>
          <w:marBottom w:val="0"/>
          <w:divBdr>
            <w:top w:val="none" w:sz="0" w:space="0" w:color="auto"/>
            <w:left w:val="none" w:sz="0" w:space="0" w:color="auto"/>
            <w:bottom w:val="none" w:sz="0" w:space="0" w:color="auto"/>
            <w:right w:val="none" w:sz="0" w:space="0" w:color="auto"/>
          </w:divBdr>
          <w:divsChild>
            <w:div w:id="1511095535">
              <w:marLeft w:val="0"/>
              <w:marRight w:val="0"/>
              <w:marTop w:val="0"/>
              <w:marBottom w:val="0"/>
              <w:divBdr>
                <w:top w:val="none" w:sz="0" w:space="0" w:color="auto"/>
                <w:left w:val="none" w:sz="0" w:space="0" w:color="auto"/>
                <w:bottom w:val="none" w:sz="0" w:space="0" w:color="auto"/>
                <w:right w:val="none" w:sz="0" w:space="0" w:color="auto"/>
              </w:divBdr>
            </w:div>
          </w:divsChild>
        </w:div>
        <w:div w:id="1703044872">
          <w:marLeft w:val="0"/>
          <w:marRight w:val="0"/>
          <w:marTop w:val="0"/>
          <w:marBottom w:val="0"/>
          <w:divBdr>
            <w:top w:val="none" w:sz="0" w:space="0" w:color="auto"/>
            <w:left w:val="none" w:sz="0" w:space="0" w:color="auto"/>
            <w:bottom w:val="none" w:sz="0" w:space="0" w:color="auto"/>
            <w:right w:val="none" w:sz="0" w:space="0" w:color="auto"/>
          </w:divBdr>
          <w:divsChild>
            <w:div w:id="1791510782">
              <w:marLeft w:val="0"/>
              <w:marRight w:val="0"/>
              <w:marTop w:val="0"/>
              <w:marBottom w:val="0"/>
              <w:divBdr>
                <w:top w:val="none" w:sz="0" w:space="0" w:color="auto"/>
                <w:left w:val="none" w:sz="0" w:space="0" w:color="auto"/>
                <w:bottom w:val="none" w:sz="0" w:space="0" w:color="auto"/>
                <w:right w:val="none" w:sz="0" w:space="0" w:color="auto"/>
              </w:divBdr>
            </w:div>
          </w:divsChild>
        </w:div>
        <w:div w:id="422796694">
          <w:marLeft w:val="0"/>
          <w:marRight w:val="0"/>
          <w:marTop w:val="0"/>
          <w:marBottom w:val="0"/>
          <w:divBdr>
            <w:top w:val="none" w:sz="0" w:space="0" w:color="auto"/>
            <w:left w:val="none" w:sz="0" w:space="0" w:color="auto"/>
            <w:bottom w:val="none" w:sz="0" w:space="0" w:color="auto"/>
            <w:right w:val="none" w:sz="0" w:space="0" w:color="auto"/>
          </w:divBdr>
          <w:divsChild>
            <w:div w:id="1068842289">
              <w:marLeft w:val="0"/>
              <w:marRight w:val="0"/>
              <w:marTop w:val="0"/>
              <w:marBottom w:val="0"/>
              <w:divBdr>
                <w:top w:val="none" w:sz="0" w:space="0" w:color="auto"/>
                <w:left w:val="none" w:sz="0" w:space="0" w:color="auto"/>
                <w:bottom w:val="none" w:sz="0" w:space="0" w:color="auto"/>
                <w:right w:val="none" w:sz="0" w:space="0" w:color="auto"/>
              </w:divBdr>
            </w:div>
          </w:divsChild>
        </w:div>
        <w:div w:id="1120563419">
          <w:marLeft w:val="0"/>
          <w:marRight w:val="0"/>
          <w:marTop w:val="0"/>
          <w:marBottom w:val="0"/>
          <w:divBdr>
            <w:top w:val="none" w:sz="0" w:space="0" w:color="auto"/>
            <w:left w:val="none" w:sz="0" w:space="0" w:color="auto"/>
            <w:bottom w:val="none" w:sz="0" w:space="0" w:color="auto"/>
            <w:right w:val="none" w:sz="0" w:space="0" w:color="auto"/>
          </w:divBdr>
          <w:divsChild>
            <w:div w:id="1688091617">
              <w:marLeft w:val="0"/>
              <w:marRight w:val="0"/>
              <w:marTop w:val="0"/>
              <w:marBottom w:val="0"/>
              <w:divBdr>
                <w:top w:val="none" w:sz="0" w:space="0" w:color="auto"/>
                <w:left w:val="none" w:sz="0" w:space="0" w:color="auto"/>
                <w:bottom w:val="none" w:sz="0" w:space="0" w:color="auto"/>
                <w:right w:val="none" w:sz="0" w:space="0" w:color="auto"/>
              </w:divBdr>
            </w:div>
          </w:divsChild>
        </w:div>
        <w:div w:id="1949854196">
          <w:marLeft w:val="0"/>
          <w:marRight w:val="0"/>
          <w:marTop w:val="0"/>
          <w:marBottom w:val="0"/>
          <w:divBdr>
            <w:top w:val="none" w:sz="0" w:space="0" w:color="auto"/>
            <w:left w:val="none" w:sz="0" w:space="0" w:color="auto"/>
            <w:bottom w:val="none" w:sz="0" w:space="0" w:color="auto"/>
            <w:right w:val="none" w:sz="0" w:space="0" w:color="auto"/>
          </w:divBdr>
          <w:divsChild>
            <w:div w:id="640353450">
              <w:marLeft w:val="0"/>
              <w:marRight w:val="0"/>
              <w:marTop w:val="0"/>
              <w:marBottom w:val="0"/>
              <w:divBdr>
                <w:top w:val="none" w:sz="0" w:space="0" w:color="auto"/>
                <w:left w:val="none" w:sz="0" w:space="0" w:color="auto"/>
                <w:bottom w:val="none" w:sz="0" w:space="0" w:color="auto"/>
                <w:right w:val="none" w:sz="0" w:space="0" w:color="auto"/>
              </w:divBdr>
            </w:div>
          </w:divsChild>
        </w:div>
        <w:div w:id="1490438708">
          <w:marLeft w:val="0"/>
          <w:marRight w:val="0"/>
          <w:marTop w:val="0"/>
          <w:marBottom w:val="0"/>
          <w:divBdr>
            <w:top w:val="none" w:sz="0" w:space="0" w:color="auto"/>
            <w:left w:val="none" w:sz="0" w:space="0" w:color="auto"/>
            <w:bottom w:val="none" w:sz="0" w:space="0" w:color="auto"/>
            <w:right w:val="none" w:sz="0" w:space="0" w:color="auto"/>
          </w:divBdr>
          <w:divsChild>
            <w:div w:id="1697776943">
              <w:marLeft w:val="0"/>
              <w:marRight w:val="0"/>
              <w:marTop w:val="0"/>
              <w:marBottom w:val="0"/>
              <w:divBdr>
                <w:top w:val="none" w:sz="0" w:space="0" w:color="auto"/>
                <w:left w:val="none" w:sz="0" w:space="0" w:color="auto"/>
                <w:bottom w:val="none" w:sz="0" w:space="0" w:color="auto"/>
                <w:right w:val="none" w:sz="0" w:space="0" w:color="auto"/>
              </w:divBdr>
            </w:div>
          </w:divsChild>
        </w:div>
        <w:div w:id="558828446">
          <w:marLeft w:val="0"/>
          <w:marRight w:val="0"/>
          <w:marTop w:val="0"/>
          <w:marBottom w:val="0"/>
          <w:divBdr>
            <w:top w:val="none" w:sz="0" w:space="0" w:color="auto"/>
            <w:left w:val="none" w:sz="0" w:space="0" w:color="auto"/>
            <w:bottom w:val="none" w:sz="0" w:space="0" w:color="auto"/>
            <w:right w:val="none" w:sz="0" w:space="0" w:color="auto"/>
          </w:divBdr>
          <w:divsChild>
            <w:div w:id="1237473988">
              <w:marLeft w:val="0"/>
              <w:marRight w:val="0"/>
              <w:marTop w:val="0"/>
              <w:marBottom w:val="0"/>
              <w:divBdr>
                <w:top w:val="none" w:sz="0" w:space="0" w:color="auto"/>
                <w:left w:val="none" w:sz="0" w:space="0" w:color="auto"/>
                <w:bottom w:val="none" w:sz="0" w:space="0" w:color="auto"/>
                <w:right w:val="none" w:sz="0" w:space="0" w:color="auto"/>
              </w:divBdr>
            </w:div>
          </w:divsChild>
        </w:div>
        <w:div w:id="480972298">
          <w:marLeft w:val="0"/>
          <w:marRight w:val="0"/>
          <w:marTop w:val="0"/>
          <w:marBottom w:val="0"/>
          <w:divBdr>
            <w:top w:val="none" w:sz="0" w:space="0" w:color="auto"/>
            <w:left w:val="none" w:sz="0" w:space="0" w:color="auto"/>
            <w:bottom w:val="none" w:sz="0" w:space="0" w:color="auto"/>
            <w:right w:val="none" w:sz="0" w:space="0" w:color="auto"/>
          </w:divBdr>
          <w:divsChild>
            <w:div w:id="1071924376">
              <w:marLeft w:val="0"/>
              <w:marRight w:val="0"/>
              <w:marTop w:val="0"/>
              <w:marBottom w:val="0"/>
              <w:divBdr>
                <w:top w:val="none" w:sz="0" w:space="0" w:color="auto"/>
                <w:left w:val="none" w:sz="0" w:space="0" w:color="auto"/>
                <w:bottom w:val="none" w:sz="0" w:space="0" w:color="auto"/>
                <w:right w:val="none" w:sz="0" w:space="0" w:color="auto"/>
              </w:divBdr>
            </w:div>
          </w:divsChild>
        </w:div>
        <w:div w:id="1931229675">
          <w:marLeft w:val="0"/>
          <w:marRight w:val="0"/>
          <w:marTop w:val="0"/>
          <w:marBottom w:val="0"/>
          <w:divBdr>
            <w:top w:val="none" w:sz="0" w:space="0" w:color="auto"/>
            <w:left w:val="none" w:sz="0" w:space="0" w:color="auto"/>
            <w:bottom w:val="none" w:sz="0" w:space="0" w:color="auto"/>
            <w:right w:val="none" w:sz="0" w:space="0" w:color="auto"/>
          </w:divBdr>
          <w:divsChild>
            <w:div w:id="4524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9924">
      <w:bodyDiv w:val="1"/>
      <w:marLeft w:val="0"/>
      <w:marRight w:val="0"/>
      <w:marTop w:val="0"/>
      <w:marBottom w:val="0"/>
      <w:divBdr>
        <w:top w:val="none" w:sz="0" w:space="0" w:color="auto"/>
        <w:left w:val="none" w:sz="0" w:space="0" w:color="auto"/>
        <w:bottom w:val="none" w:sz="0" w:space="0" w:color="auto"/>
        <w:right w:val="none" w:sz="0" w:space="0" w:color="auto"/>
      </w:divBdr>
    </w:div>
    <w:div w:id="675810653">
      <w:bodyDiv w:val="1"/>
      <w:marLeft w:val="0"/>
      <w:marRight w:val="0"/>
      <w:marTop w:val="0"/>
      <w:marBottom w:val="0"/>
      <w:divBdr>
        <w:top w:val="none" w:sz="0" w:space="0" w:color="auto"/>
        <w:left w:val="none" w:sz="0" w:space="0" w:color="auto"/>
        <w:bottom w:val="none" w:sz="0" w:space="0" w:color="auto"/>
        <w:right w:val="none" w:sz="0" w:space="0" w:color="auto"/>
      </w:divBdr>
    </w:div>
    <w:div w:id="929896334">
      <w:bodyDiv w:val="1"/>
      <w:marLeft w:val="0"/>
      <w:marRight w:val="0"/>
      <w:marTop w:val="0"/>
      <w:marBottom w:val="0"/>
      <w:divBdr>
        <w:top w:val="none" w:sz="0" w:space="0" w:color="auto"/>
        <w:left w:val="none" w:sz="0" w:space="0" w:color="auto"/>
        <w:bottom w:val="none" w:sz="0" w:space="0" w:color="auto"/>
        <w:right w:val="none" w:sz="0" w:space="0" w:color="auto"/>
      </w:divBdr>
    </w:div>
    <w:div w:id="1408727616">
      <w:bodyDiv w:val="1"/>
      <w:marLeft w:val="0"/>
      <w:marRight w:val="0"/>
      <w:marTop w:val="0"/>
      <w:marBottom w:val="0"/>
      <w:divBdr>
        <w:top w:val="none" w:sz="0" w:space="0" w:color="auto"/>
        <w:left w:val="none" w:sz="0" w:space="0" w:color="auto"/>
        <w:bottom w:val="none" w:sz="0" w:space="0" w:color="auto"/>
        <w:right w:val="none" w:sz="0" w:space="0" w:color="auto"/>
      </w:divBdr>
    </w:div>
    <w:div w:id="1510826476">
      <w:bodyDiv w:val="1"/>
      <w:marLeft w:val="0"/>
      <w:marRight w:val="0"/>
      <w:marTop w:val="0"/>
      <w:marBottom w:val="0"/>
      <w:divBdr>
        <w:top w:val="none" w:sz="0" w:space="0" w:color="auto"/>
        <w:left w:val="none" w:sz="0" w:space="0" w:color="auto"/>
        <w:bottom w:val="none" w:sz="0" w:space="0" w:color="auto"/>
        <w:right w:val="none" w:sz="0" w:space="0" w:color="auto"/>
      </w:divBdr>
    </w:div>
    <w:div w:id="2010020379">
      <w:bodyDiv w:val="1"/>
      <w:marLeft w:val="0"/>
      <w:marRight w:val="0"/>
      <w:marTop w:val="0"/>
      <w:marBottom w:val="0"/>
      <w:divBdr>
        <w:top w:val="none" w:sz="0" w:space="0" w:color="auto"/>
        <w:left w:val="none" w:sz="0" w:space="0" w:color="auto"/>
        <w:bottom w:val="none" w:sz="0" w:space="0" w:color="auto"/>
        <w:right w:val="none" w:sz="0" w:space="0" w:color="auto"/>
      </w:divBdr>
    </w:div>
    <w:div w:id="2094203575">
      <w:bodyDiv w:val="1"/>
      <w:marLeft w:val="0"/>
      <w:marRight w:val="0"/>
      <w:marTop w:val="0"/>
      <w:marBottom w:val="0"/>
      <w:divBdr>
        <w:top w:val="none" w:sz="0" w:space="0" w:color="auto"/>
        <w:left w:val="none" w:sz="0" w:space="0" w:color="auto"/>
        <w:bottom w:val="none" w:sz="0" w:space="0" w:color="auto"/>
        <w:right w:val="none" w:sz="0" w:space="0" w:color="auto"/>
      </w:divBdr>
      <w:divsChild>
        <w:div w:id="1674140420">
          <w:marLeft w:val="0"/>
          <w:marRight w:val="0"/>
          <w:marTop w:val="0"/>
          <w:marBottom w:val="0"/>
          <w:divBdr>
            <w:top w:val="none" w:sz="0" w:space="0" w:color="auto"/>
            <w:left w:val="none" w:sz="0" w:space="0" w:color="auto"/>
            <w:bottom w:val="none" w:sz="0" w:space="0" w:color="auto"/>
            <w:right w:val="none" w:sz="0" w:space="0" w:color="auto"/>
          </w:divBdr>
          <w:divsChild>
            <w:div w:id="763842158">
              <w:marLeft w:val="-75"/>
              <w:marRight w:val="0"/>
              <w:marTop w:val="30"/>
              <w:marBottom w:val="30"/>
              <w:divBdr>
                <w:top w:val="none" w:sz="0" w:space="0" w:color="auto"/>
                <w:left w:val="none" w:sz="0" w:space="0" w:color="auto"/>
                <w:bottom w:val="none" w:sz="0" w:space="0" w:color="auto"/>
                <w:right w:val="none" w:sz="0" w:space="0" w:color="auto"/>
              </w:divBdr>
              <w:divsChild>
                <w:div w:id="2116556592">
                  <w:marLeft w:val="0"/>
                  <w:marRight w:val="0"/>
                  <w:marTop w:val="0"/>
                  <w:marBottom w:val="0"/>
                  <w:divBdr>
                    <w:top w:val="none" w:sz="0" w:space="0" w:color="auto"/>
                    <w:left w:val="none" w:sz="0" w:space="0" w:color="auto"/>
                    <w:bottom w:val="none" w:sz="0" w:space="0" w:color="auto"/>
                    <w:right w:val="none" w:sz="0" w:space="0" w:color="auto"/>
                  </w:divBdr>
                  <w:divsChild>
                    <w:div w:id="1253397249">
                      <w:marLeft w:val="0"/>
                      <w:marRight w:val="0"/>
                      <w:marTop w:val="0"/>
                      <w:marBottom w:val="0"/>
                      <w:divBdr>
                        <w:top w:val="none" w:sz="0" w:space="0" w:color="auto"/>
                        <w:left w:val="none" w:sz="0" w:space="0" w:color="auto"/>
                        <w:bottom w:val="none" w:sz="0" w:space="0" w:color="auto"/>
                        <w:right w:val="none" w:sz="0" w:space="0" w:color="auto"/>
                      </w:divBdr>
                    </w:div>
                  </w:divsChild>
                </w:div>
                <w:div w:id="607276831">
                  <w:marLeft w:val="0"/>
                  <w:marRight w:val="0"/>
                  <w:marTop w:val="0"/>
                  <w:marBottom w:val="0"/>
                  <w:divBdr>
                    <w:top w:val="none" w:sz="0" w:space="0" w:color="auto"/>
                    <w:left w:val="none" w:sz="0" w:space="0" w:color="auto"/>
                    <w:bottom w:val="none" w:sz="0" w:space="0" w:color="auto"/>
                    <w:right w:val="none" w:sz="0" w:space="0" w:color="auto"/>
                  </w:divBdr>
                  <w:divsChild>
                    <w:div w:id="563493933">
                      <w:marLeft w:val="0"/>
                      <w:marRight w:val="0"/>
                      <w:marTop w:val="0"/>
                      <w:marBottom w:val="0"/>
                      <w:divBdr>
                        <w:top w:val="none" w:sz="0" w:space="0" w:color="auto"/>
                        <w:left w:val="none" w:sz="0" w:space="0" w:color="auto"/>
                        <w:bottom w:val="none" w:sz="0" w:space="0" w:color="auto"/>
                        <w:right w:val="none" w:sz="0" w:space="0" w:color="auto"/>
                      </w:divBdr>
                    </w:div>
                  </w:divsChild>
                </w:div>
                <w:div w:id="418016811">
                  <w:marLeft w:val="0"/>
                  <w:marRight w:val="0"/>
                  <w:marTop w:val="0"/>
                  <w:marBottom w:val="0"/>
                  <w:divBdr>
                    <w:top w:val="none" w:sz="0" w:space="0" w:color="auto"/>
                    <w:left w:val="none" w:sz="0" w:space="0" w:color="auto"/>
                    <w:bottom w:val="none" w:sz="0" w:space="0" w:color="auto"/>
                    <w:right w:val="none" w:sz="0" w:space="0" w:color="auto"/>
                  </w:divBdr>
                  <w:divsChild>
                    <w:div w:id="1737626192">
                      <w:marLeft w:val="0"/>
                      <w:marRight w:val="0"/>
                      <w:marTop w:val="0"/>
                      <w:marBottom w:val="0"/>
                      <w:divBdr>
                        <w:top w:val="none" w:sz="0" w:space="0" w:color="auto"/>
                        <w:left w:val="none" w:sz="0" w:space="0" w:color="auto"/>
                        <w:bottom w:val="none" w:sz="0" w:space="0" w:color="auto"/>
                        <w:right w:val="none" w:sz="0" w:space="0" w:color="auto"/>
                      </w:divBdr>
                    </w:div>
                  </w:divsChild>
                </w:div>
                <w:div w:id="2137524932">
                  <w:marLeft w:val="0"/>
                  <w:marRight w:val="0"/>
                  <w:marTop w:val="0"/>
                  <w:marBottom w:val="0"/>
                  <w:divBdr>
                    <w:top w:val="none" w:sz="0" w:space="0" w:color="auto"/>
                    <w:left w:val="none" w:sz="0" w:space="0" w:color="auto"/>
                    <w:bottom w:val="none" w:sz="0" w:space="0" w:color="auto"/>
                    <w:right w:val="none" w:sz="0" w:space="0" w:color="auto"/>
                  </w:divBdr>
                  <w:divsChild>
                    <w:div w:id="287467651">
                      <w:marLeft w:val="0"/>
                      <w:marRight w:val="0"/>
                      <w:marTop w:val="0"/>
                      <w:marBottom w:val="0"/>
                      <w:divBdr>
                        <w:top w:val="none" w:sz="0" w:space="0" w:color="auto"/>
                        <w:left w:val="none" w:sz="0" w:space="0" w:color="auto"/>
                        <w:bottom w:val="none" w:sz="0" w:space="0" w:color="auto"/>
                        <w:right w:val="none" w:sz="0" w:space="0" w:color="auto"/>
                      </w:divBdr>
                    </w:div>
                  </w:divsChild>
                </w:div>
                <w:div w:id="1030030625">
                  <w:marLeft w:val="0"/>
                  <w:marRight w:val="0"/>
                  <w:marTop w:val="0"/>
                  <w:marBottom w:val="0"/>
                  <w:divBdr>
                    <w:top w:val="none" w:sz="0" w:space="0" w:color="auto"/>
                    <w:left w:val="none" w:sz="0" w:space="0" w:color="auto"/>
                    <w:bottom w:val="none" w:sz="0" w:space="0" w:color="auto"/>
                    <w:right w:val="none" w:sz="0" w:space="0" w:color="auto"/>
                  </w:divBdr>
                  <w:divsChild>
                    <w:div w:id="55785417">
                      <w:marLeft w:val="0"/>
                      <w:marRight w:val="0"/>
                      <w:marTop w:val="0"/>
                      <w:marBottom w:val="0"/>
                      <w:divBdr>
                        <w:top w:val="none" w:sz="0" w:space="0" w:color="auto"/>
                        <w:left w:val="none" w:sz="0" w:space="0" w:color="auto"/>
                        <w:bottom w:val="none" w:sz="0" w:space="0" w:color="auto"/>
                        <w:right w:val="none" w:sz="0" w:space="0" w:color="auto"/>
                      </w:divBdr>
                    </w:div>
                    <w:div w:id="854272732">
                      <w:marLeft w:val="0"/>
                      <w:marRight w:val="0"/>
                      <w:marTop w:val="0"/>
                      <w:marBottom w:val="0"/>
                      <w:divBdr>
                        <w:top w:val="none" w:sz="0" w:space="0" w:color="auto"/>
                        <w:left w:val="none" w:sz="0" w:space="0" w:color="auto"/>
                        <w:bottom w:val="none" w:sz="0" w:space="0" w:color="auto"/>
                        <w:right w:val="none" w:sz="0" w:space="0" w:color="auto"/>
                      </w:divBdr>
                    </w:div>
                    <w:div w:id="1031032329">
                      <w:marLeft w:val="0"/>
                      <w:marRight w:val="0"/>
                      <w:marTop w:val="0"/>
                      <w:marBottom w:val="0"/>
                      <w:divBdr>
                        <w:top w:val="none" w:sz="0" w:space="0" w:color="auto"/>
                        <w:left w:val="none" w:sz="0" w:space="0" w:color="auto"/>
                        <w:bottom w:val="none" w:sz="0" w:space="0" w:color="auto"/>
                        <w:right w:val="none" w:sz="0" w:space="0" w:color="auto"/>
                      </w:divBdr>
                    </w:div>
                  </w:divsChild>
                </w:div>
                <w:div w:id="1606575072">
                  <w:marLeft w:val="0"/>
                  <w:marRight w:val="0"/>
                  <w:marTop w:val="0"/>
                  <w:marBottom w:val="0"/>
                  <w:divBdr>
                    <w:top w:val="none" w:sz="0" w:space="0" w:color="auto"/>
                    <w:left w:val="none" w:sz="0" w:space="0" w:color="auto"/>
                    <w:bottom w:val="none" w:sz="0" w:space="0" w:color="auto"/>
                    <w:right w:val="none" w:sz="0" w:space="0" w:color="auto"/>
                  </w:divBdr>
                  <w:divsChild>
                    <w:div w:id="1538548906">
                      <w:marLeft w:val="0"/>
                      <w:marRight w:val="0"/>
                      <w:marTop w:val="0"/>
                      <w:marBottom w:val="0"/>
                      <w:divBdr>
                        <w:top w:val="none" w:sz="0" w:space="0" w:color="auto"/>
                        <w:left w:val="none" w:sz="0" w:space="0" w:color="auto"/>
                        <w:bottom w:val="none" w:sz="0" w:space="0" w:color="auto"/>
                        <w:right w:val="none" w:sz="0" w:space="0" w:color="auto"/>
                      </w:divBdr>
                    </w:div>
                    <w:div w:id="1725325683">
                      <w:marLeft w:val="0"/>
                      <w:marRight w:val="0"/>
                      <w:marTop w:val="0"/>
                      <w:marBottom w:val="0"/>
                      <w:divBdr>
                        <w:top w:val="none" w:sz="0" w:space="0" w:color="auto"/>
                        <w:left w:val="none" w:sz="0" w:space="0" w:color="auto"/>
                        <w:bottom w:val="none" w:sz="0" w:space="0" w:color="auto"/>
                        <w:right w:val="none" w:sz="0" w:space="0" w:color="auto"/>
                      </w:divBdr>
                    </w:div>
                    <w:div w:id="574821146">
                      <w:marLeft w:val="0"/>
                      <w:marRight w:val="0"/>
                      <w:marTop w:val="0"/>
                      <w:marBottom w:val="0"/>
                      <w:divBdr>
                        <w:top w:val="none" w:sz="0" w:space="0" w:color="auto"/>
                        <w:left w:val="none" w:sz="0" w:space="0" w:color="auto"/>
                        <w:bottom w:val="none" w:sz="0" w:space="0" w:color="auto"/>
                        <w:right w:val="none" w:sz="0" w:space="0" w:color="auto"/>
                      </w:divBdr>
                    </w:div>
                  </w:divsChild>
                </w:div>
                <w:div w:id="1498575508">
                  <w:marLeft w:val="0"/>
                  <w:marRight w:val="0"/>
                  <w:marTop w:val="0"/>
                  <w:marBottom w:val="0"/>
                  <w:divBdr>
                    <w:top w:val="none" w:sz="0" w:space="0" w:color="auto"/>
                    <w:left w:val="none" w:sz="0" w:space="0" w:color="auto"/>
                    <w:bottom w:val="none" w:sz="0" w:space="0" w:color="auto"/>
                    <w:right w:val="none" w:sz="0" w:space="0" w:color="auto"/>
                  </w:divBdr>
                  <w:divsChild>
                    <w:div w:id="513500766">
                      <w:marLeft w:val="0"/>
                      <w:marRight w:val="0"/>
                      <w:marTop w:val="0"/>
                      <w:marBottom w:val="0"/>
                      <w:divBdr>
                        <w:top w:val="none" w:sz="0" w:space="0" w:color="auto"/>
                        <w:left w:val="none" w:sz="0" w:space="0" w:color="auto"/>
                        <w:bottom w:val="none" w:sz="0" w:space="0" w:color="auto"/>
                        <w:right w:val="none" w:sz="0" w:space="0" w:color="auto"/>
                      </w:divBdr>
                    </w:div>
                  </w:divsChild>
                </w:div>
                <w:div w:id="680623644">
                  <w:marLeft w:val="0"/>
                  <w:marRight w:val="0"/>
                  <w:marTop w:val="0"/>
                  <w:marBottom w:val="0"/>
                  <w:divBdr>
                    <w:top w:val="none" w:sz="0" w:space="0" w:color="auto"/>
                    <w:left w:val="none" w:sz="0" w:space="0" w:color="auto"/>
                    <w:bottom w:val="none" w:sz="0" w:space="0" w:color="auto"/>
                    <w:right w:val="none" w:sz="0" w:space="0" w:color="auto"/>
                  </w:divBdr>
                  <w:divsChild>
                    <w:div w:id="984090439">
                      <w:marLeft w:val="0"/>
                      <w:marRight w:val="0"/>
                      <w:marTop w:val="0"/>
                      <w:marBottom w:val="0"/>
                      <w:divBdr>
                        <w:top w:val="none" w:sz="0" w:space="0" w:color="auto"/>
                        <w:left w:val="none" w:sz="0" w:space="0" w:color="auto"/>
                        <w:bottom w:val="none" w:sz="0" w:space="0" w:color="auto"/>
                        <w:right w:val="none" w:sz="0" w:space="0" w:color="auto"/>
                      </w:divBdr>
                    </w:div>
                  </w:divsChild>
                </w:div>
                <w:div w:id="1591432436">
                  <w:marLeft w:val="0"/>
                  <w:marRight w:val="0"/>
                  <w:marTop w:val="0"/>
                  <w:marBottom w:val="0"/>
                  <w:divBdr>
                    <w:top w:val="none" w:sz="0" w:space="0" w:color="auto"/>
                    <w:left w:val="none" w:sz="0" w:space="0" w:color="auto"/>
                    <w:bottom w:val="none" w:sz="0" w:space="0" w:color="auto"/>
                    <w:right w:val="none" w:sz="0" w:space="0" w:color="auto"/>
                  </w:divBdr>
                  <w:divsChild>
                    <w:div w:id="345056584">
                      <w:marLeft w:val="0"/>
                      <w:marRight w:val="0"/>
                      <w:marTop w:val="0"/>
                      <w:marBottom w:val="0"/>
                      <w:divBdr>
                        <w:top w:val="none" w:sz="0" w:space="0" w:color="auto"/>
                        <w:left w:val="none" w:sz="0" w:space="0" w:color="auto"/>
                        <w:bottom w:val="none" w:sz="0" w:space="0" w:color="auto"/>
                        <w:right w:val="none" w:sz="0" w:space="0" w:color="auto"/>
                      </w:divBdr>
                    </w:div>
                  </w:divsChild>
                </w:div>
                <w:div w:id="150489997">
                  <w:marLeft w:val="0"/>
                  <w:marRight w:val="0"/>
                  <w:marTop w:val="0"/>
                  <w:marBottom w:val="0"/>
                  <w:divBdr>
                    <w:top w:val="none" w:sz="0" w:space="0" w:color="auto"/>
                    <w:left w:val="none" w:sz="0" w:space="0" w:color="auto"/>
                    <w:bottom w:val="none" w:sz="0" w:space="0" w:color="auto"/>
                    <w:right w:val="none" w:sz="0" w:space="0" w:color="auto"/>
                  </w:divBdr>
                  <w:divsChild>
                    <w:div w:id="735325781">
                      <w:marLeft w:val="0"/>
                      <w:marRight w:val="0"/>
                      <w:marTop w:val="0"/>
                      <w:marBottom w:val="0"/>
                      <w:divBdr>
                        <w:top w:val="none" w:sz="0" w:space="0" w:color="auto"/>
                        <w:left w:val="none" w:sz="0" w:space="0" w:color="auto"/>
                        <w:bottom w:val="none" w:sz="0" w:space="0" w:color="auto"/>
                        <w:right w:val="none" w:sz="0" w:space="0" w:color="auto"/>
                      </w:divBdr>
                    </w:div>
                  </w:divsChild>
                </w:div>
                <w:div w:id="1712680940">
                  <w:marLeft w:val="0"/>
                  <w:marRight w:val="0"/>
                  <w:marTop w:val="0"/>
                  <w:marBottom w:val="0"/>
                  <w:divBdr>
                    <w:top w:val="none" w:sz="0" w:space="0" w:color="auto"/>
                    <w:left w:val="none" w:sz="0" w:space="0" w:color="auto"/>
                    <w:bottom w:val="none" w:sz="0" w:space="0" w:color="auto"/>
                    <w:right w:val="none" w:sz="0" w:space="0" w:color="auto"/>
                  </w:divBdr>
                  <w:divsChild>
                    <w:div w:id="167722771">
                      <w:marLeft w:val="0"/>
                      <w:marRight w:val="0"/>
                      <w:marTop w:val="0"/>
                      <w:marBottom w:val="0"/>
                      <w:divBdr>
                        <w:top w:val="none" w:sz="0" w:space="0" w:color="auto"/>
                        <w:left w:val="none" w:sz="0" w:space="0" w:color="auto"/>
                        <w:bottom w:val="none" w:sz="0" w:space="0" w:color="auto"/>
                        <w:right w:val="none" w:sz="0" w:space="0" w:color="auto"/>
                      </w:divBdr>
                    </w:div>
                  </w:divsChild>
                </w:div>
                <w:div w:id="809591033">
                  <w:marLeft w:val="0"/>
                  <w:marRight w:val="0"/>
                  <w:marTop w:val="0"/>
                  <w:marBottom w:val="0"/>
                  <w:divBdr>
                    <w:top w:val="none" w:sz="0" w:space="0" w:color="auto"/>
                    <w:left w:val="none" w:sz="0" w:space="0" w:color="auto"/>
                    <w:bottom w:val="none" w:sz="0" w:space="0" w:color="auto"/>
                    <w:right w:val="none" w:sz="0" w:space="0" w:color="auto"/>
                  </w:divBdr>
                  <w:divsChild>
                    <w:div w:id="1247229180">
                      <w:marLeft w:val="0"/>
                      <w:marRight w:val="0"/>
                      <w:marTop w:val="0"/>
                      <w:marBottom w:val="0"/>
                      <w:divBdr>
                        <w:top w:val="none" w:sz="0" w:space="0" w:color="auto"/>
                        <w:left w:val="none" w:sz="0" w:space="0" w:color="auto"/>
                        <w:bottom w:val="none" w:sz="0" w:space="0" w:color="auto"/>
                        <w:right w:val="none" w:sz="0" w:space="0" w:color="auto"/>
                      </w:divBdr>
                    </w:div>
                  </w:divsChild>
                </w:div>
                <w:div w:id="926380945">
                  <w:marLeft w:val="0"/>
                  <w:marRight w:val="0"/>
                  <w:marTop w:val="0"/>
                  <w:marBottom w:val="0"/>
                  <w:divBdr>
                    <w:top w:val="none" w:sz="0" w:space="0" w:color="auto"/>
                    <w:left w:val="none" w:sz="0" w:space="0" w:color="auto"/>
                    <w:bottom w:val="none" w:sz="0" w:space="0" w:color="auto"/>
                    <w:right w:val="none" w:sz="0" w:space="0" w:color="auto"/>
                  </w:divBdr>
                  <w:divsChild>
                    <w:div w:id="1214121152">
                      <w:marLeft w:val="0"/>
                      <w:marRight w:val="0"/>
                      <w:marTop w:val="0"/>
                      <w:marBottom w:val="0"/>
                      <w:divBdr>
                        <w:top w:val="none" w:sz="0" w:space="0" w:color="auto"/>
                        <w:left w:val="none" w:sz="0" w:space="0" w:color="auto"/>
                        <w:bottom w:val="none" w:sz="0" w:space="0" w:color="auto"/>
                        <w:right w:val="none" w:sz="0" w:space="0" w:color="auto"/>
                      </w:divBdr>
                    </w:div>
                  </w:divsChild>
                </w:div>
                <w:div w:id="1215849981">
                  <w:marLeft w:val="0"/>
                  <w:marRight w:val="0"/>
                  <w:marTop w:val="0"/>
                  <w:marBottom w:val="0"/>
                  <w:divBdr>
                    <w:top w:val="none" w:sz="0" w:space="0" w:color="auto"/>
                    <w:left w:val="none" w:sz="0" w:space="0" w:color="auto"/>
                    <w:bottom w:val="none" w:sz="0" w:space="0" w:color="auto"/>
                    <w:right w:val="none" w:sz="0" w:space="0" w:color="auto"/>
                  </w:divBdr>
                  <w:divsChild>
                    <w:div w:id="808590700">
                      <w:marLeft w:val="0"/>
                      <w:marRight w:val="0"/>
                      <w:marTop w:val="0"/>
                      <w:marBottom w:val="0"/>
                      <w:divBdr>
                        <w:top w:val="none" w:sz="0" w:space="0" w:color="auto"/>
                        <w:left w:val="none" w:sz="0" w:space="0" w:color="auto"/>
                        <w:bottom w:val="none" w:sz="0" w:space="0" w:color="auto"/>
                        <w:right w:val="none" w:sz="0" w:space="0" w:color="auto"/>
                      </w:divBdr>
                    </w:div>
                  </w:divsChild>
                </w:div>
                <w:div w:id="409549638">
                  <w:marLeft w:val="0"/>
                  <w:marRight w:val="0"/>
                  <w:marTop w:val="0"/>
                  <w:marBottom w:val="0"/>
                  <w:divBdr>
                    <w:top w:val="none" w:sz="0" w:space="0" w:color="auto"/>
                    <w:left w:val="none" w:sz="0" w:space="0" w:color="auto"/>
                    <w:bottom w:val="none" w:sz="0" w:space="0" w:color="auto"/>
                    <w:right w:val="none" w:sz="0" w:space="0" w:color="auto"/>
                  </w:divBdr>
                  <w:divsChild>
                    <w:div w:id="1065376491">
                      <w:marLeft w:val="0"/>
                      <w:marRight w:val="0"/>
                      <w:marTop w:val="0"/>
                      <w:marBottom w:val="0"/>
                      <w:divBdr>
                        <w:top w:val="none" w:sz="0" w:space="0" w:color="auto"/>
                        <w:left w:val="none" w:sz="0" w:space="0" w:color="auto"/>
                        <w:bottom w:val="none" w:sz="0" w:space="0" w:color="auto"/>
                        <w:right w:val="none" w:sz="0" w:space="0" w:color="auto"/>
                      </w:divBdr>
                    </w:div>
                  </w:divsChild>
                </w:div>
                <w:div w:id="2078089486">
                  <w:marLeft w:val="0"/>
                  <w:marRight w:val="0"/>
                  <w:marTop w:val="0"/>
                  <w:marBottom w:val="0"/>
                  <w:divBdr>
                    <w:top w:val="none" w:sz="0" w:space="0" w:color="auto"/>
                    <w:left w:val="none" w:sz="0" w:space="0" w:color="auto"/>
                    <w:bottom w:val="none" w:sz="0" w:space="0" w:color="auto"/>
                    <w:right w:val="none" w:sz="0" w:space="0" w:color="auto"/>
                  </w:divBdr>
                  <w:divsChild>
                    <w:div w:id="342170292">
                      <w:marLeft w:val="0"/>
                      <w:marRight w:val="0"/>
                      <w:marTop w:val="0"/>
                      <w:marBottom w:val="0"/>
                      <w:divBdr>
                        <w:top w:val="none" w:sz="0" w:space="0" w:color="auto"/>
                        <w:left w:val="none" w:sz="0" w:space="0" w:color="auto"/>
                        <w:bottom w:val="none" w:sz="0" w:space="0" w:color="auto"/>
                        <w:right w:val="none" w:sz="0" w:space="0" w:color="auto"/>
                      </w:divBdr>
                    </w:div>
                  </w:divsChild>
                </w:div>
                <w:div w:id="492067044">
                  <w:marLeft w:val="0"/>
                  <w:marRight w:val="0"/>
                  <w:marTop w:val="0"/>
                  <w:marBottom w:val="0"/>
                  <w:divBdr>
                    <w:top w:val="none" w:sz="0" w:space="0" w:color="auto"/>
                    <w:left w:val="none" w:sz="0" w:space="0" w:color="auto"/>
                    <w:bottom w:val="none" w:sz="0" w:space="0" w:color="auto"/>
                    <w:right w:val="none" w:sz="0" w:space="0" w:color="auto"/>
                  </w:divBdr>
                  <w:divsChild>
                    <w:div w:id="941035402">
                      <w:marLeft w:val="0"/>
                      <w:marRight w:val="0"/>
                      <w:marTop w:val="0"/>
                      <w:marBottom w:val="0"/>
                      <w:divBdr>
                        <w:top w:val="none" w:sz="0" w:space="0" w:color="auto"/>
                        <w:left w:val="none" w:sz="0" w:space="0" w:color="auto"/>
                        <w:bottom w:val="none" w:sz="0" w:space="0" w:color="auto"/>
                        <w:right w:val="none" w:sz="0" w:space="0" w:color="auto"/>
                      </w:divBdr>
                    </w:div>
                  </w:divsChild>
                </w:div>
                <w:div w:id="1102072820">
                  <w:marLeft w:val="0"/>
                  <w:marRight w:val="0"/>
                  <w:marTop w:val="0"/>
                  <w:marBottom w:val="0"/>
                  <w:divBdr>
                    <w:top w:val="none" w:sz="0" w:space="0" w:color="auto"/>
                    <w:left w:val="none" w:sz="0" w:space="0" w:color="auto"/>
                    <w:bottom w:val="none" w:sz="0" w:space="0" w:color="auto"/>
                    <w:right w:val="none" w:sz="0" w:space="0" w:color="auto"/>
                  </w:divBdr>
                  <w:divsChild>
                    <w:div w:id="1286233530">
                      <w:marLeft w:val="0"/>
                      <w:marRight w:val="0"/>
                      <w:marTop w:val="0"/>
                      <w:marBottom w:val="0"/>
                      <w:divBdr>
                        <w:top w:val="none" w:sz="0" w:space="0" w:color="auto"/>
                        <w:left w:val="none" w:sz="0" w:space="0" w:color="auto"/>
                        <w:bottom w:val="none" w:sz="0" w:space="0" w:color="auto"/>
                        <w:right w:val="none" w:sz="0" w:space="0" w:color="auto"/>
                      </w:divBdr>
                    </w:div>
                  </w:divsChild>
                </w:div>
                <w:div w:id="2054065">
                  <w:marLeft w:val="0"/>
                  <w:marRight w:val="0"/>
                  <w:marTop w:val="0"/>
                  <w:marBottom w:val="0"/>
                  <w:divBdr>
                    <w:top w:val="none" w:sz="0" w:space="0" w:color="auto"/>
                    <w:left w:val="none" w:sz="0" w:space="0" w:color="auto"/>
                    <w:bottom w:val="none" w:sz="0" w:space="0" w:color="auto"/>
                    <w:right w:val="none" w:sz="0" w:space="0" w:color="auto"/>
                  </w:divBdr>
                  <w:divsChild>
                    <w:div w:id="1559971905">
                      <w:marLeft w:val="0"/>
                      <w:marRight w:val="0"/>
                      <w:marTop w:val="0"/>
                      <w:marBottom w:val="0"/>
                      <w:divBdr>
                        <w:top w:val="none" w:sz="0" w:space="0" w:color="auto"/>
                        <w:left w:val="none" w:sz="0" w:space="0" w:color="auto"/>
                        <w:bottom w:val="none" w:sz="0" w:space="0" w:color="auto"/>
                        <w:right w:val="none" w:sz="0" w:space="0" w:color="auto"/>
                      </w:divBdr>
                    </w:div>
                  </w:divsChild>
                </w:div>
                <w:div w:id="1015231469">
                  <w:marLeft w:val="0"/>
                  <w:marRight w:val="0"/>
                  <w:marTop w:val="0"/>
                  <w:marBottom w:val="0"/>
                  <w:divBdr>
                    <w:top w:val="none" w:sz="0" w:space="0" w:color="auto"/>
                    <w:left w:val="none" w:sz="0" w:space="0" w:color="auto"/>
                    <w:bottom w:val="none" w:sz="0" w:space="0" w:color="auto"/>
                    <w:right w:val="none" w:sz="0" w:space="0" w:color="auto"/>
                  </w:divBdr>
                  <w:divsChild>
                    <w:div w:id="996031247">
                      <w:marLeft w:val="0"/>
                      <w:marRight w:val="0"/>
                      <w:marTop w:val="0"/>
                      <w:marBottom w:val="0"/>
                      <w:divBdr>
                        <w:top w:val="none" w:sz="0" w:space="0" w:color="auto"/>
                        <w:left w:val="none" w:sz="0" w:space="0" w:color="auto"/>
                        <w:bottom w:val="none" w:sz="0" w:space="0" w:color="auto"/>
                        <w:right w:val="none" w:sz="0" w:space="0" w:color="auto"/>
                      </w:divBdr>
                    </w:div>
                  </w:divsChild>
                </w:div>
                <w:div w:id="392510777">
                  <w:marLeft w:val="0"/>
                  <w:marRight w:val="0"/>
                  <w:marTop w:val="0"/>
                  <w:marBottom w:val="0"/>
                  <w:divBdr>
                    <w:top w:val="none" w:sz="0" w:space="0" w:color="auto"/>
                    <w:left w:val="none" w:sz="0" w:space="0" w:color="auto"/>
                    <w:bottom w:val="none" w:sz="0" w:space="0" w:color="auto"/>
                    <w:right w:val="none" w:sz="0" w:space="0" w:color="auto"/>
                  </w:divBdr>
                  <w:divsChild>
                    <w:div w:id="382490677">
                      <w:marLeft w:val="0"/>
                      <w:marRight w:val="0"/>
                      <w:marTop w:val="0"/>
                      <w:marBottom w:val="0"/>
                      <w:divBdr>
                        <w:top w:val="none" w:sz="0" w:space="0" w:color="auto"/>
                        <w:left w:val="none" w:sz="0" w:space="0" w:color="auto"/>
                        <w:bottom w:val="none" w:sz="0" w:space="0" w:color="auto"/>
                        <w:right w:val="none" w:sz="0" w:space="0" w:color="auto"/>
                      </w:divBdr>
                    </w:div>
                  </w:divsChild>
                </w:div>
                <w:div w:id="391973182">
                  <w:marLeft w:val="0"/>
                  <w:marRight w:val="0"/>
                  <w:marTop w:val="0"/>
                  <w:marBottom w:val="0"/>
                  <w:divBdr>
                    <w:top w:val="none" w:sz="0" w:space="0" w:color="auto"/>
                    <w:left w:val="none" w:sz="0" w:space="0" w:color="auto"/>
                    <w:bottom w:val="none" w:sz="0" w:space="0" w:color="auto"/>
                    <w:right w:val="none" w:sz="0" w:space="0" w:color="auto"/>
                  </w:divBdr>
                  <w:divsChild>
                    <w:div w:id="1020401639">
                      <w:marLeft w:val="0"/>
                      <w:marRight w:val="0"/>
                      <w:marTop w:val="0"/>
                      <w:marBottom w:val="0"/>
                      <w:divBdr>
                        <w:top w:val="none" w:sz="0" w:space="0" w:color="auto"/>
                        <w:left w:val="none" w:sz="0" w:space="0" w:color="auto"/>
                        <w:bottom w:val="none" w:sz="0" w:space="0" w:color="auto"/>
                        <w:right w:val="none" w:sz="0" w:space="0" w:color="auto"/>
                      </w:divBdr>
                    </w:div>
                  </w:divsChild>
                </w:div>
                <w:div w:id="130027047">
                  <w:marLeft w:val="0"/>
                  <w:marRight w:val="0"/>
                  <w:marTop w:val="0"/>
                  <w:marBottom w:val="0"/>
                  <w:divBdr>
                    <w:top w:val="none" w:sz="0" w:space="0" w:color="auto"/>
                    <w:left w:val="none" w:sz="0" w:space="0" w:color="auto"/>
                    <w:bottom w:val="none" w:sz="0" w:space="0" w:color="auto"/>
                    <w:right w:val="none" w:sz="0" w:space="0" w:color="auto"/>
                  </w:divBdr>
                  <w:divsChild>
                    <w:div w:id="154416929">
                      <w:marLeft w:val="0"/>
                      <w:marRight w:val="0"/>
                      <w:marTop w:val="0"/>
                      <w:marBottom w:val="0"/>
                      <w:divBdr>
                        <w:top w:val="none" w:sz="0" w:space="0" w:color="auto"/>
                        <w:left w:val="none" w:sz="0" w:space="0" w:color="auto"/>
                        <w:bottom w:val="none" w:sz="0" w:space="0" w:color="auto"/>
                        <w:right w:val="none" w:sz="0" w:space="0" w:color="auto"/>
                      </w:divBdr>
                    </w:div>
                  </w:divsChild>
                </w:div>
                <w:div w:id="784425109">
                  <w:marLeft w:val="0"/>
                  <w:marRight w:val="0"/>
                  <w:marTop w:val="0"/>
                  <w:marBottom w:val="0"/>
                  <w:divBdr>
                    <w:top w:val="none" w:sz="0" w:space="0" w:color="auto"/>
                    <w:left w:val="none" w:sz="0" w:space="0" w:color="auto"/>
                    <w:bottom w:val="none" w:sz="0" w:space="0" w:color="auto"/>
                    <w:right w:val="none" w:sz="0" w:space="0" w:color="auto"/>
                  </w:divBdr>
                  <w:divsChild>
                    <w:div w:id="1845824681">
                      <w:marLeft w:val="0"/>
                      <w:marRight w:val="0"/>
                      <w:marTop w:val="0"/>
                      <w:marBottom w:val="0"/>
                      <w:divBdr>
                        <w:top w:val="none" w:sz="0" w:space="0" w:color="auto"/>
                        <w:left w:val="none" w:sz="0" w:space="0" w:color="auto"/>
                        <w:bottom w:val="none" w:sz="0" w:space="0" w:color="auto"/>
                        <w:right w:val="none" w:sz="0" w:space="0" w:color="auto"/>
                      </w:divBdr>
                    </w:div>
                  </w:divsChild>
                </w:div>
                <w:div w:id="485822699">
                  <w:marLeft w:val="0"/>
                  <w:marRight w:val="0"/>
                  <w:marTop w:val="0"/>
                  <w:marBottom w:val="0"/>
                  <w:divBdr>
                    <w:top w:val="none" w:sz="0" w:space="0" w:color="auto"/>
                    <w:left w:val="none" w:sz="0" w:space="0" w:color="auto"/>
                    <w:bottom w:val="none" w:sz="0" w:space="0" w:color="auto"/>
                    <w:right w:val="none" w:sz="0" w:space="0" w:color="auto"/>
                  </w:divBdr>
                  <w:divsChild>
                    <w:div w:id="1714578610">
                      <w:marLeft w:val="0"/>
                      <w:marRight w:val="0"/>
                      <w:marTop w:val="0"/>
                      <w:marBottom w:val="0"/>
                      <w:divBdr>
                        <w:top w:val="none" w:sz="0" w:space="0" w:color="auto"/>
                        <w:left w:val="none" w:sz="0" w:space="0" w:color="auto"/>
                        <w:bottom w:val="none" w:sz="0" w:space="0" w:color="auto"/>
                        <w:right w:val="none" w:sz="0" w:space="0" w:color="auto"/>
                      </w:divBdr>
                    </w:div>
                  </w:divsChild>
                </w:div>
                <w:div w:id="600379991">
                  <w:marLeft w:val="0"/>
                  <w:marRight w:val="0"/>
                  <w:marTop w:val="0"/>
                  <w:marBottom w:val="0"/>
                  <w:divBdr>
                    <w:top w:val="none" w:sz="0" w:space="0" w:color="auto"/>
                    <w:left w:val="none" w:sz="0" w:space="0" w:color="auto"/>
                    <w:bottom w:val="none" w:sz="0" w:space="0" w:color="auto"/>
                    <w:right w:val="none" w:sz="0" w:space="0" w:color="auto"/>
                  </w:divBdr>
                  <w:divsChild>
                    <w:div w:id="189882819">
                      <w:marLeft w:val="0"/>
                      <w:marRight w:val="0"/>
                      <w:marTop w:val="0"/>
                      <w:marBottom w:val="0"/>
                      <w:divBdr>
                        <w:top w:val="none" w:sz="0" w:space="0" w:color="auto"/>
                        <w:left w:val="none" w:sz="0" w:space="0" w:color="auto"/>
                        <w:bottom w:val="none" w:sz="0" w:space="0" w:color="auto"/>
                        <w:right w:val="none" w:sz="0" w:space="0" w:color="auto"/>
                      </w:divBdr>
                    </w:div>
                  </w:divsChild>
                </w:div>
                <w:div w:id="972977761">
                  <w:marLeft w:val="0"/>
                  <w:marRight w:val="0"/>
                  <w:marTop w:val="0"/>
                  <w:marBottom w:val="0"/>
                  <w:divBdr>
                    <w:top w:val="none" w:sz="0" w:space="0" w:color="auto"/>
                    <w:left w:val="none" w:sz="0" w:space="0" w:color="auto"/>
                    <w:bottom w:val="none" w:sz="0" w:space="0" w:color="auto"/>
                    <w:right w:val="none" w:sz="0" w:space="0" w:color="auto"/>
                  </w:divBdr>
                  <w:divsChild>
                    <w:div w:id="445972828">
                      <w:marLeft w:val="0"/>
                      <w:marRight w:val="0"/>
                      <w:marTop w:val="0"/>
                      <w:marBottom w:val="0"/>
                      <w:divBdr>
                        <w:top w:val="none" w:sz="0" w:space="0" w:color="auto"/>
                        <w:left w:val="none" w:sz="0" w:space="0" w:color="auto"/>
                        <w:bottom w:val="none" w:sz="0" w:space="0" w:color="auto"/>
                        <w:right w:val="none" w:sz="0" w:space="0" w:color="auto"/>
                      </w:divBdr>
                    </w:div>
                  </w:divsChild>
                </w:div>
                <w:div w:id="996109893">
                  <w:marLeft w:val="0"/>
                  <w:marRight w:val="0"/>
                  <w:marTop w:val="0"/>
                  <w:marBottom w:val="0"/>
                  <w:divBdr>
                    <w:top w:val="none" w:sz="0" w:space="0" w:color="auto"/>
                    <w:left w:val="none" w:sz="0" w:space="0" w:color="auto"/>
                    <w:bottom w:val="none" w:sz="0" w:space="0" w:color="auto"/>
                    <w:right w:val="none" w:sz="0" w:space="0" w:color="auto"/>
                  </w:divBdr>
                  <w:divsChild>
                    <w:div w:id="296843601">
                      <w:marLeft w:val="0"/>
                      <w:marRight w:val="0"/>
                      <w:marTop w:val="0"/>
                      <w:marBottom w:val="0"/>
                      <w:divBdr>
                        <w:top w:val="none" w:sz="0" w:space="0" w:color="auto"/>
                        <w:left w:val="none" w:sz="0" w:space="0" w:color="auto"/>
                        <w:bottom w:val="none" w:sz="0" w:space="0" w:color="auto"/>
                        <w:right w:val="none" w:sz="0" w:space="0" w:color="auto"/>
                      </w:divBdr>
                    </w:div>
                  </w:divsChild>
                </w:div>
                <w:div w:id="1864636995">
                  <w:marLeft w:val="0"/>
                  <w:marRight w:val="0"/>
                  <w:marTop w:val="0"/>
                  <w:marBottom w:val="0"/>
                  <w:divBdr>
                    <w:top w:val="none" w:sz="0" w:space="0" w:color="auto"/>
                    <w:left w:val="none" w:sz="0" w:space="0" w:color="auto"/>
                    <w:bottom w:val="none" w:sz="0" w:space="0" w:color="auto"/>
                    <w:right w:val="none" w:sz="0" w:space="0" w:color="auto"/>
                  </w:divBdr>
                  <w:divsChild>
                    <w:div w:id="1885436569">
                      <w:marLeft w:val="0"/>
                      <w:marRight w:val="0"/>
                      <w:marTop w:val="0"/>
                      <w:marBottom w:val="0"/>
                      <w:divBdr>
                        <w:top w:val="none" w:sz="0" w:space="0" w:color="auto"/>
                        <w:left w:val="none" w:sz="0" w:space="0" w:color="auto"/>
                        <w:bottom w:val="none" w:sz="0" w:space="0" w:color="auto"/>
                        <w:right w:val="none" w:sz="0" w:space="0" w:color="auto"/>
                      </w:divBdr>
                    </w:div>
                  </w:divsChild>
                </w:div>
                <w:div w:id="1398749790">
                  <w:marLeft w:val="0"/>
                  <w:marRight w:val="0"/>
                  <w:marTop w:val="0"/>
                  <w:marBottom w:val="0"/>
                  <w:divBdr>
                    <w:top w:val="none" w:sz="0" w:space="0" w:color="auto"/>
                    <w:left w:val="none" w:sz="0" w:space="0" w:color="auto"/>
                    <w:bottom w:val="none" w:sz="0" w:space="0" w:color="auto"/>
                    <w:right w:val="none" w:sz="0" w:space="0" w:color="auto"/>
                  </w:divBdr>
                  <w:divsChild>
                    <w:div w:id="304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5848">
          <w:marLeft w:val="0"/>
          <w:marRight w:val="0"/>
          <w:marTop w:val="0"/>
          <w:marBottom w:val="0"/>
          <w:divBdr>
            <w:top w:val="none" w:sz="0" w:space="0" w:color="auto"/>
            <w:left w:val="none" w:sz="0" w:space="0" w:color="auto"/>
            <w:bottom w:val="none" w:sz="0" w:space="0" w:color="auto"/>
            <w:right w:val="none" w:sz="0" w:space="0" w:color="auto"/>
          </w:divBdr>
        </w:div>
        <w:div w:id="1547988591">
          <w:marLeft w:val="0"/>
          <w:marRight w:val="0"/>
          <w:marTop w:val="0"/>
          <w:marBottom w:val="0"/>
          <w:divBdr>
            <w:top w:val="none" w:sz="0" w:space="0" w:color="auto"/>
            <w:left w:val="none" w:sz="0" w:space="0" w:color="auto"/>
            <w:bottom w:val="none" w:sz="0" w:space="0" w:color="auto"/>
            <w:right w:val="none" w:sz="0" w:space="0" w:color="auto"/>
          </w:divBdr>
        </w:div>
        <w:div w:id="1086262970">
          <w:marLeft w:val="0"/>
          <w:marRight w:val="0"/>
          <w:marTop w:val="0"/>
          <w:marBottom w:val="0"/>
          <w:divBdr>
            <w:top w:val="none" w:sz="0" w:space="0" w:color="auto"/>
            <w:left w:val="none" w:sz="0" w:space="0" w:color="auto"/>
            <w:bottom w:val="none" w:sz="0" w:space="0" w:color="auto"/>
            <w:right w:val="none" w:sz="0" w:space="0" w:color="auto"/>
          </w:divBdr>
        </w:div>
        <w:div w:id="1939560877">
          <w:marLeft w:val="0"/>
          <w:marRight w:val="0"/>
          <w:marTop w:val="0"/>
          <w:marBottom w:val="0"/>
          <w:divBdr>
            <w:top w:val="none" w:sz="0" w:space="0" w:color="auto"/>
            <w:left w:val="none" w:sz="0" w:space="0" w:color="auto"/>
            <w:bottom w:val="none" w:sz="0" w:space="0" w:color="auto"/>
            <w:right w:val="none" w:sz="0" w:space="0" w:color="auto"/>
          </w:divBdr>
        </w:div>
        <w:div w:id="1991210477">
          <w:marLeft w:val="0"/>
          <w:marRight w:val="0"/>
          <w:marTop w:val="0"/>
          <w:marBottom w:val="0"/>
          <w:divBdr>
            <w:top w:val="none" w:sz="0" w:space="0" w:color="auto"/>
            <w:left w:val="none" w:sz="0" w:space="0" w:color="auto"/>
            <w:bottom w:val="none" w:sz="0" w:space="0" w:color="auto"/>
            <w:right w:val="none" w:sz="0" w:space="0" w:color="auto"/>
          </w:divBdr>
        </w:div>
        <w:div w:id="564994434">
          <w:marLeft w:val="0"/>
          <w:marRight w:val="0"/>
          <w:marTop w:val="0"/>
          <w:marBottom w:val="0"/>
          <w:divBdr>
            <w:top w:val="none" w:sz="0" w:space="0" w:color="auto"/>
            <w:left w:val="none" w:sz="0" w:space="0" w:color="auto"/>
            <w:bottom w:val="none" w:sz="0" w:space="0" w:color="auto"/>
            <w:right w:val="none" w:sz="0" w:space="0" w:color="auto"/>
          </w:divBdr>
        </w:div>
        <w:div w:id="298845792">
          <w:marLeft w:val="0"/>
          <w:marRight w:val="0"/>
          <w:marTop w:val="0"/>
          <w:marBottom w:val="0"/>
          <w:divBdr>
            <w:top w:val="none" w:sz="0" w:space="0" w:color="auto"/>
            <w:left w:val="none" w:sz="0" w:space="0" w:color="auto"/>
            <w:bottom w:val="none" w:sz="0" w:space="0" w:color="auto"/>
            <w:right w:val="none" w:sz="0" w:space="0" w:color="auto"/>
          </w:divBdr>
        </w:div>
        <w:div w:id="506527790">
          <w:marLeft w:val="0"/>
          <w:marRight w:val="0"/>
          <w:marTop w:val="0"/>
          <w:marBottom w:val="0"/>
          <w:divBdr>
            <w:top w:val="none" w:sz="0" w:space="0" w:color="auto"/>
            <w:left w:val="none" w:sz="0" w:space="0" w:color="auto"/>
            <w:bottom w:val="none" w:sz="0" w:space="0" w:color="auto"/>
            <w:right w:val="none" w:sz="0" w:space="0" w:color="auto"/>
          </w:divBdr>
        </w:div>
        <w:div w:id="202631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jtolivieribattestini\Desktop\Travaux_offline\Notes\MAJ%20notes%20sites%20janvier%202024\commerce%20ext&#233;rieur\CANext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jtolivieribattestini\Desktop\Travaux_offline\Notes\MAJ%20notes%20sites%20janvier%202024\commerce%20ext&#233;rieur\CANext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jtolivieribattestini\Desktop\Travaux_offline\Notes\MAJ%20notes%20sites%20janvier%202024\commerce%20ext&#233;rieur\CANext202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fr-FR" sz="1200">
                <a:latin typeface="Segoe UI" panose="020B0502040204020203" pitchFamily="34" charset="0"/>
                <a:cs typeface="Segoe UI" panose="020B0502040204020203" pitchFamily="34" charset="0"/>
              </a:rPr>
              <a:t>Evolution du commerce extérieur</a:t>
            </a:r>
            <a:r>
              <a:rPr lang="fr-FR" sz="1200" baseline="0">
                <a:latin typeface="Segoe UI" panose="020B0502040204020203" pitchFamily="34" charset="0"/>
                <a:cs typeface="Segoe UI" panose="020B0502040204020203" pitchFamily="34" charset="0"/>
              </a:rPr>
              <a:t> canadien pour les biens de 2013 à 2023</a:t>
            </a:r>
            <a:endParaRPr lang="fr-FR" sz="1200">
              <a:latin typeface="Segoe UI" panose="020B0502040204020203" pitchFamily="34" charset="0"/>
              <a:cs typeface="Segoe UI" panose="020B0502040204020203"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fr-FR"/>
        </a:p>
      </c:txPr>
    </c:title>
    <c:autoTitleDeleted val="0"/>
    <c:plotArea>
      <c:layout/>
      <c:barChart>
        <c:barDir val="col"/>
        <c:grouping val="clustered"/>
        <c:varyColors val="0"/>
        <c:ser>
          <c:idx val="2"/>
          <c:order val="2"/>
          <c:tx>
            <c:strRef>
              <c:f>'commerce total'!$A$16</c:f>
              <c:strCache>
                <c:ptCount val="1"/>
                <c:pt idx="0">
                  <c:v>Balance commerciale</c:v>
                </c:pt>
              </c:strCache>
            </c:strRef>
          </c:tx>
          <c:spPr>
            <a:solidFill>
              <a:srgbClr val="FF0000"/>
            </a:solidFill>
            <a:ln>
              <a:noFill/>
            </a:ln>
            <a:effectLst/>
          </c:spPr>
          <c:invertIfNegative val="0"/>
          <c:dPt>
            <c:idx val="1"/>
            <c:invertIfNegative val="0"/>
            <c:bubble3D val="0"/>
            <c:spPr>
              <a:solidFill>
                <a:srgbClr val="00B050"/>
              </a:solidFill>
              <a:ln>
                <a:noFill/>
              </a:ln>
              <a:effectLst/>
            </c:spPr>
            <c:extLst>
              <c:ext xmlns:c16="http://schemas.microsoft.com/office/drawing/2014/chart" uri="{C3380CC4-5D6E-409C-BE32-E72D297353CC}">
                <c16:uniqueId val="{00000001-FD7C-4DA2-A547-E77EAAED2368}"/>
              </c:ext>
            </c:extLst>
          </c:dPt>
          <c:dPt>
            <c:idx val="8"/>
            <c:invertIfNegative val="0"/>
            <c:bubble3D val="0"/>
            <c:spPr>
              <a:solidFill>
                <a:srgbClr val="00B050"/>
              </a:solidFill>
              <a:ln>
                <a:noFill/>
              </a:ln>
              <a:effectLst/>
            </c:spPr>
            <c:extLst>
              <c:ext xmlns:c16="http://schemas.microsoft.com/office/drawing/2014/chart" uri="{C3380CC4-5D6E-409C-BE32-E72D297353CC}">
                <c16:uniqueId val="{00000003-FD7C-4DA2-A547-E77EAAED2368}"/>
              </c:ext>
            </c:extLst>
          </c:dPt>
          <c:dPt>
            <c:idx val="9"/>
            <c:invertIfNegative val="0"/>
            <c:bubble3D val="0"/>
            <c:spPr>
              <a:solidFill>
                <a:srgbClr val="00B050"/>
              </a:solidFill>
              <a:ln>
                <a:noFill/>
              </a:ln>
              <a:effectLst/>
            </c:spPr>
            <c:extLst>
              <c:ext xmlns:c16="http://schemas.microsoft.com/office/drawing/2014/chart" uri="{C3380CC4-5D6E-409C-BE32-E72D297353CC}">
                <c16:uniqueId val="{00000005-FD7C-4DA2-A547-E77EAAED2368}"/>
              </c:ext>
            </c:extLst>
          </c:dPt>
          <c:cat>
            <c:numRef>
              <c:f>'commerce total'!$B$13:$L$13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'commerce total'!$B$16:$L$16</c:f>
              <c:numCache>
                <c:formatCode>#,##0</c:formatCode>
                <c:ptCount val="11"/>
                <c:pt idx="0">
                  <c:v>-7242.7</c:v>
                </c:pt>
                <c:pt idx="1">
                  <c:v>5576.8</c:v>
                </c:pt>
                <c:pt idx="2">
                  <c:v>-23751.3</c:v>
                </c:pt>
                <c:pt idx="3">
                  <c:v>-25048.2</c:v>
                </c:pt>
                <c:pt idx="4">
                  <c:v>-24499.600000000002</c:v>
                </c:pt>
                <c:pt idx="5">
                  <c:v>-21805.599999999999</c:v>
                </c:pt>
                <c:pt idx="6">
                  <c:v>-18798</c:v>
                </c:pt>
                <c:pt idx="7">
                  <c:v>-40647.299999999996</c:v>
                </c:pt>
                <c:pt idx="8">
                  <c:v>2459.5000000000005</c:v>
                </c:pt>
                <c:pt idx="9">
                  <c:v>19706.600000000002</c:v>
                </c:pt>
                <c:pt idx="10">
                  <c:v>-1427.6999999999996</c:v>
                </c:pt>
              </c:numCache>
            </c:numRef>
          </c:val>
          <c:extLst>
            <c:ext xmlns:c16="http://schemas.microsoft.com/office/drawing/2014/chart" uri="{C3380CC4-5D6E-409C-BE32-E72D297353CC}">
              <c16:uniqueId val="{00000006-FD7C-4DA2-A547-E77EAAED2368}"/>
            </c:ext>
          </c:extLst>
        </c:ser>
        <c:dLbls>
          <c:showLegendKey val="0"/>
          <c:showVal val="0"/>
          <c:showCatName val="0"/>
          <c:showSerName val="0"/>
          <c:showPercent val="0"/>
          <c:showBubbleSize val="0"/>
        </c:dLbls>
        <c:gapWidth val="150"/>
        <c:axId val="291139871"/>
        <c:axId val="291147359"/>
      </c:barChart>
      <c:lineChart>
        <c:grouping val="standard"/>
        <c:varyColors val="0"/>
        <c:ser>
          <c:idx val="0"/>
          <c:order val="0"/>
          <c:tx>
            <c:strRef>
              <c:f>'commerce total'!$A$14</c:f>
              <c:strCache>
                <c:ptCount val="1"/>
                <c:pt idx="0">
                  <c:v>Importations</c:v>
                </c:pt>
              </c:strCache>
            </c:strRef>
          </c:tx>
          <c:spPr>
            <a:ln w="28575" cap="rnd">
              <a:solidFill>
                <a:schemeClr val="accent1"/>
              </a:solidFill>
              <a:round/>
            </a:ln>
            <a:effectLst/>
          </c:spPr>
          <c:marker>
            <c:symbol val="none"/>
          </c:marker>
          <c:cat>
            <c:numRef>
              <c:f>'commerce total'!$B$13:$L$13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'commerce total'!$B$14:$L$14</c:f>
              <c:numCache>
                <c:formatCode>#,##0</c:formatCode>
                <c:ptCount val="11"/>
                <c:pt idx="0">
                  <c:v>487759.9</c:v>
                </c:pt>
                <c:pt idx="1">
                  <c:v>525051.80000000005</c:v>
                </c:pt>
                <c:pt idx="2">
                  <c:v>549064.69999999995</c:v>
                </c:pt>
                <c:pt idx="3">
                  <c:v>547349.19999999995</c:v>
                </c:pt>
                <c:pt idx="4">
                  <c:v>575024.29999999993</c:v>
                </c:pt>
                <c:pt idx="5">
                  <c:v>607970.20000000007</c:v>
                </c:pt>
                <c:pt idx="6">
                  <c:v>614397.4</c:v>
                </c:pt>
                <c:pt idx="7">
                  <c:v>563123.39999999991</c:v>
                </c:pt>
                <c:pt idx="8">
                  <c:v>634298.19999999995</c:v>
                </c:pt>
                <c:pt idx="9">
                  <c:v>759481.79999999993</c:v>
                </c:pt>
                <c:pt idx="10">
                  <c:v>770082.60000000009</c:v>
                </c:pt>
              </c:numCache>
            </c:numRef>
          </c:val>
          <c:smooth val="0"/>
          <c:extLst>
            <c:ext xmlns:c16="http://schemas.microsoft.com/office/drawing/2014/chart" uri="{C3380CC4-5D6E-409C-BE32-E72D297353CC}">
              <c16:uniqueId val="{00000007-FD7C-4DA2-A547-E77EAAED2368}"/>
            </c:ext>
          </c:extLst>
        </c:ser>
        <c:ser>
          <c:idx val="1"/>
          <c:order val="1"/>
          <c:tx>
            <c:strRef>
              <c:f>'commerce total'!$A$15</c:f>
              <c:strCache>
                <c:ptCount val="1"/>
                <c:pt idx="0">
                  <c:v>Exportations</c:v>
                </c:pt>
              </c:strCache>
            </c:strRef>
          </c:tx>
          <c:spPr>
            <a:ln w="28575" cap="rnd">
              <a:solidFill>
                <a:schemeClr val="accent4"/>
              </a:solidFill>
              <a:round/>
            </a:ln>
            <a:effectLst/>
          </c:spPr>
          <c:marker>
            <c:symbol val="none"/>
          </c:marker>
          <c:cat>
            <c:numRef>
              <c:f>'commerce total'!$B$13:$L$13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'commerce total'!$B$15:$L$15</c:f>
              <c:numCache>
                <c:formatCode>#,##0</c:formatCode>
                <c:ptCount val="11"/>
                <c:pt idx="0">
                  <c:v>480517.19999999995</c:v>
                </c:pt>
                <c:pt idx="1">
                  <c:v>530628.70000000007</c:v>
                </c:pt>
                <c:pt idx="2">
                  <c:v>525313.10000000009</c:v>
                </c:pt>
                <c:pt idx="3">
                  <c:v>522300.90000000008</c:v>
                </c:pt>
                <c:pt idx="4">
                  <c:v>550524.69999999995</c:v>
                </c:pt>
                <c:pt idx="5">
                  <c:v>586164.6</c:v>
                </c:pt>
                <c:pt idx="6">
                  <c:v>595599.4</c:v>
                </c:pt>
                <c:pt idx="7">
                  <c:v>522476.10000000003</c:v>
                </c:pt>
                <c:pt idx="8">
                  <c:v>636757.80000000005</c:v>
                </c:pt>
                <c:pt idx="9">
                  <c:v>779188.29999999993</c:v>
                </c:pt>
                <c:pt idx="10">
                  <c:v>768654.90000000014</c:v>
                </c:pt>
              </c:numCache>
            </c:numRef>
          </c:val>
          <c:smooth val="0"/>
          <c:extLst>
            <c:ext xmlns:c16="http://schemas.microsoft.com/office/drawing/2014/chart" uri="{C3380CC4-5D6E-409C-BE32-E72D297353CC}">
              <c16:uniqueId val="{00000008-FD7C-4DA2-A547-E77EAAED2368}"/>
            </c:ext>
          </c:extLst>
        </c:ser>
        <c:dLbls>
          <c:showLegendKey val="0"/>
          <c:showVal val="0"/>
          <c:showCatName val="0"/>
          <c:showSerName val="0"/>
          <c:showPercent val="0"/>
          <c:showBubbleSize val="0"/>
        </c:dLbls>
        <c:marker val="1"/>
        <c:smooth val="0"/>
        <c:axId val="154996207"/>
        <c:axId val="154992047"/>
      </c:lineChart>
      <c:lineChart>
        <c:grouping val="standard"/>
        <c:varyColors val="0"/>
        <c:ser>
          <c:idx val="3"/>
          <c:order val="3"/>
          <c:tx>
            <c:strRef>
              <c:f>'commerce total'!$A$17</c:f>
              <c:strCache>
                <c:ptCount val="1"/>
              </c:strCache>
            </c:strRef>
          </c:tx>
          <c:spPr>
            <a:ln w="28575" cap="rnd">
              <a:solidFill>
                <a:sysClr val="windowText" lastClr="000000"/>
              </a:solidFill>
              <a:prstDash val="sysDash"/>
              <a:round/>
            </a:ln>
            <a:effectLst/>
          </c:spPr>
          <c:marker>
            <c:symbol val="none"/>
          </c:marker>
          <c:cat>
            <c:numRef>
              <c:f>'commerce total'!$B$13:$L$13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'commerce total'!$B$17:$L$17</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mooth val="0"/>
          <c:extLst>
            <c:ext xmlns:c16="http://schemas.microsoft.com/office/drawing/2014/chart" uri="{C3380CC4-5D6E-409C-BE32-E72D297353CC}">
              <c16:uniqueId val="{00000009-FD7C-4DA2-A547-E77EAAED2368}"/>
            </c:ext>
          </c:extLst>
        </c:ser>
        <c:dLbls>
          <c:showLegendKey val="0"/>
          <c:showVal val="0"/>
          <c:showCatName val="0"/>
          <c:showSerName val="0"/>
          <c:showPercent val="0"/>
          <c:showBubbleSize val="0"/>
        </c:dLbls>
        <c:marker val="1"/>
        <c:smooth val="0"/>
        <c:axId val="291139871"/>
        <c:axId val="291147359"/>
      </c:lineChart>
      <c:catAx>
        <c:axId val="154996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4992047"/>
        <c:crosses val="autoZero"/>
        <c:auto val="1"/>
        <c:lblAlgn val="ctr"/>
        <c:lblOffset val="100"/>
        <c:noMultiLvlLbl val="0"/>
      </c:catAx>
      <c:valAx>
        <c:axId val="1549920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Exportations/importations (en</a:t>
                </a:r>
                <a:r>
                  <a:rPr lang="fr-FR" baseline="0"/>
                  <a:t> M CAD)</a:t>
                </a: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154996207"/>
        <c:crosses val="autoZero"/>
        <c:crossBetween val="between"/>
      </c:valAx>
      <c:valAx>
        <c:axId val="291147359"/>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Balance</a:t>
                </a:r>
                <a:r>
                  <a:rPr lang="fr-FR" baseline="0"/>
                  <a:t> commerciales des biens (en M CAD)</a:t>
                </a: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291139871"/>
        <c:crosses val="max"/>
        <c:crossBetween val="between"/>
      </c:valAx>
      <c:catAx>
        <c:axId val="291139871"/>
        <c:scaling>
          <c:orientation val="minMax"/>
        </c:scaling>
        <c:delete val="1"/>
        <c:axPos val="b"/>
        <c:numFmt formatCode="General" sourceLinked="1"/>
        <c:majorTickMark val="out"/>
        <c:minorTickMark val="none"/>
        <c:tickLblPos val="nextTo"/>
        <c:crossAx val="291147359"/>
        <c:crosses val="autoZero"/>
        <c:auto val="1"/>
        <c:lblAlgn val="ctr"/>
        <c:lblOffset val="100"/>
        <c:noMultiLvlLbl val="0"/>
      </c:cat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8575" cap="flat" cmpd="sng" algn="ctr">
      <a:solidFill>
        <a:schemeClr val="accent1"/>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fr-FR" sz="1200" b="0" i="0" baseline="0">
                <a:effectLst/>
                <a:latin typeface="Segoe UI" panose="020B0502040204020203" pitchFamily="34" charset="0"/>
                <a:cs typeface="Segoe UI" panose="020B0502040204020203" pitchFamily="34" charset="0"/>
              </a:rPr>
              <a:t>Evolution du commerce extérieur canadien pour les biens de 2013 à 2023</a:t>
            </a:r>
            <a:endParaRPr lang="fr-FR" sz="1200">
              <a:effectLst/>
              <a:latin typeface="Segoe UI" panose="020B0502040204020203" pitchFamily="34" charset="0"/>
              <a:cs typeface="Segoe UI" panose="020B0502040204020203"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fr-FR"/>
        </a:p>
      </c:txPr>
    </c:title>
    <c:autoTitleDeleted val="0"/>
    <c:plotArea>
      <c:layout>
        <c:manualLayout>
          <c:layoutTarget val="inner"/>
          <c:xMode val="edge"/>
          <c:yMode val="edge"/>
          <c:x val="9.9052913504994622E-2"/>
          <c:y val="0.107390505311697"/>
          <c:w val="0.80462585763612693"/>
          <c:h val="0.77019640637143738"/>
        </c:manualLayout>
      </c:layout>
      <c:barChart>
        <c:barDir val="col"/>
        <c:grouping val="clustered"/>
        <c:varyColors val="0"/>
        <c:ser>
          <c:idx val="2"/>
          <c:order val="2"/>
          <c:tx>
            <c:strRef>
              <c:f>'commerce total'!$A$58</c:f>
              <c:strCache>
                <c:ptCount val="1"/>
                <c:pt idx="0">
                  <c:v>Balance commerciale</c:v>
                </c:pt>
              </c:strCache>
            </c:strRef>
          </c:tx>
          <c:spPr>
            <a:solidFill>
              <a:srgbClr val="FF0000"/>
            </a:solidFill>
            <a:ln>
              <a:noFill/>
            </a:ln>
            <a:effectLst/>
          </c:spPr>
          <c:invertIfNegative val="0"/>
          <c:cat>
            <c:numRef>
              <c:f>'commerce total'!$B$55:$L$55</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'commerce total'!$B$58:$L$58</c:f>
              <c:numCache>
                <c:formatCode>#,##0</c:formatCode>
                <c:ptCount val="11"/>
                <c:pt idx="0">
                  <c:v>-22571</c:v>
                </c:pt>
                <c:pt idx="1">
                  <c:v>-23640</c:v>
                </c:pt>
                <c:pt idx="2">
                  <c:v>-25316</c:v>
                </c:pt>
                <c:pt idx="3">
                  <c:v>-22728</c:v>
                </c:pt>
                <c:pt idx="4">
                  <c:v>-22429</c:v>
                </c:pt>
                <c:pt idx="5">
                  <c:v>-21768</c:v>
                </c:pt>
                <c:pt idx="6">
                  <c:v>-15121</c:v>
                </c:pt>
                <c:pt idx="7">
                  <c:v>-8415</c:v>
                </c:pt>
                <c:pt idx="8">
                  <c:v>-2245</c:v>
                </c:pt>
                <c:pt idx="9">
                  <c:v>-16015</c:v>
                </c:pt>
                <c:pt idx="10">
                  <c:v>-14083</c:v>
                </c:pt>
              </c:numCache>
            </c:numRef>
          </c:val>
          <c:extLst>
            <c:ext xmlns:c16="http://schemas.microsoft.com/office/drawing/2014/chart" uri="{C3380CC4-5D6E-409C-BE32-E72D297353CC}">
              <c16:uniqueId val="{00000000-DE43-4AEF-9A9F-02E83882B63E}"/>
            </c:ext>
          </c:extLst>
        </c:ser>
        <c:dLbls>
          <c:showLegendKey val="0"/>
          <c:showVal val="0"/>
          <c:showCatName val="0"/>
          <c:showSerName val="0"/>
          <c:showPercent val="0"/>
          <c:showBubbleSize val="0"/>
        </c:dLbls>
        <c:gapWidth val="150"/>
        <c:axId val="291146111"/>
        <c:axId val="291145279"/>
      </c:barChart>
      <c:lineChart>
        <c:grouping val="standard"/>
        <c:varyColors val="0"/>
        <c:ser>
          <c:idx val="0"/>
          <c:order val="0"/>
          <c:tx>
            <c:strRef>
              <c:f>'commerce total'!$A$56</c:f>
              <c:strCache>
                <c:ptCount val="1"/>
                <c:pt idx="0">
                  <c:v>Importations</c:v>
                </c:pt>
              </c:strCache>
            </c:strRef>
          </c:tx>
          <c:spPr>
            <a:ln w="28575" cap="rnd">
              <a:solidFill>
                <a:schemeClr val="accent1"/>
              </a:solidFill>
              <a:round/>
            </a:ln>
            <a:effectLst/>
          </c:spPr>
          <c:marker>
            <c:symbol val="none"/>
          </c:marker>
          <c:cat>
            <c:numRef>
              <c:f>'commerce total'!$B$55:$L$55</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'commerce total'!$B$56:$L$56</c:f>
              <c:numCache>
                <c:formatCode>#,##0</c:formatCode>
                <c:ptCount val="11"/>
                <c:pt idx="0">
                  <c:v>119041</c:v>
                </c:pt>
                <c:pt idx="1">
                  <c:v>126123</c:v>
                </c:pt>
                <c:pt idx="2">
                  <c:v>133956</c:v>
                </c:pt>
                <c:pt idx="3">
                  <c:v>138521</c:v>
                </c:pt>
                <c:pt idx="4">
                  <c:v>145229</c:v>
                </c:pt>
                <c:pt idx="5">
                  <c:v>158295</c:v>
                </c:pt>
                <c:pt idx="6">
                  <c:v>168023</c:v>
                </c:pt>
                <c:pt idx="7">
                  <c:v>140406</c:v>
                </c:pt>
                <c:pt idx="8">
                  <c:v>151240</c:v>
                </c:pt>
                <c:pt idx="9">
                  <c:v>188986</c:v>
                </c:pt>
                <c:pt idx="10">
                  <c:v>208953</c:v>
                </c:pt>
              </c:numCache>
            </c:numRef>
          </c:val>
          <c:smooth val="0"/>
          <c:extLst>
            <c:ext xmlns:c16="http://schemas.microsoft.com/office/drawing/2014/chart" uri="{C3380CC4-5D6E-409C-BE32-E72D297353CC}">
              <c16:uniqueId val="{00000001-DE43-4AEF-9A9F-02E83882B63E}"/>
            </c:ext>
          </c:extLst>
        </c:ser>
        <c:ser>
          <c:idx val="1"/>
          <c:order val="1"/>
          <c:tx>
            <c:strRef>
              <c:f>'commerce total'!$A$57</c:f>
              <c:strCache>
                <c:ptCount val="1"/>
                <c:pt idx="0">
                  <c:v>Exportations</c:v>
                </c:pt>
              </c:strCache>
            </c:strRef>
          </c:tx>
          <c:spPr>
            <a:ln w="28575" cap="rnd">
              <a:solidFill>
                <a:schemeClr val="accent4"/>
              </a:solidFill>
              <a:round/>
            </a:ln>
            <a:effectLst/>
          </c:spPr>
          <c:marker>
            <c:symbol val="none"/>
          </c:marker>
          <c:cat>
            <c:numRef>
              <c:f>'commerce total'!$B$55:$L$55</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'commerce total'!$B$57:$L$57</c:f>
              <c:numCache>
                <c:formatCode>#,##0</c:formatCode>
                <c:ptCount val="11"/>
                <c:pt idx="0">
                  <c:v>96470</c:v>
                </c:pt>
                <c:pt idx="1">
                  <c:v>102483</c:v>
                </c:pt>
                <c:pt idx="2">
                  <c:v>108641</c:v>
                </c:pt>
                <c:pt idx="3">
                  <c:v>115792</c:v>
                </c:pt>
                <c:pt idx="4">
                  <c:v>122800</c:v>
                </c:pt>
                <c:pt idx="5">
                  <c:v>136525</c:v>
                </c:pt>
                <c:pt idx="6">
                  <c:v>152902</c:v>
                </c:pt>
                <c:pt idx="7">
                  <c:v>131993</c:v>
                </c:pt>
                <c:pt idx="8">
                  <c:v>148998</c:v>
                </c:pt>
                <c:pt idx="9">
                  <c:v>172971</c:v>
                </c:pt>
                <c:pt idx="10">
                  <c:v>194865</c:v>
                </c:pt>
              </c:numCache>
            </c:numRef>
          </c:val>
          <c:smooth val="0"/>
          <c:extLst>
            <c:ext xmlns:c16="http://schemas.microsoft.com/office/drawing/2014/chart" uri="{C3380CC4-5D6E-409C-BE32-E72D297353CC}">
              <c16:uniqueId val="{00000002-DE43-4AEF-9A9F-02E83882B63E}"/>
            </c:ext>
          </c:extLst>
        </c:ser>
        <c:dLbls>
          <c:showLegendKey val="0"/>
          <c:showVal val="0"/>
          <c:showCatName val="0"/>
          <c:showSerName val="0"/>
          <c:showPercent val="0"/>
          <c:showBubbleSize val="0"/>
        </c:dLbls>
        <c:marker val="1"/>
        <c:smooth val="0"/>
        <c:axId val="298392671"/>
        <c:axId val="298393087"/>
      </c:lineChart>
      <c:lineChart>
        <c:grouping val="standard"/>
        <c:varyColors val="0"/>
        <c:ser>
          <c:idx val="3"/>
          <c:order val="3"/>
          <c:tx>
            <c:strRef>
              <c:f>'commerce total'!$A$59</c:f>
              <c:strCache>
                <c:ptCount val="1"/>
              </c:strCache>
            </c:strRef>
          </c:tx>
          <c:spPr>
            <a:ln w="28575" cap="rnd">
              <a:solidFill>
                <a:sysClr val="windowText" lastClr="000000"/>
              </a:solidFill>
              <a:prstDash val="dash"/>
              <a:round/>
            </a:ln>
            <a:effectLst/>
          </c:spPr>
          <c:marker>
            <c:symbol val="none"/>
          </c:marker>
          <c:cat>
            <c:numRef>
              <c:f>'commerce total'!$B$55:$L$55</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'commerce total'!$B$59:$L$59</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mooth val="0"/>
          <c:extLst>
            <c:ext xmlns:c16="http://schemas.microsoft.com/office/drawing/2014/chart" uri="{C3380CC4-5D6E-409C-BE32-E72D297353CC}">
              <c16:uniqueId val="{00000003-DE43-4AEF-9A9F-02E83882B63E}"/>
            </c:ext>
          </c:extLst>
        </c:ser>
        <c:dLbls>
          <c:showLegendKey val="0"/>
          <c:showVal val="0"/>
          <c:showCatName val="0"/>
          <c:showSerName val="0"/>
          <c:showPercent val="0"/>
          <c:showBubbleSize val="0"/>
        </c:dLbls>
        <c:marker val="1"/>
        <c:smooth val="0"/>
        <c:axId val="291146111"/>
        <c:axId val="291145279"/>
      </c:lineChart>
      <c:catAx>
        <c:axId val="298392671"/>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fr-FR" sz="800"/>
                  <a:t>Source</a:t>
                </a:r>
                <a:r>
                  <a:rPr lang="fr-FR" sz="800" baseline="0"/>
                  <a:t> : Statistique Canada, 2024</a:t>
                </a:r>
                <a:endParaRPr lang="fr-FR" sz="800"/>
              </a:p>
            </c:rich>
          </c:tx>
          <c:layout>
            <c:manualLayout>
              <c:xMode val="edge"/>
              <c:yMode val="edge"/>
              <c:x val="4.6904466113128563E-4"/>
              <c:y val="0.9534414603045918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98393087"/>
        <c:crosses val="autoZero"/>
        <c:auto val="1"/>
        <c:lblAlgn val="ctr"/>
        <c:lblOffset val="100"/>
        <c:noMultiLvlLbl val="0"/>
      </c:catAx>
      <c:valAx>
        <c:axId val="2983930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Exportations</a:t>
                </a:r>
                <a:r>
                  <a:rPr lang="fr-FR" baseline="0"/>
                  <a:t>/Importations (en M CAD)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98392671"/>
        <c:crosses val="autoZero"/>
        <c:crossBetween val="between"/>
      </c:valAx>
      <c:valAx>
        <c:axId val="291145279"/>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Solde commercial pour les services (en M CAD)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91146111"/>
        <c:crosses val="max"/>
        <c:crossBetween val="between"/>
      </c:valAx>
      <c:catAx>
        <c:axId val="291146111"/>
        <c:scaling>
          <c:orientation val="minMax"/>
        </c:scaling>
        <c:delete val="1"/>
        <c:axPos val="b"/>
        <c:numFmt formatCode="General" sourceLinked="1"/>
        <c:majorTickMark val="out"/>
        <c:minorTickMark val="none"/>
        <c:tickLblPos val="nextTo"/>
        <c:crossAx val="291145279"/>
        <c:crosses val="autoZero"/>
        <c:auto val="1"/>
        <c:lblAlgn val="ctr"/>
        <c:lblOffset val="100"/>
        <c:noMultiLvlLbl val="0"/>
      </c:catAx>
      <c:spPr>
        <a:noFill/>
        <a:ln>
          <a:noFill/>
        </a:ln>
        <a:effectLst/>
      </c:spPr>
    </c:plotArea>
    <c:legend>
      <c:legendPos val="b"/>
      <c:legendEntry>
        <c:idx val="3"/>
        <c:delete val="1"/>
      </c:legendEntry>
      <c:layout>
        <c:manualLayout>
          <c:xMode val="edge"/>
          <c:yMode val="edge"/>
          <c:x val="0.23880598604756972"/>
          <c:y val="0.94474616564969638"/>
          <c:w val="0.56410699652977225"/>
          <c:h val="5.292051539607363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fr-FR"/>
        </a:p>
      </c:txPr>
    </c:legend>
    <c:plotVisOnly val="1"/>
    <c:dispBlanksAs val="gap"/>
    <c:showDLblsOverMax val="0"/>
  </c:chart>
  <c:spPr>
    <a:solidFill>
      <a:schemeClr val="bg1"/>
    </a:solidFill>
    <a:ln w="28575" cap="flat" cmpd="sng" algn="ctr">
      <a:solidFill>
        <a:schemeClr val="accent1"/>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a:latin typeface="Segoe UI" panose="020B0502040204020203" pitchFamily="34" charset="0"/>
                <a:cs typeface="Segoe UI" panose="020B0502040204020203" pitchFamily="34" charset="0"/>
              </a:rPr>
              <a:t>Evolution</a:t>
            </a:r>
            <a:r>
              <a:rPr lang="fr-FR" sz="1200" baseline="0">
                <a:latin typeface="Segoe UI" panose="020B0502040204020203" pitchFamily="34" charset="0"/>
                <a:cs typeface="Segoe UI" panose="020B0502040204020203" pitchFamily="34" charset="0"/>
              </a:rPr>
              <a:t> du commerce extérieur canadien (biens et services confondus) de 2013 à 2023</a:t>
            </a:r>
            <a:endParaRPr lang="fr-FR" sz="1200">
              <a:latin typeface="Segoe UI" panose="020B0502040204020203" pitchFamily="34" charset="0"/>
              <a:cs typeface="Segoe UI" panose="020B0502040204020203"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2"/>
          <c:tx>
            <c:strRef>
              <c:f>'commerce total'!$A$24</c:f>
              <c:strCache>
                <c:ptCount val="1"/>
                <c:pt idx="0">
                  <c:v>Balance commerciale</c:v>
                </c:pt>
              </c:strCache>
            </c:strRef>
          </c:tx>
          <c:spPr>
            <a:solidFill>
              <a:srgbClr val="FF0000"/>
            </a:solidFill>
            <a:ln>
              <a:noFill/>
            </a:ln>
            <a:effectLst/>
          </c:spPr>
          <c:invertIfNegative val="0"/>
          <c:dPt>
            <c:idx val="9"/>
            <c:invertIfNegative val="0"/>
            <c:bubble3D val="0"/>
            <c:spPr>
              <a:solidFill>
                <a:schemeClr val="accent6"/>
              </a:solidFill>
              <a:ln>
                <a:noFill/>
              </a:ln>
              <a:effectLst/>
            </c:spPr>
            <c:extLst>
              <c:ext xmlns:c16="http://schemas.microsoft.com/office/drawing/2014/chart" uri="{C3380CC4-5D6E-409C-BE32-E72D297353CC}">
                <c16:uniqueId val="{00000001-795C-4716-8A3A-5CB7034E65F9}"/>
              </c:ext>
            </c:extLst>
          </c:dPt>
          <c:cat>
            <c:numRef>
              <c:f>'commerce total'!$B$21:$L$21</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'commerce total'!$B$24:$L$24</c:f>
              <c:numCache>
                <c:formatCode>#,##0</c:formatCode>
                <c:ptCount val="11"/>
                <c:pt idx="0">
                  <c:v>-29813.70000000007</c:v>
                </c:pt>
                <c:pt idx="1">
                  <c:v>-18063.099999999977</c:v>
                </c:pt>
                <c:pt idx="2">
                  <c:v>-49066.59999999986</c:v>
                </c:pt>
                <c:pt idx="3">
                  <c:v>-47777.299999999814</c:v>
                </c:pt>
                <c:pt idx="4">
                  <c:v>-46928.599999999977</c:v>
                </c:pt>
                <c:pt idx="5">
                  <c:v>-43575.600000000093</c:v>
                </c:pt>
                <c:pt idx="6">
                  <c:v>-33919</c:v>
                </c:pt>
                <c:pt idx="7">
                  <c:v>-49060.299999999814</c:v>
                </c:pt>
                <c:pt idx="8">
                  <c:v>217.60000000009313</c:v>
                </c:pt>
                <c:pt idx="9">
                  <c:v>3691.5</c:v>
                </c:pt>
                <c:pt idx="10">
                  <c:v>-15515.699999999953</c:v>
                </c:pt>
              </c:numCache>
            </c:numRef>
          </c:val>
          <c:extLst>
            <c:ext xmlns:c16="http://schemas.microsoft.com/office/drawing/2014/chart" uri="{C3380CC4-5D6E-409C-BE32-E72D297353CC}">
              <c16:uniqueId val="{00000002-795C-4716-8A3A-5CB7034E65F9}"/>
            </c:ext>
          </c:extLst>
        </c:ser>
        <c:dLbls>
          <c:showLegendKey val="0"/>
          <c:showVal val="0"/>
          <c:showCatName val="0"/>
          <c:showSerName val="0"/>
          <c:showPercent val="0"/>
          <c:showBubbleSize val="0"/>
        </c:dLbls>
        <c:gapWidth val="150"/>
        <c:axId val="736699327"/>
        <c:axId val="736713055"/>
      </c:barChart>
      <c:lineChart>
        <c:grouping val="standard"/>
        <c:varyColors val="0"/>
        <c:ser>
          <c:idx val="0"/>
          <c:order val="0"/>
          <c:tx>
            <c:strRef>
              <c:f>'commerce total'!$A$22</c:f>
              <c:strCache>
                <c:ptCount val="1"/>
                <c:pt idx="0">
                  <c:v>Importations</c:v>
                </c:pt>
              </c:strCache>
            </c:strRef>
          </c:tx>
          <c:spPr>
            <a:ln w="28575" cap="rnd">
              <a:solidFill>
                <a:schemeClr val="accent1"/>
              </a:solidFill>
              <a:round/>
            </a:ln>
            <a:effectLst/>
          </c:spPr>
          <c:marker>
            <c:symbol val="none"/>
          </c:marker>
          <c:cat>
            <c:numRef>
              <c:f>'commerce total'!$B$21:$L$21</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'commerce total'!$B$22:$L$22</c:f>
              <c:numCache>
                <c:formatCode>#,##0</c:formatCode>
                <c:ptCount val="11"/>
                <c:pt idx="0">
                  <c:v>606800.9</c:v>
                </c:pt>
                <c:pt idx="1">
                  <c:v>651174.80000000005</c:v>
                </c:pt>
                <c:pt idx="2">
                  <c:v>683020.7</c:v>
                </c:pt>
                <c:pt idx="3">
                  <c:v>685870.2</c:v>
                </c:pt>
                <c:pt idx="4">
                  <c:v>720253.29999999993</c:v>
                </c:pt>
                <c:pt idx="5">
                  <c:v>766265.20000000007</c:v>
                </c:pt>
                <c:pt idx="6">
                  <c:v>782420.4</c:v>
                </c:pt>
                <c:pt idx="7">
                  <c:v>703529.39999999991</c:v>
                </c:pt>
                <c:pt idx="8">
                  <c:v>785538.2</c:v>
                </c:pt>
                <c:pt idx="9">
                  <c:v>948467.79999999993</c:v>
                </c:pt>
                <c:pt idx="10">
                  <c:v>979035.60000000009</c:v>
                </c:pt>
              </c:numCache>
            </c:numRef>
          </c:val>
          <c:smooth val="0"/>
          <c:extLst>
            <c:ext xmlns:c16="http://schemas.microsoft.com/office/drawing/2014/chart" uri="{C3380CC4-5D6E-409C-BE32-E72D297353CC}">
              <c16:uniqueId val="{00000003-795C-4716-8A3A-5CB7034E65F9}"/>
            </c:ext>
          </c:extLst>
        </c:ser>
        <c:ser>
          <c:idx val="1"/>
          <c:order val="1"/>
          <c:tx>
            <c:strRef>
              <c:f>'commerce total'!$A$23</c:f>
              <c:strCache>
                <c:ptCount val="1"/>
                <c:pt idx="0">
                  <c:v>Exportations</c:v>
                </c:pt>
              </c:strCache>
            </c:strRef>
          </c:tx>
          <c:spPr>
            <a:ln w="28575" cap="rnd">
              <a:solidFill>
                <a:schemeClr val="accent4"/>
              </a:solidFill>
              <a:round/>
            </a:ln>
            <a:effectLst/>
          </c:spPr>
          <c:marker>
            <c:symbol val="none"/>
          </c:marker>
          <c:cat>
            <c:numRef>
              <c:f>'commerce total'!$B$21:$L$21</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'commerce total'!$B$23:$L$23</c:f>
              <c:numCache>
                <c:formatCode>#,##0</c:formatCode>
                <c:ptCount val="11"/>
                <c:pt idx="0">
                  <c:v>576987.19999999995</c:v>
                </c:pt>
                <c:pt idx="1">
                  <c:v>633111.70000000007</c:v>
                </c:pt>
                <c:pt idx="2">
                  <c:v>633954.10000000009</c:v>
                </c:pt>
                <c:pt idx="3">
                  <c:v>638092.90000000014</c:v>
                </c:pt>
                <c:pt idx="4">
                  <c:v>673324.7</c:v>
                </c:pt>
                <c:pt idx="5">
                  <c:v>722689.6</c:v>
                </c:pt>
                <c:pt idx="6">
                  <c:v>748501.4</c:v>
                </c:pt>
                <c:pt idx="7">
                  <c:v>654469.10000000009</c:v>
                </c:pt>
                <c:pt idx="8">
                  <c:v>785755.8</c:v>
                </c:pt>
                <c:pt idx="9">
                  <c:v>952159.29999999993</c:v>
                </c:pt>
                <c:pt idx="10">
                  <c:v>963519.90000000014</c:v>
                </c:pt>
              </c:numCache>
            </c:numRef>
          </c:val>
          <c:smooth val="0"/>
          <c:extLst>
            <c:ext xmlns:c16="http://schemas.microsoft.com/office/drawing/2014/chart" uri="{C3380CC4-5D6E-409C-BE32-E72D297353CC}">
              <c16:uniqueId val="{00000004-795C-4716-8A3A-5CB7034E65F9}"/>
            </c:ext>
          </c:extLst>
        </c:ser>
        <c:dLbls>
          <c:showLegendKey val="0"/>
          <c:showVal val="0"/>
          <c:showCatName val="0"/>
          <c:showSerName val="0"/>
          <c:showPercent val="0"/>
          <c:showBubbleSize val="0"/>
        </c:dLbls>
        <c:marker val="1"/>
        <c:smooth val="0"/>
        <c:axId val="731624015"/>
        <c:axId val="731616527"/>
      </c:lineChart>
      <c:lineChart>
        <c:grouping val="standard"/>
        <c:varyColors val="0"/>
        <c:ser>
          <c:idx val="3"/>
          <c:order val="3"/>
          <c:tx>
            <c:strRef>
              <c:f>'commerce total'!$A$25</c:f>
              <c:strCache>
                <c:ptCount val="1"/>
              </c:strCache>
            </c:strRef>
          </c:tx>
          <c:spPr>
            <a:ln w="28575" cap="rnd">
              <a:solidFill>
                <a:sysClr val="windowText" lastClr="000000"/>
              </a:solidFill>
              <a:prstDash val="sysDash"/>
              <a:round/>
            </a:ln>
            <a:effectLst/>
          </c:spPr>
          <c:marker>
            <c:symbol val="none"/>
          </c:marker>
          <c:dPt>
            <c:idx val="8"/>
            <c:marker>
              <c:symbol val="none"/>
            </c:marker>
            <c:bubble3D val="0"/>
            <c:extLst>
              <c:ext xmlns:c16="http://schemas.microsoft.com/office/drawing/2014/chart" uri="{C3380CC4-5D6E-409C-BE32-E72D297353CC}">
                <c16:uniqueId val="{00000005-795C-4716-8A3A-5CB7034E65F9}"/>
              </c:ext>
            </c:extLst>
          </c:dPt>
          <c:cat>
            <c:numRef>
              <c:f>'commerce total'!$B$21:$L$21</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'commerce total'!$B$25:$L$25</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mooth val="0"/>
          <c:extLst>
            <c:ext xmlns:c16="http://schemas.microsoft.com/office/drawing/2014/chart" uri="{C3380CC4-5D6E-409C-BE32-E72D297353CC}">
              <c16:uniqueId val="{00000006-795C-4716-8A3A-5CB7034E65F9}"/>
            </c:ext>
          </c:extLst>
        </c:ser>
        <c:dLbls>
          <c:showLegendKey val="0"/>
          <c:showVal val="0"/>
          <c:showCatName val="0"/>
          <c:showSerName val="0"/>
          <c:showPercent val="0"/>
          <c:showBubbleSize val="0"/>
        </c:dLbls>
        <c:marker val="1"/>
        <c:smooth val="0"/>
        <c:axId val="736699327"/>
        <c:axId val="736713055"/>
      </c:lineChart>
      <c:catAx>
        <c:axId val="731624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31616527"/>
        <c:crosses val="autoZero"/>
        <c:auto val="1"/>
        <c:lblAlgn val="ctr"/>
        <c:lblOffset val="100"/>
        <c:noMultiLvlLbl val="0"/>
      </c:catAx>
      <c:valAx>
        <c:axId val="7316165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Exportations/Importations</a:t>
                </a:r>
                <a:r>
                  <a:rPr lang="fr-FR" baseline="0"/>
                  <a:t> (en M CAD)</a:t>
                </a: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31624015"/>
        <c:crosses val="autoZero"/>
        <c:crossBetween val="between"/>
      </c:valAx>
      <c:valAx>
        <c:axId val="736713055"/>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Balance commerciale</a:t>
                </a:r>
                <a:r>
                  <a:rPr lang="fr-FR" baseline="0"/>
                  <a:t> (en M CAD)</a:t>
                </a: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36699327"/>
        <c:crosses val="max"/>
        <c:crossBetween val="between"/>
      </c:valAx>
      <c:catAx>
        <c:axId val="736699327"/>
        <c:scaling>
          <c:orientation val="minMax"/>
        </c:scaling>
        <c:delete val="1"/>
        <c:axPos val="b"/>
        <c:numFmt formatCode="General" sourceLinked="1"/>
        <c:majorTickMark val="out"/>
        <c:minorTickMark val="none"/>
        <c:tickLblPos val="nextTo"/>
        <c:crossAx val="736713055"/>
        <c:crosses val="autoZero"/>
        <c:auto val="1"/>
        <c:lblAlgn val="ctr"/>
        <c:lblOffset val="100"/>
        <c:noMultiLvlLbl val="0"/>
      </c:cat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28575" cap="flat" cmpd="sng" algn="ctr">
      <a:solidFill>
        <a:schemeClr val="accent5"/>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D0AF66281ED04F889F33DC2B9A2971" ma:contentTypeVersion="1" ma:contentTypeDescription="Crée un document." ma:contentTypeScope="" ma:versionID="bd0c8bbc0a66310ddbeeb24206e8cd55">
  <xsd:schema xmlns:xsd="http://www.w3.org/2001/XMLSchema" xmlns:xs="http://www.w3.org/2001/XMLSchema" xmlns:p="http://schemas.microsoft.com/office/2006/metadata/properties" xmlns:ns2="bfe99318-635b-4cf1-833a-fa7152d6ad6c" targetNamespace="http://schemas.microsoft.com/office/2006/metadata/properties" ma:root="true" ma:fieldsID="1dbdbe2809fdffdd0c375b6fbfee89e2" ns2:_="">
    <xsd:import namespace="bfe99318-635b-4cf1-833a-fa7152d6ad6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99318-635b-4cf1-833a-fa7152d6ad6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B3851-F8AF-411E-8691-DFEC0C96F929}">
  <ds:schemaRefs>
    <ds:schemaRef ds:uri="http://schemas.openxmlformats.org/officeDocument/2006/bibliography"/>
  </ds:schemaRefs>
</ds:datastoreItem>
</file>

<file path=customXml/itemProps2.xml><?xml version="1.0" encoding="utf-8"?>
<ds:datastoreItem xmlns:ds="http://schemas.openxmlformats.org/officeDocument/2006/customXml" ds:itemID="{F5B61B58-6620-4284-B14C-967598E12E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818F2-E324-425D-BB8A-80A3A95D8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99318-635b-4cf1-833a-fa7152d6a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88E02-07BA-4397-A3CA-312B33868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2236</Words>
  <Characters>12302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BAHUAU Auriane</dc:creator>
  <cp:keywords/>
  <dc:description/>
  <cp:lastModifiedBy>OLIVIERI-BATTESTINI Jean-Toussaint</cp:lastModifiedBy>
  <cp:revision>2</cp:revision>
  <dcterms:created xsi:type="dcterms:W3CDTF">2024-02-21T21:20:00Z</dcterms:created>
  <dcterms:modified xsi:type="dcterms:W3CDTF">2024-02-21T21:20:00Z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0x01010016D0AF66281ED04F889F33DC2B9A2971</vt:lpwstr>
  </property>
</Properties>
</file>