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DD9B" w14:textId="5A7037E5" w:rsidR="00CF1BDF" w:rsidRDefault="001635C6" w:rsidP="00EA1AC6">
      <w:pPr>
        <w:spacing w:before="80" w:after="80"/>
        <w:ind w:right="1"/>
        <w:rPr>
          <w:rFonts w:ascii="Segoe UI" w:hAnsi="Segoe UI" w:cs="Segoe UI"/>
          <w:color w:val="000091" w:themeColor="text1"/>
          <w:sz w:val="44"/>
          <w:szCs w:val="28"/>
        </w:rPr>
      </w:pP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1E1D2FEC">
                <wp:simplePos x="0" y="0"/>
                <wp:positionH relativeFrom="page">
                  <wp:align>right</wp:align>
                </wp:positionH>
                <wp:positionV relativeFrom="paragraph">
                  <wp:posOffset>2540</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457D34D5" w:rsidR="00490B3C" w:rsidRPr="00532CE3" w:rsidRDefault="001635C6"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Bombay</w:t>
                            </w:r>
                            <w:r w:rsidR="00490B3C" w:rsidRPr="00532CE3">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 xml:space="preserve">le </w:t>
                            </w:r>
                            <w:r w:rsidR="00496755">
                              <w:rPr>
                                <w:rFonts w:ascii="Segoe UI" w:hAnsi="Segoe UI" w:cs="Segoe UI"/>
                                <w:color w:val="986E02" w:themeColor="accent2" w:themeShade="80"/>
                                <w:sz w:val="17"/>
                                <w:szCs w:val="17"/>
                                <w:lang w:eastAsia="ja-JP"/>
                              </w:rPr>
                              <w:t>17</w:t>
                            </w:r>
                            <w:r w:rsidR="00077DC3">
                              <w:rPr>
                                <w:rFonts w:ascii="Segoe UI" w:hAnsi="Segoe UI" w:cs="Segoe UI"/>
                                <w:color w:val="986E02" w:themeColor="accent2" w:themeShade="80"/>
                                <w:sz w:val="17"/>
                                <w:szCs w:val="17"/>
                                <w:lang w:eastAsia="ja-JP"/>
                              </w:rPr>
                              <w:t xml:space="preserve"> </w:t>
                            </w:r>
                            <w:r w:rsidR="00496755">
                              <w:rPr>
                                <w:rFonts w:ascii="Segoe UI" w:hAnsi="Segoe UI" w:cs="Segoe UI"/>
                                <w:color w:val="986E02" w:themeColor="accent2" w:themeShade="80"/>
                                <w:sz w:val="17"/>
                                <w:szCs w:val="17"/>
                                <w:lang w:eastAsia="ja-JP"/>
                              </w:rPr>
                              <w:t>octobre</w:t>
                            </w:r>
                            <w:r w:rsidR="008D7971">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7A5E4" id="_x0000_t202" coordsize="21600,21600" o:spt="202" path="m,l,21600r21600,l21600,xe">
                <v:stroke joinstyle="miter"/>
                <v:path gradientshapeok="t" o:connecttype="rect"/>
              </v:shapetype>
              <v:shape id="Zone de texte 2" o:spid="_x0000_s1026" type="#_x0000_t202" style="position:absolute;margin-left:147.55pt;margin-top:.2pt;width:198.75pt;height:27.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" filled="f" stroked="f">
                <v:textbox>
                  <w:txbxContent>
                    <w:p w14:paraId="44111769" w14:textId="457D34D5" w:rsidR="00490B3C" w:rsidRPr="00532CE3" w:rsidRDefault="001635C6"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Bombay</w:t>
                      </w:r>
                      <w:r w:rsidR="00490B3C" w:rsidRPr="00532CE3">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 xml:space="preserve">le </w:t>
                      </w:r>
                      <w:r w:rsidR="00496755">
                        <w:rPr>
                          <w:rFonts w:ascii="Segoe UI" w:hAnsi="Segoe UI" w:cs="Segoe UI"/>
                          <w:color w:val="986E02" w:themeColor="accent2" w:themeShade="80"/>
                          <w:sz w:val="17"/>
                          <w:szCs w:val="17"/>
                          <w:lang w:eastAsia="ja-JP"/>
                        </w:rPr>
                        <w:t>17</w:t>
                      </w:r>
                      <w:r w:rsidR="00077DC3">
                        <w:rPr>
                          <w:rFonts w:ascii="Segoe UI" w:hAnsi="Segoe UI" w:cs="Segoe UI"/>
                          <w:color w:val="986E02" w:themeColor="accent2" w:themeShade="80"/>
                          <w:sz w:val="17"/>
                          <w:szCs w:val="17"/>
                          <w:lang w:eastAsia="ja-JP"/>
                        </w:rPr>
                        <w:t xml:space="preserve"> </w:t>
                      </w:r>
                      <w:r w:rsidR="00496755">
                        <w:rPr>
                          <w:rFonts w:ascii="Segoe UI" w:hAnsi="Segoe UI" w:cs="Segoe UI"/>
                          <w:color w:val="986E02" w:themeColor="accent2" w:themeShade="80"/>
                          <w:sz w:val="17"/>
                          <w:szCs w:val="17"/>
                          <w:lang w:eastAsia="ja-JP"/>
                        </w:rPr>
                        <w:t>octobre</w:t>
                      </w:r>
                      <w:r w:rsidR="008D7971">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v:textbox>
                <w10:wrap type="square" anchorx="page"/>
              </v:shape>
            </w:pict>
          </mc:Fallback>
        </mc:AlternateContent>
      </w: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088745E1">
                <wp:simplePos x="0" y="0"/>
                <wp:positionH relativeFrom="page">
                  <wp:align>left</wp:align>
                </wp:positionH>
                <wp:positionV relativeFrom="paragraph">
                  <wp:posOffset>897291</wp:posOffset>
                </wp:positionV>
                <wp:extent cx="7565366"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7565366"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2318ADA2" w:rsidR="00532CE3" w:rsidRDefault="00077DC3" w:rsidP="00532CE3">
                            <w:pPr>
                              <w:jc w:val="center"/>
                            </w:pPr>
                            <w:r>
                              <w:rPr>
                                <w:rFonts w:ascii="Segoe UI" w:hAnsi="Segoe UI" w:cs="Segoe UI"/>
                                <w:b/>
                                <w:bCs/>
                                <w:color w:val="000091" w:themeColor="text1"/>
                                <w:sz w:val="32"/>
                                <w:szCs w:val="20"/>
                              </w:rPr>
                              <w:t xml:space="preserve">Inde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7" style="position:absolute;margin-left:0;margin-top:70.65pt;width:595.7pt;height:28.5pt;z-index:2516561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" fillcolor="#fcc63a" stroked="f" strokeweight="1pt">
                <v:textbox>
                  <w:txbxContent>
                    <w:p w14:paraId="2ED3FE0E" w14:textId="2318ADA2" w:rsidR="00532CE3" w:rsidRDefault="00077DC3" w:rsidP="00532CE3">
                      <w:pPr>
                        <w:jc w:val="center"/>
                      </w:pPr>
                      <w:r>
                        <w:rPr>
                          <w:rFonts w:ascii="Segoe UI" w:hAnsi="Segoe UI" w:cs="Segoe UI"/>
                          <w:b/>
                          <w:bCs/>
                          <w:color w:val="000091" w:themeColor="text1"/>
                          <w:sz w:val="32"/>
                          <w:szCs w:val="20"/>
                        </w:rPr>
                        <w:t xml:space="preserve">Inde </w:t>
                      </w:r>
                    </w:p>
                  </w:txbxContent>
                </v:textbox>
                <w10:wrap anchorx="page"/>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01124E83">
                <wp:simplePos x="0" y="0"/>
                <wp:positionH relativeFrom="page">
                  <wp:align>left</wp:align>
                </wp:positionH>
                <wp:positionV relativeFrom="paragraph">
                  <wp:posOffset>361339</wp:posOffset>
                </wp:positionV>
                <wp:extent cx="7556500" cy="476250"/>
                <wp:effectExtent l="0" t="0" r="6350" b="0"/>
                <wp:wrapTopAndBottom/>
                <wp:docPr id="2" name="Rectangle 2"/>
                <wp:cNvGraphicFramePr/>
                <a:graphic xmlns:a="http://schemas.openxmlformats.org/drawingml/2006/main">
                  <a:graphicData uri="http://schemas.microsoft.com/office/word/2010/wordprocessingShape">
                    <wps:wsp>
                      <wps:cNvSpPr/>
                      <wps:spPr>
                        <a:xfrm>
                          <a:off x="0" y="0"/>
                          <a:ext cx="755674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71E12022"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Ambassade de France</w:t>
                            </w:r>
                            <w:r w:rsidR="00077DC3">
                              <w:rPr>
                                <w:rFonts w:ascii="Segoe UI" w:hAnsi="Segoe UI" w:cs="Segoe UI"/>
                                <w:bCs/>
                                <w:color w:val="000091" w:themeColor="text1"/>
                                <w:sz w:val="18"/>
                                <w:szCs w:val="18"/>
                                <w:lang w:eastAsia="ja-JP"/>
                              </w:rPr>
                              <w:t xml:space="preserve"> en </w:t>
                            </w:r>
                            <w:r w:rsidR="006E2D56">
                              <w:rPr>
                                <w:rFonts w:ascii="Segoe UI" w:hAnsi="Segoe UI" w:cs="Segoe UI"/>
                                <w:bCs/>
                                <w:color w:val="000091" w:themeColor="text1"/>
                                <w:sz w:val="18"/>
                                <w:szCs w:val="18"/>
                                <w:lang w:eastAsia="ja-JP"/>
                              </w:rPr>
                              <w:t>I</w:t>
                            </w:r>
                            <w:r w:rsidR="00077DC3">
                              <w:rPr>
                                <w:rFonts w:ascii="Segoe UI" w:hAnsi="Segoe UI" w:cs="Segoe UI"/>
                                <w:bCs/>
                                <w:color w:val="000091" w:themeColor="text1"/>
                                <w:sz w:val="18"/>
                                <w:szCs w:val="18"/>
                                <w:lang w:eastAsia="ja-JP"/>
                              </w:rPr>
                              <w:t>nde</w:t>
                            </w:r>
                          </w:p>
                          <w:p w14:paraId="3D62CBBB" w14:textId="23BCEEC5"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077DC3">
                              <w:rPr>
                                <w:rFonts w:ascii="Segoe UI" w:hAnsi="Segoe UI" w:cs="Segoe UI"/>
                                <w:bCs/>
                                <w:color w:val="000091" w:themeColor="text1"/>
                                <w:sz w:val="18"/>
                                <w:szCs w:val="18"/>
                                <w:lang w:eastAsia="ja-JP"/>
                              </w:rPr>
                              <w:t xml:space="preserve"> de New Delhi – Antenne de Bombay </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2931" id="Rectangle 2" o:spid="_x0000_s1028" style="position:absolute;margin-left:0;margin-top:28.45pt;width:595pt;height:37.5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" fillcolor="#fde8b0 [1301]" stroked="f" strokeweight="1pt">
                <v:textbox>
                  <w:txbxContent>
                    <w:p w14:paraId="7465B737" w14:textId="71E12022"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Ambassade de France</w:t>
                      </w:r>
                      <w:r w:rsidR="00077DC3">
                        <w:rPr>
                          <w:rFonts w:ascii="Segoe UI" w:hAnsi="Segoe UI" w:cs="Segoe UI"/>
                          <w:bCs/>
                          <w:color w:val="000091" w:themeColor="text1"/>
                          <w:sz w:val="18"/>
                          <w:szCs w:val="18"/>
                          <w:lang w:eastAsia="ja-JP"/>
                        </w:rPr>
                        <w:t xml:space="preserve"> en </w:t>
                      </w:r>
                      <w:r w:rsidR="006E2D56">
                        <w:rPr>
                          <w:rFonts w:ascii="Segoe UI" w:hAnsi="Segoe UI" w:cs="Segoe UI"/>
                          <w:bCs/>
                          <w:color w:val="000091" w:themeColor="text1"/>
                          <w:sz w:val="18"/>
                          <w:szCs w:val="18"/>
                          <w:lang w:eastAsia="ja-JP"/>
                        </w:rPr>
                        <w:t>I</w:t>
                      </w:r>
                      <w:r w:rsidR="00077DC3">
                        <w:rPr>
                          <w:rFonts w:ascii="Segoe UI" w:hAnsi="Segoe UI" w:cs="Segoe UI"/>
                          <w:bCs/>
                          <w:color w:val="000091" w:themeColor="text1"/>
                          <w:sz w:val="18"/>
                          <w:szCs w:val="18"/>
                          <w:lang w:eastAsia="ja-JP"/>
                        </w:rPr>
                        <w:t>nde</w:t>
                      </w:r>
                    </w:p>
                    <w:p w14:paraId="3D62CBBB" w14:textId="23BCEEC5"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077DC3">
                        <w:rPr>
                          <w:rFonts w:ascii="Segoe UI" w:hAnsi="Segoe UI" w:cs="Segoe UI"/>
                          <w:bCs/>
                          <w:color w:val="000091" w:themeColor="text1"/>
                          <w:sz w:val="18"/>
                          <w:szCs w:val="18"/>
                          <w:lang w:eastAsia="ja-JP"/>
                        </w:rPr>
                        <w:t xml:space="preserve"> de New Delhi – Antenne de Bombay </w:t>
                      </w:r>
                      <w:r w:rsidR="008A3AD5" w:rsidRPr="00A0743B">
                        <w:rPr>
                          <w:rFonts w:ascii="Arial" w:hAnsi="Arial" w:cs="Arial"/>
                          <w:b/>
                          <w:bCs/>
                          <w:sz w:val="20"/>
                          <w:szCs w:val="20"/>
                        </w:rPr>
                        <w:t xml:space="preserve"> </w:t>
                      </w:r>
                    </w:p>
                  </w:txbxContent>
                </v:textbox>
                <w10:wrap type="topAndBottom" anchorx="page"/>
              </v:rect>
            </w:pict>
          </mc:Fallback>
        </mc:AlternateContent>
      </w:r>
      <w:r w:rsidR="00711D5F"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5E80524">
                <wp:simplePos x="0" y="0"/>
                <wp:positionH relativeFrom="margin">
                  <wp:posOffset>4154865</wp:posOffset>
                </wp:positionH>
                <wp:positionV relativeFrom="paragraph">
                  <wp:posOffset>395149</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288C8FB9"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077DC3">
                              <w:rPr>
                                <w:rFonts w:ascii="Segoe UI" w:hAnsi="Segoe UI" w:cs="Segoe UI"/>
                                <w:color w:val="000091" w:themeColor="text1"/>
                                <w:sz w:val="17"/>
                                <w:szCs w:val="17"/>
                                <w:lang w:eastAsia="ja-JP"/>
                              </w:rPr>
                              <w:t>Eléa Pons</w:t>
                            </w:r>
                          </w:p>
                          <w:p w14:paraId="07E31681" w14:textId="3FAA7EE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426DEB">
                              <w:rPr>
                                <w:rFonts w:ascii="Segoe UI" w:hAnsi="Segoe UI" w:cs="Segoe UI"/>
                                <w:color w:val="000091" w:themeColor="text1"/>
                                <w:sz w:val="17"/>
                                <w:szCs w:val="17"/>
                                <w:lang w:eastAsia="ja-JP"/>
                              </w:rPr>
                              <w:t>Erwan Andalouss</w:t>
                            </w:r>
                            <w:r w:rsidR="00496755">
                              <w:rPr>
                                <w:rFonts w:ascii="Segoe UI" w:hAnsi="Segoe UI" w:cs="Segoe UI"/>
                                <w:color w:val="000091" w:themeColor="text1"/>
                                <w:sz w:val="17"/>
                                <w:szCs w:val="17"/>
                                <w:lang w:eastAsia="ja-JP"/>
                              </w:rPr>
                              <w:t>i</w:t>
                            </w:r>
                            <w:r w:rsidR="00813E89">
                              <w:rPr>
                                <w:rFonts w:ascii="Segoe UI" w:hAnsi="Segoe UI" w:cs="Segoe UI"/>
                                <w:color w:val="000091" w:themeColor="text1"/>
                                <w:sz w:val="17"/>
                                <w:szCs w:val="17"/>
                                <w:lang w:eastAsia="ja-JP"/>
                              </w:rPr>
                              <w:t>, Florent Mangin</w:t>
                            </w:r>
                            <w:r w:rsidR="00426DEB">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9" type="#_x0000_t202" style="position:absolute;margin-left:327.15pt;margin-top:31.1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" filled="f" stroked="f" strokeweight=".5pt">
                <v:textbox>
                  <w:txbxContent>
                    <w:p w14:paraId="1931003E" w14:textId="288C8FB9"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077DC3">
                        <w:rPr>
                          <w:rFonts w:ascii="Segoe UI" w:hAnsi="Segoe UI" w:cs="Segoe UI"/>
                          <w:color w:val="000091" w:themeColor="text1"/>
                          <w:sz w:val="17"/>
                          <w:szCs w:val="17"/>
                          <w:lang w:eastAsia="ja-JP"/>
                        </w:rPr>
                        <w:t>Eléa Pons</w:t>
                      </w:r>
                    </w:p>
                    <w:p w14:paraId="07E31681" w14:textId="3FAA7EE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426DEB">
                        <w:rPr>
                          <w:rFonts w:ascii="Segoe UI" w:hAnsi="Segoe UI" w:cs="Segoe UI"/>
                          <w:color w:val="000091" w:themeColor="text1"/>
                          <w:sz w:val="17"/>
                          <w:szCs w:val="17"/>
                          <w:lang w:eastAsia="ja-JP"/>
                        </w:rPr>
                        <w:t>Erwan Andalouss</w:t>
                      </w:r>
                      <w:r w:rsidR="00496755">
                        <w:rPr>
                          <w:rFonts w:ascii="Segoe UI" w:hAnsi="Segoe UI" w:cs="Segoe UI"/>
                          <w:color w:val="000091" w:themeColor="text1"/>
                          <w:sz w:val="17"/>
                          <w:szCs w:val="17"/>
                          <w:lang w:eastAsia="ja-JP"/>
                        </w:rPr>
                        <w:t>i</w:t>
                      </w:r>
                      <w:r w:rsidR="00813E89">
                        <w:rPr>
                          <w:rFonts w:ascii="Segoe UI" w:hAnsi="Segoe UI" w:cs="Segoe UI"/>
                          <w:color w:val="000091" w:themeColor="text1"/>
                          <w:sz w:val="17"/>
                          <w:szCs w:val="17"/>
                          <w:lang w:eastAsia="ja-JP"/>
                        </w:rPr>
                        <w:t>, Florent Mangin</w:t>
                      </w:r>
                      <w:r w:rsidR="00426DEB">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EA1AC6"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3D312706">
            <wp:simplePos x="0" y="0"/>
            <wp:positionH relativeFrom="column">
              <wp:posOffset>-466065</wp:posOffset>
            </wp:positionH>
            <wp:positionV relativeFrom="page">
              <wp:posOffset>115138</wp:posOffset>
            </wp:positionV>
            <wp:extent cx="2843530" cy="994410"/>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43530" cy="994410"/>
                    </a:xfrm>
                    <a:prstGeom prst="rect">
                      <a:avLst/>
                    </a:prstGeom>
                  </pic:spPr>
                </pic:pic>
              </a:graphicData>
            </a:graphic>
            <wp14:sizeRelH relativeFrom="margin">
              <wp14:pctWidth>0</wp14:pctWidth>
            </wp14:sizeRelH>
            <wp14:sizeRelV relativeFrom="margin">
              <wp14:pctHeight>0</wp14:pctHeight>
            </wp14:sizeRelV>
          </wp:anchor>
        </w:drawing>
      </w:r>
    </w:p>
    <w:p w14:paraId="570E7FB4" w14:textId="64EB60ED" w:rsidR="00301021" w:rsidRPr="00EA1AC6" w:rsidRDefault="00077DC3" w:rsidP="00EA1AC6">
      <w:pPr>
        <w:spacing w:before="80" w:after="80"/>
        <w:ind w:right="1"/>
        <w:rPr>
          <w:rFonts w:ascii="Segoe UI" w:hAnsi="Segoe UI" w:cs="Segoe UI"/>
          <w:color w:val="000091" w:themeColor="text1"/>
          <w:sz w:val="44"/>
          <w:szCs w:val="28"/>
        </w:rPr>
      </w:pPr>
      <w:r>
        <w:rPr>
          <w:rFonts w:ascii="Segoe UI" w:hAnsi="Segoe UI" w:cs="Segoe UI"/>
          <w:color w:val="000091" w:themeColor="text1"/>
          <w:sz w:val="32"/>
          <w:szCs w:val="20"/>
          <w:lang w:eastAsia="fr-FR"/>
        </w:rPr>
        <w:t>Secteur assurantiel </w:t>
      </w:r>
      <w:r w:rsidR="00433EA4">
        <w:rPr>
          <w:rFonts w:ascii="Segoe UI" w:hAnsi="Segoe UI" w:cs="Segoe UI"/>
          <w:color w:val="000091" w:themeColor="text1"/>
          <w:sz w:val="32"/>
          <w:szCs w:val="20"/>
          <w:lang w:eastAsia="fr-FR"/>
        </w:rPr>
        <w:t>en Inde</w:t>
      </w:r>
      <w:r w:rsidR="00B516D5">
        <w:rPr>
          <w:rFonts w:ascii="Segoe UI" w:hAnsi="Segoe UI" w:cs="Segoe UI"/>
          <w:color w:val="000091" w:themeColor="text1"/>
          <w:sz w:val="32"/>
          <w:szCs w:val="20"/>
          <w:lang w:eastAsia="fr-FR"/>
        </w:rPr>
        <w:t xml:space="preserve">, </w:t>
      </w:r>
      <w:r w:rsidR="001635C6">
        <w:rPr>
          <w:rFonts w:ascii="Segoe UI" w:hAnsi="Segoe UI" w:cs="Segoe UI"/>
          <w:color w:val="000091" w:themeColor="text1"/>
          <w:sz w:val="32"/>
          <w:szCs w:val="20"/>
          <w:lang w:eastAsia="fr-FR"/>
        </w:rPr>
        <w:t xml:space="preserve">un marché </w:t>
      </w:r>
      <w:r w:rsidR="00B516D5">
        <w:rPr>
          <w:rFonts w:ascii="Segoe UI" w:hAnsi="Segoe UI" w:cs="Segoe UI"/>
          <w:color w:val="000091" w:themeColor="text1"/>
          <w:sz w:val="32"/>
          <w:szCs w:val="20"/>
          <w:lang w:eastAsia="fr-FR"/>
        </w:rPr>
        <w:t xml:space="preserve">entre </w:t>
      </w:r>
      <w:r w:rsidR="00BF7CF3">
        <w:rPr>
          <w:rFonts w:ascii="Segoe UI" w:hAnsi="Segoe UI" w:cs="Segoe UI"/>
          <w:color w:val="000091" w:themeColor="text1"/>
          <w:sz w:val="32"/>
          <w:szCs w:val="20"/>
          <w:lang w:eastAsia="fr-FR"/>
        </w:rPr>
        <w:t>p</w:t>
      </w:r>
      <w:r w:rsidR="00B516D5">
        <w:rPr>
          <w:rFonts w:ascii="Segoe UI" w:hAnsi="Segoe UI" w:cs="Segoe UI"/>
          <w:color w:val="000091" w:themeColor="text1"/>
          <w:sz w:val="32"/>
          <w:szCs w:val="20"/>
          <w:lang w:eastAsia="fr-FR"/>
        </w:rPr>
        <w:t xml:space="preserve">otentiels </w:t>
      </w:r>
      <w:r w:rsidR="00BF7CF3">
        <w:rPr>
          <w:rFonts w:ascii="Segoe UI" w:hAnsi="Segoe UI" w:cs="Segoe UI"/>
          <w:color w:val="000091" w:themeColor="text1"/>
          <w:sz w:val="32"/>
          <w:szCs w:val="20"/>
          <w:lang w:eastAsia="fr-FR"/>
        </w:rPr>
        <w:t>et réalités</w:t>
      </w:r>
    </w:p>
    <w:p w14:paraId="48CDC29A" w14:textId="6623AC28" w:rsidR="003D004D" w:rsidRDefault="00B516D5" w:rsidP="008C308D">
      <w:pPr>
        <w:pStyle w:val="Sansinterligne"/>
        <w:ind w:left="-284"/>
        <w:jc w:val="both"/>
        <w:rPr>
          <w:rFonts w:ascii="Segoe UI" w:hAnsi="Segoe UI" w:cs="Segoe UI"/>
          <w:i/>
          <w:iCs/>
          <w:noProof/>
          <w:color w:val="000091" w:themeColor="text1"/>
          <w:sz w:val="20"/>
          <w:szCs w:val="20"/>
          <w:lang w:val="es-419" w:eastAsia="fr-FR"/>
        </w:rPr>
      </w:pPr>
      <w:r w:rsidRPr="00B516D5">
        <w:rPr>
          <w:rFonts w:ascii="Segoe UI" w:hAnsi="Segoe UI" w:cs="Segoe UI"/>
          <w:i/>
          <w:iCs/>
          <w:noProof/>
          <w:color w:val="000091" w:themeColor="text1"/>
          <w:sz w:val="20"/>
          <w:szCs w:val="20"/>
          <w:lang w:val="es-419" w:eastAsia="fr-FR"/>
        </w:rPr>
        <w:t>Le marché de l’assurance indien</w:t>
      </w:r>
      <w:r w:rsidR="0083215C">
        <w:rPr>
          <w:rFonts w:ascii="Segoe UI" w:hAnsi="Segoe UI" w:cs="Segoe UI"/>
          <w:i/>
          <w:iCs/>
          <w:noProof/>
          <w:color w:val="000091" w:themeColor="text1"/>
          <w:sz w:val="20"/>
          <w:szCs w:val="20"/>
          <w:lang w:val="es-419" w:eastAsia="fr-FR"/>
        </w:rPr>
        <w:t xml:space="preserve">, régulé par </w:t>
      </w:r>
      <w:r w:rsidR="00BE4647">
        <w:rPr>
          <w:rFonts w:ascii="Segoe UI" w:hAnsi="Segoe UI" w:cs="Segoe UI"/>
          <w:i/>
          <w:iCs/>
          <w:noProof/>
          <w:color w:val="000091" w:themeColor="text1"/>
          <w:sz w:val="20"/>
          <w:szCs w:val="20"/>
          <w:lang w:val="es-419" w:eastAsia="fr-FR"/>
        </w:rPr>
        <w:t>l’”A</w:t>
      </w:r>
      <w:r w:rsidR="0083215C">
        <w:rPr>
          <w:rFonts w:ascii="Segoe UI" w:hAnsi="Segoe UI" w:cs="Segoe UI"/>
          <w:i/>
          <w:iCs/>
          <w:noProof/>
          <w:color w:val="000091" w:themeColor="text1"/>
          <w:sz w:val="20"/>
          <w:szCs w:val="20"/>
          <w:lang w:val="es-419" w:eastAsia="fr-FR"/>
        </w:rPr>
        <w:t>u</w:t>
      </w:r>
      <w:r w:rsidR="00C64B8D">
        <w:rPr>
          <w:rFonts w:ascii="Segoe UI" w:hAnsi="Segoe UI" w:cs="Segoe UI"/>
          <w:i/>
          <w:iCs/>
          <w:noProof/>
          <w:color w:val="000091" w:themeColor="text1"/>
          <w:sz w:val="20"/>
          <w:szCs w:val="20"/>
          <w:lang w:val="es-419" w:eastAsia="fr-FR"/>
        </w:rPr>
        <w:t>t</w:t>
      </w:r>
      <w:r w:rsidR="0083215C">
        <w:rPr>
          <w:rFonts w:ascii="Segoe UI" w:hAnsi="Segoe UI" w:cs="Segoe UI"/>
          <w:i/>
          <w:iCs/>
          <w:noProof/>
          <w:color w:val="000091" w:themeColor="text1"/>
          <w:sz w:val="20"/>
          <w:szCs w:val="20"/>
          <w:lang w:val="es-419" w:eastAsia="fr-FR"/>
        </w:rPr>
        <w:t>o</w:t>
      </w:r>
      <w:r w:rsidR="00C64B8D">
        <w:rPr>
          <w:rFonts w:ascii="Segoe UI" w:hAnsi="Segoe UI" w:cs="Segoe UI"/>
          <w:i/>
          <w:iCs/>
          <w:noProof/>
          <w:color w:val="000091" w:themeColor="text1"/>
          <w:sz w:val="20"/>
          <w:szCs w:val="20"/>
          <w:lang w:val="es-419" w:eastAsia="fr-FR"/>
        </w:rPr>
        <w:t>r</w:t>
      </w:r>
      <w:r w:rsidR="0083215C">
        <w:rPr>
          <w:rFonts w:ascii="Segoe UI" w:hAnsi="Segoe UI" w:cs="Segoe UI"/>
          <w:i/>
          <w:iCs/>
          <w:noProof/>
          <w:color w:val="000091" w:themeColor="text1"/>
          <w:sz w:val="20"/>
          <w:szCs w:val="20"/>
          <w:lang w:val="es-419" w:eastAsia="fr-FR"/>
        </w:rPr>
        <w:t>ité de régulation et de développement de l’assurance”</w:t>
      </w:r>
      <w:r w:rsidR="00BE4647">
        <w:rPr>
          <w:rFonts w:ascii="Segoe UI" w:hAnsi="Segoe UI" w:cs="Segoe UI"/>
          <w:i/>
          <w:iCs/>
          <w:noProof/>
          <w:color w:val="000091" w:themeColor="text1"/>
          <w:sz w:val="20"/>
          <w:szCs w:val="20"/>
          <w:lang w:val="es-419" w:eastAsia="fr-FR"/>
        </w:rPr>
        <w:t xml:space="preserve"> (IRDAI),</w:t>
      </w:r>
      <w:r w:rsidRPr="00B516D5">
        <w:rPr>
          <w:rFonts w:ascii="Segoe UI" w:hAnsi="Segoe UI" w:cs="Segoe UI"/>
          <w:i/>
          <w:iCs/>
          <w:noProof/>
          <w:color w:val="000091" w:themeColor="text1"/>
          <w:sz w:val="20"/>
          <w:szCs w:val="20"/>
          <w:lang w:val="es-419" w:eastAsia="fr-FR"/>
        </w:rPr>
        <w:t xml:space="preserve"> connaît une croissance soutenue, porté</w:t>
      </w:r>
      <w:r w:rsidR="00C64B8D">
        <w:rPr>
          <w:rFonts w:ascii="Segoe UI" w:hAnsi="Segoe UI" w:cs="Segoe UI"/>
          <w:i/>
          <w:iCs/>
          <w:noProof/>
          <w:color w:val="000091" w:themeColor="text1"/>
          <w:sz w:val="20"/>
          <w:szCs w:val="20"/>
          <w:lang w:val="es-419" w:eastAsia="fr-FR"/>
        </w:rPr>
        <w:t>e</w:t>
      </w:r>
      <w:r w:rsidRPr="00B516D5">
        <w:rPr>
          <w:rFonts w:ascii="Segoe UI" w:hAnsi="Segoe UI" w:cs="Segoe UI"/>
          <w:i/>
          <w:iCs/>
          <w:noProof/>
          <w:color w:val="000091" w:themeColor="text1"/>
          <w:sz w:val="20"/>
          <w:szCs w:val="20"/>
          <w:lang w:val="es-419" w:eastAsia="fr-FR"/>
        </w:rPr>
        <w:t xml:space="preserve"> par une classe moyenne </w:t>
      </w:r>
      <w:r w:rsidR="00BE4647">
        <w:rPr>
          <w:rFonts w:ascii="Segoe UI" w:hAnsi="Segoe UI" w:cs="Segoe UI"/>
          <w:i/>
          <w:iCs/>
          <w:noProof/>
          <w:color w:val="000091" w:themeColor="text1"/>
          <w:sz w:val="20"/>
          <w:szCs w:val="20"/>
          <w:lang w:val="es-419" w:eastAsia="fr-FR"/>
        </w:rPr>
        <w:t xml:space="preserve">grandissante </w:t>
      </w:r>
      <w:r w:rsidRPr="00B516D5">
        <w:rPr>
          <w:rFonts w:ascii="Segoe UI" w:hAnsi="Segoe UI" w:cs="Segoe UI"/>
          <w:i/>
          <w:iCs/>
          <w:noProof/>
          <w:color w:val="000091" w:themeColor="text1"/>
          <w:sz w:val="20"/>
          <w:szCs w:val="20"/>
          <w:lang w:val="es-419" w:eastAsia="fr-FR"/>
        </w:rPr>
        <w:t xml:space="preserve">et une demande robuste. En 2023‑24, </w:t>
      </w:r>
      <w:r w:rsidR="00BE4647">
        <w:rPr>
          <w:rFonts w:ascii="Segoe UI" w:hAnsi="Segoe UI" w:cs="Segoe UI"/>
          <w:i/>
          <w:iCs/>
          <w:noProof/>
          <w:color w:val="000091" w:themeColor="text1"/>
          <w:sz w:val="20"/>
          <w:szCs w:val="20"/>
          <w:lang w:val="es-419" w:eastAsia="fr-FR"/>
        </w:rPr>
        <w:t xml:space="preserve">le total des </w:t>
      </w:r>
      <w:r w:rsidRPr="00B516D5">
        <w:rPr>
          <w:rFonts w:ascii="Segoe UI" w:hAnsi="Segoe UI" w:cs="Segoe UI"/>
          <w:i/>
          <w:iCs/>
          <w:noProof/>
          <w:color w:val="000091" w:themeColor="text1"/>
          <w:sz w:val="20"/>
          <w:szCs w:val="20"/>
          <w:lang w:val="es-419" w:eastAsia="fr-FR"/>
        </w:rPr>
        <w:t>primes</w:t>
      </w:r>
      <w:r w:rsidR="00BE4647">
        <w:rPr>
          <w:rFonts w:ascii="Segoe UI" w:hAnsi="Segoe UI" w:cs="Segoe UI"/>
          <w:i/>
          <w:iCs/>
          <w:noProof/>
          <w:color w:val="000091" w:themeColor="text1"/>
          <w:sz w:val="20"/>
          <w:szCs w:val="20"/>
          <w:lang w:val="es-419" w:eastAsia="fr-FR"/>
        </w:rPr>
        <w:t xml:space="preserve"> totalise </w:t>
      </w:r>
      <w:r w:rsidR="00BE4647" w:rsidRPr="00B516D5">
        <w:rPr>
          <w:rFonts w:ascii="Segoe UI" w:hAnsi="Segoe UI" w:cs="Segoe UI"/>
          <w:i/>
          <w:iCs/>
          <w:noProof/>
          <w:color w:val="000091" w:themeColor="text1"/>
          <w:sz w:val="20"/>
          <w:szCs w:val="20"/>
          <w:lang w:val="es-419" w:eastAsia="fr-FR"/>
        </w:rPr>
        <w:t>127 Mds USD</w:t>
      </w:r>
      <w:r w:rsidR="00BE4647">
        <w:rPr>
          <w:rFonts w:ascii="Segoe UI" w:hAnsi="Segoe UI" w:cs="Segoe UI"/>
          <w:i/>
          <w:iCs/>
          <w:noProof/>
          <w:color w:val="000091" w:themeColor="text1"/>
          <w:sz w:val="20"/>
          <w:szCs w:val="20"/>
          <w:lang w:val="es-419" w:eastAsia="fr-FR"/>
        </w:rPr>
        <w:t>, soit un poids de</w:t>
      </w:r>
      <w:r w:rsidRPr="00B516D5">
        <w:rPr>
          <w:rFonts w:ascii="Segoe UI" w:hAnsi="Segoe UI" w:cs="Segoe UI"/>
          <w:i/>
          <w:iCs/>
          <w:noProof/>
          <w:color w:val="000091" w:themeColor="text1"/>
          <w:sz w:val="20"/>
          <w:szCs w:val="20"/>
          <w:lang w:val="es-419" w:eastAsia="fr-FR"/>
        </w:rPr>
        <w:t xml:space="preserve"> 1,9 % du marché mondial</w:t>
      </w:r>
      <w:r>
        <w:rPr>
          <w:rFonts w:ascii="Segoe UI" w:hAnsi="Segoe UI" w:cs="Segoe UI"/>
          <w:i/>
          <w:iCs/>
          <w:noProof/>
          <w:color w:val="000091" w:themeColor="text1"/>
          <w:sz w:val="20"/>
          <w:szCs w:val="20"/>
          <w:lang w:val="es-419" w:eastAsia="fr-FR"/>
        </w:rPr>
        <w:t xml:space="preserve"> et classant </w:t>
      </w:r>
      <w:r w:rsidRPr="00B516D5">
        <w:rPr>
          <w:rFonts w:ascii="Segoe UI" w:hAnsi="Segoe UI" w:cs="Segoe UI"/>
          <w:i/>
          <w:iCs/>
          <w:noProof/>
          <w:color w:val="000091" w:themeColor="text1"/>
          <w:sz w:val="20"/>
          <w:szCs w:val="20"/>
          <w:lang w:val="es-419" w:eastAsia="fr-FR"/>
        </w:rPr>
        <w:t xml:space="preserve">l’Inde au 10ᵉ rang </w:t>
      </w:r>
      <w:r w:rsidR="00BE4647">
        <w:rPr>
          <w:rFonts w:ascii="Segoe UI" w:hAnsi="Segoe UI" w:cs="Segoe UI"/>
          <w:i/>
          <w:iCs/>
          <w:noProof/>
          <w:color w:val="000091" w:themeColor="text1"/>
          <w:sz w:val="20"/>
          <w:szCs w:val="20"/>
          <w:lang w:val="es-419" w:eastAsia="fr-FR"/>
        </w:rPr>
        <w:t xml:space="preserve">international </w:t>
      </w:r>
      <w:r w:rsidRPr="00B516D5">
        <w:rPr>
          <w:rFonts w:ascii="Segoe UI" w:hAnsi="Segoe UI" w:cs="Segoe UI"/>
          <w:i/>
          <w:iCs/>
          <w:noProof/>
          <w:color w:val="000091" w:themeColor="text1"/>
          <w:sz w:val="20"/>
          <w:szCs w:val="20"/>
          <w:lang w:val="es-419" w:eastAsia="fr-FR"/>
        </w:rPr>
        <w:t>(</w:t>
      </w:r>
      <w:r>
        <w:rPr>
          <w:rFonts w:ascii="Segoe UI" w:hAnsi="Segoe UI" w:cs="Segoe UI"/>
          <w:i/>
          <w:iCs/>
          <w:noProof/>
          <w:color w:val="000091" w:themeColor="text1"/>
          <w:sz w:val="20"/>
          <w:szCs w:val="20"/>
          <w:lang w:val="es-419" w:eastAsia="fr-FR"/>
        </w:rPr>
        <w:t xml:space="preserve">selon le dernier rapport </w:t>
      </w:r>
      <w:r w:rsidRPr="00B516D5">
        <w:rPr>
          <w:rFonts w:ascii="Segoe UI" w:hAnsi="Segoe UI" w:cs="Segoe UI"/>
          <w:i/>
          <w:iCs/>
          <w:noProof/>
          <w:color w:val="000091" w:themeColor="text1"/>
          <w:sz w:val="20"/>
          <w:szCs w:val="20"/>
          <w:lang w:val="es-419" w:eastAsia="fr-FR"/>
        </w:rPr>
        <w:t>Swiss Re)</w:t>
      </w:r>
      <w:r w:rsidR="00A54D08">
        <w:rPr>
          <w:rStyle w:val="Appeldenotedefin"/>
          <w:rFonts w:ascii="Segoe UI" w:hAnsi="Segoe UI" w:cs="Segoe UI"/>
          <w:i/>
          <w:iCs/>
          <w:noProof/>
          <w:color w:val="000091" w:themeColor="text1"/>
          <w:sz w:val="20"/>
          <w:szCs w:val="20"/>
          <w:lang w:val="es-419" w:eastAsia="fr-FR"/>
        </w:rPr>
        <w:endnoteReference w:id="1"/>
      </w:r>
      <w:r w:rsidR="00A54D08" w:rsidRPr="00B516D5">
        <w:rPr>
          <w:rFonts w:ascii="Segoe UI" w:hAnsi="Segoe UI" w:cs="Segoe UI"/>
          <w:i/>
          <w:iCs/>
          <w:noProof/>
          <w:color w:val="000091" w:themeColor="text1"/>
          <w:sz w:val="20"/>
          <w:szCs w:val="20"/>
          <w:lang w:val="es-419" w:eastAsia="fr-FR"/>
        </w:rPr>
        <w:t>.</w:t>
      </w:r>
      <w:r w:rsidRPr="00B516D5">
        <w:rPr>
          <w:rFonts w:ascii="Segoe UI" w:hAnsi="Segoe UI" w:cs="Segoe UI"/>
          <w:i/>
          <w:iCs/>
          <w:noProof/>
          <w:color w:val="000091" w:themeColor="text1"/>
          <w:sz w:val="20"/>
          <w:szCs w:val="20"/>
          <w:lang w:val="es-419" w:eastAsia="fr-FR"/>
        </w:rPr>
        <w:t xml:space="preserve"> </w:t>
      </w:r>
      <w:r w:rsidR="00824A63" w:rsidRPr="00824A63">
        <w:rPr>
          <w:rFonts w:ascii="Segoe UI" w:hAnsi="Segoe UI" w:cs="Segoe UI"/>
          <w:i/>
          <w:iCs/>
          <w:noProof/>
          <w:color w:val="000091" w:themeColor="text1"/>
          <w:sz w:val="20"/>
          <w:szCs w:val="20"/>
          <w:lang w:val="es-419" w:eastAsia="fr-FR"/>
        </w:rPr>
        <w:t xml:space="preserve">Le marché indien de l’assurance se distingue par la prédominance du segment vie, qui représente près de 74 % du total, contrairement aux pays développés où l’assurance </w:t>
      </w:r>
      <w:r w:rsidR="00321D41">
        <w:rPr>
          <w:rFonts w:ascii="Segoe UI" w:hAnsi="Segoe UI" w:cs="Segoe UI"/>
          <w:i/>
          <w:iCs/>
          <w:noProof/>
          <w:color w:val="000091" w:themeColor="text1"/>
          <w:sz w:val="20"/>
          <w:szCs w:val="20"/>
          <w:lang w:val="es-419" w:eastAsia="fr-FR"/>
        </w:rPr>
        <w:t xml:space="preserve">générale </w:t>
      </w:r>
      <w:r w:rsidR="00824A63" w:rsidRPr="00824A63">
        <w:rPr>
          <w:rFonts w:ascii="Segoe UI" w:hAnsi="Segoe UI" w:cs="Segoe UI"/>
          <w:i/>
          <w:iCs/>
          <w:noProof/>
          <w:color w:val="000091" w:themeColor="text1"/>
          <w:sz w:val="20"/>
          <w:szCs w:val="20"/>
          <w:lang w:val="es-419" w:eastAsia="fr-FR"/>
        </w:rPr>
        <w:t>domine. Cette spécificité s’explique par une forte demande pour des produits hybrides combinant épargne et couverture décès, largement soutenue par des avantages fiscaux attractifs</w:t>
      </w:r>
      <w:r w:rsidR="00824A63">
        <w:rPr>
          <w:rFonts w:ascii="Segoe UI" w:hAnsi="Segoe UI" w:cs="Segoe UI"/>
          <w:i/>
          <w:iCs/>
          <w:noProof/>
          <w:color w:val="000091" w:themeColor="text1"/>
          <w:sz w:val="20"/>
          <w:szCs w:val="20"/>
          <w:lang w:val="es-419" w:eastAsia="fr-FR"/>
        </w:rPr>
        <w:t xml:space="preserve">. </w:t>
      </w:r>
      <w:r w:rsidRPr="00B516D5">
        <w:rPr>
          <w:rFonts w:ascii="Segoe UI" w:hAnsi="Segoe UI" w:cs="Segoe UI"/>
          <w:i/>
          <w:iCs/>
          <w:noProof/>
          <w:color w:val="000091" w:themeColor="text1"/>
          <w:sz w:val="20"/>
          <w:szCs w:val="20"/>
          <w:lang w:val="es-419" w:eastAsia="fr-FR"/>
        </w:rPr>
        <w:t xml:space="preserve">Cependant, la pénétration reste faible et le marché se concentre </w:t>
      </w:r>
      <w:r w:rsidR="00F0774C">
        <w:rPr>
          <w:rFonts w:ascii="Segoe UI" w:hAnsi="Segoe UI" w:cs="Segoe UI"/>
          <w:i/>
          <w:iCs/>
          <w:noProof/>
          <w:color w:val="000091" w:themeColor="text1"/>
          <w:sz w:val="20"/>
          <w:szCs w:val="20"/>
          <w:lang w:val="es-419" w:eastAsia="fr-FR"/>
        </w:rPr>
        <w:t xml:space="preserve">très </w:t>
      </w:r>
      <w:r w:rsidRPr="00B516D5">
        <w:rPr>
          <w:rFonts w:ascii="Segoe UI" w:hAnsi="Segoe UI" w:cs="Segoe UI"/>
          <w:i/>
          <w:iCs/>
          <w:noProof/>
          <w:color w:val="000091" w:themeColor="text1"/>
          <w:sz w:val="20"/>
          <w:szCs w:val="20"/>
          <w:lang w:val="es-419" w:eastAsia="fr-FR"/>
        </w:rPr>
        <w:t>majoritairement dans les zones urbaines. L’Inde est par ailleurs fortement exposée aux catastrophes naturelles, mais demeure très sous-assurée face aux risques climatiques. Le rôle de l’État comme assureur en dernier ressort</w:t>
      </w:r>
      <w:r w:rsidR="00F0774C">
        <w:rPr>
          <w:rFonts w:ascii="Segoe UI" w:hAnsi="Segoe UI" w:cs="Segoe UI"/>
          <w:i/>
          <w:iCs/>
          <w:noProof/>
          <w:color w:val="000091" w:themeColor="text1"/>
          <w:sz w:val="20"/>
          <w:szCs w:val="20"/>
          <w:lang w:val="es-419" w:eastAsia="fr-FR"/>
        </w:rPr>
        <w:t>, à l’aide de programme</w:t>
      </w:r>
      <w:r w:rsidR="00711D5F">
        <w:rPr>
          <w:rFonts w:ascii="Segoe UI" w:hAnsi="Segoe UI" w:cs="Segoe UI"/>
          <w:i/>
          <w:iCs/>
          <w:noProof/>
          <w:color w:val="000091" w:themeColor="text1"/>
          <w:sz w:val="20"/>
          <w:szCs w:val="20"/>
          <w:lang w:val="es-419" w:eastAsia="fr-FR"/>
        </w:rPr>
        <w:t>s</w:t>
      </w:r>
      <w:r w:rsidR="00F0774C">
        <w:rPr>
          <w:rFonts w:ascii="Segoe UI" w:hAnsi="Segoe UI" w:cs="Segoe UI"/>
          <w:i/>
          <w:iCs/>
          <w:noProof/>
          <w:color w:val="000091" w:themeColor="text1"/>
          <w:sz w:val="20"/>
          <w:szCs w:val="20"/>
          <w:lang w:val="es-419" w:eastAsia="fr-FR"/>
        </w:rPr>
        <w:t xml:space="preserve"> d’indemnisation ou d’assurances subventionnées</w:t>
      </w:r>
      <w:r w:rsidR="00824A63">
        <w:rPr>
          <w:rFonts w:ascii="Segoe UI" w:hAnsi="Segoe UI" w:cs="Segoe UI"/>
          <w:i/>
          <w:iCs/>
          <w:noProof/>
          <w:color w:val="000091" w:themeColor="text1"/>
          <w:sz w:val="20"/>
          <w:szCs w:val="20"/>
          <w:lang w:val="es-419" w:eastAsia="fr-FR"/>
        </w:rPr>
        <w:t xml:space="preserve"> </w:t>
      </w:r>
      <w:r w:rsidRPr="00B516D5">
        <w:rPr>
          <w:rFonts w:ascii="Segoe UI" w:hAnsi="Segoe UI" w:cs="Segoe UI"/>
          <w:i/>
          <w:iCs/>
          <w:noProof/>
          <w:color w:val="000091" w:themeColor="text1"/>
          <w:sz w:val="20"/>
          <w:szCs w:val="20"/>
          <w:lang w:val="es-419" w:eastAsia="fr-FR"/>
        </w:rPr>
        <w:t>limite les incitations à la couverture privée, laissant un potentiel de croissance considérable.</w:t>
      </w:r>
    </w:p>
    <w:p w14:paraId="3166CEE3" w14:textId="501BA1A5" w:rsidR="009F3C77" w:rsidRDefault="009F3C77" w:rsidP="008C308D">
      <w:pPr>
        <w:pStyle w:val="Sansinterligne"/>
        <w:ind w:left="-284"/>
        <w:jc w:val="both"/>
        <w:rPr>
          <w:rFonts w:ascii="Segoe UI" w:hAnsi="Segoe UI" w:cs="Segoe UI"/>
          <w:i/>
          <w:iCs/>
          <w:noProof/>
          <w:color w:val="000091" w:themeColor="text1"/>
          <w:sz w:val="20"/>
          <w:szCs w:val="20"/>
          <w:lang w:val="es-419" w:eastAsia="fr-FR"/>
        </w:rPr>
      </w:pPr>
    </w:p>
    <w:p w14:paraId="7FBB679F" w14:textId="064CB794" w:rsidR="008C308D" w:rsidRPr="004472CB" w:rsidRDefault="009F3C77" w:rsidP="004472CB">
      <w:pPr>
        <w:pStyle w:val="Sansinterligne"/>
        <w:ind w:left="-284"/>
        <w:jc w:val="both"/>
        <w:rPr>
          <w:rStyle w:val="Lienhypertexte"/>
          <w:rFonts w:ascii="Segoe UI" w:hAnsi="Segoe UI" w:cs="Segoe UI"/>
          <w:b/>
          <w:bCs/>
          <w:color w:val="000091" w:themeColor="text1"/>
          <w:sz w:val="24"/>
          <w:szCs w:val="16"/>
          <w:u w:val="none"/>
          <w:lang w:eastAsia="fr-FR"/>
        </w:rPr>
      </w:pPr>
      <w:r w:rsidRPr="009F3C77">
        <w:rPr>
          <w:rFonts w:ascii="Segoe UI" w:hAnsi="Segoe UI" w:cs="Segoe UI"/>
          <w:b/>
          <w:bCs/>
          <w:color w:val="000091" w:themeColor="text1"/>
          <w:sz w:val="24"/>
          <w:szCs w:val="16"/>
          <w:lang w:eastAsia="fr-FR"/>
        </w:rPr>
        <w:t>I/ Un marché en expansion</w:t>
      </w:r>
      <w:r w:rsidR="00F35D8A">
        <w:rPr>
          <w:rFonts w:ascii="Segoe UI" w:hAnsi="Segoe UI" w:cs="Segoe UI"/>
          <w:b/>
          <w:bCs/>
          <w:color w:val="000091" w:themeColor="text1"/>
          <w:sz w:val="24"/>
          <w:szCs w:val="16"/>
          <w:lang w:eastAsia="fr-FR"/>
        </w:rPr>
        <w:t>....</w:t>
      </w:r>
      <w:r w:rsidRPr="009F3C77">
        <w:rPr>
          <w:rFonts w:ascii="Segoe UI" w:hAnsi="Segoe UI" w:cs="Segoe UI"/>
          <w:b/>
          <w:bCs/>
          <w:color w:val="000091" w:themeColor="text1"/>
          <w:sz w:val="24"/>
          <w:szCs w:val="16"/>
          <w:lang w:eastAsia="fr-FR"/>
        </w:rPr>
        <w:t xml:space="preserve"> </w:t>
      </w:r>
    </w:p>
    <w:p w14:paraId="3E36DEE5" w14:textId="5C011552" w:rsidR="00425639" w:rsidRDefault="00A54D08" w:rsidP="00C054CF">
      <w:pPr>
        <w:pStyle w:val="Brvesco-Normal"/>
        <w:spacing w:after="60" w:line="240" w:lineRule="auto"/>
        <w:ind w:left="-284"/>
        <w:rPr>
          <w:rStyle w:val="Lienhypertexte"/>
          <w:rFonts w:ascii="Segoe UI" w:hAnsi="Segoe UI" w:cs="Segoe UI"/>
          <w:noProof/>
          <w:color w:val="auto"/>
          <w:szCs w:val="20"/>
          <w:u w:val="none"/>
          <w:lang w:val="es-419"/>
        </w:rPr>
      </w:pPr>
      <w:r w:rsidRPr="00A54D08">
        <w:rPr>
          <w:rStyle w:val="Lienhypertexte"/>
          <w:rFonts w:ascii="Segoe UI" w:hAnsi="Segoe UI" w:cs="Segoe UI"/>
          <w:noProof/>
          <w:color w:val="auto"/>
          <w:szCs w:val="20"/>
          <w:u w:val="none"/>
          <w:lang w:val="es-419"/>
        </w:rPr>
        <w:t xml:space="preserve">Selon le dernier rapport de SwissRe, le secteur de l’assurance en Inde devrait connaître une croissance moyenne de 7,3 % par an sur les cinq prochaines années, </w:t>
      </w:r>
      <w:r w:rsidR="0083215C">
        <w:rPr>
          <w:rStyle w:val="Lienhypertexte"/>
          <w:rFonts w:ascii="Segoe UI" w:hAnsi="Segoe UI" w:cs="Segoe UI"/>
          <w:noProof/>
          <w:color w:val="auto"/>
          <w:szCs w:val="20"/>
          <w:u w:val="none"/>
          <w:lang w:val="es-419"/>
        </w:rPr>
        <w:t>et atteindre une taille de 280 Mds USD</w:t>
      </w:r>
      <w:r w:rsidR="00425639">
        <w:rPr>
          <w:rStyle w:val="Appeldenotedefin"/>
          <w:rFonts w:ascii="Segoe UI" w:hAnsi="Segoe UI" w:cs="Segoe UI"/>
          <w:noProof/>
          <w:color w:val="auto"/>
          <w:szCs w:val="20"/>
          <w:lang w:val="es-419"/>
        </w:rPr>
        <w:endnoteReference w:id="2"/>
      </w:r>
      <w:r w:rsidR="00425639">
        <w:rPr>
          <w:rStyle w:val="Lienhypertexte"/>
          <w:rFonts w:ascii="Segoe UI" w:hAnsi="Segoe UI" w:cs="Segoe UI"/>
          <w:noProof/>
          <w:color w:val="auto"/>
          <w:szCs w:val="20"/>
          <w:u w:val="none"/>
          <w:lang w:val="es-419"/>
        </w:rPr>
        <w:t xml:space="preserve">, </w:t>
      </w:r>
      <w:r w:rsidR="00425639" w:rsidRPr="00A54D08">
        <w:rPr>
          <w:rStyle w:val="Lienhypertexte"/>
          <w:rFonts w:ascii="Segoe UI" w:hAnsi="Segoe UI" w:cs="Segoe UI"/>
          <w:noProof/>
          <w:color w:val="auto"/>
          <w:szCs w:val="20"/>
          <w:u w:val="none"/>
          <w:lang w:val="es-419"/>
        </w:rPr>
        <w:t>soutenue par des fondamentaux macroéconomiques solides, une dynamique démographique favorable et des avancées significatives en matière de numérisation.</w:t>
      </w:r>
      <w:r w:rsidR="00425639">
        <w:rPr>
          <w:rStyle w:val="Lienhypertexte"/>
          <w:rFonts w:ascii="Segoe UI" w:hAnsi="Segoe UI" w:cs="Segoe UI"/>
          <w:noProof/>
          <w:color w:val="auto"/>
          <w:szCs w:val="20"/>
          <w:u w:val="none"/>
          <w:lang w:val="es-419"/>
        </w:rPr>
        <w:t xml:space="preserve"> </w:t>
      </w:r>
      <w:r w:rsidR="00321D41">
        <w:rPr>
          <w:rStyle w:val="Lienhypertexte"/>
          <w:rFonts w:ascii="Segoe UI" w:hAnsi="Segoe UI" w:cs="Segoe UI"/>
          <w:noProof/>
          <w:color w:val="auto"/>
          <w:szCs w:val="20"/>
          <w:u w:val="none"/>
          <w:lang w:val="es-419"/>
        </w:rPr>
        <w:t xml:space="preserve">Malgré la </w:t>
      </w:r>
      <w:r w:rsidR="00425639">
        <w:rPr>
          <w:rStyle w:val="Lienhypertexte"/>
          <w:rFonts w:ascii="Segoe UI" w:hAnsi="Segoe UI" w:cs="Segoe UI"/>
          <w:noProof/>
          <w:color w:val="auto"/>
          <w:szCs w:val="20"/>
          <w:u w:val="none"/>
          <w:lang w:val="es-419"/>
        </w:rPr>
        <w:t xml:space="preserve">prédominance de l’assurance-vie (c.f.annexe 1), le secteur de l’assurance </w:t>
      </w:r>
      <w:r w:rsidR="00321D41">
        <w:rPr>
          <w:rStyle w:val="Lienhypertexte"/>
          <w:rFonts w:ascii="Segoe UI" w:hAnsi="Segoe UI" w:cs="Segoe UI"/>
          <w:noProof/>
          <w:color w:val="auto"/>
          <w:szCs w:val="20"/>
          <w:u w:val="none"/>
          <w:lang w:val="es-419"/>
        </w:rPr>
        <w:t xml:space="preserve">générale </w:t>
      </w:r>
      <w:r w:rsidR="00425639">
        <w:rPr>
          <w:rStyle w:val="Lienhypertexte"/>
          <w:rFonts w:ascii="Segoe UI" w:hAnsi="Segoe UI" w:cs="Segoe UI"/>
          <w:noProof/>
          <w:color w:val="auto"/>
          <w:szCs w:val="20"/>
          <w:u w:val="none"/>
          <w:lang w:val="es-419"/>
        </w:rPr>
        <w:t xml:space="preserve">a connu une croissance de 15% en 2024 selon un rapport </w:t>
      </w:r>
      <w:r w:rsidR="00CB266A" w:rsidRPr="00CB266A">
        <w:rPr>
          <w:rStyle w:val="Lienhypertexte"/>
          <w:rFonts w:ascii="Segoe UI" w:hAnsi="Segoe UI" w:cs="Segoe UI"/>
          <w:noProof/>
          <w:color w:val="auto"/>
          <w:szCs w:val="20"/>
          <w:u w:val="none"/>
          <w:lang w:val="es-419"/>
        </w:rPr>
        <w:t xml:space="preserve">PricewaterhouseCoopers </w:t>
      </w:r>
      <w:r w:rsidR="00CB266A">
        <w:rPr>
          <w:rStyle w:val="Lienhypertexte"/>
          <w:rFonts w:ascii="Segoe UI" w:hAnsi="Segoe UI" w:cs="Segoe UI"/>
          <w:noProof/>
          <w:color w:val="auto"/>
          <w:szCs w:val="20"/>
          <w:u w:val="none"/>
          <w:lang w:val="es-419"/>
        </w:rPr>
        <w:t>(</w:t>
      </w:r>
      <w:r w:rsidR="00425639">
        <w:rPr>
          <w:rStyle w:val="Lienhypertexte"/>
          <w:rFonts w:ascii="Segoe UI" w:hAnsi="Segoe UI" w:cs="Segoe UI"/>
          <w:noProof/>
          <w:color w:val="auto"/>
          <w:szCs w:val="20"/>
          <w:u w:val="none"/>
          <w:lang w:val="es-419"/>
        </w:rPr>
        <w:t>PWC</w:t>
      </w:r>
      <w:r w:rsidR="00CB266A">
        <w:rPr>
          <w:rStyle w:val="Lienhypertexte"/>
          <w:rFonts w:ascii="Segoe UI" w:hAnsi="Segoe UI" w:cs="Segoe UI"/>
          <w:noProof/>
          <w:color w:val="auto"/>
          <w:szCs w:val="20"/>
          <w:u w:val="none"/>
          <w:lang w:val="es-419"/>
        </w:rPr>
        <w:t>)</w:t>
      </w:r>
      <w:r w:rsidR="00425639">
        <w:rPr>
          <w:rStyle w:val="Appeldenotedefin"/>
          <w:rFonts w:ascii="Segoe UI" w:hAnsi="Segoe UI" w:cs="Segoe UI"/>
          <w:noProof/>
          <w:color w:val="auto"/>
          <w:szCs w:val="20"/>
          <w:lang w:val="es-419"/>
        </w:rPr>
        <w:endnoteReference w:id="3"/>
      </w:r>
      <w:r w:rsidR="00425639">
        <w:rPr>
          <w:rStyle w:val="Lienhypertexte"/>
          <w:rFonts w:ascii="Segoe UI" w:hAnsi="Segoe UI" w:cs="Segoe UI"/>
          <w:noProof/>
          <w:color w:val="auto"/>
          <w:szCs w:val="20"/>
          <w:u w:val="none"/>
          <w:lang w:val="es-419"/>
        </w:rPr>
        <w:t>, avec une accélération de l’assurance santé (+12,8%) le segment</w:t>
      </w:r>
      <w:r w:rsidR="00711D5F">
        <w:rPr>
          <w:rStyle w:val="Lienhypertexte"/>
          <w:rFonts w:ascii="Segoe UI" w:hAnsi="Segoe UI" w:cs="Segoe UI"/>
          <w:noProof/>
          <w:color w:val="auto"/>
          <w:szCs w:val="20"/>
          <w:u w:val="none"/>
          <w:lang w:val="es-419"/>
        </w:rPr>
        <w:t xml:space="preserve"> le plus important</w:t>
      </w:r>
      <w:r w:rsidR="00425639">
        <w:rPr>
          <w:rStyle w:val="Lienhypertexte"/>
          <w:rFonts w:ascii="Segoe UI" w:hAnsi="Segoe UI" w:cs="Segoe UI"/>
          <w:noProof/>
          <w:color w:val="auto"/>
          <w:szCs w:val="20"/>
          <w:u w:val="none"/>
          <w:lang w:val="es-419"/>
        </w:rPr>
        <w:t>, avant l’automobile (+7,9%) et l’agriculture (+2,5%) (c.f. annexe 3).</w:t>
      </w:r>
    </w:p>
    <w:p w14:paraId="57C44505" w14:textId="201E7EE3" w:rsidR="00425639" w:rsidRDefault="00425639" w:rsidP="00C054CF">
      <w:pPr>
        <w:pStyle w:val="Brvesco-Normal"/>
        <w:spacing w:after="60" w:line="240" w:lineRule="auto"/>
        <w:ind w:left="-284"/>
        <w:rPr>
          <w:rStyle w:val="Lienhypertexte"/>
          <w:rFonts w:ascii="Segoe UI" w:hAnsi="Segoe UI" w:cs="Segoe UI"/>
          <w:noProof/>
          <w:color w:val="auto"/>
          <w:szCs w:val="20"/>
          <w:u w:val="none"/>
          <w:lang w:val="es-419"/>
        </w:rPr>
      </w:pPr>
      <w:r w:rsidRPr="00EF697E">
        <w:rPr>
          <w:rStyle w:val="Lienhypertexte"/>
          <w:rFonts w:ascii="Segoe UI" w:hAnsi="Segoe UI" w:cs="Segoe UI"/>
          <w:noProof/>
          <w:color w:val="auto"/>
          <w:szCs w:val="20"/>
          <w:u w:val="none"/>
          <w:lang w:val="es-419"/>
        </w:rPr>
        <w:t>Toutefois, la pénétration</w:t>
      </w:r>
      <w:r w:rsidR="00195BFA">
        <w:rPr>
          <w:rStyle w:val="Appeldenotedefin"/>
          <w:rFonts w:ascii="Segoe UI" w:hAnsi="Segoe UI" w:cs="Segoe UI"/>
          <w:noProof/>
          <w:color w:val="auto"/>
          <w:szCs w:val="20"/>
          <w:lang w:val="es-419"/>
        </w:rPr>
        <w:endnoteReference w:id="4"/>
      </w:r>
      <w:r w:rsidR="00195BFA" w:rsidRPr="00EF697E">
        <w:rPr>
          <w:rStyle w:val="Lienhypertexte"/>
          <w:rFonts w:ascii="Segoe UI" w:hAnsi="Segoe UI" w:cs="Segoe UI"/>
          <w:noProof/>
          <w:color w:val="auto"/>
          <w:szCs w:val="20"/>
          <w:u w:val="none"/>
          <w:lang w:val="es-419"/>
        </w:rPr>
        <w:t xml:space="preserve"> </w:t>
      </w:r>
      <w:r w:rsidRPr="00EF697E">
        <w:rPr>
          <w:rStyle w:val="Lienhypertexte"/>
          <w:rFonts w:ascii="Segoe UI" w:hAnsi="Segoe UI" w:cs="Segoe UI"/>
          <w:noProof/>
          <w:color w:val="auto"/>
          <w:szCs w:val="20"/>
          <w:u w:val="none"/>
          <w:lang w:val="es-419"/>
        </w:rPr>
        <w:t xml:space="preserve">du marché reste limitée, à 3,7 % du PIB en 2023, contre </w:t>
      </w:r>
      <w:r w:rsidR="008C1727">
        <w:rPr>
          <w:rStyle w:val="Lienhypertexte"/>
          <w:rFonts w:ascii="Segoe UI" w:hAnsi="Segoe UI" w:cs="Segoe UI"/>
          <w:noProof/>
          <w:color w:val="auto"/>
          <w:szCs w:val="20"/>
          <w:u w:val="none"/>
          <w:lang w:val="es-419"/>
        </w:rPr>
        <w:t>u</w:t>
      </w:r>
      <w:r w:rsidR="00FE17BB">
        <w:rPr>
          <w:rStyle w:val="Lienhypertexte"/>
          <w:rFonts w:ascii="Segoe UI" w:hAnsi="Segoe UI" w:cs="Segoe UI"/>
          <w:noProof/>
          <w:color w:val="auto"/>
          <w:szCs w:val="20"/>
          <w:u w:val="none"/>
          <w:lang w:val="es-419"/>
        </w:rPr>
        <w:t>ne</w:t>
      </w:r>
      <w:r w:rsidR="008C1727">
        <w:rPr>
          <w:rStyle w:val="Lienhypertexte"/>
          <w:rFonts w:ascii="Segoe UI" w:hAnsi="Segoe UI" w:cs="Segoe UI"/>
          <w:noProof/>
          <w:color w:val="auto"/>
          <w:szCs w:val="20"/>
          <w:u w:val="none"/>
          <w:lang w:val="es-419"/>
        </w:rPr>
        <w:t xml:space="preserve"> moyenne mondiale de</w:t>
      </w:r>
      <w:r w:rsidRPr="00EF697E">
        <w:rPr>
          <w:rStyle w:val="Lienhypertexte"/>
          <w:rFonts w:ascii="Segoe UI" w:hAnsi="Segoe UI" w:cs="Segoe UI"/>
          <w:noProof/>
          <w:color w:val="auto"/>
          <w:szCs w:val="20"/>
          <w:u w:val="none"/>
          <w:lang w:val="es-419"/>
        </w:rPr>
        <w:t xml:space="preserve"> 7 %</w:t>
      </w:r>
      <w:r>
        <w:rPr>
          <w:rStyle w:val="Appeldenotedefin"/>
          <w:rFonts w:ascii="Segoe UI" w:hAnsi="Segoe UI" w:cs="Segoe UI"/>
          <w:noProof/>
          <w:color w:val="auto"/>
          <w:szCs w:val="20"/>
          <w:lang w:val="es-419"/>
        </w:rPr>
        <w:endnoteReference w:id="5"/>
      </w:r>
      <w:r w:rsidR="00FE17BB">
        <w:rPr>
          <w:rStyle w:val="Lienhypertexte"/>
          <w:rFonts w:ascii="Segoe UI" w:hAnsi="Segoe UI" w:cs="Segoe UI"/>
          <w:noProof/>
          <w:color w:val="auto"/>
          <w:szCs w:val="20"/>
          <w:u w:val="none"/>
          <w:lang w:val="es-419"/>
        </w:rPr>
        <w:t>, et même en baisse puisqu’elle enregistrait 4,2% en 2021-22</w:t>
      </w:r>
      <w:r w:rsidRPr="00EF697E">
        <w:rPr>
          <w:rStyle w:val="Lienhypertexte"/>
          <w:rFonts w:ascii="Segoe UI" w:hAnsi="Segoe UI" w:cs="Segoe UI"/>
          <w:noProof/>
          <w:color w:val="auto"/>
          <w:szCs w:val="20"/>
          <w:u w:val="none"/>
          <w:lang w:val="es-419"/>
        </w:rPr>
        <w:t>. Le déficit de protection en cas de décès demeure particulièrement élevé, atteignant 91 %</w:t>
      </w:r>
      <w:r>
        <w:rPr>
          <w:rStyle w:val="Appeldenotedefin"/>
          <w:rFonts w:ascii="Segoe UI" w:hAnsi="Segoe UI" w:cs="Segoe UI"/>
          <w:noProof/>
          <w:color w:val="auto"/>
          <w:szCs w:val="20"/>
          <w:lang w:val="es-419"/>
        </w:rPr>
        <w:endnoteReference w:id="6"/>
      </w:r>
      <w:r w:rsidRPr="00EF697E">
        <w:rPr>
          <w:rStyle w:val="Lienhypertexte"/>
          <w:rFonts w:ascii="Segoe UI" w:hAnsi="Segoe UI" w:cs="Segoe UI"/>
          <w:noProof/>
          <w:color w:val="auto"/>
          <w:szCs w:val="20"/>
          <w:u w:val="none"/>
          <w:lang w:val="es-419"/>
        </w:rPr>
        <w:t xml:space="preserve">, notamment dans les zones rurales. </w:t>
      </w:r>
      <w:r w:rsidR="00C27950">
        <w:rPr>
          <w:rStyle w:val="Lienhypertexte"/>
          <w:rFonts w:ascii="Segoe UI" w:hAnsi="Segoe UI" w:cs="Segoe UI"/>
          <w:noProof/>
          <w:color w:val="auto"/>
          <w:szCs w:val="20"/>
          <w:u w:val="none"/>
          <w:lang w:val="es-419"/>
        </w:rPr>
        <w:t>L’origine de cette</w:t>
      </w:r>
      <w:r w:rsidRPr="00EF697E">
        <w:rPr>
          <w:rStyle w:val="Lienhypertexte"/>
          <w:rFonts w:ascii="Segoe UI" w:hAnsi="Segoe UI" w:cs="Segoe UI"/>
          <w:noProof/>
          <w:color w:val="auto"/>
          <w:szCs w:val="20"/>
          <w:u w:val="none"/>
          <w:lang w:val="es-419"/>
        </w:rPr>
        <w:t xml:space="preserve"> </w:t>
      </w:r>
      <w:r w:rsidR="006461EC">
        <w:rPr>
          <w:rStyle w:val="Lienhypertexte"/>
          <w:rFonts w:ascii="Segoe UI" w:hAnsi="Segoe UI" w:cs="Segoe UI"/>
          <w:noProof/>
          <w:color w:val="auto"/>
          <w:szCs w:val="20"/>
          <w:u w:val="none"/>
          <w:lang w:val="es-419"/>
        </w:rPr>
        <w:t>lacune est multifactorielle mais</w:t>
      </w:r>
      <w:r w:rsidRPr="00EF697E">
        <w:rPr>
          <w:rStyle w:val="Lienhypertexte"/>
          <w:rFonts w:ascii="Segoe UI" w:hAnsi="Segoe UI" w:cs="Segoe UI"/>
          <w:noProof/>
          <w:color w:val="auto"/>
          <w:szCs w:val="20"/>
          <w:u w:val="none"/>
          <w:lang w:val="es-419"/>
        </w:rPr>
        <w:t xml:space="preserve"> </w:t>
      </w:r>
      <w:r w:rsidR="006461EC">
        <w:rPr>
          <w:rStyle w:val="Lienhypertexte"/>
          <w:rFonts w:ascii="Segoe UI" w:hAnsi="Segoe UI" w:cs="Segoe UI"/>
          <w:noProof/>
          <w:color w:val="auto"/>
          <w:szCs w:val="20"/>
          <w:u w:val="none"/>
          <w:lang w:val="es-419"/>
        </w:rPr>
        <w:t xml:space="preserve">peut s’expliquer </w:t>
      </w:r>
      <w:r w:rsidRPr="00EF697E">
        <w:rPr>
          <w:rStyle w:val="Lienhypertexte"/>
          <w:rFonts w:ascii="Segoe UI" w:hAnsi="Segoe UI" w:cs="Segoe UI"/>
          <w:noProof/>
          <w:color w:val="auto"/>
          <w:szCs w:val="20"/>
          <w:u w:val="none"/>
          <w:lang w:val="es-419"/>
        </w:rPr>
        <w:t xml:space="preserve">en </w:t>
      </w:r>
      <w:r w:rsidR="00D46CA7">
        <w:rPr>
          <w:rStyle w:val="Lienhypertexte"/>
          <w:rFonts w:ascii="Segoe UI" w:hAnsi="Segoe UI" w:cs="Segoe UI"/>
          <w:noProof/>
          <w:color w:val="auto"/>
          <w:szCs w:val="20"/>
          <w:u w:val="none"/>
          <w:lang w:val="es-419"/>
        </w:rPr>
        <w:t xml:space="preserve">grande partie par les caractéristiques inhérentes au marché de l’emploi indien avec </w:t>
      </w:r>
      <w:r w:rsidRPr="00EF697E">
        <w:rPr>
          <w:rStyle w:val="Lienhypertexte"/>
          <w:rFonts w:ascii="Segoe UI" w:hAnsi="Segoe UI" w:cs="Segoe UI"/>
          <w:noProof/>
          <w:color w:val="auto"/>
          <w:szCs w:val="20"/>
          <w:u w:val="none"/>
          <w:lang w:val="es-419"/>
        </w:rPr>
        <w:t>8</w:t>
      </w:r>
      <w:r>
        <w:rPr>
          <w:rStyle w:val="Lienhypertexte"/>
          <w:rFonts w:ascii="Segoe UI" w:hAnsi="Segoe UI" w:cs="Segoe UI"/>
          <w:noProof/>
          <w:color w:val="auto"/>
          <w:szCs w:val="20"/>
          <w:u w:val="none"/>
          <w:lang w:val="es-419"/>
        </w:rPr>
        <w:t>2</w:t>
      </w:r>
      <w:r w:rsidRPr="00EF697E">
        <w:rPr>
          <w:rStyle w:val="Lienhypertexte"/>
          <w:rFonts w:ascii="Segoe UI" w:hAnsi="Segoe UI" w:cs="Segoe UI"/>
          <w:noProof/>
          <w:color w:val="auto"/>
          <w:szCs w:val="20"/>
          <w:u w:val="none"/>
          <w:lang w:val="es-419"/>
        </w:rPr>
        <w:t xml:space="preserve"> % des travailleurs</w:t>
      </w:r>
      <w:r w:rsidR="00D46CA7">
        <w:rPr>
          <w:rStyle w:val="Lienhypertexte"/>
          <w:rFonts w:ascii="Segoe UI" w:hAnsi="Segoe UI" w:cs="Segoe UI"/>
          <w:noProof/>
          <w:color w:val="auto"/>
          <w:szCs w:val="20"/>
          <w:u w:val="none"/>
          <w:lang w:val="es-419"/>
        </w:rPr>
        <w:t xml:space="preserve"> informels</w:t>
      </w:r>
      <w:r>
        <w:rPr>
          <w:rStyle w:val="Appeldenotedefin"/>
          <w:rFonts w:ascii="Segoe UI" w:hAnsi="Segoe UI" w:cs="Segoe UI"/>
          <w:noProof/>
          <w:color w:val="auto"/>
          <w:szCs w:val="20"/>
          <w:lang w:val="es-419"/>
        </w:rPr>
        <w:endnoteReference w:id="7"/>
      </w:r>
      <w:r w:rsidR="00C27950">
        <w:rPr>
          <w:rStyle w:val="Lienhypertexte"/>
          <w:rFonts w:ascii="Segoe UI" w:hAnsi="Segoe UI" w:cs="Segoe UI"/>
          <w:noProof/>
          <w:color w:val="auto"/>
          <w:szCs w:val="20"/>
          <w:u w:val="none"/>
          <w:lang w:val="es-419"/>
        </w:rPr>
        <w:t xml:space="preserve">, </w:t>
      </w:r>
      <w:r w:rsidR="004A3695">
        <w:rPr>
          <w:rStyle w:val="Lienhypertexte"/>
          <w:rFonts w:ascii="Segoe UI" w:hAnsi="Segoe UI" w:cs="Segoe UI"/>
          <w:noProof/>
          <w:color w:val="auto"/>
          <w:szCs w:val="20"/>
          <w:u w:val="none"/>
          <w:lang w:val="es-419"/>
        </w:rPr>
        <w:t>la nature du profil</w:t>
      </w:r>
      <w:r w:rsidR="00D46CA7">
        <w:rPr>
          <w:rStyle w:val="Lienhypertexte"/>
          <w:rFonts w:ascii="Segoe UI" w:hAnsi="Segoe UI" w:cs="Segoe UI"/>
          <w:noProof/>
          <w:color w:val="auto"/>
          <w:szCs w:val="20"/>
          <w:u w:val="none"/>
          <w:lang w:val="es-419"/>
        </w:rPr>
        <w:t xml:space="preserve"> </w:t>
      </w:r>
      <w:r w:rsidR="004A3695">
        <w:rPr>
          <w:rStyle w:val="Lienhypertexte"/>
          <w:rFonts w:ascii="Segoe UI" w:hAnsi="Segoe UI" w:cs="Segoe UI"/>
          <w:noProof/>
          <w:color w:val="auto"/>
          <w:szCs w:val="20"/>
          <w:u w:val="none"/>
          <w:lang w:val="es-419"/>
        </w:rPr>
        <w:t>de ces travailleurs dont les revenus sont insuffisants et imprévisibles</w:t>
      </w:r>
      <w:r w:rsidR="00C27950">
        <w:rPr>
          <w:rStyle w:val="Lienhypertexte"/>
          <w:rFonts w:ascii="Segoe UI" w:hAnsi="Segoe UI" w:cs="Segoe UI"/>
          <w:noProof/>
          <w:color w:val="auto"/>
          <w:szCs w:val="20"/>
          <w:u w:val="none"/>
          <w:lang w:val="es-419"/>
        </w:rPr>
        <w:t xml:space="preserve"> et les idées fausses concernant l’assurance. </w:t>
      </w:r>
      <w:r w:rsidRPr="00EF697E">
        <w:rPr>
          <w:rStyle w:val="Lienhypertexte"/>
          <w:rFonts w:ascii="Segoe UI" w:hAnsi="Segoe UI" w:cs="Segoe UI"/>
          <w:noProof/>
          <w:color w:val="auto"/>
          <w:szCs w:val="20"/>
          <w:u w:val="none"/>
          <w:lang w:val="es-419"/>
        </w:rPr>
        <w:t>En conséquence, l’assurance-vie en Inde reste concentrée dans les zones urbaines, auprès d’une population instruite</w:t>
      </w:r>
      <w:r>
        <w:rPr>
          <w:rStyle w:val="Lienhypertexte"/>
          <w:rFonts w:ascii="Segoe UI" w:hAnsi="Segoe UI" w:cs="Segoe UI"/>
          <w:noProof/>
          <w:color w:val="auto"/>
          <w:szCs w:val="20"/>
          <w:u w:val="none"/>
          <w:lang w:val="es-419"/>
        </w:rPr>
        <w:t xml:space="preserve"> et inclu</w:t>
      </w:r>
      <w:r w:rsidR="00C64B8D">
        <w:rPr>
          <w:rStyle w:val="Lienhypertexte"/>
          <w:rFonts w:ascii="Segoe UI" w:hAnsi="Segoe UI" w:cs="Segoe UI"/>
          <w:noProof/>
          <w:color w:val="auto"/>
          <w:szCs w:val="20"/>
          <w:u w:val="none"/>
          <w:lang w:val="es-419"/>
        </w:rPr>
        <w:t>se</w:t>
      </w:r>
      <w:r>
        <w:rPr>
          <w:rStyle w:val="Lienhypertexte"/>
          <w:rFonts w:ascii="Segoe UI" w:hAnsi="Segoe UI" w:cs="Segoe UI"/>
          <w:noProof/>
          <w:color w:val="auto"/>
          <w:szCs w:val="20"/>
          <w:u w:val="none"/>
          <w:lang w:val="es-419"/>
        </w:rPr>
        <w:t xml:space="preserve"> financièrement</w:t>
      </w:r>
      <w:r>
        <w:rPr>
          <w:rStyle w:val="Appeldenotedefin"/>
          <w:rFonts w:ascii="Segoe UI" w:hAnsi="Segoe UI" w:cs="Segoe UI"/>
          <w:noProof/>
          <w:color w:val="auto"/>
          <w:szCs w:val="20"/>
          <w:lang w:val="es-419"/>
        </w:rPr>
        <w:endnoteReference w:id="8"/>
      </w:r>
      <w:r w:rsidR="00C27950">
        <w:rPr>
          <w:rStyle w:val="Lienhypertexte"/>
          <w:rFonts w:ascii="Segoe UI" w:hAnsi="Segoe UI" w:cs="Segoe UI"/>
          <w:noProof/>
          <w:color w:val="auto"/>
          <w:szCs w:val="20"/>
          <w:u w:val="none"/>
          <w:lang w:val="es-419"/>
        </w:rPr>
        <w:t xml:space="preserve">, </w:t>
      </w:r>
      <w:r w:rsidR="006461EC">
        <w:rPr>
          <w:rStyle w:val="Lienhypertexte"/>
          <w:rFonts w:ascii="Segoe UI" w:hAnsi="Segoe UI" w:cs="Segoe UI"/>
          <w:noProof/>
          <w:color w:val="auto"/>
          <w:szCs w:val="20"/>
          <w:u w:val="none"/>
          <w:lang w:val="es-419"/>
        </w:rPr>
        <w:t>moins sensible au prix qu’en région rurale</w:t>
      </w:r>
      <w:r>
        <w:rPr>
          <w:rStyle w:val="Lienhypertexte"/>
          <w:rFonts w:ascii="Segoe UI" w:hAnsi="Segoe UI" w:cs="Segoe UI"/>
          <w:noProof/>
          <w:color w:val="auto"/>
          <w:szCs w:val="20"/>
          <w:u w:val="none"/>
          <w:lang w:val="es-419"/>
        </w:rPr>
        <w:t xml:space="preserve">. </w:t>
      </w:r>
      <w:r w:rsidRPr="00EF697E">
        <w:rPr>
          <w:rStyle w:val="Lienhypertexte"/>
          <w:rFonts w:ascii="Segoe UI" w:hAnsi="Segoe UI" w:cs="Segoe UI"/>
          <w:noProof/>
          <w:color w:val="auto"/>
          <w:szCs w:val="20"/>
          <w:u w:val="none"/>
          <w:lang w:val="es-419"/>
        </w:rPr>
        <w:t>Par ailleurs, la densité</w:t>
      </w:r>
      <w:r w:rsidR="00195BFA">
        <w:rPr>
          <w:rStyle w:val="Appeldenotedefin"/>
          <w:rFonts w:ascii="Segoe UI" w:hAnsi="Segoe UI" w:cs="Segoe UI"/>
          <w:noProof/>
          <w:color w:val="auto"/>
          <w:szCs w:val="20"/>
          <w:lang w:val="es-419"/>
        </w:rPr>
        <w:endnoteReference w:id="9"/>
      </w:r>
      <w:r w:rsidR="00195BFA" w:rsidRPr="00EF697E">
        <w:rPr>
          <w:rStyle w:val="Lienhypertexte"/>
          <w:rFonts w:ascii="Segoe UI" w:hAnsi="Segoe UI" w:cs="Segoe UI"/>
          <w:noProof/>
          <w:color w:val="auto"/>
          <w:szCs w:val="20"/>
          <w:u w:val="none"/>
          <w:lang w:val="es-419"/>
        </w:rPr>
        <w:t xml:space="preserve"> </w:t>
      </w:r>
      <w:r w:rsidRPr="00EF697E">
        <w:rPr>
          <w:rStyle w:val="Lienhypertexte"/>
          <w:rFonts w:ascii="Segoe UI" w:hAnsi="Segoe UI" w:cs="Segoe UI"/>
          <w:noProof/>
          <w:color w:val="auto"/>
          <w:szCs w:val="20"/>
          <w:u w:val="none"/>
          <w:lang w:val="es-419"/>
        </w:rPr>
        <w:t>de l’assurance atteignait environ 95 USD par habitant en 202</w:t>
      </w:r>
      <w:r w:rsidR="00C27950">
        <w:rPr>
          <w:rStyle w:val="Lienhypertexte"/>
          <w:rFonts w:ascii="Segoe UI" w:hAnsi="Segoe UI" w:cs="Segoe UI"/>
          <w:noProof/>
          <w:color w:val="auto"/>
          <w:szCs w:val="20"/>
          <w:u w:val="none"/>
          <w:lang w:val="es-419"/>
        </w:rPr>
        <w:t>4</w:t>
      </w:r>
      <w:r w:rsidRPr="00EF697E">
        <w:rPr>
          <w:rStyle w:val="Lienhypertexte"/>
          <w:rFonts w:ascii="Segoe UI" w:hAnsi="Segoe UI" w:cs="Segoe UI"/>
          <w:noProof/>
          <w:color w:val="auto"/>
          <w:szCs w:val="20"/>
          <w:u w:val="none"/>
          <w:lang w:val="es-419"/>
        </w:rPr>
        <w:t xml:space="preserve">, soit </w:t>
      </w:r>
      <w:r>
        <w:rPr>
          <w:rStyle w:val="Lienhypertexte"/>
          <w:rFonts w:ascii="Segoe UI" w:hAnsi="Segoe UI" w:cs="Segoe UI"/>
          <w:noProof/>
          <w:color w:val="auto"/>
          <w:szCs w:val="20"/>
          <w:u w:val="none"/>
          <w:lang w:val="es-419"/>
        </w:rPr>
        <w:t xml:space="preserve">à peine </w:t>
      </w:r>
      <w:r w:rsidRPr="00EF697E">
        <w:rPr>
          <w:rStyle w:val="Lienhypertexte"/>
          <w:rFonts w:ascii="Segoe UI" w:hAnsi="Segoe UI" w:cs="Segoe UI"/>
          <w:noProof/>
          <w:color w:val="auto"/>
          <w:szCs w:val="20"/>
          <w:u w:val="none"/>
          <w:lang w:val="es-419"/>
        </w:rPr>
        <w:t>10,6 % de la moyenne mondiale, selon un rapport de PwC</w:t>
      </w:r>
      <w:r w:rsidR="00C27950">
        <w:rPr>
          <w:rStyle w:val="Lienhypertexte"/>
          <w:rFonts w:ascii="Segoe UI" w:hAnsi="Segoe UI" w:cs="Segoe UI"/>
          <w:noProof/>
          <w:color w:val="auto"/>
          <w:szCs w:val="20"/>
          <w:u w:val="none"/>
          <w:lang w:val="es-419"/>
        </w:rPr>
        <w:t xml:space="preserve">, mais en hausse de 3 dollars depuis 2023. </w:t>
      </w:r>
    </w:p>
    <w:p w14:paraId="7F12DD8A" w14:textId="68EF4397" w:rsidR="00425639" w:rsidRPr="004472CB" w:rsidRDefault="00425639" w:rsidP="00C054CF">
      <w:pPr>
        <w:pStyle w:val="Brvesco-Normal"/>
        <w:spacing w:after="60" w:line="240" w:lineRule="auto"/>
        <w:ind w:left="-284"/>
        <w:rPr>
          <w:rStyle w:val="Lienhypertexte"/>
          <w:rFonts w:ascii="Segoe UI" w:hAnsi="Segoe UI" w:cs="Segoe UI"/>
          <w:noProof/>
          <w:color w:val="auto"/>
          <w:szCs w:val="20"/>
          <w:u w:val="none"/>
          <w:lang w:val="es-419"/>
        </w:rPr>
      </w:pPr>
      <w:r w:rsidRPr="006372C6">
        <w:rPr>
          <w:rStyle w:val="Lienhypertexte"/>
          <w:rFonts w:ascii="Segoe UI" w:hAnsi="Segoe UI" w:cs="Segoe UI"/>
          <w:noProof/>
          <w:color w:val="auto"/>
          <w:szCs w:val="20"/>
          <w:u w:val="none"/>
          <w:lang w:val="es-419"/>
        </w:rPr>
        <w:t>Le marché indien de l’assurance reste fortement concentré</w:t>
      </w:r>
      <w:r>
        <w:rPr>
          <w:rStyle w:val="Lienhypertexte"/>
          <w:rFonts w:ascii="Segoe UI" w:hAnsi="Segoe UI" w:cs="Segoe UI"/>
          <w:noProof/>
          <w:color w:val="auto"/>
          <w:szCs w:val="20"/>
          <w:u w:val="none"/>
          <w:lang w:val="es-419"/>
        </w:rPr>
        <w:t xml:space="preserve">, </w:t>
      </w:r>
      <w:r w:rsidRPr="006372C6">
        <w:rPr>
          <w:rStyle w:val="Lienhypertexte"/>
          <w:rFonts w:ascii="Segoe UI" w:hAnsi="Segoe UI" w:cs="Segoe UI"/>
          <w:noProof/>
          <w:color w:val="auto"/>
          <w:szCs w:val="20"/>
          <w:u w:val="none"/>
          <w:lang w:val="es-419"/>
        </w:rPr>
        <w:t>dominé par Life Insurance Corporation of India</w:t>
      </w:r>
      <w:r w:rsidR="00711D5F">
        <w:rPr>
          <w:rStyle w:val="Lienhypertexte"/>
          <w:rFonts w:ascii="Segoe UI" w:hAnsi="Segoe UI" w:cs="Segoe UI"/>
          <w:noProof/>
          <w:color w:val="auto"/>
          <w:szCs w:val="20"/>
          <w:u w:val="none"/>
          <w:lang w:val="es-419"/>
        </w:rPr>
        <w:t xml:space="preserve"> (</w:t>
      </w:r>
      <w:r w:rsidR="00711D5F" w:rsidRPr="006372C6">
        <w:rPr>
          <w:rStyle w:val="Lienhypertexte"/>
          <w:rFonts w:ascii="Segoe UI" w:hAnsi="Segoe UI" w:cs="Segoe UI"/>
          <w:noProof/>
          <w:color w:val="auto"/>
          <w:szCs w:val="20"/>
          <w:u w:val="none"/>
          <w:lang w:val="es-419"/>
        </w:rPr>
        <w:t>LIC</w:t>
      </w:r>
      <w:r w:rsidR="00711D5F">
        <w:rPr>
          <w:rStyle w:val="Lienhypertexte"/>
          <w:rFonts w:ascii="Segoe UI" w:hAnsi="Segoe UI" w:cs="Segoe UI"/>
          <w:noProof/>
          <w:color w:val="auto"/>
          <w:szCs w:val="20"/>
          <w:u w:val="none"/>
          <w:lang w:val="es-419"/>
        </w:rPr>
        <w:t>)</w:t>
      </w:r>
      <w:r w:rsidRPr="006372C6">
        <w:rPr>
          <w:rStyle w:val="Lienhypertexte"/>
          <w:rFonts w:ascii="Segoe UI" w:hAnsi="Segoe UI" w:cs="Segoe UI"/>
          <w:noProof/>
          <w:color w:val="auto"/>
          <w:szCs w:val="20"/>
          <w:u w:val="none"/>
          <w:lang w:val="es-419"/>
        </w:rPr>
        <w:t>, acteur public historique</w:t>
      </w:r>
      <w:r>
        <w:rPr>
          <w:rStyle w:val="Appeldenotedefin"/>
          <w:rFonts w:ascii="Segoe UI" w:hAnsi="Segoe UI" w:cs="Segoe UI"/>
          <w:noProof/>
          <w:color w:val="auto"/>
          <w:szCs w:val="20"/>
          <w:lang w:val="es-419"/>
        </w:rPr>
        <w:endnoteReference w:id="10"/>
      </w:r>
      <w:r w:rsidRPr="006372C6">
        <w:rPr>
          <w:rStyle w:val="Lienhypertexte"/>
          <w:rFonts w:ascii="Segoe UI" w:hAnsi="Segoe UI" w:cs="Segoe UI"/>
          <w:noProof/>
          <w:color w:val="auto"/>
          <w:szCs w:val="20"/>
          <w:u w:val="none"/>
          <w:lang w:val="es-419"/>
        </w:rPr>
        <w:t xml:space="preserve"> et quatrième assureur-vie mondial. Spécialisée dans l’assurance-vie, la société conserve près de 60 % de parts de marché en termes de primes</w:t>
      </w:r>
      <w:r w:rsidR="00D0301D">
        <w:rPr>
          <w:rStyle w:val="Lienhypertexte"/>
          <w:rFonts w:ascii="Segoe UI" w:hAnsi="Segoe UI" w:cs="Segoe UI"/>
          <w:noProof/>
          <w:color w:val="auto"/>
          <w:szCs w:val="20"/>
          <w:u w:val="none"/>
          <w:lang w:val="es-419"/>
        </w:rPr>
        <w:t xml:space="preserve"> sur ce secteur</w:t>
      </w:r>
      <w:r>
        <w:rPr>
          <w:rStyle w:val="Appeldenotedefin"/>
          <w:rFonts w:ascii="Segoe UI" w:hAnsi="Segoe UI" w:cs="Segoe UI"/>
          <w:noProof/>
          <w:color w:val="auto"/>
          <w:szCs w:val="20"/>
          <w:lang w:val="es-419"/>
        </w:rPr>
        <w:endnoteReference w:id="11"/>
      </w:r>
      <w:r>
        <w:rPr>
          <w:rStyle w:val="Lienhypertexte"/>
          <w:rFonts w:ascii="Segoe UI" w:hAnsi="Segoe UI" w:cs="Segoe UI"/>
          <w:noProof/>
          <w:color w:val="auto"/>
          <w:szCs w:val="20"/>
          <w:u w:val="none"/>
          <w:lang w:val="es-419"/>
        </w:rPr>
        <w:t xml:space="preserve"> (c.f. annexe 2)</w:t>
      </w:r>
      <w:r w:rsidRPr="006372C6">
        <w:rPr>
          <w:rStyle w:val="Lienhypertexte"/>
          <w:rFonts w:ascii="Segoe UI" w:hAnsi="Segoe UI" w:cs="Segoe UI"/>
          <w:noProof/>
          <w:color w:val="auto"/>
          <w:szCs w:val="20"/>
          <w:u w:val="none"/>
          <w:lang w:val="es-419"/>
        </w:rPr>
        <w:t>, bien que sa position s’érode progressivement au profit des assureurs privés. Ces derniers</w:t>
      </w:r>
      <w:r>
        <w:rPr>
          <w:rStyle w:val="Lienhypertexte"/>
          <w:rFonts w:ascii="Segoe UI" w:hAnsi="Segoe UI" w:cs="Segoe UI"/>
          <w:noProof/>
          <w:color w:val="auto"/>
          <w:szCs w:val="20"/>
          <w:u w:val="none"/>
          <w:lang w:val="es-419"/>
        </w:rPr>
        <w:t xml:space="preserve">, </w:t>
      </w:r>
      <w:r w:rsidRPr="006372C6">
        <w:rPr>
          <w:rStyle w:val="Lienhypertexte"/>
          <w:rFonts w:ascii="Segoe UI" w:hAnsi="Segoe UI" w:cs="Segoe UI"/>
          <w:noProof/>
          <w:color w:val="auto"/>
          <w:szCs w:val="20"/>
          <w:u w:val="none"/>
          <w:lang w:val="es-419"/>
        </w:rPr>
        <w:t>parmi lesquels ICICI Lombard, Bajaj Allianz, HDFC, Tata AIG ou encore SBI General</w:t>
      </w:r>
      <w:r>
        <w:rPr>
          <w:rStyle w:val="Lienhypertexte"/>
          <w:rFonts w:ascii="Segoe UI" w:hAnsi="Segoe UI" w:cs="Segoe UI"/>
          <w:noProof/>
          <w:color w:val="auto"/>
          <w:szCs w:val="20"/>
          <w:u w:val="none"/>
          <w:lang w:val="es-419"/>
        </w:rPr>
        <w:t xml:space="preserve">, </w:t>
      </w:r>
      <w:r w:rsidRPr="006372C6">
        <w:rPr>
          <w:rStyle w:val="Lienhypertexte"/>
          <w:rFonts w:ascii="Segoe UI" w:hAnsi="Segoe UI" w:cs="Segoe UI"/>
          <w:noProof/>
          <w:color w:val="auto"/>
          <w:szCs w:val="20"/>
          <w:u w:val="none"/>
          <w:lang w:val="es-419"/>
        </w:rPr>
        <w:t xml:space="preserve">sont aujourd’hui majoritaires dans le segment de l’assurance </w:t>
      </w:r>
      <w:r w:rsidR="00321D41">
        <w:rPr>
          <w:rStyle w:val="Lienhypertexte"/>
          <w:rFonts w:ascii="Segoe UI" w:hAnsi="Segoe UI" w:cs="Segoe UI"/>
          <w:noProof/>
          <w:color w:val="auto"/>
          <w:szCs w:val="20"/>
          <w:u w:val="none"/>
          <w:lang w:val="es-419"/>
        </w:rPr>
        <w:t>générale</w:t>
      </w:r>
      <w:r w:rsidRPr="006372C6">
        <w:rPr>
          <w:rStyle w:val="Lienhypertexte"/>
          <w:rFonts w:ascii="Segoe UI" w:hAnsi="Segoe UI" w:cs="Segoe UI"/>
          <w:noProof/>
          <w:color w:val="auto"/>
          <w:szCs w:val="20"/>
          <w:u w:val="none"/>
          <w:lang w:val="es-419"/>
        </w:rPr>
        <w:t>, notamment dans les branches de la santé et de l’automobile</w:t>
      </w:r>
      <w:r>
        <w:rPr>
          <w:rStyle w:val="Lienhypertexte"/>
          <w:rFonts w:ascii="Segoe UI" w:hAnsi="Segoe UI" w:cs="Segoe UI"/>
          <w:noProof/>
          <w:color w:val="auto"/>
          <w:szCs w:val="20"/>
          <w:u w:val="none"/>
          <w:lang w:val="es-419"/>
        </w:rPr>
        <w:t>.</w:t>
      </w:r>
    </w:p>
    <w:p w14:paraId="50B831F2" w14:textId="5267AA6A" w:rsidR="00425639" w:rsidRDefault="00425639" w:rsidP="00C054CF">
      <w:pPr>
        <w:pStyle w:val="Brvesco-Normal"/>
        <w:spacing w:after="60" w:line="240" w:lineRule="auto"/>
        <w:ind w:left="-284"/>
        <w:rPr>
          <w:rStyle w:val="Lienhypertexte"/>
          <w:rFonts w:ascii="Segoe UI" w:hAnsi="Segoe UI" w:cs="Segoe UI"/>
          <w:noProof/>
          <w:color w:val="auto"/>
          <w:szCs w:val="20"/>
          <w:u w:val="none"/>
          <w:lang w:val="es-419"/>
        </w:rPr>
      </w:pPr>
      <w:r>
        <w:rPr>
          <w:rStyle w:val="Lienhypertexte"/>
          <w:rFonts w:ascii="Segoe UI" w:hAnsi="Segoe UI" w:cs="Segoe UI"/>
          <w:noProof/>
          <w:color w:val="auto"/>
          <w:szCs w:val="20"/>
          <w:u w:val="none"/>
        </w:rPr>
        <w:t>En parallèle, on observe une</w:t>
      </w:r>
      <w:r w:rsidRPr="00244108">
        <w:rPr>
          <w:rStyle w:val="Lienhypertexte"/>
          <w:rFonts w:ascii="Segoe UI" w:hAnsi="Segoe UI" w:cs="Segoe UI"/>
          <w:noProof/>
          <w:color w:val="auto"/>
          <w:szCs w:val="20"/>
          <w:u w:val="none"/>
        </w:rPr>
        <w:t xml:space="preserve"> financiarisation croissante de l’épargne des ménages, </w:t>
      </w:r>
      <w:r>
        <w:rPr>
          <w:rStyle w:val="Lienhypertexte"/>
          <w:rFonts w:ascii="Segoe UI" w:hAnsi="Segoe UI" w:cs="Segoe UI"/>
          <w:noProof/>
          <w:color w:val="auto"/>
          <w:szCs w:val="20"/>
          <w:u w:val="none"/>
        </w:rPr>
        <w:t>marqué</w:t>
      </w:r>
      <w:r w:rsidR="00C64B8D">
        <w:rPr>
          <w:rStyle w:val="Lienhypertexte"/>
          <w:rFonts w:ascii="Segoe UI" w:hAnsi="Segoe UI" w:cs="Segoe UI"/>
          <w:noProof/>
          <w:color w:val="auto"/>
          <w:szCs w:val="20"/>
          <w:u w:val="none"/>
        </w:rPr>
        <w:t>e</w:t>
      </w:r>
      <w:r>
        <w:rPr>
          <w:rStyle w:val="Lienhypertexte"/>
          <w:rFonts w:ascii="Segoe UI" w:hAnsi="Segoe UI" w:cs="Segoe UI"/>
          <w:noProof/>
          <w:color w:val="auto"/>
          <w:szCs w:val="20"/>
          <w:u w:val="none"/>
        </w:rPr>
        <w:t xml:space="preserve"> par un déplacement progressif des </w:t>
      </w:r>
      <w:r w:rsidRPr="00244108">
        <w:rPr>
          <w:rStyle w:val="Lienhypertexte"/>
          <w:rFonts w:ascii="Segoe UI" w:hAnsi="Segoe UI" w:cs="Segoe UI"/>
          <w:noProof/>
          <w:color w:val="auto"/>
          <w:szCs w:val="20"/>
          <w:u w:val="none"/>
        </w:rPr>
        <w:t>actifs physiques vers les actifs financiers, dont l</w:t>
      </w:r>
      <w:r>
        <w:rPr>
          <w:rStyle w:val="Lienhypertexte"/>
          <w:rFonts w:ascii="Segoe UI" w:hAnsi="Segoe UI" w:cs="Segoe UI"/>
          <w:noProof/>
          <w:color w:val="auto"/>
          <w:szCs w:val="20"/>
          <w:u w:val="none"/>
        </w:rPr>
        <w:t>’</w:t>
      </w:r>
      <w:r w:rsidRPr="00244108">
        <w:rPr>
          <w:rStyle w:val="Lienhypertexte"/>
          <w:rFonts w:ascii="Segoe UI" w:hAnsi="Segoe UI" w:cs="Segoe UI"/>
          <w:noProof/>
          <w:color w:val="auto"/>
          <w:szCs w:val="20"/>
          <w:u w:val="none"/>
        </w:rPr>
        <w:t>assurance-vie. La part des actifs financiers dans l’épargne totale est</w:t>
      </w:r>
      <w:r>
        <w:rPr>
          <w:rStyle w:val="Lienhypertexte"/>
          <w:rFonts w:ascii="Segoe UI" w:hAnsi="Segoe UI" w:cs="Segoe UI"/>
          <w:noProof/>
          <w:color w:val="auto"/>
          <w:szCs w:val="20"/>
          <w:u w:val="none"/>
        </w:rPr>
        <w:t xml:space="preserve"> ainsi</w:t>
      </w:r>
      <w:r w:rsidRPr="00244108">
        <w:rPr>
          <w:rStyle w:val="Lienhypertexte"/>
          <w:rFonts w:ascii="Segoe UI" w:hAnsi="Segoe UI" w:cs="Segoe UI"/>
          <w:noProof/>
          <w:color w:val="auto"/>
          <w:szCs w:val="20"/>
          <w:u w:val="none"/>
        </w:rPr>
        <w:t xml:space="preserve"> passée de 41 % en 2013 à 46 % en 2023</w:t>
      </w:r>
      <w:r>
        <w:rPr>
          <w:rStyle w:val="Lienhypertexte"/>
          <w:rFonts w:ascii="Segoe UI" w:hAnsi="Segoe UI" w:cs="Segoe UI"/>
          <w:noProof/>
          <w:color w:val="auto"/>
          <w:szCs w:val="20"/>
          <w:u w:val="none"/>
        </w:rPr>
        <w:t>, l’</w:t>
      </w:r>
      <w:r w:rsidRPr="00244108">
        <w:rPr>
          <w:rStyle w:val="Lienhypertexte"/>
          <w:rFonts w:ascii="Segoe UI" w:hAnsi="Segoe UI" w:cs="Segoe UI"/>
          <w:noProof/>
          <w:color w:val="auto"/>
          <w:szCs w:val="20"/>
          <w:u w:val="none"/>
        </w:rPr>
        <w:t>assurance-vie représentant 18 % de cette épargne</w:t>
      </w:r>
      <w:r>
        <w:rPr>
          <w:rStyle w:val="Lienhypertexte"/>
          <w:rFonts w:ascii="Segoe UI" w:hAnsi="Segoe UI" w:cs="Segoe UI"/>
          <w:noProof/>
          <w:color w:val="auto"/>
          <w:szCs w:val="20"/>
          <w:u w:val="none"/>
        </w:rPr>
        <w:t xml:space="preserve"> selon le rapport HDFC Life</w:t>
      </w:r>
      <w:r>
        <w:rPr>
          <w:rStyle w:val="Appeldenotedefin"/>
          <w:rFonts w:ascii="Segoe UI" w:hAnsi="Segoe UI" w:cs="Segoe UI"/>
          <w:noProof/>
          <w:color w:val="auto"/>
          <w:szCs w:val="20"/>
        </w:rPr>
        <w:endnoteReference w:id="12"/>
      </w:r>
      <w:r>
        <w:rPr>
          <w:rStyle w:val="Lienhypertexte"/>
          <w:rFonts w:ascii="Segoe UI" w:hAnsi="Segoe UI" w:cs="Segoe UI"/>
          <w:noProof/>
          <w:color w:val="auto"/>
          <w:szCs w:val="20"/>
          <w:u w:val="none"/>
        </w:rPr>
        <w:t>.</w:t>
      </w:r>
      <w:r w:rsidR="00C87276">
        <w:rPr>
          <w:rStyle w:val="Lienhypertexte"/>
          <w:rFonts w:ascii="Segoe UI" w:hAnsi="Segoe UI" w:cs="Segoe UI"/>
          <w:noProof/>
          <w:color w:val="auto"/>
          <w:szCs w:val="20"/>
          <w:u w:val="none"/>
          <w:lang w:val="es-419"/>
        </w:rPr>
        <w:t xml:space="preserve"> </w:t>
      </w:r>
      <w:r w:rsidR="00C87276" w:rsidRPr="00C87276">
        <w:rPr>
          <w:rStyle w:val="Lienhypertexte"/>
          <w:rFonts w:ascii="Segoe UI" w:hAnsi="Segoe UI" w:cs="Segoe UI"/>
          <w:noProof/>
          <w:color w:val="auto"/>
          <w:szCs w:val="20"/>
          <w:u w:val="none"/>
          <w:lang w:val="es-419"/>
        </w:rPr>
        <w:t>Comme en Europe ou aux États-Unis, l’assurance-vie en Inde est avant tout perçue comme un produit d’épargne et d’investissement à long terme, la composante purement protection contre le risque de décès s’étant développée plus récemment</w:t>
      </w:r>
      <w:r w:rsidRPr="00D22382">
        <w:rPr>
          <w:rStyle w:val="Lienhypertexte"/>
          <w:rFonts w:ascii="Segoe UI" w:hAnsi="Segoe UI" w:cs="Segoe UI"/>
          <w:noProof/>
          <w:color w:val="auto"/>
          <w:szCs w:val="20"/>
          <w:u w:val="none"/>
          <w:lang w:val="es-419"/>
        </w:rPr>
        <w:t>.</w:t>
      </w:r>
      <w:r>
        <w:rPr>
          <w:rStyle w:val="Lienhypertexte"/>
          <w:rFonts w:ascii="Segoe UI" w:hAnsi="Segoe UI" w:cs="Segoe UI"/>
          <w:noProof/>
          <w:color w:val="auto"/>
          <w:szCs w:val="20"/>
          <w:u w:val="none"/>
          <w:lang w:val="es-419"/>
        </w:rPr>
        <w:t xml:space="preserve"> </w:t>
      </w:r>
      <w:r w:rsidR="00D231FB" w:rsidRPr="00271970">
        <w:rPr>
          <w:rStyle w:val="Lienhypertexte"/>
          <w:rFonts w:ascii="Segoe UI" w:hAnsi="Segoe UI" w:cs="Segoe UI"/>
          <w:noProof/>
          <w:color w:val="auto"/>
          <w:szCs w:val="20"/>
          <w:u w:val="none"/>
          <w:lang w:val="es-419"/>
        </w:rPr>
        <w:t xml:space="preserve">Portés par la classe moyenne urbaine, </w:t>
      </w:r>
      <w:r w:rsidR="00D231FB">
        <w:rPr>
          <w:rStyle w:val="Lienhypertexte"/>
          <w:rFonts w:ascii="Segoe UI" w:hAnsi="Segoe UI" w:cs="Segoe UI"/>
          <w:noProof/>
          <w:color w:val="auto"/>
          <w:szCs w:val="20"/>
          <w:u w:val="none"/>
          <w:lang w:val="es-419"/>
        </w:rPr>
        <w:t>l</w:t>
      </w:r>
      <w:r>
        <w:rPr>
          <w:rStyle w:val="Lienhypertexte"/>
          <w:rFonts w:ascii="Segoe UI" w:hAnsi="Segoe UI" w:cs="Segoe UI"/>
          <w:noProof/>
          <w:color w:val="auto"/>
          <w:szCs w:val="20"/>
          <w:u w:val="none"/>
          <w:lang w:val="es-419"/>
        </w:rPr>
        <w:t xml:space="preserve">’un des produits </w:t>
      </w:r>
      <w:r>
        <w:rPr>
          <w:rStyle w:val="Lienhypertexte"/>
          <w:rFonts w:ascii="Segoe UI" w:hAnsi="Segoe UI" w:cs="Segoe UI"/>
          <w:noProof/>
          <w:color w:val="auto"/>
          <w:szCs w:val="20"/>
          <w:u w:val="none"/>
          <w:lang w:val="es-419"/>
        </w:rPr>
        <w:lastRenderedPageBreak/>
        <w:t xml:space="preserve">phares de l’assurance-vie </w:t>
      </w:r>
      <w:r w:rsidR="00711D5F">
        <w:rPr>
          <w:rStyle w:val="Lienhypertexte"/>
          <w:rFonts w:ascii="Segoe UI" w:hAnsi="Segoe UI" w:cs="Segoe UI"/>
          <w:noProof/>
          <w:color w:val="auto"/>
          <w:szCs w:val="20"/>
          <w:u w:val="none"/>
          <w:lang w:val="es-419"/>
        </w:rPr>
        <w:t>est</w:t>
      </w:r>
      <w:r>
        <w:rPr>
          <w:rStyle w:val="Lienhypertexte"/>
          <w:rFonts w:ascii="Segoe UI" w:hAnsi="Segoe UI" w:cs="Segoe UI"/>
          <w:noProof/>
          <w:color w:val="auto"/>
          <w:szCs w:val="20"/>
          <w:u w:val="none"/>
          <w:lang w:val="es-419"/>
        </w:rPr>
        <w:t xml:space="preserve"> les Unit Linked Insurance Plans</w:t>
      </w:r>
      <w:r w:rsidR="00C64B8D">
        <w:rPr>
          <w:rStyle w:val="Lienhypertexte"/>
          <w:rFonts w:ascii="Segoe UI" w:hAnsi="Segoe UI" w:cs="Segoe UI"/>
          <w:noProof/>
          <w:color w:val="auto"/>
          <w:szCs w:val="20"/>
          <w:u w:val="none"/>
          <w:lang w:val="es-419"/>
        </w:rPr>
        <w:t xml:space="preserve"> (</w:t>
      </w:r>
      <w:r w:rsidR="00C64B8D" w:rsidRPr="00271970">
        <w:rPr>
          <w:rStyle w:val="Lienhypertexte"/>
          <w:rFonts w:ascii="Segoe UI" w:hAnsi="Segoe UI" w:cs="Segoe UI"/>
          <w:noProof/>
          <w:color w:val="auto"/>
          <w:szCs w:val="20"/>
          <w:u w:val="none"/>
          <w:lang w:val="es-419"/>
        </w:rPr>
        <w:t>ULIPs</w:t>
      </w:r>
      <w:r w:rsidR="00C64B8D">
        <w:rPr>
          <w:rStyle w:val="Lienhypertexte"/>
          <w:rFonts w:ascii="Segoe UI" w:hAnsi="Segoe UI" w:cs="Segoe UI"/>
          <w:noProof/>
          <w:color w:val="auto"/>
          <w:szCs w:val="20"/>
          <w:u w:val="none"/>
          <w:lang w:val="es-419"/>
        </w:rPr>
        <w:t>)</w:t>
      </w:r>
      <w:r w:rsidR="00C64B8D">
        <w:rPr>
          <w:rStyle w:val="Appeldenotedefin"/>
          <w:rFonts w:ascii="Segoe UI" w:hAnsi="Segoe UI" w:cs="Segoe UI"/>
          <w:noProof/>
          <w:color w:val="auto"/>
          <w:szCs w:val="20"/>
          <w:lang w:val="es-419"/>
        </w:rPr>
        <w:t xml:space="preserve"> </w:t>
      </w:r>
      <w:r>
        <w:rPr>
          <w:rStyle w:val="Appeldenotedefin"/>
          <w:rFonts w:ascii="Segoe UI" w:hAnsi="Segoe UI" w:cs="Segoe UI"/>
          <w:noProof/>
          <w:color w:val="auto"/>
          <w:szCs w:val="20"/>
          <w:lang w:val="es-419"/>
        </w:rPr>
        <w:endnoteReference w:id="13"/>
      </w:r>
      <w:r w:rsidR="00D231FB">
        <w:rPr>
          <w:rStyle w:val="Lienhypertexte"/>
          <w:rFonts w:ascii="Segoe UI" w:hAnsi="Segoe UI" w:cs="Segoe UI"/>
          <w:noProof/>
          <w:color w:val="auto"/>
          <w:szCs w:val="20"/>
          <w:u w:val="none"/>
          <w:lang w:val="es-419"/>
        </w:rPr>
        <w:t xml:space="preserve"> et répondent </w:t>
      </w:r>
      <w:r w:rsidRPr="00271970">
        <w:rPr>
          <w:rStyle w:val="Lienhypertexte"/>
          <w:rFonts w:ascii="Segoe UI" w:hAnsi="Segoe UI" w:cs="Segoe UI"/>
          <w:noProof/>
          <w:color w:val="auto"/>
          <w:szCs w:val="20"/>
          <w:u w:val="none"/>
          <w:lang w:val="es-419"/>
        </w:rPr>
        <w:t>à une demande double</w:t>
      </w:r>
      <w:r>
        <w:rPr>
          <w:rStyle w:val="Lienhypertexte"/>
          <w:rFonts w:ascii="Segoe UI" w:hAnsi="Segoe UI" w:cs="Segoe UI"/>
          <w:noProof/>
          <w:color w:val="auto"/>
          <w:szCs w:val="20"/>
          <w:u w:val="none"/>
          <w:lang w:val="es-419"/>
        </w:rPr>
        <w:t xml:space="preserve"> </w:t>
      </w:r>
      <w:r w:rsidR="00D231FB">
        <w:rPr>
          <w:rStyle w:val="Lienhypertexte"/>
          <w:rFonts w:ascii="Segoe UI" w:hAnsi="Segoe UI" w:cs="Segoe UI"/>
          <w:noProof/>
          <w:color w:val="auto"/>
          <w:szCs w:val="20"/>
          <w:u w:val="none"/>
          <w:lang w:val="es-419"/>
        </w:rPr>
        <w:t xml:space="preserve">: </w:t>
      </w:r>
      <w:r>
        <w:rPr>
          <w:rStyle w:val="Lienhypertexte"/>
          <w:rFonts w:ascii="Segoe UI" w:hAnsi="Segoe UI" w:cs="Segoe UI"/>
          <w:noProof/>
          <w:color w:val="auto"/>
          <w:szCs w:val="20"/>
          <w:u w:val="none"/>
          <w:lang w:val="es-419"/>
        </w:rPr>
        <w:t>épargner et se prot</w:t>
      </w:r>
      <w:r w:rsidR="004B1A24">
        <w:rPr>
          <w:rStyle w:val="Lienhypertexte"/>
          <w:rFonts w:ascii="Segoe UI" w:hAnsi="Segoe UI" w:cs="Segoe UI"/>
          <w:noProof/>
          <w:color w:val="auto"/>
          <w:szCs w:val="20"/>
          <w:u w:val="none"/>
          <w:lang w:val="es-419"/>
        </w:rPr>
        <w:t>é</w:t>
      </w:r>
      <w:r>
        <w:rPr>
          <w:rStyle w:val="Lienhypertexte"/>
          <w:rFonts w:ascii="Segoe UI" w:hAnsi="Segoe UI" w:cs="Segoe UI"/>
          <w:noProof/>
          <w:color w:val="auto"/>
          <w:szCs w:val="20"/>
          <w:u w:val="none"/>
          <w:lang w:val="es-419"/>
        </w:rPr>
        <w:t>ger.</w:t>
      </w:r>
      <w:r w:rsidR="00D231FB">
        <w:rPr>
          <w:rStyle w:val="Lienhypertexte"/>
          <w:rFonts w:ascii="Segoe UI" w:hAnsi="Segoe UI" w:cs="Segoe UI"/>
          <w:noProof/>
          <w:color w:val="auto"/>
          <w:szCs w:val="20"/>
          <w:u w:val="none"/>
          <w:lang w:val="es-419"/>
        </w:rPr>
        <w:t xml:space="preserve"> P</w:t>
      </w:r>
      <w:r w:rsidR="00D231FB" w:rsidRPr="00D231FB">
        <w:rPr>
          <w:rStyle w:val="Lienhypertexte"/>
          <w:rFonts w:ascii="Segoe UI" w:hAnsi="Segoe UI" w:cs="Segoe UI"/>
          <w:noProof/>
          <w:color w:val="auto"/>
          <w:szCs w:val="20"/>
          <w:u w:val="none"/>
          <w:lang w:val="es-419"/>
        </w:rPr>
        <w:t>ar exemple, un salarié de la classe moyenne peut souscrire un ULIP en ligne pour placer chaque mois une partie de son revenu tout en bénéficiant d’une protection en cas de décè</w:t>
      </w:r>
      <w:r w:rsidR="00D231FB">
        <w:rPr>
          <w:rStyle w:val="Lienhypertexte"/>
          <w:rFonts w:ascii="Segoe UI" w:hAnsi="Segoe UI" w:cs="Segoe UI"/>
          <w:noProof/>
          <w:color w:val="auto"/>
          <w:szCs w:val="20"/>
          <w:u w:val="none"/>
          <w:lang w:val="es-419"/>
        </w:rPr>
        <w:t xml:space="preserve">s. Ainsi, ces </w:t>
      </w:r>
      <w:r w:rsidR="00831A43">
        <w:rPr>
          <w:rStyle w:val="Lienhypertexte"/>
          <w:rFonts w:ascii="Segoe UI" w:hAnsi="Segoe UI" w:cs="Segoe UI"/>
          <w:noProof/>
          <w:color w:val="auto"/>
          <w:szCs w:val="20"/>
          <w:u w:val="none"/>
          <w:lang w:val="es-419"/>
        </w:rPr>
        <w:t>produits</w:t>
      </w:r>
      <w:r w:rsidR="00D231FB">
        <w:rPr>
          <w:rStyle w:val="Lienhypertexte"/>
          <w:rFonts w:ascii="Segoe UI" w:hAnsi="Segoe UI" w:cs="Segoe UI"/>
          <w:noProof/>
          <w:color w:val="auto"/>
          <w:szCs w:val="20"/>
          <w:u w:val="none"/>
          <w:lang w:val="es-419"/>
        </w:rPr>
        <w:t xml:space="preserve"> représentent une </w:t>
      </w:r>
      <w:r w:rsidR="00831A43">
        <w:rPr>
          <w:rStyle w:val="Lienhypertexte"/>
          <w:rFonts w:ascii="Segoe UI" w:hAnsi="Segoe UI" w:cs="Segoe UI"/>
          <w:noProof/>
          <w:color w:val="auto"/>
          <w:szCs w:val="20"/>
          <w:u w:val="none"/>
          <w:lang w:val="es-419"/>
        </w:rPr>
        <w:t xml:space="preserve">certaine </w:t>
      </w:r>
      <w:r w:rsidR="00D231FB" w:rsidRPr="00271970">
        <w:rPr>
          <w:rStyle w:val="Lienhypertexte"/>
          <w:rFonts w:ascii="Segoe UI" w:hAnsi="Segoe UI" w:cs="Segoe UI"/>
          <w:noProof/>
          <w:color w:val="auto"/>
          <w:szCs w:val="20"/>
          <w:u w:val="none"/>
          <w:lang w:val="es-419"/>
        </w:rPr>
        <w:t>évolution</w:t>
      </w:r>
      <w:r w:rsidR="00D231FB">
        <w:rPr>
          <w:rStyle w:val="Lienhypertexte"/>
          <w:rFonts w:ascii="Segoe UI" w:hAnsi="Segoe UI" w:cs="Segoe UI"/>
          <w:noProof/>
          <w:color w:val="auto"/>
          <w:szCs w:val="20"/>
          <w:u w:val="none"/>
          <w:lang w:val="es-419"/>
        </w:rPr>
        <w:t xml:space="preserve"> de marché</w:t>
      </w:r>
      <w:r w:rsidR="00D231FB" w:rsidRPr="00271970">
        <w:rPr>
          <w:rStyle w:val="Lienhypertexte"/>
          <w:rFonts w:ascii="Segoe UI" w:hAnsi="Segoe UI" w:cs="Segoe UI"/>
          <w:noProof/>
          <w:color w:val="auto"/>
          <w:szCs w:val="20"/>
          <w:u w:val="none"/>
          <w:lang w:val="es-419"/>
        </w:rPr>
        <w:t xml:space="preserve"> vers des produits financiers plus sophistiqués,</w:t>
      </w:r>
      <w:r w:rsidR="00D231FB">
        <w:rPr>
          <w:rStyle w:val="Lienhypertexte"/>
          <w:rFonts w:ascii="Segoe UI" w:hAnsi="Segoe UI" w:cs="Segoe UI"/>
          <w:noProof/>
          <w:color w:val="auto"/>
          <w:szCs w:val="20"/>
          <w:u w:val="none"/>
          <w:lang w:val="es-419"/>
        </w:rPr>
        <w:t xml:space="preserve"> numérisés,</w:t>
      </w:r>
      <w:r w:rsidR="00D231FB" w:rsidRPr="00271970">
        <w:rPr>
          <w:rStyle w:val="Lienhypertexte"/>
          <w:rFonts w:ascii="Segoe UI" w:hAnsi="Segoe UI" w:cs="Segoe UI"/>
          <w:noProof/>
          <w:color w:val="auto"/>
          <w:szCs w:val="20"/>
          <w:u w:val="none"/>
          <w:lang w:val="es-419"/>
        </w:rPr>
        <w:t xml:space="preserve"> même si leur complexité et </w:t>
      </w:r>
      <w:r w:rsidR="00D231FB">
        <w:rPr>
          <w:rStyle w:val="Lienhypertexte"/>
          <w:rFonts w:ascii="Segoe UI" w:hAnsi="Segoe UI" w:cs="Segoe UI"/>
          <w:noProof/>
          <w:color w:val="auto"/>
          <w:szCs w:val="20"/>
          <w:u w:val="none"/>
          <w:lang w:val="es-419"/>
        </w:rPr>
        <w:t>la volatilité des rendements</w:t>
      </w:r>
      <w:r w:rsidR="00711D5F">
        <w:rPr>
          <w:rStyle w:val="Lienhypertexte"/>
          <w:rFonts w:ascii="Segoe UI" w:hAnsi="Segoe UI" w:cs="Segoe UI"/>
          <w:noProof/>
          <w:color w:val="auto"/>
          <w:szCs w:val="20"/>
          <w:u w:val="none"/>
          <w:lang w:val="es-419"/>
        </w:rPr>
        <w:t xml:space="preserve"> </w:t>
      </w:r>
      <w:r w:rsidR="00D231FB" w:rsidRPr="00271970">
        <w:rPr>
          <w:rStyle w:val="Lienhypertexte"/>
          <w:rFonts w:ascii="Segoe UI" w:hAnsi="Segoe UI" w:cs="Segoe UI"/>
          <w:noProof/>
          <w:color w:val="auto"/>
          <w:szCs w:val="20"/>
          <w:u w:val="none"/>
          <w:lang w:val="es-419"/>
        </w:rPr>
        <w:t>limitent leur diffusion à l’ensemble de la population.</w:t>
      </w:r>
      <w:r w:rsidR="00D231FB">
        <w:rPr>
          <w:rStyle w:val="Lienhypertexte"/>
          <w:rFonts w:ascii="Segoe UI" w:hAnsi="Segoe UI" w:cs="Segoe UI"/>
          <w:noProof/>
          <w:color w:val="auto"/>
          <w:szCs w:val="20"/>
          <w:u w:val="none"/>
          <w:lang w:val="es-419"/>
        </w:rPr>
        <w:t xml:space="preserve"> </w:t>
      </w:r>
    </w:p>
    <w:p w14:paraId="436857E1" w14:textId="3D34ED62" w:rsidR="00425639" w:rsidRPr="00EA1AC6" w:rsidRDefault="00425639" w:rsidP="00C054CF">
      <w:pPr>
        <w:pStyle w:val="Brvesco-Normal"/>
        <w:spacing w:after="60" w:line="240" w:lineRule="auto"/>
        <w:ind w:left="-284"/>
        <w:rPr>
          <w:rFonts w:ascii="Segoe UI" w:hAnsi="Segoe UI" w:cs="Segoe UI"/>
          <w:noProof/>
          <w:color w:val="auto"/>
          <w:szCs w:val="20"/>
          <w:lang w:val="es-419"/>
        </w:rPr>
      </w:pPr>
      <w:r w:rsidRPr="001C07D9">
        <w:rPr>
          <w:rStyle w:val="Lienhypertexte"/>
          <w:rFonts w:ascii="Segoe UI" w:hAnsi="Segoe UI" w:cs="Segoe UI"/>
          <w:noProof/>
          <w:color w:val="auto"/>
          <w:szCs w:val="20"/>
          <w:u w:val="none"/>
          <w:lang w:val="es-419"/>
        </w:rPr>
        <w:t xml:space="preserve">Par ailleurs, le mode de distribution reste un facteur déterminant </w:t>
      </w:r>
      <w:r w:rsidR="00D0301D">
        <w:rPr>
          <w:rStyle w:val="Lienhypertexte"/>
          <w:rFonts w:ascii="Segoe UI" w:hAnsi="Segoe UI" w:cs="Segoe UI"/>
          <w:noProof/>
          <w:color w:val="auto"/>
          <w:szCs w:val="20"/>
          <w:u w:val="none"/>
          <w:lang w:val="es-419"/>
        </w:rPr>
        <w:t xml:space="preserve">de </w:t>
      </w:r>
      <w:r w:rsidRPr="001C07D9">
        <w:rPr>
          <w:rStyle w:val="Lienhypertexte"/>
          <w:rFonts w:ascii="Segoe UI" w:hAnsi="Segoe UI" w:cs="Segoe UI"/>
          <w:noProof/>
          <w:color w:val="auto"/>
          <w:szCs w:val="20"/>
          <w:u w:val="none"/>
          <w:lang w:val="es-419"/>
        </w:rPr>
        <w:t>la pénétration de l’assurance en Inde</w:t>
      </w:r>
      <w:r w:rsidR="00D0301D">
        <w:rPr>
          <w:rStyle w:val="Lienhypertexte"/>
          <w:rFonts w:ascii="Segoe UI" w:hAnsi="Segoe UI" w:cs="Segoe UI"/>
          <w:noProof/>
          <w:color w:val="auto"/>
          <w:szCs w:val="20"/>
          <w:u w:val="none"/>
          <w:lang w:val="es-419"/>
        </w:rPr>
        <w:t>. L</w:t>
      </w:r>
      <w:r w:rsidRPr="001C07D9">
        <w:rPr>
          <w:rStyle w:val="Lienhypertexte"/>
          <w:rFonts w:ascii="Segoe UI" w:hAnsi="Segoe UI" w:cs="Segoe UI"/>
          <w:noProof/>
          <w:color w:val="auto"/>
          <w:szCs w:val="20"/>
          <w:u w:val="none"/>
          <w:lang w:val="es-419"/>
        </w:rPr>
        <w:t>a bancassurance s’est imposée comme le principal canal de souscription, en particulier pour les produits d’assurance-vie. Les partenariats entre banques et assureurs permettent de capter une clientèle déjà bancarisée, offrant un levier de croissance</w:t>
      </w:r>
      <w:r w:rsidR="00D0301D">
        <w:rPr>
          <w:rStyle w:val="Lienhypertexte"/>
          <w:rFonts w:ascii="Segoe UI" w:hAnsi="Segoe UI" w:cs="Segoe UI"/>
          <w:noProof/>
          <w:color w:val="auto"/>
          <w:szCs w:val="20"/>
          <w:u w:val="none"/>
          <w:lang w:val="es-419"/>
        </w:rPr>
        <w:t xml:space="preserve"> notable</w:t>
      </w:r>
      <w:r>
        <w:rPr>
          <w:rStyle w:val="Lienhypertexte"/>
          <w:rFonts w:ascii="Segoe UI" w:hAnsi="Segoe UI" w:cs="Segoe UI"/>
          <w:noProof/>
          <w:color w:val="auto"/>
          <w:szCs w:val="20"/>
          <w:u w:val="none"/>
          <w:lang w:val="es-419"/>
        </w:rPr>
        <w:t xml:space="preserve">, </w:t>
      </w:r>
      <w:r w:rsidR="00D0301D">
        <w:rPr>
          <w:rStyle w:val="Lienhypertexte"/>
          <w:rFonts w:ascii="Segoe UI" w:hAnsi="Segoe UI" w:cs="Segoe UI"/>
          <w:noProof/>
          <w:color w:val="auto"/>
          <w:szCs w:val="20"/>
          <w:u w:val="none"/>
          <w:lang w:val="es-419"/>
        </w:rPr>
        <w:t>mais en</w:t>
      </w:r>
      <w:r w:rsidRPr="001C07D9">
        <w:rPr>
          <w:rStyle w:val="Lienhypertexte"/>
          <w:rFonts w:ascii="Segoe UI" w:hAnsi="Segoe UI" w:cs="Segoe UI"/>
          <w:noProof/>
          <w:color w:val="auto"/>
          <w:szCs w:val="20"/>
          <w:u w:val="none"/>
          <w:lang w:val="es-419"/>
        </w:rPr>
        <w:t xml:space="preserve"> accentuant </w:t>
      </w:r>
      <w:r>
        <w:rPr>
          <w:rStyle w:val="Lienhypertexte"/>
          <w:rFonts w:ascii="Segoe UI" w:hAnsi="Segoe UI" w:cs="Segoe UI"/>
          <w:noProof/>
          <w:color w:val="auto"/>
          <w:szCs w:val="20"/>
          <w:u w:val="none"/>
          <w:lang w:val="es-419"/>
        </w:rPr>
        <w:t>toutefois</w:t>
      </w:r>
      <w:r w:rsidRPr="001C07D9">
        <w:rPr>
          <w:rStyle w:val="Lienhypertexte"/>
          <w:rFonts w:ascii="Segoe UI" w:hAnsi="Segoe UI" w:cs="Segoe UI"/>
          <w:noProof/>
          <w:color w:val="auto"/>
          <w:szCs w:val="20"/>
          <w:u w:val="none"/>
          <w:lang w:val="es-419"/>
        </w:rPr>
        <w:t xml:space="preserve"> la concentration du marché autour </w:t>
      </w:r>
      <w:r w:rsidR="00D0301D">
        <w:rPr>
          <w:rStyle w:val="Lienhypertexte"/>
          <w:rFonts w:ascii="Segoe UI" w:hAnsi="Segoe UI" w:cs="Segoe UI"/>
          <w:noProof/>
          <w:color w:val="auto"/>
          <w:szCs w:val="20"/>
          <w:u w:val="none"/>
          <w:lang w:val="es-419"/>
        </w:rPr>
        <w:t>d’</w:t>
      </w:r>
      <w:r w:rsidRPr="001C07D9">
        <w:rPr>
          <w:rStyle w:val="Lienhypertexte"/>
          <w:rFonts w:ascii="Segoe UI" w:hAnsi="Segoe UI" w:cs="Segoe UI"/>
          <w:noProof/>
          <w:color w:val="auto"/>
          <w:szCs w:val="20"/>
          <w:u w:val="none"/>
          <w:lang w:val="es-419"/>
        </w:rPr>
        <w:t xml:space="preserve">acteurs disposant </w:t>
      </w:r>
      <w:r w:rsidR="00D0301D">
        <w:rPr>
          <w:rStyle w:val="Lienhypertexte"/>
          <w:rFonts w:ascii="Segoe UI" w:hAnsi="Segoe UI" w:cs="Segoe UI"/>
          <w:noProof/>
          <w:color w:val="auto"/>
          <w:szCs w:val="20"/>
          <w:u w:val="none"/>
          <w:lang w:val="es-419"/>
        </w:rPr>
        <w:t xml:space="preserve">de partenariats </w:t>
      </w:r>
      <w:r w:rsidRPr="001C07D9">
        <w:rPr>
          <w:rStyle w:val="Lienhypertexte"/>
          <w:rFonts w:ascii="Segoe UI" w:hAnsi="Segoe UI" w:cs="Segoe UI"/>
          <w:noProof/>
          <w:color w:val="auto"/>
          <w:szCs w:val="20"/>
          <w:u w:val="none"/>
          <w:lang w:val="es-419"/>
        </w:rPr>
        <w:t>bancaires solides.</w:t>
      </w:r>
      <w:r>
        <w:rPr>
          <w:rStyle w:val="Lienhypertexte"/>
          <w:rFonts w:ascii="Segoe UI" w:hAnsi="Segoe UI" w:cs="Segoe UI"/>
          <w:noProof/>
          <w:color w:val="auto"/>
          <w:szCs w:val="20"/>
          <w:u w:val="none"/>
          <w:lang w:val="es-419"/>
        </w:rPr>
        <w:t xml:space="preserve"> </w:t>
      </w:r>
      <w:r w:rsidRPr="007212AF">
        <w:rPr>
          <w:rStyle w:val="Lienhypertexte"/>
          <w:rFonts w:ascii="Segoe UI" w:hAnsi="Segoe UI" w:cs="Segoe UI"/>
          <w:noProof/>
          <w:color w:val="auto"/>
          <w:szCs w:val="20"/>
          <w:u w:val="none"/>
          <w:lang w:val="es-419"/>
        </w:rPr>
        <w:t xml:space="preserve">Compte tenu </w:t>
      </w:r>
      <w:r>
        <w:rPr>
          <w:rStyle w:val="Lienhypertexte"/>
          <w:rFonts w:ascii="Segoe UI" w:hAnsi="Segoe UI" w:cs="Segoe UI"/>
          <w:noProof/>
          <w:color w:val="auto"/>
          <w:szCs w:val="20"/>
          <w:u w:val="none"/>
          <w:lang w:val="es-419"/>
        </w:rPr>
        <w:t xml:space="preserve">de la digitalisation en cours, </w:t>
      </w:r>
      <w:r w:rsidRPr="007212AF">
        <w:rPr>
          <w:rStyle w:val="Lienhypertexte"/>
          <w:rFonts w:ascii="Segoe UI" w:hAnsi="Segoe UI" w:cs="Segoe UI"/>
          <w:noProof/>
          <w:color w:val="auto"/>
          <w:szCs w:val="20"/>
          <w:u w:val="none"/>
          <w:lang w:val="es-419"/>
        </w:rPr>
        <w:t>les canaux numériques</w:t>
      </w:r>
      <w:r>
        <w:rPr>
          <w:rStyle w:val="Lienhypertexte"/>
          <w:rFonts w:ascii="Segoe UI" w:hAnsi="Segoe UI" w:cs="Segoe UI"/>
          <w:noProof/>
          <w:color w:val="auto"/>
          <w:szCs w:val="20"/>
          <w:u w:val="none"/>
          <w:lang w:val="es-419"/>
        </w:rPr>
        <w:t xml:space="preserve"> et l</w:t>
      </w:r>
      <w:r w:rsidRPr="007212AF">
        <w:rPr>
          <w:rStyle w:val="Lienhypertexte"/>
          <w:rFonts w:ascii="Segoe UI" w:hAnsi="Segoe UI" w:cs="Segoe UI"/>
          <w:noProof/>
          <w:color w:val="auto"/>
          <w:szCs w:val="20"/>
          <w:u w:val="none"/>
          <w:lang w:val="es-419"/>
        </w:rPr>
        <w:t xml:space="preserve">es plateformes de commerce en ligne devraient s’imposer </w:t>
      </w:r>
      <w:r w:rsidR="001635C6">
        <w:rPr>
          <w:rStyle w:val="Lienhypertexte"/>
          <w:rFonts w:ascii="Segoe UI" w:hAnsi="Segoe UI" w:cs="Segoe UI"/>
          <w:noProof/>
          <w:color w:val="auto"/>
          <w:szCs w:val="20"/>
          <w:u w:val="none"/>
          <w:lang w:val="es-419"/>
        </w:rPr>
        <w:t xml:space="preserve">bientôt </w:t>
      </w:r>
      <w:r>
        <w:rPr>
          <w:rStyle w:val="Lienhypertexte"/>
          <w:rFonts w:ascii="Segoe UI" w:hAnsi="Segoe UI" w:cs="Segoe UI"/>
          <w:noProof/>
          <w:color w:val="auto"/>
          <w:szCs w:val="20"/>
          <w:u w:val="none"/>
          <w:lang w:val="es-419"/>
        </w:rPr>
        <w:t xml:space="preserve">davantage </w:t>
      </w:r>
      <w:r w:rsidRPr="007212AF">
        <w:rPr>
          <w:rStyle w:val="Lienhypertexte"/>
          <w:rFonts w:ascii="Segoe UI" w:hAnsi="Segoe UI" w:cs="Segoe UI"/>
          <w:noProof/>
          <w:color w:val="auto"/>
          <w:szCs w:val="20"/>
          <w:u w:val="none"/>
          <w:lang w:val="es-419"/>
        </w:rPr>
        <w:t>comme modes de distribution</w:t>
      </w:r>
      <w:r>
        <w:rPr>
          <w:rStyle w:val="Lienhypertexte"/>
          <w:rFonts w:ascii="Segoe UI" w:hAnsi="Segoe UI" w:cs="Segoe UI"/>
          <w:noProof/>
          <w:color w:val="auto"/>
          <w:szCs w:val="20"/>
          <w:u w:val="none"/>
          <w:lang w:val="es-419"/>
        </w:rPr>
        <w:t xml:space="preserve"> privilégiés. </w:t>
      </w:r>
    </w:p>
    <w:p w14:paraId="59F8A28C" w14:textId="4F9D34DA" w:rsidR="00425639" w:rsidRPr="004472CB" w:rsidRDefault="00425639" w:rsidP="004472CB">
      <w:pPr>
        <w:pStyle w:val="Sansinterligne"/>
        <w:ind w:left="-284"/>
        <w:jc w:val="both"/>
        <w:rPr>
          <w:rStyle w:val="Lienhypertexte"/>
          <w:b/>
          <w:bCs/>
          <w:color w:val="000091" w:themeColor="text1"/>
          <w:sz w:val="24"/>
          <w:szCs w:val="16"/>
          <w:u w:val="none"/>
          <w:lang w:eastAsia="fr-FR"/>
        </w:rPr>
      </w:pPr>
      <w:r w:rsidRPr="009C2147">
        <w:rPr>
          <w:rFonts w:ascii="Segoe UI" w:hAnsi="Segoe UI" w:cs="Segoe UI"/>
          <w:b/>
          <w:bCs/>
          <w:color w:val="000091" w:themeColor="text1"/>
          <w:sz w:val="24"/>
          <w:szCs w:val="16"/>
          <w:lang w:eastAsia="fr-FR"/>
        </w:rPr>
        <w:t>II /</w:t>
      </w:r>
      <w:r>
        <w:rPr>
          <w:rFonts w:ascii="Segoe UI" w:hAnsi="Segoe UI" w:cs="Segoe UI"/>
          <w:b/>
          <w:bCs/>
          <w:color w:val="000091" w:themeColor="text1"/>
          <w:sz w:val="24"/>
          <w:szCs w:val="16"/>
          <w:lang w:eastAsia="fr-FR"/>
        </w:rPr>
        <w:t>...</w:t>
      </w:r>
      <w:r w:rsidR="00514D49" w:rsidRPr="00514D49">
        <w:rPr>
          <w:rFonts w:ascii="Segoe UI" w:hAnsi="Segoe UI" w:cs="Segoe UI"/>
          <w:b/>
          <w:bCs/>
          <w:color w:val="000091" w:themeColor="text1"/>
          <w:sz w:val="24"/>
          <w:szCs w:val="16"/>
          <w:lang w:eastAsia="fr-FR"/>
        </w:rPr>
        <w:t>malgré un protectionnisme indien affirmé et des risques systémiques latents</w:t>
      </w:r>
      <w:r w:rsidR="00514D49">
        <w:rPr>
          <w:rFonts w:ascii="Segoe UI" w:hAnsi="Segoe UI" w:cs="Segoe UI"/>
          <w:b/>
          <w:bCs/>
          <w:color w:val="000091" w:themeColor="text1"/>
          <w:sz w:val="24"/>
          <w:szCs w:val="16"/>
          <w:lang w:eastAsia="fr-FR"/>
        </w:rPr>
        <w:t>...</w:t>
      </w:r>
      <w:r w:rsidRPr="009C2147">
        <w:rPr>
          <w:rFonts w:ascii="Segoe UI" w:hAnsi="Segoe UI" w:cs="Segoe UI"/>
          <w:b/>
          <w:bCs/>
          <w:color w:val="000091" w:themeColor="text1"/>
          <w:sz w:val="24"/>
          <w:szCs w:val="16"/>
          <w:lang w:eastAsia="fr-FR"/>
        </w:rPr>
        <w:t xml:space="preserve"> </w:t>
      </w:r>
    </w:p>
    <w:p w14:paraId="486FDBB6" w14:textId="79CADE32" w:rsidR="004472CB" w:rsidRDefault="00425639" w:rsidP="00580478">
      <w:pPr>
        <w:pStyle w:val="Brvesco-Normal"/>
        <w:spacing w:after="60" w:line="240" w:lineRule="auto"/>
        <w:ind w:left="-284"/>
        <w:rPr>
          <w:rStyle w:val="Lienhypertexte"/>
          <w:rFonts w:ascii="Segoe UI" w:hAnsi="Segoe UI" w:cs="Segoe UI"/>
          <w:noProof/>
          <w:color w:val="auto"/>
          <w:szCs w:val="20"/>
          <w:u w:val="none"/>
        </w:rPr>
      </w:pPr>
      <w:r w:rsidRPr="004472CB">
        <w:rPr>
          <w:rStyle w:val="Lienhypertexte"/>
          <w:rFonts w:ascii="Segoe UI" w:hAnsi="Segoe UI" w:cs="Segoe UI"/>
          <w:noProof/>
          <w:color w:val="auto"/>
          <w:szCs w:val="20"/>
          <w:u w:val="none"/>
        </w:rPr>
        <w:t>L’ouverture du secteur indien de l’assurance aux capitaux étrangers s’est accélérée au cours des deux dernières décennies. Fixée historiquement à 26 %, la limite</w:t>
      </w:r>
      <w:r w:rsidR="00FC4971">
        <w:rPr>
          <w:rStyle w:val="Lienhypertexte"/>
          <w:rFonts w:ascii="Segoe UI" w:hAnsi="Segoe UI" w:cs="Segoe UI"/>
          <w:noProof/>
          <w:color w:val="auto"/>
          <w:szCs w:val="20"/>
          <w:u w:val="none"/>
        </w:rPr>
        <w:t xml:space="preserve"> de capital</w:t>
      </w:r>
      <w:r w:rsidRPr="004472CB">
        <w:rPr>
          <w:rStyle w:val="Lienhypertexte"/>
          <w:rFonts w:ascii="Segoe UI" w:hAnsi="Segoe UI" w:cs="Segoe UI"/>
          <w:noProof/>
          <w:color w:val="auto"/>
          <w:szCs w:val="20"/>
          <w:u w:val="none"/>
        </w:rPr>
        <w:t xml:space="preserve"> a été progressivement relevée à 49 % en 2015, puis à 74 % en 2021, avant d’atteindre 100 % en 2025</w:t>
      </w:r>
      <w:r>
        <w:rPr>
          <w:rStyle w:val="Appeldenotedefin"/>
          <w:rFonts w:ascii="Segoe UI" w:hAnsi="Segoe UI" w:cs="Segoe UI"/>
          <w:noProof/>
          <w:color w:val="auto"/>
          <w:szCs w:val="20"/>
        </w:rPr>
        <w:endnoteReference w:id="14"/>
      </w:r>
      <w:r w:rsidRPr="004472CB">
        <w:rPr>
          <w:rStyle w:val="Lienhypertexte"/>
          <w:rFonts w:ascii="Segoe UI" w:hAnsi="Segoe UI" w:cs="Segoe UI"/>
          <w:noProof/>
          <w:color w:val="auto"/>
          <w:szCs w:val="20"/>
          <w:u w:val="none"/>
        </w:rPr>
        <w:t>.</w:t>
      </w:r>
      <w:r w:rsidR="004472CB" w:rsidRPr="004472CB">
        <w:rPr>
          <w:rStyle w:val="Lienhypertexte"/>
          <w:rFonts w:ascii="Segoe UI" w:hAnsi="Segoe UI" w:cs="Segoe UI"/>
          <w:noProof/>
          <w:color w:val="auto"/>
          <w:szCs w:val="20"/>
          <w:u w:val="none"/>
        </w:rPr>
        <w:t xml:space="preserve"> Cette libéralisation a permis d’attirer les dix plus grands groupes mondiaux, dont Lloyd’s, Munich Re, Swiss Re, Hannover Re, SCOR et Liberty, </w:t>
      </w:r>
      <w:r w:rsidR="001635C6">
        <w:rPr>
          <w:rStyle w:val="Lienhypertexte"/>
          <w:rFonts w:ascii="Segoe UI" w:hAnsi="Segoe UI" w:cs="Segoe UI"/>
          <w:noProof/>
          <w:color w:val="auto"/>
          <w:szCs w:val="20"/>
          <w:u w:val="none"/>
        </w:rPr>
        <w:t xml:space="preserve">à la recherche </w:t>
      </w:r>
      <w:r w:rsidR="004472CB" w:rsidRPr="004472CB">
        <w:rPr>
          <w:rStyle w:val="Lienhypertexte"/>
          <w:rFonts w:ascii="Segoe UI" w:hAnsi="Segoe UI" w:cs="Segoe UI"/>
          <w:noProof/>
          <w:color w:val="auto"/>
          <w:szCs w:val="20"/>
          <w:u w:val="none"/>
        </w:rPr>
        <w:t>d</w:t>
      </w:r>
      <w:r w:rsidR="001635C6">
        <w:rPr>
          <w:rStyle w:val="Lienhypertexte"/>
          <w:rFonts w:ascii="Segoe UI" w:hAnsi="Segoe UI" w:cs="Segoe UI"/>
          <w:noProof/>
          <w:color w:val="auto"/>
          <w:szCs w:val="20"/>
          <w:u w:val="none"/>
        </w:rPr>
        <w:t>e</w:t>
      </w:r>
      <w:r w:rsidR="004472CB" w:rsidRPr="004472CB">
        <w:rPr>
          <w:rStyle w:val="Lienhypertexte"/>
          <w:rFonts w:ascii="Segoe UI" w:hAnsi="Segoe UI" w:cs="Segoe UI"/>
          <w:noProof/>
          <w:color w:val="auto"/>
          <w:szCs w:val="20"/>
          <w:u w:val="none"/>
        </w:rPr>
        <w:t xml:space="preserve"> relais de croissance</w:t>
      </w:r>
      <w:r w:rsidR="001635C6">
        <w:rPr>
          <w:rStyle w:val="Lienhypertexte"/>
          <w:rFonts w:ascii="Segoe UI" w:hAnsi="Segoe UI" w:cs="Segoe UI"/>
          <w:noProof/>
          <w:color w:val="auto"/>
          <w:szCs w:val="20"/>
          <w:u w:val="none"/>
        </w:rPr>
        <w:t xml:space="preserve">, </w:t>
      </w:r>
      <w:r w:rsidR="004472CB" w:rsidRPr="004472CB">
        <w:rPr>
          <w:rStyle w:val="Lienhypertexte"/>
          <w:rFonts w:ascii="Segoe UI" w:hAnsi="Segoe UI" w:cs="Segoe UI"/>
          <w:noProof/>
          <w:color w:val="auto"/>
          <w:szCs w:val="20"/>
          <w:u w:val="none"/>
        </w:rPr>
        <w:t xml:space="preserve"> sur un marché encore sous-pénétré </w:t>
      </w:r>
      <w:r w:rsidR="001635C6">
        <w:rPr>
          <w:rStyle w:val="Lienhypertexte"/>
          <w:rFonts w:ascii="Segoe UI" w:hAnsi="Segoe UI" w:cs="Segoe UI"/>
          <w:noProof/>
          <w:color w:val="auto"/>
          <w:szCs w:val="20"/>
          <w:u w:val="none"/>
        </w:rPr>
        <w:t xml:space="preserve">et à </w:t>
      </w:r>
      <w:r w:rsidR="004472CB" w:rsidRPr="004472CB">
        <w:rPr>
          <w:rStyle w:val="Lienhypertexte"/>
          <w:rFonts w:ascii="Segoe UI" w:hAnsi="Segoe UI" w:cs="Segoe UI"/>
          <w:noProof/>
          <w:color w:val="auto"/>
          <w:szCs w:val="20"/>
          <w:u w:val="none"/>
        </w:rPr>
        <w:t>fort potentiel</w:t>
      </w:r>
      <w:r w:rsidR="007212AF">
        <w:rPr>
          <w:rStyle w:val="Lienhypertexte"/>
          <w:rFonts w:ascii="Segoe UI" w:hAnsi="Segoe UI" w:cs="Segoe UI"/>
          <w:noProof/>
          <w:color w:val="auto"/>
          <w:szCs w:val="20"/>
          <w:u w:val="none"/>
        </w:rPr>
        <w:t xml:space="preserve"> (c.f annexe 4)</w:t>
      </w:r>
      <w:r w:rsidR="004472CB" w:rsidRPr="004472CB">
        <w:rPr>
          <w:rStyle w:val="Lienhypertexte"/>
          <w:rFonts w:ascii="Segoe UI" w:hAnsi="Segoe UI" w:cs="Segoe UI"/>
          <w:noProof/>
          <w:color w:val="auto"/>
          <w:szCs w:val="20"/>
          <w:u w:val="none"/>
        </w:rPr>
        <w:t>.</w:t>
      </w:r>
      <w:r w:rsidR="004472CB">
        <w:rPr>
          <w:rStyle w:val="Lienhypertexte"/>
          <w:rFonts w:ascii="Segoe UI" w:hAnsi="Segoe UI" w:cs="Segoe UI"/>
          <w:noProof/>
          <w:color w:val="auto"/>
          <w:szCs w:val="20"/>
          <w:u w:val="none"/>
        </w:rPr>
        <w:t xml:space="preserve"> </w:t>
      </w:r>
    </w:p>
    <w:p w14:paraId="13C98B9C" w14:textId="0282C4C7" w:rsidR="002A4365" w:rsidRPr="00580478" w:rsidRDefault="00627989" w:rsidP="00580478">
      <w:pPr>
        <w:pStyle w:val="Brvesco-Normal"/>
        <w:spacing w:after="60" w:line="240" w:lineRule="auto"/>
        <w:ind w:left="-284"/>
        <w:rPr>
          <w:rStyle w:val="Lienhypertexte"/>
          <w:rFonts w:ascii="Segoe UI" w:hAnsi="Segoe UI" w:cs="Segoe UI"/>
          <w:noProof/>
          <w:color w:val="auto"/>
          <w:szCs w:val="20"/>
          <w:u w:val="none"/>
        </w:rPr>
      </w:pPr>
      <w:r>
        <w:rPr>
          <w:rStyle w:val="Lienhypertexte"/>
          <w:rFonts w:ascii="Segoe UI" w:hAnsi="Segoe UI" w:cs="Segoe UI"/>
          <w:noProof/>
          <w:color w:val="auto"/>
          <w:szCs w:val="20"/>
          <w:u w:val="none"/>
        </w:rPr>
        <w:t>Toutefois, il convient de souligner les barrières à l’entrée du marché de l’assurance indien</w:t>
      </w:r>
      <w:r w:rsidR="007212AF">
        <w:rPr>
          <w:rStyle w:val="Lienhypertexte"/>
          <w:rFonts w:ascii="Segoe UI" w:hAnsi="Segoe UI" w:cs="Segoe UI"/>
          <w:noProof/>
          <w:color w:val="auto"/>
          <w:szCs w:val="20"/>
          <w:u w:val="none"/>
        </w:rPr>
        <w:t xml:space="preserve"> notamment l’</w:t>
      </w:r>
      <w:r w:rsidR="007212AF" w:rsidRPr="007212AF">
        <w:rPr>
          <w:rStyle w:val="Lienhypertexte"/>
          <w:rFonts w:ascii="Segoe UI" w:hAnsi="Segoe UI" w:cs="Segoe UI"/>
          <w:noProof/>
          <w:color w:val="auto"/>
          <w:szCs w:val="20"/>
          <w:u w:val="none"/>
        </w:rPr>
        <w:t>obten</w:t>
      </w:r>
      <w:r w:rsidR="007212AF">
        <w:rPr>
          <w:rStyle w:val="Lienhypertexte"/>
          <w:rFonts w:ascii="Segoe UI" w:hAnsi="Segoe UI" w:cs="Segoe UI"/>
          <w:noProof/>
          <w:color w:val="auto"/>
          <w:szCs w:val="20"/>
          <w:u w:val="none"/>
        </w:rPr>
        <w:t>tion d’</w:t>
      </w:r>
      <w:r w:rsidR="007212AF" w:rsidRPr="007212AF">
        <w:rPr>
          <w:rStyle w:val="Lienhypertexte"/>
          <w:rFonts w:ascii="Segoe UI" w:hAnsi="Segoe UI" w:cs="Segoe UI"/>
          <w:noProof/>
          <w:color w:val="auto"/>
          <w:szCs w:val="20"/>
          <w:u w:val="none"/>
        </w:rPr>
        <w:t>une licence, soumise à un processus long et exigeant</w:t>
      </w:r>
      <w:r w:rsidR="001635C6">
        <w:rPr>
          <w:rStyle w:val="Lienhypertexte"/>
          <w:rFonts w:ascii="Segoe UI" w:hAnsi="Segoe UI" w:cs="Segoe UI"/>
          <w:noProof/>
          <w:color w:val="auto"/>
          <w:szCs w:val="20"/>
          <w:u w:val="none"/>
        </w:rPr>
        <w:t xml:space="preserve"> de l’IRDAI</w:t>
      </w:r>
      <w:r w:rsidR="007212AF" w:rsidRPr="007212AF">
        <w:rPr>
          <w:rStyle w:val="Lienhypertexte"/>
          <w:rFonts w:ascii="Segoe UI" w:hAnsi="Segoe UI" w:cs="Segoe UI"/>
          <w:noProof/>
          <w:color w:val="auto"/>
          <w:szCs w:val="20"/>
          <w:u w:val="none"/>
        </w:rPr>
        <w:t>.</w:t>
      </w:r>
      <w:r w:rsidR="006D6A28">
        <w:rPr>
          <w:rStyle w:val="Lienhypertexte"/>
          <w:rFonts w:ascii="Segoe UI" w:hAnsi="Segoe UI" w:cs="Segoe UI"/>
          <w:noProof/>
          <w:color w:val="auto"/>
          <w:szCs w:val="20"/>
          <w:u w:val="none"/>
        </w:rPr>
        <w:t xml:space="preserve"> </w:t>
      </w:r>
      <w:r w:rsidR="001635C6">
        <w:rPr>
          <w:rStyle w:val="Lienhypertexte"/>
          <w:rFonts w:ascii="Segoe UI" w:hAnsi="Segoe UI" w:cs="Segoe UI"/>
          <w:noProof/>
          <w:color w:val="auto"/>
          <w:szCs w:val="20"/>
          <w:u w:val="none"/>
        </w:rPr>
        <w:t>De plus, l</w:t>
      </w:r>
      <w:r w:rsidR="006D6A28" w:rsidRPr="006D6A28">
        <w:rPr>
          <w:rStyle w:val="Lienhypertexte"/>
          <w:rFonts w:ascii="Segoe UI" w:hAnsi="Segoe UI" w:cs="Segoe UI"/>
          <w:noProof/>
          <w:color w:val="auto"/>
          <w:szCs w:val="20"/>
          <w:u w:val="none"/>
        </w:rPr>
        <w:t>es assureurs étrangers doivent réinvestir localement les primes collectées, s’ils veulent contrôler leur filiale indienne à 100%</w:t>
      </w:r>
      <w:r w:rsidRPr="00A9298A">
        <w:rPr>
          <w:rStyle w:val="Lienhypertexte"/>
          <w:rFonts w:ascii="Segoe UI" w:hAnsi="Segoe UI" w:cs="Segoe UI"/>
          <w:noProof/>
          <w:color w:val="auto"/>
          <w:szCs w:val="20"/>
          <w:u w:val="none"/>
        </w:rPr>
        <w:t>.</w:t>
      </w:r>
      <w:r>
        <w:rPr>
          <w:rStyle w:val="Lienhypertexte"/>
          <w:rFonts w:ascii="Segoe UI" w:hAnsi="Segoe UI" w:cs="Segoe UI"/>
          <w:noProof/>
          <w:color w:val="auto"/>
          <w:szCs w:val="20"/>
          <w:u w:val="none"/>
        </w:rPr>
        <w:t xml:space="preserve"> </w:t>
      </w:r>
      <w:r w:rsidR="007212AF">
        <w:rPr>
          <w:rStyle w:val="Lienhypertexte"/>
          <w:rFonts w:ascii="Segoe UI" w:hAnsi="Segoe UI" w:cs="Segoe UI"/>
          <w:noProof/>
          <w:color w:val="auto"/>
          <w:szCs w:val="20"/>
          <w:u w:val="none"/>
        </w:rPr>
        <w:t xml:space="preserve">En </w:t>
      </w:r>
      <w:r w:rsidR="001635C6">
        <w:rPr>
          <w:rStyle w:val="Lienhypertexte"/>
          <w:rFonts w:ascii="Segoe UI" w:hAnsi="Segoe UI" w:cs="Segoe UI"/>
          <w:noProof/>
          <w:color w:val="auto"/>
          <w:szCs w:val="20"/>
          <w:u w:val="none"/>
        </w:rPr>
        <w:t xml:space="preserve">outre, le régulateur </w:t>
      </w:r>
      <w:r>
        <w:rPr>
          <w:rStyle w:val="Lienhypertexte"/>
          <w:rFonts w:ascii="Segoe UI" w:hAnsi="Segoe UI" w:cs="Segoe UI"/>
          <w:noProof/>
          <w:color w:val="auto"/>
          <w:szCs w:val="20"/>
          <w:u w:val="none"/>
        </w:rPr>
        <w:t>continue d’imposer</w:t>
      </w:r>
      <w:r w:rsidRPr="00A9298A">
        <w:rPr>
          <w:rStyle w:val="Lienhypertexte"/>
          <w:rFonts w:ascii="Segoe UI" w:hAnsi="Segoe UI" w:cs="Segoe UI"/>
          <w:noProof/>
          <w:color w:val="auto"/>
          <w:szCs w:val="20"/>
          <w:u w:val="none"/>
        </w:rPr>
        <w:t xml:space="preserve"> des exigences de solvabilité élevées</w:t>
      </w:r>
      <w:r>
        <w:rPr>
          <w:rStyle w:val="Appeldenotedefin"/>
          <w:rFonts w:ascii="Segoe UI" w:hAnsi="Segoe UI" w:cs="Segoe UI"/>
          <w:noProof/>
          <w:color w:val="auto"/>
          <w:szCs w:val="20"/>
        </w:rPr>
        <w:endnoteReference w:id="15"/>
      </w:r>
      <w:r w:rsidRPr="00A9298A">
        <w:rPr>
          <w:rStyle w:val="Lienhypertexte"/>
          <w:rFonts w:ascii="Segoe UI" w:hAnsi="Segoe UI" w:cs="Segoe UI"/>
          <w:noProof/>
          <w:color w:val="auto"/>
          <w:szCs w:val="20"/>
          <w:u w:val="none"/>
        </w:rPr>
        <w:t xml:space="preserve">, des règles </w:t>
      </w:r>
      <w:r w:rsidR="001635C6">
        <w:rPr>
          <w:rStyle w:val="Lienhypertexte"/>
          <w:rFonts w:ascii="Segoe UI" w:hAnsi="Segoe UI" w:cs="Segoe UI"/>
          <w:noProof/>
          <w:color w:val="auto"/>
          <w:szCs w:val="20"/>
          <w:u w:val="none"/>
        </w:rPr>
        <w:t xml:space="preserve">très </w:t>
      </w:r>
      <w:r w:rsidRPr="00A9298A">
        <w:rPr>
          <w:rStyle w:val="Lienhypertexte"/>
          <w:rFonts w:ascii="Segoe UI" w:hAnsi="Segoe UI" w:cs="Segoe UI"/>
          <w:noProof/>
          <w:color w:val="auto"/>
          <w:szCs w:val="20"/>
          <w:u w:val="none"/>
        </w:rPr>
        <w:t>précises sur la gestion des fonds et des restrictions sur les produits</w:t>
      </w:r>
      <w:r w:rsidR="001635C6">
        <w:rPr>
          <w:rStyle w:val="Lienhypertexte"/>
          <w:rFonts w:ascii="Segoe UI" w:hAnsi="Segoe UI" w:cs="Segoe UI"/>
          <w:noProof/>
          <w:color w:val="auto"/>
          <w:szCs w:val="20"/>
          <w:u w:val="none"/>
        </w:rPr>
        <w:t xml:space="preserve"> d’assurance. </w:t>
      </w:r>
      <w:r w:rsidRPr="00483011">
        <w:rPr>
          <w:rStyle w:val="Lienhypertexte"/>
          <w:rFonts w:ascii="Segoe UI" w:hAnsi="Segoe UI" w:cs="Segoe UI"/>
          <w:noProof/>
          <w:color w:val="auto"/>
          <w:szCs w:val="20"/>
          <w:u w:val="none"/>
          <w:lang w:val="es-419"/>
        </w:rPr>
        <w:t>Même avec des initiatives publiques comme Ayushman Bharat</w:t>
      </w:r>
      <w:r>
        <w:rPr>
          <w:rStyle w:val="Lienhypertexte"/>
          <w:rFonts w:ascii="Segoe UI" w:hAnsi="Segoe UI" w:cs="Segoe UI"/>
          <w:noProof/>
          <w:color w:val="auto"/>
          <w:szCs w:val="20"/>
          <w:u w:val="none"/>
          <w:lang w:val="es-419"/>
        </w:rPr>
        <w:t xml:space="preserve"> (c.f. annexe</w:t>
      </w:r>
      <w:r w:rsidR="007212AF">
        <w:rPr>
          <w:rStyle w:val="Lienhypertexte"/>
          <w:rFonts w:ascii="Segoe UI" w:hAnsi="Segoe UI" w:cs="Segoe UI"/>
          <w:noProof/>
          <w:color w:val="auto"/>
          <w:szCs w:val="20"/>
          <w:u w:val="none"/>
          <w:lang w:val="es-419"/>
        </w:rPr>
        <w:t xml:space="preserve"> 6</w:t>
      </w:r>
      <w:r>
        <w:rPr>
          <w:rStyle w:val="Lienhypertexte"/>
          <w:rFonts w:ascii="Segoe UI" w:hAnsi="Segoe UI" w:cs="Segoe UI"/>
          <w:noProof/>
          <w:color w:val="auto"/>
          <w:szCs w:val="20"/>
          <w:u w:val="none"/>
          <w:lang w:val="es-419"/>
        </w:rPr>
        <w:t>)</w:t>
      </w:r>
      <w:r w:rsidRPr="00483011">
        <w:rPr>
          <w:rStyle w:val="Lienhypertexte"/>
          <w:rFonts w:ascii="Segoe UI" w:hAnsi="Segoe UI" w:cs="Segoe UI"/>
          <w:noProof/>
          <w:color w:val="auto"/>
          <w:szCs w:val="20"/>
          <w:u w:val="none"/>
          <w:lang w:val="es-419"/>
        </w:rPr>
        <w:t xml:space="preserve"> qui offre une couverture santé à près de 500 millions d’Indiens </w:t>
      </w:r>
      <w:r w:rsidR="004472CB">
        <w:rPr>
          <w:rStyle w:val="Lienhypertexte"/>
          <w:rFonts w:ascii="Segoe UI" w:hAnsi="Segoe UI" w:cs="Segoe UI"/>
          <w:noProof/>
          <w:color w:val="auto"/>
          <w:szCs w:val="20"/>
          <w:u w:val="none"/>
          <w:lang w:val="es-419"/>
        </w:rPr>
        <w:t xml:space="preserve">issus de classes </w:t>
      </w:r>
      <w:r w:rsidRPr="00483011">
        <w:rPr>
          <w:rStyle w:val="Lienhypertexte"/>
          <w:rFonts w:ascii="Segoe UI" w:hAnsi="Segoe UI" w:cs="Segoe UI"/>
          <w:noProof/>
          <w:color w:val="auto"/>
          <w:szCs w:val="20"/>
          <w:u w:val="none"/>
          <w:lang w:val="es-419"/>
        </w:rPr>
        <w:t>vulnérables, la couverture dans les zones rurales reste marginale</w:t>
      </w:r>
      <w:r>
        <w:rPr>
          <w:rStyle w:val="Lienhypertexte"/>
          <w:rFonts w:ascii="Segoe UI" w:hAnsi="Segoe UI" w:cs="Segoe UI"/>
          <w:noProof/>
          <w:color w:val="auto"/>
          <w:szCs w:val="20"/>
          <w:u w:val="none"/>
          <w:lang w:val="es-419"/>
        </w:rPr>
        <w:t xml:space="preserve">, et davantage </w:t>
      </w:r>
      <w:r w:rsidR="00CF1BDF">
        <w:rPr>
          <w:rStyle w:val="Lienhypertexte"/>
          <w:rFonts w:ascii="Segoe UI" w:hAnsi="Segoe UI" w:cs="Segoe UI"/>
          <w:noProof/>
          <w:color w:val="auto"/>
          <w:szCs w:val="20"/>
          <w:u w:val="none"/>
          <w:lang w:val="es-419"/>
        </w:rPr>
        <w:t xml:space="preserve">encore </w:t>
      </w:r>
      <w:r>
        <w:rPr>
          <w:rStyle w:val="Lienhypertexte"/>
          <w:rFonts w:ascii="Segoe UI" w:hAnsi="Segoe UI" w:cs="Segoe UI"/>
          <w:noProof/>
          <w:color w:val="auto"/>
          <w:szCs w:val="20"/>
          <w:u w:val="none"/>
          <w:lang w:val="es-419"/>
        </w:rPr>
        <w:t>pour les femmes</w:t>
      </w:r>
      <w:r>
        <w:rPr>
          <w:rStyle w:val="Appeldenotedefin"/>
          <w:rFonts w:ascii="Segoe UI" w:hAnsi="Segoe UI" w:cs="Segoe UI"/>
          <w:noProof/>
          <w:color w:val="auto"/>
          <w:szCs w:val="20"/>
          <w:lang w:val="es-419"/>
        </w:rPr>
        <w:endnoteReference w:id="16"/>
      </w:r>
      <w:r w:rsidRPr="00483011">
        <w:rPr>
          <w:rStyle w:val="Lienhypertexte"/>
          <w:rFonts w:ascii="Segoe UI" w:hAnsi="Segoe UI" w:cs="Segoe UI"/>
          <w:noProof/>
          <w:color w:val="auto"/>
          <w:szCs w:val="20"/>
          <w:u w:val="none"/>
          <w:lang w:val="es-419"/>
        </w:rPr>
        <w:t>.</w:t>
      </w:r>
      <w:r w:rsidR="009F3C77" w:rsidRPr="00483011">
        <w:rPr>
          <w:rStyle w:val="Lienhypertexte"/>
          <w:rFonts w:ascii="Segoe UI" w:hAnsi="Segoe UI" w:cs="Segoe UI"/>
          <w:noProof/>
          <w:color w:val="auto"/>
          <w:szCs w:val="20"/>
          <w:u w:val="none"/>
          <w:lang w:val="es-419"/>
        </w:rPr>
        <w:t xml:space="preserve"> Selon l’IRDAI, moins de 20 % des ménages ruraux disposent d’une couverture adéquate</w:t>
      </w:r>
      <w:r w:rsidR="00B54687">
        <w:rPr>
          <w:rStyle w:val="Lienhypertexte"/>
          <w:rFonts w:ascii="Segoe UI" w:hAnsi="Segoe UI" w:cs="Segoe UI"/>
          <w:noProof/>
          <w:color w:val="auto"/>
          <w:szCs w:val="20"/>
          <w:u w:val="none"/>
          <w:lang w:val="es-419"/>
        </w:rPr>
        <w:t>.</w:t>
      </w:r>
    </w:p>
    <w:p w14:paraId="7D5EB9DD" w14:textId="672685A9" w:rsidR="002A4365" w:rsidRDefault="008016EB" w:rsidP="00580478">
      <w:pPr>
        <w:pStyle w:val="Brvesco-Normal"/>
        <w:spacing w:after="60" w:line="240" w:lineRule="auto"/>
        <w:ind w:left="-284"/>
        <w:rPr>
          <w:rStyle w:val="Lienhypertexte"/>
          <w:rFonts w:ascii="Segoe UI" w:hAnsi="Segoe UI" w:cs="Segoe UI"/>
          <w:noProof/>
          <w:color w:val="auto"/>
          <w:szCs w:val="20"/>
          <w:u w:val="none"/>
        </w:rPr>
      </w:pPr>
      <w:r w:rsidRPr="008016EB">
        <w:rPr>
          <w:rStyle w:val="Lienhypertexte"/>
          <w:rFonts w:ascii="Segoe UI" w:hAnsi="Segoe UI" w:cs="Segoe UI"/>
          <w:noProof/>
          <w:color w:val="auto"/>
          <w:szCs w:val="20"/>
          <w:u w:val="none"/>
        </w:rPr>
        <w:t>L’Inde est l’un des pays les plus exposés aux risques climatiques et naturels (cyclones, inondations, sécheresses, séismes). En 2023, les catastrophes ont causé 12 Mds USD de pertes économiques, bien au-dessus de la moyenne décennale (8 Mds), dont moins de 10 % étaient assuré</w:t>
      </w:r>
      <w:r w:rsidR="00CF1BDF">
        <w:rPr>
          <w:rStyle w:val="Lienhypertexte"/>
          <w:rFonts w:ascii="Segoe UI" w:hAnsi="Segoe UI" w:cs="Segoe UI"/>
          <w:noProof/>
          <w:color w:val="auto"/>
          <w:szCs w:val="20"/>
          <w:u w:val="none"/>
        </w:rPr>
        <w:t>es</w:t>
      </w:r>
      <w:r w:rsidRPr="008016EB">
        <w:rPr>
          <w:rStyle w:val="Lienhypertexte"/>
          <w:rFonts w:ascii="Segoe UI" w:hAnsi="Segoe UI" w:cs="Segoe UI"/>
          <w:noProof/>
          <w:color w:val="auto"/>
          <w:szCs w:val="20"/>
          <w:u w:val="none"/>
        </w:rPr>
        <w:t>, contre près de 40 % aux États-Unis. Le besoin est considérable : selon la Banque mondiale, chaque dollar investi dans la résilience et l’assurance climatique permet d’en économiser 4 à 7 en reconstruction.</w:t>
      </w:r>
    </w:p>
    <w:p w14:paraId="52E42BBC" w14:textId="1D89CF4D" w:rsidR="008016EB" w:rsidRPr="00514D49" w:rsidRDefault="009C2147" w:rsidP="003F78EB">
      <w:pPr>
        <w:pStyle w:val="Brvesco-Normal"/>
        <w:spacing w:line="240" w:lineRule="auto"/>
        <w:ind w:left="-284"/>
        <w:rPr>
          <w:rFonts w:ascii="Segoe UI" w:hAnsi="Segoe UI" w:cs="Segoe UI"/>
          <w:noProof/>
          <w:color w:val="auto"/>
          <w:szCs w:val="20"/>
        </w:rPr>
      </w:pPr>
      <w:r w:rsidRPr="00514D49">
        <w:rPr>
          <w:rFonts w:ascii="Segoe UI" w:hAnsi="Segoe UI" w:cs="Segoe UI"/>
          <w:b/>
          <w:bCs/>
          <w:color w:val="000091" w:themeColor="text1"/>
          <w:sz w:val="24"/>
          <w:szCs w:val="16"/>
          <w:lang w:eastAsia="fr-FR"/>
        </w:rPr>
        <w:t>III /</w:t>
      </w:r>
      <w:r w:rsidR="00F35D8A" w:rsidRPr="00514D49">
        <w:rPr>
          <w:rFonts w:ascii="Segoe UI" w:hAnsi="Segoe UI" w:cs="Segoe UI"/>
          <w:b/>
          <w:bCs/>
          <w:color w:val="000091" w:themeColor="text1"/>
          <w:sz w:val="24"/>
          <w:szCs w:val="16"/>
          <w:lang w:eastAsia="fr-FR"/>
        </w:rPr>
        <w:t>...mais transformé</w:t>
      </w:r>
      <w:r w:rsidR="00711D5F">
        <w:rPr>
          <w:rFonts w:ascii="Segoe UI" w:hAnsi="Segoe UI" w:cs="Segoe UI"/>
          <w:b/>
          <w:bCs/>
          <w:color w:val="000091" w:themeColor="text1"/>
          <w:sz w:val="24"/>
          <w:szCs w:val="16"/>
          <w:lang w:eastAsia="fr-FR"/>
        </w:rPr>
        <w:t>e</w:t>
      </w:r>
      <w:r w:rsidR="00F35D8A" w:rsidRPr="00514D49">
        <w:rPr>
          <w:rFonts w:ascii="Segoe UI" w:hAnsi="Segoe UI" w:cs="Segoe UI"/>
          <w:b/>
          <w:bCs/>
          <w:color w:val="000091" w:themeColor="text1"/>
          <w:sz w:val="24"/>
          <w:szCs w:val="16"/>
          <w:lang w:eastAsia="fr-FR"/>
        </w:rPr>
        <w:t>s en aubaines</w:t>
      </w:r>
      <w:r w:rsidR="00CA1619">
        <w:rPr>
          <w:rFonts w:ascii="Segoe UI" w:hAnsi="Segoe UI" w:cs="Segoe UI"/>
          <w:b/>
          <w:bCs/>
          <w:color w:val="000091" w:themeColor="text1"/>
          <w:sz w:val="24"/>
          <w:szCs w:val="16"/>
          <w:lang w:eastAsia="fr-FR"/>
        </w:rPr>
        <w:t>, s</w:t>
      </w:r>
      <w:r w:rsidR="00F35D8A" w:rsidRPr="00514D49">
        <w:rPr>
          <w:rFonts w:ascii="Segoe UI" w:hAnsi="Segoe UI" w:cs="Segoe UI"/>
          <w:b/>
          <w:bCs/>
          <w:color w:val="000091" w:themeColor="text1"/>
          <w:sz w:val="24"/>
          <w:szCs w:val="16"/>
          <w:lang w:eastAsia="fr-FR"/>
        </w:rPr>
        <w:t>timul</w:t>
      </w:r>
      <w:r w:rsidR="00D079F8" w:rsidRPr="00514D49">
        <w:rPr>
          <w:rFonts w:ascii="Segoe UI" w:hAnsi="Segoe UI" w:cs="Segoe UI"/>
          <w:b/>
          <w:bCs/>
          <w:color w:val="000091" w:themeColor="text1"/>
          <w:sz w:val="24"/>
          <w:szCs w:val="16"/>
          <w:lang w:eastAsia="fr-FR"/>
        </w:rPr>
        <w:t>é</w:t>
      </w:r>
      <w:r w:rsidR="00CA1619">
        <w:rPr>
          <w:rFonts w:ascii="Segoe UI" w:hAnsi="Segoe UI" w:cs="Segoe UI"/>
          <w:b/>
          <w:bCs/>
          <w:color w:val="000091" w:themeColor="text1"/>
          <w:sz w:val="24"/>
          <w:szCs w:val="16"/>
          <w:lang w:eastAsia="fr-FR"/>
        </w:rPr>
        <w:t xml:space="preserve">es </w:t>
      </w:r>
      <w:r w:rsidR="00F35D8A" w:rsidRPr="00514D49">
        <w:rPr>
          <w:rFonts w:ascii="Segoe UI" w:hAnsi="Segoe UI" w:cs="Segoe UI"/>
          <w:b/>
          <w:bCs/>
          <w:color w:val="000091" w:themeColor="text1"/>
          <w:sz w:val="24"/>
          <w:szCs w:val="16"/>
          <w:lang w:eastAsia="fr-FR"/>
        </w:rPr>
        <w:t xml:space="preserve">par la digitalisation </w:t>
      </w:r>
    </w:p>
    <w:p w14:paraId="41518B45" w14:textId="6CE74B45" w:rsidR="00EA1AC6" w:rsidRDefault="009C2147" w:rsidP="00580478">
      <w:pPr>
        <w:pStyle w:val="Brvesco-Normal"/>
        <w:spacing w:line="240" w:lineRule="auto"/>
        <w:ind w:left="-284"/>
        <w:rPr>
          <w:rStyle w:val="Lienhypertexte"/>
          <w:rFonts w:ascii="Segoe UI" w:hAnsi="Segoe UI" w:cs="Segoe UI"/>
          <w:noProof/>
          <w:color w:val="auto"/>
          <w:szCs w:val="20"/>
          <w:u w:val="none"/>
        </w:rPr>
      </w:pPr>
      <w:r w:rsidRPr="009F3C77">
        <w:rPr>
          <w:rStyle w:val="Lienhypertexte"/>
          <w:rFonts w:ascii="Segoe UI" w:hAnsi="Segoe UI" w:cs="Segoe UI"/>
          <w:noProof/>
          <w:color w:val="auto"/>
          <w:szCs w:val="20"/>
          <w:u w:val="none"/>
        </w:rPr>
        <w:t xml:space="preserve">Après un recul en 2024 (239 M USD), le financement privé </w:t>
      </w:r>
      <w:r w:rsidR="00EA1AC6">
        <w:rPr>
          <w:rStyle w:val="Lienhypertexte"/>
          <w:rFonts w:ascii="Segoe UI" w:hAnsi="Segoe UI" w:cs="Segoe UI"/>
          <w:noProof/>
          <w:color w:val="auto"/>
          <w:szCs w:val="20"/>
          <w:u w:val="none"/>
        </w:rPr>
        <w:t xml:space="preserve">de </w:t>
      </w:r>
      <w:r w:rsidR="00A162B5">
        <w:rPr>
          <w:rStyle w:val="Lienhypertexte"/>
          <w:rFonts w:ascii="Segoe UI" w:hAnsi="Segoe UI" w:cs="Segoe UI"/>
          <w:noProof/>
          <w:color w:val="auto"/>
          <w:szCs w:val="20"/>
          <w:u w:val="none"/>
        </w:rPr>
        <w:t xml:space="preserve">l’Insurtech </w:t>
      </w:r>
      <w:r w:rsidRPr="009F3C77">
        <w:rPr>
          <w:rStyle w:val="Lienhypertexte"/>
          <w:rFonts w:ascii="Segoe UI" w:hAnsi="Segoe UI" w:cs="Segoe UI"/>
          <w:noProof/>
          <w:color w:val="auto"/>
          <w:szCs w:val="20"/>
          <w:u w:val="none"/>
        </w:rPr>
        <w:t>devrait dépasser 1 Md USD en 2025, se rapprochant des niveaux de 2021 (820 M USD). Les p</w:t>
      </w:r>
      <w:r w:rsidR="00D079F8">
        <w:rPr>
          <w:rStyle w:val="Lienhypertexte"/>
          <w:rFonts w:ascii="Segoe UI" w:hAnsi="Segoe UI" w:cs="Segoe UI"/>
          <w:noProof/>
          <w:color w:val="auto"/>
          <w:szCs w:val="20"/>
          <w:u w:val="none"/>
        </w:rPr>
        <w:t>lateformes d’assurance</w:t>
      </w:r>
      <w:r w:rsidRPr="009F3C77">
        <w:rPr>
          <w:rStyle w:val="Lienhypertexte"/>
          <w:rFonts w:ascii="Segoe UI" w:hAnsi="Segoe UI" w:cs="Segoe UI"/>
          <w:noProof/>
          <w:color w:val="auto"/>
          <w:szCs w:val="20"/>
          <w:u w:val="none"/>
        </w:rPr>
        <w:t xml:space="preserve"> sont désormais </w:t>
      </w:r>
      <w:r w:rsidR="00D079F8">
        <w:rPr>
          <w:rStyle w:val="Lienhypertexte"/>
          <w:rFonts w:ascii="Segoe UI" w:hAnsi="Segoe UI" w:cs="Segoe UI"/>
          <w:noProof/>
          <w:color w:val="auto"/>
          <w:szCs w:val="20"/>
          <w:u w:val="none"/>
        </w:rPr>
        <w:t xml:space="preserve">largement </w:t>
      </w:r>
      <w:r w:rsidRPr="009F3C77">
        <w:rPr>
          <w:rStyle w:val="Lienhypertexte"/>
          <w:rFonts w:ascii="Segoe UI" w:hAnsi="Segoe UI" w:cs="Segoe UI"/>
          <w:noProof/>
          <w:color w:val="auto"/>
          <w:szCs w:val="20"/>
          <w:u w:val="none"/>
        </w:rPr>
        <w:t>digitales, accessibles via applications, sites web, chatbots ou WhatsApp, et ciblent la classe moyenne urbaine</w:t>
      </w:r>
      <w:r w:rsidR="00D079F8">
        <w:rPr>
          <w:rStyle w:val="Lienhypertexte"/>
          <w:rFonts w:ascii="Segoe UI" w:hAnsi="Segoe UI" w:cs="Segoe UI"/>
          <w:noProof/>
          <w:color w:val="auto"/>
          <w:szCs w:val="20"/>
          <w:u w:val="none"/>
        </w:rPr>
        <w:t xml:space="preserve">, </w:t>
      </w:r>
      <w:r w:rsidR="00711D5F" w:rsidRPr="00711D5F">
        <w:rPr>
          <w:rStyle w:val="Lienhypertexte"/>
          <w:rFonts w:ascii="Segoe UI" w:hAnsi="Segoe UI" w:cs="Segoe UI"/>
          <w:noProof/>
          <w:color w:val="auto"/>
          <w:szCs w:val="20"/>
          <w:u w:val="none"/>
        </w:rPr>
        <w:t>creusant toutefois l’écart avec la population non alphabétisée financièrement et technologiquement</w:t>
      </w:r>
      <w:r w:rsidR="00321D41">
        <w:rPr>
          <w:rStyle w:val="Lienhypertexte"/>
          <w:rFonts w:ascii="Segoe UI" w:hAnsi="Segoe UI" w:cs="Segoe UI"/>
          <w:noProof/>
          <w:color w:val="auto"/>
          <w:szCs w:val="20"/>
          <w:u w:val="none"/>
        </w:rPr>
        <w:t>.</w:t>
      </w:r>
      <w:r w:rsidR="00580478">
        <w:rPr>
          <w:rStyle w:val="Lienhypertexte"/>
          <w:rFonts w:ascii="Segoe UI" w:hAnsi="Segoe UI" w:cs="Segoe UI"/>
          <w:noProof/>
          <w:color w:val="auto"/>
          <w:szCs w:val="20"/>
          <w:u w:val="none"/>
        </w:rPr>
        <w:t xml:space="preserve"> A</w:t>
      </w:r>
      <w:r w:rsidR="00D079F8">
        <w:rPr>
          <w:rStyle w:val="Lienhypertexte"/>
          <w:rFonts w:ascii="Segoe UI" w:hAnsi="Segoe UI" w:cs="Segoe UI"/>
          <w:noProof/>
          <w:color w:val="auto"/>
          <w:szCs w:val="20"/>
          <w:u w:val="none"/>
        </w:rPr>
        <w:t xml:space="preserve"> titre illustratif, </w:t>
      </w:r>
      <w:r w:rsidR="00711D5F">
        <w:rPr>
          <w:rStyle w:val="Lienhypertexte"/>
          <w:rFonts w:ascii="Segoe UI" w:hAnsi="Segoe UI" w:cs="Segoe UI"/>
          <w:noProof/>
          <w:color w:val="auto"/>
          <w:szCs w:val="20"/>
          <w:u w:val="none"/>
        </w:rPr>
        <w:t xml:space="preserve">l’entreprise </w:t>
      </w:r>
      <w:r w:rsidR="00E2099B">
        <w:rPr>
          <w:rStyle w:val="Lienhypertexte"/>
          <w:rFonts w:ascii="Segoe UI" w:hAnsi="Segoe UI" w:cs="Segoe UI"/>
          <w:noProof/>
          <w:color w:val="auto"/>
          <w:szCs w:val="20"/>
          <w:u w:val="none"/>
        </w:rPr>
        <w:t>Policybazaar</w:t>
      </w:r>
      <w:r w:rsidR="002647F0">
        <w:rPr>
          <w:rStyle w:val="Lienhypertexte"/>
          <w:rFonts w:ascii="Segoe UI" w:hAnsi="Segoe UI" w:cs="Segoe UI"/>
          <w:noProof/>
          <w:color w:val="auto"/>
          <w:szCs w:val="20"/>
          <w:u w:val="none"/>
        </w:rPr>
        <w:t>, coté</w:t>
      </w:r>
      <w:r w:rsidR="00711D5F">
        <w:rPr>
          <w:rStyle w:val="Lienhypertexte"/>
          <w:rFonts w:ascii="Segoe UI" w:hAnsi="Segoe UI" w:cs="Segoe UI"/>
          <w:noProof/>
          <w:color w:val="auto"/>
          <w:szCs w:val="20"/>
          <w:u w:val="none"/>
        </w:rPr>
        <w:t>e</w:t>
      </w:r>
      <w:r w:rsidR="002647F0">
        <w:rPr>
          <w:rStyle w:val="Lienhypertexte"/>
          <w:rFonts w:ascii="Segoe UI" w:hAnsi="Segoe UI" w:cs="Segoe UI"/>
          <w:noProof/>
          <w:color w:val="auto"/>
          <w:szCs w:val="20"/>
          <w:u w:val="none"/>
        </w:rPr>
        <w:t xml:space="preserve"> en bourse depuis 2021, </w:t>
      </w:r>
      <w:r w:rsidR="00E2099B">
        <w:rPr>
          <w:rStyle w:val="Lienhypertexte"/>
          <w:rFonts w:ascii="Segoe UI" w:hAnsi="Segoe UI" w:cs="Segoe UI"/>
          <w:noProof/>
          <w:color w:val="auto"/>
          <w:szCs w:val="20"/>
          <w:u w:val="none"/>
        </w:rPr>
        <w:t xml:space="preserve">est une plateforme de distribution d’assurances aujourd’hui leader du secteur de l’InsurTech en Inde. </w:t>
      </w:r>
      <w:r w:rsidR="00EA1AC6">
        <w:rPr>
          <w:rStyle w:val="Lienhypertexte"/>
          <w:rFonts w:ascii="Segoe UI" w:hAnsi="Segoe UI" w:cs="Segoe UI"/>
          <w:noProof/>
          <w:color w:val="auto"/>
          <w:szCs w:val="20"/>
          <w:u w:val="none"/>
        </w:rPr>
        <w:t>L</w:t>
      </w:r>
      <w:r w:rsidRPr="009F3C77">
        <w:rPr>
          <w:rStyle w:val="Lienhypertexte"/>
          <w:rFonts w:ascii="Segoe UI" w:hAnsi="Segoe UI" w:cs="Segoe UI"/>
          <w:noProof/>
          <w:color w:val="auto"/>
          <w:szCs w:val="20"/>
          <w:u w:val="none"/>
        </w:rPr>
        <w:t>a souscription est</w:t>
      </w:r>
      <w:r w:rsidR="00EA1AC6">
        <w:rPr>
          <w:rStyle w:val="Lienhypertexte"/>
          <w:rFonts w:ascii="Segoe UI" w:hAnsi="Segoe UI" w:cs="Segoe UI"/>
          <w:noProof/>
          <w:color w:val="auto"/>
          <w:szCs w:val="20"/>
          <w:u w:val="none"/>
        </w:rPr>
        <w:t xml:space="preserve"> désormais</w:t>
      </w:r>
      <w:r w:rsidRPr="009F3C77">
        <w:rPr>
          <w:rStyle w:val="Lienhypertexte"/>
          <w:rFonts w:ascii="Segoe UI" w:hAnsi="Segoe UI" w:cs="Segoe UI"/>
          <w:noProof/>
          <w:color w:val="auto"/>
          <w:szCs w:val="20"/>
          <w:u w:val="none"/>
        </w:rPr>
        <w:t xml:space="preserve"> simplifiée grâce au KYC Aadhaar, aux paiements UPI et à la signature électronique. Les plateformes et réglementations à venir (NHCX</w:t>
      </w:r>
      <w:r w:rsidR="00E53AF8">
        <w:rPr>
          <w:rStyle w:val="Appeldenotedefin"/>
          <w:rFonts w:ascii="Segoe UI" w:hAnsi="Segoe UI" w:cs="Segoe UI"/>
          <w:noProof/>
          <w:color w:val="auto"/>
          <w:szCs w:val="20"/>
        </w:rPr>
        <w:endnoteReference w:id="17"/>
      </w:r>
      <w:r w:rsidR="00E53AF8" w:rsidRPr="009F3C77">
        <w:rPr>
          <w:rStyle w:val="Lienhypertexte"/>
          <w:rFonts w:ascii="Segoe UI" w:hAnsi="Segoe UI" w:cs="Segoe UI"/>
          <w:noProof/>
          <w:color w:val="auto"/>
          <w:szCs w:val="20"/>
          <w:u w:val="none"/>
        </w:rPr>
        <w:t>,</w:t>
      </w:r>
      <w:r w:rsidRPr="009F3C77">
        <w:rPr>
          <w:rStyle w:val="Lienhypertexte"/>
          <w:rFonts w:ascii="Segoe UI" w:hAnsi="Segoe UI" w:cs="Segoe UI"/>
          <w:noProof/>
          <w:color w:val="auto"/>
          <w:szCs w:val="20"/>
          <w:u w:val="none"/>
        </w:rPr>
        <w:t xml:space="preserve"> Bima Sugam, loi sur les données) devraient stimuler </w:t>
      </w:r>
      <w:r w:rsidR="00EA1AC6">
        <w:rPr>
          <w:rStyle w:val="Lienhypertexte"/>
          <w:rFonts w:ascii="Segoe UI" w:hAnsi="Segoe UI" w:cs="Segoe UI"/>
          <w:noProof/>
          <w:color w:val="auto"/>
          <w:szCs w:val="20"/>
          <w:u w:val="none"/>
        </w:rPr>
        <w:t xml:space="preserve">encore davantage </w:t>
      </w:r>
      <w:r w:rsidRPr="009F3C77">
        <w:rPr>
          <w:rStyle w:val="Lienhypertexte"/>
          <w:rFonts w:ascii="Segoe UI" w:hAnsi="Segoe UI" w:cs="Segoe UI"/>
          <w:noProof/>
          <w:color w:val="auto"/>
          <w:szCs w:val="20"/>
          <w:u w:val="none"/>
        </w:rPr>
        <w:t>l’innovation.</w:t>
      </w:r>
      <w:r w:rsidR="00EA1AC6">
        <w:rPr>
          <w:rStyle w:val="Lienhypertexte"/>
          <w:rFonts w:ascii="Segoe UI" w:hAnsi="Segoe UI" w:cs="Segoe UI"/>
          <w:noProof/>
          <w:color w:val="auto"/>
          <w:szCs w:val="20"/>
          <w:u w:val="none"/>
        </w:rPr>
        <w:t xml:space="preserve"> </w:t>
      </w:r>
      <w:r w:rsidR="00CF1BDF" w:rsidRPr="00CF1BDF">
        <w:rPr>
          <w:rStyle w:val="Lienhypertexte"/>
          <w:rFonts w:ascii="Segoe UI" w:hAnsi="Segoe UI" w:cs="Segoe UI"/>
          <w:noProof/>
          <w:color w:val="auto"/>
          <w:szCs w:val="20"/>
          <w:u w:val="none"/>
        </w:rPr>
        <w:t>Enfin, la forte dynamique d’investissement dans les infrastructures et les énergies renouvelables</w:t>
      </w:r>
      <w:r w:rsidR="00CF1BDF">
        <w:rPr>
          <w:rStyle w:val="Lienhypertexte"/>
          <w:rFonts w:ascii="Segoe UI" w:hAnsi="Segoe UI" w:cs="Segoe UI"/>
          <w:noProof/>
          <w:color w:val="auto"/>
          <w:szCs w:val="20"/>
          <w:u w:val="none"/>
        </w:rPr>
        <w:t xml:space="preserve">, </w:t>
      </w:r>
      <w:r w:rsidR="00CF1BDF" w:rsidRPr="00CF1BDF">
        <w:rPr>
          <w:rStyle w:val="Lienhypertexte"/>
          <w:rFonts w:ascii="Segoe UI" w:hAnsi="Segoe UI" w:cs="Segoe UI"/>
          <w:noProof/>
          <w:color w:val="auto"/>
          <w:szCs w:val="20"/>
          <w:u w:val="none"/>
        </w:rPr>
        <w:t>dans le cadre du National Infrastructure Pipeline</w:t>
      </w:r>
      <w:r w:rsidR="004D3A95">
        <w:rPr>
          <w:rStyle w:val="Lienhypertexte"/>
          <w:rFonts w:ascii="Segoe UI" w:hAnsi="Segoe UI" w:cs="Segoe UI"/>
          <w:noProof/>
          <w:color w:val="auto"/>
          <w:szCs w:val="20"/>
          <w:u w:val="none"/>
        </w:rPr>
        <w:t xml:space="preserve"> (NIP)</w:t>
      </w:r>
      <w:r w:rsidR="00CF1BDF" w:rsidRPr="00CF1BDF">
        <w:rPr>
          <w:rStyle w:val="Lienhypertexte"/>
          <w:rFonts w:ascii="Segoe UI" w:hAnsi="Segoe UI" w:cs="Segoe UI"/>
          <w:noProof/>
          <w:color w:val="auto"/>
          <w:szCs w:val="20"/>
          <w:u w:val="none"/>
        </w:rPr>
        <w:t xml:space="preserve">, qui vise 1 400 </w:t>
      </w:r>
      <w:r w:rsidR="00CF1BDF">
        <w:rPr>
          <w:rStyle w:val="Lienhypertexte"/>
          <w:rFonts w:ascii="Segoe UI" w:hAnsi="Segoe UI" w:cs="Segoe UI"/>
          <w:noProof/>
          <w:color w:val="auto"/>
          <w:szCs w:val="20"/>
          <w:u w:val="none"/>
        </w:rPr>
        <w:t xml:space="preserve">Mds </w:t>
      </w:r>
      <w:r w:rsidR="00CF1BDF" w:rsidRPr="00CF1BDF">
        <w:rPr>
          <w:rStyle w:val="Lienhypertexte"/>
          <w:rFonts w:ascii="Segoe UI" w:hAnsi="Segoe UI" w:cs="Segoe UI"/>
          <w:noProof/>
          <w:color w:val="auto"/>
          <w:szCs w:val="20"/>
          <w:u w:val="none"/>
        </w:rPr>
        <w:t>USD d’ici 2030</w:t>
      </w:r>
      <w:r w:rsidR="00CF1BDF">
        <w:rPr>
          <w:rStyle w:val="Lienhypertexte"/>
          <w:rFonts w:ascii="Segoe UI" w:hAnsi="Segoe UI" w:cs="Segoe UI"/>
          <w:noProof/>
          <w:color w:val="auto"/>
          <w:szCs w:val="20"/>
          <w:u w:val="none"/>
        </w:rPr>
        <w:t>,</w:t>
      </w:r>
      <w:r w:rsidR="00CF1BDF" w:rsidRPr="00CF1BDF">
        <w:rPr>
          <w:rStyle w:val="Lienhypertexte"/>
          <w:rFonts w:ascii="Segoe UI" w:hAnsi="Segoe UI" w:cs="Segoe UI"/>
          <w:noProof/>
          <w:color w:val="auto"/>
          <w:szCs w:val="20"/>
          <w:u w:val="none"/>
        </w:rPr>
        <w:t xml:space="preserve"> renforce le besoin d’assurance </w:t>
      </w:r>
      <w:r w:rsidR="00C054CF">
        <w:rPr>
          <w:rStyle w:val="Lienhypertexte"/>
          <w:rFonts w:ascii="Segoe UI" w:hAnsi="Segoe UI" w:cs="Segoe UI"/>
          <w:noProof/>
          <w:color w:val="auto"/>
          <w:szCs w:val="20"/>
          <w:u w:val="none"/>
        </w:rPr>
        <w:t xml:space="preserve">et garantie </w:t>
      </w:r>
      <w:r w:rsidR="00CF1BDF" w:rsidRPr="00CF1BDF">
        <w:rPr>
          <w:rStyle w:val="Lienhypertexte"/>
          <w:rFonts w:ascii="Segoe UI" w:hAnsi="Segoe UI" w:cs="Segoe UI"/>
          <w:noProof/>
          <w:color w:val="auto"/>
          <w:szCs w:val="20"/>
          <w:u w:val="none"/>
        </w:rPr>
        <w:t>adaptée</w:t>
      </w:r>
      <w:r w:rsidR="006A3642">
        <w:rPr>
          <w:rStyle w:val="Appeldenotedefin"/>
          <w:rFonts w:ascii="Segoe UI" w:hAnsi="Segoe UI" w:cs="Segoe UI"/>
          <w:noProof/>
          <w:color w:val="auto"/>
          <w:szCs w:val="20"/>
        </w:rPr>
        <w:endnoteReference w:id="18"/>
      </w:r>
      <w:r w:rsidR="006A3642" w:rsidRPr="00CF1BDF">
        <w:rPr>
          <w:rStyle w:val="Lienhypertexte"/>
          <w:rFonts w:ascii="Segoe UI" w:hAnsi="Segoe UI" w:cs="Segoe UI"/>
          <w:noProof/>
          <w:color w:val="auto"/>
          <w:szCs w:val="20"/>
          <w:u w:val="none"/>
        </w:rPr>
        <w:t>,</w:t>
      </w:r>
      <w:r w:rsidR="00CF1BDF" w:rsidRPr="00CF1BDF">
        <w:rPr>
          <w:rStyle w:val="Lienhypertexte"/>
          <w:rFonts w:ascii="Segoe UI" w:hAnsi="Segoe UI" w:cs="Segoe UI"/>
          <w:noProof/>
          <w:color w:val="auto"/>
          <w:szCs w:val="20"/>
          <w:u w:val="none"/>
        </w:rPr>
        <w:t xml:space="preserve"> capable de sécuriser </w:t>
      </w:r>
      <w:r w:rsidR="000A1A8E">
        <w:rPr>
          <w:rStyle w:val="Lienhypertexte"/>
          <w:rFonts w:ascii="Segoe UI" w:hAnsi="Segoe UI" w:cs="Segoe UI"/>
          <w:noProof/>
          <w:color w:val="auto"/>
          <w:szCs w:val="20"/>
          <w:u w:val="none"/>
        </w:rPr>
        <w:t>d</w:t>
      </w:r>
      <w:r w:rsidR="00CF1BDF" w:rsidRPr="00CF1BDF">
        <w:rPr>
          <w:rStyle w:val="Lienhypertexte"/>
          <w:rFonts w:ascii="Segoe UI" w:hAnsi="Segoe UI" w:cs="Segoe UI"/>
          <w:noProof/>
          <w:color w:val="auto"/>
          <w:szCs w:val="20"/>
          <w:u w:val="none"/>
        </w:rPr>
        <w:t>es projets stratégiques</w:t>
      </w:r>
      <w:r w:rsidR="006A3642">
        <w:rPr>
          <w:rStyle w:val="Lienhypertexte"/>
          <w:rFonts w:ascii="Segoe UI" w:hAnsi="Segoe UI" w:cs="Segoe UI"/>
          <w:noProof/>
          <w:color w:val="auto"/>
          <w:szCs w:val="20"/>
          <w:u w:val="none"/>
        </w:rPr>
        <w:t xml:space="preserve"> et et réduire l’exposition aux risques. </w:t>
      </w:r>
    </w:p>
    <w:p w14:paraId="2739AE71" w14:textId="77777777" w:rsidR="00CF1BDF" w:rsidRPr="00D46CA7" w:rsidRDefault="00CF1BDF" w:rsidP="00CF1BDF">
      <w:pPr>
        <w:pStyle w:val="Brvesco-Normal"/>
        <w:spacing w:line="240" w:lineRule="auto"/>
        <w:ind w:left="-284"/>
        <w:rPr>
          <w:rStyle w:val="Lienhypertexte"/>
          <w:rFonts w:ascii="Segoe UI" w:hAnsi="Segoe UI" w:cs="Segoe UI"/>
          <w:noProof/>
          <w:color w:val="auto"/>
          <w:sz w:val="22"/>
          <w:szCs w:val="22"/>
          <w:u w:val="none"/>
        </w:rPr>
      </w:pPr>
    </w:p>
    <w:p w14:paraId="2E06F53D" w14:textId="77777777" w:rsidR="00496755" w:rsidRDefault="00BF0E71" w:rsidP="00496755">
      <w:pPr>
        <w:pStyle w:val="Brvesco-Normal"/>
        <w:spacing w:line="240" w:lineRule="auto"/>
        <w:ind w:left="-284"/>
        <w:rPr>
          <w:rFonts w:ascii="Segoe UI" w:hAnsi="Segoe UI" w:cs="Segoe UI"/>
          <w:i/>
          <w:iCs/>
          <w:noProof/>
          <w:color w:val="auto"/>
          <w:szCs w:val="20"/>
        </w:rPr>
      </w:pPr>
      <w:r>
        <w:rPr>
          <w:rFonts w:ascii="Segoe UI" w:hAnsi="Segoe UI" w:cs="Segoe UI"/>
          <w:i/>
          <w:iCs/>
          <w:noProof/>
          <w:color w:val="auto"/>
          <w:szCs w:val="20"/>
        </w:rPr>
        <w:t xml:space="preserve">Pour des institutions telles que </w:t>
      </w:r>
      <w:r w:rsidR="008016EB" w:rsidRPr="00D46CA7">
        <w:rPr>
          <w:rFonts w:ascii="Segoe UI" w:hAnsi="Segoe UI" w:cs="Segoe UI"/>
          <w:i/>
          <w:iCs/>
          <w:noProof/>
          <w:color w:val="auto"/>
          <w:szCs w:val="20"/>
        </w:rPr>
        <w:t>Swiss Re</w:t>
      </w:r>
      <w:r>
        <w:rPr>
          <w:rFonts w:ascii="Segoe UI" w:hAnsi="Segoe UI" w:cs="Segoe UI"/>
          <w:i/>
          <w:iCs/>
          <w:noProof/>
          <w:color w:val="auto"/>
          <w:szCs w:val="20"/>
        </w:rPr>
        <w:t>, l’Inde est considérée</w:t>
      </w:r>
      <w:r w:rsidR="008016EB" w:rsidRPr="00D46CA7">
        <w:rPr>
          <w:rFonts w:ascii="Segoe UI" w:hAnsi="Segoe UI" w:cs="Segoe UI"/>
          <w:i/>
          <w:iCs/>
          <w:noProof/>
          <w:color w:val="auto"/>
          <w:szCs w:val="20"/>
        </w:rPr>
        <w:t xml:space="preserve"> comme l’un des marchés d’assura</w:t>
      </w:r>
      <w:r>
        <w:rPr>
          <w:rFonts w:ascii="Segoe UI" w:hAnsi="Segoe UI" w:cs="Segoe UI"/>
          <w:i/>
          <w:iCs/>
          <w:noProof/>
          <w:color w:val="auto"/>
          <w:szCs w:val="20"/>
        </w:rPr>
        <w:t>ntiels</w:t>
      </w:r>
      <w:r w:rsidR="008016EB" w:rsidRPr="00D46CA7">
        <w:rPr>
          <w:rFonts w:ascii="Segoe UI" w:hAnsi="Segoe UI" w:cs="Segoe UI"/>
          <w:i/>
          <w:iCs/>
          <w:noProof/>
          <w:color w:val="auto"/>
          <w:szCs w:val="20"/>
        </w:rPr>
        <w:t xml:space="preserve"> les plus prometteurs, porté </w:t>
      </w:r>
      <w:r>
        <w:rPr>
          <w:rFonts w:ascii="Segoe UI" w:hAnsi="Segoe UI" w:cs="Segoe UI"/>
          <w:i/>
          <w:iCs/>
          <w:noProof/>
          <w:color w:val="auto"/>
          <w:szCs w:val="20"/>
        </w:rPr>
        <w:t xml:space="preserve">par </w:t>
      </w:r>
      <w:r w:rsidR="008016EB" w:rsidRPr="00D46CA7">
        <w:rPr>
          <w:rFonts w:ascii="Segoe UI" w:hAnsi="Segoe UI" w:cs="Segoe UI"/>
          <w:i/>
          <w:iCs/>
          <w:noProof/>
          <w:color w:val="auto"/>
          <w:szCs w:val="20"/>
        </w:rPr>
        <w:t>la montée d</w:t>
      </w:r>
      <w:r>
        <w:rPr>
          <w:rFonts w:ascii="Segoe UI" w:hAnsi="Segoe UI" w:cs="Segoe UI"/>
          <w:i/>
          <w:iCs/>
          <w:noProof/>
          <w:color w:val="auto"/>
          <w:szCs w:val="20"/>
        </w:rPr>
        <w:t xml:space="preserve">e la </w:t>
      </w:r>
      <w:r w:rsidR="008016EB" w:rsidRPr="00D46CA7">
        <w:rPr>
          <w:rFonts w:ascii="Segoe UI" w:hAnsi="Segoe UI" w:cs="Segoe UI"/>
          <w:i/>
          <w:iCs/>
          <w:noProof/>
          <w:color w:val="auto"/>
          <w:szCs w:val="20"/>
        </w:rPr>
        <w:t xml:space="preserve">classe moyenne. L’ouverture accrue au FDI (jusqu’à 100 % en 2025) et à la réassurance privée devrait attirer </w:t>
      </w:r>
      <w:r>
        <w:rPr>
          <w:rFonts w:ascii="Segoe UI" w:hAnsi="Segoe UI" w:cs="Segoe UI"/>
          <w:i/>
          <w:iCs/>
          <w:noProof/>
          <w:color w:val="auto"/>
          <w:szCs w:val="20"/>
        </w:rPr>
        <w:t xml:space="preserve">davantage de </w:t>
      </w:r>
      <w:r w:rsidR="008016EB" w:rsidRPr="00D46CA7">
        <w:rPr>
          <w:rFonts w:ascii="Segoe UI" w:hAnsi="Segoe UI" w:cs="Segoe UI"/>
          <w:i/>
          <w:iCs/>
          <w:noProof/>
          <w:color w:val="auto"/>
          <w:szCs w:val="20"/>
        </w:rPr>
        <w:t xml:space="preserve">capitaux et </w:t>
      </w:r>
      <w:r>
        <w:rPr>
          <w:rFonts w:ascii="Segoe UI" w:hAnsi="Segoe UI" w:cs="Segoe UI"/>
          <w:i/>
          <w:iCs/>
          <w:noProof/>
          <w:color w:val="auto"/>
          <w:szCs w:val="20"/>
        </w:rPr>
        <w:t>d’</w:t>
      </w:r>
      <w:r w:rsidR="008016EB" w:rsidRPr="00D46CA7">
        <w:rPr>
          <w:rFonts w:ascii="Segoe UI" w:hAnsi="Segoe UI" w:cs="Segoe UI"/>
          <w:i/>
          <w:iCs/>
          <w:noProof/>
          <w:color w:val="auto"/>
          <w:szCs w:val="20"/>
        </w:rPr>
        <w:t xml:space="preserve">innovations, </w:t>
      </w:r>
      <w:r>
        <w:rPr>
          <w:rFonts w:ascii="Segoe UI" w:hAnsi="Segoe UI" w:cs="Segoe UI"/>
          <w:i/>
          <w:iCs/>
          <w:noProof/>
          <w:color w:val="auto"/>
          <w:szCs w:val="20"/>
        </w:rPr>
        <w:t>notamment digitales, t</w:t>
      </w:r>
      <w:r w:rsidR="008016EB" w:rsidRPr="00D46CA7">
        <w:rPr>
          <w:rFonts w:ascii="Segoe UI" w:hAnsi="Segoe UI" w:cs="Segoe UI"/>
          <w:i/>
          <w:iCs/>
          <w:noProof/>
          <w:color w:val="auto"/>
          <w:szCs w:val="20"/>
        </w:rPr>
        <w:t>out en restant encadrée</w:t>
      </w:r>
      <w:r>
        <w:rPr>
          <w:rFonts w:ascii="Segoe UI" w:hAnsi="Segoe UI" w:cs="Segoe UI"/>
          <w:i/>
          <w:iCs/>
          <w:noProof/>
          <w:color w:val="auto"/>
          <w:szCs w:val="20"/>
        </w:rPr>
        <w:t xml:space="preserve"> afin de</w:t>
      </w:r>
      <w:r w:rsidR="008016EB" w:rsidRPr="00D46CA7">
        <w:rPr>
          <w:rFonts w:ascii="Segoe UI" w:hAnsi="Segoe UI" w:cs="Segoe UI"/>
          <w:i/>
          <w:iCs/>
          <w:noProof/>
          <w:color w:val="auto"/>
          <w:szCs w:val="20"/>
        </w:rPr>
        <w:t xml:space="preserve"> protéger les acteurs locaux et maintenir l’investissement</w:t>
      </w:r>
      <w:r w:rsidR="00D62706">
        <w:rPr>
          <w:rFonts w:ascii="Segoe UI" w:hAnsi="Segoe UI" w:cs="Segoe UI"/>
          <w:i/>
          <w:iCs/>
          <w:noProof/>
          <w:color w:val="auto"/>
          <w:szCs w:val="20"/>
        </w:rPr>
        <w:t xml:space="preserve"> national</w:t>
      </w:r>
      <w:r w:rsidR="008016EB" w:rsidRPr="00D46CA7">
        <w:rPr>
          <w:rFonts w:ascii="Segoe UI" w:hAnsi="Segoe UI" w:cs="Segoe UI"/>
          <w:i/>
          <w:iCs/>
          <w:noProof/>
          <w:color w:val="auto"/>
          <w:szCs w:val="20"/>
        </w:rPr>
        <w:t xml:space="preserve">. </w:t>
      </w:r>
      <w:r w:rsidR="004472CB" w:rsidRPr="00D46CA7">
        <w:rPr>
          <w:rFonts w:ascii="Segoe UI" w:hAnsi="Segoe UI" w:cs="Segoe UI"/>
          <w:i/>
          <w:iCs/>
          <w:noProof/>
          <w:color w:val="auto"/>
          <w:szCs w:val="20"/>
        </w:rPr>
        <w:t xml:space="preserve">Les lacunes de protection représentent à la fois un risque pour la résilience des </w:t>
      </w:r>
      <w:r w:rsidR="00D62706">
        <w:rPr>
          <w:rFonts w:ascii="Segoe UI" w:hAnsi="Segoe UI" w:cs="Segoe UI"/>
          <w:i/>
          <w:iCs/>
          <w:noProof/>
          <w:color w:val="auto"/>
          <w:szCs w:val="20"/>
        </w:rPr>
        <w:t xml:space="preserve">revenus des </w:t>
      </w:r>
      <w:r w:rsidR="004472CB" w:rsidRPr="00D46CA7">
        <w:rPr>
          <w:rFonts w:ascii="Segoe UI" w:hAnsi="Segoe UI" w:cs="Segoe UI"/>
          <w:i/>
          <w:iCs/>
          <w:noProof/>
          <w:color w:val="auto"/>
          <w:szCs w:val="20"/>
        </w:rPr>
        <w:t>ménages</w:t>
      </w:r>
      <w:r w:rsidR="00ED4B42" w:rsidRPr="00D46CA7">
        <w:rPr>
          <w:rFonts w:ascii="Segoe UI" w:hAnsi="Segoe UI" w:cs="Segoe UI"/>
          <w:i/>
          <w:iCs/>
          <w:noProof/>
          <w:color w:val="auto"/>
          <w:szCs w:val="20"/>
        </w:rPr>
        <w:t xml:space="preserve">, mais </w:t>
      </w:r>
      <w:r w:rsidR="004472CB" w:rsidRPr="00D46CA7">
        <w:rPr>
          <w:rFonts w:ascii="Segoe UI" w:hAnsi="Segoe UI" w:cs="Segoe UI"/>
          <w:i/>
          <w:iCs/>
          <w:noProof/>
          <w:color w:val="auto"/>
          <w:szCs w:val="20"/>
        </w:rPr>
        <w:t>une opportunité majeure pour le développement du secteur qui</w:t>
      </w:r>
      <w:r w:rsidR="008016EB" w:rsidRPr="00D46CA7">
        <w:rPr>
          <w:rFonts w:ascii="Segoe UI" w:hAnsi="Segoe UI" w:cs="Segoe UI"/>
          <w:i/>
          <w:iCs/>
          <w:noProof/>
          <w:color w:val="auto"/>
          <w:szCs w:val="20"/>
        </w:rPr>
        <w:t xml:space="preserve"> pourrait devenir en dix ans un pôle majeur de l’assurance mondiale</w:t>
      </w:r>
      <w:r w:rsidR="00EA1AC6" w:rsidRPr="00D46CA7">
        <w:rPr>
          <w:rFonts w:ascii="Segoe UI" w:hAnsi="Segoe UI" w:cs="Segoe UI"/>
          <w:i/>
          <w:iCs/>
          <w:noProof/>
          <w:color w:val="auto"/>
          <w:szCs w:val="20"/>
        </w:rPr>
        <w:t xml:space="preserve">, avec des primes </w:t>
      </w:r>
      <w:r w:rsidR="00D62706">
        <w:rPr>
          <w:rFonts w:ascii="Segoe UI" w:hAnsi="Segoe UI" w:cs="Segoe UI"/>
          <w:i/>
          <w:iCs/>
          <w:noProof/>
          <w:color w:val="auto"/>
          <w:szCs w:val="20"/>
        </w:rPr>
        <w:t xml:space="preserve">projetées </w:t>
      </w:r>
      <w:r w:rsidR="00EA1AC6" w:rsidRPr="00D46CA7">
        <w:rPr>
          <w:rFonts w:ascii="Segoe UI" w:hAnsi="Segoe UI" w:cs="Segoe UI"/>
          <w:i/>
          <w:iCs/>
          <w:noProof/>
          <w:color w:val="auto"/>
          <w:szCs w:val="20"/>
        </w:rPr>
        <w:t xml:space="preserve">à 222 Mds USD </w:t>
      </w:r>
      <w:r w:rsidR="00CF0906" w:rsidRPr="00D46CA7">
        <w:rPr>
          <w:rFonts w:ascii="Segoe UI" w:hAnsi="Segoe UI" w:cs="Segoe UI"/>
          <w:i/>
          <w:iCs/>
          <w:noProof/>
          <w:color w:val="auto"/>
          <w:szCs w:val="20"/>
        </w:rPr>
        <w:t>d’ici 2030 selon le rapport sectoriel de l’IBEF (India Brand Equity Foundation).</w:t>
      </w:r>
    </w:p>
    <w:p w14:paraId="2C185C55" w14:textId="684EB1C6" w:rsidR="008346CB" w:rsidRPr="00D62706" w:rsidRDefault="00425639" w:rsidP="00496755">
      <w:pPr>
        <w:pStyle w:val="Brvesco-Normal"/>
        <w:spacing w:line="240" w:lineRule="auto"/>
        <w:ind w:left="-284"/>
        <w:rPr>
          <w:rFonts w:ascii="Segoe UI" w:hAnsi="Segoe UI" w:cs="Segoe UI"/>
          <w:i/>
          <w:iCs/>
          <w:noProof/>
          <w:color w:val="auto"/>
          <w:szCs w:val="20"/>
        </w:rPr>
      </w:pPr>
      <w:r>
        <w:rPr>
          <w:rFonts w:ascii="Segoe UI" w:hAnsi="Segoe UI" w:cs="Segoe UI"/>
          <w:b/>
          <w:bCs/>
          <w:noProof/>
          <w:color w:val="000091"/>
          <w:sz w:val="24"/>
        </w:rPr>
        <w:lastRenderedPageBreak/>
        <w:drawing>
          <wp:anchor distT="0" distB="0" distL="114300" distR="114300" simplePos="0" relativeHeight="251663360" behindDoc="0" locked="0" layoutInCell="1" allowOverlap="1" wp14:anchorId="23F46D57" wp14:editId="20D91F82">
            <wp:simplePos x="0" y="0"/>
            <wp:positionH relativeFrom="column">
              <wp:posOffset>3166745</wp:posOffset>
            </wp:positionH>
            <wp:positionV relativeFrom="paragraph">
              <wp:posOffset>292100</wp:posOffset>
            </wp:positionV>
            <wp:extent cx="3438525" cy="2271395"/>
            <wp:effectExtent l="0" t="0" r="9525" b="0"/>
            <wp:wrapThrough wrapText="bothSides">
              <wp:wrapPolygon edited="0">
                <wp:start x="0" y="0"/>
                <wp:lineTo x="0" y="21377"/>
                <wp:lineTo x="21540" y="21377"/>
                <wp:lineTo x="2154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3">
                      <a:extLst>
                        <a:ext uri="{28A0092B-C50C-407E-A947-70E740481C1C}">
                          <a14:useLocalDpi xmlns:a14="http://schemas.microsoft.com/office/drawing/2010/main" val="0"/>
                        </a:ext>
                      </a:extLst>
                    </a:blip>
                    <a:srcRect l="4642" t="-995" r="4843" b="1163"/>
                    <a:stretch/>
                  </pic:blipFill>
                  <pic:spPr bwMode="auto">
                    <a:xfrm>
                      <a:off x="0" y="0"/>
                      <a:ext cx="3438525" cy="2271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2336" behindDoc="1" locked="0" layoutInCell="1" allowOverlap="1" wp14:anchorId="7982B44A" wp14:editId="18F727A4">
            <wp:simplePos x="0" y="0"/>
            <wp:positionH relativeFrom="column">
              <wp:posOffset>-549322</wp:posOffset>
            </wp:positionH>
            <wp:positionV relativeFrom="paragraph">
              <wp:posOffset>281343</wp:posOffset>
            </wp:positionV>
            <wp:extent cx="3609340" cy="2273300"/>
            <wp:effectExtent l="0" t="0" r="0" b="0"/>
            <wp:wrapTight wrapText="bothSides">
              <wp:wrapPolygon edited="0">
                <wp:start x="0" y="0"/>
                <wp:lineTo x="0" y="21359"/>
                <wp:lineTo x="21433" y="21359"/>
                <wp:lineTo x="2143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a:extLst>
                        <a:ext uri="{28A0092B-C50C-407E-A947-70E740481C1C}">
                          <a14:useLocalDpi xmlns:a14="http://schemas.microsoft.com/office/drawing/2010/main" val="0"/>
                        </a:ext>
                      </a:extLst>
                    </a:blip>
                    <a:stretch>
                      <a:fillRect/>
                    </a:stretch>
                  </pic:blipFill>
                  <pic:spPr>
                    <a:xfrm>
                      <a:off x="0" y="0"/>
                      <a:ext cx="3609340" cy="2273300"/>
                    </a:xfrm>
                    <a:prstGeom prst="rect">
                      <a:avLst/>
                    </a:prstGeom>
                  </pic:spPr>
                </pic:pic>
              </a:graphicData>
            </a:graphic>
            <wp14:sizeRelH relativeFrom="margin">
              <wp14:pctWidth>0</wp14:pctWidth>
            </wp14:sizeRelH>
            <wp14:sizeRelV relativeFrom="margin">
              <wp14:pctHeight>0</wp14:pctHeight>
            </wp14:sizeRelV>
          </wp:anchor>
        </w:drawing>
      </w:r>
      <w:r w:rsidR="00B516D5" w:rsidRPr="003F78EB">
        <w:rPr>
          <w:rFonts w:ascii="Segoe UI" w:hAnsi="Segoe UI" w:cs="Segoe UI"/>
          <w:b/>
          <w:color w:val="000091" w:themeColor="text1"/>
          <w:sz w:val="24"/>
          <w:szCs w:val="28"/>
        </w:rPr>
        <w:t>A</w:t>
      </w:r>
      <w:r w:rsidR="009854A7" w:rsidRPr="003F78EB">
        <w:rPr>
          <w:rFonts w:ascii="Segoe UI" w:hAnsi="Segoe UI" w:cs="Segoe UI"/>
          <w:b/>
          <w:color w:val="000091" w:themeColor="text1"/>
          <w:sz w:val="24"/>
          <w:szCs w:val="28"/>
        </w:rPr>
        <w:t xml:space="preserve">NNEXE </w:t>
      </w:r>
      <w:r w:rsidR="00323A4A" w:rsidRPr="003F78EB">
        <w:rPr>
          <w:rFonts w:ascii="Segoe UI" w:hAnsi="Segoe UI" w:cs="Segoe UI"/>
          <w:b/>
          <w:color w:val="000091" w:themeColor="text1"/>
          <w:sz w:val="24"/>
          <w:szCs w:val="28"/>
        </w:rPr>
        <w:t>1</w:t>
      </w:r>
      <w:r w:rsidR="00B37CFB" w:rsidRPr="003F78EB">
        <w:rPr>
          <w:rFonts w:ascii="Segoe UI" w:hAnsi="Segoe UI" w:cs="Segoe UI"/>
          <w:b/>
          <w:color w:val="000091" w:themeColor="text1"/>
          <w:sz w:val="24"/>
          <w:szCs w:val="28"/>
        </w:rPr>
        <w:t xml:space="preserve"> : le secteur de l’assurance en Inde </w:t>
      </w:r>
      <w:r w:rsidR="008346CB">
        <w:rPr>
          <w:rFonts w:ascii="Segoe UI" w:hAnsi="Segoe UI" w:cs="Segoe UI"/>
          <w:b/>
          <w:color w:val="000091" w:themeColor="text1"/>
          <w:sz w:val="24"/>
          <w:szCs w:val="28"/>
        </w:rPr>
        <w:t>(</w:t>
      </w:r>
      <w:r w:rsidR="004930E0">
        <w:rPr>
          <w:rFonts w:ascii="Segoe UI" w:hAnsi="Segoe UI" w:cs="Segoe UI"/>
          <w:b/>
          <w:color w:val="000091" w:themeColor="text1"/>
          <w:sz w:val="24"/>
          <w:szCs w:val="28"/>
        </w:rPr>
        <w:t>générale et vie</w:t>
      </w:r>
      <w:r w:rsidR="008346CB">
        <w:rPr>
          <w:rFonts w:ascii="Segoe UI" w:hAnsi="Segoe UI" w:cs="Segoe UI"/>
          <w:b/>
          <w:color w:val="000091" w:themeColor="text1"/>
          <w:sz w:val="24"/>
          <w:szCs w:val="28"/>
        </w:rPr>
        <w:t>)</w:t>
      </w:r>
    </w:p>
    <w:p w14:paraId="713F3E9D" w14:textId="3E63D4C2" w:rsidR="00282BC7" w:rsidRPr="00282BC7" w:rsidRDefault="00282BC7" w:rsidP="00282BC7">
      <w:pPr>
        <w:jc w:val="both"/>
        <w:rPr>
          <w:b/>
          <w:bCs/>
        </w:rPr>
      </w:pPr>
    </w:p>
    <w:p w14:paraId="2F0355EE" w14:textId="3E00DA63" w:rsidR="008346CB" w:rsidRPr="00D0301D" w:rsidRDefault="008346CB" w:rsidP="00D0301D">
      <w:pPr>
        <w:pStyle w:val="Brvesco-Normal"/>
        <w:spacing w:line="240" w:lineRule="auto"/>
        <w:ind w:left="-284"/>
        <w:rPr>
          <w:rStyle w:val="Lienhypertexte"/>
          <w:rFonts w:ascii="Segoe UI" w:hAnsi="Segoe UI" w:cs="Segoe UI"/>
          <w:i/>
          <w:iCs/>
          <w:noProof/>
          <w:color w:val="auto"/>
          <w:szCs w:val="20"/>
          <w:u w:val="none"/>
        </w:rPr>
      </w:pPr>
      <w:r w:rsidRPr="00B51A27">
        <w:rPr>
          <w:rStyle w:val="Lienhypertexte"/>
          <w:rFonts w:ascii="Segoe UI" w:hAnsi="Segoe UI" w:cs="Segoe UI"/>
          <w:i/>
          <w:iCs/>
          <w:noProof/>
          <w:color w:val="auto"/>
          <w:szCs w:val="20"/>
          <w:u w:val="none"/>
        </w:rPr>
        <w:t>source : IRDAI, annual report</w:t>
      </w:r>
      <w:r w:rsidR="00B51A27">
        <w:rPr>
          <w:rStyle w:val="Lienhypertexte"/>
          <w:rFonts w:ascii="Segoe UI" w:hAnsi="Segoe UI" w:cs="Segoe UI"/>
          <w:i/>
          <w:iCs/>
          <w:noProof/>
          <w:color w:val="auto"/>
          <w:szCs w:val="20"/>
          <w:u w:val="none"/>
        </w:rPr>
        <w:t xml:space="preserve"> - </w:t>
      </w:r>
      <w:r w:rsidR="00B51A27" w:rsidRPr="00B51A27">
        <w:rPr>
          <w:rStyle w:val="Lienhypertexte"/>
          <w:rFonts w:ascii="Segoe UI" w:hAnsi="Segoe UI" w:cs="Segoe UI"/>
          <w:i/>
          <w:iCs/>
          <w:noProof/>
          <w:color w:val="auto"/>
          <w:szCs w:val="20"/>
          <w:u w:val="none"/>
        </w:rPr>
        <w:t>graphique IBEF,</w:t>
      </w:r>
      <w:r w:rsidR="00B51A27">
        <w:rPr>
          <w:rStyle w:val="Lienhypertexte"/>
          <w:rFonts w:ascii="Segoe UI" w:hAnsi="Segoe UI" w:cs="Segoe UI"/>
          <w:i/>
          <w:iCs/>
          <w:noProof/>
          <w:color w:val="auto"/>
          <w:szCs w:val="20"/>
          <w:u w:val="none"/>
        </w:rPr>
        <w:t xml:space="preserve"> insurance report </w:t>
      </w:r>
    </w:p>
    <w:p w14:paraId="3E28E693" w14:textId="77777777" w:rsidR="00E11DDE" w:rsidRDefault="00E11DDE" w:rsidP="004930E0">
      <w:pPr>
        <w:pStyle w:val="Brvesco-Normal"/>
        <w:spacing w:line="240" w:lineRule="auto"/>
        <w:ind w:left="-284"/>
        <w:rPr>
          <w:rStyle w:val="Lienhypertexte"/>
          <w:rFonts w:ascii="Segoe UI" w:hAnsi="Segoe UI" w:cs="Segoe UI"/>
          <w:b/>
          <w:bCs/>
          <w:noProof/>
          <w:color w:val="000091"/>
          <w:sz w:val="24"/>
          <w:u w:val="none"/>
        </w:rPr>
      </w:pPr>
    </w:p>
    <w:p w14:paraId="3D4098A3" w14:textId="77777777" w:rsidR="00E11DDE" w:rsidRDefault="00E11DDE" w:rsidP="004930E0">
      <w:pPr>
        <w:pStyle w:val="Brvesco-Normal"/>
        <w:spacing w:line="240" w:lineRule="auto"/>
        <w:ind w:left="-284"/>
        <w:rPr>
          <w:rStyle w:val="Lienhypertexte"/>
          <w:rFonts w:ascii="Segoe UI" w:hAnsi="Segoe UI" w:cs="Segoe UI"/>
          <w:b/>
          <w:bCs/>
          <w:noProof/>
          <w:color w:val="000091"/>
          <w:sz w:val="24"/>
          <w:u w:val="none"/>
        </w:rPr>
      </w:pPr>
    </w:p>
    <w:p w14:paraId="57223F26" w14:textId="68ED255E" w:rsidR="004930E0" w:rsidRDefault="00244108" w:rsidP="004930E0">
      <w:pPr>
        <w:pStyle w:val="Brvesco-Normal"/>
        <w:spacing w:line="240" w:lineRule="auto"/>
        <w:ind w:left="-284"/>
        <w:rPr>
          <w:rStyle w:val="Lienhypertexte"/>
          <w:rFonts w:ascii="Segoe UI" w:hAnsi="Segoe UI" w:cs="Segoe UI"/>
          <w:b/>
          <w:bCs/>
          <w:noProof/>
          <w:color w:val="000091"/>
          <w:sz w:val="24"/>
          <w:u w:val="none"/>
        </w:rPr>
      </w:pPr>
      <w:r w:rsidRPr="003F78EB">
        <w:rPr>
          <w:rStyle w:val="Lienhypertexte"/>
          <w:rFonts w:ascii="Segoe UI" w:hAnsi="Segoe UI" w:cs="Segoe UI"/>
          <w:b/>
          <w:bCs/>
          <w:noProof/>
          <w:color w:val="000091"/>
          <w:sz w:val="24"/>
          <w:u w:val="none"/>
        </w:rPr>
        <w:t xml:space="preserve">ANNEXE 2 : </w:t>
      </w:r>
      <w:r w:rsidR="00B51A27">
        <w:rPr>
          <w:rStyle w:val="Lienhypertexte"/>
          <w:rFonts w:ascii="Segoe UI" w:hAnsi="Segoe UI" w:cs="Segoe UI"/>
          <w:b/>
          <w:bCs/>
          <w:noProof/>
          <w:color w:val="000091"/>
          <w:sz w:val="24"/>
          <w:u w:val="none"/>
        </w:rPr>
        <w:t>Répartition des acteurs</w:t>
      </w:r>
      <w:r w:rsidR="004930E0">
        <w:rPr>
          <w:rStyle w:val="Lienhypertexte"/>
          <w:rFonts w:ascii="Segoe UI" w:hAnsi="Segoe UI" w:cs="Segoe UI"/>
          <w:b/>
          <w:bCs/>
          <w:noProof/>
          <w:color w:val="000091"/>
          <w:sz w:val="24"/>
          <w:u w:val="none"/>
        </w:rPr>
        <w:t xml:space="preserve"> de marché</w:t>
      </w:r>
      <w:r w:rsidR="00B51A27">
        <w:rPr>
          <w:rStyle w:val="Lienhypertexte"/>
          <w:rFonts w:ascii="Segoe UI" w:hAnsi="Segoe UI" w:cs="Segoe UI"/>
          <w:b/>
          <w:bCs/>
          <w:noProof/>
          <w:color w:val="000091"/>
          <w:sz w:val="24"/>
          <w:u w:val="none"/>
        </w:rPr>
        <w:t xml:space="preserve"> en fonction du secteur de l’assurance-vie</w:t>
      </w:r>
      <w:r w:rsidR="00103463">
        <w:rPr>
          <w:rStyle w:val="Lienhypertexte"/>
          <w:rFonts w:ascii="Segoe UI" w:hAnsi="Segoe UI" w:cs="Segoe UI"/>
          <w:b/>
          <w:bCs/>
          <w:noProof/>
          <w:color w:val="000091"/>
          <w:sz w:val="24"/>
          <w:u w:val="none"/>
        </w:rPr>
        <w:t xml:space="preserve">/ </w:t>
      </w:r>
      <w:r w:rsidR="00B51A27">
        <w:rPr>
          <w:rStyle w:val="Lienhypertexte"/>
          <w:rFonts w:ascii="Segoe UI" w:hAnsi="Segoe UI" w:cs="Segoe UI"/>
          <w:b/>
          <w:bCs/>
          <w:noProof/>
          <w:color w:val="000091"/>
          <w:sz w:val="24"/>
          <w:u w:val="none"/>
        </w:rPr>
        <w:t xml:space="preserve">générale </w:t>
      </w:r>
    </w:p>
    <w:p w14:paraId="626669DD" w14:textId="7F8B30FC" w:rsidR="00103463" w:rsidRDefault="004930E0" w:rsidP="004930E0">
      <w:pPr>
        <w:pStyle w:val="Brvesco-Normal"/>
        <w:spacing w:line="240" w:lineRule="auto"/>
        <w:rPr>
          <w:rStyle w:val="Lienhypertexte"/>
          <w:rFonts w:ascii="Segoe UI" w:hAnsi="Segoe UI" w:cs="Segoe UI"/>
          <w:b/>
          <w:bCs/>
          <w:noProof/>
          <w:color w:val="auto"/>
          <w:szCs w:val="20"/>
          <w:u w:val="none"/>
        </w:rPr>
      </w:pPr>
      <w:r w:rsidRPr="004930E0">
        <w:rPr>
          <w:rStyle w:val="Lienhypertexte"/>
          <w:rFonts w:ascii="Segoe UI" w:hAnsi="Segoe UI" w:cs="Segoe UI"/>
          <w:b/>
          <w:bCs/>
          <w:noProof/>
          <w:color w:val="auto"/>
          <w:szCs w:val="20"/>
          <w:u w:val="none"/>
        </w:rPr>
        <w:t xml:space="preserve"> </w:t>
      </w:r>
    </w:p>
    <w:p w14:paraId="356DCF0D" w14:textId="2DD729F7" w:rsidR="00103463" w:rsidRPr="004930E0" w:rsidRDefault="00103463" w:rsidP="00103463">
      <w:pPr>
        <w:pStyle w:val="Brvesco-Normal"/>
        <w:spacing w:line="240" w:lineRule="auto"/>
        <w:rPr>
          <w:rStyle w:val="Lienhypertexte"/>
          <w:rFonts w:ascii="Segoe UI" w:hAnsi="Segoe UI" w:cs="Segoe UI"/>
          <w:b/>
          <w:bCs/>
          <w:noProof/>
          <w:color w:val="auto"/>
          <w:szCs w:val="20"/>
          <w:u w:val="none"/>
        </w:rPr>
      </w:pPr>
      <w:r w:rsidRPr="004930E0">
        <w:rPr>
          <w:rStyle w:val="Lienhypertexte"/>
          <w:rFonts w:ascii="Segoe UI" w:hAnsi="Segoe UI" w:cs="Segoe UI"/>
          <w:noProof/>
          <w:color w:val="auto"/>
          <w:szCs w:val="20"/>
          <w:u w:val="none"/>
        </w:rPr>
        <w:t xml:space="preserve">Répartition des acteurs de marché </w:t>
      </w:r>
      <w:r>
        <w:rPr>
          <w:rStyle w:val="Lienhypertexte"/>
          <w:rFonts w:ascii="Segoe UI" w:hAnsi="Segoe UI" w:cs="Segoe UI"/>
          <w:noProof/>
          <w:color w:val="auto"/>
          <w:szCs w:val="20"/>
          <w:u w:val="none"/>
        </w:rPr>
        <w:t>de l’</w:t>
      </w:r>
      <w:r w:rsidRPr="004930E0">
        <w:rPr>
          <w:rStyle w:val="Lienhypertexte"/>
          <w:rFonts w:ascii="Segoe UI" w:hAnsi="Segoe UI" w:cs="Segoe UI"/>
          <w:noProof/>
          <w:color w:val="auto"/>
          <w:szCs w:val="20"/>
          <w:u w:val="none"/>
        </w:rPr>
        <w:t xml:space="preserve">assurance </w:t>
      </w:r>
      <w:r>
        <w:rPr>
          <w:rStyle w:val="Lienhypertexte"/>
          <w:rFonts w:ascii="Segoe UI" w:hAnsi="Segoe UI" w:cs="Segoe UI"/>
          <w:noProof/>
          <w:color w:val="auto"/>
          <w:szCs w:val="20"/>
          <w:u w:val="none"/>
        </w:rPr>
        <w:t xml:space="preserve"> </w:t>
      </w:r>
      <w:r w:rsidRPr="004930E0">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 xml:space="preserve">        </w:t>
      </w:r>
      <w:r w:rsidRPr="004930E0">
        <w:rPr>
          <w:rStyle w:val="Lienhypertexte"/>
          <w:rFonts w:ascii="Segoe UI" w:hAnsi="Segoe UI" w:cs="Segoe UI"/>
          <w:noProof/>
          <w:color w:val="auto"/>
          <w:szCs w:val="20"/>
          <w:u w:val="none"/>
        </w:rPr>
        <w:t>Répartition des acteurs de marché assurance-vie</w:t>
      </w:r>
    </w:p>
    <w:p w14:paraId="6ABED13C" w14:textId="3A57569F" w:rsidR="00103463" w:rsidRPr="00103463" w:rsidRDefault="00103463" w:rsidP="004930E0">
      <w:pPr>
        <w:pStyle w:val="Brvesco-Normal"/>
        <w:spacing w:line="240" w:lineRule="auto"/>
        <w:rPr>
          <w:rStyle w:val="Lienhypertexte"/>
          <w:rFonts w:ascii="Segoe UI" w:hAnsi="Segoe UI" w:cs="Segoe UI"/>
          <w:noProof/>
          <w:color w:val="auto"/>
          <w:szCs w:val="20"/>
          <w:u w:val="none"/>
        </w:rPr>
      </w:pPr>
      <w:r>
        <w:rPr>
          <w:rFonts w:ascii="Segoe UI" w:hAnsi="Segoe UI" w:cs="Segoe UI"/>
          <w:b/>
          <w:noProof/>
          <w:color w:val="000091" w:themeColor="text1"/>
          <w:sz w:val="24"/>
          <w:szCs w:val="28"/>
        </w:rPr>
        <w:drawing>
          <wp:anchor distT="0" distB="0" distL="114300" distR="114300" simplePos="0" relativeHeight="251665408" behindDoc="0" locked="0" layoutInCell="1" allowOverlap="1" wp14:anchorId="72128502" wp14:editId="5ABB08E3">
            <wp:simplePos x="0" y="0"/>
            <wp:positionH relativeFrom="page">
              <wp:posOffset>3781425</wp:posOffset>
            </wp:positionH>
            <wp:positionV relativeFrom="paragraph">
              <wp:posOffset>278765</wp:posOffset>
            </wp:positionV>
            <wp:extent cx="3615055" cy="2190750"/>
            <wp:effectExtent l="0" t="0" r="4445" b="0"/>
            <wp:wrapThrough wrapText="bothSides">
              <wp:wrapPolygon edited="0">
                <wp:start x="0" y="0"/>
                <wp:lineTo x="0" y="21412"/>
                <wp:lineTo x="21513" y="21412"/>
                <wp:lineTo x="21513"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a:extLst>
                        <a:ext uri="{28A0092B-C50C-407E-A947-70E740481C1C}">
                          <a14:useLocalDpi xmlns:a14="http://schemas.microsoft.com/office/drawing/2010/main" val="0"/>
                        </a:ext>
                      </a:extLst>
                    </a:blip>
                    <a:stretch>
                      <a:fillRect/>
                    </a:stretch>
                  </pic:blipFill>
                  <pic:spPr>
                    <a:xfrm>
                      <a:off x="0" y="0"/>
                      <a:ext cx="3615055" cy="219075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bCs/>
          <w:noProof/>
          <w:color w:val="000091"/>
          <w:sz w:val="24"/>
        </w:rPr>
        <w:drawing>
          <wp:anchor distT="0" distB="0" distL="114300" distR="114300" simplePos="0" relativeHeight="251664384" behindDoc="1" locked="0" layoutInCell="1" allowOverlap="1" wp14:anchorId="717D49AC" wp14:editId="67AD0439">
            <wp:simplePos x="0" y="0"/>
            <wp:positionH relativeFrom="column">
              <wp:posOffset>-363220</wp:posOffset>
            </wp:positionH>
            <wp:positionV relativeFrom="paragraph">
              <wp:posOffset>272415</wp:posOffset>
            </wp:positionV>
            <wp:extent cx="3423683" cy="2200939"/>
            <wp:effectExtent l="0" t="0" r="5715" b="8890"/>
            <wp:wrapTight wrapText="bothSides">
              <wp:wrapPolygon edited="0">
                <wp:start x="0" y="0"/>
                <wp:lineTo x="0" y="21500"/>
                <wp:lineTo x="21516" y="21500"/>
                <wp:lineTo x="2151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a:extLst>
                        <a:ext uri="{28A0092B-C50C-407E-A947-70E740481C1C}">
                          <a14:useLocalDpi xmlns:a14="http://schemas.microsoft.com/office/drawing/2010/main" val="0"/>
                        </a:ext>
                      </a:extLst>
                    </a:blip>
                    <a:stretch>
                      <a:fillRect/>
                    </a:stretch>
                  </pic:blipFill>
                  <pic:spPr>
                    <a:xfrm>
                      <a:off x="0" y="0"/>
                      <a:ext cx="3423683" cy="2200939"/>
                    </a:xfrm>
                    <a:prstGeom prst="rect">
                      <a:avLst/>
                    </a:prstGeom>
                  </pic:spPr>
                </pic:pic>
              </a:graphicData>
            </a:graphic>
          </wp:anchor>
        </w:drawing>
      </w:r>
      <w:r w:rsidRPr="004930E0">
        <w:rPr>
          <w:rStyle w:val="Lienhypertexte"/>
          <w:rFonts w:ascii="Segoe UI" w:hAnsi="Segoe UI" w:cs="Segoe UI"/>
          <w:noProof/>
          <w:color w:val="auto"/>
          <w:szCs w:val="20"/>
          <w:u w:val="none"/>
        </w:rPr>
        <w:t>générale</w:t>
      </w:r>
      <w:r>
        <w:rPr>
          <w:rStyle w:val="Lienhypertexte"/>
          <w:rFonts w:ascii="Segoe UI" w:hAnsi="Segoe UI" w:cs="Segoe UI"/>
          <w:noProof/>
          <w:color w:val="auto"/>
          <w:szCs w:val="20"/>
          <w:u w:val="none"/>
        </w:rPr>
        <w:t xml:space="preserve"> </w:t>
      </w:r>
    </w:p>
    <w:p w14:paraId="372D7385" w14:textId="43A2F68A" w:rsidR="004930E0" w:rsidRPr="00103463" w:rsidRDefault="00103463" w:rsidP="004930E0">
      <w:pPr>
        <w:pStyle w:val="Brvesco-Normal"/>
        <w:spacing w:line="240" w:lineRule="auto"/>
        <w:rPr>
          <w:rStyle w:val="Lienhypertexte"/>
          <w:rFonts w:ascii="Segoe UI" w:hAnsi="Segoe UI" w:cs="Segoe UI"/>
          <w:b/>
          <w:bCs/>
          <w:noProof/>
          <w:color w:val="auto"/>
          <w:szCs w:val="20"/>
          <w:u w:val="none"/>
        </w:rPr>
      </w:pPr>
      <w:r w:rsidRPr="00103463">
        <w:rPr>
          <w:rStyle w:val="Lienhypertexte"/>
          <w:rFonts w:ascii="Segoe UI" w:hAnsi="Segoe UI" w:cs="Segoe UI"/>
          <w:i/>
          <w:iCs/>
          <w:noProof/>
          <w:color w:val="auto"/>
          <w:sz w:val="18"/>
          <w:szCs w:val="18"/>
          <w:u w:val="none"/>
        </w:rPr>
        <w:t>« standalone » = assureur santé indépendant</w:t>
      </w:r>
    </w:p>
    <w:p w14:paraId="7D92ED9E" w14:textId="60F175E8" w:rsidR="004930E0" w:rsidRDefault="004930E0" w:rsidP="004930E0">
      <w:pPr>
        <w:pStyle w:val="Brvesco-Normal"/>
        <w:spacing w:line="240" w:lineRule="auto"/>
        <w:rPr>
          <w:rStyle w:val="Lienhypertexte"/>
          <w:rFonts w:ascii="Segoe UI" w:hAnsi="Segoe UI" w:cs="Segoe UI"/>
          <w:i/>
          <w:iCs/>
          <w:noProof/>
          <w:color w:val="auto"/>
          <w:szCs w:val="20"/>
          <w:u w:val="none"/>
        </w:rPr>
      </w:pPr>
      <w:r w:rsidRPr="00CA39FC">
        <w:rPr>
          <w:rStyle w:val="Lienhypertexte"/>
          <w:rFonts w:ascii="Segoe UI" w:hAnsi="Segoe UI" w:cs="Segoe UI"/>
          <w:i/>
          <w:iCs/>
          <w:noProof/>
          <w:color w:val="auto"/>
          <w:szCs w:val="20"/>
          <w:u w:val="none"/>
        </w:rPr>
        <w:t xml:space="preserve">source : IRDAI </w:t>
      </w:r>
    </w:p>
    <w:p w14:paraId="2A45359A" w14:textId="3C261323" w:rsidR="007212AF" w:rsidRDefault="007212AF" w:rsidP="004930E0">
      <w:pPr>
        <w:pStyle w:val="Brvesco-Normal"/>
        <w:spacing w:line="240" w:lineRule="auto"/>
        <w:rPr>
          <w:rStyle w:val="Lienhypertexte"/>
          <w:rFonts w:ascii="Segoe UI" w:hAnsi="Segoe UI" w:cs="Segoe UI"/>
          <w:i/>
          <w:iCs/>
          <w:noProof/>
          <w:color w:val="auto"/>
          <w:szCs w:val="20"/>
          <w:u w:val="none"/>
        </w:rPr>
      </w:pPr>
    </w:p>
    <w:p w14:paraId="1BB8F66A" w14:textId="21D20C0A" w:rsidR="007212AF" w:rsidRDefault="007212AF" w:rsidP="004930E0">
      <w:pPr>
        <w:pStyle w:val="Brvesco-Normal"/>
        <w:spacing w:line="240" w:lineRule="auto"/>
        <w:rPr>
          <w:rStyle w:val="Lienhypertexte"/>
          <w:rFonts w:ascii="Segoe UI" w:hAnsi="Segoe UI" w:cs="Segoe UI"/>
          <w:i/>
          <w:iCs/>
          <w:noProof/>
          <w:color w:val="auto"/>
          <w:szCs w:val="20"/>
          <w:u w:val="none"/>
        </w:rPr>
      </w:pPr>
    </w:p>
    <w:p w14:paraId="122492B5" w14:textId="201CF0A3" w:rsidR="007212AF" w:rsidRDefault="007212AF" w:rsidP="004930E0">
      <w:pPr>
        <w:pStyle w:val="Brvesco-Normal"/>
        <w:spacing w:line="240" w:lineRule="auto"/>
        <w:rPr>
          <w:rStyle w:val="Lienhypertexte"/>
          <w:rFonts w:ascii="Segoe UI" w:hAnsi="Segoe UI" w:cs="Segoe UI"/>
          <w:i/>
          <w:iCs/>
          <w:noProof/>
          <w:color w:val="auto"/>
          <w:szCs w:val="20"/>
          <w:u w:val="none"/>
        </w:rPr>
      </w:pPr>
    </w:p>
    <w:p w14:paraId="1148709D" w14:textId="0DC62535" w:rsidR="007212AF" w:rsidRDefault="007212AF" w:rsidP="004930E0">
      <w:pPr>
        <w:pStyle w:val="Brvesco-Normal"/>
        <w:spacing w:line="240" w:lineRule="auto"/>
        <w:rPr>
          <w:rStyle w:val="Lienhypertexte"/>
          <w:rFonts w:ascii="Segoe UI" w:hAnsi="Segoe UI" w:cs="Segoe UI"/>
          <w:i/>
          <w:iCs/>
          <w:noProof/>
          <w:color w:val="auto"/>
          <w:szCs w:val="20"/>
          <w:u w:val="none"/>
        </w:rPr>
      </w:pPr>
    </w:p>
    <w:p w14:paraId="058E10DD" w14:textId="3629A103" w:rsidR="006A3642" w:rsidRDefault="006A3642" w:rsidP="004930E0">
      <w:pPr>
        <w:pStyle w:val="Brvesco-Normal"/>
        <w:spacing w:line="240" w:lineRule="auto"/>
        <w:rPr>
          <w:rStyle w:val="Lienhypertexte"/>
          <w:rFonts w:ascii="Segoe UI" w:hAnsi="Segoe UI" w:cs="Segoe UI"/>
          <w:i/>
          <w:iCs/>
          <w:noProof/>
          <w:color w:val="auto"/>
          <w:szCs w:val="20"/>
          <w:u w:val="none"/>
        </w:rPr>
      </w:pPr>
    </w:p>
    <w:p w14:paraId="7612C8CD" w14:textId="49AE6313" w:rsidR="006A3642" w:rsidRDefault="006A3642" w:rsidP="004930E0">
      <w:pPr>
        <w:pStyle w:val="Brvesco-Normal"/>
        <w:spacing w:line="240" w:lineRule="auto"/>
        <w:rPr>
          <w:rStyle w:val="Lienhypertexte"/>
          <w:rFonts w:ascii="Segoe UI" w:hAnsi="Segoe UI" w:cs="Segoe UI"/>
          <w:i/>
          <w:iCs/>
          <w:noProof/>
          <w:color w:val="auto"/>
          <w:szCs w:val="20"/>
          <w:u w:val="none"/>
        </w:rPr>
      </w:pPr>
    </w:p>
    <w:p w14:paraId="421B9A75" w14:textId="77777777" w:rsidR="006A3642" w:rsidRDefault="006A3642" w:rsidP="004930E0">
      <w:pPr>
        <w:pStyle w:val="Brvesco-Normal"/>
        <w:spacing w:line="240" w:lineRule="auto"/>
        <w:rPr>
          <w:rStyle w:val="Lienhypertexte"/>
          <w:rFonts w:ascii="Segoe UI" w:hAnsi="Segoe UI" w:cs="Segoe UI"/>
          <w:i/>
          <w:iCs/>
          <w:noProof/>
          <w:color w:val="auto"/>
          <w:szCs w:val="20"/>
          <w:u w:val="none"/>
        </w:rPr>
      </w:pPr>
    </w:p>
    <w:p w14:paraId="0B1363FF" w14:textId="01EFD3EE" w:rsidR="00636EB6" w:rsidRDefault="00636EB6" w:rsidP="004930E0">
      <w:pPr>
        <w:pStyle w:val="Brvesco-Normal"/>
        <w:spacing w:line="240" w:lineRule="auto"/>
        <w:rPr>
          <w:rStyle w:val="Lienhypertexte"/>
          <w:rFonts w:ascii="Segoe UI" w:hAnsi="Segoe UI" w:cs="Segoe UI"/>
          <w:i/>
          <w:iCs/>
          <w:noProof/>
          <w:color w:val="auto"/>
          <w:szCs w:val="20"/>
          <w:u w:val="none"/>
        </w:rPr>
      </w:pPr>
    </w:p>
    <w:p w14:paraId="68A1FDF7" w14:textId="77777777" w:rsidR="00636EB6" w:rsidRDefault="00636EB6" w:rsidP="004930E0">
      <w:pPr>
        <w:pStyle w:val="Brvesco-Normal"/>
        <w:spacing w:line="240" w:lineRule="auto"/>
        <w:rPr>
          <w:rStyle w:val="Lienhypertexte"/>
          <w:rFonts w:ascii="Segoe UI" w:hAnsi="Segoe UI" w:cs="Segoe UI"/>
          <w:i/>
          <w:iCs/>
          <w:noProof/>
          <w:color w:val="auto"/>
          <w:szCs w:val="20"/>
          <w:u w:val="none"/>
        </w:rPr>
      </w:pPr>
    </w:p>
    <w:p w14:paraId="434CC041" w14:textId="77777777" w:rsidR="00496755" w:rsidRDefault="00496755" w:rsidP="00425639">
      <w:pPr>
        <w:pStyle w:val="Brvesco-Normal"/>
        <w:spacing w:line="240" w:lineRule="auto"/>
        <w:rPr>
          <w:rStyle w:val="Lienhypertexte"/>
          <w:rFonts w:ascii="Segoe UI" w:hAnsi="Segoe UI" w:cs="Segoe UI"/>
          <w:i/>
          <w:iCs/>
          <w:noProof/>
          <w:color w:val="auto"/>
          <w:szCs w:val="20"/>
          <w:u w:val="none"/>
        </w:rPr>
      </w:pPr>
    </w:p>
    <w:p w14:paraId="335DA621" w14:textId="5BFAE5BF" w:rsidR="004930E0" w:rsidRDefault="004930E0" w:rsidP="00425639">
      <w:pPr>
        <w:pStyle w:val="Brvesco-Normal"/>
        <w:spacing w:line="240" w:lineRule="auto"/>
        <w:rPr>
          <w:rStyle w:val="Lienhypertexte"/>
          <w:rFonts w:ascii="Segoe UI" w:hAnsi="Segoe UI" w:cs="Segoe UI"/>
          <w:b/>
          <w:bCs/>
          <w:noProof/>
          <w:color w:val="000091"/>
          <w:sz w:val="24"/>
          <w:u w:val="none"/>
        </w:rPr>
      </w:pPr>
      <w:r w:rsidRPr="003F78EB">
        <w:rPr>
          <w:rStyle w:val="Lienhypertexte"/>
          <w:rFonts w:ascii="Segoe UI" w:hAnsi="Segoe UI" w:cs="Segoe UI"/>
          <w:b/>
          <w:bCs/>
          <w:noProof/>
          <w:color w:val="000091"/>
          <w:sz w:val="24"/>
          <w:u w:val="none"/>
        </w:rPr>
        <w:lastRenderedPageBreak/>
        <w:t xml:space="preserve">ANNEXE </w:t>
      </w:r>
      <w:r>
        <w:rPr>
          <w:rStyle w:val="Lienhypertexte"/>
          <w:rFonts w:ascii="Segoe UI" w:hAnsi="Segoe UI" w:cs="Segoe UI"/>
          <w:b/>
          <w:bCs/>
          <w:noProof/>
          <w:color w:val="000091"/>
          <w:sz w:val="24"/>
          <w:u w:val="none"/>
        </w:rPr>
        <w:t>3</w:t>
      </w:r>
      <w:r w:rsidRPr="003F78EB">
        <w:rPr>
          <w:rStyle w:val="Lienhypertexte"/>
          <w:rFonts w:ascii="Segoe UI" w:hAnsi="Segoe UI" w:cs="Segoe UI"/>
          <w:b/>
          <w:bCs/>
          <w:noProof/>
          <w:color w:val="000091"/>
          <w:sz w:val="24"/>
          <w:u w:val="none"/>
        </w:rPr>
        <w:t xml:space="preserve"> : </w:t>
      </w:r>
      <w:r>
        <w:rPr>
          <w:rStyle w:val="Lienhypertexte"/>
          <w:rFonts w:ascii="Segoe UI" w:hAnsi="Segoe UI" w:cs="Segoe UI"/>
          <w:b/>
          <w:bCs/>
          <w:noProof/>
          <w:color w:val="000091"/>
          <w:sz w:val="24"/>
          <w:u w:val="none"/>
        </w:rPr>
        <w:t xml:space="preserve">Répartition </w:t>
      </w:r>
      <w:r w:rsidR="002352FB">
        <w:rPr>
          <w:rStyle w:val="Lienhypertexte"/>
          <w:rFonts w:ascii="Segoe UI" w:hAnsi="Segoe UI" w:cs="Segoe UI"/>
          <w:b/>
          <w:bCs/>
          <w:noProof/>
          <w:color w:val="000091"/>
          <w:sz w:val="24"/>
          <w:u w:val="none"/>
        </w:rPr>
        <w:t xml:space="preserve">des secteurs de l’assurance générale </w:t>
      </w:r>
    </w:p>
    <w:p w14:paraId="068D3CE8" w14:textId="759BC8AE" w:rsidR="002352FB" w:rsidRDefault="002352FB" w:rsidP="004930E0">
      <w:pPr>
        <w:pStyle w:val="Brvesco-Normal"/>
        <w:spacing w:line="240" w:lineRule="auto"/>
        <w:ind w:left="-284"/>
        <w:rPr>
          <w:rStyle w:val="Lienhypertexte"/>
          <w:rFonts w:ascii="Segoe UI" w:hAnsi="Segoe UI" w:cs="Segoe UI"/>
          <w:b/>
          <w:bCs/>
          <w:noProof/>
          <w:color w:val="000091"/>
          <w:sz w:val="24"/>
          <w:u w:val="none"/>
        </w:rPr>
      </w:pPr>
    </w:p>
    <w:p w14:paraId="08229FEB" w14:textId="746EC4C7" w:rsidR="004930E0" w:rsidRPr="004930E0" w:rsidRDefault="00103463" w:rsidP="004930E0">
      <w:pPr>
        <w:pStyle w:val="Brvesco-Normal"/>
        <w:spacing w:line="240" w:lineRule="auto"/>
        <w:rPr>
          <w:rStyle w:val="Lienhypertexte"/>
          <w:rFonts w:ascii="Segoe UI" w:hAnsi="Segoe UI" w:cs="Segoe UI"/>
          <w:noProof/>
          <w:color w:val="auto"/>
          <w:szCs w:val="20"/>
          <w:u w:val="none"/>
        </w:rPr>
      </w:pPr>
      <w:r>
        <w:rPr>
          <w:rFonts w:ascii="Segoe UI" w:hAnsi="Segoe UI" w:cs="Segoe UI"/>
          <w:b/>
          <w:bCs/>
          <w:noProof/>
          <w:color w:val="000091"/>
          <w:sz w:val="24"/>
        </w:rPr>
        <w:drawing>
          <wp:anchor distT="0" distB="0" distL="114300" distR="114300" simplePos="0" relativeHeight="251666432" behindDoc="1" locked="0" layoutInCell="1" allowOverlap="1" wp14:anchorId="4A6D8703" wp14:editId="23E317FE">
            <wp:simplePos x="0" y="0"/>
            <wp:positionH relativeFrom="margin">
              <wp:align>left</wp:align>
            </wp:positionH>
            <wp:positionV relativeFrom="paragraph">
              <wp:posOffset>5715</wp:posOffset>
            </wp:positionV>
            <wp:extent cx="3209925" cy="2268220"/>
            <wp:effectExtent l="0" t="0" r="0" b="0"/>
            <wp:wrapTight wrapText="bothSides">
              <wp:wrapPolygon edited="0">
                <wp:start x="0" y="0"/>
                <wp:lineTo x="0" y="21406"/>
                <wp:lineTo x="21408" y="21406"/>
                <wp:lineTo x="2140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7">
                      <a:extLst>
                        <a:ext uri="{28A0092B-C50C-407E-A947-70E740481C1C}">
                          <a14:useLocalDpi xmlns:a14="http://schemas.microsoft.com/office/drawing/2010/main" val="0"/>
                        </a:ext>
                      </a:extLst>
                    </a:blip>
                    <a:srcRect t="10940"/>
                    <a:stretch/>
                  </pic:blipFill>
                  <pic:spPr bwMode="auto">
                    <a:xfrm>
                      <a:off x="0" y="0"/>
                      <a:ext cx="3216166" cy="22729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A18935" w14:textId="6005735E" w:rsidR="00B51A27" w:rsidRDefault="00B51A27" w:rsidP="00B51A27">
      <w:pPr>
        <w:pStyle w:val="Brvesco-Normal"/>
        <w:spacing w:line="240" w:lineRule="auto"/>
        <w:rPr>
          <w:rStyle w:val="Lienhypertexte"/>
          <w:rFonts w:ascii="Segoe UI" w:hAnsi="Segoe UI" w:cs="Segoe UI"/>
          <w:b/>
          <w:bCs/>
          <w:noProof/>
          <w:color w:val="auto"/>
          <w:szCs w:val="20"/>
          <w:u w:val="none"/>
        </w:rPr>
      </w:pPr>
    </w:p>
    <w:p w14:paraId="71366EFD" w14:textId="1C5B802B"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213EDD83" w14:textId="03C4AD6E"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2B3E0956" w14:textId="05F900D0"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3CA0D380" w14:textId="00DEA83A"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78E85A8F" w14:textId="04E72793"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32E5E894" w14:textId="391835C1"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70D30B98" w14:textId="6B70C84B"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60C0CBAC" w14:textId="2CE2BFB8" w:rsidR="004930E0" w:rsidRDefault="004930E0" w:rsidP="00B51A27">
      <w:pPr>
        <w:pStyle w:val="Brvesco-Normal"/>
        <w:spacing w:line="240" w:lineRule="auto"/>
        <w:rPr>
          <w:rStyle w:val="Lienhypertexte"/>
          <w:rFonts w:ascii="Segoe UI" w:hAnsi="Segoe UI" w:cs="Segoe UI"/>
          <w:b/>
          <w:bCs/>
          <w:noProof/>
          <w:color w:val="auto"/>
          <w:szCs w:val="20"/>
          <w:u w:val="none"/>
        </w:rPr>
      </w:pPr>
    </w:p>
    <w:p w14:paraId="11E1BCA7" w14:textId="360895D8" w:rsidR="002352FB" w:rsidRDefault="002352FB" w:rsidP="00B51A27">
      <w:pPr>
        <w:pStyle w:val="Brvesco-Normal"/>
        <w:spacing w:line="240" w:lineRule="auto"/>
        <w:rPr>
          <w:rStyle w:val="Lienhypertexte"/>
          <w:rFonts w:ascii="Segoe UI" w:hAnsi="Segoe UI" w:cs="Segoe UI"/>
          <w:b/>
          <w:bCs/>
          <w:noProof/>
          <w:color w:val="auto"/>
          <w:szCs w:val="20"/>
          <w:u w:val="none"/>
        </w:rPr>
      </w:pPr>
    </w:p>
    <w:p w14:paraId="66BE9ED3" w14:textId="77777777" w:rsidR="00103463" w:rsidRDefault="00103463" w:rsidP="002352FB">
      <w:pPr>
        <w:pStyle w:val="Brvesco-Normal"/>
        <w:spacing w:line="240" w:lineRule="auto"/>
        <w:rPr>
          <w:rStyle w:val="Lienhypertexte"/>
          <w:rFonts w:ascii="Segoe UI" w:hAnsi="Segoe UI" w:cs="Segoe UI"/>
          <w:i/>
          <w:iCs/>
          <w:noProof/>
          <w:color w:val="auto"/>
          <w:szCs w:val="20"/>
          <w:u w:val="none"/>
        </w:rPr>
      </w:pPr>
    </w:p>
    <w:p w14:paraId="5D1C714C" w14:textId="77777777" w:rsidR="00103463" w:rsidRDefault="00103463" w:rsidP="002352FB">
      <w:pPr>
        <w:pStyle w:val="Brvesco-Normal"/>
        <w:spacing w:line="240" w:lineRule="auto"/>
        <w:rPr>
          <w:rStyle w:val="Lienhypertexte"/>
          <w:rFonts w:ascii="Segoe UI" w:hAnsi="Segoe UI" w:cs="Segoe UI"/>
          <w:i/>
          <w:iCs/>
          <w:noProof/>
          <w:color w:val="auto"/>
          <w:szCs w:val="20"/>
          <w:u w:val="none"/>
        </w:rPr>
      </w:pPr>
    </w:p>
    <w:p w14:paraId="08130C8A" w14:textId="77777777" w:rsidR="00103463" w:rsidRDefault="00103463" w:rsidP="002352FB">
      <w:pPr>
        <w:pStyle w:val="Brvesco-Normal"/>
        <w:spacing w:line="240" w:lineRule="auto"/>
        <w:rPr>
          <w:rStyle w:val="Lienhypertexte"/>
          <w:rFonts w:ascii="Segoe UI" w:hAnsi="Segoe UI" w:cs="Segoe UI"/>
          <w:i/>
          <w:iCs/>
          <w:noProof/>
          <w:color w:val="auto"/>
          <w:szCs w:val="20"/>
          <w:u w:val="none"/>
        </w:rPr>
      </w:pPr>
    </w:p>
    <w:p w14:paraId="47AE41FF" w14:textId="3C4A2AFE" w:rsidR="00103463" w:rsidRDefault="00496755" w:rsidP="002352FB">
      <w:pPr>
        <w:pStyle w:val="Brvesco-Normal"/>
        <w:spacing w:line="240" w:lineRule="auto"/>
        <w:rPr>
          <w:rStyle w:val="Lienhypertexte"/>
          <w:rFonts w:ascii="Segoe UI" w:hAnsi="Segoe UI" w:cs="Segoe UI"/>
          <w:i/>
          <w:iCs/>
          <w:noProof/>
          <w:color w:val="auto"/>
          <w:szCs w:val="20"/>
          <w:u w:val="none"/>
        </w:rPr>
      </w:pPr>
      <w:r>
        <w:rPr>
          <w:rStyle w:val="Lienhypertexte"/>
          <w:rFonts w:ascii="Segoe UI" w:hAnsi="Segoe UI" w:cs="Segoe UI"/>
          <w:i/>
          <w:iCs/>
          <w:noProof/>
          <w:color w:val="auto"/>
          <w:szCs w:val="20"/>
          <w:u w:val="none"/>
        </w:rPr>
        <w:t>« </w:t>
      </w:r>
      <w:r w:rsidR="00103463">
        <w:rPr>
          <w:rStyle w:val="Lienhypertexte"/>
          <w:rFonts w:ascii="Segoe UI" w:hAnsi="Segoe UI" w:cs="Segoe UI"/>
          <w:i/>
          <w:iCs/>
          <w:noProof/>
          <w:color w:val="auto"/>
          <w:szCs w:val="20"/>
          <w:u w:val="none"/>
        </w:rPr>
        <w:t>motor total</w:t>
      </w:r>
      <w:r>
        <w:rPr>
          <w:rStyle w:val="Lienhypertexte"/>
          <w:rFonts w:ascii="Segoe UI" w:hAnsi="Segoe UI" w:cs="Segoe UI"/>
          <w:i/>
          <w:iCs/>
          <w:noProof/>
          <w:color w:val="auto"/>
          <w:szCs w:val="20"/>
          <w:u w:val="none"/>
        </w:rPr>
        <w:t> »</w:t>
      </w:r>
      <w:r w:rsidR="00103463">
        <w:rPr>
          <w:rStyle w:val="Lienhypertexte"/>
          <w:rFonts w:ascii="Segoe UI" w:hAnsi="Segoe UI" w:cs="Segoe UI"/>
          <w:i/>
          <w:iCs/>
          <w:noProof/>
          <w:color w:val="auto"/>
          <w:szCs w:val="20"/>
          <w:u w:val="none"/>
        </w:rPr>
        <w:t xml:space="preserve"> = assurance automobile </w:t>
      </w:r>
    </w:p>
    <w:p w14:paraId="4613200D" w14:textId="5DD4CC4B" w:rsidR="00425639" w:rsidRPr="00636EB6" w:rsidRDefault="002352FB" w:rsidP="002352FB">
      <w:pPr>
        <w:pStyle w:val="Brvesco-Normal"/>
        <w:spacing w:line="240" w:lineRule="auto"/>
        <w:rPr>
          <w:rFonts w:ascii="Segoe UI" w:hAnsi="Segoe UI" w:cs="Segoe UI"/>
          <w:i/>
          <w:iCs/>
          <w:noProof/>
          <w:color w:val="auto"/>
          <w:szCs w:val="20"/>
        </w:rPr>
      </w:pPr>
      <w:r w:rsidRPr="002352FB">
        <w:rPr>
          <w:rStyle w:val="Lienhypertexte"/>
          <w:rFonts w:ascii="Segoe UI" w:hAnsi="Segoe UI" w:cs="Segoe UI"/>
          <w:i/>
          <w:iCs/>
          <w:noProof/>
          <w:color w:val="auto"/>
          <w:szCs w:val="20"/>
          <w:u w:val="none"/>
        </w:rPr>
        <w:t xml:space="preserve">source : General Insurance Council, IRDAI, données décembre 2024 </w:t>
      </w:r>
    </w:p>
    <w:p w14:paraId="26A51405" w14:textId="77777777" w:rsidR="00425639" w:rsidRDefault="00425639" w:rsidP="002352FB">
      <w:pPr>
        <w:pStyle w:val="Brvesco-Normal"/>
        <w:spacing w:line="240" w:lineRule="auto"/>
        <w:rPr>
          <w:rFonts w:ascii="Segoe UI" w:hAnsi="Segoe UI" w:cs="Segoe UI"/>
          <w:b/>
          <w:color w:val="000091" w:themeColor="text1"/>
          <w:sz w:val="24"/>
          <w:szCs w:val="28"/>
        </w:rPr>
      </w:pPr>
    </w:p>
    <w:p w14:paraId="28D74298" w14:textId="77777777" w:rsidR="00103463" w:rsidRDefault="00103463" w:rsidP="002352FB">
      <w:pPr>
        <w:pStyle w:val="Brvesco-Normal"/>
        <w:spacing w:line="240" w:lineRule="auto"/>
        <w:rPr>
          <w:rFonts w:ascii="Segoe UI" w:hAnsi="Segoe UI" w:cs="Segoe UI"/>
          <w:b/>
          <w:color w:val="000091" w:themeColor="text1"/>
          <w:sz w:val="24"/>
          <w:szCs w:val="28"/>
        </w:rPr>
      </w:pPr>
    </w:p>
    <w:p w14:paraId="6C33BFEA" w14:textId="05946444" w:rsidR="002A0816" w:rsidRPr="00BE2953" w:rsidRDefault="002A0816" w:rsidP="002352FB">
      <w:pPr>
        <w:pStyle w:val="Brvesco-Normal"/>
        <w:spacing w:line="240" w:lineRule="auto"/>
        <w:rPr>
          <w:rFonts w:ascii="Segoe UI" w:hAnsi="Segoe UI" w:cs="Segoe UI"/>
          <w:noProof/>
          <w:color w:val="auto"/>
          <w:szCs w:val="20"/>
        </w:rPr>
      </w:pPr>
      <w:r w:rsidRPr="00415503">
        <w:rPr>
          <w:rFonts w:ascii="Segoe UI" w:hAnsi="Segoe UI" w:cs="Segoe UI"/>
          <w:b/>
          <w:color w:val="000091" w:themeColor="text1"/>
          <w:sz w:val="24"/>
          <w:szCs w:val="28"/>
        </w:rPr>
        <w:t xml:space="preserve">ANNEXE </w:t>
      </w:r>
      <w:r w:rsidR="002352FB">
        <w:rPr>
          <w:rFonts w:ascii="Segoe UI" w:hAnsi="Segoe UI" w:cs="Segoe UI"/>
          <w:b/>
          <w:color w:val="000091" w:themeColor="text1"/>
          <w:sz w:val="24"/>
          <w:szCs w:val="28"/>
        </w:rPr>
        <w:t>4</w:t>
      </w:r>
      <w:r w:rsidR="00B37CFB" w:rsidRPr="00415503">
        <w:rPr>
          <w:rFonts w:ascii="Segoe UI" w:hAnsi="Segoe UI" w:cs="Segoe UI"/>
          <w:b/>
          <w:color w:val="000091" w:themeColor="text1"/>
          <w:sz w:val="24"/>
          <w:szCs w:val="28"/>
        </w:rPr>
        <w:t xml:space="preserve"> : </w:t>
      </w:r>
      <w:r w:rsidRPr="00415503">
        <w:rPr>
          <w:rFonts w:ascii="Segoe UI" w:hAnsi="Segoe UI" w:cs="Segoe UI"/>
          <w:b/>
          <w:color w:val="000091" w:themeColor="text1"/>
          <w:sz w:val="24"/>
          <w:szCs w:val="28"/>
        </w:rPr>
        <w:t>J</w:t>
      </w:r>
      <w:r w:rsidR="002352FB">
        <w:rPr>
          <w:rFonts w:ascii="Segoe UI" w:hAnsi="Segoe UI" w:cs="Segoe UI"/>
          <w:b/>
          <w:color w:val="000091" w:themeColor="text1"/>
          <w:sz w:val="24"/>
          <w:szCs w:val="28"/>
        </w:rPr>
        <w:t>oint-Venture entre b</w:t>
      </w:r>
      <w:r w:rsidRPr="00415503">
        <w:rPr>
          <w:rFonts w:ascii="Segoe UI" w:hAnsi="Segoe UI" w:cs="Segoe UI"/>
          <w:b/>
          <w:color w:val="000091" w:themeColor="text1"/>
          <w:sz w:val="24"/>
          <w:szCs w:val="28"/>
        </w:rPr>
        <w:t>anques indiennes et assureurs étrangers</w:t>
      </w:r>
      <w:r w:rsidR="002352FB">
        <w:rPr>
          <w:rFonts w:ascii="Segoe UI" w:hAnsi="Segoe UI" w:cs="Segoe UI"/>
          <w:b/>
          <w:color w:val="000091" w:themeColor="text1"/>
          <w:sz w:val="24"/>
          <w:szCs w:val="28"/>
        </w:rPr>
        <w:t xml:space="preserve"> : </w:t>
      </w:r>
      <w:r w:rsidRPr="00415503">
        <w:rPr>
          <w:rFonts w:ascii="Segoe UI" w:hAnsi="Segoe UI" w:cs="Segoe UI"/>
          <w:b/>
          <w:color w:val="000091" w:themeColor="text1"/>
          <w:sz w:val="24"/>
          <w:szCs w:val="28"/>
        </w:rPr>
        <w:t xml:space="preserve">les différents acteurs du secteur de l’assurance-vie et générale </w:t>
      </w:r>
    </w:p>
    <w:p w14:paraId="42EC8475" w14:textId="3BCD4792" w:rsidR="002A0816" w:rsidRPr="002A0816" w:rsidRDefault="002A0816" w:rsidP="00756A18">
      <w:pPr>
        <w:pStyle w:val="Brvesco-Normal"/>
        <w:spacing w:line="240" w:lineRule="auto"/>
        <w:ind w:left="-284"/>
        <w:rPr>
          <w:rStyle w:val="Lienhypertexte"/>
          <w:rFonts w:ascii="Segoe UI" w:hAnsi="Segoe UI" w:cs="Segoe UI"/>
          <w:noProof/>
          <w:color w:val="auto"/>
          <w:szCs w:val="20"/>
          <w:u w:val="none"/>
        </w:rPr>
      </w:pPr>
    </w:p>
    <w:tbl>
      <w:tblPr>
        <w:tblStyle w:val="Grilledutableau"/>
        <w:tblW w:w="10161" w:type="dxa"/>
        <w:tblInd w:w="-284" w:type="dxa"/>
        <w:tblLook w:val="04A0" w:firstRow="1" w:lastRow="0" w:firstColumn="1" w:lastColumn="0" w:noHBand="0" w:noVBand="1"/>
      </w:tblPr>
      <w:tblGrid>
        <w:gridCol w:w="3387"/>
        <w:gridCol w:w="3387"/>
        <w:gridCol w:w="3387"/>
      </w:tblGrid>
      <w:tr w:rsidR="002A0816" w14:paraId="735DEAA7" w14:textId="77777777" w:rsidTr="00DB4825">
        <w:trPr>
          <w:trHeight w:val="266"/>
        </w:trPr>
        <w:tc>
          <w:tcPr>
            <w:tcW w:w="3387" w:type="dxa"/>
          </w:tcPr>
          <w:p w14:paraId="6E6719DF" w14:textId="1EB2A90C" w:rsidR="002A0816" w:rsidRPr="005041C4" w:rsidRDefault="002A0816" w:rsidP="00756A18">
            <w:pPr>
              <w:pStyle w:val="Brvesco-Normal"/>
              <w:spacing w:line="240" w:lineRule="auto"/>
              <w:rPr>
                <w:rStyle w:val="Lienhypertexte"/>
                <w:rFonts w:ascii="Segoe UI" w:hAnsi="Segoe UI" w:cs="Segoe UI"/>
                <w:b/>
                <w:bCs/>
                <w:noProof/>
                <w:color w:val="auto"/>
                <w:szCs w:val="20"/>
                <w:u w:val="none"/>
                <w:lang w:val="en-GB"/>
              </w:rPr>
            </w:pPr>
            <w:r w:rsidRPr="005041C4">
              <w:rPr>
                <w:rStyle w:val="Lienhypertexte"/>
                <w:rFonts w:ascii="Segoe UI" w:hAnsi="Segoe UI" w:cs="Segoe UI"/>
                <w:b/>
                <w:bCs/>
                <w:noProof/>
                <w:color w:val="auto"/>
                <w:szCs w:val="20"/>
                <w:u w:val="none"/>
                <w:lang w:val="en-GB"/>
              </w:rPr>
              <w:t xml:space="preserve">Banques </w:t>
            </w:r>
          </w:p>
        </w:tc>
        <w:tc>
          <w:tcPr>
            <w:tcW w:w="3387" w:type="dxa"/>
          </w:tcPr>
          <w:p w14:paraId="04586D09" w14:textId="6D3CF8F5" w:rsidR="002A0816" w:rsidRPr="005041C4" w:rsidRDefault="002A0816" w:rsidP="00756A18">
            <w:pPr>
              <w:pStyle w:val="Brvesco-Normal"/>
              <w:spacing w:line="240" w:lineRule="auto"/>
              <w:rPr>
                <w:rStyle w:val="Lienhypertexte"/>
                <w:rFonts w:ascii="Segoe UI" w:hAnsi="Segoe UI" w:cs="Segoe UI"/>
                <w:b/>
                <w:bCs/>
                <w:noProof/>
                <w:color w:val="auto"/>
                <w:szCs w:val="20"/>
                <w:u w:val="none"/>
                <w:lang w:val="en-GB"/>
              </w:rPr>
            </w:pPr>
            <w:r w:rsidRPr="005041C4">
              <w:rPr>
                <w:rStyle w:val="Lienhypertexte"/>
                <w:rFonts w:ascii="Segoe UI" w:hAnsi="Segoe UI" w:cs="Segoe UI"/>
                <w:b/>
                <w:bCs/>
                <w:noProof/>
                <w:color w:val="auto"/>
                <w:szCs w:val="20"/>
                <w:u w:val="none"/>
                <w:lang w:val="en-GB"/>
              </w:rPr>
              <w:t>Assurance-Vie</w:t>
            </w:r>
          </w:p>
        </w:tc>
        <w:tc>
          <w:tcPr>
            <w:tcW w:w="3387" w:type="dxa"/>
          </w:tcPr>
          <w:p w14:paraId="4F5BB0D6" w14:textId="1E42BE3D" w:rsidR="002A0816" w:rsidRPr="005041C4" w:rsidRDefault="002A0816" w:rsidP="00756A18">
            <w:pPr>
              <w:pStyle w:val="Brvesco-Normal"/>
              <w:spacing w:line="240" w:lineRule="auto"/>
              <w:rPr>
                <w:rStyle w:val="Lienhypertexte"/>
                <w:rFonts w:ascii="Segoe UI" w:hAnsi="Segoe UI" w:cs="Segoe UI"/>
                <w:b/>
                <w:bCs/>
                <w:noProof/>
                <w:color w:val="auto"/>
                <w:szCs w:val="20"/>
                <w:u w:val="none"/>
                <w:lang w:val="en-GB"/>
              </w:rPr>
            </w:pPr>
            <w:r w:rsidRPr="005041C4">
              <w:rPr>
                <w:rStyle w:val="Lienhypertexte"/>
                <w:rFonts w:ascii="Segoe UI" w:hAnsi="Segoe UI" w:cs="Segoe UI"/>
                <w:b/>
                <w:bCs/>
                <w:noProof/>
                <w:color w:val="auto"/>
                <w:szCs w:val="20"/>
                <w:u w:val="none"/>
                <w:lang w:val="en-GB"/>
              </w:rPr>
              <w:t xml:space="preserve">Assurance </w:t>
            </w:r>
            <w:r w:rsidRPr="00CA6729">
              <w:rPr>
                <w:rStyle w:val="Lienhypertexte"/>
                <w:rFonts w:ascii="Segoe UI" w:hAnsi="Segoe UI" w:cs="Segoe UI"/>
                <w:b/>
                <w:bCs/>
                <w:noProof/>
                <w:color w:val="auto"/>
                <w:szCs w:val="20"/>
                <w:u w:val="none"/>
                <w:lang w:val="en-GB"/>
              </w:rPr>
              <w:t>générale</w:t>
            </w:r>
            <w:r w:rsidR="005041C4" w:rsidRPr="00CA6729">
              <w:rPr>
                <w:rStyle w:val="Lienhypertexte"/>
                <w:rFonts w:ascii="Segoe UI" w:hAnsi="Segoe UI" w:cs="Segoe UI"/>
                <w:b/>
                <w:bCs/>
                <w:noProof/>
                <w:color w:val="auto"/>
                <w:szCs w:val="20"/>
                <w:u w:val="none"/>
                <w:lang w:val="en-GB"/>
              </w:rPr>
              <w:t xml:space="preserve"> </w:t>
            </w:r>
            <w:r w:rsidR="005041C4" w:rsidRPr="00CA6729">
              <w:rPr>
                <w:rStyle w:val="Lienhypertexte"/>
                <w:b/>
                <w:bCs/>
                <w:noProof/>
                <w:color w:val="auto"/>
                <w:szCs w:val="20"/>
                <w:lang w:val="en-GB"/>
              </w:rPr>
              <w:t>(non-vie)</w:t>
            </w:r>
          </w:p>
        </w:tc>
      </w:tr>
      <w:tr w:rsidR="002A0816" w:rsidRPr="002A0816" w14:paraId="6E711995" w14:textId="77777777" w:rsidTr="00DB4825">
        <w:trPr>
          <w:trHeight w:val="854"/>
        </w:trPr>
        <w:tc>
          <w:tcPr>
            <w:tcW w:w="3387" w:type="dxa"/>
          </w:tcPr>
          <w:p w14:paraId="75000E56" w14:textId="04B097E2" w:rsidR="002A0816" w:rsidRDefault="002A0816" w:rsidP="00756A18">
            <w:pPr>
              <w:pStyle w:val="Brvesco-Normal"/>
              <w:spacing w:line="240" w:lineRule="auto"/>
              <w:rPr>
                <w:rStyle w:val="Lienhypertexte"/>
                <w:rFonts w:ascii="Segoe UI" w:hAnsi="Segoe UI" w:cs="Segoe UI"/>
                <w:noProof/>
                <w:color w:val="auto"/>
                <w:szCs w:val="20"/>
                <w:u w:val="none"/>
                <w:lang w:val="en-GB"/>
              </w:rPr>
            </w:pPr>
            <w:r>
              <w:rPr>
                <w:rStyle w:val="Lienhypertexte"/>
                <w:rFonts w:ascii="Segoe UI" w:hAnsi="Segoe UI" w:cs="Segoe UI"/>
                <w:noProof/>
                <w:color w:val="auto"/>
                <w:szCs w:val="20"/>
                <w:u w:val="none"/>
                <w:lang w:val="en-GB"/>
              </w:rPr>
              <w:t>SBI</w:t>
            </w:r>
          </w:p>
        </w:tc>
        <w:tc>
          <w:tcPr>
            <w:tcW w:w="3387" w:type="dxa"/>
          </w:tcPr>
          <w:p w14:paraId="1E32FB3F" w14:textId="17060173" w:rsidR="002A0816" w:rsidRPr="002A0816" w:rsidRDefault="002A0816" w:rsidP="00756A18">
            <w:pPr>
              <w:pStyle w:val="Brvesco-Normal"/>
              <w:spacing w:line="240" w:lineRule="auto"/>
              <w:rPr>
                <w:rStyle w:val="Lienhypertexte"/>
                <w:rFonts w:ascii="Segoe UI" w:hAnsi="Segoe UI" w:cs="Segoe UI"/>
                <w:noProof/>
                <w:color w:val="auto"/>
                <w:szCs w:val="20"/>
                <w:u w:val="none"/>
              </w:rPr>
            </w:pPr>
            <w:r w:rsidRPr="002A0816">
              <w:rPr>
                <w:rStyle w:val="Lienhypertexte"/>
                <w:rFonts w:ascii="Segoe UI" w:hAnsi="Segoe UI" w:cs="Segoe UI"/>
                <w:noProof/>
                <w:color w:val="auto"/>
                <w:szCs w:val="20"/>
                <w:u w:val="none"/>
              </w:rPr>
              <w:t xml:space="preserve">SBI Life Insurance </w:t>
            </w:r>
            <w:r w:rsidR="00CA6729">
              <w:rPr>
                <w:rStyle w:val="Lienhypertexte"/>
                <w:rFonts w:ascii="Segoe UI" w:hAnsi="Segoe UI" w:cs="Segoe UI"/>
                <w:noProof/>
                <w:color w:val="auto"/>
                <w:szCs w:val="20"/>
                <w:u w:val="none"/>
              </w:rPr>
              <w:t xml:space="preserve">(en JV avec </w:t>
            </w:r>
            <w:r w:rsidRPr="002A0816">
              <w:rPr>
                <w:rStyle w:val="Lienhypertexte"/>
                <w:rFonts w:ascii="Segoe UI" w:hAnsi="Segoe UI" w:cs="Segoe UI"/>
                <w:noProof/>
                <w:color w:val="auto"/>
                <w:szCs w:val="20"/>
                <w:u w:val="none"/>
              </w:rPr>
              <w:t>BNP Paribas Cardif</w:t>
            </w:r>
            <w:r w:rsidR="00CA6729">
              <w:rPr>
                <w:rStyle w:val="Lienhypertexte"/>
                <w:rFonts w:ascii="Segoe UI" w:hAnsi="Segoe UI" w:cs="Segoe UI"/>
                <w:noProof/>
                <w:color w:val="auto"/>
                <w:szCs w:val="20"/>
                <w:u w:val="none"/>
              </w:rPr>
              <w:t>)</w:t>
            </w:r>
          </w:p>
        </w:tc>
        <w:tc>
          <w:tcPr>
            <w:tcW w:w="3387" w:type="dxa"/>
          </w:tcPr>
          <w:p w14:paraId="24DD590F" w14:textId="20471F1D" w:rsidR="002A0816" w:rsidRPr="002A0816" w:rsidRDefault="002A0816" w:rsidP="00756A18">
            <w:pPr>
              <w:pStyle w:val="Brvesco-Normal"/>
              <w:spacing w:line="240" w:lineRule="auto"/>
              <w:rPr>
                <w:rStyle w:val="Lienhypertexte"/>
                <w:rFonts w:ascii="Segoe UI" w:hAnsi="Segoe UI" w:cs="Segoe UI"/>
                <w:noProof/>
                <w:color w:val="auto"/>
                <w:szCs w:val="20"/>
                <w:u w:val="none"/>
              </w:rPr>
            </w:pPr>
            <w:r w:rsidRPr="002A0816">
              <w:rPr>
                <w:rStyle w:val="Lienhypertexte"/>
                <w:rFonts w:ascii="Segoe UI" w:hAnsi="Segoe UI" w:cs="Segoe UI"/>
                <w:noProof/>
                <w:color w:val="auto"/>
                <w:szCs w:val="20"/>
                <w:u w:val="none"/>
              </w:rPr>
              <w:t>SBI General Insurance (</w:t>
            </w:r>
            <w:r w:rsidR="00CA6729">
              <w:rPr>
                <w:rStyle w:val="Lienhypertexte"/>
                <w:rFonts w:ascii="Segoe UI" w:hAnsi="Segoe UI" w:cs="Segoe UI"/>
                <w:noProof/>
                <w:color w:val="auto"/>
                <w:szCs w:val="20"/>
                <w:u w:val="none"/>
              </w:rPr>
              <w:t>en JV</w:t>
            </w:r>
            <w:r w:rsidRPr="002A0816">
              <w:rPr>
                <w:rStyle w:val="Lienhypertexte"/>
                <w:rFonts w:ascii="Segoe UI" w:hAnsi="Segoe UI" w:cs="Segoe UI"/>
                <w:noProof/>
                <w:color w:val="auto"/>
                <w:szCs w:val="20"/>
                <w:u w:val="none"/>
              </w:rPr>
              <w:t xml:space="preserve"> Insurance Australia Group)</w:t>
            </w:r>
          </w:p>
        </w:tc>
      </w:tr>
      <w:tr w:rsidR="002A0816" w:rsidRPr="002A0816" w14:paraId="08F90D32" w14:textId="77777777" w:rsidTr="00DB4825">
        <w:trPr>
          <w:trHeight w:val="1120"/>
        </w:trPr>
        <w:tc>
          <w:tcPr>
            <w:tcW w:w="3387" w:type="dxa"/>
          </w:tcPr>
          <w:p w14:paraId="03EF53D5" w14:textId="221A4374" w:rsidR="002A0816" w:rsidRDefault="002A0816" w:rsidP="00756A18">
            <w:pPr>
              <w:pStyle w:val="Brvesco-Normal"/>
              <w:spacing w:line="240" w:lineRule="auto"/>
              <w:rPr>
                <w:rStyle w:val="Lienhypertexte"/>
                <w:rFonts w:ascii="Segoe UI" w:hAnsi="Segoe UI" w:cs="Segoe UI"/>
                <w:noProof/>
                <w:color w:val="auto"/>
                <w:szCs w:val="20"/>
                <w:u w:val="none"/>
                <w:lang w:val="en-GB"/>
              </w:rPr>
            </w:pPr>
            <w:r>
              <w:rPr>
                <w:rStyle w:val="Lienhypertexte"/>
                <w:rFonts w:ascii="Segoe UI" w:hAnsi="Segoe UI" w:cs="Segoe UI"/>
                <w:noProof/>
                <w:color w:val="auto"/>
                <w:szCs w:val="20"/>
                <w:u w:val="none"/>
                <w:lang w:val="en-GB"/>
              </w:rPr>
              <w:t>HDFC Bank</w:t>
            </w:r>
          </w:p>
        </w:tc>
        <w:tc>
          <w:tcPr>
            <w:tcW w:w="3387" w:type="dxa"/>
          </w:tcPr>
          <w:p w14:paraId="0F6FB8AC" w14:textId="194BE7C5" w:rsidR="002A0816" w:rsidRPr="002A0816" w:rsidRDefault="002A0816" w:rsidP="00756A18">
            <w:pPr>
              <w:pStyle w:val="Brvesco-Normal"/>
              <w:spacing w:line="240" w:lineRule="auto"/>
              <w:rPr>
                <w:rStyle w:val="Lienhypertexte"/>
                <w:rFonts w:ascii="Segoe UI" w:hAnsi="Segoe UI" w:cs="Segoe UI"/>
                <w:noProof/>
                <w:color w:val="auto"/>
                <w:szCs w:val="20"/>
                <w:u w:val="none"/>
              </w:rPr>
            </w:pPr>
            <w:r w:rsidRPr="002A0816">
              <w:rPr>
                <w:rStyle w:val="Lienhypertexte"/>
                <w:rFonts w:ascii="Segoe UI" w:hAnsi="Segoe UI" w:cs="Segoe UI"/>
                <w:noProof/>
                <w:color w:val="auto"/>
                <w:szCs w:val="20"/>
                <w:u w:val="none"/>
              </w:rPr>
              <w:t>HDFC Life Insurance (fusionnée avec Exide Life</w:t>
            </w:r>
            <w:r w:rsidR="00CA6729">
              <w:rPr>
                <w:rStyle w:val="Lienhypertexte"/>
                <w:rFonts w:ascii="Segoe UI" w:hAnsi="Segoe UI" w:cs="Segoe UI"/>
                <w:noProof/>
                <w:color w:val="auto"/>
                <w:szCs w:val="20"/>
                <w:u w:val="none"/>
              </w:rPr>
              <w:t>, anciennement part de ING au Pays-Bas</w:t>
            </w:r>
            <w:r w:rsidRPr="002A0816">
              <w:rPr>
                <w:rStyle w:val="Lienhypertexte"/>
                <w:rFonts w:ascii="Segoe UI" w:hAnsi="Segoe UI" w:cs="Segoe UI"/>
                <w:noProof/>
                <w:color w:val="auto"/>
                <w:szCs w:val="20"/>
                <w:u w:val="none"/>
              </w:rPr>
              <w:t>)</w:t>
            </w:r>
          </w:p>
        </w:tc>
        <w:tc>
          <w:tcPr>
            <w:tcW w:w="3387" w:type="dxa"/>
          </w:tcPr>
          <w:p w14:paraId="4C0C4AFE" w14:textId="55E92AD6" w:rsidR="002A0816" w:rsidRPr="002A0816" w:rsidRDefault="002A0816" w:rsidP="00756A18">
            <w:pPr>
              <w:pStyle w:val="Brvesco-Normal"/>
              <w:spacing w:line="240" w:lineRule="auto"/>
              <w:rPr>
                <w:rStyle w:val="Lienhypertexte"/>
                <w:rFonts w:ascii="Segoe UI" w:hAnsi="Segoe UI" w:cs="Segoe UI"/>
                <w:noProof/>
                <w:color w:val="auto"/>
                <w:szCs w:val="20"/>
                <w:u w:val="none"/>
              </w:rPr>
            </w:pPr>
            <w:r w:rsidRPr="002A0816">
              <w:rPr>
                <w:rStyle w:val="Lienhypertexte"/>
                <w:rFonts w:ascii="Segoe UI" w:hAnsi="Segoe UI" w:cs="Segoe UI"/>
                <w:noProof/>
                <w:color w:val="auto"/>
                <w:szCs w:val="20"/>
                <w:u w:val="none"/>
              </w:rPr>
              <w:t xml:space="preserve">HDFC ERGO General Insurance (joint-venture avec ERGO, </w:t>
            </w:r>
            <w:r w:rsidR="00CA6729">
              <w:rPr>
                <w:rStyle w:val="Lienhypertexte"/>
                <w:rFonts w:ascii="Segoe UI" w:hAnsi="Segoe UI" w:cs="Segoe UI"/>
                <w:noProof/>
                <w:color w:val="auto"/>
                <w:szCs w:val="20"/>
                <w:u w:val="none"/>
              </w:rPr>
              <w:t xml:space="preserve">filiale de Muniche Re, </w:t>
            </w:r>
            <w:r w:rsidRPr="002A0816">
              <w:rPr>
                <w:rStyle w:val="Lienhypertexte"/>
                <w:rFonts w:ascii="Segoe UI" w:hAnsi="Segoe UI" w:cs="Segoe UI"/>
                <w:noProof/>
                <w:color w:val="auto"/>
                <w:szCs w:val="20"/>
                <w:u w:val="none"/>
              </w:rPr>
              <w:t>Allemagne)</w:t>
            </w:r>
          </w:p>
        </w:tc>
      </w:tr>
      <w:tr w:rsidR="002A0816" w14:paraId="008BFEBE" w14:textId="77777777" w:rsidTr="004B6840">
        <w:trPr>
          <w:trHeight w:val="1914"/>
        </w:trPr>
        <w:tc>
          <w:tcPr>
            <w:tcW w:w="3387" w:type="dxa"/>
          </w:tcPr>
          <w:p w14:paraId="557BE28C" w14:textId="63478F87" w:rsidR="002A0816" w:rsidRDefault="002A0816" w:rsidP="00756A18">
            <w:pPr>
              <w:pStyle w:val="Brvesco-Normal"/>
              <w:spacing w:line="240" w:lineRule="auto"/>
              <w:rPr>
                <w:rStyle w:val="Lienhypertexte"/>
                <w:rFonts w:ascii="Segoe UI" w:hAnsi="Segoe UI" w:cs="Segoe UI"/>
                <w:noProof/>
                <w:color w:val="auto"/>
                <w:szCs w:val="20"/>
                <w:u w:val="none"/>
                <w:lang w:val="en-GB"/>
              </w:rPr>
            </w:pPr>
            <w:r>
              <w:rPr>
                <w:rStyle w:val="Lienhypertexte"/>
                <w:rFonts w:ascii="Segoe UI" w:hAnsi="Segoe UI" w:cs="Segoe UI"/>
                <w:noProof/>
                <w:color w:val="auto"/>
                <w:szCs w:val="20"/>
                <w:u w:val="none"/>
                <w:lang w:val="en-GB"/>
              </w:rPr>
              <w:t xml:space="preserve">ICICI Bank </w:t>
            </w:r>
          </w:p>
        </w:tc>
        <w:tc>
          <w:tcPr>
            <w:tcW w:w="3387" w:type="dxa"/>
          </w:tcPr>
          <w:p w14:paraId="0CAEF538" w14:textId="3438B24D" w:rsidR="002A0816" w:rsidRPr="00E53B24" w:rsidRDefault="002A0816" w:rsidP="00756A18">
            <w:pPr>
              <w:pStyle w:val="Brvesco-Normal"/>
              <w:spacing w:line="240" w:lineRule="auto"/>
              <w:rPr>
                <w:rStyle w:val="Lienhypertexte"/>
                <w:rFonts w:ascii="Segoe UI" w:hAnsi="Segoe UI" w:cs="Segoe UI"/>
                <w:noProof/>
                <w:color w:val="auto"/>
                <w:szCs w:val="20"/>
                <w:u w:val="none"/>
              </w:rPr>
            </w:pPr>
            <w:r w:rsidRPr="00E53B24">
              <w:rPr>
                <w:rStyle w:val="Lienhypertexte"/>
                <w:rFonts w:ascii="Segoe UI" w:hAnsi="Segoe UI" w:cs="Segoe UI"/>
                <w:noProof/>
                <w:color w:val="auto"/>
                <w:szCs w:val="20"/>
                <w:u w:val="none"/>
              </w:rPr>
              <w:t>ICICI Prudential Life Insurance</w:t>
            </w:r>
            <w:r w:rsidR="00CA6729" w:rsidRPr="00E53B24">
              <w:rPr>
                <w:rStyle w:val="Lienhypertexte"/>
                <w:rFonts w:ascii="Segoe UI" w:hAnsi="Segoe UI" w:cs="Segoe UI"/>
                <w:noProof/>
                <w:color w:val="auto"/>
                <w:szCs w:val="20"/>
                <w:u w:val="none"/>
              </w:rPr>
              <w:t xml:space="preserve"> (</w:t>
            </w:r>
            <w:r w:rsidR="00E53B24">
              <w:rPr>
                <w:rStyle w:val="Lienhypertexte"/>
                <w:rFonts w:ascii="Segoe UI" w:hAnsi="Segoe UI" w:cs="Segoe UI"/>
                <w:noProof/>
                <w:color w:val="auto"/>
                <w:szCs w:val="20"/>
                <w:u w:val="none"/>
              </w:rPr>
              <w:t xml:space="preserve">en JV avec Prudential Corporation Holding, </w:t>
            </w:r>
            <w:r w:rsidR="00E53B24" w:rsidRPr="00E53B24">
              <w:rPr>
                <w:rStyle w:val="Lienhypertexte"/>
                <w:rFonts w:ascii="Segoe UI" w:hAnsi="Segoe UI" w:cs="Segoe UI"/>
                <w:noProof/>
                <w:color w:val="auto"/>
                <w:szCs w:val="20"/>
                <w:u w:val="none"/>
              </w:rPr>
              <w:t>une filiale du groupe britannique Prudential</w:t>
            </w:r>
            <w:r w:rsidR="00E53B24">
              <w:rPr>
                <w:rStyle w:val="Lienhypertexte"/>
                <w:rFonts w:ascii="Segoe UI" w:hAnsi="Segoe UI" w:cs="Segoe UI"/>
                <w:noProof/>
                <w:color w:val="auto"/>
                <w:szCs w:val="20"/>
                <w:u w:val="none"/>
              </w:rPr>
              <w:t>)</w:t>
            </w:r>
          </w:p>
        </w:tc>
        <w:tc>
          <w:tcPr>
            <w:tcW w:w="3387" w:type="dxa"/>
          </w:tcPr>
          <w:p w14:paraId="4653E59E" w14:textId="77777777" w:rsidR="00E53B24" w:rsidRDefault="002A0816" w:rsidP="00756A18">
            <w:pPr>
              <w:pStyle w:val="Brvesco-Normal"/>
              <w:spacing w:line="240" w:lineRule="auto"/>
              <w:rPr>
                <w:rStyle w:val="Lienhypertexte"/>
                <w:rFonts w:ascii="Segoe UI" w:hAnsi="Segoe UI" w:cs="Segoe UI"/>
                <w:noProof/>
                <w:color w:val="auto"/>
                <w:szCs w:val="20"/>
                <w:u w:val="none"/>
              </w:rPr>
            </w:pPr>
            <w:r w:rsidRPr="00E53B24">
              <w:rPr>
                <w:rStyle w:val="Lienhypertexte"/>
                <w:rFonts w:ascii="Segoe UI" w:hAnsi="Segoe UI" w:cs="Segoe UI"/>
                <w:noProof/>
                <w:color w:val="auto"/>
                <w:szCs w:val="20"/>
                <w:u w:val="none"/>
              </w:rPr>
              <w:t>ICICI Lombard General Insurance</w:t>
            </w:r>
            <w:r w:rsidR="00E53B24" w:rsidRPr="00E53B24">
              <w:rPr>
                <w:rStyle w:val="Lienhypertexte"/>
                <w:rFonts w:ascii="Segoe UI" w:hAnsi="Segoe UI" w:cs="Segoe UI"/>
                <w:noProof/>
                <w:color w:val="auto"/>
                <w:szCs w:val="20"/>
                <w:u w:val="none"/>
              </w:rPr>
              <w:t xml:space="preserve"> </w:t>
            </w:r>
          </w:p>
          <w:p w14:paraId="2F022F73" w14:textId="239D0D57" w:rsidR="002A0816" w:rsidRPr="00E53B24" w:rsidRDefault="00E53B24" w:rsidP="00756A18">
            <w:pPr>
              <w:pStyle w:val="Brvesco-Normal"/>
              <w:spacing w:line="240" w:lineRule="auto"/>
              <w:rPr>
                <w:rStyle w:val="Lienhypertexte"/>
                <w:rFonts w:ascii="Segoe UI" w:hAnsi="Segoe UI" w:cs="Segoe UI"/>
                <w:noProof/>
                <w:color w:val="auto"/>
                <w:szCs w:val="20"/>
                <w:u w:val="none"/>
              </w:rPr>
            </w:pPr>
            <w:r w:rsidRPr="00E53B24">
              <w:rPr>
                <w:rStyle w:val="Lienhypertexte"/>
                <w:rFonts w:ascii="Segoe UI" w:hAnsi="Segoe UI" w:cs="Segoe UI"/>
                <w:noProof/>
                <w:color w:val="auto"/>
                <w:szCs w:val="20"/>
                <w:u w:val="none"/>
              </w:rPr>
              <w:t>(J</w:t>
            </w:r>
            <w:r>
              <w:rPr>
                <w:rStyle w:val="Lienhypertexte"/>
                <w:rFonts w:ascii="Segoe UI" w:hAnsi="Segoe UI" w:cs="Segoe UI"/>
                <w:noProof/>
                <w:color w:val="auto"/>
                <w:szCs w:val="20"/>
                <w:u w:val="none"/>
              </w:rPr>
              <w:t xml:space="preserve">V avec </w:t>
            </w:r>
            <w:r w:rsidRPr="00E53B24">
              <w:rPr>
                <w:rStyle w:val="Lienhypertexte"/>
                <w:rFonts w:ascii="Segoe UI" w:hAnsi="Segoe UI" w:cs="Segoe UI"/>
                <w:noProof/>
                <w:color w:val="auto"/>
                <w:szCs w:val="20"/>
                <w:u w:val="none"/>
              </w:rPr>
              <w:t>Fairfax Financial Holdings Limited, une société de services financiers basée à Toronto, Canada</w:t>
            </w:r>
            <w:r w:rsidR="004B6840">
              <w:rPr>
                <w:rStyle w:val="Lienhypertexte"/>
                <w:rFonts w:ascii="Segoe UI" w:hAnsi="Segoe UI" w:cs="Segoe UI"/>
                <w:noProof/>
                <w:color w:val="auto"/>
                <w:szCs w:val="20"/>
                <w:u w:val="none"/>
              </w:rPr>
              <w:t>, mais désormais 100% détenue par ICICI</w:t>
            </w:r>
            <w:r>
              <w:rPr>
                <w:rStyle w:val="Lienhypertexte"/>
                <w:rFonts w:ascii="Segoe UI" w:hAnsi="Segoe UI" w:cs="Segoe UI"/>
                <w:noProof/>
                <w:color w:val="auto"/>
                <w:szCs w:val="20"/>
                <w:u w:val="none"/>
              </w:rPr>
              <w:t xml:space="preserve">) </w:t>
            </w:r>
          </w:p>
        </w:tc>
      </w:tr>
      <w:tr w:rsidR="002A0816" w:rsidRPr="00C02D7F" w14:paraId="663F0D03" w14:textId="77777777" w:rsidTr="004B6840">
        <w:trPr>
          <w:trHeight w:val="1701"/>
        </w:trPr>
        <w:tc>
          <w:tcPr>
            <w:tcW w:w="3387" w:type="dxa"/>
          </w:tcPr>
          <w:p w14:paraId="15B864F1" w14:textId="702DF616" w:rsidR="002A0816" w:rsidRDefault="002A0816" w:rsidP="00756A18">
            <w:pPr>
              <w:pStyle w:val="Brvesco-Normal"/>
              <w:spacing w:line="240" w:lineRule="auto"/>
              <w:rPr>
                <w:rStyle w:val="Lienhypertexte"/>
                <w:rFonts w:ascii="Segoe UI" w:hAnsi="Segoe UI" w:cs="Segoe UI"/>
                <w:noProof/>
                <w:color w:val="auto"/>
                <w:szCs w:val="20"/>
                <w:u w:val="none"/>
                <w:lang w:val="en-GB"/>
              </w:rPr>
            </w:pPr>
            <w:r>
              <w:rPr>
                <w:rStyle w:val="Lienhypertexte"/>
                <w:rFonts w:ascii="Segoe UI" w:hAnsi="Segoe UI" w:cs="Segoe UI"/>
                <w:noProof/>
                <w:color w:val="auto"/>
                <w:szCs w:val="20"/>
                <w:u w:val="none"/>
                <w:lang w:val="en-GB"/>
              </w:rPr>
              <w:t xml:space="preserve">Axis Bank </w:t>
            </w:r>
          </w:p>
        </w:tc>
        <w:tc>
          <w:tcPr>
            <w:tcW w:w="3387" w:type="dxa"/>
          </w:tcPr>
          <w:p w14:paraId="7A79268B" w14:textId="7567A05D" w:rsidR="002A0816" w:rsidRDefault="002A0816" w:rsidP="00756A18">
            <w:pPr>
              <w:pStyle w:val="Brvesco-Normal"/>
              <w:spacing w:line="240" w:lineRule="auto"/>
              <w:rPr>
                <w:rStyle w:val="Lienhypertexte"/>
                <w:rFonts w:ascii="Segoe UI" w:hAnsi="Segoe UI" w:cs="Segoe UI"/>
                <w:noProof/>
                <w:color w:val="auto"/>
                <w:szCs w:val="20"/>
                <w:u w:val="none"/>
              </w:rPr>
            </w:pPr>
            <w:r w:rsidRPr="004B6840">
              <w:rPr>
                <w:rStyle w:val="Lienhypertexte"/>
                <w:rFonts w:ascii="Segoe UI" w:hAnsi="Segoe UI" w:cs="Segoe UI"/>
                <w:noProof/>
                <w:color w:val="auto"/>
                <w:szCs w:val="20"/>
                <w:u w:val="none"/>
              </w:rPr>
              <w:t>Max Life Insurance (</w:t>
            </w:r>
            <w:r w:rsidR="0056407B">
              <w:rPr>
                <w:rStyle w:val="Lienhypertexte"/>
                <w:rFonts w:ascii="Segoe UI" w:hAnsi="Segoe UI" w:cs="Segoe UI"/>
                <w:noProof/>
                <w:color w:val="auto"/>
                <w:szCs w:val="20"/>
                <w:u w:val="none"/>
              </w:rPr>
              <w:t>en JV</w:t>
            </w:r>
            <w:r w:rsidR="004B6840" w:rsidRPr="004B6840">
              <w:rPr>
                <w:rStyle w:val="Lienhypertexte"/>
                <w:rFonts w:ascii="Segoe UI" w:hAnsi="Segoe UI" w:cs="Segoe UI"/>
                <w:noProof/>
                <w:color w:val="auto"/>
                <w:szCs w:val="20"/>
                <w:u w:val="none"/>
              </w:rPr>
              <w:t xml:space="preserve"> avec Mitsui Sumitomo Insurance Co. Ltd.</w:t>
            </w:r>
            <w:r w:rsidR="00C02D7F">
              <w:rPr>
                <w:rStyle w:val="Lienhypertexte"/>
                <w:rFonts w:ascii="Segoe UI" w:hAnsi="Segoe UI" w:cs="Segoe UI"/>
                <w:noProof/>
                <w:color w:val="auto"/>
                <w:szCs w:val="20"/>
                <w:u w:val="none"/>
              </w:rPr>
              <w:t xml:space="preserve"> </w:t>
            </w:r>
            <w:r w:rsidR="004B6840" w:rsidRPr="004B6840">
              <w:rPr>
                <w:rStyle w:val="Lienhypertexte"/>
                <w:rFonts w:ascii="Segoe UI" w:hAnsi="Segoe UI" w:cs="Segoe UI"/>
                <w:noProof/>
                <w:color w:val="auto"/>
                <w:szCs w:val="20"/>
                <w:u w:val="none"/>
              </w:rPr>
              <w:t>un assureur japonais</w:t>
            </w:r>
            <w:r w:rsidR="0056407B">
              <w:rPr>
                <w:rStyle w:val="Lienhypertexte"/>
                <w:rFonts w:ascii="Segoe UI" w:hAnsi="Segoe UI" w:cs="Segoe UI"/>
                <w:noProof/>
                <w:color w:val="auto"/>
                <w:szCs w:val="20"/>
                <w:u w:val="none"/>
              </w:rPr>
              <w:t xml:space="preserve"> qui détient 26%</w:t>
            </w:r>
            <w:r w:rsidR="00C02D7F">
              <w:rPr>
                <w:rStyle w:val="Lienhypertexte"/>
                <w:rFonts w:ascii="Segoe UI" w:hAnsi="Segoe UI" w:cs="Segoe UI"/>
                <w:noProof/>
                <w:color w:val="auto"/>
                <w:szCs w:val="20"/>
                <w:u w:val="none"/>
              </w:rPr>
              <w:t>)</w:t>
            </w:r>
          </w:p>
          <w:p w14:paraId="5E053893" w14:textId="2B9AC6D4" w:rsidR="00C02D7F" w:rsidRPr="00C02D7F" w:rsidRDefault="00C02D7F" w:rsidP="00756A18">
            <w:pPr>
              <w:pStyle w:val="Brvesco-Normal"/>
              <w:spacing w:line="240" w:lineRule="auto"/>
              <w:rPr>
                <w:rStyle w:val="Lienhypertexte"/>
                <w:rFonts w:ascii="Segoe UI" w:hAnsi="Segoe UI" w:cs="Segoe UI"/>
                <w:noProof/>
                <w:color w:val="auto"/>
                <w:szCs w:val="20"/>
                <w:u w:val="none"/>
              </w:rPr>
            </w:pPr>
          </w:p>
        </w:tc>
        <w:tc>
          <w:tcPr>
            <w:tcW w:w="3387" w:type="dxa"/>
          </w:tcPr>
          <w:p w14:paraId="095853FA" w14:textId="7CE1CE5C" w:rsidR="002A0816" w:rsidRPr="00C02D7F" w:rsidRDefault="002A0816" w:rsidP="00756A18">
            <w:pPr>
              <w:pStyle w:val="Brvesco-Normal"/>
              <w:spacing w:line="240" w:lineRule="auto"/>
              <w:rPr>
                <w:rStyle w:val="Lienhypertexte"/>
                <w:rFonts w:ascii="Segoe UI" w:hAnsi="Segoe UI" w:cs="Segoe UI"/>
                <w:noProof/>
                <w:color w:val="auto"/>
                <w:szCs w:val="20"/>
                <w:u w:val="none"/>
              </w:rPr>
            </w:pPr>
            <w:r w:rsidRPr="00C02D7F">
              <w:rPr>
                <w:rStyle w:val="Lienhypertexte"/>
                <w:rFonts w:ascii="Segoe UI" w:hAnsi="Segoe UI" w:cs="Segoe UI"/>
                <w:noProof/>
                <w:color w:val="auto"/>
                <w:szCs w:val="20"/>
                <w:u w:val="none"/>
              </w:rPr>
              <w:t xml:space="preserve">TATA AIG </w:t>
            </w:r>
            <w:r w:rsidR="00C02D7F" w:rsidRPr="00C02D7F">
              <w:rPr>
                <w:rStyle w:val="Lienhypertexte"/>
                <w:rFonts w:ascii="Segoe UI" w:hAnsi="Segoe UI" w:cs="Segoe UI"/>
                <w:noProof/>
                <w:color w:val="auto"/>
                <w:szCs w:val="20"/>
                <w:u w:val="none"/>
              </w:rPr>
              <w:t>(en JV avec American International Group (AIG) distributeur officiel assurance général</w:t>
            </w:r>
            <w:r w:rsidR="00C02D7F">
              <w:rPr>
                <w:rStyle w:val="Lienhypertexte"/>
                <w:rFonts w:ascii="Segoe UI" w:hAnsi="Segoe UI" w:cs="Segoe UI"/>
                <w:noProof/>
                <w:color w:val="auto"/>
                <w:szCs w:val="20"/>
                <w:u w:val="none"/>
              </w:rPr>
              <w:t xml:space="preserve">e pour Axis Bank </w:t>
            </w:r>
          </w:p>
        </w:tc>
      </w:tr>
      <w:tr w:rsidR="002A0816" w14:paraId="3DB46BD9" w14:textId="77777777" w:rsidTr="00DB4825">
        <w:trPr>
          <w:trHeight w:val="551"/>
        </w:trPr>
        <w:tc>
          <w:tcPr>
            <w:tcW w:w="3387" w:type="dxa"/>
          </w:tcPr>
          <w:p w14:paraId="1BE328A0" w14:textId="4FEFE93F" w:rsidR="002A0816" w:rsidRDefault="002A0816" w:rsidP="00756A18">
            <w:pPr>
              <w:pStyle w:val="Brvesco-Normal"/>
              <w:spacing w:line="240" w:lineRule="auto"/>
              <w:rPr>
                <w:rStyle w:val="Lienhypertexte"/>
                <w:rFonts w:ascii="Segoe UI" w:hAnsi="Segoe UI" w:cs="Segoe UI"/>
                <w:noProof/>
                <w:color w:val="auto"/>
                <w:szCs w:val="20"/>
                <w:u w:val="none"/>
                <w:lang w:val="en-GB"/>
              </w:rPr>
            </w:pPr>
            <w:r>
              <w:rPr>
                <w:rStyle w:val="Lienhypertexte"/>
                <w:rFonts w:ascii="Segoe UI" w:hAnsi="Segoe UI" w:cs="Segoe UI"/>
                <w:noProof/>
                <w:color w:val="auto"/>
                <w:szCs w:val="20"/>
                <w:u w:val="none"/>
                <w:lang w:val="en-GB"/>
              </w:rPr>
              <w:t>Kotak Mahindra Bank</w:t>
            </w:r>
          </w:p>
        </w:tc>
        <w:tc>
          <w:tcPr>
            <w:tcW w:w="3387" w:type="dxa"/>
          </w:tcPr>
          <w:p w14:paraId="749A3141" w14:textId="219F8309" w:rsidR="002A0816" w:rsidRPr="003C6FE5" w:rsidRDefault="002A0816" w:rsidP="00756A18">
            <w:pPr>
              <w:pStyle w:val="Brvesco-Normal"/>
              <w:spacing w:line="240" w:lineRule="auto"/>
              <w:rPr>
                <w:rStyle w:val="Lienhypertexte"/>
                <w:rFonts w:ascii="Segoe UI" w:hAnsi="Segoe UI" w:cs="Segoe UI"/>
                <w:noProof/>
                <w:color w:val="auto"/>
                <w:szCs w:val="20"/>
                <w:u w:val="none"/>
              </w:rPr>
            </w:pPr>
            <w:r w:rsidRPr="003C6FE5">
              <w:rPr>
                <w:rStyle w:val="Lienhypertexte"/>
                <w:rFonts w:ascii="Segoe UI" w:hAnsi="Segoe UI" w:cs="Segoe UI"/>
                <w:noProof/>
                <w:color w:val="auto"/>
                <w:szCs w:val="20"/>
                <w:u w:val="none"/>
              </w:rPr>
              <w:t>Kotak Life Insurance</w:t>
            </w:r>
            <w:r w:rsidR="003C6FE5" w:rsidRPr="003C6FE5">
              <w:rPr>
                <w:rStyle w:val="Lienhypertexte"/>
                <w:rFonts w:ascii="Segoe UI" w:hAnsi="Segoe UI" w:cs="Segoe UI"/>
                <w:noProof/>
                <w:color w:val="auto"/>
                <w:szCs w:val="20"/>
                <w:u w:val="none"/>
              </w:rPr>
              <w:t xml:space="preserve"> (anciennement e</w:t>
            </w:r>
            <w:r w:rsidR="003C6FE5">
              <w:rPr>
                <w:rStyle w:val="Lienhypertexte"/>
                <w:rFonts w:ascii="Segoe UI" w:hAnsi="Segoe UI" w:cs="Segoe UI"/>
                <w:noProof/>
                <w:color w:val="auto"/>
                <w:szCs w:val="20"/>
                <w:u w:val="none"/>
              </w:rPr>
              <w:t xml:space="preserve">n JV avec </w:t>
            </w:r>
            <w:r w:rsidR="003C6FE5" w:rsidRPr="003C6FE5">
              <w:rPr>
                <w:rStyle w:val="Lienhypertexte"/>
                <w:rFonts w:ascii="Segoe UI" w:hAnsi="Segoe UI" w:cs="Segoe UI"/>
                <w:noProof/>
                <w:color w:val="auto"/>
                <w:szCs w:val="20"/>
                <w:u w:val="none"/>
              </w:rPr>
              <w:t>le groupe sud-africain Old Mutua</w:t>
            </w:r>
            <w:r w:rsidR="003C6FE5">
              <w:rPr>
                <w:rStyle w:val="Lienhypertexte"/>
                <w:rFonts w:ascii="Segoe UI" w:hAnsi="Segoe UI" w:cs="Segoe UI"/>
                <w:noProof/>
                <w:color w:val="auto"/>
                <w:szCs w:val="20"/>
                <w:u w:val="none"/>
              </w:rPr>
              <w:t>l, désormais 100% détenue par Kotak Mahindra Bank)</w:t>
            </w:r>
          </w:p>
        </w:tc>
        <w:tc>
          <w:tcPr>
            <w:tcW w:w="3387" w:type="dxa"/>
          </w:tcPr>
          <w:p w14:paraId="5A606E1E" w14:textId="60F33194" w:rsidR="002A0816" w:rsidRPr="007722C8" w:rsidRDefault="002A0816" w:rsidP="00756A18">
            <w:pPr>
              <w:pStyle w:val="Brvesco-Normal"/>
              <w:spacing w:line="240" w:lineRule="auto"/>
              <w:rPr>
                <w:rStyle w:val="Lienhypertexte"/>
                <w:rFonts w:ascii="Segoe UI" w:hAnsi="Segoe UI" w:cs="Segoe UI"/>
                <w:noProof/>
                <w:color w:val="auto"/>
                <w:szCs w:val="20"/>
                <w:u w:val="none"/>
              </w:rPr>
            </w:pPr>
            <w:r w:rsidRPr="007722C8">
              <w:rPr>
                <w:rStyle w:val="Lienhypertexte"/>
                <w:rFonts w:ascii="Segoe UI" w:hAnsi="Segoe UI" w:cs="Segoe UI"/>
                <w:noProof/>
                <w:color w:val="auto"/>
                <w:szCs w:val="20"/>
                <w:u w:val="none"/>
              </w:rPr>
              <w:t>Kotak General Insurance</w:t>
            </w:r>
            <w:r w:rsidR="003C6FE5" w:rsidRPr="007722C8">
              <w:rPr>
                <w:rStyle w:val="Lienhypertexte"/>
                <w:rFonts w:ascii="Segoe UI" w:hAnsi="Segoe UI" w:cs="Segoe UI"/>
                <w:noProof/>
                <w:color w:val="auto"/>
                <w:szCs w:val="20"/>
                <w:u w:val="none"/>
              </w:rPr>
              <w:t xml:space="preserve"> </w:t>
            </w:r>
            <w:r w:rsidR="007722C8" w:rsidRPr="007722C8">
              <w:rPr>
                <w:rStyle w:val="Lienhypertexte"/>
                <w:rFonts w:ascii="Segoe UI" w:hAnsi="Segoe UI" w:cs="Segoe UI"/>
                <w:noProof/>
                <w:color w:val="auto"/>
                <w:szCs w:val="20"/>
                <w:u w:val="none"/>
              </w:rPr>
              <w:t>(en JV avec</w:t>
            </w:r>
            <w:r w:rsidR="007722C8">
              <w:rPr>
                <w:rStyle w:val="Lienhypertexte"/>
                <w:rFonts w:ascii="Segoe UI" w:hAnsi="Segoe UI" w:cs="Segoe UI"/>
                <w:noProof/>
                <w:color w:val="auto"/>
                <w:szCs w:val="20"/>
                <w:u w:val="none"/>
              </w:rPr>
              <w:t xml:space="preserve"> </w:t>
            </w:r>
            <w:r w:rsidR="007722C8" w:rsidRPr="007722C8">
              <w:rPr>
                <w:rStyle w:val="Lienhypertexte"/>
                <w:rFonts w:ascii="Segoe UI" w:hAnsi="Segoe UI" w:cs="Segoe UI"/>
                <w:noProof/>
                <w:color w:val="auto"/>
                <w:szCs w:val="20"/>
                <w:u w:val="none"/>
              </w:rPr>
              <w:t>Zurich Insurance Group</w:t>
            </w:r>
            <w:r w:rsidR="007722C8">
              <w:rPr>
                <w:rStyle w:val="Lienhypertexte"/>
                <w:rFonts w:ascii="Segoe UI" w:hAnsi="Segoe UI" w:cs="Segoe UI"/>
                <w:noProof/>
                <w:color w:val="auto"/>
                <w:szCs w:val="20"/>
                <w:u w:val="none"/>
              </w:rPr>
              <w:t xml:space="preserve"> qui possède 70%</w:t>
            </w:r>
            <w:r w:rsidR="0056407B">
              <w:rPr>
                <w:rStyle w:val="Lienhypertexte"/>
                <w:rFonts w:ascii="Segoe UI" w:hAnsi="Segoe UI" w:cs="Segoe UI"/>
                <w:noProof/>
                <w:color w:val="auto"/>
                <w:szCs w:val="20"/>
                <w:u w:val="none"/>
              </w:rPr>
              <w:t xml:space="preserve"> des parts) </w:t>
            </w:r>
          </w:p>
        </w:tc>
      </w:tr>
      <w:tr w:rsidR="002A0816" w:rsidRPr="007722C8" w14:paraId="23BE5A01" w14:textId="77777777" w:rsidTr="00DB4825">
        <w:trPr>
          <w:trHeight w:val="1671"/>
        </w:trPr>
        <w:tc>
          <w:tcPr>
            <w:tcW w:w="3387" w:type="dxa"/>
          </w:tcPr>
          <w:p w14:paraId="4D9A3C06" w14:textId="49E46E2F" w:rsidR="002A0816" w:rsidRPr="007722C8" w:rsidRDefault="002A0816" w:rsidP="00756A18">
            <w:pPr>
              <w:pStyle w:val="Brvesco-Normal"/>
              <w:spacing w:line="240" w:lineRule="auto"/>
              <w:rPr>
                <w:rStyle w:val="Lienhypertexte"/>
                <w:rFonts w:ascii="Segoe UI" w:hAnsi="Segoe UI" w:cs="Segoe UI"/>
                <w:noProof/>
                <w:color w:val="auto"/>
                <w:szCs w:val="20"/>
                <w:u w:val="none"/>
              </w:rPr>
            </w:pPr>
            <w:r w:rsidRPr="007722C8">
              <w:rPr>
                <w:rStyle w:val="Lienhypertexte"/>
                <w:rFonts w:ascii="Segoe UI" w:hAnsi="Segoe UI" w:cs="Segoe UI"/>
                <w:noProof/>
                <w:color w:val="auto"/>
                <w:szCs w:val="20"/>
                <w:u w:val="none"/>
              </w:rPr>
              <w:lastRenderedPageBreak/>
              <w:t xml:space="preserve">IDBI Bank </w:t>
            </w:r>
            <w:r w:rsidR="007722C8" w:rsidRPr="007722C8">
              <w:rPr>
                <w:rStyle w:val="Lienhypertexte"/>
                <w:rFonts w:ascii="Segoe UI" w:hAnsi="Segoe UI" w:cs="Segoe UI"/>
                <w:noProof/>
                <w:color w:val="auto"/>
                <w:szCs w:val="20"/>
                <w:u w:val="none"/>
              </w:rPr>
              <w:t>(détenue majoritairement p</w:t>
            </w:r>
            <w:r w:rsidR="007722C8">
              <w:rPr>
                <w:rStyle w:val="Lienhypertexte"/>
                <w:rFonts w:ascii="Segoe UI" w:hAnsi="Segoe UI" w:cs="Segoe UI"/>
                <w:noProof/>
                <w:color w:val="auto"/>
                <w:szCs w:val="20"/>
                <w:u w:val="none"/>
              </w:rPr>
              <w:t xml:space="preserve">ar LIC) </w:t>
            </w:r>
          </w:p>
        </w:tc>
        <w:tc>
          <w:tcPr>
            <w:tcW w:w="3387" w:type="dxa"/>
          </w:tcPr>
          <w:p w14:paraId="28A7ED13" w14:textId="41B0CBE3" w:rsidR="007722C8" w:rsidRPr="007722C8" w:rsidRDefault="007722C8" w:rsidP="00756A18">
            <w:pPr>
              <w:pStyle w:val="Brvesco-Normal"/>
              <w:spacing w:line="240" w:lineRule="auto"/>
              <w:rPr>
                <w:rStyle w:val="Lienhypertexte"/>
                <w:rFonts w:ascii="Segoe UI" w:hAnsi="Segoe UI" w:cs="Segoe UI"/>
                <w:noProof/>
                <w:color w:val="auto"/>
                <w:szCs w:val="20"/>
                <w:u w:val="none"/>
                <w:lang w:val="en-US"/>
              </w:rPr>
            </w:pPr>
            <w:r w:rsidRPr="007722C8">
              <w:rPr>
                <w:rFonts w:ascii="Segoe UI" w:hAnsi="Segoe UI" w:cs="Segoe UI"/>
                <w:lang w:val="en-US"/>
              </w:rPr>
              <w:t>IDBI Federal Life Insurance Company Ltd</w:t>
            </w:r>
            <w:r w:rsidRPr="007722C8">
              <w:rPr>
                <w:rStyle w:val="Lienhypertexte"/>
                <w:rFonts w:ascii="Segoe UI" w:hAnsi="Segoe UI" w:cs="Segoe UI"/>
                <w:noProof/>
                <w:color w:val="auto"/>
                <w:szCs w:val="20"/>
                <w:u w:val="none"/>
                <w:lang w:val="en-US"/>
              </w:rPr>
              <w:t xml:space="preserve"> (</w:t>
            </w:r>
            <w:r>
              <w:rPr>
                <w:rStyle w:val="Lienhypertexte"/>
                <w:rFonts w:ascii="Segoe UI" w:hAnsi="Segoe UI" w:cs="Segoe UI"/>
                <w:noProof/>
                <w:color w:val="auto"/>
                <w:szCs w:val="20"/>
                <w:u w:val="none"/>
                <w:lang w:val="en-US"/>
              </w:rPr>
              <w:t>JV</w:t>
            </w:r>
            <w:r w:rsidRPr="007722C8">
              <w:rPr>
                <w:rStyle w:val="Lienhypertexte"/>
                <w:rFonts w:ascii="Segoe UI" w:hAnsi="Segoe UI" w:cs="Segoe UI"/>
                <w:noProof/>
                <w:color w:val="auto"/>
                <w:szCs w:val="20"/>
                <w:u w:val="none"/>
                <w:lang w:val="en-US"/>
              </w:rPr>
              <w:t xml:space="preserve"> </w:t>
            </w:r>
            <w:r>
              <w:rPr>
                <w:rStyle w:val="Lienhypertexte"/>
                <w:rFonts w:ascii="Segoe UI" w:hAnsi="Segoe UI" w:cs="Segoe UI"/>
                <w:noProof/>
                <w:color w:val="auto"/>
                <w:szCs w:val="20"/>
                <w:u w:val="none"/>
                <w:lang w:val="en-US"/>
              </w:rPr>
              <w:t>avec</w:t>
            </w:r>
            <w:r w:rsidRPr="007722C8">
              <w:rPr>
                <w:rStyle w:val="Lienhypertexte"/>
                <w:rFonts w:ascii="Segoe UI" w:hAnsi="Segoe UI" w:cs="Segoe UI"/>
                <w:noProof/>
                <w:color w:val="auto"/>
                <w:szCs w:val="20"/>
                <w:u w:val="none"/>
                <w:lang w:val="en-US"/>
              </w:rPr>
              <w:t xml:space="preserve"> Federal Bank et Ageas Insurance International NV, un assureur belge</w:t>
            </w:r>
            <w:r>
              <w:rPr>
                <w:rStyle w:val="Lienhypertexte"/>
                <w:rFonts w:ascii="Segoe UI" w:hAnsi="Segoe UI" w:cs="Segoe UI"/>
                <w:noProof/>
                <w:color w:val="auto"/>
                <w:szCs w:val="20"/>
                <w:u w:val="none"/>
                <w:lang w:val="en-US"/>
              </w:rPr>
              <w:t>)</w:t>
            </w:r>
          </w:p>
          <w:p w14:paraId="30FD8401" w14:textId="5B63E15B" w:rsidR="002A0816" w:rsidRPr="007722C8" w:rsidRDefault="002A0816" w:rsidP="00756A18">
            <w:pPr>
              <w:pStyle w:val="Brvesco-Normal"/>
              <w:spacing w:line="240" w:lineRule="auto"/>
              <w:rPr>
                <w:rStyle w:val="Lienhypertexte"/>
                <w:rFonts w:ascii="Segoe UI" w:hAnsi="Segoe UI" w:cs="Segoe UI"/>
                <w:noProof/>
                <w:color w:val="auto"/>
                <w:szCs w:val="20"/>
                <w:u w:val="none"/>
                <w:lang w:val="en-US"/>
              </w:rPr>
            </w:pPr>
          </w:p>
        </w:tc>
        <w:tc>
          <w:tcPr>
            <w:tcW w:w="3387" w:type="dxa"/>
          </w:tcPr>
          <w:p w14:paraId="08BDDB54" w14:textId="3D7DCFFD" w:rsidR="002A0816" w:rsidRPr="007722C8" w:rsidRDefault="000C7148" w:rsidP="00756A18">
            <w:pPr>
              <w:pStyle w:val="Brvesco-Normal"/>
              <w:spacing w:line="240" w:lineRule="auto"/>
              <w:rPr>
                <w:rStyle w:val="Lienhypertexte"/>
                <w:rFonts w:ascii="Segoe UI" w:hAnsi="Segoe UI" w:cs="Segoe UI"/>
                <w:noProof/>
                <w:color w:val="auto"/>
                <w:szCs w:val="20"/>
                <w:u w:val="none"/>
                <w:lang w:val="en-US"/>
              </w:rPr>
            </w:pPr>
            <w:r>
              <w:rPr>
                <w:rStyle w:val="Lienhypertexte"/>
                <w:rFonts w:ascii="Segoe UI" w:hAnsi="Segoe UI" w:cs="Segoe UI"/>
                <w:noProof/>
                <w:color w:val="auto"/>
                <w:szCs w:val="20"/>
                <w:u w:val="none"/>
                <w:lang w:val="en-US"/>
              </w:rPr>
              <w:t xml:space="preserve"> x </w:t>
            </w:r>
          </w:p>
        </w:tc>
      </w:tr>
    </w:tbl>
    <w:p w14:paraId="2B3D41DF" w14:textId="77777777" w:rsidR="003F78EB" w:rsidRPr="007722C8" w:rsidRDefault="003F78EB" w:rsidP="003F78EB">
      <w:pPr>
        <w:jc w:val="both"/>
        <w:rPr>
          <w:b/>
          <w:color w:val="000091" w:themeColor="text1"/>
          <w:sz w:val="24"/>
          <w:szCs w:val="28"/>
          <w:lang w:val="en-US"/>
        </w:rPr>
      </w:pPr>
    </w:p>
    <w:p w14:paraId="4DE1C44C" w14:textId="77777777" w:rsidR="000A1A8E" w:rsidRDefault="000A1A8E" w:rsidP="000A1A8E">
      <w:pPr>
        <w:jc w:val="both"/>
        <w:rPr>
          <w:rFonts w:ascii="Segoe UI" w:hAnsi="Segoe UI" w:cs="Segoe UI"/>
        </w:rPr>
      </w:pPr>
      <w:r w:rsidRPr="000A1A8E">
        <w:rPr>
          <w:rFonts w:ascii="Segoe UI" w:hAnsi="Segoe UI" w:cs="Segoe UI"/>
        </w:rPr>
        <w:t xml:space="preserve">Actuellement, l’Inde compte 26 compagnies d’assurance-vie, dont une seule publique, la Life </w:t>
      </w:r>
      <w:proofErr w:type="spellStart"/>
      <w:r w:rsidRPr="000A1A8E">
        <w:rPr>
          <w:rFonts w:ascii="Segoe UI" w:hAnsi="Segoe UI" w:cs="Segoe UI"/>
        </w:rPr>
        <w:t>Insurance</w:t>
      </w:r>
      <w:proofErr w:type="spellEnd"/>
      <w:r w:rsidRPr="000A1A8E">
        <w:rPr>
          <w:rFonts w:ascii="Segoe UI" w:hAnsi="Segoe UI" w:cs="Segoe UI"/>
        </w:rPr>
        <w:t xml:space="preserve"> Corporation of India (LIC). </w:t>
      </w:r>
    </w:p>
    <w:p w14:paraId="1BC03CA6" w14:textId="21653367" w:rsidR="000A1A8E" w:rsidRDefault="000A1A8E" w:rsidP="000A1A8E">
      <w:pPr>
        <w:jc w:val="both"/>
        <w:rPr>
          <w:rFonts w:ascii="Segoe UI" w:hAnsi="Segoe UI" w:cs="Segoe UI"/>
        </w:rPr>
      </w:pPr>
      <w:r w:rsidRPr="000A1A8E">
        <w:rPr>
          <w:rFonts w:ascii="Segoe UI" w:hAnsi="Segoe UI" w:cs="Segoe UI"/>
        </w:rPr>
        <w:t xml:space="preserve">Le secteur de l’assurance générale comprend 33 </w:t>
      </w:r>
      <w:r w:rsidR="00496755">
        <w:rPr>
          <w:rFonts w:ascii="Segoe UI" w:hAnsi="Segoe UI" w:cs="Segoe UI"/>
        </w:rPr>
        <w:t>assureurs</w:t>
      </w:r>
      <w:r w:rsidRPr="000A1A8E">
        <w:rPr>
          <w:rFonts w:ascii="Segoe UI" w:hAnsi="Segoe UI" w:cs="Segoe UI"/>
        </w:rPr>
        <w:t xml:space="preserve">, couvrant à la fois les segments grand public et entreprises. Le nombre d’assureurs santé indépendants spécialisés est de </w:t>
      </w:r>
      <w:r w:rsidR="00496755">
        <w:rPr>
          <w:rFonts w:ascii="Segoe UI" w:hAnsi="Segoe UI" w:cs="Segoe UI"/>
        </w:rPr>
        <w:t>six</w:t>
      </w:r>
      <w:r w:rsidRPr="000A1A8E">
        <w:rPr>
          <w:rFonts w:ascii="Segoe UI" w:hAnsi="Segoe UI" w:cs="Segoe UI"/>
        </w:rPr>
        <w:t xml:space="preserve">, et le pays dispose également d’environ 13 réassureurs, incluant le réassureur public GIC Re ainsi que des branches de réassureurs étrangers opérant sur le marché indien. </w:t>
      </w:r>
    </w:p>
    <w:p w14:paraId="00EE1F14" w14:textId="658FF1B7" w:rsidR="002352FB" w:rsidRDefault="000A1A8E" w:rsidP="000A1A8E">
      <w:pPr>
        <w:jc w:val="both"/>
        <w:rPr>
          <w:rFonts w:ascii="Segoe UI" w:hAnsi="Segoe UI" w:cs="Segoe UI"/>
        </w:rPr>
      </w:pPr>
      <w:r w:rsidRPr="000A1A8E">
        <w:rPr>
          <w:rFonts w:ascii="Segoe UI" w:hAnsi="Segoe UI" w:cs="Segoe UI"/>
        </w:rPr>
        <w:t>Toutes ces entités sont dûment enregistrées auprès de l’</w:t>
      </w:r>
      <w:proofErr w:type="spellStart"/>
      <w:r w:rsidRPr="000A1A8E">
        <w:rPr>
          <w:rFonts w:ascii="Segoe UI" w:hAnsi="Segoe UI" w:cs="Segoe UI"/>
        </w:rPr>
        <w:t>Insurance</w:t>
      </w:r>
      <w:proofErr w:type="spellEnd"/>
      <w:r w:rsidRPr="000A1A8E">
        <w:rPr>
          <w:rFonts w:ascii="Segoe UI" w:hAnsi="Segoe UI" w:cs="Segoe UI"/>
        </w:rPr>
        <w:t xml:space="preserve"> </w:t>
      </w:r>
      <w:proofErr w:type="spellStart"/>
      <w:r w:rsidRPr="000A1A8E">
        <w:rPr>
          <w:rFonts w:ascii="Segoe UI" w:hAnsi="Segoe UI" w:cs="Segoe UI"/>
        </w:rPr>
        <w:t>Regulatory</w:t>
      </w:r>
      <w:proofErr w:type="spellEnd"/>
      <w:r w:rsidRPr="000A1A8E">
        <w:rPr>
          <w:rFonts w:ascii="Segoe UI" w:hAnsi="Segoe UI" w:cs="Segoe UI"/>
        </w:rPr>
        <w:t xml:space="preserve"> &amp; </w:t>
      </w:r>
      <w:proofErr w:type="spellStart"/>
      <w:r w:rsidRPr="000A1A8E">
        <w:rPr>
          <w:rFonts w:ascii="Segoe UI" w:hAnsi="Segoe UI" w:cs="Segoe UI"/>
        </w:rPr>
        <w:t>Development</w:t>
      </w:r>
      <w:proofErr w:type="spellEnd"/>
      <w:r w:rsidRPr="000A1A8E">
        <w:rPr>
          <w:rFonts w:ascii="Segoe UI" w:hAnsi="Segoe UI" w:cs="Segoe UI"/>
        </w:rPr>
        <w:t xml:space="preserve"> </w:t>
      </w:r>
      <w:proofErr w:type="spellStart"/>
      <w:r w:rsidRPr="000A1A8E">
        <w:rPr>
          <w:rFonts w:ascii="Segoe UI" w:hAnsi="Segoe UI" w:cs="Segoe UI"/>
        </w:rPr>
        <w:t>Authority</w:t>
      </w:r>
      <w:proofErr w:type="spellEnd"/>
      <w:r w:rsidRPr="000A1A8E">
        <w:rPr>
          <w:rFonts w:ascii="Segoe UI" w:hAnsi="Segoe UI" w:cs="Segoe UI"/>
        </w:rPr>
        <w:t xml:space="preserve"> of India (IRDAI), l’autorité de régulation et de développement du secteur</w:t>
      </w:r>
      <w:r w:rsidR="00496755">
        <w:rPr>
          <w:rFonts w:ascii="Segoe UI" w:hAnsi="Segoe UI" w:cs="Segoe UI"/>
        </w:rPr>
        <w:t xml:space="preserve"> assurantiel. </w:t>
      </w:r>
    </w:p>
    <w:p w14:paraId="7D2BAD37" w14:textId="77777777" w:rsidR="000C7148" w:rsidRPr="000C7148" w:rsidRDefault="000C7148" w:rsidP="002352FB">
      <w:pPr>
        <w:jc w:val="both"/>
        <w:rPr>
          <w:rFonts w:ascii="Segoe UI" w:hAnsi="Segoe UI" w:cs="Segoe UI"/>
          <w:b/>
          <w:color w:val="000091" w:themeColor="text1"/>
          <w:sz w:val="28"/>
          <w:szCs w:val="32"/>
        </w:rPr>
      </w:pPr>
    </w:p>
    <w:p w14:paraId="4C61D174" w14:textId="182198F4" w:rsidR="0089454B" w:rsidRPr="00415503" w:rsidRDefault="0089454B" w:rsidP="0089454B">
      <w:pPr>
        <w:rPr>
          <w:rFonts w:ascii="Segoe UI" w:hAnsi="Segoe UI" w:cs="Segoe UI"/>
          <w:b/>
          <w:color w:val="000091" w:themeColor="text1"/>
          <w:sz w:val="24"/>
          <w:szCs w:val="28"/>
        </w:rPr>
      </w:pPr>
      <w:r w:rsidRPr="00415503">
        <w:rPr>
          <w:rFonts w:ascii="Segoe UI" w:hAnsi="Segoe UI" w:cs="Segoe UI"/>
          <w:b/>
          <w:color w:val="000091" w:themeColor="text1"/>
          <w:sz w:val="24"/>
          <w:szCs w:val="28"/>
        </w:rPr>
        <w:t xml:space="preserve">ANNEXE </w:t>
      </w:r>
      <w:r w:rsidR="002352FB">
        <w:rPr>
          <w:rFonts w:ascii="Segoe UI" w:hAnsi="Segoe UI" w:cs="Segoe UI"/>
          <w:b/>
          <w:color w:val="000091" w:themeColor="text1"/>
          <w:sz w:val="24"/>
          <w:szCs w:val="28"/>
        </w:rPr>
        <w:t>6</w:t>
      </w:r>
      <w:r w:rsidR="00F37818" w:rsidRPr="00415503">
        <w:rPr>
          <w:rFonts w:ascii="Segoe UI" w:hAnsi="Segoe UI" w:cs="Segoe UI"/>
          <w:b/>
          <w:color w:val="000091" w:themeColor="text1"/>
          <w:sz w:val="24"/>
          <w:szCs w:val="28"/>
        </w:rPr>
        <w:t xml:space="preserve"> </w:t>
      </w:r>
      <w:r w:rsidR="00521315" w:rsidRPr="00415503">
        <w:rPr>
          <w:rFonts w:ascii="Segoe UI" w:hAnsi="Segoe UI" w:cs="Segoe UI"/>
          <w:b/>
          <w:color w:val="000091" w:themeColor="text1"/>
          <w:sz w:val="24"/>
          <w:szCs w:val="28"/>
        </w:rPr>
        <w:t xml:space="preserve">: Inventaire des initiatives publiques indiennes </w:t>
      </w:r>
    </w:p>
    <w:p w14:paraId="609DC483" w14:textId="305EC9F9" w:rsidR="00986685" w:rsidRPr="00986685" w:rsidRDefault="00986685" w:rsidP="00986685">
      <w:pPr>
        <w:pStyle w:val="Paragraphedeliste"/>
        <w:numPr>
          <w:ilvl w:val="0"/>
          <w:numId w:val="21"/>
        </w:numPr>
        <w:jc w:val="both"/>
        <w:rPr>
          <w:rFonts w:ascii="Segoe UI" w:hAnsi="Segoe UI" w:cs="Segoe UI"/>
          <w:bCs/>
          <w:sz w:val="20"/>
        </w:rPr>
      </w:pPr>
      <w:proofErr w:type="spellStart"/>
      <w:r w:rsidRPr="00986685">
        <w:rPr>
          <w:rFonts w:ascii="Segoe UI" w:hAnsi="Segoe UI" w:cs="Segoe UI"/>
          <w:b/>
          <w:sz w:val="20"/>
        </w:rPr>
        <w:t>Ayushman</w:t>
      </w:r>
      <w:proofErr w:type="spellEnd"/>
      <w:r w:rsidRPr="00986685">
        <w:rPr>
          <w:rFonts w:ascii="Segoe UI" w:hAnsi="Segoe UI" w:cs="Segoe UI"/>
          <w:b/>
          <w:sz w:val="20"/>
        </w:rPr>
        <w:t xml:space="preserve"> Bharat </w:t>
      </w:r>
      <w:proofErr w:type="spellStart"/>
      <w:r w:rsidRPr="00986685">
        <w:rPr>
          <w:rFonts w:ascii="Segoe UI" w:hAnsi="Segoe UI" w:cs="Segoe UI"/>
          <w:b/>
          <w:sz w:val="20"/>
        </w:rPr>
        <w:t>Yojana</w:t>
      </w:r>
      <w:proofErr w:type="spellEnd"/>
      <w:r w:rsidRPr="00986685">
        <w:rPr>
          <w:rFonts w:ascii="Segoe UI" w:hAnsi="Segoe UI" w:cs="Segoe UI"/>
          <w:bCs/>
          <w:sz w:val="20"/>
        </w:rPr>
        <w:t xml:space="preserve"> : Le plus vaste programme d’assurance-santé publique au monde, lancé en septembre 2018, visant à offrir une couverture santé universelle, en particulier pour les populations les plus vulnérables.</w:t>
      </w:r>
    </w:p>
    <w:p w14:paraId="5B4CFEAF" w14:textId="70699D3F" w:rsidR="00986685" w:rsidRPr="00986685" w:rsidRDefault="00986685" w:rsidP="00986685">
      <w:pPr>
        <w:pStyle w:val="Paragraphedeliste"/>
        <w:numPr>
          <w:ilvl w:val="0"/>
          <w:numId w:val="21"/>
        </w:numPr>
        <w:jc w:val="both"/>
        <w:rPr>
          <w:rFonts w:ascii="Segoe UI" w:hAnsi="Segoe UI" w:cs="Segoe UI"/>
          <w:bCs/>
          <w:sz w:val="20"/>
        </w:rPr>
      </w:pPr>
      <w:proofErr w:type="spellStart"/>
      <w:r w:rsidRPr="00986685">
        <w:rPr>
          <w:rFonts w:ascii="Segoe UI" w:hAnsi="Segoe UI" w:cs="Segoe UI"/>
          <w:b/>
          <w:sz w:val="20"/>
        </w:rPr>
        <w:t>Bima</w:t>
      </w:r>
      <w:proofErr w:type="spellEnd"/>
      <w:r w:rsidRPr="00986685">
        <w:rPr>
          <w:rFonts w:ascii="Segoe UI" w:hAnsi="Segoe UI" w:cs="Segoe UI"/>
          <w:b/>
          <w:sz w:val="20"/>
        </w:rPr>
        <w:t xml:space="preserve"> Trinity</w:t>
      </w:r>
      <w:r w:rsidRPr="00986685">
        <w:rPr>
          <w:rFonts w:ascii="Segoe UI" w:hAnsi="Segoe UI" w:cs="Segoe UI"/>
          <w:bCs/>
          <w:sz w:val="20"/>
        </w:rPr>
        <w:t xml:space="preserve"> : Une initiative de l’IRDAI visant à offrir une couverture d’assurance pour tous d’ici 2047, articulée autour de trois volets :</w:t>
      </w:r>
    </w:p>
    <w:p w14:paraId="4E36C7E3" w14:textId="5FAB012E" w:rsidR="00986685" w:rsidRPr="00986685" w:rsidRDefault="00986685" w:rsidP="00986685">
      <w:pPr>
        <w:pStyle w:val="Paragraphedeliste"/>
        <w:numPr>
          <w:ilvl w:val="0"/>
          <w:numId w:val="23"/>
        </w:numPr>
        <w:jc w:val="both"/>
        <w:rPr>
          <w:rFonts w:ascii="Segoe UI" w:hAnsi="Segoe UI" w:cs="Segoe UI"/>
          <w:bCs/>
          <w:sz w:val="20"/>
        </w:rPr>
      </w:pPr>
      <w:proofErr w:type="spellStart"/>
      <w:r w:rsidRPr="00986685">
        <w:rPr>
          <w:rFonts w:ascii="Segoe UI" w:hAnsi="Segoe UI" w:cs="Segoe UI"/>
          <w:bCs/>
          <w:sz w:val="20"/>
        </w:rPr>
        <w:t>Bima</w:t>
      </w:r>
      <w:proofErr w:type="spellEnd"/>
      <w:r w:rsidRPr="00986685">
        <w:rPr>
          <w:rFonts w:ascii="Segoe UI" w:hAnsi="Segoe UI" w:cs="Segoe UI"/>
          <w:bCs/>
          <w:sz w:val="20"/>
        </w:rPr>
        <w:t xml:space="preserve"> </w:t>
      </w:r>
      <w:proofErr w:type="spellStart"/>
      <w:r w:rsidRPr="00986685">
        <w:rPr>
          <w:rFonts w:ascii="Segoe UI" w:hAnsi="Segoe UI" w:cs="Segoe UI"/>
          <w:bCs/>
          <w:sz w:val="20"/>
        </w:rPr>
        <w:t>Sugam</w:t>
      </w:r>
      <w:proofErr w:type="spellEnd"/>
      <w:r w:rsidRPr="00986685">
        <w:rPr>
          <w:rFonts w:ascii="Segoe UI" w:hAnsi="Segoe UI" w:cs="Segoe UI"/>
          <w:bCs/>
          <w:sz w:val="20"/>
        </w:rPr>
        <w:t xml:space="preserve"> : Une place de marché numérique pour la vente, le service et le traitement des sinistres d’assurances vie et </w:t>
      </w:r>
      <w:r w:rsidR="00321D41">
        <w:rPr>
          <w:rFonts w:ascii="Segoe UI" w:hAnsi="Segoe UI" w:cs="Segoe UI"/>
          <w:bCs/>
          <w:sz w:val="20"/>
        </w:rPr>
        <w:t xml:space="preserve">générale ; </w:t>
      </w:r>
    </w:p>
    <w:p w14:paraId="4281ECB3" w14:textId="0B60891E" w:rsidR="00986685" w:rsidRPr="00986685" w:rsidRDefault="00986685" w:rsidP="00986685">
      <w:pPr>
        <w:pStyle w:val="Paragraphedeliste"/>
        <w:numPr>
          <w:ilvl w:val="0"/>
          <w:numId w:val="23"/>
        </w:numPr>
        <w:jc w:val="both"/>
        <w:rPr>
          <w:rFonts w:ascii="Segoe UI" w:hAnsi="Segoe UI" w:cs="Segoe UI"/>
          <w:bCs/>
          <w:sz w:val="20"/>
        </w:rPr>
      </w:pPr>
      <w:proofErr w:type="spellStart"/>
      <w:r w:rsidRPr="00986685">
        <w:rPr>
          <w:rFonts w:ascii="Segoe UI" w:hAnsi="Segoe UI" w:cs="Segoe UI"/>
          <w:bCs/>
          <w:sz w:val="20"/>
        </w:rPr>
        <w:t>Bima</w:t>
      </w:r>
      <w:proofErr w:type="spellEnd"/>
      <w:r w:rsidRPr="00986685">
        <w:rPr>
          <w:rFonts w:ascii="Segoe UI" w:hAnsi="Segoe UI" w:cs="Segoe UI"/>
          <w:bCs/>
          <w:sz w:val="20"/>
        </w:rPr>
        <w:t xml:space="preserve"> </w:t>
      </w:r>
      <w:proofErr w:type="spellStart"/>
      <w:r w:rsidRPr="00986685">
        <w:rPr>
          <w:rFonts w:ascii="Segoe UI" w:hAnsi="Segoe UI" w:cs="Segoe UI"/>
          <w:bCs/>
          <w:sz w:val="20"/>
        </w:rPr>
        <w:t>Vistaar</w:t>
      </w:r>
      <w:proofErr w:type="spellEnd"/>
      <w:r w:rsidRPr="00986685">
        <w:rPr>
          <w:rFonts w:ascii="Segoe UI" w:hAnsi="Segoe UI" w:cs="Segoe UI"/>
          <w:bCs/>
          <w:sz w:val="20"/>
        </w:rPr>
        <w:t xml:space="preserve"> : Un produit d’assurance composite couvrant décès, accident personnel, dommages matériels et hospitalisation suite à une chirurgie, à un tarif abordable</w:t>
      </w:r>
      <w:r w:rsidR="00F1154A">
        <w:rPr>
          <w:rFonts w:ascii="Segoe UI" w:hAnsi="Segoe UI" w:cs="Segoe UI"/>
          <w:bCs/>
          <w:sz w:val="20"/>
        </w:rPr>
        <w:t xml:space="preserve"> ; </w:t>
      </w:r>
    </w:p>
    <w:p w14:paraId="13FD47B9" w14:textId="77777777" w:rsidR="00F1154A" w:rsidRDefault="00986685" w:rsidP="00C11F7F">
      <w:pPr>
        <w:pStyle w:val="Paragraphedeliste"/>
        <w:numPr>
          <w:ilvl w:val="0"/>
          <w:numId w:val="22"/>
        </w:numPr>
        <w:jc w:val="both"/>
        <w:rPr>
          <w:rFonts w:ascii="Segoe UI" w:hAnsi="Segoe UI" w:cs="Segoe UI"/>
          <w:bCs/>
          <w:sz w:val="20"/>
        </w:rPr>
      </w:pPr>
      <w:proofErr w:type="spellStart"/>
      <w:r w:rsidRPr="00F1154A">
        <w:rPr>
          <w:rFonts w:ascii="Segoe UI" w:hAnsi="Segoe UI" w:cs="Segoe UI"/>
          <w:bCs/>
          <w:sz w:val="20"/>
        </w:rPr>
        <w:t>Bima</w:t>
      </w:r>
      <w:proofErr w:type="spellEnd"/>
      <w:r w:rsidRPr="00F1154A">
        <w:rPr>
          <w:rFonts w:ascii="Segoe UI" w:hAnsi="Segoe UI" w:cs="Segoe UI"/>
          <w:bCs/>
          <w:sz w:val="20"/>
        </w:rPr>
        <w:t xml:space="preserve"> </w:t>
      </w:r>
      <w:proofErr w:type="spellStart"/>
      <w:r w:rsidRPr="00F1154A">
        <w:rPr>
          <w:rFonts w:ascii="Segoe UI" w:hAnsi="Segoe UI" w:cs="Segoe UI"/>
          <w:bCs/>
          <w:sz w:val="20"/>
        </w:rPr>
        <w:t>Vaahak</w:t>
      </w:r>
      <w:proofErr w:type="spellEnd"/>
      <w:r w:rsidRPr="00F1154A">
        <w:rPr>
          <w:rFonts w:ascii="Segoe UI" w:hAnsi="Segoe UI" w:cs="Segoe UI"/>
          <w:bCs/>
          <w:sz w:val="20"/>
        </w:rPr>
        <w:t xml:space="preserve"> : </w:t>
      </w:r>
      <w:r w:rsidR="00F1154A" w:rsidRPr="00F1154A">
        <w:rPr>
          <w:rFonts w:ascii="Segoe UI" w:hAnsi="Segoe UI" w:cs="Segoe UI"/>
          <w:bCs/>
          <w:sz w:val="20"/>
        </w:rPr>
        <w:t>Il s’agit</w:t>
      </w:r>
      <w:r w:rsidR="00744D2D" w:rsidRPr="00F1154A">
        <w:rPr>
          <w:rFonts w:ascii="Segoe UI" w:hAnsi="Segoe UI" w:cs="Segoe UI"/>
          <w:bCs/>
          <w:sz w:val="20"/>
        </w:rPr>
        <w:t xml:space="preserve"> d</w:t>
      </w:r>
      <w:r w:rsidR="00F1154A" w:rsidRPr="00F1154A">
        <w:rPr>
          <w:rFonts w:ascii="Segoe UI" w:hAnsi="Segoe UI" w:cs="Segoe UI"/>
          <w:bCs/>
          <w:sz w:val="20"/>
        </w:rPr>
        <w:t>’</w:t>
      </w:r>
      <w:r w:rsidR="00744D2D" w:rsidRPr="00F1154A">
        <w:rPr>
          <w:rFonts w:ascii="Segoe UI" w:hAnsi="Segoe UI" w:cs="Segoe UI"/>
          <w:bCs/>
          <w:sz w:val="20"/>
        </w:rPr>
        <w:t xml:space="preserve">intermédiaires locaux, souvent des femmes, </w:t>
      </w:r>
      <w:r w:rsidRPr="00F1154A">
        <w:rPr>
          <w:rFonts w:ascii="Segoe UI" w:hAnsi="Segoe UI" w:cs="Segoe UI"/>
          <w:bCs/>
          <w:sz w:val="20"/>
        </w:rPr>
        <w:t>déployée</w:t>
      </w:r>
      <w:r w:rsidR="00744D2D" w:rsidRPr="00F1154A">
        <w:rPr>
          <w:rFonts w:ascii="Segoe UI" w:hAnsi="Segoe UI" w:cs="Segoe UI"/>
          <w:bCs/>
          <w:sz w:val="20"/>
        </w:rPr>
        <w:t xml:space="preserve">s </w:t>
      </w:r>
      <w:r w:rsidRPr="00F1154A">
        <w:rPr>
          <w:rFonts w:ascii="Segoe UI" w:hAnsi="Segoe UI" w:cs="Segoe UI"/>
          <w:bCs/>
          <w:sz w:val="20"/>
        </w:rPr>
        <w:t xml:space="preserve">en zones rurales, </w:t>
      </w:r>
      <w:r w:rsidR="00F1154A" w:rsidRPr="00F1154A">
        <w:rPr>
          <w:rFonts w:ascii="Segoe UI" w:hAnsi="Segoe UI" w:cs="Segoe UI"/>
          <w:bCs/>
          <w:sz w:val="20"/>
        </w:rPr>
        <w:t>afin de</w:t>
      </w:r>
      <w:r w:rsidRPr="00F1154A">
        <w:rPr>
          <w:rFonts w:ascii="Segoe UI" w:hAnsi="Segoe UI" w:cs="Segoe UI"/>
          <w:bCs/>
          <w:sz w:val="20"/>
        </w:rPr>
        <w:t xml:space="preserve"> sensibiliser et convaincre l</w:t>
      </w:r>
      <w:r w:rsidR="00F1154A" w:rsidRPr="00F1154A">
        <w:rPr>
          <w:rFonts w:ascii="Segoe UI" w:hAnsi="Segoe UI" w:cs="Segoe UI"/>
          <w:bCs/>
          <w:sz w:val="20"/>
        </w:rPr>
        <w:t xml:space="preserve">a population féminine </w:t>
      </w:r>
      <w:r w:rsidRPr="00F1154A">
        <w:rPr>
          <w:rFonts w:ascii="Segoe UI" w:hAnsi="Segoe UI" w:cs="Segoe UI"/>
          <w:bCs/>
          <w:sz w:val="20"/>
        </w:rPr>
        <w:t>de</w:t>
      </w:r>
      <w:r w:rsidR="00F1154A" w:rsidRPr="00F1154A">
        <w:rPr>
          <w:rFonts w:ascii="Segoe UI" w:hAnsi="Segoe UI" w:cs="Segoe UI"/>
          <w:bCs/>
          <w:sz w:val="20"/>
        </w:rPr>
        <w:t xml:space="preserve"> souscrire à une assurance complète</w:t>
      </w:r>
      <w:r w:rsidR="00F1154A">
        <w:rPr>
          <w:rFonts w:ascii="Segoe UI" w:hAnsi="Segoe UI" w:cs="Segoe UI"/>
          <w:bCs/>
          <w:sz w:val="20"/>
        </w:rPr>
        <w:t xml:space="preserve"> ; </w:t>
      </w:r>
    </w:p>
    <w:p w14:paraId="3598EDE6" w14:textId="29965329" w:rsidR="002352FB" w:rsidRPr="00F1154A" w:rsidRDefault="00986685" w:rsidP="00C11F7F">
      <w:pPr>
        <w:pStyle w:val="Paragraphedeliste"/>
        <w:numPr>
          <w:ilvl w:val="0"/>
          <w:numId w:val="22"/>
        </w:numPr>
        <w:jc w:val="both"/>
        <w:rPr>
          <w:rFonts w:ascii="Segoe UI" w:hAnsi="Segoe UI" w:cs="Segoe UI"/>
          <w:bCs/>
          <w:sz w:val="20"/>
        </w:rPr>
      </w:pPr>
      <w:proofErr w:type="spellStart"/>
      <w:r w:rsidRPr="00F1154A">
        <w:rPr>
          <w:rFonts w:ascii="Segoe UI" w:hAnsi="Segoe UI" w:cs="Segoe UI"/>
          <w:b/>
          <w:sz w:val="20"/>
        </w:rPr>
        <w:t>Pradhan</w:t>
      </w:r>
      <w:proofErr w:type="spellEnd"/>
      <w:r w:rsidRPr="00F1154A">
        <w:rPr>
          <w:rFonts w:ascii="Segoe UI" w:hAnsi="Segoe UI" w:cs="Segoe UI"/>
          <w:b/>
          <w:sz w:val="20"/>
        </w:rPr>
        <w:t xml:space="preserve"> </w:t>
      </w:r>
      <w:proofErr w:type="spellStart"/>
      <w:r w:rsidRPr="00F1154A">
        <w:rPr>
          <w:rFonts w:ascii="Segoe UI" w:hAnsi="Segoe UI" w:cs="Segoe UI"/>
          <w:b/>
          <w:sz w:val="20"/>
        </w:rPr>
        <w:t>Mantri</w:t>
      </w:r>
      <w:proofErr w:type="spellEnd"/>
      <w:r w:rsidRPr="00F1154A">
        <w:rPr>
          <w:rFonts w:ascii="Segoe UI" w:hAnsi="Segoe UI" w:cs="Segoe UI"/>
          <w:b/>
          <w:sz w:val="20"/>
        </w:rPr>
        <w:t xml:space="preserve"> Jan </w:t>
      </w:r>
      <w:proofErr w:type="spellStart"/>
      <w:r w:rsidRPr="00F1154A">
        <w:rPr>
          <w:rFonts w:ascii="Segoe UI" w:hAnsi="Segoe UI" w:cs="Segoe UI"/>
          <w:b/>
          <w:sz w:val="20"/>
        </w:rPr>
        <w:t>Arogya</w:t>
      </w:r>
      <w:proofErr w:type="spellEnd"/>
      <w:r w:rsidRPr="00F1154A">
        <w:rPr>
          <w:rFonts w:ascii="Segoe UI" w:hAnsi="Segoe UI" w:cs="Segoe UI"/>
          <w:b/>
          <w:sz w:val="20"/>
        </w:rPr>
        <w:t xml:space="preserve"> </w:t>
      </w:r>
      <w:proofErr w:type="spellStart"/>
      <w:r w:rsidRPr="00F1154A">
        <w:rPr>
          <w:rFonts w:ascii="Segoe UI" w:hAnsi="Segoe UI" w:cs="Segoe UI"/>
          <w:b/>
          <w:sz w:val="20"/>
        </w:rPr>
        <w:t>Yojana</w:t>
      </w:r>
      <w:proofErr w:type="spellEnd"/>
      <w:r w:rsidRPr="00F1154A">
        <w:rPr>
          <w:rFonts w:ascii="Segoe UI" w:hAnsi="Segoe UI" w:cs="Segoe UI"/>
          <w:b/>
          <w:sz w:val="20"/>
        </w:rPr>
        <w:t xml:space="preserve"> (PMJAY)</w:t>
      </w:r>
      <w:r w:rsidRPr="00F1154A">
        <w:rPr>
          <w:rFonts w:ascii="Segoe UI" w:hAnsi="Segoe UI" w:cs="Segoe UI"/>
          <w:bCs/>
          <w:sz w:val="20"/>
        </w:rPr>
        <w:t xml:space="preserve"> : Une initiative visant à fournir une couverture de santé gratuite aux familles identifiées comme vulnérables</w:t>
      </w:r>
      <w:r w:rsidR="00F1154A">
        <w:rPr>
          <w:rFonts w:ascii="Segoe UI" w:hAnsi="Segoe UI" w:cs="Segoe UI"/>
          <w:bCs/>
          <w:sz w:val="20"/>
        </w:rPr>
        <w:t xml:space="preserve"> ; </w:t>
      </w:r>
    </w:p>
    <w:p w14:paraId="5C7A72DE" w14:textId="789D5773" w:rsidR="00986685" w:rsidRPr="00986685" w:rsidRDefault="00986685" w:rsidP="00986685">
      <w:pPr>
        <w:pStyle w:val="Paragraphedeliste"/>
        <w:numPr>
          <w:ilvl w:val="0"/>
          <w:numId w:val="22"/>
        </w:numPr>
        <w:jc w:val="both"/>
        <w:rPr>
          <w:rFonts w:ascii="Segoe UI" w:hAnsi="Segoe UI" w:cs="Segoe UI"/>
          <w:bCs/>
          <w:sz w:val="20"/>
        </w:rPr>
      </w:pPr>
      <w:proofErr w:type="spellStart"/>
      <w:r w:rsidRPr="00986685">
        <w:rPr>
          <w:rFonts w:ascii="Segoe UI" w:hAnsi="Segoe UI" w:cs="Segoe UI"/>
          <w:b/>
          <w:sz w:val="20"/>
        </w:rPr>
        <w:t>Pradhan</w:t>
      </w:r>
      <w:proofErr w:type="spellEnd"/>
      <w:r w:rsidRPr="00986685">
        <w:rPr>
          <w:rFonts w:ascii="Segoe UI" w:hAnsi="Segoe UI" w:cs="Segoe UI"/>
          <w:b/>
          <w:sz w:val="20"/>
        </w:rPr>
        <w:t xml:space="preserve"> </w:t>
      </w:r>
      <w:proofErr w:type="spellStart"/>
      <w:r w:rsidRPr="00986685">
        <w:rPr>
          <w:rFonts w:ascii="Segoe UI" w:hAnsi="Segoe UI" w:cs="Segoe UI"/>
          <w:b/>
          <w:sz w:val="20"/>
        </w:rPr>
        <w:t>Mantri</w:t>
      </w:r>
      <w:proofErr w:type="spellEnd"/>
      <w:r w:rsidRPr="00986685">
        <w:rPr>
          <w:rFonts w:ascii="Segoe UI" w:hAnsi="Segoe UI" w:cs="Segoe UI"/>
          <w:b/>
          <w:sz w:val="20"/>
        </w:rPr>
        <w:t xml:space="preserve"> </w:t>
      </w:r>
      <w:proofErr w:type="spellStart"/>
      <w:r w:rsidRPr="00986685">
        <w:rPr>
          <w:rFonts w:ascii="Segoe UI" w:hAnsi="Segoe UI" w:cs="Segoe UI"/>
          <w:b/>
          <w:sz w:val="20"/>
        </w:rPr>
        <w:t>Suraksha</w:t>
      </w:r>
      <w:proofErr w:type="spellEnd"/>
      <w:r w:rsidRPr="00986685">
        <w:rPr>
          <w:rFonts w:ascii="Segoe UI" w:hAnsi="Segoe UI" w:cs="Segoe UI"/>
          <w:b/>
          <w:sz w:val="20"/>
        </w:rPr>
        <w:t xml:space="preserve"> </w:t>
      </w:r>
      <w:proofErr w:type="spellStart"/>
      <w:r w:rsidRPr="00986685">
        <w:rPr>
          <w:rFonts w:ascii="Segoe UI" w:hAnsi="Segoe UI" w:cs="Segoe UI"/>
          <w:b/>
          <w:sz w:val="20"/>
        </w:rPr>
        <w:t>Bima</w:t>
      </w:r>
      <w:proofErr w:type="spellEnd"/>
      <w:r w:rsidRPr="00986685">
        <w:rPr>
          <w:rFonts w:ascii="Segoe UI" w:hAnsi="Segoe UI" w:cs="Segoe UI"/>
          <w:b/>
          <w:sz w:val="20"/>
        </w:rPr>
        <w:t xml:space="preserve"> </w:t>
      </w:r>
      <w:proofErr w:type="spellStart"/>
      <w:r w:rsidRPr="00986685">
        <w:rPr>
          <w:rFonts w:ascii="Segoe UI" w:hAnsi="Segoe UI" w:cs="Segoe UI"/>
          <w:b/>
          <w:sz w:val="20"/>
        </w:rPr>
        <w:t>Yojana</w:t>
      </w:r>
      <w:proofErr w:type="spellEnd"/>
      <w:r w:rsidRPr="00986685">
        <w:rPr>
          <w:rFonts w:ascii="Segoe UI" w:hAnsi="Segoe UI" w:cs="Segoe UI"/>
          <w:b/>
          <w:sz w:val="20"/>
        </w:rPr>
        <w:t xml:space="preserve"> (PMSBY)</w:t>
      </w:r>
      <w:r w:rsidRPr="00986685">
        <w:rPr>
          <w:rFonts w:ascii="Segoe UI" w:hAnsi="Segoe UI" w:cs="Segoe UI"/>
          <w:bCs/>
          <w:sz w:val="20"/>
        </w:rPr>
        <w:t xml:space="preserve"> : Assurance accident pour 18-70 ans, très faible prime (0,2 USD/an), couverture jusqu’à 200 000 INR</w:t>
      </w:r>
      <w:r w:rsidR="00F1154A">
        <w:rPr>
          <w:rFonts w:ascii="Segoe UI" w:hAnsi="Segoe UI" w:cs="Segoe UI"/>
          <w:bCs/>
          <w:sz w:val="20"/>
        </w:rPr>
        <w:t xml:space="preserve"> ; </w:t>
      </w:r>
    </w:p>
    <w:p w14:paraId="0BF64488" w14:textId="22EE2136" w:rsidR="00986685" w:rsidRDefault="00986685" w:rsidP="00986685">
      <w:pPr>
        <w:pStyle w:val="Paragraphedeliste"/>
        <w:numPr>
          <w:ilvl w:val="0"/>
          <w:numId w:val="22"/>
        </w:numPr>
        <w:jc w:val="both"/>
        <w:rPr>
          <w:rFonts w:ascii="Segoe UI" w:hAnsi="Segoe UI" w:cs="Segoe UI"/>
          <w:bCs/>
          <w:sz w:val="20"/>
        </w:rPr>
      </w:pPr>
      <w:r w:rsidRPr="00986685">
        <w:rPr>
          <w:rFonts w:ascii="Segoe UI" w:hAnsi="Segoe UI" w:cs="Segoe UI"/>
          <w:b/>
          <w:sz w:val="20"/>
        </w:rPr>
        <w:t xml:space="preserve">Atal Pension </w:t>
      </w:r>
      <w:proofErr w:type="spellStart"/>
      <w:r w:rsidRPr="00986685">
        <w:rPr>
          <w:rFonts w:ascii="Segoe UI" w:hAnsi="Segoe UI" w:cs="Segoe UI"/>
          <w:b/>
          <w:sz w:val="20"/>
        </w:rPr>
        <w:t>Yojana</w:t>
      </w:r>
      <w:proofErr w:type="spellEnd"/>
      <w:r w:rsidRPr="00986685">
        <w:rPr>
          <w:rFonts w:ascii="Segoe UI" w:hAnsi="Segoe UI" w:cs="Segoe UI"/>
          <w:b/>
          <w:sz w:val="20"/>
        </w:rPr>
        <w:t xml:space="preserve"> (APY)</w:t>
      </w:r>
      <w:r w:rsidRPr="00986685">
        <w:rPr>
          <w:rFonts w:ascii="Segoe UI" w:hAnsi="Segoe UI" w:cs="Segoe UI"/>
          <w:bCs/>
          <w:sz w:val="20"/>
        </w:rPr>
        <w:t xml:space="preserve"> : Pension mensuelle pour travailleurs du secteur informel (1 000–5 000 INR), à partir de 60 ans</w:t>
      </w:r>
      <w:r w:rsidR="00F1154A">
        <w:rPr>
          <w:rFonts w:ascii="Segoe UI" w:hAnsi="Segoe UI" w:cs="Segoe UI"/>
          <w:bCs/>
          <w:sz w:val="20"/>
        </w:rPr>
        <w:t xml:space="preserve"> ; </w:t>
      </w:r>
    </w:p>
    <w:p w14:paraId="6D7A45E4" w14:textId="5502BDCB" w:rsidR="00986685" w:rsidRDefault="00986685" w:rsidP="00986685">
      <w:pPr>
        <w:pStyle w:val="Paragraphedeliste"/>
        <w:numPr>
          <w:ilvl w:val="0"/>
          <w:numId w:val="22"/>
        </w:numPr>
        <w:jc w:val="both"/>
        <w:rPr>
          <w:rFonts w:ascii="Segoe UI" w:hAnsi="Segoe UI" w:cs="Segoe UI"/>
          <w:bCs/>
          <w:sz w:val="20"/>
        </w:rPr>
      </w:pPr>
      <w:proofErr w:type="spellStart"/>
      <w:r w:rsidRPr="00986685">
        <w:rPr>
          <w:rFonts w:ascii="Segoe UI" w:hAnsi="Segoe UI" w:cs="Segoe UI"/>
          <w:b/>
          <w:sz w:val="20"/>
        </w:rPr>
        <w:t>Pradhan</w:t>
      </w:r>
      <w:proofErr w:type="spellEnd"/>
      <w:r w:rsidRPr="00986685">
        <w:rPr>
          <w:rFonts w:ascii="Segoe UI" w:hAnsi="Segoe UI" w:cs="Segoe UI"/>
          <w:b/>
          <w:sz w:val="20"/>
        </w:rPr>
        <w:t xml:space="preserve"> </w:t>
      </w:r>
      <w:proofErr w:type="spellStart"/>
      <w:r w:rsidRPr="00986685">
        <w:rPr>
          <w:rFonts w:ascii="Segoe UI" w:hAnsi="Segoe UI" w:cs="Segoe UI"/>
          <w:b/>
          <w:sz w:val="20"/>
        </w:rPr>
        <w:t>Mantri</w:t>
      </w:r>
      <w:proofErr w:type="spellEnd"/>
      <w:r w:rsidRPr="00986685">
        <w:rPr>
          <w:rFonts w:ascii="Segoe UI" w:hAnsi="Segoe UI" w:cs="Segoe UI"/>
          <w:b/>
          <w:sz w:val="20"/>
        </w:rPr>
        <w:t xml:space="preserve"> </w:t>
      </w:r>
      <w:proofErr w:type="spellStart"/>
      <w:r w:rsidRPr="00986685">
        <w:rPr>
          <w:rFonts w:ascii="Segoe UI" w:hAnsi="Segoe UI" w:cs="Segoe UI"/>
          <w:b/>
          <w:sz w:val="20"/>
        </w:rPr>
        <w:t>Fasal</w:t>
      </w:r>
      <w:proofErr w:type="spellEnd"/>
      <w:r w:rsidRPr="00986685">
        <w:rPr>
          <w:rFonts w:ascii="Segoe UI" w:hAnsi="Segoe UI" w:cs="Segoe UI"/>
          <w:b/>
          <w:sz w:val="20"/>
        </w:rPr>
        <w:t xml:space="preserve"> </w:t>
      </w:r>
      <w:proofErr w:type="spellStart"/>
      <w:r w:rsidRPr="00986685">
        <w:rPr>
          <w:rFonts w:ascii="Segoe UI" w:hAnsi="Segoe UI" w:cs="Segoe UI"/>
          <w:b/>
          <w:sz w:val="20"/>
        </w:rPr>
        <w:t>Bima</w:t>
      </w:r>
      <w:proofErr w:type="spellEnd"/>
      <w:r w:rsidRPr="00986685">
        <w:rPr>
          <w:rFonts w:ascii="Segoe UI" w:hAnsi="Segoe UI" w:cs="Segoe UI"/>
          <w:b/>
          <w:sz w:val="20"/>
        </w:rPr>
        <w:t xml:space="preserve"> </w:t>
      </w:r>
      <w:proofErr w:type="spellStart"/>
      <w:r w:rsidRPr="00986685">
        <w:rPr>
          <w:rFonts w:ascii="Segoe UI" w:hAnsi="Segoe UI" w:cs="Segoe UI"/>
          <w:b/>
          <w:sz w:val="20"/>
        </w:rPr>
        <w:t>Yojana</w:t>
      </w:r>
      <w:proofErr w:type="spellEnd"/>
      <w:r w:rsidRPr="00986685">
        <w:rPr>
          <w:rFonts w:ascii="Segoe UI" w:hAnsi="Segoe UI" w:cs="Segoe UI"/>
          <w:b/>
          <w:sz w:val="20"/>
        </w:rPr>
        <w:t xml:space="preserve"> (PMFBY)</w:t>
      </w:r>
      <w:r w:rsidRPr="00986685">
        <w:rPr>
          <w:rFonts w:ascii="Segoe UI" w:hAnsi="Segoe UI" w:cs="Segoe UI"/>
          <w:bCs/>
          <w:sz w:val="20"/>
        </w:rPr>
        <w:t xml:space="preserve"> : Couverture des pertes de récoltes dues aux catastrophes naturelles, maladies ou parasites, avec prime partiellement subventionnée par l’État.</w:t>
      </w:r>
    </w:p>
    <w:p w14:paraId="6537E5E4" w14:textId="0D289A6F" w:rsidR="002E7716" w:rsidRDefault="002E7716" w:rsidP="00986685">
      <w:pPr>
        <w:pStyle w:val="Paragraphedeliste"/>
        <w:numPr>
          <w:ilvl w:val="0"/>
          <w:numId w:val="22"/>
        </w:numPr>
        <w:jc w:val="both"/>
        <w:rPr>
          <w:rFonts w:ascii="Segoe UI" w:hAnsi="Segoe UI" w:cs="Segoe UI"/>
          <w:bCs/>
          <w:sz w:val="20"/>
        </w:rPr>
      </w:pPr>
      <w:proofErr w:type="spellStart"/>
      <w:r w:rsidRPr="002E7716">
        <w:rPr>
          <w:rFonts w:ascii="Segoe UI" w:hAnsi="Segoe UI" w:cs="Segoe UI"/>
          <w:b/>
          <w:sz w:val="20"/>
        </w:rPr>
        <w:t>Ayushman</w:t>
      </w:r>
      <w:proofErr w:type="spellEnd"/>
      <w:r w:rsidRPr="002E7716">
        <w:rPr>
          <w:rFonts w:ascii="Segoe UI" w:hAnsi="Segoe UI" w:cs="Segoe UI"/>
          <w:b/>
          <w:sz w:val="20"/>
        </w:rPr>
        <w:t xml:space="preserve"> Bharat Digital Mission (ABDM) :</w:t>
      </w:r>
      <w:r w:rsidRPr="002E7716">
        <w:rPr>
          <w:rFonts w:ascii="Segoe UI" w:hAnsi="Segoe UI" w:cs="Segoe UI"/>
          <w:bCs/>
          <w:sz w:val="20"/>
        </w:rPr>
        <w:t xml:space="preserve"> Création d’un ID santé numérique pour chaque citoyen, permettant la centralisation des dossiers médicaux, prescriptions et assurances, et facilitant l’accès aux services de santé partout en Inde</w:t>
      </w:r>
      <w:r w:rsidR="00F1154A">
        <w:rPr>
          <w:rFonts w:ascii="Segoe UI" w:hAnsi="Segoe UI" w:cs="Segoe UI"/>
          <w:bCs/>
          <w:sz w:val="20"/>
        </w:rPr>
        <w:t xml:space="preserve"> ; </w:t>
      </w:r>
    </w:p>
    <w:p w14:paraId="63470473" w14:textId="6ABB98A1" w:rsidR="002E7716" w:rsidRDefault="002E7716" w:rsidP="00986685">
      <w:pPr>
        <w:pStyle w:val="Paragraphedeliste"/>
        <w:numPr>
          <w:ilvl w:val="0"/>
          <w:numId w:val="22"/>
        </w:numPr>
        <w:jc w:val="both"/>
        <w:rPr>
          <w:rFonts w:ascii="Segoe UI" w:hAnsi="Segoe UI" w:cs="Segoe UI"/>
          <w:bCs/>
          <w:sz w:val="20"/>
        </w:rPr>
      </w:pPr>
      <w:proofErr w:type="spellStart"/>
      <w:r w:rsidRPr="002E7716">
        <w:rPr>
          <w:rFonts w:ascii="Segoe UI" w:hAnsi="Segoe UI" w:cs="Segoe UI"/>
          <w:b/>
          <w:sz w:val="20"/>
        </w:rPr>
        <w:t>Bima</w:t>
      </w:r>
      <w:proofErr w:type="spellEnd"/>
      <w:r w:rsidRPr="002E7716">
        <w:rPr>
          <w:rFonts w:ascii="Segoe UI" w:hAnsi="Segoe UI" w:cs="Segoe UI"/>
          <w:b/>
          <w:sz w:val="20"/>
        </w:rPr>
        <w:t xml:space="preserve"> Trinity – </w:t>
      </w:r>
      <w:proofErr w:type="spellStart"/>
      <w:r w:rsidRPr="002E7716">
        <w:rPr>
          <w:rFonts w:ascii="Segoe UI" w:hAnsi="Segoe UI" w:cs="Segoe UI"/>
          <w:b/>
          <w:sz w:val="20"/>
        </w:rPr>
        <w:t>Bima</w:t>
      </w:r>
      <w:proofErr w:type="spellEnd"/>
      <w:r w:rsidRPr="002E7716">
        <w:rPr>
          <w:rFonts w:ascii="Segoe UI" w:hAnsi="Segoe UI" w:cs="Segoe UI"/>
          <w:b/>
          <w:sz w:val="20"/>
        </w:rPr>
        <w:t xml:space="preserve"> </w:t>
      </w:r>
      <w:proofErr w:type="spellStart"/>
      <w:r w:rsidRPr="002E7716">
        <w:rPr>
          <w:rFonts w:ascii="Segoe UI" w:hAnsi="Segoe UI" w:cs="Segoe UI"/>
          <w:b/>
          <w:sz w:val="20"/>
        </w:rPr>
        <w:t>Sugam</w:t>
      </w:r>
      <w:proofErr w:type="spellEnd"/>
      <w:r w:rsidRPr="002E7716">
        <w:rPr>
          <w:rFonts w:ascii="Segoe UI" w:hAnsi="Segoe UI" w:cs="Segoe UI"/>
          <w:bCs/>
          <w:sz w:val="20"/>
        </w:rPr>
        <w:t xml:space="preserve"> : Plateforme numérique unifiée pour vendre, gérer et régler les sinistres d’assurances vie et </w:t>
      </w:r>
      <w:r w:rsidR="00321D41">
        <w:rPr>
          <w:rFonts w:ascii="Segoe UI" w:hAnsi="Segoe UI" w:cs="Segoe UI"/>
          <w:bCs/>
          <w:sz w:val="20"/>
        </w:rPr>
        <w:t>générale</w:t>
      </w:r>
      <w:r w:rsidRPr="002E7716">
        <w:rPr>
          <w:rFonts w:ascii="Segoe UI" w:hAnsi="Segoe UI" w:cs="Segoe UI"/>
          <w:bCs/>
          <w:sz w:val="20"/>
        </w:rPr>
        <w:t>, facilitant l’accès à l’assurance pour tous.</w:t>
      </w:r>
    </w:p>
    <w:p w14:paraId="127E919A" w14:textId="77777777" w:rsidR="00986685" w:rsidRPr="00986685" w:rsidRDefault="00986685" w:rsidP="00986685">
      <w:pPr>
        <w:pStyle w:val="Paragraphedeliste"/>
        <w:jc w:val="both"/>
        <w:rPr>
          <w:rFonts w:ascii="Segoe UI" w:hAnsi="Segoe UI" w:cs="Segoe UI"/>
          <w:bCs/>
          <w:sz w:val="20"/>
        </w:rPr>
      </w:pPr>
    </w:p>
    <w:p w14:paraId="0A8CF767" w14:textId="77777777" w:rsidR="000A1A8E" w:rsidRDefault="000A1A8E" w:rsidP="000C7148">
      <w:pPr>
        <w:rPr>
          <w:rFonts w:ascii="Segoe UI" w:hAnsi="Segoe UI" w:cs="Segoe UI"/>
          <w:b/>
          <w:color w:val="000091" w:themeColor="text1"/>
          <w:sz w:val="24"/>
          <w:szCs w:val="28"/>
        </w:rPr>
      </w:pPr>
    </w:p>
    <w:p w14:paraId="3CB76A36" w14:textId="38E37F07" w:rsidR="000C7148" w:rsidRPr="00415503" w:rsidRDefault="000C7148" w:rsidP="000C7148">
      <w:pPr>
        <w:rPr>
          <w:rFonts w:ascii="Segoe UI" w:hAnsi="Segoe UI" w:cs="Segoe UI"/>
          <w:b/>
          <w:color w:val="000091" w:themeColor="text1"/>
          <w:sz w:val="24"/>
          <w:szCs w:val="28"/>
        </w:rPr>
      </w:pPr>
      <w:r w:rsidRPr="00415503">
        <w:rPr>
          <w:rFonts w:ascii="Segoe UI" w:hAnsi="Segoe UI" w:cs="Segoe UI"/>
          <w:b/>
          <w:color w:val="000091" w:themeColor="text1"/>
          <w:sz w:val="24"/>
          <w:szCs w:val="28"/>
        </w:rPr>
        <w:lastRenderedPageBreak/>
        <w:t xml:space="preserve">ANNEXE </w:t>
      </w:r>
      <w:r>
        <w:rPr>
          <w:rFonts w:ascii="Segoe UI" w:hAnsi="Segoe UI" w:cs="Segoe UI"/>
          <w:b/>
          <w:color w:val="000091" w:themeColor="text1"/>
          <w:sz w:val="24"/>
          <w:szCs w:val="28"/>
        </w:rPr>
        <w:t xml:space="preserve">7 </w:t>
      </w:r>
      <w:r w:rsidRPr="00415503">
        <w:rPr>
          <w:rFonts w:ascii="Segoe UI" w:hAnsi="Segoe UI" w:cs="Segoe UI"/>
          <w:b/>
          <w:color w:val="000091" w:themeColor="text1"/>
          <w:sz w:val="24"/>
          <w:szCs w:val="28"/>
        </w:rPr>
        <w:t>: Inventaire de</w:t>
      </w:r>
      <w:r>
        <w:rPr>
          <w:rFonts w:ascii="Segoe UI" w:hAnsi="Segoe UI" w:cs="Segoe UI"/>
          <w:b/>
          <w:color w:val="000091" w:themeColor="text1"/>
          <w:sz w:val="24"/>
          <w:szCs w:val="28"/>
        </w:rPr>
        <w:t xml:space="preserve"> la présence française dans le secteur de l’assurance en Inde </w:t>
      </w:r>
    </w:p>
    <w:p w14:paraId="4D92B1D4" w14:textId="77777777" w:rsidR="00F1154A" w:rsidRPr="00F1154A" w:rsidRDefault="00F1154A" w:rsidP="00F1154A">
      <w:pPr>
        <w:jc w:val="both"/>
        <w:rPr>
          <w:rFonts w:ascii="Segoe UI" w:hAnsi="Segoe UI" w:cs="Segoe UI"/>
          <w:b/>
          <w:color w:val="000091" w:themeColor="text1"/>
          <w:sz w:val="20"/>
        </w:rPr>
      </w:pPr>
    </w:p>
    <w:p w14:paraId="616FEFE8" w14:textId="7C5233F2" w:rsidR="00F1154A" w:rsidRDefault="00F1154A" w:rsidP="003F78EB">
      <w:pPr>
        <w:jc w:val="both"/>
        <w:rPr>
          <w:rFonts w:ascii="Segoe UI" w:hAnsi="Segoe UI" w:cs="Segoe UI"/>
          <w:b/>
          <w:color w:val="000091" w:themeColor="text1"/>
          <w:sz w:val="20"/>
        </w:rPr>
      </w:pPr>
      <w:r>
        <w:rPr>
          <w:rFonts w:ascii="Segoe UI" w:hAnsi="Segoe UI" w:cs="Segoe UI"/>
          <w:b/>
          <w:color w:val="000091" w:themeColor="text1"/>
          <w:sz w:val="20"/>
        </w:rPr>
        <w:t>Assurance vie</w:t>
      </w:r>
    </w:p>
    <w:p w14:paraId="53B71142" w14:textId="49674C88" w:rsidR="00F1154A" w:rsidRPr="00AE7E83" w:rsidRDefault="00F1154A" w:rsidP="00AE7E83">
      <w:pPr>
        <w:pStyle w:val="Paragraphedeliste"/>
        <w:numPr>
          <w:ilvl w:val="0"/>
          <w:numId w:val="26"/>
        </w:numPr>
        <w:jc w:val="both"/>
        <w:rPr>
          <w:rFonts w:ascii="Segoe UI" w:hAnsi="Segoe UI" w:cs="Segoe UI"/>
          <w:bCs/>
          <w:sz w:val="20"/>
        </w:rPr>
      </w:pPr>
      <w:r w:rsidRPr="0094796A">
        <w:rPr>
          <w:rFonts w:ascii="Segoe UI" w:hAnsi="Segoe UI" w:cs="Segoe UI"/>
          <w:bCs/>
          <w:sz w:val="20"/>
          <w:u w:val="single"/>
        </w:rPr>
        <w:t xml:space="preserve">BNP Paribas </w:t>
      </w:r>
      <w:proofErr w:type="spellStart"/>
      <w:r w:rsidRPr="0094796A">
        <w:rPr>
          <w:rFonts w:ascii="Segoe UI" w:hAnsi="Segoe UI" w:cs="Segoe UI"/>
          <w:bCs/>
          <w:sz w:val="20"/>
          <w:u w:val="single"/>
        </w:rPr>
        <w:t>Carif</w:t>
      </w:r>
      <w:proofErr w:type="spellEnd"/>
      <w:r w:rsidR="0094796A">
        <w:rPr>
          <w:rFonts w:ascii="Segoe UI" w:hAnsi="Segoe UI" w:cs="Segoe UI"/>
          <w:bCs/>
          <w:sz w:val="20"/>
          <w:u w:val="single"/>
        </w:rPr>
        <w:t xml:space="preserve"> : </w:t>
      </w:r>
      <w:r w:rsidR="0094796A" w:rsidRPr="0094796A">
        <w:rPr>
          <w:rFonts w:ascii="Segoe UI" w:hAnsi="Segoe UI" w:cs="Segoe UI"/>
          <w:bCs/>
          <w:sz w:val="20"/>
        </w:rPr>
        <w:t>La banque est</w:t>
      </w:r>
      <w:r w:rsidR="00AE7E83" w:rsidRPr="00AE7E83">
        <w:rPr>
          <w:rFonts w:ascii="Segoe UI" w:hAnsi="Segoe UI" w:cs="Segoe UI"/>
          <w:bCs/>
          <w:sz w:val="20"/>
        </w:rPr>
        <w:t xml:space="preserve"> présente en Inde via une co-entreprise avec </w:t>
      </w:r>
      <w:r w:rsidR="00AE7E83">
        <w:rPr>
          <w:rFonts w:ascii="Segoe UI" w:hAnsi="Segoe UI" w:cs="Segoe UI"/>
          <w:bCs/>
          <w:sz w:val="20"/>
        </w:rPr>
        <w:t>« </w:t>
      </w:r>
      <w:r w:rsidR="00AE7E83" w:rsidRPr="00AE7E83">
        <w:rPr>
          <w:rFonts w:ascii="Segoe UI" w:hAnsi="Segoe UI" w:cs="Segoe UI"/>
          <w:bCs/>
          <w:sz w:val="20"/>
        </w:rPr>
        <w:t xml:space="preserve">SBI Life </w:t>
      </w:r>
      <w:proofErr w:type="spellStart"/>
      <w:r w:rsidR="00AE7E83" w:rsidRPr="00AE7E83">
        <w:rPr>
          <w:rFonts w:ascii="Segoe UI" w:hAnsi="Segoe UI" w:cs="Segoe UI"/>
          <w:bCs/>
          <w:sz w:val="20"/>
        </w:rPr>
        <w:t>Insurance</w:t>
      </w:r>
      <w:proofErr w:type="spellEnd"/>
      <w:r w:rsidR="00AE7E83">
        <w:rPr>
          <w:rFonts w:ascii="Segoe UI" w:hAnsi="Segoe UI" w:cs="Segoe UI"/>
          <w:bCs/>
          <w:sz w:val="20"/>
        </w:rPr>
        <w:t> »</w:t>
      </w:r>
      <w:r w:rsidR="00AE7E83" w:rsidRPr="00AE7E83">
        <w:rPr>
          <w:rFonts w:ascii="Segoe UI" w:hAnsi="Segoe UI" w:cs="Segoe UI"/>
          <w:bCs/>
          <w:sz w:val="20"/>
        </w:rPr>
        <w:t xml:space="preserve"> proposant des produits d’assurance vie, épargne et retraite.</w:t>
      </w:r>
    </w:p>
    <w:p w14:paraId="708BF019" w14:textId="72BAE5E8" w:rsidR="00F1154A" w:rsidRDefault="00F1154A" w:rsidP="003F78EB">
      <w:pPr>
        <w:jc w:val="both"/>
        <w:rPr>
          <w:rFonts w:ascii="Segoe UI" w:hAnsi="Segoe UI" w:cs="Segoe UI"/>
          <w:b/>
          <w:color w:val="000091" w:themeColor="text1"/>
          <w:sz w:val="24"/>
          <w:szCs w:val="28"/>
        </w:rPr>
      </w:pPr>
      <w:r>
        <w:rPr>
          <w:rFonts w:ascii="Segoe UI" w:hAnsi="Segoe UI" w:cs="Segoe UI"/>
          <w:b/>
          <w:color w:val="000091" w:themeColor="text1"/>
          <w:sz w:val="20"/>
        </w:rPr>
        <w:t>Assurance générale </w:t>
      </w:r>
    </w:p>
    <w:p w14:paraId="2D2A083E" w14:textId="24353CD9" w:rsidR="0094796A" w:rsidRPr="0094796A" w:rsidRDefault="0094796A" w:rsidP="002824D0">
      <w:pPr>
        <w:pStyle w:val="Paragraphedeliste"/>
        <w:numPr>
          <w:ilvl w:val="0"/>
          <w:numId w:val="26"/>
        </w:numPr>
        <w:jc w:val="both"/>
        <w:rPr>
          <w:rFonts w:ascii="Segoe UI" w:hAnsi="Segoe UI" w:cs="Segoe UI"/>
          <w:bCs/>
          <w:color w:val="000091" w:themeColor="text1"/>
          <w:sz w:val="18"/>
          <w:szCs w:val="20"/>
        </w:rPr>
      </w:pPr>
      <w:r w:rsidRPr="0094796A">
        <w:rPr>
          <w:rStyle w:val="lev"/>
          <w:rFonts w:ascii="Segoe UI" w:hAnsi="Segoe UI" w:cs="Segoe UI"/>
          <w:b w:val="0"/>
          <w:bCs w:val="0"/>
          <w:sz w:val="20"/>
          <w:szCs w:val="20"/>
          <w:u w:val="single"/>
        </w:rPr>
        <w:t>(</w:t>
      </w:r>
      <w:r w:rsidR="00B918D6" w:rsidRPr="0094796A">
        <w:rPr>
          <w:rStyle w:val="lev"/>
          <w:rFonts w:ascii="Segoe UI" w:hAnsi="Segoe UI" w:cs="Segoe UI"/>
          <w:b w:val="0"/>
          <w:bCs w:val="0"/>
          <w:sz w:val="20"/>
          <w:szCs w:val="20"/>
          <w:u w:val="single"/>
        </w:rPr>
        <w:t>Anciennement</w:t>
      </w:r>
      <w:r w:rsidRPr="0094796A">
        <w:rPr>
          <w:rStyle w:val="lev"/>
          <w:rFonts w:ascii="Segoe UI" w:hAnsi="Segoe UI" w:cs="Segoe UI"/>
          <w:b w:val="0"/>
          <w:bCs w:val="0"/>
          <w:sz w:val="20"/>
          <w:szCs w:val="20"/>
          <w:u w:val="single"/>
        </w:rPr>
        <w:t xml:space="preserve">) </w:t>
      </w:r>
      <w:proofErr w:type="spellStart"/>
      <w:r>
        <w:rPr>
          <w:rStyle w:val="lev"/>
          <w:rFonts w:ascii="Segoe UI" w:hAnsi="Segoe UI" w:cs="Segoe UI"/>
          <w:b w:val="0"/>
          <w:bCs w:val="0"/>
          <w:sz w:val="20"/>
          <w:szCs w:val="20"/>
          <w:u w:val="single"/>
        </w:rPr>
        <w:t>Bharti</w:t>
      </w:r>
      <w:proofErr w:type="spellEnd"/>
      <w:r>
        <w:rPr>
          <w:rStyle w:val="lev"/>
          <w:rFonts w:ascii="Segoe UI" w:hAnsi="Segoe UI" w:cs="Segoe UI"/>
          <w:b w:val="0"/>
          <w:bCs w:val="0"/>
          <w:sz w:val="20"/>
          <w:szCs w:val="20"/>
          <w:u w:val="single"/>
        </w:rPr>
        <w:t xml:space="preserve"> AXA General </w:t>
      </w:r>
      <w:proofErr w:type="spellStart"/>
      <w:r>
        <w:rPr>
          <w:rStyle w:val="lev"/>
          <w:rFonts w:ascii="Segoe UI" w:hAnsi="Segoe UI" w:cs="Segoe UI"/>
          <w:b w:val="0"/>
          <w:bCs w:val="0"/>
          <w:sz w:val="20"/>
          <w:szCs w:val="20"/>
          <w:u w:val="single"/>
        </w:rPr>
        <w:t>Insurance</w:t>
      </w:r>
      <w:proofErr w:type="spellEnd"/>
      <w:r>
        <w:rPr>
          <w:rStyle w:val="lev"/>
          <w:rFonts w:ascii="Segoe UI" w:hAnsi="Segoe UI" w:cs="Segoe UI"/>
          <w:b w:val="0"/>
          <w:bCs w:val="0"/>
          <w:sz w:val="20"/>
          <w:szCs w:val="20"/>
          <w:u w:val="single"/>
        </w:rPr>
        <w:t xml:space="preserve"> </w:t>
      </w:r>
      <w:proofErr w:type="spellStart"/>
      <w:proofErr w:type="gramStart"/>
      <w:r>
        <w:rPr>
          <w:rStyle w:val="lev"/>
          <w:rFonts w:ascii="Segoe UI" w:hAnsi="Segoe UI" w:cs="Segoe UI"/>
          <w:b w:val="0"/>
          <w:bCs w:val="0"/>
          <w:sz w:val="20"/>
          <w:szCs w:val="20"/>
          <w:u w:val="single"/>
        </w:rPr>
        <w:t>Company</w:t>
      </w:r>
      <w:proofErr w:type="spellEnd"/>
      <w:r w:rsidR="00992E12" w:rsidRPr="0094796A">
        <w:rPr>
          <w:rFonts w:ascii="Segoe UI" w:hAnsi="Segoe UI" w:cs="Segoe UI"/>
          <w:b/>
          <w:bCs/>
          <w:sz w:val="20"/>
          <w:szCs w:val="20"/>
          <w:u w:val="single"/>
        </w:rPr>
        <w:t>:</w:t>
      </w:r>
      <w:proofErr w:type="gramEnd"/>
      <w:r w:rsidR="00AE7E83" w:rsidRPr="0094796A">
        <w:rPr>
          <w:rFonts w:ascii="Segoe UI" w:hAnsi="Segoe UI" w:cs="Segoe UI"/>
          <w:sz w:val="20"/>
          <w:szCs w:val="20"/>
        </w:rPr>
        <w:t xml:space="preserve"> </w:t>
      </w:r>
      <w:r>
        <w:rPr>
          <w:rFonts w:ascii="Segoe UI" w:hAnsi="Segoe UI" w:cs="Segoe UI"/>
          <w:sz w:val="20"/>
          <w:szCs w:val="20"/>
        </w:rPr>
        <w:t xml:space="preserve">coentreprise entre </w:t>
      </w:r>
      <w:r w:rsidRPr="0094796A">
        <w:rPr>
          <w:rFonts w:ascii="Segoe UI" w:hAnsi="Segoe UI" w:cs="Segoe UI"/>
          <w:sz w:val="20"/>
          <w:szCs w:val="20"/>
        </w:rPr>
        <w:t>AXA</w:t>
      </w:r>
      <w:r>
        <w:rPr>
          <w:rFonts w:ascii="Segoe UI" w:hAnsi="Segoe UI" w:cs="Segoe UI"/>
          <w:sz w:val="20"/>
          <w:szCs w:val="20"/>
        </w:rPr>
        <w:t xml:space="preserve"> qui</w:t>
      </w:r>
      <w:r w:rsidRPr="0094796A">
        <w:rPr>
          <w:rFonts w:ascii="Segoe UI" w:hAnsi="Segoe UI" w:cs="Segoe UI"/>
          <w:sz w:val="20"/>
          <w:szCs w:val="20"/>
        </w:rPr>
        <w:t xml:space="preserve"> détenait 49 % des parts</w:t>
      </w:r>
      <w:r>
        <w:rPr>
          <w:rFonts w:ascii="Segoe UI" w:hAnsi="Segoe UI" w:cs="Segoe UI"/>
          <w:sz w:val="20"/>
          <w:szCs w:val="20"/>
        </w:rPr>
        <w:t xml:space="preserve"> et</w:t>
      </w:r>
      <w:r w:rsidRPr="0094796A">
        <w:rPr>
          <w:rFonts w:ascii="Segoe UI" w:hAnsi="Segoe UI" w:cs="Segoe UI"/>
          <w:sz w:val="20"/>
          <w:szCs w:val="20"/>
        </w:rPr>
        <w:t xml:space="preserve"> </w:t>
      </w:r>
      <w:proofErr w:type="spellStart"/>
      <w:r w:rsidRPr="0094796A">
        <w:rPr>
          <w:rFonts w:ascii="Segoe UI" w:hAnsi="Segoe UI" w:cs="Segoe UI"/>
          <w:sz w:val="20"/>
          <w:szCs w:val="20"/>
        </w:rPr>
        <w:t>Bhart</w:t>
      </w:r>
      <w:r w:rsidR="00B918D6">
        <w:rPr>
          <w:rFonts w:ascii="Segoe UI" w:hAnsi="Segoe UI" w:cs="Segoe UI"/>
          <w:sz w:val="20"/>
          <w:szCs w:val="20"/>
        </w:rPr>
        <w:t>i</w:t>
      </w:r>
      <w:proofErr w:type="spellEnd"/>
      <w:r w:rsidR="00B918D6">
        <w:rPr>
          <w:rFonts w:ascii="Segoe UI" w:hAnsi="Segoe UI" w:cs="Segoe UI"/>
          <w:sz w:val="20"/>
          <w:szCs w:val="20"/>
        </w:rPr>
        <w:t>, un conglomérat indien, avec</w:t>
      </w:r>
      <w:r w:rsidRPr="0094796A">
        <w:rPr>
          <w:rFonts w:ascii="Segoe UI" w:hAnsi="Segoe UI" w:cs="Segoe UI"/>
          <w:sz w:val="20"/>
          <w:szCs w:val="20"/>
        </w:rPr>
        <w:t xml:space="preserve"> 51 %</w:t>
      </w:r>
      <w:r w:rsidR="00B918D6">
        <w:rPr>
          <w:rFonts w:ascii="Segoe UI" w:hAnsi="Segoe UI" w:cs="Segoe UI"/>
          <w:sz w:val="20"/>
          <w:szCs w:val="20"/>
        </w:rPr>
        <w:t xml:space="preserve"> des parts. Cette coentreprise</w:t>
      </w:r>
      <w:r w:rsidRPr="0094796A">
        <w:rPr>
          <w:rFonts w:ascii="Segoe UI" w:hAnsi="Segoe UI" w:cs="Segoe UI"/>
          <w:sz w:val="20"/>
          <w:szCs w:val="20"/>
        </w:rPr>
        <w:t xml:space="preserve"> permettait à AXA de bénéficier de l’expertise locale et du réseau de distribution étendu de </w:t>
      </w:r>
      <w:proofErr w:type="spellStart"/>
      <w:r w:rsidRPr="0094796A">
        <w:rPr>
          <w:rFonts w:ascii="Segoe UI" w:hAnsi="Segoe UI" w:cs="Segoe UI"/>
          <w:sz w:val="20"/>
          <w:szCs w:val="20"/>
        </w:rPr>
        <w:t>Bharti</w:t>
      </w:r>
      <w:proofErr w:type="spellEnd"/>
      <w:r w:rsidRPr="0094796A">
        <w:rPr>
          <w:rFonts w:ascii="Segoe UI" w:hAnsi="Segoe UI" w:cs="Segoe UI"/>
          <w:sz w:val="20"/>
          <w:szCs w:val="20"/>
        </w:rPr>
        <w:t xml:space="preserve"> en Inde</w:t>
      </w:r>
      <w:r w:rsidR="00B918D6">
        <w:rPr>
          <w:rFonts w:ascii="Segoe UI" w:hAnsi="Segoe UI" w:cs="Segoe UI"/>
          <w:sz w:val="20"/>
          <w:szCs w:val="20"/>
        </w:rPr>
        <w:t xml:space="preserve"> sur les produits d’assurance </w:t>
      </w:r>
      <w:r w:rsidR="0056407B">
        <w:rPr>
          <w:rFonts w:ascii="Segoe UI" w:hAnsi="Segoe UI" w:cs="Segoe UI"/>
          <w:sz w:val="20"/>
          <w:szCs w:val="20"/>
        </w:rPr>
        <w:t>générale</w:t>
      </w:r>
      <w:r w:rsidR="00B918D6">
        <w:rPr>
          <w:rFonts w:ascii="Segoe UI" w:hAnsi="Segoe UI" w:cs="Segoe UI"/>
          <w:sz w:val="20"/>
          <w:szCs w:val="20"/>
        </w:rPr>
        <w:t xml:space="preserve">. </w:t>
      </w:r>
      <w:r w:rsidR="00B918D6" w:rsidRPr="00B918D6">
        <w:rPr>
          <w:rFonts w:ascii="Segoe UI" w:hAnsi="Segoe UI" w:cs="Segoe UI"/>
          <w:sz w:val="20"/>
          <w:szCs w:val="20"/>
        </w:rPr>
        <w:t xml:space="preserve">En 2020, AXA et </w:t>
      </w:r>
      <w:proofErr w:type="spellStart"/>
      <w:r w:rsidR="00B918D6" w:rsidRPr="00B918D6">
        <w:rPr>
          <w:rFonts w:ascii="Segoe UI" w:hAnsi="Segoe UI" w:cs="Segoe UI"/>
          <w:sz w:val="20"/>
          <w:szCs w:val="20"/>
        </w:rPr>
        <w:t>Bharti</w:t>
      </w:r>
      <w:proofErr w:type="spellEnd"/>
      <w:r w:rsidR="00B918D6" w:rsidRPr="00B918D6">
        <w:rPr>
          <w:rFonts w:ascii="Segoe UI" w:hAnsi="Segoe UI" w:cs="Segoe UI"/>
          <w:sz w:val="20"/>
          <w:szCs w:val="20"/>
        </w:rPr>
        <w:t xml:space="preserve"> ont annoncé la fusion de leurs opérations non-vie avec ICICI Lombard General </w:t>
      </w:r>
      <w:proofErr w:type="spellStart"/>
      <w:r w:rsidR="00B918D6" w:rsidRPr="00B918D6">
        <w:rPr>
          <w:rFonts w:ascii="Segoe UI" w:hAnsi="Segoe UI" w:cs="Segoe UI"/>
          <w:sz w:val="20"/>
          <w:szCs w:val="20"/>
        </w:rPr>
        <w:t>Insurance</w:t>
      </w:r>
      <w:proofErr w:type="spellEnd"/>
      <w:r w:rsidR="00B918D6" w:rsidRPr="00B918D6">
        <w:rPr>
          <w:rFonts w:ascii="Segoe UI" w:hAnsi="Segoe UI" w:cs="Segoe UI"/>
          <w:sz w:val="20"/>
          <w:szCs w:val="20"/>
        </w:rPr>
        <w:t xml:space="preserve"> </w:t>
      </w:r>
      <w:proofErr w:type="spellStart"/>
      <w:r w:rsidR="00B918D6" w:rsidRPr="00B918D6">
        <w:rPr>
          <w:rFonts w:ascii="Segoe UI" w:hAnsi="Segoe UI" w:cs="Segoe UI"/>
          <w:sz w:val="20"/>
          <w:szCs w:val="20"/>
        </w:rPr>
        <w:t>Company</w:t>
      </w:r>
      <w:proofErr w:type="spellEnd"/>
      <w:r w:rsidR="00B918D6" w:rsidRPr="00B918D6">
        <w:rPr>
          <w:rFonts w:ascii="Segoe UI" w:hAnsi="Segoe UI" w:cs="Segoe UI"/>
          <w:sz w:val="20"/>
          <w:szCs w:val="20"/>
        </w:rPr>
        <w:t xml:space="preserve"> Ltd., un des leaders du marché de l’assurance générale en Inde.</w:t>
      </w:r>
    </w:p>
    <w:p w14:paraId="18F8828E" w14:textId="5C97166D" w:rsidR="000C7148" w:rsidRDefault="00F1154A" w:rsidP="003F78EB">
      <w:pPr>
        <w:jc w:val="both"/>
        <w:rPr>
          <w:rFonts w:ascii="Segoe UI" w:hAnsi="Segoe UI" w:cs="Segoe UI"/>
          <w:b/>
          <w:color w:val="000091" w:themeColor="text1"/>
          <w:sz w:val="20"/>
        </w:rPr>
      </w:pPr>
      <w:r>
        <w:rPr>
          <w:rFonts w:ascii="Segoe UI" w:hAnsi="Segoe UI" w:cs="Segoe UI"/>
          <w:b/>
          <w:color w:val="000091" w:themeColor="text1"/>
          <w:sz w:val="20"/>
        </w:rPr>
        <w:t>Réassureurs </w:t>
      </w:r>
    </w:p>
    <w:p w14:paraId="3F0898A4" w14:textId="04A99474" w:rsidR="00473ECC" w:rsidRPr="00473ECC" w:rsidRDefault="00F1154A" w:rsidP="00473ECC">
      <w:pPr>
        <w:pStyle w:val="Paragraphedeliste"/>
        <w:numPr>
          <w:ilvl w:val="0"/>
          <w:numId w:val="27"/>
        </w:numPr>
        <w:jc w:val="both"/>
        <w:rPr>
          <w:rFonts w:ascii="Segoe UI" w:hAnsi="Segoe UI" w:cs="Segoe UI"/>
          <w:b/>
          <w:color w:val="000091" w:themeColor="text1"/>
          <w:sz w:val="20"/>
        </w:rPr>
      </w:pPr>
      <w:r w:rsidRPr="00473ECC">
        <w:rPr>
          <w:rFonts w:ascii="Segoe UI" w:hAnsi="Segoe UI" w:cs="Segoe UI"/>
          <w:bCs/>
          <w:sz w:val="20"/>
          <w:szCs w:val="20"/>
          <w:u w:val="single"/>
        </w:rPr>
        <w:t>SCOR</w:t>
      </w:r>
      <w:r w:rsidR="00AE7E83" w:rsidRPr="00473ECC">
        <w:rPr>
          <w:rFonts w:ascii="Segoe UI" w:hAnsi="Segoe UI" w:cs="Segoe UI"/>
          <w:bCs/>
          <w:sz w:val="20"/>
          <w:szCs w:val="20"/>
          <w:u w:val="single"/>
        </w:rPr>
        <w:t> </w:t>
      </w:r>
      <w:r w:rsidR="00AE7E83" w:rsidRPr="00992E12">
        <w:rPr>
          <w:rFonts w:ascii="Segoe UI" w:hAnsi="Segoe UI" w:cs="Segoe UI"/>
          <w:bCs/>
          <w:sz w:val="20"/>
          <w:szCs w:val="20"/>
        </w:rPr>
        <w:t xml:space="preserve">: </w:t>
      </w:r>
      <w:r w:rsidR="00AE7E83" w:rsidRPr="00992E12">
        <w:rPr>
          <w:rFonts w:ascii="Segoe UI" w:hAnsi="Segoe UI" w:cs="Segoe UI"/>
          <w:sz w:val="20"/>
          <w:szCs w:val="20"/>
        </w:rPr>
        <w:t>Réassureur français opérant en Inde via un bureau de représentation, spécialisé en réassurance</w:t>
      </w:r>
      <w:r w:rsidR="00992E12">
        <w:rPr>
          <w:rFonts w:ascii="Segoe UI" w:hAnsi="Segoe UI" w:cs="Segoe UI"/>
          <w:sz w:val="20"/>
          <w:szCs w:val="20"/>
        </w:rPr>
        <w:t xml:space="preserve">. </w:t>
      </w:r>
      <w:r w:rsidR="00992E12" w:rsidRPr="00992E12">
        <w:rPr>
          <w:rFonts w:ascii="Segoe UI" w:hAnsi="Segoe UI" w:cs="Segoe UI"/>
          <w:sz w:val="20"/>
          <w:szCs w:val="20"/>
        </w:rPr>
        <w:t>L’immobilier constitue son principal secteur d’activité, suivi par l’agriculture. Son portefeuille comprend 15 compagnies d’assurance</w:t>
      </w:r>
      <w:r w:rsidR="00992E12">
        <w:rPr>
          <w:rFonts w:ascii="Segoe UI" w:hAnsi="Segoe UI" w:cs="Segoe UI"/>
          <w:sz w:val="20"/>
          <w:szCs w:val="20"/>
        </w:rPr>
        <w:t xml:space="preserve"> générale</w:t>
      </w:r>
      <w:r w:rsidR="00992E12" w:rsidRPr="00992E12">
        <w:rPr>
          <w:rFonts w:ascii="Segoe UI" w:hAnsi="Segoe UI" w:cs="Segoe UI"/>
          <w:sz w:val="20"/>
          <w:szCs w:val="20"/>
        </w:rPr>
        <w:t>, 4 compagnies d’assurance santé et 6 compagnies d’assurance vie</w:t>
      </w:r>
    </w:p>
    <w:p w14:paraId="78B0C65B" w14:textId="77777777" w:rsidR="00473ECC" w:rsidRPr="00473ECC" w:rsidRDefault="00473ECC" w:rsidP="00473ECC">
      <w:pPr>
        <w:pStyle w:val="Paragraphedeliste"/>
        <w:jc w:val="both"/>
        <w:rPr>
          <w:rFonts w:ascii="Segoe UI" w:hAnsi="Segoe UI" w:cs="Segoe UI"/>
          <w:b/>
          <w:color w:val="000091" w:themeColor="text1"/>
          <w:sz w:val="20"/>
        </w:rPr>
      </w:pPr>
    </w:p>
    <w:p w14:paraId="4D70B7F8" w14:textId="59E6A5C2" w:rsidR="0094796A" w:rsidRDefault="0094796A" w:rsidP="00370E4D">
      <w:pPr>
        <w:pStyle w:val="Paragraphedeliste"/>
        <w:numPr>
          <w:ilvl w:val="0"/>
          <w:numId w:val="27"/>
        </w:numPr>
        <w:jc w:val="both"/>
        <w:rPr>
          <w:rFonts w:ascii="Segoe UI" w:hAnsi="Segoe UI" w:cs="Segoe UI"/>
          <w:bCs/>
          <w:sz w:val="20"/>
        </w:rPr>
      </w:pPr>
      <w:r w:rsidRPr="00473ECC">
        <w:rPr>
          <w:rFonts w:ascii="Segoe UI" w:hAnsi="Segoe UI" w:cs="Segoe UI"/>
          <w:bCs/>
          <w:sz w:val="20"/>
          <w:u w:val="single"/>
        </w:rPr>
        <w:t>AXA XL,</w:t>
      </w:r>
      <w:r w:rsidRPr="0094796A">
        <w:rPr>
          <w:rFonts w:ascii="Segoe UI" w:hAnsi="Segoe UI" w:cs="Segoe UI"/>
          <w:bCs/>
          <w:sz w:val="20"/>
        </w:rPr>
        <w:t xml:space="preserve"> une division d'AXA spécialisée dans les risques industriels et la réassurance, opère en Inde via sa branche de réassurance, </w:t>
      </w:r>
      <w:r>
        <w:rPr>
          <w:rFonts w:ascii="Segoe UI" w:hAnsi="Segoe UI" w:cs="Segoe UI"/>
          <w:bCs/>
          <w:sz w:val="20"/>
        </w:rPr>
        <w:t>« </w:t>
      </w:r>
      <w:r w:rsidRPr="0094796A">
        <w:rPr>
          <w:rFonts w:ascii="Segoe UI" w:hAnsi="Segoe UI" w:cs="Segoe UI"/>
          <w:bCs/>
          <w:sz w:val="20"/>
        </w:rPr>
        <w:t xml:space="preserve">XL </w:t>
      </w:r>
      <w:proofErr w:type="spellStart"/>
      <w:r w:rsidRPr="0094796A">
        <w:rPr>
          <w:rFonts w:ascii="Segoe UI" w:hAnsi="Segoe UI" w:cs="Segoe UI"/>
          <w:bCs/>
          <w:sz w:val="20"/>
        </w:rPr>
        <w:t>Insurance</w:t>
      </w:r>
      <w:proofErr w:type="spellEnd"/>
      <w:r w:rsidRPr="0094796A">
        <w:rPr>
          <w:rFonts w:ascii="Segoe UI" w:hAnsi="Segoe UI" w:cs="Segoe UI"/>
          <w:bCs/>
          <w:sz w:val="20"/>
        </w:rPr>
        <w:t xml:space="preserve"> </w:t>
      </w:r>
      <w:proofErr w:type="spellStart"/>
      <w:r w:rsidRPr="0094796A">
        <w:rPr>
          <w:rFonts w:ascii="Segoe UI" w:hAnsi="Segoe UI" w:cs="Segoe UI"/>
          <w:bCs/>
          <w:sz w:val="20"/>
        </w:rPr>
        <w:t>Company</w:t>
      </w:r>
      <w:proofErr w:type="spellEnd"/>
      <w:r w:rsidRPr="0094796A">
        <w:rPr>
          <w:rFonts w:ascii="Segoe UI" w:hAnsi="Segoe UI" w:cs="Segoe UI"/>
          <w:bCs/>
          <w:sz w:val="20"/>
        </w:rPr>
        <w:t xml:space="preserve"> SE </w:t>
      </w:r>
      <w:r>
        <w:rPr>
          <w:rFonts w:ascii="Segoe UI" w:hAnsi="Segoe UI" w:cs="Segoe UI"/>
          <w:bCs/>
          <w:sz w:val="20"/>
        </w:rPr>
        <w:t>-</w:t>
      </w:r>
      <w:r w:rsidRPr="0094796A">
        <w:rPr>
          <w:rFonts w:ascii="Segoe UI" w:hAnsi="Segoe UI" w:cs="Segoe UI"/>
          <w:bCs/>
          <w:sz w:val="20"/>
        </w:rPr>
        <w:t xml:space="preserve"> India </w:t>
      </w:r>
      <w:proofErr w:type="spellStart"/>
      <w:r w:rsidRPr="0094796A">
        <w:rPr>
          <w:rFonts w:ascii="Segoe UI" w:hAnsi="Segoe UI" w:cs="Segoe UI"/>
          <w:bCs/>
          <w:sz w:val="20"/>
        </w:rPr>
        <w:t>Reinsurance</w:t>
      </w:r>
      <w:proofErr w:type="spellEnd"/>
      <w:r w:rsidRPr="0094796A">
        <w:rPr>
          <w:rFonts w:ascii="Segoe UI" w:hAnsi="Segoe UI" w:cs="Segoe UI"/>
          <w:bCs/>
          <w:sz w:val="20"/>
        </w:rPr>
        <w:t xml:space="preserve"> Branch</w:t>
      </w:r>
      <w:r>
        <w:rPr>
          <w:rFonts w:ascii="Segoe UI" w:hAnsi="Segoe UI" w:cs="Segoe UI"/>
          <w:bCs/>
          <w:sz w:val="20"/>
        </w:rPr>
        <w:t> »</w:t>
      </w:r>
      <w:r w:rsidRPr="0094796A">
        <w:rPr>
          <w:rFonts w:ascii="Segoe UI" w:hAnsi="Segoe UI" w:cs="Segoe UI"/>
          <w:bCs/>
          <w:sz w:val="20"/>
        </w:rPr>
        <w:t>, enregistrée auprès de l'IRDAI depuis 2017</w:t>
      </w:r>
    </w:p>
    <w:p w14:paraId="1F215975" w14:textId="77777777" w:rsidR="0094796A" w:rsidRPr="0094796A" w:rsidRDefault="0094796A" w:rsidP="0094796A">
      <w:pPr>
        <w:pStyle w:val="Paragraphedeliste"/>
        <w:jc w:val="both"/>
        <w:rPr>
          <w:rFonts w:ascii="Segoe UI" w:hAnsi="Segoe UI" w:cs="Segoe UI"/>
          <w:bCs/>
          <w:sz w:val="20"/>
        </w:rPr>
      </w:pPr>
    </w:p>
    <w:p w14:paraId="0118B4B4" w14:textId="097A8388" w:rsidR="00F1154A" w:rsidRPr="00992E12" w:rsidRDefault="00F1154A" w:rsidP="00992E12">
      <w:pPr>
        <w:jc w:val="both"/>
        <w:rPr>
          <w:rFonts w:ascii="Segoe UI" w:hAnsi="Segoe UI" w:cs="Segoe UI"/>
          <w:b/>
          <w:color w:val="000091" w:themeColor="text1"/>
          <w:sz w:val="20"/>
        </w:rPr>
      </w:pPr>
      <w:r w:rsidRPr="00992E12">
        <w:rPr>
          <w:rFonts w:ascii="Segoe UI" w:hAnsi="Segoe UI" w:cs="Segoe UI"/>
          <w:b/>
          <w:color w:val="000091" w:themeColor="text1"/>
          <w:sz w:val="20"/>
        </w:rPr>
        <w:t>Assureurs privé</w:t>
      </w:r>
      <w:r w:rsidR="00AE7E83" w:rsidRPr="00992E12">
        <w:rPr>
          <w:rFonts w:ascii="Segoe UI" w:hAnsi="Segoe UI" w:cs="Segoe UI"/>
          <w:b/>
          <w:color w:val="000091" w:themeColor="text1"/>
          <w:sz w:val="20"/>
        </w:rPr>
        <w:t>s</w:t>
      </w:r>
      <w:r w:rsidRPr="00992E12">
        <w:rPr>
          <w:rFonts w:ascii="Segoe UI" w:hAnsi="Segoe UI" w:cs="Segoe UI"/>
          <w:b/>
          <w:color w:val="000091" w:themeColor="text1"/>
          <w:sz w:val="20"/>
        </w:rPr>
        <w:t xml:space="preserve"> B2B : </w:t>
      </w:r>
    </w:p>
    <w:p w14:paraId="1539DC09" w14:textId="296C085B" w:rsidR="000C7148" w:rsidRDefault="00F1154A" w:rsidP="003F78EB">
      <w:pPr>
        <w:pStyle w:val="Paragraphedeliste"/>
        <w:numPr>
          <w:ilvl w:val="0"/>
          <w:numId w:val="28"/>
        </w:numPr>
        <w:jc w:val="both"/>
        <w:rPr>
          <w:rFonts w:ascii="Segoe UI" w:hAnsi="Segoe UI" w:cs="Segoe UI"/>
          <w:bCs/>
          <w:sz w:val="20"/>
        </w:rPr>
      </w:pPr>
      <w:r w:rsidRPr="00E53AF8">
        <w:rPr>
          <w:rFonts w:ascii="Segoe UI" w:hAnsi="Segoe UI" w:cs="Segoe UI"/>
          <w:bCs/>
          <w:sz w:val="20"/>
          <w:u w:val="single"/>
        </w:rPr>
        <w:t>Europ Assistance</w:t>
      </w:r>
      <w:r w:rsidR="00AE7E83">
        <w:rPr>
          <w:rFonts w:ascii="Segoe UI" w:hAnsi="Segoe UI" w:cs="Segoe UI"/>
          <w:bCs/>
          <w:sz w:val="20"/>
        </w:rPr>
        <w:t xml:space="preserve"> : </w:t>
      </w:r>
      <w:r w:rsidR="00473ECC">
        <w:rPr>
          <w:rFonts w:ascii="Segoe UI" w:hAnsi="Segoe UI" w:cs="Segoe UI"/>
          <w:bCs/>
          <w:sz w:val="20"/>
        </w:rPr>
        <w:t>L’assureur f</w:t>
      </w:r>
      <w:r w:rsidR="00AE7E83" w:rsidRPr="00AE7E83">
        <w:rPr>
          <w:rFonts w:ascii="Segoe UI" w:hAnsi="Segoe UI" w:cs="Segoe UI"/>
          <w:bCs/>
          <w:sz w:val="20"/>
        </w:rPr>
        <w:t>ournit des solutions d’assistance et d’assurance B2B (voyage, santé, assistance routière)</w:t>
      </w:r>
      <w:r w:rsidR="00AE7E83">
        <w:rPr>
          <w:rFonts w:ascii="Segoe UI" w:hAnsi="Segoe UI" w:cs="Segoe UI"/>
          <w:bCs/>
          <w:sz w:val="20"/>
        </w:rPr>
        <w:t xml:space="preserve"> ; </w:t>
      </w:r>
    </w:p>
    <w:p w14:paraId="30895564" w14:textId="77777777" w:rsidR="0056407B" w:rsidRDefault="0056407B" w:rsidP="0056407B">
      <w:pPr>
        <w:pStyle w:val="Paragraphedeliste"/>
        <w:jc w:val="both"/>
        <w:rPr>
          <w:rFonts w:ascii="Segoe UI" w:hAnsi="Segoe UI" w:cs="Segoe UI"/>
          <w:bCs/>
          <w:sz w:val="20"/>
        </w:rPr>
      </w:pPr>
    </w:p>
    <w:p w14:paraId="518FF744" w14:textId="6CDAC416" w:rsidR="0094796A" w:rsidRPr="0094796A" w:rsidRDefault="0094796A" w:rsidP="0094796A">
      <w:pPr>
        <w:jc w:val="both"/>
        <w:rPr>
          <w:rFonts w:ascii="Segoe UI" w:hAnsi="Segoe UI" w:cs="Segoe UI"/>
          <w:b/>
          <w:color w:val="000091" w:themeColor="text1"/>
          <w:sz w:val="20"/>
        </w:rPr>
      </w:pPr>
      <w:r w:rsidRPr="0094796A">
        <w:rPr>
          <w:rFonts w:ascii="Segoe UI" w:hAnsi="Segoe UI" w:cs="Segoe UI"/>
          <w:b/>
          <w:color w:val="000091" w:themeColor="text1"/>
          <w:sz w:val="20"/>
        </w:rPr>
        <w:t xml:space="preserve">Global </w:t>
      </w:r>
      <w:proofErr w:type="spellStart"/>
      <w:r w:rsidRPr="0094796A">
        <w:rPr>
          <w:rFonts w:ascii="Segoe UI" w:hAnsi="Segoe UI" w:cs="Segoe UI"/>
          <w:b/>
          <w:color w:val="000091" w:themeColor="text1"/>
          <w:sz w:val="20"/>
        </w:rPr>
        <w:t>Capacity</w:t>
      </w:r>
      <w:proofErr w:type="spellEnd"/>
      <w:r w:rsidRPr="0094796A">
        <w:rPr>
          <w:rFonts w:ascii="Segoe UI" w:hAnsi="Segoe UI" w:cs="Segoe UI"/>
          <w:b/>
          <w:color w:val="000091" w:themeColor="text1"/>
          <w:sz w:val="20"/>
        </w:rPr>
        <w:t xml:space="preserve"> Centers </w:t>
      </w:r>
      <w:r>
        <w:rPr>
          <w:rFonts w:ascii="Segoe UI" w:hAnsi="Segoe UI" w:cs="Segoe UI"/>
          <w:b/>
          <w:color w:val="000091" w:themeColor="text1"/>
          <w:sz w:val="20"/>
        </w:rPr>
        <w:t>(GCC)</w:t>
      </w:r>
    </w:p>
    <w:p w14:paraId="21DFFAD8" w14:textId="357E8445" w:rsidR="0094796A" w:rsidRPr="00992E12" w:rsidRDefault="0094796A" w:rsidP="0094796A">
      <w:pPr>
        <w:pStyle w:val="Paragraphedeliste"/>
        <w:numPr>
          <w:ilvl w:val="0"/>
          <w:numId w:val="28"/>
        </w:numPr>
        <w:jc w:val="both"/>
        <w:rPr>
          <w:rFonts w:ascii="Segoe UI" w:hAnsi="Segoe UI" w:cs="Segoe UI"/>
          <w:bCs/>
          <w:sz w:val="20"/>
        </w:rPr>
      </w:pPr>
      <w:r w:rsidRPr="0094796A">
        <w:rPr>
          <w:rFonts w:ascii="Segoe UI" w:hAnsi="Segoe UI" w:cs="Segoe UI"/>
          <w:bCs/>
          <w:sz w:val="20"/>
          <w:u w:val="single"/>
          <w:lang w:val="en-US"/>
        </w:rPr>
        <w:t xml:space="preserve">AXA Global Business Services Pvt. </w:t>
      </w:r>
      <w:r w:rsidRPr="0094796A">
        <w:rPr>
          <w:rFonts w:ascii="Segoe UI" w:hAnsi="Segoe UI" w:cs="Segoe UI"/>
          <w:bCs/>
          <w:sz w:val="20"/>
          <w:u w:val="single"/>
        </w:rPr>
        <w:t>Ltd </w:t>
      </w:r>
      <w:r>
        <w:rPr>
          <w:rFonts w:ascii="Segoe UI" w:hAnsi="Segoe UI" w:cs="Segoe UI"/>
          <w:bCs/>
          <w:sz w:val="20"/>
        </w:rPr>
        <w:t>est b</w:t>
      </w:r>
      <w:r w:rsidRPr="00992E12">
        <w:rPr>
          <w:rFonts w:ascii="Segoe UI" w:hAnsi="Segoe UI" w:cs="Segoe UI"/>
          <w:bCs/>
          <w:sz w:val="20"/>
        </w:rPr>
        <w:t>asé à Bangalore et Pune</w:t>
      </w:r>
      <w:r w:rsidR="0056407B">
        <w:rPr>
          <w:rFonts w:ascii="Segoe UI" w:hAnsi="Segoe UI" w:cs="Segoe UI"/>
          <w:bCs/>
          <w:sz w:val="20"/>
        </w:rPr>
        <w:t xml:space="preserve">. Il s’agit d’un GCC </w:t>
      </w:r>
      <w:r w:rsidRPr="00992E12">
        <w:rPr>
          <w:rFonts w:ascii="Segoe UI" w:hAnsi="Segoe UI" w:cs="Segoe UI"/>
          <w:bCs/>
          <w:sz w:val="20"/>
        </w:rPr>
        <w:t>offr</w:t>
      </w:r>
      <w:r w:rsidR="0056407B">
        <w:rPr>
          <w:rFonts w:ascii="Segoe UI" w:hAnsi="Segoe UI" w:cs="Segoe UI"/>
          <w:bCs/>
          <w:sz w:val="20"/>
        </w:rPr>
        <w:t>ant</w:t>
      </w:r>
      <w:r w:rsidRPr="00992E12">
        <w:rPr>
          <w:rFonts w:ascii="Segoe UI" w:hAnsi="Segoe UI" w:cs="Segoe UI"/>
          <w:bCs/>
          <w:sz w:val="20"/>
        </w:rPr>
        <w:t xml:space="preserve"> des services de </w:t>
      </w:r>
      <w:r w:rsidR="0056407B" w:rsidRPr="00992E12">
        <w:rPr>
          <w:rFonts w:ascii="Segoe UI" w:hAnsi="Segoe UI" w:cs="Segoe UI"/>
          <w:bCs/>
          <w:sz w:val="20"/>
        </w:rPr>
        <w:t>s</w:t>
      </w:r>
      <w:r w:rsidR="0056407B">
        <w:rPr>
          <w:rFonts w:ascii="Segoe UI" w:hAnsi="Segoe UI" w:cs="Segoe UI"/>
          <w:bCs/>
          <w:sz w:val="20"/>
        </w:rPr>
        <w:t>outien</w:t>
      </w:r>
      <w:r w:rsidRPr="00992E12">
        <w:rPr>
          <w:rFonts w:ascii="Segoe UI" w:hAnsi="Segoe UI" w:cs="Segoe UI"/>
          <w:bCs/>
          <w:sz w:val="20"/>
        </w:rPr>
        <w:t xml:space="preserve"> aux opérations mondiales d'AXA, incluant des services informatiques, financiers et de gestion des risques.</w:t>
      </w:r>
    </w:p>
    <w:p w14:paraId="5BD58379" w14:textId="77777777" w:rsidR="00AE7E83" w:rsidRPr="00473ECC" w:rsidRDefault="00AE7E83" w:rsidP="00473ECC">
      <w:pPr>
        <w:ind w:left="360"/>
        <w:jc w:val="both"/>
        <w:rPr>
          <w:rFonts w:ascii="Segoe UI" w:hAnsi="Segoe UI" w:cs="Segoe UI"/>
          <w:bCs/>
          <w:sz w:val="20"/>
        </w:rPr>
      </w:pPr>
    </w:p>
    <w:p w14:paraId="207BB829" w14:textId="77777777" w:rsidR="00B918D6" w:rsidRDefault="00B918D6" w:rsidP="003F78EB">
      <w:pPr>
        <w:jc w:val="both"/>
        <w:rPr>
          <w:rFonts w:ascii="Segoe UI" w:hAnsi="Segoe UI" w:cs="Segoe UI"/>
          <w:b/>
          <w:color w:val="000091" w:themeColor="text1"/>
          <w:sz w:val="24"/>
          <w:szCs w:val="28"/>
        </w:rPr>
      </w:pPr>
    </w:p>
    <w:p w14:paraId="612F2DF1" w14:textId="77777777" w:rsidR="00B918D6" w:rsidRDefault="00B918D6" w:rsidP="003F78EB">
      <w:pPr>
        <w:jc w:val="both"/>
        <w:rPr>
          <w:rFonts w:ascii="Segoe UI" w:hAnsi="Segoe UI" w:cs="Segoe UI"/>
          <w:b/>
          <w:color w:val="000091" w:themeColor="text1"/>
          <w:sz w:val="24"/>
          <w:szCs w:val="28"/>
        </w:rPr>
      </w:pPr>
    </w:p>
    <w:p w14:paraId="7B1CC116" w14:textId="77777777" w:rsidR="00B918D6" w:rsidRDefault="00B918D6" w:rsidP="003F78EB">
      <w:pPr>
        <w:jc w:val="both"/>
        <w:rPr>
          <w:rFonts w:ascii="Segoe UI" w:hAnsi="Segoe UI" w:cs="Segoe UI"/>
          <w:b/>
          <w:color w:val="000091" w:themeColor="text1"/>
          <w:sz w:val="24"/>
          <w:szCs w:val="28"/>
        </w:rPr>
      </w:pPr>
    </w:p>
    <w:p w14:paraId="3ADA7D0F" w14:textId="77777777" w:rsidR="00B918D6" w:rsidRDefault="00B918D6" w:rsidP="003F78EB">
      <w:pPr>
        <w:jc w:val="both"/>
        <w:rPr>
          <w:rFonts w:ascii="Segoe UI" w:hAnsi="Segoe UI" w:cs="Segoe UI"/>
          <w:b/>
          <w:color w:val="000091" w:themeColor="text1"/>
          <w:sz w:val="24"/>
          <w:szCs w:val="28"/>
        </w:rPr>
      </w:pPr>
    </w:p>
    <w:p w14:paraId="3F3EE384" w14:textId="51A5231B" w:rsidR="00B918D6" w:rsidRDefault="00B918D6" w:rsidP="003F78EB">
      <w:pPr>
        <w:jc w:val="both"/>
        <w:rPr>
          <w:rFonts w:ascii="Segoe UI" w:hAnsi="Segoe UI" w:cs="Segoe UI"/>
          <w:b/>
          <w:color w:val="000091" w:themeColor="text1"/>
          <w:sz w:val="24"/>
          <w:szCs w:val="28"/>
        </w:rPr>
      </w:pPr>
    </w:p>
    <w:p w14:paraId="4740AD0F" w14:textId="77777777" w:rsidR="0056407B" w:rsidRDefault="0056407B" w:rsidP="003F78EB">
      <w:pPr>
        <w:jc w:val="both"/>
        <w:rPr>
          <w:rFonts w:ascii="Segoe UI" w:hAnsi="Segoe UI" w:cs="Segoe UI"/>
          <w:b/>
          <w:color w:val="000091" w:themeColor="text1"/>
          <w:sz w:val="24"/>
          <w:szCs w:val="28"/>
        </w:rPr>
      </w:pPr>
    </w:p>
    <w:p w14:paraId="5FAD1C64" w14:textId="52B57D25" w:rsidR="0089454B" w:rsidRPr="002352FB" w:rsidRDefault="002352FB" w:rsidP="003F78EB">
      <w:pPr>
        <w:jc w:val="both"/>
        <w:rPr>
          <w:rFonts w:ascii="Segoe UI" w:hAnsi="Segoe UI" w:cs="Segoe UI"/>
          <w:b/>
          <w:color w:val="000091" w:themeColor="text1"/>
          <w:sz w:val="24"/>
          <w:szCs w:val="28"/>
        </w:rPr>
      </w:pPr>
      <w:r w:rsidRPr="002352FB">
        <w:rPr>
          <w:rFonts w:ascii="Segoe UI" w:hAnsi="Segoe UI" w:cs="Segoe UI"/>
          <w:b/>
          <w:color w:val="000091" w:themeColor="text1"/>
          <w:sz w:val="24"/>
          <w:szCs w:val="28"/>
        </w:rPr>
        <w:lastRenderedPageBreak/>
        <w:t xml:space="preserve">ANNEXE </w:t>
      </w:r>
      <w:r w:rsidR="000A1A8E">
        <w:rPr>
          <w:rFonts w:ascii="Segoe UI" w:hAnsi="Segoe UI" w:cs="Segoe UI"/>
          <w:b/>
          <w:color w:val="000091" w:themeColor="text1"/>
          <w:sz w:val="24"/>
          <w:szCs w:val="28"/>
        </w:rPr>
        <w:t xml:space="preserve">8 </w:t>
      </w:r>
      <w:r w:rsidRPr="002352FB">
        <w:rPr>
          <w:rFonts w:ascii="Segoe UI" w:hAnsi="Segoe UI" w:cs="Segoe UI"/>
          <w:b/>
          <w:color w:val="000091" w:themeColor="text1"/>
          <w:sz w:val="24"/>
          <w:szCs w:val="28"/>
        </w:rPr>
        <w:t xml:space="preserve">: </w:t>
      </w:r>
      <w:r w:rsidR="0089454B" w:rsidRPr="002352FB">
        <w:rPr>
          <w:rFonts w:ascii="Segoe UI" w:hAnsi="Segoe UI" w:cs="Segoe UI"/>
          <w:b/>
          <w:color w:val="000091" w:themeColor="text1"/>
          <w:sz w:val="24"/>
          <w:szCs w:val="28"/>
        </w:rPr>
        <w:t xml:space="preserve">Bibliographie </w:t>
      </w:r>
    </w:p>
    <w:p w14:paraId="54CA7F5C" w14:textId="4184916E" w:rsidR="00EF5416" w:rsidRDefault="00EF5416" w:rsidP="0089454B">
      <w:pPr>
        <w:pStyle w:val="Paragraphedeliste"/>
        <w:numPr>
          <w:ilvl w:val="0"/>
          <w:numId w:val="16"/>
        </w:numPr>
        <w:spacing w:after="0" w:line="240" w:lineRule="auto"/>
        <w:rPr>
          <w:rFonts w:ascii="Segoe UI" w:eastAsia="Times New Roman" w:hAnsi="Segoe UI" w:cs="Segoe UI"/>
          <w:sz w:val="20"/>
          <w:szCs w:val="20"/>
          <w:lang w:val="en-US" w:eastAsia="fr-FR"/>
        </w:rPr>
      </w:pPr>
      <w:r w:rsidRPr="00EF5416">
        <w:rPr>
          <w:rFonts w:ascii="Segoe UI" w:eastAsia="Times New Roman" w:hAnsi="Segoe UI" w:cs="Segoe UI"/>
          <w:sz w:val="20"/>
          <w:szCs w:val="20"/>
          <w:lang w:val="en-US" w:eastAsia="fr-FR"/>
        </w:rPr>
        <w:t xml:space="preserve">« Unlocking </w:t>
      </w:r>
      <w:r>
        <w:rPr>
          <w:rFonts w:ascii="Segoe UI" w:eastAsia="Times New Roman" w:hAnsi="Segoe UI" w:cs="Segoe UI"/>
          <w:sz w:val="20"/>
          <w:szCs w:val="20"/>
          <w:lang w:val="en-US" w:eastAsia="fr-FR"/>
        </w:rPr>
        <w:t xml:space="preserve">growth opportunities in India’s insurance sector “, PWC,  </w:t>
      </w:r>
      <w:hyperlink r:id="rId18" w:history="1">
        <w:r w:rsidRPr="00184DE6">
          <w:rPr>
            <w:rStyle w:val="Lienhypertexte"/>
            <w:rFonts w:ascii="Segoe UI" w:eastAsia="Times New Roman" w:hAnsi="Segoe UI" w:cs="Segoe UI"/>
            <w:sz w:val="20"/>
            <w:szCs w:val="20"/>
            <w:lang w:val="en-US" w:eastAsia="fr-FR"/>
          </w:rPr>
          <w:t>https://www.pwc.in/assets/pdfs/unlocking-growth-opportunities-indias-insurance-sector.pdf</w:t>
        </w:r>
      </w:hyperlink>
      <w:r w:rsidRPr="00EF5416">
        <w:rPr>
          <w:rFonts w:ascii="Segoe UI" w:eastAsia="Times New Roman" w:hAnsi="Segoe UI" w:cs="Segoe UI"/>
          <w:sz w:val="20"/>
          <w:szCs w:val="20"/>
          <w:lang w:val="en-US" w:eastAsia="fr-FR"/>
        </w:rPr>
        <w:t xml:space="preserve">? </w:t>
      </w:r>
    </w:p>
    <w:p w14:paraId="15CBF5B1" w14:textId="77777777" w:rsidR="00EF5416" w:rsidRPr="00EF5416" w:rsidRDefault="00EF5416" w:rsidP="00EF5416">
      <w:pPr>
        <w:spacing w:after="0" w:line="240" w:lineRule="auto"/>
        <w:rPr>
          <w:rFonts w:ascii="Segoe UI" w:eastAsia="Times New Roman" w:hAnsi="Segoe UI" w:cs="Segoe UI"/>
          <w:sz w:val="20"/>
          <w:szCs w:val="20"/>
          <w:lang w:val="en-US" w:eastAsia="fr-FR"/>
        </w:rPr>
      </w:pPr>
    </w:p>
    <w:p w14:paraId="0F270C96" w14:textId="1FC1C274" w:rsidR="0089454B" w:rsidRPr="00BE2953" w:rsidRDefault="00EF5416" w:rsidP="00EF5416">
      <w:pPr>
        <w:pStyle w:val="Paragraphedeliste"/>
        <w:numPr>
          <w:ilvl w:val="0"/>
          <w:numId w:val="16"/>
        </w:numPr>
        <w:spacing w:after="0" w:line="240" w:lineRule="auto"/>
        <w:rPr>
          <w:rStyle w:val="Lienhypertexte"/>
          <w:rFonts w:ascii="Segoe UI" w:eastAsia="Times New Roman" w:hAnsi="Segoe UI" w:cs="Segoe UI"/>
          <w:color w:val="auto"/>
          <w:sz w:val="20"/>
          <w:szCs w:val="20"/>
          <w:u w:val="none"/>
          <w:lang w:val="en-US" w:eastAsia="fr-FR"/>
        </w:rPr>
      </w:pPr>
      <w:r>
        <w:rPr>
          <w:rFonts w:ascii="Segoe UI" w:eastAsia="Times New Roman" w:hAnsi="Segoe UI" w:cs="Segoe UI"/>
          <w:sz w:val="20"/>
          <w:szCs w:val="20"/>
          <w:lang w:val="en-US" w:eastAsia="fr-FR"/>
        </w:rPr>
        <w:t xml:space="preserve">“Insurance penetration in India dips to 3,7% despite premium growth : IRDAI”, Business Standard, </w:t>
      </w:r>
      <w:hyperlink r:id="rId19" w:history="1">
        <w:r w:rsidR="0089454B" w:rsidRPr="00EF5416">
          <w:rPr>
            <w:rStyle w:val="Lienhypertexte"/>
            <w:lang w:val="en-US"/>
          </w:rPr>
          <w:t xml:space="preserve">Insurance penetration in India dips to 3.7% despite premium growth: </w:t>
        </w:r>
        <w:proofErr w:type="spellStart"/>
        <w:r w:rsidR="0089454B" w:rsidRPr="00EF5416">
          <w:rPr>
            <w:rStyle w:val="Lienhypertexte"/>
            <w:lang w:val="en-US"/>
          </w:rPr>
          <w:t>Irdai</w:t>
        </w:r>
        <w:proofErr w:type="spellEnd"/>
        <w:r w:rsidR="0089454B" w:rsidRPr="00EF5416">
          <w:rPr>
            <w:rStyle w:val="Lienhypertexte"/>
            <w:lang w:val="en-US"/>
          </w:rPr>
          <w:t xml:space="preserve"> | Insurance - Business Standard</w:t>
        </w:r>
      </w:hyperlink>
    </w:p>
    <w:p w14:paraId="28B32DBB" w14:textId="77777777" w:rsidR="00BE2953" w:rsidRPr="00BE2953" w:rsidRDefault="00BE2953" w:rsidP="00BE2953">
      <w:pPr>
        <w:pStyle w:val="Paragraphedeliste"/>
        <w:rPr>
          <w:rStyle w:val="Lienhypertexte"/>
          <w:rFonts w:ascii="Segoe UI" w:eastAsia="Times New Roman" w:hAnsi="Segoe UI" w:cs="Segoe UI"/>
          <w:color w:val="auto"/>
          <w:sz w:val="20"/>
          <w:szCs w:val="20"/>
          <w:u w:val="none"/>
          <w:lang w:val="en-US" w:eastAsia="fr-FR"/>
        </w:rPr>
      </w:pPr>
    </w:p>
    <w:p w14:paraId="674DA4AB" w14:textId="176069E9" w:rsidR="00BE2953" w:rsidRPr="008346CB" w:rsidRDefault="00BE2953"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Style w:val="Lienhypertexte"/>
          <w:rFonts w:ascii="Segoe UI" w:eastAsia="Times New Roman" w:hAnsi="Segoe UI" w:cs="Segoe UI"/>
          <w:color w:val="auto"/>
          <w:sz w:val="20"/>
          <w:szCs w:val="20"/>
          <w:u w:val="none"/>
          <w:lang w:val="en-US" w:eastAsia="fr-FR"/>
        </w:rPr>
        <w:t xml:space="preserve">IBEF, insurance </w:t>
      </w:r>
      <w:r w:rsidR="00870D80">
        <w:rPr>
          <w:rStyle w:val="Lienhypertexte"/>
          <w:rFonts w:ascii="Segoe UI" w:eastAsia="Times New Roman" w:hAnsi="Segoe UI" w:cs="Segoe UI"/>
          <w:color w:val="auto"/>
          <w:sz w:val="20"/>
          <w:szCs w:val="20"/>
          <w:u w:val="none"/>
          <w:lang w:val="en-US" w:eastAsia="fr-FR"/>
        </w:rPr>
        <w:t xml:space="preserve">report, </w:t>
      </w:r>
      <w:hyperlink r:id="rId20" w:history="1">
        <w:r w:rsidR="00870D80" w:rsidRPr="00870D80">
          <w:rPr>
            <w:rStyle w:val="Lienhypertexte"/>
            <w:lang w:val="en-US"/>
          </w:rPr>
          <w:t>1755153182_Insurance-May-2025.pdf</w:t>
        </w:r>
      </w:hyperlink>
      <w:r w:rsidR="00870D80" w:rsidRPr="00870D80">
        <w:rPr>
          <w:lang w:val="en-US"/>
        </w:rPr>
        <w:t xml:space="preserve"> </w:t>
      </w:r>
      <w:r w:rsidR="00870D80">
        <w:rPr>
          <w:lang w:val="en-US"/>
        </w:rPr>
        <w:t xml:space="preserve">; </w:t>
      </w:r>
    </w:p>
    <w:p w14:paraId="6C14CD6A" w14:textId="77777777" w:rsidR="008346CB" w:rsidRPr="008346CB" w:rsidRDefault="008346CB" w:rsidP="008346CB">
      <w:pPr>
        <w:pStyle w:val="Paragraphedeliste"/>
        <w:rPr>
          <w:rStyle w:val="Lienhypertexte"/>
          <w:rFonts w:ascii="Segoe UI" w:eastAsia="Times New Roman" w:hAnsi="Segoe UI" w:cs="Segoe UI"/>
          <w:color w:val="auto"/>
          <w:sz w:val="20"/>
          <w:szCs w:val="20"/>
          <w:u w:val="none"/>
          <w:lang w:val="en-US" w:eastAsia="fr-FR"/>
        </w:rPr>
      </w:pPr>
    </w:p>
    <w:p w14:paraId="68CBC36B" w14:textId="6475D27F" w:rsidR="008346CB" w:rsidRPr="00EF5416" w:rsidRDefault="008346CB" w:rsidP="00EF5416">
      <w:pPr>
        <w:pStyle w:val="Paragraphedeliste"/>
        <w:numPr>
          <w:ilvl w:val="0"/>
          <w:numId w:val="16"/>
        </w:numPr>
        <w:spacing w:after="0" w:line="240" w:lineRule="auto"/>
        <w:rPr>
          <w:rStyle w:val="Lienhypertexte"/>
          <w:rFonts w:ascii="Segoe UI" w:eastAsia="Times New Roman" w:hAnsi="Segoe UI" w:cs="Segoe UI"/>
          <w:color w:val="auto"/>
          <w:sz w:val="20"/>
          <w:szCs w:val="20"/>
          <w:u w:val="none"/>
          <w:lang w:val="en-US" w:eastAsia="fr-FR"/>
        </w:rPr>
      </w:pPr>
      <w:r w:rsidRPr="008346CB">
        <w:rPr>
          <w:lang w:val="en-US"/>
        </w:rPr>
        <w:t>How fintech has sparked a revolution in insurance</w:t>
      </w:r>
      <w:r>
        <w:rPr>
          <w:rStyle w:val="Lienhypertexte"/>
          <w:rFonts w:ascii="Segoe UI" w:eastAsia="Times New Roman" w:hAnsi="Segoe UI" w:cs="Segoe UI"/>
          <w:color w:val="auto"/>
          <w:sz w:val="20"/>
          <w:szCs w:val="20"/>
          <w:u w:val="none"/>
          <w:lang w:val="en-US" w:eastAsia="fr-FR"/>
        </w:rPr>
        <w:t xml:space="preserve">, Deloitte, </w:t>
      </w:r>
      <w:hyperlink r:id="rId21" w:history="1">
        <w:r w:rsidRPr="008346CB">
          <w:rPr>
            <w:rStyle w:val="Lienhypertexte"/>
            <w:lang w:val="en-US"/>
          </w:rPr>
          <w:t>gx-fsi-cataylst-for-change.pdf</w:t>
        </w:r>
      </w:hyperlink>
    </w:p>
    <w:p w14:paraId="17D86891" w14:textId="77777777" w:rsidR="00EF5416" w:rsidRPr="00EF5416" w:rsidRDefault="00EF5416" w:rsidP="00EF5416">
      <w:pPr>
        <w:pStyle w:val="Paragraphedeliste"/>
        <w:rPr>
          <w:rFonts w:ascii="Segoe UI" w:eastAsia="Times New Roman" w:hAnsi="Segoe UI" w:cs="Segoe UI"/>
          <w:sz w:val="20"/>
          <w:szCs w:val="20"/>
          <w:lang w:val="en-US" w:eastAsia="fr-FR"/>
        </w:rPr>
      </w:pPr>
    </w:p>
    <w:p w14:paraId="55401E54" w14:textId="0F532984" w:rsidR="00EF5416" w:rsidRDefault="00EF5416" w:rsidP="00EF5416">
      <w:pPr>
        <w:pStyle w:val="Paragraphedeliste"/>
        <w:numPr>
          <w:ilvl w:val="0"/>
          <w:numId w:val="16"/>
        </w:numPr>
        <w:spacing w:after="0" w:line="240" w:lineRule="auto"/>
        <w:rPr>
          <w:rFonts w:ascii="Segoe UI" w:eastAsia="Times New Roman" w:hAnsi="Segoe UI" w:cs="Segoe UI"/>
          <w:sz w:val="20"/>
          <w:szCs w:val="20"/>
          <w:lang w:val="en-US" w:eastAsia="fr-FR"/>
        </w:rPr>
      </w:pPr>
      <w:r w:rsidRPr="00EF5416">
        <w:rPr>
          <w:rFonts w:ascii="Segoe UI" w:eastAsia="Times New Roman" w:hAnsi="Segoe UI" w:cs="Segoe UI"/>
          <w:sz w:val="20"/>
          <w:szCs w:val="20"/>
          <w:lang w:val="en-US" w:eastAsia="fr-FR"/>
        </w:rPr>
        <w:t xml:space="preserve">Communiqué de </w:t>
      </w:r>
      <w:proofErr w:type="spellStart"/>
      <w:r w:rsidRPr="00EF5416">
        <w:rPr>
          <w:rFonts w:ascii="Segoe UI" w:eastAsia="Times New Roman" w:hAnsi="Segoe UI" w:cs="Segoe UI"/>
          <w:sz w:val="20"/>
          <w:szCs w:val="20"/>
          <w:lang w:val="en-US" w:eastAsia="fr-FR"/>
        </w:rPr>
        <w:t>presse</w:t>
      </w:r>
      <w:proofErr w:type="spellEnd"/>
      <w:r w:rsidRPr="00EF5416">
        <w:rPr>
          <w:rFonts w:ascii="Segoe UI" w:eastAsia="Times New Roman" w:hAnsi="Segoe UI" w:cs="Segoe UI"/>
          <w:sz w:val="20"/>
          <w:szCs w:val="20"/>
          <w:lang w:val="en-US" w:eastAsia="fr-FR"/>
        </w:rPr>
        <w:t xml:space="preserve"> </w:t>
      </w:r>
      <w:proofErr w:type="spellStart"/>
      <w:r w:rsidRPr="00EF5416">
        <w:rPr>
          <w:rFonts w:ascii="Segoe UI" w:eastAsia="Times New Roman" w:hAnsi="Segoe UI" w:cs="Segoe UI"/>
          <w:sz w:val="20"/>
          <w:szCs w:val="20"/>
          <w:lang w:val="en-US" w:eastAsia="fr-FR"/>
        </w:rPr>
        <w:t>officiel</w:t>
      </w:r>
      <w:proofErr w:type="spellEnd"/>
      <w:r w:rsidRPr="00EF5416">
        <w:rPr>
          <w:rFonts w:ascii="Segoe UI" w:eastAsia="Times New Roman" w:hAnsi="Segoe UI" w:cs="Segoe UI"/>
          <w:sz w:val="20"/>
          <w:szCs w:val="20"/>
          <w:lang w:val="en-US" w:eastAsia="fr-FR"/>
        </w:rPr>
        <w:t xml:space="preserve"> “FDI Limit for Insurance sector raised from 74 to 100 % », </w:t>
      </w:r>
      <w:hyperlink r:id="rId22" w:history="1">
        <w:r w:rsidRPr="00184DE6">
          <w:rPr>
            <w:rStyle w:val="Lienhypertexte"/>
            <w:rFonts w:ascii="Segoe UI" w:eastAsia="Times New Roman" w:hAnsi="Segoe UI" w:cs="Segoe UI"/>
            <w:sz w:val="20"/>
            <w:szCs w:val="20"/>
            <w:lang w:val="en-US" w:eastAsia="fr-FR"/>
          </w:rPr>
          <w:t>https://www.pib.gov.in/PressReleasePage.aspx?PRID=2098394&amp;</w:t>
        </w:r>
      </w:hyperlink>
      <w:r>
        <w:rPr>
          <w:rFonts w:ascii="Segoe UI" w:eastAsia="Times New Roman" w:hAnsi="Segoe UI" w:cs="Segoe UI"/>
          <w:sz w:val="20"/>
          <w:szCs w:val="20"/>
          <w:lang w:val="en-US" w:eastAsia="fr-FR"/>
        </w:rPr>
        <w:t xml:space="preserve">  </w:t>
      </w:r>
    </w:p>
    <w:p w14:paraId="4D012A87" w14:textId="77777777" w:rsidR="00605FE3" w:rsidRPr="00605FE3" w:rsidRDefault="00605FE3" w:rsidP="00605FE3">
      <w:pPr>
        <w:pStyle w:val="Paragraphedeliste"/>
        <w:rPr>
          <w:rFonts w:ascii="Segoe UI" w:eastAsia="Times New Roman" w:hAnsi="Segoe UI" w:cs="Segoe UI"/>
          <w:sz w:val="20"/>
          <w:szCs w:val="20"/>
          <w:lang w:val="en-US" w:eastAsia="fr-FR"/>
        </w:rPr>
      </w:pPr>
    </w:p>
    <w:p w14:paraId="046C623B" w14:textId="2E769E75" w:rsidR="00605FE3" w:rsidRDefault="00605FE3"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“India’s economy and insurance market : growing rapidly, but mind the risk hot spots”, </w:t>
      </w:r>
      <w:proofErr w:type="spellStart"/>
      <w:r>
        <w:rPr>
          <w:rFonts w:ascii="Segoe UI" w:eastAsia="Times New Roman" w:hAnsi="Segoe UI" w:cs="Segoe UI"/>
          <w:sz w:val="20"/>
          <w:szCs w:val="20"/>
          <w:lang w:val="en-US" w:eastAsia="fr-FR"/>
        </w:rPr>
        <w:t>SwissRe</w:t>
      </w:r>
      <w:proofErr w:type="spellEnd"/>
      <w:r>
        <w:rPr>
          <w:rFonts w:ascii="Segoe UI" w:eastAsia="Times New Roman" w:hAnsi="Segoe UI" w:cs="Segoe UI"/>
          <w:sz w:val="20"/>
          <w:szCs w:val="20"/>
          <w:lang w:val="en-US" w:eastAsia="fr-FR"/>
        </w:rPr>
        <w:t xml:space="preserve"> Institute, January 2025 : </w:t>
      </w:r>
      <w:hyperlink r:id="rId23" w:history="1">
        <w:r w:rsidRPr="00184DE6">
          <w:rPr>
            <w:rStyle w:val="Lienhypertexte"/>
            <w:rFonts w:ascii="Segoe UI" w:eastAsia="Times New Roman" w:hAnsi="Segoe UI" w:cs="Segoe UI"/>
            <w:sz w:val="20"/>
            <w:szCs w:val="20"/>
            <w:lang w:val="en-US" w:eastAsia="fr-FR"/>
          </w:rPr>
          <w:t>https://www.swissre.com/dam/jcr%3A4c54602e-f24f-4322-8e8a-bfd6ada77062/2025-01-14-swiss-re-%20institute-expertise-publication-india-economy-and-insurance-market.pdf</w:t>
        </w:r>
      </w:hyperlink>
      <w:r>
        <w:rPr>
          <w:rFonts w:ascii="Segoe UI" w:eastAsia="Times New Roman" w:hAnsi="Segoe UI" w:cs="Segoe UI"/>
          <w:sz w:val="20"/>
          <w:szCs w:val="20"/>
          <w:lang w:val="en-US" w:eastAsia="fr-FR"/>
        </w:rPr>
        <w:t xml:space="preserve"> </w:t>
      </w:r>
    </w:p>
    <w:p w14:paraId="660D79EF" w14:textId="77777777" w:rsidR="00AA72DF" w:rsidRPr="00AA72DF" w:rsidRDefault="00AA72DF" w:rsidP="00AA72DF">
      <w:pPr>
        <w:pStyle w:val="Paragraphedeliste"/>
        <w:rPr>
          <w:rFonts w:ascii="Segoe UI" w:eastAsia="Times New Roman" w:hAnsi="Segoe UI" w:cs="Segoe UI"/>
          <w:sz w:val="20"/>
          <w:szCs w:val="20"/>
          <w:lang w:val="en-US" w:eastAsia="fr-FR"/>
        </w:rPr>
      </w:pPr>
    </w:p>
    <w:p w14:paraId="17A9BEE8" w14:textId="43AC05CA" w:rsidR="00AA72DF" w:rsidRDefault="00AA72DF"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“India’s insurance </w:t>
      </w:r>
      <w:proofErr w:type="gramStart"/>
      <w:r>
        <w:rPr>
          <w:rFonts w:ascii="Segoe UI" w:eastAsia="Times New Roman" w:hAnsi="Segoe UI" w:cs="Segoe UI"/>
          <w:sz w:val="20"/>
          <w:szCs w:val="20"/>
          <w:lang w:val="en-US" w:eastAsia="fr-FR"/>
        </w:rPr>
        <w:t>market :</w:t>
      </w:r>
      <w:proofErr w:type="gramEnd"/>
      <w:r>
        <w:rPr>
          <w:rFonts w:ascii="Segoe UI" w:eastAsia="Times New Roman" w:hAnsi="Segoe UI" w:cs="Segoe UI"/>
          <w:sz w:val="20"/>
          <w:szCs w:val="20"/>
          <w:lang w:val="en-US" w:eastAsia="fr-FR"/>
        </w:rPr>
        <w:t xml:space="preserve"> poised for rapid growth</w:t>
      </w:r>
      <w:r w:rsidR="00F7461D">
        <w:rPr>
          <w:rFonts w:ascii="Segoe UI" w:eastAsia="Times New Roman" w:hAnsi="Segoe UI" w:cs="Segoe UI"/>
          <w:sz w:val="20"/>
          <w:szCs w:val="20"/>
          <w:lang w:val="en-US" w:eastAsia="fr-FR"/>
        </w:rPr>
        <w:t>”</w:t>
      </w:r>
      <w:r>
        <w:rPr>
          <w:rFonts w:ascii="Segoe UI" w:eastAsia="Times New Roman" w:hAnsi="Segoe UI" w:cs="Segoe UI"/>
          <w:sz w:val="20"/>
          <w:szCs w:val="20"/>
          <w:lang w:val="en-US" w:eastAsia="fr-FR"/>
        </w:rPr>
        <w:t xml:space="preserve">, </w:t>
      </w:r>
      <w:proofErr w:type="spellStart"/>
      <w:r>
        <w:rPr>
          <w:rFonts w:ascii="Segoe UI" w:eastAsia="Times New Roman" w:hAnsi="Segoe UI" w:cs="Segoe UI"/>
          <w:sz w:val="20"/>
          <w:szCs w:val="20"/>
          <w:lang w:val="en-US" w:eastAsia="fr-FR"/>
        </w:rPr>
        <w:t>SwissRe</w:t>
      </w:r>
      <w:proofErr w:type="spellEnd"/>
      <w:r>
        <w:rPr>
          <w:rFonts w:ascii="Segoe UI" w:eastAsia="Times New Roman" w:hAnsi="Segoe UI" w:cs="Segoe UI"/>
          <w:sz w:val="20"/>
          <w:szCs w:val="20"/>
          <w:lang w:val="en-US" w:eastAsia="fr-FR"/>
        </w:rPr>
        <w:t xml:space="preserve">, January 2023, </w:t>
      </w:r>
      <w:hyperlink r:id="rId24" w:history="1">
        <w:r w:rsidRPr="00AA72DF">
          <w:rPr>
            <w:rStyle w:val="Lienhypertexte"/>
            <w:lang w:val="en-US"/>
          </w:rPr>
          <w:t>2022-11-expertise-publication-india-a-growth-engine.pdf</w:t>
        </w:r>
      </w:hyperlink>
      <w:r w:rsidRPr="00AA72DF">
        <w:rPr>
          <w:lang w:val="en-US"/>
        </w:rPr>
        <w:t xml:space="preserve"> </w:t>
      </w:r>
    </w:p>
    <w:p w14:paraId="59552BD3" w14:textId="77777777" w:rsidR="00EF5416" w:rsidRPr="00EF5416" w:rsidRDefault="00EF5416" w:rsidP="00EF5416">
      <w:pPr>
        <w:pStyle w:val="Paragraphedeliste"/>
        <w:rPr>
          <w:rFonts w:ascii="Segoe UI" w:eastAsia="Times New Roman" w:hAnsi="Segoe UI" w:cs="Segoe UI"/>
          <w:sz w:val="20"/>
          <w:szCs w:val="20"/>
          <w:lang w:val="en-US" w:eastAsia="fr-FR"/>
        </w:rPr>
      </w:pPr>
    </w:p>
    <w:p w14:paraId="47DBE10B" w14:textId="1957F27E" w:rsidR="00EF5416" w:rsidRDefault="00EF5416"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“Individual segment Growth Continues to be led by Bancassurance Channel”, 8 </w:t>
      </w:r>
      <w:proofErr w:type="spellStart"/>
      <w:r>
        <w:rPr>
          <w:rFonts w:ascii="Segoe UI" w:eastAsia="Times New Roman" w:hAnsi="Segoe UI" w:cs="Segoe UI"/>
          <w:sz w:val="20"/>
          <w:szCs w:val="20"/>
          <w:lang w:val="en-US" w:eastAsia="fr-FR"/>
        </w:rPr>
        <w:t>avril</w:t>
      </w:r>
      <w:proofErr w:type="spellEnd"/>
      <w:r>
        <w:rPr>
          <w:rFonts w:ascii="Segoe UI" w:eastAsia="Times New Roman" w:hAnsi="Segoe UI" w:cs="Segoe UI"/>
          <w:sz w:val="20"/>
          <w:szCs w:val="20"/>
          <w:lang w:val="en-US" w:eastAsia="fr-FR"/>
        </w:rPr>
        <w:t xml:space="preserve"> 2024, </w:t>
      </w:r>
      <w:proofErr w:type="spellStart"/>
      <w:r>
        <w:rPr>
          <w:rFonts w:ascii="Segoe UI" w:eastAsia="Times New Roman" w:hAnsi="Segoe UI" w:cs="Segoe UI"/>
          <w:sz w:val="20"/>
          <w:szCs w:val="20"/>
          <w:lang w:val="en-US" w:eastAsia="fr-FR"/>
        </w:rPr>
        <w:t>CareEdge</w:t>
      </w:r>
      <w:proofErr w:type="spellEnd"/>
      <w:r>
        <w:rPr>
          <w:rFonts w:ascii="Segoe UI" w:eastAsia="Times New Roman" w:hAnsi="Segoe UI" w:cs="Segoe UI"/>
          <w:sz w:val="20"/>
          <w:szCs w:val="20"/>
          <w:lang w:val="en-US" w:eastAsia="fr-FR"/>
        </w:rPr>
        <w:t xml:space="preserve"> Ratings, </w:t>
      </w:r>
      <w:hyperlink r:id="rId25" w:history="1">
        <w:r w:rsidRPr="00184DE6">
          <w:rPr>
            <w:rStyle w:val="Lienhypertexte"/>
            <w:rFonts w:ascii="Segoe UI" w:eastAsia="Times New Roman" w:hAnsi="Segoe UI" w:cs="Segoe UI"/>
            <w:sz w:val="20"/>
            <w:szCs w:val="20"/>
            <w:lang w:val="en-US" w:eastAsia="fr-FR"/>
          </w:rPr>
          <w:t>https://www.careratings.com/uploads/newsfiles/1712575761_Analysis%20of%20the%20Life%20Insurance%20Industry%20April%202024.pdf</w:t>
        </w:r>
      </w:hyperlink>
      <w:r>
        <w:rPr>
          <w:rFonts w:ascii="Segoe UI" w:eastAsia="Times New Roman" w:hAnsi="Segoe UI" w:cs="Segoe UI"/>
          <w:sz w:val="20"/>
          <w:szCs w:val="20"/>
          <w:lang w:val="en-US" w:eastAsia="fr-FR"/>
        </w:rPr>
        <w:t xml:space="preserve"> </w:t>
      </w:r>
    </w:p>
    <w:p w14:paraId="0695953D" w14:textId="77777777" w:rsidR="00EF5416" w:rsidRPr="00EF5416" w:rsidRDefault="00EF5416" w:rsidP="00EF5416">
      <w:pPr>
        <w:pStyle w:val="Paragraphedeliste"/>
        <w:rPr>
          <w:rFonts w:ascii="Segoe UI" w:eastAsia="Times New Roman" w:hAnsi="Segoe UI" w:cs="Segoe UI"/>
          <w:sz w:val="20"/>
          <w:szCs w:val="20"/>
          <w:lang w:val="en-US" w:eastAsia="fr-FR"/>
        </w:rPr>
      </w:pPr>
    </w:p>
    <w:p w14:paraId="5DFE79DA" w14:textId="396B40C6" w:rsidR="00EF5416" w:rsidRDefault="00605FE3"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Indian Non-Life Insurance Activity </w:t>
      </w:r>
      <w:proofErr w:type="spellStart"/>
      <w:r w:rsidR="00EF5416">
        <w:rPr>
          <w:rFonts w:ascii="Segoe UI" w:eastAsia="Times New Roman" w:hAnsi="Segoe UI" w:cs="Segoe UI"/>
          <w:sz w:val="20"/>
          <w:szCs w:val="20"/>
          <w:lang w:val="en-US" w:eastAsia="fr-FR"/>
        </w:rPr>
        <w:t>YearBook</w:t>
      </w:r>
      <w:proofErr w:type="spellEnd"/>
      <w:r w:rsidR="00EF5416">
        <w:rPr>
          <w:rFonts w:ascii="Segoe UI" w:eastAsia="Times New Roman" w:hAnsi="Segoe UI" w:cs="Segoe UI"/>
          <w:sz w:val="20"/>
          <w:szCs w:val="20"/>
          <w:lang w:val="en-US" w:eastAsia="fr-FR"/>
        </w:rPr>
        <w:t xml:space="preserve"> 2023-2034, General Insurance Council, </w:t>
      </w:r>
      <w:hyperlink r:id="rId26" w:history="1">
        <w:r w:rsidRPr="00184DE6">
          <w:rPr>
            <w:rStyle w:val="Lienhypertexte"/>
            <w:rFonts w:ascii="Segoe UI" w:eastAsia="Times New Roman" w:hAnsi="Segoe UI" w:cs="Segoe UI"/>
            <w:sz w:val="20"/>
            <w:szCs w:val="20"/>
            <w:lang w:val="en-US" w:eastAsia="fr-FR"/>
          </w:rPr>
          <w:t>https://www.gicouncil.in/yearbook/2023-24/wp-content/uploads/GIC_Yearbook_2023-24.pdf</w:t>
        </w:r>
      </w:hyperlink>
      <w:r>
        <w:rPr>
          <w:rFonts w:ascii="Segoe UI" w:eastAsia="Times New Roman" w:hAnsi="Segoe UI" w:cs="Segoe UI"/>
          <w:sz w:val="20"/>
          <w:szCs w:val="20"/>
          <w:lang w:val="en-US" w:eastAsia="fr-FR"/>
        </w:rPr>
        <w:t xml:space="preserve"> </w:t>
      </w:r>
    </w:p>
    <w:p w14:paraId="4D376395" w14:textId="77777777" w:rsidR="00605FE3" w:rsidRPr="00605FE3" w:rsidRDefault="00605FE3" w:rsidP="00605FE3">
      <w:pPr>
        <w:pStyle w:val="Paragraphedeliste"/>
        <w:rPr>
          <w:rFonts w:ascii="Segoe UI" w:eastAsia="Times New Roman" w:hAnsi="Segoe UI" w:cs="Segoe UI"/>
          <w:sz w:val="20"/>
          <w:szCs w:val="20"/>
          <w:lang w:val="en-US" w:eastAsia="fr-FR"/>
        </w:rPr>
      </w:pPr>
    </w:p>
    <w:p w14:paraId="62A0C877" w14:textId="6C38C22C" w:rsidR="00605FE3" w:rsidRDefault="00605FE3" w:rsidP="00EF5416">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“Insurtech Funding set to top 1$ billion in 12 months”, The Economic Times, </w:t>
      </w:r>
      <w:hyperlink r:id="rId27" w:history="1">
        <w:r w:rsidRPr="00184DE6">
          <w:rPr>
            <w:rStyle w:val="Lienhypertexte"/>
            <w:rFonts w:ascii="Segoe UI" w:eastAsia="Times New Roman" w:hAnsi="Segoe UI" w:cs="Segoe UI"/>
            <w:sz w:val="20"/>
            <w:szCs w:val="20"/>
            <w:lang w:val="en-US" w:eastAsia="fr-FR"/>
          </w:rPr>
          <w:t>https://economictimes.indiatimes.com/industry/banking/finance/insure/insurtech-funding-set-to-top-1-billion-in-12-months/articleshow/122641038.cms</w:t>
        </w:r>
      </w:hyperlink>
    </w:p>
    <w:p w14:paraId="587DF5A3" w14:textId="77777777" w:rsidR="00605FE3" w:rsidRPr="00605FE3" w:rsidRDefault="00605FE3" w:rsidP="00605FE3">
      <w:pPr>
        <w:pStyle w:val="Paragraphedeliste"/>
        <w:rPr>
          <w:rFonts w:ascii="Segoe UI" w:eastAsia="Times New Roman" w:hAnsi="Segoe UI" w:cs="Segoe UI"/>
          <w:sz w:val="20"/>
          <w:szCs w:val="20"/>
          <w:lang w:val="en-US" w:eastAsia="fr-FR"/>
        </w:rPr>
      </w:pPr>
    </w:p>
    <w:p w14:paraId="01B27F1C" w14:textId="1665CE03" w:rsidR="00605FE3" w:rsidRDefault="00605FE3" w:rsidP="00605FE3">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List of Life insurers, </w:t>
      </w:r>
      <w:proofErr w:type="gramStart"/>
      <w:r>
        <w:rPr>
          <w:rFonts w:ascii="Segoe UI" w:eastAsia="Times New Roman" w:hAnsi="Segoe UI" w:cs="Segoe UI"/>
          <w:sz w:val="20"/>
          <w:szCs w:val="20"/>
          <w:lang w:val="en-US" w:eastAsia="fr-FR"/>
        </w:rPr>
        <w:t>IRDAI :</w:t>
      </w:r>
      <w:proofErr w:type="gramEnd"/>
      <w:r>
        <w:rPr>
          <w:rFonts w:ascii="Segoe UI" w:eastAsia="Times New Roman" w:hAnsi="Segoe UI" w:cs="Segoe UI"/>
          <w:sz w:val="20"/>
          <w:szCs w:val="20"/>
          <w:lang w:val="en-US" w:eastAsia="fr-FR"/>
        </w:rPr>
        <w:t xml:space="preserve"> </w:t>
      </w:r>
      <w:hyperlink r:id="rId28" w:history="1">
        <w:r w:rsidRPr="00605FE3">
          <w:rPr>
            <w:rStyle w:val="Lienhypertexte"/>
            <w:lang w:val="en-US"/>
          </w:rPr>
          <w:t>List of Life Insurers - IRDAI</w:t>
        </w:r>
      </w:hyperlink>
      <w:r w:rsidRPr="00605FE3">
        <w:rPr>
          <w:lang w:val="en-US"/>
        </w:rPr>
        <w:t xml:space="preserve"> </w:t>
      </w:r>
    </w:p>
    <w:p w14:paraId="37C316A9" w14:textId="77777777" w:rsidR="00605FE3" w:rsidRPr="00605FE3" w:rsidRDefault="00605FE3" w:rsidP="00605FE3">
      <w:pPr>
        <w:spacing w:after="0" w:line="240" w:lineRule="auto"/>
        <w:rPr>
          <w:rFonts w:ascii="Segoe UI" w:eastAsia="Times New Roman" w:hAnsi="Segoe UI" w:cs="Segoe UI"/>
          <w:sz w:val="20"/>
          <w:szCs w:val="20"/>
          <w:lang w:val="en-US" w:eastAsia="fr-FR"/>
        </w:rPr>
      </w:pPr>
    </w:p>
    <w:p w14:paraId="5BD1843E" w14:textId="1F317006" w:rsidR="0089454B" w:rsidRPr="0092578B" w:rsidRDefault="00605FE3" w:rsidP="00605FE3">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Annual Reports, </w:t>
      </w:r>
      <w:proofErr w:type="gramStart"/>
      <w:r>
        <w:rPr>
          <w:rFonts w:ascii="Segoe UI" w:eastAsia="Times New Roman" w:hAnsi="Segoe UI" w:cs="Segoe UI"/>
          <w:sz w:val="20"/>
          <w:szCs w:val="20"/>
          <w:lang w:val="en-US" w:eastAsia="fr-FR"/>
        </w:rPr>
        <w:t>IRDAI :</w:t>
      </w:r>
      <w:proofErr w:type="gramEnd"/>
      <w:r>
        <w:rPr>
          <w:rFonts w:ascii="Segoe UI" w:eastAsia="Times New Roman" w:hAnsi="Segoe UI" w:cs="Segoe UI"/>
          <w:sz w:val="20"/>
          <w:szCs w:val="20"/>
          <w:lang w:val="en-US" w:eastAsia="fr-FR"/>
        </w:rPr>
        <w:t xml:space="preserve"> </w:t>
      </w:r>
      <w:hyperlink r:id="rId29" w:history="1">
        <w:r w:rsidRPr="00605FE3">
          <w:rPr>
            <w:rStyle w:val="Lienhypertexte"/>
            <w:lang w:val="en-US"/>
          </w:rPr>
          <w:t>Annual Reports - IRDAI</w:t>
        </w:r>
      </w:hyperlink>
    </w:p>
    <w:p w14:paraId="0649CA49" w14:textId="77777777" w:rsidR="0092578B" w:rsidRPr="0092578B" w:rsidRDefault="0092578B" w:rsidP="0092578B">
      <w:pPr>
        <w:pStyle w:val="Paragraphedeliste"/>
        <w:rPr>
          <w:rFonts w:ascii="Segoe UI" w:eastAsia="Times New Roman" w:hAnsi="Segoe UI" w:cs="Segoe UI"/>
          <w:sz w:val="20"/>
          <w:szCs w:val="20"/>
          <w:lang w:val="en-US" w:eastAsia="fr-FR"/>
        </w:rPr>
      </w:pPr>
    </w:p>
    <w:p w14:paraId="46A36AEC" w14:textId="561A7023" w:rsidR="0092578B" w:rsidRPr="00605FE3" w:rsidRDefault="0092578B" w:rsidP="00605FE3">
      <w:pPr>
        <w:pStyle w:val="Paragraphedeliste"/>
        <w:numPr>
          <w:ilvl w:val="0"/>
          <w:numId w:val="16"/>
        </w:numPr>
        <w:spacing w:after="0" w:line="240" w:lineRule="auto"/>
        <w:rPr>
          <w:rFonts w:ascii="Segoe UI" w:eastAsia="Times New Roman" w:hAnsi="Segoe UI" w:cs="Segoe UI"/>
          <w:sz w:val="20"/>
          <w:szCs w:val="20"/>
          <w:lang w:val="en-US" w:eastAsia="fr-FR"/>
        </w:rPr>
      </w:pPr>
      <w:r>
        <w:rPr>
          <w:rFonts w:ascii="Segoe UI" w:eastAsia="Times New Roman" w:hAnsi="Segoe UI" w:cs="Segoe UI"/>
          <w:sz w:val="20"/>
          <w:szCs w:val="20"/>
          <w:lang w:val="en-US" w:eastAsia="fr-FR"/>
        </w:rPr>
        <w:t xml:space="preserve">Annual Report, FY25, HDFC Life insurance report, </w:t>
      </w:r>
      <w:hyperlink r:id="rId30" w:history="1">
        <w:r w:rsidRPr="0092578B">
          <w:rPr>
            <w:rStyle w:val="Lienhypertexte"/>
            <w:lang w:val="en-US"/>
          </w:rPr>
          <w:t>integrated-annual-report-fy-2024-2025.pdf</w:t>
        </w:r>
      </w:hyperlink>
      <w:r w:rsidRPr="0092578B">
        <w:rPr>
          <w:lang w:val="en-US"/>
        </w:rPr>
        <w:t xml:space="preserve"> </w:t>
      </w:r>
    </w:p>
    <w:p w14:paraId="57DC33CF" w14:textId="2FB086ED" w:rsidR="00226207" w:rsidRPr="00321D41" w:rsidRDefault="00226207" w:rsidP="003F78EB">
      <w:pPr>
        <w:jc w:val="both"/>
        <w:rPr>
          <w:b/>
          <w:color w:val="000091" w:themeColor="text1"/>
          <w:sz w:val="32"/>
          <w:szCs w:val="36"/>
          <w:lang w:val="en-US"/>
        </w:rPr>
      </w:pPr>
    </w:p>
    <w:p w14:paraId="214A80FD" w14:textId="72785EB8" w:rsidR="00B918D6" w:rsidRDefault="00B918D6" w:rsidP="003F78EB">
      <w:pPr>
        <w:jc w:val="both"/>
        <w:rPr>
          <w:b/>
          <w:color w:val="000091" w:themeColor="text1"/>
          <w:sz w:val="32"/>
          <w:szCs w:val="36"/>
          <w:lang w:val="en-US"/>
        </w:rPr>
      </w:pPr>
    </w:p>
    <w:p w14:paraId="0ED6A245" w14:textId="5B1BFA6B" w:rsidR="00496755" w:rsidRDefault="00496755" w:rsidP="003F78EB">
      <w:pPr>
        <w:jc w:val="both"/>
        <w:rPr>
          <w:b/>
          <w:color w:val="000091" w:themeColor="text1"/>
          <w:sz w:val="32"/>
          <w:szCs w:val="36"/>
          <w:lang w:val="en-US"/>
        </w:rPr>
      </w:pPr>
    </w:p>
    <w:p w14:paraId="5B62D467" w14:textId="77777777" w:rsidR="00496755" w:rsidRDefault="00496755" w:rsidP="003F78EB">
      <w:pPr>
        <w:jc w:val="both"/>
        <w:rPr>
          <w:b/>
          <w:color w:val="000091" w:themeColor="text1"/>
          <w:sz w:val="32"/>
          <w:szCs w:val="36"/>
          <w:lang w:val="en-US"/>
        </w:rPr>
      </w:pPr>
    </w:p>
    <w:p w14:paraId="2483B75C" w14:textId="77777777" w:rsidR="006A3642" w:rsidRDefault="006A3642" w:rsidP="003F78EB">
      <w:pPr>
        <w:jc w:val="both"/>
        <w:rPr>
          <w:b/>
          <w:color w:val="000091" w:themeColor="text1"/>
          <w:sz w:val="32"/>
          <w:szCs w:val="36"/>
          <w:lang w:val="en-US"/>
        </w:rPr>
      </w:pPr>
    </w:p>
    <w:p w14:paraId="12543E96" w14:textId="14D381B6" w:rsidR="00627989" w:rsidRPr="003F78EB" w:rsidRDefault="00627989" w:rsidP="003F78EB">
      <w:pPr>
        <w:jc w:val="both"/>
        <w:rPr>
          <w:b/>
          <w:color w:val="000091" w:themeColor="text1"/>
          <w:sz w:val="32"/>
          <w:szCs w:val="36"/>
        </w:rPr>
      </w:pPr>
      <w:r w:rsidRPr="003F78EB">
        <w:rPr>
          <w:b/>
          <w:color w:val="000091" w:themeColor="text1"/>
          <w:sz w:val="32"/>
          <w:szCs w:val="36"/>
        </w:rPr>
        <w:lastRenderedPageBreak/>
        <w:t>N</w:t>
      </w:r>
      <w:r w:rsidR="00496755">
        <w:rPr>
          <w:b/>
          <w:color w:val="000091" w:themeColor="text1"/>
          <w:sz w:val="32"/>
          <w:szCs w:val="36"/>
        </w:rPr>
        <w:t xml:space="preserve">ote de fin </w:t>
      </w:r>
      <w:r w:rsidRPr="003F78EB">
        <w:rPr>
          <w:b/>
          <w:color w:val="000091" w:themeColor="text1"/>
          <w:sz w:val="32"/>
          <w:szCs w:val="36"/>
        </w:rPr>
        <w:t xml:space="preserve"> </w:t>
      </w:r>
    </w:p>
    <w:sectPr w:rsidR="00627989" w:rsidRPr="003F78EB" w:rsidSect="00425639">
      <w:footerReference w:type="default" r:id="rId31"/>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167E" w14:textId="77777777" w:rsidR="004A76BB" w:rsidRDefault="004A76BB" w:rsidP="001C2361">
      <w:pPr>
        <w:spacing w:after="0" w:line="240" w:lineRule="auto"/>
      </w:pPr>
      <w:r>
        <w:separator/>
      </w:r>
    </w:p>
  </w:endnote>
  <w:endnote w:type="continuationSeparator" w:id="0">
    <w:p w14:paraId="2E26DCA4" w14:textId="77777777" w:rsidR="004A76BB" w:rsidRDefault="004A76BB" w:rsidP="001C2361">
      <w:pPr>
        <w:spacing w:after="0" w:line="240" w:lineRule="auto"/>
      </w:pPr>
      <w:r>
        <w:continuationSeparator/>
      </w:r>
    </w:p>
  </w:endnote>
  <w:endnote w:id="1">
    <w:p w14:paraId="60389656" w14:textId="4B5BEC26" w:rsidR="00A54D08" w:rsidRPr="00E11DDE" w:rsidRDefault="00A54D08">
      <w:pPr>
        <w:pStyle w:val="Notedefin"/>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w:t>
      </w:r>
      <w:hyperlink r:id="rId1" w:history="1">
        <w:r w:rsidRPr="00E11DDE">
          <w:rPr>
            <w:rStyle w:val="Lienhypertexte"/>
            <w:rFonts w:ascii="Segoe UI" w:hAnsi="Segoe UI" w:cs="Segoe UI"/>
          </w:rPr>
          <w:t>https://www.swissre.com/institute/research/topics-and-risk-dialogues/economy-and-insurance-outlook/india-economy-insurance-market-growth.html</w:t>
        </w:r>
      </w:hyperlink>
      <w:r w:rsidR="00E11DDE">
        <w:rPr>
          <w:rFonts w:ascii="Segoe UI" w:hAnsi="Segoe UI" w:cs="Segoe UI"/>
        </w:rPr>
        <w:t xml:space="preserve"> ; </w:t>
      </w:r>
    </w:p>
    <w:p w14:paraId="7FB3D59D" w14:textId="77777777" w:rsidR="004B38D8" w:rsidRPr="00E11DDE" w:rsidRDefault="004B38D8">
      <w:pPr>
        <w:pStyle w:val="Notedefin"/>
        <w:rPr>
          <w:rFonts w:ascii="Segoe UI" w:hAnsi="Segoe UI" w:cs="Segoe UI"/>
        </w:rPr>
      </w:pPr>
    </w:p>
  </w:endnote>
  <w:endnote w:id="2">
    <w:p w14:paraId="6A713F5A" w14:textId="2157BB2F" w:rsidR="00425639" w:rsidRPr="00E11DDE" w:rsidRDefault="00425639">
      <w:pPr>
        <w:pStyle w:val="Notedefin"/>
        <w:rPr>
          <w:rFonts w:ascii="Segoe UI" w:hAnsi="Segoe UI" w:cs="Segoe UI"/>
          <w:lang w:val="en-US"/>
        </w:rPr>
      </w:pPr>
      <w:r w:rsidRPr="00E11DDE">
        <w:rPr>
          <w:rStyle w:val="Appeldenotedefin"/>
          <w:rFonts w:ascii="Segoe UI" w:hAnsi="Segoe UI" w:cs="Segoe UI"/>
        </w:rPr>
        <w:endnoteRef/>
      </w:r>
      <w:r w:rsidRPr="00E11DDE">
        <w:rPr>
          <w:rFonts w:ascii="Segoe UI" w:hAnsi="Segoe UI" w:cs="Segoe UI"/>
          <w:lang w:val="en-US"/>
        </w:rPr>
        <w:t xml:space="preserve"> </w:t>
      </w:r>
      <w:hyperlink r:id="rId2" w:history="1">
        <w:r w:rsidRPr="00E11DDE">
          <w:rPr>
            <w:rStyle w:val="Lienhypertexte"/>
            <w:rFonts w:ascii="Segoe UI" w:hAnsi="Segoe UI" w:cs="Segoe UI"/>
            <w:lang w:val="en-US"/>
          </w:rPr>
          <w:t>pwc.in/assets/pdfs/unlocking-growth-opportunities-indias-insurance-sector.pdf</w:t>
        </w:r>
      </w:hyperlink>
      <w:r w:rsidR="00E11DDE" w:rsidRPr="00E11DDE">
        <w:rPr>
          <w:rFonts w:ascii="Segoe UI" w:hAnsi="Segoe UI" w:cs="Segoe UI"/>
          <w:lang w:val="en-US"/>
        </w:rPr>
        <w:t xml:space="preserve"> </w:t>
      </w:r>
      <w:r w:rsidR="00E11DDE">
        <w:rPr>
          <w:rFonts w:ascii="Segoe UI" w:hAnsi="Segoe UI" w:cs="Segoe UI"/>
          <w:lang w:val="en-US"/>
        </w:rPr>
        <w:t>;</w:t>
      </w:r>
    </w:p>
    <w:p w14:paraId="5877451D" w14:textId="77777777" w:rsidR="00E11DDE" w:rsidRPr="00E11DDE" w:rsidRDefault="00E11DDE">
      <w:pPr>
        <w:pStyle w:val="Notedefin"/>
        <w:rPr>
          <w:rFonts w:ascii="Segoe UI" w:hAnsi="Segoe UI" w:cs="Segoe UI"/>
          <w:lang w:val="en-US"/>
        </w:rPr>
      </w:pPr>
    </w:p>
  </w:endnote>
  <w:endnote w:id="3">
    <w:p w14:paraId="2E0A149E" w14:textId="317AAF30" w:rsidR="00425639" w:rsidRDefault="00425639">
      <w:pPr>
        <w:pStyle w:val="Notedefin"/>
        <w:rPr>
          <w:rFonts w:ascii="Segoe UI" w:hAnsi="Segoe UI" w:cs="Segoe UI"/>
          <w:lang w:val="en-US"/>
        </w:rPr>
      </w:pPr>
      <w:r w:rsidRPr="00E11DDE">
        <w:rPr>
          <w:rStyle w:val="Appeldenotedefin"/>
          <w:rFonts w:ascii="Segoe UI" w:hAnsi="Segoe UI" w:cs="Segoe UI"/>
        </w:rPr>
        <w:endnoteRef/>
      </w:r>
      <w:r w:rsidRPr="00E11DDE">
        <w:rPr>
          <w:rFonts w:ascii="Segoe UI" w:hAnsi="Segoe UI" w:cs="Segoe UI"/>
          <w:lang w:val="en-US"/>
        </w:rPr>
        <w:t xml:space="preserve"> </w:t>
      </w:r>
      <w:hyperlink r:id="rId3" w:history="1">
        <w:r w:rsidRPr="00E11DDE">
          <w:rPr>
            <w:rStyle w:val="Lienhypertexte"/>
            <w:rFonts w:ascii="Segoe UI" w:hAnsi="Segoe UI" w:cs="Segoe UI"/>
            <w:lang w:val="en-US"/>
          </w:rPr>
          <w:t>https://www.pwc.in/assets/pdfs/unlocking-growth-opportunities-indias-insurance-sector.pdf</w:t>
        </w:r>
      </w:hyperlink>
      <w:r w:rsidRPr="00E11DDE">
        <w:rPr>
          <w:rFonts w:ascii="Segoe UI" w:hAnsi="Segoe UI" w:cs="Segoe UI"/>
          <w:lang w:val="en-US"/>
        </w:rPr>
        <w:t xml:space="preserve"> </w:t>
      </w:r>
      <w:r w:rsidR="00E11DDE">
        <w:rPr>
          <w:rFonts w:ascii="Segoe UI" w:hAnsi="Segoe UI" w:cs="Segoe UI"/>
          <w:lang w:val="en-US"/>
        </w:rPr>
        <w:t>;</w:t>
      </w:r>
    </w:p>
    <w:p w14:paraId="4A9F9A74" w14:textId="77777777" w:rsidR="00195BFA" w:rsidRPr="00E11DDE" w:rsidRDefault="00195BFA">
      <w:pPr>
        <w:pStyle w:val="Notedefin"/>
        <w:rPr>
          <w:rFonts w:ascii="Segoe UI" w:hAnsi="Segoe UI" w:cs="Segoe UI"/>
          <w:lang w:val="en-US"/>
        </w:rPr>
      </w:pPr>
    </w:p>
  </w:endnote>
  <w:endnote w:id="4">
    <w:p w14:paraId="0CD184DA" w14:textId="71B60F36" w:rsidR="00195BFA" w:rsidRPr="00195BFA" w:rsidRDefault="00195BFA" w:rsidP="00195BFA">
      <w:pPr>
        <w:pStyle w:val="Notedefin"/>
        <w:jc w:val="both"/>
        <w:rPr>
          <w:rFonts w:ascii="Segoe UI" w:hAnsi="Segoe UI" w:cs="Segoe UI"/>
        </w:rPr>
      </w:pPr>
      <w:r w:rsidRPr="00195BFA">
        <w:rPr>
          <w:rStyle w:val="Appeldenotedefin"/>
          <w:rFonts w:ascii="Segoe UI" w:hAnsi="Segoe UI" w:cs="Segoe UI"/>
        </w:rPr>
        <w:endnoteRef/>
      </w:r>
      <w:r w:rsidRPr="00195BFA">
        <w:rPr>
          <w:rFonts w:ascii="Segoe UI" w:hAnsi="Segoe UI" w:cs="Segoe UI"/>
        </w:rPr>
        <w:t xml:space="preserve"> La pénétration de l’assurance est un indicateur économique officiel utilisé pour mesurer le poids de l’assurance dans une économie. La pénétration de l’assurance correspond au rapport entre les primes d’assurance totales émises au cours d’une période donnée et le produit intérieur brut (PIB) du pays, exprimé en pourcentage</w:t>
      </w:r>
      <w:r>
        <w:rPr>
          <w:rFonts w:ascii="Segoe UI" w:hAnsi="Segoe UI" w:cs="Segoe UI"/>
        </w:rPr>
        <w:t xml:space="preserve">. </w:t>
      </w:r>
      <w:r w:rsidRPr="00195BFA">
        <w:rPr>
          <w:rFonts w:ascii="Segoe UI" w:hAnsi="Segoe UI" w:cs="Segoe UI"/>
        </w:rPr>
        <w:t>Un taux élevé de pénétration indique un marché d’assurance développé et bien utilisé par les particuliers et les entreprises</w:t>
      </w:r>
      <w:r>
        <w:rPr>
          <w:rFonts w:ascii="Segoe UI" w:hAnsi="Segoe UI" w:cs="Segoe UI"/>
        </w:rPr>
        <w:t xml:space="preserve">, tandis qu’un taux faible </w:t>
      </w:r>
      <w:r w:rsidRPr="00195BFA">
        <w:rPr>
          <w:rFonts w:ascii="Segoe UI" w:hAnsi="Segoe UI" w:cs="Segoe UI"/>
        </w:rPr>
        <w:t>reflète un marché encore sous-développé, où la couverture assurance est limitée ou peu répandue.</w:t>
      </w:r>
    </w:p>
  </w:endnote>
  <w:endnote w:id="5">
    <w:p w14:paraId="28AAE6E9" w14:textId="77777777" w:rsidR="00425639" w:rsidRPr="00195BFA" w:rsidRDefault="00425639" w:rsidP="00EF697E">
      <w:pPr>
        <w:pStyle w:val="Notedefin"/>
        <w:jc w:val="both"/>
        <w:rPr>
          <w:rFonts w:ascii="Segoe UI" w:hAnsi="Segoe UI" w:cs="Segoe UI"/>
        </w:rPr>
      </w:pPr>
    </w:p>
    <w:p w14:paraId="3F6932B7" w14:textId="1CD0F5B3" w:rsidR="00425639" w:rsidRPr="00E11DDE" w:rsidRDefault="00425639" w:rsidP="00EF697E">
      <w:pPr>
        <w:pStyle w:val="Notedefin"/>
        <w:jc w:val="both"/>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Selon la Banque mondiale, le taux de pénétration de l’assurance-vie en Inde, de 2,8 % sur l’exercice 2024, était inférieur à celui de pays comme la Thaïlande (3,4 %), la Malaisie (3,7 %) et l’Afrique du Sud (9,2 %). La densité de l’assurance-vie en Inde, de 70 USD, est également inférieure à celle de ces économies (Thaïlande : 244 USD, Malaisie : 425 USD, Afrique du Sud : 577 USD). Concernant l’assurance </w:t>
      </w:r>
      <w:r w:rsidR="00321D41">
        <w:rPr>
          <w:rFonts w:ascii="Segoe UI" w:hAnsi="Segoe UI" w:cs="Segoe UI"/>
        </w:rPr>
        <w:t xml:space="preserve">générale, </w:t>
      </w:r>
      <w:r w:rsidRPr="00E11DDE">
        <w:rPr>
          <w:rFonts w:ascii="Segoe UI" w:hAnsi="Segoe UI" w:cs="Segoe UI"/>
        </w:rPr>
        <w:t xml:space="preserve">en 2023-24, la pénétration était de 1,0 % du PIB, inchangée par rapport à l'année précédente et se concentrait principalement sur les segments de l’assurance santé et automobile </w:t>
      </w:r>
      <w:hyperlink r:id="rId4" w:history="1">
        <w:r w:rsidRPr="00E11DDE">
          <w:rPr>
            <w:rStyle w:val="Lienhypertexte"/>
            <w:rFonts w:ascii="Segoe UI" w:hAnsi="Segoe UI" w:cs="Segoe UI"/>
          </w:rPr>
          <w:t>selon un rapport de PWC</w:t>
        </w:r>
      </w:hyperlink>
      <w:r w:rsidRPr="00E11DDE">
        <w:rPr>
          <w:rFonts w:ascii="Segoe UI" w:hAnsi="Segoe UI" w:cs="Segoe UI"/>
        </w:rPr>
        <w:t xml:space="preserve">. La densité (primes par habitant) a légèrement augmenté, atteignant 22 USD en 2023, contre 11 USD en 2015 selon </w:t>
      </w:r>
      <w:hyperlink r:id="rId5" w:history="1">
        <w:r w:rsidRPr="00E11DDE">
          <w:rPr>
            <w:rStyle w:val="Lienhypertexte"/>
            <w:rFonts w:ascii="Segoe UI" w:hAnsi="Segoe UI" w:cs="Segoe UI"/>
          </w:rPr>
          <w:t xml:space="preserve">India Brand </w:t>
        </w:r>
        <w:r w:rsidRPr="00E11DDE">
          <w:rPr>
            <w:rStyle w:val="Lienhypertexte"/>
            <w:rFonts w:ascii="Segoe UI" w:hAnsi="Segoe UI" w:cs="Segoe UI"/>
          </w:rPr>
          <w:t>Equity Foundation</w:t>
        </w:r>
      </w:hyperlink>
      <w:r w:rsidRPr="00E11DDE">
        <w:rPr>
          <w:rFonts w:ascii="Segoe UI" w:hAnsi="Segoe UI" w:cs="Segoe UI"/>
        </w:rPr>
        <w:t xml:space="preserve">  ; </w:t>
      </w:r>
    </w:p>
    <w:p w14:paraId="41CB678E" w14:textId="77777777" w:rsidR="00425639" w:rsidRPr="00E11DDE" w:rsidRDefault="00425639" w:rsidP="00EF697E">
      <w:pPr>
        <w:pStyle w:val="Notedefin"/>
        <w:jc w:val="both"/>
        <w:rPr>
          <w:rFonts w:ascii="Segoe UI" w:hAnsi="Segoe UI" w:cs="Segoe UI"/>
        </w:rPr>
      </w:pPr>
    </w:p>
  </w:endnote>
  <w:endnote w:id="6">
    <w:p w14:paraId="1AD13BFC" w14:textId="72A3604B" w:rsidR="00425639" w:rsidRDefault="00425639">
      <w:pPr>
        <w:pStyle w:val="Notedefin"/>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Selon un rapport de la Société Financière Internationale (SFI) ; </w:t>
      </w:r>
    </w:p>
    <w:p w14:paraId="00B219A2" w14:textId="77777777" w:rsidR="00E11DDE" w:rsidRPr="00E11DDE" w:rsidRDefault="00E11DDE">
      <w:pPr>
        <w:pStyle w:val="Notedefin"/>
        <w:rPr>
          <w:rFonts w:ascii="Segoe UI" w:hAnsi="Segoe UI" w:cs="Segoe UI"/>
        </w:rPr>
      </w:pPr>
    </w:p>
  </w:endnote>
  <w:endnote w:id="7">
    <w:p w14:paraId="7FBCDD3C" w14:textId="79F09A2E" w:rsidR="00425639" w:rsidRDefault="00425639">
      <w:pPr>
        <w:pStyle w:val="Notedefin"/>
        <w:rPr>
          <w:rFonts w:ascii="Segoe UI" w:hAnsi="Segoe UI" w:cs="Segoe UI"/>
          <w:lang w:val="en-US"/>
        </w:rPr>
      </w:pPr>
      <w:r w:rsidRPr="00E11DDE">
        <w:rPr>
          <w:rStyle w:val="Appeldenotedefin"/>
          <w:rFonts w:ascii="Segoe UI" w:hAnsi="Segoe UI" w:cs="Segoe UI"/>
        </w:rPr>
        <w:endnoteRef/>
      </w:r>
      <w:r w:rsidRPr="00E11DDE">
        <w:rPr>
          <w:rFonts w:ascii="Segoe UI" w:hAnsi="Segoe UI" w:cs="Segoe UI"/>
          <w:lang w:val="en-US"/>
        </w:rPr>
        <w:t xml:space="preserve"> </w:t>
      </w:r>
      <w:hyperlink r:id="rId6" w:history="1">
        <w:r w:rsidRPr="00E11DDE">
          <w:rPr>
            <w:rStyle w:val="Lienhypertexte"/>
            <w:rFonts w:ascii="Segoe UI" w:hAnsi="Segoe UI" w:cs="Segoe UI"/>
            <w:lang w:val="en-US"/>
          </w:rPr>
          <w:t>India Employment - web_8 April.pdf</w:t>
        </w:r>
      </w:hyperlink>
      <w:r w:rsidRPr="00E11DDE">
        <w:rPr>
          <w:rFonts w:ascii="Segoe UI" w:hAnsi="Segoe UI" w:cs="Segoe UI"/>
          <w:lang w:val="en-US"/>
        </w:rPr>
        <w:t xml:space="preserve"> </w:t>
      </w:r>
      <w:r w:rsidR="00E11DDE">
        <w:rPr>
          <w:rFonts w:ascii="Segoe UI" w:hAnsi="Segoe UI" w:cs="Segoe UI"/>
          <w:lang w:val="en-US"/>
        </w:rPr>
        <w:t xml:space="preserve">; </w:t>
      </w:r>
    </w:p>
    <w:p w14:paraId="21317ABF" w14:textId="77777777" w:rsidR="00E11DDE" w:rsidRPr="00E11DDE" w:rsidRDefault="00E11DDE">
      <w:pPr>
        <w:pStyle w:val="Notedefin"/>
        <w:rPr>
          <w:rFonts w:ascii="Segoe UI" w:hAnsi="Segoe UI" w:cs="Segoe UI"/>
          <w:lang w:val="en-US"/>
        </w:rPr>
      </w:pPr>
    </w:p>
  </w:endnote>
  <w:endnote w:id="8">
    <w:p w14:paraId="272946B4" w14:textId="6D880393" w:rsidR="00425639" w:rsidRPr="00E11DDE" w:rsidRDefault="00425639">
      <w:pPr>
        <w:pStyle w:val="Notedefin"/>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w:t>
      </w:r>
      <w:r w:rsidR="000C7148" w:rsidRPr="00E11DDE">
        <w:rPr>
          <w:rFonts w:ascii="Segoe UI" w:hAnsi="Segoe UI" w:cs="Segoe UI"/>
        </w:rPr>
        <w:t>Voir</w:t>
      </w:r>
      <w:r w:rsidR="000C7148">
        <w:rPr>
          <w:rFonts w:ascii="Segoe UI" w:hAnsi="Segoe UI" w:cs="Segoe UI"/>
        </w:rPr>
        <w:t xml:space="preserve"> la</w:t>
      </w:r>
      <w:r w:rsidRPr="00E11DDE">
        <w:rPr>
          <w:rFonts w:ascii="Segoe UI" w:hAnsi="Segoe UI" w:cs="Segoe UI"/>
        </w:rPr>
        <w:t xml:space="preserve"> note « inclusion financière en Inde »</w:t>
      </w:r>
      <w:r w:rsidR="00E11DDE">
        <w:rPr>
          <w:rFonts w:ascii="Segoe UI" w:hAnsi="Segoe UI" w:cs="Segoe UI"/>
        </w:rPr>
        <w:t xml:space="preserve"> ; </w:t>
      </w:r>
    </w:p>
    <w:p w14:paraId="6F737E9B" w14:textId="77777777" w:rsidR="00425639" w:rsidRPr="00E11DDE" w:rsidRDefault="00425639">
      <w:pPr>
        <w:pStyle w:val="Notedefin"/>
        <w:rPr>
          <w:rFonts w:ascii="Segoe UI" w:hAnsi="Segoe UI" w:cs="Segoe UI"/>
        </w:rPr>
      </w:pPr>
    </w:p>
  </w:endnote>
  <w:endnote w:id="9">
    <w:p w14:paraId="73BD7D9F" w14:textId="26D1CF89" w:rsidR="00195BFA" w:rsidRDefault="00195BFA" w:rsidP="00195BFA">
      <w:pPr>
        <w:pStyle w:val="Notedefin"/>
        <w:jc w:val="both"/>
      </w:pPr>
      <w:r>
        <w:rPr>
          <w:rStyle w:val="Appeldenotedefin"/>
        </w:rPr>
        <w:endnoteRef/>
      </w:r>
      <w:r>
        <w:t xml:space="preserve"> </w:t>
      </w:r>
      <w:r w:rsidRPr="00195BFA">
        <w:rPr>
          <w:rFonts w:ascii="Segoe UI" w:hAnsi="Segoe UI" w:cs="Segoe UI"/>
        </w:rPr>
        <w:t>La densité de l’assurance correspond au montant moyen des primes d’assurance par habitant sur une période donnée, généralement un an.</w:t>
      </w:r>
      <w:r>
        <w:rPr>
          <w:rFonts w:ascii="Segoe UI" w:hAnsi="Segoe UI" w:cs="Segoe UI"/>
        </w:rPr>
        <w:t xml:space="preserve"> La densité est calculée en divisant les primes totales générées, soit la s</w:t>
      </w:r>
      <w:r w:rsidRPr="00195BFA">
        <w:rPr>
          <w:rFonts w:ascii="Segoe UI" w:hAnsi="Segoe UI" w:cs="Segoe UI"/>
        </w:rPr>
        <w:t xml:space="preserve">omme des primes collectées par toutes les compagnies d’assurance (vie et </w:t>
      </w:r>
      <w:r>
        <w:rPr>
          <w:rFonts w:ascii="Segoe UI" w:hAnsi="Segoe UI" w:cs="Segoe UI"/>
        </w:rPr>
        <w:t>générale</w:t>
      </w:r>
      <w:r w:rsidRPr="00195BFA">
        <w:rPr>
          <w:rFonts w:ascii="Segoe UI" w:hAnsi="Segoe UI" w:cs="Segoe UI"/>
        </w:rPr>
        <w:t>) au cours d’une période donnée</w:t>
      </w:r>
      <w:r>
        <w:rPr>
          <w:rFonts w:ascii="Segoe UI" w:hAnsi="Segoe UI" w:cs="Segoe UI"/>
        </w:rPr>
        <w:t xml:space="preserve">, sur la population totale. </w:t>
      </w:r>
      <w:r w:rsidRPr="00195BFA">
        <w:rPr>
          <w:rFonts w:ascii="Segoe UI" w:hAnsi="Segoe UI" w:cs="Segoe UI"/>
        </w:rPr>
        <w:t>Une densité élevée indique que les individus dépensent en moyenne davantage en assurance, ce qui reflète un marché mature</w:t>
      </w:r>
      <w:r w:rsidR="00B60BE4">
        <w:rPr>
          <w:rFonts w:ascii="Segoe UI" w:hAnsi="Segoe UI" w:cs="Segoe UI"/>
        </w:rPr>
        <w:t xml:space="preserve"> ; </w:t>
      </w:r>
    </w:p>
    <w:p w14:paraId="70916CB1" w14:textId="77777777" w:rsidR="00195BFA" w:rsidRDefault="00195BFA">
      <w:pPr>
        <w:pStyle w:val="Notedefin"/>
      </w:pPr>
    </w:p>
  </w:endnote>
  <w:endnote w:id="10">
    <w:p w14:paraId="44DB7432" w14:textId="11D51524" w:rsidR="00425639" w:rsidRPr="00E11DDE" w:rsidRDefault="00425639" w:rsidP="006372C6">
      <w:pPr>
        <w:pStyle w:val="Notedefin"/>
        <w:jc w:val="both"/>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LIC a réalisé en mai 2022 la plus grande IPO jamais effectuée en Inde d’un montant de 2,7 Mds USD levés. LIC est l’un des plus gros investisseurs institutionnels du pays, avec un portefeuille évalué à plus de 500 Mds USD. Il dispose d’un réseau majeur avec environ 1,3 million d’agents assurant ainsi une présence urbaine et semi-urbaine et reste orientée plutôt dans les produits d’épargne que des produits de protection pure. Par ailleurs, LIC finance massivement les obligations souveraines indiennes et les grandes entreprises publiques, ce qui en fait un acteur central de la stabilité financière en Inde.</w:t>
      </w:r>
      <w:r w:rsidR="00E11DDE">
        <w:rPr>
          <w:rFonts w:ascii="Segoe UI" w:hAnsi="Segoe UI" w:cs="Segoe UI"/>
        </w:rPr>
        <w:t xml:space="preserve"> ; </w:t>
      </w:r>
    </w:p>
    <w:p w14:paraId="1F48F6F6" w14:textId="77777777" w:rsidR="00425639" w:rsidRPr="00E11DDE" w:rsidRDefault="00425639" w:rsidP="006372C6">
      <w:pPr>
        <w:pStyle w:val="Notedefin"/>
        <w:jc w:val="both"/>
        <w:rPr>
          <w:rFonts w:ascii="Segoe UI" w:hAnsi="Segoe UI" w:cs="Segoe UI"/>
        </w:rPr>
      </w:pPr>
    </w:p>
  </w:endnote>
  <w:endnote w:id="11">
    <w:p w14:paraId="7573A08D" w14:textId="2B9FD706" w:rsidR="00425639" w:rsidRPr="00E11DDE" w:rsidRDefault="00425639" w:rsidP="006372C6">
      <w:pPr>
        <w:pStyle w:val="Notedefin"/>
        <w:jc w:val="both"/>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Le marché de l’assurance-vie compte 25 acteurs, mais demeure très concentré avec les cinq plus grands assureurs-vie représentent 85 % des primes</w:t>
      </w:r>
      <w:r w:rsidR="00E11DDE">
        <w:rPr>
          <w:rFonts w:ascii="Segoe UI" w:hAnsi="Segoe UI" w:cs="Segoe UI"/>
        </w:rPr>
        <w:t xml:space="preserve"> ; </w:t>
      </w:r>
    </w:p>
    <w:p w14:paraId="6FE33941" w14:textId="77777777" w:rsidR="00425639" w:rsidRPr="00E11DDE" w:rsidRDefault="00425639" w:rsidP="006372C6">
      <w:pPr>
        <w:pStyle w:val="Notedefin"/>
        <w:jc w:val="both"/>
        <w:rPr>
          <w:rFonts w:ascii="Segoe UI" w:hAnsi="Segoe UI" w:cs="Segoe UI"/>
        </w:rPr>
      </w:pPr>
    </w:p>
  </w:endnote>
  <w:endnote w:id="12">
    <w:p w14:paraId="7A8C811A" w14:textId="350E5AFD" w:rsidR="00425639" w:rsidRPr="00E11DDE" w:rsidRDefault="00425639">
      <w:pPr>
        <w:pStyle w:val="Notedefin"/>
        <w:rPr>
          <w:rFonts w:ascii="Segoe UI" w:hAnsi="Segoe UI" w:cs="Segoe UI"/>
          <w:lang w:val="en-US"/>
        </w:rPr>
      </w:pPr>
      <w:r w:rsidRPr="00E11DDE">
        <w:rPr>
          <w:rStyle w:val="Appeldenotedefin"/>
          <w:rFonts w:ascii="Segoe UI" w:hAnsi="Segoe UI" w:cs="Segoe UI"/>
        </w:rPr>
        <w:endnoteRef/>
      </w:r>
      <w:r w:rsidRPr="00E11DDE">
        <w:rPr>
          <w:rFonts w:ascii="Segoe UI" w:hAnsi="Segoe UI" w:cs="Segoe UI"/>
          <w:lang w:val="en-US"/>
        </w:rPr>
        <w:t xml:space="preserve"> </w:t>
      </w:r>
      <w:hyperlink r:id="rId7" w:history="1">
        <w:r w:rsidRPr="00E11DDE">
          <w:rPr>
            <w:rStyle w:val="Lienhypertexte"/>
            <w:rFonts w:ascii="Segoe UI" w:hAnsi="Segoe UI" w:cs="Segoe UI"/>
            <w:lang w:val="en-US"/>
          </w:rPr>
          <w:t>integrated-annual-report-fy-2024-2025.pdf</w:t>
        </w:r>
      </w:hyperlink>
      <w:r w:rsidR="00E11DDE" w:rsidRPr="00E11DDE">
        <w:rPr>
          <w:rFonts w:ascii="Segoe UI" w:hAnsi="Segoe UI" w:cs="Segoe UI"/>
          <w:lang w:val="en-US"/>
        </w:rPr>
        <w:t> </w:t>
      </w:r>
      <w:r w:rsidR="00E11DDE">
        <w:rPr>
          <w:rFonts w:ascii="Segoe UI" w:hAnsi="Segoe UI" w:cs="Segoe UI"/>
          <w:lang w:val="en-US"/>
        </w:rPr>
        <w:t xml:space="preserve"> ;</w:t>
      </w:r>
    </w:p>
    <w:p w14:paraId="6AB0E441" w14:textId="77777777" w:rsidR="00425639" w:rsidRPr="00E11DDE" w:rsidRDefault="00425639">
      <w:pPr>
        <w:pStyle w:val="Notedefin"/>
        <w:rPr>
          <w:rFonts w:ascii="Segoe UI" w:hAnsi="Segoe UI" w:cs="Segoe UI"/>
          <w:lang w:val="en-US"/>
        </w:rPr>
      </w:pPr>
    </w:p>
  </w:endnote>
  <w:endnote w:id="13">
    <w:p w14:paraId="1D7190DF" w14:textId="47A19AC7" w:rsidR="00425639" w:rsidRPr="00321D41" w:rsidRDefault="00425639">
      <w:pPr>
        <w:pStyle w:val="Notedefin"/>
        <w:rPr>
          <w:rFonts w:ascii="Segoe UI" w:hAnsi="Segoe UI" w:cs="Segoe UI"/>
          <w:lang w:val="en-US"/>
        </w:rPr>
      </w:pPr>
      <w:r w:rsidRPr="00E11DDE">
        <w:rPr>
          <w:rStyle w:val="Appeldenotedefin"/>
          <w:rFonts w:ascii="Segoe UI" w:hAnsi="Segoe UI" w:cs="Segoe UI"/>
        </w:rPr>
        <w:endnoteRef/>
      </w:r>
      <w:r w:rsidRPr="00E11DDE">
        <w:rPr>
          <w:rFonts w:ascii="Segoe UI" w:hAnsi="Segoe UI" w:cs="Segoe UI"/>
          <w:lang w:val="en-US"/>
        </w:rPr>
        <w:t xml:space="preserve"> </w:t>
      </w:r>
      <w:r w:rsidRPr="00E11DDE">
        <w:rPr>
          <w:rFonts w:ascii="Segoe UI" w:hAnsi="Segoe UI" w:cs="Segoe UI"/>
          <w:lang w:val="en-US"/>
        </w:rPr>
        <w:t xml:space="preserve">En voici quelques exemples : </w:t>
      </w:r>
      <w:hyperlink r:id="rId8" w:history="1">
        <w:r w:rsidRPr="00E11DDE">
          <w:rPr>
            <w:rStyle w:val="Lienhypertexte"/>
            <w:rFonts w:ascii="Segoe UI" w:hAnsi="Segoe UI" w:cs="Segoe UI"/>
            <w:lang w:val="en-US"/>
          </w:rPr>
          <w:t>Best ULIP Plan - Buy Unit Linked Insurance Plans in India 2025</w:t>
        </w:r>
      </w:hyperlink>
      <w:r w:rsidR="00E11DDE" w:rsidRPr="00321D41">
        <w:rPr>
          <w:rFonts w:ascii="Segoe UI" w:hAnsi="Segoe UI" w:cs="Segoe UI"/>
          <w:lang w:val="en-US"/>
        </w:rPr>
        <w:t> ;</w:t>
      </w:r>
    </w:p>
    <w:p w14:paraId="4D9D40AA" w14:textId="77777777" w:rsidR="00E11DDE" w:rsidRPr="00E11DDE" w:rsidRDefault="00E11DDE">
      <w:pPr>
        <w:pStyle w:val="Notedefin"/>
        <w:rPr>
          <w:rFonts w:ascii="Segoe UI" w:hAnsi="Segoe UI" w:cs="Segoe UI"/>
          <w:lang w:val="en-US"/>
        </w:rPr>
      </w:pPr>
    </w:p>
  </w:endnote>
  <w:endnote w:id="14">
    <w:p w14:paraId="31F4506C" w14:textId="6FCEAC20" w:rsidR="00425639" w:rsidRDefault="00425639">
      <w:pPr>
        <w:pStyle w:val="Notedefin"/>
        <w:rPr>
          <w:rFonts w:ascii="Segoe UI" w:eastAsia="Times New Roman" w:hAnsi="Segoe UI" w:cs="Segoe UI"/>
          <w:lang w:val="en-US" w:eastAsia="fr-FR"/>
        </w:rPr>
      </w:pPr>
      <w:r w:rsidRPr="00E11DDE">
        <w:rPr>
          <w:rStyle w:val="Appeldenotedefin"/>
          <w:rFonts w:ascii="Segoe UI" w:hAnsi="Segoe UI" w:cs="Segoe UI"/>
        </w:rPr>
        <w:endnoteRef/>
      </w:r>
      <w:r w:rsidRPr="00E11DDE">
        <w:rPr>
          <w:rFonts w:ascii="Segoe UI" w:hAnsi="Segoe UI" w:cs="Segoe UI"/>
          <w:lang w:val="en-US"/>
        </w:rPr>
        <w:t xml:space="preserve"> </w:t>
      </w:r>
      <w:hyperlink r:id="rId9" w:history="1">
        <w:r w:rsidRPr="00E11DDE">
          <w:rPr>
            <w:rStyle w:val="Lienhypertexte"/>
            <w:rFonts w:ascii="Segoe UI" w:eastAsia="Times New Roman" w:hAnsi="Segoe UI" w:cs="Segoe UI"/>
            <w:lang w:val="en-US" w:eastAsia="fr-FR"/>
          </w:rPr>
          <w:t>https://www.pib.gov.in/PressReleasePage.aspx?PRID=2098394&amp;</w:t>
        </w:r>
      </w:hyperlink>
      <w:r w:rsidRPr="00E11DDE">
        <w:rPr>
          <w:rFonts w:ascii="Segoe UI" w:eastAsia="Times New Roman" w:hAnsi="Segoe UI" w:cs="Segoe UI"/>
          <w:lang w:val="en-US" w:eastAsia="fr-FR"/>
        </w:rPr>
        <w:t xml:space="preserve">  </w:t>
      </w:r>
      <w:r w:rsidR="00E11DDE">
        <w:rPr>
          <w:rFonts w:ascii="Segoe UI" w:eastAsia="Times New Roman" w:hAnsi="Segoe UI" w:cs="Segoe UI"/>
          <w:lang w:val="en-US" w:eastAsia="fr-FR"/>
        </w:rPr>
        <w:t xml:space="preserve">; </w:t>
      </w:r>
    </w:p>
    <w:p w14:paraId="6D376D6D" w14:textId="77777777" w:rsidR="00E11DDE" w:rsidRPr="00E11DDE" w:rsidRDefault="00E11DDE">
      <w:pPr>
        <w:pStyle w:val="Notedefin"/>
        <w:rPr>
          <w:rFonts w:ascii="Segoe UI" w:hAnsi="Segoe UI" w:cs="Segoe UI"/>
          <w:lang w:val="en-US"/>
        </w:rPr>
      </w:pPr>
    </w:p>
  </w:endnote>
  <w:endnote w:id="15">
    <w:p w14:paraId="542348D4" w14:textId="4ADC1289" w:rsidR="00627989" w:rsidRPr="00E11DDE" w:rsidRDefault="00627989" w:rsidP="00627989">
      <w:pPr>
        <w:pStyle w:val="Notedefin"/>
        <w:jc w:val="both"/>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w:t>
      </w:r>
      <w:r w:rsidR="000D4F76" w:rsidRPr="00E11DDE">
        <w:rPr>
          <w:rFonts w:ascii="Segoe UI" w:hAnsi="Segoe UI" w:cs="Segoe UI"/>
        </w:rPr>
        <w:t>Les</w:t>
      </w:r>
      <w:r w:rsidRPr="00E11DDE">
        <w:rPr>
          <w:rFonts w:ascii="Segoe UI" w:hAnsi="Segoe UI" w:cs="Segoe UI"/>
        </w:rPr>
        <w:t xml:space="preserve"> compagnies </w:t>
      </w:r>
      <w:r w:rsidR="000D4F76" w:rsidRPr="00E11DDE">
        <w:rPr>
          <w:rFonts w:ascii="Segoe UI" w:hAnsi="Segoe UI" w:cs="Segoe UI"/>
        </w:rPr>
        <w:t xml:space="preserve">d’assurance-vie </w:t>
      </w:r>
      <w:r w:rsidRPr="00E11DDE">
        <w:rPr>
          <w:rFonts w:ascii="Segoe UI" w:hAnsi="Segoe UI" w:cs="Segoe UI"/>
        </w:rPr>
        <w:t xml:space="preserve">doivent mettre de côté des montants importants de capital de solvabilité pour couvrir divers risques, notamment le risque de mortalité (basé sur des hypothèses actuarielles), le risque de crédit, le risque de marché, le risque de liquidité, le risque de décalage actif-passif, le risque opérationnel et la charge liée à la souscription de nouvelles affaires. Toutefois, afin de faciliter le respect par les compagnies d’assurance-vie des exigences réglementaires en matière de marge de solvabilité, l’IRDAI a autorisé ces dernières à lever de la dette subordonnée comme forme complémentaire de capital, et a relevé en 2023 le plafond de dette subordonnée que les assureurs peuvent émettre, de 25 % à 50 % de leurs fonds propres. Bien que des investisseurs institutionnels, comme certains fonds du « National Pension Scheme », aient commencé à investir dans les émissions de dette subordonnée des compagnies d’assurance, cette tendance demeure relativement naissante ; </w:t>
      </w:r>
    </w:p>
    <w:p w14:paraId="16712FD1" w14:textId="77777777" w:rsidR="00627989" w:rsidRPr="00E11DDE" w:rsidRDefault="00627989" w:rsidP="00627989">
      <w:pPr>
        <w:pStyle w:val="Notedefin"/>
        <w:jc w:val="both"/>
        <w:rPr>
          <w:rFonts w:ascii="Segoe UI" w:hAnsi="Segoe UI" w:cs="Segoe UI"/>
        </w:rPr>
      </w:pPr>
    </w:p>
  </w:endnote>
  <w:endnote w:id="16">
    <w:p w14:paraId="0005C070" w14:textId="06A0B036" w:rsidR="00627989" w:rsidRDefault="00627989" w:rsidP="00627989">
      <w:pPr>
        <w:pStyle w:val="Notedefin"/>
        <w:jc w:val="both"/>
        <w:rPr>
          <w:rFonts w:ascii="Segoe UI" w:hAnsi="Segoe UI" w:cs="Segoe UI"/>
        </w:rPr>
      </w:pPr>
      <w:r w:rsidRPr="00E11DDE">
        <w:rPr>
          <w:rStyle w:val="Appeldenotedefin"/>
          <w:rFonts w:ascii="Segoe UI" w:hAnsi="Segoe UI" w:cs="Segoe UI"/>
        </w:rPr>
        <w:endnoteRef/>
      </w:r>
      <w:r w:rsidRPr="00E11DDE">
        <w:rPr>
          <w:rFonts w:ascii="Segoe UI" w:hAnsi="Segoe UI" w:cs="Segoe UI"/>
        </w:rPr>
        <w:t xml:space="preserve"> Selon la SFI, dans le secteur de l’assurance-vie, les femmes restent un segment sous-desservi. En 2023, seulement 34 % des polices d’assurance-vie étaient détenues par des femmes. Une enquête réalisée en zones rurales a montré que seulement 1 % des femmes rurales disposaient d’une couverture et que seulement 29 % connaissaient l’existence de produits d’assurance. Les enjeux structurels de participation au marché de l’emploi, d’inégalités économiques et d’éducation, explique en partie cet écart ; </w:t>
      </w:r>
    </w:p>
    <w:p w14:paraId="5D94CAFA" w14:textId="77777777" w:rsidR="00E53AF8" w:rsidRPr="00496755" w:rsidRDefault="00E53AF8" w:rsidP="00496755">
      <w:pPr>
        <w:pStyle w:val="Notedefin"/>
        <w:jc w:val="both"/>
        <w:rPr>
          <w:rFonts w:ascii="Segoe UI" w:hAnsi="Segoe UI" w:cs="Segoe UI"/>
        </w:rPr>
      </w:pPr>
    </w:p>
  </w:endnote>
  <w:endnote w:id="17">
    <w:p w14:paraId="203F8705" w14:textId="6C1E12F2" w:rsidR="00E53AF8" w:rsidRPr="00496755" w:rsidRDefault="00E53AF8" w:rsidP="00496755">
      <w:pPr>
        <w:pStyle w:val="Notedefin"/>
        <w:jc w:val="both"/>
        <w:rPr>
          <w:rFonts w:ascii="Segoe UI" w:hAnsi="Segoe UI" w:cs="Segoe UI"/>
        </w:rPr>
      </w:pPr>
      <w:r w:rsidRPr="00496755">
        <w:rPr>
          <w:rStyle w:val="Appeldenotedefin"/>
          <w:rFonts w:ascii="Segoe UI" w:hAnsi="Segoe UI" w:cs="Segoe UI"/>
        </w:rPr>
        <w:endnoteRef/>
      </w:r>
      <w:r w:rsidRPr="00496755">
        <w:rPr>
          <w:rFonts w:ascii="Segoe UI" w:hAnsi="Segoe UI" w:cs="Segoe UI"/>
        </w:rPr>
        <w:t xml:space="preserve"> National </w:t>
      </w:r>
      <w:r w:rsidRPr="00496755">
        <w:rPr>
          <w:rFonts w:ascii="Segoe UI" w:hAnsi="Segoe UI" w:cs="Segoe UI"/>
        </w:rPr>
        <w:t xml:space="preserve">Health Claims Exchange : un système en ligne qui permet de traiter les réclamations d’assurance maladie. Ce système permet de faciliter également l’échange d’informations afférentes aux demandes de remboursement entre les acteurs du secteur de la santé et de l’assurance maladie. </w:t>
      </w:r>
    </w:p>
    <w:p w14:paraId="58C9B58A" w14:textId="77777777" w:rsidR="006A3642" w:rsidRPr="00496755" w:rsidRDefault="006A3642" w:rsidP="00496755">
      <w:pPr>
        <w:pStyle w:val="Notedefin"/>
        <w:jc w:val="both"/>
        <w:rPr>
          <w:rFonts w:ascii="Segoe UI" w:hAnsi="Segoe UI" w:cs="Segoe UI"/>
        </w:rPr>
      </w:pPr>
    </w:p>
  </w:endnote>
  <w:endnote w:id="18">
    <w:p w14:paraId="6D8BC66D" w14:textId="75D28BD7" w:rsidR="006A3642" w:rsidRDefault="006A3642" w:rsidP="00496755">
      <w:pPr>
        <w:pStyle w:val="Notedefin"/>
        <w:jc w:val="both"/>
      </w:pPr>
      <w:r w:rsidRPr="00496755">
        <w:rPr>
          <w:rStyle w:val="Appeldenotedefin"/>
          <w:rFonts w:ascii="Segoe UI" w:hAnsi="Segoe UI" w:cs="Segoe UI"/>
        </w:rPr>
        <w:endnoteRef/>
      </w:r>
      <w:r w:rsidRPr="00496755">
        <w:rPr>
          <w:rFonts w:ascii="Segoe UI" w:hAnsi="Segoe UI" w:cs="Segoe UI"/>
        </w:rPr>
        <w:t xml:space="preserve"> Notamment des « </w:t>
      </w:r>
      <w:r w:rsidRPr="00496755">
        <w:rPr>
          <w:rFonts w:ascii="Segoe UI" w:hAnsi="Segoe UI" w:cs="Segoe UI"/>
        </w:rPr>
        <w:t>surety bonds », qui dépassent le simple cadre des garanties bancaires, coûteuses au regard des risques liés aux actifs d’infrastructures et de la mobilisation d’important collatéral bancaire. Ces « surety bonds » permettent notamment de créer des filets de sécurité au sein des contrats en matière de financement et de bonne exécution du projet, entre le donneur d’ordre, le contractant et la compagnie d’assurance. Ainsi, cet instrument protège le client contre le risque de défaillance de son prestataire, sans le besoin de bloquer des fonds importants.</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E86D" w14:textId="77777777" w:rsidR="00590A1A" w:rsidRPr="00590A1A" w:rsidRDefault="00590A1A">
    <w:pPr>
      <w:pStyle w:val="Pieddepage"/>
      <w:jc w:val="center"/>
      <w:rPr>
        <w:caps/>
      </w:rPr>
    </w:pPr>
    <w:r w:rsidRPr="00590A1A">
      <w:rPr>
        <w:caps/>
      </w:rPr>
      <w:fldChar w:fldCharType="begin"/>
    </w:r>
    <w:r w:rsidRPr="00590A1A">
      <w:rPr>
        <w:caps/>
      </w:rPr>
      <w:instrText>PAGE   \* MERGEFORMAT</w:instrText>
    </w:r>
    <w:r w:rsidRPr="00590A1A">
      <w:rPr>
        <w:caps/>
      </w:rPr>
      <w:fldChar w:fldCharType="separate"/>
    </w:r>
    <w:r w:rsidRPr="00590A1A">
      <w:rPr>
        <w:caps/>
      </w:rPr>
      <w:t>2</w:t>
    </w:r>
    <w:r w:rsidRPr="00590A1A">
      <w:rPr>
        <w:caps/>
      </w:rPr>
      <w:fldChar w:fldCharType="end"/>
    </w:r>
  </w:p>
  <w:p w14:paraId="5574CC8D" w14:textId="77777777" w:rsidR="00590A1A" w:rsidRDefault="00590A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A1F4" w14:textId="77777777" w:rsidR="004A76BB" w:rsidRDefault="004A76BB" w:rsidP="001C2361">
      <w:pPr>
        <w:spacing w:after="0" w:line="240" w:lineRule="auto"/>
      </w:pPr>
      <w:r>
        <w:separator/>
      </w:r>
    </w:p>
  </w:footnote>
  <w:footnote w:type="continuationSeparator" w:id="0">
    <w:p w14:paraId="26D055C7" w14:textId="77777777" w:rsidR="004A76BB" w:rsidRDefault="004A76BB"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0CA12FA0"/>
    <w:multiLevelType w:val="hybridMultilevel"/>
    <w:tmpl w:val="91D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31EC4"/>
    <w:multiLevelType w:val="hybridMultilevel"/>
    <w:tmpl w:val="E092E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9CA6D2C"/>
    <w:multiLevelType w:val="hybridMultilevel"/>
    <w:tmpl w:val="05B0A38E"/>
    <w:lvl w:ilvl="0" w:tplc="DD5CB34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B79DC"/>
    <w:multiLevelType w:val="hybridMultilevel"/>
    <w:tmpl w:val="FCCA7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A4F3899"/>
    <w:multiLevelType w:val="hybridMultilevel"/>
    <w:tmpl w:val="87EAA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0843AF5"/>
    <w:multiLevelType w:val="hybridMultilevel"/>
    <w:tmpl w:val="35A2F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013B7B"/>
    <w:multiLevelType w:val="hybridMultilevel"/>
    <w:tmpl w:val="07022218"/>
    <w:lvl w:ilvl="0" w:tplc="70306FCC">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FF0B28"/>
    <w:multiLevelType w:val="hybridMultilevel"/>
    <w:tmpl w:val="BAA49BCC"/>
    <w:lvl w:ilvl="0" w:tplc="6DD64E5E">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D4769A"/>
    <w:multiLevelType w:val="hybridMultilevel"/>
    <w:tmpl w:val="6E7A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74002BE"/>
    <w:multiLevelType w:val="hybridMultilevel"/>
    <w:tmpl w:val="CAC22CDE"/>
    <w:lvl w:ilvl="0" w:tplc="AF9ECF76">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A742C7"/>
    <w:multiLevelType w:val="hybridMultilevel"/>
    <w:tmpl w:val="2A461C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F713A"/>
    <w:multiLevelType w:val="hybridMultilevel"/>
    <w:tmpl w:val="0F660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6" w15:restartNumberingAfterBreak="0">
    <w:nsid w:val="789E197D"/>
    <w:multiLevelType w:val="hybridMultilevel"/>
    <w:tmpl w:val="A8E01D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23"/>
  </w:num>
  <w:num w:numId="7">
    <w:abstractNumId w:val="6"/>
  </w:num>
  <w:num w:numId="8">
    <w:abstractNumId w:val="5"/>
  </w:num>
  <w:num w:numId="9">
    <w:abstractNumId w:val="1"/>
  </w:num>
  <w:num w:numId="10">
    <w:abstractNumId w:val="15"/>
  </w:num>
  <w:num w:numId="11">
    <w:abstractNumId w:val="9"/>
  </w:num>
  <w:num w:numId="12">
    <w:abstractNumId w:val="0"/>
  </w:num>
  <w:num w:numId="13">
    <w:abstractNumId w:val="2"/>
  </w:num>
  <w:num w:numId="14">
    <w:abstractNumId w:val="20"/>
  </w:num>
  <w:num w:numId="15">
    <w:abstractNumId w:val="10"/>
  </w:num>
  <w:num w:numId="16">
    <w:abstractNumId w:val="4"/>
  </w:num>
  <w:num w:numId="17">
    <w:abstractNumId w:val="8"/>
  </w:num>
  <w:num w:numId="18">
    <w:abstractNumId w:val="24"/>
  </w:num>
  <w:num w:numId="19">
    <w:abstractNumId w:val="13"/>
  </w:num>
  <w:num w:numId="20">
    <w:abstractNumId w:val="3"/>
  </w:num>
  <w:num w:numId="21">
    <w:abstractNumId w:val="11"/>
  </w:num>
  <w:num w:numId="22">
    <w:abstractNumId w:val="17"/>
  </w:num>
  <w:num w:numId="23">
    <w:abstractNumId w:val="22"/>
  </w:num>
  <w:num w:numId="24">
    <w:abstractNumId w:val="7"/>
  </w:num>
  <w:num w:numId="25">
    <w:abstractNumId w:val="16"/>
  </w:num>
  <w:num w:numId="26">
    <w:abstractNumId w:val="14"/>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5F39"/>
    <w:rsid w:val="00017A1A"/>
    <w:rsid w:val="00020EE2"/>
    <w:rsid w:val="00022880"/>
    <w:rsid w:val="00022F44"/>
    <w:rsid w:val="00026E38"/>
    <w:rsid w:val="00031533"/>
    <w:rsid w:val="00045CF8"/>
    <w:rsid w:val="00050225"/>
    <w:rsid w:val="000534EC"/>
    <w:rsid w:val="00064115"/>
    <w:rsid w:val="000676F2"/>
    <w:rsid w:val="00071F97"/>
    <w:rsid w:val="000763B3"/>
    <w:rsid w:val="00077DC3"/>
    <w:rsid w:val="00080037"/>
    <w:rsid w:val="000862C2"/>
    <w:rsid w:val="00097777"/>
    <w:rsid w:val="000A1918"/>
    <w:rsid w:val="000A1A8E"/>
    <w:rsid w:val="000C21EB"/>
    <w:rsid w:val="000C7148"/>
    <w:rsid w:val="000D4F76"/>
    <w:rsid w:val="000E1E2F"/>
    <w:rsid w:val="000E7793"/>
    <w:rsid w:val="000F2C4E"/>
    <w:rsid w:val="00100569"/>
    <w:rsid w:val="00100C95"/>
    <w:rsid w:val="00101205"/>
    <w:rsid w:val="00103463"/>
    <w:rsid w:val="00107EB9"/>
    <w:rsid w:val="001105E1"/>
    <w:rsid w:val="001109EF"/>
    <w:rsid w:val="00111C32"/>
    <w:rsid w:val="00111E27"/>
    <w:rsid w:val="0012430D"/>
    <w:rsid w:val="00134DE8"/>
    <w:rsid w:val="00135910"/>
    <w:rsid w:val="001360A8"/>
    <w:rsid w:val="00147754"/>
    <w:rsid w:val="001505C0"/>
    <w:rsid w:val="00152C27"/>
    <w:rsid w:val="001635C6"/>
    <w:rsid w:val="00175E92"/>
    <w:rsid w:val="00184135"/>
    <w:rsid w:val="0018416F"/>
    <w:rsid w:val="0019173B"/>
    <w:rsid w:val="0019280B"/>
    <w:rsid w:val="00193E26"/>
    <w:rsid w:val="00195BFA"/>
    <w:rsid w:val="001A1A43"/>
    <w:rsid w:val="001A1CD5"/>
    <w:rsid w:val="001A4C68"/>
    <w:rsid w:val="001A5A37"/>
    <w:rsid w:val="001B1CF0"/>
    <w:rsid w:val="001B5A23"/>
    <w:rsid w:val="001C07D9"/>
    <w:rsid w:val="001C100F"/>
    <w:rsid w:val="001C2361"/>
    <w:rsid w:val="001E4D67"/>
    <w:rsid w:val="001F205E"/>
    <w:rsid w:val="001F235A"/>
    <w:rsid w:val="001F2D7C"/>
    <w:rsid w:val="001F5FB3"/>
    <w:rsid w:val="00216956"/>
    <w:rsid w:val="00223554"/>
    <w:rsid w:val="00225798"/>
    <w:rsid w:val="00226207"/>
    <w:rsid w:val="002352FB"/>
    <w:rsid w:val="00244108"/>
    <w:rsid w:val="00246C65"/>
    <w:rsid w:val="00250F27"/>
    <w:rsid w:val="002550BB"/>
    <w:rsid w:val="00255F30"/>
    <w:rsid w:val="00257E48"/>
    <w:rsid w:val="002647F0"/>
    <w:rsid w:val="00271970"/>
    <w:rsid w:val="002762C9"/>
    <w:rsid w:val="00281BCD"/>
    <w:rsid w:val="00282BC7"/>
    <w:rsid w:val="002855E7"/>
    <w:rsid w:val="002A0816"/>
    <w:rsid w:val="002A4365"/>
    <w:rsid w:val="002C1BB5"/>
    <w:rsid w:val="002C5AFB"/>
    <w:rsid w:val="002C5BB5"/>
    <w:rsid w:val="002D13A2"/>
    <w:rsid w:val="002D4C04"/>
    <w:rsid w:val="002E4E67"/>
    <w:rsid w:val="002E6890"/>
    <w:rsid w:val="002E7383"/>
    <w:rsid w:val="002E7716"/>
    <w:rsid w:val="002F210F"/>
    <w:rsid w:val="0030017B"/>
    <w:rsid w:val="00301021"/>
    <w:rsid w:val="0030148A"/>
    <w:rsid w:val="00317870"/>
    <w:rsid w:val="00321D41"/>
    <w:rsid w:val="00323A4A"/>
    <w:rsid w:val="003257BD"/>
    <w:rsid w:val="0033036F"/>
    <w:rsid w:val="00330428"/>
    <w:rsid w:val="00331A58"/>
    <w:rsid w:val="00332310"/>
    <w:rsid w:val="003339CE"/>
    <w:rsid w:val="003407BF"/>
    <w:rsid w:val="00341E94"/>
    <w:rsid w:val="00341EC1"/>
    <w:rsid w:val="00344131"/>
    <w:rsid w:val="00347F9E"/>
    <w:rsid w:val="00351E1C"/>
    <w:rsid w:val="00377143"/>
    <w:rsid w:val="00377431"/>
    <w:rsid w:val="003847EC"/>
    <w:rsid w:val="003A1D94"/>
    <w:rsid w:val="003A7EB8"/>
    <w:rsid w:val="003B1A22"/>
    <w:rsid w:val="003B1D00"/>
    <w:rsid w:val="003B33D3"/>
    <w:rsid w:val="003C6FE5"/>
    <w:rsid w:val="003D004D"/>
    <w:rsid w:val="003D2AD3"/>
    <w:rsid w:val="003D5550"/>
    <w:rsid w:val="003D6537"/>
    <w:rsid w:val="003F78EB"/>
    <w:rsid w:val="0040330E"/>
    <w:rsid w:val="00406D60"/>
    <w:rsid w:val="00415503"/>
    <w:rsid w:val="00415F39"/>
    <w:rsid w:val="00425639"/>
    <w:rsid w:val="00426DEB"/>
    <w:rsid w:val="004311AF"/>
    <w:rsid w:val="00433EA4"/>
    <w:rsid w:val="004372C1"/>
    <w:rsid w:val="004472CB"/>
    <w:rsid w:val="00450D73"/>
    <w:rsid w:val="00452C51"/>
    <w:rsid w:val="00457B18"/>
    <w:rsid w:val="00463378"/>
    <w:rsid w:val="004716CD"/>
    <w:rsid w:val="00471702"/>
    <w:rsid w:val="00472C6F"/>
    <w:rsid w:val="00473ECC"/>
    <w:rsid w:val="00475840"/>
    <w:rsid w:val="00483011"/>
    <w:rsid w:val="0048671B"/>
    <w:rsid w:val="004908E5"/>
    <w:rsid w:val="00490B3C"/>
    <w:rsid w:val="004930E0"/>
    <w:rsid w:val="00496755"/>
    <w:rsid w:val="00496D10"/>
    <w:rsid w:val="004A28DB"/>
    <w:rsid w:val="004A3695"/>
    <w:rsid w:val="004A67C9"/>
    <w:rsid w:val="004A76BB"/>
    <w:rsid w:val="004B1A24"/>
    <w:rsid w:val="004B38D8"/>
    <w:rsid w:val="004B6840"/>
    <w:rsid w:val="004C3273"/>
    <w:rsid w:val="004D3A95"/>
    <w:rsid w:val="004D444C"/>
    <w:rsid w:val="004D7C76"/>
    <w:rsid w:val="004E6C1A"/>
    <w:rsid w:val="004E6DB3"/>
    <w:rsid w:val="004E7972"/>
    <w:rsid w:val="004F211B"/>
    <w:rsid w:val="004F2B0A"/>
    <w:rsid w:val="004F3636"/>
    <w:rsid w:val="005041C4"/>
    <w:rsid w:val="005077FB"/>
    <w:rsid w:val="00514D49"/>
    <w:rsid w:val="00521315"/>
    <w:rsid w:val="00532CDF"/>
    <w:rsid w:val="00532CE3"/>
    <w:rsid w:val="00533C10"/>
    <w:rsid w:val="00541AB4"/>
    <w:rsid w:val="00543CA9"/>
    <w:rsid w:val="00545FE6"/>
    <w:rsid w:val="00554851"/>
    <w:rsid w:val="00557E89"/>
    <w:rsid w:val="00561CC4"/>
    <w:rsid w:val="0056407B"/>
    <w:rsid w:val="00570D3F"/>
    <w:rsid w:val="00575F99"/>
    <w:rsid w:val="00576034"/>
    <w:rsid w:val="00580478"/>
    <w:rsid w:val="005806A2"/>
    <w:rsid w:val="00584799"/>
    <w:rsid w:val="00590894"/>
    <w:rsid w:val="00590A1A"/>
    <w:rsid w:val="00591EEF"/>
    <w:rsid w:val="0059242E"/>
    <w:rsid w:val="00595003"/>
    <w:rsid w:val="005A1ECF"/>
    <w:rsid w:val="005A2242"/>
    <w:rsid w:val="005A5D69"/>
    <w:rsid w:val="005B28D9"/>
    <w:rsid w:val="005B3D40"/>
    <w:rsid w:val="005D261F"/>
    <w:rsid w:val="005E6FED"/>
    <w:rsid w:val="005F3966"/>
    <w:rsid w:val="005F45C8"/>
    <w:rsid w:val="005F6235"/>
    <w:rsid w:val="00605FE3"/>
    <w:rsid w:val="00610942"/>
    <w:rsid w:val="00616EE2"/>
    <w:rsid w:val="00627753"/>
    <w:rsid w:val="00627989"/>
    <w:rsid w:val="00632692"/>
    <w:rsid w:val="00636EB6"/>
    <w:rsid w:val="006372C6"/>
    <w:rsid w:val="00641868"/>
    <w:rsid w:val="006461EC"/>
    <w:rsid w:val="006477A2"/>
    <w:rsid w:val="006510E4"/>
    <w:rsid w:val="00651BAE"/>
    <w:rsid w:val="006600F3"/>
    <w:rsid w:val="00676043"/>
    <w:rsid w:val="006A0293"/>
    <w:rsid w:val="006A08C9"/>
    <w:rsid w:val="006A3642"/>
    <w:rsid w:val="006A3795"/>
    <w:rsid w:val="006A6A7E"/>
    <w:rsid w:val="006B4AE0"/>
    <w:rsid w:val="006B5511"/>
    <w:rsid w:val="006D209E"/>
    <w:rsid w:val="006D4D83"/>
    <w:rsid w:val="006D6A28"/>
    <w:rsid w:val="006E2D56"/>
    <w:rsid w:val="006E3241"/>
    <w:rsid w:val="006E40BB"/>
    <w:rsid w:val="006E6805"/>
    <w:rsid w:val="006E6FA7"/>
    <w:rsid w:val="006F4CCE"/>
    <w:rsid w:val="006F6043"/>
    <w:rsid w:val="00706D2B"/>
    <w:rsid w:val="00711D5F"/>
    <w:rsid w:val="00713D95"/>
    <w:rsid w:val="0071786D"/>
    <w:rsid w:val="007209E2"/>
    <w:rsid w:val="007212AF"/>
    <w:rsid w:val="007241D4"/>
    <w:rsid w:val="00727D83"/>
    <w:rsid w:val="0073377D"/>
    <w:rsid w:val="00733B08"/>
    <w:rsid w:val="00733CCE"/>
    <w:rsid w:val="00743DD2"/>
    <w:rsid w:val="00744D2D"/>
    <w:rsid w:val="00745853"/>
    <w:rsid w:val="00754E7E"/>
    <w:rsid w:val="00756A18"/>
    <w:rsid w:val="007722C8"/>
    <w:rsid w:val="0077520D"/>
    <w:rsid w:val="00776C9A"/>
    <w:rsid w:val="00777884"/>
    <w:rsid w:val="00781BFC"/>
    <w:rsid w:val="0078229D"/>
    <w:rsid w:val="007855F6"/>
    <w:rsid w:val="00786241"/>
    <w:rsid w:val="00787921"/>
    <w:rsid w:val="00791423"/>
    <w:rsid w:val="007916F6"/>
    <w:rsid w:val="007952D4"/>
    <w:rsid w:val="00797604"/>
    <w:rsid w:val="007A352F"/>
    <w:rsid w:val="007B0159"/>
    <w:rsid w:val="007B118D"/>
    <w:rsid w:val="007B4BC5"/>
    <w:rsid w:val="007B74A6"/>
    <w:rsid w:val="007C3111"/>
    <w:rsid w:val="007C6ACA"/>
    <w:rsid w:val="007D1E29"/>
    <w:rsid w:val="007E456F"/>
    <w:rsid w:val="007E6D56"/>
    <w:rsid w:val="007F340F"/>
    <w:rsid w:val="007F4001"/>
    <w:rsid w:val="007F55EB"/>
    <w:rsid w:val="007F6278"/>
    <w:rsid w:val="007F632E"/>
    <w:rsid w:val="008016EB"/>
    <w:rsid w:val="008029D3"/>
    <w:rsid w:val="00811B18"/>
    <w:rsid w:val="00813E89"/>
    <w:rsid w:val="00816CD2"/>
    <w:rsid w:val="0082190A"/>
    <w:rsid w:val="00824A63"/>
    <w:rsid w:val="00831A43"/>
    <w:rsid w:val="0083215C"/>
    <w:rsid w:val="008346CB"/>
    <w:rsid w:val="00847CE8"/>
    <w:rsid w:val="00870D80"/>
    <w:rsid w:val="00872358"/>
    <w:rsid w:val="00881D67"/>
    <w:rsid w:val="0088232B"/>
    <w:rsid w:val="00887698"/>
    <w:rsid w:val="00890E59"/>
    <w:rsid w:val="008918AF"/>
    <w:rsid w:val="008924BF"/>
    <w:rsid w:val="0089454B"/>
    <w:rsid w:val="008A299F"/>
    <w:rsid w:val="008A2C90"/>
    <w:rsid w:val="008A3AD5"/>
    <w:rsid w:val="008B697B"/>
    <w:rsid w:val="008C1727"/>
    <w:rsid w:val="008C308D"/>
    <w:rsid w:val="008D7971"/>
    <w:rsid w:val="008E048F"/>
    <w:rsid w:val="008E1707"/>
    <w:rsid w:val="008E3942"/>
    <w:rsid w:val="008F1647"/>
    <w:rsid w:val="008F40F9"/>
    <w:rsid w:val="008F5078"/>
    <w:rsid w:val="008F7A1E"/>
    <w:rsid w:val="00907AE8"/>
    <w:rsid w:val="00920915"/>
    <w:rsid w:val="009210BC"/>
    <w:rsid w:val="009233E1"/>
    <w:rsid w:val="00924ECB"/>
    <w:rsid w:val="0092578B"/>
    <w:rsid w:val="0092634F"/>
    <w:rsid w:val="0093544C"/>
    <w:rsid w:val="00935F7E"/>
    <w:rsid w:val="0094796A"/>
    <w:rsid w:val="00952A36"/>
    <w:rsid w:val="00957E6E"/>
    <w:rsid w:val="00965841"/>
    <w:rsid w:val="0096625D"/>
    <w:rsid w:val="00971B84"/>
    <w:rsid w:val="009770F2"/>
    <w:rsid w:val="00981726"/>
    <w:rsid w:val="00985384"/>
    <w:rsid w:val="009854A7"/>
    <w:rsid w:val="00985A53"/>
    <w:rsid w:val="00986685"/>
    <w:rsid w:val="00990B49"/>
    <w:rsid w:val="00992E12"/>
    <w:rsid w:val="009A5CB7"/>
    <w:rsid w:val="009B49D7"/>
    <w:rsid w:val="009B7F35"/>
    <w:rsid w:val="009C2147"/>
    <w:rsid w:val="009D28C3"/>
    <w:rsid w:val="009D65B6"/>
    <w:rsid w:val="009F118B"/>
    <w:rsid w:val="009F3C77"/>
    <w:rsid w:val="00A0197D"/>
    <w:rsid w:val="00A073CB"/>
    <w:rsid w:val="00A0743B"/>
    <w:rsid w:val="00A162B5"/>
    <w:rsid w:val="00A164E0"/>
    <w:rsid w:val="00A16E6F"/>
    <w:rsid w:val="00A2007D"/>
    <w:rsid w:val="00A233D7"/>
    <w:rsid w:val="00A27EA0"/>
    <w:rsid w:val="00A35142"/>
    <w:rsid w:val="00A413F3"/>
    <w:rsid w:val="00A54D08"/>
    <w:rsid w:val="00A85556"/>
    <w:rsid w:val="00A912FC"/>
    <w:rsid w:val="00A92617"/>
    <w:rsid w:val="00A9298A"/>
    <w:rsid w:val="00AA020A"/>
    <w:rsid w:val="00AA5DA2"/>
    <w:rsid w:val="00AA684E"/>
    <w:rsid w:val="00AA72DF"/>
    <w:rsid w:val="00AB3252"/>
    <w:rsid w:val="00AB48A8"/>
    <w:rsid w:val="00AC17E1"/>
    <w:rsid w:val="00AC225E"/>
    <w:rsid w:val="00AD1EA0"/>
    <w:rsid w:val="00AE00C8"/>
    <w:rsid w:val="00AE7E83"/>
    <w:rsid w:val="00AF1261"/>
    <w:rsid w:val="00AF16D6"/>
    <w:rsid w:val="00AF3B6D"/>
    <w:rsid w:val="00B02AE3"/>
    <w:rsid w:val="00B1104C"/>
    <w:rsid w:val="00B16C2B"/>
    <w:rsid w:val="00B30489"/>
    <w:rsid w:val="00B343C4"/>
    <w:rsid w:val="00B37CFB"/>
    <w:rsid w:val="00B454D0"/>
    <w:rsid w:val="00B516D5"/>
    <w:rsid w:val="00B51A27"/>
    <w:rsid w:val="00B54687"/>
    <w:rsid w:val="00B60BE4"/>
    <w:rsid w:val="00B6555F"/>
    <w:rsid w:val="00B849D3"/>
    <w:rsid w:val="00B918D6"/>
    <w:rsid w:val="00B95735"/>
    <w:rsid w:val="00B95CDB"/>
    <w:rsid w:val="00BA5EF8"/>
    <w:rsid w:val="00BA7283"/>
    <w:rsid w:val="00BB069D"/>
    <w:rsid w:val="00BB12C7"/>
    <w:rsid w:val="00BD664D"/>
    <w:rsid w:val="00BE2953"/>
    <w:rsid w:val="00BE4647"/>
    <w:rsid w:val="00BE7CCA"/>
    <w:rsid w:val="00BF0E71"/>
    <w:rsid w:val="00BF4E9B"/>
    <w:rsid w:val="00BF7CF3"/>
    <w:rsid w:val="00C02D7F"/>
    <w:rsid w:val="00C04278"/>
    <w:rsid w:val="00C054CF"/>
    <w:rsid w:val="00C17508"/>
    <w:rsid w:val="00C264C8"/>
    <w:rsid w:val="00C26A1B"/>
    <w:rsid w:val="00C27950"/>
    <w:rsid w:val="00C344E1"/>
    <w:rsid w:val="00C34A5E"/>
    <w:rsid w:val="00C3555F"/>
    <w:rsid w:val="00C41E6D"/>
    <w:rsid w:val="00C42AD3"/>
    <w:rsid w:val="00C4476C"/>
    <w:rsid w:val="00C46AAF"/>
    <w:rsid w:val="00C64B8D"/>
    <w:rsid w:val="00C86D65"/>
    <w:rsid w:val="00C87276"/>
    <w:rsid w:val="00C9503E"/>
    <w:rsid w:val="00C95984"/>
    <w:rsid w:val="00CA0084"/>
    <w:rsid w:val="00CA0BF9"/>
    <w:rsid w:val="00CA1619"/>
    <w:rsid w:val="00CA39FC"/>
    <w:rsid w:val="00CA50BD"/>
    <w:rsid w:val="00CA5F26"/>
    <w:rsid w:val="00CA6729"/>
    <w:rsid w:val="00CB266A"/>
    <w:rsid w:val="00CB4D94"/>
    <w:rsid w:val="00CB51F4"/>
    <w:rsid w:val="00CC1270"/>
    <w:rsid w:val="00CC3768"/>
    <w:rsid w:val="00CC37AF"/>
    <w:rsid w:val="00CC46E0"/>
    <w:rsid w:val="00CC7520"/>
    <w:rsid w:val="00CD1F5E"/>
    <w:rsid w:val="00CF0906"/>
    <w:rsid w:val="00CF1BDF"/>
    <w:rsid w:val="00CF2A11"/>
    <w:rsid w:val="00CF49B9"/>
    <w:rsid w:val="00D0301D"/>
    <w:rsid w:val="00D047A7"/>
    <w:rsid w:val="00D079F8"/>
    <w:rsid w:val="00D11E72"/>
    <w:rsid w:val="00D13547"/>
    <w:rsid w:val="00D21565"/>
    <w:rsid w:val="00D22382"/>
    <w:rsid w:val="00D227DF"/>
    <w:rsid w:val="00D231FB"/>
    <w:rsid w:val="00D309B8"/>
    <w:rsid w:val="00D46CA7"/>
    <w:rsid w:val="00D6187C"/>
    <w:rsid w:val="00D62706"/>
    <w:rsid w:val="00D647F8"/>
    <w:rsid w:val="00D75547"/>
    <w:rsid w:val="00D7794E"/>
    <w:rsid w:val="00D82E2E"/>
    <w:rsid w:val="00D8590D"/>
    <w:rsid w:val="00D87853"/>
    <w:rsid w:val="00D91814"/>
    <w:rsid w:val="00D9438C"/>
    <w:rsid w:val="00DA09BB"/>
    <w:rsid w:val="00DA218D"/>
    <w:rsid w:val="00DB3A59"/>
    <w:rsid w:val="00DB3E4A"/>
    <w:rsid w:val="00DB4825"/>
    <w:rsid w:val="00DB4B5B"/>
    <w:rsid w:val="00DD600F"/>
    <w:rsid w:val="00DE5AE7"/>
    <w:rsid w:val="00DF302A"/>
    <w:rsid w:val="00E01524"/>
    <w:rsid w:val="00E06574"/>
    <w:rsid w:val="00E07DE5"/>
    <w:rsid w:val="00E11D40"/>
    <w:rsid w:val="00E11DDE"/>
    <w:rsid w:val="00E12D9E"/>
    <w:rsid w:val="00E17D80"/>
    <w:rsid w:val="00E2099B"/>
    <w:rsid w:val="00E2222E"/>
    <w:rsid w:val="00E23C6C"/>
    <w:rsid w:val="00E273AF"/>
    <w:rsid w:val="00E40931"/>
    <w:rsid w:val="00E4341D"/>
    <w:rsid w:val="00E53AF8"/>
    <w:rsid w:val="00E53B24"/>
    <w:rsid w:val="00E55039"/>
    <w:rsid w:val="00E6734A"/>
    <w:rsid w:val="00E73D15"/>
    <w:rsid w:val="00E81403"/>
    <w:rsid w:val="00E909BE"/>
    <w:rsid w:val="00E95F3D"/>
    <w:rsid w:val="00EA1AC6"/>
    <w:rsid w:val="00EA31C5"/>
    <w:rsid w:val="00EB1FBA"/>
    <w:rsid w:val="00EC3104"/>
    <w:rsid w:val="00EC6882"/>
    <w:rsid w:val="00EC769F"/>
    <w:rsid w:val="00ED2507"/>
    <w:rsid w:val="00ED4B42"/>
    <w:rsid w:val="00ED7BA8"/>
    <w:rsid w:val="00EE49D8"/>
    <w:rsid w:val="00EF5416"/>
    <w:rsid w:val="00EF697E"/>
    <w:rsid w:val="00F05AE8"/>
    <w:rsid w:val="00F063F5"/>
    <w:rsid w:val="00F0774C"/>
    <w:rsid w:val="00F1154A"/>
    <w:rsid w:val="00F11F7C"/>
    <w:rsid w:val="00F15ADF"/>
    <w:rsid w:val="00F26F9A"/>
    <w:rsid w:val="00F32FC3"/>
    <w:rsid w:val="00F35D8A"/>
    <w:rsid w:val="00F37818"/>
    <w:rsid w:val="00F4255E"/>
    <w:rsid w:val="00F43D4E"/>
    <w:rsid w:val="00F44858"/>
    <w:rsid w:val="00F61170"/>
    <w:rsid w:val="00F676DD"/>
    <w:rsid w:val="00F7461D"/>
    <w:rsid w:val="00F90A47"/>
    <w:rsid w:val="00F93864"/>
    <w:rsid w:val="00FB0CD0"/>
    <w:rsid w:val="00FB3378"/>
    <w:rsid w:val="00FB6726"/>
    <w:rsid w:val="00FB7CF2"/>
    <w:rsid w:val="00FC4971"/>
    <w:rsid w:val="00FD06D8"/>
    <w:rsid w:val="00FD6573"/>
    <w:rsid w:val="00FD7798"/>
    <w:rsid w:val="00FE0055"/>
    <w:rsid w:val="00FE0C91"/>
    <w:rsid w:val="00FE17BB"/>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0C21EB"/>
    <w:rPr>
      <w:color w:val="605E5C"/>
      <w:shd w:val="clear" w:color="auto" w:fill="E1DFDD"/>
    </w:rPr>
  </w:style>
  <w:style w:type="paragraph" w:styleId="NormalWeb">
    <w:name w:val="Normal (Web)"/>
    <w:basedOn w:val="Normal"/>
    <w:uiPriority w:val="99"/>
    <w:semiHidden/>
    <w:unhideWhenUsed/>
    <w:rsid w:val="00FB0CD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9815">
      <w:bodyDiv w:val="1"/>
      <w:marLeft w:val="0"/>
      <w:marRight w:val="0"/>
      <w:marTop w:val="0"/>
      <w:marBottom w:val="0"/>
      <w:divBdr>
        <w:top w:val="none" w:sz="0" w:space="0" w:color="auto"/>
        <w:left w:val="none" w:sz="0" w:space="0" w:color="auto"/>
        <w:bottom w:val="none" w:sz="0" w:space="0" w:color="auto"/>
        <w:right w:val="none" w:sz="0" w:space="0" w:color="auto"/>
      </w:divBdr>
    </w:div>
    <w:div w:id="247233929">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52554694">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69216990">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825895143">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276673502">
      <w:bodyDiv w:val="1"/>
      <w:marLeft w:val="0"/>
      <w:marRight w:val="0"/>
      <w:marTop w:val="0"/>
      <w:marBottom w:val="0"/>
      <w:divBdr>
        <w:top w:val="none" w:sz="0" w:space="0" w:color="auto"/>
        <w:left w:val="none" w:sz="0" w:space="0" w:color="auto"/>
        <w:bottom w:val="none" w:sz="0" w:space="0" w:color="auto"/>
        <w:right w:val="none" w:sz="0" w:space="0" w:color="auto"/>
      </w:divBdr>
    </w:div>
    <w:div w:id="1528450412">
      <w:bodyDiv w:val="1"/>
      <w:marLeft w:val="0"/>
      <w:marRight w:val="0"/>
      <w:marTop w:val="0"/>
      <w:marBottom w:val="0"/>
      <w:divBdr>
        <w:top w:val="none" w:sz="0" w:space="0" w:color="auto"/>
        <w:left w:val="none" w:sz="0" w:space="0" w:color="auto"/>
        <w:bottom w:val="none" w:sz="0" w:space="0" w:color="auto"/>
        <w:right w:val="none" w:sz="0" w:space="0" w:color="auto"/>
      </w:divBdr>
    </w:div>
    <w:div w:id="1732649838">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134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pwc.in/assets/pdfs/unlocking-growth-opportunities-indias-insurance-sector.pdf" TargetMode="External"/><Relationship Id="rId26" Type="http://schemas.openxmlformats.org/officeDocument/2006/relationships/hyperlink" Target="https://www.gicouncil.in/yearbook/2023-24/wp-content/uploads/GIC_Yearbook_2023-24.pdf" TargetMode="External"/><Relationship Id="rId3" Type="http://schemas.openxmlformats.org/officeDocument/2006/relationships/customXml" Target="../customXml/item3.xml"/><Relationship Id="rId21" Type="http://schemas.openxmlformats.org/officeDocument/2006/relationships/hyperlink" Target="file:///D:\epons\Downloads\gx-fsi-cataylst-for-change.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g"/><Relationship Id="rId25" Type="http://schemas.openxmlformats.org/officeDocument/2006/relationships/hyperlink" Target="https://www.careratings.com/uploads/newsfiles/1712575761_Analysis%20of%20the%20Life%20Insurance%20Industry%20April%202024.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s://ibef.org/download/1755153182_Insurance-May-2025.pdf" TargetMode="External"/><Relationship Id="rId29" Type="http://schemas.openxmlformats.org/officeDocument/2006/relationships/hyperlink" Target="https://irdai.gov.in/annual-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wissre.com/dam/jcr:444d06a0-2f47-41e9-a1e0-59a112c88681/2022-11-expertise-publication-india-a-growth-engin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www.swissre.com/dam/jcr%3A4c54602e-f24f-4322-8e8a-bfd6ada77062/2025-01-14-swiss-re-%20institute-expertise-publication-india-economy-and-insurance-market.pdf" TargetMode="External"/><Relationship Id="rId28" Type="http://schemas.openxmlformats.org/officeDocument/2006/relationships/hyperlink" Target="https://irdai.gov.in/list-of-life-insurers1" TargetMode="External"/><Relationship Id="rId10" Type="http://schemas.openxmlformats.org/officeDocument/2006/relationships/endnotes" Target="endnotes.xml"/><Relationship Id="rId19" Type="http://schemas.openxmlformats.org/officeDocument/2006/relationships/hyperlink" Target="https://www.business-standard.com/finance/insurance/irdai-annual-report-2023-24-insurance-penetration-decline-124122500470_1.html?utm_source=chatgpt.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pib.gov.in/PressReleasePage.aspx?PRID=2098394&amp;" TargetMode="External"/><Relationship Id="rId27" Type="http://schemas.openxmlformats.org/officeDocument/2006/relationships/hyperlink" Target="https://economictimes.indiatimes.com/industry/banking/finance/insure/insurtech-funding-set-to-top-1-billion-in-12-months/articleshow/122641038.cms" TargetMode="External"/><Relationship Id="rId30" Type="http://schemas.openxmlformats.org/officeDocument/2006/relationships/hyperlink" Target="https://www.hdfclife.com/content/dam/hdfclifeinsurancecompany/about-us/pdf/investor-relations/financial-information/annual-reports/integrated-annual-report-fy-2024-2025.pdf?srsltid=AfmBOooMJrKZ9jWvY0vf_Co-i_Zne1GQ15JgMK8SIqFFK7bI3qCUYrNB"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policybazaar.com/life-insurance/ulip-plans/" TargetMode="External"/><Relationship Id="rId3" Type="http://schemas.openxmlformats.org/officeDocument/2006/relationships/hyperlink" Target="https://www.pwc.in/assets/pdfs/unlocking-growth-opportunities-indias-insurance-sector.pdf" TargetMode="External"/><Relationship Id="rId7" Type="http://schemas.openxmlformats.org/officeDocument/2006/relationships/hyperlink" Target="https://www.hdfclife.com/content/dam/hdfclifeinsurancecompany/about-us/pdf/investor-relations/financial-information/annual-reports/integrated-annual-report-fy-2024-2025.pdf?srsltid=AfmBOooMJrKZ9jWvY0vf_Co-i_Zne1GQ15JgMK8SIqFFK7bI3qCUYrNB" TargetMode="External"/><Relationship Id="rId2" Type="http://schemas.openxmlformats.org/officeDocument/2006/relationships/hyperlink" Target="https://www.pwc.in/assets/pdfs/unlocking-growth-opportunities-indias-insurance-sector.pdf" TargetMode="External"/><Relationship Id="rId1" Type="http://schemas.openxmlformats.org/officeDocument/2006/relationships/hyperlink" Target="https://www.swissre.com/institute/research/topics-and-risk-dialogues/economy-and-insurance-outlook/india-economy-insurance-market-growth.html" TargetMode="External"/><Relationship Id="rId6" Type="http://schemas.openxmlformats.org/officeDocument/2006/relationships/hyperlink" Target="https://www.ilo.org/sites/default/files/2024-08/India%20Employment%20-%20web_8%20April.pdf" TargetMode="External"/><Relationship Id="rId5" Type="http://schemas.openxmlformats.org/officeDocument/2006/relationships/hyperlink" Target="https://ibef.org/research/case-study/growth-and-overview-of-the-insurance-sector-in-india-a-comprehensive-study?" TargetMode="External"/><Relationship Id="rId4" Type="http://schemas.openxmlformats.org/officeDocument/2006/relationships/hyperlink" Target="https://www.pwc.in/assets/pdfs/unlocking-growth-opportunities-indias-insurance-sector.pdf?" TargetMode="External"/><Relationship Id="rId9" Type="http://schemas.openxmlformats.org/officeDocument/2006/relationships/hyperlink" Target="https://www.pib.gov.in/PressReleasePage.aspx?PRID=2098394&amp;"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089C39-B73A-4C06-BD6A-F911CC705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2999</Words>
  <Characters>16500</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PONS ELEA</cp:lastModifiedBy>
  <cp:revision>9</cp:revision>
  <dcterms:created xsi:type="dcterms:W3CDTF">2025-10-16T08:03:00Z</dcterms:created>
  <dcterms:modified xsi:type="dcterms:W3CDTF">2025-10-17T05:07:00Z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