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9E83" w14:textId="7B6B89EE" w:rsidR="00F9212F" w:rsidRDefault="00BB1834" w:rsidP="00DD1D52">
      <w:pPr>
        <w:spacing w:before="80" w:after="80"/>
        <w:ind w:right="1"/>
        <w:rPr>
          <w:rFonts w:ascii="Segoe UI" w:hAnsi="Segoe UI" w:cs="Segoe UI"/>
          <w:color w:val="000091" w:themeColor="text1"/>
          <w:sz w:val="44"/>
          <w:szCs w:val="28"/>
        </w:rPr>
      </w:pPr>
      <w:r>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679769F7">
                <wp:simplePos x="0" y="0"/>
                <wp:positionH relativeFrom="page">
                  <wp:align>left</wp:align>
                </wp:positionH>
                <wp:positionV relativeFrom="paragraph">
                  <wp:posOffset>716280</wp:posOffset>
                </wp:positionV>
                <wp:extent cx="7585544" cy="310101"/>
                <wp:effectExtent l="0" t="0" r="0" b="0"/>
                <wp:wrapNone/>
                <wp:docPr id="4" name="Rectangle 4"/>
                <wp:cNvGraphicFramePr/>
                <a:graphic xmlns:a="http://schemas.openxmlformats.org/drawingml/2006/main">
                  <a:graphicData uri="http://schemas.microsoft.com/office/word/2010/wordprocessingShape">
                    <wps:wsp>
                      <wps:cNvSpPr/>
                      <wps:spPr>
                        <a:xfrm>
                          <a:off x="0" y="0"/>
                          <a:ext cx="7585544" cy="310101"/>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6D01D885" w:rsidR="00532CE3" w:rsidRPr="00F9212F" w:rsidRDefault="00077DC3" w:rsidP="00532CE3">
                            <w:pPr>
                              <w:jc w:val="center"/>
                              <w:rPr>
                                <w:sz w:val="20"/>
                                <w:szCs w:val="20"/>
                              </w:rPr>
                            </w:pPr>
                            <w:r w:rsidRPr="00F9212F">
                              <w:rPr>
                                <w:rFonts w:ascii="Segoe UI" w:hAnsi="Segoe UI" w:cs="Segoe UI"/>
                                <w:b/>
                                <w:bCs/>
                                <w:color w:val="000091" w:themeColor="text1"/>
                                <w:sz w:val="28"/>
                                <w:szCs w:val="18"/>
                              </w:rPr>
                              <w:t>I</w:t>
                            </w:r>
                            <w:r w:rsidR="00DC1DA7" w:rsidRPr="00F9212F">
                              <w:rPr>
                                <w:rFonts w:ascii="Segoe UI" w:hAnsi="Segoe UI" w:cs="Segoe UI"/>
                                <w:b/>
                                <w:bCs/>
                                <w:color w:val="000091" w:themeColor="text1"/>
                                <w:sz w:val="28"/>
                                <w:szCs w:val="18"/>
                              </w:rPr>
                              <w:t>NDE</w:t>
                            </w:r>
                            <w:r w:rsidRPr="00F9212F">
                              <w:rPr>
                                <w:rFonts w:ascii="Segoe UI" w:hAnsi="Segoe UI" w:cs="Segoe UI"/>
                                <w:b/>
                                <w:bCs/>
                                <w:color w:val="000091" w:themeColor="text1"/>
                                <w:sz w:val="2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margin-left:0;margin-top:56.4pt;width:597.3pt;height:24.4pt;z-index:2516561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" fillcolor="#fcc63a" stroked="f" strokeweight="1pt">
                <v:textbox>
                  <w:txbxContent>
                    <w:p w14:paraId="2ED3FE0E" w14:textId="6D01D885" w:rsidR="00532CE3" w:rsidRPr="00F9212F" w:rsidRDefault="00077DC3" w:rsidP="00532CE3">
                      <w:pPr>
                        <w:jc w:val="center"/>
                        <w:rPr>
                          <w:sz w:val="20"/>
                          <w:szCs w:val="20"/>
                        </w:rPr>
                      </w:pPr>
                      <w:r w:rsidRPr="00F9212F">
                        <w:rPr>
                          <w:rFonts w:ascii="Segoe UI" w:hAnsi="Segoe UI" w:cs="Segoe UI"/>
                          <w:b/>
                          <w:bCs/>
                          <w:color w:val="000091" w:themeColor="text1"/>
                          <w:sz w:val="28"/>
                          <w:szCs w:val="18"/>
                        </w:rPr>
                        <w:t>I</w:t>
                      </w:r>
                      <w:r w:rsidR="00DC1DA7" w:rsidRPr="00F9212F">
                        <w:rPr>
                          <w:rFonts w:ascii="Segoe UI" w:hAnsi="Segoe UI" w:cs="Segoe UI"/>
                          <w:b/>
                          <w:bCs/>
                          <w:color w:val="000091" w:themeColor="text1"/>
                          <w:sz w:val="28"/>
                          <w:szCs w:val="18"/>
                        </w:rPr>
                        <w:t>NDE</w:t>
                      </w:r>
                      <w:r w:rsidRPr="00F9212F">
                        <w:rPr>
                          <w:rFonts w:ascii="Segoe UI" w:hAnsi="Segoe UI" w:cs="Segoe UI"/>
                          <w:b/>
                          <w:bCs/>
                          <w:color w:val="000091" w:themeColor="text1"/>
                          <w:sz w:val="28"/>
                          <w:szCs w:val="18"/>
                        </w:rPr>
                        <w:t xml:space="preserve"> </w:t>
                      </w:r>
                    </w:p>
                  </w:txbxContent>
                </v:textbox>
                <w10:wrap anchorx="page"/>
              </v:rect>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71E93775">
                <wp:simplePos x="0" y="0"/>
                <wp:positionH relativeFrom="page">
                  <wp:align>left</wp:align>
                </wp:positionH>
                <wp:positionV relativeFrom="paragraph">
                  <wp:posOffset>28575</wp:posOffset>
                </wp:positionV>
                <wp:extent cx="7561580" cy="628650"/>
                <wp:effectExtent l="0" t="0" r="1270" b="0"/>
                <wp:wrapTopAndBottom/>
                <wp:docPr id="2" name="Rectangle 2"/>
                <wp:cNvGraphicFramePr/>
                <a:graphic xmlns:a="http://schemas.openxmlformats.org/drawingml/2006/main">
                  <a:graphicData uri="http://schemas.microsoft.com/office/word/2010/wordprocessingShape">
                    <wps:wsp>
                      <wps:cNvSpPr/>
                      <wps:spPr>
                        <a:xfrm>
                          <a:off x="0" y="0"/>
                          <a:ext cx="7561580" cy="6286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71E12022"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Ambassade de France</w:t>
                            </w:r>
                            <w:r w:rsidR="00077DC3">
                              <w:rPr>
                                <w:rFonts w:ascii="Segoe UI" w:hAnsi="Segoe UI" w:cs="Segoe UI"/>
                                <w:bCs/>
                                <w:color w:val="000091" w:themeColor="text1"/>
                                <w:sz w:val="18"/>
                                <w:szCs w:val="18"/>
                                <w:lang w:eastAsia="ja-JP"/>
                              </w:rPr>
                              <w:t xml:space="preserve"> en </w:t>
                            </w:r>
                            <w:r w:rsidR="006E2D56">
                              <w:rPr>
                                <w:rFonts w:ascii="Segoe UI" w:hAnsi="Segoe UI" w:cs="Segoe UI"/>
                                <w:bCs/>
                                <w:color w:val="000091" w:themeColor="text1"/>
                                <w:sz w:val="18"/>
                                <w:szCs w:val="18"/>
                                <w:lang w:eastAsia="ja-JP"/>
                              </w:rPr>
                              <w:t>I</w:t>
                            </w:r>
                            <w:r w:rsidR="00077DC3">
                              <w:rPr>
                                <w:rFonts w:ascii="Segoe UI" w:hAnsi="Segoe UI" w:cs="Segoe UI"/>
                                <w:bCs/>
                                <w:color w:val="000091" w:themeColor="text1"/>
                                <w:sz w:val="18"/>
                                <w:szCs w:val="18"/>
                                <w:lang w:eastAsia="ja-JP"/>
                              </w:rPr>
                              <w:t>nde</w:t>
                            </w:r>
                          </w:p>
                          <w:p w14:paraId="3D62CBBB" w14:textId="23BCEEC5"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077DC3">
                              <w:rPr>
                                <w:rFonts w:ascii="Segoe UI" w:hAnsi="Segoe UI" w:cs="Segoe UI"/>
                                <w:bCs/>
                                <w:color w:val="000091" w:themeColor="text1"/>
                                <w:sz w:val="18"/>
                                <w:szCs w:val="18"/>
                                <w:lang w:eastAsia="ja-JP"/>
                              </w:rPr>
                              <w:t xml:space="preserve"> de New Delhi – Antenne de Bombay </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12931" id="Rectangle 2" o:spid="_x0000_s1027" style="position:absolute;margin-left:0;margin-top:2.25pt;width:595.4pt;height:49.5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" fillcolor="#fde8b0 [1301]" stroked="f" strokeweight="1pt">
                <v:textbox>
                  <w:txbxContent>
                    <w:p w14:paraId="7465B737" w14:textId="71E12022"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Ambassade de France</w:t>
                      </w:r>
                      <w:r w:rsidR="00077DC3">
                        <w:rPr>
                          <w:rFonts w:ascii="Segoe UI" w:hAnsi="Segoe UI" w:cs="Segoe UI"/>
                          <w:bCs/>
                          <w:color w:val="000091" w:themeColor="text1"/>
                          <w:sz w:val="18"/>
                          <w:szCs w:val="18"/>
                          <w:lang w:eastAsia="ja-JP"/>
                        </w:rPr>
                        <w:t xml:space="preserve"> en </w:t>
                      </w:r>
                      <w:r w:rsidR="006E2D56">
                        <w:rPr>
                          <w:rFonts w:ascii="Segoe UI" w:hAnsi="Segoe UI" w:cs="Segoe UI"/>
                          <w:bCs/>
                          <w:color w:val="000091" w:themeColor="text1"/>
                          <w:sz w:val="18"/>
                          <w:szCs w:val="18"/>
                          <w:lang w:eastAsia="ja-JP"/>
                        </w:rPr>
                        <w:t>I</w:t>
                      </w:r>
                      <w:r w:rsidR="00077DC3">
                        <w:rPr>
                          <w:rFonts w:ascii="Segoe UI" w:hAnsi="Segoe UI" w:cs="Segoe UI"/>
                          <w:bCs/>
                          <w:color w:val="000091" w:themeColor="text1"/>
                          <w:sz w:val="18"/>
                          <w:szCs w:val="18"/>
                          <w:lang w:eastAsia="ja-JP"/>
                        </w:rPr>
                        <w:t>nde</w:t>
                      </w:r>
                    </w:p>
                    <w:p w14:paraId="3D62CBBB" w14:textId="23BCEEC5"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077DC3">
                        <w:rPr>
                          <w:rFonts w:ascii="Segoe UI" w:hAnsi="Segoe UI" w:cs="Segoe UI"/>
                          <w:bCs/>
                          <w:color w:val="000091" w:themeColor="text1"/>
                          <w:sz w:val="18"/>
                          <w:szCs w:val="18"/>
                          <w:lang w:eastAsia="ja-JP"/>
                        </w:rPr>
                        <w:t xml:space="preserve"> de New Delhi – Antenne de Bombay </w:t>
                      </w:r>
                      <w:r w:rsidR="008A3AD5" w:rsidRPr="00A0743B">
                        <w:rPr>
                          <w:rFonts w:ascii="Arial" w:hAnsi="Arial" w:cs="Arial"/>
                          <w:b/>
                          <w:bCs/>
                          <w:sz w:val="20"/>
                          <w:szCs w:val="20"/>
                        </w:rPr>
                        <w:t xml:space="preserve"> </w:t>
                      </w:r>
                    </w:p>
                  </w:txbxContent>
                </v:textbox>
                <w10:wrap type="topAndBottom" anchorx="page"/>
              </v:rect>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78198CCA">
                <wp:simplePos x="0" y="0"/>
                <wp:positionH relativeFrom="margin">
                  <wp:posOffset>4135755</wp:posOffset>
                </wp:positionH>
                <wp:positionV relativeFrom="paragraph">
                  <wp:posOffset>252095</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7C2A7F89"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4F38AB">
                              <w:rPr>
                                <w:rFonts w:ascii="Segoe UI" w:hAnsi="Segoe UI" w:cs="Segoe UI"/>
                                <w:color w:val="000091" w:themeColor="text1"/>
                                <w:sz w:val="17"/>
                                <w:szCs w:val="17"/>
                                <w:lang w:eastAsia="ja-JP"/>
                              </w:rPr>
                              <w:t xml:space="preserve">Dana Brahimi et </w:t>
                            </w:r>
                            <w:r w:rsidR="00077DC3">
                              <w:rPr>
                                <w:rFonts w:ascii="Segoe UI" w:hAnsi="Segoe UI" w:cs="Segoe UI"/>
                                <w:color w:val="000091" w:themeColor="text1"/>
                                <w:sz w:val="17"/>
                                <w:szCs w:val="17"/>
                                <w:lang w:eastAsia="ja-JP"/>
                              </w:rPr>
                              <w:t>Eléa Pons</w:t>
                            </w:r>
                          </w:p>
                          <w:p w14:paraId="07E31681" w14:textId="3FAA7EE6"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426DEB">
                              <w:rPr>
                                <w:rFonts w:ascii="Segoe UI" w:hAnsi="Segoe UI" w:cs="Segoe UI"/>
                                <w:color w:val="000091" w:themeColor="text1"/>
                                <w:sz w:val="17"/>
                                <w:szCs w:val="17"/>
                                <w:lang w:eastAsia="ja-JP"/>
                              </w:rPr>
                              <w:t xml:space="preserve">Erwan </w:t>
                            </w:r>
                            <w:proofErr w:type="spellStart"/>
                            <w:r w:rsidR="00426DEB">
                              <w:rPr>
                                <w:rFonts w:ascii="Segoe UI" w:hAnsi="Segoe UI" w:cs="Segoe UI"/>
                                <w:color w:val="000091" w:themeColor="text1"/>
                                <w:sz w:val="17"/>
                                <w:szCs w:val="17"/>
                                <w:lang w:eastAsia="ja-JP"/>
                              </w:rPr>
                              <w:t>Andalouss</w:t>
                            </w:r>
                            <w:r w:rsidR="00496755">
                              <w:rPr>
                                <w:rFonts w:ascii="Segoe UI" w:hAnsi="Segoe UI" w:cs="Segoe UI"/>
                                <w:color w:val="000091" w:themeColor="text1"/>
                                <w:sz w:val="17"/>
                                <w:szCs w:val="17"/>
                                <w:lang w:eastAsia="ja-JP"/>
                              </w:rPr>
                              <w:t>i</w:t>
                            </w:r>
                            <w:proofErr w:type="spellEnd"/>
                            <w:r w:rsidR="00813E89">
                              <w:rPr>
                                <w:rFonts w:ascii="Segoe UI" w:hAnsi="Segoe UI" w:cs="Segoe UI"/>
                                <w:color w:val="000091" w:themeColor="text1"/>
                                <w:sz w:val="17"/>
                                <w:szCs w:val="17"/>
                                <w:lang w:eastAsia="ja-JP"/>
                              </w:rPr>
                              <w:t>, Florent Mangin</w:t>
                            </w:r>
                            <w:r w:rsidR="00426DEB">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8" type="#_x0000_t202" style="position:absolute;margin-left:325.65pt;margin-top:19.85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" filled="f" stroked="f" strokeweight=".5pt">
                <v:textbox>
                  <w:txbxContent>
                    <w:p w14:paraId="1931003E" w14:textId="7C2A7F89"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4F38AB">
                        <w:rPr>
                          <w:rFonts w:ascii="Segoe UI" w:hAnsi="Segoe UI" w:cs="Segoe UI"/>
                          <w:color w:val="000091" w:themeColor="text1"/>
                          <w:sz w:val="17"/>
                          <w:szCs w:val="17"/>
                          <w:lang w:eastAsia="ja-JP"/>
                        </w:rPr>
                        <w:t xml:space="preserve">Dana Brahimi et </w:t>
                      </w:r>
                      <w:r w:rsidR="00077DC3">
                        <w:rPr>
                          <w:rFonts w:ascii="Segoe UI" w:hAnsi="Segoe UI" w:cs="Segoe UI"/>
                          <w:color w:val="000091" w:themeColor="text1"/>
                          <w:sz w:val="17"/>
                          <w:szCs w:val="17"/>
                          <w:lang w:eastAsia="ja-JP"/>
                        </w:rPr>
                        <w:t>Eléa Pons</w:t>
                      </w:r>
                    </w:p>
                    <w:p w14:paraId="07E31681" w14:textId="3FAA7EE6"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426DEB">
                        <w:rPr>
                          <w:rFonts w:ascii="Segoe UI" w:hAnsi="Segoe UI" w:cs="Segoe UI"/>
                          <w:color w:val="000091" w:themeColor="text1"/>
                          <w:sz w:val="17"/>
                          <w:szCs w:val="17"/>
                          <w:lang w:eastAsia="ja-JP"/>
                        </w:rPr>
                        <w:t xml:space="preserve">Erwan </w:t>
                      </w:r>
                      <w:proofErr w:type="spellStart"/>
                      <w:r w:rsidR="00426DEB">
                        <w:rPr>
                          <w:rFonts w:ascii="Segoe UI" w:hAnsi="Segoe UI" w:cs="Segoe UI"/>
                          <w:color w:val="000091" w:themeColor="text1"/>
                          <w:sz w:val="17"/>
                          <w:szCs w:val="17"/>
                          <w:lang w:eastAsia="ja-JP"/>
                        </w:rPr>
                        <w:t>Andalouss</w:t>
                      </w:r>
                      <w:r w:rsidR="00496755">
                        <w:rPr>
                          <w:rFonts w:ascii="Segoe UI" w:hAnsi="Segoe UI" w:cs="Segoe UI"/>
                          <w:color w:val="000091" w:themeColor="text1"/>
                          <w:sz w:val="17"/>
                          <w:szCs w:val="17"/>
                          <w:lang w:eastAsia="ja-JP"/>
                        </w:rPr>
                        <w:t>i</w:t>
                      </w:r>
                      <w:proofErr w:type="spellEnd"/>
                      <w:r w:rsidR="00813E89">
                        <w:rPr>
                          <w:rFonts w:ascii="Segoe UI" w:hAnsi="Segoe UI" w:cs="Segoe UI"/>
                          <w:color w:val="000091" w:themeColor="text1"/>
                          <w:sz w:val="17"/>
                          <w:szCs w:val="17"/>
                          <w:lang w:eastAsia="ja-JP"/>
                        </w:rPr>
                        <w:t>, Florent Mangin</w:t>
                      </w:r>
                      <w:r w:rsidR="00426DEB">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3FA926F6">
                <wp:simplePos x="0" y="0"/>
                <wp:positionH relativeFrom="page">
                  <wp:posOffset>5036185</wp:posOffset>
                </wp:positionH>
                <wp:positionV relativeFrom="paragraph">
                  <wp:posOffset>0</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4775277F" w:rsidR="00490B3C" w:rsidRPr="00532CE3" w:rsidRDefault="001635C6" w:rsidP="00DC0C4E">
                            <w:pPr>
                              <w:spacing w:before="120" w:after="120"/>
                              <w:ind w:right="284"/>
                              <w:jc w:val="center"/>
                              <w:rPr>
                                <w:color w:val="986E02" w:themeColor="accent2" w:themeShade="80"/>
                                <w:sz w:val="17"/>
                                <w:szCs w:val="17"/>
                              </w:rPr>
                            </w:pPr>
                            <w:r>
                              <w:rPr>
                                <w:rFonts w:ascii="Segoe UI" w:hAnsi="Segoe UI" w:cs="Segoe UI"/>
                                <w:color w:val="986E02" w:themeColor="accent2" w:themeShade="80"/>
                                <w:sz w:val="17"/>
                                <w:szCs w:val="17"/>
                                <w:lang w:eastAsia="ja-JP"/>
                              </w:rPr>
                              <w:t xml:space="preserve"> </w:t>
                            </w:r>
                            <w:r w:rsidR="00DC0C4E">
                              <w:rPr>
                                <w:rFonts w:ascii="Segoe UI" w:hAnsi="Segoe UI" w:cs="Segoe UI"/>
                                <w:color w:val="986E02" w:themeColor="accent2" w:themeShade="80"/>
                                <w:sz w:val="17"/>
                                <w:szCs w:val="17"/>
                                <w:lang w:eastAsia="ja-JP"/>
                              </w:rPr>
                              <w:tab/>
                            </w:r>
                            <w:r>
                              <w:rPr>
                                <w:rFonts w:ascii="Segoe UI" w:hAnsi="Segoe UI" w:cs="Segoe UI"/>
                                <w:color w:val="986E02" w:themeColor="accent2" w:themeShade="80"/>
                                <w:sz w:val="17"/>
                                <w:szCs w:val="17"/>
                                <w:lang w:eastAsia="ja-JP"/>
                              </w:rPr>
                              <w:t xml:space="preserve"> </w:t>
                            </w:r>
                            <w:r w:rsidR="00195126">
                              <w:rPr>
                                <w:rFonts w:ascii="Segoe UI" w:hAnsi="Segoe UI" w:cs="Segoe UI"/>
                                <w:color w:val="986E02" w:themeColor="accent2" w:themeShade="80"/>
                                <w:sz w:val="17"/>
                                <w:szCs w:val="17"/>
                                <w:lang w:eastAsia="ja-JP"/>
                              </w:rPr>
                              <w:t xml:space="preserve">New </w:t>
                            </w:r>
                            <w:r w:rsidR="004F38AB">
                              <w:rPr>
                                <w:rFonts w:ascii="Segoe UI" w:hAnsi="Segoe UI" w:cs="Segoe UI"/>
                                <w:color w:val="986E02" w:themeColor="accent2" w:themeShade="80"/>
                                <w:sz w:val="17"/>
                                <w:szCs w:val="17"/>
                                <w:lang w:eastAsia="ja-JP"/>
                              </w:rPr>
                              <w:t>Delhi</w:t>
                            </w:r>
                            <w:r w:rsidR="00490B3C" w:rsidRPr="00532CE3">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 xml:space="preserve">le </w:t>
                            </w:r>
                            <w:r w:rsidR="00961CDA">
                              <w:rPr>
                                <w:rFonts w:ascii="Segoe UI" w:hAnsi="Segoe UI" w:cs="Segoe UI"/>
                                <w:color w:val="986E02" w:themeColor="accent2" w:themeShade="80"/>
                                <w:sz w:val="17"/>
                                <w:szCs w:val="17"/>
                                <w:lang w:eastAsia="ja-JP"/>
                              </w:rPr>
                              <w:t>28</w:t>
                            </w:r>
                            <w:r w:rsidR="00077DC3">
                              <w:rPr>
                                <w:rFonts w:ascii="Segoe UI" w:hAnsi="Segoe UI" w:cs="Segoe UI"/>
                                <w:color w:val="986E02" w:themeColor="accent2" w:themeShade="80"/>
                                <w:sz w:val="17"/>
                                <w:szCs w:val="17"/>
                                <w:lang w:eastAsia="ja-JP"/>
                              </w:rPr>
                              <w:t xml:space="preserve"> </w:t>
                            </w:r>
                            <w:r w:rsidR="00961CDA">
                              <w:rPr>
                                <w:rFonts w:ascii="Segoe UI" w:hAnsi="Segoe UI" w:cs="Segoe UI"/>
                                <w:color w:val="986E02" w:themeColor="accent2" w:themeShade="80"/>
                                <w:sz w:val="17"/>
                                <w:szCs w:val="17"/>
                                <w:lang w:eastAsia="ja-JP"/>
                              </w:rPr>
                              <w:t>no</w:t>
                            </w:r>
                            <w:r w:rsidR="00195126">
                              <w:rPr>
                                <w:rFonts w:ascii="Segoe UI" w:hAnsi="Segoe UI" w:cs="Segoe UI"/>
                                <w:color w:val="986E02" w:themeColor="accent2" w:themeShade="80"/>
                                <w:sz w:val="17"/>
                                <w:szCs w:val="17"/>
                                <w:lang w:eastAsia="ja-JP"/>
                              </w:rPr>
                              <w:t>vembre</w:t>
                            </w:r>
                            <w:r w:rsidR="008D7971">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9" type="#_x0000_t202" style="position:absolute;margin-left:396.55pt;margin-top:0;width:198.75pt;height:27.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" filled="f" stroked="f">
                <v:textbox>
                  <w:txbxContent>
                    <w:p w14:paraId="44111769" w14:textId="4775277F" w:rsidR="00490B3C" w:rsidRPr="00532CE3" w:rsidRDefault="001635C6" w:rsidP="00DC0C4E">
                      <w:pPr>
                        <w:spacing w:before="120" w:after="120"/>
                        <w:ind w:right="284"/>
                        <w:jc w:val="center"/>
                        <w:rPr>
                          <w:color w:val="986E02" w:themeColor="accent2" w:themeShade="80"/>
                          <w:sz w:val="17"/>
                          <w:szCs w:val="17"/>
                        </w:rPr>
                      </w:pPr>
                      <w:r>
                        <w:rPr>
                          <w:rFonts w:ascii="Segoe UI" w:hAnsi="Segoe UI" w:cs="Segoe UI"/>
                          <w:color w:val="986E02" w:themeColor="accent2" w:themeShade="80"/>
                          <w:sz w:val="17"/>
                          <w:szCs w:val="17"/>
                          <w:lang w:eastAsia="ja-JP"/>
                        </w:rPr>
                        <w:t xml:space="preserve"> </w:t>
                      </w:r>
                      <w:r w:rsidR="00DC0C4E">
                        <w:rPr>
                          <w:rFonts w:ascii="Segoe UI" w:hAnsi="Segoe UI" w:cs="Segoe UI"/>
                          <w:color w:val="986E02" w:themeColor="accent2" w:themeShade="80"/>
                          <w:sz w:val="17"/>
                          <w:szCs w:val="17"/>
                          <w:lang w:eastAsia="ja-JP"/>
                        </w:rPr>
                        <w:tab/>
                      </w:r>
                      <w:r>
                        <w:rPr>
                          <w:rFonts w:ascii="Segoe UI" w:hAnsi="Segoe UI" w:cs="Segoe UI"/>
                          <w:color w:val="986E02" w:themeColor="accent2" w:themeShade="80"/>
                          <w:sz w:val="17"/>
                          <w:szCs w:val="17"/>
                          <w:lang w:eastAsia="ja-JP"/>
                        </w:rPr>
                        <w:t xml:space="preserve"> </w:t>
                      </w:r>
                      <w:r w:rsidR="00195126">
                        <w:rPr>
                          <w:rFonts w:ascii="Segoe UI" w:hAnsi="Segoe UI" w:cs="Segoe UI"/>
                          <w:color w:val="986E02" w:themeColor="accent2" w:themeShade="80"/>
                          <w:sz w:val="17"/>
                          <w:szCs w:val="17"/>
                          <w:lang w:eastAsia="ja-JP"/>
                        </w:rPr>
                        <w:t xml:space="preserve">New </w:t>
                      </w:r>
                      <w:r w:rsidR="004F38AB">
                        <w:rPr>
                          <w:rFonts w:ascii="Segoe UI" w:hAnsi="Segoe UI" w:cs="Segoe UI"/>
                          <w:color w:val="986E02" w:themeColor="accent2" w:themeShade="80"/>
                          <w:sz w:val="17"/>
                          <w:szCs w:val="17"/>
                          <w:lang w:eastAsia="ja-JP"/>
                        </w:rPr>
                        <w:t>Delhi</w:t>
                      </w:r>
                      <w:r w:rsidR="00490B3C" w:rsidRPr="00532CE3">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 xml:space="preserve">le </w:t>
                      </w:r>
                      <w:r w:rsidR="00961CDA">
                        <w:rPr>
                          <w:rFonts w:ascii="Segoe UI" w:hAnsi="Segoe UI" w:cs="Segoe UI"/>
                          <w:color w:val="986E02" w:themeColor="accent2" w:themeShade="80"/>
                          <w:sz w:val="17"/>
                          <w:szCs w:val="17"/>
                          <w:lang w:eastAsia="ja-JP"/>
                        </w:rPr>
                        <w:t>28</w:t>
                      </w:r>
                      <w:r w:rsidR="00077DC3">
                        <w:rPr>
                          <w:rFonts w:ascii="Segoe UI" w:hAnsi="Segoe UI" w:cs="Segoe UI"/>
                          <w:color w:val="986E02" w:themeColor="accent2" w:themeShade="80"/>
                          <w:sz w:val="17"/>
                          <w:szCs w:val="17"/>
                          <w:lang w:eastAsia="ja-JP"/>
                        </w:rPr>
                        <w:t xml:space="preserve"> </w:t>
                      </w:r>
                      <w:r w:rsidR="00961CDA">
                        <w:rPr>
                          <w:rFonts w:ascii="Segoe UI" w:hAnsi="Segoe UI" w:cs="Segoe UI"/>
                          <w:color w:val="986E02" w:themeColor="accent2" w:themeShade="80"/>
                          <w:sz w:val="17"/>
                          <w:szCs w:val="17"/>
                          <w:lang w:eastAsia="ja-JP"/>
                        </w:rPr>
                        <w:t>no</w:t>
                      </w:r>
                      <w:r w:rsidR="00195126">
                        <w:rPr>
                          <w:rFonts w:ascii="Segoe UI" w:hAnsi="Segoe UI" w:cs="Segoe UI"/>
                          <w:color w:val="986E02" w:themeColor="accent2" w:themeShade="80"/>
                          <w:sz w:val="17"/>
                          <w:szCs w:val="17"/>
                          <w:lang w:eastAsia="ja-JP"/>
                        </w:rPr>
                        <w:t>vembre</w:t>
                      </w:r>
                      <w:r w:rsidR="008D7971">
                        <w:rPr>
                          <w:rFonts w:ascii="Segoe UI" w:hAnsi="Segoe UI" w:cs="Segoe UI"/>
                          <w:color w:val="986E02" w:themeColor="accent2" w:themeShade="80"/>
                          <w:sz w:val="17"/>
                          <w:szCs w:val="17"/>
                          <w:lang w:eastAsia="ja-JP"/>
                        </w:rPr>
                        <w:t xml:space="preserve"> </w:t>
                      </w:r>
                      <w:r w:rsidR="00077DC3">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v:textbox>
                <w10:wrap type="square" anchorx="page"/>
              </v:shape>
            </w:pict>
          </mc:Fallback>
        </mc:AlternateContent>
      </w: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71E0196B">
            <wp:simplePos x="0" y="0"/>
            <wp:positionH relativeFrom="column">
              <wp:posOffset>-609600</wp:posOffset>
            </wp:positionH>
            <wp:positionV relativeFrom="topMargin">
              <wp:posOffset>57150</wp:posOffset>
            </wp:positionV>
            <wp:extent cx="2371725" cy="828675"/>
            <wp:effectExtent l="0" t="0" r="9525" b="9525"/>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71725" cy="828675"/>
                    </a:xfrm>
                    <a:prstGeom prst="rect">
                      <a:avLst/>
                    </a:prstGeom>
                  </pic:spPr>
                </pic:pic>
              </a:graphicData>
            </a:graphic>
            <wp14:sizeRelH relativeFrom="margin">
              <wp14:pctWidth>0</wp14:pctWidth>
            </wp14:sizeRelH>
            <wp14:sizeRelV relativeFrom="margin">
              <wp14:pctHeight>0</wp14:pctHeight>
            </wp14:sizeRelV>
          </wp:anchor>
        </w:drawing>
      </w:r>
    </w:p>
    <w:p w14:paraId="0B7ABFB5" w14:textId="50D377BC" w:rsidR="00035307" w:rsidRPr="009B2B3A" w:rsidRDefault="005518AB" w:rsidP="009B2B3A">
      <w:pPr>
        <w:spacing w:before="80" w:after="80"/>
        <w:ind w:right="1"/>
        <w:jc w:val="center"/>
        <w:rPr>
          <w:rFonts w:ascii="Segoe UI" w:hAnsi="Segoe UI" w:cs="Segoe UI"/>
          <w:b/>
          <w:bCs/>
          <w:color w:val="000091" w:themeColor="text1"/>
        </w:rPr>
      </w:pPr>
      <w:r w:rsidRPr="009B2B3A">
        <w:rPr>
          <w:rFonts w:ascii="Segoe UI" w:hAnsi="Segoe UI" w:cs="Segoe UI"/>
          <w:b/>
          <w:bCs/>
          <w:color w:val="000091" w:themeColor="text1"/>
          <w:lang w:eastAsia="fr-FR"/>
        </w:rPr>
        <w:t>Suivi du s</w:t>
      </w:r>
      <w:r w:rsidR="00291B26" w:rsidRPr="009B2B3A">
        <w:rPr>
          <w:rFonts w:ascii="Segoe UI" w:hAnsi="Segoe UI" w:cs="Segoe UI"/>
          <w:b/>
          <w:bCs/>
          <w:color w:val="000091" w:themeColor="text1"/>
          <w:lang w:eastAsia="fr-FR"/>
        </w:rPr>
        <w:t>ecteur bancair</w:t>
      </w:r>
      <w:r w:rsidRPr="009B2B3A">
        <w:rPr>
          <w:rFonts w:ascii="Segoe UI" w:hAnsi="Segoe UI" w:cs="Segoe UI"/>
          <w:b/>
          <w:bCs/>
          <w:color w:val="000091" w:themeColor="text1"/>
          <w:lang w:eastAsia="fr-FR"/>
        </w:rPr>
        <w:t xml:space="preserve">e : </w:t>
      </w:r>
      <w:r w:rsidR="009B2B3A">
        <w:rPr>
          <w:rFonts w:ascii="Segoe UI" w:hAnsi="Segoe UI" w:cs="Segoe UI"/>
          <w:b/>
          <w:bCs/>
          <w:color w:val="000091" w:themeColor="text1"/>
          <w:lang w:eastAsia="fr-FR"/>
        </w:rPr>
        <w:t>r</w:t>
      </w:r>
      <w:r w:rsidRPr="009B2B3A">
        <w:rPr>
          <w:rFonts w:ascii="Segoe UI" w:hAnsi="Segoe UI" w:cs="Segoe UI"/>
          <w:b/>
          <w:bCs/>
          <w:color w:val="000091" w:themeColor="text1"/>
          <w:lang w:eastAsia="fr-FR"/>
        </w:rPr>
        <w:t xml:space="preserve">enforcement </w:t>
      </w:r>
      <w:r w:rsidR="00BB1834" w:rsidRPr="009B2B3A">
        <w:rPr>
          <w:rFonts w:ascii="Segoe UI" w:hAnsi="Segoe UI" w:cs="Segoe UI"/>
          <w:b/>
          <w:bCs/>
          <w:color w:val="000091" w:themeColor="text1"/>
          <w:lang w:eastAsia="fr-FR"/>
        </w:rPr>
        <w:t xml:space="preserve">réglementaire </w:t>
      </w:r>
      <w:r w:rsidRPr="009B2B3A">
        <w:rPr>
          <w:rFonts w:ascii="Segoe UI" w:hAnsi="Segoe UI" w:cs="Segoe UI"/>
          <w:b/>
          <w:bCs/>
          <w:color w:val="000091" w:themeColor="text1"/>
          <w:lang w:eastAsia="fr-FR"/>
        </w:rPr>
        <w:t>et évolution de la structure d</w:t>
      </w:r>
      <w:r w:rsidR="009B2B3A">
        <w:rPr>
          <w:rFonts w:ascii="Segoe UI" w:hAnsi="Segoe UI" w:cs="Segoe UI"/>
          <w:b/>
          <w:bCs/>
          <w:color w:val="000091" w:themeColor="text1"/>
          <w:lang w:eastAsia="fr-FR"/>
        </w:rPr>
        <w:t>e</w:t>
      </w:r>
      <w:r w:rsidRPr="009B2B3A">
        <w:rPr>
          <w:rFonts w:ascii="Segoe UI" w:hAnsi="Segoe UI" w:cs="Segoe UI"/>
          <w:b/>
          <w:bCs/>
          <w:color w:val="000091" w:themeColor="text1"/>
          <w:lang w:eastAsia="fr-FR"/>
        </w:rPr>
        <w:t xml:space="preserve"> crédit</w:t>
      </w:r>
    </w:p>
    <w:p w14:paraId="76756BDB" w14:textId="77777777" w:rsidR="009B2B3A" w:rsidRDefault="009B2B3A" w:rsidP="00BB1834">
      <w:pPr>
        <w:pStyle w:val="Sansinterligne"/>
        <w:ind w:left="-284"/>
        <w:jc w:val="both"/>
        <w:rPr>
          <w:rFonts w:ascii="Segoe UI" w:hAnsi="Segoe UI" w:cs="Segoe UI"/>
          <w:i/>
          <w:iCs/>
          <w:color w:val="000091" w:themeColor="text1"/>
          <w:sz w:val="20"/>
          <w:szCs w:val="20"/>
          <w:lang w:eastAsia="fr-FR"/>
        </w:rPr>
      </w:pPr>
    </w:p>
    <w:p w14:paraId="30E3A0D4" w14:textId="069E0012" w:rsidR="00F9212F" w:rsidRDefault="00AA2BE1" w:rsidP="00BB1834">
      <w:pPr>
        <w:pStyle w:val="Sansinterligne"/>
        <w:ind w:left="-284"/>
        <w:jc w:val="both"/>
        <w:rPr>
          <w:rFonts w:ascii="Segoe UI" w:hAnsi="Segoe UI" w:cs="Segoe UI"/>
          <w:i/>
          <w:iCs/>
          <w:color w:val="000091" w:themeColor="text1"/>
          <w:sz w:val="20"/>
          <w:szCs w:val="20"/>
          <w:lang w:eastAsia="fr-FR"/>
        </w:rPr>
      </w:pPr>
      <w:r w:rsidRPr="00CC018D">
        <w:rPr>
          <w:rFonts w:ascii="Segoe UI" w:hAnsi="Segoe UI" w:cs="Segoe UI"/>
          <w:i/>
          <w:iCs/>
          <w:color w:val="000091" w:themeColor="text1"/>
          <w:sz w:val="20"/>
          <w:szCs w:val="20"/>
          <w:lang w:eastAsia="fr-FR"/>
        </w:rPr>
        <w:t xml:space="preserve">Depuis </w:t>
      </w:r>
      <w:r w:rsidR="00B61B7E" w:rsidRPr="00CC018D">
        <w:rPr>
          <w:rFonts w:ascii="Segoe UI" w:hAnsi="Segoe UI" w:cs="Segoe UI"/>
          <w:i/>
          <w:iCs/>
          <w:color w:val="000091" w:themeColor="text1"/>
          <w:sz w:val="20"/>
          <w:szCs w:val="20"/>
          <w:lang w:eastAsia="fr-FR"/>
        </w:rPr>
        <w:t>l’exercice 2023/24</w:t>
      </w:r>
      <w:r w:rsidRPr="00CC018D">
        <w:rPr>
          <w:rFonts w:ascii="Segoe UI" w:hAnsi="Segoe UI" w:cs="Segoe UI"/>
          <w:i/>
          <w:iCs/>
          <w:color w:val="000091" w:themeColor="text1"/>
          <w:sz w:val="20"/>
          <w:szCs w:val="20"/>
          <w:lang w:eastAsia="fr-FR"/>
        </w:rPr>
        <w:t>,</w:t>
      </w:r>
      <w:r w:rsidR="00B61B7E" w:rsidRPr="00CC018D">
        <w:rPr>
          <w:rFonts w:ascii="Segoe UI" w:hAnsi="Segoe UI" w:cs="Segoe UI"/>
          <w:i/>
          <w:iCs/>
          <w:color w:val="000091" w:themeColor="text1"/>
          <w:sz w:val="20"/>
          <w:szCs w:val="20"/>
          <w:lang w:eastAsia="fr-FR"/>
        </w:rPr>
        <w:t xml:space="preserve"> le système bancaire indien</w:t>
      </w:r>
      <w:r w:rsidR="00CC018D">
        <w:rPr>
          <w:rFonts w:ascii="Segoe UI" w:hAnsi="Segoe UI" w:cs="Segoe UI"/>
          <w:i/>
          <w:iCs/>
          <w:color w:val="000091" w:themeColor="text1"/>
          <w:sz w:val="20"/>
          <w:szCs w:val="20"/>
          <w:lang w:eastAsia="fr-FR"/>
        </w:rPr>
        <w:t xml:space="preserve"> </w:t>
      </w:r>
      <w:r w:rsidR="00CC018D" w:rsidRPr="00CC018D">
        <w:rPr>
          <w:rFonts w:ascii="Segoe UI" w:hAnsi="Segoe UI" w:cs="Segoe UI"/>
          <w:i/>
          <w:iCs/>
          <w:color w:val="000091" w:themeColor="text1"/>
          <w:sz w:val="20"/>
          <w:szCs w:val="20"/>
          <w:lang w:eastAsia="fr-FR"/>
        </w:rPr>
        <w:t>évo</w:t>
      </w:r>
      <w:r w:rsidR="00CC018D">
        <w:rPr>
          <w:rFonts w:ascii="Segoe UI" w:hAnsi="Segoe UI" w:cs="Segoe UI"/>
          <w:i/>
          <w:iCs/>
          <w:color w:val="000091" w:themeColor="text1"/>
          <w:sz w:val="20"/>
          <w:szCs w:val="20"/>
          <w:lang w:eastAsia="fr-FR"/>
        </w:rPr>
        <w:t>l</w:t>
      </w:r>
      <w:r w:rsidR="00CC018D" w:rsidRPr="00CC018D">
        <w:rPr>
          <w:rFonts w:ascii="Segoe UI" w:hAnsi="Segoe UI" w:cs="Segoe UI"/>
          <w:i/>
          <w:iCs/>
          <w:color w:val="000091" w:themeColor="text1"/>
          <w:sz w:val="20"/>
          <w:szCs w:val="20"/>
          <w:lang w:eastAsia="fr-FR"/>
        </w:rPr>
        <w:t>ue dans un cadre marqué par des tensions ponctuelle</w:t>
      </w:r>
      <w:r w:rsidR="00B900C1">
        <w:rPr>
          <w:rFonts w:ascii="Segoe UI" w:hAnsi="Segoe UI" w:cs="Segoe UI"/>
          <w:i/>
          <w:iCs/>
          <w:color w:val="000091" w:themeColor="text1"/>
          <w:sz w:val="20"/>
          <w:szCs w:val="20"/>
          <w:lang w:eastAsia="fr-FR"/>
        </w:rPr>
        <w:t>s</w:t>
      </w:r>
      <w:r w:rsidR="00CC018D" w:rsidRPr="00CC018D">
        <w:rPr>
          <w:rFonts w:ascii="Segoe UI" w:hAnsi="Segoe UI" w:cs="Segoe UI"/>
          <w:i/>
          <w:iCs/>
          <w:color w:val="000091" w:themeColor="text1"/>
          <w:sz w:val="20"/>
          <w:szCs w:val="20"/>
          <w:lang w:eastAsia="fr-FR"/>
        </w:rPr>
        <w:t xml:space="preserve"> de liquidité et un resserrement prudentiel de la RBI. Ces évolutions s’inscrivent dans la continuité du processus de consolidation du système bancaire, engagé depuis la crise des actifs non performants</w:t>
      </w:r>
      <w:r w:rsidR="00840B5F">
        <w:rPr>
          <w:rFonts w:ascii="Segoe UI" w:hAnsi="Segoe UI" w:cs="Segoe UI"/>
          <w:i/>
          <w:iCs/>
          <w:color w:val="000091" w:themeColor="text1"/>
          <w:sz w:val="20"/>
          <w:szCs w:val="20"/>
          <w:lang w:eastAsia="fr-FR"/>
        </w:rPr>
        <w:t xml:space="preserve"> </w:t>
      </w:r>
      <w:r w:rsidR="00B42F0B">
        <w:rPr>
          <w:rFonts w:ascii="Segoe UI" w:hAnsi="Segoe UI" w:cs="Segoe UI"/>
          <w:i/>
          <w:iCs/>
          <w:color w:val="000091" w:themeColor="text1"/>
          <w:sz w:val="20"/>
          <w:szCs w:val="20"/>
          <w:lang w:eastAsia="fr-FR"/>
        </w:rPr>
        <w:t>en 2018</w:t>
      </w:r>
      <w:r w:rsidR="00CC018D" w:rsidRPr="00CC018D">
        <w:rPr>
          <w:rFonts w:ascii="Segoe UI" w:hAnsi="Segoe UI" w:cs="Segoe UI"/>
          <w:i/>
          <w:iCs/>
          <w:color w:val="000091" w:themeColor="text1"/>
          <w:sz w:val="20"/>
          <w:szCs w:val="20"/>
          <w:lang w:eastAsia="fr-FR"/>
        </w:rPr>
        <w:t xml:space="preserve"> et la restructuration du secteur des N</w:t>
      </w:r>
      <w:r w:rsidR="009735EA">
        <w:rPr>
          <w:rFonts w:ascii="Segoe UI" w:hAnsi="Segoe UI" w:cs="Segoe UI"/>
          <w:i/>
          <w:iCs/>
          <w:color w:val="000091" w:themeColor="text1"/>
          <w:sz w:val="20"/>
          <w:szCs w:val="20"/>
          <w:lang w:eastAsia="fr-FR"/>
        </w:rPr>
        <w:t>on-</w:t>
      </w:r>
      <w:r w:rsidR="00CC018D" w:rsidRPr="00CC018D">
        <w:rPr>
          <w:rFonts w:ascii="Segoe UI" w:hAnsi="Segoe UI" w:cs="Segoe UI"/>
          <w:i/>
          <w:iCs/>
          <w:color w:val="000091" w:themeColor="text1"/>
          <w:sz w:val="20"/>
          <w:szCs w:val="20"/>
          <w:lang w:eastAsia="fr-FR"/>
        </w:rPr>
        <w:t>B</w:t>
      </w:r>
      <w:r w:rsidR="009735EA">
        <w:rPr>
          <w:rFonts w:ascii="Segoe UI" w:hAnsi="Segoe UI" w:cs="Segoe UI"/>
          <w:i/>
          <w:iCs/>
          <w:color w:val="000091" w:themeColor="text1"/>
          <w:sz w:val="20"/>
          <w:szCs w:val="20"/>
          <w:lang w:eastAsia="fr-FR"/>
        </w:rPr>
        <w:t xml:space="preserve">anking </w:t>
      </w:r>
      <w:r w:rsidR="00CC018D" w:rsidRPr="00CC018D">
        <w:rPr>
          <w:rFonts w:ascii="Segoe UI" w:hAnsi="Segoe UI" w:cs="Segoe UI"/>
          <w:i/>
          <w:iCs/>
          <w:color w:val="000091" w:themeColor="text1"/>
          <w:sz w:val="20"/>
          <w:szCs w:val="20"/>
          <w:lang w:eastAsia="fr-FR"/>
        </w:rPr>
        <w:t>F</w:t>
      </w:r>
      <w:r w:rsidR="009735EA">
        <w:rPr>
          <w:rFonts w:ascii="Segoe UI" w:hAnsi="Segoe UI" w:cs="Segoe UI"/>
          <w:i/>
          <w:iCs/>
          <w:color w:val="000091" w:themeColor="text1"/>
          <w:sz w:val="20"/>
          <w:szCs w:val="20"/>
          <w:lang w:eastAsia="fr-FR"/>
        </w:rPr>
        <w:t xml:space="preserve">inancial </w:t>
      </w:r>
      <w:r w:rsidR="00CC018D" w:rsidRPr="00CC018D">
        <w:rPr>
          <w:rFonts w:ascii="Segoe UI" w:hAnsi="Segoe UI" w:cs="Segoe UI"/>
          <w:i/>
          <w:iCs/>
          <w:color w:val="000091" w:themeColor="text1"/>
          <w:sz w:val="20"/>
          <w:szCs w:val="20"/>
          <w:lang w:eastAsia="fr-FR"/>
        </w:rPr>
        <w:t>C</w:t>
      </w:r>
      <w:r w:rsidR="009735EA">
        <w:rPr>
          <w:rFonts w:ascii="Segoe UI" w:hAnsi="Segoe UI" w:cs="Segoe UI"/>
          <w:i/>
          <w:iCs/>
          <w:color w:val="000091" w:themeColor="text1"/>
          <w:sz w:val="20"/>
          <w:szCs w:val="20"/>
          <w:lang w:eastAsia="fr-FR"/>
        </w:rPr>
        <w:t>orporation (NBFC)</w:t>
      </w:r>
      <w:r w:rsidR="00B42F0B">
        <w:rPr>
          <w:rFonts w:ascii="Segoe UI" w:hAnsi="Segoe UI" w:cs="Segoe UI"/>
          <w:i/>
          <w:iCs/>
          <w:color w:val="000091" w:themeColor="text1"/>
          <w:sz w:val="20"/>
          <w:szCs w:val="20"/>
          <w:lang w:eastAsia="fr-FR"/>
        </w:rPr>
        <w:t xml:space="preserve"> en 2019</w:t>
      </w:r>
      <w:r w:rsidR="00CC018D" w:rsidRPr="00CC018D">
        <w:rPr>
          <w:rFonts w:ascii="Segoe UI" w:hAnsi="Segoe UI" w:cs="Segoe UI"/>
          <w:i/>
          <w:iCs/>
          <w:color w:val="000091" w:themeColor="text1"/>
          <w:sz w:val="20"/>
          <w:szCs w:val="20"/>
          <w:lang w:eastAsia="fr-FR"/>
        </w:rPr>
        <w:t xml:space="preserve">. </w:t>
      </w:r>
      <w:r w:rsidR="00CC018D">
        <w:rPr>
          <w:rFonts w:ascii="Segoe UI" w:hAnsi="Segoe UI" w:cs="Segoe UI"/>
          <w:i/>
          <w:iCs/>
          <w:color w:val="000091" w:themeColor="text1"/>
          <w:sz w:val="20"/>
          <w:szCs w:val="20"/>
          <w:lang w:eastAsia="fr-FR"/>
        </w:rPr>
        <w:t xml:space="preserve">Cette note entend apporter des éléments d’analyse sur la compréhension de la structure du système bancaire indien et du rôle différencié de chaque acteur dans le financement de l’économie. </w:t>
      </w:r>
    </w:p>
    <w:p w14:paraId="09670DB8" w14:textId="77777777" w:rsidR="00BB1834" w:rsidRPr="00BF4ADC" w:rsidRDefault="00BB1834" w:rsidP="00BB1834">
      <w:pPr>
        <w:pStyle w:val="Sansinterligne"/>
        <w:ind w:left="-284"/>
        <w:jc w:val="both"/>
        <w:rPr>
          <w:rFonts w:ascii="Segoe UI" w:hAnsi="Segoe UI" w:cs="Segoe UI"/>
          <w:i/>
          <w:iCs/>
          <w:color w:val="000091" w:themeColor="text1"/>
          <w:sz w:val="20"/>
          <w:szCs w:val="20"/>
          <w:lang w:eastAsia="fr-FR"/>
        </w:rPr>
      </w:pPr>
    </w:p>
    <w:p w14:paraId="0E13BBF8" w14:textId="273F38B2" w:rsidR="00A0489B" w:rsidRPr="00BF4ADC" w:rsidRDefault="007F0D9F" w:rsidP="00BB1834">
      <w:pPr>
        <w:pStyle w:val="Sansinterligne"/>
        <w:spacing w:after="120"/>
        <w:ind w:left="-284"/>
        <w:jc w:val="both"/>
        <w:rPr>
          <w:rStyle w:val="Lienhypertexte"/>
          <w:rFonts w:ascii="Segoe UI" w:hAnsi="Segoe UI" w:cs="Segoe UI"/>
          <w:b/>
          <w:bCs/>
          <w:color w:val="000091" w:themeColor="text1"/>
          <w:szCs w:val="14"/>
          <w:u w:val="none"/>
          <w:lang w:eastAsia="fr-FR"/>
        </w:rPr>
      </w:pPr>
      <w:r w:rsidRPr="00BF4ADC">
        <w:rPr>
          <w:rFonts w:ascii="Segoe UI" w:hAnsi="Segoe UI" w:cs="Segoe UI"/>
          <w:b/>
          <w:bCs/>
          <w:color w:val="000091" w:themeColor="text1"/>
          <w:szCs w:val="14"/>
          <w:lang w:eastAsia="fr-FR"/>
        </w:rPr>
        <w:t xml:space="preserve">     </w:t>
      </w:r>
      <w:r w:rsidR="009F3C77" w:rsidRPr="00BF4ADC">
        <w:rPr>
          <w:rFonts w:ascii="Segoe UI" w:hAnsi="Segoe UI" w:cs="Segoe UI"/>
          <w:b/>
          <w:bCs/>
          <w:color w:val="000091" w:themeColor="text1"/>
          <w:szCs w:val="14"/>
          <w:lang w:eastAsia="fr-FR"/>
        </w:rPr>
        <w:t>I</w:t>
      </w:r>
      <w:r w:rsidR="009B2B3A">
        <w:rPr>
          <w:rFonts w:ascii="Segoe UI" w:hAnsi="Segoe UI" w:cs="Segoe UI"/>
          <w:b/>
          <w:bCs/>
          <w:color w:val="000091" w:themeColor="text1"/>
          <w:szCs w:val="14"/>
          <w:lang w:eastAsia="fr-FR"/>
        </w:rPr>
        <w:t xml:space="preserve"> </w:t>
      </w:r>
      <w:r w:rsidR="009F3C77" w:rsidRPr="00BF4ADC">
        <w:rPr>
          <w:rFonts w:ascii="Segoe UI" w:hAnsi="Segoe UI" w:cs="Segoe UI"/>
          <w:b/>
          <w:bCs/>
          <w:color w:val="000091" w:themeColor="text1"/>
          <w:szCs w:val="14"/>
          <w:lang w:eastAsia="fr-FR"/>
        </w:rPr>
        <w:t xml:space="preserve">/ </w:t>
      </w:r>
      <w:r w:rsidR="002F793A">
        <w:rPr>
          <w:rFonts w:ascii="Segoe UI" w:hAnsi="Segoe UI" w:cs="Segoe UI"/>
          <w:b/>
          <w:bCs/>
          <w:color w:val="000091" w:themeColor="text1"/>
          <w:szCs w:val="14"/>
          <w:lang w:eastAsia="fr-FR"/>
        </w:rPr>
        <w:t xml:space="preserve">Un secteur </w:t>
      </w:r>
      <w:r w:rsidR="00372514">
        <w:rPr>
          <w:rFonts w:ascii="Segoe UI" w:hAnsi="Segoe UI" w:cs="Segoe UI"/>
          <w:b/>
          <w:bCs/>
          <w:color w:val="000091" w:themeColor="text1"/>
          <w:szCs w:val="14"/>
          <w:lang w:eastAsia="fr-FR"/>
        </w:rPr>
        <w:t xml:space="preserve">financier </w:t>
      </w:r>
      <w:r w:rsidR="002F793A">
        <w:rPr>
          <w:rFonts w:ascii="Segoe UI" w:hAnsi="Segoe UI" w:cs="Segoe UI"/>
          <w:b/>
          <w:bCs/>
          <w:color w:val="000091" w:themeColor="text1"/>
          <w:szCs w:val="14"/>
          <w:lang w:eastAsia="fr-FR"/>
        </w:rPr>
        <w:t xml:space="preserve">en expansion dans un cadre prudentiel rigoureux </w:t>
      </w:r>
      <w:r w:rsidR="00372514">
        <w:rPr>
          <w:rFonts w:ascii="Segoe UI" w:hAnsi="Segoe UI" w:cs="Segoe UI"/>
          <w:b/>
          <w:bCs/>
          <w:color w:val="000091" w:themeColor="text1"/>
          <w:szCs w:val="14"/>
          <w:lang w:eastAsia="fr-FR"/>
        </w:rPr>
        <w:t>mais différencié</w:t>
      </w:r>
    </w:p>
    <w:p w14:paraId="602B54A3" w14:textId="6BF4BDFD" w:rsidR="004C40CA" w:rsidRDefault="001E46E9" w:rsidP="00BB1834">
      <w:pPr>
        <w:pStyle w:val="Sansinterligne"/>
        <w:spacing w:after="120"/>
        <w:ind w:left="-284"/>
        <w:jc w:val="both"/>
        <w:rPr>
          <w:rStyle w:val="Lienhypertexte"/>
          <w:rFonts w:ascii="Segoe UI" w:hAnsi="Segoe UI" w:cs="Segoe UI"/>
          <w:color w:val="auto"/>
          <w:sz w:val="20"/>
          <w:szCs w:val="18"/>
          <w:u w:val="none"/>
        </w:rPr>
      </w:pPr>
      <w:r w:rsidRPr="00A0489B">
        <w:rPr>
          <w:rStyle w:val="Lienhypertexte"/>
          <w:rFonts w:ascii="Segoe UI" w:hAnsi="Segoe UI" w:cs="Segoe UI"/>
          <w:b/>
          <w:bCs/>
          <w:color w:val="auto"/>
          <w:sz w:val="20"/>
          <w:szCs w:val="18"/>
          <w:u w:val="none"/>
        </w:rPr>
        <w:t xml:space="preserve">Le système bancaire indien </w:t>
      </w:r>
      <w:r w:rsidR="001B47BF" w:rsidRPr="00A0489B">
        <w:rPr>
          <w:rStyle w:val="Lienhypertexte"/>
          <w:rFonts w:ascii="Segoe UI" w:hAnsi="Segoe UI" w:cs="Segoe UI"/>
          <w:b/>
          <w:bCs/>
          <w:color w:val="auto"/>
          <w:sz w:val="20"/>
          <w:szCs w:val="18"/>
          <w:u w:val="none"/>
        </w:rPr>
        <w:t>est</w:t>
      </w:r>
      <w:r w:rsidR="00F9212F">
        <w:rPr>
          <w:rStyle w:val="Lienhypertexte"/>
          <w:rFonts w:ascii="Segoe UI" w:hAnsi="Segoe UI" w:cs="Segoe UI"/>
          <w:b/>
          <w:bCs/>
          <w:color w:val="auto"/>
          <w:sz w:val="20"/>
          <w:szCs w:val="18"/>
          <w:u w:val="none"/>
        </w:rPr>
        <w:t xml:space="preserve"> </w:t>
      </w:r>
      <w:r w:rsidR="001B47BF" w:rsidRPr="00A0489B">
        <w:rPr>
          <w:rStyle w:val="Lienhypertexte"/>
          <w:rFonts w:ascii="Segoe UI" w:hAnsi="Segoe UI" w:cs="Segoe UI"/>
          <w:b/>
          <w:bCs/>
          <w:color w:val="auto"/>
          <w:sz w:val="20"/>
          <w:szCs w:val="18"/>
          <w:u w:val="none"/>
        </w:rPr>
        <w:t>structuré en plusieurs catégories d’</w:t>
      </w:r>
      <w:r w:rsidR="00145D4C" w:rsidRPr="00A0489B">
        <w:rPr>
          <w:rStyle w:val="Lienhypertexte"/>
          <w:rFonts w:ascii="Segoe UI" w:hAnsi="Segoe UI" w:cs="Segoe UI"/>
          <w:b/>
          <w:bCs/>
          <w:color w:val="auto"/>
          <w:sz w:val="20"/>
          <w:szCs w:val="18"/>
          <w:u w:val="none"/>
        </w:rPr>
        <w:t>institutions</w:t>
      </w:r>
      <w:r w:rsidR="001B47BF">
        <w:rPr>
          <w:rStyle w:val="Lienhypertexte"/>
          <w:rFonts w:ascii="Segoe UI" w:hAnsi="Segoe UI" w:cs="Segoe UI"/>
          <w:color w:val="auto"/>
          <w:sz w:val="20"/>
          <w:szCs w:val="18"/>
          <w:u w:val="none"/>
        </w:rPr>
        <w:t xml:space="preserve">, dont certaines relèvent directement du statut de </w:t>
      </w:r>
      <w:proofErr w:type="spellStart"/>
      <w:r w:rsidR="008751DD" w:rsidRPr="00B42F0B">
        <w:rPr>
          <w:rStyle w:val="Lienhypertexte"/>
          <w:rFonts w:ascii="Segoe UI" w:hAnsi="Segoe UI" w:cs="Segoe UI"/>
          <w:b/>
          <w:bCs/>
          <w:i/>
          <w:iCs/>
          <w:color w:val="auto"/>
          <w:sz w:val="20"/>
          <w:szCs w:val="18"/>
          <w:u w:val="none"/>
        </w:rPr>
        <w:t>Scheduled</w:t>
      </w:r>
      <w:proofErr w:type="spellEnd"/>
      <w:r w:rsidR="008751DD" w:rsidRPr="00B42F0B">
        <w:rPr>
          <w:rStyle w:val="Lienhypertexte"/>
          <w:rFonts w:ascii="Segoe UI" w:hAnsi="Segoe UI" w:cs="Segoe UI"/>
          <w:b/>
          <w:bCs/>
          <w:i/>
          <w:iCs/>
          <w:color w:val="auto"/>
          <w:sz w:val="20"/>
          <w:szCs w:val="18"/>
          <w:u w:val="none"/>
        </w:rPr>
        <w:t xml:space="preserve"> Banks</w:t>
      </w:r>
      <w:r w:rsidR="001B47BF">
        <w:rPr>
          <w:rStyle w:val="Lienhypertexte"/>
          <w:rFonts w:ascii="Segoe UI" w:hAnsi="Segoe UI" w:cs="Segoe UI"/>
          <w:i/>
          <w:iCs/>
          <w:color w:val="auto"/>
          <w:sz w:val="20"/>
          <w:szCs w:val="18"/>
          <w:u w:val="none"/>
        </w:rPr>
        <w:t xml:space="preserve"> </w:t>
      </w:r>
      <w:r w:rsidR="001B47BF">
        <w:rPr>
          <w:rStyle w:val="Lienhypertexte"/>
          <w:rFonts w:ascii="Segoe UI" w:hAnsi="Segoe UI" w:cs="Segoe UI"/>
          <w:color w:val="auto"/>
          <w:sz w:val="20"/>
          <w:szCs w:val="18"/>
          <w:u w:val="none"/>
        </w:rPr>
        <w:t>défini</w:t>
      </w:r>
      <w:r w:rsidR="008751DD">
        <w:rPr>
          <w:rStyle w:val="Lienhypertexte"/>
          <w:rFonts w:ascii="Segoe UI" w:hAnsi="Segoe UI" w:cs="Segoe UI"/>
          <w:color w:val="auto"/>
          <w:sz w:val="20"/>
          <w:szCs w:val="18"/>
          <w:u w:val="none"/>
        </w:rPr>
        <w:t xml:space="preserve"> par le </w:t>
      </w:r>
      <w:r w:rsidR="008751DD" w:rsidRPr="008751DD">
        <w:rPr>
          <w:rStyle w:val="Lienhypertexte"/>
          <w:rFonts w:ascii="Segoe UI" w:hAnsi="Segoe UI" w:cs="Segoe UI"/>
          <w:i/>
          <w:iCs/>
          <w:color w:val="auto"/>
          <w:sz w:val="20"/>
          <w:szCs w:val="18"/>
          <w:u w:val="none"/>
        </w:rPr>
        <w:t xml:space="preserve">Reserve Bank of India </w:t>
      </w:r>
      <w:proofErr w:type="spellStart"/>
      <w:r w:rsidR="008751DD" w:rsidRPr="008751DD">
        <w:rPr>
          <w:rStyle w:val="Lienhypertexte"/>
          <w:rFonts w:ascii="Segoe UI" w:hAnsi="Segoe UI" w:cs="Segoe UI"/>
          <w:i/>
          <w:iCs/>
          <w:color w:val="auto"/>
          <w:sz w:val="20"/>
          <w:szCs w:val="18"/>
          <w:u w:val="none"/>
        </w:rPr>
        <w:t>Act</w:t>
      </w:r>
      <w:proofErr w:type="spellEnd"/>
      <w:r w:rsidR="008751DD">
        <w:rPr>
          <w:rStyle w:val="Lienhypertexte"/>
          <w:rFonts w:ascii="Segoe UI" w:hAnsi="Segoe UI" w:cs="Segoe UI"/>
          <w:color w:val="auto"/>
          <w:sz w:val="20"/>
          <w:szCs w:val="18"/>
          <w:u w:val="none"/>
        </w:rPr>
        <w:t xml:space="preserve">. </w:t>
      </w:r>
      <w:r w:rsidR="006029F9" w:rsidRPr="006029F9">
        <w:rPr>
          <w:rStyle w:val="Lienhypertexte"/>
          <w:rFonts w:ascii="Segoe UI" w:hAnsi="Segoe UI" w:cs="Segoe UI"/>
          <w:color w:val="auto"/>
          <w:sz w:val="20"/>
          <w:szCs w:val="18"/>
          <w:u w:val="none"/>
        </w:rPr>
        <w:t xml:space="preserve">Ces </w:t>
      </w:r>
      <w:r w:rsidR="008751DD">
        <w:rPr>
          <w:rStyle w:val="Lienhypertexte"/>
          <w:rFonts w:ascii="Segoe UI" w:hAnsi="Segoe UI" w:cs="Segoe UI"/>
          <w:color w:val="auto"/>
          <w:sz w:val="20"/>
          <w:szCs w:val="18"/>
          <w:u w:val="none"/>
        </w:rPr>
        <w:t>établissements</w:t>
      </w:r>
      <w:r w:rsidR="006029F9" w:rsidRPr="006029F9">
        <w:rPr>
          <w:rStyle w:val="Lienhypertexte"/>
          <w:rFonts w:ascii="Segoe UI" w:hAnsi="Segoe UI" w:cs="Segoe UI"/>
          <w:color w:val="auto"/>
          <w:sz w:val="20"/>
          <w:szCs w:val="18"/>
          <w:u w:val="none"/>
        </w:rPr>
        <w:t xml:space="preserve">, </w:t>
      </w:r>
      <w:r w:rsidR="00F130AA">
        <w:rPr>
          <w:rStyle w:val="Lienhypertexte"/>
          <w:rFonts w:ascii="Segoe UI" w:hAnsi="Segoe UI" w:cs="Segoe UI"/>
          <w:color w:val="auto"/>
          <w:sz w:val="20"/>
          <w:szCs w:val="18"/>
          <w:u w:val="none"/>
        </w:rPr>
        <w:t xml:space="preserve">placés sous la supervision de la RBI, sont soumis </w:t>
      </w:r>
      <w:r w:rsidR="006029F9" w:rsidRPr="008644E6">
        <w:rPr>
          <w:rStyle w:val="Lienhypertexte"/>
          <w:rFonts w:ascii="Segoe UI" w:hAnsi="Segoe UI" w:cs="Segoe UI"/>
          <w:color w:val="auto"/>
          <w:sz w:val="20"/>
          <w:szCs w:val="18"/>
          <w:u w:val="none"/>
        </w:rPr>
        <w:t xml:space="preserve">à des exigences strictes </w:t>
      </w:r>
      <w:r w:rsidR="00F130AA">
        <w:rPr>
          <w:rStyle w:val="Lienhypertexte"/>
          <w:rFonts w:ascii="Segoe UI" w:hAnsi="Segoe UI" w:cs="Segoe UI"/>
          <w:color w:val="auto"/>
          <w:sz w:val="20"/>
          <w:szCs w:val="18"/>
          <w:u w:val="none"/>
        </w:rPr>
        <w:t xml:space="preserve">en matière </w:t>
      </w:r>
      <w:r w:rsidR="006029F9" w:rsidRPr="008644E6">
        <w:rPr>
          <w:rStyle w:val="Lienhypertexte"/>
          <w:rFonts w:ascii="Segoe UI" w:hAnsi="Segoe UI" w:cs="Segoe UI"/>
          <w:color w:val="auto"/>
          <w:sz w:val="20"/>
          <w:szCs w:val="18"/>
          <w:u w:val="none"/>
        </w:rPr>
        <w:t>de capitalisation et de solvabilité</w:t>
      </w:r>
      <w:r w:rsidR="00F130AA">
        <w:rPr>
          <w:rStyle w:val="Lienhypertexte"/>
          <w:rFonts w:ascii="Segoe UI" w:hAnsi="Segoe UI" w:cs="Segoe UI"/>
          <w:color w:val="auto"/>
          <w:sz w:val="20"/>
          <w:szCs w:val="18"/>
          <w:u w:val="none"/>
        </w:rPr>
        <w:t xml:space="preserve">. En contrepartie, ils </w:t>
      </w:r>
      <w:r w:rsidR="008751DD">
        <w:rPr>
          <w:rStyle w:val="Lienhypertexte"/>
          <w:rFonts w:ascii="Segoe UI" w:hAnsi="Segoe UI" w:cs="Segoe UI"/>
          <w:color w:val="auto"/>
          <w:sz w:val="20"/>
          <w:szCs w:val="18"/>
          <w:u w:val="none"/>
        </w:rPr>
        <w:t>bénéficient</w:t>
      </w:r>
      <w:r w:rsidR="006029F9" w:rsidRPr="006029F9">
        <w:rPr>
          <w:rStyle w:val="Lienhypertexte"/>
          <w:rFonts w:ascii="Segoe UI" w:hAnsi="Segoe UI" w:cs="Segoe UI"/>
          <w:color w:val="auto"/>
          <w:sz w:val="20"/>
          <w:szCs w:val="18"/>
          <w:u w:val="none"/>
        </w:rPr>
        <w:t xml:space="preserve"> d’un accès direct aux facilités de refinancement et d’intervention de la RBI</w:t>
      </w:r>
      <w:r w:rsidR="001B48DE">
        <w:rPr>
          <w:rStyle w:val="Lienhypertexte"/>
          <w:rFonts w:ascii="Segoe UI" w:hAnsi="Segoe UI" w:cs="Segoe UI"/>
          <w:color w:val="auto"/>
          <w:sz w:val="20"/>
          <w:szCs w:val="18"/>
          <w:u w:val="none"/>
        </w:rPr>
        <w:t xml:space="preserve">. </w:t>
      </w:r>
      <w:r w:rsidR="00FB6709">
        <w:rPr>
          <w:rStyle w:val="Lienhypertexte"/>
          <w:rFonts w:ascii="Segoe UI" w:hAnsi="Segoe UI" w:cs="Segoe UI"/>
          <w:color w:val="auto"/>
          <w:sz w:val="20"/>
          <w:szCs w:val="18"/>
          <w:u w:val="none"/>
        </w:rPr>
        <w:t xml:space="preserve"> </w:t>
      </w:r>
      <w:r w:rsidR="00F130AA">
        <w:rPr>
          <w:rStyle w:val="Lienhypertexte"/>
          <w:rFonts w:ascii="Segoe UI" w:hAnsi="Segoe UI" w:cs="Segoe UI"/>
          <w:color w:val="auto"/>
          <w:sz w:val="20"/>
          <w:szCs w:val="18"/>
          <w:u w:val="none"/>
        </w:rPr>
        <w:t>Au sein des Schedule Banks</w:t>
      </w:r>
      <w:r w:rsidR="006029F9">
        <w:rPr>
          <w:rStyle w:val="Lienhypertexte"/>
          <w:rFonts w:ascii="Segoe UI" w:hAnsi="Segoe UI" w:cs="Segoe UI"/>
          <w:color w:val="auto"/>
          <w:sz w:val="20"/>
          <w:szCs w:val="18"/>
          <w:u w:val="none"/>
        </w:rPr>
        <w:t xml:space="preserve">, les </w:t>
      </w:r>
      <w:proofErr w:type="spellStart"/>
      <w:r w:rsidR="006029F9" w:rsidRPr="006029F9">
        <w:rPr>
          <w:rStyle w:val="Lienhypertexte"/>
          <w:rFonts w:ascii="Segoe UI" w:hAnsi="Segoe UI" w:cs="Segoe UI"/>
          <w:i/>
          <w:iCs/>
          <w:color w:val="auto"/>
          <w:sz w:val="20"/>
          <w:szCs w:val="18"/>
          <w:u w:val="none"/>
        </w:rPr>
        <w:t>Scheduled</w:t>
      </w:r>
      <w:proofErr w:type="spellEnd"/>
      <w:r w:rsidR="006029F9" w:rsidRPr="006029F9">
        <w:rPr>
          <w:rStyle w:val="Lienhypertexte"/>
          <w:rFonts w:ascii="Segoe UI" w:hAnsi="Segoe UI" w:cs="Segoe UI"/>
          <w:i/>
          <w:iCs/>
          <w:color w:val="auto"/>
          <w:sz w:val="20"/>
          <w:szCs w:val="18"/>
          <w:u w:val="none"/>
        </w:rPr>
        <w:t xml:space="preserve"> Commercial Banks</w:t>
      </w:r>
      <w:r w:rsidR="006029F9">
        <w:rPr>
          <w:rStyle w:val="Lienhypertexte"/>
          <w:rFonts w:ascii="Segoe UI" w:hAnsi="Segoe UI" w:cs="Segoe UI"/>
          <w:color w:val="auto"/>
          <w:sz w:val="20"/>
          <w:szCs w:val="18"/>
          <w:u w:val="none"/>
        </w:rPr>
        <w:t xml:space="preserve"> (</w:t>
      </w:r>
      <w:proofErr w:type="spellStart"/>
      <w:r w:rsidR="006029F9">
        <w:rPr>
          <w:rStyle w:val="Lienhypertexte"/>
          <w:rFonts w:ascii="Segoe UI" w:hAnsi="Segoe UI" w:cs="Segoe UI"/>
          <w:color w:val="auto"/>
          <w:sz w:val="20"/>
          <w:szCs w:val="18"/>
          <w:u w:val="none"/>
        </w:rPr>
        <w:t>SCBs</w:t>
      </w:r>
      <w:proofErr w:type="spellEnd"/>
      <w:r w:rsidR="006029F9">
        <w:rPr>
          <w:rStyle w:val="Lienhypertexte"/>
          <w:rFonts w:ascii="Segoe UI" w:hAnsi="Segoe UI" w:cs="Segoe UI"/>
          <w:color w:val="auto"/>
          <w:sz w:val="20"/>
          <w:szCs w:val="18"/>
          <w:u w:val="none"/>
        </w:rPr>
        <w:t>)</w:t>
      </w:r>
      <w:r w:rsidR="00FB6709">
        <w:rPr>
          <w:rStyle w:val="Lienhypertexte"/>
          <w:rFonts w:ascii="Segoe UI" w:hAnsi="Segoe UI" w:cs="Segoe UI"/>
          <w:color w:val="auto"/>
          <w:sz w:val="20"/>
          <w:szCs w:val="18"/>
          <w:u w:val="none"/>
        </w:rPr>
        <w:t xml:space="preserve"> </w:t>
      </w:r>
      <w:r w:rsidR="00F130AA">
        <w:rPr>
          <w:rStyle w:val="Lienhypertexte"/>
          <w:rFonts w:ascii="Segoe UI" w:hAnsi="Segoe UI" w:cs="Segoe UI"/>
          <w:color w:val="auto"/>
          <w:sz w:val="20"/>
          <w:szCs w:val="18"/>
          <w:u w:val="none"/>
        </w:rPr>
        <w:t xml:space="preserve">constituent le cœur du système financier et </w:t>
      </w:r>
      <w:r w:rsidR="00643E84">
        <w:rPr>
          <w:rStyle w:val="Lienhypertexte"/>
          <w:rFonts w:ascii="Segoe UI" w:hAnsi="Segoe UI" w:cs="Segoe UI"/>
          <w:color w:val="auto"/>
          <w:sz w:val="20"/>
          <w:szCs w:val="18"/>
          <w:u w:val="none"/>
        </w:rPr>
        <w:t xml:space="preserve">se </w:t>
      </w:r>
      <w:r w:rsidR="00F130AA">
        <w:rPr>
          <w:rStyle w:val="Lienhypertexte"/>
          <w:rFonts w:ascii="Segoe UI" w:hAnsi="Segoe UI" w:cs="Segoe UI"/>
          <w:color w:val="auto"/>
          <w:sz w:val="20"/>
          <w:szCs w:val="18"/>
          <w:u w:val="none"/>
        </w:rPr>
        <w:t>répartissent en quatre groupes</w:t>
      </w:r>
      <w:r w:rsidR="00643E84">
        <w:rPr>
          <w:rStyle w:val="Lienhypertexte"/>
          <w:rFonts w:ascii="Segoe UI" w:hAnsi="Segoe UI" w:cs="Segoe UI"/>
          <w:color w:val="auto"/>
          <w:sz w:val="20"/>
          <w:szCs w:val="18"/>
          <w:u w:val="none"/>
        </w:rPr>
        <w:t xml:space="preserve"> : (i) </w:t>
      </w:r>
      <w:r w:rsidR="00643E84" w:rsidRPr="00291B26">
        <w:rPr>
          <w:rStyle w:val="Lienhypertexte"/>
          <w:rFonts w:ascii="Segoe UI" w:hAnsi="Segoe UI" w:cs="Segoe UI"/>
          <w:b/>
          <w:bCs/>
          <w:color w:val="auto"/>
          <w:sz w:val="20"/>
          <w:szCs w:val="18"/>
          <w:u w:val="none"/>
        </w:rPr>
        <w:t>les banques publiques,</w:t>
      </w:r>
      <w:r w:rsidR="00643E84">
        <w:rPr>
          <w:rStyle w:val="Lienhypertexte"/>
          <w:rFonts w:ascii="Segoe UI" w:hAnsi="Segoe UI" w:cs="Segoe UI"/>
          <w:color w:val="auto"/>
          <w:sz w:val="20"/>
          <w:szCs w:val="18"/>
          <w:u w:val="none"/>
        </w:rPr>
        <w:t xml:space="preserve"> détenues à plus de 50% par l’Etat indien, centrales dans la distribution de crédit</w:t>
      </w:r>
      <w:r w:rsidR="001C08B8">
        <w:rPr>
          <w:rStyle w:val="Lienhypertexte"/>
          <w:rFonts w:ascii="Segoe UI" w:hAnsi="Segoe UI" w:cs="Segoe UI"/>
          <w:color w:val="auto"/>
          <w:sz w:val="20"/>
          <w:szCs w:val="18"/>
          <w:u w:val="none"/>
        </w:rPr>
        <w:t xml:space="preserve"> et</w:t>
      </w:r>
      <w:r w:rsidR="00643E84">
        <w:rPr>
          <w:rStyle w:val="Lienhypertexte"/>
          <w:rFonts w:ascii="Segoe UI" w:hAnsi="Segoe UI" w:cs="Segoe UI"/>
          <w:color w:val="auto"/>
          <w:sz w:val="20"/>
          <w:szCs w:val="18"/>
          <w:u w:val="none"/>
        </w:rPr>
        <w:t xml:space="preserve"> </w:t>
      </w:r>
      <w:r w:rsidR="001C08B8">
        <w:rPr>
          <w:rStyle w:val="Lienhypertexte"/>
          <w:rFonts w:ascii="Segoe UI" w:hAnsi="Segoe UI" w:cs="Segoe UI"/>
          <w:color w:val="auto"/>
          <w:sz w:val="20"/>
          <w:szCs w:val="18"/>
          <w:u w:val="none"/>
        </w:rPr>
        <w:t>représentant</w:t>
      </w:r>
      <w:r w:rsidR="00643E84">
        <w:rPr>
          <w:rStyle w:val="Lienhypertexte"/>
          <w:rFonts w:ascii="Segoe UI" w:hAnsi="Segoe UI" w:cs="Segoe UI"/>
          <w:color w:val="auto"/>
          <w:sz w:val="20"/>
          <w:szCs w:val="18"/>
          <w:u w:val="none"/>
        </w:rPr>
        <w:t xml:space="preserve"> 56% des actifs </w:t>
      </w:r>
      <w:r w:rsidR="00ED6DB9">
        <w:rPr>
          <w:rStyle w:val="Lienhypertexte"/>
          <w:rFonts w:ascii="Segoe UI" w:hAnsi="Segoe UI" w:cs="Segoe UI"/>
          <w:color w:val="auto"/>
          <w:sz w:val="20"/>
          <w:szCs w:val="18"/>
          <w:u w:val="none"/>
        </w:rPr>
        <w:t xml:space="preserve">et </w:t>
      </w:r>
      <w:r w:rsidR="00643E84">
        <w:rPr>
          <w:rStyle w:val="Lienhypertexte"/>
          <w:rFonts w:ascii="Segoe UI" w:hAnsi="Segoe UI" w:cs="Segoe UI"/>
          <w:color w:val="auto"/>
          <w:sz w:val="20"/>
          <w:szCs w:val="18"/>
          <w:u w:val="none"/>
        </w:rPr>
        <w:t>du crédit en 2024/25</w:t>
      </w:r>
      <w:r w:rsidR="0007329A">
        <w:rPr>
          <w:rStyle w:val="Lienhypertexte"/>
          <w:rFonts w:ascii="Segoe UI" w:hAnsi="Segoe UI" w:cs="Segoe UI"/>
          <w:color w:val="auto"/>
          <w:sz w:val="20"/>
          <w:szCs w:val="18"/>
          <w:u w:val="none"/>
        </w:rPr>
        <w:t xml:space="preserve"> ; </w:t>
      </w:r>
      <w:r w:rsidR="00643E84">
        <w:rPr>
          <w:rStyle w:val="Lienhypertexte"/>
          <w:rFonts w:ascii="Segoe UI" w:hAnsi="Segoe UI" w:cs="Segoe UI"/>
          <w:color w:val="auto"/>
          <w:sz w:val="20"/>
          <w:szCs w:val="18"/>
          <w:u w:val="none"/>
        </w:rPr>
        <w:t xml:space="preserve">(ii) </w:t>
      </w:r>
      <w:r w:rsidR="00643E84" w:rsidRPr="00291B26">
        <w:rPr>
          <w:rStyle w:val="Lienhypertexte"/>
          <w:rFonts w:ascii="Segoe UI" w:hAnsi="Segoe UI" w:cs="Segoe UI"/>
          <w:b/>
          <w:bCs/>
          <w:color w:val="auto"/>
          <w:sz w:val="20"/>
          <w:szCs w:val="18"/>
          <w:u w:val="none"/>
        </w:rPr>
        <w:t>les banques privées</w:t>
      </w:r>
      <w:r w:rsidR="00643E84">
        <w:rPr>
          <w:rStyle w:val="Lienhypertexte"/>
          <w:rFonts w:ascii="Segoe UI" w:hAnsi="Segoe UI" w:cs="Segoe UI"/>
          <w:color w:val="auto"/>
          <w:sz w:val="20"/>
          <w:szCs w:val="18"/>
          <w:u w:val="none"/>
        </w:rPr>
        <w:t xml:space="preserve">, en forte </w:t>
      </w:r>
      <w:r w:rsidR="00B647C3">
        <w:rPr>
          <w:rStyle w:val="Lienhypertexte"/>
          <w:rFonts w:ascii="Segoe UI" w:hAnsi="Segoe UI" w:cs="Segoe UI"/>
          <w:color w:val="auto"/>
          <w:sz w:val="20"/>
          <w:szCs w:val="18"/>
          <w:u w:val="none"/>
        </w:rPr>
        <w:t>expansion</w:t>
      </w:r>
      <w:r w:rsidR="00643E84">
        <w:rPr>
          <w:rStyle w:val="Lienhypertexte"/>
          <w:rFonts w:ascii="Segoe UI" w:hAnsi="Segoe UI" w:cs="Segoe UI"/>
          <w:color w:val="auto"/>
          <w:sz w:val="20"/>
          <w:szCs w:val="18"/>
          <w:u w:val="none"/>
        </w:rPr>
        <w:t xml:space="preserve"> depuis la libéralisation des années 1990, </w:t>
      </w:r>
      <w:r w:rsidR="00B647C3">
        <w:rPr>
          <w:rStyle w:val="Lienhypertexte"/>
          <w:rFonts w:ascii="Segoe UI" w:hAnsi="Segoe UI" w:cs="Segoe UI"/>
          <w:color w:val="auto"/>
          <w:sz w:val="20"/>
          <w:szCs w:val="18"/>
          <w:u w:val="none"/>
        </w:rPr>
        <w:t>détenant</w:t>
      </w:r>
      <w:r w:rsidR="00643E84">
        <w:rPr>
          <w:rStyle w:val="Lienhypertexte"/>
          <w:rFonts w:ascii="Segoe UI" w:hAnsi="Segoe UI" w:cs="Segoe UI"/>
          <w:color w:val="auto"/>
          <w:sz w:val="20"/>
          <w:szCs w:val="18"/>
          <w:u w:val="none"/>
        </w:rPr>
        <w:t xml:space="preserve"> désormais 38% des actifs et 41% du crédit, contre 22% en 2014/15</w:t>
      </w:r>
      <w:r w:rsidR="0007329A">
        <w:rPr>
          <w:rStyle w:val="Lienhypertexte"/>
          <w:rFonts w:ascii="Segoe UI" w:hAnsi="Segoe UI" w:cs="Segoe UI"/>
          <w:color w:val="auto"/>
          <w:sz w:val="20"/>
          <w:szCs w:val="18"/>
          <w:u w:val="none"/>
        </w:rPr>
        <w:t> ;</w:t>
      </w:r>
      <w:r w:rsidR="00643E84">
        <w:rPr>
          <w:rStyle w:val="Lienhypertexte"/>
          <w:rFonts w:ascii="Segoe UI" w:hAnsi="Segoe UI" w:cs="Segoe UI"/>
          <w:color w:val="auto"/>
          <w:sz w:val="20"/>
          <w:szCs w:val="18"/>
          <w:u w:val="none"/>
        </w:rPr>
        <w:t xml:space="preserve"> (iii) </w:t>
      </w:r>
      <w:r w:rsidR="00643E84" w:rsidRPr="00291B26">
        <w:rPr>
          <w:rStyle w:val="Lienhypertexte"/>
          <w:rFonts w:ascii="Segoe UI" w:hAnsi="Segoe UI" w:cs="Segoe UI"/>
          <w:b/>
          <w:bCs/>
          <w:color w:val="auto"/>
          <w:sz w:val="20"/>
          <w:szCs w:val="18"/>
          <w:u w:val="none"/>
        </w:rPr>
        <w:t>les banques étrangères</w:t>
      </w:r>
      <w:r w:rsidR="00643E84">
        <w:rPr>
          <w:rStyle w:val="Lienhypertexte"/>
          <w:rFonts w:ascii="Segoe UI" w:hAnsi="Segoe UI" w:cs="Segoe UI"/>
          <w:color w:val="auto"/>
          <w:sz w:val="20"/>
          <w:szCs w:val="18"/>
          <w:u w:val="none"/>
        </w:rPr>
        <w:t>, dont la part dans les actifs et crédit reste limitée à 6%</w:t>
      </w:r>
      <w:r w:rsidR="0007329A">
        <w:rPr>
          <w:rStyle w:val="Lienhypertexte"/>
          <w:rFonts w:ascii="Segoe UI" w:hAnsi="Segoe UI" w:cs="Segoe UI"/>
          <w:color w:val="auto"/>
          <w:sz w:val="20"/>
          <w:szCs w:val="18"/>
          <w:u w:val="none"/>
        </w:rPr>
        <w:t> ;</w:t>
      </w:r>
      <w:r w:rsidR="00643E84">
        <w:rPr>
          <w:rStyle w:val="Lienhypertexte"/>
          <w:rFonts w:ascii="Segoe UI" w:hAnsi="Segoe UI" w:cs="Segoe UI"/>
          <w:color w:val="auto"/>
          <w:sz w:val="20"/>
          <w:szCs w:val="18"/>
          <w:u w:val="none"/>
        </w:rPr>
        <w:t xml:space="preserve"> et (iv) </w:t>
      </w:r>
      <w:r w:rsidR="00643E84" w:rsidRPr="00291B26">
        <w:rPr>
          <w:rStyle w:val="Lienhypertexte"/>
          <w:rFonts w:ascii="Segoe UI" w:hAnsi="Segoe UI" w:cs="Segoe UI"/>
          <w:b/>
          <w:bCs/>
          <w:color w:val="auto"/>
          <w:sz w:val="20"/>
          <w:szCs w:val="18"/>
          <w:u w:val="none"/>
        </w:rPr>
        <w:t>les banques rurales</w:t>
      </w:r>
      <w:r w:rsidR="00643E84">
        <w:rPr>
          <w:rStyle w:val="Lienhypertexte"/>
          <w:rFonts w:ascii="Segoe UI" w:hAnsi="Segoe UI" w:cs="Segoe UI"/>
          <w:color w:val="auto"/>
          <w:sz w:val="20"/>
          <w:szCs w:val="18"/>
          <w:u w:val="none"/>
        </w:rPr>
        <w:t xml:space="preserve">, </w:t>
      </w:r>
      <w:r w:rsidR="00A97755">
        <w:rPr>
          <w:rStyle w:val="Lienhypertexte"/>
          <w:rFonts w:ascii="Segoe UI" w:hAnsi="Segoe UI" w:cs="Segoe UI"/>
          <w:color w:val="auto"/>
          <w:sz w:val="20"/>
          <w:szCs w:val="18"/>
          <w:u w:val="none"/>
        </w:rPr>
        <w:t>créées pour soutenir le crédit rural</w:t>
      </w:r>
      <w:r w:rsidR="004C40CA">
        <w:rPr>
          <w:rStyle w:val="Appeldenotedefin"/>
          <w:rFonts w:ascii="Segoe UI" w:hAnsi="Segoe UI" w:cs="Segoe UI"/>
          <w:sz w:val="20"/>
          <w:szCs w:val="18"/>
        </w:rPr>
        <w:endnoteReference w:id="1"/>
      </w:r>
      <w:r w:rsidR="004C40CA" w:rsidRPr="00014AB2">
        <w:rPr>
          <w:rStyle w:val="Lienhypertexte"/>
          <w:rFonts w:ascii="Segoe UI" w:hAnsi="Segoe UI" w:cs="Segoe UI"/>
          <w:color w:val="auto"/>
          <w:sz w:val="20"/>
          <w:szCs w:val="18"/>
          <w:u w:val="none"/>
        </w:rPr>
        <w:t xml:space="preserve">.  </w:t>
      </w:r>
    </w:p>
    <w:p w14:paraId="39663D4A" w14:textId="6B8CCF41" w:rsidR="004C40CA" w:rsidRDefault="004C40CA" w:rsidP="004C09EE">
      <w:pPr>
        <w:pStyle w:val="Sansinterligne"/>
        <w:ind w:left="-284"/>
        <w:jc w:val="both"/>
        <w:rPr>
          <w:rStyle w:val="Lienhypertexte"/>
          <w:rFonts w:ascii="Segoe UI" w:hAnsi="Segoe UI" w:cs="Segoe UI"/>
          <w:color w:val="auto"/>
          <w:sz w:val="20"/>
          <w:szCs w:val="18"/>
          <w:u w:val="none"/>
        </w:rPr>
      </w:pPr>
      <w:r>
        <w:rPr>
          <w:rStyle w:val="Lienhypertexte"/>
          <w:rFonts w:ascii="Segoe UI" w:hAnsi="Segoe UI" w:cs="Segoe UI"/>
          <w:color w:val="auto"/>
          <w:sz w:val="20"/>
          <w:szCs w:val="18"/>
          <w:u w:val="none"/>
        </w:rPr>
        <w:t xml:space="preserve">A ces acteurs s’ajoutent </w:t>
      </w:r>
      <w:r w:rsidRPr="009A5661">
        <w:rPr>
          <w:rStyle w:val="Lienhypertexte"/>
          <w:rFonts w:ascii="Segoe UI" w:hAnsi="Segoe UI" w:cs="Segoe UI"/>
          <w:b/>
          <w:bCs/>
          <w:color w:val="auto"/>
          <w:sz w:val="20"/>
          <w:szCs w:val="18"/>
          <w:u w:val="none"/>
        </w:rPr>
        <w:t xml:space="preserve">les institutions non inscrites au statut de </w:t>
      </w:r>
      <w:proofErr w:type="spellStart"/>
      <w:r w:rsidRPr="009A5661">
        <w:rPr>
          <w:rStyle w:val="Lienhypertexte"/>
          <w:rFonts w:ascii="Segoe UI" w:hAnsi="Segoe UI" w:cs="Segoe UI"/>
          <w:b/>
          <w:bCs/>
          <w:i/>
          <w:iCs/>
          <w:color w:val="auto"/>
          <w:sz w:val="20"/>
          <w:szCs w:val="18"/>
          <w:u w:val="none"/>
        </w:rPr>
        <w:t>Scheduled</w:t>
      </w:r>
      <w:proofErr w:type="spellEnd"/>
      <w:r w:rsidRPr="009A5661">
        <w:rPr>
          <w:rStyle w:val="Lienhypertexte"/>
          <w:rFonts w:ascii="Segoe UI" w:hAnsi="Segoe UI" w:cs="Segoe UI"/>
          <w:b/>
          <w:bCs/>
          <w:i/>
          <w:iCs/>
          <w:color w:val="auto"/>
          <w:sz w:val="20"/>
          <w:szCs w:val="18"/>
          <w:u w:val="none"/>
        </w:rPr>
        <w:t xml:space="preserve"> Banks</w:t>
      </w:r>
      <w:r w:rsidRPr="003B4D8A">
        <w:rPr>
          <w:rStyle w:val="Lienhypertexte"/>
          <w:rFonts w:ascii="Segoe UI" w:hAnsi="Segoe UI" w:cs="Segoe UI"/>
          <w:color w:val="auto"/>
          <w:sz w:val="20"/>
          <w:szCs w:val="18"/>
          <w:u w:val="none"/>
        </w:rPr>
        <w:t>,</w:t>
      </w:r>
      <w:r>
        <w:rPr>
          <w:rStyle w:val="Lienhypertexte"/>
          <w:rFonts w:ascii="Segoe UI" w:hAnsi="Segoe UI" w:cs="Segoe UI"/>
          <w:color w:val="auto"/>
          <w:sz w:val="20"/>
          <w:szCs w:val="18"/>
          <w:u w:val="none"/>
        </w:rPr>
        <w:t xml:space="preserve"> porteuses d’initiatives dans le domaine de l’inclusion financière. </w:t>
      </w:r>
      <w:r w:rsidRPr="009A5661">
        <w:rPr>
          <w:rStyle w:val="Lienhypertexte"/>
          <w:rFonts w:ascii="Segoe UI" w:hAnsi="Segoe UI" w:cs="Segoe UI"/>
          <w:color w:val="auto"/>
          <w:sz w:val="20"/>
          <w:szCs w:val="18"/>
          <w:u w:val="none"/>
        </w:rPr>
        <w:t xml:space="preserve">Il s’agit des banques coopératives non inscrites, des </w:t>
      </w:r>
      <w:r w:rsidRPr="009A5661">
        <w:rPr>
          <w:rStyle w:val="Lienhypertexte"/>
          <w:rFonts w:ascii="Segoe UI" w:hAnsi="Segoe UI" w:cs="Segoe UI"/>
          <w:i/>
          <w:iCs/>
          <w:color w:val="auto"/>
          <w:sz w:val="20"/>
          <w:szCs w:val="18"/>
          <w:u w:val="none"/>
        </w:rPr>
        <w:t>All India Financial Institutions</w:t>
      </w:r>
      <w:r w:rsidRPr="009A5661">
        <w:rPr>
          <w:rStyle w:val="Lienhypertexte"/>
          <w:rFonts w:ascii="Segoe UI" w:hAnsi="Segoe UI" w:cs="Segoe UI"/>
          <w:color w:val="auto"/>
          <w:sz w:val="20"/>
          <w:szCs w:val="18"/>
          <w:u w:val="none"/>
        </w:rPr>
        <w:t xml:space="preserve"> (</w:t>
      </w:r>
      <w:proofErr w:type="spellStart"/>
      <w:r w:rsidRPr="009A5661">
        <w:rPr>
          <w:rStyle w:val="Lienhypertexte"/>
          <w:rFonts w:ascii="Segoe UI" w:hAnsi="Segoe UI" w:cs="Segoe UI"/>
          <w:color w:val="auto"/>
          <w:sz w:val="20"/>
          <w:szCs w:val="18"/>
          <w:u w:val="none"/>
        </w:rPr>
        <w:t>AIFIs</w:t>
      </w:r>
      <w:proofErr w:type="spellEnd"/>
      <w:r w:rsidRPr="009A5661">
        <w:rPr>
          <w:rStyle w:val="Lienhypertexte"/>
          <w:rFonts w:ascii="Segoe UI" w:hAnsi="Segoe UI" w:cs="Segoe UI"/>
          <w:color w:val="auto"/>
          <w:sz w:val="20"/>
          <w:szCs w:val="18"/>
          <w:u w:val="none"/>
        </w:rPr>
        <w:t>), des institutions de microfinance et institutions financières non bancaires (</w:t>
      </w:r>
      <w:proofErr w:type="spellStart"/>
      <w:r w:rsidRPr="009A5661">
        <w:rPr>
          <w:rStyle w:val="Lienhypertexte"/>
          <w:rFonts w:ascii="Segoe UI" w:hAnsi="Segoe UI" w:cs="Segoe UI"/>
          <w:color w:val="auto"/>
          <w:sz w:val="20"/>
          <w:szCs w:val="18"/>
          <w:u w:val="none"/>
        </w:rPr>
        <w:t>NBFCs</w:t>
      </w:r>
      <w:proofErr w:type="spellEnd"/>
      <w:r w:rsidRPr="009A5661">
        <w:rPr>
          <w:rStyle w:val="Lienhypertexte"/>
          <w:rFonts w:ascii="Segoe UI" w:hAnsi="Segoe UI" w:cs="Segoe UI"/>
          <w:color w:val="auto"/>
          <w:sz w:val="20"/>
          <w:szCs w:val="18"/>
          <w:u w:val="none"/>
        </w:rPr>
        <w:t>)</w:t>
      </w:r>
      <w:r>
        <w:rPr>
          <w:rStyle w:val="Appeldenotedefin"/>
          <w:rFonts w:ascii="Segoe UI" w:hAnsi="Segoe UI" w:cs="Segoe UI"/>
          <w:sz w:val="20"/>
          <w:szCs w:val="18"/>
        </w:rPr>
        <w:endnoteReference w:id="2"/>
      </w:r>
      <w:r>
        <w:rPr>
          <w:rStyle w:val="Lienhypertexte"/>
          <w:rFonts w:ascii="Segoe UI" w:hAnsi="Segoe UI" w:cs="Segoe UI"/>
          <w:color w:val="auto"/>
          <w:sz w:val="20"/>
          <w:szCs w:val="18"/>
          <w:u w:val="none"/>
        </w:rPr>
        <w:t xml:space="preserve">. </w:t>
      </w:r>
      <w:r w:rsidRPr="00793E88">
        <w:rPr>
          <w:rStyle w:val="Lienhypertexte"/>
          <w:rFonts w:ascii="Segoe UI" w:hAnsi="Segoe UI" w:cs="Segoe UI"/>
          <w:color w:val="auto"/>
          <w:sz w:val="20"/>
          <w:szCs w:val="18"/>
          <w:u w:val="none"/>
        </w:rPr>
        <w:t>Bien qu’elles soient supervisées par la RBI, ces dernières ne disposent pas d’une licence bancaire complète et ne peuvent accepter de dépôts à vue, mais jouent un rôle dans l’inclusion financière et le soutien au crédit dans les segments peu servis par les</w:t>
      </w:r>
      <w:r>
        <w:rPr>
          <w:rStyle w:val="Lienhypertexte"/>
          <w:rFonts w:ascii="Segoe UI" w:hAnsi="Segoe UI" w:cs="Segoe UI"/>
          <w:color w:val="auto"/>
          <w:sz w:val="20"/>
          <w:szCs w:val="18"/>
          <w:u w:val="none"/>
        </w:rPr>
        <w:t xml:space="preserve"> canaux bancaires traditionnels. Les interactions entre les </w:t>
      </w:r>
      <w:proofErr w:type="spellStart"/>
      <w:r>
        <w:rPr>
          <w:rStyle w:val="Lienhypertexte"/>
          <w:rFonts w:ascii="Segoe UI" w:hAnsi="Segoe UI" w:cs="Segoe UI"/>
          <w:color w:val="auto"/>
          <w:sz w:val="20"/>
          <w:szCs w:val="18"/>
          <w:u w:val="none"/>
        </w:rPr>
        <w:t>NBFCs</w:t>
      </w:r>
      <w:proofErr w:type="spellEnd"/>
      <w:r>
        <w:rPr>
          <w:rStyle w:val="Lienhypertexte"/>
          <w:rFonts w:ascii="Segoe UI" w:hAnsi="Segoe UI" w:cs="Segoe UI"/>
          <w:color w:val="auto"/>
          <w:sz w:val="20"/>
          <w:szCs w:val="18"/>
          <w:u w:val="none"/>
        </w:rPr>
        <w:t xml:space="preserve"> et les </w:t>
      </w:r>
      <w:proofErr w:type="spellStart"/>
      <w:r>
        <w:rPr>
          <w:rStyle w:val="Lienhypertexte"/>
          <w:rFonts w:ascii="Segoe UI" w:hAnsi="Segoe UI" w:cs="Segoe UI"/>
          <w:color w:val="auto"/>
          <w:sz w:val="20"/>
          <w:szCs w:val="18"/>
          <w:u w:val="none"/>
        </w:rPr>
        <w:t>SCBs</w:t>
      </w:r>
      <w:proofErr w:type="spellEnd"/>
      <w:r>
        <w:rPr>
          <w:rStyle w:val="Lienhypertexte"/>
          <w:rFonts w:ascii="Segoe UI" w:hAnsi="Segoe UI" w:cs="Segoe UI"/>
          <w:color w:val="auto"/>
          <w:sz w:val="20"/>
          <w:szCs w:val="18"/>
          <w:u w:val="none"/>
        </w:rPr>
        <w:t xml:space="preserve"> demeurent toutefois limitées, bien que des mécanismes de </w:t>
      </w:r>
      <w:proofErr w:type="spellStart"/>
      <w:r>
        <w:rPr>
          <w:rStyle w:val="Lienhypertexte"/>
          <w:rFonts w:ascii="Segoe UI" w:hAnsi="Segoe UI" w:cs="Segoe UI"/>
          <w:color w:val="auto"/>
          <w:sz w:val="20"/>
          <w:szCs w:val="18"/>
          <w:u w:val="none"/>
        </w:rPr>
        <w:t>co</w:t>
      </w:r>
      <w:proofErr w:type="spellEnd"/>
      <w:r>
        <w:rPr>
          <w:rStyle w:val="Lienhypertexte"/>
          <w:rFonts w:ascii="Segoe UI" w:hAnsi="Segoe UI" w:cs="Segoe UI"/>
          <w:color w:val="auto"/>
          <w:sz w:val="20"/>
          <w:szCs w:val="18"/>
          <w:u w:val="none"/>
        </w:rPr>
        <w:t xml:space="preserve">-octroi de prêts aient été mis en place dans le cadre du </w:t>
      </w:r>
      <w:proofErr w:type="spellStart"/>
      <w:r w:rsidRPr="0026308C">
        <w:rPr>
          <w:rStyle w:val="Lienhypertexte"/>
          <w:rFonts w:ascii="Segoe UI" w:hAnsi="Segoe UI" w:cs="Segoe UI"/>
          <w:i/>
          <w:iCs/>
          <w:color w:val="auto"/>
          <w:sz w:val="20"/>
          <w:szCs w:val="18"/>
          <w:u w:val="none"/>
        </w:rPr>
        <w:t>Priority</w:t>
      </w:r>
      <w:proofErr w:type="spellEnd"/>
      <w:r w:rsidRPr="0026308C">
        <w:rPr>
          <w:rStyle w:val="Lienhypertexte"/>
          <w:rFonts w:ascii="Segoe UI" w:hAnsi="Segoe UI" w:cs="Segoe UI"/>
          <w:i/>
          <w:iCs/>
          <w:color w:val="auto"/>
          <w:sz w:val="20"/>
          <w:szCs w:val="18"/>
          <w:u w:val="none"/>
        </w:rPr>
        <w:t xml:space="preserve"> </w:t>
      </w:r>
      <w:proofErr w:type="spellStart"/>
      <w:r w:rsidRPr="0026308C">
        <w:rPr>
          <w:rStyle w:val="Lienhypertexte"/>
          <w:rFonts w:ascii="Segoe UI" w:hAnsi="Segoe UI" w:cs="Segoe UI"/>
          <w:i/>
          <w:iCs/>
          <w:color w:val="auto"/>
          <w:sz w:val="20"/>
          <w:szCs w:val="18"/>
          <w:u w:val="none"/>
        </w:rPr>
        <w:t>Sector</w:t>
      </w:r>
      <w:proofErr w:type="spellEnd"/>
      <w:r w:rsidRPr="0026308C">
        <w:rPr>
          <w:rStyle w:val="Lienhypertexte"/>
          <w:rFonts w:ascii="Segoe UI" w:hAnsi="Segoe UI" w:cs="Segoe UI"/>
          <w:i/>
          <w:iCs/>
          <w:color w:val="auto"/>
          <w:sz w:val="20"/>
          <w:szCs w:val="18"/>
          <w:u w:val="none"/>
        </w:rPr>
        <w:t xml:space="preserve"> </w:t>
      </w:r>
      <w:proofErr w:type="spellStart"/>
      <w:r w:rsidRPr="0026308C">
        <w:rPr>
          <w:rStyle w:val="Lienhypertexte"/>
          <w:rFonts w:ascii="Segoe UI" w:hAnsi="Segoe UI" w:cs="Segoe UI"/>
          <w:i/>
          <w:iCs/>
          <w:color w:val="auto"/>
          <w:sz w:val="20"/>
          <w:szCs w:val="18"/>
          <w:u w:val="none"/>
        </w:rPr>
        <w:t>Lending</w:t>
      </w:r>
      <w:proofErr w:type="spellEnd"/>
      <w:r>
        <w:rPr>
          <w:rStyle w:val="Lienhypertexte"/>
          <w:rFonts w:ascii="Segoe UI" w:hAnsi="Segoe UI" w:cs="Segoe UI"/>
          <w:color w:val="auto"/>
          <w:sz w:val="20"/>
          <w:szCs w:val="18"/>
          <w:u w:val="none"/>
        </w:rPr>
        <w:t xml:space="preserve"> (cf. infra)</w:t>
      </w:r>
      <w:r>
        <w:rPr>
          <w:rStyle w:val="Appeldenotedefin"/>
          <w:rFonts w:ascii="Segoe UI" w:hAnsi="Segoe UI" w:cs="Segoe UI"/>
          <w:sz w:val="20"/>
          <w:szCs w:val="18"/>
        </w:rPr>
        <w:endnoteReference w:id="3"/>
      </w:r>
      <w:r>
        <w:rPr>
          <w:rStyle w:val="Lienhypertexte"/>
          <w:rFonts w:ascii="Segoe UI" w:hAnsi="Segoe UI" w:cs="Segoe UI"/>
          <w:color w:val="auto"/>
          <w:sz w:val="20"/>
          <w:szCs w:val="18"/>
          <w:u w:val="none"/>
        </w:rPr>
        <w:t xml:space="preserve">.  En outre, le système financier indien dans son ensemble représente désormais près de 190% du PIB. Sur le plan structurel, l’évolution du système bancaire indien témoigne </w:t>
      </w:r>
      <w:r w:rsidR="00CA51C0" w:rsidRPr="009A5661">
        <w:rPr>
          <w:rStyle w:val="Lienhypertexte"/>
          <w:rFonts w:ascii="Segoe UI" w:hAnsi="Segoe UI" w:cs="Segoe UI"/>
          <w:color w:val="auto"/>
          <w:sz w:val="20"/>
          <w:szCs w:val="18"/>
          <w:u w:val="none"/>
        </w:rPr>
        <w:t>du</w:t>
      </w:r>
      <w:r w:rsidR="00CA51C0">
        <w:rPr>
          <w:rStyle w:val="Lienhypertexte"/>
          <w:rFonts w:ascii="Segoe UI" w:hAnsi="Segoe UI" w:cs="Segoe UI"/>
          <w:b/>
          <w:bCs/>
          <w:color w:val="auto"/>
          <w:sz w:val="20"/>
          <w:szCs w:val="18"/>
          <w:u w:val="none"/>
        </w:rPr>
        <w:t xml:space="preserve"> développement </w:t>
      </w:r>
      <w:r w:rsidRPr="003B4D8A">
        <w:rPr>
          <w:rStyle w:val="Lienhypertexte"/>
          <w:rFonts w:ascii="Segoe UI" w:hAnsi="Segoe UI" w:cs="Segoe UI"/>
          <w:b/>
          <w:bCs/>
          <w:color w:val="auto"/>
          <w:sz w:val="20"/>
          <w:szCs w:val="18"/>
          <w:u w:val="none"/>
        </w:rPr>
        <w:t>de l’intermédiation financière, marqué par l’élargissement des dépôts et par une progression mesurable de l’inclusion financière</w:t>
      </w:r>
      <w:r>
        <w:rPr>
          <w:rStyle w:val="Lienhypertexte"/>
          <w:rFonts w:ascii="Segoe UI" w:hAnsi="Segoe UI" w:cs="Segoe UI"/>
          <w:color w:val="auto"/>
          <w:sz w:val="20"/>
          <w:szCs w:val="18"/>
          <w:u w:val="none"/>
        </w:rPr>
        <w:t xml:space="preserve">. </w:t>
      </w:r>
      <w:r w:rsidRPr="006206F8">
        <w:rPr>
          <w:rStyle w:val="Lienhypertexte"/>
          <w:rFonts w:ascii="Segoe UI" w:hAnsi="Segoe UI" w:cs="Segoe UI"/>
          <w:color w:val="auto"/>
          <w:sz w:val="20"/>
          <w:szCs w:val="18"/>
          <w:u w:val="none"/>
        </w:rPr>
        <w:t>L’indice d’inclusion financière élaboré par la RBI</w:t>
      </w:r>
      <w:r>
        <w:rPr>
          <w:rStyle w:val="Lienhypertexte"/>
          <w:rFonts w:ascii="Segoe UI" w:hAnsi="Segoe UI" w:cs="Segoe UI"/>
          <w:color w:val="auto"/>
          <w:sz w:val="20"/>
          <w:szCs w:val="18"/>
          <w:u w:val="none"/>
        </w:rPr>
        <w:t xml:space="preserve">, instauré en 2021, </w:t>
      </w:r>
      <w:r w:rsidRPr="006206F8">
        <w:rPr>
          <w:rStyle w:val="Lienhypertexte"/>
          <w:rFonts w:ascii="Segoe UI" w:hAnsi="Segoe UI" w:cs="Segoe UI"/>
          <w:color w:val="auto"/>
          <w:sz w:val="20"/>
          <w:szCs w:val="18"/>
          <w:u w:val="none"/>
        </w:rPr>
        <w:t xml:space="preserve">montre une amélioration de l’accès aux services </w:t>
      </w:r>
      <w:r>
        <w:rPr>
          <w:rStyle w:val="Lienhypertexte"/>
          <w:rFonts w:ascii="Segoe UI" w:hAnsi="Segoe UI" w:cs="Segoe UI"/>
          <w:color w:val="auto"/>
          <w:sz w:val="20"/>
          <w:szCs w:val="18"/>
          <w:u w:val="none"/>
        </w:rPr>
        <w:t xml:space="preserve">bancaires </w:t>
      </w:r>
      <w:r w:rsidRPr="006206F8">
        <w:rPr>
          <w:rStyle w:val="Lienhypertexte"/>
          <w:rFonts w:ascii="Segoe UI" w:hAnsi="Segoe UI" w:cs="Segoe UI"/>
          <w:color w:val="auto"/>
          <w:sz w:val="20"/>
          <w:szCs w:val="18"/>
          <w:u w:val="none"/>
        </w:rPr>
        <w:t xml:space="preserve">formels, puisqu’il s’élevait à 64,2 en mars 2024 et atteignait 67 </w:t>
      </w:r>
      <w:r>
        <w:rPr>
          <w:rStyle w:val="Lienhypertexte"/>
          <w:rFonts w:ascii="Segoe UI" w:hAnsi="Segoe UI" w:cs="Segoe UI"/>
          <w:color w:val="auto"/>
          <w:sz w:val="20"/>
          <w:szCs w:val="18"/>
          <w:u w:val="none"/>
        </w:rPr>
        <w:t>à la clôture de l’exercice 2024/25</w:t>
      </w:r>
      <w:r>
        <w:rPr>
          <w:rStyle w:val="Appeldenotedefin"/>
          <w:rFonts w:ascii="Segoe UI" w:hAnsi="Segoe UI" w:cs="Segoe UI"/>
          <w:sz w:val="20"/>
          <w:szCs w:val="18"/>
        </w:rPr>
        <w:endnoteReference w:id="4"/>
      </w:r>
      <w:r>
        <w:rPr>
          <w:rStyle w:val="Lienhypertexte"/>
          <w:rFonts w:ascii="Segoe UI" w:hAnsi="Segoe UI" w:cs="Segoe UI"/>
          <w:color w:val="auto"/>
          <w:sz w:val="20"/>
          <w:szCs w:val="18"/>
          <w:u w:val="none"/>
        </w:rPr>
        <w:t xml:space="preserve">. </w:t>
      </w:r>
    </w:p>
    <w:p w14:paraId="2B4A0B27" w14:textId="77777777" w:rsidR="00BB1834" w:rsidRDefault="00CA51C0" w:rsidP="00F9212F">
      <w:pPr>
        <w:pStyle w:val="Brvesco-Normal"/>
        <w:spacing w:after="60" w:line="240" w:lineRule="auto"/>
        <w:ind w:left="-284"/>
        <w:rPr>
          <w:rStyle w:val="Lienhypertexte"/>
          <w:rFonts w:ascii="Segoe UI" w:hAnsi="Segoe UI" w:cs="Segoe UI"/>
          <w:noProof/>
          <w:color w:val="auto"/>
          <w:szCs w:val="20"/>
          <w:u w:val="none"/>
        </w:rPr>
      </w:pPr>
      <w:r w:rsidRPr="00CA51C0">
        <w:rPr>
          <w:rStyle w:val="Lienhypertexte"/>
          <w:rFonts w:ascii="Segoe UI" w:hAnsi="Segoe UI" w:cs="Segoe UI"/>
          <w:b/>
          <w:bCs/>
          <w:color w:val="auto"/>
          <w:szCs w:val="18"/>
          <w:u w:val="none"/>
        </w:rPr>
        <w:t>Dans ce contexte</w:t>
      </w:r>
      <w:r w:rsidR="00DC0C4E">
        <w:rPr>
          <w:rStyle w:val="Lienhypertexte"/>
          <w:rFonts w:ascii="Segoe UI" w:hAnsi="Segoe UI" w:cs="Segoe UI"/>
          <w:b/>
          <w:bCs/>
          <w:color w:val="auto"/>
          <w:szCs w:val="18"/>
          <w:u w:val="none"/>
        </w:rPr>
        <w:t xml:space="preserve"> d’extension du système financier</w:t>
      </w:r>
      <w:r w:rsidRPr="00CA51C0">
        <w:rPr>
          <w:rStyle w:val="Lienhypertexte"/>
          <w:rFonts w:ascii="Segoe UI" w:hAnsi="Segoe UI" w:cs="Segoe UI"/>
          <w:b/>
          <w:bCs/>
          <w:color w:val="auto"/>
          <w:szCs w:val="18"/>
          <w:u w:val="none"/>
        </w:rPr>
        <w:t>, la robustesse du cadre prudentiel constitue un pilier central</w:t>
      </w:r>
      <w:r>
        <w:rPr>
          <w:rStyle w:val="Lienhypertexte"/>
          <w:rFonts w:ascii="Segoe UI" w:hAnsi="Segoe UI" w:cs="Segoe UI"/>
          <w:b/>
          <w:bCs/>
          <w:color w:val="auto"/>
          <w:szCs w:val="18"/>
          <w:u w:val="none"/>
        </w:rPr>
        <w:t xml:space="preserve">. </w:t>
      </w:r>
      <w:r w:rsidR="00DC0C4E">
        <w:rPr>
          <w:rStyle w:val="Lienhypertexte"/>
          <w:rFonts w:ascii="Segoe UI" w:hAnsi="Segoe UI" w:cs="Segoe UI"/>
          <w:color w:val="auto"/>
          <w:szCs w:val="18"/>
          <w:u w:val="none"/>
        </w:rPr>
        <w:t>A</w:t>
      </w:r>
      <w:r w:rsidR="00445AB7" w:rsidRPr="00CA51C0">
        <w:rPr>
          <w:rStyle w:val="Lienhypertexte"/>
          <w:rFonts w:ascii="Segoe UI" w:hAnsi="Segoe UI" w:cs="Segoe UI"/>
          <w:color w:val="auto"/>
          <w:szCs w:val="18"/>
          <w:u w:val="none"/>
        </w:rPr>
        <w:t>ppliqué</w:t>
      </w:r>
      <w:r w:rsidR="004C40CA" w:rsidRPr="00CA51C0">
        <w:rPr>
          <w:rStyle w:val="Lienhypertexte"/>
          <w:rFonts w:ascii="Segoe UI" w:hAnsi="Segoe UI" w:cs="Segoe UI"/>
          <w:color w:val="auto"/>
          <w:szCs w:val="18"/>
          <w:u w:val="none"/>
        </w:rPr>
        <w:t xml:space="preserve"> par la RBI</w:t>
      </w:r>
      <w:r>
        <w:rPr>
          <w:rStyle w:val="Lienhypertexte"/>
          <w:rFonts w:ascii="Segoe UI" w:hAnsi="Segoe UI" w:cs="Segoe UI"/>
          <w:color w:val="auto"/>
          <w:szCs w:val="18"/>
          <w:u w:val="none"/>
        </w:rPr>
        <w:t>,</w:t>
      </w:r>
      <w:r w:rsidR="004C40CA" w:rsidRPr="00CA51C0">
        <w:rPr>
          <w:rStyle w:val="Lienhypertexte"/>
          <w:rFonts w:ascii="Segoe UI" w:hAnsi="Segoe UI" w:cs="Segoe UI"/>
          <w:color w:val="auto"/>
          <w:szCs w:val="18"/>
          <w:u w:val="none"/>
        </w:rPr>
        <w:t xml:space="preserve"> aux </w:t>
      </w:r>
      <w:proofErr w:type="spellStart"/>
      <w:r w:rsidR="004C40CA" w:rsidRPr="00CA51C0">
        <w:rPr>
          <w:rStyle w:val="Lienhypertexte"/>
          <w:rFonts w:ascii="Segoe UI" w:hAnsi="Segoe UI" w:cs="Segoe UI"/>
          <w:i/>
          <w:iCs/>
          <w:color w:val="auto"/>
          <w:szCs w:val="18"/>
          <w:u w:val="none"/>
        </w:rPr>
        <w:t>Scheduled</w:t>
      </w:r>
      <w:proofErr w:type="spellEnd"/>
      <w:r w:rsidR="004C40CA" w:rsidRPr="00CA51C0">
        <w:rPr>
          <w:rStyle w:val="Lienhypertexte"/>
          <w:rFonts w:ascii="Segoe UI" w:hAnsi="Segoe UI" w:cs="Segoe UI"/>
          <w:i/>
          <w:iCs/>
          <w:color w:val="auto"/>
          <w:szCs w:val="18"/>
          <w:u w:val="none"/>
        </w:rPr>
        <w:t xml:space="preserve"> Banks</w:t>
      </w:r>
      <w:r w:rsidR="00DC0C4E">
        <w:rPr>
          <w:rStyle w:val="Lienhypertexte"/>
          <w:rFonts w:ascii="Segoe UI" w:hAnsi="Segoe UI" w:cs="Segoe UI"/>
          <w:color w:val="auto"/>
          <w:szCs w:val="18"/>
          <w:u w:val="none"/>
        </w:rPr>
        <w:t xml:space="preserve">, </w:t>
      </w:r>
      <w:r w:rsidR="00DC0C4E" w:rsidRPr="00DC0C4E">
        <w:rPr>
          <w:rStyle w:val="Lienhypertexte"/>
          <w:rFonts w:ascii="Segoe UI" w:hAnsi="Segoe UI" w:cs="Segoe UI"/>
          <w:b/>
          <w:bCs/>
          <w:color w:val="auto"/>
          <w:szCs w:val="18"/>
          <w:u w:val="none"/>
        </w:rPr>
        <w:t>ce dernier est</w:t>
      </w:r>
      <w:r w:rsidR="00DC0C4E">
        <w:rPr>
          <w:rStyle w:val="Lienhypertexte"/>
          <w:rFonts w:ascii="Segoe UI" w:hAnsi="Segoe UI" w:cs="Segoe UI"/>
          <w:color w:val="auto"/>
          <w:szCs w:val="18"/>
          <w:u w:val="none"/>
        </w:rPr>
        <w:t xml:space="preserve"> </w:t>
      </w:r>
      <w:r w:rsidR="004C40CA" w:rsidRPr="00291B26">
        <w:rPr>
          <w:rStyle w:val="Lienhypertexte"/>
          <w:rFonts w:ascii="Segoe UI" w:hAnsi="Segoe UI" w:cs="Segoe UI"/>
          <w:b/>
          <w:bCs/>
          <w:color w:val="auto"/>
          <w:szCs w:val="18"/>
          <w:u w:val="none"/>
        </w:rPr>
        <w:t>aligné sur les exigences internationales en matière de fonds propres, de liquidité et de gestion des risques définies par Bâle II et Bâle III</w:t>
      </w:r>
      <w:r w:rsidR="004C40CA" w:rsidRPr="00BF4ADC">
        <w:rPr>
          <w:rStyle w:val="Lienhypertexte"/>
          <w:rFonts w:ascii="Segoe UI" w:hAnsi="Segoe UI" w:cs="Segoe UI"/>
          <w:color w:val="auto"/>
          <w:szCs w:val="18"/>
          <w:u w:val="none"/>
        </w:rPr>
        <w:t>. Il s’avère même plus strict sur plusieurs volets, la RBI appliquant des ratios de capital et de levier supérieurs aux normes minimales, ainsi que des obligations additionnelles de liquidité</w:t>
      </w:r>
      <w:r w:rsidR="004C40CA">
        <w:rPr>
          <w:rStyle w:val="Appeldenotedefin"/>
          <w:rFonts w:ascii="Segoe UI" w:hAnsi="Segoe UI" w:cs="Segoe UI"/>
          <w:szCs w:val="18"/>
        </w:rPr>
        <w:endnoteReference w:id="5"/>
      </w:r>
      <w:r w:rsidR="004C40CA" w:rsidRPr="00BF4ADC">
        <w:rPr>
          <w:rStyle w:val="Lienhypertexte"/>
          <w:rFonts w:ascii="Segoe UI" w:hAnsi="Segoe UI" w:cs="Segoe UI"/>
          <w:color w:val="auto"/>
          <w:szCs w:val="18"/>
          <w:u w:val="none"/>
        </w:rPr>
        <w:t xml:space="preserve">. </w:t>
      </w:r>
      <w:r w:rsidR="00445AB7" w:rsidRPr="0014225A">
        <w:rPr>
          <w:rStyle w:val="Lienhypertexte"/>
          <w:rFonts w:ascii="Segoe UI" w:hAnsi="Segoe UI" w:cs="Segoe UI"/>
          <w:b/>
          <w:bCs/>
          <w:noProof/>
          <w:color w:val="auto"/>
          <w:szCs w:val="20"/>
          <w:u w:val="none"/>
        </w:rPr>
        <w:t xml:space="preserve">Cette rigueur renforcée s’explique, entre autres, par </w:t>
      </w:r>
      <w:r w:rsidR="00660C03" w:rsidRPr="0014225A">
        <w:rPr>
          <w:rStyle w:val="Lienhypertexte"/>
          <w:rFonts w:ascii="Segoe UI" w:hAnsi="Segoe UI" w:cs="Segoe UI"/>
          <w:b/>
          <w:bCs/>
          <w:noProof/>
          <w:color w:val="auto"/>
          <w:szCs w:val="20"/>
          <w:u w:val="none"/>
        </w:rPr>
        <w:t>la</w:t>
      </w:r>
      <w:r w:rsidR="007F3A7F" w:rsidRPr="0014225A">
        <w:rPr>
          <w:rStyle w:val="Lienhypertexte"/>
          <w:rFonts w:ascii="Segoe UI" w:hAnsi="Segoe UI" w:cs="Segoe UI"/>
          <w:b/>
          <w:bCs/>
          <w:noProof/>
          <w:color w:val="auto"/>
          <w:szCs w:val="20"/>
          <w:u w:val="none"/>
        </w:rPr>
        <w:t xml:space="preserve"> crise des actifs non performants</w:t>
      </w:r>
      <w:r w:rsidR="00445AB7" w:rsidRPr="0014225A">
        <w:rPr>
          <w:rStyle w:val="Lienhypertexte"/>
          <w:rFonts w:ascii="Segoe UI" w:hAnsi="Segoe UI" w:cs="Segoe UI"/>
          <w:b/>
          <w:bCs/>
          <w:noProof/>
          <w:color w:val="auto"/>
          <w:szCs w:val="20"/>
          <w:u w:val="none"/>
        </w:rPr>
        <w:t>,</w:t>
      </w:r>
      <w:r w:rsidR="007F3A7F" w:rsidRPr="0014225A">
        <w:rPr>
          <w:rStyle w:val="Lienhypertexte"/>
          <w:rFonts w:ascii="Segoe UI" w:hAnsi="Segoe UI" w:cs="Segoe UI"/>
          <w:b/>
          <w:bCs/>
          <w:noProof/>
          <w:color w:val="auto"/>
          <w:szCs w:val="20"/>
          <w:u w:val="none"/>
        </w:rPr>
        <w:t xml:space="preserve"> éclaté</w:t>
      </w:r>
      <w:r w:rsidR="00445AB7" w:rsidRPr="0014225A">
        <w:rPr>
          <w:rStyle w:val="Lienhypertexte"/>
          <w:rFonts w:ascii="Segoe UI" w:hAnsi="Segoe UI" w:cs="Segoe UI"/>
          <w:b/>
          <w:bCs/>
          <w:noProof/>
          <w:color w:val="auto"/>
          <w:szCs w:val="20"/>
          <w:u w:val="none"/>
        </w:rPr>
        <w:t>e</w:t>
      </w:r>
      <w:r w:rsidR="007F3A7F" w:rsidRPr="0014225A">
        <w:rPr>
          <w:rStyle w:val="Lienhypertexte"/>
          <w:rFonts w:ascii="Segoe UI" w:hAnsi="Segoe UI" w:cs="Segoe UI"/>
          <w:b/>
          <w:bCs/>
          <w:noProof/>
          <w:color w:val="auto"/>
          <w:szCs w:val="20"/>
          <w:u w:val="none"/>
        </w:rPr>
        <w:t xml:space="preserve"> au milieu des années 2010, conséquence de plusieurs années de</w:t>
      </w:r>
      <w:r w:rsidR="00445AB7" w:rsidRPr="0014225A">
        <w:rPr>
          <w:rStyle w:val="Lienhypertexte"/>
          <w:rFonts w:ascii="Segoe UI" w:hAnsi="Segoe UI" w:cs="Segoe UI"/>
          <w:b/>
          <w:bCs/>
          <w:noProof/>
          <w:color w:val="auto"/>
          <w:szCs w:val="20"/>
          <w:u w:val="none"/>
        </w:rPr>
        <w:t xml:space="preserve"> pratiques </w:t>
      </w:r>
      <w:r w:rsidR="007F3A7F" w:rsidRPr="0014225A">
        <w:rPr>
          <w:rStyle w:val="Lienhypertexte"/>
          <w:rFonts w:ascii="Segoe UI" w:hAnsi="Segoe UI" w:cs="Segoe UI"/>
          <w:b/>
          <w:bCs/>
          <w:noProof/>
          <w:color w:val="auto"/>
          <w:szCs w:val="20"/>
          <w:u w:val="none"/>
        </w:rPr>
        <w:t>risqué</w:t>
      </w:r>
      <w:r w:rsidR="00445AB7" w:rsidRPr="0014225A">
        <w:rPr>
          <w:rStyle w:val="Lienhypertexte"/>
          <w:rFonts w:ascii="Segoe UI" w:hAnsi="Segoe UI" w:cs="Segoe UI"/>
          <w:b/>
          <w:bCs/>
          <w:noProof/>
          <w:color w:val="auto"/>
          <w:szCs w:val="20"/>
          <w:u w:val="none"/>
        </w:rPr>
        <w:t>es</w:t>
      </w:r>
      <w:r w:rsidR="007F3A7F" w:rsidRPr="0014225A">
        <w:rPr>
          <w:rStyle w:val="Lienhypertexte"/>
          <w:rFonts w:ascii="Segoe UI" w:hAnsi="Segoe UI" w:cs="Segoe UI"/>
          <w:b/>
          <w:bCs/>
          <w:noProof/>
          <w:color w:val="auto"/>
          <w:szCs w:val="20"/>
          <w:u w:val="none"/>
        </w:rPr>
        <w:t>, de défauts</w:t>
      </w:r>
      <w:r w:rsidR="00445AB7" w:rsidRPr="0014225A">
        <w:rPr>
          <w:rStyle w:val="Lienhypertexte"/>
          <w:rFonts w:ascii="Segoe UI" w:hAnsi="Segoe UI" w:cs="Segoe UI"/>
          <w:b/>
          <w:bCs/>
          <w:noProof/>
          <w:color w:val="auto"/>
          <w:szCs w:val="20"/>
          <w:u w:val="none"/>
        </w:rPr>
        <w:t xml:space="preserve"> en chaîne</w:t>
      </w:r>
      <w:r w:rsidR="007F3A7F" w:rsidRPr="0014225A">
        <w:rPr>
          <w:rStyle w:val="Lienhypertexte"/>
          <w:rFonts w:ascii="Segoe UI" w:hAnsi="Segoe UI" w:cs="Segoe UI"/>
          <w:b/>
          <w:bCs/>
          <w:noProof/>
          <w:color w:val="auto"/>
          <w:szCs w:val="20"/>
          <w:u w:val="none"/>
        </w:rPr>
        <w:t xml:space="preserve"> et de gouvernance lacunaire</w:t>
      </w:r>
      <w:r w:rsidR="00445AB7">
        <w:rPr>
          <w:rStyle w:val="Lienhypertexte"/>
          <w:rFonts w:ascii="Segoe UI" w:hAnsi="Segoe UI" w:cs="Segoe UI"/>
          <w:noProof/>
          <w:color w:val="auto"/>
          <w:szCs w:val="20"/>
          <w:u w:val="none"/>
        </w:rPr>
        <w:t xml:space="preserve">. Cet épisode a conduit à </w:t>
      </w:r>
      <w:r w:rsidR="007F3A7F">
        <w:rPr>
          <w:rStyle w:val="Lienhypertexte"/>
          <w:rFonts w:ascii="Segoe UI" w:hAnsi="Segoe UI" w:cs="Segoe UI"/>
          <w:noProof/>
          <w:color w:val="auto"/>
          <w:szCs w:val="20"/>
          <w:u w:val="none"/>
        </w:rPr>
        <w:t xml:space="preserve">l’entrée en vigueur </w:t>
      </w:r>
      <w:r w:rsidR="00445AB7">
        <w:rPr>
          <w:rStyle w:val="Lienhypertexte"/>
          <w:rFonts w:ascii="Segoe UI" w:hAnsi="Segoe UI" w:cs="Segoe UI"/>
          <w:noProof/>
          <w:color w:val="auto"/>
          <w:szCs w:val="20"/>
          <w:u w:val="none"/>
        </w:rPr>
        <w:t xml:space="preserve">en 2016 </w:t>
      </w:r>
      <w:r w:rsidR="007F3A7F">
        <w:rPr>
          <w:rStyle w:val="Lienhypertexte"/>
          <w:rFonts w:ascii="Segoe UI" w:hAnsi="Segoe UI" w:cs="Segoe UI"/>
          <w:noProof/>
          <w:color w:val="auto"/>
          <w:szCs w:val="20"/>
          <w:u w:val="none"/>
        </w:rPr>
        <w:t>de l’Insolvency and Bankruptcy Code</w:t>
      </w:r>
      <w:r w:rsidR="007F3A7F">
        <w:rPr>
          <w:rStyle w:val="Appeldenotedefin"/>
          <w:rFonts w:ascii="Segoe UI" w:hAnsi="Segoe UI" w:cs="Segoe UI"/>
          <w:noProof/>
          <w:color w:val="auto"/>
          <w:szCs w:val="20"/>
        </w:rPr>
        <w:endnoteReference w:id="6"/>
      </w:r>
      <w:r w:rsidR="007F3A7F">
        <w:rPr>
          <w:rStyle w:val="Lienhypertexte"/>
          <w:rFonts w:ascii="Segoe UI" w:hAnsi="Segoe UI" w:cs="Segoe UI"/>
          <w:noProof/>
          <w:color w:val="auto"/>
          <w:szCs w:val="20"/>
          <w:u w:val="none"/>
        </w:rPr>
        <w:t xml:space="preserve"> </w:t>
      </w:r>
      <w:r w:rsidR="0014225A">
        <w:rPr>
          <w:rStyle w:val="Lienhypertexte"/>
          <w:rFonts w:ascii="Segoe UI" w:hAnsi="Segoe UI" w:cs="Segoe UI"/>
          <w:noProof/>
          <w:color w:val="auto"/>
          <w:szCs w:val="20"/>
          <w:u w:val="none"/>
        </w:rPr>
        <w:t>ayant</w:t>
      </w:r>
      <w:r w:rsidR="007F3A7F">
        <w:rPr>
          <w:rStyle w:val="Lienhypertexte"/>
          <w:rFonts w:ascii="Segoe UI" w:hAnsi="Segoe UI" w:cs="Segoe UI"/>
          <w:noProof/>
          <w:color w:val="auto"/>
          <w:szCs w:val="20"/>
          <w:u w:val="none"/>
        </w:rPr>
        <w:t xml:space="preserve"> permis le recouvrement de près de 45 Mds USD</w:t>
      </w:r>
      <w:r w:rsidR="007F3A7F">
        <w:rPr>
          <w:rStyle w:val="Appeldenotedefin"/>
          <w:rFonts w:ascii="Segoe UI" w:hAnsi="Segoe UI" w:cs="Segoe UI"/>
          <w:noProof/>
          <w:color w:val="auto"/>
          <w:szCs w:val="20"/>
        </w:rPr>
        <w:endnoteReference w:id="7"/>
      </w:r>
      <w:r w:rsidR="007F3A7F">
        <w:rPr>
          <w:rStyle w:val="Lienhypertexte"/>
          <w:rFonts w:ascii="Segoe UI" w:hAnsi="Segoe UI" w:cs="Segoe UI"/>
          <w:noProof/>
          <w:color w:val="auto"/>
          <w:szCs w:val="20"/>
          <w:u w:val="none"/>
        </w:rPr>
        <w:t xml:space="preserve"> au cours des dix dernières années et a contribué à la baisse drastique des actifs non performants dans le bilan des banques. </w:t>
      </w:r>
      <w:r w:rsidR="0014225A">
        <w:rPr>
          <w:rStyle w:val="Lienhypertexte"/>
          <w:rFonts w:ascii="Segoe UI" w:hAnsi="Segoe UI" w:cs="Segoe UI"/>
          <w:noProof/>
          <w:color w:val="auto"/>
          <w:szCs w:val="20"/>
          <w:u w:val="none"/>
        </w:rPr>
        <w:t>Ainsi, l</w:t>
      </w:r>
      <w:r w:rsidR="007F3A7F">
        <w:rPr>
          <w:rStyle w:val="Lienhypertexte"/>
          <w:rFonts w:ascii="Segoe UI" w:hAnsi="Segoe UI" w:cs="Segoe UI"/>
          <w:noProof/>
          <w:color w:val="auto"/>
          <w:szCs w:val="20"/>
          <w:u w:val="none"/>
        </w:rPr>
        <w:t>e ratio de NNPA (net non-performing assets) des SCBs s’élevait à 0,5% lors du T4 FY25, tandis que le ratio GNPA (gross non performing assets) est revenu de 7,8% en 2015/16 à 2,3% en mars 2025 selon les données</w:t>
      </w:r>
    </w:p>
    <w:p w14:paraId="5CFFEAAB" w14:textId="51860A7C" w:rsidR="004C40CA" w:rsidRPr="00BB1834" w:rsidRDefault="007F3A7F" w:rsidP="00BB1834">
      <w:pPr>
        <w:pStyle w:val="Brvesco-Normal"/>
        <w:spacing w:after="120" w:line="240" w:lineRule="auto"/>
        <w:ind w:left="-284"/>
        <w:rPr>
          <w:rFonts w:ascii="Segoe UI" w:hAnsi="Segoe UI" w:cs="Segoe UI"/>
          <w:noProof/>
          <w:color w:val="auto"/>
          <w:szCs w:val="20"/>
        </w:rPr>
      </w:pPr>
      <w:r w:rsidRPr="00BB1834">
        <w:rPr>
          <w:rStyle w:val="Lienhypertexte"/>
          <w:rFonts w:ascii="Segoe UI" w:hAnsi="Segoe UI" w:cs="Segoe UI"/>
          <w:noProof/>
          <w:color w:val="auto"/>
          <w:szCs w:val="20"/>
          <w:u w:val="none"/>
        </w:rPr>
        <w:lastRenderedPageBreak/>
        <w:t>de la RBI.</w:t>
      </w:r>
      <w:r w:rsidR="0014225A" w:rsidRPr="00BB1834">
        <w:rPr>
          <w:rStyle w:val="Lienhypertexte"/>
          <w:rFonts w:ascii="Segoe UI" w:hAnsi="Segoe UI" w:cs="Segoe UI"/>
          <w:noProof/>
          <w:color w:val="auto"/>
          <w:szCs w:val="20"/>
          <w:u w:val="none"/>
        </w:rPr>
        <w:t xml:space="preserve"> </w:t>
      </w:r>
      <w:r w:rsidR="00CA51C0" w:rsidRPr="00BB1834">
        <w:rPr>
          <w:rStyle w:val="Lienhypertexte"/>
          <w:rFonts w:ascii="Segoe UI" w:hAnsi="Segoe UI" w:cs="Segoe UI"/>
          <w:b/>
          <w:bCs/>
          <w:color w:val="auto"/>
          <w:szCs w:val="18"/>
          <w:u w:val="none"/>
        </w:rPr>
        <w:t>Toutefois,</w:t>
      </w:r>
      <w:r w:rsidR="00DC0C4E" w:rsidRPr="00BB1834">
        <w:rPr>
          <w:rStyle w:val="Lienhypertexte"/>
          <w:rFonts w:ascii="Segoe UI" w:hAnsi="Segoe UI" w:cs="Segoe UI"/>
          <w:b/>
          <w:bCs/>
          <w:color w:val="auto"/>
          <w:szCs w:val="18"/>
          <w:u w:val="none"/>
        </w:rPr>
        <w:t xml:space="preserve"> le durcissement du cadre prudentiel applicable aux </w:t>
      </w:r>
      <w:proofErr w:type="spellStart"/>
      <w:r w:rsidR="00DC0C4E" w:rsidRPr="00BB1834">
        <w:rPr>
          <w:rStyle w:val="Lienhypertexte"/>
          <w:rFonts w:ascii="Segoe UI" w:hAnsi="Segoe UI" w:cs="Segoe UI"/>
          <w:b/>
          <w:bCs/>
          <w:color w:val="auto"/>
          <w:szCs w:val="18"/>
          <w:u w:val="none"/>
        </w:rPr>
        <w:t>SBCs</w:t>
      </w:r>
      <w:proofErr w:type="spellEnd"/>
      <w:r w:rsidR="00DC0C4E" w:rsidRPr="00BB1834">
        <w:rPr>
          <w:rStyle w:val="Lienhypertexte"/>
          <w:rFonts w:ascii="Segoe UI" w:hAnsi="Segoe UI" w:cs="Segoe UI"/>
          <w:b/>
          <w:bCs/>
          <w:color w:val="auto"/>
          <w:szCs w:val="18"/>
          <w:u w:val="none"/>
        </w:rPr>
        <w:t xml:space="preserve"> a entrainé un déplacement</w:t>
      </w:r>
      <w:r w:rsidR="00DC0C4E">
        <w:rPr>
          <w:rStyle w:val="Lienhypertexte"/>
          <w:rFonts w:ascii="Segoe UI" w:hAnsi="Segoe UI" w:cs="Segoe UI"/>
          <w:b/>
          <w:bCs/>
          <w:color w:val="auto"/>
          <w:szCs w:val="18"/>
          <w:u w:val="none"/>
        </w:rPr>
        <w:t xml:space="preserve"> partiel d’</w:t>
      </w:r>
      <w:r w:rsidR="00CA51C0" w:rsidRPr="00CA51C0">
        <w:rPr>
          <w:rStyle w:val="Lienhypertexte"/>
          <w:rFonts w:ascii="Segoe UI" w:hAnsi="Segoe UI" w:cs="Segoe UI"/>
          <w:b/>
          <w:bCs/>
          <w:color w:val="auto"/>
          <w:szCs w:val="18"/>
          <w:u w:val="none"/>
        </w:rPr>
        <w:t xml:space="preserve">une partie des activités financières </w:t>
      </w:r>
      <w:r w:rsidR="00DC0C4E">
        <w:rPr>
          <w:rStyle w:val="Lienhypertexte"/>
          <w:rFonts w:ascii="Segoe UI" w:hAnsi="Segoe UI" w:cs="Segoe UI"/>
          <w:b/>
          <w:bCs/>
          <w:color w:val="auto"/>
          <w:szCs w:val="18"/>
          <w:u w:val="none"/>
        </w:rPr>
        <w:t>v</w:t>
      </w:r>
      <w:r w:rsidR="00CA51C0" w:rsidRPr="00CA51C0">
        <w:rPr>
          <w:rStyle w:val="Lienhypertexte"/>
          <w:rFonts w:ascii="Segoe UI" w:hAnsi="Segoe UI" w:cs="Segoe UI"/>
          <w:b/>
          <w:bCs/>
          <w:color w:val="auto"/>
          <w:szCs w:val="18"/>
          <w:u w:val="none"/>
        </w:rPr>
        <w:t xml:space="preserve">ers les </w:t>
      </w:r>
      <w:proofErr w:type="spellStart"/>
      <w:r w:rsidR="00CA51C0" w:rsidRPr="00CA51C0">
        <w:rPr>
          <w:rStyle w:val="Lienhypertexte"/>
          <w:rFonts w:ascii="Segoe UI" w:hAnsi="Segoe UI" w:cs="Segoe UI"/>
          <w:b/>
          <w:bCs/>
          <w:color w:val="auto"/>
          <w:szCs w:val="18"/>
          <w:u w:val="none"/>
        </w:rPr>
        <w:t>NBFCs</w:t>
      </w:r>
      <w:proofErr w:type="spellEnd"/>
      <w:r w:rsidR="00CA51C0" w:rsidRPr="00CA51C0">
        <w:rPr>
          <w:rStyle w:val="Lienhypertexte"/>
          <w:rFonts w:ascii="Segoe UI" w:hAnsi="Segoe UI" w:cs="Segoe UI"/>
          <w:b/>
          <w:bCs/>
          <w:color w:val="auto"/>
          <w:szCs w:val="18"/>
          <w:u w:val="none"/>
        </w:rPr>
        <w:t>, où les contraintes prudentielles sont moins fortes,</w:t>
      </w:r>
      <w:r w:rsidR="00CA51C0" w:rsidRPr="00CA51C0">
        <w:rPr>
          <w:rStyle w:val="Lienhypertexte"/>
          <w:rFonts w:ascii="Segoe UI" w:hAnsi="Segoe UI" w:cs="Segoe UI"/>
          <w:color w:val="auto"/>
          <w:szCs w:val="18"/>
          <w:u w:val="none"/>
        </w:rPr>
        <w:t xml:space="preserve"> ce que reflète la hausse continue du nombre de </w:t>
      </w:r>
      <w:proofErr w:type="spellStart"/>
      <w:r w:rsidR="00CA51C0" w:rsidRPr="00CA51C0">
        <w:rPr>
          <w:rStyle w:val="Lienhypertexte"/>
          <w:rFonts w:ascii="Segoe UI" w:hAnsi="Segoe UI" w:cs="Segoe UI"/>
          <w:color w:val="auto"/>
          <w:szCs w:val="18"/>
          <w:u w:val="none"/>
        </w:rPr>
        <w:t>NBFCs</w:t>
      </w:r>
      <w:proofErr w:type="spellEnd"/>
      <w:r w:rsidR="00CA51C0" w:rsidRPr="00CA51C0">
        <w:rPr>
          <w:rStyle w:val="Lienhypertexte"/>
          <w:rFonts w:ascii="Segoe UI" w:hAnsi="Segoe UI" w:cs="Segoe UI"/>
          <w:color w:val="auto"/>
          <w:szCs w:val="18"/>
          <w:u w:val="none"/>
        </w:rPr>
        <w:t xml:space="preserve"> depuis l’adoption des normes de Bâle III. En effet, </w:t>
      </w:r>
      <w:r w:rsidR="004C40CA" w:rsidRPr="00F81E02">
        <w:rPr>
          <w:rStyle w:val="Lienhypertexte"/>
          <w:rFonts w:ascii="Segoe UI" w:hAnsi="Segoe UI" w:cs="Segoe UI"/>
          <w:b/>
          <w:bCs/>
          <w:color w:val="auto"/>
          <w:szCs w:val="18"/>
          <w:u w:val="none"/>
        </w:rPr>
        <w:t xml:space="preserve">les </w:t>
      </w:r>
      <w:proofErr w:type="spellStart"/>
      <w:r w:rsidR="004C40CA" w:rsidRPr="00F81E02">
        <w:rPr>
          <w:rStyle w:val="Lienhypertexte"/>
          <w:rFonts w:ascii="Segoe UI" w:hAnsi="Segoe UI" w:cs="Segoe UI"/>
          <w:b/>
          <w:bCs/>
          <w:color w:val="auto"/>
          <w:szCs w:val="18"/>
          <w:u w:val="none"/>
        </w:rPr>
        <w:t>NBFCs</w:t>
      </w:r>
      <w:proofErr w:type="spellEnd"/>
      <w:r w:rsidR="004C40CA" w:rsidRPr="00F81E02">
        <w:rPr>
          <w:rStyle w:val="Lienhypertexte"/>
          <w:rFonts w:ascii="Segoe UI" w:hAnsi="Segoe UI" w:cs="Segoe UI"/>
          <w:b/>
          <w:bCs/>
          <w:color w:val="auto"/>
          <w:szCs w:val="18"/>
          <w:u w:val="none"/>
        </w:rPr>
        <w:t xml:space="preserve"> relèvent d’un cadre différencié, historiquement moins contraignant,</w:t>
      </w:r>
      <w:r w:rsidR="004C40CA" w:rsidRPr="00BF4ADC">
        <w:rPr>
          <w:rStyle w:val="Lienhypertexte"/>
          <w:rFonts w:ascii="Segoe UI" w:hAnsi="Segoe UI" w:cs="Segoe UI"/>
          <w:color w:val="auto"/>
          <w:szCs w:val="18"/>
          <w:u w:val="none"/>
        </w:rPr>
        <w:t xml:space="preserve"> mais progressivement renforcé depuis la faillite d’IL&amp;FS en 201</w:t>
      </w:r>
      <w:r w:rsidR="004C40CA">
        <w:rPr>
          <w:rStyle w:val="Lienhypertexte"/>
          <w:rFonts w:ascii="Segoe UI" w:hAnsi="Segoe UI" w:cs="Segoe UI"/>
          <w:color w:val="auto"/>
          <w:szCs w:val="18"/>
          <w:u w:val="none"/>
        </w:rPr>
        <w:t>8</w:t>
      </w:r>
      <w:r w:rsidR="004C40CA">
        <w:rPr>
          <w:rStyle w:val="Appeldenotedefin"/>
          <w:rFonts w:ascii="Segoe UI" w:hAnsi="Segoe UI" w:cs="Segoe UI"/>
          <w:szCs w:val="18"/>
        </w:rPr>
        <w:endnoteReference w:id="8"/>
      </w:r>
      <w:r w:rsidR="00DC0C4E">
        <w:rPr>
          <w:rStyle w:val="Lienhypertexte"/>
          <w:rFonts w:ascii="Segoe UI" w:hAnsi="Segoe UI" w:cs="Segoe UI"/>
          <w:color w:val="auto"/>
          <w:szCs w:val="18"/>
          <w:u w:val="none"/>
        </w:rPr>
        <w:t xml:space="preserve">, et ce </w:t>
      </w:r>
      <w:r w:rsidR="004C40CA" w:rsidRPr="00BF4ADC">
        <w:rPr>
          <w:rStyle w:val="Lienhypertexte"/>
          <w:rFonts w:ascii="Segoe UI" w:hAnsi="Segoe UI" w:cs="Segoe UI"/>
          <w:color w:val="auto"/>
          <w:szCs w:val="18"/>
          <w:u w:val="none"/>
        </w:rPr>
        <w:t xml:space="preserve">afin de réduire les vulnérabilités du secteur et de rapprocher leurs exigences prudentielles de celles applicables aux </w:t>
      </w:r>
      <w:proofErr w:type="spellStart"/>
      <w:r w:rsidR="004C40CA" w:rsidRPr="00BF4ADC">
        <w:rPr>
          <w:rStyle w:val="Lienhypertexte"/>
          <w:rFonts w:ascii="Segoe UI" w:hAnsi="Segoe UI" w:cs="Segoe UI"/>
          <w:color w:val="auto"/>
          <w:szCs w:val="18"/>
          <w:u w:val="none"/>
        </w:rPr>
        <w:t>SCBs</w:t>
      </w:r>
      <w:proofErr w:type="spellEnd"/>
      <w:r w:rsidR="00CA51C0">
        <w:rPr>
          <w:rStyle w:val="Lienhypertexte"/>
          <w:rFonts w:ascii="Segoe UI" w:hAnsi="Segoe UI" w:cs="Segoe UI"/>
          <w:color w:val="auto"/>
          <w:szCs w:val="18"/>
          <w:u w:val="none"/>
        </w:rPr>
        <w:t xml:space="preserve">. </w:t>
      </w:r>
      <w:r w:rsidR="00CA51C0" w:rsidRPr="00BF4ADC">
        <w:rPr>
          <w:rStyle w:val="Lienhypertexte"/>
          <w:rFonts w:ascii="Segoe UI" w:hAnsi="Segoe UI" w:cs="Segoe UI"/>
          <w:color w:val="auto"/>
          <w:szCs w:val="18"/>
          <w:u w:val="none"/>
        </w:rPr>
        <w:t>Si cette différenciation réglementaire reflète la diversité des acteurs, elle crée également des incitations à l’arbitrage</w:t>
      </w:r>
      <w:r w:rsidR="00DC0C4E">
        <w:rPr>
          <w:rStyle w:val="Lienhypertexte"/>
          <w:rFonts w:ascii="Segoe UI" w:hAnsi="Segoe UI" w:cs="Segoe UI"/>
          <w:color w:val="auto"/>
          <w:szCs w:val="18"/>
          <w:u w:val="none"/>
        </w:rPr>
        <w:t>.</w:t>
      </w:r>
      <w:r w:rsidR="00CA51C0">
        <w:rPr>
          <w:rStyle w:val="Lienhypertexte"/>
          <w:rFonts w:ascii="Segoe UI" w:hAnsi="Segoe UI" w:cs="Segoe UI"/>
          <w:color w:val="auto"/>
          <w:szCs w:val="18"/>
          <w:u w:val="none"/>
        </w:rPr>
        <w:t xml:space="preserve"> </w:t>
      </w:r>
    </w:p>
    <w:p w14:paraId="0613B4CB" w14:textId="12344C52" w:rsidR="004C40CA" w:rsidRPr="007F3A7F" w:rsidRDefault="004C40CA" w:rsidP="00BB1834">
      <w:pPr>
        <w:pStyle w:val="Sansinterligne"/>
        <w:spacing w:after="120"/>
        <w:jc w:val="both"/>
        <w:rPr>
          <w:rStyle w:val="Lienhypertexte"/>
          <w:rFonts w:ascii="Segoe UI" w:hAnsi="Segoe UI" w:cs="Segoe UI"/>
          <w:b/>
          <w:bCs/>
          <w:color w:val="000091" w:themeColor="text1"/>
          <w:szCs w:val="14"/>
          <w:u w:val="none"/>
          <w:lang w:eastAsia="fr-FR"/>
        </w:rPr>
      </w:pPr>
      <w:r w:rsidRPr="00BF4ADC">
        <w:rPr>
          <w:rFonts w:ascii="Segoe UI" w:hAnsi="Segoe UI" w:cs="Segoe UI"/>
          <w:b/>
          <w:bCs/>
          <w:color w:val="000091" w:themeColor="text1"/>
          <w:szCs w:val="14"/>
          <w:lang w:eastAsia="fr-FR"/>
        </w:rPr>
        <w:t xml:space="preserve">II / </w:t>
      </w:r>
      <w:r w:rsidR="00B61733">
        <w:rPr>
          <w:rFonts w:ascii="Segoe UI" w:hAnsi="Segoe UI" w:cs="Segoe UI"/>
          <w:b/>
          <w:bCs/>
          <w:color w:val="000091" w:themeColor="text1"/>
          <w:szCs w:val="14"/>
          <w:lang w:eastAsia="fr-FR"/>
        </w:rPr>
        <w:t xml:space="preserve">Un croissance dynamique du crédit, au profit des </w:t>
      </w:r>
      <w:proofErr w:type="spellStart"/>
      <w:r w:rsidR="00B61733">
        <w:rPr>
          <w:rFonts w:ascii="Segoe UI" w:hAnsi="Segoe UI" w:cs="Segoe UI"/>
          <w:b/>
          <w:bCs/>
          <w:color w:val="000091" w:themeColor="text1"/>
          <w:szCs w:val="14"/>
          <w:lang w:eastAsia="fr-FR"/>
        </w:rPr>
        <w:t>MPMEs</w:t>
      </w:r>
      <w:proofErr w:type="spellEnd"/>
      <w:r w:rsidR="00B61733">
        <w:rPr>
          <w:rFonts w:ascii="Segoe UI" w:hAnsi="Segoe UI" w:cs="Segoe UI"/>
          <w:b/>
          <w:bCs/>
          <w:color w:val="000091" w:themeColor="text1"/>
          <w:szCs w:val="14"/>
          <w:lang w:eastAsia="fr-FR"/>
        </w:rPr>
        <w:t xml:space="preserve"> et du crédit à la consommation</w:t>
      </w:r>
    </w:p>
    <w:p w14:paraId="1FFD8021" w14:textId="5C0234F3" w:rsidR="004C40CA" w:rsidRDefault="004C40CA" w:rsidP="00BB1834">
      <w:pPr>
        <w:pStyle w:val="Brvesco-Normal"/>
        <w:spacing w:after="120" w:line="240" w:lineRule="auto"/>
        <w:ind w:left="-284"/>
        <w:rPr>
          <w:rStyle w:val="Lienhypertexte"/>
          <w:rFonts w:ascii="Segoe UI" w:hAnsi="Segoe UI" w:cs="Segoe UI"/>
          <w:noProof/>
          <w:color w:val="auto"/>
          <w:szCs w:val="20"/>
          <w:u w:val="none"/>
        </w:rPr>
      </w:pPr>
      <w:r>
        <w:rPr>
          <w:rStyle w:val="Lienhypertexte"/>
          <w:rFonts w:ascii="Segoe UI" w:hAnsi="Segoe UI" w:cs="Segoe UI"/>
          <w:noProof/>
          <w:color w:val="auto"/>
          <w:szCs w:val="20"/>
          <w:u w:val="none"/>
        </w:rPr>
        <w:t xml:space="preserve">Au cours de la dernière décennie, la croissance du crédit a oscillé </w:t>
      </w:r>
      <w:r w:rsidRPr="00A0489B">
        <w:rPr>
          <w:rStyle w:val="Lienhypertexte"/>
          <w:rFonts w:ascii="Segoe UI" w:hAnsi="Segoe UI" w:cs="Segoe UI"/>
          <w:b/>
          <w:bCs/>
          <w:noProof/>
          <w:color w:val="auto"/>
          <w:szCs w:val="20"/>
          <w:u w:val="none"/>
        </w:rPr>
        <w:t>dans une fourchette comprise entre 9 et 15% et tend désormais à progresser de manière modérée</w:t>
      </w:r>
      <w:r>
        <w:rPr>
          <w:rStyle w:val="Lienhypertexte"/>
          <w:rFonts w:ascii="Segoe UI" w:hAnsi="Segoe UI" w:cs="Segoe UI"/>
          <w:noProof/>
          <w:color w:val="auto"/>
          <w:szCs w:val="20"/>
          <w:u w:val="none"/>
        </w:rPr>
        <w:t xml:space="preserve">. Selon les dernières données officielles disponibles publiées par la RBI, en août 2025 le crédit enregistrait une croissance de 9,9% en glissement annuel, contre 13,6% l’année dernière à la même période. Parmi les segments les plus dynamiques, les prêts personnels ont enregistré une hausse de 11,8% en g.a., suivis du secteur des services (10,6% en g.a.) et de l’agriculture (7,6% en g.a.) (c.f.annexe 4). </w:t>
      </w:r>
    </w:p>
    <w:p w14:paraId="6CAB7E35" w14:textId="4E0F27DE" w:rsidR="004C40CA" w:rsidRDefault="004C40CA" w:rsidP="00282025">
      <w:pPr>
        <w:pStyle w:val="Brvesco-Normal"/>
        <w:spacing w:after="60" w:line="240" w:lineRule="auto"/>
        <w:ind w:left="-284"/>
        <w:rPr>
          <w:rStyle w:val="Lienhypertexte"/>
          <w:rFonts w:ascii="Segoe UI" w:hAnsi="Segoe UI" w:cs="Segoe UI"/>
          <w:noProof/>
          <w:color w:val="auto"/>
          <w:szCs w:val="20"/>
          <w:u w:val="none"/>
        </w:rPr>
      </w:pPr>
      <w:r w:rsidRPr="003C3D05">
        <w:rPr>
          <w:rStyle w:val="Lienhypertexte"/>
          <w:rFonts w:ascii="Segoe UI" w:hAnsi="Segoe UI" w:cs="Segoe UI"/>
          <w:b/>
          <w:bCs/>
          <w:noProof/>
          <w:color w:val="auto"/>
          <w:szCs w:val="20"/>
          <w:u w:val="none"/>
        </w:rPr>
        <w:t>Le segment du crédit aux micros, petites et moyennes entreprises (MPMEs</w:t>
      </w:r>
      <w:r w:rsidRPr="003C3D05">
        <w:rPr>
          <w:rStyle w:val="Lienhypertexte"/>
          <w:rFonts w:ascii="Segoe UI" w:hAnsi="Segoe UI" w:cs="Segoe UI"/>
          <w:noProof/>
          <w:color w:val="auto"/>
          <w:szCs w:val="20"/>
          <w:u w:val="none"/>
        </w:rPr>
        <w:t>),</w:t>
      </w:r>
      <w:r>
        <w:rPr>
          <w:rStyle w:val="Lienhypertexte"/>
          <w:rFonts w:ascii="Segoe UI" w:hAnsi="Segoe UI" w:cs="Segoe UI"/>
          <w:noProof/>
          <w:color w:val="auto"/>
          <w:szCs w:val="20"/>
          <w:u w:val="none"/>
        </w:rPr>
        <w:t xml:space="preserve"> pilier essentiel de l’économie indienne, représentant 30% du produit intérieur brut indien, a augmenté de 13% en g.a. </w:t>
      </w:r>
      <w:r w:rsidRPr="003C3D05">
        <w:rPr>
          <w:rStyle w:val="Lienhypertexte"/>
          <w:rFonts w:ascii="Segoe UI" w:hAnsi="Segoe UI" w:cs="Segoe UI"/>
          <w:b/>
          <w:bCs/>
          <w:noProof/>
          <w:color w:val="auto"/>
          <w:szCs w:val="20"/>
          <w:u w:val="none"/>
        </w:rPr>
        <w:t>Sa progression est facilitée depuis 2020 par une meilleure inclusion financière</w:t>
      </w:r>
      <w:r w:rsidRPr="003C3D05">
        <w:rPr>
          <w:rStyle w:val="Appeldenotedefin"/>
          <w:rFonts w:ascii="Segoe UI" w:hAnsi="Segoe UI" w:cs="Segoe UI"/>
          <w:b/>
          <w:bCs/>
          <w:noProof/>
          <w:color w:val="auto"/>
          <w:szCs w:val="20"/>
        </w:rPr>
        <w:endnoteReference w:id="9"/>
      </w:r>
      <w:r w:rsidRPr="003C3D05">
        <w:rPr>
          <w:rStyle w:val="Lienhypertexte"/>
          <w:rFonts w:ascii="Segoe UI" w:hAnsi="Segoe UI" w:cs="Segoe UI"/>
          <w:b/>
          <w:bCs/>
          <w:noProof/>
          <w:color w:val="auto"/>
          <w:szCs w:val="20"/>
          <w:u w:val="none"/>
        </w:rPr>
        <w:t xml:space="preserve"> et le renforcement du </w:t>
      </w:r>
      <w:r w:rsidRPr="003C3D05">
        <w:rPr>
          <w:rStyle w:val="Lienhypertexte"/>
          <w:rFonts w:ascii="Segoe UI" w:hAnsi="Segoe UI" w:cs="Segoe UI"/>
          <w:b/>
          <w:bCs/>
          <w:i/>
          <w:iCs/>
          <w:noProof/>
          <w:color w:val="auto"/>
          <w:szCs w:val="20"/>
          <w:u w:val="none"/>
        </w:rPr>
        <w:t>Priority Sector Lending</w:t>
      </w:r>
      <w:r w:rsidRPr="003C3D05">
        <w:rPr>
          <w:rStyle w:val="Appeldenotedefin"/>
          <w:rFonts w:ascii="Segoe UI" w:hAnsi="Segoe UI" w:cs="Segoe UI"/>
          <w:b/>
          <w:bCs/>
          <w:noProof/>
          <w:color w:val="auto"/>
          <w:szCs w:val="20"/>
        </w:rPr>
        <w:endnoteReference w:id="10"/>
      </w:r>
      <w:r w:rsidRPr="003C3D05">
        <w:rPr>
          <w:rStyle w:val="Lienhypertexte"/>
          <w:rFonts w:ascii="Segoe UI" w:hAnsi="Segoe UI" w:cs="Segoe UI"/>
          <w:b/>
          <w:bCs/>
          <w:noProof/>
          <w:color w:val="auto"/>
          <w:szCs w:val="20"/>
          <w:u w:val="none"/>
        </w:rPr>
        <w:t xml:space="preserve"> dont les objectifs ont été élargis en 2025.</w:t>
      </w:r>
      <w:r>
        <w:rPr>
          <w:rStyle w:val="Lienhypertexte"/>
          <w:rFonts w:ascii="Segoe UI" w:hAnsi="Segoe UI" w:cs="Segoe UI"/>
          <w:noProof/>
          <w:color w:val="auto"/>
          <w:szCs w:val="20"/>
          <w:u w:val="none"/>
        </w:rPr>
        <w:t xml:space="preserve"> Cette réglementation</w:t>
      </w:r>
      <w:r w:rsidRPr="00FA69CB">
        <w:rPr>
          <w:rStyle w:val="Lienhypertexte"/>
          <w:rFonts w:ascii="Segoe UI" w:hAnsi="Segoe UI" w:cs="Segoe UI"/>
          <w:noProof/>
          <w:color w:val="auto"/>
          <w:szCs w:val="20"/>
          <w:u w:val="none"/>
        </w:rPr>
        <w:t xml:space="preserve"> impos</w:t>
      </w:r>
      <w:r>
        <w:rPr>
          <w:rStyle w:val="Lienhypertexte"/>
          <w:rFonts w:ascii="Segoe UI" w:hAnsi="Segoe UI" w:cs="Segoe UI"/>
          <w:noProof/>
          <w:color w:val="auto"/>
          <w:szCs w:val="20"/>
          <w:u w:val="none"/>
        </w:rPr>
        <w:t xml:space="preserve">e </w:t>
      </w:r>
      <w:r w:rsidRPr="00FA69CB">
        <w:rPr>
          <w:rStyle w:val="Lienhypertexte"/>
          <w:rFonts w:ascii="Segoe UI" w:hAnsi="Segoe UI" w:cs="Segoe UI"/>
          <w:noProof/>
          <w:color w:val="auto"/>
          <w:szCs w:val="20"/>
          <w:u w:val="none"/>
        </w:rPr>
        <w:t xml:space="preserve">aux banques commerciales de consacrer </w:t>
      </w:r>
      <w:r>
        <w:rPr>
          <w:rStyle w:val="Lienhypertexte"/>
          <w:rFonts w:ascii="Segoe UI" w:hAnsi="Segoe UI" w:cs="Segoe UI"/>
          <w:noProof/>
          <w:color w:val="auto"/>
          <w:szCs w:val="20"/>
          <w:u w:val="none"/>
        </w:rPr>
        <w:t xml:space="preserve">aux secteurs prioritaires </w:t>
      </w:r>
      <w:r w:rsidRPr="00FA69CB">
        <w:rPr>
          <w:rStyle w:val="Lienhypertexte"/>
          <w:rFonts w:ascii="Segoe UI" w:hAnsi="Segoe UI" w:cs="Segoe UI"/>
          <w:noProof/>
          <w:color w:val="auto"/>
          <w:szCs w:val="20"/>
          <w:u w:val="none"/>
        </w:rPr>
        <w:t xml:space="preserve">une part minimale de </w:t>
      </w:r>
      <w:r>
        <w:rPr>
          <w:rStyle w:val="Lienhypertexte"/>
          <w:rFonts w:ascii="Segoe UI" w:hAnsi="Segoe UI" w:cs="Segoe UI"/>
          <w:noProof/>
          <w:color w:val="auto"/>
          <w:szCs w:val="20"/>
          <w:u w:val="none"/>
        </w:rPr>
        <w:t xml:space="preserve">leurs </w:t>
      </w:r>
      <w:r w:rsidRPr="00FA69CB">
        <w:rPr>
          <w:rStyle w:val="Lienhypertexte"/>
          <w:rFonts w:ascii="Segoe UI" w:hAnsi="Segoe UI" w:cs="Segoe UI"/>
          <w:noProof/>
          <w:color w:val="auto"/>
          <w:szCs w:val="20"/>
          <w:u w:val="none"/>
        </w:rPr>
        <w:t>financement</w:t>
      </w:r>
      <w:r>
        <w:rPr>
          <w:rStyle w:val="Lienhypertexte"/>
          <w:rFonts w:ascii="Segoe UI" w:hAnsi="Segoe UI" w:cs="Segoe UI"/>
          <w:noProof/>
          <w:color w:val="auto"/>
          <w:szCs w:val="20"/>
          <w:u w:val="none"/>
        </w:rPr>
        <w:t xml:space="preserve">s </w:t>
      </w:r>
      <w:r w:rsidRPr="00FA69CB">
        <w:rPr>
          <w:rStyle w:val="Lienhypertexte"/>
          <w:rFonts w:ascii="Segoe UI" w:hAnsi="Segoe UI" w:cs="Segoe UI"/>
          <w:noProof/>
          <w:color w:val="auto"/>
          <w:szCs w:val="20"/>
          <w:u w:val="none"/>
        </w:rPr>
        <w:t>à des conditions plus favorables, dont les MSMEs</w:t>
      </w:r>
      <w:r>
        <w:rPr>
          <w:rStyle w:val="Lienhypertexte"/>
          <w:rFonts w:ascii="Segoe UI" w:hAnsi="Segoe UI" w:cs="Segoe UI"/>
          <w:noProof/>
          <w:color w:val="auto"/>
          <w:szCs w:val="20"/>
          <w:u w:val="none"/>
        </w:rPr>
        <w:t>,</w:t>
      </w:r>
      <w:r w:rsidRPr="00FA69CB">
        <w:rPr>
          <w:rStyle w:val="Lienhypertexte"/>
          <w:rFonts w:ascii="Segoe UI" w:hAnsi="Segoe UI" w:cs="Segoe UI"/>
          <w:noProof/>
          <w:color w:val="auto"/>
          <w:szCs w:val="20"/>
          <w:u w:val="none"/>
        </w:rPr>
        <w:t xml:space="preserve"> </w:t>
      </w:r>
      <w:r>
        <w:rPr>
          <w:rStyle w:val="Lienhypertexte"/>
          <w:rFonts w:ascii="Segoe UI" w:hAnsi="Segoe UI" w:cs="Segoe UI"/>
          <w:noProof/>
          <w:color w:val="auto"/>
          <w:szCs w:val="20"/>
          <w:u w:val="none"/>
        </w:rPr>
        <w:t>l</w:t>
      </w:r>
      <w:r w:rsidRPr="00282025">
        <w:rPr>
          <w:rStyle w:val="Lienhypertexte"/>
          <w:rFonts w:ascii="Segoe UI" w:hAnsi="Segoe UI" w:cs="Segoe UI"/>
          <w:noProof/>
          <w:color w:val="auto"/>
          <w:szCs w:val="20"/>
          <w:u w:val="none"/>
        </w:rPr>
        <w:t>ongtemps dépendantes du financement informel</w:t>
      </w:r>
      <w:r>
        <w:rPr>
          <w:rStyle w:val="Lienhypertexte"/>
          <w:rFonts w:ascii="Segoe UI" w:hAnsi="Segoe UI" w:cs="Segoe UI"/>
          <w:noProof/>
          <w:color w:val="auto"/>
          <w:szCs w:val="20"/>
          <w:u w:val="none"/>
        </w:rPr>
        <w:t>.</w:t>
      </w:r>
    </w:p>
    <w:p w14:paraId="749C613E" w14:textId="692693C3" w:rsidR="004C40CA" w:rsidRDefault="004C40CA" w:rsidP="00BA3519">
      <w:pPr>
        <w:pStyle w:val="Brvesco-Normal"/>
        <w:spacing w:after="60" w:line="240" w:lineRule="auto"/>
        <w:ind w:left="-284"/>
        <w:rPr>
          <w:rStyle w:val="Lienhypertexte"/>
          <w:rFonts w:ascii="Segoe UI" w:hAnsi="Segoe UI" w:cs="Segoe UI"/>
          <w:noProof/>
          <w:color w:val="auto"/>
          <w:szCs w:val="20"/>
          <w:u w:val="none"/>
        </w:rPr>
      </w:pPr>
      <w:r w:rsidRPr="003C3D05">
        <w:rPr>
          <w:rStyle w:val="Lienhypertexte"/>
          <w:rFonts w:ascii="Segoe UI" w:hAnsi="Segoe UI" w:cs="Segoe UI"/>
          <w:noProof/>
          <w:color w:val="auto"/>
          <w:szCs w:val="20"/>
          <w:u w:val="none"/>
        </w:rPr>
        <w:t xml:space="preserve">En matière </w:t>
      </w:r>
      <w:r w:rsidRPr="003C3D05">
        <w:rPr>
          <w:rStyle w:val="Lienhypertexte"/>
          <w:rFonts w:ascii="Segoe UI" w:hAnsi="Segoe UI" w:cs="Segoe UI"/>
          <w:b/>
          <w:bCs/>
          <w:noProof/>
          <w:color w:val="auto"/>
          <w:szCs w:val="20"/>
          <w:u w:val="none"/>
        </w:rPr>
        <w:t>de crédit alloué aux infrastructures, bien que l’encours bancaire soit élevé, de l’ordre de 150 Mds USD</w:t>
      </w:r>
      <w:r w:rsidRPr="003C3D05">
        <w:rPr>
          <w:rStyle w:val="Appeldenotedefin"/>
          <w:rFonts w:ascii="Segoe UI" w:hAnsi="Segoe UI" w:cs="Segoe UI"/>
          <w:b/>
          <w:bCs/>
          <w:noProof/>
          <w:color w:val="auto"/>
          <w:szCs w:val="20"/>
        </w:rPr>
        <w:endnoteReference w:id="11"/>
      </w:r>
      <w:r w:rsidRPr="003C3D05">
        <w:rPr>
          <w:rStyle w:val="Lienhypertexte"/>
          <w:rFonts w:ascii="Segoe UI" w:hAnsi="Segoe UI" w:cs="Segoe UI"/>
          <w:b/>
          <w:bCs/>
          <w:noProof/>
          <w:color w:val="auto"/>
          <w:szCs w:val="20"/>
          <w:u w:val="none"/>
        </w:rPr>
        <w:t>, la croissance du crédit en la matière reste quasi nulle (+0 à 1%) eu égard à la nature des actifs jugés risqués, complexes et mobilisant les fonds propres à long terme</w:t>
      </w:r>
      <w:r>
        <w:rPr>
          <w:rStyle w:val="Lienhypertexte"/>
          <w:rFonts w:ascii="Segoe UI" w:hAnsi="Segoe UI" w:cs="Segoe UI"/>
          <w:noProof/>
          <w:color w:val="auto"/>
          <w:szCs w:val="20"/>
          <w:u w:val="none"/>
        </w:rPr>
        <w:t>. Ainsi, les o</w:t>
      </w:r>
      <w:r w:rsidRPr="00B630A6">
        <w:rPr>
          <w:rStyle w:val="Lienhypertexte"/>
          <w:rFonts w:ascii="Segoe UI" w:hAnsi="Segoe UI" w:cs="Segoe UI"/>
          <w:noProof/>
          <w:color w:val="auto"/>
          <w:szCs w:val="20"/>
          <w:u w:val="none"/>
        </w:rPr>
        <w:t>bligations et financements alternatifs (</w:t>
      </w:r>
      <w:r>
        <w:rPr>
          <w:rStyle w:val="Lienhypertexte"/>
          <w:rFonts w:ascii="Segoe UI" w:hAnsi="Segoe UI" w:cs="Segoe UI"/>
          <w:noProof/>
          <w:color w:val="auto"/>
          <w:szCs w:val="20"/>
          <w:u w:val="none"/>
        </w:rPr>
        <w:t>National Bank for Financing Infrastructure &amp; Development (NaBFID))</w:t>
      </w:r>
      <w:r>
        <w:rPr>
          <w:rStyle w:val="Appeldenotedefin"/>
          <w:rFonts w:ascii="Segoe UI" w:hAnsi="Segoe UI" w:cs="Segoe UI"/>
          <w:noProof/>
          <w:color w:val="auto"/>
          <w:szCs w:val="20"/>
        </w:rPr>
        <w:endnoteReference w:id="12"/>
      </w:r>
      <w:r>
        <w:rPr>
          <w:rStyle w:val="Lienhypertexte"/>
          <w:rFonts w:ascii="Segoe UI" w:hAnsi="Segoe UI" w:cs="Segoe UI"/>
          <w:noProof/>
          <w:color w:val="auto"/>
          <w:szCs w:val="20"/>
          <w:u w:val="none"/>
        </w:rPr>
        <w:t xml:space="preserve">, les </w:t>
      </w:r>
      <w:r w:rsidRPr="00B630A6">
        <w:rPr>
          <w:rStyle w:val="Lienhypertexte"/>
          <w:rFonts w:ascii="Segoe UI" w:hAnsi="Segoe UI" w:cs="Segoe UI"/>
          <w:noProof/>
          <w:color w:val="auto"/>
          <w:szCs w:val="20"/>
          <w:u w:val="none"/>
        </w:rPr>
        <w:t xml:space="preserve">cofinancements multilatéraux, </w:t>
      </w:r>
      <w:r>
        <w:rPr>
          <w:rStyle w:val="Lienhypertexte"/>
          <w:rFonts w:ascii="Segoe UI" w:hAnsi="Segoe UI" w:cs="Segoe UI"/>
          <w:noProof/>
          <w:color w:val="auto"/>
          <w:szCs w:val="20"/>
          <w:u w:val="none"/>
        </w:rPr>
        <w:t xml:space="preserve">les </w:t>
      </w:r>
      <w:r w:rsidRPr="00B630A6">
        <w:rPr>
          <w:rStyle w:val="Lienhypertexte"/>
          <w:rFonts w:ascii="Segoe UI" w:hAnsi="Segoe UI" w:cs="Segoe UI"/>
          <w:noProof/>
          <w:color w:val="auto"/>
          <w:szCs w:val="20"/>
          <w:u w:val="none"/>
        </w:rPr>
        <w:t>fonds d’infrastructure privés</w:t>
      </w:r>
      <w:r>
        <w:rPr>
          <w:rStyle w:val="Lienhypertexte"/>
          <w:rFonts w:ascii="Segoe UI" w:hAnsi="Segoe UI" w:cs="Segoe UI"/>
          <w:noProof/>
          <w:color w:val="auto"/>
          <w:szCs w:val="20"/>
          <w:u w:val="none"/>
        </w:rPr>
        <w:t>,</w:t>
      </w:r>
      <w:r w:rsidRPr="00B630A6">
        <w:rPr>
          <w:rStyle w:val="Lienhypertexte"/>
          <w:rFonts w:ascii="Segoe UI" w:hAnsi="Segoe UI" w:cs="Segoe UI"/>
          <w:noProof/>
          <w:color w:val="auto"/>
          <w:szCs w:val="20"/>
          <w:u w:val="none"/>
        </w:rPr>
        <w:t xml:space="preserve"> </w:t>
      </w:r>
      <w:r>
        <w:rPr>
          <w:rStyle w:val="Lienhypertexte"/>
          <w:rFonts w:ascii="Segoe UI" w:hAnsi="Segoe UI" w:cs="Segoe UI"/>
          <w:noProof/>
          <w:color w:val="auto"/>
          <w:szCs w:val="20"/>
          <w:u w:val="none"/>
        </w:rPr>
        <w:t xml:space="preserve">sont devenus les </w:t>
      </w:r>
      <w:r w:rsidRPr="00B630A6">
        <w:rPr>
          <w:rStyle w:val="Lienhypertexte"/>
          <w:rFonts w:ascii="Segoe UI" w:hAnsi="Segoe UI" w:cs="Segoe UI"/>
          <w:noProof/>
          <w:color w:val="auto"/>
          <w:szCs w:val="20"/>
          <w:u w:val="none"/>
        </w:rPr>
        <w:t>cana</w:t>
      </w:r>
      <w:r>
        <w:rPr>
          <w:rStyle w:val="Lienhypertexte"/>
          <w:rFonts w:ascii="Segoe UI" w:hAnsi="Segoe UI" w:cs="Segoe UI"/>
          <w:noProof/>
          <w:color w:val="auto"/>
          <w:szCs w:val="20"/>
          <w:u w:val="none"/>
        </w:rPr>
        <w:t xml:space="preserve">ux </w:t>
      </w:r>
      <w:r w:rsidRPr="00B630A6">
        <w:rPr>
          <w:rStyle w:val="Lienhypertexte"/>
          <w:rFonts w:ascii="Segoe UI" w:hAnsi="Segoe UI" w:cs="Segoe UI"/>
          <w:noProof/>
          <w:color w:val="auto"/>
          <w:szCs w:val="20"/>
          <w:u w:val="none"/>
        </w:rPr>
        <w:t>principa</w:t>
      </w:r>
      <w:r>
        <w:rPr>
          <w:rStyle w:val="Lienhypertexte"/>
          <w:rFonts w:ascii="Segoe UI" w:hAnsi="Segoe UI" w:cs="Segoe UI"/>
          <w:noProof/>
          <w:color w:val="auto"/>
          <w:szCs w:val="20"/>
          <w:u w:val="none"/>
        </w:rPr>
        <w:t>ux</w:t>
      </w:r>
      <w:r w:rsidRPr="00B630A6">
        <w:rPr>
          <w:rStyle w:val="Lienhypertexte"/>
          <w:rFonts w:ascii="Segoe UI" w:hAnsi="Segoe UI" w:cs="Segoe UI"/>
          <w:noProof/>
          <w:color w:val="auto"/>
          <w:szCs w:val="20"/>
          <w:u w:val="none"/>
        </w:rPr>
        <w:t xml:space="preserve"> </w:t>
      </w:r>
      <w:r w:rsidR="003C3D05">
        <w:rPr>
          <w:rStyle w:val="Lienhypertexte"/>
          <w:rFonts w:ascii="Segoe UI" w:hAnsi="Segoe UI" w:cs="Segoe UI"/>
          <w:noProof/>
          <w:color w:val="auto"/>
          <w:szCs w:val="20"/>
          <w:u w:val="none"/>
        </w:rPr>
        <w:t xml:space="preserve">du </w:t>
      </w:r>
      <w:r>
        <w:rPr>
          <w:rStyle w:val="Lienhypertexte"/>
          <w:rFonts w:ascii="Segoe UI" w:hAnsi="Segoe UI" w:cs="Segoe UI"/>
          <w:noProof/>
          <w:color w:val="auto"/>
          <w:szCs w:val="20"/>
          <w:u w:val="none"/>
        </w:rPr>
        <w:t xml:space="preserve">décaissement </w:t>
      </w:r>
      <w:r w:rsidRPr="00B630A6">
        <w:rPr>
          <w:rStyle w:val="Lienhypertexte"/>
          <w:rFonts w:ascii="Segoe UI" w:hAnsi="Segoe UI" w:cs="Segoe UI"/>
          <w:noProof/>
          <w:color w:val="auto"/>
          <w:szCs w:val="20"/>
          <w:u w:val="none"/>
        </w:rPr>
        <w:t>des capitaux</w:t>
      </w:r>
      <w:r>
        <w:rPr>
          <w:rStyle w:val="Lienhypertexte"/>
          <w:rFonts w:ascii="Segoe UI" w:hAnsi="Segoe UI" w:cs="Segoe UI"/>
          <w:noProof/>
          <w:color w:val="auto"/>
          <w:szCs w:val="20"/>
          <w:u w:val="none"/>
        </w:rPr>
        <w:t xml:space="preserve"> en matière d’infrastructures. </w:t>
      </w:r>
    </w:p>
    <w:p w14:paraId="06B7D762" w14:textId="48D552C0" w:rsidR="004C40CA" w:rsidRDefault="004C40CA" w:rsidP="007F5FF3">
      <w:pPr>
        <w:pStyle w:val="Brvesco-Normal"/>
        <w:spacing w:after="60" w:line="240" w:lineRule="auto"/>
        <w:ind w:left="-284"/>
        <w:rPr>
          <w:rStyle w:val="Lienhypertexte"/>
          <w:rFonts w:ascii="Segoe UI" w:hAnsi="Segoe UI" w:cs="Segoe UI"/>
          <w:noProof/>
          <w:color w:val="auto"/>
          <w:szCs w:val="20"/>
          <w:u w:val="none"/>
        </w:rPr>
      </w:pPr>
      <w:r>
        <w:rPr>
          <w:rStyle w:val="Lienhypertexte"/>
          <w:rFonts w:ascii="Segoe UI" w:hAnsi="Segoe UI" w:cs="Segoe UI"/>
          <w:noProof/>
          <w:color w:val="auto"/>
          <w:szCs w:val="20"/>
          <w:u w:val="none"/>
        </w:rPr>
        <w:t xml:space="preserve">Si l’on se penche sur </w:t>
      </w:r>
      <w:r w:rsidRPr="00F81E02">
        <w:rPr>
          <w:rStyle w:val="Lienhypertexte"/>
          <w:rFonts w:ascii="Segoe UI" w:hAnsi="Segoe UI" w:cs="Segoe UI"/>
          <w:noProof/>
          <w:color w:val="auto"/>
          <w:szCs w:val="20"/>
          <w:u w:val="none"/>
        </w:rPr>
        <w:t>l’analyse de la dette des ménages,</w:t>
      </w:r>
      <w:r>
        <w:rPr>
          <w:rStyle w:val="Lienhypertexte"/>
          <w:rFonts w:ascii="Segoe UI" w:hAnsi="Segoe UI" w:cs="Segoe UI"/>
          <w:noProof/>
          <w:color w:val="auto"/>
          <w:szCs w:val="20"/>
          <w:u w:val="none"/>
        </w:rPr>
        <w:t xml:space="preserve"> celle-ci relève que les </w:t>
      </w:r>
      <w:r w:rsidRPr="004B3206">
        <w:rPr>
          <w:rStyle w:val="Lienhypertexte"/>
          <w:rFonts w:ascii="Segoe UI" w:hAnsi="Segoe UI" w:cs="Segoe UI"/>
          <w:noProof/>
          <w:color w:val="auto"/>
          <w:szCs w:val="20"/>
          <w:u w:val="none"/>
        </w:rPr>
        <w:t xml:space="preserve">prêts non liés au logement, </w:t>
      </w:r>
      <w:r w:rsidRPr="003C3D05">
        <w:rPr>
          <w:rStyle w:val="Lienhypertexte"/>
          <w:rFonts w:ascii="Segoe UI" w:hAnsi="Segoe UI" w:cs="Segoe UI"/>
          <w:b/>
          <w:bCs/>
          <w:noProof/>
          <w:color w:val="auto"/>
          <w:szCs w:val="20"/>
          <w:u w:val="none"/>
        </w:rPr>
        <w:t>principalement destinés à la consommation</w:t>
      </w:r>
      <w:r w:rsidRPr="004B3206">
        <w:rPr>
          <w:rStyle w:val="Lienhypertexte"/>
          <w:rFonts w:ascii="Segoe UI" w:hAnsi="Segoe UI" w:cs="Segoe UI"/>
          <w:noProof/>
          <w:color w:val="auto"/>
          <w:szCs w:val="20"/>
          <w:u w:val="none"/>
        </w:rPr>
        <w:t xml:space="preserve">, </w:t>
      </w:r>
      <w:r w:rsidRPr="003C3D05">
        <w:rPr>
          <w:rStyle w:val="Lienhypertexte"/>
          <w:rFonts w:ascii="Segoe UI" w:hAnsi="Segoe UI" w:cs="Segoe UI"/>
          <w:b/>
          <w:bCs/>
          <w:noProof/>
          <w:color w:val="auto"/>
          <w:szCs w:val="20"/>
          <w:u w:val="none"/>
        </w:rPr>
        <w:t>représentaient désormais 55 % de cette dette en mars 2025,</w:t>
      </w:r>
      <w:r>
        <w:rPr>
          <w:rStyle w:val="Lienhypertexte"/>
          <w:rFonts w:ascii="Segoe UI" w:hAnsi="Segoe UI" w:cs="Segoe UI"/>
          <w:noProof/>
          <w:color w:val="auto"/>
          <w:szCs w:val="20"/>
          <w:u w:val="none"/>
        </w:rPr>
        <w:t xml:space="preserve"> </w:t>
      </w:r>
      <w:r w:rsidRPr="003C3D05">
        <w:rPr>
          <w:rStyle w:val="Lienhypertexte"/>
          <w:rFonts w:ascii="Segoe UI" w:hAnsi="Segoe UI" w:cs="Segoe UI"/>
          <w:b/>
          <w:bCs/>
          <w:noProof/>
          <w:color w:val="auto"/>
          <w:szCs w:val="20"/>
          <w:u w:val="none"/>
        </w:rPr>
        <w:t>et 25,7 % du revenu disponible en mars 2024</w:t>
      </w:r>
      <w:r w:rsidRPr="003C3D05">
        <w:rPr>
          <w:rStyle w:val="Appeldenotedefin"/>
          <w:rFonts w:ascii="Segoe UI" w:hAnsi="Segoe UI" w:cs="Segoe UI"/>
          <w:b/>
          <w:bCs/>
          <w:noProof/>
          <w:color w:val="auto"/>
          <w:szCs w:val="20"/>
        </w:rPr>
        <w:endnoteReference w:id="13"/>
      </w:r>
      <w:r w:rsidRPr="003C3D05">
        <w:rPr>
          <w:rStyle w:val="Lienhypertexte"/>
          <w:rFonts w:ascii="Segoe UI" w:hAnsi="Segoe UI" w:cs="Segoe UI"/>
          <w:b/>
          <w:bCs/>
          <w:noProof/>
          <w:color w:val="auto"/>
          <w:szCs w:val="20"/>
          <w:u w:val="none"/>
        </w:rPr>
        <w:t xml:space="preserve">. </w:t>
      </w:r>
      <w:r>
        <w:rPr>
          <w:rStyle w:val="Lienhypertexte"/>
          <w:rFonts w:ascii="Segoe UI" w:hAnsi="Segoe UI" w:cs="Segoe UI"/>
          <w:noProof/>
          <w:color w:val="auto"/>
          <w:szCs w:val="20"/>
          <w:u w:val="none"/>
        </w:rPr>
        <w:t xml:space="preserve">En lien avec l’augmentation </w:t>
      </w:r>
      <w:r w:rsidR="00542DBD">
        <w:rPr>
          <w:rStyle w:val="Lienhypertexte"/>
          <w:rFonts w:ascii="Segoe UI" w:hAnsi="Segoe UI" w:cs="Segoe UI"/>
          <w:noProof/>
          <w:color w:val="auto"/>
          <w:szCs w:val="20"/>
          <w:u w:val="none"/>
        </w:rPr>
        <w:t xml:space="preserve">conjointe </w:t>
      </w:r>
      <w:r>
        <w:rPr>
          <w:rStyle w:val="Lienhypertexte"/>
          <w:rFonts w:ascii="Segoe UI" w:hAnsi="Segoe UI" w:cs="Segoe UI"/>
          <w:noProof/>
          <w:color w:val="auto"/>
          <w:szCs w:val="20"/>
          <w:u w:val="none"/>
        </w:rPr>
        <w:t xml:space="preserve">de l’accès aux paiements digitaux, l’utilisation des cartes de crédit (c.f. note sur le secteur des NBFCs) et la hausse des revenus disponibles, cette catégorie de </w:t>
      </w:r>
      <w:r w:rsidRPr="00E3788A">
        <w:rPr>
          <w:rStyle w:val="Lienhypertexte"/>
          <w:rFonts w:ascii="Segoe UI" w:hAnsi="Segoe UI" w:cs="Segoe UI"/>
          <w:noProof/>
          <w:color w:val="auto"/>
          <w:szCs w:val="20"/>
          <w:u w:val="none"/>
        </w:rPr>
        <w:t xml:space="preserve">prêts a augmenté de manière constante au fil des années, </w:t>
      </w:r>
      <w:r>
        <w:rPr>
          <w:rStyle w:val="Lienhypertexte"/>
          <w:rFonts w:ascii="Segoe UI" w:hAnsi="Segoe UI" w:cs="Segoe UI"/>
          <w:noProof/>
          <w:color w:val="auto"/>
          <w:szCs w:val="20"/>
          <w:u w:val="none"/>
        </w:rPr>
        <w:t>dépassant la croissance</w:t>
      </w:r>
      <w:r w:rsidRPr="00E3788A">
        <w:rPr>
          <w:rStyle w:val="Lienhypertexte"/>
          <w:rFonts w:ascii="Segoe UI" w:hAnsi="Segoe UI" w:cs="Segoe UI"/>
          <w:noProof/>
          <w:color w:val="auto"/>
          <w:szCs w:val="20"/>
          <w:u w:val="none"/>
        </w:rPr>
        <w:t xml:space="preserve"> des prêts au logement ainsi que celle des prêts </w:t>
      </w:r>
      <w:r>
        <w:rPr>
          <w:rStyle w:val="Lienhypertexte"/>
          <w:rFonts w:ascii="Segoe UI" w:hAnsi="Segoe UI" w:cs="Segoe UI"/>
          <w:noProof/>
          <w:color w:val="auto"/>
          <w:szCs w:val="20"/>
          <w:u w:val="none"/>
        </w:rPr>
        <w:t xml:space="preserve">octroyés à l’agriculture </w:t>
      </w:r>
      <w:r w:rsidRPr="00E3788A">
        <w:rPr>
          <w:rStyle w:val="Lienhypertexte"/>
          <w:rFonts w:ascii="Segoe UI" w:hAnsi="Segoe UI" w:cs="Segoe UI"/>
          <w:noProof/>
          <w:color w:val="auto"/>
          <w:szCs w:val="20"/>
          <w:u w:val="none"/>
        </w:rPr>
        <w:t>et aux entreprises.</w:t>
      </w:r>
      <w:r>
        <w:rPr>
          <w:rStyle w:val="Lienhypertexte"/>
          <w:rFonts w:ascii="Segoe UI" w:hAnsi="Segoe UI" w:cs="Segoe UI"/>
          <w:noProof/>
          <w:color w:val="auto"/>
          <w:szCs w:val="20"/>
          <w:u w:val="none"/>
        </w:rPr>
        <w:t xml:space="preserve"> </w:t>
      </w:r>
      <w:r w:rsidRPr="00F3457B">
        <w:rPr>
          <w:rStyle w:val="Lienhypertexte"/>
          <w:rFonts w:ascii="Segoe UI" w:hAnsi="Segoe UI" w:cs="Segoe UI"/>
          <w:noProof/>
          <w:color w:val="auto"/>
          <w:szCs w:val="20"/>
          <w:u w:val="none"/>
        </w:rPr>
        <w:t xml:space="preserve">Bien que </w:t>
      </w:r>
      <w:r w:rsidR="003C3D05">
        <w:rPr>
          <w:rStyle w:val="Lienhypertexte"/>
          <w:rFonts w:ascii="Segoe UI" w:hAnsi="Segoe UI" w:cs="Segoe UI"/>
          <w:noProof/>
          <w:color w:val="auto"/>
          <w:szCs w:val="20"/>
          <w:u w:val="none"/>
        </w:rPr>
        <w:t>le niveau d’endettement des ménages</w:t>
      </w:r>
      <w:r w:rsidRPr="00F3457B">
        <w:rPr>
          <w:rStyle w:val="Lienhypertexte"/>
          <w:rFonts w:ascii="Segoe UI" w:hAnsi="Segoe UI" w:cs="Segoe UI"/>
          <w:noProof/>
          <w:color w:val="auto"/>
          <w:szCs w:val="20"/>
          <w:u w:val="none"/>
        </w:rPr>
        <w:t xml:space="preserve"> </w:t>
      </w:r>
      <w:r>
        <w:rPr>
          <w:rStyle w:val="Lienhypertexte"/>
          <w:rFonts w:ascii="Segoe UI" w:hAnsi="Segoe UI" w:cs="Segoe UI"/>
          <w:noProof/>
          <w:color w:val="auto"/>
          <w:szCs w:val="20"/>
          <w:u w:val="none"/>
        </w:rPr>
        <w:t>demeure contenu</w:t>
      </w:r>
      <w:r w:rsidR="003C3D05">
        <w:rPr>
          <w:rStyle w:val="Lienhypertexte"/>
          <w:rFonts w:ascii="Segoe UI" w:hAnsi="Segoe UI" w:cs="Segoe UI"/>
          <w:noProof/>
          <w:color w:val="auto"/>
          <w:szCs w:val="20"/>
          <w:u w:val="none"/>
        </w:rPr>
        <w:t xml:space="preserve"> </w:t>
      </w:r>
      <w:r>
        <w:rPr>
          <w:rStyle w:val="Lienhypertexte"/>
          <w:rFonts w:ascii="Segoe UI" w:hAnsi="Segoe UI" w:cs="Segoe UI"/>
          <w:noProof/>
          <w:color w:val="auto"/>
          <w:szCs w:val="20"/>
          <w:u w:val="none"/>
        </w:rPr>
        <w:t xml:space="preserve">(c.f. annexe 5), </w:t>
      </w:r>
      <w:r w:rsidRPr="00F81E02">
        <w:rPr>
          <w:rStyle w:val="Lienhypertexte"/>
          <w:rFonts w:ascii="Segoe UI" w:hAnsi="Segoe UI" w:cs="Segoe UI"/>
          <w:b/>
          <w:bCs/>
          <w:noProof/>
          <w:color w:val="auto"/>
          <w:szCs w:val="20"/>
          <w:u w:val="none"/>
        </w:rPr>
        <w:t>cette</w:t>
      </w:r>
      <w:r w:rsidR="0077664E" w:rsidRPr="00F81E02">
        <w:rPr>
          <w:rStyle w:val="Lienhypertexte"/>
          <w:rFonts w:ascii="Segoe UI" w:hAnsi="Segoe UI" w:cs="Segoe UI"/>
          <w:b/>
          <w:bCs/>
          <w:noProof/>
          <w:color w:val="auto"/>
          <w:szCs w:val="20"/>
          <w:u w:val="none"/>
        </w:rPr>
        <w:t xml:space="preserve"> augmentation du recours</w:t>
      </w:r>
      <w:r w:rsidRPr="00F81E02">
        <w:rPr>
          <w:rStyle w:val="Lienhypertexte"/>
          <w:rFonts w:ascii="Segoe UI" w:hAnsi="Segoe UI" w:cs="Segoe UI"/>
          <w:b/>
          <w:bCs/>
          <w:noProof/>
          <w:color w:val="auto"/>
          <w:szCs w:val="20"/>
          <w:u w:val="none"/>
        </w:rPr>
        <w:t xml:space="preserve"> au crédit à des fins de consommation soulève des préoccupations en matière de soutenabilité,</w:t>
      </w:r>
      <w:r>
        <w:rPr>
          <w:rStyle w:val="Lienhypertexte"/>
          <w:rFonts w:ascii="Segoe UI" w:hAnsi="Segoe UI" w:cs="Segoe UI"/>
          <w:noProof/>
          <w:color w:val="auto"/>
          <w:szCs w:val="20"/>
          <w:u w:val="none"/>
        </w:rPr>
        <w:t xml:space="preserve"> </w:t>
      </w:r>
      <w:r w:rsidR="0077664E">
        <w:rPr>
          <w:rStyle w:val="Lienhypertexte"/>
          <w:rFonts w:ascii="Segoe UI" w:hAnsi="Segoe UI" w:cs="Segoe UI"/>
          <w:noProof/>
          <w:color w:val="auto"/>
          <w:szCs w:val="20"/>
          <w:u w:val="none"/>
        </w:rPr>
        <w:t>cette</w:t>
      </w:r>
      <w:r>
        <w:rPr>
          <w:rStyle w:val="Lienhypertexte"/>
          <w:rFonts w:ascii="Segoe UI" w:hAnsi="Segoe UI" w:cs="Segoe UI"/>
          <w:noProof/>
          <w:color w:val="auto"/>
          <w:szCs w:val="20"/>
          <w:u w:val="none"/>
        </w:rPr>
        <w:t xml:space="preserve"> dette ne créant pas d’actifs générateurs de revenus</w:t>
      </w:r>
      <w:r w:rsidR="00542DBD">
        <w:rPr>
          <w:rStyle w:val="Lienhypertexte"/>
          <w:rFonts w:ascii="Segoe UI" w:hAnsi="Segoe UI" w:cs="Segoe UI"/>
          <w:noProof/>
          <w:color w:val="auto"/>
          <w:szCs w:val="20"/>
          <w:u w:val="none"/>
        </w:rPr>
        <w:t xml:space="preserve">, </w:t>
      </w:r>
      <w:r>
        <w:rPr>
          <w:rStyle w:val="Lienhypertexte"/>
          <w:rFonts w:ascii="Segoe UI" w:hAnsi="Segoe UI" w:cs="Segoe UI"/>
          <w:noProof/>
          <w:color w:val="auto"/>
          <w:szCs w:val="20"/>
          <w:u w:val="none"/>
        </w:rPr>
        <w:t>souvent faiblement garantie</w:t>
      </w:r>
      <w:r w:rsidR="00542DBD">
        <w:rPr>
          <w:rStyle w:val="Lienhypertexte"/>
          <w:rFonts w:ascii="Segoe UI" w:hAnsi="Segoe UI" w:cs="Segoe UI"/>
          <w:noProof/>
          <w:color w:val="auto"/>
          <w:szCs w:val="20"/>
          <w:u w:val="none"/>
        </w:rPr>
        <w:t xml:space="preserve"> et octroyé</w:t>
      </w:r>
      <w:r w:rsidR="007F3A7F">
        <w:rPr>
          <w:rStyle w:val="Lienhypertexte"/>
          <w:rFonts w:ascii="Segoe UI" w:hAnsi="Segoe UI" w:cs="Segoe UI"/>
          <w:noProof/>
          <w:color w:val="auto"/>
          <w:szCs w:val="20"/>
          <w:u w:val="none"/>
        </w:rPr>
        <w:t>e</w:t>
      </w:r>
      <w:r w:rsidR="00542DBD">
        <w:rPr>
          <w:rStyle w:val="Lienhypertexte"/>
          <w:rFonts w:ascii="Segoe UI" w:hAnsi="Segoe UI" w:cs="Segoe UI"/>
          <w:noProof/>
          <w:color w:val="auto"/>
          <w:szCs w:val="20"/>
          <w:u w:val="none"/>
        </w:rPr>
        <w:t xml:space="preserve"> à des profils d’emprunteurs considérés à risque</w:t>
      </w:r>
      <w:r w:rsidR="00453CA0">
        <w:rPr>
          <w:rStyle w:val="Lienhypertexte"/>
          <w:rFonts w:ascii="Segoe UI" w:hAnsi="Segoe UI" w:cs="Segoe UI"/>
          <w:noProof/>
          <w:color w:val="auto"/>
          <w:szCs w:val="20"/>
          <w:u w:val="none"/>
        </w:rPr>
        <w:t xml:space="preserve"> (</w:t>
      </w:r>
      <w:r w:rsidR="007F3A7F">
        <w:rPr>
          <w:rStyle w:val="Lienhypertexte"/>
          <w:rFonts w:ascii="Segoe UI" w:hAnsi="Segoe UI" w:cs="Segoe UI"/>
          <w:noProof/>
          <w:color w:val="auto"/>
          <w:szCs w:val="20"/>
          <w:u w:val="none"/>
        </w:rPr>
        <w:t xml:space="preserve">notamment </w:t>
      </w:r>
      <w:r w:rsidR="00453CA0">
        <w:rPr>
          <w:rStyle w:val="Lienhypertexte"/>
          <w:rFonts w:ascii="Segoe UI" w:hAnsi="Segoe UI" w:cs="Segoe UI"/>
          <w:noProof/>
          <w:color w:val="auto"/>
          <w:szCs w:val="20"/>
          <w:u w:val="none"/>
        </w:rPr>
        <w:t>avec une dette</w:t>
      </w:r>
      <w:r w:rsidR="009A5661">
        <w:rPr>
          <w:rStyle w:val="Lienhypertexte"/>
          <w:rFonts w:ascii="Segoe UI" w:hAnsi="Segoe UI" w:cs="Segoe UI"/>
          <w:noProof/>
          <w:color w:val="auto"/>
          <w:szCs w:val="20"/>
          <w:u w:val="none"/>
        </w:rPr>
        <w:t xml:space="preserve"> déjà</w:t>
      </w:r>
      <w:r w:rsidR="00453CA0">
        <w:rPr>
          <w:rStyle w:val="Lienhypertexte"/>
          <w:rFonts w:ascii="Segoe UI" w:hAnsi="Segoe UI" w:cs="Segoe UI"/>
          <w:noProof/>
          <w:color w:val="auto"/>
          <w:szCs w:val="20"/>
          <w:u w:val="none"/>
        </w:rPr>
        <w:t xml:space="preserve"> existante)</w:t>
      </w:r>
      <w:r>
        <w:rPr>
          <w:rStyle w:val="Lienhypertexte"/>
          <w:rFonts w:ascii="Segoe UI" w:hAnsi="Segoe UI" w:cs="Segoe UI"/>
          <w:noProof/>
          <w:color w:val="auto"/>
          <w:szCs w:val="20"/>
          <w:u w:val="none"/>
        </w:rPr>
        <w:t xml:space="preserve">. Fin 2024, la </w:t>
      </w:r>
      <w:r w:rsidRPr="00F3457B">
        <w:rPr>
          <w:rStyle w:val="Lienhypertexte"/>
          <w:rFonts w:ascii="Segoe UI" w:hAnsi="Segoe UI" w:cs="Segoe UI"/>
          <w:noProof/>
          <w:color w:val="auto"/>
          <w:szCs w:val="20"/>
          <w:u w:val="none"/>
        </w:rPr>
        <w:t>dette totale des ménages s’élevait à 41,9 % du produit intérieur brut</w:t>
      </w:r>
      <w:r>
        <w:rPr>
          <w:rStyle w:val="Lienhypertexte"/>
          <w:rFonts w:ascii="Segoe UI" w:hAnsi="Segoe UI" w:cs="Segoe UI"/>
          <w:noProof/>
          <w:color w:val="auto"/>
          <w:szCs w:val="20"/>
          <w:u w:val="none"/>
        </w:rPr>
        <w:t>, contre 60,1% en Chine à la même période, et 36,6% au Brésil (c.f. annexe 5)</w:t>
      </w:r>
      <w:r w:rsidR="007F3A7F">
        <w:rPr>
          <w:rStyle w:val="Lienhypertexte"/>
          <w:rFonts w:ascii="Segoe UI" w:hAnsi="Segoe UI" w:cs="Segoe UI"/>
          <w:noProof/>
          <w:color w:val="auto"/>
          <w:szCs w:val="20"/>
          <w:u w:val="none"/>
        </w:rPr>
        <w:t xml:space="preserve">, </w:t>
      </w:r>
      <w:r w:rsidR="009A5661">
        <w:rPr>
          <w:rStyle w:val="Lienhypertexte"/>
          <w:rFonts w:ascii="Segoe UI" w:hAnsi="Segoe UI" w:cs="Segoe UI"/>
          <w:noProof/>
          <w:color w:val="auto"/>
          <w:szCs w:val="20"/>
          <w:u w:val="none"/>
        </w:rPr>
        <w:t>néanmoins</w:t>
      </w:r>
      <w:r w:rsidR="007F3A7F">
        <w:rPr>
          <w:rStyle w:val="Lienhypertexte"/>
          <w:rFonts w:ascii="Segoe UI" w:hAnsi="Segoe UI" w:cs="Segoe UI"/>
          <w:noProof/>
          <w:color w:val="auto"/>
          <w:szCs w:val="20"/>
          <w:u w:val="none"/>
        </w:rPr>
        <w:t xml:space="preserve"> avec un PIB par habitant de 2 700 USD</w:t>
      </w:r>
      <w:r w:rsidR="007F3A7F">
        <w:rPr>
          <w:rStyle w:val="Appeldenotedefin"/>
          <w:rFonts w:ascii="Segoe UI" w:hAnsi="Segoe UI" w:cs="Segoe UI"/>
          <w:noProof/>
          <w:color w:val="auto"/>
          <w:szCs w:val="20"/>
        </w:rPr>
        <w:endnoteReference w:id="14"/>
      </w:r>
      <w:r w:rsidR="007F3A7F">
        <w:rPr>
          <w:rStyle w:val="Lienhypertexte"/>
          <w:rFonts w:ascii="Segoe UI" w:hAnsi="Segoe UI" w:cs="Segoe UI"/>
          <w:noProof/>
          <w:color w:val="auto"/>
          <w:szCs w:val="20"/>
          <w:u w:val="none"/>
        </w:rPr>
        <w:t xml:space="preserve">, les ménages indiens restent particulièrement exposés à un risque d’insolvabilité. </w:t>
      </w:r>
    </w:p>
    <w:p w14:paraId="2104B976" w14:textId="77777777" w:rsidR="00BB1834" w:rsidRDefault="007F3A7F" w:rsidP="00F9212F">
      <w:pPr>
        <w:pStyle w:val="Brvesco-Normal"/>
        <w:spacing w:after="60" w:line="240" w:lineRule="auto"/>
        <w:ind w:left="-284"/>
        <w:rPr>
          <w:rStyle w:val="Lienhypertexte"/>
          <w:rFonts w:ascii="Segoe UI" w:hAnsi="Segoe UI" w:cs="Segoe UI"/>
          <w:noProof/>
          <w:color w:val="auto"/>
          <w:szCs w:val="20"/>
          <w:u w:val="none"/>
        </w:rPr>
      </w:pPr>
      <w:r>
        <w:rPr>
          <w:rStyle w:val="Lienhypertexte"/>
          <w:rFonts w:ascii="Segoe UI" w:hAnsi="Segoe UI" w:cs="Segoe UI"/>
          <w:noProof/>
          <w:color w:val="auto"/>
          <w:szCs w:val="20"/>
          <w:u w:val="none"/>
        </w:rPr>
        <w:t>En conséquen</w:t>
      </w:r>
      <w:r w:rsidR="00F81E02">
        <w:rPr>
          <w:rStyle w:val="Lienhypertexte"/>
          <w:rFonts w:ascii="Segoe UI" w:hAnsi="Segoe UI" w:cs="Segoe UI"/>
          <w:noProof/>
          <w:color w:val="auto"/>
          <w:szCs w:val="20"/>
          <w:u w:val="none"/>
        </w:rPr>
        <w:t>c</w:t>
      </w:r>
      <w:r>
        <w:rPr>
          <w:rStyle w:val="Lienhypertexte"/>
          <w:rFonts w:ascii="Segoe UI" w:hAnsi="Segoe UI" w:cs="Segoe UI"/>
          <w:noProof/>
          <w:color w:val="auto"/>
          <w:szCs w:val="20"/>
          <w:u w:val="none"/>
        </w:rPr>
        <w:t xml:space="preserve">e, afin </w:t>
      </w:r>
      <w:r w:rsidR="004C40CA">
        <w:rPr>
          <w:rStyle w:val="Lienhypertexte"/>
          <w:rFonts w:ascii="Segoe UI" w:hAnsi="Segoe UI" w:cs="Segoe UI"/>
          <w:noProof/>
          <w:color w:val="auto"/>
          <w:szCs w:val="20"/>
          <w:u w:val="none"/>
        </w:rPr>
        <w:t>de pallier les pratiques à risque des NBFCs et de certaines banques commerciales</w:t>
      </w:r>
      <w:r w:rsidR="004C40CA">
        <w:rPr>
          <w:rStyle w:val="Appeldenotedefin"/>
          <w:rFonts w:ascii="Segoe UI" w:hAnsi="Segoe UI" w:cs="Segoe UI"/>
          <w:noProof/>
          <w:color w:val="auto"/>
          <w:szCs w:val="20"/>
        </w:rPr>
        <w:endnoteReference w:id="15"/>
      </w:r>
      <w:r w:rsidR="004C40CA">
        <w:rPr>
          <w:rStyle w:val="Lienhypertexte"/>
          <w:rFonts w:ascii="Segoe UI" w:hAnsi="Segoe UI" w:cs="Segoe UI"/>
          <w:noProof/>
          <w:color w:val="auto"/>
          <w:szCs w:val="20"/>
          <w:u w:val="none"/>
        </w:rPr>
        <w:t>,</w:t>
      </w:r>
      <w:r w:rsidR="00213BA9">
        <w:rPr>
          <w:rStyle w:val="Lienhypertexte"/>
          <w:rFonts w:ascii="Segoe UI" w:hAnsi="Segoe UI" w:cs="Segoe UI"/>
          <w:noProof/>
          <w:color w:val="auto"/>
          <w:szCs w:val="20"/>
          <w:u w:val="none"/>
        </w:rPr>
        <w:t xml:space="preserve"> </w:t>
      </w:r>
      <w:r w:rsidR="00542DBD">
        <w:rPr>
          <w:rStyle w:val="Lienhypertexte"/>
          <w:rFonts w:ascii="Segoe UI" w:hAnsi="Segoe UI" w:cs="Segoe UI"/>
          <w:noProof/>
          <w:color w:val="auto"/>
          <w:szCs w:val="20"/>
          <w:u w:val="none"/>
        </w:rPr>
        <w:t>principales initiatrices de cette montée du crédit à la consommation,</w:t>
      </w:r>
      <w:r w:rsidR="004C40CA">
        <w:rPr>
          <w:rStyle w:val="Lienhypertexte"/>
          <w:rFonts w:ascii="Segoe UI" w:hAnsi="Segoe UI" w:cs="Segoe UI"/>
          <w:noProof/>
          <w:color w:val="auto"/>
          <w:szCs w:val="20"/>
          <w:u w:val="none"/>
        </w:rPr>
        <w:t xml:space="preserve"> </w:t>
      </w:r>
      <w:r w:rsidR="00213BA9">
        <w:rPr>
          <w:rStyle w:val="Lienhypertexte"/>
          <w:rFonts w:ascii="Segoe UI" w:hAnsi="Segoe UI" w:cs="Segoe UI"/>
          <w:noProof/>
          <w:color w:val="auto"/>
          <w:szCs w:val="20"/>
          <w:u w:val="none"/>
        </w:rPr>
        <w:t xml:space="preserve">et le glissement du nombre croissant </w:t>
      </w:r>
      <w:r>
        <w:rPr>
          <w:rStyle w:val="Lienhypertexte"/>
          <w:rFonts w:ascii="Segoe UI" w:hAnsi="Segoe UI" w:cs="Segoe UI"/>
          <w:noProof/>
          <w:color w:val="auto"/>
          <w:szCs w:val="20"/>
          <w:u w:val="none"/>
        </w:rPr>
        <w:t xml:space="preserve">de </w:t>
      </w:r>
      <w:r w:rsidR="0014225A">
        <w:rPr>
          <w:rStyle w:val="Lienhypertexte"/>
          <w:rFonts w:ascii="Segoe UI" w:hAnsi="Segoe UI" w:cs="Segoe UI"/>
          <w:noProof/>
          <w:color w:val="auto"/>
          <w:szCs w:val="20"/>
          <w:u w:val="none"/>
        </w:rPr>
        <w:t xml:space="preserve">prêts signalés </w:t>
      </w:r>
      <w:r w:rsidR="00213BA9">
        <w:rPr>
          <w:rStyle w:val="Lienhypertexte"/>
          <w:rFonts w:ascii="Segoe UI" w:hAnsi="Segoe UI" w:cs="Segoe UI"/>
          <w:noProof/>
          <w:color w:val="auto"/>
          <w:szCs w:val="20"/>
          <w:u w:val="none"/>
        </w:rPr>
        <w:t>en N</w:t>
      </w:r>
      <w:r w:rsidR="00F81E02">
        <w:rPr>
          <w:rStyle w:val="Lienhypertexte"/>
          <w:rFonts w:ascii="Segoe UI" w:hAnsi="Segoe UI" w:cs="Segoe UI"/>
          <w:noProof/>
          <w:color w:val="auto"/>
          <w:szCs w:val="20"/>
          <w:u w:val="none"/>
        </w:rPr>
        <w:t>N</w:t>
      </w:r>
      <w:r w:rsidR="00213BA9">
        <w:rPr>
          <w:rStyle w:val="Lienhypertexte"/>
          <w:rFonts w:ascii="Segoe UI" w:hAnsi="Segoe UI" w:cs="Segoe UI"/>
          <w:noProof/>
          <w:color w:val="auto"/>
          <w:szCs w:val="20"/>
          <w:u w:val="none"/>
        </w:rPr>
        <w:t xml:space="preserve">PA, </w:t>
      </w:r>
      <w:r w:rsidR="004C40CA" w:rsidRPr="00A0489B">
        <w:rPr>
          <w:rStyle w:val="Lienhypertexte"/>
          <w:rFonts w:ascii="Segoe UI" w:hAnsi="Segoe UI" w:cs="Segoe UI"/>
          <w:b/>
          <w:bCs/>
          <w:noProof/>
          <w:color w:val="auto"/>
          <w:szCs w:val="20"/>
          <w:u w:val="none"/>
        </w:rPr>
        <w:t>la RBI s’est vu</w:t>
      </w:r>
      <w:r w:rsidR="00F81E02">
        <w:rPr>
          <w:rStyle w:val="Lienhypertexte"/>
          <w:rFonts w:ascii="Segoe UI" w:hAnsi="Segoe UI" w:cs="Segoe UI"/>
          <w:b/>
          <w:bCs/>
          <w:noProof/>
          <w:color w:val="auto"/>
          <w:szCs w:val="20"/>
          <w:u w:val="none"/>
        </w:rPr>
        <w:t>e</w:t>
      </w:r>
      <w:r w:rsidR="004C40CA" w:rsidRPr="00A0489B">
        <w:rPr>
          <w:rStyle w:val="Lienhypertexte"/>
          <w:rFonts w:ascii="Segoe UI" w:hAnsi="Segoe UI" w:cs="Segoe UI"/>
          <w:b/>
          <w:bCs/>
          <w:noProof/>
          <w:color w:val="auto"/>
          <w:szCs w:val="20"/>
          <w:u w:val="none"/>
        </w:rPr>
        <w:t xml:space="preserve"> contrainte de resserrer la réglementation</w:t>
      </w:r>
      <w:r w:rsidR="00542DBD">
        <w:rPr>
          <w:rStyle w:val="Lienhypertexte"/>
          <w:rFonts w:ascii="Segoe UI" w:hAnsi="Segoe UI" w:cs="Segoe UI"/>
          <w:b/>
          <w:bCs/>
          <w:noProof/>
          <w:color w:val="auto"/>
          <w:szCs w:val="20"/>
          <w:u w:val="none"/>
        </w:rPr>
        <w:t xml:space="preserve"> afin d’e</w:t>
      </w:r>
      <w:r w:rsidR="004C40CA" w:rsidRPr="00A0489B">
        <w:rPr>
          <w:rStyle w:val="Lienhypertexte"/>
          <w:rFonts w:ascii="Segoe UI" w:hAnsi="Segoe UI" w:cs="Segoe UI"/>
          <w:b/>
          <w:bCs/>
          <w:noProof/>
          <w:color w:val="auto"/>
          <w:szCs w:val="20"/>
          <w:u w:val="none"/>
        </w:rPr>
        <w:t xml:space="preserve">nrayer </w:t>
      </w:r>
      <w:r w:rsidR="00542DBD">
        <w:rPr>
          <w:rStyle w:val="Lienhypertexte"/>
          <w:rFonts w:ascii="Segoe UI" w:hAnsi="Segoe UI" w:cs="Segoe UI"/>
          <w:b/>
          <w:bCs/>
          <w:noProof/>
          <w:color w:val="auto"/>
          <w:szCs w:val="20"/>
          <w:u w:val="none"/>
        </w:rPr>
        <w:t xml:space="preserve">tous risques financiers </w:t>
      </w:r>
      <w:r w:rsidR="004C40CA" w:rsidRPr="00A0489B">
        <w:rPr>
          <w:rStyle w:val="Lienhypertexte"/>
          <w:rFonts w:ascii="Segoe UI" w:hAnsi="Segoe UI" w:cs="Segoe UI"/>
          <w:b/>
          <w:bCs/>
          <w:noProof/>
          <w:color w:val="auto"/>
          <w:szCs w:val="20"/>
          <w:u w:val="none"/>
        </w:rPr>
        <w:t>potentiel</w:t>
      </w:r>
      <w:r w:rsidR="00542DBD">
        <w:rPr>
          <w:rStyle w:val="Lienhypertexte"/>
          <w:rFonts w:ascii="Segoe UI" w:hAnsi="Segoe UI" w:cs="Segoe UI"/>
          <w:b/>
          <w:bCs/>
          <w:noProof/>
          <w:color w:val="auto"/>
          <w:szCs w:val="20"/>
          <w:u w:val="none"/>
        </w:rPr>
        <w:t>s</w:t>
      </w:r>
      <w:r w:rsidR="004C40CA">
        <w:rPr>
          <w:rStyle w:val="Lienhypertexte"/>
          <w:rFonts w:ascii="Segoe UI" w:hAnsi="Segoe UI" w:cs="Segoe UI"/>
          <w:noProof/>
          <w:color w:val="auto"/>
          <w:szCs w:val="20"/>
          <w:u w:val="none"/>
        </w:rPr>
        <w:t>. Parmi ces mesures</w:t>
      </w:r>
      <w:r w:rsidR="004C40CA">
        <w:rPr>
          <w:rStyle w:val="Appeldenotedefin"/>
          <w:rFonts w:ascii="Segoe UI" w:hAnsi="Segoe UI" w:cs="Segoe UI"/>
          <w:noProof/>
          <w:color w:val="auto"/>
          <w:szCs w:val="20"/>
        </w:rPr>
        <w:endnoteReference w:id="16"/>
      </w:r>
      <w:r w:rsidR="004C40CA">
        <w:rPr>
          <w:rStyle w:val="Lienhypertexte"/>
          <w:rFonts w:ascii="Segoe UI" w:hAnsi="Segoe UI" w:cs="Segoe UI"/>
          <w:noProof/>
          <w:color w:val="auto"/>
          <w:szCs w:val="20"/>
          <w:u w:val="none"/>
        </w:rPr>
        <w:t xml:space="preserve"> figurait l’instauration en 2023 de pondérations de risques sur les prêts des NBFCs, afin de limiter leur exposition excessive, dispositif levé en avril 2025 dans le contexte de l’assouplissement progressif de la politique monétaire et de la volonté explicite de relancer la progression du crédit dans le cadre de l</w:t>
      </w:r>
      <w:r w:rsidR="004C40CA">
        <w:t>’</w:t>
      </w:r>
      <w:r w:rsidR="004C40CA">
        <w:rPr>
          <w:rStyle w:val="Lienhypertexte"/>
          <w:rFonts w:ascii="Segoe UI" w:hAnsi="Segoe UI" w:cs="Segoe UI"/>
          <w:noProof/>
          <w:color w:val="auto"/>
          <w:szCs w:val="20"/>
          <w:u w:val="none"/>
        </w:rPr>
        <w:t>objectif de croissance du gouvernement.</w:t>
      </w:r>
      <w:r w:rsidR="00BB1834">
        <w:rPr>
          <w:rStyle w:val="Lienhypertexte"/>
          <w:rFonts w:ascii="Segoe UI" w:hAnsi="Segoe UI" w:cs="Segoe UI"/>
          <w:noProof/>
          <w:color w:val="auto"/>
          <w:szCs w:val="20"/>
          <w:u w:val="none"/>
        </w:rPr>
        <w:t xml:space="preserve"> </w:t>
      </w:r>
    </w:p>
    <w:p w14:paraId="201BD467" w14:textId="52A2D4B8" w:rsidR="00BB1834" w:rsidRDefault="00BB1834" w:rsidP="00BB1834">
      <w:pPr>
        <w:pStyle w:val="Brvesco-Normal"/>
        <w:spacing w:after="60" w:line="240" w:lineRule="auto"/>
        <w:ind w:left="-284"/>
        <w:rPr>
          <w:rStyle w:val="Lienhypertexte"/>
          <w:rFonts w:ascii="Segoe UI" w:hAnsi="Segoe UI" w:cs="Segoe UI"/>
          <w:noProof/>
          <w:color w:val="auto"/>
          <w:szCs w:val="20"/>
          <w:u w:val="none"/>
        </w:rPr>
      </w:pPr>
      <w:r w:rsidRPr="00BB1834">
        <w:rPr>
          <w:rStyle w:val="Lienhypertexte"/>
          <w:rFonts w:ascii="Segoe UI" w:hAnsi="Segoe UI" w:cs="Segoe UI"/>
          <w:noProof/>
          <w:color w:val="auto"/>
          <w:szCs w:val="20"/>
          <w:u w:val="none"/>
        </w:rPr>
        <w:t xml:space="preserve">Pour finir, </w:t>
      </w:r>
      <w:r w:rsidRPr="00BB1834">
        <w:rPr>
          <w:rStyle w:val="Lienhypertexte"/>
          <w:rFonts w:ascii="Segoe UI" w:hAnsi="Segoe UI" w:cs="Segoe UI"/>
          <w:b/>
          <w:bCs/>
          <w:noProof/>
          <w:color w:val="auto"/>
          <w:szCs w:val="20"/>
          <w:u w:val="none"/>
        </w:rPr>
        <w:t xml:space="preserve">il convient de souligner que </w:t>
      </w:r>
      <w:r w:rsidR="004C40CA" w:rsidRPr="00BB1834">
        <w:rPr>
          <w:rStyle w:val="Lienhypertexte"/>
          <w:rFonts w:ascii="Segoe UI" w:hAnsi="Segoe UI" w:cs="Segoe UI"/>
          <w:b/>
          <w:bCs/>
          <w:noProof/>
          <w:color w:val="auto"/>
          <w:szCs w:val="20"/>
          <w:u w:val="none"/>
        </w:rPr>
        <w:t>les canaux de financement se diversifient davantage, avec la hausse de la participation des particuliers au marché des capitaux</w:t>
      </w:r>
      <w:r w:rsidR="004C40CA">
        <w:rPr>
          <w:rStyle w:val="Lienhypertexte"/>
          <w:rFonts w:ascii="Segoe UI" w:hAnsi="Segoe UI" w:cs="Segoe UI"/>
          <w:noProof/>
          <w:color w:val="auto"/>
          <w:szCs w:val="20"/>
          <w:u w:val="none"/>
        </w:rPr>
        <w:t xml:space="preserve"> avec plus de 120 millions d’investisseurs enregistrés en septembre 2025 à la National Stock Exchange (NSE). Les investisseurs répertoriés au sein des fonds communs de placement ont plus que doublé en cinq ans dépassant les 56 millions</w:t>
      </w:r>
      <w:r w:rsidR="004C40CA">
        <w:t xml:space="preserve"> </w:t>
      </w:r>
      <w:r w:rsidR="004C40CA">
        <w:rPr>
          <w:rStyle w:val="Lienhypertexte"/>
          <w:rFonts w:ascii="Segoe UI" w:hAnsi="Segoe UI" w:cs="Segoe UI"/>
          <w:noProof/>
          <w:color w:val="auto"/>
          <w:szCs w:val="20"/>
          <w:u w:val="none"/>
        </w:rPr>
        <w:t xml:space="preserve">en octobre 2025. Le marché obligataire des entreprises connaît également un essor notable avec un </w:t>
      </w:r>
      <w:r w:rsidR="004C40CA" w:rsidRPr="009D0EE0">
        <w:rPr>
          <w:rStyle w:val="Lienhypertexte"/>
          <w:rFonts w:ascii="Segoe UI" w:hAnsi="Segoe UI" w:cs="Segoe UI"/>
          <w:noProof/>
          <w:color w:val="auto"/>
          <w:szCs w:val="20"/>
          <w:u w:val="none"/>
        </w:rPr>
        <w:t xml:space="preserve">montant record de 124,8 </w:t>
      </w:r>
      <w:r w:rsidR="004C40CA">
        <w:rPr>
          <w:rStyle w:val="Lienhypertexte"/>
          <w:rFonts w:ascii="Segoe UI" w:hAnsi="Segoe UI" w:cs="Segoe UI"/>
          <w:noProof/>
          <w:color w:val="auto"/>
          <w:szCs w:val="20"/>
          <w:u w:val="none"/>
        </w:rPr>
        <w:t xml:space="preserve">Mds </w:t>
      </w:r>
      <w:r w:rsidR="004C40CA" w:rsidRPr="009D0EE0">
        <w:rPr>
          <w:rStyle w:val="Lienhypertexte"/>
          <w:rFonts w:ascii="Segoe UI" w:hAnsi="Segoe UI" w:cs="Segoe UI"/>
          <w:noProof/>
          <w:color w:val="auto"/>
          <w:szCs w:val="20"/>
          <w:u w:val="none"/>
        </w:rPr>
        <w:t xml:space="preserve">USD </w:t>
      </w:r>
      <w:r w:rsidR="004C40CA">
        <w:rPr>
          <w:rStyle w:val="Lienhypertexte"/>
          <w:rFonts w:ascii="Segoe UI" w:hAnsi="Segoe UI" w:cs="Segoe UI"/>
          <w:noProof/>
          <w:color w:val="auto"/>
          <w:szCs w:val="20"/>
          <w:u w:val="none"/>
        </w:rPr>
        <w:t>atteint en 2024, (</w:t>
      </w:r>
      <w:r w:rsidR="009A5661">
        <w:rPr>
          <w:rStyle w:val="Lienhypertexte"/>
          <w:rFonts w:ascii="Segoe UI" w:hAnsi="Segoe UI" w:cs="Segoe UI"/>
          <w:noProof/>
          <w:color w:val="auto"/>
          <w:szCs w:val="20"/>
          <w:u w:val="none"/>
        </w:rPr>
        <w:t>+</w:t>
      </w:r>
      <w:r w:rsidR="004C40CA" w:rsidRPr="009D0EE0">
        <w:rPr>
          <w:rStyle w:val="Lienhypertexte"/>
          <w:rFonts w:ascii="Segoe UI" w:hAnsi="Segoe UI" w:cs="Segoe UI"/>
          <w:noProof/>
          <w:color w:val="auto"/>
          <w:szCs w:val="20"/>
          <w:u w:val="none"/>
        </w:rPr>
        <w:t>9 %</w:t>
      </w:r>
      <w:r w:rsidR="004C40CA">
        <w:rPr>
          <w:rStyle w:val="Lienhypertexte"/>
          <w:rFonts w:ascii="Segoe UI" w:hAnsi="Segoe UI" w:cs="Segoe UI"/>
          <w:noProof/>
          <w:color w:val="auto"/>
          <w:szCs w:val="20"/>
          <w:u w:val="none"/>
        </w:rPr>
        <w:t xml:space="preserve"> en g.a.)</w:t>
      </w:r>
      <w:r w:rsidR="004C40CA">
        <w:rPr>
          <w:rStyle w:val="Appeldenotedefin"/>
          <w:rFonts w:ascii="Segoe UI" w:hAnsi="Segoe UI" w:cs="Segoe UI"/>
          <w:noProof/>
          <w:color w:val="auto"/>
          <w:szCs w:val="20"/>
        </w:rPr>
        <w:endnoteReference w:id="17"/>
      </w:r>
      <w:r w:rsidR="004C40CA">
        <w:rPr>
          <w:rStyle w:val="Lienhypertexte"/>
          <w:rFonts w:ascii="Segoe UI" w:hAnsi="Segoe UI" w:cs="Segoe UI"/>
          <w:noProof/>
          <w:color w:val="auto"/>
          <w:szCs w:val="20"/>
          <w:u w:val="none"/>
        </w:rPr>
        <w:t xml:space="preserve"> </w:t>
      </w:r>
      <w:r w:rsidR="00E25553">
        <w:rPr>
          <w:rStyle w:val="Lienhypertexte"/>
          <w:rFonts w:ascii="Segoe UI" w:hAnsi="Segoe UI" w:cs="Segoe UI"/>
          <w:noProof/>
          <w:color w:val="auto"/>
          <w:szCs w:val="20"/>
          <w:u w:val="none"/>
        </w:rPr>
        <w:t xml:space="preserve">et </w:t>
      </w:r>
      <w:r w:rsidR="008E3E2E">
        <w:rPr>
          <w:rStyle w:val="Lienhypertexte"/>
          <w:rFonts w:ascii="Segoe UI" w:hAnsi="Segoe UI" w:cs="Segoe UI"/>
          <w:noProof/>
          <w:color w:val="auto"/>
          <w:szCs w:val="20"/>
          <w:u w:val="none"/>
        </w:rPr>
        <w:t>1</w:t>
      </w:r>
      <w:r w:rsidR="00E25553">
        <w:rPr>
          <w:rStyle w:val="Lienhypertexte"/>
          <w:rFonts w:ascii="Segoe UI" w:hAnsi="Segoe UI" w:cs="Segoe UI"/>
          <w:noProof/>
          <w:color w:val="auto"/>
          <w:szCs w:val="20"/>
          <w:u w:val="none"/>
        </w:rPr>
        <w:t>21 Mds USD en 202</w:t>
      </w:r>
      <w:r w:rsidR="00F81E02">
        <w:rPr>
          <w:rStyle w:val="Lienhypertexte"/>
          <w:rFonts w:ascii="Segoe UI" w:hAnsi="Segoe UI" w:cs="Segoe UI"/>
          <w:noProof/>
          <w:color w:val="auto"/>
          <w:szCs w:val="20"/>
          <w:u w:val="none"/>
        </w:rPr>
        <w:t>5</w:t>
      </w:r>
      <w:r>
        <w:rPr>
          <w:rStyle w:val="Lienhypertexte"/>
          <w:rFonts w:ascii="Segoe UI" w:hAnsi="Segoe UI" w:cs="Segoe UI"/>
          <w:noProof/>
          <w:color w:val="auto"/>
          <w:szCs w:val="20"/>
          <w:u w:val="none"/>
        </w:rPr>
        <w:t>.</w:t>
      </w:r>
    </w:p>
    <w:p w14:paraId="0BD6BBAC" w14:textId="7780858C" w:rsidR="00415E8A" w:rsidRPr="007F5FF3" w:rsidRDefault="00415E8A" w:rsidP="00BB1834">
      <w:pPr>
        <w:pStyle w:val="Brvesco-Normal"/>
        <w:spacing w:after="60" w:line="240" w:lineRule="auto"/>
        <w:ind w:left="-284"/>
        <w:rPr>
          <w:rFonts w:ascii="Segoe UI" w:hAnsi="Segoe UI" w:cs="Segoe UI"/>
          <w:noProof/>
          <w:color w:val="auto"/>
          <w:szCs w:val="20"/>
        </w:rPr>
      </w:pPr>
      <w:r w:rsidRPr="00253DAB">
        <w:rPr>
          <w:b/>
          <w:color w:val="000091" w:themeColor="text1"/>
          <w:sz w:val="24"/>
          <w:szCs w:val="28"/>
        </w:rPr>
        <w:lastRenderedPageBreak/>
        <w:t>Annexe</w:t>
      </w:r>
    </w:p>
    <w:p w14:paraId="10795F39" w14:textId="58072395" w:rsidR="009650A0" w:rsidRDefault="00437627" w:rsidP="000C1EBF">
      <w:pPr>
        <w:jc w:val="center"/>
        <w:rPr>
          <w:b/>
          <w:color w:val="000091" w:themeColor="text1"/>
          <w:szCs w:val="24"/>
        </w:rPr>
      </w:pPr>
      <w:r>
        <w:rPr>
          <w:b/>
          <w:color w:val="000091" w:themeColor="text1"/>
          <w:szCs w:val="24"/>
        </w:rPr>
        <w:t xml:space="preserve">Annexe </w:t>
      </w:r>
      <w:r w:rsidR="00033CB6">
        <w:rPr>
          <w:b/>
          <w:color w:val="000091" w:themeColor="text1"/>
          <w:szCs w:val="24"/>
        </w:rPr>
        <w:t>1</w:t>
      </w:r>
      <w:r>
        <w:rPr>
          <w:b/>
          <w:color w:val="000091" w:themeColor="text1"/>
          <w:szCs w:val="24"/>
        </w:rPr>
        <w:t> : Synthèse du système bancaire indien</w:t>
      </w:r>
    </w:p>
    <w:tbl>
      <w:tblPr>
        <w:tblStyle w:val="Grilledutableau"/>
        <w:tblW w:w="0" w:type="auto"/>
        <w:tblLook w:val="04A0" w:firstRow="1" w:lastRow="0" w:firstColumn="1" w:lastColumn="0" w:noHBand="0" w:noVBand="1"/>
      </w:tblPr>
      <w:tblGrid>
        <w:gridCol w:w="2122"/>
        <w:gridCol w:w="2976"/>
        <w:gridCol w:w="1985"/>
        <w:gridCol w:w="1843"/>
      </w:tblGrid>
      <w:tr w:rsidR="009650A0" w:rsidRPr="009650A0" w14:paraId="5FF1CB19" w14:textId="77777777" w:rsidTr="00437627">
        <w:trPr>
          <w:trHeight w:val="344"/>
        </w:trPr>
        <w:tc>
          <w:tcPr>
            <w:tcW w:w="2122" w:type="dxa"/>
            <w:hideMark/>
          </w:tcPr>
          <w:p w14:paraId="132EBBCB" w14:textId="77777777" w:rsidR="009650A0" w:rsidRPr="009650A0" w:rsidRDefault="009650A0" w:rsidP="009650A0">
            <w:pPr>
              <w:jc w:val="center"/>
              <w:rPr>
                <w:rFonts w:ascii="Segoe UI" w:hAnsi="Segoe UI" w:cs="Segoe UI"/>
                <w:b/>
                <w:bCs/>
                <w:color w:val="000091" w:themeColor="text1"/>
                <w:sz w:val="18"/>
                <w:szCs w:val="20"/>
              </w:rPr>
            </w:pPr>
            <w:r w:rsidRPr="009650A0">
              <w:rPr>
                <w:rFonts w:ascii="Segoe UI" w:hAnsi="Segoe UI" w:cs="Segoe UI"/>
                <w:b/>
                <w:bCs/>
                <w:color w:val="000091" w:themeColor="text1"/>
                <w:sz w:val="18"/>
                <w:szCs w:val="20"/>
              </w:rPr>
              <w:t>Type d’institution</w:t>
            </w:r>
          </w:p>
        </w:tc>
        <w:tc>
          <w:tcPr>
            <w:tcW w:w="2976" w:type="dxa"/>
            <w:hideMark/>
          </w:tcPr>
          <w:p w14:paraId="02E70BC1" w14:textId="6971A758" w:rsidR="009650A0" w:rsidRPr="009650A0" w:rsidRDefault="009650A0">
            <w:pPr>
              <w:jc w:val="center"/>
              <w:rPr>
                <w:rFonts w:ascii="Segoe UI" w:hAnsi="Segoe UI" w:cs="Segoe UI"/>
                <w:b/>
                <w:bCs/>
                <w:color w:val="000091" w:themeColor="text1"/>
                <w:sz w:val="18"/>
                <w:szCs w:val="20"/>
              </w:rPr>
            </w:pPr>
            <w:r w:rsidRPr="009650A0">
              <w:rPr>
                <w:rFonts w:ascii="Segoe UI" w:hAnsi="Segoe UI" w:cs="Segoe UI"/>
                <w:b/>
                <w:bCs/>
                <w:color w:val="000091" w:themeColor="text1"/>
                <w:sz w:val="18"/>
                <w:szCs w:val="20"/>
              </w:rPr>
              <w:t>Type de banque</w:t>
            </w:r>
          </w:p>
        </w:tc>
        <w:tc>
          <w:tcPr>
            <w:tcW w:w="1985" w:type="dxa"/>
            <w:hideMark/>
          </w:tcPr>
          <w:p w14:paraId="74BA96A5" w14:textId="77777777" w:rsidR="009650A0" w:rsidRPr="009650A0" w:rsidRDefault="009650A0">
            <w:pPr>
              <w:jc w:val="center"/>
              <w:rPr>
                <w:rFonts w:ascii="Segoe UI" w:hAnsi="Segoe UI" w:cs="Segoe UI"/>
                <w:b/>
                <w:bCs/>
                <w:color w:val="000091" w:themeColor="text1"/>
                <w:sz w:val="18"/>
                <w:szCs w:val="20"/>
              </w:rPr>
            </w:pPr>
            <w:r w:rsidRPr="009650A0">
              <w:rPr>
                <w:rFonts w:ascii="Segoe UI" w:hAnsi="Segoe UI" w:cs="Segoe UI"/>
                <w:b/>
                <w:bCs/>
                <w:color w:val="000091" w:themeColor="text1"/>
                <w:sz w:val="18"/>
                <w:szCs w:val="20"/>
              </w:rPr>
              <w:t>Supervision RBI</w:t>
            </w:r>
          </w:p>
        </w:tc>
        <w:tc>
          <w:tcPr>
            <w:tcW w:w="1843" w:type="dxa"/>
            <w:hideMark/>
          </w:tcPr>
          <w:p w14:paraId="3532263D" w14:textId="77777777" w:rsidR="009650A0" w:rsidRPr="009650A0" w:rsidRDefault="009650A0">
            <w:pPr>
              <w:jc w:val="center"/>
              <w:rPr>
                <w:rFonts w:ascii="Segoe UI" w:hAnsi="Segoe UI" w:cs="Segoe UI"/>
                <w:b/>
                <w:bCs/>
                <w:color w:val="000091" w:themeColor="text1"/>
                <w:sz w:val="18"/>
                <w:szCs w:val="20"/>
              </w:rPr>
            </w:pPr>
            <w:r w:rsidRPr="009650A0">
              <w:rPr>
                <w:rFonts w:ascii="Segoe UI" w:hAnsi="Segoe UI" w:cs="Segoe UI"/>
                <w:b/>
                <w:bCs/>
                <w:color w:val="000091" w:themeColor="text1"/>
                <w:sz w:val="18"/>
                <w:szCs w:val="20"/>
              </w:rPr>
              <w:t>Dépôts autorisés ?</w:t>
            </w:r>
          </w:p>
        </w:tc>
      </w:tr>
      <w:tr w:rsidR="009650A0" w:rsidRPr="009650A0" w14:paraId="053AAE22" w14:textId="77777777" w:rsidTr="00437627">
        <w:trPr>
          <w:trHeight w:val="1130"/>
        </w:trPr>
        <w:tc>
          <w:tcPr>
            <w:tcW w:w="2122" w:type="dxa"/>
            <w:hideMark/>
          </w:tcPr>
          <w:p w14:paraId="5A096F39"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Banques commerciales inscrites (</w:t>
            </w:r>
            <w:proofErr w:type="spellStart"/>
            <w:r w:rsidRPr="009650A0">
              <w:rPr>
                <w:rFonts w:ascii="Segoe UI" w:hAnsi="Segoe UI" w:cs="Segoe UI"/>
                <w:sz w:val="18"/>
                <w:szCs w:val="20"/>
              </w:rPr>
              <w:t>Scheduled</w:t>
            </w:r>
            <w:proofErr w:type="spellEnd"/>
            <w:r w:rsidRPr="009650A0">
              <w:rPr>
                <w:rFonts w:ascii="Segoe UI" w:hAnsi="Segoe UI" w:cs="Segoe UI"/>
                <w:sz w:val="18"/>
                <w:szCs w:val="20"/>
              </w:rPr>
              <w:t xml:space="preserve"> Commercial Banks)</w:t>
            </w:r>
          </w:p>
        </w:tc>
        <w:tc>
          <w:tcPr>
            <w:tcW w:w="2976" w:type="dxa"/>
            <w:hideMark/>
          </w:tcPr>
          <w:p w14:paraId="36FCC230"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 xml:space="preserve">• Banques publiques (Public </w:t>
            </w:r>
            <w:proofErr w:type="spellStart"/>
            <w:r w:rsidRPr="009650A0">
              <w:rPr>
                <w:rFonts w:ascii="Segoe UI" w:hAnsi="Segoe UI" w:cs="Segoe UI"/>
                <w:sz w:val="18"/>
                <w:szCs w:val="20"/>
              </w:rPr>
              <w:t>Sector</w:t>
            </w:r>
            <w:proofErr w:type="spellEnd"/>
            <w:r w:rsidRPr="009650A0">
              <w:rPr>
                <w:rFonts w:ascii="Segoe UI" w:hAnsi="Segoe UI" w:cs="Segoe UI"/>
                <w:sz w:val="18"/>
                <w:szCs w:val="20"/>
              </w:rPr>
              <w:t xml:space="preserve"> Banks) • Banques privées • Banques étrangères • Banques rurales régionales (</w:t>
            </w:r>
            <w:proofErr w:type="spellStart"/>
            <w:r w:rsidRPr="009650A0">
              <w:rPr>
                <w:rFonts w:ascii="Segoe UI" w:hAnsi="Segoe UI" w:cs="Segoe UI"/>
                <w:sz w:val="18"/>
                <w:szCs w:val="20"/>
              </w:rPr>
              <w:t>RRBs</w:t>
            </w:r>
            <w:proofErr w:type="spellEnd"/>
            <w:r w:rsidRPr="009650A0">
              <w:rPr>
                <w:rFonts w:ascii="Segoe UI" w:hAnsi="Segoe UI" w:cs="Segoe UI"/>
                <w:sz w:val="18"/>
                <w:szCs w:val="20"/>
              </w:rPr>
              <w:t>)</w:t>
            </w:r>
          </w:p>
        </w:tc>
        <w:tc>
          <w:tcPr>
            <w:tcW w:w="1985" w:type="dxa"/>
            <w:hideMark/>
          </w:tcPr>
          <w:p w14:paraId="19B2752B"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Oui</w:t>
            </w:r>
          </w:p>
        </w:tc>
        <w:tc>
          <w:tcPr>
            <w:tcW w:w="1843" w:type="dxa"/>
            <w:hideMark/>
          </w:tcPr>
          <w:p w14:paraId="6E45C244"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Oui (dépôts à vue)</w:t>
            </w:r>
          </w:p>
        </w:tc>
      </w:tr>
      <w:tr w:rsidR="009650A0" w:rsidRPr="009650A0" w14:paraId="124D7981" w14:textId="77777777" w:rsidTr="00437627">
        <w:trPr>
          <w:trHeight w:val="833"/>
        </w:trPr>
        <w:tc>
          <w:tcPr>
            <w:tcW w:w="2122" w:type="dxa"/>
            <w:hideMark/>
          </w:tcPr>
          <w:p w14:paraId="3736F28B"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Banques coopératives urbaines et rurales</w:t>
            </w:r>
          </w:p>
        </w:tc>
        <w:tc>
          <w:tcPr>
            <w:tcW w:w="2976" w:type="dxa"/>
            <w:hideMark/>
          </w:tcPr>
          <w:p w14:paraId="52038E12"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 Banques coopératives urbaines (</w:t>
            </w:r>
            <w:proofErr w:type="spellStart"/>
            <w:r w:rsidRPr="009650A0">
              <w:rPr>
                <w:rFonts w:ascii="Segoe UI" w:hAnsi="Segoe UI" w:cs="Segoe UI"/>
                <w:sz w:val="18"/>
                <w:szCs w:val="20"/>
              </w:rPr>
              <w:t>UCBs</w:t>
            </w:r>
            <w:proofErr w:type="spellEnd"/>
            <w:r w:rsidRPr="009650A0">
              <w:rPr>
                <w:rFonts w:ascii="Segoe UI" w:hAnsi="Segoe UI" w:cs="Segoe UI"/>
                <w:sz w:val="18"/>
                <w:szCs w:val="20"/>
              </w:rPr>
              <w:t>) • Banques coopératives rurales</w:t>
            </w:r>
          </w:p>
        </w:tc>
        <w:tc>
          <w:tcPr>
            <w:tcW w:w="1985" w:type="dxa"/>
            <w:hideMark/>
          </w:tcPr>
          <w:p w14:paraId="6D6E1EA1"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Supervision conjointe : RBI et autorités des États fédérés</w:t>
            </w:r>
          </w:p>
        </w:tc>
        <w:tc>
          <w:tcPr>
            <w:tcW w:w="1843" w:type="dxa"/>
            <w:hideMark/>
          </w:tcPr>
          <w:p w14:paraId="3499FB61"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Oui, mais avec restrictions</w:t>
            </w:r>
          </w:p>
        </w:tc>
      </w:tr>
      <w:tr w:rsidR="009650A0" w:rsidRPr="009650A0" w14:paraId="61052835" w14:textId="77777777" w:rsidTr="00437627">
        <w:trPr>
          <w:trHeight w:val="562"/>
        </w:trPr>
        <w:tc>
          <w:tcPr>
            <w:tcW w:w="2122" w:type="dxa"/>
            <w:hideMark/>
          </w:tcPr>
          <w:p w14:paraId="413B055B"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Institutions financières nationales (</w:t>
            </w:r>
            <w:proofErr w:type="spellStart"/>
            <w:r w:rsidRPr="009650A0">
              <w:rPr>
                <w:rFonts w:ascii="Segoe UI" w:hAnsi="Segoe UI" w:cs="Segoe UI"/>
                <w:sz w:val="18"/>
                <w:szCs w:val="20"/>
              </w:rPr>
              <w:t>AIFIs</w:t>
            </w:r>
            <w:proofErr w:type="spellEnd"/>
            <w:r w:rsidRPr="009650A0">
              <w:rPr>
                <w:rFonts w:ascii="Segoe UI" w:hAnsi="Segoe UI" w:cs="Segoe UI"/>
                <w:sz w:val="18"/>
                <w:szCs w:val="20"/>
              </w:rPr>
              <w:t>)</w:t>
            </w:r>
          </w:p>
        </w:tc>
        <w:tc>
          <w:tcPr>
            <w:tcW w:w="2976" w:type="dxa"/>
            <w:hideMark/>
          </w:tcPr>
          <w:p w14:paraId="10495671" w14:textId="77777777" w:rsidR="009650A0" w:rsidRPr="009650A0" w:rsidRDefault="009650A0" w:rsidP="009650A0">
            <w:pPr>
              <w:jc w:val="center"/>
              <w:rPr>
                <w:rFonts w:ascii="Segoe UI" w:hAnsi="Segoe UI" w:cs="Segoe UI"/>
                <w:sz w:val="18"/>
                <w:szCs w:val="20"/>
                <w:lang w:val="en-GB"/>
              </w:rPr>
            </w:pPr>
            <w:r w:rsidRPr="009650A0">
              <w:rPr>
                <w:rFonts w:ascii="Segoe UI" w:hAnsi="Segoe UI" w:cs="Segoe UI"/>
                <w:sz w:val="18"/>
                <w:szCs w:val="20"/>
                <w:lang w:val="en-GB"/>
              </w:rPr>
              <w:t>• NABARD • SIDBI • EXIM Bank • NHB</w:t>
            </w:r>
          </w:p>
        </w:tc>
        <w:tc>
          <w:tcPr>
            <w:tcW w:w="1985" w:type="dxa"/>
            <w:hideMark/>
          </w:tcPr>
          <w:p w14:paraId="6885F37B"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Oui</w:t>
            </w:r>
          </w:p>
        </w:tc>
        <w:tc>
          <w:tcPr>
            <w:tcW w:w="1843" w:type="dxa"/>
            <w:hideMark/>
          </w:tcPr>
          <w:p w14:paraId="75DAABFE"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Non</w:t>
            </w:r>
          </w:p>
        </w:tc>
      </w:tr>
      <w:tr w:rsidR="009650A0" w:rsidRPr="009650A0" w14:paraId="5B74D5C3" w14:textId="77777777" w:rsidTr="00437627">
        <w:trPr>
          <w:trHeight w:val="1040"/>
        </w:trPr>
        <w:tc>
          <w:tcPr>
            <w:tcW w:w="2122" w:type="dxa"/>
            <w:hideMark/>
          </w:tcPr>
          <w:p w14:paraId="1DE459B0"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Sociétés financières non bancaires (</w:t>
            </w:r>
            <w:proofErr w:type="spellStart"/>
            <w:r w:rsidRPr="009650A0">
              <w:rPr>
                <w:rFonts w:ascii="Segoe UI" w:hAnsi="Segoe UI" w:cs="Segoe UI"/>
                <w:sz w:val="18"/>
                <w:szCs w:val="20"/>
              </w:rPr>
              <w:t>NBFCs</w:t>
            </w:r>
            <w:proofErr w:type="spellEnd"/>
            <w:r w:rsidRPr="009650A0">
              <w:rPr>
                <w:rFonts w:ascii="Segoe UI" w:hAnsi="Segoe UI" w:cs="Segoe UI"/>
                <w:sz w:val="18"/>
                <w:szCs w:val="20"/>
              </w:rPr>
              <w:t>)</w:t>
            </w:r>
          </w:p>
        </w:tc>
        <w:tc>
          <w:tcPr>
            <w:tcW w:w="2976" w:type="dxa"/>
            <w:hideMark/>
          </w:tcPr>
          <w:p w14:paraId="5C518602"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 NBFC de crédit (NBFC-ICC) • NBFC spécialisées en microfinance (NBFC-MFI) • NBFC logement (HFC) • NBFC infrastructure, etc.</w:t>
            </w:r>
          </w:p>
        </w:tc>
        <w:tc>
          <w:tcPr>
            <w:tcW w:w="1985" w:type="dxa"/>
            <w:hideMark/>
          </w:tcPr>
          <w:p w14:paraId="3E8EE919"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Oui</w:t>
            </w:r>
          </w:p>
        </w:tc>
        <w:tc>
          <w:tcPr>
            <w:tcW w:w="1843" w:type="dxa"/>
            <w:hideMark/>
          </w:tcPr>
          <w:p w14:paraId="0B912CEA"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Non</w:t>
            </w:r>
          </w:p>
        </w:tc>
      </w:tr>
      <w:tr w:rsidR="009650A0" w:rsidRPr="009650A0" w14:paraId="6787714E" w14:textId="77777777" w:rsidTr="00437627">
        <w:trPr>
          <w:trHeight w:val="545"/>
        </w:trPr>
        <w:tc>
          <w:tcPr>
            <w:tcW w:w="2122" w:type="dxa"/>
            <w:hideMark/>
          </w:tcPr>
          <w:p w14:paraId="2C3981FE"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Institutions de microfinance non-NBFC</w:t>
            </w:r>
          </w:p>
        </w:tc>
        <w:tc>
          <w:tcPr>
            <w:tcW w:w="2976" w:type="dxa"/>
            <w:hideMark/>
          </w:tcPr>
          <w:p w14:paraId="353CB32F"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ONG, coopératives, mutualistes, trusts</w:t>
            </w:r>
          </w:p>
        </w:tc>
        <w:tc>
          <w:tcPr>
            <w:tcW w:w="1985" w:type="dxa"/>
            <w:hideMark/>
          </w:tcPr>
          <w:p w14:paraId="74B2D79B"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Variable</w:t>
            </w:r>
          </w:p>
        </w:tc>
        <w:tc>
          <w:tcPr>
            <w:tcW w:w="1843" w:type="dxa"/>
            <w:hideMark/>
          </w:tcPr>
          <w:p w14:paraId="0C0644BB" w14:textId="77777777" w:rsidR="009650A0" w:rsidRPr="009650A0" w:rsidRDefault="009650A0" w:rsidP="009650A0">
            <w:pPr>
              <w:jc w:val="center"/>
              <w:rPr>
                <w:rFonts w:ascii="Segoe UI" w:hAnsi="Segoe UI" w:cs="Segoe UI"/>
                <w:sz w:val="18"/>
                <w:szCs w:val="20"/>
              </w:rPr>
            </w:pPr>
            <w:r w:rsidRPr="009650A0">
              <w:rPr>
                <w:rFonts w:ascii="Segoe UI" w:hAnsi="Segoe UI" w:cs="Segoe UI"/>
                <w:sz w:val="18"/>
                <w:szCs w:val="20"/>
              </w:rPr>
              <w:t>Non</w:t>
            </w:r>
          </w:p>
        </w:tc>
      </w:tr>
    </w:tbl>
    <w:p w14:paraId="0AB292F3" w14:textId="77777777" w:rsidR="00CE1473" w:rsidRDefault="00CE1473" w:rsidP="00CE1473">
      <w:pPr>
        <w:rPr>
          <w:b/>
          <w:color w:val="000091" w:themeColor="text1"/>
          <w:szCs w:val="24"/>
        </w:rPr>
      </w:pPr>
    </w:p>
    <w:p w14:paraId="6435F4A8" w14:textId="31E947A2" w:rsidR="007839BF" w:rsidRPr="00253DAB" w:rsidRDefault="007839BF" w:rsidP="000C1EBF">
      <w:pPr>
        <w:jc w:val="center"/>
        <w:rPr>
          <w:b/>
          <w:color w:val="000091" w:themeColor="text1"/>
          <w:sz w:val="28"/>
          <w:szCs w:val="32"/>
        </w:rPr>
      </w:pPr>
      <w:r w:rsidRPr="00253DAB">
        <w:rPr>
          <w:b/>
          <w:color w:val="000091" w:themeColor="text1"/>
          <w:szCs w:val="24"/>
        </w:rPr>
        <w:t xml:space="preserve">Annexe </w:t>
      </w:r>
      <w:r w:rsidR="00033CB6">
        <w:rPr>
          <w:b/>
          <w:color w:val="000091" w:themeColor="text1"/>
          <w:szCs w:val="24"/>
        </w:rPr>
        <w:t xml:space="preserve">2 </w:t>
      </w:r>
      <w:r w:rsidRPr="00253DAB">
        <w:rPr>
          <w:b/>
          <w:color w:val="000091" w:themeColor="text1"/>
        </w:rPr>
        <w:t xml:space="preserve">: </w:t>
      </w:r>
      <w:r w:rsidR="00063C8C" w:rsidRPr="00253DAB">
        <w:rPr>
          <w:b/>
          <w:color w:val="000091" w:themeColor="text1"/>
        </w:rPr>
        <w:t>Évolution</w:t>
      </w:r>
      <w:r w:rsidRPr="00253DAB">
        <w:rPr>
          <w:b/>
          <w:color w:val="000091" w:themeColor="text1"/>
        </w:rPr>
        <w:t xml:space="preserve"> </w:t>
      </w:r>
      <w:r w:rsidR="001E46E9" w:rsidRPr="00253DAB">
        <w:rPr>
          <w:b/>
          <w:color w:val="000091" w:themeColor="text1"/>
        </w:rPr>
        <w:t xml:space="preserve">de la répartition des </w:t>
      </w:r>
      <w:r w:rsidRPr="00253DAB">
        <w:rPr>
          <w:b/>
          <w:color w:val="000091" w:themeColor="text1"/>
        </w:rPr>
        <w:t xml:space="preserve">actifs bancaires </w:t>
      </w:r>
      <w:r w:rsidR="00111A32" w:rsidRPr="00253DAB">
        <w:rPr>
          <w:b/>
          <w:color w:val="000091" w:themeColor="text1"/>
        </w:rPr>
        <w:t xml:space="preserve">(en INR </w:t>
      </w:r>
      <w:proofErr w:type="spellStart"/>
      <w:r w:rsidR="00111A32" w:rsidRPr="00253DAB">
        <w:rPr>
          <w:b/>
          <w:color w:val="000091" w:themeColor="text1"/>
        </w:rPr>
        <w:t>crore</w:t>
      </w:r>
      <w:r w:rsidR="007619BA" w:rsidRPr="00253DAB">
        <w:rPr>
          <w:b/>
          <w:color w:val="000091" w:themeColor="text1"/>
        </w:rPr>
        <w:t>s</w:t>
      </w:r>
      <w:proofErr w:type="spellEnd"/>
      <w:r w:rsidR="00111A32" w:rsidRPr="00253DAB">
        <w:rPr>
          <w:b/>
          <w:color w:val="000091" w:themeColor="text1"/>
        </w:rPr>
        <w:t xml:space="preserve">) </w:t>
      </w:r>
      <w:r w:rsidRPr="00253DAB">
        <w:rPr>
          <w:b/>
          <w:color w:val="000091" w:themeColor="text1"/>
        </w:rPr>
        <w:t>par typologie d’acteurs (</w:t>
      </w:r>
      <w:r w:rsidRPr="00253DAB">
        <w:rPr>
          <w:b/>
          <w:i/>
          <w:iCs/>
          <w:color w:val="000091" w:themeColor="text1"/>
        </w:rPr>
        <w:t>Schedule Commercial Banks</w:t>
      </w:r>
      <w:r w:rsidRPr="00253DAB">
        <w:rPr>
          <w:b/>
          <w:color w:val="000091" w:themeColor="text1"/>
        </w:rPr>
        <w:t>)</w:t>
      </w:r>
    </w:p>
    <w:p w14:paraId="75F2D942" w14:textId="694BEDF5" w:rsidR="00E2224D" w:rsidRPr="00194EF7" w:rsidRDefault="00783901" w:rsidP="00194EF7">
      <w:pPr>
        <w:jc w:val="center"/>
        <w:rPr>
          <w:b/>
          <w:color w:val="000091" w:themeColor="text1"/>
          <w:sz w:val="32"/>
          <w:szCs w:val="36"/>
        </w:rPr>
      </w:pPr>
      <w:r>
        <w:rPr>
          <w:noProof/>
        </w:rPr>
        <w:drawing>
          <wp:inline distT="0" distB="0" distL="0" distR="0" wp14:anchorId="270ABBF7" wp14:editId="0D6506C4">
            <wp:extent cx="4864100" cy="2584450"/>
            <wp:effectExtent l="0" t="0" r="12700" b="6350"/>
            <wp:docPr id="7" name="Graphique 7">
              <a:extLst xmlns:a="http://schemas.openxmlformats.org/drawingml/2006/main">
                <a:ext uri="{FF2B5EF4-FFF2-40B4-BE49-F238E27FC236}">
                  <a16:creationId xmlns:a16="http://schemas.microsoft.com/office/drawing/2014/main" id="{EF0FBB32-B1E0-43DF-928D-4E545F897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F1C1AB" w14:textId="2C568462" w:rsidR="00B42F0B" w:rsidRPr="00F82EF8" w:rsidRDefault="00F82EF8" w:rsidP="00194EF7">
      <w:pPr>
        <w:jc w:val="center"/>
        <w:rPr>
          <w:b/>
          <w:color w:val="000091" w:themeColor="text1"/>
          <w:sz w:val="20"/>
        </w:rPr>
      </w:pPr>
      <w:r w:rsidRPr="00F82EF8">
        <w:rPr>
          <w:b/>
          <w:color w:val="000091" w:themeColor="text1"/>
          <w:sz w:val="20"/>
        </w:rPr>
        <w:t>Source</w:t>
      </w:r>
      <w:r w:rsidR="00194EF7" w:rsidRPr="00F82EF8">
        <w:rPr>
          <w:b/>
          <w:color w:val="000091" w:themeColor="text1"/>
          <w:sz w:val="20"/>
        </w:rPr>
        <w:t> : </w:t>
      </w:r>
      <w:r w:rsidR="00B42F0B" w:rsidRPr="00F82EF8">
        <w:rPr>
          <w:b/>
          <w:color w:val="000091" w:themeColor="text1"/>
          <w:sz w:val="20"/>
        </w:rPr>
        <w:t>RBI</w:t>
      </w:r>
      <w:r w:rsidRPr="00F82EF8">
        <w:rPr>
          <w:b/>
          <w:color w:val="000091" w:themeColor="text1"/>
          <w:sz w:val="20"/>
        </w:rPr>
        <w:t xml:space="preserve"> (Schedule Commercial Banks data)</w:t>
      </w:r>
      <w:r w:rsidR="00B42F0B" w:rsidRPr="00F82EF8">
        <w:rPr>
          <w:b/>
          <w:color w:val="000091" w:themeColor="text1"/>
          <w:sz w:val="20"/>
        </w:rPr>
        <w:t xml:space="preserve"> et </w:t>
      </w:r>
      <w:r>
        <w:rPr>
          <w:b/>
          <w:color w:val="000091" w:themeColor="text1"/>
          <w:sz w:val="20"/>
        </w:rPr>
        <w:t>C</w:t>
      </w:r>
      <w:r w:rsidR="00B42F0B" w:rsidRPr="00F82EF8">
        <w:rPr>
          <w:b/>
          <w:color w:val="000091" w:themeColor="text1"/>
          <w:sz w:val="20"/>
        </w:rPr>
        <w:t>alcul du SER</w:t>
      </w:r>
    </w:p>
    <w:p w14:paraId="35110725" w14:textId="2AB72629" w:rsidR="00194EF7" w:rsidRPr="00F82EF8" w:rsidRDefault="00B42F0B" w:rsidP="00B42F0B">
      <w:pPr>
        <w:jc w:val="both"/>
        <w:rPr>
          <w:bCs/>
          <w:i/>
          <w:iCs/>
          <w:color w:val="000091" w:themeColor="text1"/>
          <w:sz w:val="20"/>
        </w:rPr>
      </w:pPr>
      <w:r w:rsidRPr="00F82EF8">
        <w:rPr>
          <w:bCs/>
          <w:i/>
          <w:iCs/>
          <w:color w:val="000091" w:themeColor="text1"/>
          <w:sz w:val="20"/>
        </w:rPr>
        <w:t>NB </w:t>
      </w:r>
      <w:r w:rsidR="00F82EF8">
        <w:rPr>
          <w:bCs/>
          <w:i/>
          <w:iCs/>
          <w:color w:val="000091" w:themeColor="text1"/>
          <w:sz w:val="20"/>
        </w:rPr>
        <w:t xml:space="preserve">Annexe 2 et 3 </w:t>
      </w:r>
      <w:r w:rsidRPr="00F82EF8">
        <w:rPr>
          <w:bCs/>
          <w:i/>
          <w:iCs/>
          <w:color w:val="000091" w:themeColor="text1"/>
          <w:sz w:val="20"/>
        </w:rPr>
        <w:t xml:space="preserve">: </w:t>
      </w:r>
      <w:r w:rsidR="00F82EF8" w:rsidRPr="00F82EF8">
        <w:rPr>
          <w:bCs/>
          <w:i/>
          <w:iCs/>
          <w:color w:val="000091" w:themeColor="text1"/>
          <w:sz w:val="20"/>
        </w:rPr>
        <w:t xml:space="preserve">Les Public </w:t>
      </w:r>
      <w:proofErr w:type="spellStart"/>
      <w:r w:rsidR="00F82EF8" w:rsidRPr="00F82EF8">
        <w:rPr>
          <w:bCs/>
          <w:i/>
          <w:iCs/>
          <w:color w:val="000091" w:themeColor="text1"/>
          <w:sz w:val="20"/>
        </w:rPr>
        <w:t>Sector</w:t>
      </w:r>
      <w:proofErr w:type="spellEnd"/>
      <w:r w:rsidR="00F82EF8" w:rsidRPr="00F82EF8">
        <w:rPr>
          <w:bCs/>
          <w:i/>
          <w:iCs/>
          <w:color w:val="000091" w:themeColor="text1"/>
          <w:sz w:val="20"/>
        </w:rPr>
        <w:t xml:space="preserve"> Banks (</w:t>
      </w:r>
      <w:proofErr w:type="spellStart"/>
      <w:r w:rsidR="00F82EF8" w:rsidRPr="00F82EF8">
        <w:rPr>
          <w:bCs/>
          <w:i/>
          <w:iCs/>
          <w:color w:val="000091" w:themeColor="text1"/>
          <w:sz w:val="20"/>
        </w:rPr>
        <w:t>PSBs</w:t>
      </w:r>
      <w:proofErr w:type="spellEnd"/>
      <w:r w:rsidR="00F82EF8" w:rsidRPr="00F82EF8">
        <w:rPr>
          <w:bCs/>
          <w:i/>
          <w:iCs/>
          <w:color w:val="000091" w:themeColor="text1"/>
          <w:sz w:val="20"/>
        </w:rPr>
        <w:t>) sont le résultat d’un processus de consolidation mené entre 2017 et 2020. Avant cette période, elles étaient réparties en deux catégories</w:t>
      </w:r>
      <w:r w:rsidR="00F82EF8">
        <w:rPr>
          <w:bCs/>
          <w:i/>
          <w:iCs/>
          <w:color w:val="000091" w:themeColor="text1"/>
          <w:sz w:val="20"/>
        </w:rPr>
        <w:t xml:space="preserve">, à savoir </w:t>
      </w:r>
      <w:r w:rsidR="00F82EF8" w:rsidRPr="00F82EF8">
        <w:rPr>
          <w:bCs/>
          <w:i/>
          <w:iCs/>
          <w:color w:val="000091" w:themeColor="text1"/>
          <w:sz w:val="20"/>
        </w:rPr>
        <w:t xml:space="preserve">les banques nationalisées d’une part, et la State Bank of India et ses banques associées d’autre part. </w:t>
      </w:r>
      <w:r w:rsidR="00F82EF8">
        <w:rPr>
          <w:bCs/>
          <w:i/>
          <w:iCs/>
          <w:color w:val="000091" w:themeColor="text1"/>
          <w:sz w:val="20"/>
        </w:rPr>
        <w:t>A</w:t>
      </w:r>
      <w:r w:rsidR="00F82EF8" w:rsidRPr="00F82EF8">
        <w:rPr>
          <w:bCs/>
          <w:i/>
          <w:iCs/>
          <w:color w:val="000091" w:themeColor="text1"/>
          <w:sz w:val="20"/>
        </w:rPr>
        <w:t xml:space="preserve"> l’issue des regroupements successifs, le nombre de banques publiques est passé de 27 à 12. La mention « calcul du </w:t>
      </w:r>
      <w:r w:rsidR="00F82EF8">
        <w:rPr>
          <w:bCs/>
          <w:i/>
          <w:iCs/>
          <w:color w:val="000091" w:themeColor="text1"/>
          <w:sz w:val="20"/>
        </w:rPr>
        <w:t>SER</w:t>
      </w:r>
      <w:r w:rsidR="00F82EF8" w:rsidRPr="00F82EF8">
        <w:rPr>
          <w:bCs/>
          <w:i/>
          <w:iCs/>
          <w:color w:val="000091" w:themeColor="text1"/>
          <w:sz w:val="20"/>
        </w:rPr>
        <w:t xml:space="preserve"> » renvoie ainsi à l’agrégation des actifs et du crédit de l’ensemble de ces entités publiques sous l’intitulé de « banques publiques (incluant les réformes) », afin d’en simplifier la lecture.</w:t>
      </w:r>
    </w:p>
    <w:p w14:paraId="339B1B25" w14:textId="4AC266DA" w:rsidR="00CE1473" w:rsidRPr="00F82EF8" w:rsidRDefault="00CE1473" w:rsidP="007812E7">
      <w:pPr>
        <w:jc w:val="both"/>
        <w:rPr>
          <w:b/>
          <w:color w:val="000091" w:themeColor="text1"/>
          <w:szCs w:val="24"/>
        </w:rPr>
      </w:pPr>
    </w:p>
    <w:p w14:paraId="114A2009" w14:textId="77777777" w:rsidR="00291B26" w:rsidRDefault="00291B26" w:rsidP="00291B26">
      <w:pPr>
        <w:rPr>
          <w:b/>
          <w:color w:val="000091" w:themeColor="text1"/>
          <w:szCs w:val="24"/>
        </w:rPr>
      </w:pPr>
    </w:p>
    <w:p w14:paraId="7B7294F3" w14:textId="68A15BC2" w:rsidR="007812E7" w:rsidRPr="00253DAB" w:rsidRDefault="007812E7" w:rsidP="00291B26">
      <w:pPr>
        <w:rPr>
          <w:b/>
          <w:color w:val="000091" w:themeColor="text1"/>
          <w:sz w:val="28"/>
          <w:szCs w:val="32"/>
        </w:rPr>
      </w:pPr>
      <w:r w:rsidRPr="00253DAB">
        <w:rPr>
          <w:b/>
          <w:color w:val="000091" w:themeColor="text1"/>
          <w:szCs w:val="24"/>
        </w:rPr>
        <w:lastRenderedPageBreak/>
        <w:t xml:space="preserve">Annexe </w:t>
      </w:r>
      <w:r w:rsidR="00033CB6">
        <w:rPr>
          <w:b/>
          <w:color w:val="000091" w:themeColor="text1"/>
          <w:szCs w:val="24"/>
        </w:rPr>
        <w:t>3</w:t>
      </w:r>
      <w:r w:rsidRPr="00253DAB">
        <w:rPr>
          <w:b/>
          <w:color w:val="000091" w:themeColor="text1"/>
          <w:szCs w:val="24"/>
        </w:rPr>
        <w:t> </w:t>
      </w:r>
      <w:r w:rsidRPr="00253DAB">
        <w:rPr>
          <w:b/>
          <w:color w:val="000091" w:themeColor="text1"/>
        </w:rPr>
        <w:t xml:space="preserve">: </w:t>
      </w:r>
      <w:r w:rsidR="00063C8C" w:rsidRPr="00253DAB">
        <w:rPr>
          <w:b/>
          <w:color w:val="000091" w:themeColor="text1"/>
        </w:rPr>
        <w:t>Évolution</w:t>
      </w:r>
      <w:r w:rsidRPr="00253DAB">
        <w:rPr>
          <w:b/>
          <w:color w:val="000091" w:themeColor="text1"/>
        </w:rPr>
        <w:t xml:space="preserve"> de la répartition du crédit bancaire (en INR </w:t>
      </w:r>
      <w:proofErr w:type="spellStart"/>
      <w:r w:rsidRPr="00253DAB">
        <w:rPr>
          <w:b/>
          <w:color w:val="000091" w:themeColor="text1"/>
        </w:rPr>
        <w:t>crores</w:t>
      </w:r>
      <w:proofErr w:type="spellEnd"/>
      <w:r w:rsidRPr="00253DAB">
        <w:rPr>
          <w:b/>
          <w:color w:val="000091" w:themeColor="text1"/>
        </w:rPr>
        <w:t>) par typologie d’acteurs (</w:t>
      </w:r>
      <w:r w:rsidRPr="00253DAB">
        <w:rPr>
          <w:b/>
          <w:i/>
          <w:iCs/>
          <w:color w:val="000091" w:themeColor="text1"/>
        </w:rPr>
        <w:t>Schedule Commercial Banks</w:t>
      </w:r>
      <w:r w:rsidRPr="00253DAB">
        <w:rPr>
          <w:b/>
          <w:color w:val="000091" w:themeColor="text1"/>
        </w:rPr>
        <w:t>)</w:t>
      </w:r>
    </w:p>
    <w:p w14:paraId="6CDB50A8" w14:textId="70C857A9" w:rsidR="000C1EBF" w:rsidRPr="00437627" w:rsidRDefault="007812E7" w:rsidP="00437627">
      <w:pPr>
        <w:jc w:val="center"/>
        <w:rPr>
          <w:rFonts w:ascii="Segoe UI" w:hAnsi="Segoe UI" w:cs="Segoe UI"/>
          <w:b/>
          <w:color w:val="000091" w:themeColor="text1"/>
          <w:sz w:val="24"/>
          <w:szCs w:val="28"/>
        </w:rPr>
      </w:pPr>
      <w:r>
        <w:rPr>
          <w:noProof/>
        </w:rPr>
        <w:drawing>
          <wp:inline distT="0" distB="0" distL="0" distR="0" wp14:anchorId="386C7DD2" wp14:editId="08D99DB5">
            <wp:extent cx="4832350" cy="2406650"/>
            <wp:effectExtent l="0" t="0" r="6350" b="12700"/>
            <wp:docPr id="9" name="Graphique 9">
              <a:extLst xmlns:a="http://schemas.openxmlformats.org/drawingml/2006/main">
                <a:ext uri="{FF2B5EF4-FFF2-40B4-BE49-F238E27FC236}">
                  <a16:creationId xmlns:a16="http://schemas.microsoft.com/office/drawing/2014/main" id="{816B097C-C58D-418C-AE92-1F3713F75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413E49" w14:textId="77777777" w:rsidR="00F82EF8" w:rsidRPr="00F82EF8" w:rsidRDefault="00F82EF8" w:rsidP="00F82EF8">
      <w:pPr>
        <w:jc w:val="center"/>
        <w:rPr>
          <w:b/>
          <w:color w:val="000091" w:themeColor="text1"/>
          <w:sz w:val="20"/>
        </w:rPr>
      </w:pPr>
      <w:r w:rsidRPr="00F82EF8">
        <w:rPr>
          <w:b/>
          <w:color w:val="000091" w:themeColor="text1"/>
          <w:sz w:val="20"/>
        </w:rPr>
        <w:t xml:space="preserve">Source : RBI (Schedule Commercial Banks data) et </w:t>
      </w:r>
      <w:r>
        <w:rPr>
          <w:b/>
          <w:color w:val="000091" w:themeColor="text1"/>
          <w:sz w:val="20"/>
        </w:rPr>
        <w:t>C</w:t>
      </w:r>
      <w:r w:rsidRPr="00F82EF8">
        <w:rPr>
          <w:b/>
          <w:color w:val="000091" w:themeColor="text1"/>
          <w:sz w:val="20"/>
        </w:rPr>
        <w:t>alcul du SER</w:t>
      </w:r>
    </w:p>
    <w:p w14:paraId="0F1F5F3E" w14:textId="77777777" w:rsidR="00194EF7" w:rsidRDefault="00194EF7" w:rsidP="000C1EBF">
      <w:pPr>
        <w:jc w:val="center"/>
        <w:rPr>
          <w:b/>
          <w:color w:val="000091" w:themeColor="text1"/>
          <w:szCs w:val="24"/>
        </w:rPr>
      </w:pPr>
    </w:p>
    <w:p w14:paraId="029102DE" w14:textId="3001B3C9" w:rsidR="00415E8A" w:rsidRPr="00E2224D" w:rsidRDefault="00415E8A" w:rsidP="000C1EBF">
      <w:pPr>
        <w:jc w:val="center"/>
        <w:rPr>
          <w:b/>
          <w:color w:val="000091" w:themeColor="text1"/>
          <w:szCs w:val="24"/>
        </w:rPr>
      </w:pPr>
      <w:r w:rsidRPr="00E2224D">
        <w:rPr>
          <w:b/>
          <w:color w:val="000091" w:themeColor="text1"/>
          <w:szCs w:val="24"/>
        </w:rPr>
        <w:t xml:space="preserve">Annexe </w:t>
      </w:r>
      <w:r w:rsidR="00033CB6">
        <w:rPr>
          <w:b/>
          <w:color w:val="000091" w:themeColor="text1"/>
          <w:szCs w:val="24"/>
        </w:rPr>
        <w:t>4</w:t>
      </w:r>
      <w:r w:rsidRPr="00E2224D">
        <w:rPr>
          <w:b/>
          <w:color w:val="000091" w:themeColor="text1"/>
          <w:szCs w:val="24"/>
        </w:rPr>
        <w:t xml:space="preserve"> : </w:t>
      </w:r>
      <w:r w:rsidR="00194EF7">
        <w:rPr>
          <w:b/>
          <w:color w:val="000091" w:themeColor="text1"/>
          <w:szCs w:val="24"/>
        </w:rPr>
        <w:t xml:space="preserve">Croissance du </w:t>
      </w:r>
      <w:r w:rsidR="00094A46" w:rsidRPr="00E2224D">
        <w:rPr>
          <w:b/>
          <w:color w:val="000091" w:themeColor="text1"/>
          <w:szCs w:val="24"/>
        </w:rPr>
        <w:t>crédit bancaire entre les exercices budgétaires 2019 et 2025</w:t>
      </w:r>
      <w:r w:rsidR="00194EF7">
        <w:rPr>
          <w:b/>
          <w:color w:val="000091" w:themeColor="text1"/>
          <w:szCs w:val="24"/>
        </w:rPr>
        <w:t xml:space="preserve"> (en</w:t>
      </w:r>
      <w:r w:rsidR="000F0A63">
        <w:rPr>
          <w:b/>
          <w:color w:val="000091" w:themeColor="text1"/>
          <w:szCs w:val="24"/>
        </w:rPr>
        <w:t xml:space="preserve"> </w:t>
      </w:r>
      <w:r w:rsidR="00194EF7">
        <w:rPr>
          <w:b/>
          <w:color w:val="000091" w:themeColor="text1"/>
          <w:szCs w:val="24"/>
        </w:rPr>
        <w:t>%)</w:t>
      </w:r>
    </w:p>
    <w:p w14:paraId="5D2E6FB4" w14:textId="74C95438" w:rsidR="00415E8A" w:rsidRDefault="00A8624C" w:rsidP="00FC3745">
      <w:pPr>
        <w:jc w:val="center"/>
        <w:rPr>
          <w:b/>
          <w:color w:val="000091" w:themeColor="text1"/>
          <w:sz w:val="32"/>
          <w:szCs w:val="36"/>
        </w:rPr>
      </w:pPr>
      <w:r>
        <w:rPr>
          <w:noProof/>
        </w:rPr>
        <w:drawing>
          <wp:inline distT="0" distB="0" distL="0" distR="0" wp14:anchorId="6AB0D1D7" wp14:editId="0B1F566B">
            <wp:extent cx="4826000" cy="2705100"/>
            <wp:effectExtent l="0" t="0" r="12700" b="0"/>
            <wp:docPr id="10" name="Graphique 10">
              <a:extLst xmlns:a="http://schemas.openxmlformats.org/drawingml/2006/main">
                <a:ext uri="{FF2B5EF4-FFF2-40B4-BE49-F238E27FC236}">
                  <a16:creationId xmlns:a16="http://schemas.microsoft.com/office/drawing/2014/main" id="{4CE531C1-51A4-4A0A-BC37-547CE3241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46C045" w14:textId="24D3E2C6" w:rsidR="00094A46" w:rsidRPr="00094A46" w:rsidRDefault="00094A46" w:rsidP="00FC3745">
      <w:pPr>
        <w:jc w:val="center"/>
        <w:rPr>
          <w:b/>
          <w:i/>
          <w:iCs/>
          <w:color w:val="000091" w:themeColor="text1"/>
          <w:sz w:val="20"/>
          <w:lang w:val="en-US"/>
        </w:rPr>
      </w:pPr>
      <w:r w:rsidRPr="00094A46">
        <w:rPr>
          <w:b/>
          <w:i/>
          <w:iCs/>
          <w:color w:val="000091" w:themeColor="text1"/>
          <w:sz w:val="20"/>
          <w:lang w:val="en-US"/>
        </w:rPr>
        <w:t>source : RBI, structural development of</w:t>
      </w:r>
      <w:r>
        <w:rPr>
          <w:b/>
          <w:i/>
          <w:iCs/>
          <w:color w:val="000091" w:themeColor="text1"/>
          <w:sz w:val="20"/>
          <w:lang w:val="en-US"/>
        </w:rPr>
        <w:t xml:space="preserve"> credit in India</w:t>
      </w:r>
    </w:p>
    <w:p w14:paraId="06183D18" w14:textId="77777777" w:rsidR="0014225A" w:rsidRPr="00BB1834" w:rsidRDefault="0014225A" w:rsidP="007F3A7F">
      <w:pPr>
        <w:rPr>
          <w:b/>
          <w:color w:val="000091" w:themeColor="text1"/>
          <w:szCs w:val="24"/>
          <w:lang w:val="en-US"/>
        </w:rPr>
      </w:pPr>
    </w:p>
    <w:p w14:paraId="0CCBCBAB" w14:textId="77777777" w:rsidR="0014225A" w:rsidRPr="00BB1834" w:rsidRDefault="0014225A" w:rsidP="007F3A7F">
      <w:pPr>
        <w:rPr>
          <w:b/>
          <w:color w:val="000091" w:themeColor="text1"/>
          <w:szCs w:val="24"/>
          <w:lang w:val="en-US"/>
        </w:rPr>
      </w:pPr>
    </w:p>
    <w:p w14:paraId="1C82DD6E" w14:textId="77777777" w:rsidR="0014225A" w:rsidRPr="00BB1834" w:rsidRDefault="0014225A" w:rsidP="007F3A7F">
      <w:pPr>
        <w:rPr>
          <w:b/>
          <w:color w:val="000091" w:themeColor="text1"/>
          <w:szCs w:val="24"/>
          <w:lang w:val="en-US"/>
        </w:rPr>
      </w:pPr>
    </w:p>
    <w:p w14:paraId="30E44C76" w14:textId="77777777" w:rsidR="0014225A" w:rsidRPr="00BB1834" w:rsidRDefault="0014225A" w:rsidP="007F3A7F">
      <w:pPr>
        <w:rPr>
          <w:b/>
          <w:color w:val="000091" w:themeColor="text1"/>
          <w:szCs w:val="24"/>
          <w:lang w:val="en-US"/>
        </w:rPr>
      </w:pPr>
    </w:p>
    <w:p w14:paraId="1CF6D187" w14:textId="5530AB33" w:rsidR="0014225A" w:rsidRDefault="0014225A" w:rsidP="007F3A7F">
      <w:pPr>
        <w:rPr>
          <w:b/>
          <w:color w:val="000091" w:themeColor="text1"/>
          <w:szCs w:val="24"/>
          <w:lang w:val="en-US"/>
        </w:rPr>
      </w:pPr>
    </w:p>
    <w:p w14:paraId="47249533" w14:textId="77777777" w:rsidR="00BB1834" w:rsidRPr="00BB1834" w:rsidRDefault="00BB1834" w:rsidP="007F3A7F">
      <w:pPr>
        <w:rPr>
          <w:b/>
          <w:color w:val="000091" w:themeColor="text1"/>
          <w:szCs w:val="24"/>
          <w:lang w:val="en-US"/>
        </w:rPr>
      </w:pPr>
    </w:p>
    <w:p w14:paraId="421185FE" w14:textId="77777777" w:rsidR="0014225A" w:rsidRPr="00BB1834" w:rsidRDefault="0014225A" w:rsidP="007F3A7F">
      <w:pPr>
        <w:rPr>
          <w:b/>
          <w:color w:val="000091" w:themeColor="text1"/>
          <w:szCs w:val="24"/>
          <w:lang w:val="en-US"/>
        </w:rPr>
      </w:pPr>
    </w:p>
    <w:p w14:paraId="535A8305" w14:textId="354E38A4" w:rsidR="004F38AB" w:rsidRPr="00E2224D" w:rsidRDefault="00415E8A" w:rsidP="007F3A7F">
      <w:pPr>
        <w:rPr>
          <w:b/>
          <w:color w:val="000091" w:themeColor="text1"/>
          <w:szCs w:val="24"/>
        </w:rPr>
      </w:pPr>
      <w:r w:rsidRPr="00E2224D">
        <w:rPr>
          <w:b/>
          <w:color w:val="000091" w:themeColor="text1"/>
          <w:szCs w:val="24"/>
        </w:rPr>
        <w:lastRenderedPageBreak/>
        <w:t xml:space="preserve">Annexe </w:t>
      </w:r>
      <w:r w:rsidR="00033CB6">
        <w:rPr>
          <w:b/>
          <w:color w:val="000091" w:themeColor="text1"/>
          <w:szCs w:val="24"/>
        </w:rPr>
        <w:t>5</w:t>
      </w:r>
      <w:r w:rsidRPr="00E2224D">
        <w:rPr>
          <w:b/>
          <w:color w:val="000091" w:themeColor="text1"/>
          <w:szCs w:val="24"/>
        </w:rPr>
        <w:t> : Endettement des ménages de 2019 à 2024</w:t>
      </w:r>
      <w:r w:rsidR="00BE4B62">
        <w:rPr>
          <w:b/>
          <w:color w:val="000091" w:themeColor="text1"/>
          <w:szCs w:val="24"/>
        </w:rPr>
        <w:t xml:space="preserve"> en Inde versus </w:t>
      </w:r>
      <w:r w:rsidR="000F0A63">
        <w:rPr>
          <w:b/>
          <w:color w:val="000091" w:themeColor="text1"/>
          <w:szCs w:val="24"/>
        </w:rPr>
        <w:t>P</w:t>
      </w:r>
      <w:r w:rsidR="00BE4B62">
        <w:rPr>
          <w:b/>
          <w:color w:val="000091" w:themeColor="text1"/>
          <w:szCs w:val="24"/>
        </w:rPr>
        <w:t xml:space="preserve">ays émergents </w:t>
      </w:r>
      <w:r w:rsidR="000F0A63">
        <w:rPr>
          <w:b/>
          <w:color w:val="000091" w:themeColor="text1"/>
          <w:szCs w:val="24"/>
        </w:rPr>
        <w:t>(en %</w:t>
      </w:r>
      <w:r w:rsidR="00CE676D">
        <w:rPr>
          <w:b/>
          <w:color w:val="000091" w:themeColor="text1"/>
          <w:szCs w:val="24"/>
        </w:rPr>
        <w:t xml:space="preserve"> du PIB</w:t>
      </w:r>
      <w:r w:rsidR="000F0A63">
        <w:rPr>
          <w:b/>
          <w:color w:val="000091" w:themeColor="text1"/>
          <w:szCs w:val="24"/>
        </w:rPr>
        <w:t>)</w:t>
      </w:r>
    </w:p>
    <w:p w14:paraId="75FBEA0B" w14:textId="618A704C" w:rsidR="004F38AB" w:rsidRPr="008C7E1A" w:rsidRDefault="00FC3745" w:rsidP="003F78EB">
      <w:pPr>
        <w:jc w:val="both"/>
        <w:rPr>
          <w:b/>
          <w:color w:val="000091" w:themeColor="text1"/>
          <w:sz w:val="32"/>
          <w:szCs w:val="36"/>
        </w:rPr>
      </w:pPr>
      <w:r w:rsidRPr="00415E8A">
        <w:rPr>
          <w:b/>
          <w:noProof/>
          <w:color w:val="000091" w:themeColor="text1"/>
          <w:sz w:val="24"/>
          <w:szCs w:val="28"/>
        </w:rPr>
        <w:drawing>
          <wp:anchor distT="0" distB="0" distL="114300" distR="114300" simplePos="0" relativeHeight="251662336" behindDoc="1" locked="0" layoutInCell="1" allowOverlap="1" wp14:anchorId="4ACDD535" wp14:editId="0BD09E1C">
            <wp:simplePos x="0" y="0"/>
            <wp:positionH relativeFrom="column">
              <wp:posOffset>1329245</wp:posOffset>
            </wp:positionH>
            <wp:positionV relativeFrom="paragraph">
              <wp:posOffset>8478</wp:posOffset>
            </wp:positionV>
            <wp:extent cx="3359150" cy="2363470"/>
            <wp:effectExtent l="0" t="0" r="0" b="0"/>
            <wp:wrapTight wrapText="bothSides">
              <wp:wrapPolygon edited="0">
                <wp:start x="0" y="0"/>
                <wp:lineTo x="0" y="21414"/>
                <wp:lineTo x="21437" y="21414"/>
                <wp:lineTo x="21437"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a:extLst>
                        <a:ext uri="{28A0092B-C50C-407E-A947-70E740481C1C}">
                          <a14:useLocalDpi xmlns:a14="http://schemas.microsoft.com/office/drawing/2010/main" val="0"/>
                        </a:ext>
                      </a:extLst>
                    </a:blip>
                    <a:stretch>
                      <a:fillRect/>
                    </a:stretch>
                  </pic:blipFill>
                  <pic:spPr>
                    <a:xfrm>
                      <a:off x="0" y="0"/>
                      <a:ext cx="3359150" cy="2363470"/>
                    </a:xfrm>
                    <a:prstGeom prst="rect">
                      <a:avLst/>
                    </a:prstGeom>
                  </pic:spPr>
                </pic:pic>
              </a:graphicData>
            </a:graphic>
          </wp:anchor>
        </w:drawing>
      </w:r>
    </w:p>
    <w:p w14:paraId="22758636" w14:textId="11AA9B57" w:rsidR="004F38AB" w:rsidRPr="008C7E1A" w:rsidRDefault="004F38AB" w:rsidP="003F78EB">
      <w:pPr>
        <w:jc w:val="both"/>
        <w:rPr>
          <w:b/>
          <w:color w:val="000091" w:themeColor="text1"/>
          <w:sz w:val="32"/>
          <w:szCs w:val="36"/>
        </w:rPr>
      </w:pPr>
    </w:p>
    <w:p w14:paraId="5916044A" w14:textId="77777777" w:rsidR="004F38AB" w:rsidRPr="008C7E1A" w:rsidRDefault="004F38AB" w:rsidP="003F78EB">
      <w:pPr>
        <w:jc w:val="both"/>
        <w:rPr>
          <w:b/>
          <w:color w:val="000091" w:themeColor="text1"/>
          <w:sz w:val="32"/>
          <w:szCs w:val="36"/>
        </w:rPr>
      </w:pPr>
    </w:p>
    <w:p w14:paraId="1B8D9933" w14:textId="77777777" w:rsidR="00415E8A" w:rsidRDefault="00415E8A" w:rsidP="003F78EB">
      <w:pPr>
        <w:jc w:val="both"/>
        <w:rPr>
          <w:b/>
          <w:color w:val="000091" w:themeColor="text1"/>
          <w:sz w:val="32"/>
          <w:szCs w:val="36"/>
        </w:rPr>
      </w:pPr>
    </w:p>
    <w:p w14:paraId="49ABB0A6" w14:textId="77777777" w:rsidR="00415E8A" w:rsidRDefault="00415E8A" w:rsidP="003F78EB">
      <w:pPr>
        <w:jc w:val="both"/>
        <w:rPr>
          <w:b/>
          <w:color w:val="000091" w:themeColor="text1"/>
          <w:sz w:val="32"/>
          <w:szCs w:val="36"/>
        </w:rPr>
      </w:pPr>
    </w:p>
    <w:p w14:paraId="7834953A" w14:textId="77777777" w:rsidR="00415E8A" w:rsidRDefault="00415E8A" w:rsidP="003F78EB">
      <w:pPr>
        <w:jc w:val="both"/>
        <w:rPr>
          <w:b/>
          <w:color w:val="000091" w:themeColor="text1"/>
          <w:sz w:val="32"/>
          <w:szCs w:val="36"/>
        </w:rPr>
      </w:pPr>
    </w:p>
    <w:p w14:paraId="767DD714" w14:textId="77777777" w:rsidR="00415E8A" w:rsidRDefault="00415E8A" w:rsidP="003F78EB">
      <w:pPr>
        <w:jc w:val="both"/>
        <w:rPr>
          <w:b/>
          <w:color w:val="000091" w:themeColor="text1"/>
          <w:sz w:val="32"/>
          <w:szCs w:val="36"/>
        </w:rPr>
      </w:pPr>
    </w:p>
    <w:p w14:paraId="5D73A553" w14:textId="43EDE1E7" w:rsidR="00861C6D" w:rsidRPr="00ED1540" w:rsidRDefault="00415E8A" w:rsidP="00ED1540">
      <w:pPr>
        <w:jc w:val="center"/>
        <w:rPr>
          <w:b/>
          <w:i/>
          <w:iCs/>
          <w:color w:val="000091" w:themeColor="text1"/>
          <w:sz w:val="20"/>
        </w:rPr>
      </w:pPr>
      <w:r w:rsidRPr="00415E8A">
        <w:rPr>
          <w:b/>
          <w:i/>
          <w:iCs/>
          <w:color w:val="000091" w:themeColor="text1"/>
          <w:sz w:val="20"/>
        </w:rPr>
        <w:t>source : BIS</w:t>
      </w:r>
    </w:p>
    <w:p w14:paraId="5F3BDFCF" w14:textId="77777777" w:rsidR="004C09EE" w:rsidRDefault="004C09EE" w:rsidP="007F5FF3">
      <w:pPr>
        <w:jc w:val="center"/>
        <w:rPr>
          <w:b/>
          <w:color w:val="000091" w:themeColor="text1"/>
          <w:szCs w:val="24"/>
        </w:rPr>
      </w:pPr>
    </w:p>
    <w:p w14:paraId="1034CFAE" w14:textId="61B0A44D" w:rsidR="00861C6D" w:rsidRDefault="003D7A0B" w:rsidP="007F5FF3">
      <w:pPr>
        <w:jc w:val="center"/>
        <w:rPr>
          <w:b/>
          <w:color w:val="000091" w:themeColor="text1"/>
          <w:szCs w:val="24"/>
        </w:rPr>
      </w:pPr>
      <w:r w:rsidRPr="00E2224D">
        <w:rPr>
          <w:b/>
          <w:color w:val="000091" w:themeColor="text1"/>
          <w:szCs w:val="24"/>
        </w:rPr>
        <w:t xml:space="preserve">Annexe </w:t>
      </w:r>
      <w:r>
        <w:rPr>
          <w:b/>
          <w:color w:val="000091" w:themeColor="text1"/>
          <w:szCs w:val="24"/>
        </w:rPr>
        <w:t>6</w:t>
      </w:r>
      <w:r w:rsidRPr="00E2224D">
        <w:rPr>
          <w:b/>
          <w:color w:val="000091" w:themeColor="text1"/>
          <w:szCs w:val="24"/>
        </w:rPr>
        <w:t xml:space="preserve"> : </w:t>
      </w:r>
      <w:r w:rsidR="000779E0">
        <w:rPr>
          <w:b/>
          <w:color w:val="000091" w:themeColor="text1"/>
          <w:szCs w:val="24"/>
        </w:rPr>
        <w:t xml:space="preserve"> Évolution des actifs non performants bru</w:t>
      </w:r>
      <w:r w:rsidR="004C09EE">
        <w:rPr>
          <w:b/>
          <w:color w:val="000091" w:themeColor="text1"/>
          <w:szCs w:val="24"/>
        </w:rPr>
        <w:t>t</w:t>
      </w:r>
      <w:r w:rsidR="000779E0">
        <w:rPr>
          <w:b/>
          <w:color w:val="000091" w:themeColor="text1"/>
          <w:szCs w:val="24"/>
        </w:rPr>
        <w:t xml:space="preserve">s et nets entre 2015 et 2024 </w:t>
      </w:r>
      <w:r w:rsidR="00BE4B62">
        <w:rPr>
          <w:b/>
          <w:color w:val="000091" w:themeColor="text1"/>
          <w:szCs w:val="24"/>
        </w:rPr>
        <w:t xml:space="preserve">(en INR </w:t>
      </w:r>
      <w:proofErr w:type="spellStart"/>
      <w:r w:rsidR="00BE4B62">
        <w:rPr>
          <w:b/>
          <w:color w:val="000091" w:themeColor="text1"/>
          <w:szCs w:val="24"/>
        </w:rPr>
        <w:t>crores</w:t>
      </w:r>
      <w:proofErr w:type="spellEnd"/>
      <w:r w:rsidR="00BE4B62">
        <w:rPr>
          <w:b/>
          <w:color w:val="000091" w:themeColor="text1"/>
          <w:szCs w:val="24"/>
        </w:rPr>
        <w:t>)</w:t>
      </w:r>
    </w:p>
    <w:p w14:paraId="33A20707" w14:textId="2BB477F8" w:rsidR="000C1EBF" w:rsidRDefault="00ED1540" w:rsidP="003F78EB">
      <w:pPr>
        <w:jc w:val="both"/>
        <w:rPr>
          <w:b/>
          <w:color w:val="000091" w:themeColor="text1"/>
          <w:sz w:val="32"/>
          <w:szCs w:val="36"/>
        </w:rPr>
      </w:pPr>
      <w:r>
        <w:rPr>
          <w:noProof/>
        </w:rPr>
        <w:drawing>
          <wp:inline distT="0" distB="0" distL="0" distR="0" wp14:anchorId="5E0392AE" wp14:editId="49565DF8">
            <wp:extent cx="5689600" cy="2971800"/>
            <wp:effectExtent l="0" t="0" r="6350" b="0"/>
            <wp:docPr id="6" name="Graphique 6">
              <a:extLst xmlns:a="http://schemas.openxmlformats.org/drawingml/2006/main">
                <a:ext uri="{FF2B5EF4-FFF2-40B4-BE49-F238E27FC236}">
                  <a16:creationId xmlns:a16="http://schemas.microsoft.com/office/drawing/2014/main" id="{35E8A684-4899-4CF6-9BCB-F016EE61B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AF8BB2" w14:textId="77777777" w:rsidR="007F3A7F" w:rsidRDefault="004C09EE" w:rsidP="007F3A7F">
      <w:pPr>
        <w:jc w:val="center"/>
        <w:rPr>
          <w:b/>
          <w:i/>
          <w:iCs/>
          <w:color w:val="000091" w:themeColor="text1"/>
          <w:sz w:val="20"/>
        </w:rPr>
      </w:pPr>
      <w:r w:rsidRPr="00415E8A">
        <w:rPr>
          <w:b/>
          <w:i/>
          <w:iCs/>
          <w:color w:val="000091" w:themeColor="text1"/>
          <w:sz w:val="20"/>
        </w:rPr>
        <w:t xml:space="preserve">source : </w:t>
      </w:r>
      <w:r>
        <w:rPr>
          <w:b/>
          <w:i/>
          <w:iCs/>
          <w:color w:val="000091" w:themeColor="text1"/>
          <w:sz w:val="20"/>
        </w:rPr>
        <w:t xml:space="preserve">RBI </w:t>
      </w:r>
    </w:p>
    <w:p w14:paraId="71498331" w14:textId="77777777" w:rsidR="007F3A7F" w:rsidRDefault="007F3A7F" w:rsidP="007F3A7F">
      <w:pPr>
        <w:rPr>
          <w:b/>
          <w:color w:val="000091" w:themeColor="text1"/>
          <w:sz w:val="32"/>
          <w:szCs w:val="36"/>
        </w:rPr>
      </w:pPr>
    </w:p>
    <w:p w14:paraId="6B93CF3F" w14:textId="77777777" w:rsidR="007F3A7F" w:rsidRDefault="007F3A7F" w:rsidP="007F3A7F">
      <w:pPr>
        <w:rPr>
          <w:b/>
          <w:color w:val="000091" w:themeColor="text1"/>
          <w:sz w:val="32"/>
          <w:szCs w:val="36"/>
        </w:rPr>
      </w:pPr>
    </w:p>
    <w:p w14:paraId="4C9C122C" w14:textId="77777777" w:rsidR="007F3A7F" w:rsidRDefault="007F3A7F" w:rsidP="007F3A7F">
      <w:pPr>
        <w:rPr>
          <w:b/>
          <w:color w:val="000091" w:themeColor="text1"/>
          <w:sz w:val="32"/>
          <w:szCs w:val="36"/>
        </w:rPr>
      </w:pPr>
    </w:p>
    <w:p w14:paraId="21834314" w14:textId="77777777" w:rsidR="007F3A7F" w:rsidRDefault="007F3A7F" w:rsidP="007F3A7F">
      <w:pPr>
        <w:rPr>
          <w:b/>
          <w:color w:val="000091" w:themeColor="text1"/>
          <w:sz w:val="32"/>
          <w:szCs w:val="36"/>
        </w:rPr>
      </w:pPr>
    </w:p>
    <w:p w14:paraId="4014A422" w14:textId="77777777" w:rsidR="0014225A" w:rsidRDefault="0014225A" w:rsidP="007F3A7F">
      <w:pPr>
        <w:rPr>
          <w:b/>
          <w:color w:val="000091" w:themeColor="text1"/>
          <w:sz w:val="32"/>
          <w:szCs w:val="36"/>
        </w:rPr>
      </w:pPr>
    </w:p>
    <w:p w14:paraId="5FB215AD" w14:textId="04E96B9A" w:rsidR="005A2868" w:rsidRPr="0014225A" w:rsidRDefault="00627989" w:rsidP="007F3A7F">
      <w:pPr>
        <w:rPr>
          <w:b/>
          <w:color w:val="000091" w:themeColor="text1"/>
          <w:sz w:val="32"/>
          <w:szCs w:val="36"/>
        </w:rPr>
      </w:pPr>
      <w:r w:rsidRPr="003F78EB">
        <w:rPr>
          <w:b/>
          <w:color w:val="000091" w:themeColor="text1"/>
          <w:sz w:val="32"/>
          <w:szCs w:val="36"/>
        </w:rPr>
        <w:lastRenderedPageBreak/>
        <w:t>N</w:t>
      </w:r>
      <w:r w:rsidR="00496755">
        <w:rPr>
          <w:b/>
          <w:color w:val="000091" w:themeColor="text1"/>
          <w:sz w:val="32"/>
          <w:szCs w:val="36"/>
        </w:rPr>
        <w:t>ote</w:t>
      </w:r>
      <w:r w:rsidR="00BB1834">
        <w:rPr>
          <w:b/>
          <w:color w:val="000091" w:themeColor="text1"/>
          <w:sz w:val="32"/>
          <w:szCs w:val="36"/>
        </w:rPr>
        <w:t>s</w:t>
      </w:r>
      <w:r w:rsidR="00496755">
        <w:rPr>
          <w:b/>
          <w:color w:val="000091" w:themeColor="text1"/>
          <w:sz w:val="32"/>
          <w:szCs w:val="36"/>
        </w:rPr>
        <w:t xml:space="preserve"> de fin </w:t>
      </w:r>
      <w:r w:rsidRPr="003F78EB">
        <w:rPr>
          <w:b/>
          <w:color w:val="000091" w:themeColor="text1"/>
          <w:sz w:val="32"/>
          <w:szCs w:val="36"/>
        </w:rPr>
        <w:t xml:space="preserve"> </w:t>
      </w:r>
    </w:p>
    <w:sectPr w:rsidR="005A2868" w:rsidRPr="0014225A" w:rsidSect="00BB1834">
      <w:headerReference w:type="default" r:id="rId18"/>
      <w:footerReference w:type="default" r:id="rId19"/>
      <w:endnotePr>
        <w:numFmt w:val="decimal"/>
      </w:endnotePr>
      <w:pgSz w:w="11906" w:h="16838"/>
      <w:pgMar w:top="1440" w:right="1080" w:bottom="1440" w:left="108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8635" w14:textId="77777777" w:rsidR="009D50AE" w:rsidRDefault="009D50AE" w:rsidP="001C2361">
      <w:pPr>
        <w:spacing w:after="0" w:line="240" w:lineRule="auto"/>
      </w:pPr>
      <w:r>
        <w:separator/>
      </w:r>
    </w:p>
  </w:endnote>
  <w:endnote w:type="continuationSeparator" w:id="0">
    <w:p w14:paraId="79D04892" w14:textId="77777777" w:rsidR="009D50AE" w:rsidRDefault="009D50AE" w:rsidP="001C2361">
      <w:pPr>
        <w:spacing w:after="0" w:line="240" w:lineRule="auto"/>
      </w:pPr>
      <w:r>
        <w:continuationSeparator/>
      </w:r>
    </w:p>
  </w:endnote>
  <w:endnote w:id="1">
    <w:p w14:paraId="09FC2D48" w14:textId="741B5733" w:rsidR="004C40CA" w:rsidRDefault="004C40CA" w:rsidP="007A2855">
      <w:pPr>
        <w:pStyle w:val="Notedefin"/>
        <w:jc w:val="both"/>
      </w:pPr>
      <w:r>
        <w:rPr>
          <w:rStyle w:val="Appeldenotedefin"/>
        </w:rPr>
        <w:endnoteRef/>
      </w:r>
      <w:r>
        <w:t xml:space="preserve"> Au 1</w:t>
      </w:r>
      <w:r w:rsidRPr="00682060">
        <w:rPr>
          <w:vertAlign w:val="superscript"/>
        </w:rPr>
        <w:t>er</w:t>
      </w:r>
      <w:r>
        <w:t xml:space="preserve"> août 2025, le secteur bancaire commercial indien se compose de 12 banques du secteur public, 21 banques privées, 28 banques régionales rurales, 44 banques étrangères, 11 </w:t>
      </w:r>
      <w:proofErr w:type="spellStart"/>
      <w:r w:rsidRPr="00682060">
        <w:rPr>
          <w:i/>
          <w:iCs/>
        </w:rPr>
        <w:t>small</w:t>
      </w:r>
      <w:proofErr w:type="spellEnd"/>
      <w:r w:rsidRPr="00682060">
        <w:rPr>
          <w:i/>
          <w:iCs/>
        </w:rPr>
        <w:t xml:space="preserve"> finance </w:t>
      </w:r>
      <w:proofErr w:type="spellStart"/>
      <w:r w:rsidRPr="00682060">
        <w:rPr>
          <w:i/>
          <w:iCs/>
        </w:rPr>
        <w:t>banks</w:t>
      </w:r>
      <w:proofErr w:type="spellEnd"/>
      <w:r>
        <w:t xml:space="preserve">, et cinq banques de paiement. </w:t>
      </w:r>
    </w:p>
  </w:endnote>
  <w:endnote w:id="2">
    <w:p w14:paraId="48ADE2C4" w14:textId="57ED364A" w:rsidR="004C40CA" w:rsidRDefault="004C40CA" w:rsidP="007A2855">
      <w:pPr>
        <w:pStyle w:val="Notedefin"/>
        <w:jc w:val="both"/>
      </w:pPr>
      <w:r>
        <w:rPr>
          <w:rStyle w:val="Appeldenotedefin"/>
        </w:rPr>
        <w:endnoteRef/>
      </w:r>
      <w:r>
        <w:t xml:space="preserve"> Cf. Note 25-107 – Les sociétés financières non bancaires, un risque systémique pour le système financier indien ? </w:t>
      </w:r>
    </w:p>
  </w:endnote>
  <w:endnote w:id="3">
    <w:p w14:paraId="786F2249" w14:textId="42488AFA" w:rsidR="004C40CA" w:rsidRPr="000C1EBF" w:rsidRDefault="004C40CA">
      <w:pPr>
        <w:pStyle w:val="Notedefin"/>
        <w:rPr>
          <w:lang w:val="en-GB"/>
        </w:rPr>
      </w:pPr>
      <w:r>
        <w:rPr>
          <w:rStyle w:val="Appeldenotedefin"/>
        </w:rPr>
        <w:endnoteRef/>
      </w:r>
      <w:r w:rsidRPr="000C1EBF">
        <w:rPr>
          <w:lang w:val="en-GB"/>
        </w:rPr>
        <w:t xml:space="preserve"> </w:t>
      </w:r>
      <w:hyperlink r:id="rId1" w:history="1">
        <w:r w:rsidRPr="000C1EBF">
          <w:rPr>
            <w:rStyle w:val="Lienhypertexte"/>
            <w:lang w:val="en-GB"/>
          </w:rPr>
          <w:t>Co-origination of loans by Banks and NBFCs for lending to priority sector (RBI, 2018)</w:t>
        </w:r>
      </w:hyperlink>
      <w:r>
        <w:rPr>
          <w:lang w:val="en-GB"/>
        </w:rPr>
        <w:t xml:space="preserve"> </w:t>
      </w:r>
    </w:p>
  </w:endnote>
  <w:endnote w:id="4">
    <w:p w14:paraId="55D18A8E" w14:textId="74086758" w:rsidR="004C40CA" w:rsidRDefault="004C40CA">
      <w:pPr>
        <w:pStyle w:val="Notedefin"/>
      </w:pPr>
      <w:r>
        <w:rPr>
          <w:rStyle w:val="Appeldenotedefin"/>
        </w:rPr>
        <w:endnoteRef/>
      </w:r>
      <w:r>
        <w:t xml:space="preserve"> Cf. Inclusion financière : des grandes avancées contrastées – Août 2025</w:t>
      </w:r>
    </w:p>
  </w:endnote>
  <w:endnote w:id="5">
    <w:p w14:paraId="20227C56" w14:textId="398C9E03" w:rsidR="004C40CA" w:rsidRDefault="004C40CA" w:rsidP="00A33EC4">
      <w:pPr>
        <w:pStyle w:val="Notedefin"/>
        <w:jc w:val="both"/>
      </w:pPr>
      <w:r>
        <w:rPr>
          <w:rStyle w:val="Appeldenotedefin"/>
        </w:rPr>
        <w:endnoteRef/>
      </w:r>
      <w:r>
        <w:t xml:space="preserve"> </w:t>
      </w:r>
      <w:r w:rsidRPr="002C233C">
        <w:t xml:space="preserve">La Banque centrale indienne a maintenu le ratio de réserves obligatoires (CRR), soit la part des dépôts totaux d’une banque qui doit être conservée en </w:t>
      </w:r>
      <w:r>
        <w:t>cash</w:t>
      </w:r>
      <w:r w:rsidRPr="002C233C">
        <w:t xml:space="preserve"> auprès de la RBI sans générer d’intérêt, à </w:t>
      </w:r>
      <w:r>
        <w:t xml:space="preserve">un niveau de </w:t>
      </w:r>
      <w:r w:rsidRPr="002C233C">
        <w:t>3,</w:t>
      </w:r>
      <w:r>
        <w:t>2</w:t>
      </w:r>
      <w:r w:rsidRPr="002C233C">
        <w:t xml:space="preserve">5 %. Plus tôt en juin, la Banque centrale a annoncé une réduction de 100 points de base, de 4 % à 3 %, devant être mise en œuvre en quatre phases de 25 points de base chacune, à partir de septembre 2025. En plus du CRR, la RBI impose </w:t>
      </w:r>
      <w:r>
        <w:t>le</w:t>
      </w:r>
      <w:r w:rsidRPr="002C233C">
        <w:t> </w:t>
      </w:r>
      <w:proofErr w:type="spellStart"/>
      <w:r w:rsidRPr="002C233C">
        <w:t>Statutory</w:t>
      </w:r>
      <w:proofErr w:type="spellEnd"/>
      <w:r w:rsidRPr="002C233C">
        <w:t xml:space="preserve"> </w:t>
      </w:r>
      <w:proofErr w:type="spellStart"/>
      <w:r w:rsidRPr="002C233C">
        <w:t>Liquidity</w:t>
      </w:r>
      <w:proofErr w:type="spellEnd"/>
      <w:r w:rsidRPr="002C233C">
        <w:t xml:space="preserve"> Ratio (SLR), qui représente la part des dépôts qu’une banque doit conserver sous forme d’actifs liquides, et ce, afin de garantir que les banques maintiennent un niveau minimum d’actifs liquides. Ce mécanisme n’existe pas en Europe directement, mais les objectifs pourraient être comparable</w:t>
      </w:r>
      <w:r>
        <w:t>s</w:t>
      </w:r>
      <w:r w:rsidRPr="002C233C">
        <w:t xml:space="preserve"> au </w:t>
      </w:r>
      <w:proofErr w:type="spellStart"/>
      <w:r w:rsidRPr="002C233C">
        <w:t>Liquidity</w:t>
      </w:r>
      <w:proofErr w:type="spellEnd"/>
      <w:r w:rsidRPr="002C233C">
        <w:t xml:space="preserve"> </w:t>
      </w:r>
      <w:proofErr w:type="spellStart"/>
      <w:r w:rsidRPr="002C233C">
        <w:t>Coverage</w:t>
      </w:r>
      <w:proofErr w:type="spellEnd"/>
      <w:r w:rsidRPr="002C233C">
        <w:t xml:space="preserve"> Ratio (LCR), bien que ce dernier soit un stress</w:t>
      </w:r>
      <w:r>
        <w:t>-</w:t>
      </w:r>
      <w:r w:rsidRPr="002C233C">
        <w:t xml:space="preserve">test et non un ratio statistique. </w:t>
      </w:r>
    </w:p>
  </w:endnote>
  <w:endnote w:id="6">
    <w:p w14:paraId="23089464" w14:textId="77777777" w:rsidR="007F3A7F" w:rsidRPr="007A2855" w:rsidRDefault="007F3A7F" w:rsidP="007F3A7F">
      <w:pPr>
        <w:pStyle w:val="Brvesco-Normal"/>
        <w:spacing w:after="60" w:line="240" w:lineRule="auto"/>
        <w:rPr>
          <w:rFonts w:asciiTheme="minorHAnsi" w:hAnsiTheme="minorHAnsi" w:cstheme="minorHAnsi"/>
          <w:noProof/>
          <w:color w:val="auto"/>
          <w:szCs w:val="20"/>
        </w:rPr>
      </w:pPr>
      <w:r w:rsidRPr="00EF002B">
        <w:rPr>
          <w:rStyle w:val="Appeldenotedefin"/>
          <w:rFonts w:asciiTheme="minorHAnsi" w:hAnsiTheme="minorHAnsi" w:cstheme="minorHAnsi"/>
          <w:szCs w:val="20"/>
        </w:rPr>
        <w:endnoteRef/>
      </w:r>
      <w:r w:rsidRPr="00EF002B">
        <w:rPr>
          <w:rFonts w:asciiTheme="minorHAnsi" w:hAnsiTheme="minorHAnsi" w:cstheme="minorHAnsi"/>
          <w:szCs w:val="20"/>
        </w:rPr>
        <w:t xml:space="preserve"> </w:t>
      </w:r>
      <w:r w:rsidRPr="00EF002B">
        <w:rPr>
          <w:rStyle w:val="Lienhypertexte"/>
          <w:rFonts w:asciiTheme="minorHAnsi" w:hAnsiTheme="minorHAnsi" w:cstheme="minorHAnsi"/>
          <w:noProof/>
          <w:color w:val="auto"/>
          <w:szCs w:val="20"/>
          <w:u w:val="none"/>
        </w:rPr>
        <w:t xml:space="preserve">Ce dernier permet permettant la résolution des insolsavilités non seulement en autonomisant les créanciers des banques mais également en engendrant un changement de comportement dans la relation entre les différents parties-prenantes. </w:t>
      </w:r>
    </w:p>
  </w:endnote>
  <w:endnote w:id="7">
    <w:p w14:paraId="1B318C3C" w14:textId="29A1B5D6" w:rsidR="007F3A7F" w:rsidRPr="007F3A7F" w:rsidRDefault="007F3A7F" w:rsidP="007F3A7F">
      <w:pPr>
        <w:pStyle w:val="Notedefin"/>
        <w:jc w:val="both"/>
      </w:pPr>
      <w:r>
        <w:rPr>
          <w:rStyle w:val="Appeldenotedefin"/>
        </w:rPr>
        <w:endnoteRef/>
      </w:r>
      <w:r>
        <w:t xml:space="preserve"> </w:t>
      </w:r>
      <w:hyperlink r:id="rId2" w:history="1">
        <w:r w:rsidRPr="00020927">
          <w:rPr>
            <w:rStyle w:val="Lienhypertexte"/>
          </w:rPr>
          <w:t>https://www.financialexpress.com/business/insolvency-recovery-a-third-of-claims-3996696</w:t>
        </w:r>
      </w:hyperlink>
      <w:r>
        <w:rPr>
          <w:rStyle w:val="Lienhypertexte"/>
        </w:rPr>
        <w:t xml:space="preserve">. </w:t>
      </w:r>
      <w:r w:rsidRPr="007F3A7F">
        <w:rPr>
          <w:rStyle w:val="Lienhypertexte"/>
          <w:rFonts w:cs="Segoe UI"/>
          <w:noProof/>
          <w:color w:val="auto"/>
          <w:u w:val="none"/>
        </w:rPr>
        <w:t>Cette amélioration a également été stimulée par les ventes de dettes aux entreprises de recouvrement d’actifs afin de nettoyer davantage les bilans bancaires.</w:t>
      </w:r>
      <w:r w:rsidRPr="007F3A7F">
        <w:t xml:space="preserve"> </w:t>
      </w:r>
    </w:p>
  </w:endnote>
  <w:endnote w:id="8">
    <w:p w14:paraId="7D9333E3" w14:textId="71DE3474" w:rsidR="004C40CA" w:rsidRDefault="004C40CA" w:rsidP="004C40CA">
      <w:pPr>
        <w:pStyle w:val="Notedefin"/>
        <w:jc w:val="both"/>
      </w:pPr>
      <w:r>
        <w:rPr>
          <w:rStyle w:val="Appeldenotedefin"/>
        </w:rPr>
        <w:endnoteRef/>
      </w:r>
      <w:r>
        <w:t xml:space="preserve"> IL&amp;FS, principale société indienne de financement des infrastructures, a fait défaut sur ses paiements envers ses prêteurs, déclenchant un mouvement de panique sur le marché. Le montant total des sommes dues dépasse 10 Mds USD. </w:t>
      </w:r>
      <w:r w:rsidRPr="004C40CA">
        <w:t>Le groupe finançait des projets d’infrastructure à maturité longue avec des emprunts à court terme, créant un important</w:t>
      </w:r>
      <w:r>
        <w:t> </w:t>
      </w:r>
      <w:r w:rsidRPr="004C40CA">
        <w:t xml:space="preserve"> </w:t>
      </w:r>
      <w:r>
        <w:t>« </w:t>
      </w:r>
      <w:proofErr w:type="spellStart"/>
      <w:r w:rsidRPr="004C40CA">
        <w:t>mismatch</w:t>
      </w:r>
      <w:proofErr w:type="spellEnd"/>
      <w:r>
        <w:t>"</w:t>
      </w:r>
      <w:r w:rsidRPr="004C40CA">
        <w:t xml:space="preserve"> de liquidité. Lorsque les coûts de refinancement ont augmenté, le groupe n’a plus été en mesure de renouveler ses dettes.</w:t>
      </w:r>
    </w:p>
  </w:endnote>
  <w:endnote w:id="9">
    <w:p w14:paraId="7DBADB22" w14:textId="74982A7A" w:rsidR="004C40CA" w:rsidRPr="00EF002B" w:rsidRDefault="004C40CA" w:rsidP="007A2855">
      <w:pPr>
        <w:pStyle w:val="Notedefin"/>
        <w:jc w:val="both"/>
        <w:rPr>
          <w:rFonts w:cstheme="minorHAnsi"/>
        </w:rPr>
      </w:pPr>
      <w:r w:rsidRPr="00EF002B">
        <w:rPr>
          <w:rStyle w:val="Appeldenotedefin"/>
          <w:rFonts w:cstheme="minorHAnsi"/>
        </w:rPr>
        <w:endnoteRef/>
      </w:r>
      <w:r w:rsidRPr="00EF002B">
        <w:rPr>
          <w:rFonts w:cstheme="minorHAnsi"/>
        </w:rPr>
        <w:t xml:space="preserve"> On répertorie une multitude de programme</w:t>
      </w:r>
      <w:r>
        <w:rPr>
          <w:rFonts w:cstheme="minorHAnsi"/>
        </w:rPr>
        <w:t xml:space="preserve">s </w:t>
      </w:r>
      <w:r w:rsidRPr="00EF002B">
        <w:rPr>
          <w:rFonts w:cstheme="minorHAnsi"/>
        </w:rPr>
        <w:t>gouvernementa</w:t>
      </w:r>
      <w:r>
        <w:rPr>
          <w:rFonts w:cstheme="minorHAnsi"/>
        </w:rPr>
        <w:t xml:space="preserve">ux </w:t>
      </w:r>
      <w:r w:rsidRPr="00EF002B">
        <w:rPr>
          <w:rFonts w:cstheme="minorHAnsi"/>
        </w:rPr>
        <w:t xml:space="preserve">ayant permis une meilleure inclusion financière des </w:t>
      </w:r>
      <w:proofErr w:type="spellStart"/>
      <w:r w:rsidRPr="00EF002B">
        <w:rPr>
          <w:rFonts w:cstheme="minorHAnsi"/>
        </w:rPr>
        <w:t>MPMEs</w:t>
      </w:r>
      <w:proofErr w:type="spellEnd"/>
      <w:r w:rsidRPr="00EF002B">
        <w:rPr>
          <w:rFonts w:cstheme="minorHAnsi"/>
        </w:rPr>
        <w:t xml:space="preserve"> tels que le « </w:t>
      </w:r>
      <w:proofErr w:type="spellStart"/>
      <w:r w:rsidRPr="00EF002B">
        <w:rPr>
          <w:rFonts w:cstheme="minorHAnsi"/>
        </w:rPr>
        <w:t>Udyam</w:t>
      </w:r>
      <w:proofErr w:type="spellEnd"/>
      <w:r w:rsidRPr="00EF002B">
        <w:rPr>
          <w:rFonts w:cstheme="minorHAnsi"/>
        </w:rPr>
        <w:t xml:space="preserve"> Registration Portal » qui permet l’enregistrement gratuit et numérique des </w:t>
      </w:r>
      <w:proofErr w:type="spellStart"/>
      <w:r w:rsidRPr="00EF002B">
        <w:rPr>
          <w:rFonts w:cstheme="minorHAnsi"/>
        </w:rPr>
        <w:t>MPMEs</w:t>
      </w:r>
      <w:proofErr w:type="spellEnd"/>
      <w:r w:rsidRPr="00EF002B">
        <w:rPr>
          <w:rFonts w:cstheme="minorHAnsi"/>
        </w:rPr>
        <w:t xml:space="preserve"> afin d’obtenir plus facilement des prêts bancaires, subventions et accès aux programmes gouvernementaux. Le programme « </w:t>
      </w:r>
      <w:proofErr w:type="spellStart"/>
      <w:r w:rsidRPr="00EF002B">
        <w:rPr>
          <w:rFonts w:cstheme="minorHAnsi"/>
        </w:rPr>
        <w:t>Pradhan</w:t>
      </w:r>
      <w:proofErr w:type="spellEnd"/>
      <w:r w:rsidRPr="00EF002B">
        <w:rPr>
          <w:rFonts w:cstheme="minorHAnsi"/>
        </w:rPr>
        <w:t xml:space="preserve"> </w:t>
      </w:r>
      <w:proofErr w:type="spellStart"/>
      <w:r w:rsidRPr="00EF002B">
        <w:rPr>
          <w:rFonts w:cstheme="minorHAnsi"/>
        </w:rPr>
        <w:t>Mantri</w:t>
      </w:r>
      <w:proofErr w:type="spellEnd"/>
      <w:r w:rsidRPr="00EF002B">
        <w:rPr>
          <w:rFonts w:cstheme="minorHAnsi"/>
        </w:rPr>
        <w:t xml:space="preserve"> Mudra </w:t>
      </w:r>
      <w:proofErr w:type="spellStart"/>
      <w:r w:rsidRPr="00EF002B">
        <w:rPr>
          <w:rFonts w:cstheme="minorHAnsi"/>
        </w:rPr>
        <w:t>Yojana</w:t>
      </w:r>
      <w:proofErr w:type="spellEnd"/>
      <w:r w:rsidRPr="00EF002B">
        <w:rPr>
          <w:rFonts w:cstheme="minorHAnsi"/>
        </w:rPr>
        <w:t xml:space="preserve"> » (PMMY), lancé en 2015, facilite l’accès au financement des </w:t>
      </w:r>
      <w:proofErr w:type="spellStart"/>
      <w:r w:rsidRPr="00EF002B">
        <w:rPr>
          <w:rFonts w:cstheme="minorHAnsi"/>
        </w:rPr>
        <w:t>MPMEs</w:t>
      </w:r>
      <w:proofErr w:type="spellEnd"/>
      <w:r w:rsidRPr="00EF002B">
        <w:rPr>
          <w:rFonts w:cstheme="minorHAnsi"/>
        </w:rPr>
        <w:t xml:space="preserve">, notamment des entrepreneurs, dans le secteur informel, via l’octroi par les banques commerciales, les </w:t>
      </w:r>
      <w:proofErr w:type="spellStart"/>
      <w:r w:rsidRPr="00EF002B">
        <w:rPr>
          <w:rFonts w:cstheme="minorHAnsi"/>
        </w:rPr>
        <w:t>NBFCs</w:t>
      </w:r>
      <w:proofErr w:type="spellEnd"/>
      <w:r w:rsidRPr="00EF002B">
        <w:rPr>
          <w:rFonts w:cstheme="minorHAnsi"/>
        </w:rPr>
        <w:t xml:space="preserve"> ou les coopératives, des micro-prêts (max 11k USD) afin de démarrer la phase de démarrage et de consolider leurs activités. À noter également l’existence du « </w:t>
      </w:r>
      <w:proofErr w:type="spellStart"/>
      <w:r w:rsidRPr="00EF002B">
        <w:rPr>
          <w:rFonts w:cstheme="minorHAnsi"/>
        </w:rPr>
        <w:t>Credit</w:t>
      </w:r>
      <w:proofErr w:type="spellEnd"/>
      <w:r w:rsidRPr="00EF002B">
        <w:rPr>
          <w:rFonts w:cstheme="minorHAnsi"/>
        </w:rPr>
        <w:t xml:space="preserve"> </w:t>
      </w:r>
      <w:proofErr w:type="spellStart"/>
      <w:r w:rsidRPr="00EF002B">
        <w:rPr>
          <w:rFonts w:cstheme="minorHAnsi"/>
        </w:rPr>
        <w:t>Guarantee</w:t>
      </w:r>
      <w:proofErr w:type="spellEnd"/>
      <w:r w:rsidRPr="00EF002B">
        <w:rPr>
          <w:rFonts w:cstheme="minorHAnsi"/>
        </w:rPr>
        <w:t xml:space="preserve"> </w:t>
      </w:r>
      <w:proofErr w:type="spellStart"/>
      <w:r w:rsidRPr="00EF002B">
        <w:rPr>
          <w:rFonts w:cstheme="minorHAnsi"/>
        </w:rPr>
        <w:t>Fund</w:t>
      </w:r>
      <w:proofErr w:type="spellEnd"/>
      <w:r w:rsidRPr="00EF002B">
        <w:rPr>
          <w:rFonts w:cstheme="minorHAnsi"/>
        </w:rPr>
        <w:t xml:space="preserve"> Trust » cré</w:t>
      </w:r>
      <w:r>
        <w:rPr>
          <w:rFonts w:cstheme="minorHAnsi"/>
        </w:rPr>
        <w:t>é</w:t>
      </w:r>
      <w:r w:rsidRPr="00EF002B">
        <w:rPr>
          <w:rFonts w:cstheme="minorHAnsi"/>
        </w:rPr>
        <w:t xml:space="preserve"> afin de couvrir le risque bancaire des prêts à destination des </w:t>
      </w:r>
      <w:proofErr w:type="spellStart"/>
      <w:r w:rsidRPr="00EF002B">
        <w:rPr>
          <w:rFonts w:cstheme="minorHAnsi"/>
        </w:rPr>
        <w:t>MPMEs</w:t>
      </w:r>
      <w:proofErr w:type="spellEnd"/>
      <w:r w:rsidRPr="00EF002B">
        <w:rPr>
          <w:rFonts w:cstheme="minorHAnsi"/>
        </w:rPr>
        <w:t xml:space="preserve"> souvent perçus comme à risques. Il permet également aux banques d’octroyer des prêts sans demander de garanties physiques. </w:t>
      </w:r>
    </w:p>
  </w:endnote>
  <w:endnote w:id="10">
    <w:p w14:paraId="1FCE2012" w14:textId="7AABE326" w:rsidR="004C40CA" w:rsidRPr="00EF002B" w:rsidRDefault="004C40CA" w:rsidP="00EF002B">
      <w:pPr>
        <w:pStyle w:val="Notedefin"/>
        <w:jc w:val="both"/>
      </w:pPr>
      <w:r>
        <w:rPr>
          <w:rStyle w:val="Appeldenotedefin"/>
        </w:rPr>
        <w:endnoteRef/>
      </w:r>
      <w:r w:rsidRPr="00EF002B">
        <w:t xml:space="preserve"> Le </w:t>
      </w:r>
      <w:proofErr w:type="spellStart"/>
      <w:r w:rsidRPr="00E00780">
        <w:rPr>
          <w:i/>
          <w:iCs/>
        </w:rPr>
        <w:t>Priority</w:t>
      </w:r>
      <w:proofErr w:type="spellEnd"/>
      <w:r w:rsidRPr="00E00780">
        <w:rPr>
          <w:i/>
          <w:iCs/>
        </w:rPr>
        <w:t xml:space="preserve"> </w:t>
      </w:r>
      <w:proofErr w:type="spellStart"/>
      <w:r w:rsidRPr="00E00780">
        <w:rPr>
          <w:i/>
          <w:iCs/>
        </w:rPr>
        <w:t>Sector</w:t>
      </w:r>
      <w:proofErr w:type="spellEnd"/>
      <w:r w:rsidRPr="00E00780">
        <w:rPr>
          <w:i/>
          <w:iCs/>
        </w:rPr>
        <w:t xml:space="preserve"> </w:t>
      </w:r>
      <w:proofErr w:type="spellStart"/>
      <w:r w:rsidRPr="00E00780">
        <w:rPr>
          <w:i/>
          <w:iCs/>
        </w:rPr>
        <w:t>Lending</w:t>
      </w:r>
      <w:proofErr w:type="spellEnd"/>
      <w:r>
        <w:t>, politique introduite dans les années 1970,</w:t>
      </w:r>
      <w:r w:rsidRPr="00EF002B">
        <w:t xml:space="preserve"> désigne l’obligation fait</w:t>
      </w:r>
      <w:r>
        <w:t xml:space="preserve">e aux banques d’accorder une partie de leurs prêts à certains secteurs considérés comme prioritaires pour le développement économique du pays. L’objectif de cette directive est de corriger les déséquilibres d’accès au crédit, notamment d’entreprises situées en zone rurale ou les acteurs exclus du système bancaire formel. </w:t>
      </w:r>
    </w:p>
  </w:endnote>
  <w:endnote w:id="11">
    <w:p w14:paraId="195EF33A" w14:textId="1F45A3E9" w:rsidR="004C40CA" w:rsidRDefault="004C40CA">
      <w:pPr>
        <w:pStyle w:val="Notedefin"/>
      </w:pPr>
      <w:r>
        <w:rPr>
          <w:rStyle w:val="Appeldenotedefin"/>
        </w:rPr>
        <w:endnoteRef/>
      </w:r>
      <w:r>
        <w:t xml:space="preserve"> Selon les données de la CFI, Construction </w:t>
      </w:r>
      <w:proofErr w:type="spellStart"/>
      <w:r>
        <w:t>Federation</w:t>
      </w:r>
      <w:proofErr w:type="spellEnd"/>
      <w:r>
        <w:t xml:space="preserve"> of India : </w:t>
      </w:r>
      <w:hyperlink r:id="rId3" w:history="1">
        <w:r>
          <w:rPr>
            <w:rStyle w:val="Lienhypertexte"/>
          </w:rPr>
          <w:t>jan-28-25.pdf</w:t>
        </w:r>
      </w:hyperlink>
    </w:p>
  </w:endnote>
  <w:endnote w:id="12">
    <w:p w14:paraId="695986C6" w14:textId="7B9E21F7" w:rsidR="004C40CA" w:rsidRPr="00EF002B" w:rsidRDefault="004C40CA" w:rsidP="00AB1ADF">
      <w:pPr>
        <w:pStyle w:val="Notedefin"/>
        <w:jc w:val="both"/>
        <w:rPr>
          <w:rFonts w:cstheme="minorHAnsi"/>
        </w:rPr>
      </w:pPr>
      <w:r w:rsidRPr="00EF002B">
        <w:rPr>
          <w:rStyle w:val="Appeldenotedefin"/>
          <w:rFonts w:cstheme="minorHAnsi"/>
        </w:rPr>
        <w:endnoteRef/>
      </w:r>
      <w:r w:rsidRPr="00EF002B">
        <w:rPr>
          <w:rFonts w:cstheme="minorHAnsi"/>
        </w:rPr>
        <w:t xml:space="preserve"> La ‘National Bank for </w:t>
      </w:r>
      <w:proofErr w:type="spellStart"/>
      <w:r w:rsidRPr="00EF002B">
        <w:rPr>
          <w:rFonts w:cstheme="minorHAnsi"/>
        </w:rPr>
        <w:t>Financing</w:t>
      </w:r>
      <w:proofErr w:type="spellEnd"/>
      <w:r w:rsidRPr="00EF002B">
        <w:rPr>
          <w:rFonts w:cstheme="minorHAnsi"/>
        </w:rPr>
        <w:t xml:space="preserve"> Infrastructure &amp; </w:t>
      </w:r>
      <w:proofErr w:type="spellStart"/>
      <w:r w:rsidRPr="00EF002B">
        <w:rPr>
          <w:rFonts w:cstheme="minorHAnsi"/>
        </w:rPr>
        <w:t>Development</w:t>
      </w:r>
      <w:proofErr w:type="spellEnd"/>
      <w:r w:rsidRPr="00EF002B">
        <w:rPr>
          <w:rFonts w:cstheme="minorHAnsi"/>
        </w:rPr>
        <w:t xml:space="preserve">’, en complément du pipeline national d’infrastructures (National Infrastructure Pipeline), existe depuis 2021 et permet de promouvoir le financement des grands projets d’infrastructures. Jusqu’à mars 2024, elle avait </w:t>
      </w:r>
      <w:r w:rsidRPr="00EF002B">
        <w:rPr>
          <w:rStyle w:val="lev"/>
          <w:rFonts w:cstheme="minorHAnsi"/>
          <w:b w:val="0"/>
          <w:bCs w:val="0"/>
        </w:rPr>
        <w:t>approuvé</w:t>
      </w:r>
      <w:r w:rsidRPr="00EF002B">
        <w:rPr>
          <w:rFonts w:cstheme="minorHAnsi"/>
        </w:rPr>
        <w:t xml:space="preserve"> des projets pour un montant de maximal de 10 Mds USD dans divers sous-secteurs d’infrastructures (routes, énergie renouvelable, assainissement de l’eau, etc.) et prévoit d’approuver plus de 35 Mds USD d’ici mars 2026. Afin de débloquer les goul</w:t>
      </w:r>
      <w:r>
        <w:rPr>
          <w:rFonts w:cstheme="minorHAnsi"/>
        </w:rPr>
        <w:t>e</w:t>
      </w:r>
      <w:r w:rsidRPr="00EF002B">
        <w:rPr>
          <w:rFonts w:cstheme="minorHAnsi"/>
        </w:rPr>
        <w:t xml:space="preserve">ts d’étranglement systémiques du financement des infrastructures, l’institution propose un système de garantie nommé le Partial </w:t>
      </w:r>
      <w:proofErr w:type="spellStart"/>
      <w:r w:rsidRPr="00EF002B">
        <w:rPr>
          <w:rFonts w:cstheme="minorHAnsi"/>
        </w:rPr>
        <w:t>Credit</w:t>
      </w:r>
      <w:proofErr w:type="spellEnd"/>
      <w:r w:rsidRPr="00EF002B">
        <w:rPr>
          <w:rFonts w:cstheme="minorHAnsi"/>
        </w:rPr>
        <w:t xml:space="preserve"> </w:t>
      </w:r>
      <w:proofErr w:type="spellStart"/>
      <w:r w:rsidRPr="00EF002B">
        <w:rPr>
          <w:rFonts w:cstheme="minorHAnsi"/>
        </w:rPr>
        <w:t>Enhancement</w:t>
      </w:r>
      <w:proofErr w:type="spellEnd"/>
      <w:r w:rsidRPr="00EF002B">
        <w:rPr>
          <w:rFonts w:cstheme="minorHAnsi"/>
        </w:rPr>
        <w:t xml:space="preserve"> (PCE) allant jusqu’à 20% du montant aux sociétés d’infrastructures émettant des obligations, souvent exposées à de mauvaises notations, afin d’améliorer leur accès aux marchés des capitaux mais également au crédit bancaire, et ce, à des taux plus avantageux. </w:t>
      </w:r>
      <w:hyperlink r:id="rId4" w:history="1">
        <w:r w:rsidRPr="00EF002B">
          <w:rPr>
            <w:rStyle w:val="Lienhypertexte"/>
            <w:rFonts w:cstheme="minorHAnsi"/>
          </w:rPr>
          <w:t>https://www.impriindia.com/insights/nabfid</w:t>
        </w:r>
      </w:hyperlink>
      <w:r w:rsidRPr="00EF002B">
        <w:rPr>
          <w:rFonts w:cstheme="minorHAnsi"/>
        </w:rPr>
        <w:t xml:space="preserve"> ; </w:t>
      </w:r>
    </w:p>
  </w:endnote>
  <w:endnote w:id="13">
    <w:p w14:paraId="6DF7FF1F" w14:textId="48635662" w:rsidR="004C40CA" w:rsidRPr="007A2855" w:rsidRDefault="004C40CA" w:rsidP="00861C6D">
      <w:pPr>
        <w:pStyle w:val="Notedefin"/>
        <w:jc w:val="both"/>
        <w:rPr>
          <w:rFonts w:cstheme="minorHAnsi"/>
          <w:color w:val="0000FF"/>
          <w:u w:val="single"/>
        </w:rPr>
      </w:pPr>
      <w:r w:rsidRPr="00EF002B">
        <w:rPr>
          <w:rStyle w:val="Appeldenotedefin"/>
          <w:rFonts w:cstheme="minorHAnsi"/>
        </w:rPr>
        <w:endnoteRef/>
      </w:r>
      <w:r w:rsidRPr="00EF002B">
        <w:rPr>
          <w:rFonts w:cstheme="minorHAnsi"/>
        </w:rPr>
        <w:t xml:space="preserve"> </w:t>
      </w:r>
      <w:hyperlink r:id="rId5" w:history="1">
        <w:r w:rsidRPr="00EF002B">
          <w:rPr>
            <w:rStyle w:val="Lienhypertexte"/>
            <w:rFonts w:cstheme="minorHAnsi"/>
          </w:rPr>
          <w:t>0FSRJUNE20253006258AE798B4484642AD861CC35BC2CB3D8E.PDF</w:t>
        </w:r>
      </w:hyperlink>
      <w:r w:rsidRPr="00EF002B">
        <w:rPr>
          <w:rStyle w:val="Lienhypertexte"/>
          <w:rFonts w:cstheme="minorHAnsi"/>
        </w:rPr>
        <w:t xml:space="preserve"> ; </w:t>
      </w:r>
    </w:p>
  </w:endnote>
  <w:endnote w:id="14">
    <w:p w14:paraId="3059D36D" w14:textId="77777777" w:rsidR="007F3A7F" w:rsidRDefault="007F3A7F" w:rsidP="007F3A7F">
      <w:pPr>
        <w:pStyle w:val="Notedefin"/>
      </w:pPr>
      <w:r>
        <w:rPr>
          <w:rStyle w:val="Appeldenotedefin"/>
        </w:rPr>
        <w:endnoteRef/>
      </w:r>
      <w:r>
        <w:t xml:space="preserve"> Selon les données de la Banque mondiale en 2024 : </w:t>
      </w:r>
      <w:hyperlink r:id="rId6" w:history="1">
        <w:r>
          <w:rPr>
            <w:rStyle w:val="Lienhypertexte"/>
          </w:rPr>
          <w:t>GDP per capita (</w:t>
        </w:r>
        <w:proofErr w:type="spellStart"/>
        <w:r>
          <w:rPr>
            <w:rStyle w:val="Lienhypertexte"/>
          </w:rPr>
          <w:t>current</w:t>
        </w:r>
        <w:proofErr w:type="spellEnd"/>
        <w:r>
          <w:rPr>
            <w:rStyle w:val="Lienhypertexte"/>
          </w:rPr>
          <w:t xml:space="preserve"> US$) | Data</w:t>
        </w:r>
      </w:hyperlink>
      <w:r>
        <w:t xml:space="preserve"> </w:t>
      </w:r>
    </w:p>
  </w:endnote>
  <w:endnote w:id="15">
    <w:p w14:paraId="1F4A79B7" w14:textId="77777777" w:rsidR="004C40CA" w:rsidRPr="007A2855" w:rsidRDefault="004C40CA" w:rsidP="0020194F">
      <w:pPr>
        <w:pStyle w:val="Brvesco-Normal"/>
        <w:spacing w:after="60" w:line="240" w:lineRule="auto"/>
        <w:rPr>
          <w:rFonts w:asciiTheme="minorHAnsi" w:eastAsia="SimSun" w:hAnsiTheme="minorHAnsi" w:cstheme="minorHAnsi"/>
          <w:szCs w:val="20"/>
        </w:rPr>
      </w:pPr>
      <w:r w:rsidRPr="00FC3745">
        <w:rPr>
          <w:rStyle w:val="Appeldenotedefin"/>
        </w:rPr>
        <w:endnoteRef/>
      </w:r>
      <w:r w:rsidRPr="00EF002B">
        <w:rPr>
          <w:rFonts w:asciiTheme="minorHAnsi" w:eastAsia="SimSun" w:hAnsiTheme="minorHAnsi" w:cstheme="minorHAnsi"/>
          <w:color w:val="auto"/>
          <w:szCs w:val="20"/>
        </w:rPr>
        <w:t xml:space="preserve"> </w:t>
      </w:r>
      <w:r w:rsidRPr="00EF002B">
        <w:rPr>
          <w:rFonts w:asciiTheme="minorHAnsi" w:eastAsia="SimSun" w:hAnsiTheme="minorHAnsi" w:cstheme="minorHAnsi"/>
          <w:szCs w:val="20"/>
        </w:rPr>
        <w:t xml:space="preserve">Comme la concentration de prêts à destination de secteurs risqués à rendements rapides, l’octroi de prêts sans garantie de sécurité ou l’utilisation de produits financiers non transparents afin de lever des fonds plus rapidement. </w:t>
      </w:r>
    </w:p>
  </w:endnote>
  <w:endnote w:id="16">
    <w:p w14:paraId="072C1FAD" w14:textId="106B6430" w:rsidR="004C40CA" w:rsidRPr="00EF002B" w:rsidRDefault="004C40CA" w:rsidP="0020194F">
      <w:pPr>
        <w:pStyle w:val="Notedefin"/>
        <w:jc w:val="both"/>
        <w:rPr>
          <w:rFonts w:cstheme="minorHAnsi"/>
        </w:rPr>
      </w:pPr>
      <w:r w:rsidRPr="00EF002B">
        <w:rPr>
          <w:rStyle w:val="Appeldenotedefin"/>
          <w:rFonts w:cstheme="minorHAnsi"/>
        </w:rPr>
        <w:endnoteRef/>
      </w:r>
      <w:r w:rsidRPr="00EF002B">
        <w:rPr>
          <w:rFonts w:cstheme="minorHAnsi"/>
        </w:rPr>
        <w:t xml:space="preserve"> En ce domaine, la RBI a également mis en place l</w:t>
      </w:r>
      <w:r>
        <w:rPr>
          <w:rFonts w:cstheme="minorHAnsi"/>
        </w:rPr>
        <w:t xml:space="preserve">a </w:t>
      </w:r>
      <w:proofErr w:type="spellStart"/>
      <w:r w:rsidRPr="00EF002B">
        <w:rPr>
          <w:rFonts w:cstheme="minorHAnsi"/>
        </w:rPr>
        <w:t>Scale-Based</w:t>
      </w:r>
      <w:proofErr w:type="spellEnd"/>
      <w:r w:rsidRPr="00EF002B">
        <w:rPr>
          <w:rFonts w:cstheme="minorHAnsi"/>
        </w:rPr>
        <w:t xml:space="preserve"> </w:t>
      </w:r>
      <w:proofErr w:type="spellStart"/>
      <w:r w:rsidRPr="00EF002B">
        <w:rPr>
          <w:rFonts w:cstheme="minorHAnsi"/>
        </w:rPr>
        <w:t>Regul</w:t>
      </w:r>
      <w:r>
        <w:rPr>
          <w:rFonts w:cstheme="minorHAnsi"/>
        </w:rPr>
        <w:t>a</w:t>
      </w:r>
      <w:r w:rsidRPr="00EF002B">
        <w:rPr>
          <w:rFonts w:cstheme="minorHAnsi"/>
        </w:rPr>
        <w:t>tion</w:t>
      </w:r>
      <w:proofErr w:type="spellEnd"/>
      <w:r w:rsidRPr="00EF002B">
        <w:rPr>
          <w:rFonts w:cstheme="minorHAnsi"/>
        </w:rPr>
        <w:t xml:space="preserve"> (SBR), entrée en vigueur en 2022, un cadre de régulation à destination des </w:t>
      </w:r>
      <w:proofErr w:type="spellStart"/>
      <w:r w:rsidRPr="00EF002B">
        <w:rPr>
          <w:rFonts w:cstheme="minorHAnsi"/>
        </w:rPr>
        <w:t>NBFCs</w:t>
      </w:r>
      <w:proofErr w:type="spellEnd"/>
      <w:r w:rsidRPr="00EF002B">
        <w:rPr>
          <w:rFonts w:cstheme="minorHAnsi"/>
        </w:rPr>
        <w:t xml:space="preserve"> permettant de renforcer les exigences en matière de capital, de gouvernance, de régulation prudentielle. </w:t>
      </w:r>
    </w:p>
  </w:endnote>
  <w:endnote w:id="17">
    <w:p w14:paraId="61BC1324" w14:textId="2542A2AD" w:rsidR="004C40CA" w:rsidRPr="000F0A63" w:rsidRDefault="004C40CA" w:rsidP="00E25553">
      <w:pPr>
        <w:pStyle w:val="Notedefin"/>
        <w:jc w:val="both"/>
        <w:rPr>
          <w:rFonts w:cstheme="minorHAnsi"/>
          <w:lang w:val="en-US"/>
        </w:rPr>
      </w:pPr>
      <w:r w:rsidRPr="00EF002B">
        <w:rPr>
          <w:rStyle w:val="Appeldenotedefin"/>
          <w:rFonts w:cstheme="minorHAnsi"/>
        </w:rPr>
        <w:endnoteRef/>
      </w:r>
      <w:r w:rsidRPr="00EF002B">
        <w:rPr>
          <w:rFonts w:cstheme="minorHAnsi"/>
        </w:rPr>
        <w:t xml:space="preserve"> Malgré cette croissance notable </w:t>
      </w:r>
      <w:r>
        <w:rPr>
          <w:rFonts w:cstheme="minorHAnsi"/>
        </w:rPr>
        <w:t xml:space="preserve">en </w:t>
      </w:r>
      <w:r w:rsidRPr="00EF002B">
        <w:rPr>
          <w:rFonts w:cstheme="minorHAnsi"/>
        </w:rPr>
        <w:t xml:space="preserve">termes absolus, la profondeur du marché reste limitée, les investisseurs institutionnels dominant le marché avec un taux détention de 95 %. </w:t>
      </w:r>
      <w:hyperlink r:id="rId7" w:history="1">
        <w:r w:rsidRPr="00EF002B">
          <w:rPr>
            <w:rStyle w:val="Lienhypertexte"/>
            <w:rFonts w:cstheme="minorHAnsi"/>
            <w:lang w:val="en-US"/>
          </w:rPr>
          <w:t>India’s corporate bond market booms: Record Rs 10 trillion raised in corporate bonds in 2025, says Rajkumar Subramanian of PL Wealth - The Economic Times</w:t>
        </w:r>
      </w:hyperlink>
      <w:r w:rsidRPr="00EF002B">
        <w:rPr>
          <w:rFonts w:cstheme="minorHAnsi"/>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E86D" w14:textId="77777777" w:rsidR="00590A1A" w:rsidRPr="00590A1A" w:rsidRDefault="00590A1A">
    <w:pPr>
      <w:pStyle w:val="Pieddepage"/>
      <w:jc w:val="center"/>
      <w:rPr>
        <w:caps/>
      </w:rPr>
    </w:pPr>
    <w:r w:rsidRPr="00590A1A">
      <w:rPr>
        <w:caps/>
      </w:rPr>
      <w:fldChar w:fldCharType="begin"/>
    </w:r>
    <w:r w:rsidRPr="00590A1A">
      <w:rPr>
        <w:caps/>
      </w:rPr>
      <w:instrText>PAGE   \* MERGEFORMAT</w:instrText>
    </w:r>
    <w:r w:rsidRPr="00590A1A">
      <w:rPr>
        <w:caps/>
      </w:rPr>
      <w:fldChar w:fldCharType="separate"/>
    </w:r>
    <w:r w:rsidRPr="00590A1A">
      <w:rPr>
        <w:caps/>
      </w:rPr>
      <w:t>2</w:t>
    </w:r>
    <w:r w:rsidRPr="00590A1A">
      <w:rPr>
        <w:caps/>
      </w:rPr>
      <w:fldChar w:fldCharType="end"/>
    </w:r>
  </w:p>
  <w:p w14:paraId="5574CC8D" w14:textId="77777777" w:rsidR="00590A1A" w:rsidRDefault="00590A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D09D" w14:textId="77777777" w:rsidR="009D50AE" w:rsidRDefault="009D50AE" w:rsidP="001C2361">
      <w:pPr>
        <w:spacing w:after="0" w:line="240" w:lineRule="auto"/>
      </w:pPr>
      <w:r>
        <w:separator/>
      </w:r>
    </w:p>
  </w:footnote>
  <w:footnote w:type="continuationSeparator" w:id="0">
    <w:p w14:paraId="6F3AAF09" w14:textId="77777777" w:rsidR="009D50AE" w:rsidRDefault="009D50AE" w:rsidP="001C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0C49" w14:textId="77777777" w:rsidR="00BB1834" w:rsidRDefault="00BB1834" w:rsidP="00BB1834">
    <w:pPr>
      <w:pStyle w:val="En-tte"/>
      <w:tabs>
        <w:tab w:val="clear" w:pos="4536"/>
        <w:tab w:val="clear" w:pos="9072"/>
        <w:tab w:val="left" w:pos="3615"/>
      </w:tabs>
    </w:pPr>
  </w:p>
  <w:p w14:paraId="6480BD7C" w14:textId="0553BE16" w:rsidR="00BB1834" w:rsidRDefault="00BB1834" w:rsidP="00BB1834">
    <w:pPr>
      <w:pStyle w:val="En-tte"/>
      <w:tabs>
        <w:tab w:val="clear" w:pos="4536"/>
        <w:tab w:val="clear" w:pos="9072"/>
        <w:tab w:val="left" w:pos="36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0CA12FA0"/>
    <w:multiLevelType w:val="hybridMultilevel"/>
    <w:tmpl w:val="91D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531EC4"/>
    <w:multiLevelType w:val="hybridMultilevel"/>
    <w:tmpl w:val="E092E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9CA6D2C"/>
    <w:multiLevelType w:val="hybridMultilevel"/>
    <w:tmpl w:val="05B0A38E"/>
    <w:lvl w:ilvl="0" w:tplc="DD5CB34C">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2B79DC"/>
    <w:multiLevelType w:val="hybridMultilevel"/>
    <w:tmpl w:val="FCCA7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3A4F3899"/>
    <w:multiLevelType w:val="hybridMultilevel"/>
    <w:tmpl w:val="87EAA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0843AF5"/>
    <w:multiLevelType w:val="hybridMultilevel"/>
    <w:tmpl w:val="35A2F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013B7B"/>
    <w:multiLevelType w:val="hybridMultilevel"/>
    <w:tmpl w:val="07022218"/>
    <w:lvl w:ilvl="0" w:tplc="70306FCC">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FF0B28"/>
    <w:multiLevelType w:val="hybridMultilevel"/>
    <w:tmpl w:val="BAA49BCC"/>
    <w:lvl w:ilvl="0" w:tplc="6DD64E5E">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D4769A"/>
    <w:multiLevelType w:val="hybridMultilevel"/>
    <w:tmpl w:val="6E7AC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74002BE"/>
    <w:multiLevelType w:val="hybridMultilevel"/>
    <w:tmpl w:val="CAC22CDE"/>
    <w:lvl w:ilvl="0" w:tplc="AF9ECF76">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7A742C7"/>
    <w:multiLevelType w:val="hybridMultilevel"/>
    <w:tmpl w:val="2A461C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BF713A"/>
    <w:multiLevelType w:val="hybridMultilevel"/>
    <w:tmpl w:val="0F660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6" w15:restartNumberingAfterBreak="0">
    <w:nsid w:val="789E197D"/>
    <w:multiLevelType w:val="hybridMultilevel"/>
    <w:tmpl w:val="A8E01D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23"/>
  </w:num>
  <w:num w:numId="7">
    <w:abstractNumId w:val="6"/>
  </w:num>
  <w:num w:numId="8">
    <w:abstractNumId w:val="5"/>
  </w:num>
  <w:num w:numId="9">
    <w:abstractNumId w:val="1"/>
  </w:num>
  <w:num w:numId="10">
    <w:abstractNumId w:val="15"/>
  </w:num>
  <w:num w:numId="11">
    <w:abstractNumId w:val="9"/>
  </w:num>
  <w:num w:numId="12">
    <w:abstractNumId w:val="0"/>
  </w:num>
  <w:num w:numId="13">
    <w:abstractNumId w:val="2"/>
  </w:num>
  <w:num w:numId="14">
    <w:abstractNumId w:val="20"/>
  </w:num>
  <w:num w:numId="15">
    <w:abstractNumId w:val="10"/>
  </w:num>
  <w:num w:numId="16">
    <w:abstractNumId w:val="4"/>
  </w:num>
  <w:num w:numId="17">
    <w:abstractNumId w:val="8"/>
  </w:num>
  <w:num w:numId="18">
    <w:abstractNumId w:val="24"/>
  </w:num>
  <w:num w:numId="19">
    <w:abstractNumId w:val="13"/>
  </w:num>
  <w:num w:numId="20">
    <w:abstractNumId w:val="3"/>
  </w:num>
  <w:num w:numId="21">
    <w:abstractNumId w:val="11"/>
  </w:num>
  <w:num w:numId="22">
    <w:abstractNumId w:val="17"/>
  </w:num>
  <w:num w:numId="23">
    <w:abstractNumId w:val="22"/>
  </w:num>
  <w:num w:numId="24">
    <w:abstractNumId w:val="7"/>
  </w:num>
  <w:num w:numId="25">
    <w:abstractNumId w:val="16"/>
  </w:num>
  <w:num w:numId="26">
    <w:abstractNumId w:val="14"/>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3BEE"/>
    <w:rsid w:val="000064C1"/>
    <w:rsid w:val="00006D9E"/>
    <w:rsid w:val="00006E50"/>
    <w:rsid w:val="00014AB2"/>
    <w:rsid w:val="00015F39"/>
    <w:rsid w:val="00017A1A"/>
    <w:rsid w:val="00020EE2"/>
    <w:rsid w:val="00022880"/>
    <w:rsid w:val="00022F44"/>
    <w:rsid w:val="00026E38"/>
    <w:rsid w:val="00031533"/>
    <w:rsid w:val="00031B67"/>
    <w:rsid w:val="00033CB6"/>
    <w:rsid w:val="00035307"/>
    <w:rsid w:val="00045CF8"/>
    <w:rsid w:val="00050225"/>
    <w:rsid w:val="000534EC"/>
    <w:rsid w:val="00063C8C"/>
    <w:rsid w:val="00064115"/>
    <w:rsid w:val="000676F2"/>
    <w:rsid w:val="00071F97"/>
    <w:rsid w:val="0007329A"/>
    <w:rsid w:val="000763B3"/>
    <w:rsid w:val="000779E0"/>
    <w:rsid w:val="00077DC3"/>
    <w:rsid w:val="00080037"/>
    <w:rsid w:val="000862C2"/>
    <w:rsid w:val="00091805"/>
    <w:rsid w:val="000938A7"/>
    <w:rsid w:val="00094A46"/>
    <w:rsid w:val="00097777"/>
    <w:rsid w:val="000A1918"/>
    <w:rsid w:val="000A1A8E"/>
    <w:rsid w:val="000B5307"/>
    <w:rsid w:val="000C1EBF"/>
    <w:rsid w:val="000C21EB"/>
    <w:rsid w:val="000C7148"/>
    <w:rsid w:val="000D4F76"/>
    <w:rsid w:val="000E1E2F"/>
    <w:rsid w:val="000E7793"/>
    <w:rsid w:val="000F0A63"/>
    <w:rsid w:val="000F2C4E"/>
    <w:rsid w:val="00100569"/>
    <w:rsid w:val="00100C95"/>
    <w:rsid w:val="00101205"/>
    <w:rsid w:val="00103463"/>
    <w:rsid w:val="00107EB9"/>
    <w:rsid w:val="001105E1"/>
    <w:rsid w:val="001109EF"/>
    <w:rsid w:val="00111A32"/>
    <w:rsid w:val="00111C32"/>
    <w:rsid w:val="00111E27"/>
    <w:rsid w:val="00113309"/>
    <w:rsid w:val="0012430D"/>
    <w:rsid w:val="00134DE8"/>
    <w:rsid w:val="00135910"/>
    <w:rsid w:val="001360A8"/>
    <w:rsid w:val="0014225A"/>
    <w:rsid w:val="00145D4C"/>
    <w:rsid w:val="00145E54"/>
    <w:rsid w:val="00147754"/>
    <w:rsid w:val="001505C0"/>
    <w:rsid w:val="00152C27"/>
    <w:rsid w:val="001538BE"/>
    <w:rsid w:val="001635C6"/>
    <w:rsid w:val="0017167E"/>
    <w:rsid w:val="00175E92"/>
    <w:rsid w:val="00184135"/>
    <w:rsid w:val="0018416F"/>
    <w:rsid w:val="0019173B"/>
    <w:rsid w:val="0019280B"/>
    <w:rsid w:val="00193E26"/>
    <w:rsid w:val="00194EF7"/>
    <w:rsid w:val="00195126"/>
    <w:rsid w:val="00195BFA"/>
    <w:rsid w:val="001967EA"/>
    <w:rsid w:val="001A1A43"/>
    <w:rsid w:val="001A1CD5"/>
    <w:rsid w:val="001A2A46"/>
    <w:rsid w:val="001A4C68"/>
    <w:rsid w:val="001A5A37"/>
    <w:rsid w:val="001B1CF0"/>
    <w:rsid w:val="001B47BF"/>
    <w:rsid w:val="001B48DE"/>
    <w:rsid w:val="001B5A23"/>
    <w:rsid w:val="001C07D9"/>
    <w:rsid w:val="001C08B8"/>
    <w:rsid w:val="001C100F"/>
    <w:rsid w:val="001C2361"/>
    <w:rsid w:val="001E06AD"/>
    <w:rsid w:val="001E0C0B"/>
    <w:rsid w:val="001E46E9"/>
    <w:rsid w:val="001E4D67"/>
    <w:rsid w:val="001F1E4E"/>
    <w:rsid w:val="001F205E"/>
    <w:rsid w:val="001F235A"/>
    <w:rsid w:val="001F2D7C"/>
    <w:rsid w:val="001F3D1C"/>
    <w:rsid w:val="001F5FB3"/>
    <w:rsid w:val="001F6353"/>
    <w:rsid w:val="0020194F"/>
    <w:rsid w:val="00205999"/>
    <w:rsid w:val="00213BA9"/>
    <w:rsid w:val="00216956"/>
    <w:rsid w:val="00223554"/>
    <w:rsid w:val="0022515E"/>
    <w:rsid w:val="00225798"/>
    <w:rsid w:val="00226207"/>
    <w:rsid w:val="00231E46"/>
    <w:rsid w:val="00231FDD"/>
    <w:rsid w:val="002352FB"/>
    <w:rsid w:val="00244108"/>
    <w:rsid w:val="00246C65"/>
    <w:rsid w:val="00250F27"/>
    <w:rsid w:val="00253DAB"/>
    <w:rsid w:val="002550BB"/>
    <w:rsid w:val="00255F30"/>
    <w:rsid w:val="00257E48"/>
    <w:rsid w:val="0026308C"/>
    <w:rsid w:val="00264087"/>
    <w:rsid w:val="002647F0"/>
    <w:rsid w:val="00271970"/>
    <w:rsid w:val="002762C9"/>
    <w:rsid w:val="00281BCD"/>
    <w:rsid w:val="00282025"/>
    <w:rsid w:val="00282BC7"/>
    <w:rsid w:val="002855E7"/>
    <w:rsid w:val="00287409"/>
    <w:rsid w:val="00291935"/>
    <w:rsid w:val="00291B26"/>
    <w:rsid w:val="002A0816"/>
    <w:rsid w:val="002A4365"/>
    <w:rsid w:val="002C1BB5"/>
    <w:rsid w:val="002C233C"/>
    <w:rsid w:val="002C4CEB"/>
    <w:rsid w:val="002C5AFB"/>
    <w:rsid w:val="002C5BB5"/>
    <w:rsid w:val="002D13A2"/>
    <w:rsid w:val="002D4C04"/>
    <w:rsid w:val="002E4E67"/>
    <w:rsid w:val="002E6890"/>
    <w:rsid w:val="002E7383"/>
    <w:rsid w:val="002E7716"/>
    <w:rsid w:val="002F210F"/>
    <w:rsid w:val="002F793A"/>
    <w:rsid w:val="0030017B"/>
    <w:rsid w:val="00301021"/>
    <w:rsid w:val="0030148A"/>
    <w:rsid w:val="0031285B"/>
    <w:rsid w:val="0031427E"/>
    <w:rsid w:val="00316029"/>
    <w:rsid w:val="00317870"/>
    <w:rsid w:val="00321D41"/>
    <w:rsid w:val="00323A4A"/>
    <w:rsid w:val="003257BD"/>
    <w:rsid w:val="0033036F"/>
    <w:rsid w:val="00330428"/>
    <w:rsid w:val="00331A58"/>
    <w:rsid w:val="00332310"/>
    <w:rsid w:val="003325B0"/>
    <w:rsid w:val="003339CE"/>
    <w:rsid w:val="003407BF"/>
    <w:rsid w:val="003419F2"/>
    <w:rsid w:val="00341E94"/>
    <w:rsid w:val="00341EC1"/>
    <w:rsid w:val="00344131"/>
    <w:rsid w:val="00347F9E"/>
    <w:rsid w:val="00351E1C"/>
    <w:rsid w:val="00372514"/>
    <w:rsid w:val="00377143"/>
    <w:rsid w:val="00377431"/>
    <w:rsid w:val="003847EC"/>
    <w:rsid w:val="00395D05"/>
    <w:rsid w:val="003A1D94"/>
    <w:rsid w:val="003A1F2C"/>
    <w:rsid w:val="003A4788"/>
    <w:rsid w:val="003A47FE"/>
    <w:rsid w:val="003A54E6"/>
    <w:rsid w:val="003A7EB8"/>
    <w:rsid w:val="003B1A22"/>
    <w:rsid w:val="003B1D00"/>
    <w:rsid w:val="003B33D3"/>
    <w:rsid w:val="003B4D8A"/>
    <w:rsid w:val="003B4F2D"/>
    <w:rsid w:val="003C3D05"/>
    <w:rsid w:val="003C6FE5"/>
    <w:rsid w:val="003D004D"/>
    <w:rsid w:val="003D2AD3"/>
    <w:rsid w:val="003D4F78"/>
    <w:rsid w:val="003D5550"/>
    <w:rsid w:val="003D6537"/>
    <w:rsid w:val="003D74FE"/>
    <w:rsid w:val="003D7A0B"/>
    <w:rsid w:val="003E322E"/>
    <w:rsid w:val="003F3EF6"/>
    <w:rsid w:val="003F78EB"/>
    <w:rsid w:val="0040330E"/>
    <w:rsid w:val="00406D60"/>
    <w:rsid w:val="00415503"/>
    <w:rsid w:val="00415E8A"/>
    <w:rsid w:val="00415F39"/>
    <w:rsid w:val="00425639"/>
    <w:rsid w:val="00426DEB"/>
    <w:rsid w:val="00427970"/>
    <w:rsid w:val="004311AF"/>
    <w:rsid w:val="00433EA4"/>
    <w:rsid w:val="004372C1"/>
    <w:rsid w:val="00437627"/>
    <w:rsid w:val="00445AB7"/>
    <w:rsid w:val="004472CB"/>
    <w:rsid w:val="00450D73"/>
    <w:rsid w:val="00452C51"/>
    <w:rsid w:val="00453CA0"/>
    <w:rsid w:val="00457B18"/>
    <w:rsid w:val="00463378"/>
    <w:rsid w:val="004716CD"/>
    <w:rsid w:val="00471702"/>
    <w:rsid w:val="00472C6F"/>
    <w:rsid w:val="00473ECC"/>
    <w:rsid w:val="00475840"/>
    <w:rsid w:val="00483011"/>
    <w:rsid w:val="0048671B"/>
    <w:rsid w:val="004908E5"/>
    <w:rsid w:val="00490B3C"/>
    <w:rsid w:val="004930E0"/>
    <w:rsid w:val="00496755"/>
    <w:rsid w:val="00496D10"/>
    <w:rsid w:val="004A09D4"/>
    <w:rsid w:val="004A28DB"/>
    <w:rsid w:val="004A3695"/>
    <w:rsid w:val="004A67C9"/>
    <w:rsid w:val="004A76BB"/>
    <w:rsid w:val="004B1A24"/>
    <w:rsid w:val="004B3206"/>
    <w:rsid w:val="004B38D8"/>
    <w:rsid w:val="004B6840"/>
    <w:rsid w:val="004C09EE"/>
    <w:rsid w:val="004C3273"/>
    <w:rsid w:val="004C40CA"/>
    <w:rsid w:val="004D3A95"/>
    <w:rsid w:val="004D444C"/>
    <w:rsid w:val="004D7C76"/>
    <w:rsid w:val="004E23CD"/>
    <w:rsid w:val="004E6C1A"/>
    <w:rsid w:val="004E6DB3"/>
    <w:rsid w:val="004E7972"/>
    <w:rsid w:val="004F211B"/>
    <w:rsid w:val="004F2B0A"/>
    <w:rsid w:val="004F3636"/>
    <w:rsid w:val="004F38AB"/>
    <w:rsid w:val="004F4FBB"/>
    <w:rsid w:val="005041C4"/>
    <w:rsid w:val="00505F51"/>
    <w:rsid w:val="005077FB"/>
    <w:rsid w:val="00514D49"/>
    <w:rsid w:val="005170E0"/>
    <w:rsid w:val="00521315"/>
    <w:rsid w:val="00532CDF"/>
    <w:rsid w:val="00532CE3"/>
    <w:rsid w:val="00533C10"/>
    <w:rsid w:val="00534B7D"/>
    <w:rsid w:val="0054057B"/>
    <w:rsid w:val="00541AB4"/>
    <w:rsid w:val="00542DBD"/>
    <w:rsid w:val="00543CA9"/>
    <w:rsid w:val="00545FE6"/>
    <w:rsid w:val="005518AB"/>
    <w:rsid w:val="00554851"/>
    <w:rsid w:val="00557E89"/>
    <w:rsid w:val="00557EDC"/>
    <w:rsid w:val="00561CC4"/>
    <w:rsid w:val="0056407B"/>
    <w:rsid w:val="00570D3F"/>
    <w:rsid w:val="00575F99"/>
    <w:rsid w:val="00576034"/>
    <w:rsid w:val="00580478"/>
    <w:rsid w:val="005806A2"/>
    <w:rsid w:val="00584799"/>
    <w:rsid w:val="00590894"/>
    <w:rsid w:val="00590A1A"/>
    <w:rsid w:val="00591EEF"/>
    <w:rsid w:val="0059242E"/>
    <w:rsid w:val="00595003"/>
    <w:rsid w:val="005A1ECF"/>
    <w:rsid w:val="005A2242"/>
    <w:rsid w:val="005A2868"/>
    <w:rsid w:val="005A5D69"/>
    <w:rsid w:val="005B28D9"/>
    <w:rsid w:val="005B3D40"/>
    <w:rsid w:val="005C63B2"/>
    <w:rsid w:val="005D1FFB"/>
    <w:rsid w:val="005D261F"/>
    <w:rsid w:val="005E6FED"/>
    <w:rsid w:val="005F3966"/>
    <w:rsid w:val="005F45C8"/>
    <w:rsid w:val="005F6235"/>
    <w:rsid w:val="006029F9"/>
    <w:rsid w:val="00602F3A"/>
    <w:rsid w:val="00605FE3"/>
    <w:rsid w:val="006070D8"/>
    <w:rsid w:val="00610942"/>
    <w:rsid w:val="00616EE2"/>
    <w:rsid w:val="006172D9"/>
    <w:rsid w:val="006206F8"/>
    <w:rsid w:val="00627753"/>
    <w:rsid w:val="00627989"/>
    <w:rsid w:val="0063049E"/>
    <w:rsid w:val="00632692"/>
    <w:rsid w:val="00636EB6"/>
    <w:rsid w:val="006372C6"/>
    <w:rsid w:val="00641868"/>
    <w:rsid w:val="00643E84"/>
    <w:rsid w:val="006461EC"/>
    <w:rsid w:val="006477A2"/>
    <w:rsid w:val="006478FB"/>
    <w:rsid w:val="006510E4"/>
    <w:rsid w:val="00651BAE"/>
    <w:rsid w:val="00651FF8"/>
    <w:rsid w:val="006600F3"/>
    <w:rsid w:val="00660C03"/>
    <w:rsid w:val="00662C42"/>
    <w:rsid w:val="00676043"/>
    <w:rsid w:val="006816C4"/>
    <w:rsid w:val="00681CA6"/>
    <w:rsid w:val="00682060"/>
    <w:rsid w:val="00695C5B"/>
    <w:rsid w:val="006A0293"/>
    <w:rsid w:val="006A08C9"/>
    <w:rsid w:val="006A3642"/>
    <w:rsid w:val="006A36EA"/>
    <w:rsid w:val="006A3795"/>
    <w:rsid w:val="006A6A7E"/>
    <w:rsid w:val="006B4AE0"/>
    <w:rsid w:val="006B5511"/>
    <w:rsid w:val="006D209E"/>
    <w:rsid w:val="006D4D83"/>
    <w:rsid w:val="006D6A28"/>
    <w:rsid w:val="006E2D56"/>
    <w:rsid w:val="006E3241"/>
    <w:rsid w:val="006E40BB"/>
    <w:rsid w:val="006E6805"/>
    <w:rsid w:val="006E6FA7"/>
    <w:rsid w:val="006F4CCE"/>
    <w:rsid w:val="006F6043"/>
    <w:rsid w:val="006F76BB"/>
    <w:rsid w:val="007048EA"/>
    <w:rsid w:val="0070561E"/>
    <w:rsid w:val="00706D2B"/>
    <w:rsid w:val="00711D5F"/>
    <w:rsid w:val="00713D95"/>
    <w:rsid w:val="0071786D"/>
    <w:rsid w:val="007209E2"/>
    <w:rsid w:val="007212AF"/>
    <w:rsid w:val="007241D4"/>
    <w:rsid w:val="007251EF"/>
    <w:rsid w:val="007268D8"/>
    <w:rsid w:val="00727D83"/>
    <w:rsid w:val="0073377D"/>
    <w:rsid w:val="00733B08"/>
    <w:rsid w:val="00733CCE"/>
    <w:rsid w:val="00737AF5"/>
    <w:rsid w:val="00743DD2"/>
    <w:rsid w:val="00744D2D"/>
    <w:rsid w:val="00745853"/>
    <w:rsid w:val="00754E7E"/>
    <w:rsid w:val="00756A18"/>
    <w:rsid w:val="007619BA"/>
    <w:rsid w:val="007722C8"/>
    <w:rsid w:val="0077341F"/>
    <w:rsid w:val="0077520D"/>
    <w:rsid w:val="00775DCB"/>
    <w:rsid w:val="0077664E"/>
    <w:rsid w:val="00776C9A"/>
    <w:rsid w:val="00777884"/>
    <w:rsid w:val="007812E7"/>
    <w:rsid w:val="00781BFC"/>
    <w:rsid w:val="0078229D"/>
    <w:rsid w:val="00783901"/>
    <w:rsid w:val="007839BF"/>
    <w:rsid w:val="007855F6"/>
    <w:rsid w:val="00786241"/>
    <w:rsid w:val="007875AB"/>
    <w:rsid w:val="00787921"/>
    <w:rsid w:val="00791423"/>
    <w:rsid w:val="007916F6"/>
    <w:rsid w:val="00793E88"/>
    <w:rsid w:val="007952D4"/>
    <w:rsid w:val="00797604"/>
    <w:rsid w:val="007A2855"/>
    <w:rsid w:val="007A352F"/>
    <w:rsid w:val="007A3E9B"/>
    <w:rsid w:val="007B0159"/>
    <w:rsid w:val="007B118D"/>
    <w:rsid w:val="007B4BC5"/>
    <w:rsid w:val="007B74A6"/>
    <w:rsid w:val="007C3111"/>
    <w:rsid w:val="007C4151"/>
    <w:rsid w:val="007C6ACA"/>
    <w:rsid w:val="007D1E29"/>
    <w:rsid w:val="007E21B6"/>
    <w:rsid w:val="007E34FE"/>
    <w:rsid w:val="007E456F"/>
    <w:rsid w:val="007E69A6"/>
    <w:rsid w:val="007E6D56"/>
    <w:rsid w:val="007F0D9F"/>
    <w:rsid w:val="007F340F"/>
    <w:rsid w:val="007F3A7F"/>
    <w:rsid w:val="007F4001"/>
    <w:rsid w:val="007F55EB"/>
    <w:rsid w:val="007F5FF3"/>
    <w:rsid w:val="007F6278"/>
    <w:rsid w:val="007F632E"/>
    <w:rsid w:val="008016EB"/>
    <w:rsid w:val="008029D3"/>
    <w:rsid w:val="00811B18"/>
    <w:rsid w:val="008122B6"/>
    <w:rsid w:val="00813E89"/>
    <w:rsid w:val="00815C6E"/>
    <w:rsid w:val="00816CD2"/>
    <w:rsid w:val="0082190A"/>
    <w:rsid w:val="00824A63"/>
    <w:rsid w:val="00831A43"/>
    <w:rsid w:val="0083215C"/>
    <w:rsid w:val="008346CB"/>
    <w:rsid w:val="00840B5F"/>
    <w:rsid w:val="00847CE8"/>
    <w:rsid w:val="00861C6D"/>
    <w:rsid w:val="00861D0A"/>
    <w:rsid w:val="008644E6"/>
    <w:rsid w:val="00870D80"/>
    <w:rsid w:val="00872358"/>
    <w:rsid w:val="008751DD"/>
    <w:rsid w:val="00881D67"/>
    <w:rsid w:val="0088232B"/>
    <w:rsid w:val="00887698"/>
    <w:rsid w:val="0089037B"/>
    <w:rsid w:val="00890E59"/>
    <w:rsid w:val="008918AF"/>
    <w:rsid w:val="008924BF"/>
    <w:rsid w:val="0089454B"/>
    <w:rsid w:val="008A299F"/>
    <w:rsid w:val="008A2C90"/>
    <w:rsid w:val="008A3AD5"/>
    <w:rsid w:val="008B697B"/>
    <w:rsid w:val="008B75BC"/>
    <w:rsid w:val="008C134C"/>
    <w:rsid w:val="008C1727"/>
    <w:rsid w:val="008C308D"/>
    <w:rsid w:val="008C7E1A"/>
    <w:rsid w:val="008D7971"/>
    <w:rsid w:val="008E048F"/>
    <w:rsid w:val="008E1707"/>
    <w:rsid w:val="008E3942"/>
    <w:rsid w:val="008E3E2E"/>
    <w:rsid w:val="008F1647"/>
    <w:rsid w:val="008F40F9"/>
    <w:rsid w:val="008F5078"/>
    <w:rsid w:val="008F7A1E"/>
    <w:rsid w:val="009004E9"/>
    <w:rsid w:val="00907AE8"/>
    <w:rsid w:val="00920915"/>
    <w:rsid w:val="009210BC"/>
    <w:rsid w:val="009233E1"/>
    <w:rsid w:val="00924ECB"/>
    <w:rsid w:val="0092578B"/>
    <w:rsid w:val="0092634F"/>
    <w:rsid w:val="0093544C"/>
    <w:rsid w:val="00935F7E"/>
    <w:rsid w:val="0094796A"/>
    <w:rsid w:val="00952A36"/>
    <w:rsid w:val="00957E6E"/>
    <w:rsid w:val="00961CDA"/>
    <w:rsid w:val="009650A0"/>
    <w:rsid w:val="00965841"/>
    <w:rsid w:val="0096625D"/>
    <w:rsid w:val="00971B84"/>
    <w:rsid w:val="009735EA"/>
    <w:rsid w:val="009770F2"/>
    <w:rsid w:val="00981726"/>
    <w:rsid w:val="00985384"/>
    <w:rsid w:val="009854A7"/>
    <w:rsid w:val="00985A53"/>
    <w:rsid w:val="00986685"/>
    <w:rsid w:val="00990B49"/>
    <w:rsid w:val="00992E12"/>
    <w:rsid w:val="009A5661"/>
    <w:rsid w:val="009A5CB7"/>
    <w:rsid w:val="009B2B3A"/>
    <w:rsid w:val="009B49D7"/>
    <w:rsid w:val="009B7F35"/>
    <w:rsid w:val="009C2147"/>
    <w:rsid w:val="009C6AB4"/>
    <w:rsid w:val="009D0EE0"/>
    <w:rsid w:val="009D28C3"/>
    <w:rsid w:val="009D470B"/>
    <w:rsid w:val="009D50AE"/>
    <w:rsid w:val="009D65B6"/>
    <w:rsid w:val="009F118B"/>
    <w:rsid w:val="009F3C77"/>
    <w:rsid w:val="00A0197D"/>
    <w:rsid w:val="00A0348D"/>
    <w:rsid w:val="00A0489B"/>
    <w:rsid w:val="00A051EA"/>
    <w:rsid w:val="00A073CB"/>
    <w:rsid w:val="00A0743B"/>
    <w:rsid w:val="00A162B5"/>
    <w:rsid w:val="00A164E0"/>
    <w:rsid w:val="00A16E6F"/>
    <w:rsid w:val="00A2007D"/>
    <w:rsid w:val="00A233D7"/>
    <w:rsid w:val="00A27EA0"/>
    <w:rsid w:val="00A30257"/>
    <w:rsid w:val="00A33EC4"/>
    <w:rsid w:val="00A35142"/>
    <w:rsid w:val="00A413F3"/>
    <w:rsid w:val="00A54D08"/>
    <w:rsid w:val="00A84502"/>
    <w:rsid w:val="00A85556"/>
    <w:rsid w:val="00A8624C"/>
    <w:rsid w:val="00A86A34"/>
    <w:rsid w:val="00A912FC"/>
    <w:rsid w:val="00A92617"/>
    <w:rsid w:val="00A9298A"/>
    <w:rsid w:val="00A97755"/>
    <w:rsid w:val="00AA020A"/>
    <w:rsid w:val="00AA2BE1"/>
    <w:rsid w:val="00AA5DA2"/>
    <w:rsid w:val="00AA684E"/>
    <w:rsid w:val="00AA72DF"/>
    <w:rsid w:val="00AB1ADF"/>
    <w:rsid w:val="00AB3252"/>
    <w:rsid w:val="00AB48A8"/>
    <w:rsid w:val="00AC17E1"/>
    <w:rsid w:val="00AC225E"/>
    <w:rsid w:val="00AC5013"/>
    <w:rsid w:val="00AD1EA0"/>
    <w:rsid w:val="00AE00C8"/>
    <w:rsid w:val="00AE7E83"/>
    <w:rsid w:val="00AF1261"/>
    <w:rsid w:val="00AF16D6"/>
    <w:rsid w:val="00AF2ED8"/>
    <w:rsid w:val="00AF3B6D"/>
    <w:rsid w:val="00B00F62"/>
    <w:rsid w:val="00B02AE3"/>
    <w:rsid w:val="00B035A8"/>
    <w:rsid w:val="00B1104C"/>
    <w:rsid w:val="00B16C2B"/>
    <w:rsid w:val="00B30489"/>
    <w:rsid w:val="00B343C4"/>
    <w:rsid w:val="00B37CFB"/>
    <w:rsid w:val="00B42F0B"/>
    <w:rsid w:val="00B454D0"/>
    <w:rsid w:val="00B516D5"/>
    <w:rsid w:val="00B51A27"/>
    <w:rsid w:val="00B54687"/>
    <w:rsid w:val="00B54DF7"/>
    <w:rsid w:val="00B60BE4"/>
    <w:rsid w:val="00B61733"/>
    <w:rsid w:val="00B61B7E"/>
    <w:rsid w:val="00B630A6"/>
    <w:rsid w:val="00B647C3"/>
    <w:rsid w:val="00B6555F"/>
    <w:rsid w:val="00B7023C"/>
    <w:rsid w:val="00B7038A"/>
    <w:rsid w:val="00B730B5"/>
    <w:rsid w:val="00B7502B"/>
    <w:rsid w:val="00B849D3"/>
    <w:rsid w:val="00B861FF"/>
    <w:rsid w:val="00B900C1"/>
    <w:rsid w:val="00B90335"/>
    <w:rsid w:val="00B905C4"/>
    <w:rsid w:val="00B918D6"/>
    <w:rsid w:val="00B95735"/>
    <w:rsid w:val="00B95CDB"/>
    <w:rsid w:val="00BA3519"/>
    <w:rsid w:val="00BA5EF8"/>
    <w:rsid w:val="00BA7283"/>
    <w:rsid w:val="00BB069D"/>
    <w:rsid w:val="00BB12C7"/>
    <w:rsid w:val="00BB1834"/>
    <w:rsid w:val="00BC694F"/>
    <w:rsid w:val="00BD3377"/>
    <w:rsid w:val="00BD37F8"/>
    <w:rsid w:val="00BD4DE9"/>
    <w:rsid w:val="00BD664D"/>
    <w:rsid w:val="00BE2953"/>
    <w:rsid w:val="00BE4647"/>
    <w:rsid w:val="00BE4B62"/>
    <w:rsid w:val="00BE7CCA"/>
    <w:rsid w:val="00BF0E71"/>
    <w:rsid w:val="00BF4ADC"/>
    <w:rsid w:val="00BF4E9B"/>
    <w:rsid w:val="00BF7CF3"/>
    <w:rsid w:val="00C02D7F"/>
    <w:rsid w:val="00C04278"/>
    <w:rsid w:val="00C054CF"/>
    <w:rsid w:val="00C16135"/>
    <w:rsid w:val="00C17508"/>
    <w:rsid w:val="00C264C8"/>
    <w:rsid w:val="00C26A1B"/>
    <w:rsid w:val="00C27950"/>
    <w:rsid w:val="00C33C99"/>
    <w:rsid w:val="00C344E1"/>
    <w:rsid w:val="00C34A5E"/>
    <w:rsid w:val="00C3555F"/>
    <w:rsid w:val="00C41E6D"/>
    <w:rsid w:val="00C42AD3"/>
    <w:rsid w:val="00C4476C"/>
    <w:rsid w:val="00C46AAF"/>
    <w:rsid w:val="00C55286"/>
    <w:rsid w:val="00C641E0"/>
    <w:rsid w:val="00C64B8D"/>
    <w:rsid w:val="00C86D65"/>
    <w:rsid w:val="00C87276"/>
    <w:rsid w:val="00C906FA"/>
    <w:rsid w:val="00C9503E"/>
    <w:rsid w:val="00C95984"/>
    <w:rsid w:val="00CA0084"/>
    <w:rsid w:val="00CA0BF9"/>
    <w:rsid w:val="00CA1619"/>
    <w:rsid w:val="00CA39FC"/>
    <w:rsid w:val="00CA50BD"/>
    <w:rsid w:val="00CA51C0"/>
    <w:rsid w:val="00CA5F26"/>
    <w:rsid w:val="00CA6729"/>
    <w:rsid w:val="00CB266A"/>
    <w:rsid w:val="00CB284E"/>
    <w:rsid w:val="00CB364B"/>
    <w:rsid w:val="00CB4D94"/>
    <w:rsid w:val="00CB51F4"/>
    <w:rsid w:val="00CC018D"/>
    <w:rsid w:val="00CC1270"/>
    <w:rsid w:val="00CC3768"/>
    <w:rsid w:val="00CC37AF"/>
    <w:rsid w:val="00CC46E0"/>
    <w:rsid w:val="00CC4D18"/>
    <w:rsid w:val="00CC7520"/>
    <w:rsid w:val="00CD1F5E"/>
    <w:rsid w:val="00CE1473"/>
    <w:rsid w:val="00CE676D"/>
    <w:rsid w:val="00CF0906"/>
    <w:rsid w:val="00CF1BDF"/>
    <w:rsid w:val="00CF2A11"/>
    <w:rsid w:val="00CF49B9"/>
    <w:rsid w:val="00D0301D"/>
    <w:rsid w:val="00D047A7"/>
    <w:rsid w:val="00D079F8"/>
    <w:rsid w:val="00D11E72"/>
    <w:rsid w:val="00D13547"/>
    <w:rsid w:val="00D15583"/>
    <w:rsid w:val="00D21565"/>
    <w:rsid w:val="00D22382"/>
    <w:rsid w:val="00D227DF"/>
    <w:rsid w:val="00D231FB"/>
    <w:rsid w:val="00D309B8"/>
    <w:rsid w:val="00D44E62"/>
    <w:rsid w:val="00D46CA7"/>
    <w:rsid w:val="00D47EE2"/>
    <w:rsid w:val="00D6187C"/>
    <w:rsid w:val="00D62706"/>
    <w:rsid w:val="00D647F8"/>
    <w:rsid w:val="00D7211F"/>
    <w:rsid w:val="00D75547"/>
    <w:rsid w:val="00D7794E"/>
    <w:rsid w:val="00D82E2E"/>
    <w:rsid w:val="00D8590D"/>
    <w:rsid w:val="00D87853"/>
    <w:rsid w:val="00D91814"/>
    <w:rsid w:val="00D9438C"/>
    <w:rsid w:val="00DA09BB"/>
    <w:rsid w:val="00DA218D"/>
    <w:rsid w:val="00DB3A59"/>
    <w:rsid w:val="00DB3E4A"/>
    <w:rsid w:val="00DB4825"/>
    <w:rsid w:val="00DB4B5B"/>
    <w:rsid w:val="00DB61F5"/>
    <w:rsid w:val="00DC0C4E"/>
    <w:rsid w:val="00DC1DA7"/>
    <w:rsid w:val="00DD1D52"/>
    <w:rsid w:val="00DD600F"/>
    <w:rsid w:val="00DE37CF"/>
    <w:rsid w:val="00DE5AE7"/>
    <w:rsid w:val="00DF302A"/>
    <w:rsid w:val="00E00780"/>
    <w:rsid w:val="00E01524"/>
    <w:rsid w:val="00E06574"/>
    <w:rsid w:val="00E07DE5"/>
    <w:rsid w:val="00E11D40"/>
    <w:rsid w:val="00E11DDE"/>
    <w:rsid w:val="00E12D9E"/>
    <w:rsid w:val="00E1665F"/>
    <w:rsid w:val="00E17D80"/>
    <w:rsid w:val="00E2099B"/>
    <w:rsid w:val="00E2222E"/>
    <w:rsid w:val="00E2224D"/>
    <w:rsid w:val="00E23C6C"/>
    <w:rsid w:val="00E25553"/>
    <w:rsid w:val="00E273AF"/>
    <w:rsid w:val="00E3788A"/>
    <w:rsid w:val="00E40931"/>
    <w:rsid w:val="00E4341D"/>
    <w:rsid w:val="00E53AF8"/>
    <w:rsid w:val="00E53B24"/>
    <w:rsid w:val="00E55039"/>
    <w:rsid w:val="00E61F9D"/>
    <w:rsid w:val="00E6734A"/>
    <w:rsid w:val="00E73D15"/>
    <w:rsid w:val="00E81403"/>
    <w:rsid w:val="00E843EF"/>
    <w:rsid w:val="00E909BE"/>
    <w:rsid w:val="00E95F3D"/>
    <w:rsid w:val="00EA1AC6"/>
    <w:rsid w:val="00EA31C5"/>
    <w:rsid w:val="00EB1FBA"/>
    <w:rsid w:val="00EC3104"/>
    <w:rsid w:val="00EC37F4"/>
    <w:rsid w:val="00EC59B8"/>
    <w:rsid w:val="00EC6882"/>
    <w:rsid w:val="00EC769F"/>
    <w:rsid w:val="00ED1540"/>
    <w:rsid w:val="00ED2507"/>
    <w:rsid w:val="00ED4B42"/>
    <w:rsid w:val="00ED6DB9"/>
    <w:rsid w:val="00ED7BA8"/>
    <w:rsid w:val="00EE1631"/>
    <w:rsid w:val="00EE49D8"/>
    <w:rsid w:val="00EF002B"/>
    <w:rsid w:val="00EF5416"/>
    <w:rsid w:val="00EF697E"/>
    <w:rsid w:val="00F01797"/>
    <w:rsid w:val="00F05AE8"/>
    <w:rsid w:val="00F063F5"/>
    <w:rsid w:val="00F0774C"/>
    <w:rsid w:val="00F1154A"/>
    <w:rsid w:val="00F11F7C"/>
    <w:rsid w:val="00F130AA"/>
    <w:rsid w:val="00F133D4"/>
    <w:rsid w:val="00F15ADF"/>
    <w:rsid w:val="00F16A18"/>
    <w:rsid w:val="00F228D3"/>
    <w:rsid w:val="00F2410E"/>
    <w:rsid w:val="00F26F9A"/>
    <w:rsid w:val="00F32FC3"/>
    <w:rsid w:val="00F3457B"/>
    <w:rsid w:val="00F35D8A"/>
    <w:rsid w:val="00F35E64"/>
    <w:rsid w:val="00F37818"/>
    <w:rsid w:val="00F4255E"/>
    <w:rsid w:val="00F43D4E"/>
    <w:rsid w:val="00F44858"/>
    <w:rsid w:val="00F61170"/>
    <w:rsid w:val="00F676DD"/>
    <w:rsid w:val="00F7461D"/>
    <w:rsid w:val="00F75B38"/>
    <w:rsid w:val="00F81E02"/>
    <w:rsid w:val="00F82157"/>
    <w:rsid w:val="00F82EF8"/>
    <w:rsid w:val="00F90A47"/>
    <w:rsid w:val="00F9212F"/>
    <w:rsid w:val="00F93864"/>
    <w:rsid w:val="00F9450A"/>
    <w:rsid w:val="00FA69CB"/>
    <w:rsid w:val="00FB0CD0"/>
    <w:rsid w:val="00FB3378"/>
    <w:rsid w:val="00FB6709"/>
    <w:rsid w:val="00FB6726"/>
    <w:rsid w:val="00FB7CF2"/>
    <w:rsid w:val="00FC3745"/>
    <w:rsid w:val="00FC4971"/>
    <w:rsid w:val="00FD06D8"/>
    <w:rsid w:val="00FD3EFA"/>
    <w:rsid w:val="00FD6573"/>
    <w:rsid w:val="00FD7798"/>
    <w:rsid w:val="00FE0055"/>
    <w:rsid w:val="00FE0C91"/>
    <w:rsid w:val="00FE1493"/>
    <w:rsid w:val="00FE17BB"/>
    <w:rsid w:val="00FF021B"/>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qFormat/>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character" w:styleId="Mentionnonrsolue">
    <w:name w:val="Unresolved Mention"/>
    <w:basedOn w:val="Policepardfaut"/>
    <w:uiPriority w:val="99"/>
    <w:semiHidden/>
    <w:unhideWhenUsed/>
    <w:rsid w:val="000C21EB"/>
    <w:rPr>
      <w:color w:val="605E5C"/>
      <w:shd w:val="clear" w:color="auto" w:fill="E1DFDD"/>
    </w:rPr>
  </w:style>
  <w:style w:type="paragraph" w:styleId="NormalWeb">
    <w:name w:val="Normal (Web)"/>
    <w:basedOn w:val="Normal"/>
    <w:uiPriority w:val="99"/>
    <w:semiHidden/>
    <w:unhideWhenUsed/>
    <w:rsid w:val="00FB0CD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9815">
      <w:bodyDiv w:val="1"/>
      <w:marLeft w:val="0"/>
      <w:marRight w:val="0"/>
      <w:marTop w:val="0"/>
      <w:marBottom w:val="0"/>
      <w:divBdr>
        <w:top w:val="none" w:sz="0" w:space="0" w:color="auto"/>
        <w:left w:val="none" w:sz="0" w:space="0" w:color="auto"/>
        <w:bottom w:val="none" w:sz="0" w:space="0" w:color="auto"/>
        <w:right w:val="none" w:sz="0" w:space="0" w:color="auto"/>
      </w:divBdr>
    </w:div>
    <w:div w:id="247233929">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52554694">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33415079">
      <w:bodyDiv w:val="1"/>
      <w:marLeft w:val="0"/>
      <w:marRight w:val="0"/>
      <w:marTop w:val="0"/>
      <w:marBottom w:val="0"/>
      <w:divBdr>
        <w:top w:val="none" w:sz="0" w:space="0" w:color="auto"/>
        <w:left w:val="none" w:sz="0" w:space="0" w:color="auto"/>
        <w:bottom w:val="none" w:sz="0" w:space="0" w:color="auto"/>
        <w:right w:val="none" w:sz="0" w:space="0" w:color="auto"/>
      </w:divBdr>
    </w:div>
    <w:div w:id="653486091">
      <w:bodyDiv w:val="1"/>
      <w:marLeft w:val="0"/>
      <w:marRight w:val="0"/>
      <w:marTop w:val="0"/>
      <w:marBottom w:val="0"/>
      <w:divBdr>
        <w:top w:val="none" w:sz="0" w:space="0" w:color="auto"/>
        <w:left w:val="none" w:sz="0" w:space="0" w:color="auto"/>
        <w:bottom w:val="none" w:sz="0" w:space="0" w:color="auto"/>
        <w:right w:val="none" w:sz="0" w:space="0" w:color="auto"/>
      </w:divBdr>
    </w:div>
    <w:div w:id="669216990">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799955963">
      <w:bodyDiv w:val="1"/>
      <w:marLeft w:val="0"/>
      <w:marRight w:val="0"/>
      <w:marTop w:val="0"/>
      <w:marBottom w:val="0"/>
      <w:divBdr>
        <w:top w:val="none" w:sz="0" w:space="0" w:color="auto"/>
        <w:left w:val="none" w:sz="0" w:space="0" w:color="auto"/>
        <w:bottom w:val="none" w:sz="0" w:space="0" w:color="auto"/>
        <w:right w:val="none" w:sz="0" w:space="0" w:color="auto"/>
      </w:divBdr>
      <w:divsChild>
        <w:div w:id="1350330436">
          <w:marLeft w:val="0"/>
          <w:marRight w:val="0"/>
          <w:marTop w:val="0"/>
          <w:marBottom w:val="0"/>
          <w:divBdr>
            <w:top w:val="none" w:sz="0" w:space="0" w:color="auto"/>
            <w:left w:val="none" w:sz="0" w:space="0" w:color="auto"/>
            <w:bottom w:val="none" w:sz="0" w:space="0" w:color="auto"/>
            <w:right w:val="none" w:sz="0" w:space="0" w:color="auto"/>
          </w:divBdr>
          <w:divsChild>
            <w:div w:id="1568303323">
              <w:marLeft w:val="0"/>
              <w:marRight w:val="0"/>
              <w:marTop w:val="0"/>
              <w:marBottom w:val="0"/>
              <w:divBdr>
                <w:top w:val="none" w:sz="0" w:space="0" w:color="auto"/>
                <w:left w:val="none" w:sz="0" w:space="0" w:color="auto"/>
                <w:bottom w:val="none" w:sz="0" w:space="0" w:color="auto"/>
                <w:right w:val="none" w:sz="0" w:space="0" w:color="auto"/>
              </w:divBdr>
              <w:divsChild>
                <w:div w:id="1601834427">
                  <w:marLeft w:val="0"/>
                  <w:marRight w:val="0"/>
                  <w:marTop w:val="0"/>
                  <w:marBottom w:val="0"/>
                  <w:divBdr>
                    <w:top w:val="none" w:sz="0" w:space="0" w:color="auto"/>
                    <w:left w:val="none" w:sz="0" w:space="0" w:color="auto"/>
                    <w:bottom w:val="none" w:sz="0" w:space="0" w:color="auto"/>
                    <w:right w:val="none" w:sz="0" w:space="0" w:color="auto"/>
                  </w:divBdr>
                  <w:divsChild>
                    <w:div w:id="424811297">
                      <w:marLeft w:val="0"/>
                      <w:marRight w:val="0"/>
                      <w:marTop w:val="0"/>
                      <w:marBottom w:val="0"/>
                      <w:divBdr>
                        <w:top w:val="none" w:sz="0" w:space="0" w:color="auto"/>
                        <w:left w:val="none" w:sz="0" w:space="0" w:color="auto"/>
                        <w:bottom w:val="none" w:sz="0" w:space="0" w:color="auto"/>
                        <w:right w:val="none" w:sz="0" w:space="0" w:color="auto"/>
                      </w:divBdr>
                      <w:divsChild>
                        <w:div w:id="1586643890">
                          <w:marLeft w:val="0"/>
                          <w:marRight w:val="0"/>
                          <w:marTop w:val="0"/>
                          <w:marBottom w:val="0"/>
                          <w:divBdr>
                            <w:top w:val="none" w:sz="0" w:space="0" w:color="auto"/>
                            <w:left w:val="none" w:sz="0" w:space="0" w:color="auto"/>
                            <w:bottom w:val="none" w:sz="0" w:space="0" w:color="auto"/>
                            <w:right w:val="none" w:sz="0" w:space="0" w:color="auto"/>
                          </w:divBdr>
                          <w:divsChild>
                            <w:div w:id="15370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95143">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276673502">
      <w:bodyDiv w:val="1"/>
      <w:marLeft w:val="0"/>
      <w:marRight w:val="0"/>
      <w:marTop w:val="0"/>
      <w:marBottom w:val="0"/>
      <w:divBdr>
        <w:top w:val="none" w:sz="0" w:space="0" w:color="auto"/>
        <w:left w:val="none" w:sz="0" w:space="0" w:color="auto"/>
        <w:bottom w:val="none" w:sz="0" w:space="0" w:color="auto"/>
        <w:right w:val="none" w:sz="0" w:space="0" w:color="auto"/>
      </w:divBdr>
    </w:div>
    <w:div w:id="1528450412">
      <w:bodyDiv w:val="1"/>
      <w:marLeft w:val="0"/>
      <w:marRight w:val="0"/>
      <w:marTop w:val="0"/>
      <w:marBottom w:val="0"/>
      <w:divBdr>
        <w:top w:val="none" w:sz="0" w:space="0" w:color="auto"/>
        <w:left w:val="none" w:sz="0" w:space="0" w:color="auto"/>
        <w:bottom w:val="none" w:sz="0" w:space="0" w:color="auto"/>
        <w:right w:val="none" w:sz="0" w:space="0" w:color="auto"/>
      </w:divBdr>
    </w:div>
    <w:div w:id="1732649838">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1134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3" Type="http://schemas.openxmlformats.org/officeDocument/2006/relationships/hyperlink" Target="https://www.cfiindia.com/pdf/media/jan-28-25.pdf" TargetMode="External"/><Relationship Id="rId7" Type="http://schemas.openxmlformats.org/officeDocument/2006/relationships/hyperlink" Target="https://economictimes.indiatimes.com/markets/bonds/indias-corporate-bond-market-booms-record-rs-10-trillion-raised-in-corporate-bonds-in-2025-says-rajkumar-subramanian-of-pl-wealth/articleshow/122837041.cms?utm_source=chatgpt.com" TargetMode="External"/><Relationship Id="rId2" Type="http://schemas.openxmlformats.org/officeDocument/2006/relationships/hyperlink" Target="https://www.financialexpress.com/business/insolvency-recovery-a-third-of-claims-3996696" TargetMode="External"/><Relationship Id="rId1" Type="http://schemas.openxmlformats.org/officeDocument/2006/relationships/hyperlink" Target="https://www.rbi.org.in/commonperson/English/Scripts/Notification.aspx?Id=2721" TargetMode="External"/><Relationship Id="rId6" Type="http://schemas.openxmlformats.org/officeDocument/2006/relationships/hyperlink" Target="https://data.worldbank.org/indicator/NY.GDP.PCAP.CD" TargetMode="External"/><Relationship Id="rId5" Type="http://schemas.openxmlformats.org/officeDocument/2006/relationships/hyperlink" Target="https://rbidocs.rbi.org.in/rdocs/PublicationReport/Pdfs/0FSRJUNE20253006258AE798B4484642AD861CC35BC2CB3D8E.PDF" TargetMode="External"/><Relationship Id="rId4" Type="http://schemas.openxmlformats.org/officeDocument/2006/relationships/hyperlink" Target="https://www.impriindia.com/insights/nabfi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FS19-DEL.si.local\DEL$\Travail\SECTEURS\Pole%20Economique%20et%20Financier\1.%20Travaux%20r&#233;currents\3.%20Analyse%20macro%20et%20sectorielle\Situation%20secteur%20bancaire\Suivi%20du%20secteur%20bancai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FS19-DEL.si.local\DEL$\Travail\SECTEURS\Pole%20Economique%20et%20Financier\1.%20Travaux%20r&#233;currents\3.%20Analyse%20macro%20et%20sectorielle\Situation%20secteur%20bancaire\Suivi%20du%20secteur%20bancai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brahimi\AppData\Local\Microsoft\Windows\INetCache\Content.Outlook\PR9ROIQF\graphique%20not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FS19-DEL.si.local\DEL$\Travail\SECTEURS\Pole%20Economique%20et%20Financier\1.%20Travaux%20r&#233;currents\3.%20Analyse%20macro%20et%20sectorielle\Situation%20secteur%20bancaire\Suivi%20du%20secteur%20bancair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'Actifs bancaires'!$B$1</c:f>
              <c:strCache>
                <c:ptCount val="1"/>
                <c:pt idx="0">
                  <c:v>Banques étrangères</c:v>
                </c:pt>
              </c:strCache>
            </c:strRef>
          </c:tx>
          <c:spPr>
            <a:solidFill>
              <a:schemeClr val="accent6">
                <a:lumMod val="50000"/>
              </a:schemeClr>
            </a:solidFill>
            <a:ln>
              <a:solidFill>
                <a:srgbClr val="002060"/>
              </a:solidFill>
            </a:ln>
            <a:effectLst/>
          </c:spPr>
          <c:invertIfNegative val="0"/>
          <c:cat>
            <c:strRef>
              <c:f>'Actifs bancaires'!$A$2:$A$21</c:f>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f>'Actifs bancaires'!$B$2:$B$21</c:f>
              <c:numCache>
                <c:formatCode>General</c:formatCode>
                <c:ptCount val="20"/>
                <c:pt idx="0">
                  <c:v>153636.33059999999</c:v>
                </c:pt>
                <c:pt idx="1">
                  <c:v>199358.0324</c:v>
                </c:pt>
                <c:pt idx="2">
                  <c:v>274392.13579999999</c:v>
                </c:pt>
                <c:pt idx="3">
                  <c:v>364098.57280000002</c:v>
                </c:pt>
                <c:pt idx="4">
                  <c:v>445129.2268</c:v>
                </c:pt>
                <c:pt idx="5">
                  <c:v>435361.86349999998</c:v>
                </c:pt>
                <c:pt idx="6">
                  <c:v>491174.92930000002</c:v>
                </c:pt>
                <c:pt idx="7">
                  <c:v>588179.02819999994</c:v>
                </c:pt>
                <c:pt idx="8">
                  <c:v>637893.7463</c:v>
                </c:pt>
                <c:pt idx="9">
                  <c:v>748808.66410000005</c:v>
                </c:pt>
                <c:pt idx="10">
                  <c:v>754897.59900000005</c:v>
                </c:pt>
                <c:pt idx="11">
                  <c:v>814457.68900000001</c:v>
                </c:pt>
                <c:pt idx="12">
                  <c:v>824610.92440000002</c:v>
                </c:pt>
                <c:pt idx="13">
                  <c:v>869556.34259999997</c:v>
                </c:pt>
                <c:pt idx="14">
                  <c:v>1056374.7118309999</c:v>
                </c:pt>
                <c:pt idx="15">
                  <c:v>1265078.6041629999</c:v>
                </c:pt>
                <c:pt idx="16">
                  <c:v>1260682.41705</c:v>
                </c:pt>
                <c:pt idx="17">
                  <c:v>1374612.2631600001</c:v>
                </c:pt>
                <c:pt idx="18">
                  <c:v>1567703.640588</c:v>
                </c:pt>
                <c:pt idx="19">
                  <c:v>1705993.1005480001</c:v>
                </c:pt>
              </c:numCache>
              <c:extLst/>
            </c:numRef>
          </c:val>
          <c:extLst>
            <c:ext xmlns:c16="http://schemas.microsoft.com/office/drawing/2014/chart" uri="{C3380CC4-5D6E-409C-BE32-E72D297353CC}">
              <c16:uniqueId val="{00000000-D632-4A45-9EF0-F0A8CB7B3A58}"/>
            </c:ext>
          </c:extLst>
        </c:ser>
        <c:ser>
          <c:idx val="3"/>
          <c:order val="3"/>
          <c:tx>
            <c:strRef>
              <c:f>'Actifs bancaires'!$E$1</c:f>
              <c:strCache>
                <c:ptCount val="1"/>
                <c:pt idx="0">
                  <c:v>Banques privées</c:v>
                </c:pt>
              </c:strCache>
            </c:strRef>
          </c:tx>
          <c:spPr>
            <a:solidFill>
              <a:schemeClr val="accent1">
                <a:lumMod val="60000"/>
              </a:schemeClr>
            </a:solidFill>
            <a:ln>
              <a:solidFill>
                <a:srgbClr val="002060"/>
              </a:solidFill>
            </a:ln>
            <a:effectLst/>
          </c:spPr>
          <c:invertIfNegative val="0"/>
          <c:cat>
            <c:strRef>
              <c:f>'Actifs bancaires'!$A$2:$A$21</c:f>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f>'Actifs bancaires'!$E$2:$E$21</c:f>
              <c:numCache>
                <c:formatCode>General</c:formatCode>
                <c:ptCount val="20"/>
                <c:pt idx="0">
                  <c:v>427891.69880000001</c:v>
                </c:pt>
                <c:pt idx="1">
                  <c:v>571631.15240000002</c:v>
                </c:pt>
                <c:pt idx="2">
                  <c:v>745403.78879999998</c:v>
                </c:pt>
                <c:pt idx="3">
                  <c:v>940143.8443</c:v>
                </c:pt>
                <c:pt idx="4">
                  <c:v>1027755.86</c:v>
                </c:pt>
                <c:pt idx="5">
                  <c:v>1150736.2294000001</c:v>
                </c:pt>
                <c:pt idx="6">
                  <c:v>1398216.7742000001</c:v>
                </c:pt>
                <c:pt idx="7">
                  <c:v>1693091.4616</c:v>
                </c:pt>
                <c:pt idx="8">
                  <c:v>1989797.0915999999</c:v>
                </c:pt>
                <c:pt idx="9">
                  <c:v>2258810.0748999999</c:v>
                </c:pt>
                <c:pt idx="10">
                  <c:v>2603261.7848</c:v>
                </c:pt>
                <c:pt idx="11">
                  <c:v>3146733.8179000001</c:v>
                </c:pt>
                <c:pt idx="12">
                  <c:v>3601424.3788000001</c:v>
                </c:pt>
                <c:pt idx="13">
                  <c:v>4298921.486548</c:v>
                </c:pt>
                <c:pt idx="14">
                  <c:v>5297936.7862</c:v>
                </c:pt>
                <c:pt idx="15">
                  <c:v>5832123.0949510001</c:v>
                </c:pt>
                <c:pt idx="16">
                  <c:v>6421783.9435689999</c:v>
                </c:pt>
                <c:pt idx="17">
                  <c:v>7371801.1747129997</c:v>
                </c:pt>
                <c:pt idx="18">
                  <c:v>8445470.3328159992</c:v>
                </c:pt>
                <c:pt idx="19">
                  <c:v>10521371.832126001</c:v>
                </c:pt>
              </c:numCache>
              <c:extLst/>
            </c:numRef>
          </c:val>
          <c:extLst>
            <c:ext xmlns:c16="http://schemas.microsoft.com/office/drawing/2014/chart" uri="{C3380CC4-5D6E-409C-BE32-E72D297353CC}">
              <c16:uniqueId val="{00000001-D632-4A45-9EF0-F0A8CB7B3A58}"/>
            </c:ext>
          </c:extLst>
        </c:ser>
        <c:ser>
          <c:idx val="6"/>
          <c:order val="6"/>
          <c:tx>
            <c:strRef>
              <c:f>'Actifs bancaires'!$H$1</c:f>
              <c:strCache>
                <c:ptCount val="1"/>
                <c:pt idx="0">
                  <c:v>Banques publiques (incluant les réformes)</c:v>
                </c:pt>
              </c:strCache>
            </c:strRef>
          </c:tx>
          <c:spPr>
            <a:solidFill>
              <a:schemeClr val="accent2"/>
            </a:solidFill>
            <a:ln>
              <a:solidFill>
                <a:srgbClr val="002060"/>
              </a:solidFill>
            </a:ln>
            <a:effectLst/>
          </c:spPr>
          <c:invertIfNegative val="0"/>
          <c:cat>
            <c:strRef>
              <c:f>'Actifs bancaires'!$A$2:$A$21</c:f>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f>'Actifs bancaires'!$H$2:$H$21</c:f>
              <c:numCache>
                <c:formatCode>General</c:formatCode>
                <c:ptCount val="20"/>
                <c:pt idx="0">
                  <c:v>1773981.2453999999</c:v>
                </c:pt>
                <c:pt idx="1">
                  <c:v>2014874.0863999999</c:v>
                </c:pt>
                <c:pt idx="2">
                  <c:v>2440165.9210999999</c:v>
                </c:pt>
                <c:pt idx="3">
                  <c:v>3021923.605</c:v>
                </c:pt>
                <c:pt idx="4">
                  <c:v>3765757.0756999999</c:v>
                </c:pt>
                <c:pt idx="5">
                  <c:v>4440827.0630999999</c:v>
                </c:pt>
                <c:pt idx="6">
                  <c:v>5294006.1271000002</c:v>
                </c:pt>
                <c:pt idx="7">
                  <c:v>6039619.8518000003</c:v>
                </c:pt>
                <c:pt idx="8">
                  <c:v>6962261.2276999997</c:v>
                </c:pt>
                <c:pt idx="9">
                  <c:v>7968309.801</c:v>
                </c:pt>
                <c:pt idx="10">
                  <c:v>8678832.6919999998</c:v>
                </c:pt>
                <c:pt idx="11">
                  <c:v>9168096.7313000001</c:v>
                </c:pt>
                <c:pt idx="12">
                  <c:v>9736605.0303000007</c:v>
                </c:pt>
                <c:pt idx="13">
                  <c:v>10034900.5748</c:v>
                </c:pt>
                <c:pt idx="14">
                  <c:v>10163225.9921</c:v>
                </c:pt>
                <c:pt idx="15">
                  <c:v>10782831.285075</c:v>
                </c:pt>
                <c:pt idx="16">
                  <c:v>11728799.364250001</c:v>
                </c:pt>
                <c:pt idx="17">
                  <c:v>12707642.867898</c:v>
                </c:pt>
                <c:pt idx="18">
                  <c:v>14014780.8409</c:v>
                </c:pt>
                <c:pt idx="19">
                  <c:v>15493233.5679</c:v>
                </c:pt>
              </c:numCache>
              <c:extLst/>
            </c:numRef>
          </c:val>
          <c:extLst>
            <c:ext xmlns:c16="http://schemas.microsoft.com/office/drawing/2014/chart" uri="{C3380CC4-5D6E-409C-BE32-E72D297353CC}">
              <c16:uniqueId val="{00000002-D632-4A45-9EF0-F0A8CB7B3A58}"/>
            </c:ext>
          </c:extLst>
        </c:ser>
        <c:dLbls>
          <c:showLegendKey val="0"/>
          <c:showVal val="0"/>
          <c:showCatName val="0"/>
          <c:showSerName val="0"/>
          <c:showPercent val="0"/>
          <c:showBubbleSize val="0"/>
        </c:dLbls>
        <c:gapWidth val="219"/>
        <c:overlap val="100"/>
        <c:axId val="725278432"/>
        <c:axId val="725279264"/>
        <c:extLst>
          <c:ext xmlns:c15="http://schemas.microsoft.com/office/drawing/2012/chart" uri="{02D57815-91ED-43cb-92C2-25804820EDAC}">
            <c15:filteredBarSeries>
              <c15:ser>
                <c:idx val="1"/>
                <c:order val="1"/>
                <c:tx>
                  <c:strRef>
                    <c:extLst>
                      <c:ext uri="{02D57815-91ED-43cb-92C2-25804820EDAC}">
                        <c15:formulaRef>
                          <c15:sqref>'Actifs bancaires'!$C$1</c15:sqref>
                        </c15:formulaRef>
                      </c:ext>
                    </c:extLst>
                    <c:strCache>
                      <c:ptCount val="1"/>
                      <c:pt idx="0">
                        <c:v>NATIONALISED BANKS</c:v>
                      </c:pt>
                    </c:strCache>
                  </c:strRef>
                </c:tx>
                <c:spPr>
                  <a:solidFill>
                    <a:schemeClr val="accent3"/>
                  </a:solidFill>
                  <a:ln>
                    <a:noFill/>
                  </a:ln>
                  <a:effectLst/>
                </c:spPr>
                <c:invertIfNegative val="0"/>
                <c:cat>
                  <c:strRef>
                    <c:extLst>
                      <c:ext uri="{02D57815-91ED-43cb-92C2-25804820EDAC}">
                        <c15:formulaRef>
                          <c15:sqref>'Actifs bancaires'!$A$2:$A$21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c:ext uri="{02D57815-91ED-43cb-92C2-25804820EDAC}">
                        <c15:formulaRef>
                          <c15:sqref>'Actifs bancaires'!$C$2:$C$21</c15:sqref>
                        </c15:formulaRef>
                      </c:ext>
                    </c:extLst>
                    <c:numCache>
                      <c:formatCode>General</c:formatCode>
                      <c:ptCount val="20"/>
                      <c:pt idx="0">
                        <c:v>1146864.1081000001</c:v>
                      </c:pt>
                      <c:pt idx="1">
                        <c:v>1323027.1793</c:v>
                      </c:pt>
                      <c:pt idx="2">
                        <c:v>1634370.7671999999</c:v>
                      </c:pt>
                      <c:pt idx="3">
                        <c:v>2010965.048</c:v>
                      </c:pt>
                      <c:pt idx="4">
                        <c:v>2485701.6845999998</c:v>
                      </c:pt>
                      <c:pt idx="5">
                        <c:v>3028573.8034999999</c:v>
                      </c:pt>
                      <c:pt idx="6">
                        <c:v>3696321.9345999998</c:v>
                      </c:pt>
                      <c:pt idx="7">
                        <c:v>4268339.7126000002</c:v>
                      </c:pt>
                      <c:pt idx="8">
                        <c:v>4896592.3576999996</c:v>
                      </c:pt>
                      <c:pt idx="9">
                        <c:v>5649812.9851000002</c:v>
                      </c:pt>
                      <c:pt idx="10">
                        <c:v>6072175.1069</c:v>
                      </c:pt>
                      <c:pt idx="11">
                        <c:v>6206450.2534999996</c:v>
                      </c:pt>
                      <c:pt idx="12">
                        <c:v>6413413.9757000003</c:v>
                      </c:pt>
                    </c:numCache>
                  </c:numRef>
                </c:val>
                <c:extLst>
                  <c:ext xmlns:c16="http://schemas.microsoft.com/office/drawing/2014/chart" uri="{C3380CC4-5D6E-409C-BE32-E72D297353CC}">
                    <c16:uniqueId val="{00000003-D632-4A45-9EF0-F0A8CB7B3A5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'Actifs bancaires'!$D$1</c15:sqref>
                        </c15:formulaRef>
                      </c:ext>
                    </c:extLst>
                    <c:strCache>
                      <c:ptCount val="1"/>
                      <c:pt idx="0">
                        <c:v>PAYMENTS BANKS</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'Actifs bancaires'!$A$2:$A$21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xmlns:c15="http://schemas.microsoft.com/office/drawing/2012/chart">
                      <c:ext xmlns:c15="http://schemas.microsoft.com/office/drawing/2012/chart" uri="{02D57815-91ED-43cb-92C2-25804820EDAC}">
                        <c15:formulaRef>
                          <c15:sqref>'Actifs bancaires'!$D$2:$D$21</c15:sqref>
                        </c15:formulaRef>
                      </c:ext>
                    </c:extLst>
                    <c:numCache>
                      <c:formatCode>General</c:formatCode>
                      <c:ptCount val="20"/>
                      <c:pt idx="15">
                        <c:v>1645.266854</c:v>
                      </c:pt>
                      <c:pt idx="16">
                        <c:v>4072.0309999999999</c:v>
                      </c:pt>
                      <c:pt idx="17">
                        <c:v>17551.6639</c:v>
                      </c:pt>
                      <c:pt idx="18">
                        <c:v>22957.464899999999</c:v>
                      </c:pt>
                      <c:pt idx="19">
                        <c:v>24667.5861</c:v>
                      </c:pt>
                    </c:numCache>
                  </c:numRef>
                </c:val>
                <c:extLst xmlns:c15="http://schemas.microsoft.com/office/drawing/2012/chart">
                  <c:ext xmlns:c16="http://schemas.microsoft.com/office/drawing/2014/chart" uri="{C3380CC4-5D6E-409C-BE32-E72D297353CC}">
                    <c16:uniqueId val="{00000004-D632-4A45-9EF0-F0A8CB7B3A58}"/>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'Actifs bancaires'!$F$1</c15:sqref>
                        </c15:formulaRef>
                      </c:ext>
                    </c:extLst>
                    <c:strCache>
                      <c:ptCount val="1"/>
                      <c:pt idx="0">
                        <c:v>PUBLIC SECTOR BANKS</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'Actifs bancaires'!$A$2:$A$21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xmlns:c15="http://schemas.microsoft.com/office/drawing/2012/chart">
                      <c:ext xmlns:c15="http://schemas.microsoft.com/office/drawing/2012/chart" uri="{02D57815-91ED-43cb-92C2-25804820EDAC}">
                        <c15:formulaRef>
                          <c15:sqref>'Actifs bancaires'!$F$2:$F$21</c15:sqref>
                        </c15:formulaRef>
                      </c:ext>
                    </c:extLst>
                    <c:numCache>
                      <c:formatCode>General</c:formatCode>
                      <c:ptCount val="20"/>
                      <c:pt idx="13">
                        <c:v>10034900.5748</c:v>
                      </c:pt>
                      <c:pt idx="14">
                        <c:v>10163225.9921</c:v>
                      </c:pt>
                      <c:pt idx="15">
                        <c:v>10782831.285075</c:v>
                      </c:pt>
                      <c:pt idx="16">
                        <c:v>11728799.364250001</c:v>
                      </c:pt>
                      <c:pt idx="17">
                        <c:v>12707642.867898</c:v>
                      </c:pt>
                      <c:pt idx="18">
                        <c:v>14014780.8409</c:v>
                      </c:pt>
                      <c:pt idx="19">
                        <c:v>15493233.5679</c:v>
                      </c:pt>
                    </c:numCache>
                  </c:numRef>
                </c:val>
                <c:extLst xmlns:c15="http://schemas.microsoft.com/office/drawing/2012/chart">
                  <c:ext xmlns:c16="http://schemas.microsoft.com/office/drawing/2014/chart" uri="{C3380CC4-5D6E-409C-BE32-E72D297353CC}">
                    <c16:uniqueId val="{00000005-D632-4A45-9EF0-F0A8CB7B3A58}"/>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'Actifs bancaires'!$G$1</c15:sqref>
                        </c15:formulaRef>
                      </c:ext>
                    </c:extLst>
                    <c:strCache>
                      <c:ptCount val="1"/>
                      <c:pt idx="0">
                        <c:v>STATE BANK OF INDIA AND ITS ASSOCIATES</c:v>
                      </c:pt>
                    </c:strCache>
                  </c:strRef>
                </c:tx>
                <c:spPr>
                  <a:solidFill>
                    <a:schemeClr val="accent5">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'Actifs bancaires'!$A$2:$A$21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xmlns:c15="http://schemas.microsoft.com/office/drawing/2012/chart">
                      <c:ext xmlns:c15="http://schemas.microsoft.com/office/drawing/2012/chart" uri="{02D57815-91ED-43cb-92C2-25804820EDAC}">
                        <c15:formulaRef>
                          <c15:sqref>'Actifs bancaires'!$G$2:$G$21</c15:sqref>
                        </c15:formulaRef>
                      </c:ext>
                    </c:extLst>
                    <c:numCache>
                      <c:formatCode>General</c:formatCode>
                      <c:ptCount val="20"/>
                      <c:pt idx="0">
                        <c:v>627117.13729999994</c:v>
                      </c:pt>
                      <c:pt idx="1">
                        <c:v>691846.90709999995</c:v>
                      </c:pt>
                      <c:pt idx="2">
                        <c:v>805795.15390000003</c:v>
                      </c:pt>
                      <c:pt idx="3">
                        <c:v>1010958.557</c:v>
                      </c:pt>
                      <c:pt idx="4">
                        <c:v>1280055.3910999999</c:v>
                      </c:pt>
                      <c:pt idx="5">
                        <c:v>1412253.2596</c:v>
                      </c:pt>
                      <c:pt idx="6">
                        <c:v>1597684.1924999999</c:v>
                      </c:pt>
                      <c:pt idx="7">
                        <c:v>1771280.1392000001</c:v>
                      </c:pt>
                      <c:pt idx="8">
                        <c:v>2065668.87</c:v>
                      </c:pt>
                      <c:pt idx="9">
                        <c:v>2318496.8158999998</c:v>
                      </c:pt>
                      <c:pt idx="10">
                        <c:v>2606657.5850999998</c:v>
                      </c:pt>
                      <c:pt idx="11">
                        <c:v>2961646.4778</c:v>
                      </c:pt>
                      <c:pt idx="12">
                        <c:v>3323191.0545999999</c:v>
                      </c:pt>
                    </c:numCache>
                  </c:numRef>
                </c:val>
                <c:extLst xmlns:c15="http://schemas.microsoft.com/office/drawing/2012/chart">
                  <c:ext xmlns:c16="http://schemas.microsoft.com/office/drawing/2014/chart" uri="{C3380CC4-5D6E-409C-BE32-E72D297353CC}">
                    <c16:uniqueId val="{00000006-D632-4A45-9EF0-F0A8CB7B3A58}"/>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'Actifs bancaires'!$I$1</c15:sqref>
                        </c15:formulaRef>
                      </c:ext>
                    </c:extLst>
                    <c:strCache>
                      <c:ptCount val="1"/>
                      <c:pt idx="0">
                        <c:v>Total général</c:v>
                      </c:pt>
                    </c:strCache>
                  </c:strRef>
                </c:tx>
                <c:spPr>
                  <a:solidFill>
                    <a:schemeClr val="accent3">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'Actifs bancaires'!$A$2:$A$21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xmlns:c15="http://schemas.microsoft.com/office/drawing/2012/chart">
                      <c:ext xmlns:c15="http://schemas.microsoft.com/office/drawing/2012/chart" uri="{02D57815-91ED-43cb-92C2-25804820EDAC}">
                        <c15:formulaRef>
                          <c15:sqref>'Actifs bancaires'!$I$2:$I$21</c15:sqref>
                        </c15:formulaRef>
                      </c:ext>
                    </c:extLst>
                    <c:numCache>
                      <c:formatCode>General</c:formatCode>
                      <c:ptCount val="20"/>
                      <c:pt idx="0">
                        <c:v>2355509.2748000002</c:v>
                      </c:pt>
                      <c:pt idx="1">
                        <c:v>2785863.2711999998</c:v>
                      </c:pt>
                      <c:pt idx="2">
                        <c:v>3459961.8457000004</c:v>
                      </c:pt>
                      <c:pt idx="3">
                        <c:v>4326166.0220999997</c:v>
                      </c:pt>
                      <c:pt idx="4">
                        <c:v>5238642.1624999996</c:v>
                      </c:pt>
                      <c:pt idx="5">
                        <c:v>6026925.1559999995</c:v>
                      </c:pt>
                      <c:pt idx="6">
                        <c:v>7183397.8306</c:v>
                      </c:pt>
                      <c:pt idx="7">
                        <c:v>8320890.3415999999</c:v>
                      </c:pt>
                      <c:pt idx="8">
                        <c:v>9589952.0656000003</c:v>
                      </c:pt>
                      <c:pt idx="9">
                        <c:v>10975928.539999999</c:v>
                      </c:pt>
                      <c:pt idx="10">
                        <c:v>12036992.075800002</c:v>
                      </c:pt>
                      <c:pt idx="11">
                        <c:v>13129288.238200001</c:v>
                      </c:pt>
                      <c:pt idx="12">
                        <c:v>14162640.333500002</c:v>
                      </c:pt>
                      <c:pt idx="13">
                        <c:v>15203378.403948</c:v>
                      </c:pt>
                      <c:pt idx="14">
                        <c:v>16517537.490131</c:v>
                      </c:pt>
                      <c:pt idx="15">
                        <c:v>17881678.251042999</c:v>
                      </c:pt>
                      <c:pt idx="16">
                        <c:v>19415337.755869001</c:v>
                      </c:pt>
                      <c:pt idx="17">
                        <c:v>21471607.969671</c:v>
                      </c:pt>
                      <c:pt idx="18">
                        <c:v>24050912.279204</c:v>
                      </c:pt>
                      <c:pt idx="19">
                        <c:v>27745266.086674001</c:v>
                      </c:pt>
                    </c:numCache>
                  </c:numRef>
                </c:val>
                <c:extLst xmlns:c15="http://schemas.microsoft.com/office/drawing/2012/chart">
                  <c:ext xmlns:c16="http://schemas.microsoft.com/office/drawing/2014/chart" uri="{C3380CC4-5D6E-409C-BE32-E72D297353CC}">
                    <c16:uniqueId val="{00000007-D632-4A45-9EF0-F0A8CB7B3A58}"/>
                  </c:ext>
                </c:extLst>
              </c15:ser>
            </c15:filteredBarSeries>
          </c:ext>
        </c:extLst>
      </c:barChart>
      <c:catAx>
        <c:axId val="7252784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0000"/>
                    <a:lumOff val="40000"/>
                  </a:schemeClr>
                </a:solidFill>
                <a:latin typeface="Segoe UI" panose="020B0502040204020203" pitchFamily="34" charset="0"/>
                <a:ea typeface="+mn-ea"/>
                <a:cs typeface="Segoe UI" panose="020B0502040204020203" pitchFamily="34" charset="0"/>
              </a:defRPr>
            </a:pPr>
            <a:endParaRPr lang="fr-FR"/>
          </a:p>
        </c:txPr>
        <c:crossAx val="725279264"/>
        <c:crosses val="autoZero"/>
        <c:auto val="1"/>
        <c:lblAlgn val="ctr"/>
        <c:lblOffset val="100"/>
        <c:tickLblSkip val="2"/>
        <c:tickMarkSkip val="5"/>
        <c:noMultiLvlLbl val="0"/>
      </c:catAx>
      <c:valAx>
        <c:axId val="72527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0000"/>
                    <a:lumOff val="40000"/>
                  </a:schemeClr>
                </a:solidFill>
                <a:latin typeface="Segoe UI" panose="020B0502040204020203" pitchFamily="34" charset="0"/>
                <a:ea typeface="+mn-ea"/>
                <a:cs typeface="Segoe UI" panose="020B0502040204020203" pitchFamily="34" charset="0"/>
              </a:defRPr>
            </a:pPr>
            <a:endParaRPr lang="fr-FR"/>
          </a:p>
        </c:txPr>
        <c:crossAx val="725278432"/>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0000"/>
                  <a:lumOff val="40000"/>
                </a:schemeClr>
              </a:solidFill>
              <a:latin typeface="Segoe UI" panose="020B0502040204020203" pitchFamily="34" charset="0"/>
              <a:ea typeface="+mn-ea"/>
              <a:cs typeface="Segoe UI" panose="020B0502040204020203"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60000"/>
              <a:lumOff val="40000"/>
            </a:schemeClr>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'Crédit bancaire'!$B$1</c:f>
              <c:strCache>
                <c:ptCount val="1"/>
                <c:pt idx="0">
                  <c:v>Banques étrangères</c:v>
                </c:pt>
              </c:strCache>
            </c:strRef>
          </c:tx>
          <c:spPr>
            <a:solidFill>
              <a:srgbClr val="C00000"/>
            </a:solidFill>
            <a:ln>
              <a:solidFill>
                <a:schemeClr val="tx1"/>
              </a:solidFill>
            </a:ln>
            <a:effectLst/>
          </c:spPr>
          <c:invertIfNegative val="0"/>
          <c:cat>
            <c:strRef>
              <c:f>'Crédit bancaire'!$A$2:$A$21</c:f>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extLst/>
            </c:strRef>
          </c:cat>
          <c:val>
            <c:numRef>
              <c:f>'Crédit bancaire'!$B$2:$B$21</c:f>
              <c:numCache>
                <c:formatCode>General</c:formatCode>
                <c:ptCount val="20"/>
                <c:pt idx="0">
                  <c:v>75318.253500000006</c:v>
                </c:pt>
                <c:pt idx="1">
                  <c:v>97561.933000000005</c:v>
                </c:pt>
                <c:pt idx="2">
                  <c:v>126338.57429999999</c:v>
                </c:pt>
                <c:pt idx="3">
                  <c:v>161132.84510000001</c:v>
                </c:pt>
                <c:pt idx="4">
                  <c:v>165384.55590000001</c:v>
                </c:pt>
                <c:pt idx="5">
                  <c:v>163260.3756</c:v>
                </c:pt>
                <c:pt idx="6">
                  <c:v>195510.6354</c:v>
                </c:pt>
                <c:pt idx="7">
                  <c:v>229848.75210000001</c:v>
                </c:pt>
                <c:pt idx="8">
                  <c:v>263679.98460000003</c:v>
                </c:pt>
                <c:pt idx="9">
                  <c:v>291141.87910000002</c:v>
                </c:pt>
                <c:pt idx="10">
                  <c:v>327598.58970000001</c:v>
                </c:pt>
                <c:pt idx="11">
                  <c:v>363550.77639999997</c:v>
                </c:pt>
                <c:pt idx="12">
                  <c:v>332335.01789999998</c:v>
                </c:pt>
                <c:pt idx="13">
                  <c:v>351015.72100000002</c:v>
                </c:pt>
                <c:pt idx="14">
                  <c:v>396725.90097999998</c:v>
                </c:pt>
                <c:pt idx="15">
                  <c:v>428075.97884900001</c:v>
                </c:pt>
                <c:pt idx="16">
                  <c:v>420780.22684700001</c:v>
                </c:pt>
                <c:pt idx="17">
                  <c:v>465483.93065900001</c:v>
                </c:pt>
                <c:pt idx="18">
                  <c:v>491029.37186000001</c:v>
                </c:pt>
                <c:pt idx="19">
                  <c:v>548474.14002799999</c:v>
                </c:pt>
              </c:numCache>
              <c:extLst/>
            </c:numRef>
          </c:val>
          <c:extLst>
            <c:ext xmlns:c16="http://schemas.microsoft.com/office/drawing/2014/chart" uri="{C3380CC4-5D6E-409C-BE32-E72D297353CC}">
              <c16:uniqueId val="{00000000-ADDC-4F9B-ADA9-3EF5CCBF5F25}"/>
            </c:ext>
          </c:extLst>
        </c:ser>
        <c:ser>
          <c:idx val="3"/>
          <c:order val="3"/>
          <c:tx>
            <c:strRef>
              <c:f>'Crédit bancaire'!$E$1</c:f>
              <c:strCache>
                <c:ptCount val="1"/>
                <c:pt idx="0">
                  <c:v>Banques privées</c:v>
                </c:pt>
              </c:strCache>
            </c:strRef>
          </c:tx>
          <c:spPr>
            <a:solidFill>
              <a:schemeClr val="accent1">
                <a:lumMod val="6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'Crédit bancaire'!$A$2:$A$21</c:f>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extLst/>
            </c:strRef>
          </c:cat>
          <c:val>
            <c:numRef>
              <c:f>'Crédit bancaire'!$E$2:$E$21</c:f>
              <c:numCache>
                <c:formatCode>General</c:formatCode>
                <c:ptCount val="20"/>
                <c:pt idx="0">
                  <c:v>221303.29689999999</c:v>
                </c:pt>
                <c:pt idx="1">
                  <c:v>312961.77539999998</c:v>
                </c:pt>
                <c:pt idx="2">
                  <c:v>414751.28279999999</c:v>
                </c:pt>
                <c:pt idx="3">
                  <c:v>518402.41759999999</c:v>
                </c:pt>
                <c:pt idx="4">
                  <c:v>575327.60199999996</c:v>
                </c:pt>
                <c:pt idx="5">
                  <c:v>632440.93839999998</c:v>
                </c:pt>
                <c:pt idx="6">
                  <c:v>797543.98380000005</c:v>
                </c:pt>
                <c:pt idx="7">
                  <c:v>966402.95189999999</c:v>
                </c:pt>
                <c:pt idx="8">
                  <c:v>1143248.5837999999</c:v>
                </c:pt>
                <c:pt idx="9">
                  <c:v>1342934.6231</c:v>
                </c:pt>
                <c:pt idx="10">
                  <c:v>1584311.8599</c:v>
                </c:pt>
                <c:pt idx="11">
                  <c:v>1939339.4254999999</c:v>
                </c:pt>
                <c:pt idx="12">
                  <c:v>2219475.0737999999</c:v>
                </c:pt>
                <c:pt idx="13">
                  <c:v>2662753.0665620002</c:v>
                </c:pt>
                <c:pt idx="14">
                  <c:v>3327328.0693999999</c:v>
                </c:pt>
                <c:pt idx="15">
                  <c:v>3625154.4675670001</c:v>
                </c:pt>
                <c:pt idx="16">
                  <c:v>3929571.605583</c:v>
                </c:pt>
                <c:pt idx="17">
                  <c:v>4553540.8696180005</c:v>
                </c:pt>
                <c:pt idx="18">
                  <c:v>5366672.5871799998</c:v>
                </c:pt>
                <c:pt idx="19">
                  <c:v>6861388.2106579999</c:v>
                </c:pt>
              </c:numCache>
              <c:extLst/>
            </c:numRef>
          </c:val>
          <c:extLst>
            <c:ext xmlns:c16="http://schemas.microsoft.com/office/drawing/2014/chart" uri="{C3380CC4-5D6E-409C-BE32-E72D297353CC}">
              <c16:uniqueId val="{00000001-ADDC-4F9B-ADA9-3EF5CCBF5F25}"/>
            </c:ext>
          </c:extLst>
        </c:ser>
        <c:ser>
          <c:idx val="6"/>
          <c:order val="6"/>
          <c:tx>
            <c:strRef>
              <c:f>'Crédit bancaire'!$H$1</c:f>
              <c:strCache>
                <c:ptCount val="1"/>
                <c:pt idx="0">
                  <c:v>Banques publiques (incluant les réformes)</c:v>
                </c:pt>
              </c:strCache>
            </c:strRef>
          </c:tx>
          <c:spPr>
            <a:solidFill>
              <a:schemeClr val="accent2"/>
            </a:solidFill>
            <a:ln>
              <a:solidFill>
                <a:schemeClr val="tx1"/>
              </a:solidFill>
            </a:ln>
            <a:effectLst/>
          </c:spPr>
          <c:invertIfNegative val="0"/>
          <c:cat>
            <c:strRef>
              <c:f>'Crédit bancaire'!$A$2:$A$21</c:f>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extLst/>
            </c:strRef>
          </c:cat>
          <c:val>
            <c:numRef>
              <c:f>'Crédit bancaire'!$H$2:$H$21</c:f>
              <c:numCache>
                <c:formatCode>General</c:formatCode>
                <c:ptCount val="20"/>
                <c:pt idx="0">
                  <c:v>854214.71380000003</c:v>
                </c:pt>
                <c:pt idx="1">
                  <c:v>1106287.7127</c:v>
                </c:pt>
                <c:pt idx="2">
                  <c:v>1440146.4868000001</c:v>
                </c:pt>
                <c:pt idx="3">
                  <c:v>1797400.7754000002</c:v>
                </c:pt>
                <c:pt idx="4">
                  <c:v>2259211.7441000002</c:v>
                </c:pt>
                <c:pt idx="5">
                  <c:v>2701018.6736000003</c:v>
                </c:pt>
                <c:pt idx="6">
                  <c:v>3304432.9104999998</c:v>
                </c:pt>
                <c:pt idx="7">
                  <c:v>3877307.4862000002</c:v>
                </c:pt>
                <c:pt idx="8">
                  <c:v>4472844.6967000002</c:v>
                </c:pt>
                <c:pt idx="9">
                  <c:v>5101136.7132000001</c:v>
                </c:pt>
                <c:pt idx="10">
                  <c:v>5476249.5737999994</c:v>
                </c:pt>
                <c:pt idx="11">
                  <c:v>5593576.7823000001</c:v>
                </c:pt>
                <c:pt idx="12">
                  <c:v>5557231.6380000003</c:v>
                </c:pt>
                <c:pt idx="13">
                  <c:v>5697349.7121000001</c:v>
                </c:pt>
                <c:pt idx="14">
                  <c:v>5892667.3400999997</c:v>
                </c:pt>
                <c:pt idx="15">
                  <c:v>6158111.9848659998</c:v>
                </c:pt>
                <c:pt idx="16">
                  <c:v>6347416.5580160003</c:v>
                </c:pt>
                <c:pt idx="17">
                  <c:v>7043940.2173499996</c:v>
                </c:pt>
                <c:pt idx="18">
                  <c:v>8283763.0861</c:v>
                </c:pt>
                <c:pt idx="19">
                  <c:v>9506329.0365999993</c:v>
                </c:pt>
              </c:numCache>
              <c:extLst/>
            </c:numRef>
          </c:val>
          <c:extLst>
            <c:ext xmlns:c16="http://schemas.microsoft.com/office/drawing/2014/chart" uri="{C3380CC4-5D6E-409C-BE32-E72D297353CC}">
              <c16:uniqueId val="{00000002-ADDC-4F9B-ADA9-3EF5CCBF5F25}"/>
            </c:ext>
          </c:extLst>
        </c:ser>
        <c:dLbls>
          <c:showLegendKey val="0"/>
          <c:showVal val="0"/>
          <c:showCatName val="0"/>
          <c:showSerName val="0"/>
          <c:showPercent val="0"/>
          <c:showBubbleSize val="0"/>
        </c:dLbls>
        <c:gapWidth val="219"/>
        <c:axId val="431000752"/>
        <c:axId val="431001168"/>
        <c:extLst>
          <c:ext xmlns:c15="http://schemas.microsoft.com/office/drawing/2012/chart" uri="{02D57815-91ED-43cb-92C2-25804820EDAC}">
            <c15:filteredBarSeries>
              <c15:ser>
                <c:idx val="1"/>
                <c:order val="1"/>
                <c:tx>
                  <c:strRef>
                    <c:extLst>
                      <c:ext uri="{02D57815-91ED-43cb-92C2-25804820EDAC}">
                        <c15:formulaRef>
                          <c15:sqref>'Crédit bancaire'!$C$1</c15:sqref>
                        </c15:formulaRef>
                      </c:ext>
                    </c:extLst>
                    <c:strCache>
                      <c:ptCount val="1"/>
                      <c:pt idx="0">
                        <c:v>NATIONALISED BANKS</c:v>
                      </c:pt>
                    </c:strCache>
                  </c:strRef>
                </c:tx>
                <c:spPr>
                  <a:solidFill>
                    <a:schemeClr val="accent3"/>
                  </a:solidFill>
                  <a:ln>
                    <a:noFill/>
                  </a:ln>
                  <a:effectLst/>
                </c:spPr>
                <c:invertIfNegative val="0"/>
                <c:cat>
                  <c:strRef>
                    <c:extLst>
                      <c:ext uri="{02D57815-91ED-43cb-92C2-25804820EDAC}">
                        <c15:formulaRef>
                          <c15:sqref>'Crédit bancaire'!$A$2:$A$21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c:ext uri="{02D57815-91ED-43cb-92C2-25804820EDAC}">
                        <c15:formulaRef>
                          <c15:sqref>'Crédit bancaire'!$C$2:$C$21</c15:sqref>
                        </c15:formulaRef>
                      </c:ext>
                    </c:extLst>
                    <c:numCache>
                      <c:formatCode>General</c:formatCode>
                      <c:ptCount val="20"/>
                      <c:pt idx="0">
                        <c:v>569460.74300000002</c:v>
                      </c:pt>
                      <c:pt idx="1">
                        <c:v>734608.38020000001</c:v>
                      </c:pt>
                      <c:pt idx="2">
                        <c:v>957876.81359999999</c:v>
                      </c:pt>
                      <c:pt idx="3">
                        <c:v>1203678.4044000001</c:v>
                      </c:pt>
                      <c:pt idx="4">
                        <c:v>1519761.8626000001</c:v>
                      </c:pt>
                      <c:pt idx="5">
                        <c:v>1843081.8574000001</c:v>
                      </c:pt>
                      <c:pt idx="6">
                        <c:v>2310279.2662999998</c:v>
                      </c:pt>
                      <c:pt idx="7">
                        <c:v>2725316.2063000002</c:v>
                      </c:pt>
                      <c:pt idx="8">
                        <c:v>3093620.6820999999</c:v>
                      </c:pt>
                      <c:pt idx="9">
                        <c:v>3536658.9788000002</c:v>
                      </c:pt>
                      <c:pt idx="10">
                        <c:v>3802233.0255999998</c:v>
                      </c:pt>
                      <c:pt idx="11">
                        <c:v>3744277.3975</c:v>
                      </c:pt>
                      <c:pt idx="12">
                        <c:v>3688836.4939999999</c:v>
                      </c:pt>
                    </c:numCache>
                  </c:numRef>
                </c:val>
                <c:extLst>
                  <c:ext xmlns:c16="http://schemas.microsoft.com/office/drawing/2014/chart" uri="{C3380CC4-5D6E-409C-BE32-E72D297353CC}">
                    <c16:uniqueId val="{00000003-ADDC-4F9B-ADA9-3EF5CCBF5F25}"/>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'Crédit bancaire'!$D$1</c15:sqref>
                        </c15:formulaRef>
                      </c:ext>
                    </c:extLst>
                    <c:strCache>
                      <c:ptCount val="1"/>
                      <c:pt idx="0">
                        <c:v>PAYMENTS BANKS</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'Crédit bancaire'!$A$2:$A$21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xmlns:c15="http://schemas.microsoft.com/office/drawing/2012/chart">
                      <c:ext xmlns:c15="http://schemas.microsoft.com/office/drawing/2012/chart" uri="{02D57815-91ED-43cb-92C2-25804820EDAC}">
                        <c15:formulaRef>
                          <c15:sqref>'Crédit bancaire'!$D$2:$D$21</c15:sqref>
                        </c15:formulaRef>
                      </c:ext>
                    </c:extLst>
                    <c:numCache>
                      <c:formatCode>General</c:formatCode>
                      <c:ptCount val="20"/>
                      <c:pt idx="15">
                        <c:v>0</c:v>
                      </c:pt>
                      <c:pt idx="16">
                        <c:v>0.13170000000000001</c:v>
                      </c:pt>
                      <c:pt idx="17">
                        <c:v>1.8067</c:v>
                      </c:pt>
                      <c:pt idx="18">
                        <c:v>0.12659999999999999</c:v>
                      </c:pt>
                      <c:pt idx="19">
                        <c:v>6.8900000000000003E-2</c:v>
                      </c:pt>
                    </c:numCache>
                  </c:numRef>
                </c:val>
                <c:extLst xmlns:c15="http://schemas.microsoft.com/office/drawing/2012/chart">
                  <c:ext xmlns:c16="http://schemas.microsoft.com/office/drawing/2014/chart" uri="{C3380CC4-5D6E-409C-BE32-E72D297353CC}">
                    <c16:uniqueId val="{00000004-ADDC-4F9B-ADA9-3EF5CCBF5F25}"/>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'Crédit bancaire'!$F$1</c15:sqref>
                        </c15:formulaRef>
                      </c:ext>
                    </c:extLst>
                    <c:strCache>
                      <c:ptCount val="1"/>
                      <c:pt idx="0">
                        <c:v>PUBLIC SECTOR BANKS</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'Crédit bancaire'!$A$2:$A$21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xmlns:c15="http://schemas.microsoft.com/office/drawing/2012/chart">
                      <c:ext xmlns:c15="http://schemas.microsoft.com/office/drawing/2012/chart" uri="{02D57815-91ED-43cb-92C2-25804820EDAC}">
                        <c15:formulaRef>
                          <c15:sqref>'Crédit bancaire'!$F$2:$F$21</c15:sqref>
                        </c15:formulaRef>
                      </c:ext>
                    </c:extLst>
                    <c:numCache>
                      <c:formatCode>General</c:formatCode>
                      <c:ptCount val="20"/>
                      <c:pt idx="13">
                        <c:v>5697349.7121000001</c:v>
                      </c:pt>
                      <c:pt idx="14">
                        <c:v>5892667.3400999997</c:v>
                      </c:pt>
                      <c:pt idx="15">
                        <c:v>6158111.9848659998</c:v>
                      </c:pt>
                      <c:pt idx="16">
                        <c:v>6347416.5580160003</c:v>
                      </c:pt>
                      <c:pt idx="17">
                        <c:v>7043940.2173499996</c:v>
                      </c:pt>
                      <c:pt idx="18">
                        <c:v>8283763.0861</c:v>
                      </c:pt>
                      <c:pt idx="19">
                        <c:v>9506329.0365999993</c:v>
                      </c:pt>
                    </c:numCache>
                  </c:numRef>
                </c:val>
                <c:extLst xmlns:c15="http://schemas.microsoft.com/office/drawing/2012/chart">
                  <c:ext xmlns:c16="http://schemas.microsoft.com/office/drawing/2014/chart" uri="{C3380CC4-5D6E-409C-BE32-E72D297353CC}">
                    <c16:uniqueId val="{00000005-ADDC-4F9B-ADA9-3EF5CCBF5F25}"/>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'Crédit bancaire'!$G$1</c15:sqref>
                        </c15:formulaRef>
                      </c:ext>
                    </c:extLst>
                    <c:strCache>
                      <c:ptCount val="1"/>
                      <c:pt idx="0">
                        <c:v>STATE BANK OF INDIA AND ITS ASSOCIATES</c:v>
                      </c:pt>
                    </c:strCache>
                  </c:strRef>
                </c:tx>
                <c:spPr>
                  <a:solidFill>
                    <a:schemeClr val="accent5">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'Crédit bancaire'!$A$2:$A$21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xmlns:c15="http://schemas.microsoft.com/office/drawing/2012/chart">
                      <c:ext xmlns:c15="http://schemas.microsoft.com/office/drawing/2012/chart" uri="{02D57815-91ED-43cb-92C2-25804820EDAC}">
                        <c15:formulaRef>
                          <c15:sqref>'Crédit bancaire'!$G$2:$G$21</c15:sqref>
                        </c15:formulaRef>
                      </c:ext>
                    </c:extLst>
                    <c:numCache>
                      <c:formatCode>General</c:formatCode>
                      <c:ptCount val="20"/>
                      <c:pt idx="0">
                        <c:v>284753.97080000001</c:v>
                      </c:pt>
                      <c:pt idx="1">
                        <c:v>371679.33250000002</c:v>
                      </c:pt>
                      <c:pt idx="2">
                        <c:v>482269.67320000002</c:v>
                      </c:pt>
                      <c:pt idx="3">
                        <c:v>593722.37100000004</c:v>
                      </c:pt>
                      <c:pt idx="4">
                        <c:v>739449.88150000002</c:v>
                      </c:pt>
                      <c:pt idx="5">
                        <c:v>857936.8162</c:v>
                      </c:pt>
                      <c:pt idx="6">
                        <c:v>994153.64419999998</c:v>
                      </c:pt>
                      <c:pt idx="7">
                        <c:v>1151991.2799</c:v>
                      </c:pt>
                      <c:pt idx="8">
                        <c:v>1379224.0146000001</c:v>
                      </c:pt>
                      <c:pt idx="9">
                        <c:v>1564477.7344</c:v>
                      </c:pt>
                      <c:pt idx="10">
                        <c:v>1674016.5482000001</c:v>
                      </c:pt>
                      <c:pt idx="11">
                        <c:v>1849299.3848000001</c:v>
                      </c:pt>
                      <c:pt idx="12">
                        <c:v>1868395.1440000001</c:v>
                      </c:pt>
                    </c:numCache>
                  </c:numRef>
                </c:val>
                <c:extLst xmlns:c15="http://schemas.microsoft.com/office/drawing/2012/chart">
                  <c:ext xmlns:c16="http://schemas.microsoft.com/office/drawing/2014/chart" uri="{C3380CC4-5D6E-409C-BE32-E72D297353CC}">
                    <c16:uniqueId val="{00000006-ADDC-4F9B-ADA9-3EF5CCBF5F25}"/>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'Crédit bancaire'!$I$1</c15:sqref>
                        </c15:formulaRef>
                      </c:ext>
                    </c:extLst>
                    <c:strCache>
                      <c:ptCount val="1"/>
                      <c:pt idx="0">
                        <c:v>Total général</c:v>
                      </c:pt>
                    </c:strCache>
                  </c:strRef>
                </c:tx>
                <c:spPr>
                  <a:solidFill>
                    <a:schemeClr val="accent3">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'Crédit bancaire'!$A$2:$A$21</c15:sqref>
                        </c15:formulaRef>
                      </c:ext>
                    </c:extLst>
                    <c:strCache>
                      <c:ptCount val="20"/>
                      <c:pt idx="0">
                        <c:v>FY05</c:v>
                      </c:pt>
                      <c:pt idx="1">
                        <c:v>FY06</c:v>
                      </c:pt>
                      <c:pt idx="2">
                        <c:v>FY07</c:v>
                      </c:pt>
                      <c:pt idx="3">
                        <c:v>FY08</c:v>
                      </c:pt>
                      <c:pt idx="4">
                        <c:v>FY09</c:v>
                      </c:pt>
                      <c:pt idx="5">
                        <c:v>FY10</c:v>
                      </c:pt>
                      <c:pt idx="6">
                        <c:v>FY11</c:v>
                      </c:pt>
                      <c:pt idx="7">
                        <c:v>FY12</c:v>
                      </c:pt>
                      <c:pt idx="8">
                        <c:v>FY13</c:v>
                      </c:pt>
                      <c:pt idx="9">
                        <c:v>FY14</c:v>
                      </c:pt>
                      <c:pt idx="10">
                        <c:v>FY15</c:v>
                      </c:pt>
                      <c:pt idx="11">
                        <c:v>FY16</c:v>
                      </c:pt>
                      <c:pt idx="12">
                        <c:v>FY17</c:v>
                      </c:pt>
                      <c:pt idx="13">
                        <c:v>FY18</c:v>
                      </c:pt>
                      <c:pt idx="14">
                        <c:v>FY19</c:v>
                      </c:pt>
                      <c:pt idx="15">
                        <c:v>FY20</c:v>
                      </c:pt>
                      <c:pt idx="16">
                        <c:v>FY21</c:v>
                      </c:pt>
                      <c:pt idx="17">
                        <c:v>FY22</c:v>
                      </c:pt>
                      <c:pt idx="18">
                        <c:v>FY23</c:v>
                      </c:pt>
                      <c:pt idx="19">
                        <c:v>FY24</c:v>
                      </c:pt>
                    </c:strCache>
                  </c:strRef>
                </c:cat>
                <c:val>
                  <c:numRef>
                    <c:extLst xmlns:c15="http://schemas.microsoft.com/office/drawing/2012/chart">
                      <c:ext xmlns:c15="http://schemas.microsoft.com/office/drawing/2012/chart" uri="{02D57815-91ED-43cb-92C2-25804820EDAC}">
                        <c15:formulaRef>
                          <c15:sqref>'Crédit bancaire'!$I$2:$I$21</c15:sqref>
                        </c15:formulaRef>
                      </c:ext>
                    </c:extLst>
                    <c:numCache>
                      <c:formatCode>General</c:formatCode>
                      <c:ptCount val="20"/>
                      <c:pt idx="0">
                        <c:v>1150836.2642000001</c:v>
                      </c:pt>
                      <c:pt idx="1">
                        <c:v>1516811.4210999999</c:v>
                      </c:pt>
                      <c:pt idx="2">
                        <c:v>1981236.3439</c:v>
                      </c:pt>
                      <c:pt idx="3">
                        <c:v>2476936.0381000005</c:v>
                      </c:pt>
                      <c:pt idx="4">
                        <c:v>2999923.9020000002</c:v>
                      </c:pt>
                      <c:pt idx="5">
                        <c:v>3496719.9875999996</c:v>
                      </c:pt>
                      <c:pt idx="6">
                        <c:v>4297487.5296999998</c:v>
                      </c:pt>
                      <c:pt idx="7">
                        <c:v>5073559.190200001</c:v>
                      </c:pt>
                      <c:pt idx="8">
                        <c:v>5879773.2651000004</c:v>
                      </c:pt>
                      <c:pt idx="9">
                        <c:v>6735213.215400001</c:v>
                      </c:pt>
                      <c:pt idx="10">
                        <c:v>7388160.0233999994</c:v>
                      </c:pt>
                      <c:pt idx="11">
                        <c:v>7896466.9841999998</c:v>
                      </c:pt>
                      <c:pt idx="12">
                        <c:v>8109041.7297</c:v>
                      </c:pt>
                      <c:pt idx="13">
                        <c:v>8711118.4996620007</c:v>
                      </c:pt>
                      <c:pt idx="14">
                        <c:v>9616721.3104799986</c:v>
                      </c:pt>
                      <c:pt idx="15">
                        <c:v>10211342.431281999</c:v>
                      </c:pt>
                      <c:pt idx="16">
                        <c:v>10697768.522146001</c:v>
                      </c:pt>
                      <c:pt idx="17">
                        <c:v>12062966.824326999</c:v>
                      </c:pt>
                      <c:pt idx="18">
                        <c:v>14141465.171739999</c:v>
                      </c:pt>
                      <c:pt idx="19">
                        <c:v>16916191.456186</c:v>
                      </c:pt>
                    </c:numCache>
                  </c:numRef>
                </c:val>
                <c:extLst xmlns:c15="http://schemas.microsoft.com/office/drawing/2012/chart">
                  <c:ext xmlns:c16="http://schemas.microsoft.com/office/drawing/2014/chart" uri="{C3380CC4-5D6E-409C-BE32-E72D297353CC}">
                    <c16:uniqueId val="{00000007-ADDC-4F9B-ADA9-3EF5CCBF5F25}"/>
                  </c:ext>
                </c:extLst>
              </c15:ser>
            </c15:filteredBarSeries>
          </c:ext>
        </c:extLst>
      </c:barChart>
      <c:catAx>
        <c:axId val="43100075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900" b="0" i="0" u="none" strike="noStrike" kern="1200" baseline="0">
                <a:ln>
                  <a:noFill/>
                </a:ln>
                <a:solidFill>
                  <a:schemeClr val="tx1">
                    <a:lumMod val="60000"/>
                    <a:lumOff val="40000"/>
                  </a:schemeClr>
                </a:solidFill>
                <a:latin typeface="Segoe UI" panose="020B0502040204020203" pitchFamily="34" charset="0"/>
                <a:ea typeface="+mn-ea"/>
                <a:cs typeface="Segoe UI" panose="020B0502040204020203" pitchFamily="34" charset="0"/>
              </a:defRPr>
            </a:pPr>
            <a:endParaRPr lang="fr-FR"/>
          </a:p>
        </c:txPr>
        <c:crossAx val="431001168"/>
        <c:crosses val="autoZero"/>
        <c:auto val="1"/>
        <c:lblAlgn val="ctr"/>
        <c:lblOffset val="100"/>
        <c:noMultiLvlLbl val="0"/>
      </c:catAx>
      <c:valAx>
        <c:axId val="43100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0000"/>
                    <a:lumOff val="40000"/>
                  </a:schemeClr>
                </a:solidFill>
                <a:latin typeface="Segoe UI" panose="020B0502040204020203" pitchFamily="34" charset="0"/>
                <a:ea typeface="+mn-ea"/>
                <a:cs typeface="Segoe UI" panose="020B0502040204020203" pitchFamily="34" charset="0"/>
              </a:defRPr>
            </a:pPr>
            <a:endParaRPr lang="fr-FR"/>
          </a:p>
        </c:txPr>
        <c:crossAx val="431000752"/>
        <c:crosses val="autoZero"/>
        <c:crossBetween val="between"/>
      </c:valAx>
      <c:spPr>
        <a:noFill/>
        <a:ln>
          <a:solidFill>
            <a:schemeClr val="tx1">
              <a:lumMod val="5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0000"/>
                  <a:lumOff val="40000"/>
                </a:schemeClr>
              </a:solidFill>
              <a:latin typeface="Segoe UI" panose="020B0502040204020203" pitchFamily="34" charset="0"/>
              <a:ea typeface="+mn-ea"/>
              <a:cs typeface="Segoe UI" panose="020B0502040204020203"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solidFill>
      <a:round/>
    </a:ln>
    <a:effectLst/>
  </c:spPr>
  <c:txPr>
    <a:bodyPr/>
    <a:lstStyle/>
    <a:p>
      <a:pPr>
        <a:defRPr>
          <a:ln>
            <a:noFill/>
          </a:ln>
          <a:solidFill>
            <a:schemeClr val="tx1">
              <a:lumMod val="60000"/>
              <a:lumOff val="40000"/>
            </a:schemeClr>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Feuil1!$C$8</c:f>
              <c:strCache>
                <c:ptCount val="1"/>
                <c:pt idx="0">
                  <c:v>Services</c:v>
                </c:pt>
              </c:strCache>
            </c:strRef>
          </c:tx>
          <c:spPr>
            <a:solidFill>
              <a:schemeClr val="accent1"/>
            </a:solidFill>
            <a:ln>
              <a:solidFill>
                <a:schemeClr val="tx1"/>
              </a:solidFill>
            </a:ln>
            <a:effectLst/>
          </c:spPr>
          <c:invertIfNegative val="0"/>
          <c:cat>
            <c:strRef>
              <c:f>Feuil1!$D$7:$M$7</c:f>
              <c:strCache>
                <c:ptCount val="10"/>
                <c:pt idx="0">
                  <c:v>FY16</c:v>
                </c:pt>
                <c:pt idx="1">
                  <c:v>FY17</c:v>
                </c:pt>
                <c:pt idx="2">
                  <c:v>FY18</c:v>
                </c:pt>
                <c:pt idx="3">
                  <c:v>FY19</c:v>
                </c:pt>
                <c:pt idx="4">
                  <c:v>FY20</c:v>
                </c:pt>
                <c:pt idx="5">
                  <c:v>FY21</c:v>
                </c:pt>
                <c:pt idx="6">
                  <c:v>FY22</c:v>
                </c:pt>
                <c:pt idx="7">
                  <c:v>FY23</c:v>
                </c:pt>
                <c:pt idx="8">
                  <c:v>FY24</c:v>
                </c:pt>
                <c:pt idx="9">
                  <c:v>FY25</c:v>
                </c:pt>
              </c:strCache>
            </c:strRef>
          </c:cat>
          <c:val>
            <c:numRef>
              <c:f>Feuil1!$D$8:$M$8</c:f>
              <c:numCache>
                <c:formatCode>0.00%</c:formatCode>
                <c:ptCount val="10"/>
                <c:pt idx="0">
                  <c:v>0.19400000000000001</c:v>
                </c:pt>
                <c:pt idx="1">
                  <c:v>0.19500000000000001</c:v>
                </c:pt>
                <c:pt idx="2">
                  <c:v>0.13800000000000001</c:v>
                </c:pt>
                <c:pt idx="3">
                  <c:v>0.17799999999999999</c:v>
                </c:pt>
                <c:pt idx="4">
                  <c:v>7.3999999999999996E-2</c:v>
                </c:pt>
                <c:pt idx="5">
                  <c:v>1.4E-2</c:v>
                </c:pt>
                <c:pt idx="6">
                  <c:v>8.6999999999999994E-2</c:v>
                </c:pt>
                <c:pt idx="7">
                  <c:v>0.19600000000000001</c:v>
                </c:pt>
                <c:pt idx="8">
                  <c:v>0.20799999999999999</c:v>
                </c:pt>
                <c:pt idx="9">
                  <c:v>0.13400000000000001</c:v>
                </c:pt>
              </c:numCache>
            </c:numRef>
          </c:val>
          <c:extLst>
            <c:ext xmlns:c16="http://schemas.microsoft.com/office/drawing/2014/chart" uri="{C3380CC4-5D6E-409C-BE32-E72D297353CC}">
              <c16:uniqueId val="{00000000-EF21-48E3-9F7A-F6F5D8E1E813}"/>
            </c:ext>
          </c:extLst>
        </c:ser>
        <c:ser>
          <c:idx val="1"/>
          <c:order val="1"/>
          <c:tx>
            <c:strRef>
              <c:f>Feuil1!$C$9</c:f>
              <c:strCache>
                <c:ptCount val="1"/>
                <c:pt idx="0">
                  <c:v>Industrie </c:v>
                </c:pt>
              </c:strCache>
            </c:strRef>
          </c:tx>
          <c:spPr>
            <a:solidFill>
              <a:schemeClr val="accent2"/>
            </a:solidFill>
            <a:ln>
              <a:solidFill>
                <a:schemeClr val="tx1"/>
              </a:solidFill>
            </a:ln>
            <a:effectLst/>
          </c:spPr>
          <c:invertIfNegative val="0"/>
          <c:cat>
            <c:strRef>
              <c:f>Feuil1!$D$7:$M$7</c:f>
              <c:strCache>
                <c:ptCount val="10"/>
                <c:pt idx="0">
                  <c:v>FY16</c:v>
                </c:pt>
                <c:pt idx="1">
                  <c:v>FY17</c:v>
                </c:pt>
                <c:pt idx="2">
                  <c:v>FY18</c:v>
                </c:pt>
                <c:pt idx="3">
                  <c:v>FY19</c:v>
                </c:pt>
                <c:pt idx="4">
                  <c:v>FY20</c:v>
                </c:pt>
                <c:pt idx="5">
                  <c:v>FY21</c:v>
                </c:pt>
                <c:pt idx="6">
                  <c:v>FY22</c:v>
                </c:pt>
                <c:pt idx="7">
                  <c:v>FY23</c:v>
                </c:pt>
                <c:pt idx="8">
                  <c:v>FY24</c:v>
                </c:pt>
                <c:pt idx="9">
                  <c:v>FY25</c:v>
                </c:pt>
              </c:strCache>
            </c:strRef>
          </c:cat>
          <c:val>
            <c:numRef>
              <c:f>Feuil1!$D$9:$M$9</c:f>
              <c:numCache>
                <c:formatCode>0.00%</c:formatCode>
                <c:ptCount val="10"/>
                <c:pt idx="0">
                  <c:v>2.7E-2</c:v>
                </c:pt>
                <c:pt idx="1">
                  <c:v>1.9E-2</c:v>
                </c:pt>
                <c:pt idx="2">
                  <c:v>7.0000000000000001E-3</c:v>
                </c:pt>
                <c:pt idx="3">
                  <c:v>6.9000000000000006E-2</c:v>
                </c:pt>
                <c:pt idx="4">
                  <c:v>7.0000000000000001E-3</c:v>
                </c:pt>
                <c:pt idx="5">
                  <c:v>4.0000000000000001E-3</c:v>
                </c:pt>
                <c:pt idx="6">
                  <c:v>7.4999999999999997E-2</c:v>
                </c:pt>
                <c:pt idx="7">
                  <c:v>5.6000000000000001E-2</c:v>
                </c:pt>
                <c:pt idx="8" formatCode="0%">
                  <c:v>8.5000000000000006E-2</c:v>
                </c:pt>
                <c:pt idx="9" formatCode="0%">
                  <c:v>0.08</c:v>
                </c:pt>
              </c:numCache>
            </c:numRef>
          </c:val>
          <c:extLst>
            <c:ext xmlns:c16="http://schemas.microsoft.com/office/drawing/2014/chart" uri="{C3380CC4-5D6E-409C-BE32-E72D297353CC}">
              <c16:uniqueId val="{00000001-EF21-48E3-9F7A-F6F5D8E1E813}"/>
            </c:ext>
          </c:extLst>
        </c:ser>
        <c:ser>
          <c:idx val="2"/>
          <c:order val="2"/>
          <c:tx>
            <c:strRef>
              <c:f>Feuil1!$C$10</c:f>
              <c:strCache>
                <c:ptCount val="1"/>
                <c:pt idx="0">
                  <c:v>Agriculture</c:v>
                </c:pt>
              </c:strCache>
            </c:strRef>
          </c:tx>
          <c:spPr>
            <a:solidFill>
              <a:schemeClr val="accent3"/>
            </a:solidFill>
            <a:ln>
              <a:solidFill>
                <a:schemeClr val="tx1"/>
              </a:solidFill>
            </a:ln>
            <a:effectLst/>
          </c:spPr>
          <c:invertIfNegative val="0"/>
          <c:cat>
            <c:strRef>
              <c:f>Feuil1!$D$7:$M$7</c:f>
              <c:strCache>
                <c:ptCount val="10"/>
                <c:pt idx="0">
                  <c:v>FY16</c:v>
                </c:pt>
                <c:pt idx="1">
                  <c:v>FY17</c:v>
                </c:pt>
                <c:pt idx="2">
                  <c:v>FY18</c:v>
                </c:pt>
                <c:pt idx="3">
                  <c:v>FY19</c:v>
                </c:pt>
                <c:pt idx="4">
                  <c:v>FY20</c:v>
                </c:pt>
                <c:pt idx="5">
                  <c:v>FY21</c:v>
                </c:pt>
                <c:pt idx="6">
                  <c:v>FY22</c:v>
                </c:pt>
                <c:pt idx="7">
                  <c:v>FY23</c:v>
                </c:pt>
                <c:pt idx="8">
                  <c:v>FY24</c:v>
                </c:pt>
                <c:pt idx="9">
                  <c:v>FY25</c:v>
                </c:pt>
              </c:strCache>
            </c:strRef>
          </c:cat>
          <c:val>
            <c:numRef>
              <c:f>Feuil1!$D$10:$M$10</c:f>
              <c:numCache>
                <c:formatCode>0.00%</c:formatCode>
                <c:ptCount val="10"/>
                <c:pt idx="0">
                  <c:v>0.153</c:v>
                </c:pt>
                <c:pt idx="1">
                  <c:v>0.124</c:v>
                </c:pt>
                <c:pt idx="2">
                  <c:v>3.7999999999999999E-2</c:v>
                </c:pt>
                <c:pt idx="3">
                  <c:v>7.9000000000000001E-2</c:v>
                </c:pt>
                <c:pt idx="4">
                  <c:v>4.2000000000000003E-2</c:v>
                </c:pt>
                <c:pt idx="5">
                  <c:v>0.123</c:v>
                </c:pt>
                <c:pt idx="6">
                  <c:v>9.9000000000000005E-2</c:v>
                </c:pt>
                <c:pt idx="7">
                  <c:v>0.154</c:v>
                </c:pt>
                <c:pt idx="8" formatCode="0%">
                  <c:v>0.20100000000000001</c:v>
                </c:pt>
                <c:pt idx="9">
                  <c:v>0.104</c:v>
                </c:pt>
              </c:numCache>
            </c:numRef>
          </c:val>
          <c:extLst>
            <c:ext xmlns:c16="http://schemas.microsoft.com/office/drawing/2014/chart" uri="{C3380CC4-5D6E-409C-BE32-E72D297353CC}">
              <c16:uniqueId val="{00000002-EF21-48E3-9F7A-F6F5D8E1E813}"/>
            </c:ext>
          </c:extLst>
        </c:ser>
        <c:ser>
          <c:idx val="3"/>
          <c:order val="3"/>
          <c:tx>
            <c:strRef>
              <c:f>Feuil1!$C$11</c:f>
              <c:strCache>
                <c:ptCount val="1"/>
                <c:pt idx="0">
                  <c:v>Personnel </c:v>
                </c:pt>
              </c:strCache>
            </c:strRef>
          </c:tx>
          <c:spPr>
            <a:solidFill>
              <a:schemeClr val="accent4"/>
            </a:solidFill>
            <a:ln>
              <a:solidFill>
                <a:schemeClr val="tx1"/>
              </a:solidFill>
            </a:ln>
            <a:effectLst/>
          </c:spPr>
          <c:invertIfNegative val="0"/>
          <c:cat>
            <c:strRef>
              <c:f>Feuil1!$D$7:$M$7</c:f>
              <c:strCache>
                <c:ptCount val="10"/>
                <c:pt idx="0">
                  <c:v>FY16</c:v>
                </c:pt>
                <c:pt idx="1">
                  <c:v>FY17</c:v>
                </c:pt>
                <c:pt idx="2">
                  <c:v>FY18</c:v>
                </c:pt>
                <c:pt idx="3">
                  <c:v>FY19</c:v>
                </c:pt>
                <c:pt idx="4">
                  <c:v>FY20</c:v>
                </c:pt>
                <c:pt idx="5">
                  <c:v>FY21</c:v>
                </c:pt>
                <c:pt idx="6">
                  <c:v>FY22</c:v>
                </c:pt>
                <c:pt idx="7">
                  <c:v>FY23</c:v>
                </c:pt>
                <c:pt idx="8">
                  <c:v>FY24</c:v>
                </c:pt>
                <c:pt idx="9">
                  <c:v>FY25</c:v>
                </c:pt>
              </c:strCache>
            </c:strRef>
          </c:cat>
          <c:val>
            <c:numRef>
              <c:f>Feuil1!$D$11:$M$11</c:f>
              <c:numCache>
                <c:formatCode>0.00%</c:formatCode>
                <c:ptCount val="10"/>
                <c:pt idx="0">
                  <c:v>0.19400000000000001</c:v>
                </c:pt>
                <c:pt idx="1">
                  <c:v>0.16700000000000001</c:v>
                </c:pt>
                <c:pt idx="2">
                  <c:v>0.17799999999999999</c:v>
                </c:pt>
                <c:pt idx="3">
                  <c:v>0.16400000000000001</c:v>
                </c:pt>
                <c:pt idx="4">
                  <c:v>0.15</c:v>
                </c:pt>
                <c:pt idx="5">
                  <c:v>0.10199999999999999</c:v>
                </c:pt>
                <c:pt idx="6">
                  <c:v>0.126</c:v>
                </c:pt>
                <c:pt idx="7">
                  <c:v>0.21</c:v>
                </c:pt>
                <c:pt idx="8">
                  <c:v>0.17599999999999999</c:v>
                </c:pt>
                <c:pt idx="9" formatCode="0%">
                  <c:v>0.14000000000000001</c:v>
                </c:pt>
              </c:numCache>
            </c:numRef>
          </c:val>
          <c:extLst>
            <c:ext xmlns:c16="http://schemas.microsoft.com/office/drawing/2014/chart" uri="{C3380CC4-5D6E-409C-BE32-E72D297353CC}">
              <c16:uniqueId val="{00000003-EF21-48E3-9F7A-F6F5D8E1E813}"/>
            </c:ext>
          </c:extLst>
        </c:ser>
        <c:dLbls>
          <c:showLegendKey val="0"/>
          <c:showVal val="0"/>
          <c:showCatName val="0"/>
          <c:showSerName val="0"/>
          <c:showPercent val="0"/>
          <c:showBubbleSize val="0"/>
        </c:dLbls>
        <c:gapWidth val="219"/>
        <c:axId val="486880992"/>
        <c:axId val="486881824"/>
      </c:barChart>
      <c:lineChart>
        <c:grouping val="standard"/>
        <c:varyColors val="0"/>
        <c:ser>
          <c:idx val="4"/>
          <c:order val="4"/>
          <c:tx>
            <c:strRef>
              <c:f>Feuil1!$C$12</c:f>
              <c:strCache>
                <c:ptCount val="1"/>
                <c:pt idx="0">
                  <c:v>Total </c:v>
                </c:pt>
              </c:strCache>
            </c:strRef>
          </c:tx>
          <c:spPr>
            <a:ln w="28575" cap="rnd">
              <a:solidFill>
                <a:schemeClr val="accent5"/>
              </a:solidFill>
              <a:round/>
            </a:ln>
            <a:effectLst/>
          </c:spPr>
          <c:marker>
            <c:symbol val="none"/>
          </c:marker>
          <c:cat>
            <c:strRef>
              <c:f>Feuil1!$D$7:$M$7</c:f>
              <c:strCache>
                <c:ptCount val="10"/>
                <c:pt idx="0">
                  <c:v>FY16</c:v>
                </c:pt>
                <c:pt idx="1">
                  <c:v>FY17</c:v>
                </c:pt>
                <c:pt idx="2">
                  <c:v>FY18</c:v>
                </c:pt>
                <c:pt idx="3">
                  <c:v>FY19</c:v>
                </c:pt>
                <c:pt idx="4">
                  <c:v>FY20</c:v>
                </c:pt>
                <c:pt idx="5">
                  <c:v>FY21</c:v>
                </c:pt>
                <c:pt idx="6">
                  <c:v>FY22</c:v>
                </c:pt>
                <c:pt idx="7">
                  <c:v>FY23</c:v>
                </c:pt>
                <c:pt idx="8">
                  <c:v>FY24</c:v>
                </c:pt>
                <c:pt idx="9">
                  <c:v>FY25</c:v>
                </c:pt>
              </c:strCache>
            </c:strRef>
          </c:cat>
          <c:val>
            <c:numRef>
              <c:f>Feuil1!$D$12:$M$12</c:f>
              <c:numCache>
                <c:formatCode>0.00%</c:formatCode>
                <c:ptCount val="10"/>
                <c:pt idx="0">
                  <c:v>9.0999999999999998E-2</c:v>
                </c:pt>
                <c:pt idx="1">
                  <c:v>0.09</c:v>
                </c:pt>
                <c:pt idx="2">
                  <c:v>8.4000000000000005E-2</c:v>
                </c:pt>
                <c:pt idx="3">
                  <c:v>0.123</c:v>
                </c:pt>
                <c:pt idx="4">
                  <c:v>6.7000000000000004E-2</c:v>
                </c:pt>
                <c:pt idx="5">
                  <c:v>4.9000000000000002E-2</c:v>
                </c:pt>
                <c:pt idx="6">
                  <c:v>9.7000000000000003E-2</c:v>
                </c:pt>
                <c:pt idx="7">
                  <c:v>0.154</c:v>
                </c:pt>
                <c:pt idx="8">
                  <c:v>0.16300000000000001</c:v>
                </c:pt>
                <c:pt idx="9" formatCode="0%">
                  <c:v>0.12</c:v>
                </c:pt>
              </c:numCache>
            </c:numRef>
          </c:val>
          <c:smooth val="0"/>
          <c:extLst>
            <c:ext xmlns:c16="http://schemas.microsoft.com/office/drawing/2014/chart" uri="{C3380CC4-5D6E-409C-BE32-E72D297353CC}">
              <c16:uniqueId val="{00000004-EF21-48E3-9F7A-F6F5D8E1E813}"/>
            </c:ext>
          </c:extLst>
        </c:ser>
        <c:dLbls>
          <c:showLegendKey val="0"/>
          <c:showVal val="0"/>
          <c:showCatName val="0"/>
          <c:showSerName val="0"/>
          <c:showPercent val="0"/>
          <c:showBubbleSize val="0"/>
        </c:dLbls>
        <c:marker val="1"/>
        <c:smooth val="0"/>
        <c:axId val="486880992"/>
        <c:axId val="486881824"/>
      </c:lineChart>
      <c:catAx>
        <c:axId val="4868809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crossAx val="486881824"/>
        <c:crosses val="autoZero"/>
        <c:auto val="1"/>
        <c:lblAlgn val="ctr"/>
        <c:lblOffset val="100"/>
        <c:noMultiLvlLbl val="0"/>
      </c:catAx>
      <c:valAx>
        <c:axId val="486881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crossAx val="486880992"/>
        <c:crosses val="autoZero"/>
        <c:crossBetween val="between"/>
      </c:valAx>
      <c:spPr>
        <a:noFill/>
        <a:ln>
          <a:solidFill>
            <a:schemeClr val="tx1">
              <a:lumMod val="5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4795296257259"/>
          <c:y val="7.9897716648079944E-2"/>
          <c:w val="0.87015388430776863"/>
          <c:h val="0.70832671176310547"/>
        </c:manualLayout>
      </c:layout>
      <c:barChart>
        <c:barDir val="col"/>
        <c:grouping val="clustered"/>
        <c:varyColors val="0"/>
        <c:ser>
          <c:idx val="0"/>
          <c:order val="0"/>
          <c:tx>
            <c:strRef>
              <c:f>'actifs non performants'!$A$7</c:f>
              <c:strCache>
                <c:ptCount val="1"/>
                <c:pt idx="0">
                  <c:v>Banques publiques </c:v>
                </c:pt>
              </c:strCache>
            </c:strRef>
          </c:tx>
          <c:spPr>
            <a:solidFill>
              <a:schemeClr val="accent1"/>
            </a:solidFill>
            <a:ln>
              <a:solidFill>
                <a:schemeClr val="accent4">
                  <a:lumMod val="50000"/>
                </a:schemeClr>
              </a:solidFill>
            </a:ln>
            <a:effectLst/>
          </c:spPr>
          <c:invertIfNegative val="0"/>
          <c:cat>
            <c:multiLvlStrRef>
              <c:f>'actifs non performants'!$B$5:$U$6</c:f>
              <c:multiLvlStrCache>
                <c:ptCount val="20"/>
                <c:lvl>
                  <c:pt idx="0">
                    <c:v>N-NPA</c:v>
                  </c:pt>
                  <c:pt idx="1">
                    <c:v>G- NPA</c:v>
                  </c:pt>
                  <c:pt idx="2">
                    <c:v>N-NPA</c:v>
                  </c:pt>
                  <c:pt idx="3">
                    <c:v>G- NPA</c:v>
                  </c:pt>
                  <c:pt idx="4">
                    <c:v>N-NPA</c:v>
                  </c:pt>
                  <c:pt idx="5">
                    <c:v>G- NPA</c:v>
                  </c:pt>
                  <c:pt idx="6">
                    <c:v>N-NPA</c:v>
                  </c:pt>
                  <c:pt idx="7">
                    <c:v>G- NPA</c:v>
                  </c:pt>
                  <c:pt idx="8">
                    <c:v>N-NPA</c:v>
                  </c:pt>
                  <c:pt idx="9">
                    <c:v>G- NPA</c:v>
                  </c:pt>
                  <c:pt idx="10">
                    <c:v>N-NPA</c:v>
                  </c:pt>
                  <c:pt idx="11">
                    <c:v>G- NPA</c:v>
                  </c:pt>
                  <c:pt idx="12">
                    <c:v>N-NPA</c:v>
                  </c:pt>
                  <c:pt idx="13">
                    <c:v>G- NPA</c:v>
                  </c:pt>
                  <c:pt idx="14">
                    <c:v>N-NPA</c:v>
                  </c:pt>
                  <c:pt idx="15">
                    <c:v>G- NPA</c:v>
                  </c:pt>
                  <c:pt idx="16">
                    <c:v>N-NPA</c:v>
                  </c:pt>
                  <c:pt idx="17">
                    <c:v>G- NPA</c:v>
                  </c:pt>
                  <c:pt idx="18">
                    <c:v>N-NPA</c:v>
                  </c:pt>
                  <c:pt idx="19">
                    <c:v>G- NPA</c:v>
                  </c:pt>
                </c:lvl>
                <c:lvl>
                  <c:pt idx="0">
                    <c:v>2015</c:v>
                  </c:pt>
                  <c:pt idx="2">
                    <c:v>2016</c:v>
                  </c:pt>
                  <c:pt idx="4">
                    <c:v>2017</c:v>
                  </c:pt>
                  <c:pt idx="6">
                    <c:v>2018</c:v>
                  </c:pt>
                  <c:pt idx="8">
                    <c:v>2019</c:v>
                  </c:pt>
                  <c:pt idx="10">
                    <c:v>2020</c:v>
                  </c:pt>
                  <c:pt idx="12">
                    <c:v>2021</c:v>
                  </c:pt>
                  <c:pt idx="14">
                    <c:v>2022</c:v>
                  </c:pt>
                  <c:pt idx="16">
                    <c:v>2023</c:v>
                  </c:pt>
                  <c:pt idx="18">
                    <c:v>2024</c:v>
                  </c:pt>
                </c:lvl>
              </c:multiLvlStrCache>
            </c:multiLvlStrRef>
          </c:cat>
          <c:val>
            <c:numRef>
              <c:f>'actifs non performants'!$B$7:$U$7</c:f>
              <c:numCache>
                <c:formatCode>#,##0</c:formatCode>
                <c:ptCount val="20"/>
                <c:pt idx="0">
                  <c:v>122673</c:v>
                </c:pt>
                <c:pt idx="1">
                  <c:v>204959</c:v>
                </c:pt>
                <c:pt idx="2">
                  <c:v>251480</c:v>
                </c:pt>
                <c:pt idx="3">
                  <c:v>417987</c:v>
                </c:pt>
                <c:pt idx="4">
                  <c:v>286156</c:v>
                </c:pt>
                <c:pt idx="5">
                  <c:v>506921</c:v>
                </c:pt>
                <c:pt idx="6">
                  <c:v>454472</c:v>
                </c:pt>
                <c:pt idx="7">
                  <c:v>895601</c:v>
                </c:pt>
                <c:pt idx="8">
                  <c:v>285122</c:v>
                </c:pt>
                <c:pt idx="9">
                  <c:v>739541</c:v>
                </c:pt>
                <c:pt idx="10">
                  <c:v>230917</c:v>
                </c:pt>
                <c:pt idx="11">
                  <c:v>678316</c:v>
                </c:pt>
                <c:pt idx="12">
                  <c:v>196450</c:v>
                </c:pt>
                <c:pt idx="13">
                  <c:v>616615</c:v>
                </c:pt>
                <c:pt idx="14">
                  <c:v>154745</c:v>
                </c:pt>
                <c:pt idx="15">
                  <c:v>542173</c:v>
                </c:pt>
                <c:pt idx="16">
                  <c:v>102531</c:v>
                </c:pt>
                <c:pt idx="17">
                  <c:v>428197</c:v>
                </c:pt>
                <c:pt idx="18">
                  <c:v>72543</c:v>
                </c:pt>
                <c:pt idx="19">
                  <c:v>339541</c:v>
                </c:pt>
              </c:numCache>
            </c:numRef>
          </c:val>
          <c:extLst>
            <c:ext xmlns:c16="http://schemas.microsoft.com/office/drawing/2014/chart" uri="{C3380CC4-5D6E-409C-BE32-E72D297353CC}">
              <c16:uniqueId val="{00000000-9091-4C82-AC44-3047F700A572}"/>
            </c:ext>
          </c:extLst>
        </c:ser>
        <c:ser>
          <c:idx val="1"/>
          <c:order val="1"/>
          <c:tx>
            <c:strRef>
              <c:f>'actifs non performants'!$A$8</c:f>
              <c:strCache>
                <c:ptCount val="1"/>
                <c:pt idx="0">
                  <c:v>Banques privées</c:v>
                </c:pt>
              </c:strCache>
            </c:strRef>
          </c:tx>
          <c:spPr>
            <a:solidFill>
              <a:schemeClr val="accent2"/>
            </a:solidFill>
            <a:ln>
              <a:solidFill>
                <a:schemeClr val="accent4">
                  <a:lumMod val="50000"/>
                </a:schemeClr>
              </a:solidFill>
            </a:ln>
            <a:effectLst/>
          </c:spPr>
          <c:invertIfNegative val="0"/>
          <c:cat>
            <c:multiLvlStrRef>
              <c:f>'actifs non performants'!$B$5:$U$6</c:f>
              <c:multiLvlStrCache>
                <c:ptCount val="20"/>
                <c:lvl>
                  <c:pt idx="0">
                    <c:v>N-NPA</c:v>
                  </c:pt>
                  <c:pt idx="1">
                    <c:v>G- NPA</c:v>
                  </c:pt>
                  <c:pt idx="2">
                    <c:v>N-NPA</c:v>
                  </c:pt>
                  <c:pt idx="3">
                    <c:v>G- NPA</c:v>
                  </c:pt>
                  <c:pt idx="4">
                    <c:v>N-NPA</c:v>
                  </c:pt>
                  <c:pt idx="5">
                    <c:v>G- NPA</c:v>
                  </c:pt>
                  <c:pt idx="6">
                    <c:v>N-NPA</c:v>
                  </c:pt>
                  <c:pt idx="7">
                    <c:v>G- NPA</c:v>
                  </c:pt>
                  <c:pt idx="8">
                    <c:v>N-NPA</c:v>
                  </c:pt>
                  <c:pt idx="9">
                    <c:v>G- NPA</c:v>
                  </c:pt>
                  <c:pt idx="10">
                    <c:v>N-NPA</c:v>
                  </c:pt>
                  <c:pt idx="11">
                    <c:v>G- NPA</c:v>
                  </c:pt>
                  <c:pt idx="12">
                    <c:v>N-NPA</c:v>
                  </c:pt>
                  <c:pt idx="13">
                    <c:v>G- NPA</c:v>
                  </c:pt>
                  <c:pt idx="14">
                    <c:v>N-NPA</c:v>
                  </c:pt>
                  <c:pt idx="15">
                    <c:v>G- NPA</c:v>
                  </c:pt>
                  <c:pt idx="16">
                    <c:v>N-NPA</c:v>
                  </c:pt>
                  <c:pt idx="17">
                    <c:v>G- NPA</c:v>
                  </c:pt>
                  <c:pt idx="18">
                    <c:v>N-NPA</c:v>
                  </c:pt>
                  <c:pt idx="19">
                    <c:v>G- NPA</c:v>
                  </c:pt>
                </c:lvl>
                <c:lvl>
                  <c:pt idx="0">
                    <c:v>2015</c:v>
                  </c:pt>
                  <c:pt idx="2">
                    <c:v>2016</c:v>
                  </c:pt>
                  <c:pt idx="4">
                    <c:v>2017</c:v>
                  </c:pt>
                  <c:pt idx="6">
                    <c:v>2018</c:v>
                  </c:pt>
                  <c:pt idx="8">
                    <c:v>2019</c:v>
                  </c:pt>
                  <c:pt idx="10">
                    <c:v>2020</c:v>
                  </c:pt>
                  <c:pt idx="12">
                    <c:v>2021</c:v>
                  </c:pt>
                  <c:pt idx="14">
                    <c:v>2022</c:v>
                  </c:pt>
                  <c:pt idx="16">
                    <c:v>2023</c:v>
                  </c:pt>
                  <c:pt idx="18">
                    <c:v>2024</c:v>
                  </c:pt>
                </c:lvl>
              </c:multiLvlStrCache>
            </c:multiLvlStrRef>
          </c:cat>
          <c:val>
            <c:numRef>
              <c:f>'actifs non performants'!$B$8:$U$8</c:f>
              <c:numCache>
                <c:formatCode>#,##0</c:formatCode>
                <c:ptCount val="20"/>
                <c:pt idx="0">
                  <c:v>14128</c:v>
                </c:pt>
                <c:pt idx="1">
                  <c:v>34106</c:v>
                </c:pt>
                <c:pt idx="2">
                  <c:v>26677</c:v>
                </c:pt>
                <c:pt idx="3">
                  <c:v>56185</c:v>
                </c:pt>
                <c:pt idx="4">
                  <c:v>47780</c:v>
                </c:pt>
                <c:pt idx="5">
                  <c:v>93209</c:v>
                </c:pt>
                <c:pt idx="6">
                  <c:v>64380</c:v>
                </c:pt>
                <c:pt idx="7">
                  <c:v>129335</c:v>
                </c:pt>
                <c:pt idx="8">
                  <c:v>67308</c:v>
                </c:pt>
                <c:pt idx="9">
                  <c:v>183603</c:v>
                </c:pt>
                <c:pt idx="10">
                  <c:v>55683</c:v>
                </c:pt>
                <c:pt idx="11">
                  <c:v>209568</c:v>
                </c:pt>
                <c:pt idx="12">
                  <c:v>55376</c:v>
                </c:pt>
                <c:pt idx="13">
                  <c:v>197507</c:v>
                </c:pt>
                <c:pt idx="14">
                  <c:v>43738</c:v>
                </c:pt>
                <c:pt idx="15">
                  <c:v>180769</c:v>
                </c:pt>
                <c:pt idx="16">
                  <c:v>29509</c:v>
                </c:pt>
                <c:pt idx="17">
                  <c:v>125214</c:v>
                </c:pt>
                <c:pt idx="18">
                  <c:v>31593</c:v>
                </c:pt>
                <c:pt idx="19">
                  <c:v>129163</c:v>
                </c:pt>
              </c:numCache>
            </c:numRef>
          </c:val>
          <c:extLst>
            <c:ext xmlns:c16="http://schemas.microsoft.com/office/drawing/2014/chart" uri="{C3380CC4-5D6E-409C-BE32-E72D297353CC}">
              <c16:uniqueId val="{00000001-9091-4C82-AC44-3047F700A572}"/>
            </c:ext>
          </c:extLst>
        </c:ser>
        <c:ser>
          <c:idx val="2"/>
          <c:order val="2"/>
          <c:tx>
            <c:strRef>
              <c:f>'actifs non performants'!$A$9</c:f>
              <c:strCache>
                <c:ptCount val="1"/>
                <c:pt idx="0">
                  <c:v>Banques étrangères</c:v>
                </c:pt>
              </c:strCache>
            </c:strRef>
          </c:tx>
          <c:spPr>
            <a:solidFill>
              <a:schemeClr val="accent3"/>
            </a:solidFill>
            <a:ln>
              <a:solidFill>
                <a:schemeClr val="accent4">
                  <a:lumMod val="50000"/>
                </a:schemeClr>
              </a:solidFill>
            </a:ln>
            <a:effectLst/>
          </c:spPr>
          <c:invertIfNegative val="0"/>
          <c:cat>
            <c:multiLvlStrRef>
              <c:f>'actifs non performants'!$B$5:$U$6</c:f>
              <c:multiLvlStrCache>
                <c:ptCount val="20"/>
                <c:lvl>
                  <c:pt idx="0">
                    <c:v>N-NPA</c:v>
                  </c:pt>
                  <c:pt idx="1">
                    <c:v>G- NPA</c:v>
                  </c:pt>
                  <c:pt idx="2">
                    <c:v>N-NPA</c:v>
                  </c:pt>
                  <c:pt idx="3">
                    <c:v>G- NPA</c:v>
                  </c:pt>
                  <c:pt idx="4">
                    <c:v>N-NPA</c:v>
                  </c:pt>
                  <c:pt idx="5">
                    <c:v>G- NPA</c:v>
                  </c:pt>
                  <c:pt idx="6">
                    <c:v>N-NPA</c:v>
                  </c:pt>
                  <c:pt idx="7">
                    <c:v>G- NPA</c:v>
                  </c:pt>
                  <c:pt idx="8">
                    <c:v>N-NPA</c:v>
                  </c:pt>
                  <c:pt idx="9">
                    <c:v>G- NPA</c:v>
                  </c:pt>
                  <c:pt idx="10">
                    <c:v>N-NPA</c:v>
                  </c:pt>
                  <c:pt idx="11">
                    <c:v>G- NPA</c:v>
                  </c:pt>
                  <c:pt idx="12">
                    <c:v>N-NPA</c:v>
                  </c:pt>
                  <c:pt idx="13">
                    <c:v>G- NPA</c:v>
                  </c:pt>
                  <c:pt idx="14">
                    <c:v>N-NPA</c:v>
                  </c:pt>
                  <c:pt idx="15">
                    <c:v>G- NPA</c:v>
                  </c:pt>
                  <c:pt idx="16">
                    <c:v>N-NPA</c:v>
                  </c:pt>
                  <c:pt idx="17">
                    <c:v>G- NPA</c:v>
                  </c:pt>
                  <c:pt idx="18">
                    <c:v>N-NPA</c:v>
                  </c:pt>
                  <c:pt idx="19">
                    <c:v>G- NPA</c:v>
                  </c:pt>
                </c:lvl>
                <c:lvl>
                  <c:pt idx="0">
                    <c:v>2015</c:v>
                  </c:pt>
                  <c:pt idx="2">
                    <c:v>2016</c:v>
                  </c:pt>
                  <c:pt idx="4">
                    <c:v>2017</c:v>
                  </c:pt>
                  <c:pt idx="6">
                    <c:v>2018</c:v>
                  </c:pt>
                  <c:pt idx="8">
                    <c:v>2019</c:v>
                  </c:pt>
                  <c:pt idx="10">
                    <c:v>2020</c:v>
                  </c:pt>
                  <c:pt idx="12">
                    <c:v>2021</c:v>
                  </c:pt>
                  <c:pt idx="14">
                    <c:v>2022</c:v>
                  </c:pt>
                  <c:pt idx="16">
                    <c:v>2023</c:v>
                  </c:pt>
                  <c:pt idx="18">
                    <c:v>2024</c:v>
                  </c:pt>
                </c:lvl>
              </c:multiLvlStrCache>
            </c:multiLvlStrRef>
          </c:cat>
          <c:val>
            <c:numRef>
              <c:f>'actifs non performants'!$B$9:$U$9</c:f>
              <c:numCache>
                <c:formatCode>#,##0</c:formatCode>
                <c:ptCount val="20"/>
                <c:pt idx="0">
                  <c:v>1761</c:v>
                </c:pt>
                <c:pt idx="1">
                  <c:v>10761</c:v>
                </c:pt>
                <c:pt idx="2">
                  <c:v>2761</c:v>
                </c:pt>
                <c:pt idx="3">
                  <c:v>15805</c:v>
                </c:pt>
                <c:pt idx="4">
                  <c:v>2136</c:v>
                </c:pt>
                <c:pt idx="5">
                  <c:v>13629</c:v>
                </c:pt>
                <c:pt idx="6">
                  <c:v>1548</c:v>
                </c:pt>
                <c:pt idx="7">
                  <c:v>13849</c:v>
                </c:pt>
                <c:pt idx="8">
                  <c:v>2051</c:v>
                </c:pt>
                <c:pt idx="9">
                  <c:v>12242</c:v>
                </c:pt>
                <c:pt idx="10">
                  <c:v>2004</c:v>
                </c:pt>
                <c:pt idx="11">
                  <c:v>10208</c:v>
                </c:pt>
                <c:pt idx="12">
                  <c:v>3241</c:v>
                </c:pt>
                <c:pt idx="13">
                  <c:v>15044</c:v>
                </c:pt>
                <c:pt idx="14">
                  <c:v>3022</c:v>
                </c:pt>
                <c:pt idx="15">
                  <c:v>13786</c:v>
                </c:pt>
                <c:pt idx="16">
                  <c:v>1655</c:v>
                </c:pt>
                <c:pt idx="17">
                  <c:v>9526</c:v>
                </c:pt>
                <c:pt idx="18" formatCode="General">
                  <c:v>788</c:v>
                </c:pt>
                <c:pt idx="19">
                  <c:v>6523</c:v>
                </c:pt>
              </c:numCache>
            </c:numRef>
          </c:val>
          <c:extLst>
            <c:ext xmlns:c16="http://schemas.microsoft.com/office/drawing/2014/chart" uri="{C3380CC4-5D6E-409C-BE32-E72D297353CC}">
              <c16:uniqueId val="{00000002-9091-4C82-AC44-3047F700A572}"/>
            </c:ext>
          </c:extLst>
        </c:ser>
        <c:ser>
          <c:idx val="3"/>
          <c:order val="3"/>
          <c:tx>
            <c:strRef>
              <c:f>'actifs non performants'!$A$10</c:f>
              <c:strCache>
                <c:ptCount val="1"/>
                <c:pt idx="0">
                  <c:v>Small Finance Banks </c:v>
                </c:pt>
              </c:strCache>
            </c:strRef>
          </c:tx>
          <c:spPr>
            <a:solidFill>
              <a:schemeClr val="accent4"/>
            </a:solidFill>
            <a:ln>
              <a:solidFill>
                <a:schemeClr val="accent4">
                  <a:lumMod val="50000"/>
                </a:schemeClr>
              </a:solidFill>
            </a:ln>
            <a:effectLst/>
          </c:spPr>
          <c:invertIfNegative val="0"/>
          <c:cat>
            <c:multiLvlStrRef>
              <c:f>'actifs non performants'!$B$5:$U$6</c:f>
              <c:multiLvlStrCache>
                <c:ptCount val="20"/>
                <c:lvl>
                  <c:pt idx="0">
                    <c:v>N-NPA</c:v>
                  </c:pt>
                  <c:pt idx="1">
                    <c:v>G- NPA</c:v>
                  </c:pt>
                  <c:pt idx="2">
                    <c:v>N-NPA</c:v>
                  </c:pt>
                  <c:pt idx="3">
                    <c:v>G- NPA</c:v>
                  </c:pt>
                  <c:pt idx="4">
                    <c:v>N-NPA</c:v>
                  </c:pt>
                  <c:pt idx="5">
                    <c:v>G- NPA</c:v>
                  </c:pt>
                  <c:pt idx="6">
                    <c:v>N-NPA</c:v>
                  </c:pt>
                  <c:pt idx="7">
                    <c:v>G- NPA</c:v>
                  </c:pt>
                  <c:pt idx="8">
                    <c:v>N-NPA</c:v>
                  </c:pt>
                  <c:pt idx="9">
                    <c:v>G- NPA</c:v>
                  </c:pt>
                  <c:pt idx="10">
                    <c:v>N-NPA</c:v>
                  </c:pt>
                  <c:pt idx="11">
                    <c:v>G- NPA</c:v>
                  </c:pt>
                  <c:pt idx="12">
                    <c:v>N-NPA</c:v>
                  </c:pt>
                  <c:pt idx="13">
                    <c:v>G- NPA</c:v>
                  </c:pt>
                  <c:pt idx="14">
                    <c:v>N-NPA</c:v>
                  </c:pt>
                  <c:pt idx="15">
                    <c:v>G- NPA</c:v>
                  </c:pt>
                  <c:pt idx="16">
                    <c:v>N-NPA</c:v>
                  </c:pt>
                  <c:pt idx="17">
                    <c:v>G- NPA</c:v>
                  </c:pt>
                  <c:pt idx="18">
                    <c:v>N-NPA</c:v>
                  </c:pt>
                  <c:pt idx="19">
                    <c:v>G- NPA</c:v>
                  </c:pt>
                </c:lvl>
                <c:lvl>
                  <c:pt idx="0">
                    <c:v>2015</c:v>
                  </c:pt>
                  <c:pt idx="2">
                    <c:v>2016</c:v>
                  </c:pt>
                  <c:pt idx="4">
                    <c:v>2017</c:v>
                  </c:pt>
                  <c:pt idx="6">
                    <c:v>2018</c:v>
                  </c:pt>
                  <c:pt idx="8">
                    <c:v>2019</c:v>
                  </c:pt>
                  <c:pt idx="10">
                    <c:v>2020</c:v>
                  </c:pt>
                  <c:pt idx="12">
                    <c:v>2021</c:v>
                  </c:pt>
                  <c:pt idx="14">
                    <c:v>2022</c:v>
                  </c:pt>
                  <c:pt idx="16">
                    <c:v>2023</c:v>
                  </c:pt>
                  <c:pt idx="18">
                    <c:v>2024</c:v>
                  </c:pt>
                </c:lvl>
              </c:multiLvlStrCache>
            </c:multiLvlStrRef>
          </c:cat>
          <c:val>
            <c:numRef>
              <c:f>'actifs non performants'!$B$10:$U$10</c:f>
              <c:numCache>
                <c:formatCode>General</c:formatCode>
                <c:ptCount val="20"/>
                <c:pt idx="0">
                  <c:v>0</c:v>
                </c:pt>
                <c:pt idx="1">
                  <c:v>0</c:v>
                </c:pt>
                <c:pt idx="2">
                  <c:v>0</c:v>
                </c:pt>
                <c:pt idx="3">
                  <c:v>0</c:v>
                </c:pt>
                <c:pt idx="4">
                  <c:v>0</c:v>
                </c:pt>
                <c:pt idx="5">
                  <c:v>0</c:v>
                </c:pt>
                <c:pt idx="6">
                  <c:v>436</c:v>
                </c:pt>
                <c:pt idx="7">
                  <c:v>893</c:v>
                </c:pt>
                <c:pt idx="8">
                  <c:v>585</c:v>
                </c:pt>
                <c:pt idx="9" formatCode="#,##0">
                  <c:v>1086</c:v>
                </c:pt>
                <c:pt idx="10">
                  <c:v>764</c:v>
                </c:pt>
                <c:pt idx="11" formatCode="#,##0">
                  <c:v>1709</c:v>
                </c:pt>
                <c:pt idx="12" formatCode="#,##0">
                  <c:v>2981</c:v>
                </c:pt>
                <c:pt idx="13" formatCode="#,##0">
                  <c:v>5970</c:v>
                </c:pt>
                <c:pt idx="14" formatCode="#,##0">
                  <c:v>2724</c:v>
                </c:pt>
                <c:pt idx="15" formatCode="#,##0">
                  <c:v>6910</c:v>
                </c:pt>
                <c:pt idx="16" formatCode="#,##0">
                  <c:v>1622</c:v>
                </c:pt>
                <c:pt idx="17" formatCode="#,##0">
                  <c:v>8608</c:v>
                </c:pt>
                <c:pt idx="18" formatCode="#,##0">
                  <c:v>1795</c:v>
                </c:pt>
                <c:pt idx="19" formatCode="#,##0">
                  <c:v>5590</c:v>
                </c:pt>
              </c:numCache>
            </c:numRef>
          </c:val>
          <c:extLst>
            <c:ext xmlns:c16="http://schemas.microsoft.com/office/drawing/2014/chart" uri="{C3380CC4-5D6E-409C-BE32-E72D297353CC}">
              <c16:uniqueId val="{00000003-9091-4C82-AC44-3047F700A572}"/>
            </c:ext>
          </c:extLst>
        </c:ser>
        <c:dLbls>
          <c:showLegendKey val="0"/>
          <c:showVal val="0"/>
          <c:showCatName val="0"/>
          <c:showSerName val="0"/>
          <c:showPercent val="0"/>
          <c:showBubbleSize val="0"/>
        </c:dLbls>
        <c:gapWidth val="219"/>
        <c:overlap val="-27"/>
        <c:axId val="1741363167"/>
        <c:axId val="1735328143"/>
      </c:barChart>
      <c:catAx>
        <c:axId val="1741363167"/>
        <c:scaling>
          <c:orientation val="minMax"/>
        </c:scaling>
        <c:delete val="0"/>
        <c:axPos val="b"/>
        <c:numFmt formatCode="General" sourceLinked="1"/>
        <c:majorTickMark val="none"/>
        <c:minorTickMark val="none"/>
        <c:tickLblPos val="nextTo"/>
        <c:spPr>
          <a:noFill/>
          <a:ln w="9525" cap="flat" cmpd="sng" algn="ctr">
            <a:solidFill>
              <a:schemeClr val="tx1">
                <a:lumMod val="20000"/>
                <a:lumOff val="80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0000"/>
                    <a:lumOff val="40000"/>
                  </a:schemeClr>
                </a:solidFill>
                <a:latin typeface="+mn-lt"/>
                <a:ea typeface="+mn-ea"/>
                <a:cs typeface="+mn-cs"/>
              </a:defRPr>
            </a:pPr>
            <a:endParaRPr lang="fr-FR"/>
          </a:p>
        </c:txPr>
        <c:crossAx val="1735328143"/>
        <c:crosses val="autoZero"/>
        <c:auto val="1"/>
        <c:lblAlgn val="ctr"/>
        <c:lblOffset val="100"/>
        <c:noMultiLvlLbl val="0"/>
      </c:catAx>
      <c:valAx>
        <c:axId val="1735328143"/>
        <c:scaling>
          <c:orientation val="minMax"/>
        </c:scaling>
        <c:delete val="0"/>
        <c:axPos val="l"/>
        <c:majorGridlines>
          <c:spPr>
            <a:ln w="9525" cap="flat" cmpd="sng" algn="ctr">
              <a:solidFill>
                <a:schemeClr val="tx2">
                  <a:lumMod val="20000"/>
                  <a:lumOff val="80000"/>
                  <a:alpha val="6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0000"/>
                    <a:lumOff val="40000"/>
                  </a:schemeClr>
                </a:solidFill>
                <a:latin typeface="+mn-lt"/>
                <a:ea typeface="+mn-ea"/>
                <a:cs typeface="+mn-cs"/>
              </a:defRPr>
            </a:pPr>
            <a:endParaRPr lang="fr-FR"/>
          </a:p>
        </c:txPr>
        <c:crossAx val="1741363167"/>
        <c:crosses val="autoZero"/>
        <c:crossBetween val="between"/>
      </c:valAx>
      <c:spPr>
        <a:noFill/>
        <a:ln>
          <a:noFill/>
        </a:ln>
        <a:effectLst/>
      </c:spPr>
    </c:plotArea>
    <c:legend>
      <c:legendPos val="tr"/>
      <c:layout>
        <c:manualLayout>
          <c:xMode val="edge"/>
          <c:yMode val="edge"/>
          <c:x val="0.77331042604049494"/>
          <c:y val="3.0843596473517729E-2"/>
          <c:w val="0.20855792513407351"/>
          <c:h val="0.32608923884514435"/>
        </c:manualLayout>
      </c:layout>
      <c:overlay val="0"/>
      <c:spPr>
        <a:noFill/>
        <a:ln>
          <a:solidFill>
            <a:schemeClr val="accent4">
              <a:lumMod val="5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2.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1836</Words>
  <Characters>10102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MANGIN Florent</cp:lastModifiedBy>
  <cp:revision>2</cp:revision>
  <dcterms:created xsi:type="dcterms:W3CDTF">2025-12-08T09:05:00Z</dcterms:created>
  <dcterms:modified xsi:type="dcterms:W3CDTF">2025-12-08T09:05:00Z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