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1A24" w14:textId="77777777" w:rsidR="00B27668" w:rsidRDefault="00B27668"/>
    <w:tbl>
      <w:tblPr>
        <w:tblStyle w:val="Grilledutableau"/>
        <w:tblW w:w="10553" w:type="dxa"/>
        <w:tblLook w:val="04A0" w:firstRow="1" w:lastRow="0" w:firstColumn="1" w:lastColumn="0" w:noHBand="0" w:noVBand="1"/>
      </w:tblPr>
      <w:tblGrid>
        <w:gridCol w:w="5954"/>
        <w:gridCol w:w="4599"/>
      </w:tblGrid>
      <w:tr w:rsidR="00A94D89" w14:paraId="25CE165A" w14:textId="77777777" w:rsidTr="00B20A65">
        <w:trPr>
          <w:trHeight w:val="142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B95F897" w14:textId="22FD0E17" w:rsidR="00A94D89" w:rsidRPr="00E25694" w:rsidRDefault="00A94D89" w:rsidP="00221CF6">
            <w:pPr>
              <w:tabs>
                <w:tab w:val="left" w:pos="3969"/>
              </w:tabs>
              <w:jc w:val="both"/>
              <w:rPr>
                <w:rFonts w:ascii="Segoe UI" w:eastAsia="SimSun" w:hAnsi="Segoe UI" w:cs="Segoe UI"/>
                <w:bCs/>
                <w:color w:val="000000" w:themeColor="text1"/>
                <w:sz w:val="16"/>
                <w:szCs w:val="16"/>
                <w:lang w:eastAsia="ja-JP"/>
              </w:rPr>
            </w:pPr>
            <w:r w:rsidRPr="00FE7EDE">
              <w:rPr>
                <w:rFonts w:ascii="Segoe UI" w:eastAsia="SimSun" w:hAnsi="Segoe UI" w:cs="Segoe UI"/>
                <w:bCs/>
                <w:color w:val="000000" w:themeColor="text1"/>
                <w:sz w:val="16"/>
                <w:szCs w:val="16"/>
                <w:lang w:eastAsia="ja-JP"/>
              </w:rPr>
              <w:t>2023-</w:t>
            </w:r>
            <w:r w:rsidR="00F02CA1">
              <w:rPr>
                <w:rFonts w:ascii="Segoe UI" w:eastAsia="SimSun" w:hAnsi="Segoe UI" w:cs="Segoe UI"/>
                <w:bCs/>
                <w:color w:val="000000" w:themeColor="text1"/>
                <w:sz w:val="16"/>
                <w:szCs w:val="16"/>
                <w:lang w:eastAsia="ja-JP"/>
              </w:rPr>
              <w:t>7</w:t>
            </w:r>
            <w:r w:rsidR="003C0E0B">
              <w:rPr>
                <w:rFonts w:ascii="Segoe UI" w:eastAsia="SimSun" w:hAnsi="Segoe UI" w:cs="Segoe UI"/>
                <w:bCs/>
                <w:color w:val="000000" w:themeColor="text1"/>
                <w:sz w:val="16"/>
                <w:szCs w:val="16"/>
                <w:lang w:eastAsia="ja-JP"/>
              </w:rPr>
              <w:t>3</w:t>
            </w:r>
          </w:p>
          <w:p w14:paraId="036E8EA7" w14:textId="77777777" w:rsidR="00A94D89" w:rsidRDefault="00A94D89" w:rsidP="00221CF6">
            <w:pPr>
              <w:tabs>
                <w:tab w:val="left" w:pos="2565"/>
              </w:tabs>
              <w:jc w:val="both"/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</w:pPr>
            <w:r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ab/>
            </w:r>
          </w:p>
          <w:p w14:paraId="43634F52" w14:textId="77777777" w:rsidR="00A94D89" w:rsidRDefault="00A94D89" w:rsidP="00221CF6">
            <w:pPr>
              <w:tabs>
                <w:tab w:val="left" w:pos="3969"/>
              </w:tabs>
              <w:jc w:val="both"/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</w:pPr>
            <w:r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>Ambassade de France en Norvège</w:t>
            </w:r>
          </w:p>
          <w:p w14:paraId="53E6CE89" w14:textId="77777777" w:rsidR="00A94D89" w:rsidRDefault="00A94D89" w:rsidP="00221CF6">
            <w:pPr>
              <w:tabs>
                <w:tab w:val="left" w:pos="3969"/>
              </w:tabs>
              <w:jc w:val="both"/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</w:pPr>
            <w:r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>Service économique d’Oslo</w:t>
            </w:r>
          </w:p>
          <w:p w14:paraId="588E3E20" w14:textId="77777777" w:rsidR="00A94D89" w:rsidRPr="00D3318F" w:rsidRDefault="00A94D89" w:rsidP="00221CF6">
            <w:pPr>
              <w:tabs>
                <w:tab w:val="left" w:pos="3969"/>
              </w:tabs>
              <w:jc w:val="both"/>
              <w:rPr>
                <w:rFonts w:ascii="Segoe UI" w:hAnsi="Segoe UI" w:cs="Segoe UI"/>
                <w:sz w:val="1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63F24217" w14:textId="77777777" w:rsidR="00A94D89" w:rsidRDefault="00A94D89" w:rsidP="00221CF6">
            <w:pPr>
              <w:tabs>
                <w:tab w:val="left" w:pos="3969"/>
              </w:tabs>
              <w:jc w:val="right"/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</w:pPr>
          </w:p>
          <w:p w14:paraId="4CA4BD70" w14:textId="77777777" w:rsidR="00A94D89" w:rsidRDefault="00A94D89" w:rsidP="00221CF6">
            <w:pPr>
              <w:tabs>
                <w:tab w:val="left" w:pos="3969"/>
              </w:tabs>
              <w:jc w:val="right"/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</w:pPr>
          </w:p>
          <w:p w14:paraId="670443A8" w14:textId="4D911A75" w:rsidR="00A94D89" w:rsidRDefault="00A94D89" w:rsidP="00B27668">
            <w:pPr>
              <w:tabs>
                <w:tab w:val="center" w:pos="1784"/>
                <w:tab w:val="right" w:pos="3569"/>
                <w:tab w:val="left" w:pos="3969"/>
              </w:tabs>
              <w:jc w:val="right"/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</w:pPr>
            <w:r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          </w:t>
            </w:r>
            <w:r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ab/>
            </w:r>
            <w:r w:rsidRPr="00FE7EDE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Oslo, le</w:t>
            </w:r>
            <w:r w:rsidR="00F76685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</w:t>
            </w:r>
            <w:r w:rsidR="00F02CA1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2</w:t>
            </w:r>
            <w:r w:rsidR="003C0E0B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9</w:t>
            </w:r>
            <w:r w:rsidR="00471A7E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septembre </w:t>
            </w:r>
            <w:r w:rsidRPr="00FE7EDE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2023</w:t>
            </w:r>
          </w:p>
          <w:p w14:paraId="29A4794C" w14:textId="0F2C8B7A" w:rsidR="00A94D89" w:rsidRDefault="00A94D89" w:rsidP="00FE7EDE">
            <w:pPr>
              <w:tabs>
                <w:tab w:val="left" w:pos="3969"/>
              </w:tabs>
              <w:jc w:val="right"/>
              <w:rPr>
                <w:rFonts w:ascii="Segoe UI" w:hAnsi="Segoe UI" w:cs="Segoe UI"/>
              </w:rPr>
            </w:pPr>
            <w:r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Affaire suivie par : </w:t>
            </w:r>
            <w:r w:rsidR="00B20A65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F</w:t>
            </w:r>
            <w:r w:rsidR="002238B7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.</w:t>
            </w:r>
            <w:r w:rsidR="00B20A65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</w:t>
            </w:r>
            <w:proofErr w:type="spellStart"/>
            <w:r w:rsidR="00B20A65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Choblet</w:t>
            </w:r>
            <w:proofErr w:type="spellEnd"/>
            <w:r w:rsidR="002238B7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, A. Moulin</w:t>
            </w:r>
          </w:p>
        </w:tc>
      </w:tr>
    </w:tbl>
    <w:p w14:paraId="226E08F8" w14:textId="20F592B3" w:rsidR="00F02CA1" w:rsidRDefault="003C0E0B" w:rsidP="00F02CA1">
      <w:pPr>
        <w:spacing w:after="120" w:line="240" w:lineRule="auto"/>
        <w:jc w:val="center"/>
        <w:rPr>
          <w:rFonts w:ascii="Segoe UI" w:hAnsi="Segoe UI" w:cs="Segoe UI"/>
          <w:color w:val="0070C0"/>
          <w:sz w:val="28"/>
          <w:szCs w:val="28"/>
        </w:rPr>
      </w:pPr>
      <w:r>
        <w:rPr>
          <w:rFonts w:ascii="Segoe UI" w:hAnsi="Segoe UI" w:cs="Segoe UI"/>
          <w:color w:val="0070C0"/>
          <w:sz w:val="28"/>
          <w:szCs w:val="28"/>
        </w:rPr>
        <w:t>La Norvège : leader mondial sur les véhicules électriques</w:t>
      </w:r>
    </w:p>
    <w:p w14:paraId="2A22A9A1" w14:textId="67352E00" w:rsidR="00425951" w:rsidRPr="00914864" w:rsidRDefault="007D43A8" w:rsidP="00914864">
      <w:pPr>
        <w:spacing w:after="0" w:line="240" w:lineRule="auto"/>
        <w:jc w:val="both"/>
        <w:rPr>
          <w:rFonts w:ascii="Segoe UI" w:hAnsi="Segoe UI" w:cs="Segoe UI"/>
          <w:i/>
          <w:iCs/>
          <w:color w:val="0070C0"/>
        </w:rPr>
      </w:pPr>
      <w:r w:rsidRPr="001F560C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7A601D" wp14:editId="26CE8306">
                <wp:simplePos x="0" y="0"/>
                <wp:positionH relativeFrom="column">
                  <wp:posOffset>0</wp:posOffset>
                </wp:positionH>
                <wp:positionV relativeFrom="paragraph">
                  <wp:posOffset>1921814</wp:posOffset>
                </wp:positionV>
                <wp:extent cx="6619875" cy="427355"/>
                <wp:effectExtent l="0" t="0" r="9525" b="0"/>
                <wp:wrapTight wrapText="bothSides">
                  <wp:wrapPolygon edited="0">
                    <wp:start x="0" y="0"/>
                    <wp:lineTo x="0" y="20708"/>
                    <wp:lineTo x="21569" y="20708"/>
                    <wp:lineTo x="21569" y="0"/>
                    <wp:lineTo x="0" y="0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27355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7BBAA" w14:textId="5E7DB01E" w:rsidR="003C0E0B" w:rsidRPr="00FC41E8" w:rsidRDefault="00BF7D86" w:rsidP="003C0E0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1077"/>
                              <w:jc w:val="both"/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  <w:t>La part</w:t>
                            </w:r>
                            <w:r w:rsidR="003C0E0B"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  <w:t>substantielle</w:t>
                            </w:r>
                            <w:r w:rsidR="003C0E0B"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l’électrique dans le parc automobile norvégien</w:t>
                            </w:r>
                            <w:r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  <w:t> :</w:t>
                            </w:r>
                            <w:r w:rsidR="003C0E0B"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état des lieux d’une réussite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601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51.3pt;width:521.25pt;height:33.6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" fillcolor="#006ce5" stroked="f">
                <v:textbox>
                  <w:txbxContent>
                    <w:p w14:paraId="2417BBAA" w14:textId="5E7DB01E" w:rsidR="003C0E0B" w:rsidRPr="00FC41E8" w:rsidRDefault="00BF7D86" w:rsidP="003C0E0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exact"/>
                        <w:ind w:left="1077"/>
                        <w:jc w:val="both"/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  <w:t>La part</w:t>
                      </w:r>
                      <w:r w:rsidR="003C0E0B"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  <w:t>substantielle</w:t>
                      </w:r>
                      <w:r w:rsidR="003C0E0B"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  <w:t xml:space="preserve"> de l’électrique dans le parc automobile norvégien</w:t>
                      </w:r>
                      <w:r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  <w:t> :</w:t>
                      </w:r>
                      <w:r w:rsidR="003C0E0B"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  <w:t xml:space="preserve"> état des lieux d’une réussite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C0E0B" w:rsidRPr="003C0E0B">
        <w:rPr>
          <w:rFonts w:ascii="Segoe UI" w:hAnsi="Segoe UI" w:cs="Segoe UI"/>
          <w:i/>
          <w:iCs/>
          <w:color w:val="0070C0"/>
        </w:rPr>
        <w:t xml:space="preserve">En 2023, </w:t>
      </w:r>
      <w:r>
        <w:rPr>
          <w:rFonts w:ascii="Segoe UI" w:hAnsi="Segoe UI" w:cs="Segoe UI"/>
          <w:i/>
          <w:iCs/>
          <w:color w:val="0070C0"/>
        </w:rPr>
        <w:t>la Norvège</w:t>
      </w:r>
      <w:r w:rsidR="003C0E0B" w:rsidRPr="003C0E0B">
        <w:rPr>
          <w:rFonts w:ascii="Segoe UI" w:hAnsi="Segoe UI" w:cs="Segoe UI"/>
          <w:i/>
          <w:iCs/>
          <w:color w:val="0070C0"/>
        </w:rPr>
        <w:t xml:space="preserve"> comptait 83% de véhicules électriques dans les ventes de véhicules neufs, et près de 40% de véhicules bas-carbone (électrique, hybride et hybride rechargeable) dans le parc automobile global. Cette évolution est liée à la prise de mesures publiques visant à favoriser la transition vers la mobilité électrique. En 2021, le gouvernement norvégien a ainsi établi une stratégie de développement des véhicules électriques dont le but est d’atteindre le Net-zéro dans les émissions des véhicules pour 2030 (2025 pour les véhicules légers).</w:t>
      </w:r>
      <w:r w:rsidR="00914864">
        <w:rPr>
          <w:rFonts w:ascii="Segoe UI" w:hAnsi="Segoe UI" w:cs="Segoe UI"/>
          <w:i/>
          <w:iCs/>
          <w:color w:val="0070C0"/>
        </w:rPr>
        <w:t xml:space="preserve"> </w:t>
      </w:r>
      <w:r>
        <w:rPr>
          <w:rFonts w:ascii="Segoe UI" w:hAnsi="Segoe UI" w:cs="Segoe UI"/>
          <w:i/>
          <w:iCs/>
          <w:color w:val="0070C0"/>
        </w:rPr>
        <w:t>Pour cela, le</w:t>
      </w:r>
      <w:r w:rsidR="003C0E0B" w:rsidRPr="003C0E0B">
        <w:rPr>
          <w:rFonts w:ascii="Segoe UI" w:hAnsi="Segoe UI" w:cs="Segoe UI"/>
          <w:i/>
          <w:iCs/>
          <w:color w:val="0070C0"/>
        </w:rPr>
        <w:t xml:space="preserve"> gouvernement norvégien </w:t>
      </w:r>
      <w:r>
        <w:rPr>
          <w:rFonts w:ascii="Segoe UI" w:hAnsi="Segoe UI" w:cs="Segoe UI"/>
          <w:i/>
          <w:iCs/>
          <w:color w:val="0070C0"/>
        </w:rPr>
        <w:t>a mis en place</w:t>
      </w:r>
      <w:r w:rsidR="003C0E0B" w:rsidRPr="003C0E0B">
        <w:rPr>
          <w:rFonts w:ascii="Segoe UI" w:hAnsi="Segoe UI" w:cs="Segoe UI"/>
          <w:i/>
          <w:iCs/>
          <w:color w:val="0070C0"/>
        </w:rPr>
        <w:t xml:space="preserve"> système d’incitations fiscales </w:t>
      </w:r>
      <w:r>
        <w:rPr>
          <w:rFonts w:ascii="Segoe UI" w:hAnsi="Segoe UI" w:cs="Segoe UI"/>
          <w:i/>
          <w:iCs/>
          <w:color w:val="0070C0"/>
        </w:rPr>
        <w:t>(</w:t>
      </w:r>
      <w:r w:rsidR="003C0E0B" w:rsidRPr="003C0E0B">
        <w:rPr>
          <w:rFonts w:ascii="Segoe UI" w:hAnsi="Segoe UI" w:cs="Segoe UI"/>
          <w:i/>
          <w:iCs/>
          <w:color w:val="0070C0"/>
        </w:rPr>
        <w:t>réductions de taxes</w:t>
      </w:r>
      <w:r>
        <w:rPr>
          <w:rFonts w:ascii="Segoe UI" w:hAnsi="Segoe UI" w:cs="Segoe UI"/>
          <w:i/>
          <w:iCs/>
          <w:color w:val="0070C0"/>
        </w:rPr>
        <w:t xml:space="preserve"> </w:t>
      </w:r>
      <w:r w:rsidR="003C0E0B" w:rsidRPr="003C0E0B">
        <w:rPr>
          <w:rFonts w:ascii="Segoe UI" w:hAnsi="Segoe UI" w:cs="Segoe UI"/>
          <w:i/>
          <w:iCs/>
          <w:color w:val="0070C0"/>
        </w:rPr>
        <w:t>et frais divers</w:t>
      </w:r>
      <w:r>
        <w:rPr>
          <w:rFonts w:ascii="Segoe UI" w:hAnsi="Segoe UI" w:cs="Segoe UI"/>
          <w:i/>
          <w:iCs/>
          <w:color w:val="0070C0"/>
        </w:rPr>
        <w:t>, exemption de TVA</w:t>
      </w:r>
      <w:r w:rsidR="003C0E0B" w:rsidRPr="003C0E0B">
        <w:rPr>
          <w:rFonts w:ascii="Segoe UI" w:hAnsi="Segoe UI" w:cs="Segoe UI"/>
          <w:i/>
          <w:iCs/>
          <w:color w:val="0070C0"/>
        </w:rPr>
        <w:t>). Parallèlement, des plans de subventions publiques ont visé à accélérer l’implantation de bornes de recharge électrique.</w:t>
      </w:r>
      <w:r w:rsidR="00914864">
        <w:rPr>
          <w:rFonts w:ascii="Segoe UI" w:hAnsi="Segoe UI" w:cs="Segoe UI"/>
          <w:i/>
          <w:iCs/>
          <w:color w:val="0070C0"/>
        </w:rPr>
        <w:t xml:space="preserve"> </w:t>
      </w:r>
      <w:r w:rsidR="003C0E0B" w:rsidRPr="003C0E0B">
        <w:rPr>
          <w:rFonts w:ascii="Segoe UI" w:hAnsi="Segoe UI" w:cs="Segoe UI"/>
          <w:i/>
          <w:iCs/>
          <w:color w:val="0070C0"/>
        </w:rPr>
        <w:t>Arrivée dès 2022 à des résultats satisfaisants dans sa transition vers la mobilité électrique, la Norvège entreprend désormais l’assouplissement de ses politiques d’incitation</w:t>
      </w:r>
      <w:r>
        <w:rPr>
          <w:rFonts w:ascii="Segoe UI" w:hAnsi="Segoe UI" w:cs="Segoe UI"/>
          <w:i/>
          <w:iCs/>
          <w:color w:val="0070C0"/>
        </w:rPr>
        <w:t xml:space="preserve"> et réhausse peu à peu la taxation des</w:t>
      </w:r>
      <w:r w:rsidR="003C0E0B" w:rsidRPr="003C0E0B">
        <w:rPr>
          <w:rFonts w:ascii="Segoe UI" w:hAnsi="Segoe UI" w:cs="Segoe UI"/>
          <w:i/>
          <w:iCs/>
          <w:color w:val="0070C0"/>
        </w:rPr>
        <w:t xml:space="preserve"> véhicules électriques</w:t>
      </w:r>
      <w:r>
        <w:rPr>
          <w:rFonts w:ascii="Segoe UI" w:hAnsi="Segoe UI" w:cs="Segoe UI"/>
          <w:i/>
          <w:iCs/>
          <w:color w:val="0070C0"/>
        </w:rPr>
        <w:t>.</w:t>
      </w:r>
    </w:p>
    <w:p w14:paraId="02522E98" w14:textId="35610CCF" w:rsidR="003C0E0B" w:rsidRPr="003C0E0B" w:rsidRDefault="003C0E0B" w:rsidP="003C0E0B">
      <w:pPr>
        <w:spacing w:after="120"/>
        <w:jc w:val="both"/>
        <w:rPr>
          <w:rFonts w:ascii="Segoe UI" w:hAnsi="Segoe UI" w:cs="Segoe UI"/>
        </w:rPr>
      </w:pPr>
      <w:r w:rsidRPr="003C0E0B">
        <w:rPr>
          <w:rFonts w:ascii="Segoe UI" w:hAnsi="Segoe UI" w:cs="Segoe UI"/>
          <w:b/>
          <w:bCs/>
        </w:rPr>
        <w:t>Au premier semestre 2023, les voitures électriques représentaient 82,9% des véhicules particuliers vendus en Norvège</w:t>
      </w:r>
      <w:r w:rsidRPr="003C0E0B">
        <w:rPr>
          <w:rFonts w:ascii="Segoe UI" w:hAnsi="Segoe UI" w:cs="Segoe UI"/>
        </w:rPr>
        <w:t>, un chiffre en légère hausse depuis 2022 (79%). La part de l’électrique dans le total des ventes de voitures neuves a quadruplé depuis 2017.</w:t>
      </w:r>
    </w:p>
    <w:p w14:paraId="25D21FFD" w14:textId="2017A690" w:rsidR="003C0E0B" w:rsidRPr="003C0E0B" w:rsidRDefault="00914864" w:rsidP="003C0E0B">
      <w:pPr>
        <w:spacing w:after="120"/>
        <w:jc w:val="both"/>
        <w:rPr>
          <w:rFonts w:ascii="Segoe UI" w:hAnsi="Segoe UI" w:cs="Segoe UI"/>
        </w:rPr>
      </w:pPr>
      <w:r w:rsidRPr="003C0E0B">
        <w:rPr>
          <w:rFonts w:ascii="Marianne" w:hAnsi="Marianne"/>
          <w:noProof/>
        </w:rPr>
        <w:drawing>
          <wp:anchor distT="0" distB="0" distL="114300" distR="114300" simplePos="0" relativeHeight="251662336" behindDoc="1" locked="0" layoutInCell="1" allowOverlap="1" wp14:anchorId="6D2CB6BE" wp14:editId="5E4F6C9A">
            <wp:simplePos x="0" y="0"/>
            <wp:positionH relativeFrom="margin">
              <wp:posOffset>3518535</wp:posOffset>
            </wp:positionH>
            <wp:positionV relativeFrom="paragraph">
              <wp:posOffset>954184</wp:posOffset>
            </wp:positionV>
            <wp:extent cx="2369185" cy="2057400"/>
            <wp:effectExtent l="0" t="0" r="0" b="0"/>
            <wp:wrapTight wrapText="bothSides">
              <wp:wrapPolygon edited="0">
                <wp:start x="0" y="0"/>
                <wp:lineTo x="0" y="21400"/>
                <wp:lineTo x="21363" y="21400"/>
                <wp:lineTo x="21363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52"/>
                    <a:stretch/>
                  </pic:blipFill>
                  <pic:spPr bwMode="auto">
                    <a:xfrm>
                      <a:off x="0" y="0"/>
                      <a:ext cx="2369185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E0B">
        <w:rPr>
          <w:rFonts w:ascii="Marianne" w:hAnsi="Marianne"/>
          <w:noProof/>
        </w:rPr>
        <w:drawing>
          <wp:anchor distT="0" distB="0" distL="114300" distR="114300" simplePos="0" relativeHeight="251660288" behindDoc="1" locked="0" layoutInCell="1" allowOverlap="1" wp14:anchorId="20BB95B0" wp14:editId="465DB3C2">
            <wp:simplePos x="0" y="0"/>
            <wp:positionH relativeFrom="margin">
              <wp:posOffset>140970</wp:posOffset>
            </wp:positionH>
            <wp:positionV relativeFrom="paragraph">
              <wp:posOffset>1008601</wp:posOffset>
            </wp:positionV>
            <wp:extent cx="2495550" cy="2037715"/>
            <wp:effectExtent l="0" t="0" r="0" b="635"/>
            <wp:wrapTight wrapText="bothSides">
              <wp:wrapPolygon edited="0">
                <wp:start x="0" y="0"/>
                <wp:lineTo x="0" y="21405"/>
                <wp:lineTo x="21435" y="21405"/>
                <wp:lineTo x="21435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E0B" w:rsidRPr="003C0E0B">
        <w:rPr>
          <w:rFonts w:ascii="Segoe UI" w:hAnsi="Segoe UI" w:cs="Segoe UI"/>
          <w:b/>
          <w:bCs/>
        </w:rPr>
        <w:t>La part de l’électrique dans le parc automobile global continue par conséquent d’augmenter</w:t>
      </w:r>
      <w:r w:rsidR="003C0E0B" w:rsidRPr="003C0E0B">
        <w:rPr>
          <w:rFonts w:ascii="Segoe UI" w:hAnsi="Segoe UI" w:cs="Segoe UI"/>
        </w:rPr>
        <w:t>, et s’élève à 22,6% au premier semestre 2023. Elle n’était que de 5% en 2017. L’électrique est désormais la troisième motorisation la plus représentée dans le parc automobile norvégien, derrière le diesel (37,2% ; 47,6% en 2017) et l’essence (28% ; 42% en 2017). Elle se rapproche du niveau du diesel si l’on ajoute à sa part celle des voitures hybrides (5,2%) et hybrides rechargeables (7%).</w:t>
      </w:r>
    </w:p>
    <w:p w14:paraId="0921EB2E" w14:textId="4B49A8CC" w:rsidR="003C0E0B" w:rsidRPr="003C0E0B" w:rsidRDefault="003C0E0B" w:rsidP="003C0E0B">
      <w:pPr>
        <w:rPr>
          <w:rFonts w:ascii="Marianne" w:hAnsi="Marianne"/>
          <w:noProof/>
        </w:rPr>
      </w:pPr>
      <w:r w:rsidRPr="003C0E0B">
        <w:rPr>
          <w:rFonts w:ascii="Marianne" w:hAnsi="Marianne"/>
          <w:noProof/>
        </w:rPr>
        <w:t xml:space="preserve">   </w:t>
      </w:r>
    </w:p>
    <w:p w14:paraId="75480C04" w14:textId="77777777" w:rsidR="003C0E0B" w:rsidRPr="003C0E0B" w:rsidRDefault="003C0E0B" w:rsidP="003C0E0B">
      <w:pPr>
        <w:rPr>
          <w:rFonts w:ascii="Marianne" w:hAnsi="Marianne"/>
          <w:b/>
          <w:bCs/>
          <w:noProof/>
        </w:rPr>
      </w:pPr>
    </w:p>
    <w:p w14:paraId="6801DA28" w14:textId="77777777" w:rsidR="003C0E0B" w:rsidRPr="003C0E0B" w:rsidRDefault="003C0E0B" w:rsidP="003C0E0B">
      <w:pPr>
        <w:jc w:val="both"/>
        <w:rPr>
          <w:rFonts w:ascii="Segoe UI" w:hAnsi="Segoe UI" w:cs="Segoe UI"/>
          <w:b/>
          <w:bCs/>
          <w:noProof/>
        </w:rPr>
      </w:pPr>
    </w:p>
    <w:p w14:paraId="2A1B0F2B" w14:textId="77777777" w:rsidR="003C0E0B" w:rsidRPr="003C0E0B" w:rsidRDefault="003C0E0B" w:rsidP="003C0E0B">
      <w:pPr>
        <w:jc w:val="both"/>
        <w:rPr>
          <w:rFonts w:ascii="Segoe UI" w:hAnsi="Segoe UI" w:cs="Segoe UI"/>
          <w:b/>
          <w:bCs/>
          <w:noProof/>
        </w:rPr>
      </w:pPr>
    </w:p>
    <w:p w14:paraId="6B21A7E8" w14:textId="77777777" w:rsidR="003C0E0B" w:rsidRPr="003C0E0B" w:rsidRDefault="003C0E0B" w:rsidP="003C0E0B">
      <w:pPr>
        <w:jc w:val="both"/>
        <w:rPr>
          <w:rFonts w:ascii="Segoe UI" w:hAnsi="Segoe UI" w:cs="Segoe UI"/>
          <w:b/>
          <w:bCs/>
          <w:noProof/>
        </w:rPr>
      </w:pPr>
    </w:p>
    <w:p w14:paraId="05334D78" w14:textId="5A926327" w:rsidR="003C0E0B" w:rsidRPr="003C0E0B" w:rsidRDefault="003C0E0B" w:rsidP="003C0E0B">
      <w:pPr>
        <w:jc w:val="both"/>
        <w:rPr>
          <w:rFonts w:ascii="Segoe UI" w:hAnsi="Segoe UI" w:cs="Segoe UI"/>
          <w:b/>
          <w:bCs/>
          <w:noProof/>
        </w:rPr>
      </w:pPr>
    </w:p>
    <w:p w14:paraId="75B12B6A" w14:textId="337C4100" w:rsidR="003C0E0B" w:rsidRDefault="00914864" w:rsidP="003C0E0B">
      <w:pPr>
        <w:jc w:val="both"/>
        <w:rPr>
          <w:rFonts w:ascii="Segoe UI" w:hAnsi="Segoe UI" w:cs="Segoe UI"/>
          <w:b/>
          <w:bCs/>
          <w:noProof/>
        </w:rPr>
      </w:pPr>
      <w:r w:rsidRPr="003C0E0B">
        <w:rPr>
          <w:rFonts w:ascii="Marianne" w:hAnsi="Marianne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99208" wp14:editId="3D2A03A0">
                <wp:simplePos x="0" y="0"/>
                <wp:positionH relativeFrom="margin">
                  <wp:posOffset>0</wp:posOffset>
                </wp:positionH>
                <wp:positionV relativeFrom="paragraph">
                  <wp:posOffset>24655</wp:posOffset>
                </wp:positionV>
                <wp:extent cx="2943225" cy="4476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6A7B" w14:textId="77777777" w:rsidR="003C0E0B" w:rsidRPr="008A3ABC" w:rsidRDefault="003C0E0B" w:rsidP="003C0E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A3AB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Part de l’électrique dans les ventes de voiture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 neuves</w:t>
                            </w:r>
                          </w:p>
                          <w:p w14:paraId="03F8E221" w14:textId="77777777" w:rsidR="003C0E0B" w:rsidRPr="008A3ABC" w:rsidRDefault="003C0E0B" w:rsidP="003C0E0B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A3AB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(Source</w:t>
                            </w:r>
                            <w:r w:rsidRPr="008A3ABC"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 </w:t>
                            </w:r>
                            <w:r w:rsidRPr="008A3AB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 Conseil norvégien de l’information routière)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99208" id="_x0000_s1027" type="#_x0000_t202" style="position:absolute;left:0;text-align:left;margin-left:0;margin-top:1.95pt;width:231.75pt;height:3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" strokecolor="window">
                <v:textbox>
                  <w:txbxContent>
                    <w:p w14:paraId="5F636A7B" w14:textId="77777777" w:rsidR="003C0E0B" w:rsidRPr="008A3ABC" w:rsidRDefault="003C0E0B" w:rsidP="003C0E0B">
                      <w:pPr>
                        <w:spacing w:after="0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A3ABC">
                        <w:rPr>
                          <w:i/>
                          <w:iCs/>
                          <w:sz w:val="16"/>
                          <w:szCs w:val="16"/>
                        </w:rPr>
                        <w:t>Part de l’électrique dans les ventes de voiture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s neuves</w:t>
                      </w:r>
                    </w:p>
                    <w:p w14:paraId="03F8E221" w14:textId="77777777" w:rsidR="003C0E0B" w:rsidRPr="008A3ABC" w:rsidRDefault="003C0E0B" w:rsidP="003C0E0B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A3ABC">
                        <w:rPr>
                          <w:i/>
                          <w:iCs/>
                          <w:sz w:val="16"/>
                          <w:szCs w:val="16"/>
                        </w:rPr>
                        <w:t>(Source</w:t>
                      </w:r>
                      <w:r w:rsidRPr="008A3ABC"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 </w:t>
                      </w:r>
                      <w:r w:rsidRPr="008A3ABC">
                        <w:rPr>
                          <w:i/>
                          <w:iCs/>
                          <w:sz w:val="16"/>
                          <w:szCs w:val="16"/>
                        </w:rPr>
                        <w:t>: Conseil norvégien de l’information routière)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0E0B">
        <w:rPr>
          <w:rFonts w:ascii="Marianne" w:hAnsi="Marianne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817D7C" wp14:editId="3A8C71A9">
                <wp:simplePos x="0" y="0"/>
                <wp:positionH relativeFrom="margin">
                  <wp:posOffset>3308985</wp:posOffset>
                </wp:positionH>
                <wp:positionV relativeFrom="paragraph">
                  <wp:posOffset>74627</wp:posOffset>
                </wp:positionV>
                <wp:extent cx="2943225" cy="393065"/>
                <wp:effectExtent l="0" t="0" r="28575" b="26035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EC9A6" w14:textId="77777777" w:rsidR="003C0E0B" w:rsidRPr="008A3ABC" w:rsidRDefault="003C0E0B" w:rsidP="003C0E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A3AB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Part de l’électrique dans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le parc automobile norvégien</w:t>
                            </w:r>
                          </w:p>
                          <w:p w14:paraId="0B9A9018" w14:textId="77777777" w:rsidR="003C0E0B" w:rsidRPr="008A3ABC" w:rsidRDefault="003C0E0B" w:rsidP="003C0E0B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A3AB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(Source</w:t>
                            </w:r>
                            <w:r w:rsidRPr="008A3ABC"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 </w:t>
                            </w:r>
                            <w:r w:rsidRPr="008A3AB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 Conseil norvégien de l’information routière)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17D7C" id="_x0000_s1028" type="#_x0000_t202" style="position:absolute;left:0;text-align:left;margin-left:260.55pt;margin-top:5.9pt;width:231.75pt;height:30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" strokecolor="window">
                <v:textbox>
                  <w:txbxContent>
                    <w:p w14:paraId="0A4EC9A6" w14:textId="77777777" w:rsidR="003C0E0B" w:rsidRPr="008A3ABC" w:rsidRDefault="003C0E0B" w:rsidP="003C0E0B">
                      <w:pPr>
                        <w:spacing w:after="0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A3ABC">
                        <w:rPr>
                          <w:i/>
                          <w:iCs/>
                          <w:sz w:val="16"/>
                          <w:szCs w:val="16"/>
                        </w:rPr>
                        <w:t xml:space="preserve">Part de l’électrique dans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le parc automobile norvégien</w:t>
                      </w:r>
                    </w:p>
                    <w:p w14:paraId="0B9A9018" w14:textId="77777777" w:rsidR="003C0E0B" w:rsidRPr="008A3ABC" w:rsidRDefault="003C0E0B" w:rsidP="003C0E0B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A3ABC">
                        <w:rPr>
                          <w:i/>
                          <w:iCs/>
                          <w:sz w:val="16"/>
                          <w:szCs w:val="16"/>
                        </w:rPr>
                        <w:t>(Source</w:t>
                      </w:r>
                      <w:r w:rsidRPr="008A3ABC"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 </w:t>
                      </w:r>
                      <w:r w:rsidRPr="008A3ABC">
                        <w:rPr>
                          <w:i/>
                          <w:iCs/>
                          <w:sz w:val="16"/>
                          <w:szCs w:val="16"/>
                        </w:rPr>
                        <w:t>: Conseil norvégien de l’information routière)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A199BA" w14:textId="3430F8DB" w:rsidR="003C0E0B" w:rsidRDefault="003C0E0B" w:rsidP="003C0E0B">
      <w:pPr>
        <w:jc w:val="both"/>
        <w:rPr>
          <w:rFonts w:ascii="Segoe UI" w:hAnsi="Segoe UI" w:cs="Segoe UI"/>
          <w:b/>
          <w:bCs/>
          <w:noProof/>
        </w:rPr>
      </w:pPr>
    </w:p>
    <w:p w14:paraId="2255A8A5" w14:textId="2F4C8804" w:rsidR="00ED0A5E" w:rsidRPr="00ED0A5E" w:rsidRDefault="003C0E0B" w:rsidP="008E72AA">
      <w:pPr>
        <w:jc w:val="both"/>
        <w:rPr>
          <w:rFonts w:ascii="Segoe UI" w:hAnsi="Segoe UI" w:cs="Segoe UI"/>
          <w:noProof/>
        </w:rPr>
      </w:pPr>
      <w:r w:rsidRPr="003C0E0B">
        <w:rPr>
          <w:rFonts w:ascii="Segoe UI" w:hAnsi="Segoe UI" w:cs="Segoe UI"/>
          <w:b/>
          <w:bCs/>
          <w:noProof/>
        </w:rPr>
        <w:t xml:space="preserve">En 2022, la Norvège était ainsi le leader mondial de la motorisation électrique </w:t>
      </w:r>
      <w:r w:rsidRPr="003C0E0B">
        <w:rPr>
          <w:rFonts w:ascii="Segoe UI" w:hAnsi="Segoe UI" w:cs="Segoe UI"/>
          <w:noProof/>
        </w:rPr>
        <w:t>(par part de véhicules électrique dans les ventes de véhicules neufs). Le classement était complété par l’Islande (45%), la Suède (33%) et la Hollande (25%), la part de l’électrique s’élevant alors à 11,3% en France.</w:t>
      </w:r>
      <w:r w:rsidRPr="003C0E0B">
        <w:rPr>
          <w:rFonts w:ascii="Marianne" w:hAnsi="Marianne"/>
        </w:rPr>
        <w:t xml:space="preserve"> </w:t>
      </w:r>
      <w:r w:rsidRPr="003C0E0B">
        <w:rPr>
          <w:rFonts w:ascii="Segoe UI" w:hAnsi="Segoe UI" w:cs="Segoe UI"/>
          <w:i/>
          <w:iCs/>
          <w:noProof/>
        </w:rPr>
        <w:t>L’Institute of Transport Economics</w:t>
      </w:r>
      <w:r w:rsidRPr="003C0E0B">
        <w:rPr>
          <w:rFonts w:ascii="Segoe UI" w:hAnsi="Segoe UI" w:cs="Segoe UI"/>
          <w:noProof/>
        </w:rPr>
        <w:t xml:space="preserve"> prévoit l’électrification de 96% des ventes de voitures neuves et de 36% du parc automobile en Norvège d’ici 2025.</w:t>
      </w:r>
    </w:p>
    <w:p w14:paraId="40C02DEB" w14:textId="5C79E921" w:rsidR="00464142" w:rsidRPr="001F560C" w:rsidRDefault="00425951" w:rsidP="002238B7">
      <w:pPr>
        <w:spacing w:after="120" w:line="240" w:lineRule="auto"/>
        <w:rPr>
          <w:rFonts w:ascii="Segoe UI" w:eastAsia="Calibri" w:hAnsi="Segoe UI" w:cs="Segoe UI"/>
        </w:rPr>
      </w:pPr>
      <w:r w:rsidRPr="001F560C">
        <w:rPr>
          <w:rFonts w:ascii="Segoe UI" w:hAnsi="Segoe UI" w:cs="Segoe UI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7ADD6A56" wp14:editId="6BA89B72">
                <wp:extent cx="6619875" cy="421240"/>
                <wp:effectExtent l="0" t="0" r="9525" b="0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2124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8D8E" w14:textId="58909791" w:rsidR="00425951" w:rsidRPr="00F75429" w:rsidRDefault="00914864" w:rsidP="00C81CD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 w:line="240" w:lineRule="exact"/>
                              <w:ind w:left="1077"/>
                              <w:jc w:val="both"/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  <w:t>Les résultats de la politique de soutien à l’électrique sont dus à un mécanisme d’incitations fiscales ambitieux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DD6A56" id="Zone de texte 4" o:spid="_x0000_s1029" type="#_x0000_t202" style="width:521.2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" fillcolor="#006ce5" stroked="f">
                <v:textbox>
                  <w:txbxContent>
                    <w:p w14:paraId="22288D8E" w14:textId="58909791" w:rsidR="00425951" w:rsidRPr="00F75429" w:rsidRDefault="00914864" w:rsidP="00C81CD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 w:line="240" w:lineRule="exact"/>
                        <w:ind w:left="1077"/>
                        <w:jc w:val="both"/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  <w:t>Les résultats de la politique de soutien à l’électrique sont dus à un mécanisme d’incitations fiscales ambitieux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D68DC2" w14:textId="77777777" w:rsidR="00914864" w:rsidRPr="00914864" w:rsidRDefault="00914864" w:rsidP="00914864">
      <w:pPr>
        <w:jc w:val="both"/>
        <w:rPr>
          <w:rFonts w:ascii="Segoe UI" w:hAnsi="Segoe UI" w:cs="Segoe UI"/>
        </w:rPr>
      </w:pPr>
      <w:r w:rsidRPr="00914864">
        <w:rPr>
          <w:rFonts w:ascii="Segoe UI" w:hAnsi="Segoe UI" w:cs="Segoe UI"/>
          <w:b/>
          <w:bCs/>
        </w:rPr>
        <w:t xml:space="preserve">Les premiers plans de développement de l’électrique norvégien datent de 2016. </w:t>
      </w:r>
      <w:r w:rsidRPr="00914864">
        <w:rPr>
          <w:rFonts w:ascii="Segoe UI" w:hAnsi="Segoe UI" w:cs="Segoe UI"/>
        </w:rPr>
        <w:t>En 2021, la somme annuelle des différents mécanismes gouvernementaux de soutien aux voitures électriques était estimée à 1,7 Md€.</w:t>
      </w:r>
    </w:p>
    <w:p w14:paraId="49091B0D" w14:textId="77777777" w:rsidR="00914864" w:rsidRPr="00914864" w:rsidRDefault="00914864" w:rsidP="003C1F1D">
      <w:pPr>
        <w:spacing w:after="0"/>
        <w:jc w:val="both"/>
        <w:rPr>
          <w:rFonts w:ascii="Segoe UI" w:hAnsi="Segoe UI" w:cs="Segoe UI"/>
        </w:rPr>
      </w:pPr>
      <w:r w:rsidRPr="00914864">
        <w:rPr>
          <w:rFonts w:ascii="Segoe UI" w:hAnsi="Segoe UI" w:cs="Segoe UI"/>
          <w:b/>
          <w:bCs/>
        </w:rPr>
        <w:t xml:space="preserve">La politique norvégienne pour la mobilité électrique a pour horizons 2025 et 2030. </w:t>
      </w:r>
      <w:r w:rsidRPr="00914864">
        <w:rPr>
          <w:rFonts w:ascii="Segoe UI" w:hAnsi="Segoe UI" w:cs="Segoe UI"/>
        </w:rPr>
        <w:t>Les objectifs les plus récents du gouvernement ont été mis en place en 2021. Ils sont :</w:t>
      </w:r>
    </w:p>
    <w:p w14:paraId="7D5F97D0" w14:textId="77777777" w:rsidR="00914864" w:rsidRPr="00914864" w:rsidRDefault="00914864" w:rsidP="00914864">
      <w:pPr>
        <w:numPr>
          <w:ilvl w:val="0"/>
          <w:numId w:val="29"/>
        </w:numPr>
        <w:contextualSpacing/>
        <w:jc w:val="both"/>
        <w:rPr>
          <w:rFonts w:ascii="Segoe UI" w:hAnsi="Segoe UI" w:cs="Segoe UI"/>
        </w:rPr>
      </w:pPr>
      <w:r w:rsidRPr="00914864">
        <w:rPr>
          <w:rFonts w:ascii="Segoe UI" w:hAnsi="Segoe UI" w:cs="Segoe UI"/>
        </w:rPr>
        <w:t>Zéro-émission pour toutes les nouvelles voitures particulières et camionnettes vendues d'ici à 2025.</w:t>
      </w:r>
    </w:p>
    <w:p w14:paraId="574FFB73" w14:textId="77777777" w:rsidR="00914864" w:rsidRPr="00914864" w:rsidRDefault="00914864" w:rsidP="00914864">
      <w:pPr>
        <w:numPr>
          <w:ilvl w:val="0"/>
          <w:numId w:val="29"/>
        </w:numPr>
        <w:contextualSpacing/>
        <w:jc w:val="both"/>
        <w:rPr>
          <w:rFonts w:ascii="Segoe UI" w:hAnsi="Segoe UI" w:cs="Segoe UI"/>
        </w:rPr>
      </w:pPr>
      <w:r w:rsidRPr="00914864">
        <w:rPr>
          <w:rFonts w:ascii="Segoe UI" w:hAnsi="Segoe UI" w:cs="Segoe UI"/>
        </w:rPr>
        <w:t>Zéro-émission ou utilisation de biogaz pour tous les nouveaux autobus urbains d'ici 2025.</w:t>
      </w:r>
    </w:p>
    <w:p w14:paraId="326E5268" w14:textId="77777777" w:rsidR="00914864" w:rsidRPr="00914864" w:rsidRDefault="00914864" w:rsidP="00914864">
      <w:pPr>
        <w:numPr>
          <w:ilvl w:val="0"/>
          <w:numId w:val="29"/>
        </w:numPr>
        <w:contextualSpacing/>
        <w:jc w:val="both"/>
        <w:rPr>
          <w:rFonts w:ascii="Segoe UI" w:hAnsi="Segoe UI" w:cs="Segoe UI"/>
        </w:rPr>
      </w:pPr>
      <w:r w:rsidRPr="00914864">
        <w:rPr>
          <w:rFonts w:ascii="Segoe UI" w:hAnsi="Segoe UI" w:cs="Segoe UI"/>
        </w:rPr>
        <w:t>Zéro-émission pour toutes les nouvelles camionnettes lourdes, 75 % des nouveaux bus longue distance et 50 % des nouveaux camions d'ici à 2030.</w:t>
      </w:r>
    </w:p>
    <w:p w14:paraId="73F77C15" w14:textId="59F912C0" w:rsidR="00914864" w:rsidRPr="003C1F1D" w:rsidRDefault="00914864" w:rsidP="003C1F1D">
      <w:pPr>
        <w:numPr>
          <w:ilvl w:val="0"/>
          <w:numId w:val="29"/>
        </w:numPr>
        <w:contextualSpacing/>
        <w:jc w:val="both"/>
        <w:rPr>
          <w:rFonts w:ascii="Segoe UI" w:hAnsi="Segoe UI" w:cs="Segoe UI"/>
        </w:rPr>
      </w:pPr>
      <w:r w:rsidRPr="00914864">
        <w:rPr>
          <w:rFonts w:ascii="Segoe UI" w:hAnsi="Segoe UI" w:cs="Segoe UI"/>
        </w:rPr>
        <w:t>Zéro-émission pour la distribution de la plupart des marchandises dans les grandes villes d'ici à 2030.</w:t>
      </w:r>
    </w:p>
    <w:p w14:paraId="081E2D86" w14:textId="120773D5" w:rsidR="00914864" w:rsidRPr="00914864" w:rsidRDefault="00914864" w:rsidP="003C1F1D">
      <w:pPr>
        <w:spacing w:before="240"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Cette politique</w:t>
      </w:r>
      <w:r w:rsidRPr="00914864">
        <w:rPr>
          <w:rFonts w:ascii="Segoe UI" w:hAnsi="Segoe UI" w:cs="Segoe UI"/>
          <w:b/>
          <w:bCs/>
        </w:rPr>
        <w:t xml:space="preserve"> consiste en un système d'incitations fiscales (pas de bonus à l’achat, donc).</w:t>
      </w:r>
      <w:r w:rsidRPr="00914864">
        <w:rPr>
          <w:rFonts w:ascii="Segoe UI" w:hAnsi="Segoe UI" w:cs="Segoe UI"/>
        </w:rPr>
        <w:t xml:space="preserve"> La clé de voûte du système est l'exemption des véhicules électriques de diverses taxes. L’achat d’un véhicule électrique fait donc objet d’une exemption de la TVA, des taxes sur les carburants </w:t>
      </w:r>
      <w:r w:rsidR="007D43A8">
        <w:rPr>
          <w:rFonts w:ascii="Segoe UI" w:hAnsi="Segoe UI" w:cs="Segoe UI"/>
        </w:rPr>
        <w:t>et l’immatriculation</w:t>
      </w:r>
      <w:r w:rsidRPr="00914864">
        <w:rPr>
          <w:rFonts w:ascii="Segoe UI" w:hAnsi="Segoe UI" w:cs="Segoe UI"/>
        </w:rPr>
        <w:t xml:space="preserve">. Les voitures électriques bénéficient également de réductions des taxes de déplacement : </w:t>
      </w:r>
      <w:r w:rsidR="007D43A8">
        <w:rPr>
          <w:rFonts w:ascii="Segoe UI" w:hAnsi="Segoe UI" w:cs="Segoe UI"/>
        </w:rPr>
        <w:t>~</w:t>
      </w:r>
      <w:r w:rsidRPr="00914864">
        <w:rPr>
          <w:rFonts w:ascii="Segoe UI" w:hAnsi="Segoe UI" w:cs="Segoe UI"/>
        </w:rPr>
        <w:t>30 % pour les taxes routières (variable selon la région) et 50% pour les frais de traversée en ferry. Les frais de stationnement sont réduits d’au moins 50% et variables selon la municipalité (70% à Oslo, 50% à Bergen, payant avec recharge gratuite à Trondheim). L’imposition des voitures de</w:t>
      </w:r>
      <w:r w:rsidR="003C1F1D">
        <w:rPr>
          <w:rFonts w:ascii="Segoe UI" w:hAnsi="Segoe UI" w:cs="Segoe UI"/>
        </w:rPr>
        <w:t xml:space="preserve">s </w:t>
      </w:r>
      <w:r w:rsidRPr="00914864">
        <w:rPr>
          <w:rFonts w:ascii="Segoe UI" w:hAnsi="Segoe UI" w:cs="Segoe UI"/>
        </w:rPr>
        <w:t>sociétés est basée sur une fraction (60%) de leur prix catalogue.</w:t>
      </w:r>
    </w:p>
    <w:p w14:paraId="08C5226F" w14:textId="371D14F0" w:rsidR="00914864" w:rsidRPr="00914864" w:rsidRDefault="00914864" w:rsidP="00914864">
      <w:pPr>
        <w:jc w:val="both"/>
        <w:rPr>
          <w:rFonts w:ascii="Segoe UI" w:hAnsi="Segoe UI" w:cs="Segoe UI"/>
        </w:rPr>
      </w:pPr>
      <w:r w:rsidRPr="00914864">
        <w:rPr>
          <w:rFonts w:ascii="Segoe UI" w:hAnsi="Segoe UI" w:cs="Segoe UI"/>
          <w:b/>
          <w:bCs/>
        </w:rPr>
        <w:t>Les pouvoirs publics ont également cherché à développer le réseau de stations de recharge.</w:t>
      </w:r>
      <w:r w:rsidRPr="00914864">
        <w:rPr>
          <w:rFonts w:ascii="Segoe UI" w:hAnsi="Segoe UI" w:cs="Segoe UI"/>
        </w:rPr>
        <w:t xml:space="preserve"> En août 2023, la Norvège comptait plus de 27 000 points de recharge</w:t>
      </w:r>
      <w:r w:rsidR="00EE2EC3">
        <w:rPr>
          <w:rFonts w:ascii="Segoe UI" w:hAnsi="Segoe UI" w:cs="Segoe UI"/>
        </w:rPr>
        <w:t xml:space="preserve"> (9000 en 2017), </w:t>
      </w:r>
      <w:r w:rsidRPr="00914864">
        <w:rPr>
          <w:rFonts w:ascii="Segoe UI" w:hAnsi="Segoe UI" w:cs="Segoe UI"/>
        </w:rPr>
        <w:t>dont près de 10 000 points de recharge rapide (+ de 50 kW</w:t>
      </w:r>
      <w:r w:rsidR="00EE2EC3">
        <w:rPr>
          <w:rFonts w:ascii="Segoe UI" w:hAnsi="Segoe UI" w:cs="Segoe UI"/>
        </w:rPr>
        <w:t>, 1000 en 2017</w:t>
      </w:r>
      <w:r w:rsidRPr="00914864">
        <w:rPr>
          <w:rFonts w:ascii="Segoe UI" w:hAnsi="Segoe UI" w:cs="Segoe UI"/>
        </w:rPr>
        <w:t>), financés par des subventions publiques. L’entreprise publique de financement durable ENOVA prend également part au financement de projets pour la mobilité électrique (ex : soutien à la mise en service d’une infrastructure de recharge pour près de 150 bus urbains à Oslo).</w:t>
      </w:r>
    </w:p>
    <w:p w14:paraId="1B64E126" w14:textId="1EAFE091" w:rsidR="00914864" w:rsidRPr="00914864" w:rsidRDefault="00914864" w:rsidP="00914864">
      <w:pPr>
        <w:contextualSpacing/>
        <w:jc w:val="both"/>
        <w:rPr>
          <w:rFonts w:ascii="Segoe UI" w:hAnsi="Segoe UI" w:cs="Segoe UI"/>
        </w:rPr>
      </w:pPr>
      <w:r w:rsidRPr="001F560C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inline distT="0" distB="0" distL="0" distR="0" wp14:anchorId="5C46D784" wp14:editId="24C6CFAD">
                <wp:extent cx="6619875" cy="421240"/>
                <wp:effectExtent l="0" t="0" r="9525" b="0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2124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99692" w14:textId="2E1FACE6" w:rsidR="00914864" w:rsidRPr="00F75429" w:rsidRDefault="00914864" w:rsidP="00914864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 w:line="240" w:lineRule="exact"/>
                              <w:ind w:left="1077"/>
                              <w:jc w:val="both"/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  <w:szCs w:val="24"/>
                              </w:rPr>
                              <w:t>Constatant la réussite de sa transition vers la mobilité électrique, la Norvège entreprend désormais l’assouplissement de sa politique d’incitations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46D784" id="Zone de texte 3" o:spid="_x0000_s1030" type="#_x0000_t202" style="width:521.2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" fillcolor="#006ce5" stroked="f">
                <v:textbox>
                  <w:txbxContent>
                    <w:p w14:paraId="7A699692" w14:textId="2E1FACE6" w:rsidR="00914864" w:rsidRPr="00F75429" w:rsidRDefault="00914864" w:rsidP="00914864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 w:line="240" w:lineRule="exact"/>
                        <w:ind w:left="1077"/>
                        <w:jc w:val="both"/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  <w:szCs w:val="24"/>
                        </w:rPr>
                        <w:t>Constatant la réussite de sa transition vers la mobilité électrique, la Norvège entreprend désormais l’assouplissement de sa politique d’incitations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FE0D0B" w14:textId="77777777" w:rsidR="007D43A8" w:rsidRPr="007D43A8" w:rsidRDefault="007D43A8" w:rsidP="007D43A8">
      <w:pPr>
        <w:jc w:val="both"/>
        <w:rPr>
          <w:rFonts w:ascii="Segoe UI" w:hAnsi="Segoe UI" w:cs="Segoe UI"/>
        </w:rPr>
      </w:pPr>
      <w:r w:rsidRPr="007D43A8">
        <w:rPr>
          <w:rFonts w:ascii="Segoe UI" w:hAnsi="Segoe UI" w:cs="Segoe UI"/>
          <w:b/>
          <w:bCs/>
        </w:rPr>
        <w:t xml:space="preserve">La Norvège considère que sa transition vers la mobilité électrique est quasi-effectuée. </w:t>
      </w:r>
      <w:r w:rsidRPr="007D43A8">
        <w:rPr>
          <w:rFonts w:ascii="Segoe UI" w:hAnsi="Segoe UI" w:cs="Segoe UI"/>
        </w:rPr>
        <w:t>Couplées à des hausses régulières de la taxation sur le carburant, les mesures de soutien aux voitures électriques ont permis leur fort développement. Cette réussite a généré un assouplissement progressif des politiques d’incitation à l’achat de véhicules électriques.</w:t>
      </w:r>
    </w:p>
    <w:p w14:paraId="5F4736A9" w14:textId="77777777" w:rsidR="007D43A8" w:rsidRPr="007D43A8" w:rsidRDefault="007D43A8" w:rsidP="003C1F1D">
      <w:pPr>
        <w:spacing w:after="0"/>
        <w:jc w:val="both"/>
        <w:rPr>
          <w:rFonts w:ascii="Segoe UI" w:eastAsia="Times New Roman" w:hAnsi="Segoe UI" w:cs="Segoe UI"/>
        </w:rPr>
      </w:pPr>
      <w:r w:rsidRPr="007D43A8">
        <w:rPr>
          <w:rFonts w:ascii="Segoe UI" w:eastAsia="Times New Roman" w:hAnsi="Segoe UI" w:cs="Segoe UI"/>
          <w:b/>
          <w:bCs/>
        </w:rPr>
        <w:t xml:space="preserve">Dès 2022, les effets des politiques de soutien aux véhicules électriques se ressentent. </w:t>
      </w:r>
      <w:r w:rsidRPr="007D43A8">
        <w:rPr>
          <w:rFonts w:ascii="Segoe UI" w:eastAsia="Times New Roman" w:hAnsi="Segoe UI" w:cs="Segoe UI"/>
        </w:rPr>
        <w:t>Les pouvoirs publics norvégiens envisagent donc la réduction de certains privilèges accordés aux acquéreurs d’une voiture électrique. Le premier paquet de modifications votées au Parlement début 2022 inclut :</w:t>
      </w:r>
    </w:p>
    <w:p w14:paraId="4A08DF2A" w14:textId="77777777" w:rsidR="007D43A8" w:rsidRPr="007D43A8" w:rsidRDefault="007D43A8" w:rsidP="007D43A8">
      <w:pPr>
        <w:numPr>
          <w:ilvl w:val="0"/>
          <w:numId w:val="30"/>
        </w:numPr>
        <w:contextualSpacing/>
        <w:jc w:val="both"/>
        <w:rPr>
          <w:rFonts w:ascii="Segoe UI" w:hAnsi="Segoe UI" w:cs="Segoe UI"/>
        </w:rPr>
      </w:pPr>
      <w:r w:rsidRPr="007D43A8">
        <w:rPr>
          <w:rFonts w:ascii="Segoe UI" w:hAnsi="Segoe UI" w:cs="Segoe UI"/>
        </w:rPr>
        <w:t>La hausse de l’imposition des véhicules électriques de société : l’impôt se base sur 80% du prix catalogue de la voiture (60% auparavant) ;</w:t>
      </w:r>
    </w:p>
    <w:p w14:paraId="51662C11" w14:textId="77777777" w:rsidR="007D43A8" w:rsidRPr="007D43A8" w:rsidRDefault="007D43A8" w:rsidP="007D43A8">
      <w:pPr>
        <w:numPr>
          <w:ilvl w:val="0"/>
          <w:numId w:val="30"/>
        </w:numPr>
        <w:contextualSpacing/>
        <w:jc w:val="both"/>
        <w:rPr>
          <w:rFonts w:ascii="Segoe UI" w:hAnsi="Segoe UI" w:cs="Segoe UI"/>
        </w:rPr>
      </w:pPr>
      <w:r w:rsidRPr="007D43A8">
        <w:rPr>
          <w:rFonts w:ascii="Segoe UI" w:hAnsi="Segoe UI" w:cs="Segoe UI"/>
        </w:rPr>
        <w:t>La hausse de la taxe d’immatriculation pour les véhicules électriques à 25% du taux plein payé par les moteurs thermiques (0% auparavant) ;</w:t>
      </w:r>
    </w:p>
    <w:p w14:paraId="57B571E6" w14:textId="77777777" w:rsidR="007D43A8" w:rsidRPr="007D43A8" w:rsidRDefault="007D43A8" w:rsidP="003C1F1D">
      <w:pPr>
        <w:numPr>
          <w:ilvl w:val="0"/>
          <w:numId w:val="30"/>
        </w:numPr>
        <w:spacing w:after="120"/>
        <w:ind w:left="714" w:hanging="357"/>
        <w:contextualSpacing/>
        <w:jc w:val="both"/>
        <w:rPr>
          <w:rFonts w:ascii="Segoe UI" w:hAnsi="Segoe UI" w:cs="Segoe UI"/>
        </w:rPr>
      </w:pPr>
      <w:r w:rsidRPr="007D43A8">
        <w:rPr>
          <w:rFonts w:ascii="Segoe UI" w:hAnsi="Segoe UI" w:cs="Segoe UI"/>
        </w:rPr>
        <w:t xml:space="preserve">La fin de la réduction pour les voitures électriques de la taxe sur l’assurance automobile. </w:t>
      </w:r>
    </w:p>
    <w:p w14:paraId="66DF69B5" w14:textId="77777777" w:rsidR="007D43A8" w:rsidRPr="007D43A8" w:rsidRDefault="007D43A8" w:rsidP="003C1F1D">
      <w:pPr>
        <w:spacing w:before="240" w:after="0"/>
        <w:jc w:val="both"/>
        <w:rPr>
          <w:rFonts w:ascii="Segoe UI" w:hAnsi="Segoe UI" w:cs="Segoe UI"/>
        </w:rPr>
      </w:pPr>
      <w:r w:rsidRPr="007D43A8">
        <w:rPr>
          <w:rFonts w:ascii="Segoe UI" w:hAnsi="Segoe UI" w:cs="Segoe UI"/>
          <w:b/>
          <w:bCs/>
        </w:rPr>
        <w:t xml:space="preserve">D’autres modifications progressives quant aux avantages accordés aux véhicules électriques interviennent en 2023. </w:t>
      </w:r>
      <w:r w:rsidRPr="007D43A8">
        <w:rPr>
          <w:rFonts w:ascii="Segoe UI" w:hAnsi="Segoe UI" w:cs="Segoe UI"/>
        </w:rPr>
        <w:t>Parmi celles-ci :</w:t>
      </w:r>
    </w:p>
    <w:p w14:paraId="23E726D6" w14:textId="77777777" w:rsidR="007D43A8" w:rsidRPr="007D43A8" w:rsidRDefault="007D43A8" w:rsidP="007D43A8">
      <w:pPr>
        <w:numPr>
          <w:ilvl w:val="0"/>
          <w:numId w:val="31"/>
        </w:numPr>
        <w:contextualSpacing/>
        <w:jc w:val="both"/>
        <w:rPr>
          <w:rFonts w:ascii="Segoe UI" w:hAnsi="Segoe UI" w:cs="Segoe UI"/>
        </w:rPr>
      </w:pPr>
      <w:r w:rsidRPr="007D43A8">
        <w:rPr>
          <w:rFonts w:ascii="Segoe UI" w:hAnsi="Segoe UI" w:cs="Segoe UI"/>
        </w:rPr>
        <w:t>Le retour de la taxe d’immatriculation pour les voitures électriques à 100% du taux payé par les voitures thermiques ;</w:t>
      </w:r>
    </w:p>
    <w:p w14:paraId="75C9B0A9" w14:textId="77777777" w:rsidR="007D43A8" w:rsidRPr="007D43A8" w:rsidRDefault="007D43A8" w:rsidP="003C1F1D">
      <w:pPr>
        <w:numPr>
          <w:ilvl w:val="0"/>
          <w:numId w:val="31"/>
        </w:numPr>
        <w:spacing w:after="0"/>
        <w:ind w:left="714" w:hanging="357"/>
        <w:contextualSpacing/>
        <w:jc w:val="both"/>
        <w:rPr>
          <w:rFonts w:ascii="Segoe UI" w:hAnsi="Segoe UI" w:cs="Segoe UI"/>
        </w:rPr>
      </w:pPr>
      <w:r w:rsidRPr="007D43A8">
        <w:rPr>
          <w:rFonts w:ascii="Segoe UI" w:hAnsi="Segoe UI" w:cs="Segoe UI"/>
        </w:rPr>
        <w:t>Le retour de la TVA (25%) pour la tranche des achats de voitures électriques dépassant 44 000€ (500 000 NOK) ;</w:t>
      </w:r>
    </w:p>
    <w:p w14:paraId="0080320A" w14:textId="34F214DD" w:rsidR="00A94D89" w:rsidRPr="003C1F1D" w:rsidRDefault="007D43A8" w:rsidP="003C1F1D">
      <w:pPr>
        <w:pStyle w:val="Paragraphedeliste"/>
        <w:numPr>
          <w:ilvl w:val="0"/>
          <w:numId w:val="31"/>
        </w:numPr>
        <w:jc w:val="both"/>
        <w:rPr>
          <w:rFonts w:ascii="Segoe UI" w:hAnsi="Segoe UI" w:cs="Segoe UI"/>
          <w:bCs/>
          <w:noProof/>
          <w:sz w:val="20"/>
          <w:szCs w:val="20"/>
          <w:lang w:eastAsia="fr-FR"/>
        </w:rPr>
      </w:pPr>
      <w:r w:rsidRPr="003C1F1D">
        <w:rPr>
          <w:rFonts w:ascii="Segoe UI" w:hAnsi="Segoe UI" w:cs="Segoe UI"/>
        </w:rPr>
        <w:t xml:space="preserve">L’introduction d’une taxe sur le poids (12,5 NOK, soit 1,10€ par kg du poids de la voiture supérieur à 500 kg). </w:t>
      </w:r>
      <w:r w:rsidR="003C1F1D">
        <w:rPr>
          <w:rFonts w:ascii="Segoe UI" w:hAnsi="Segoe UI" w:cs="Segoe UI"/>
        </w:rPr>
        <w:t>Cette</w:t>
      </w:r>
      <w:r w:rsidRPr="003C1F1D">
        <w:rPr>
          <w:rFonts w:ascii="Segoe UI" w:hAnsi="Segoe UI" w:cs="Segoe UI"/>
        </w:rPr>
        <w:t xml:space="preserve"> mesure rend les voitures électriques </w:t>
      </w:r>
      <w:r w:rsidR="003C1F1D">
        <w:rPr>
          <w:rFonts w:ascii="Segoe UI" w:hAnsi="Segoe UI" w:cs="Segoe UI"/>
        </w:rPr>
        <w:t>en moyenne</w:t>
      </w:r>
      <w:r w:rsidRPr="003C1F1D">
        <w:rPr>
          <w:rFonts w:ascii="Segoe UI" w:hAnsi="Segoe UI" w:cs="Segoe UI"/>
        </w:rPr>
        <w:t xml:space="preserve"> 1700€ (19 000 NOK) plus chères.</w:t>
      </w:r>
    </w:p>
    <w:sectPr w:rsidR="00A94D89" w:rsidRPr="003C1F1D" w:rsidSect="00DE6FB4">
      <w:headerReference w:type="first" r:id="rId10"/>
      <w:type w:val="continuous"/>
      <w:pgSz w:w="11906" w:h="16838"/>
      <w:pgMar w:top="567" w:right="720" w:bottom="426" w:left="720" w:header="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9A4F" w14:textId="77777777" w:rsidR="00657346" w:rsidRDefault="00657346" w:rsidP="00A94D89">
      <w:pPr>
        <w:spacing w:after="0" w:line="240" w:lineRule="auto"/>
      </w:pPr>
      <w:r>
        <w:separator/>
      </w:r>
    </w:p>
  </w:endnote>
  <w:endnote w:type="continuationSeparator" w:id="0">
    <w:p w14:paraId="7AA87D17" w14:textId="77777777" w:rsidR="00657346" w:rsidRDefault="00657346" w:rsidP="00A9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F7E7" w14:textId="77777777" w:rsidR="00657346" w:rsidRDefault="00657346" w:rsidP="00A94D89">
      <w:pPr>
        <w:spacing w:after="0" w:line="240" w:lineRule="auto"/>
      </w:pPr>
      <w:r>
        <w:separator/>
      </w:r>
    </w:p>
  </w:footnote>
  <w:footnote w:type="continuationSeparator" w:id="0">
    <w:p w14:paraId="49FC0096" w14:textId="77777777" w:rsidR="00657346" w:rsidRDefault="00657346" w:rsidP="00A9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168C" w14:textId="24C672C5" w:rsidR="004C6302" w:rsidRDefault="004C6302" w:rsidP="00221CF6">
    <w:pPr>
      <w:pStyle w:val="En-tte"/>
      <w:jc w:val="right"/>
      <w:rPr>
        <w:rFonts w:ascii="Arial" w:hAnsi="Arial" w:cs="Arial"/>
        <w:b/>
        <w:bCs/>
        <w:sz w:val="24"/>
        <w:szCs w:val="24"/>
      </w:rPr>
    </w:pPr>
  </w:p>
  <w:p w14:paraId="2A999BE0" w14:textId="43F51841" w:rsidR="004C6302" w:rsidRDefault="004C6302" w:rsidP="00221CF6">
    <w:pPr>
      <w:pStyle w:val="En-tte"/>
      <w:jc w:val="right"/>
      <w:rPr>
        <w:rFonts w:ascii="Arial" w:hAnsi="Arial" w:cs="Arial"/>
        <w:b/>
        <w:bCs/>
        <w:sz w:val="24"/>
        <w:szCs w:val="24"/>
      </w:rPr>
    </w:pPr>
  </w:p>
  <w:p w14:paraId="45B3F5E8" w14:textId="2CB046C3" w:rsidR="00A94D89" w:rsidRPr="00FE7D45" w:rsidRDefault="00B27668" w:rsidP="00221CF6">
    <w:pPr>
      <w:pStyle w:val="En-tte"/>
      <w:jc w:val="right"/>
      <w:rPr>
        <w:rFonts w:ascii="Arial" w:hAnsi="Arial" w:cs="Arial"/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08AA9BD" wp14:editId="019775D2">
          <wp:simplePos x="0" y="0"/>
          <wp:positionH relativeFrom="margin">
            <wp:align>left</wp:align>
          </wp:positionH>
          <wp:positionV relativeFrom="paragraph">
            <wp:posOffset>6819</wp:posOffset>
          </wp:positionV>
          <wp:extent cx="1616075" cy="910590"/>
          <wp:effectExtent l="0" t="0" r="3175" b="3810"/>
          <wp:wrapTight wrapText="bothSides">
            <wp:wrapPolygon edited="0">
              <wp:start x="0" y="0"/>
              <wp:lineTo x="0" y="21238"/>
              <wp:lineTo x="3819" y="21238"/>
              <wp:lineTo x="21388" y="16268"/>
              <wp:lineTo x="21388" y="12201"/>
              <wp:lineTo x="407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4D89">
      <w:rPr>
        <w:rFonts w:ascii="Arial" w:hAnsi="Arial" w:cs="Arial"/>
        <w:b/>
        <w:bCs/>
        <w:sz w:val="24"/>
        <w:szCs w:val="24"/>
      </w:rPr>
      <w:t>Direction Générale du Trésor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CDA"/>
    <w:multiLevelType w:val="hybridMultilevel"/>
    <w:tmpl w:val="7682D4FA"/>
    <w:lvl w:ilvl="0" w:tplc="CD943EA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4A3F"/>
    <w:multiLevelType w:val="hybridMultilevel"/>
    <w:tmpl w:val="DD9423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4CD5"/>
    <w:multiLevelType w:val="hybridMultilevel"/>
    <w:tmpl w:val="F6AE1A88"/>
    <w:lvl w:ilvl="0" w:tplc="C834254A">
      <w:start w:val="202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07787"/>
    <w:multiLevelType w:val="hybridMultilevel"/>
    <w:tmpl w:val="421C76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484"/>
    <w:multiLevelType w:val="hybridMultilevel"/>
    <w:tmpl w:val="81A04450"/>
    <w:lvl w:ilvl="0" w:tplc="C1E400BC">
      <w:start w:val="3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4180"/>
    <w:multiLevelType w:val="hybridMultilevel"/>
    <w:tmpl w:val="004003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005FA"/>
    <w:multiLevelType w:val="hybridMultilevel"/>
    <w:tmpl w:val="CE44993A"/>
    <w:lvl w:ilvl="0" w:tplc="ACCA5C06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CEB"/>
    <w:multiLevelType w:val="hybridMultilevel"/>
    <w:tmpl w:val="12E6566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2764F"/>
    <w:multiLevelType w:val="hybridMultilevel"/>
    <w:tmpl w:val="FBEE6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E0BD8"/>
    <w:multiLevelType w:val="hybridMultilevel"/>
    <w:tmpl w:val="0C7E9422"/>
    <w:lvl w:ilvl="0" w:tplc="908610C2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71D6BB1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E4802"/>
    <w:multiLevelType w:val="hybridMultilevel"/>
    <w:tmpl w:val="EFE828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5B7"/>
    <w:multiLevelType w:val="hybridMultilevel"/>
    <w:tmpl w:val="C13A6ADA"/>
    <w:lvl w:ilvl="0" w:tplc="B2866B6E">
      <w:start w:val="14"/>
      <w:numFmt w:val="bullet"/>
      <w:lvlText w:val=""/>
      <w:lvlJc w:val="left"/>
      <w:pPr>
        <w:ind w:left="1080" w:hanging="360"/>
      </w:pPr>
      <w:rPr>
        <w:rFonts w:ascii="Wingdings" w:eastAsia="Calibri" w:hAnsi="Wingdings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B9586C"/>
    <w:multiLevelType w:val="hybridMultilevel"/>
    <w:tmpl w:val="7F52C910"/>
    <w:lvl w:ilvl="0" w:tplc="C1E400BC">
      <w:start w:val="2023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7892"/>
    <w:multiLevelType w:val="hybridMultilevel"/>
    <w:tmpl w:val="32880742"/>
    <w:lvl w:ilvl="0" w:tplc="0A56DD3E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2F4383"/>
    <w:multiLevelType w:val="hybridMultilevel"/>
    <w:tmpl w:val="3760BD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71B91"/>
    <w:multiLevelType w:val="hybridMultilevel"/>
    <w:tmpl w:val="D76A9F58"/>
    <w:lvl w:ilvl="0" w:tplc="ACD018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E7E02"/>
    <w:multiLevelType w:val="hybridMultilevel"/>
    <w:tmpl w:val="B16622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F1CAF"/>
    <w:multiLevelType w:val="hybridMultilevel"/>
    <w:tmpl w:val="9B6851F0"/>
    <w:lvl w:ilvl="0" w:tplc="11E4A9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25952">
      <w:start w:val="6"/>
      <w:numFmt w:val="bullet"/>
      <w:lvlText w:val=""/>
      <w:lvlJc w:val="left"/>
      <w:pPr>
        <w:ind w:left="2160" w:hanging="360"/>
      </w:pPr>
      <w:rPr>
        <w:rFonts w:ascii="Wingdings" w:eastAsiaTheme="minorHAnsi" w:hAnsi="Wingdings" w:cs="Segoe U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46CB6"/>
    <w:multiLevelType w:val="hybridMultilevel"/>
    <w:tmpl w:val="ADDEB8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E9433F"/>
    <w:multiLevelType w:val="hybridMultilevel"/>
    <w:tmpl w:val="4DBC78FA"/>
    <w:lvl w:ilvl="0" w:tplc="BBC2A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03C"/>
    <w:multiLevelType w:val="hybridMultilevel"/>
    <w:tmpl w:val="85E41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D21FD"/>
    <w:multiLevelType w:val="hybridMultilevel"/>
    <w:tmpl w:val="1DC6A5C2"/>
    <w:lvl w:ilvl="0" w:tplc="312CCF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41B79"/>
    <w:multiLevelType w:val="hybridMultilevel"/>
    <w:tmpl w:val="333E2D6C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E633AB5"/>
    <w:multiLevelType w:val="hybridMultilevel"/>
    <w:tmpl w:val="A61AAB4E"/>
    <w:lvl w:ilvl="0" w:tplc="BEECF8AC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94A0D"/>
    <w:multiLevelType w:val="hybridMultilevel"/>
    <w:tmpl w:val="4F7CB7B8"/>
    <w:lvl w:ilvl="0" w:tplc="95AC8088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color w:val="808080" w:themeColor="background1" w:themeShade="80"/>
        <w:sz w:val="8"/>
        <w:szCs w:val="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1A3AC5"/>
    <w:multiLevelType w:val="hybridMultilevel"/>
    <w:tmpl w:val="DE725CD2"/>
    <w:lvl w:ilvl="0" w:tplc="C1E400BC">
      <w:start w:val="3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5627B"/>
    <w:multiLevelType w:val="hybridMultilevel"/>
    <w:tmpl w:val="8CD2EA1E"/>
    <w:lvl w:ilvl="0" w:tplc="27C64334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B5E4B"/>
    <w:multiLevelType w:val="hybridMultilevel"/>
    <w:tmpl w:val="7CD205DE"/>
    <w:lvl w:ilvl="0" w:tplc="6B82F020">
      <w:start w:val="2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33BA2"/>
    <w:multiLevelType w:val="hybridMultilevel"/>
    <w:tmpl w:val="E05A9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37A04"/>
    <w:multiLevelType w:val="hybridMultilevel"/>
    <w:tmpl w:val="32B23BFE"/>
    <w:lvl w:ilvl="0" w:tplc="5BA4226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902FB"/>
    <w:multiLevelType w:val="hybridMultilevel"/>
    <w:tmpl w:val="E9DC1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7"/>
  </w:num>
  <w:num w:numId="5">
    <w:abstractNumId w:val="18"/>
  </w:num>
  <w:num w:numId="6">
    <w:abstractNumId w:val="2"/>
  </w:num>
  <w:num w:numId="7">
    <w:abstractNumId w:val="12"/>
  </w:num>
  <w:num w:numId="8">
    <w:abstractNumId w:val="22"/>
  </w:num>
  <w:num w:numId="9">
    <w:abstractNumId w:val="4"/>
  </w:num>
  <w:num w:numId="10">
    <w:abstractNumId w:val="25"/>
  </w:num>
  <w:num w:numId="11">
    <w:abstractNumId w:val="15"/>
  </w:num>
  <w:num w:numId="12">
    <w:abstractNumId w:val="13"/>
  </w:num>
  <w:num w:numId="13">
    <w:abstractNumId w:val="10"/>
  </w:num>
  <w:num w:numId="14">
    <w:abstractNumId w:val="26"/>
  </w:num>
  <w:num w:numId="15">
    <w:abstractNumId w:val="23"/>
  </w:num>
  <w:num w:numId="16">
    <w:abstractNumId w:val="29"/>
  </w:num>
  <w:num w:numId="17">
    <w:abstractNumId w:val="14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0"/>
  </w:num>
  <w:num w:numId="23">
    <w:abstractNumId w:val="11"/>
  </w:num>
  <w:num w:numId="24">
    <w:abstractNumId w:val="16"/>
  </w:num>
  <w:num w:numId="25">
    <w:abstractNumId w:val="19"/>
  </w:num>
  <w:num w:numId="26">
    <w:abstractNumId w:val="24"/>
  </w:num>
  <w:num w:numId="27">
    <w:abstractNumId w:val="30"/>
  </w:num>
  <w:num w:numId="28">
    <w:abstractNumId w:val="6"/>
  </w:num>
  <w:num w:numId="29">
    <w:abstractNumId w:val="28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89"/>
    <w:rsid w:val="000110C6"/>
    <w:rsid w:val="00022E1F"/>
    <w:rsid w:val="00025E01"/>
    <w:rsid w:val="00030C67"/>
    <w:rsid w:val="00036EB9"/>
    <w:rsid w:val="00050892"/>
    <w:rsid w:val="0005284B"/>
    <w:rsid w:val="000612A3"/>
    <w:rsid w:val="00070456"/>
    <w:rsid w:val="000724FA"/>
    <w:rsid w:val="00072B1D"/>
    <w:rsid w:val="00080671"/>
    <w:rsid w:val="000B1560"/>
    <w:rsid w:val="000B1AED"/>
    <w:rsid w:val="000B695A"/>
    <w:rsid w:val="000D0B85"/>
    <w:rsid w:val="000D37E5"/>
    <w:rsid w:val="000D6D56"/>
    <w:rsid w:val="000E6971"/>
    <w:rsid w:val="000E736C"/>
    <w:rsid w:val="00105199"/>
    <w:rsid w:val="00114982"/>
    <w:rsid w:val="0011753E"/>
    <w:rsid w:val="0014190D"/>
    <w:rsid w:val="00154CE5"/>
    <w:rsid w:val="00163680"/>
    <w:rsid w:val="00171ACD"/>
    <w:rsid w:val="00192CC3"/>
    <w:rsid w:val="0019754E"/>
    <w:rsid w:val="001A286D"/>
    <w:rsid w:val="001A28AC"/>
    <w:rsid w:val="001C2850"/>
    <w:rsid w:val="001E17E5"/>
    <w:rsid w:val="001F48C0"/>
    <w:rsid w:val="001F560C"/>
    <w:rsid w:val="00207270"/>
    <w:rsid w:val="00210AE9"/>
    <w:rsid w:val="00213778"/>
    <w:rsid w:val="00214283"/>
    <w:rsid w:val="00221CF6"/>
    <w:rsid w:val="002238B7"/>
    <w:rsid w:val="00225A61"/>
    <w:rsid w:val="0023043D"/>
    <w:rsid w:val="00234663"/>
    <w:rsid w:val="00241BCA"/>
    <w:rsid w:val="00244AC1"/>
    <w:rsid w:val="00245391"/>
    <w:rsid w:val="0026025C"/>
    <w:rsid w:val="0026113D"/>
    <w:rsid w:val="002673A4"/>
    <w:rsid w:val="00272840"/>
    <w:rsid w:val="00286062"/>
    <w:rsid w:val="00286275"/>
    <w:rsid w:val="00297444"/>
    <w:rsid w:val="002B244F"/>
    <w:rsid w:val="002C6073"/>
    <w:rsid w:val="002D676F"/>
    <w:rsid w:val="002F4D78"/>
    <w:rsid w:val="0031338D"/>
    <w:rsid w:val="00324178"/>
    <w:rsid w:val="0032779E"/>
    <w:rsid w:val="00352BF5"/>
    <w:rsid w:val="00352EA7"/>
    <w:rsid w:val="00390AE0"/>
    <w:rsid w:val="003A585D"/>
    <w:rsid w:val="003B18DA"/>
    <w:rsid w:val="003B1B37"/>
    <w:rsid w:val="003C0E0B"/>
    <w:rsid w:val="003C1F1D"/>
    <w:rsid w:val="003C4F66"/>
    <w:rsid w:val="003D0279"/>
    <w:rsid w:val="003E1B97"/>
    <w:rsid w:val="003E7005"/>
    <w:rsid w:val="003F3E86"/>
    <w:rsid w:val="003F58FE"/>
    <w:rsid w:val="00412EE5"/>
    <w:rsid w:val="00424D9D"/>
    <w:rsid w:val="00425951"/>
    <w:rsid w:val="00432AC3"/>
    <w:rsid w:val="00437E5D"/>
    <w:rsid w:val="00442953"/>
    <w:rsid w:val="0044765D"/>
    <w:rsid w:val="00450837"/>
    <w:rsid w:val="00464142"/>
    <w:rsid w:val="00466A01"/>
    <w:rsid w:val="00471A7E"/>
    <w:rsid w:val="0047242A"/>
    <w:rsid w:val="00482A68"/>
    <w:rsid w:val="004919DD"/>
    <w:rsid w:val="004A16BF"/>
    <w:rsid w:val="004B3EBC"/>
    <w:rsid w:val="004C6302"/>
    <w:rsid w:val="004E4C2C"/>
    <w:rsid w:val="004F22CE"/>
    <w:rsid w:val="00513602"/>
    <w:rsid w:val="00515494"/>
    <w:rsid w:val="00515685"/>
    <w:rsid w:val="00526D49"/>
    <w:rsid w:val="00530FA2"/>
    <w:rsid w:val="005315D2"/>
    <w:rsid w:val="00540FEC"/>
    <w:rsid w:val="005567FD"/>
    <w:rsid w:val="00560EC1"/>
    <w:rsid w:val="00561D50"/>
    <w:rsid w:val="005846D8"/>
    <w:rsid w:val="005B286C"/>
    <w:rsid w:val="005B2AB4"/>
    <w:rsid w:val="005E42E9"/>
    <w:rsid w:val="005F3435"/>
    <w:rsid w:val="005F4578"/>
    <w:rsid w:val="006026C1"/>
    <w:rsid w:val="00607E6B"/>
    <w:rsid w:val="00611A48"/>
    <w:rsid w:val="00626034"/>
    <w:rsid w:val="00626AC1"/>
    <w:rsid w:val="006341A4"/>
    <w:rsid w:val="006419A0"/>
    <w:rsid w:val="00657346"/>
    <w:rsid w:val="0067730D"/>
    <w:rsid w:val="00691844"/>
    <w:rsid w:val="00693EF6"/>
    <w:rsid w:val="00694AEF"/>
    <w:rsid w:val="00695217"/>
    <w:rsid w:val="006A688C"/>
    <w:rsid w:val="006B589E"/>
    <w:rsid w:val="006D0D19"/>
    <w:rsid w:val="006E3BA1"/>
    <w:rsid w:val="006F6A43"/>
    <w:rsid w:val="006F773C"/>
    <w:rsid w:val="007242CE"/>
    <w:rsid w:val="0072731C"/>
    <w:rsid w:val="00737E99"/>
    <w:rsid w:val="00742C5F"/>
    <w:rsid w:val="0074658E"/>
    <w:rsid w:val="00761836"/>
    <w:rsid w:val="0077069A"/>
    <w:rsid w:val="00770897"/>
    <w:rsid w:val="00774ECB"/>
    <w:rsid w:val="00782002"/>
    <w:rsid w:val="00784F82"/>
    <w:rsid w:val="00792ADB"/>
    <w:rsid w:val="00795026"/>
    <w:rsid w:val="007A2492"/>
    <w:rsid w:val="007A36B2"/>
    <w:rsid w:val="007A3A2E"/>
    <w:rsid w:val="007B7E58"/>
    <w:rsid w:val="007D43A8"/>
    <w:rsid w:val="007E07E6"/>
    <w:rsid w:val="00802BA8"/>
    <w:rsid w:val="00802EEC"/>
    <w:rsid w:val="008140D2"/>
    <w:rsid w:val="00816379"/>
    <w:rsid w:val="00847985"/>
    <w:rsid w:val="008564C8"/>
    <w:rsid w:val="008602BA"/>
    <w:rsid w:val="0086439F"/>
    <w:rsid w:val="008A052B"/>
    <w:rsid w:val="008A5011"/>
    <w:rsid w:val="008C0529"/>
    <w:rsid w:val="008D2B07"/>
    <w:rsid w:val="008D3EF7"/>
    <w:rsid w:val="008E3D9F"/>
    <w:rsid w:val="008E4BBA"/>
    <w:rsid w:val="008E72AA"/>
    <w:rsid w:val="008F00EB"/>
    <w:rsid w:val="008F510F"/>
    <w:rsid w:val="009018D2"/>
    <w:rsid w:val="009033FE"/>
    <w:rsid w:val="00913258"/>
    <w:rsid w:val="00914864"/>
    <w:rsid w:val="009154C0"/>
    <w:rsid w:val="009254B1"/>
    <w:rsid w:val="0094762A"/>
    <w:rsid w:val="00950864"/>
    <w:rsid w:val="009737B3"/>
    <w:rsid w:val="009750C0"/>
    <w:rsid w:val="009D007E"/>
    <w:rsid w:val="009D2D0A"/>
    <w:rsid w:val="009F4777"/>
    <w:rsid w:val="009F6928"/>
    <w:rsid w:val="009F7F74"/>
    <w:rsid w:val="00A01AAC"/>
    <w:rsid w:val="00A05A5A"/>
    <w:rsid w:val="00A072F4"/>
    <w:rsid w:val="00A72609"/>
    <w:rsid w:val="00A7701C"/>
    <w:rsid w:val="00A81911"/>
    <w:rsid w:val="00A94D89"/>
    <w:rsid w:val="00A95589"/>
    <w:rsid w:val="00AA72D9"/>
    <w:rsid w:val="00AD1F74"/>
    <w:rsid w:val="00AE75D2"/>
    <w:rsid w:val="00AF397E"/>
    <w:rsid w:val="00AF3E63"/>
    <w:rsid w:val="00AF6E9B"/>
    <w:rsid w:val="00B054C2"/>
    <w:rsid w:val="00B20A65"/>
    <w:rsid w:val="00B23F02"/>
    <w:rsid w:val="00B27668"/>
    <w:rsid w:val="00B455EE"/>
    <w:rsid w:val="00B468A5"/>
    <w:rsid w:val="00B54BB0"/>
    <w:rsid w:val="00B67601"/>
    <w:rsid w:val="00B6798F"/>
    <w:rsid w:val="00B738B3"/>
    <w:rsid w:val="00B774C6"/>
    <w:rsid w:val="00B92339"/>
    <w:rsid w:val="00BB105B"/>
    <w:rsid w:val="00BD65FA"/>
    <w:rsid w:val="00BE0D89"/>
    <w:rsid w:val="00BF52BE"/>
    <w:rsid w:val="00BF7D86"/>
    <w:rsid w:val="00C02836"/>
    <w:rsid w:val="00C032D9"/>
    <w:rsid w:val="00C10141"/>
    <w:rsid w:val="00C1549B"/>
    <w:rsid w:val="00C165FF"/>
    <w:rsid w:val="00C276B9"/>
    <w:rsid w:val="00C31E59"/>
    <w:rsid w:val="00C37E51"/>
    <w:rsid w:val="00C44385"/>
    <w:rsid w:val="00C46870"/>
    <w:rsid w:val="00C503BD"/>
    <w:rsid w:val="00C57A54"/>
    <w:rsid w:val="00C63C39"/>
    <w:rsid w:val="00C75556"/>
    <w:rsid w:val="00C7740D"/>
    <w:rsid w:val="00C80488"/>
    <w:rsid w:val="00C81CD1"/>
    <w:rsid w:val="00C84440"/>
    <w:rsid w:val="00C95EB2"/>
    <w:rsid w:val="00CA08C5"/>
    <w:rsid w:val="00CA6022"/>
    <w:rsid w:val="00CB0EBF"/>
    <w:rsid w:val="00CB45A8"/>
    <w:rsid w:val="00CB5A32"/>
    <w:rsid w:val="00CC0770"/>
    <w:rsid w:val="00CC530B"/>
    <w:rsid w:val="00CC6144"/>
    <w:rsid w:val="00CD49D9"/>
    <w:rsid w:val="00D13FFE"/>
    <w:rsid w:val="00D23F21"/>
    <w:rsid w:val="00D26A16"/>
    <w:rsid w:val="00D40B37"/>
    <w:rsid w:val="00D442D1"/>
    <w:rsid w:val="00D51981"/>
    <w:rsid w:val="00D53D5F"/>
    <w:rsid w:val="00D57E91"/>
    <w:rsid w:val="00D65809"/>
    <w:rsid w:val="00D803DC"/>
    <w:rsid w:val="00D84B74"/>
    <w:rsid w:val="00D87201"/>
    <w:rsid w:val="00D95A9B"/>
    <w:rsid w:val="00DA6A49"/>
    <w:rsid w:val="00DB04B5"/>
    <w:rsid w:val="00DB3257"/>
    <w:rsid w:val="00DD5D54"/>
    <w:rsid w:val="00DE6FB4"/>
    <w:rsid w:val="00E1211D"/>
    <w:rsid w:val="00E20EB2"/>
    <w:rsid w:val="00E41301"/>
    <w:rsid w:val="00E605C7"/>
    <w:rsid w:val="00E64947"/>
    <w:rsid w:val="00E65DBB"/>
    <w:rsid w:val="00E771C5"/>
    <w:rsid w:val="00E77C69"/>
    <w:rsid w:val="00E90CA5"/>
    <w:rsid w:val="00EA5813"/>
    <w:rsid w:val="00EB1342"/>
    <w:rsid w:val="00EB645B"/>
    <w:rsid w:val="00EC3204"/>
    <w:rsid w:val="00EC711E"/>
    <w:rsid w:val="00ED0A5E"/>
    <w:rsid w:val="00ED5631"/>
    <w:rsid w:val="00EE0812"/>
    <w:rsid w:val="00EE0EB8"/>
    <w:rsid w:val="00EE2EC3"/>
    <w:rsid w:val="00EF0DE3"/>
    <w:rsid w:val="00EF702E"/>
    <w:rsid w:val="00F02CA1"/>
    <w:rsid w:val="00F072B4"/>
    <w:rsid w:val="00F07A95"/>
    <w:rsid w:val="00F16CEC"/>
    <w:rsid w:val="00F225A5"/>
    <w:rsid w:val="00F3113B"/>
    <w:rsid w:val="00F3329F"/>
    <w:rsid w:val="00F45D29"/>
    <w:rsid w:val="00F54393"/>
    <w:rsid w:val="00F668DF"/>
    <w:rsid w:val="00F73EA8"/>
    <w:rsid w:val="00F75429"/>
    <w:rsid w:val="00F76685"/>
    <w:rsid w:val="00F802B0"/>
    <w:rsid w:val="00F82D89"/>
    <w:rsid w:val="00F96989"/>
    <w:rsid w:val="00F972B0"/>
    <w:rsid w:val="00FA1C21"/>
    <w:rsid w:val="00FA749D"/>
    <w:rsid w:val="00FB0CCF"/>
    <w:rsid w:val="00FC41E8"/>
    <w:rsid w:val="00FE33C8"/>
    <w:rsid w:val="00FE4D4A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9751"/>
  <w15:docId w15:val="{940A7D60-FD88-4E6C-BAD2-6BFD4741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D89"/>
  </w:style>
  <w:style w:type="paragraph" w:styleId="Titre1">
    <w:name w:val="heading 1"/>
    <w:basedOn w:val="Normal"/>
    <w:next w:val="Normal"/>
    <w:link w:val="Titre1Car"/>
    <w:uiPriority w:val="9"/>
    <w:qFormat/>
    <w:rsid w:val="00E77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4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D89"/>
  </w:style>
  <w:style w:type="table" w:styleId="Grilledutableau">
    <w:name w:val="Table Grid"/>
    <w:basedOn w:val="TableauNormal"/>
    <w:rsid w:val="00A9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Paragraphe de liste11,Paragraphe de liste1,Colorful List Accent 1,List Paragraph (numbered (a)),List_Paragraph,Multilevel para_II,List Paragraph1,Colorful List - Accent 11,Dot pt,No Spacing1,Indicator Text,L,List Paragraph,Puce,3"/>
    <w:basedOn w:val="Normal"/>
    <w:link w:val="ParagraphedelisteCar"/>
    <w:uiPriority w:val="34"/>
    <w:qFormat/>
    <w:rsid w:val="00A94D89"/>
    <w:pPr>
      <w:ind w:left="720"/>
      <w:contextualSpacing/>
    </w:pPr>
  </w:style>
  <w:style w:type="character" w:customStyle="1" w:styleId="ParagraphedelisteCar">
    <w:name w:val="Paragraphe de liste Car"/>
    <w:aliases w:val="EC Car,Paragraphe de liste11 Car,Paragraphe de liste1 Car,Colorful List Accent 1 Car,List Paragraph (numbered (a)) Car,List_Paragraph Car,Multilevel para_II Car,List Paragraph1 Car,Colorful List - Accent 11 Car,Dot pt Car,L Car"/>
    <w:basedOn w:val="Policepardfaut"/>
    <w:link w:val="Paragraphedeliste"/>
    <w:uiPriority w:val="34"/>
    <w:qFormat/>
    <w:rsid w:val="00A94D89"/>
  </w:style>
  <w:style w:type="paragraph" w:styleId="Notedebasdepage">
    <w:name w:val="footnote text"/>
    <w:basedOn w:val="Normal"/>
    <w:link w:val="NotedebasdepageCar"/>
    <w:uiPriority w:val="99"/>
    <w:unhideWhenUsed/>
    <w:rsid w:val="00A94D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94D89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A94D8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ED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37E5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23F02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46414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1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9A0"/>
  </w:style>
  <w:style w:type="character" w:styleId="Mentionnonrsolue">
    <w:name w:val="Unresolved Mention"/>
    <w:basedOn w:val="Policepardfaut"/>
    <w:uiPriority w:val="99"/>
    <w:semiHidden/>
    <w:unhideWhenUsed/>
    <w:rsid w:val="00C95EB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77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3624-CD64-444B-8240-1D8D6E71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8521</TotalTime>
  <Pages>2</Pages>
  <Words>946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Maëlys</dc:creator>
  <cp:keywords/>
  <dc:description/>
  <cp:lastModifiedBy>MOULIN Arthur</cp:lastModifiedBy>
  <cp:revision>19</cp:revision>
  <cp:lastPrinted>2023-09-11T09:05:00Z</cp:lastPrinted>
  <dcterms:created xsi:type="dcterms:W3CDTF">2023-07-19T14:04:00Z</dcterms:created>
  <dcterms:modified xsi:type="dcterms:W3CDTF">2023-09-29T15:05:00Z</dcterms:modified>
</cp:coreProperties>
</file>