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553" w:type="dxa"/>
        <w:tblLook w:val="04A0" w:firstRow="1" w:lastRow="0" w:firstColumn="1" w:lastColumn="0" w:noHBand="0" w:noVBand="1"/>
      </w:tblPr>
      <w:tblGrid>
        <w:gridCol w:w="5954"/>
        <w:gridCol w:w="4599"/>
      </w:tblGrid>
      <w:tr w:rsidR="00A94D89" w14:paraId="25CE165A" w14:textId="77777777" w:rsidTr="00B20A65">
        <w:trPr>
          <w:trHeight w:val="142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788F118" w14:textId="77777777" w:rsidR="00A94D89" w:rsidRDefault="00A94D89" w:rsidP="00221CF6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lang w:eastAsia="ja-JP"/>
              </w:rPr>
              <w:t xml:space="preserve">  </w:t>
            </w:r>
            <w:r>
              <w:rPr>
                <w:noProof/>
                <w:lang w:eastAsia="fr-FR"/>
              </w:rPr>
              <w:drawing>
                <wp:inline distT="0" distB="0" distL="0" distR="0" wp14:anchorId="35CE90F7" wp14:editId="509C2327">
                  <wp:extent cx="1616075" cy="910590"/>
                  <wp:effectExtent l="0" t="0" r="3175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5F897" w14:textId="1617334D" w:rsidR="00A94D89" w:rsidRPr="00E25694" w:rsidRDefault="00A94D89" w:rsidP="00221CF6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</w:pPr>
            <w:r w:rsidRPr="00FE7EDE"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  <w:t>2023-</w:t>
            </w:r>
            <w:r w:rsidR="00FE7EDE"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  <w:t>6</w:t>
            </w:r>
            <w:r w:rsidR="00B54BB0">
              <w:rPr>
                <w:rFonts w:ascii="Segoe UI" w:eastAsia="SimSun" w:hAnsi="Segoe UI" w:cs="Segoe UI"/>
                <w:bCs/>
                <w:color w:val="000000" w:themeColor="text1"/>
                <w:sz w:val="16"/>
                <w:szCs w:val="16"/>
                <w:lang w:eastAsia="ja-JP"/>
              </w:rPr>
              <w:t>7</w:t>
            </w:r>
          </w:p>
          <w:p w14:paraId="036E8EA7" w14:textId="77777777" w:rsidR="00A94D89" w:rsidRDefault="00A94D89" w:rsidP="00221CF6">
            <w:pPr>
              <w:tabs>
                <w:tab w:val="left" w:pos="2565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ab/>
            </w:r>
          </w:p>
          <w:p w14:paraId="43634F52" w14:textId="77777777" w:rsidR="00A94D89" w:rsidRDefault="00A94D89" w:rsidP="00221CF6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Ambassade de France en Norvège</w:t>
            </w:r>
          </w:p>
          <w:p w14:paraId="53E6CE89" w14:textId="77777777" w:rsidR="00A94D89" w:rsidRDefault="00A94D89" w:rsidP="00221CF6">
            <w:pPr>
              <w:tabs>
                <w:tab w:val="left" w:pos="3969"/>
              </w:tabs>
              <w:jc w:val="both"/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b/>
                <w:color w:val="000000" w:themeColor="text1"/>
                <w:sz w:val="20"/>
                <w:lang w:eastAsia="ja-JP"/>
              </w:rPr>
              <w:t>Service économique d’Oslo</w:t>
            </w:r>
          </w:p>
          <w:p w14:paraId="588E3E20" w14:textId="77777777" w:rsidR="00A94D89" w:rsidRPr="00D3318F" w:rsidRDefault="00A94D89" w:rsidP="00221CF6">
            <w:pPr>
              <w:tabs>
                <w:tab w:val="left" w:pos="3969"/>
              </w:tabs>
              <w:jc w:val="both"/>
              <w:rPr>
                <w:rFonts w:ascii="Segoe UI" w:hAnsi="Segoe UI" w:cs="Segoe UI"/>
                <w:sz w:val="1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63F24217" w14:textId="77777777" w:rsidR="00A94D89" w:rsidRDefault="00A94D89" w:rsidP="00221CF6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5FDE5ED8" w14:textId="77777777" w:rsidR="00A94D89" w:rsidRDefault="00A94D89" w:rsidP="00221CF6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70E97349" w14:textId="77777777" w:rsidR="00A94D89" w:rsidRDefault="00A94D89" w:rsidP="00221CF6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46F8AA29" w14:textId="77777777" w:rsidR="00A94D89" w:rsidRDefault="00A94D89" w:rsidP="00221CF6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4CA4BD70" w14:textId="77777777" w:rsidR="00A94D89" w:rsidRDefault="00A94D89" w:rsidP="00221CF6">
            <w:pPr>
              <w:tabs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</w:p>
          <w:p w14:paraId="670443A8" w14:textId="6618F8CF" w:rsidR="00A94D89" w:rsidRDefault="00A94D89" w:rsidP="00221CF6">
            <w:pPr>
              <w:tabs>
                <w:tab w:val="center" w:pos="1784"/>
                <w:tab w:val="right" w:pos="3569"/>
                <w:tab w:val="left" w:pos="3969"/>
              </w:tabs>
              <w:jc w:val="right"/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</w:pP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                          </w:t>
            </w: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ab/>
            </w:r>
            <w:r w:rsidRPr="00FE7EDE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Oslo, le</w:t>
            </w:r>
            <w:r w:rsidR="00F76685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</w:t>
            </w:r>
            <w:r w:rsidR="002238B7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11</w:t>
            </w:r>
            <w:r w:rsidR="00471A7E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septembre </w:t>
            </w:r>
            <w:r w:rsidRPr="00FE7EDE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2023</w:t>
            </w:r>
          </w:p>
          <w:p w14:paraId="29A4794C" w14:textId="0F2C8B7A" w:rsidR="00A94D89" w:rsidRDefault="00A94D89" w:rsidP="00FE7EDE">
            <w:pPr>
              <w:tabs>
                <w:tab w:val="left" w:pos="3969"/>
              </w:tabs>
              <w:jc w:val="right"/>
              <w:rPr>
                <w:rFonts w:ascii="Segoe UI" w:hAnsi="Segoe UI" w:cs="Segoe UI"/>
              </w:rPr>
            </w:pPr>
            <w:r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Affaire suivie par : </w:t>
            </w:r>
            <w:r w:rsidR="00B20A65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F</w:t>
            </w:r>
            <w:r w:rsidR="002238B7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.</w:t>
            </w:r>
            <w:r w:rsidR="00B20A65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 xml:space="preserve"> Choblet</w:t>
            </w:r>
            <w:r w:rsidR="002238B7">
              <w:rPr>
                <w:rFonts w:ascii="Segoe UI" w:eastAsia="SimSun" w:hAnsi="Segoe UI" w:cs="Segoe UI"/>
                <w:color w:val="000000" w:themeColor="text1"/>
                <w:sz w:val="20"/>
                <w:lang w:eastAsia="ja-JP"/>
              </w:rPr>
              <w:t>, A. Moulin</w:t>
            </w:r>
          </w:p>
        </w:tc>
      </w:tr>
    </w:tbl>
    <w:p w14:paraId="6614ACE3" w14:textId="77777777" w:rsidR="0032779E" w:rsidRDefault="009750C0" w:rsidP="00F82D89">
      <w:pPr>
        <w:spacing w:after="0"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Fonts w:ascii="Segoe UI" w:hAnsi="Segoe UI" w:cs="Segoe UI"/>
          <w:color w:val="0070C0"/>
          <w:sz w:val="28"/>
          <w:szCs w:val="28"/>
        </w:rPr>
        <w:t xml:space="preserve">Norvège : </w:t>
      </w:r>
      <w:r w:rsidR="007A2492">
        <w:rPr>
          <w:rFonts w:ascii="Segoe UI" w:hAnsi="Segoe UI" w:cs="Segoe UI"/>
          <w:color w:val="0070C0"/>
          <w:sz w:val="28"/>
          <w:szCs w:val="28"/>
        </w:rPr>
        <w:t xml:space="preserve">Inauguration du plus grand parc éolien flottant du monde </w:t>
      </w:r>
    </w:p>
    <w:p w14:paraId="3A2B860A" w14:textId="082D3163" w:rsidR="00CC6144" w:rsidRDefault="007A2492" w:rsidP="0032779E">
      <w:pPr>
        <w:spacing w:line="240" w:lineRule="auto"/>
        <w:jc w:val="center"/>
        <w:rPr>
          <w:rFonts w:ascii="Segoe UI" w:hAnsi="Segoe UI" w:cs="Segoe UI"/>
          <w:color w:val="0070C0"/>
          <w:sz w:val="28"/>
          <w:szCs w:val="28"/>
        </w:rPr>
      </w:pPr>
      <w:r>
        <w:rPr>
          <w:rFonts w:ascii="Segoe UI" w:hAnsi="Segoe UI" w:cs="Segoe UI"/>
          <w:color w:val="0070C0"/>
          <w:sz w:val="28"/>
          <w:szCs w:val="28"/>
        </w:rPr>
        <w:t xml:space="preserve">par le Premier </w:t>
      </w:r>
      <w:r w:rsidR="002238B7">
        <w:rPr>
          <w:rFonts w:ascii="Segoe UI" w:hAnsi="Segoe UI" w:cs="Segoe UI"/>
          <w:color w:val="0070C0"/>
          <w:sz w:val="28"/>
          <w:szCs w:val="28"/>
        </w:rPr>
        <w:t>m</w:t>
      </w:r>
      <w:r>
        <w:rPr>
          <w:rFonts w:ascii="Segoe UI" w:hAnsi="Segoe UI" w:cs="Segoe UI"/>
          <w:color w:val="0070C0"/>
          <w:sz w:val="28"/>
          <w:szCs w:val="28"/>
        </w:rPr>
        <w:t>inistre</w:t>
      </w:r>
      <w:r w:rsidR="00D87201">
        <w:rPr>
          <w:rFonts w:ascii="Segoe UI" w:hAnsi="Segoe UI" w:cs="Segoe UI"/>
          <w:color w:val="0070C0"/>
          <w:sz w:val="28"/>
          <w:szCs w:val="28"/>
        </w:rPr>
        <w:t xml:space="preserve"> norvégien</w:t>
      </w:r>
    </w:p>
    <w:p w14:paraId="06C22D6A" w14:textId="5FA7E0EF" w:rsidR="00EF702E" w:rsidRPr="001F560C" w:rsidRDefault="00AF397E" w:rsidP="002238B7">
      <w:pPr>
        <w:spacing w:after="120" w:line="240" w:lineRule="auto"/>
        <w:jc w:val="both"/>
        <w:rPr>
          <w:rFonts w:ascii="Segoe UI" w:hAnsi="Segoe UI" w:cs="Segoe UI"/>
          <w:i/>
          <w:iCs/>
          <w:color w:val="0070C0"/>
        </w:rPr>
      </w:pPr>
      <w:r w:rsidRPr="001F560C">
        <w:rPr>
          <w:rFonts w:ascii="Segoe UI" w:hAnsi="Segoe UI" w:cs="Segoe UI"/>
          <w:i/>
          <w:iCs/>
          <w:color w:val="0070C0"/>
        </w:rPr>
        <w:t>Le 23 août 2023, le princ</w:t>
      </w:r>
      <w:r w:rsidR="0077069A" w:rsidRPr="001F560C">
        <w:rPr>
          <w:rFonts w:ascii="Segoe UI" w:hAnsi="Segoe UI" w:cs="Segoe UI"/>
          <w:i/>
          <w:iCs/>
          <w:color w:val="0070C0"/>
        </w:rPr>
        <w:t>e</w:t>
      </w:r>
      <w:r w:rsidRPr="001F560C">
        <w:rPr>
          <w:rFonts w:ascii="Segoe UI" w:hAnsi="Segoe UI" w:cs="Segoe UI"/>
          <w:i/>
          <w:iCs/>
          <w:color w:val="0070C0"/>
        </w:rPr>
        <w:t xml:space="preserve"> héritier de Norvège ainsi que le Premier </w:t>
      </w:r>
      <w:r w:rsidR="00245391">
        <w:rPr>
          <w:rFonts w:ascii="Segoe UI" w:hAnsi="Segoe UI" w:cs="Segoe UI"/>
          <w:i/>
          <w:iCs/>
          <w:color w:val="0070C0"/>
        </w:rPr>
        <w:t>m</w:t>
      </w:r>
      <w:r w:rsidRPr="001F560C">
        <w:rPr>
          <w:rFonts w:ascii="Segoe UI" w:hAnsi="Segoe UI" w:cs="Segoe UI"/>
          <w:i/>
          <w:iCs/>
          <w:color w:val="0070C0"/>
        </w:rPr>
        <w:t>inistre Jonas Gahr Støre se sont rendus en mer du Nord pour l’inauguration du parc éolien flottant Hywind Tampen, le plus grand du monde. Qualifiée « d’entrée dans l’histoire » par le P</w:t>
      </w:r>
      <w:r w:rsidR="00245391">
        <w:rPr>
          <w:rFonts w:ascii="Segoe UI" w:hAnsi="Segoe UI" w:cs="Segoe UI"/>
          <w:i/>
          <w:iCs/>
          <w:color w:val="0070C0"/>
        </w:rPr>
        <w:t>remier ministre</w:t>
      </w:r>
      <w:r w:rsidRPr="001F560C">
        <w:rPr>
          <w:rFonts w:ascii="Segoe UI" w:hAnsi="Segoe UI" w:cs="Segoe UI"/>
          <w:i/>
          <w:iCs/>
          <w:color w:val="0070C0"/>
        </w:rPr>
        <w:t xml:space="preserve"> norvégien, la mise en service du parc a pour objectif de fournir une production annuelle de 88</w:t>
      </w:r>
      <w:r w:rsidR="00245391">
        <w:rPr>
          <w:rFonts w:ascii="Segoe UI" w:hAnsi="Segoe UI" w:cs="Segoe UI"/>
          <w:i/>
          <w:iCs/>
          <w:color w:val="0070C0"/>
        </w:rPr>
        <w:t xml:space="preserve"> </w:t>
      </w:r>
      <w:r w:rsidRPr="001F560C">
        <w:rPr>
          <w:rFonts w:ascii="Segoe UI" w:hAnsi="Segoe UI" w:cs="Segoe UI"/>
          <w:i/>
          <w:iCs/>
          <w:color w:val="0070C0"/>
        </w:rPr>
        <w:t>MW</w:t>
      </w:r>
      <w:r w:rsidR="005846D8" w:rsidRPr="001F560C">
        <w:rPr>
          <w:rFonts w:ascii="Segoe UI" w:hAnsi="Segoe UI" w:cs="Segoe UI"/>
          <w:i/>
          <w:iCs/>
          <w:color w:val="0070C0"/>
        </w:rPr>
        <w:t xml:space="preserve">. Celle-ci </w:t>
      </w:r>
      <w:r w:rsidR="0077069A" w:rsidRPr="001F560C">
        <w:rPr>
          <w:rFonts w:ascii="Segoe UI" w:hAnsi="Segoe UI" w:cs="Segoe UI"/>
          <w:i/>
          <w:iCs/>
          <w:color w:val="0070C0"/>
        </w:rPr>
        <w:t xml:space="preserve">sera utilisée pour couvrir 35% des besoins en électricité des deux </w:t>
      </w:r>
      <w:r w:rsidR="00245391">
        <w:rPr>
          <w:rFonts w:ascii="Segoe UI" w:hAnsi="Segoe UI" w:cs="Segoe UI"/>
          <w:i/>
          <w:iCs/>
          <w:color w:val="0070C0"/>
        </w:rPr>
        <w:t>plateformes d’hydrocarbures voisines</w:t>
      </w:r>
      <w:r w:rsidR="0077069A" w:rsidRPr="001F560C">
        <w:rPr>
          <w:rFonts w:ascii="Segoe UI" w:hAnsi="Segoe UI" w:cs="Segoe UI"/>
          <w:i/>
          <w:iCs/>
          <w:color w:val="0070C0"/>
        </w:rPr>
        <w:t xml:space="preserve">, réduisant significativement leur empreinte carbone. </w:t>
      </w:r>
      <w:r w:rsidR="00245391">
        <w:rPr>
          <w:rFonts w:ascii="Segoe UI" w:hAnsi="Segoe UI" w:cs="Segoe UI"/>
          <w:i/>
          <w:iCs/>
          <w:color w:val="0070C0"/>
        </w:rPr>
        <w:t>L</w:t>
      </w:r>
      <w:r w:rsidR="0077069A" w:rsidRPr="001F560C">
        <w:rPr>
          <w:rFonts w:ascii="Segoe UI" w:hAnsi="Segoe UI" w:cs="Segoe UI"/>
          <w:i/>
          <w:iCs/>
          <w:color w:val="0070C0"/>
        </w:rPr>
        <w:t>’inauguration d’Hywind Tampen s’inscrit dans l</w:t>
      </w:r>
      <w:r w:rsidR="00245391">
        <w:rPr>
          <w:rFonts w:ascii="Segoe UI" w:hAnsi="Segoe UI" w:cs="Segoe UI"/>
          <w:i/>
          <w:iCs/>
          <w:color w:val="0070C0"/>
        </w:rPr>
        <w:t>a</w:t>
      </w:r>
      <w:r w:rsidR="0077069A" w:rsidRPr="001F560C">
        <w:rPr>
          <w:rFonts w:ascii="Segoe UI" w:hAnsi="Segoe UI" w:cs="Segoe UI"/>
          <w:i/>
          <w:iCs/>
          <w:color w:val="0070C0"/>
        </w:rPr>
        <w:t xml:space="preserve"> logique norvégienne d’un choix de </w:t>
      </w:r>
      <w:r w:rsidR="00EF0DE3" w:rsidRPr="001F560C">
        <w:rPr>
          <w:rFonts w:ascii="Segoe UI" w:hAnsi="Segoe UI" w:cs="Segoe UI"/>
          <w:i/>
          <w:iCs/>
          <w:color w:val="0070C0"/>
        </w:rPr>
        <w:t>l’énergie éolienne</w:t>
      </w:r>
      <w:r w:rsidR="0077069A" w:rsidRPr="001F560C">
        <w:rPr>
          <w:rFonts w:ascii="Segoe UI" w:hAnsi="Segoe UI" w:cs="Segoe UI"/>
          <w:i/>
          <w:iCs/>
          <w:color w:val="0070C0"/>
        </w:rPr>
        <w:t xml:space="preserve"> </w:t>
      </w:r>
      <w:r w:rsidR="0077069A" w:rsidRPr="00245391">
        <w:rPr>
          <w:rFonts w:ascii="Segoe UI" w:hAnsi="Segoe UI" w:cs="Segoe UI"/>
          <w:color w:val="0070C0"/>
        </w:rPr>
        <w:t>offshore</w:t>
      </w:r>
      <w:r w:rsidR="0077069A" w:rsidRPr="001F560C">
        <w:rPr>
          <w:rFonts w:ascii="Segoe UI" w:hAnsi="Segoe UI" w:cs="Segoe UI"/>
          <w:i/>
          <w:iCs/>
          <w:color w:val="0070C0"/>
        </w:rPr>
        <w:t xml:space="preserve"> comme clé de voûte de l’après-pétrole et gaz</w:t>
      </w:r>
      <w:r w:rsidR="00245391">
        <w:rPr>
          <w:rFonts w:ascii="Segoe UI" w:hAnsi="Segoe UI" w:cs="Segoe UI"/>
          <w:i/>
          <w:iCs/>
          <w:color w:val="0070C0"/>
        </w:rPr>
        <w:t>. L</w:t>
      </w:r>
      <w:r w:rsidR="005B2AB4" w:rsidRPr="001F560C">
        <w:rPr>
          <w:rFonts w:ascii="Segoe UI" w:hAnsi="Segoe UI" w:cs="Segoe UI"/>
          <w:i/>
          <w:iCs/>
          <w:color w:val="0070C0"/>
        </w:rPr>
        <w:t>’éolien offshore est</w:t>
      </w:r>
      <w:r w:rsidR="00EF0DE3" w:rsidRPr="001F560C">
        <w:rPr>
          <w:rFonts w:ascii="Segoe UI" w:hAnsi="Segoe UI" w:cs="Segoe UI"/>
          <w:i/>
          <w:iCs/>
          <w:color w:val="0070C0"/>
        </w:rPr>
        <w:t xml:space="preserve"> </w:t>
      </w:r>
      <w:r w:rsidR="005B2AB4" w:rsidRPr="001F560C">
        <w:rPr>
          <w:rFonts w:ascii="Segoe UI" w:hAnsi="Segoe UI" w:cs="Segoe UI"/>
          <w:i/>
          <w:iCs/>
          <w:color w:val="0070C0"/>
        </w:rPr>
        <w:t>supposé</w:t>
      </w:r>
      <w:r w:rsidR="00EF0DE3" w:rsidRPr="001F560C">
        <w:rPr>
          <w:rFonts w:ascii="Segoe UI" w:hAnsi="Segoe UI" w:cs="Segoe UI"/>
          <w:i/>
          <w:iCs/>
          <w:color w:val="0070C0"/>
        </w:rPr>
        <w:t xml:space="preserve"> </w:t>
      </w:r>
      <w:r w:rsidR="002C6073" w:rsidRPr="001F560C">
        <w:rPr>
          <w:rFonts w:ascii="Segoe UI" w:hAnsi="Segoe UI" w:cs="Segoe UI"/>
          <w:i/>
          <w:iCs/>
          <w:color w:val="0070C0"/>
        </w:rPr>
        <w:t>pourvoir</w:t>
      </w:r>
      <w:r w:rsidR="00EF0DE3" w:rsidRPr="001F560C">
        <w:rPr>
          <w:rFonts w:ascii="Segoe UI" w:hAnsi="Segoe UI" w:cs="Segoe UI"/>
          <w:i/>
          <w:iCs/>
          <w:color w:val="0070C0"/>
        </w:rPr>
        <w:t xml:space="preserve"> à l’horizon 2040</w:t>
      </w:r>
      <w:r w:rsidR="002C6073" w:rsidRPr="001F560C">
        <w:rPr>
          <w:rFonts w:ascii="Segoe UI" w:hAnsi="Segoe UI" w:cs="Segoe UI"/>
          <w:i/>
          <w:iCs/>
          <w:color w:val="0070C0"/>
        </w:rPr>
        <w:t xml:space="preserve"> </w:t>
      </w:r>
      <w:r w:rsidR="008E3D9F">
        <w:rPr>
          <w:rFonts w:ascii="Segoe UI" w:hAnsi="Segoe UI" w:cs="Segoe UI"/>
          <w:i/>
          <w:iCs/>
          <w:color w:val="0070C0"/>
        </w:rPr>
        <w:t>aux</w:t>
      </w:r>
      <w:r w:rsidR="00EF0DE3" w:rsidRPr="001F560C">
        <w:rPr>
          <w:rFonts w:ascii="Segoe UI" w:hAnsi="Segoe UI" w:cs="Segoe UI"/>
          <w:i/>
          <w:iCs/>
          <w:color w:val="0070C0"/>
        </w:rPr>
        <w:t xml:space="preserve"> trois quarts des besoins en électricité du pays</w:t>
      </w:r>
      <w:r w:rsidR="008E3D9F">
        <w:rPr>
          <w:rFonts w:ascii="Segoe UI" w:hAnsi="Segoe UI" w:cs="Segoe UI"/>
          <w:i/>
          <w:iCs/>
          <w:color w:val="0070C0"/>
        </w:rPr>
        <w:t>, en s’</w:t>
      </w:r>
      <w:r w:rsidR="00286062">
        <w:rPr>
          <w:rFonts w:ascii="Segoe UI" w:hAnsi="Segoe UI" w:cs="Segoe UI"/>
          <w:i/>
          <w:iCs/>
          <w:color w:val="0070C0"/>
        </w:rPr>
        <w:t>appuyant</w:t>
      </w:r>
      <w:r w:rsidR="008E3D9F">
        <w:rPr>
          <w:rFonts w:ascii="Segoe UI" w:hAnsi="Segoe UI" w:cs="Segoe UI"/>
          <w:i/>
          <w:iCs/>
          <w:color w:val="0070C0"/>
        </w:rPr>
        <w:t xml:space="preserve"> sur une baisse continue des coûts de production. Ce secteur présente des opportunités importantes pour </w:t>
      </w:r>
      <w:r w:rsidR="008D3EF7" w:rsidRPr="001F560C">
        <w:rPr>
          <w:rFonts w:ascii="Segoe UI" w:hAnsi="Segoe UI" w:cs="Segoe UI"/>
          <w:i/>
          <w:iCs/>
          <w:color w:val="0070C0"/>
        </w:rPr>
        <w:t xml:space="preserve">les </w:t>
      </w:r>
      <w:r w:rsidR="008E3D9F">
        <w:rPr>
          <w:rFonts w:ascii="Segoe UI" w:hAnsi="Segoe UI" w:cs="Segoe UI"/>
          <w:i/>
          <w:iCs/>
          <w:color w:val="0070C0"/>
        </w:rPr>
        <w:t xml:space="preserve">grands </w:t>
      </w:r>
      <w:r w:rsidR="008D3EF7" w:rsidRPr="001F560C">
        <w:rPr>
          <w:rFonts w:ascii="Segoe UI" w:hAnsi="Segoe UI" w:cs="Segoe UI"/>
          <w:i/>
          <w:iCs/>
          <w:color w:val="0070C0"/>
        </w:rPr>
        <w:t>groupes français</w:t>
      </w:r>
      <w:r w:rsidR="008E3D9F">
        <w:rPr>
          <w:rFonts w:ascii="Segoe UI" w:hAnsi="Segoe UI" w:cs="Segoe UI"/>
          <w:i/>
          <w:iCs/>
          <w:color w:val="0070C0"/>
        </w:rPr>
        <w:t>, mais aussi les ETI et PME, comme en témoigne la mission de France Energie Eolienne réalisée les 6-7 septembre dernier</w:t>
      </w:r>
      <w:r w:rsidR="00F225A5">
        <w:rPr>
          <w:rFonts w:ascii="Segoe UI" w:hAnsi="Segoe UI" w:cs="Segoe UI"/>
          <w:i/>
          <w:iCs/>
          <w:color w:val="0070C0"/>
        </w:rPr>
        <w:t>s</w:t>
      </w:r>
      <w:r w:rsidR="008E3D9F">
        <w:rPr>
          <w:rFonts w:ascii="Segoe UI" w:hAnsi="Segoe UI" w:cs="Segoe UI"/>
          <w:i/>
          <w:iCs/>
          <w:color w:val="0070C0"/>
        </w:rPr>
        <w:t xml:space="preserve">. </w:t>
      </w:r>
    </w:p>
    <w:p w14:paraId="2A22A9A1" w14:textId="0300E683" w:rsidR="00425951" w:rsidRPr="001F560C" w:rsidRDefault="00EF702E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220E68FF" wp14:editId="18798F02">
                <wp:extent cx="6619875" cy="429370"/>
                <wp:effectExtent l="0" t="0" r="9525" b="889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937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0467" w14:textId="068945C8" w:rsidR="00EF702E" w:rsidRPr="00FC41E8" w:rsidRDefault="00742C5F" w:rsidP="00FC41E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1077"/>
                              <w:jc w:val="both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C41E8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Hywind Tampen, </w:t>
                            </w:r>
                            <w:r w:rsidR="00FC41E8" w:rsidRPr="00FC41E8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premier </w:t>
                            </w:r>
                            <w:r w:rsidR="00FC41E8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champ</w:t>
                            </w:r>
                            <w:r w:rsidR="00FC41E8" w:rsidRPr="00FC41E8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6B2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éolien</w:t>
                            </w:r>
                            <w:r w:rsidR="00FC41E8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A36B2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flottant </w:t>
                            </w:r>
                            <w:r w:rsidR="00FC41E8" w:rsidRPr="006F773C">
                              <w:rPr>
                                <w:rFonts w:ascii="Segoe UI Historic" w:hAnsi="Segoe UI Historic" w:cs="Segoe UI Historic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offshore</w:t>
                            </w:r>
                            <w:r w:rsidR="00FC41E8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au monde</w:t>
                            </w:r>
                            <w:r w:rsidR="006F773C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renforce les positions d’Equinor et de la Norvège dans la transition énergétique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0E68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521.2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" fillcolor="#006ce5" stroked="f">
                <v:textbox>
                  <w:txbxContent>
                    <w:p w14:paraId="337A0467" w14:textId="068945C8" w:rsidR="00EF702E" w:rsidRPr="00FC41E8" w:rsidRDefault="00742C5F" w:rsidP="00FC41E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exact"/>
                        <w:ind w:left="1077"/>
                        <w:jc w:val="both"/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C41E8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Hywind Tampen, </w:t>
                      </w:r>
                      <w:r w:rsidR="00FC41E8" w:rsidRPr="00FC41E8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premier </w:t>
                      </w:r>
                      <w:r w:rsidR="00FC41E8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champ</w:t>
                      </w:r>
                      <w:r w:rsidR="00FC41E8" w:rsidRPr="00FC41E8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A36B2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éolien</w:t>
                      </w:r>
                      <w:r w:rsidR="00FC41E8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7A36B2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flottant </w:t>
                      </w:r>
                      <w:r w:rsidR="00FC41E8" w:rsidRPr="006F773C">
                        <w:rPr>
                          <w:rFonts w:ascii="Segoe UI Historic" w:hAnsi="Segoe UI Historic" w:cs="Segoe UI Historic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offshore</w:t>
                      </w:r>
                      <w:r w:rsidR="00FC41E8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 au monde</w:t>
                      </w:r>
                      <w:r w:rsidR="006F773C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 renforce les positions d’Equinor et de la Norvège dans la transition énergétique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95410A" w14:textId="0A839B44" w:rsidR="004F22CE" w:rsidRPr="001F560C" w:rsidRDefault="006F773C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>L</w:t>
      </w:r>
      <w:r w:rsidR="00AF397E" w:rsidRPr="001F560C">
        <w:rPr>
          <w:rFonts w:ascii="Segoe UI" w:eastAsia="Calibri" w:hAnsi="Segoe UI" w:cs="Segoe UI"/>
          <w:b/>
          <w:bCs/>
        </w:rPr>
        <w:t>e champ d’éoliennes</w:t>
      </w:r>
      <w:r w:rsidR="00CB0EBF" w:rsidRPr="001F560C">
        <w:rPr>
          <w:rFonts w:ascii="Segoe UI" w:eastAsia="Calibri" w:hAnsi="Segoe UI" w:cs="Segoe UI"/>
          <w:b/>
          <w:bCs/>
        </w:rPr>
        <w:t xml:space="preserve"> d’Hywind Tampen</w:t>
      </w:r>
      <w:r w:rsidR="00AF397E" w:rsidRPr="001F560C">
        <w:rPr>
          <w:rFonts w:ascii="Segoe UI" w:eastAsia="Calibri" w:hAnsi="Segoe UI" w:cs="Segoe UI"/>
          <w:b/>
          <w:bCs/>
        </w:rPr>
        <w:t xml:space="preserve"> est désormais </w:t>
      </w:r>
      <w:r w:rsidR="00CB0EBF" w:rsidRPr="001F560C">
        <w:rPr>
          <w:rFonts w:ascii="Segoe UI" w:eastAsia="Calibri" w:hAnsi="Segoe UI" w:cs="Segoe UI"/>
          <w:b/>
          <w:bCs/>
        </w:rPr>
        <w:t xml:space="preserve">le plus grand parc </w:t>
      </w:r>
      <w:r w:rsidR="00AF397E" w:rsidRPr="001F560C">
        <w:rPr>
          <w:rFonts w:ascii="Segoe UI" w:eastAsia="Calibri" w:hAnsi="Segoe UI" w:cs="Segoe UI"/>
          <w:b/>
          <w:bCs/>
          <w:i/>
          <w:iCs/>
        </w:rPr>
        <w:t>offshore</w:t>
      </w:r>
      <w:r w:rsidR="00CB0EBF" w:rsidRPr="001F560C">
        <w:rPr>
          <w:rFonts w:ascii="Segoe UI" w:eastAsia="Calibri" w:hAnsi="Segoe UI" w:cs="Segoe UI"/>
          <w:b/>
          <w:bCs/>
          <w:i/>
          <w:iCs/>
        </w:rPr>
        <w:t xml:space="preserve"> </w:t>
      </w:r>
      <w:r w:rsidR="00CB0EBF" w:rsidRPr="001F560C">
        <w:rPr>
          <w:rFonts w:ascii="Segoe UI" w:eastAsia="Calibri" w:hAnsi="Segoe UI" w:cs="Segoe UI"/>
          <w:b/>
          <w:bCs/>
        </w:rPr>
        <w:t xml:space="preserve">flottant au </w:t>
      </w:r>
      <w:r w:rsidR="00C032D9" w:rsidRPr="001F560C">
        <w:rPr>
          <w:rFonts w:ascii="Segoe UI" w:eastAsia="Calibri" w:hAnsi="Segoe UI" w:cs="Segoe UI"/>
          <w:b/>
          <w:bCs/>
        </w:rPr>
        <w:t>monde</w:t>
      </w:r>
      <w:r w:rsidR="00CB0EBF" w:rsidRPr="001F560C">
        <w:rPr>
          <w:rFonts w:ascii="Segoe UI" w:eastAsia="Calibri" w:hAnsi="Segoe UI" w:cs="Segoe UI"/>
        </w:rPr>
        <w:t xml:space="preserve">. Cet ensemble constitué de 11 turbines d’une puissance unitaire de 8,6 MW est situé </w:t>
      </w:r>
      <w:r w:rsidR="00324178" w:rsidRPr="001F560C">
        <w:rPr>
          <w:rFonts w:ascii="Segoe UI" w:eastAsia="Calibri" w:hAnsi="Segoe UI" w:cs="Segoe UI"/>
        </w:rPr>
        <w:t xml:space="preserve">à </w:t>
      </w:r>
      <w:r w:rsidR="00CB0EBF" w:rsidRPr="001F560C">
        <w:rPr>
          <w:rFonts w:ascii="Segoe UI" w:eastAsia="Calibri" w:hAnsi="Segoe UI" w:cs="Segoe UI"/>
        </w:rPr>
        <w:t>140 km des côtes</w:t>
      </w:r>
      <w:r w:rsidR="0014190D" w:rsidRPr="001F560C">
        <w:rPr>
          <w:rFonts w:ascii="Segoe UI" w:eastAsia="Calibri" w:hAnsi="Segoe UI" w:cs="Segoe UI"/>
        </w:rPr>
        <w:t>, entre les sites pétroliers et gaziers de Gullflaks et Snorre. Le champ a pour ambition de fournir en énergie cinq plateformes pétrolières et parapétrolières voisines</w:t>
      </w:r>
      <w:r w:rsidR="000724FA" w:rsidRPr="001F560C">
        <w:rPr>
          <w:rFonts w:ascii="Segoe UI" w:eastAsia="Calibri" w:hAnsi="Segoe UI" w:cs="Segoe UI"/>
        </w:rPr>
        <w:t xml:space="preserve"> à hauteur de 35% de leurs besoins, soit une production de 88 MW l’an, comparée par le PM à la consommation électrique annuelle de 20 000 foyers. </w:t>
      </w:r>
    </w:p>
    <w:p w14:paraId="7F8CCAFA" w14:textId="1CB194B1" w:rsidR="0031338D" w:rsidRPr="001F560C" w:rsidRDefault="006F773C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 xml:space="preserve">La position d’Equinor dans la transition énergétique se trouve renforcée, la société norvégienne opérant désormais 47% de l’éolien flottant mondial. </w:t>
      </w:r>
      <w:r w:rsidRPr="001F560C">
        <w:rPr>
          <w:rFonts w:ascii="Segoe UI" w:eastAsia="Calibri" w:hAnsi="Segoe UI" w:cs="Segoe UI"/>
        </w:rPr>
        <w:t>Cette inauguration</w:t>
      </w:r>
      <w:r w:rsidR="00B455EE" w:rsidRPr="001F560C">
        <w:rPr>
          <w:rFonts w:ascii="Segoe UI" w:eastAsia="Calibri" w:hAnsi="Segoe UI" w:cs="Segoe UI"/>
        </w:rPr>
        <w:t xml:space="preserve"> constitue </w:t>
      </w:r>
      <w:r w:rsidRPr="001F560C">
        <w:rPr>
          <w:rFonts w:ascii="Segoe UI" w:eastAsia="Calibri" w:hAnsi="Segoe UI" w:cs="Segoe UI"/>
        </w:rPr>
        <w:t>un</w:t>
      </w:r>
      <w:r w:rsidR="00B455EE" w:rsidRPr="001F560C">
        <w:rPr>
          <w:rFonts w:ascii="Segoe UI" w:eastAsia="Calibri" w:hAnsi="Segoe UI" w:cs="Segoe UI"/>
        </w:rPr>
        <w:t xml:space="preserve"> point d’ancrage important dans la </w:t>
      </w:r>
      <w:r w:rsidRPr="001F560C">
        <w:rPr>
          <w:rFonts w:ascii="Segoe UI" w:eastAsia="Calibri" w:hAnsi="Segoe UI" w:cs="Segoe UI"/>
        </w:rPr>
        <w:t xml:space="preserve">nouvelle </w:t>
      </w:r>
      <w:r w:rsidR="00B455EE" w:rsidRPr="001F560C">
        <w:rPr>
          <w:rFonts w:ascii="Segoe UI" w:eastAsia="Calibri" w:hAnsi="Segoe UI" w:cs="Segoe UI"/>
        </w:rPr>
        <w:t>stratégie d’Equinor, plus grand</w:t>
      </w:r>
      <w:r w:rsidRPr="001F560C">
        <w:rPr>
          <w:rFonts w:ascii="Segoe UI" w:eastAsia="Calibri" w:hAnsi="Segoe UI" w:cs="Segoe UI"/>
        </w:rPr>
        <w:t xml:space="preserve"> énergéticien et plus grande entreprise du pays</w:t>
      </w:r>
      <w:r w:rsidR="00B455EE" w:rsidRPr="001F560C">
        <w:rPr>
          <w:rFonts w:ascii="Segoe UI" w:eastAsia="Calibri" w:hAnsi="Segoe UI" w:cs="Segoe UI"/>
        </w:rPr>
        <w:t xml:space="preserve">. </w:t>
      </w:r>
      <w:r w:rsidRPr="001F560C">
        <w:rPr>
          <w:rFonts w:ascii="Segoe UI" w:eastAsia="Calibri" w:hAnsi="Segoe UI" w:cs="Segoe UI"/>
        </w:rPr>
        <w:t>L</w:t>
      </w:r>
      <w:r w:rsidR="008F510F" w:rsidRPr="001F560C">
        <w:rPr>
          <w:rFonts w:ascii="Segoe UI" w:eastAsia="Calibri" w:hAnsi="Segoe UI" w:cs="Segoe UI"/>
        </w:rPr>
        <w:t xml:space="preserve">es plateformes de Gullfaks et Snorre sont devenues les premiers champs pétroliers et gaziers au monde à recevoir de l’énergie éolienne </w:t>
      </w:r>
      <w:r w:rsidR="008F510F" w:rsidRPr="001F560C">
        <w:rPr>
          <w:rFonts w:ascii="Segoe UI" w:eastAsia="Calibri" w:hAnsi="Segoe UI" w:cs="Segoe UI"/>
          <w:i/>
          <w:iCs/>
        </w:rPr>
        <w:t>offshore</w:t>
      </w:r>
      <w:r w:rsidR="008F510F" w:rsidRPr="001F560C">
        <w:rPr>
          <w:rFonts w:ascii="Segoe UI" w:eastAsia="Calibri" w:hAnsi="Segoe UI" w:cs="Segoe UI"/>
        </w:rPr>
        <w:t>, réduisant leur empreinte environnementale. L</w:t>
      </w:r>
      <w:r w:rsidR="0047242A" w:rsidRPr="001F560C">
        <w:rPr>
          <w:rFonts w:ascii="Segoe UI" w:eastAsia="Calibri" w:hAnsi="Segoe UI" w:cs="Segoe UI"/>
        </w:rPr>
        <w:t>a baisse d’</w:t>
      </w:r>
      <w:r w:rsidR="008F510F" w:rsidRPr="001F560C">
        <w:rPr>
          <w:rFonts w:ascii="Segoe UI" w:eastAsia="Calibri" w:hAnsi="Segoe UI" w:cs="Segoe UI"/>
        </w:rPr>
        <w:t>émission de polluants s’élèverait à 200 000 tonnes de CO</w:t>
      </w:r>
      <w:r w:rsidRPr="001F560C">
        <w:rPr>
          <w:rFonts w:ascii="Segoe UI" w:eastAsia="Calibri" w:hAnsi="Segoe UI" w:cs="Segoe UI"/>
        </w:rPr>
        <w:t>²</w:t>
      </w:r>
      <w:r w:rsidR="008F510F" w:rsidRPr="001F560C">
        <w:rPr>
          <w:rFonts w:ascii="Segoe UI" w:eastAsia="Calibri" w:hAnsi="Segoe UI" w:cs="Segoe UI"/>
        </w:rPr>
        <w:t xml:space="preserve"> et 1000 tonnes d</w:t>
      </w:r>
      <w:r w:rsidR="009D007E" w:rsidRPr="001F560C">
        <w:rPr>
          <w:rFonts w:ascii="Segoe UI" w:eastAsia="Calibri" w:hAnsi="Segoe UI" w:cs="Segoe UI"/>
        </w:rPr>
        <w:t>e mon</w:t>
      </w:r>
      <w:r w:rsidR="008F510F" w:rsidRPr="001F560C">
        <w:rPr>
          <w:rFonts w:ascii="Segoe UI" w:eastAsia="Calibri" w:hAnsi="Segoe UI" w:cs="Segoe UI"/>
        </w:rPr>
        <w:t>oxyde d’azote par an</w:t>
      </w:r>
      <w:r w:rsidR="005E42E9" w:rsidRPr="001F560C">
        <w:rPr>
          <w:rFonts w:ascii="Segoe UI" w:eastAsia="Calibri" w:hAnsi="Segoe UI" w:cs="Segoe UI"/>
        </w:rPr>
        <w:t xml:space="preserve">. </w:t>
      </w:r>
    </w:p>
    <w:p w14:paraId="6EAE31AA" w14:textId="4D75C677" w:rsidR="008D3EF7" w:rsidRPr="001F560C" w:rsidRDefault="006F773C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 xml:space="preserve">Les ambitions à plus long terme du gouvernement norvégien sont de fournir 30 GW d’énergie éolienne </w:t>
      </w:r>
      <w:r w:rsidRPr="001F560C">
        <w:rPr>
          <w:rFonts w:ascii="Segoe UI" w:eastAsia="Calibri" w:hAnsi="Segoe UI" w:cs="Segoe UI"/>
          <w:b/>
          <w:bCs/>
          <w:i/>
          <w:iCs/>
        </w:rPr>
        <w:t>offshore</w:t>
      </w:r>
      <w:r w:rsidRPr="001F560C">
        <w:rPr>
          <w:rFonts w:ascii="Segoe UI" w:eastAsia="Calibri" w:hAnsi="Segoe UI" w:cs="Segoe UI"/>
          <w:b/>
          <w:bCs/>
        </w:rPr>
        <w:t xml:space="preserve"> dès 2040.</w:t>
      </w:r>
      <w:r w:rsidRPr="001F560C">
        <w:rPr>
          <w:rFonts w:ascii="Segoe UI" w:eastAsia="Calibri" w:hAnsi="Segoe UI" w:cs="Segoe UI"/>
        </w:rPr>
        <w:t xml:space="preserve"> Ceci correspondant à 75% de la consommation énergétique du pays qui est, selon le Premier ministre Johan</w:t>
      </w:r>
      <w:r w:rsidR="001F560C">
        <w:rPr>
          <w:rFonts w:ascii="Segoe UI" w:eastAsia="Calibri" w:hAnsi="Segoe UI" w:cs="Segoe UI"/>
        </w:rPr>
        <w:t xml:space="preserve"> </w:t>
      </w:r>
      <w:r w:rsidRPr="001F560C">
        <w:rPr>
          <w:rFonts w:ascii="Segoe UI" w:eastAsia="Calibri" w:hAnsi="Segoe UI" w:cs="Segoe UI"/>
        </w:rPr>
        <w:t xml:space="preserve">Gahr Støre, l’horizon-clé du « nouveau chapitre de l’histoire énergétique norvégienne ». </w:t>
      </w:r>
      <w:r w:rsidR="00F668DF" w:rsidRPr="001F560C">
        <w:rPr>
          <w:rFonts w:ascii="Segoe UI" w:eastAsia="Calibri" w:hAnsi="Segoe UI" w:cs="Segoe UI"/>
        </w:rPr>
        <w:t xml:space="preserve">Dans son analyse du contexte énergétique actuel, </w:t>
      </w:r>
      <w:r w:rsidRPr="001F560C">
        <w:rPr>
          <w:rFonts w:ascii="Segoe UI" w:eastAsia="Calibri" w:hAnsi="Segoe UI" w:cs="Segoe UI"/>
        </w:rPr>
        <w:t xml:space="preserve">M. Støre </w:t>
      </w:r>
      <w:r w:rsidR="00F668DF" w:rsidRPr="001F560C">
        <w:rPr>
          <w:rFonts w:ascii="Segoe UI" w:eastAsia="Calibri" w:hAnsi="Segoe UI" w:cs="Segoe UI"/>
        </w:rPr>
        <w:t xml:space="preserve">a écarté les débats concernant les prix de l’énergie pour mettre en exergue le fait que « la Norvège </w:t>
      </w:r>
      <w:r w:rsidR="0047242A" w:rsidRPr="001F560C">
        <w:rPr>
          <w:rFonts w:ascii="Segoe UI" w:eastAsia="Calibri" w:hAnsi="Segoe UI" w:cs="Segoe UI"/>
        </w:rPr>
        <w:t>et</w:t>
      </w:r>
      <w:r w:rsidR="00F668DF" w:rsidRPr="001F560C">
        <w:rPr>
          <w:rFonts w:ascii="Segoe UI" w:eastAsia="Calibri" w:hAnsi="Segoe UI" w:cs="Segoe UI"/>
        </w:rPr>
        <w:t xml:space="preserve"> l’Europe ont besoin de </w:t>
      </w:r>
      <w:r w:rsidR="007A36B2" w:rsidRPr="001F560C">
        <w:rPr>
          <w:rFonts w:ascii="Segoe UI" w:eastAsia="Calibri" w:hAnsi="Segoe UI" w:cs="Segoe UI"/>
        </w:rPr>
        <w:t>davantage</w:t>
      </w:r>
      <w:r w:rsidR="00F668DF" w:rsidRPr="001F560C">
        <w:rPr>
          <w:rFonts w:ascii="Segoe UI" w:eastAsia="Calibri" w:hAnsi="Segoe UI" w:cs="Segoe UI"/>
        </w:rPr>
        <w:t xml:space="preserve"> d’énergie, cette situation étant renforcée par la guerre en Ukraine »</w:t>
      </w:r>
      <w:r w:rsidRPr="001F560C">
        <w:rPr>
          <w:rFonts w:ascii="Segoe UI" w:eastAsia="Calibri" w:hAnsi="Segoe UI" w:cs="Segoe UI"/>
        </w:rPr>
        <w:t>. Le Premier ministre</w:t>
      </w:r>
      <w:r w:rsidR="00F668DF" w:rsidRPr="001F560C">
        <w:rPr>
          <w:rFonts w:ascii="Segoe UI" w:eastAsia="Calibri" w:hAnsi="Segoe UI" w:cs="Segoe UI"/>
        </w:rPr>
        <w:t xml:space="preserve"> a mis l’accent sur le caractère </w:t>
      </w:r>
      <w:r w:rsidR="00D803DC" w:rsidRPr="001F560C">
        <w:rPr>
          <w:rFonts w:ascii="Segoe UI" w:eastAsia="Calibri" w:hAnsi="Segoe UI" w:cs="Segoe UI"/>
        </w:rPr>
        <w:t>encore naissant de l’éolien flottant en eaux profondes</w:t>
      </w:r>
      <w:r w:rsidR="00C75556" w:rsidRPr="001F560C">
        <w:rPr>
          <w:rFonts w:ascii="Segoe UI" w:eastAsia="Calibri" w:hAnsi="Segoe UI" w:cs="Segoe UI"/>
        </w:rPr>
        <w:t>, précisant que « ce ne sont encore que les débuts pour cette industrie »</w:t>
      </w:r>
      <w:r w:rsidRPr="001F560C">
        <w:rPr>
          <w:rFonts w:ascii="Segoe UI" w:eastAsia="Calibri" w:hAnsi="Segoe UI" w:cs="Segoe UI"/>
        </w:rPr>
        <w:t>.</w:t>
      </w:r>
      <w:r w:rsidR="00C75556" w:rsidRPr="001F560C">
        <w:rPr>
          <w:rFonts w:ascii="Segoe UI" w:eastAsia="Calibri" w:hAnsi="Segoe UI" w:cs="Segoe UI"/>
        </w:rPr>
        <w:t xml:space="preserve"> </w:t>
      </w:r>
    </w:p>
    <w:p w14:paraId="04BCC54E" w14:textId="0144B1F2" w:rsidR="00424D9D" w:rsidRPr="00286062" w:rsidRDefault="006F773C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>Le projet a dû faire face à une hausse substantielle des coûts de mise en œuvre.</w:t>
      </w:r>
      <w:r w:rsidRPr="001F560C">
        <w:rPr>
          <w:rFonts w:ascii="Segoe UI" w:eastAsia="Calibri" w:hAnsi="Segoe UI" w:cs="Segoe UI"/>
        </w:rPr>
        <w:t xml:space="preserve"> S</w:t>
      </w:r>
      <w:r w:rsidR="00DE6FB4" w:rsidRPr="001F560C">
        <w:rPr>
          <w:rFonts w:ascii="Segoe UI" w:eastAsia="Calibri" w:hAnsi="Segoe UI" w:cs="Segoe UI"/>
        </w:rPr>
        <w:t xml:space="preserve">i l’initiative est considérée positivement par une part significative d’environnementalistes et de l’opinion </w:t>
      </w:r>
      <w:r w:rsidR="00C032D9" w:rsidRPr="001F560C">
        <w:rPr>
          <w:rFonts w:ascii="Segoe UI" w:eastAsia="Calibri" w:hAnsi="Segoe UI" w:cs="Segoe UI"/>
        </w:rPr>
        <w:t>publique</w:t>
      </w:r>
      <w:r w:rsidR="00DE6FB4" w:rsidRPr="001F560C">
        <w:rPr>
          <w:rFonts w:ascii="Segoe UI" w:eastAsia="Calibri" w:hAnsi="Segoe UI" w:cs="Segoe UI"/>
        </w:rPr>
        <w:t xml:space="preserve">, elle a toutefois été récemment décriée </w:t>
      </w:r>
      <w:r w:rsidRPr="001F560C">
        <w:rPr>
          <w:rFonts w:ascii="Segoe UI" w:eastAsia="Calibri" w:hAnsi="Segoe UI" w:cs="Segoe UI"/>
        </w:rPr>
        <w:t>en raison de son coût</w:t>
      </w:r>
      <w:r w:rsidR="00DE6FB4" w:rsidRPr="001F560C">
        <w:rPr>
          <w:rFonts w:ascii="Segoe UI" w:eastAsia="Calibri" w:hAnsi="Segoe UI" w:cs="Segoe UI"/>
        </w:rPr>
        <w:t xml:space="preserve"> </w:t>
      </w:r>
      <w:r w:rsidRPr="001F560C">
        <w:rPr>
          <w:rFonts w:ascii="Segoe UI" w:eastAsia="Calibri" w:hAnsi="Segoe UI" w:cs="Segoe UI"/>
        </w:rPr>
        <w:t>final de 6</w:t>
      </w:r>
      <w:r w:rsidR="00AD1F74" w:rsidRPr="001F560C">
        <w:rPr>
          <w:rFonts w:ascii="Segoe UI" w:eastAsia="Calibri" w:hAnsi="Segoe UI" w:cs="Segoe UI"/>
        </w:rPr>
        <w:t>50</w:t>
      </w:r>
      <w:r w:rsidRPr="001F560C">
        <w:rPr>
          <w:rFonts w:ascii="Segoe UI" w:eastAsia="Calibri" w:hAnsi="Segoe UI" w:cs="Segoe UI"/>
        </w:rPr>
        <w:t xml:space="preserve"> M€ (7,4 Mds NOK), contre une estimation initiale de </w:t>
      </w:r>
      <w:r w:rsidR="00AD1F74" w:rsidRPr="001F560C">
        <w:rPr>
          <w:rFonts w:ascii="Segoe UI" w:eastAsia="Calibri" w:hAnsi="Segoe UI" w:cs="Segoe UI"/>
        </w:rPr>
        <w:t>450</w:t>
      </w:r>
      <w:r w:rsidRPr="001F560C">
        <w:rPr>
          <w:rFonts w:ascii="Segoe UI" w:eastAsia="Calibri" w:hAnsi="Segoe UI" w:cs="Segoe UI"/>
        </w:rPr>
        <w:t xml:space="preserve"> M€ (5,2 Mds NOK)</w:t>
      </w:r>
      <w:r w:rsidR="00DE6FB4" w:rsidRPr="001F560C">
        <w:rPr>
          <w:rFonts w:ascii="Segoe UI" w:eastAsia="Calibri" w:hAnsi="Segoe UI" w:cs="Segoe UI"/>
        </w:rPr>
        <w:t xml:space="preserve">. Les réactions hostiles à cette hausse, due à l’inflation du </w:t>
      </w:r>
      <w:r w:rsidR="00950864" w:rsidRPr="001F560C">
        <w:rPr>
          <w:rFonts w:ascii="Segoe UI" w:eastAsia="Calibri" w:hAnsi="Segoe UI" w:cs="Segoe UI"/>
        </w:rPr>
        <w:t xml:space="preserve">prix des </w:t>
      </w:r>
      <w:r w:rsidR="00D26A16" w:rsidRPr="001F560C">
        <w:rPr>
          <w:rFonts w:ascii="Segoe UI" w:eastAsia="Calibri" w:hAnsi="Segoe UI" w:cs="Segoe UI"/>
        </w:rPr>
        <w:t>matériaux et à une hausse des délais</w:t>
      </w:r>
      <w:r w:rsidR="0047242A" w:rsidRPr="001F560C">
        <w:rPr>
          <w:rFonts w:ascii="Segoe UI" w:eastAsia="Calibri" w:hAnsi="Segoe UI" w:cs="Segoe UI"/>
        </w:rPr>
        <w:t xml:space="preserve"> d’acheminement, sont venues s’ajouter aux critiques des</w:t>
      </w:r>
      <w:r w:rsidR="0047242A" w:rsidRPr="001F560C">
        <w:rPr>
          <w:rFonts w:ascii="Segoe UI" w:hAnsi="Segoe UI" w:cs="Segoe UI"/>
        </w:rPr>
        <w:t xml:space="preserve"> </w:t>
      </w:r>
      <w:r w:rsidR="0047242A" w:rsidRPr="001F560C">
        <w:rPr>
          <w:rFonts w:ascii="Segoe UI" w:eastAsia="Calibri" w:hAnsi="Segoe UI" w:cs="Segoe UI"/>
        </w:rPr>
        <w:t>détracteurs du projet,</w:t>
      </w:r>
      <w:r w:rsidRPr="001F560C">
        <w:rPr>
          <w:rFonts w:ascii="Segoe UI" w:eastAsia="Calibri" w:hAnsi="Segoe UI" w:cs="Segoe UI"/>
        </w:rPr>
        <w:t xml:space="preserve"> qui </w:t>
      </w:r>
      <w:r w:rsidR="00626AC1" w:rsidRPr="001F560C">
        <w:rPr>
          <w:rFonts w:ascii="Segoe UI" w:eastAsia="Calibri" w:hAnsi="Segoe UI" w:cs="Segoe UI"/>
        </w:rPr>
        <w:t>craign</w:t>
      </w:r>
      <w:r w:rsidRPr="001F560C">
        <w:rPr>
          <w:rFonts w:ascii="Segoe UI" w:eastAsia="Calibri" w:hAnsi="Segoe UI" w:cs="Segoe UI"/>
        </w:rPr>
        <w:t>e</w:t>
      </w:r>
      <w:r w:rsidR="00626AC1" w:rsidRPr="001F560C">
        <w:rPr>
          <w:rFonts w:ascii="Segoe UI" w:eastAsia="Calibri" w:hAnsi="Segoe UI" w:cs="Segoe UI"/>
        </w:rPr>
        <w:t>nt que la possibilité d’alimenter par l’éolien des plateformes pétrolières et gazières ne fasse</w:t>
      </w:r>
      <w:r w:rsidR="0005284B">
        <w:rPr>
          <w:rFonts w:ascii="Segoe UI" w:eastAsia="Calibri" w:hAnsi="Segoe UI" w:cs="Segoe UI"/>
        </w:rPr>
        <w:t xml:space="preserve"> que</w:t>
      </w:r>
      <w:r w:rsidR="00626AC1" w:rsidRPr="001F560C">
        <w:rPr>
          <w:rFonts w:ascii="Segoe UI" w:eastAsia="Calibri" w:hAnsi="Segoe UI" w:cs="Segoe UI"/>
        </w:rPr>
        <w:t xml:space="preserve"> légitimer la production fossile.</w:t>
      </w:r>
    </w:p>
    <w:p w14:paraId="40C02DEB" w14:textId="5EBEE35B" w:rsidR="00464142" w:rsidRPr="001F560C" w:rsidRDefault="00425951" w:rsidP="002238B7">
      <w:pPr>
        <w:spacing w:after="120" w:line="240" w:lineRule="auto"/>
        <w:rPr>
          <w:rFonts w:ascii="Segoe UI" w:eastAsia="Calibri" w:hAnsi="Segoe UI" w:cs="Segoe UI"/>
        </w:rPr>
      </w:pPr>
      <w:r w:rsidRPr="001F560C">
        <w:rPr>
          <w:rFonts w:ascii="Segoe UI" w:hAnsi="Segoe UI" w:cs="Segoe UI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7ADD6A56" wp14:editId="6BA89B72">
                <wp:extent cx="6619875" cy="421240"/>
                <wp:effectExtent l="0" t="0" r="9525" b="0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1240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8D8E" w14:textId="5388B70D" w:rsidR="00425951" w:rsidRPr="00F75429" w:rsidRDefault="008F00EB" w:rsidP="00C81CD1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 w:line="240" w:lineRule="exact"/>
                              <w:ind w:left="1077"/>
                              <w:jc w:val="both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 gouvernement norvégien table sur une baisse des coûts de l’éolien </w:t>
                            </w:r>
                            <w:r w:rsidRPr="001F560C">
                              <w:rPr>
                                <w:rFonts w:ascii="Segoe UI Historic" w:hAnsi="Segoe UI Historic" w:cs="Segoe UI Historic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offshore </w:t>
                            </w: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flottant, qui devrait se poursuivre </w:t>
                            </w:r>
                            <w:r w:rsidR="001F560C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jusqu’à l’horizon 2030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D6A56" id="Zone de texte 4" o:spid="_x0000_s1027" type="#_x0000_t202" style="width:521.2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" fillcolor="#006ce5" stroked="f">
                <v:textbox>
                  <w:txbxContent>
                    <w:p w14:paraId="22288D8E" w14:textId="5388B70D" w:rsidR="00425951" w:rsidRPr="00F75429" w:rsidRDefault="008F00EB" w:rsidP="00C81CD1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 w:line="240" w:lineRule="exact"/>
                        <w:ind w:left="1077"/>
                        <w:jc w:val="both"/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Le gouvernement norvégien table sur une baisse des coûts de l’éolien </w:t>
                      </w:r>
                      <w:r w:rsidRPr="001F560C">
                        <w:rPr>
                          <w:rFonts w:ascii="Segoe UI Historic" w:hAnsi="Segoe UI Historic" w:cs="Segoe UI Historic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offshore </w:t>
                      </w: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flottant, qui devrait se poursuivre </w:t>
                      </w:r>
                      <w:r w:rsidR="001F560C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jusqu’à l’horizon 2030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6C6FC" w14:textId="4DBB2642" w:rsidR="007B7E58" w:rsidRPr="001F560C" w:rsidRDefault="006F773C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>L</w:t>
      </w:r>
      <w:r w:rsidR="005B2AB4" w:rsidRPr="001F560C">
        <w:rPr>
          <w:rFonts w:ascii="Segoe UI" w:eastAsia="Calibri" w:hAnsi="Segoe UI" w:cs="Segoe UI"/>
          <w:b/>
          <w:bCs/>
        </w:rPr>
        <w:t xml:space="preserve">e gouvernement demeure résilient </w:t>
      </w:r>
      <w:r w:rsidR="00EC711E" w:rsidRPr="001F560C">
        <w:rPr>
          <w:rFonts w:ascii="Segoe UI" w:eastAsia="Calibri" w:hAnsi="Segoe UI" w:cs="Segoe UI"/>
          <w:b/>
          <w:bCs/>
        </w:rPr>
        <w:t xml:space="preserve">dans sa volonté de développement de l’éolien </w:t>
      </w:r>
      <w:r w:rsidR="00EC711E" w:rsidRPr="001F560C">
        <w:rPr>
          <w:rFonts w:ascii="Segoe UI" w:eastAsia="Calibri" w:hAnsi="Segoe UI" w:cs="Segoe UI"/>
          <w:b/>
          <w:bCs/>
          <w:i/>
          <w:iCs/>
        </w:rPr>
        <w:t>offshore</w:t>
      </w:r>
      <w:r w:rsidRPr="001F560C">
        <w:rPr>
          <w:rFonts w:ascii="Segoe UI" w:eastAsia="Calibri" w:hAnsi="Segoe UI" w:cs="Segoe UI"/>
          <w:b/>
          <w:bCs/>
        </w:rPr>
        <w:t>, en dépit des coûts élevés</w:t>
      </w:r>
      <w:r w:rsidR="00EC711E" w:rsidRPr="001F560C">
        <w:rPr>
          <w:rFonts w:ascii="Segoe UI" w:eastAsia="Calibri" w:hAnsi="Segoe UI" w:cs="Segoe UI"/>
          <w:b/>
          <w:bCs/>
        </w:rPr>
        <w:t>.</w:t>
      </w:r>
      <w:r w:rsidR="00EC711E" w:rsidRPr="001F560C">
        <w:rPr>
          <w:rFonts w:ascii="Segoe UI" w:eastAsia="Calibri" w:hAnsi="Segoe UI" w:cs="Segoe UI"/>
        </w:rPr>
        <w:t xml:space="preserve"> </w:t>
      </w:r>
      <w:r w:rsidRPr="001F560C">
        <w:rPr>
          <w:rFonts w:ascii="Segoe UI" w:eastAsia="Calibri" w:hAnsi="Segoe UI" w:cs="Segoe UI"/>
        </w:rPr>
        <w:t>Le Premier ministre</w:t>
      </w:r>
      <w:r w:rsidR="00B468A5" w:rsidRPr="001F560C">
        <w:rPr>
          <w:rFonts w:ascii="Segoe UI" w:eastAsia="Calibri" w:hAnsi="Segoe UI" w:cs="Segoe UI"/>
        </w:rPr>
        <w:t xml:space="preserve"> </w:t>
      </w:r>
      <w:r w:rsidR="001F560C">
        <w:rPr>
          <w:rFonts w:ascii="Segoe UI" w:eastAsia="Calibri" w:hAnsi="Segoe UI" w:cs="Segoe UI"/>
        </w:rPr>
        <w:t xml:space="preserve">norvégien </w:t>
      </w:r>
      <w:r w:rsidR="00B468A5" w:rsidRPr="001F560C">
        <w:rPr>
          <w:rFonts w:ascii="Segoe UI" w:eastAsia="Calibri" w:hAnsi="Segoe UI" w:cs="Segoe UI"/>
        </w:rPr>
        <w:t>maintient que « </w:t>
      </w:r>
      <w:r w:rsidRPr="001F560C">
        <w:rPr>
          <w:rFonts w:ascii="Segoe UI" w:eastAsia="Calibri" w:hAnsi="Segoe UI" w:cs="Segoe UI"/>
        </w:rPr>
        <w:t>c</w:t>
      </w:r>
      <w:r w:rsidR="00B468A5" w:rsidRPr="001F560C">
        <w:rPr>
          <w:rFonts w:ascii="Segoe UI" w:eastAsia="Calibri" w:hAnsi="Segoe UI" w:cs="Segoe UI"/>
        </w:rPr>
        <w:t xml:space="preserve">onstruire </w:t>
      </w:r>
      <w:r w:rsidR="00B468A5" w:rsidRPr="001F560C">
        <w:rPr>
          <w:rFonts w:ascii="Segoe UI" w:eastAsia="Calibri" w:hAnsi="Segoe UI" w:cs="Segoe UI"/>
          <w:i/>
          <w:iCs/>
        </w:rPr>
        <w:t>offshore</w:t>
      </w:r>
      <w:r w:rsidR="00B468A5" w:rsidRPr="001F560C">
        <w:rPr>
          <w:rFonts w:ascii="Segoe UI" w:eastAsia="Calibri" w:hAnsi="Segoe UI" w:cs="Segoe UI"/>
        </w:rPr>
        <w:t xml:space="preserve"> est cher</w:t>
      </w:r>
      <w:r w:rsidR="00DD5D54" w:rsidRPr="001F560C">
        <w:rPr>
          <w:rFonts w:ascii="Segoe UI" w:eastAsia="Calibri" w:hAnsi="Segoe UI" w:cs="Segoe UI"/>
        </w:rPr>
        <w:t>, m</w:t>
      </w:r>
      <w:r w:rsidR="00B468A5" w:rsidRPr="001F560C">
        <w:rPr>
          <w:rFonts w:ascii="Segoe UI" w:eastAsia="Calibri" w:hAnsi="Segoe UI" w:cs="Segoe UI"/>
        </w:rPr>
        <w:t>ais il est important d’ouvrir la voie »</w:t>
      </w:r>
      <w:r w:rsidRPr="001F560C">
        <w:rPr>
          <w:rFonts w:ascii="Segoe UI" w:eastAsia="Calibri" w:hAnsi="Segoe UI" w:cs="Segoe UI"/>
        </w:rPr>
        <w:t>.</w:t>
      </w:r>
      <w:r w:rsidR="007B7E58" w:rsidRPr="001F560C">
        <w:rPr>
          <w:rFonts w:ascii="Segoe UI" w:eastAsia="Calibri" w:hAnsi="Segoe UI" w:cs="Segoe UI"/>
        </w:rPr>
        <w:t xml:space="preserve"> </w:t>
      </w:r>
      <w:r w:rsidRPr="001F560C">
        <w:rPr>
          <w:rFonts w:ascii="Segoe UI" w:eastAsia="Calibri" w:hAnsi="Segoe UI" w:cs="Segoe UI"/>
        </w:rPr>
        <w:t>L</w:t>
      </w:r>
      <w:r w:rsidR="007B7E58" w:rsidRPr="001F560C">
        <w:rPr>
          <w:rFonts w:ascii="Segoe UI" w:eastAsia="Calibri" w:hAnsi="Segoe UI" w:cs="Segoe UI"/>
        </w:rPr>
        <w:t xml:space="preserve">e </w:t>
      </w:r>
      <w:r w:rsidRPr="001F560C">
        <w:rPr>
          <w:rFonts w:ascii="Segoe UI" w:eastAsia="Calibri" w:hAnsi="Segoe UI" w:cs="Segoe UI"/>
        </w:rPr>
        <w:t xml:space="preserve">vote par le Parlement </w:t>
      </w:r>
      <w:r w:rsidR="007B7E58" w:rsidRPr="001F560C">
        <w:rPr>
          <w:rFonts w:ascii="Segoe UI" w:eastAsia="Calibri" w:hAnsi="Segoe UI" w:cs="Segoe UI"/>
        </w:rPr>
        <w:t>de subventions supplémentaires</w:t>
      </w:r>
      <w:r w:rsidR="00AD1F74" w:rsidRPr="001F560C">
        <w:rPr>
          <w:rFonts w:ascii="Segoe UI" w:eastAsia="Calibri" w:hAnsi="Segoe UI" w:cs="Segoe UI"/>
        </w:rPr>
        <w:t xml:space="preserve"> (+50%) en février 2023</w:t>
      </w:r>
      <w:r w:rsidR="007B7E58" w:rsidRPr="001F560C">
        <w:rPr>
          <w:rFonts w:ascii="Segoe UI" w:eastAsia="Calibri" w:hAnsi="Segoe UI" w:cs="Segoe UI"/>
        </w:rPr>
        <w:t xml:space="preserve"> </w:t>
      </w:r>
      <w:r w:rsidR="005B2AB4" w:rsidRPr="001F560C">
        <w:rPr>
          <w:rFonts w:ascii="Segoe UI" w:eastAsia="Calibri" w:hAnsi="Segoe UI" w:cs="Segoe UI"/>
        </w:rPr>
        <w:t xml:space="preserve">pour l’éolien </w:t>
      </w:r>
      <w:r w:rsidR="005B2AB4" w:rsidRPr="001F560C">
        <w:rPr>
          <w:rFonts w:ascii="Segoe UI" w:eastAsia="Calibri" w:hAnsi="Segoe UI" w:cs="Segoe UI"/>
          <w:i/>
          <w:iCs/>
        </w:rPr>
        <w:t>offshore</w:t>
      </w:r>
      <w:r w:rsidR="007B7E58" w:rsidRPr="001F560C">
        <w:rPr>
          <w:rFonts w:ascii="Segoe UI" w:eastAsia="Calibri" w:hAnsi="Segoe UI" w:cs="Segoe UI"/>
        </w:rPr>
        <w:t xml:space="preserve"> témoigne du choix norvégien de ce mode de production </w:t>
      </w:r>
      <w:r w:rsidR="00286275" w:rsidRPr="001F560C">
        <w:rPr>
          <w:rFonts w:ascii="Segoe UI" w:eastAsia="Calibri" w:hAnsi="Segoe UI" w:cs="Segoe UI"/>
        </w:rPr>
        <w:t>comme</w:t>
      </w:r>
      <w:r w:rsidR="007B7E58" w:rsidRPr="001F560C">
        <w:rPr>
          <w:rFonts w:ascii="Segoe UI" w:eastAsia="Calibri" w:hAnsi="Segoe UI" w:cs="Segoe UI"/>
        </w:rPr>
        <w:t xml:space="preserve"> point-clé de l’après-pétrolier dans le pays.</w:t>
      </w:r>
    </w:p>
    <w:p w14:paraId="50498F8D" w14:textId="2B5AA4EF" w:rsidR="00A81911" w:rsidRPr="001F560C" w:rsidRDefault="00A81911" w:rsidP="00A81911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>Les améliorations techniques de l’éolien flottant sont régulières et bénéficient aux projets de parcs éoliens</w:t>
      </w:r>
      <w:r w:rsidRPr="001F560C">
        <w:rPr>
          <w:rFonts w:ascii="Segoe UI" w:eastAsia="Calibri" w:hAnsi="Segoe UI" w:cs="Segoe UI"/>
        </w:rPr>
        <w:t>. Dans le cas d’Hywind Tampen, cet avantage s’est matérialisé par la possibilité pour Equinor d’augmenter la capacité des turbines du parc de 8 MW (premier lancement) à 8,6 MW (inauguration officielle). De ce fait, la durée de fonctionnement annuelle moyenne de chaque turbine se trouve augment</w:t>
      </w:r>
      <w:r w:rsidR="008F00EB" w:rsidRPr="001F560C">
        <w:rPr>
          <w:rFonts w:ascii="Segoe UI" w:eastAsia="Calibri" w:hAnsi="Segoe UI" w:cs="Segoe UI"/>
        </w:rPr>
        <w:t xml:space="preserve">ée, améliorant </w:t>
      </w:r>
      <w:r w:rsidR="00210AE9">
        <w:rPr>
          <w:rFonts w:ascii="Segoe UI" w:eastAsia="Calibri" w:hAnsi="Segoe UI" w:cs="Segoe UI"/>
        </w:rPr>
        <w:t>s</w:t>
      </w:r>
      <w:r w:rsidR="008F00EB" w:rsidRPr="001F560C">
        <w:rPr>
          <w:rFonts w:ascii="Segoe UI" w:eastAsia="Calibri" w:hAnsi="Segoe UI" w:cs="Segoe UI"/>
        </w:rPr>
        <w:t>a rentabilité</w:t>
      </w:r>
      <w:r w:rsidRPr="001F560C">
        <w:rPr>
          <w:rFonts w:ascii="Segoe UI" w:eastAsia="Calibri" w:hAnsi="Segoe UI" w:cs="Segoe UI"/>
        </w:rPr>
        <w:t>.</w:t>
      </w:r>
    </w:p>
    <w:p w14:paraId="06053CE9" w14:textId="5BBFF001" w:rsidR="008A5011" w:rsidRPr="001F560C" w:rsidRDefault="008F00EB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 xml:space="preserve">Le coût de </w:t>
      </w:r>
      <w:r w:rsidR="00210AE9">
        <w:rPr>
          <w:rFonts w:ascii="Segoe UI" w:eastAsia="Calibri" w:hAnsi="Segoe UI" w:cs="Segoe UI"/>
          <w:b/>
          <w:bCs/>
        </w:rPr>
        <w:t>l</w:t>
      </w:r>
      <w:r w:rsidRPr="001F560C">
        <w:rPr>
          <w:rFonts w:ascii="Segoe UI" w:eastAsia="Calibri" w:hAnsi="Segoe UI" w:cs="Segoe UI"/>
          <w:b/>
          <w:bCs/>
        </w:rPr>
        <w:t>’éolien offshore flottant pourrait se rapprocher de l’offshore posé à l’horizon 2030.</w:t>
      </w:r>
      <w:r w:rsidRPr="001F560C">
        <w:rPr>
          <w:rFonts w:ascii="Segoe UI" w:eastAsia="Calibri" w:hAnsi="Segoe UI" w:cs="Segoe UI"/>
        </w:rPr>
        <w:t xml:space="preserve"> </w:t>
      </w:r>
      <w:r w:rsidR="00A81911" w:rsidRPr="001F560C">
        <w:rPr>
          <w:rFonts w:ascii="Segoe UI" w:eastAsia="Calibri" w:hAnsi="Segoe UI" w:cs="Segoe UI"/>
        </w:rPr>
        <w:t>L</w:t>
      </w:r>
      <w:r w:rsidR="00737E99" w:rsidRPr="001F560C">
        <w:rPr>
          <w:rFonts w:ascii="Segoe UI" w:eastAsia="Calibri" w:hAnsi="Segoe UI" w:cs="Segoe UI"/>
        </w:rPr>
        <w:t xml:space="preserve">e coût d’investissement </w:t>
      </w:r>
      <w:r w:rsidR="00540FEC" w:rsidRPr="001F560C">
        <w:rPr>
          <w:rFonts w:ascii="Segoe UI" w:eastAsia="Calibri" w:hAnsi="Segoe UI" w:cs="Segoe UI"/>
        </w:rPr>
        <w:t>global par MW du projet Hywind Tampen serait -</w:t>
      </w:r>
      <w:r w:rsidR="00286275" w:rsidRPr="001F560C">
        <w:rPr>
          <w:rFonts w:ascii="Segoe UI" w:eastAsia="Calibri" w:hAnsi="Segoe UI" w:cs="Segoe UI"/>
        </w:rPr>
        <w:t>à</w:t>
      </w:r>
      <w:r w:rsidR="00540FEC" w:rsidRPr="001F560C">
        <w:rPr>
          <w:rFonts w:ascii="Segoe UI" w:eastAsia="Calibri" w:hAnsi="Segoe UI" w:cs="Segoe UI"/>
        </w:rPr>
        <w:t xml:space="preserve"> prix constants- 35% inférieur au coût/MW du projet Hywind Scotland, première ferme éolienne </w:t>
      </w:r>
      <w:r w:rsidR="00540FEC" w:rsidRPr="001F560C">
        <w:rPr>
          <w:rFonts w:ascii="Segoe UI" w:eastAsia="Calibri" w:hAnsi="Segoe UI" w:cs="Segoe UI"/>
          <w:i/>
          <w:iCs/>
        </w:rPr>
        <w:t>offshore</w:t>
      </w:r>
      <w:r w:rsidR="00540FEC" w:rsidRPr="001F560C">
        <w:rPr>
          <w:rFonts w:ascii="Segoe UI" w:eastAsia="Calibri" w:hAnsi="Segoe UI" w:cs="Segoe UI"/>
        </w:rPr>
        <w:t xml:space="preserve"> flottante</w:t>
      </w:r>
      <w:r w:rsidR="003B18DA" w:rsidRPr="001F560C">
        <w:rPr>
          <w:rFonts w:ascii="Segoe UI" w:eastAsia="Calibri" w:hAnsi="Segoe UI" w:cs="Segoe UI"/>
        </w:rPr>
        <w:t xml:space="preserve"> datant de 2017. Quan</w:t>
      </w:r>
      <w:r w:rsidR="006E3BA1" w:rsidRPr="001F560C">
        <w:rPr>
          <w:rFonts w:ascii="Segoe UI" w:eastAsia="Calibri" w:hAnsi="Segoe UI" w:cs="Segoe UI"/>
        </w:rPr>
        <w:t>t</w:t>
      </w:r>
      <w:r w:rsidR="003B18DA" w:rsidRPr="001F560C">
        <w:rPr>
          <w:rFonts w:ascii="Segoe UI" w:eastAsia="Calibri" w:hAnsi="Segoe UI" w:cs="Segoe UI"/>
        </w:rPr>
        <w:t xml:space="preserve"> au coût du MWh produit en éolien </w:t>
      </w:r>
      <w:r w:rsidR="003B18DA" w:rsidRPr="001F560C">
        <w:rPr>
          <w:rFonts w:ascii="Segoe UI" w:eastAsia="Calibri" w:hAnsi="Segoe UI" w:cs="Segoe UI"/>
          <w:i/>
          <w:iCs/>
        </w:rPr>
        <w:t>offshore</w:t>
      </w:r>
      <w:r w:rsidR="003B18DA" w:rsidRPr="001F560C">
        <w:rPr>
          <w:rFonts w:ascii="Segoe UI" w:eastAsia="Calibri" w:hAnsi="Segoe UI" w:cs="Segoe UI"/>
        </w:rPr>
        <w:t xml:space="preserve"> flottant, il s’établirait désormais en dessous des 150€/MWh</w:t>
      </w:r>
      <w:r w:rsidRPr="001F560C">
        <w:rPr>
          <w:rFonts w:ascii="Segoe UI" w:eastAsia="Calibri" w:hAnsi="Segoe UI" w:cs="Segoe UI"/>
        </w:rPr>
        <w:t xml:space="preserve">. Cette baisse des coûts devrait se poursuivre </w:t>
      </w:r>
      <w:r w:rsidR="001F560C" w:rsidRPr="001F560C">
        <w:rPr>
          <w:rFonts w:ascii="Segoe UI" w:eastAsia="Calibri" w:hAnsi="Segoe UI" w:cs="Segoe UI"/>
        </w:rPr>
        <w:t>sur la prochaine décennie</w:t>
      </w:r>
      <w:r w:rsidR="003B18DA" w:rsidRPr="001F560C">
        <w:rPr>
          <w:rFonts w:ascii="Segoe UI" w:eastAsia="Calibri" w:hAnsi="Segoe UI" w:cs="Segoe UI"/>
        </w:rPr>
        <w:t>.</w:t>
      </w:r>
    </w:p>
    <w:p w14:paraId="6A08F591" w14:textId="56CB2C16" w:rsidR="00C7740D" w:rsidRPr="001F560C" w:rsidRDefault="008F00EB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eastAsia="Calibri" w:hAnsi="Segoe UI" w:cs="Segoe UI"/>
          <w:b/>
          <w:bCs/>
        </w:rPr>
        <w:t>L</w:t>
      </w:r>
      <w:r w:rsidR="00802EEC" w:rsidRPr="001F560C">
        <w:rPr>
          <w:rFonts w:ascii="Segoe UI" w:eastAsia="Calibri" w:hAnsi="Segoe UI" w:cs="Segoe UI"/>
          <w:b/>
          <w:bCs/>
        </w:rPr>
        <w:t xml:space="preserve">es projets </w:t>
      </w:r>
      <w:r w:rsidR="00C7740D" w:rsidRPr="001F560C">
        <w:rPr>
          <w:rFonts w:ascii="Segoe UI" w:eastAsia="Calibri" w:hAnsi="Segoe UI" w:cs="Segoe UI"/>
          <w:b/>
          <w:bCs/>
        </w:rPr>
        <w:t>d’éolien flottant bénéficient de l’appui de tendances conjoncturelles</w:t>
      </w:r>
      <w:r w:rsidR="00C7740D" w:rsidRPr="001F560C">
        <w:rPr>
          <w:rFonts w:ascii="Segoe UI" w:eastAsia="Calibri" w:hAnsi="Segoe UI" w:cs="Segoe UI"/>
        </w:rPr>
        <w:t xml:space="preserve">, </w:t>
      </w:r>
      <w:r w:rsidR="005F4578" w:rsidRPr="001F560C">
        <w:rPr>
          <w:rFonts w:ascii="Segoe UI" w:eastAsia="Calibri" w:hAnsi="Segoe UI" w:cs="Segoe UI"/>
        </w:rPr>
        <w:t>qu’il s’agisse</w:t>
      </w:r>
      <w:r w:rsidR="00C7740D" w:rsidRPr="001F560C">
        <w:rPr>
          <w:rFonts w:ascii="Segoe UI" w:eastAsia="Calibri" w:hAnsi="Segoe UI" w:cs="Segoe UI"/>
        </w:rPr>
        <w:t xml:space="preserve"> de la </w:t>
      </w:r>
      <w:r w:rsidR="005F4578" w:rsidRPr="001F560C">
        <w:rPr>
          <w:rFonts w:ascii="Segoe UI" w:eastAsia="Calibri" w:hAnsi="Segoe UI" w:cs="Segoe UI"/>
        </w:rPr>
        <w:t>montée</w:t>
      </w:r>
      <w:r w:rsidR="00C7740D" w:rsidRPr="001F560C">
        <w:rPr>
          <w:rFonts w:ascii="Segoe UI" w:eastAsia="Calibri" w:hAnsi="Segoe UI" w:cs="Segoe UI"/>
        </w:rPr>
        <w:t xml:space="preserve"> des prix du gaz induite par le conflit ukrainien ou de la </w:t>
      </w:r>
      <w:r w:rsidR="005F4578" w:rsidRPr="001F560C">
        <w:rPr>
          <w:rFonts w:ascii="Segoe UI" w:eastAsia="Calibri" w:hAnsi="Segoe UI" w:cs="Segoe UI"/>
        </w:rPr>
        <w:t>hausse</w:t>
      </w:r>
      <w:r w:rsidR="00C7740D" w:rsidRPr="001F560C">
        <w:rPr>
          <w:rFonts w:ascii="Segoe UI" w:eastAsia="Calibri" w:hAnsi="Segoe UI" w:cs="Segoe UI"/>
        </w:rPr>
        <w:t xml:space="preserve"> de la taxation sur le CO2 entreprise par les pouvoirs publics </w:t>
      </w:r>
      <w:r w:rsidR="00F96989" w:rsidRPr="001F560C">
        <w:rPr>
          <w:rFonts w:ascii="Segoe UI" w:eastAsia="Calibri" w:hAnsi="Segoe UI" w:cs="Segoe UI"/>
        </w:rPr>
        <w:t>norvégiens</w:t>
      </w:r>
      <w:r w:rsidR="00C7740D" w:rsidRPr="001F560C">
        <w:rPr>
          <w:rFonts w:ascii="Segoe UI" w:eastAsia="Calibri" w:hAnsi="Segoe UI" w:cs="Segoe UI"/>
        </w:rPr>
        <w:t>.</w:t>
      </w:r>
    </w:p>
    <w:p w14:paraId="227C389F" w14:textId="6993A922" w:rsidR="0044765D" w:rsidRPr="001F560C" w:rsidRDefault="0032779E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1F560C">
        <w:rPr>
          <w:rFonts w:ascii="Segoe UI" w:hAnsi="Segoe UI" w:cs="Segoe UI"/>
          <w:noProof/>
          <w:lang w:eastAsia="fr-FR"/>
        </w:rPr>
        <mc:AlternateContent>
          <mc:Choice Requires="wps">
            <w:drawing>
              <wp:inline distT="0" distB="0" distL="0" distR="0" wp14:anchorId="66B0ADD9" wp14:editId="37EFD586">
                <wp:extent cx="6619875" cy="287676"/>
                <wp:effectExtent l="0" t="0" r="9525" b="0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87676"/>
                        </a:xfrm>
                        <a:prstGeom prst="rect">
                          <a:avLst/>
                        </a:prstGeom>
                        <a:solidFill>
                          <a:srgbClr val="006CE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1D6BC" w14:textId="673E6062" w:rsidR="0032779E" w:rsidRPr="00F75429" w:rsidRDefault="0032779E" w:rsidP="0047242A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Lines="120" w:after="288" w:line="240" w:lineRule="exact"/>
                              <w:ind w:left="1077"/>
                              <w:jc w:val="both"/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L’éolien </w:t>
                            </w:r>
                            <w:r w:rsidR="00D26A16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en eaux profondes</w:t>
                            </w:r>
                            <w:r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84F82">
                              <w:rPr>
                                <w:rFonts w:ascii="Segoe UI Historic" w:hAnsi="Segoe UI Historic" w:cs="Segoe UI Historic"/>
                                <w:color w:val="FFFFFF" w:themeColor="background1"/>
                                <w:sz w:val="24"/>
                                <w:szCs w:val="24"/>
                              </w:rPr>
                              <w:t>source d’opportunités pour le secteur français de l’énergie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0ADD9" id="Zone de texte 10" o:spid="_x0000_s1028" type="#_x0000_t202" style="width:521.25pt;height:2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" fillcolor="#006ce5" stroked="f">
                <v:textbox>
                  <w:txbxContent>
                    <w:p w14:paraId="5871D6BC" w14:textId="673E6062" w:rsidR="0032779E" w:rsidRPr="00F75429" w:rsidRDefault="0032779E" w:rsidP="0047242A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Lines="120" w:after="288" w:line="240" w:lineRule="exact"/>
                        <w:ind w:left="1077"/>
                        <w:jc w:val="both"/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L’éolien </w:t>
                      </w:r>
                      <w:r w:rsidR="00D26A16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en eaux profondes</w:t>
                      </w:r>
                      <w:r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r w:rsidR="00784F82">
                        <w:rPr>
                          <w:rFonts w:ascii="Segoe UI Historic" w:hAnsi="Segoe UI Historic" w:cs="Segoe UI Historic"/>
                          <w:color w:val="FFFFFF" w:themeColor="background1"/>
                          <w:sz w:val="24"/>
                          <w:szCs w:val="24"/>
                        </w:rPr>
                        <w:t>source d’opportunités pour le secteur français de l’énergie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8091BC" w14:textId="77777777" w:rsidR="00774ECB" w:rsidRDefault="002673A4" w:rsidP="00691844">
      <w:pPr>
        <w:spacing w:after="120" w:line="240" w:lineRule="auto"/>
        <w:jc w:val="both"/>
        <w:rPr>
          <w:rFonts w:ascii="Segoe UI" w:eastAsia="Calibri" w:hAnsi="Segoe UI" w:cs="Segoe UI"/>
        </w:rPr>
      </w:pPr>
      <w:r w:rsidRPr="002673A4">
        <w:rPr>
          <w:rFonts w:ascii="Segoe UI" w:eastAsia="Calibri" w:hAnsi="Segoe UI" w:cs="Segoe UI"/>
          <w:b/>
          <w:bCs/>
        </w:rPr>
        <w:t xml:space="preserve">La mise en place de projets éoliens </w:t>
      </w:r>
      <w:r w:rsidRPr="00774ECB">
        <w:rPr>
          <w:rFonts w:ascii="Segoe UI" w:eastAsia="Calibri" w:hAnsi="Segoe UI" w:cs="Segoe UI"/>
          <w:b/>
          <w:bCs/>
          <w:i/>
          <w:iCs/>
        </w:rPr>
        <w:t xml:space="preserve">offshore </w:t>
      </w:r>
      <w:r w:rsidRPr="002673A4">
        <w:rPr>
          <w:rFonts w:ascii="Segoe UI" w:eastAsia="Calibri" w:hAnsi="Segoe UI" w:cs="Segoe UI"/>
          <w:b/>
          <w:bCs/>
        </w:rPr>
        <w:t xml:space="preserve">donne systématiquement lieu à des appels d’offres réunissant nombre d’entreprises internationales. </w:t>
      </w:r>
      <w:r w:rsidR="00C57A54" w:rsidRPr="00C57A54">
        <w:rPr>
          <w:rFonts w:ascii="Segoe UI" w:eastAsia="Calibri" w:hAnsi="Segoe UI" w:cs="Segoe UI"/>
        </w:rPr>
        <w:t>L</w:t>
      </w:r>
      <w:r w:rsidR="00C57A54">
        <w:rPr>
          <w:rFonts w:ascii="Segoe UI" w:eastAsia="Calibri" w:hAnsi="Segoe UI" w:cs="Segoe UI"/>
        </w:rPr>
        <w:t>e projet</w:t>
      </w:r>
      <w:r w:rsidR="008140D2" w:rsidRPr="001F560C">
        <w:rPr>
          <w:rFonts w:ascii="Segoe UI" w:eastAsia="Calibri" w:hAnsi="Segoe UI" w:cs="Segoe UI"/>
        </w:rPr>
        <w:t xml:space="preserve"> d’Hywind Tampen a regroupé </w:t>
      </w:r>
      <w:r w:rsidR="00C57A54">
        <w:rPr>
          <w:rFonts w:ascii="Segoe UI" w:eastAsia="Calibri" w:hAnsi="Segoe UI" w:cs="Segoe UI"/>
        </w:rPr>
        <w:t xml:space="preserve">plusieurs entreprises étrangères autour d’Equinor : </w:t>
      </w:r>
      <w:r w:rsidR="008140D2" w:rsidRPr="001F560C">
        <w:rPr>
          <w:rFonts w:ascii="Segoe UI" w:eastAsia="Calibri" w:hAnsi="Segoe UI" w:cs="Segoe UI"/>
        </w:rPr>
        <w:t xml:space="preserve">l'autrichien OMV, </w:t>
      </w:r>
      <w:r w:rsidR="00C57A54">
        <w:rPr>
          <w:rFonts w:ascii="Segoe UI" w:eastAsia="Calibri" w:hAnsi="Segoe UI" w:cs="Segoe UI"/>
        </w:rPr>
        <w:t xml:space="preserve">l’italien ENI via sa filiale </w:t>
      </w:r>
      <w:r w:rsidR="008140D2" w:rsidRPr="001F560C">
        <w:rPr>
          <w:rFonts w:ascii="Segoe UI" w:eastAsia="Calibri" w:hAnsi="Segoe UI" w:cs="Segoe UI"/>
        </w:rPr>
        <w:t xml:space="preserve">Vår Energi, l'allemand Wintershall DEA et le japonais Inpex. </w:t>
      </w:r>
    </w:p>
    <w:p w14:paraId="4A53F569" w14:textId="68B93704" w:rsidR="00691844" w:rsidRPr="00C57A54" w:rsidRDefault="00691844" w:rsidP="00691844">
      <w:pPr>
        <w:spacing w:after="120" w:line="240" w:lineRule="auto"/>
        <w:jc w:val="both"/>
        <w:rPr>
          <w:rFonts w:ascii="Segoe UI" w:eastAsia="Calibri" w:hAnsi="Segoe UI" w:cs="Segoe UI"/>
          <w:b/>
          <w:bCs/>
        </w:rPr>
      </w:pPr>
      <w:r w:rsidRPr="00774ECB">
        <w:rPr>
          <w:rFonts w:ascii="Segoe UI" w:eastAsia="Calibri" w:hAnsi="Segoe UI" w:cs="Segoe UI"/>
          <w:b/>
          <w:bCs/>
        </w:rPr>
        <w:t>Diverses entreprises françaises sont déjà impliquées dans le développement de l’éolien offshore.</w:t>
      </w:r>
      <w:r w:rsidRPr="001F560C">
        <w:rPr>
          <w:rFonts w:ascii="Segoe UI" w:eastAsia="Calibri" w:hAnsi="Segoe UI" w:cs="Segoe UI"/>
        </w:rPr>
        <w:t xml:space="preserve"> </w:t>
      </w:r>
      <w:r>
        <w:rPr>
          <w:rFonts w:ascii="Segoe UI" w:eastAsia="Calibri" w:hAnsi="Segoe UI" w:cs="Segoe UI"/>
        </w:rPr>
        <w:t xml:space="preserve">Ainsi </w:t>
      </w:r>
      <w:r w:rsidRPr="001F560C">
        <w:rPr>
          <w:rFonts w:ascii="Segoe UI" w:eastAsia="Calibri" w:hAnsi="Segoe UI" w:cs="Segoe UI"/>
        </w:rPr>
        <w:t xml:space="preserve">Nexans, a remporté le plus important contrat de son histoire en 2023 grâce à son usine norvégienne de câbles électriques pour l’éolien </w:t>
      </w:r>
      <w:r w:rsidRPr="00774ECB">
        <w:rPr>
          <w:rFonts w:ascii="Segoe UI" w:eastAsia="Calibri" w:hAnsi="Segoe UI" w:cs="Segoe UI"/>
          <w:i/>
          <w:iCs/>
        </w:rPr>
        <w:t>offshore</w:t>
      </w:r>
      <w:r w:rsidRPr="001F560C">
        <w:rPr>
          <w:rFonts w:ascii="Segoe UI" w:eastAsia="Calibri" w:hAnsi="Segoe UI" w:cs="Segoe UI"/>
        </w:rPr>
        <w:t>.</w:t>
      </w:r>
      <w:r>
        <w:rPr>
          <w:rFonts w:ascii="Segoe UI" w:eastAsia="Calibri" w:hAnsi="Segoe UI" w:cs="Segoe UI"/>
        </w:rPr>
        <w:t xml:space="preserve"> </w:t>
      </w:r>
    </w:p>
    <w:p w14:paraId="01E983CF" w14:textId="62498DE4" w:rsidR="00691844" w:rsidRPr="001F560C" w:rsidRDefault="00C57A54" w:rsidP="00691844">
      <w:pPr>
        <w:spacing w:after="120" w:line="240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b/>
          <w:bCs/>
        </w:rPr>
        <w:t xml:space="preserve">Deux entreprises françaises sont candidates aux prochains grands appels du secteur. </w:t>
      </w:r>
      <w:r w:rsidR="002673A4" w:rsidRPr="00774ECB">
        <w:rPr>
          <w:rFonts w:ascii="Segoe UI" w:eastAsia="Calibri" w:hAnsi="Segoe UI" w:cs="Segoe UI"/>
        </w:rPr>
        <w:t xml:space="preserve">Le programme de </w:t>
      </w:r>
      <w:r w:rsidR="00F07A95" w:rsidRPr="00774ECB">
        <w:rPr>
          <w:rFonts w:ascii="Segoe UI" w:eastAsia="Calibri" w:hAnsi="Segoe UI" w:cs="Segoe UI"/>
        </w:rPr>
        <w:t>30 GW du gouvernement norvégien va donner lieu à de nombreux appels d’offres. Les</w:t>
      </w:r>
      <w:r w:rsidR="00F07A95">
        <w:rPr>
          <w:rFonts w:ascii="Segoe UI" w:eastAsia="Calibri" w:hAnsi="Segoe UI" w:cs="Segoe UI"/>
        </w:rPr>
        <w:t xml:space="preserve"> prochains à sortir en novembre sont les suivants :</w:t>
      </w:r>
      <w:r w:rsidR="008140D2">
        <w:rPr>
          <w:rFonts w:ascii="Segoe UI" w:eastAsia="Calibri" w:hAnsi="Segoe UI" w:cs="Segoe UI"/>
        </w:rPr>
        <w:t xml:space="preserve"> </w:t>
      </w:r>
      <w:r w:rsidR="00F07A95" w:rsidRPr="008140D2">
        <w:rPr>
          <w:rFonts w:ascii="Segoe UI" w:eastAsia="Calibri" w:hAnsi="Segoe UI" w:cs="Segoe UI"/>
        </w:rPr>
        <w:t>Sørlige Nordsjø II</w:t>
      </w:r>
      <w:r w:rsidR="008140D2">
        <w:rPr>
          <w:rFonts w:ascii="Segoe UI" w:eastAsia="Calibri" w:hAnsi="Segoe UI" w:cs="Segoe UI"/>
        </w:rPr>
        <w:t xml:space="preserve"> (</w:t>
      </w:r>
      <w:r w:rsidR="00F07A95" w:rsidRPr="008140D2">
        <w:rPr>
          <w:rFonts w:ascii="Segoe UI" w:eastAsia="Calibri" w:hAnsi="Segoe UI" w:cs="Segoe UI"/>
        </w:rPr>
        <w:t>champ posé d’1,5 GW</w:t>
      </w:r>
      <w:r w:rsidR="008140D2">
        <w:rPr>
          <w:rFonts w:ascii="Segoe UI" w:eastAsia="Calibri" w:hAnsi="Segoe UI" w:cs="Segoe UI"/>
        </w:rPr>
        <w:t xml:space="preserve">) et </w:t>
      </w:r>
      <w:r w:rsidR="00F07A95" w:rsidRPr="008140D2">
        <w:rPr>
          <w:rFonts w:ascii="Segoe UI" w:eastAsia="Calibri" w:hAnsi="Segoe UI" w:cs="Segoe UI"/>
        </w:rPr>
        <w:t>Utsira Nord</w:t>
      </w:r>
      <w:r w:rsidR="008140D2">
        <w:rPr>
          <w:rFonts w:ascii="Segoe UI" w:eastAsia="Calibri" w:hAnsi="Segoe UI" w:cs="Segoe UI"/>
        </w:rPr>
        <w:t xml:space="preserve"> (</w:t>
      </w:r>
      <w:r w:rsidR="008140D2" w:rsidRPr="008140D2">
        <w:rPr>
          <w:rFonts w:ascii="Segoe UI" w:eastAsia="Calibri" w:hAnsi="Segoe UI" w:cs="Segoe UI"/>
        </w:rPr>
        <w:t>champ flottant de 3 fois 500 MW</w:t>
      </w:r>
      <w:r w:rsidR="008140D2">
        <w:rPr>
          <w:rFonts w:ascii="Segoe UI" w:eastAsia="Calibri" w:hAnsi="Segoe UI" w:cs="Segoe UI"/>
        </w:rPr>
        <w:t>)</w:t>
      </w:r>
      <w:r w:rsidR="008140D2" w:rsidRPr="008140D2">
        <w:rPr>
          <w:rFonts w:ascii="Segoe UI" w:eastAsia="Calibri" w:hAnsi="Segoe UI" w:cs="Segoe UI"/>
        </w:rPr>
        <w:t>.</w:t>
      </w:r>
      <w:r w:rsidR="008140D2">
        <w:rPr>
          <w:rFonts w:ascii="Segoe UI" w:eastAsia="Calibri" w:hAnsi="Segoe UI" w:cs="Segoe UI"/>
        </w:rPr>
        <w:t xml:space="preserve"> Huit consortiums sont préqualifiés dont deux avec des opérateurs français : Total Energies</w:t>
      </w:r>
      <w:r w:rsidR="00691844">
        <w:rPr>
          <w:rFonts w:ascii="Segoe UI" w:eastAsia="Calibri" w:hAnsi="Segoe UI" w:cs="Segoe UI"/>
        </w:rPr>
        <w:t xml:space="preserve"> (associé à Iberdrola)</w:t>
      </w:r>
      <w:r w:rsidR="008140D2">
        <w:rPr>
          <w:rFonts w:ascii="Segoe UI" w:eastAsia="Calibri" w:hAnsi="Segoe UI" w:cs="Segoe UI"/>
        </w:rPr>
        <w:t xml:space="preserve"> et EDF</w:t>
      </w:r>
      <w:r w:rsidR="00691844">
        <w:rPr>
          <w:rFonts w:ascii="Segoe UI" w:eastAsia="Calibri" w:hAnsi="Segoe UI" w:cs="Segoe UI"/>
        </w:rPr>
        <w:t xml:space="preserve"> (associé au norvégien </w:t>
      </w:r>
      <w:r w:rsidR="00691844" w:rsidRPr="001F560C">
        <w:rPr>
          <w:rFonts w:ascii="Segoe UI" w:eastAsia="Calibri" w:hAnsi="Segoe UI" w:cs="Segoe UI"/>
        </w:rPr>
        <w:t>Moreld Ocean Wind</w:t>
      </w:r>
      <w:r w:rsidR="00691844">
        <w:rPr>
          <w:rFonts w:ascii="Segoe UI" w:eastAsia="Calibri" w:hAnsi="Segoe UI" w:cs="Segoe UI"/>
        </w:rPr>
        <w:t>)</w:t>
      </w:r>
      <w:r w:rsidR="008140D2">
        <w:rPr>
          <w:rFonts w:ascii="Segoe UI" w:eastAsia="Calibri" w:hAnsi="Segoe UI" w:cs="Segoe UI"/>
        </w:rPr>
        <w:t xml:space="preserve">. Le montant de l’investissement estimé pour </w:t>
      </w:r>
      <w:r w:rsidR="008140D2" w:rsidRPr="008140D2">
        <w:rPr>
          <w:rFonts w:ascii="Segoe UI" w:eastAsia="Calibri" w:hAnsi="Segoe UI" w:cs="Segoe UI"/>
        </w:rPr>
        <w:t>Sørlige Nordsjø II</w:t>
      </w:r>
      <w:r w:rsidR="008140D2">
        <w:rPr>
          <w:rFonts w:ascii="Segoe UI" w:eastAsia="Calibri" w:hAnsi="Segoe UI" w:cs="Segoe UI"/>
        </w:rPr>
        <w:t xml:space="preserve"> est de 5 Mds € (57 Mds NOK). </w:t>
      </w:r>
    </w:p>
    <w:p w14:paraId="476A0F93" w14:textId="2210047A" w:rsidR="003F3E86" w:rsidRPr="001F560C" w:rsidRDefault="00C57A54" w:rsidP="002238B7">
      <w:pPr>
        <w:spacing w:after="120" w:line="240" w:lineRule="auto"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  <w:b/>
          <w:bCs/>
        </w:rPr>
        <w:t xml:space="preserve">La mission de France Energie Eolienne </w:t>
      </w:r>
      <w:r w:rsidRPr="00C57A54">
        <w:rPr>
          <w:rFonts w:ascii="Segoe UI" w:eastAsia="Calibri" w:hAnsi="Segoe UI" w:cs="Segoe UI"/>
          <w:b/>
          <w:bCs/>
        </w:rPr>
        <w:t>à Oslo et Haugesund les 6 et 7 septembre dernier</w:t>
      </w:r>
      <w:r>
        <w:rPr>
          <w:rFonts w:ascii="Segoe UI" w:eastAsia="Calibri" w:hAnsi="Segoe UI" w:cs="Segoe UI"/>
          <w:b/>
          <w:bCs/>
        </w:rPr>
        <w:t xml:space="preserve"> visait à mieux intégrer l’offre française dans la</w:t>
      </w:r>
      <w:r w:rsidR="00607E6B" w:rsidRPr="00C57A54">
        <w:rPr>
          <w:rFonts w:ascii="Segoe UI" w:eastAsia="Calibri" w:hAnsi="Segoe UI" w:cs="Segoe UI"/>
          <w:b/>
          <w:bCs/>
        </w:rPr>
        <w:t xml:space="preserve"> </w:t>
      </w:r>
      <w:r w:rsidR="001F48C0" w:rsidRPr="00C57A54">
        <w:rPr>
          <w:rFonts w:ascii="Segoe UI" w:eastAsia="Calibri" w:hAnsi="Segoe UI" w:cs="Segoe UI"/>
          <w:b/>
          <w:bCs/>
        </w:rPr>
        <w:t>chaîne de valeur</w:t>
      </w:r>
      <w:r w:rsidR="003F3E86" w:rsidRPr="00C57A54">
        <w:rPr>
          <w:rFonts w:ascii="Segoe UI" w:eastAsia="Calibri" w:hAnsi="Segoe UI" w:cs="Segoe UI"/>
          <w:b/>
          <w:bCs/>
        </w:rPr>
        <w:t xml:space="preserve"> de plus en plus dense</w:t>
      </w:r>
      <w:r w:rsidR="001F48C0" w:rsidRPr="00C57A54">
        <w:rPr>
          <w:rFonts w:ascii="Segoe UI" w:eastAsia="Calibri" w:hAnsi="Segoe UI" w:cs="Segoe UI"/>
          <w:b/>
          <w:bCs/>
        </w:rPr>
        <w:t xml:space="preserve"> de l’éolien </w:t>
      </w:r>
      <w:r w:rsidR="00774ECB">
        <w:rPr>
          <w:rFonts w:ascii="Segoe UI" w:eastAsia="Calibri" w:hAnsi="Segoe UI" w:cs="Segoe UI"/>
          <w:b/>
          <w:bCs/>
        </w:rPr>
        <w:t>maritime</w:t>
      </w:r>
      <w:r w:rsidR="008D2B07" w:rsidRPr="00C57A54">
        <w:rPr>
          <w:rFonts w:ascii="Segoe UI" w:eastAsia="Calibri" w:hAnsi="Segoe UI" w:cs="Segoe UI"/>
          <w:b/>
          <w:bCs/>
        </w:rPr>
        <w:t>.</w:t>
      </w:r>
      <w:r w:rsidR="00607E6B">
        <w:rPr>
          <w:rFonts w:ascii="Segoe UI" w:eastAsia="Calibri" w:hAnsi="Segoe UI" w:cs="Segoe UI"/>
        </w:rPr>
        <w:t xml:space="preserve"> </w:t>
      </w:r>
      <w:r w:rsidR="004E4C2C">
        <w:rPr>
          <w:rFonts w:ascii="Segoe UI" w:eastAsia="Calibri" w:hAnsi="Segoe UI" w:cs="Segoe UI"/>
        </w:rPr>
        <w:t>Y participaient le Conseil Régional des Pays de la Loire, le Pôle Mer Bretagne Atlantique, le port de Nantes Saint-Nazaire et plusieurs ETI et PME (</w:t>
      </w:r>
      <w:r w:rsidR="00B054C2">
        <w:rPr>
          <w:rFonts w:ascii="Segoe UI" w:eastAsia="Calibri" w:hAnsi="Segoe UI" w:cs="Segoe UI"/>
        </w:rPr>
        <w:t>Akroean, Cold Pad, Sercel, Sherpa Engineering, Wipsea, Aventa) et des grands groupes (Total Energies, EDF, Vinci).</w:t>
      </w:r>
      <w:r w:rsidR="00607E6B">
        <w:rPr>
          <w:rFonts w:ascii="Segoe UI" w:eastAsia="Calibri" w:hAnsi="Segoe UI" w:cs="Segoe UI"/>
        </w:rPr>
        <w:t xml:space="preserve"> Les </w:t>
      </w:r>
      <w:r w:rsidR="00B054C2">
        <w:rPr>
          <w:rFonts w:ascii="Segoe UI" w:eastAsia="Calibri" w:hAnsi="Segoe UI" w:cs="Segoe UI"/>
        </w:rPr>
        <w:t>participants</w:t>
      </w:r>
      <w:r w:rsidR="004E4C2C">
        <w:rPr>
          <w:rFonts w:ascii="Segoe UI" w:eastAsia="Calibri" w:hAnsi="Segoe UI" w:cs="Segoe UI"/>
        </w:rPr>
        <w:t xml:space="preserve"> ont pu rencontrer les différents interlocuteurs publics (Innovation Norway) et privés (notamment Equinor et Aker Solutions) </w:t>
      </w:r>
      <w:r w:rsidR="00B054C2">
        <w:rPr>
          <w:rFonts w:ascii="Segoe UI" w:eastAsia="Calibri" w:hAnsi="Segoe UI" w:cs="Segoe UI"/>
        </w:rPr>
        <w:t xml:space="preserve">pour se positionner. </w:t>
      </w:r>
    </w:p>
    <w:p w14:paraId="7C42E55A" w14:textId="06BD2744" w:rsidR="001F560C" w:rsidRDefault="001F560C">
      <w:pPr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br w:type="page"/>
      </w:r>
    </w:p>
    <w:p w14:paraId="4FBFF549" w14:textId="022EDD0D" w:rsidR="003E1B97" w:rsidRPr="006B589E" w:rsidRDefault="003E1B97" w:rsidP="00DE6FB4">
      <w:pPr>
        <w:spacing w:after="0" w:line="260" w:lineRule="exact"/>
        <w:jc w:val="center"/>
        <w:rPr>
          <w:rFonts w:ascii="Segoe UI" w:hAnsi="Segoe UI" w:cs="Segoe UI"/>
          <w:b/>
          <w:i/>
          <w:sz w:val="20"/>
          <w:szCs w:val="20"/>
        </w:rPr>
      </w:pPr>
      <w:r w:rsidRPr="006B589E">
        <w:rPr>
          <w:rFonts w:ascii="Segoe UI" w:hAnsi="Segoe UI" w:cs="Segoe UI"/>
          <w:b/>
          <w:i/>
          <w:sz w:val="20"/>
          <w:szCs w:val="20"/>
        </w:rPr>
        <w:lastRenderedPageBreak/>
        <w:t>ANNEXES</w:t>
      </w:r>
    </w:p>
    <w:p w14:paraId="49907C74" w14:textId="77777777" w:rsidR="006B589E" w:rsidRPr="006B589E" w:rsidRDefault="006B589E" w:rsidP="006B589E">
      <w:pPr>
        <w:spacing w:after="0" w:line="260" w:lineRule="exact"/>
        <w:jc w:val="center"/>
        <w:rPr>
          <w:rFonts w:ascii="Segoe UI" w:hAnsi="Segoe UI" w:cs="Segoe UI"/>
          <w:b/>
          <w:smallCaps/>
          <w:color w:val="4472C4" w:themeColor="accent1"/>
          <w:sz w:val="20"/>
          <w:szCs w:val="20"/>
        </w:rPr>
      </w:pPr>
    </w:p>
    <w:p w14:paraId="1231E2F7" w14:textId="646A05FB" w:rsidR="003E1B97" w:rsidRDefault="003E1B97" w:rsidP="00AE75D2">
      <w:pPr>
        <w:spacing w:after="120" w:line="276" w:lineRule="auto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6B589E">
        <w:rPr>
          <w:rFonts w:ascii="Segoe UI" w:hAnsi="Segoe UI" w:cs="Segoe UI"/>
          <w:b/>
          <w:sz w:val="20"/>
          <w:szCs w:val="20"/>
          <w:u w:val="single"/>
        </w:rPr>
        <w:t xml:space="preserve">Annexe 1 : </w:t>
      </w:r>
      <w:r w:rsidR="00B6798F" w:rsidRPr="006B589E">
        <w:rPr>
          <w:rFonts w:ascii="Segoe UI" w:hAnsi="Segoe UI" w:cs="Segoe UI"/>
          <w:b/>
          <w:sz w:val="20"/>
          <w:szCs w:val="20"/>
          <w:u w:val="single"/>
        </w:rPr>
        <w:t>Localisation du parc éolien flottant Hywind Tampen</w:t>
      </w:r>
      <w:r w:rsidR="008E4BBA">
        <w:rPr>
          <w:rFonts w:ascii="Segoe UI" w:hAnsi="Segoe UI" w:cs="Segoe UI"/>
          <w:b/>
          <w:sz w:val="20"/>
          <w:szCs w:val="20"/>
          <w:u w:val="single"/>
        </w:rPr>
        <w:t xml:space="preserve"> (Equinor – « Hywind Tampen »)</w:t>
      </w:r>
    </w:p>
    <w:p w14:paraId="6F72EB91" w14:textId="162C32EB" w:rsidR="008E4BBA" w:rsidRPr="006B589E" w:rsidRDefault="008E4BBA" w:rsidP="003E1B97">
      <w:pPr>
        <w:spacing w:after="120" w:line="276" w:lineRule="auto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8E4BBA">
        <w:rPr>
          <w:rFonts w:ascii="Segoe UI" w:hAnsi="Segoe UI" w:cs="Segoe UI"/>
          <w:b/>
          <w:noProof/>
          <w:sz w:val="20"/>
          <w:szCs w:val="20"/>
          <w:u w:val="single"/>
        </w:rPr>
        <w:drawing>
          <wp:inline distT="0" distB="0" distL="0" distR="0" wp14:anchorId="2B5EC298" wp14:editId="5A1AA32C">
            <wp:extent cx="4474723" cy="3227991"/>
            <wp:effectExtent l="0" t="0" r="2540" b="0"/>
            <wp:docPr id="8" name="Image 8" descr="Map showing location of Hywind Tampen offshore wind park in the North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 showing location of Hywind Tampen offshore wind park in the North S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379" cy="32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BC5E6" w14:textId="77777777" w:rsidR="00515685" w:rsidRDefault="00515685" w:rsidP="00AE75D2">
      <w:pPr>
        <w:jc w:val="center"/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</w:pPr>
    </w:p>
    <w:p w14:paraId="606BB6B7" w14:textId="016B20B3" w:rsidR="00B6798F" w:rsidRPr="006B589E" w:rsidRDefault="00B6798F" w:rsidP="00AE75D2">
      <w:pPr>
        <w:jc w:val="center"/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</w:pPr>
      <w:r w:rsidRPr="006B589E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Annexe 2 : Prix de l’éoliens en mer</w:t>
      </w:r>
      <w:r w:rsidR="00286275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 xml:space="preserve"> et horizon de baisse du prix de l’éolien flottant</w:t>
      </w:r>
      <w:r w:rsidR="00EF0DE3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 xml:space="preserve"> (Equinor </w:t>
      </w:r>
      <w:r w:rsidR="008E4BBA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–</w:t>
      </w:r>
      <w:r w:rsidR="00EF0DE3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 xml:space="preserve"> </w:t>
      </w:r>
      <w:r w:rsidR="008E4BBA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« </w:t>
      </w:r>
      <w:r w:rsidR="00EF0DE3" w:rsidRPr="00EF0DE3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Hywind Scotland remains the UK’s best performing offshore wind farm</w:t>
      </w:r>
      <w:r w:rsidR="008E4BBA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 »</w:t>
      </w:r>
      <w:r w:rsidR="00EF0DE3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, 23/03/21)</w:t>
      </w:r>
    </w:p>
    <w:p w14:paraId="1F4D7B2D" w14:textId="77777777" w:rsidR="00B6798F" w:rsidRPr="006B589E" w:rsidRDefault="00B6798F" w:rsidP="00B6798F">
      <w:pPr>
        <w:rPr>
          <w:rFonts w:ascii="Segoe UI" w:hAnsi="Segoe UI" w:cs="Segoe UI"/>
          <w:sz w:val="20"/>
          <w:szCs w:val="20"/>
        </w:rPr>
      </w:pPr>
      <w:r w:rsidRPr="006B589E">
        <w:rPr>
          <w:rFonts w:ascii="Segoe UI" w:hAnsi="Segoe UI" w:cs="Segoe UI"/>
          <w:noProof/>
          <w:sz w:val="20"/>
          <w:szCs w:val="20"/>
          <w:lang w:eastAsia="fr-FR"/>
        </w:rPr>
        <w:drawing>
          <wp:inline distT="0" distB="0" distL="0" distR="0" wp14:anchorId="7A7B2803" wp14:editId="61BB03E8">
            <wp:extent cx="5760720" cy="3881120"/>
            <wp:effectExtent l="0" t="0" r="0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E592C" w14:textId="77777777" w:rsidR="00515685" w:rsidRDefault="00515685">
      <w:pPr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</w:pPr>
      <w:r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br w:type="page"/>
      </w:r>
    </w:p>
    <w:p w14:paraId="41122386" w14:textId="1F96EFDB" w:rsidR="00B6798F" w:rsidRDefault="00B6798F" w:rsidP="00AE75D2">
      <w:pPr>
        <w:jc w:val="center"/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</w:pPr>
      <w:r w:rsidRPr="006B589E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lastRenderedPageBreak/>
        <w:t xml:space="preserve">Annexe </w:t>
      </w:r>
      <w:r w:rsidR="00774ECB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3</w:t>
      </w:r>
      <w:r w:rsidRPr="006B589E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 xml:space="preserve"> : </w:t>
      </w:r>
      <w:r w:rsidR="00CD49D9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Préambule</w:t>
      </w:r>
      <w:r w:rsidRPr="006B589E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 xml:space="preserve"> du « Offshore Energy Act »</w:t>
      </w:r>
      <w:r w:rsidR="00CD49D9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 xml:space="preserve"> (12/06/2020)</w:t>
      </w:r>
      <w:r w:rsidR="005F3435" w:rsidRPr="006B589E">
        <w:rPr>
          <w:rFonts w:ascii="Segoe UI" w:hAnsi="Segoe UI" w:cs="Segoe UI"/>
          <w:b/>
          <w:noProof/>
          <w:sz w:val="20"/>
          <w:szCs w:val="20"/>
          <w:u w:val="single"/>
          <w:lang w:eastAsia="fr-FR"/>
        </w:rPr>
        <w:t>, instituant les lignes directrices du soutien norvégien à l’éolien offshore</w:t>
      </w:r>
    </w:p>
    <w:p w14:paraId="0080320A" w14:textId="22ABD2B0" w:rsidR="00A94D89" w:rsidRPr="00774ECB" w:rsidRDefault="00B774C6" w:rsidP="00774ECB">
      <w:pPr>
        <w:jc w:val="both"/>
        <w:rPr>
          <w:rFonts w:ascii="Segoe UI" w:hAnsi="Segoe UI" w:cs="Segoe UI"/>
          <w:bCs/>
          <w:noProof/>
          <w:sz w:val="20"/>
          <w:szCs w:val="20"/>
          <w:lang w:eastAsia="fr-FR"/>
        </w:rPr>
      </w:pPr>
      <w:r>
        <w:rPr>
          <w:rFonts w:ascii="Segoe UI" w:hAnsi="Segoe UI" w:cs="Segoe UI"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46B463F3" wp14:editId="012B554B">
            <wp:simplePos x="0" y="0"/>
            <wp:positionH relativeFrom="margin">
              <wp:align>center</wp:align>
            </wp:positionH>
            <wp:positionV relativeFrom="paragraph">
              <wp:posOffset>816339</wp:posOffset>
            </wp:positionV>
            <wp:extent cx="6089515" cy="8604102"/>
            <wp:effectExtent l="0" t="0" r="6985" b="6985"/>
            <wp:wrapTight wrapText="bothSides">
              <wp:wrapPolygon edited="0">
                <wp:start x="0" y="0"/>
                <wp:lineTo x="0" y="21570"/>
                <wp:lineTo x="21557" y="21570"/>
                <wp:lineTo x="21557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515" cy="860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8D2">
        <w:rPr>
          <w:rFonts w:ascii="Segoe UI" w:hAnsi="Segoe UI" w:cs="Segoe UI"/>
          <w:bCs/>
          <w:noProof/>
          <w:sz w:val="20"/>
          <w:szCs w:val="20"/>
          <w:lang w:eastAsia="fr-FR"/>
        </w:rPr>
        <w:t>En dépit de son caractère fluctuant, le marché de l’éolien offshore est soutenu par les pouvoirs publics norvégiens</w:t>
      </w:r>
      <w:r w:rsidR="00526D49">
        <w:rPr>
          <w:rFonts w:ascii="Segoe UI" w:hAnsi="Segoe UI" w:cs="Segoe UI"/>
          <w:bCs/>
          <w:noProof/>
          <w:sz w:val="20"/>
          <w:szCs w:val="20"/>
          <w:lang w:eastAsia="fr-FR"/>
        </w:rPr>
        <w:t xml:space="preserve">. Ceux-ci </w:t>
      </w:r>
      <w:r w:rsidR="009018D2">
        <w:rPr>
          <w:rFonts w:ascii="Segoe UI" w:hAnsi="Segoe UI" w:cs="Segoe UI"/>
          <w:bCs/>
          <w:noProof/>
          <w:sz w:val="20"/>
          <w:szCs w:val="20"/>
          <w:lang w:eastAsia="fr-FR"/>
        </w:rPr>
        <w:t>souhait</w:t>
      </w:r>
      <w:r w:rsidR="00526D49">
        <w:rPr>
          <w:rFonts w:ascii="Segoe UI" w:hAnsi="Segoe UI" w:cs="Segoe UI"/>
          <w:bCs/>
          <w:noProof/>
          <w:sz w:val="20"/>
          <w:szCs w:val="20"/>
          <w:lang w:eastAsia="fr-FR"/>
        </w:rPr>
        <w:t>e</w:t>
      </w:r>
      <w:r w:rsidR="009018D2">
        <w:rPr>
          <w:rFonts w:ascii="Segoe UI" w:hAnsi="Segoe UI" w:cs="Segoe UI"/>
          <w:bCs/>
          <w:noProof/>
          <w:sz w:val="20"/>
          <w:szCs w:val="20"/>
          <w:lang w:eastAsia="fr-FR"/>
        </w:rPr>
        <w:t xml:space="preserve">nt faire du pays le centre névralgique des avancées </w:t>
      </w:r>
      <w:r w:rsidR="00526D49">
        <w:rPr>
          <w:rFonts w:ascii="Segoe UI" w:hAnsi="Segoe UI" w:cs="Segoe UI"/>
          <w:bCs/>
          <w:noProof/>
          <w:sz w:val="20"/>
          <w:szCs w:val="20"/>
          <w:lang w:eastAsia="fr-FR"/>
        </w:rPr>
        <w:t xml:space="preserve">du </w:t>
      </w:r>
      <w:r w:rsidR="009018D2">
        <w:rPr>
          <w:rFonts w:ascii="Segoe UI" w:hAnsi="Segoe UI" w:cs="Segoe UI"/>
          <w:bCs/>
          <w:noProof/>
          <w:sz w:val="20"/>
          <w:szCs w:val="20"/>
          <w:lang w:eastAsia="fr-FR"/>
        </w:rPr>
        <w:t xml:space="preserve">secteur. En résultent la promulgation </w:t>
      </w:r>
      <w:r w:rsidR="009018D2" w:rsidRPr="009018D2">
        <w:rPr>
          <w:rFonts w:ascii="Segoe UI" w:hAnsi="Segoe UI" w:cs="Segoe UI"/>
          <w:b/>
          <w:noProof/>
          <w:sz w:val="20"/>
          <w:szCs w:val="20"/>
          <w:lang w:eastAsia="fr-FR"/>
        </w:rPr>
        <w:t>de textes de loi encadrant le développement de l’éolien en eaux profondes</w:t>
      </w:r>
      <w:r w:rsidR="009018D2">
        <w:rPr>
          <w:rFonts w:ascii="Segoe UI" w:hAnsi="Segoe UI" w:cs="Segoe UI"/>
          <w:bCs/>
          <w:noProof/>
          <w:sz w:val="20"/>
          <w:szCs w:val="20"/>
          <w:lang w:eastAsia="fr-FR"/>
        </w:rPr>
        <w:t>, à l’image de l’</w:t>
      </w:r>
      <w:r w:rsidR="009018D2">
        <w:rPr>
          <w:rFonts w:ascii="Segoe UI" w:hAnsi="Segoe UI" w:cs="Segoe UI"/>
          <w:bCs/>
          <w:i/>
          <w:iCs/>
          <w:noProof/>
          <w:sz w:val="20"/>
          <w:szCs w:val="20"/>
          <w:lang w:eastAsia="fr-FR"/>
        </w:rPr>
        <w:t>Offshore Energy Act</w:t>
      </w:r>
      <w:r w:rsidR="009018D2">
        <w:rPr>
          <w:rFonts w:ascii="Segoe UI" w:hAnsi="Segoe UI" w:cs="Segoe UI"/>
          <w:bCs/>
          <w:noProof/>
          <w:sz w:val="20"/>
          <w:szCs w:val="20"/>
          <w:lang w:eastAsia="fr-FR"/>
        </w:rPr>
        <w:t>.</w:t>
      </w:r>
    </w:p>
    <w:sectPr w:rsidR="00A94D89" w:rsidRPr="00774ECB" w:rsidSect="00DE6FB4">
      <w:headerReference w:type="first" r:id="rId12"/>
      <w:type w:val="continuous"/>
      <w:pgSz w:w="11906" w:h="16838"/>
      <w:pgMar w:top="567" w:right="720" w:bottom="426" w:left="720" w:header="0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2944" w14:textId="77777777" w:rsidR="00F3113B" w:rsidRDefault="00F3113B" w:rsidP="00A94D89">
      <w:pPr>
        <w:spacing w:after="0" w:line="240" w:lineRule="auto"/>
      </w:pPr>
      <w:r>
        <w:separator/>
      </w:r>
    </w:p>
  </w:endnote>
  <w:endnote w:type="continuationSeparator" w:id="0">
    <w:p w14:paraId="52607E74" w14:textId="77777777" w:rsidR="00F3113B" w:rsidRDefault="00F3113B" w:rsidP="00A94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95A96" w14:textId="77777777" w:rsidR="00F3113B" w:rsidRDefault="00F3113B" w:rsidP="00A94D89">
      <w:pPr>
        <w:spacing w:after="0" w:line="240" w:lineRule="auto"/>
      </w:pPr>
      <w:r>
        <w:separator/>
      </w:r>
    </w:p>
  </w:footnote>
  <w:footnote w:type="continuationSeparator" w:id="0">
    <w:p w14:paraId="20CAA18A" w14:textId="77777777" w:rsidR="00F3113B" w:rsidRDefault="00F3113B" w:rsidP="00A94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168C" w14:textId="77777777" w:rsidR="004C6302" w:rsidRDefault="004C6302" w:rsidP="00221CF6">
    <w:pPr>
      <w:pStyle w:val="En-tte"/>
      <w:jc w:val="right"/>
      <w:rPr>
        <w:rFonts w:ascii="Arial" w:hAnsi="Arial" w:cs="Arial"/>
        <w:b/>
        <w:bCs/>
        <w:sz w:val="24"/>
        <w:szCs w:val="24"/>
      </w:rPr>
    </w:pPr>
  </w:p>
  <w:p w14:paraId="2A999BE0" w14:textId="77777777" w:rsidR="004C6302" w:rsidRDefault="004C6302" w:rsidP="00221CF6">
    <w:pPr>
      <w:pStyle w:val="En-tte"/>
      <w:jc w:val="right"/>
      <w:rPr>
        <w:rFonts w:ascii="Arial" w:hAnsi="Arial" w:cs="Arial"/>
        <w:b/>
        <w:bCs/>
        <w:sz w:val="24"/>
        <w:szCs w:val="24"/>
      </w:rPr>
    </w:pPr>
  </w:p>
  <w:p w14:paraId="45B3F5E8" w14:textId="40D0F025" w:rsidR="00A94D89" w:rsidRPr="00FE7D45" w:rsidRDefault="00A94D89" w:rsidP="00221CF6">
    <w:pPr>
      <w:pStyle w:val="En-tte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Direction Générale du Trésor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CDA"/>
    <w:multiLevelType w:val="hybridMultilevel"/>
    <w:tmpl w:val="7682D4FA"/>
    <w:lvl w:ilvl="0" w:tplc="CD943EA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4A3F"/>
    <w:multiLevelType w:val="hybridMultilevel"/>
    <w:tmpl w:val="DD9423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4CD5"/>
    <w:multiLevelType w:val="hybridMultilevel"/>
    <w:tmpl w:val="F6AE1A88"/>
    <w:lvl w:ilvl="0" w:tplc="C834254A">
      <w:start w:val="202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07787"/>
    <w:multiLevelType w:val="hybridMultilevel"/>
    <w:tmpl w:val="421C769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484"/>
    <w:multiLevelType w:val="hybridMultilevel"/>
    <w:tmpl w:val="81A04450"/>
    <w:lvl w:ilvl="0" w:tplc="C1E400BC">
      <w:start w:val="3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D4180"/>
    <w:multiLevelType w:val="hybridMultilevel"/>
    <w:tmpl w:val="004003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005FA"/>
    <w:multiLevelType w:val="hybridMultilevel"/>
    <w:tmpl w:val="CE44993A"/>
    <w:lvl w:ilvl="0" w:tplc="ACCA5C06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B4CEB"/>
    <w:multiLevelType w:val="hybridMultilevel"/>
    <w:tmpl w:val="12E6566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E0BD8"/>
    <w:multiLevelType w:val="hybridMultilevel"/>
    <w:tmpl w:val="0C7E9422"/>
    <w:lvl w:ilvl="0" w:tplc="908610C2">
      <w:numFmt w:val="bullet"/>
      <w:lvlText w:val=""/>
      <w:lvlJc w:val="left"/>
      <w:pPr>
        <w:ind w:left="720" w:hanging="360"/>
      </w:pPr>
      <w:rPr>
        <w:rFonts w:ascii="Symbol" w:eastAsia="Calibri" w:hAnsi="Symbol" w:cs="Segoe UI" w:hint="default"/>
      </w:rPr>
    </w:lvl>
    <w:lvl w:ilvl="1" w:tplc="71D6BB10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4802"/>
    <w:multiLevelType w:val="hybridMultilevel"/>
    <w:tmpl w:val="EFE828F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8D25B7"/>
    <w:multiLevelType w:val="hybridMultilevel"/>
    <w:tmpl w:val="C13A6ADA"/>
    <w:lvl w:ilvl="0" w:tplc="B2866B6E">
      <w:start w:val="14"/>
      <w:numFmt w:val="bullet"/>
      <w:lvlText w:val=""/>
      <w:lvlJc w:val="left"/>
      <w:pPr>
        <w:ind w:left="1080" w:hanging="360"/>
      </w:pPr>
      <w:rPr>
        <w:rFonts w:ascii="Wingdings" w:eastAsia="Calibri" w:hAnsi="Wingdings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9586C"/>
    <w:multiLevelType w:val="hybridMultilevel"/>
    <w:tmpl w:val="7F52C910"/>
    <w:lvl w:ilvl="0" w:tplc="C1E400BC">
      <w:start w:val="2023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E7892"/>
    <w:multiLevelType w:val="hybridMultilevel"/>
    <w:tmpl w:val="32880742"/>
    <w:lvl w:ilvl="0" w:tplc="0A56DD3E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F4383"/>
    <w:multiLevelType w:val="hybridMultilevel"/>
    <w:tmpl w:val="3760BD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371B91"/>
    <w:multiLevelType w:val="hybridMultilevel"/>
    <w:tmpl w:val="D76A9F58"/>
    <w:lvl w:ilvl="0" w:tplc="ACD018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E7E02"/>
    <w:multiLevelType w:val="hybridMultilevel"/>
    <w:tmpl w:val="B166224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F1CAF"/>
    <w:multiLevelType w:val="hybridMultilevel"/>
    <w:tmpl w:val="9B6851F0"/>
    <w:lvl w:ilvl="0" w:tplc="11E4A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25952">
      <w:start w:val="6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Segoe U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46CB6"/>
    <w:multiLevelType w:val="hybridMultilevel"/>
    <w:tmpl w:val="ADDEB8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E9433F"/>
    <w:multiLevelType w:val="hybridMultilevel"/>
    <w:tmpl w:val="4DBC78FA"/>
    <w:lvl w:ilvl="0" w:tplc="BBC2A8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1FD"/>
    <w:multiLevelType w:val="hybridMultilevel"/>
    <w:tmpl w:val="1DC6A5C2"/>
    <w:lvl w:ilvl="0" w:tplc="312CCF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41B79"/>
    <w:multiLevelType w:val="hybridMultilevel"/>
    <w:tmpl w:val="333E2D6C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E633AB5"/>
    <w:multiLevelType w:val="hybridMultilevel"/>
    <w:tmpl w:val="A61AAB4E"/>
    <w:lvl w:ilvl="0" w:tplc="BEECF8A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94A0D"/>
    <w:multiLevelType w:val="hybridMultilevel"/>
    <w:tmpl w:val="4F7CB7B8"/>
    <w:lvl w:ilvl="0" w:tplc="95AC8088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color w:val="808080" w:themeColor="background1" w:themeShade="80"/>
        <w:sz w:val="8"/>
        <w:szCs w:val="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1A3AC5"/>
    <w:multiLevelType w:val="hybridMultilevel"/>
    <w:tmpl w:val="DE725CD2"/>
    <w:lvl w:ilvl="0" w:tplc="C1E400BC">
      <w:start w:val="31"/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5627B"/>
    <w:multiLevelType w:val="hybridMultilevel"/>
    <w:tmpl w:val="8CD2EA1E"/>
    <w:lvl w:ilvl="0" w:tplc="27C64334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B5E4B"/>
    <w:multiLevelType w:val="hybridMultilevel"/>
    <w:tmpl w:val="7CD205DE"/>
    <w:lvl w:ilvl="0" w:tplc="6B82F020">
      <w:start w:val="26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37A04"/>
    <w:multiLevelType w:val="hybridMultilevel"/>
    <w:tmpl w:val="32B23BFE"/>
    <w:lvl w:ilvl="0" w:tplc="5BA4226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902FB"/>
    <w:multiLevelType w:val="hybridMultilevel"/>
    <w:tmpl w:val="E9DC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25"/>
  </w:num>
  <w:num w:numId="5">
    <w:abstractNumId w:val="17"/>
  </w:num>
  <w:num w:numId="6">
    <w:abstractNumId w:val="2"/>
  </w:num>
  <w:num w:numId="7">
    <w:abstractNumId w:val="11"/>
  </w:num>
  <w:num w:numId="8">
    <w:abstractNumId w:val="20"/>
  </w:num>
  <w:num w:numId="9">
    <w:abstractNumId w:val="4"/>
  </w:num>
  <w:num w:numId="10">
    <w:abstractNumId w:val="23"/>
  </w:num>
  <w:num w:numId="11">
    <w:abstractNumId w:val="14"/>
  </w:num>
  <w:num w:numId="12">
    <w:abstractNumId w:val="12"/>
  </w:num>
  <w:num w:numId="13">
    <w:abstractNumId w:val="9"/>
  </w:num>
  <w:num w:numId="14">
    <w:abstractNumId w:val="24"/>
  </w:num>
  <w:num w:numId="15">
    <w:abstractNumId w:val="21"/>
  </w:num>
  <w:num w:numId="16">
    <w:abstractNumId w:val="26"/>
  </w:num>
  <w:num w:numId="17">
    <w:abstractNumId w:val="13"/>
  </w:num>
  <w:num w:numId="18">
    <w:abstractNumId w:val="7"/>
  </w:num>
  <w:num w:numId="19">
    <w:abstractNumId w:val="1"/>
  </w:num>
  <w:num w:numId="20">
    <w:abstractNumId w:val="16"/>
  </w:num>
  <w:num w:numId="21">
    <w:abstractNumId w:val="3"/>
  </w:num>
  <w:num w:numId="22">
    <w:abstractNumId w:val="0"/>
  </w:num>
  <w:num w:numId="23">
    <w:abstractNumId w:val="10"/>
  </w:num>
  <w:num w:numId="24">
    <w:abstractNumId w:val="15"/>
  </w:num>
  <w:num w:numId="25">
    <w:abstractNumId w:val="18"/>
  </w:num>
  <w:num w:numId="26">
    <w:abstractNumId w:val="22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89"/>
    <w:rsid w:val="000110C6"/>
    <w:rsid w:val="00022E1F"/>
    <w:rsid w:val="00025E01"/>
    <w:rsid w:val="00030C67"/>
    <w:rsid w:val="00036EB9"/>
    <w:rsid w:val="00050892"/>
    <w:rsid w:val="0005284B"/>
    <w:rsid w:val="000612A3"/>
    <w:rsid w:val="00070456"/>
    <w:rsid w:val="000724FA"/>
    <w:rsid w:val="00072B1D"/>
    <w:rsid w:val="00080671"/>
    <w:rsid w:val="000B1560"/>
    <w:rsid w:val="000B1AED"/>
    <w:rsid w:val="000B695A"/>
    <w:rsid w:val="000D0B85"/>
    <w:rsid w:val="000D37E5"/>
    <w:rsid w:val="000D6D56"/>
    <w:rsid w:val="000E6971"/>
    <w:rsid w:val="000E736C"/>
    <w:rsid w:val="00105199"/>
    <w:rsid w:val="00114982"/>
    <w:rsid w:val="0011753E"/>
    <w:rsid w:val="0014190D"/>
    <w:rsid w:val="00154CE5"/>
    <w:rsid w:val="00163680"/>
    <w:rsid w:val="00171ACD"/>
    <w:rsid w:val="00192CC3"/>
    <w:rsid w:val="0019754E"/>
    <w:rsid w:val="001A286D"/>
    <w:rsid w:val="001A28AC"/>
    <w:rsid w:val="001C2850"/>
    <w:rsid w:val="001E17E5"/>
    <w:rsid w:val="001F48C0"/>
    <w:rsid w:val="001F560C"/>
    <w:rsid w:val="00207270"/>
    <w:rsid w:val="00210AE9"/>
    <w:rsid w:val="00213778"/>
    <w:rsid w:val="00214283"/>
    <w:rsid w:val="00221CF6"/>
    <w:rsid w:val="002238B7"/>
    <w:rsid w:val="00225A61"/>
    <w:rsid w:val="0023043D"/>
    <w:rsid w:val="00234663"/>
    <w:rsid w:val="00241BCA"/>
    <w:rsid w:val="00244AC1"/>
    <w:rsid w:val="00245391"/>
    <w:rsid w:val="0026025C"/>
    <w:rsid w:val="0026113D"/>
    <w:rsid w:val="002673A4"/>
    <w:rsid w:val="00272840"/>
    <w:rsid w:val="00286062"/>
    <w:rsid w:val="00286275"/>
    <w:rsid w:val="00297444"/>
    <w:rsid w:val="002B244F"/>
    <w:rsid w:val="002C6073"/>
    <w:rsid w:val="002D676F"/>
    <w:rsid w:val="002F4D78"/>
    <w:rsid w:val="0031338D"/>
    <w:rsid w:val="00324178"/>
    <w:rsid w:val="0032779E"/>
    <w:rsid w:val="00352BF5"/>
    <w:rsid w:val="00352EA7"/>
    <w:rsid w:val="00390AE0"/>
    <w:rsid w:val="003A585D"/>
    <w:rsid w:val="003B18DA"/>
    <w:rsid w:val="003B1B37"/>
    <w:rsid w:val="003C4F66"/>
    <w:rsid w:val="003D0279"/>
    <w:rsid w:val="003E1B97"/>
    <w:rsid w:val="003E7005"/>
    <w:rsid w:val="003F3E86"/>
    <w:rsid w:val="003F58FE"/>
    <w:rsid w:val="00412EE5"/>
    <w:rsid w:val="00424D9D"/>
    <w:rsid w:val="00425951"/>
    <w:rsid w:val="00432AC3"/>
    <w:rsid w:val="00437E5D"/>
    <w:rsid w:val="00442953"/>
    <w:rsid w:val="0044765D"/>
    <w:rsid w:val="00450837"/>
    <w:rsid w:val="00464142"/>
    <w:rsid w:val="00466A01"/>
    <w:rsid w:val="00471A7E"/>
    <w:rsid w:val="0047242A"/>
    <w:rsid w:val="00482A68"/>
    <w:rsid w:val="004919DD"/>
    <w:rsid w:val="004A16BF"/>
    <w:rsid w:val="004B3EBC"/>
    <w:rsid w:val="004C6302"/>
    <w:rsid w:val="004E4C2C"/>
    <w:rsid w:val="004F22CE"/>
    <w:rsid w:val="00513602"/>
    <w:rsid w:val="00515494"/>
    <w:rsid w:val="00515685"/>
    <w:rsid w:val="00526D49"/>
    <w:rsid w:val="00530FA2"/>
    <w:rsid w:val="005315D2"/>
    <w:rsid w:val="00540FEC"/>
    <w:rsid w:val="005567FD"/>
    <w:rsid w:val="00560EC1"/>
    <w:rsid w:val="00561D50"/>
    <w:rsid w:val="005846D8"/>
    <w:rsid w:val="005B286C"/>
    <w:rsid w:val="005B2AB4"/>
    <w:rsid w:val="005E42E9"/>
    <w:rsid w:val="005F3435"/>
    <w:rsid w:val="005F4578"/>
    <w:rsid w:val="006026C1"/>
    <w:rsid w:val="00607E6B"/>
    <w:rsid w:val="00611A48"/>
    <w:rsid w:val="00626034"/>
    <w:rsid w:val="00626AC1"/>
    <w:rsid w:val="006341A4"/>
    <w:rsid w:val="006419A0"/>
    <w:rsid w:val="0067730D"/>
    <w:rsid w:val="00691844"/>
    <w:rsid w:val="00693EF6"/>
    <w:rsid w:val="00694AEF"/>
    <w:rsid w:val="00695217"/>
    <w:rsid w:val="006A688C"/>
    <w:rsid w:val="006B589E"/>
    <w:rsid w:val="006D0D19"/>
    <w:rsid w:val="006E3BA1"/>
    <w:rsid w:val="006F6A43"/>
    <w:rsid w:val="006F773C"/>
    <w:rsid w:val="007242CE"/>
    <w:rsid w:val="0072731C"/>
    <w:rsid w:val="00737E99"/>
    <w:rsid w:val="00742C5F"/>
    <w:rsid w:val="0074658E"/>
    <w:rsid w:val="00761836"/>
    <w:rsid w:val="0077069A"/>
    <w:rsid w:val="00770897"/>
    <w:rsid w:val="00774ECB"/>
    <w:rsid w:val="00782002"/>
    <w:rsid w:val="00784F82"/>
    <w:rsid w:val="00792ADB"/>
    <w:rsid w:val="00795026"/>
    <w:rsid w:val="007A2492"/>
    <w:rsid w:val="007A36B2"/>
    <w:rsid w:val="007A3A2E"/>
    <w:rsid w:val="007B7E58"/>
    <w:rsid w:val="007E07E6"/>
    <w:rsid w:val="00802BA8"/>
    <w:rsid w:val="00802EEC"/>
    <w:rsid w:val="008140D2"/>
    <w:rsid w:val="00816379"/>
    <w:rsid w:val="00847985"/>
    <w:rsid w:val="008564C8"/>
    <w:rsid w:val="008602BA"/>
    <w:rsid w:val="0086439F"/>
    <w:rsid w:val="008A052B"/>
    <w:rsid w:val="008A5011"/>
    <w:rsid w:val="008C0529"/>
    <w:rsid w:val="008D2B07"/>
    <w:rsid w:val="008D3EF7"/>
    <w:rsid w:val="008E3D9F"/>
    <w:rsid w:val="008E4BBA"/>
    <w:rsid w:val="008F00EB"/>
    <w:rsid w:val="008F510F"/>
    <w:rsid w:val="009018D2"/>
    <w:rsid w:val="009033FE"/>
    <w:rsid w:val="00913258"/>
    <w:rsid w:val="009254B1"/>
    <w:rsid w:val="0094762A"/>
    <w:rsid w:val="00950864"/>
    <w:rsid w:val="009737B3"/>
    <w:rsid w:val="009750C0"/>
    <w:rsid w:val="009D007E"/>
    <w:rsid w:val="009D2D0A"/>
    <w:rsid w:val="009F4777"/>
    <w:rsid w:val="009F6928"/>
    <w:rsid w:val="009F7F74"/>
    <w:rsid w:val="00A01AAC"/>
    <w:rsid w:val="00A05A5A"/>
    <w:rsid w:val="00A072F4"/>
    <w:rsid w:val="00A72609"/>
    <w:rsid w:val="00A7701C"/>
    <w:rsid w:val="00A81911"/>
    <w:rsid w:val="00A94D89"/>
    <w:rsid w:val="00A95589"/>
    <w:rsid w:val="00AA72D9"/>
    <w:rsid w:val="00AD1F74"/>
    <w:rsid w:val="00AE75D2"/>
    <w:rsid w:val="00AF397E"/>
    <w:rsid w:val="00AF3E63"/>
    <w:rsid w:val="00AF6E9B"/>
    <w:rsid w:val="00B054C2"/>
    <w:rsid w:val="00B20A65"/>
    <w:rsid w:val="00B23F02"/>
    <w:rsid w:val="00B455EE"/>
    <w:rsid w:val="00B468A5"/>
    <w:rsid w:val="00B54BB0"/>
    <w:rsid w:val="00B67601"/>
    <w:rsid w:val="00B6798F"/>
    <w:rsid w:val="00B738B3"/>
    <w:rsid w:val="00B774C6"/>
    <w:rsid w:val="00B92339"/>
    <w:rsid w:val="00BB105B"/>
    <w:rsid w:val="00BD65FA"/>
    <w:rsid w:val="00BE0D89"/>
    <w:rsid w:val="00BF52BE"/>
    <w:rsid w:val="00C02836"/>
    <w:rsid w:val="00C032D9"/>
    <w:rsid w:val="00C1549B"/>
    <w:rsid w:val="00C165FF"/>
    <w:rsid w:val="00C276B9"/>
    <w:rsid w:val="00C31E59"/>
    <w:rsid w:val="00C37E51"/>
    <w:rsid w:val="00C44385"/>
    <w:rsid w:val="00C46870"/>
    <w:rsid w:val="00C503BD"/>
    <w:rsid w:val="00C57A54"/>
    <w:rsid w:val="00C63C39"/>
    <w:rsid w:val="00C75556"/>
    <w:rsid w:val="00C7740D"/>
    <w:rsid w:val="00C80488"/>
    <w:rsid w:val="00C81CD1"/>
    <w:rsid w:val="00C84440"/>
    <w:rsid w:val="00C95EB2"/>
    <w:rsid w:val="00CA08C5"/>
    <w:rsid w:val="00CA6022"/>
    <w:rsid w:val="00CB0EBF"/>
    <w:rsid w:val="00CB45A8"/>
    <w:rsid w:val="00CB5A32"/>
    <w:rsid w:val="00CC0770"/>
    <w:rsid w:val="00CC530B"/>
    <w:rsid w:val="00CC6144"/>
    <w:rsid w:val="00CD49D9"/>
    <w:rsid w:val="00D13FFE"/>
    <w:rsid w:val="00D23F21"/>
    <w:rsid w:val="00D26A16"/>
    <w:rsid w:val="00D442D1"/>
    <w:rsid w:val="00D51981"/>
    <w:rsid w:val="00D53D5F"/>
    <w:rsid w:val="00D57E91"/>
    <w:rsid w:val="00D65809"/>
    <w:rsid w:val="00D803DC"/>
    <w:rsid w:val="00D84B74"/>
    <w:rsid w:val="00D87201"/>
    <w:rsid w:val="00D95A9B"/>
    <w:rsid w:val="00DA6A49"/>
    <w:rsid w:val="00DB04B5"/>
    <w:rsid w:val="00DB3257"/>
    <w:rsid w:val="00DD5D54"/>
    <w:rsid w:val="00DE6FB4"/>
    <w:rsid w:val="00E1211D"/>
    <w:rsid w:val="00E20EB2"/>
    <w:rsid w:val="00E605C7"/>
    <w:rsid w:val="00E64947"/>
    <w:rsid w:val="00E65DBB"/>
    <w:rsid w:val="00E771C5"/>
    <w:rsid w:val="00E77C69"/>
    <w:rsid w:val="00E90CA5"/>
    <w:rsid w:val="00EA5813"/>
    <w:rsid w:val="00EB1342"/>
    <w:rsid w:val="00EB645B"/>
    <w:rsid w:val="00EC3204"/>
    <w:rsid w:val="00EC711E"/>
    <w:rsid w:val="00ED5631"/>
    <w:rsid w:val="00EE0812"/>
    <w:rsid w:val="00EF0DE3"/>
    <w:rsid w:val="00EF702E"/>
    <w:rsid w:val="00F072B4"/>
    <w:rsid w:val="00F07A95"/>
    <w:rsid w:val="00F16CEC"/>
    <w:rsid w:val="00F225A5"/>
    <w:rsid w:val="00F3113B"/>
    <w:rsid w:val="00F3329F"/>
    <w:rsid w:val="00F45D29"/>
    <w:rsid w:val="00F54393"/>
    <w:rsid w:val="00F668DF"/>
    <w:rsid w:val="00F73EA8"/>
    <w:rsid w:val="00F75429"/>
    <w:rsid w:val="00F76685"/>
    <w:rsid w:val="00F802B0"/>
    <w:rsid w:val="00F82D89"/>
    <w:rsid w:val="00F96989"/>
    <w:rsid w:val="00F972B0"/>
    <w:rsid w:val="00FA1C21"/>
    <w:rsid w:val="00FA749D"/>
    <w:rsid w:val="00FB0CCF"/>
    <w:rsid w:val="00FC41E8"/>
    <w:rsid w:val="00FE33C8"/>
    <w:rsid w:val="00FE4D4A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9751"/>
  <w15:docId w15:val="{940A7D60-FD88-4E6C-BAD2-6BFD4741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D89"/>
  </w:style>
  <w:style w:type="paragraph" w:styleId="Titre1">
    <w:name w:val="heading 1"/>
    <w:basedOn w:val="Normal"/>
    <w:next w:val="Normal"/>
    <w:link w:val="Titre1Car"/>
    <w:uiPriority w:val="9"/>
    <w:qFormat/>
    <w:rsid w:val="00E77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4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D89"/>
  </w:style>
  <w:style w:type="table" w:styleId="Grilledutableau">
    <w:name w:val="Table Grid"/>
    <w:basedOn w:val="TableauNormal"/>
    <w:rsid w:val="00A9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EC,Paragraphe de liste11,Paragraphe de liste1,Colorful List Accent 1,List Paragraph (numbered (a)),List_Paragraph,Multilevel para_II,List Paragraph1,Colorful List - Accent 11,Dot pt,No Spacing1,Indicator Text,L,List Paragraph,Puce,3"/>
    <w:basedOn w:val="Normal"/>
    <w:link w:val="ParagraphedelisteCar"/>
    <w:uiPriority w:val="34"/>
    <w:qFormat/>
    <w:rsid w:val="00A94D89"/>
    <w:pPr>
      <w:ind w:left="720"/>
      <w:contextualSpacing/>
    </w:pPr>
  </w:style>
  <w:style w:type="character" w:customStyle="1" w:styleId="ParagraphedelisteCar">
    <w:name w:val="Paragraphe de liste Car"/>
    <w:aliases w:val="EC Car,Paragraphe de liste11 Car,Paragraphe de liste1 Car,Colorful List Accent 1 Car,List Paragraph (numbered (a)) Car,List_Paragraph Car,Multilevel para_II Car,List Paragraph1 Car,Colorful List - Accent 11 Car,Dot pt Car,L Car"/>
    <w:basedOn w:val="Policepardfaut"/>
    <w:link w:val="Paragraphedeliste"/>
    <w:uiPriority w:val="34"/>
    <w:qFormat/>
    <w:rsid w:val="00A94D89"/>
  </w:style>
  <w:style w:type="paragraph" w:styleId="Notedebasdepage">
    <w:name w:val="footnote text"/>
    <w:basedOn w:val="Normal"/>
    <w:link w:val="NotedebasdepageCar"/>
    <w:uiPriority w:val="99"/>
    <w:unhideWhenUsed/>
    <w:rsid w:val="00A94D8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94D89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A94D8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ED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D37E5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23F02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46414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1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9A0"/>
  </w:style>
  <w:style w:type="character" w:styleId="Mentionnonrsolue">
    <w:name w:val="Unresolved Mention"/>
    <w:basedOn w:val="Policepardfaut"/>
    <w:uiPriority w:val="99"/>
    <w:semiHidden/>
    <w:unhideWhenUsed/>
    <w:rsid w:val="00C95EB2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E77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3624-CD64-444B-8240-1D8D6E71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8473</TotalTime>
  <Pages>4</Pages>
  <Words>1241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Maëlys</dc:creator>
  <cp:keywords/>
  <dc:description/>
  <cp:lastModifiedBy>MOULIN Arthur</cp:lastModifiedBy>
  <cp:revision>11</cp:revision>
  <cp:lastPrinted>2023-09-11T09:05:00Z</cp:lastPrinted>
  <dcterms:created xsi:type="dcterms:W3CDTF">2023-07-19T14:04:00Z</dcterms:created>
  <dcterms:modified xsi:type="dcterms:W3CDTF">2023-09-11T13:16:00Z</dcterms:modified>
</cp:coreProperties>
</file>