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F5E3" w14:textId="77777777" w:rsidR="000C426A" w:rsidRPr="000A46EE" w:rsidRDefault="000C426A" w:rsidP="00716573">
      <w:pPr>
        <w:ind w:left="-851" w:firstLine="851"/>
        <w:jc w:val="center"/>
        <w:rPr>
          <w:rFonts w:ascii="Arial" w:hAnsi="Arial" w:cs="Arial"/>
          <w:sz w:val="24"/>
          <w:szCs w:val="20"/>
        </w:rPr>
      </w:pPr>
    </w:p>
    <w:p w14:paraId="187AABF7" w14:textId="60483F81" w:rsidR="00AF62C7" w:rsidRPr="00A63B0C" w:rsidRDefault="007031DA" w:rsidP="003729CF">
      <w:pPr>
        <w:jc w:val="center"/>
        <w:rPr>
          <w:rFonts w:ascii="Segoe UI" w:hAnsi="Segoe UI" w:cs="Segoe UI"/>
          <w:b/>
          <w:bCs/>
          <w:color w:val="0070C0"/>
          <w:sz w:val="28"/>
          <w:szCs w:val="28"/>
        </w:rPr>
      </w:pPr>
      <w:r>
        <w:rPr>
          <w:rFonts w:ascii="Segoe UI" w:hAnsi="Segoe UI" w:cs="Segoe UI"/>
          <w:b/>
          <w:color w:val="0070C0"/>
          <w:sz w:val="28"/>
          <w:szCs w:val="28"/>
        </w:rPr>
        <w:t xml:space="preserve">ISRAEL : </w:t>
      </w:r>
      <w:r w:rsidR="007A023D">
        <w:rPr>
          <w:rFonts w:ascii="Segoe UI" w:hAnsi="Segoe UI" w:cs="Segoe UI"/>
          <w:b/>
          <w:color w:val="0070C0"/>
          <w:sz w:val="28"/>
          <w:szCs w:val="28"/>
        </w:rPr>
        <w:t>résilience certes</w:t>
      </w:r>
      <w:r w:rsidR="002023EB" w:rsidRPr="00A63B0C">
        <w:rPr>
          <w:rFonts w:ascii="Segoe UI" w:hAnsi="Segoe UI" w:cs="Segoe UI"/>
          <w:b/>
          <w:color w:val="0070C0"/>
          <w:sz w:val="28"/>
          <w:szCs w:val="28"/>
        </w:rPr>
        <w:t>,</w:t>
      </w:r>
      <w:r w:rsidR="005A297B" w:rsidRPr="00A63B0C">
        <w:rPr>
          <w:rFonts w:ascii="Segoe UI" w:hAnsi="Segoe UI" w:cs="Segoe UI"/>
          <w:b/>
          <w:color w:val="0070C0"/>
          <w:sz w:val="28"/>
          <w:szCs w:val="28"/>
        </w:rPr>
        <w:t xml:space="preserve"> mais</w:t>
      </w:r>
      <w:r w:rsidR="002023EB" w:rsidRPr="00A63B0C">
        <w:rPr>
          <w:rFonts w:ascii="Segoe UI" w:hAnsi="Segoe UI" w:cs="Segoe UI"/>
          <w:b/>
          <w:color w:val="0070C0"/>
          <w:sz w:val="28"/>
          <w:szCs w:val="28"/>
        </w:rPr>
        <w:t xml:space="preserve"> à moyen</w:t>
      </w:r>
      <w:r w:rsidR="00D61D8A" w:rsidRPr="00A63B0C">
        <w:rPr>
          <w:rFonts w:ascii="Segoe UI" w:hAnsi="Segoe UI" w:cs="Segoe UI"/>
          <w:b/>
          <w:color w:val="0070C0"/>
          <w:sz w:val="28"/>
          <w:szCs w:val="28"/>
        </w:rPr>
        <w:t>-</w:t>
      </w:r>
      <w:r w:rsidR="002023EB" w:rsidRPr="00A63B0C">
        <w:rPr>
          <w:rFonts w:ascii="Segoe UI" w:hAnsi="Segoe UI" w:cs="Segoe UI"/>
          <w:b/>
          <w:color w:val="0070C0"/>
          <w:sz w:val="28"/>
          <w:szCs w:val="28"/>
        </w:rPr>
        <w:t>long terme</w:t>
      </w:r>
      <w:r w:rsidR="00D61D8A" w:rsidRPr="00A63B0C">
        <w:rPr>
          <w:rFonts w:ascii="Segoe UI" w:hAnsi="Segoe UI" w:cs="Segoe UI"/>
          <w:b/>
          <w:color w:val="0070C0"/>
          <w:sz w:val="28"/>
          <w:szCs w:val="28"/>
        </w:rPr>
        <w:t>,</w:t>
      </w:r>
      <w:r w:rsidR="002023EB" w:rsidRPr="00A63B0C">
        <w:rPr>
          <w:rFonts w:ascii="Segoe UI" w:hAnsi="Segoe UI" w:cs="Segoe UI"/>
          <w:b/>
          <w:color w:val="0070C0"/>
          <w:sz w:val="28"/>
          <w:szCs w:val="28"/>
        </w:rPr>
        <w:t xml:space="preserve"> l’horizon est </w:t>
      </w:r>
      <w:r w:rsidR="00D4734F">
        <w:rPr>
          <w:rFonts w:ascii="Segoe UI" w:hAnsi="Segoe UI" w:cs="Segoe UI"/>
          <w:b/>
          <w:color w:val="0070C0"/>
          <w:sz w:val="28"/>
          <w:szCs w:val="28"/>
        </w:rPr>
        <w:t xml:space="preserve">plus </w:t>
      </w:r>
      <w:r w:rsidR="002023EB" w:rsidRPr="00A63B0C">
        <w:rPr>
          <w:rFonts w:ascii="Segoe UI" w:hAnsi="Segoe UI" w:cs="Segoe UI"/>
          <w:b/>
          <w:color w:val="0070C0"/>
          <w:sz w:val="28"/>
          <w:szCs w:val="28"/>
        </w:rPr>
        <w:t>chargé</w:t>
      </w:r>
    </w:p>
    <w:p w14:paraId="446D1402" w14:textId="77777777" w:rsidR="000C426A" w:rsidRDefault="000C426A" w:rsidP="009515F4">
      <w:pPr>
        <w:rPr>
          <w:rFonts w:ascii="Roboto" w:hAnsi="Roboto"/>
          <w:color w:val="111533"/>
          <w:sz w:val="27"/>
          <w:szCs w:val="27"/>
          <w:shd w:val="clear" w:color="auto" w:fill="FFFFFF"/>
        </w:rPr>
      </w:pPr>
    </w:p>
    <w:p w14:paraId="5C3962DC" w14:textId="0E4C5174" w:rsidR="002F7C9D" w:rsidRPr="00A63B0C" w:rsidRDefault="00210F1D" w:rsidP="002F7C9D">
      <w:pPr>
        <w:jc w:val="both"/>
        <w:rPr>
          <w:rFonts w:eastAsia="Times New Roman"/>
          <w:color w:val="0070C0"/>
        </w:rPr>
      </w:pPr>
      <w:bookmarkStart w:id="0" w:name="_Hlk162604457"/>
      <w:r w:rsidRPr="00A63B0C">
        <w:rPr>
          <w:rFonts w:eastAsia="Times New Roman"/>
          <w:color w:val="0070C0"/>
        </w:rPr>
        <w:t>Malgré l</w:t>
      </w:r>
      <w:r w:rsidR="002F7C9D" w:rsidRPr="00A63B0C">
        <w:rPr>
          <w:rFonts w:eastAsia="Times New Roman"/>
          <w:color w:val="0070C0"/>
        </w:rPr>
        <w:t xml:space="preserve">a </w:t>
      </w:r>
      <w:r w:rsidRPr="00A63B0C">
        <w:rPr>
          <w:rFonts w:eastAsia="Times New Roman"/>
          <w:color w:val="0070C0"/>
        </w:rPr>
        <w:t>récession sévè</w:t>
      </w:r>
      <w:r w:rsidR="002F7C9D" w:rsidRPr="00A63B0C">
        <w:rPr>
          <w:rFonts w:eastAsia="Times New Roman"/>
          <w:color w:val="0070C0"/>
        </w:rPr>
        <w:t xml:space="preserve">re </w:t>
      </w:r>
      <w:r w:rsidRPr="00A63B0C">
        <w:rPr>
          <w:rFonts w:eastAsia="Times New Roman"/>
          <w:color w:val="0070C0"/>
        </w:rPr>
        <w:t>du</w:t>
      </w:r>
      <w:r w:rsidR="002F7C9D" w:rsidRPr="00A63B0C">
        <w:rPr>
          <w:rFonts w:eastAsia="Times New Roman"/>
          <w:color w:val="0070C0"/>
        </w:rPr>
        <w:t xml:space="preserve"> dernier trimestre 2023</w:t>
      </w:r>
      <w:r w:rsidR="003B458A" w:rsidRPr="00A63B0C">
        <w:rPr>
          <w:rFonts w:eastAsia="Times New Roman"/>
          <w:color w:val="0070C0"/>
        </w:rPr>
        <w:t xml:space="preserve"> (-19% du PIB)</w:t>
      </w:r>
      <w:r w:rsidRPr="00A63B0C">
        <w:rPr>
          <w:rFonts w:eastAsia="Times New Roman"/>
          <w:color w:val="0070C0"/>
        </w:rPr>
        <w:t>, e</w:t>
      </w:r>
      <w:r w:rsidR="002F7C9D" w:rsidRPr="00A63B0C">
        <w:rPr>
          <w:rFonts w:eastAsia="Times New Roman"/>
          <w:color w:val="0070C0"/>
        </w:rPr>
        <w:t>n année pleine la croissance</w:t>
      </w:r>
      <w:r w:rsidR="00214B97" w:rsidRPr="00A63B0C">
        <w:rPr>
          <w:rFonts w:eastAsia="Times New Roman"/>
          <w:color w:val="0070C0"/>
        </w:rPr>
        <w:t xml:space="preserve"> est restée positive (+</w:t>
      </w:r>
      <w:r w:rsidR="003729CF">
        <w:rPr>
          <w:rFonts w:eastAsia="Times New Roman"/>
          <w:color w:val="0070C0"/>
        </w:rPr>
        <w:t>1,8</w:t>
      </w:r>
      <w:r w:rsidR="00214B97" w:rsidRPr="00A63B0C">
        <w:rPr>
          <w:rFonts w:eastAsia="Times New Roman"/>
          <w:color w:val="0070C0"/>
        </w:rPr>
        <w:t>%).</w:t>
      </w:r>
      <w:r w:rsidR="00D61D8A" w:rsidRPr="00A63B0C">
        <w:rPr>
          <w:rFonts w:eastAsia="Times New Roman"/>
          <w:color w:val="0070C0"/>
        </w:rPr>
        <w:t xml:space="preserve"> </w:t>
      </w:r>
      <w:r w:rsidR="00214B97" w:rsidRPr="00A63B0C">
        <w:rPr>
          <w:rFonts w:eastAsia="Times New Roman"/>
          <w:color w:val="0070C0"/>
        </w:rPr>
        <w:t xml:space="preserve">En </w:t>
      </w:r>
      <w:r w:rsidR="002F7C9D" w:rsidRPr="00A63B0C">
        <w:rPr>
          <w:rFonts w:eastAsia="Times New Roman"/>
          <w:color w:val="0070C0"/>
        </w:rPr>
        <w:t>2024</w:t>
      </w:r>
      <w:r w:rsidR="00D61D8A" w:rsidRPr="00A63B0C">
        <w:rPr>
          <w:rFonts w:eastAsia="Times New Roman"/>
          <w:color w:val="0070C0"/>
        </w:rPr>
        <w:t>,</w:t>
      </w:r>
      <w:r w:rsidR="004F459C" w:rsidRPr="00A63B0C">
        <w:rPr>
          <w:rFonts w:eastAsia="Times New Roman"/>
          <w:color w:val="0070C0"/>
        </w:rPr>
        <w:t xml:space="preserve"> </w:t>
      </w:r>
      <w:r w:rsidR="00214B97" w:rsidRPr="00A63B0C">
        <w:rPr>
          <w:rFonts w:eastAsia="Times New Roman"/>
          <w:color w:val="0070C0"/>
        </w:rPr>
        <w:t xml:space="preserve">Israël devrait éviter la récession </w:t>
      </w:r>
      <w:r w:rsidR="004F459C" w:rsidRPr="00A63B0C">
        <w:rPr>
          <w:rFonts w:eastAsia="Times New Roman"/>
          <w:color w:val="0070C0"/>
        </w:rPr>
        <w:t>(</w:t>
      </w:r>
      <w:r w:rsidR="000F2611" w:rsidRPr="00A63B0C">
        <w:rPr>
          <w:rFonts w:eastAsia="Times New Roman"/>
          <w:color w:val="0070C0"/>
        </w:rPr>
        <w:t xml:space="preserve">entre </w:t>
      </w:r>
      <w:r w:rsidR="00214B97" w:rsidRPr="00A63B0C">
        <w:rPr>
          <w:rFonts w:eastAsia="Times New Roman"/>
          <w:color w:val="0070C0"/>
        </w:rPr>
        <w:t>+</w:t>
      </w:r>
      <w:r w:rsidR="000F2611" w:rsidRPr="00A63B0C">
        <w:rPr>
          <w:rFonts w:eastAsia="Times New Roman"/>
          <w:color w:val="0070C0"/>
        </w:rPr>
        <w:t xml:space="preserve">0,2 et </w:t>
      </w:r>
      <w:r w:rsidR="00214B97" w:rsidRPr="00A63B0C">
        <w:rPr>
          <w:rFonts w:eastAsia="Times New Roman"/>
          <w:color w:val="0070C0"/>
        </w:rPr>
        <w:t>+</w:t>
      </w:r>
      <w:r w:rsidR="000F2611" w:rsidRPr="00A63B0C">
        <w:rPr>
          <w:rFonts w:eastAsia="Times New Roman"/>
          <w:color w:val="0070C0"/>
        </w:rPr>
        <w:t>2,2%</w:t>
      </w:r>
      <w:r w:rsidR="00D61D8A" w:rsidRPr="00A63B0C">
        <w:rPr>
          <w:rFonts w:eastAsia="Times New Roman"/>
          <w:color w:val="0070C0"/>
        </w:rPr>
        <w:t xml:space="preserve"> de prévision de croissance</w:t>
      </w:r>
      <w:r w:rsidR="004F459C" w:rsidRPr="00A63B0C">
        <w:rPr>
          <w:rFonts w:eastAsia="Times New Roman"/>
          <w:color w:val="0070C0"/>
        </w:rPr>
        <w:t>)</w:t>
      </w:r>
      <w:r w:rsidRPr="00A63B0C">
        <w:rPr>
          <w:rFonts w:eastAsia="Times New Roman"/>
          <w:color w:val="0070C0"/>
        </w:rPr>
        <w:t> ; cela dépendra d</w:t>
      </w:r>
      <w:r w:rsidR="0015619F" w:rsidRPr="00A63B0C">
        <w:rPr>
          <w:rFonts w:eastAsia="Times New Roman"/>
          <w:color w:val="0070C0"/>
        </w:rPr>
        <w:t xml:space="preserve">u théâtre </w:t>
      </w:r>
      <w:r w:rsidRPr="00A63B0C">
        <w:rPr>
          <w:rFonts w:eastAsia="Times New Roman"/>
          <w:color w:val="0070C0"/>
        </w:rPr>
        <w:t>et de la durée de la guerre</w:t>
      </w:r>
      <w:r w:rsidR="00214B97" w:rsidRPr="00A63B0C">
        <w:rPr>
          <w:rFonts w:eastAsia="Times New Roman"/>
          <w:color w:val="0070C0"/>
        </w:rPr>
        <w:t xml:space="preserve"> ainsi que de l’a</w:t>
      </w:r>
      <w:r w:rsidR="0015619F" w:rsidRPr="00A63B0C">
        <w:rPr>
          <w:rFonts w:eastAsia="Times New Roman"/>
          <w:color w:val="0070C0"/>
        </w:rPr>
        <w:t>tmosphère</w:t>
      </w:r>
      <w:r w:rsidR="00214B97" w:rsidRPr="00A63B0C">
        <w:rPr>
          <w:rFonts w:eastAsia="Times New Roman"/>
          <w:color w:val="0070C0"/>
        </w:rPr>
        <w:t xml:space="preserve"> politique intérieure</w:t>
      </w:r>
      <w:r w:rsidR="00D45167">
        <w:rPr>
          <w:rFonts w:eastAsia="Times New Roman"/>
          <w:color w:val="0070C0"/>
        </w:rPr>
        <w:t xml:space="preserve">. </w:t>
      </w:r>
      <w:r w:rsidRPr="00A63B0C">
        <w:rPr>
          <w:rFonts w:eastAsia="Times New Roman"/>
          <w:color w:val="0070C0"/>
        </w:rPr>
        <w:t>La construction</w:t>
      </w:r>
      <w:r w:rsidR="001F46DD" w:rsidRPr="00A63B0C">
        <w:rPr>
          <w:rFonts w:eastAsia="Times New Roman"/>
          <w:color w:val="0070C0"/>
        </w:rPr>
        <w:t xml:space="preserve"> (10% du PIB)</w:t>
      </w:r>
      <w:r w:rsidRPr="00A63B0C">
        <w:rPr>
          <w:rFonts w:eastAsia="Times New Roman"/>
          <w:color w:val="0070C0"/>
        </w:rPr>
        <w:t xml:space="preserve"> est le </w:t>
      </w:r>
      <w:r w:rsidR="00214B97" w:rsidRPr="00A63B0C">
        <w:rPr>
          <w:rFonts w:eastAsia="Times New Roman"/>
          <w:color w:val="0070C0"/>
        </w:rPr>
        <w:t>principal point noir</w:t>
      </w:r>
      <w:r w:rsidR="00D45167">
        <w:rPr>
          <w:rFonts w:eastAsia="Times New Roman"/>
          <w:color w:val="0070C0"/>
        </w:rPr>
        <w:t>, a</w:t>
      </w:r>
      <w:r w:rsidR="0015619F" w:rsidRPr="00A63B0C">
        <w:rPr>
          <w:rFonts w:eastAsia="Times New Roman"/>
          <w:color w:val="0070C0"/>
        </w:rPr>
        <w:t>vec elle, d’autres conséquences de moyen</w:t>
      </w:r>
      <w:r w:rsidR="00922158" w:rsidRPr="00A63B0C">
        <w:rPr>
          <w:rFonts w:eastAsia="Times New Roman"/>
          <w:color w:val="0070C0"/>
        </w:rPr>
        <w:t>-</w:t>
      </w:r>
      <w:r w:rsidR="0015619F" w:rsidRPr="00A63B0C">
        <w:rPr>
          <w:rFonts w:eastAsia="Times New Roman"/>
          <w:color w:val="0070C0"/>
        </w:rPr>
        <w:t>long terme sont sources d’inquiétude</w:t>
      </w:r>
      <w:r w:rsidR="00170044" w:rsidRPr="00A63B0C">
        <w:rPr>
          <w:rFonts w:eastAsia="Times New Roman"/>
          <w:color w:val="0070C0"/>
        </w:rPr>
        <w:t>s</w:t>
      </w:r>
      <w:r w:rsidR="00C75B11" w:rsidRPr="00A63B0C">
        <w:rPr>
          <w:rFonts w:eastAsia="Times New Roman"/>
          <w:color w:val="0070C0"/>
        </w:rPr>
        <w:t xml:space="preserve"> (</w:t>
      </w:r>
      <w:r w:rsidR="00530235" w:rsidRPr="00A63B0C">
        <w:rPr>
          <w:rFonts w:eastAsia="Times New Roman"/>
          <w:color w:val="0070C0"/>
        </w:rPr>
        <w:t>IDE, coûts budgétaires)</w:t>
      </w:r>
      <w:r w:rsidR="002F7C9D" w:rsidRPr="00A63B0C">
        <w:rPr>
          <w:rFonts w:eastAsia="Times New Roman"/>
          <w:color w:val="0070C0"/>
        </w:rPr>
        <w:t>.</w:t>
      </w:r>
    </w:p>
    <w:p w14:paraId="2F1CC868" w14:textId="77777777" w:rsidR="002F7C9D" w:rsidRDefault="002F7C9D" w:rsidP="002F7C9D">
      <w:pPr>
        <w:jc w:val="both"/>
        <w:rPr>
          <w:rFonts w:eastAsia="Times New Roman"/>
        </w:rPr>
      </w:pPr>
    </w:p>
    <w:p w14:paraId="00600F60" w14:textId="531F9F3F" w:rsidR="00E650EA" w:rsidRPr="00D45167" w:rsidRDefault="00D45167" w:rsidP="00094622">
      <w:pPr>
        <w:pStyle w:val="Paragraphedeliste"/>
        <w:numPr>
          <w:ilvl w:val="0"/>
          <w:numId w:val="27"/>
        </w:numPr>
        <w:jc w:val="both"/>
        <w:rPr>
          <w:rFonts w:eastAsia="Times New Roman"/>
          <w:b/>
          <w:bCs/>
          <w:color w:val="0070C0"/>
        </w:rPr>
      </w:pPr>
      <w:r w:rsidRPr="00D45167">
        <w:rPr>
          <w:rFonts w:eastAsia="Times New Roman"/>
          <w:b/>
          <w:bCs/>
          <w:color w:val="0070C0"/>
        </w:rPr>
        <w:t>La guerre, dans sa première phase, n’aura pas eu d’impact sur les fondamentaux économiques du pays</w:t>
      </w:r>
      <w:r w:rsidRPr="00D45167">
        <w:rPr>
          <w:rFonts w:eastAsia="Times New Roman"/>
          <w:color w:val="0070C0"/>
        </w:rPr>
        <w:t> </w:t>
      </w:r>
    </w:p>
    <w:p w14:paraId="53F42180" w14:textId="245881FB" w:rsidR="00E650EA" w:rsidRPr="00C32392" w:rsidRDefault="00A11ED6" w:rsidP="005401E5">
      <w:pPr>
        <w:pStyle w:val="Paragraphedeliste"/>
        <w:numPr>
          <w:ilvl w:val="0"/>
          <w:numId w:val="25"/>
        </w:numPr>
        <w:ind w:left="142" w:hanging="153"/>
        <w:jc w:val="both"/>
        <w:rPr>
          <w:rFonts w:eastAsia="Times New Roman"/>
          <w:sz w:val="20"/>
          <w:szCs w:val="20"/>
        </w:rPr>
      </w:pPr>
      <w:r w:rsidRPr="00C32392">
        <w:rPr>
          <w:rFonts w:eastAsia="Times New Roman"/>
          <w:sz w:val="20"/>
          <w:szCs w:val="20"/>
        </w:rPr>
        <w:t>L</w:t>
      </w:r>
      <w:r w:rsidR="00AB4EC5" w:rsidRPr="00C32392">
        <w:rPr>
          <w:rFonts w:eastAsia="Times New Roman"/>
          <w:sz w:val="20"/>
          <w:szCs w:val="20"/>
        </w:rPr>
        <w:t xml:space="preserve">’endettement public </w:t>
      </w:r>
      <w:r w:rsidR="007031DA">
        <w:rPr>
          <w:rFonts w:eastAsia="Times New Roman"/>
          <w:sz w:val="20"/>
          <w:szCs w:val="20"/>
        </w:rPr>
        <w:t xml:space="preserve">devrait être contenu </w:t>
      </w:r>
      <w:r w:rsidR="006346D3" w:rsidRPr="00C32392">
        <w:rPr>
          <w:rFonts w:eastAsia="Times New Roman"/>
          <w:sz w:val="20"/>
          <w:szCs w:val="20"/>
        </w:rPr>
        <w:t>en deçà de 70% du PIB</w:t>
      </w:r>
      <w:r w:rsidR="007031DA">
        <w:rPr>
          <w:rFonts w:eastAsia="Times New Roman"/>
          <w:sz w:val="20"/>
          <w:szCs w:val="20"/>
        </w:rPr>
        <w:t xml:space="preserve"> cette année</w:t>
      </w:r>
      <w:r w:rsidR="006346D3" w:rsidRPr="00C32392">
        <w:rPr>
          <w:rFonts w:eastAsia="Times New Roman"/>
          <w:sz w:val="20"/>
          <w:szCs w:val="20"/>
        </w:rPr>
        <w:t>.</w:t>
      </w:r>
    </w:p>
    <w:p w14:paraId="004D9407" w14:textId="390ED9A6" w:rsidR="00E650EA" w:rsidRPr="00C32392" w:rsidRDefault="006346D3" w:rsidP="005401E5">
      <w:pPr>
        <w:pStyle w:val="Paragraphedeliste"/>
        <w:numPr>
          <w:ilvl w:val="0"/>
          <w:numId w:val="25"/>
        </w:numPr>
        <w:ind w:left="142" w:hanging="153"/>
        <w:jc w:val="both"/>
        <w:rPr>
          <w:rFonts w:eastAsia="Times New Roman"/>
          <w:sz w:val="20"/>
          <w:szCs w:val="20"/>
        </w:rPr>
      </w:pPr>
      <w:r w:rsidRPr="00C32392">
        <w:rPr>
          <w:rFonts w:eastAsia="Times New Roman"/>
          <w:sz w:val="20"/>
          <w:szCs w:val="20"/>
        </w:rPr>
        <w:t>L</w:t>
      </w:r>
      <w:r w:rsidR="00AB4EC5" w:rsidRPr="00C32392">
        <w:rPr>
          <w:rFonts w:eastAsia="Times New Roman"/>
          <w:sz w:val="20"/>
          <w:szCs w:val="20"/>
        </w:rPr>
        <w:t>e shekel a retrouvé son niveau antérieur à la bulle high tech des trois dernières années</w:t>
      </w:r>
      <w:r w:rsidR="005E5F05" w:rsidRPr="00C32392">
        <w:rPr>
          <w:rFonts w:eastAsia="Times New Roman"/>
          <w:sz w:val="20"/>
          <w:szCs w:val="20"/>
        </w:rPr>
        <w:t>.</w:t>
      </w:r>
      <w:r w:rsidRPr="00C32392">
        <w:rPr>
          <w:rFonts w:eastAsia="Times New Roman"/>
          <w:sz w:val="20"/>
          <w:szCs w:val="20"/>
        </w:rPr>
        <w:t xml:space="preserve"> </w:t>
      </w:r>
    </w:p>
    <w:p w14:paraId="24F80F6C" w14:textId="6846ACD4" w:rsidR="00AB4EC5" w:rsidRPr="00C32392" w:rsidRDefault="006346D3" w:rsidP="005401E5">
      <w:pPr>
        <w:pStyle w:val="Paragraphedeliste"/>
        <w:numPr>
          <w:ilvl w:val="0"/>
          <w:numId w:val="25"/>
        </w:numPr>
        <w:ind w:left="142" w:hanging="153"/>
        <w:jc w:val="both"/>
        <w:rPr>
          <w:rFonts w:eastAsia="Times New Roman"/>
          <w:sz w:val="20"/>
          <w:szCs w:val="20"/>
        </w:rPr>
      </w:pPr>
      <w:r w:rsidRPr="00C32392">
        <w:rPr>
          <w:rFonts w:eastAsia="Times New Roman"/>
          <w:sz w:val="20"/>
          <w:szCs w:val="20"/>
        </w:rPr>
        <w:t>L</w:t>
      </w:r>
      <w:r w:rsidR="00AB4EC5" w:rsidRPr="00C32392">
        <w:rPr>
          <w:rFonts w:eastAsia="Times New Roman"/>
          <w:sz w:val="20"/>
          <w:szCs w:val="20"/>
        </w:rPr>
        <w:t xml:space="preserve">e déficit budgétaire </w:t>
      </w:r>
      <w:r w:rsidR="00E650EA" w:rsidRPr="00C32392">
        <w:rPr>
          <w:rFonts w:eastAsia="Times New Roman"/>
          <w:sz w:val="20"/>
          <w:szCs w:val="20"/>
        </w:rPr>
        <w:t xml:space="preserve">s’est </w:t>
      </w:r>
      <w:r w:rsidR="00AB4EC5" w:rsidRPr="00C32392">
        <w:rPr>
          <w:rFonts w:eastAsia="Times New Roman"/>
          <w:sz w:val="20"/>
          <w:szCs w:val="20"/>
        </w:rPr>
        <w:t>creus</w:t>
      </w:r>
      <w:r w:rsidR="00E650EA" w:rsidRPr="00C32392">
        <w:rPr>
          <w:rFonts w:eastAsia="Times New Roman"/>
          <w:sz w:val="20"/>
          <w:szCs w:val="20"/>
        </w:rPr>
        <w:t>é</w:t>
      </w:r>
      <w:r w:rsidR="00AB4EC5" w:rsidRPr="00C32392">
        <w:rPr>
          <w:rFonts w:eastAsia="Times New Roman"/>
          <w:sz w:val="20"/>
          <w:szCs w:val="20"/>
        </w:rPr>
        <w:t xml:space="preserve"> en 2023 </w:t>
      </w:r>
      <w:r w:rsidR="00E650EA" w:rsidRPr="00C32392">
        <w:rPr>
          <w:rFonts w:eastAsia="Times New Roman"/>
          <w:sz w:val="20"/>
          <w:szCs w:val="20"/>
        </w:rPr>
        <w:t xml:space="preserve">(-4,2% du PIB) </w:t>
      </w:r>
      <w:r w:rsidR="00AB4EC5" w:rsidRPr="00C32392">
        <w:rPr>
          <w:rFonts w:eastAsia="Times New Roman"/>
          <w:sz w:val="20"/>
          <w:szCs w:val="20"/>
        </w:rPr>
        <w:t xml:space="preserve">et </w:t>
      </w:r>
      <w:r w:rsidR="00E650EA" w:rsidRPr="00C32392">
        <w:rPr>
          <w:rFonts w:eastAsia="Times New Roman"/>
          <w:sz w:val="20"/>
          <w:szCs w:val="20"/>
        </w:rPr>
        <w:t xml:space="preserve">s’aggravera </w:t>
      </w:r>
      <w:r w:rsidR="00AB4EC5" w:rsidRPr="00C32392">
        <w:rPr>
          <w:rFonts w:eastAsia="Times New Roman"/>
          <w:sz w:val="20"/>
          <w:szCs w:val="20"/>
        </w:rPr>
        <w:t xml:space="preserve">en 2024 </w:t>
      </w:r>
      <w:r w:rsidR="00E650EA" w:rsidRPr="00C32392">
        <w:rPr>
          <w:rFonts w:eastAsia="Times New Roman"/>
          <w:sz w:val="20"/>
          <w:szCs w:val="20"/>
        </w:rPr>
        <w:t>(</w:t>
      </w:r>
      <w:r w:rsidR="00920DD8" w:rsidRPr="00C32392">
        <w:rPr>
          <w:rFonts w:eastAsia="Times New Roman"/>
          <w:sz w:val="20"/>
          <w:szCs w:val="20"/>
        </w:rPr>
        <w:t>environ 7</w:t>
      </w:r>
      <w:r w:rsidR="003729CF">
        <w:rPr>
          <w:rFonts w:eastAsia="Times New Roman"/>
          <w:sz w:val="20"/>
          <w:szCs w:val="20"/>
        </w:rPr>
        <w:t>,5</w:t>
      </w:r>
      <w:r w:rsidR="00E650EA" w:rsidRPr="00C32392">
        <w:rPr>
          <w:rFonts w:eastAsia="Times New Roman"/>
          <w:sz w:val="20"/>
          <w:szCs w:val="20"/>
        </w:rPr>
        <w:t xml:space="preserve">% attendus) </w:t>
      </w:r>
      <w:r w:rsidR="00AB4EC5" w:rsidRPr="00C32392">
        <w:rPr>
          <w:rFonts w:eastAsia="Times New Roman"/>
          <w:sz w:val="20"/>
          <w:szCs w:val="20"/>
        </w:rPr>
        <w:t>mais cette tendance était à l’œuvre avant le conflit</w:t>
      </w:r>
      <w:r w:rsidR="00E650EA" w:rsidRPr="00C32392">
        <w:rPr>
          <w:rFonts w:eastAsia="Times New Roman"/>
          <w:sz w:val="20"/>
          <w:szCs w:val="20"/>
        </w:rPr>
        <w:t>.</w:t>
      </w:r>
    </w:p>
    <w:p w14:paraId="1F259A54" w14:textId="1DC65E50" w:rsidR="00DF7D30" w:rsidRPr="00C32392" w:rsidRDefault="004F459C" w:rsidP="00094622">
      <w:pPr>
        <w:jc w:val="both"/>
        <w:rPr>
          <w:rFonts w:eastAsia="Times New Roman"/>
          <w:sz w:val="20"/>
          <w:szCs w:val="20"/>
        </w:rPr>
      </w:pPr>
      <w:r w:rsidRPr="00C32392">
        <w:rPr>
          <w:rFonts w:eastAsia="Times New Roman"/>
          <w:b/>
          <w:bCs/>
          <w:sz w:val="20"/>
          <w:szCs w:val="20"/>
        </w:rPr>
        <w:t>L’</w:t>
      </w:r>
      <w:r w:rsidR="00DF7D30" w:rsidRPr="00C32392">
        <w:rPr>
          <w:rFonts w:eastAsia="Times New Roman"/>
          <w:b/>
          <w:bCs/>
          <w:sz w:val="20"/>
          <w:szCs w:val="20"/>
        </w:rPr>
        <w:t xml:space="preserve">impact </w:t>
      </w:r>
      <w:r w:rsidR="00A11ED6" w:rsidRPr="00C32392">
        <w:rPr>
          <w:rFonts w:eastAsia="Times New Roman"/>
          <w:b/>
          <w:bCs/>
          <w:sz w:val="20"/>
          <w:szCs w:val="20"/>
        </w:rPr>
        <w:t xml:space="preserve">de la guerre sur </w:t>
      </w:r>
      <w:r w:rsidR="00DF7D30" w:rsidRPr="00C32392">
        <w:rPr>
          <w:rFonts w:eastAsia="Times New Roman"/>
          <w:b/>
          <w:bCs/>
          <w:sz w:val="20"/>
          <w:szCs w:val="20"/>
        </w:rPr>
        <w:t>l’inflation</w:t>
      </w:r>
      <w:r w:rsidR="00A11ED6" w:rsidRPr="00C32392">
        <w:rPr>
          <w:rFonts w:eastAsia="Times New Roman"/>
          <w:b/>
          <w:bCs/>
          <w:sz w:val="20"/>
          <w:szCs w:val="20"/>
        </w:rPr>
        <w:t xml:space="preserve"> est assez faible</w:t>
      </w:r>
      <w:r w:rsidR="00A11ED6" w:rsidRPr="00C32392">
        <w:rPr>
          <w:rFonts w:eastAsia="Times New Roman"/>
          <w:sz w:val="20"/>
          <w:szCs w:val="20"/>
        </w:rPr>
        <w:t xml:space="preserve"> </w:t>
      </w:r>
      <w:r w:rsidR="00A11ED6" w:rsidRPr="007031DA">
        <w:rPr>
          <w:rFonts w:eastAsia="Times New Roman"/>
          <w:b/>
          <w:bCs/>
          <w:sz w:val="20"/>
          <w:szCs w:val="20"/>
        </w:rPr>
        <w:t>à ce stade</w:t>
      </w:r>
      <w:r w:rsidR="00A11ED6" w:rsidRPr="00C32392">
        <w:rPr>
          <w:rFonts w:eastAsia="Times New Roman"/>
          <w:sz w:val="20"/>
          <w:szCs w:val="20"/>
        </w:rPr>
        <w:t>, malgré un r</w:t>
      </w:r>
      <w:r w:rsidR="00094622" w:rsidRPr="00C32392">
        <w:rPr>
          <w:rFonts w:eastAsia="Times New Roman"/>
          <w:sz w:val="20"/>
          <w:szCs w:val="20"/>
        </w:rPr>
        <w:t>enchérissement de</w:t>
      </w:r>
      <w:r w:rsidR="00250577" w:rsidRPr="00C32392">
        <w:rPr>
          <w:rFonts w:eastAsia="Times New Roman"/>
          <w:sz w:val="20"/>
          <w:szCs w:val="20"/>
        </w:rPr>
        <w:t>s produits frais,</w:t>
      </w:r>
      <w:r w:rsidR="00094622" w:rsidRPr="00C32392">
        <w:rPr>
          <w:rFonts w:eastAsia="Times New Roman"/>
          <w:sz w:val="20"/>
          <w:szCs w:val="20"/>
        </w:rPr>
        <w:t xml:space="preserve"> </w:t>
      </w:r>
      <w:r w:rsidR="00250577" w:rsidRPr="00C32392">
        <w:rPr>
          <w:rFonts w:eastAsia="Times New Roman"/>
          <w:sz w:val="20"/>
          <w:szCs w:val="20"/>
        </w:rPr>
        <w:t xml:space="preserve">de </w:t>
      </w:r>
      <w:r w:rsidR="00094622" w:rsidRPr="00C32392">
        <w:rPr>
          <w:rFonts w:eastAsia="Times New Roman"/>
          <w:sz w:val="20"/>
          <w:szCs w:val="20"/>
        </w:rPr>
        <w:t>la logistique et des assurances</w:t>
      </w:r>
      <w:r w:rsidR="00A11ED6" w:rsidRPr="00C32392">
        <w:rPr>
          <w:rFonts w:eastAsia="Times New Roman"/>
          <w:sz w:val="20"/>
          <w:szCs w:val="20"/>
        </w:rPr>
        <w:t>. L</w:t>
      </w:r>
      <w:r w:rsidRPr="00C32392">
        <w:rPr>
          <w:rFonts w:eastAsia="Times New Roman"/>
          <w:sz w:val="20"/>
          <w:szCs w:val="20"/>
        </w:rPr>
        <w:t xml:space="preserve">a banque d’Israël </w:t>
      </w:r>
      <w:r w:rsidR="006346D3" w:rsidRPr="00C32392">
        <w:rPr>
          <w:rFonts w:eastAsia="Times New Roman"/>
          <w:sz w:val="20"/>
          <w:szCs w:val="20"/>
        </w:rPr>
        <w:t xml:space="preserve">a réussi à baisser </w:t>
      </w:r>
      <w:r w:rsidRPr="00C32392">
        <w:rPr>
          <w:rFonts w:eastAsia="Times New Roman"/>
          <w:sz w:val="20"/>
          <w:szCs w:val="20"/>
        </w:rPr>
        <w:t>son taux directeur à 4,5</w:t>
      </w:r>
      <w:r w:rsidR="006346D3" w:rsidRPr="00C32392">
        <w:rPr>
          <w:rFonts w:eastAsia="Times New Roman"/>
          <w:sz w:val="20"/>
          <w:szCs w:val="20"/>
        </w:rPr>
        <w:t>0</w:t>
      </w:r>
      <w:r w:rsidRPr="00C32392">
        <w:rPr>
          <w:rFonts w:eastAsia="Times New Roman"/>
          <w:sz w:val="20"/>
          <w:szCs w:val="20"/>
        </w:rPr>
        <w:t xml:space="preserve">% </w:t>
      </w:r>
      <w:r w:rsidR="00A11ED6" w:rsidRPr="00C32392">
        <w:rPr>
          <w:rFonts w:eastAsia="Times New Roman"/>
          <w:sz w:val="20"/>
          <w:szCs w:val="20"/>
        </w:rPr>
        <w:t>en janvier</w:t>
      </w:r>
      <w:r w:rsidR="006346D3" w:rsidRPr="00C32392">
        <w:rPr>
          <w:rFonts w:eastAsia="Times New Roman"/>
          <w:sz w:val="20"/>
          <w:szCs w:val="20"/>
        </w:rPr>
        <w:t xml:space="preserve">, </w:t>
      </w:r>
      <w:r w:rsidR="007031DA">
        <w:rPr>
          <w:rFonts w:eastAsia="Times New Roman"/>
          <w:sz w:val="20"/>
          <w:szCs w:val="20"/>
        </w:rPr>
        <w:t xml:space="preserve">l’inflation </w:t>
      </w:r>
      <w:r w:rsidR="00730A94" w:rsidRPr="00C32392">
        <w:rPr>
          <w:rFonts w:eastAsia="Times New Roman"/>
          <w:sz w:val="20"/>
          <w:szCs w:val="20"/>
        </w:rPr>
        <w:t>es</w:t>
      </w:r>
      <w:r w:rsidR="00A11ED6" w:rsidRPr="00C32392">
        <w:rPr>
          <w:rFonts w:eastAsia="Times New Roman"/>
          <w:sz w:val="20"/>
          <w:szCs w:val="20"/>
        </w:rPr>
        <w:t>t repassé</w:t>
      </w:r>
      <w:r w:rsidR="00730A94" w:rsidRPr="00C32392">
        <w:rPr>
          <w:rFonts w:eastAsia="Times New Roman"/>
          <w:sz w:val="20"/>
          <w:szCs w:val="20"/>
        </w:rPr>
        <w:t>e</w:t>
      </w:r>
      <w:r w:rsidR="00A11ED6" w:rsidRPr="00C32392">
        <w:rPr>
          <w:rFonts w:eastAsia="Times New Roman"/>
          <w:sz w:val="20"/>
          <w:szCs w:val="20"/>
        </w:rPr>
        <w:t xml:space="preserve"> sous les 3% </w:t>
      </w:r>
      <w:r w:rsidR="00D84876" w:rsidRPr="00C32392">
        <w:rPr>
          <w:rFonts w:eastAsia="Times New Roman"/>
          <w:sz w:val="20"/>
          <w:szCs w:val="20"/>
        </w:rPr>
        <w:t xml:space="preserve">en </w:t>
      </w:r>
      <w:r w:rsidR="00C9435D" w:rsidRPr="00C32392">
        <w:rPr>
          <w:rFonts w:eastAsia="Times New Roman"/>
          <w:sz w:val="20"/>
          <w:szCs w:val="20"/>
        </w:rPr>
        <w:t>gliss</w:t>
      </w:r>
      <w:r w:rsidR="00D84876" w:rsidRPr="00C32392">
        <w:rPr>
          <w:rFonts w:eastAsia="Times New Roman"/>
          <w:sz w:val="20"/>
          <w:szCs w:val="20"/>
        </w:rPr>
        <w:t>ement annuel</w:t>
      </w:r>
      <w:r w:rsidR="00DF7D30" w:rsidRPr="00C32392">
        <w:rPr>
          <w:rFonts w:eastAsia="Times New Roman"/>
          <w:sz w:val="20"/>
          <w:szCs w:val="20"/>
        </w:rPr>
        <w:t>.</w:t>
      </w:r>
      <w:r w:rsidR="008D7631">
        <w:rPr>
          <w:rFonts w:eastAsia="Times New Roman"/>
          <w:b/>
          <w:bCs/>
          <w:sz w:val="20"/>
          <w:szCs w:val="20"/>
        </w:rPr>
        <w:t xml:space="preserve"> </w:t>
      </w:r>
      <w:r w:rsidR="00D84876" w:rsidRPr="00C32392">
        <w:rPr>
          <w:rFonts w:eastAsia="Times New Roman"/>
          <w:sz w:val="20"/>
          <w:szCs w:val="20"/>
        </w:rPr>
        <w:t>Les exportations de gaz vers la Jordanie et surtout l’Egypte sont de nouveau au maximum de leur potentiel</w:t>
      </w:r>
      <w:r w:rsidR="000C3DE2" w:rsidRPr="00C32392">
        <w:rPr>
          <w:rFonts w:eastAsia="Times New Roman"/>
          <w:sz w:val="20"/>
          <w:szCs w:val="20"/>
        </w:rPr>
        <w:t>.</w:t>
      </w:r>
    </w:p>
    <w:p w14:paraId="5395583E" w14:textId="58D772D4" w:rsidR="00DF7D30" w:rsidRPr="00C32392" w:rsidRDefault="00DF7D30" w:rsidP="00094622">
      <w:pPr>
        <w:jc w:val="both"/>
        <w:rPr>
          <w:rFonts w:eastAsia="Times New Roman"/>
          <w:sz w:val="20"/>
          <w:szCs w:val="20"/>
        </w:rPr>
      </w:pPr>
      <w:r w:rsidRPr="00C32392">
        <w:rPr>
          <w:rFonts w:eastAsia="Times New Roman"/>
          <w:b/>
          <w:bCs/>
          <w:sz w:val="20"/>
          <w:szCs w:val="20"/>
        </w:rPr>
        <w:t xml:space="preserve">Le principal souci </w:t>
      </w:r>
      <w:r w:rsidR="00C1281B" w:rsidRPr="00C32392">
        <w:rPr>
          <w:rFonts w:eastAsia="Times New Roman"/>
          <w:b/>
          <w:bCs/>
          <w:sz w:val="20"/>
          <w:szCs w:val="20"/>
        </w:rPr>
        <w:t xml:space="preserve">est le manque de main d’œuvre qui affecte </w:t>
      </w:r>
      <w:r w:rsidR="005E5F05" w:rsidRPr="00C32392">
        <w:rPr>
          <w:rFonts w:eastAsia="Times New Roman"/>
          <w:b/>
          <w:bCs/>
          <w:sz w:val="20"/>
          <w:szCs w:val="20"/>
        </w:rPr>
        <w:t>le secteur de</w:t>
      </w:r>
      <w:r w:rsidR="00A11ED6" w:rsidRPr="00C32392">
        <w:rPr>
          <w:rFonts w:eastAsia="Times New Roman"/>
          <w:b/>
          <w:bCs/>
          <w:sz w:val="20"/>
          <w:szCs w:val="20"/>
        </w:rPr>
        <w:t xml:space="preserve"> la </w:t>
      </w:r>
      <w:r w:rsidR="00094622" w:rsidRPr="00C32392">
        <w:rPr>
          <w:rFonts w:eastAsia="Times New Roman"/>
          <w:b/>
          <w:bCs/>
          <w:sz w:val="20"/>
          <w:szCs w:val="20"/>
        </w:rPr>
        <w:t>construction</w:t>
      </w:r>
      <w:r w:rsidRPr="00C32392">
        <w:rPr>
          <w:rFonts w:eastAsia="Times New Roman"/>
          <w:sz w:val="20"/>
          <w:szCs w:val="20"/>
        </w:rPr>
        <w:t xml:space="preserve"> </w:t>
      </w:r>
      <w:r w:rsidR="00094622" w:rsidRPr="00C32392">
        <w:rPr>
          <w:rFonts w:eastAsia="Times New Roman"/>
          <w:sz w:val="20"/>
          <w:szCs w:val="20"/>
        </w:rPr>
        <w:t xml:space="preserve">et </w:t>
      </w:r>
      <w:r w:rsidR="00A11ED6" w:rsidRPr="00C32392">
        <w:rPr>
          <w:rFonts w:eastAsia="Times New Roman"/>
          <w:sz w:val="20"/>
          <w:szCs w:val="20"/>
        </w:rPr>
        <w:t>l’</w:t>
      </w:r>
      <w:r w:rsidR="00094622" w:rsidRPr="00C32392">
        <w:rPr>
          <w:rFonts w:eastAsia="Times New Roman"/>
          <w:sz w:val="20"/>
          <w:szCs w:val="20"/>
        </w:rPr>
        <w:t>agriculture</w:t>
      </w:r>
      <w:r w:rsidR="00D84876" w:rsidRPr="00C32392">
        <w:rPr>
          <w:rFonts w:eastAsia="Times New Roman"/>
          <w:sz w:val="20"/>
          <w:szCs w:val="20"/>
        </w:rPr>
        <w:t xml:space="preserve"> (</w:t>
      </w:r>
      <w:r w:rsidR="002A5DFE" w:rsidRPr="00C32392">
        <w:rPr>
          <w:rFonts w:eastAsia="Times New Roman"/>
          <w:sz w:val="20"/>
          <w:szCs w:val="20"/>
        </w:rPr>
        <w:t xml:space="preserve">qui ne représente que </w:t>
      </w:r>
      <w:r w:rsidR="00D84876" w:rsidRPr="00C32392">
        <w:rPr>
          <w:rFonts w:eastAsia="Times New Roman"/>
          <w:sz w:val="20"/>
          <w:szCs w:val="20"/>
        </w:rPr>
        <w:t xml:space="preserve">1% du PIB mais </w:t>
      </w:r>
      <w:r w:rsidR="002A5DFE" w:rsidRPr="00C32392">
        <w:rPr>
          <w:rFonts w:eastAsia="Times New Roman"/>
          <w:sz w:val="20"/>
          <w:szCs w:val="20"/>
        </w:rPr>
        <w:t xml:space="preserve">constitue un </w:t>
      </w:r>
      <w:r w:rsidR="00D84876" w:rsidRPr="00C32392">
        <w:rPr>
          <w:rFonts w:eastAsia="Times New Roman"/>
          <w:sz w:val="20"/>
          <w:szCs w:val="20"/>
        </w:rPr>
        <w:t xml:space="preserve">secteur à la fois stratégique et </w:t>
      </w:r>
      <w:r w:rsidR="005E5F05" w:rsidRPr="00C32392">
        <w:rPr>
          <w:rFonts w:eastAsia="Times New Roman"/>
          <w:sz w:val="20"/>
          <w:szCs w:val="20"/>
        </w:rPr>
        <w:t>emblématique</w:t>
      </w:r>
      <w:r w:rsidR="00D84876" w:rsidRPr="00C32392">
        <w:rPr>
          <w:rFonts w:eastAsia="Times New Roman"/>
          <w:sz w:val="20"/>
          <w:szCs w:val="20"/>
        </w:rPr>
        <w:t>)</w:t>
      </w:r>
      <w:r w:rsidR="00C1281B" w:rsidRPr="00C32392">
        <w:rPr>
          <w:rFonts w:eastAsia="Times New Roman"/>
          <w:sz w:val="20"/>
          <w:szCs w:val="20"/>
        </w:rPr>
        <w:t xml:space="preserve">. La </w:t>
      </w:r>
      <w:r w:rsidR="00094622" w:rsidRPr="00C32392">
        <w:rPr>
          <w:rFonts w:eastAsia="Times New Roman"/>
          <w:sz w:val="20"/>
          <w:szCs w:val="20"/>
        </w:rPr>
        <w:t>suspension des permis de travail des Palestiniens</w:t>
      </w:r>
      <w:r w:rsidR="00BF5A02" w:rsidRPr="00C32392">
        <w:rPr>
          <w:rStyle w:val="Appelnotedebasdep"/>
          <w:rFonts w:eastAsia="Times New Roman"/>
          <w:sz w:val="20"/>
          <w:szCs w:val="20"/>
        </w:rPr>
        <w:footnoteReference w:id="1"/>
      </w:r>
      <w:r w:rsidR="00677AF6" w:rsidRPr="00C32392">
        <w:rPr>
          <w:rFonts w:eastAsia="Times New Roman"/>
          <w:sz w:val="20"/>
          <w:szCs w:val="20"/>
        </w:rPr>
        <w:t xml:space="preserve"> </w:t>
      </w:r>
      <w:r w:rsidR="0017707B" w:rsidRPr="00C32392">
        <w:rPr>
          <w:rFonts w:eastAsia="Times New Roman"/>
          <w:sz w:val="20"/>
          <w:szCs w:val="20"/>
        </w:rPr>
        <w:t>semble durable</w:t>
      </w:r>
      <w:r w:rsidR="002A5DFE" w:rsidRPr="00C32392">
        <w:rPr>
          <w:rFonts w:eastAsia="Times New Roman"/>
          <w:sz w:val="20"/>
          <w:szCs w:val="20"/>
        </w:rPr>
        <w:t>.</w:t>
      </w:r>
      <w:r w:rsidR="00C1281B" w:rsidRPr="00C32392">
        <w:rPr>
          <w:rFonts w:eastAsia="Times New Roman"/>
          <w:sz w:val="20"/>
          <w:szCs w:val="20"/>
        </w:rPr>
        <w:t xml:space="preserve"> </w:t>
      </w:r>
      <w:r w:rsidR="008D7631">
        <w:rPr>
          <w:rFonts w:eastAsia="Times New Roman"/>
          <w:sz w:val="20"/>
          <w:szCs w:val="20"/>
        </w:rPr>
        <w:t>L</w:t>
      </w:r>
      <w:r w:rsidR="00677AF6" w:rsidRPr="00C32392">
        <w:rPr>
          <w:rFonts w:eastAsia="Times New Roman"/>
          <w:sz w:val="20"/>
          <w:szCs w:val="20"/>
        </w:rPr>
        <w:t xml:space="preserve">e remplacement </w:t>
      </w:r>
      <w:r w:rsidR="008D7631">
        <w:rPr>
          <w:rFonts w:eastAsia="Times New Roman"/>
          <w:sz w:val="20"/>
          <w:szCs w:val="20"/>
        </w:rPr>
        <w:t xml:space="preserve">par des nouveaux travailleurs venus de pays lointains </w:t>
      </w:r>
      <w:r w:rsidR="00677AF6" w:rsidRPr="00C32392">
        <w:rPr>
          <w:rFonts w:eastAsia="Times New Roman"/>
          <w:sz w:val="20"/>
          <w:szCs w:val="20"/>
        </w:rPr>
        <w:t>ne s’intensifiera qu’au deuxième semestre</w:t>
      </w:r>
      <w:r w:rsidR="0017707B" w:rsidRPr="00C32392">
        <w:rPr>
          <w:rFonts w:eastAsia="Times New Roman"/>
          <w:sz w:val="20"/>
          <w:szCs w:val="20"/>
        </w:rPr>
        <w:t xml:space="preserve"> 2024</w:t>
      </w:r>
      <w:r w:rsidR="00C1281B" w:rsidRPr="00C32392">
        <w:rPr>
          <w:rFonts w:eastAsia="Times New Roman"/>
          <w:sz w:val="20"/>
          <w:szCs w:val="20"/>
        </w:rPr>
        <w:t xml:space="preserve">. </w:t>
      </w:r>
      <w:r w:rsidR="006325C4" w:rsidRPr="00C32392">
        <w:rPr>
          <w:rFonts w:eastAsia="Times New Roman"/>
          <w:sz w:val="20"/>
          <w:szCs w:val="20"/>
        </w:rPr>
        <w:t xml:space="preserve">Comme avant la guerre, </w:t>
      </w:r>
      <w:r w:rsidR="002043AF" w:rsidRPr="00C32392">
        <w:rPr>
          <w:rFonts w:eastAsia="Times New Roman"/>
          <w:sz w:val="20"/>
          <w:szCs w:val="20"/>
        </w:rPr>
        <w:t>l’économie d’</w:t>
      </w:r>
      <w:r w:rsidR="006325C4" w:rsidRPr="00C32392">
        <w:rPr>
          <w:rFonts w:eastAsia="Times New Roman"/>
          <w:sz w:val="20"/>
          <w:szCs w:val="20"/>
        </w:rPr>
        <w:t xml:space="preserve">Israël fonctionne en </w:t>
      </w:r>
      <w:r w:rsidR="006325C4" w:rsidRPr="00C32392">
        <w:rPr>
          <w:rFonts w:eastAsia="Times New Roman"/>
          <w:b/>
          <w:bCs/>
          <w:sz w:val="20"/>
          <w:szCs w:val="20"/>
        </w:rPr>
        <w:t>plein emploi</w:t>
      </w:r>
      <w:r w:rsidR="006325C4" w:rsidRPr="00C32392">
        <w:rPr>
          <w:rFonts w:eastAsia="Times New Roman"/>
          <w:sz w:val="20"/>
          <w:szCs w:val="20"/>
        </w:rPr>
        <w:t xml:space="preserve"> avec un taux de chômage de l’ordre de 3%.</w:t>
      </w:r>
    </w:p>
    <w:p w14:paraId="54ED3B8E" w14:textId="7A61262B" w:rsidR="00DF7D30" w:rsidRPr="00C32392" w:rsidRDefault="00C1281B" w:rsidP="00C1281B">
      <w:pPr>
        <w:jc w:val="both"/>
        <w:rPr>
          <w:rFonts w:eastAsia="Times New Roman"/>
          <w:sz w:val="20"/>
          <w:szCs w:val="20"/>
        </w:rPr>
      </w:pPr>
      <w:r w:rsidRPr="00C32392">
        <w:rPr>
          <w:rFonts w:eastAsia="Times New Roman"/>
          <w:b/>
          <w:bCs/>
          <w:sz w:val="20"/>
          <w:szCs w:val="20"/>
        </w:rPr>
        <w:t>L</w:t>
      </w:r>
      <w:r w:rsidR="00DF7D30" w:rsidRPr="00C32392">
        <w:rPr>
          <w:rFonts w:eastAsia="Times New Roman"/>
          <w:b/>
          <w:bCs/>
          <w:sz w:val="20"/>
          <w:szCs w:val="20"/>
        </w:rPr>
        <w:t>a haute technologie</w:t>
      </w:r>
      <w:r w:rsidRPr="00C32392">
        <w:rPr>
          <w:rFonts w:eastAsia="Times New Roman"/>
          <w:b/>
          <w:bCs/>
          <w:sz w:val="20"/>
          <w:szCs w:val="20"/>
        </w:rPr>
        <w:t xml:space="preserve">, avec 18% du PIB et 55% des exportations </w:t>
      </w:r>
      <w:r w:rsidR="00730A94" w:rsidRPr="00C32392">
        <w:rPr>
          <w:rFonts w:eastAsia="Times New Roman"/>
          <w:b/>
          <w:bCs/>
          <w:sz w:val="20"/>
          <w:szCs w:val="20"/>
        </w:rPr>
        <w:t xml:space="preserve">(biens et services) </w:t>
      </w:r>
      <w:r w:rsidRPr="00C32392">
        <w:rPr>
          <w:rFonts w:eastAsia="Times New Roman"/>
          <w:b/>
          <w:bCs/>
          <w:sz w:val="20"/>
          <w:szCs w:val="20"/>
        </w:rPr>
        <w:t>se</w:t>
      </w:r>
      <w:r w:rsidR="002043AF" w:rsidRPr="00C32392">
        <w:rPr>
          <w:rFonts w:eastAsia="Times New Roman"/>
          <w:b/>
          <w:bCs/>
          <w:sz w:val="20"/>
          <w:szCs w:val="20"/>
        </w:rPr>
        <w:t>mble</w:t>
      </w:r>
      <w:r w:rsidRPr="00C32392">
        <w:rPr>
          <w:rFonts w:eastAsia="Times New Roman"/>
          <w:b/>
          <w:bCs/>
          <w:sz w:val="20"/>
          <w:szCs w:val="20"/>
        </w:rPr>
        <w:t xml:space="preserve"> </w:t>
      </w:r>
      <w:r w:rsidR="00BF5A02" w:rsidRPr="00C32392">
        <w:rPr>
          <w:rFonts w:eastAsia="Times New Roman"/>
          <w:b/>
          <w:bCs/>
          <w:sz w:val="20"/>
          <w:szCs w:val="20"/>
        </w:rPr>
        <w:t>marginalement</w:t>
      </w:r>
      <w:r w:rsidR="002043AF" w:rsidRPr="00C32392">
        <w:rPr>
          <w:rFonts w:eastAsia="Times New Roman"/>
          <w:b/>
          <w:bCs/>
          <w:sz w:val="20"/>
          <w:szCs w:val="20"/>
        </w:rPr>
        <w:t xml:space="preserve"> affectée</w:t>
      </w:r>
      <w:r w:rsidR="00BF5A02" w:rsidRPr="00C32392">
        <w:rPr>
          <w:rFonts w:eastAsia="Times New Roman"/>
          <w:sz w:val="20"/>
          <w:szCs w:val="20"/>
        </w:rPr>
        <w:t xml:space="preserve">. Ce </w:t>
      </w:r>
      <w:r w:rsidR="00A70EC6" w:rsidRPr="00C32392">
        <w:rPr>
          <w:rFonts w:eastAsia="Times New Roman"/>
          <w:sz w:val="20"/>
          <w:szCs w:val="20"/>
        </w:rPr>
        <w:t xml:space="preserve">n’est pas un secteur qui </w:t>
      </w:r>
      <w:r w:rsidR="00730A94" w:rsidRPr="00C32392">
        <w:rPr>
          <w:rFonts w:eastAsia="Times New Roman"/>
          <w:sz w:val="20"/>
          <w:szCs w:val="20"/>
        </w:rPr>
        <w:t xml:space="preserve">peut </w:t>
      </w:r>
      <w:r w:rsidR="00A70EC6" w:rsidRPr="00C32392">
        <w:rPr>
          <w:rFonts w:eastAsia="Times New Roman"/>
          <w:sz w:val="20"/>
          <w:szCs w:val="20"/>
        </w:rPr>
        <w:t>facilement</w:t>
      </w:r>
      <w:r w:rsidR="00730A94" w:rsidRPr="00C32392">
        <w:rPr>
          <w:rFonts w:eastAsia="Times New Roman"/>
          <w:sz w:val="20"/>
          <w:szCs w:val="20"/>
        </w:rPr>
        <w:t xml:space="preserve"> quitter son écosystème</w:t>
      </w:r>
      <w:r w:rsidR="002A5DFE" w:rsidRPr="00C32392">
        <w:rPr>
          <w:rFonts w:eastAsia="Times New Roman"/>
          <w:sz w:val="20"/>
          <w:szCs w:val="20"/>
        </w:rPr>
        <w:t>.</w:t>
      </w:r>
      <w:r w:rsidR="00BF5A02" w:rsidRPr="00C32392">
        <w:rPr>
          <w:rFonts w:eastAsia="Times New Roman"/>
          <w:sz w:val="20"/>
          <w:szCs w:val="20"/>
        </w:rPr>
        <w:t xml:space="preserve"> </w:t>
      </w:r>
      <w:r w:rsidR="002A5DFE" w:rsidRPr="00C32392">
        <w:rPr>
          <w:rFonts w:eastAsia="Times New Roman"/>
          <w:sz w:val="20"/>
          <w:szCs w:val="20"/>
        </w:rPr>
        <w:t>I</w:t>
      </w:r>
      <w:r w:rsidR="006325C4" w:rsidRPr="00C32392">
        <w:rPr>
          <w:rFonts w:eastAsia="Times New Roman"/>
          <w:sz w:val="20"/>
          <w:szCs w:val="20"/>
        </w:rPr>
        <w:t>l</w:t>
      </w:r>
      <w:r w:rsidR="00BF5A02" w:rsidRPr="00C32392">
        <w:rPr>
          <w:rFonts w:eastAsia="Times New Roman"/>
          <w:sz w:val="20"/>
          <w:szCs w:val="20"/>
        </w:rPr>
        <w:t xml:space="preserve"> n’est guère sujet au boycottage et </w:t>
      </w:r>
      <w:r w:rsidR="006325C4" w:rsidRPr="00C32392">
        <w:rPr>
          <w:rFonts w:eastAsia="Times New Roman"/>
          <w:sz w:val="20"/>
          <w:szCs w:val="20"/>
        </w:rPr>
        <w:t>s</w:t>
      </w:r>
      <w:r w:rsidR="00BF5A02" w:rsidRPr="00C32392">
        <w:rPr>
          <w:rFonts w:eastAsia="Times New Roman"/>
          <w:sz w:val="20"/>
          <w:szCs w:val="20"/>
        </w:rPr>
        <w:t xml:space="preserve">es exportations dépendent </w:t>
      </w:r>
      <w:r w:rsidR="0036578B" w:rsidRPr="00C32392">
        <w:rPr>
          <w:rFonts w:eastAsia="Times New Roman"/>
          <w:sz w:val="20"/>
          <w:szCs w:val="20"/>
        </w:rPr>
        <w:t>r</w:t>
      </w:r>
      <w:r w:rsidR="00BF5A02" w:rsidRPr="00C32392">
        <w:rPr>
          <w:rFonts w:eastAsia="Times New Roman"/>
          <w:sz w:val="20"/>
          <w:szCs w:val="20"/>
        </w:rPr>
        <w:t>arement des chaînes logistiques</w:t>
      </w:r>
      <w:r w:rsidR="00A70EC6" w:rsidRPr="00C32392">
        <w:rPr>
          <w:rFonts w:eastAsia="Times New Roman"/>
          <w:sz w:val="20"/>
          <w:szCs w:val="20"/>
        </w:rPr>
        <w:t xml:space="preserve">. </w:t>
      </w:r>
      <w:r w:rsidR="002A5DFE" w:rsidRPr="00C32392">
        <w:rPr>
          <w:rFonts w:eastAsia="Times New Roman"/>
          <w:sz w:val="20"/>
          <w:szCs w:val="20"/>
        </w:rPr>
        <w:t xml:space="preserve">Enfin, </w:t>
      </w:r>
      <w:r w:rsidR="002A5DFE" w:rsidRPr="00C32392">
        <w:rPr>
          <w:rFonts w:eastAsia="Times New Roman"/>
          <w:b/>
          <w:bCs/>
          <w:sz w:val="20"/>
          <w:szCs w:val="20"/>
        </w:rPr>
        <w:t>l</w:t>
      </w:r>
      <w:r w:rsidR="00A70EC6" w:rsidRPr="00C32392">
        <w:rPr>
          <w:rFonts w:eastAsia="Times New Roman"/>
          <w:b/>
          <w:bCs/>
          <w:sz w:val="20"/>
          <w:szCs w:val="20"/>
        </w:rPr>
        <w:t>’industrie d’armement</w:t>
      </w:r>
      <w:r w:rsidR="00677AF6" w:rsidRPr="00C32392">
        <w:rPr>
          <w:rFonts w:eastAsia="Times New Roman"/>
          <w:b/>
          <w:bCs/>
          <w:sz w:val="20"/>
          <w:szCs w:val="20"/>
        </w:rPr>
        <w:t>, le deuxième moteur de l’économie</w:t>
      </w:r>
      <w:r w:rsidR="00677AF6" w:rsidRPr="00C32392">
        <w:rPr>
          <w:rFonts w:eastAsia="Times New Roman"/>
          <w:sz w:val="20"/>
          <w:szCs w:val="20"/>
        </w:rPr>
        <w:t xml:space="preserve"> </w:t>
      </w:r>
      <w:r w:rsidR="0036578B" w:rsidRPr="00C32392">
        <w:rPr>
          <w:rFonts w:eastAsia="Times New Roman"/>
          <w:sz w:val="20"/>
          <w:szCs w:val="20"/>
        </w:rPr>
        <w:t>(12 milliards USD d’exportations en 2022)</w:t>
      </w:r>
      <w:r w:rsidR="00677AF6" w:rsidRPr="00C32392">
        <w:rPr>
          <w:rFonts w:eastAsia="Times New Roman"/>
          <w:sz w:val="20"/>
          <w:szCs w:val="20"/>
        </w:rPr>
        <w:t xml:space="preserve">, </w:t>
      </w:r>
      <w:r w:rsidR="00A70EC6" w:rsidRPr="00C32392">
        <w:rPr>
          <w:rFonts w:eastAsia="Times New Roman"/>
          <w:b/>
          <w:bCs/>
          <w:sz w:val="20"/>
          <w:szCs w:val="20"/>
        </w:rPr>
        <w:t>est florissante</w:t>
      </w:r>
      <w:r w:rsidR="00677AF6" w:rsidRPr="00C32392">
        <w:rPr>
          <w:rFonts w:eastAsia="Times New Roman"/>
          <w:sz w:val="20"/>
          <w:szCs w:val="20"/>
        </w:rPr>
        <w:t>.</w:t>
      </w:r>
    </w:p>
    <w:p w14:paraId="0D425BD4" w14:textId="77777777" w:rsidR="00B8163F" w:rsidRDefault="00B8163F" w:rsidP="00AF62C7">
      <w:pPr>
        <w:jc w:val="both"/>
        <w:rPr>
          <w:rFonts w:ascii="Arial" w:hAnsi="Arial" w:cs="Arial"/>
          <w:b/>
          <w:bCs/>
          <w:color w:val="111533"/>
          <w:sz w:val="24"/>
          <w:szCs w:val="24"/>
          <w:shd w:val="clear" w:color="auto" w:fill="FFFFFF"/>
        </w:rPr>
      </w:pPr>
    </w:p>
    <w:p w14:paraId="7EF272CA" w14:textId="7C806346" w:rsidR="00B612D7" w:rsidRPr="005401E5" w:rsidRDefault="002A5DFE" w:rsidP="002A5DFE">
      <w:pPr>
        <w:pStyle w:val="Paragraphedeliste"/>
        <w:numPr>
          <w:ilvl w:val="0"/>
          <w:numId w:val="27"/>
        </w:numPr>
        <w:jc w:val="both"/>
        <w:rPr>
          <w:rFonts w:eastAsia="Times New Roman"/>
          <w:b/>
          <w:bCs/>
          <w:color w:val="0070C0"/>
        </w:rPr>
      </w:pPr>
      <w:r w:rsidRPr="005401E5">
        <w:rPr>
          <w:rFonts w:eastAsia="Times New Roman"/>
          <w:b/>
          <w:bCs/>
          <w:color w:val="0070C0"/>
        </w:rPr>
        <w:t>A plus long terme, les perspectives sont mitigées pour l’économie israélienne</w:t>
      </w:r>
    </w:p>
    <w:p w14:paraId="3B583A6A" w14:textId="42C5D6E4" w:rsidR="00B612D7" w:rsidRPr="00793873" w:rsidRDefault="00B612D7" w:rsidP="00AF62C7">
      <w:pPr>
        <w:jc w:val="both"/>
        <w:rPr>
          <w:rFonts w:ascii="Arial" w:hAnsi="Arial" w:cs="Arial"/>
          <w:b/>
          <w:bCs/>
          <w:color w:val="111533"/>
          <w:sz w:val="14"/>
          <w:szCs w:val="14"/>
          <w:shd w:val="clear" w:color="auto" w:fill="FFFFFF"/>
        </w:rPr>
      </w:pPr>
    </w:p>
    <w:p w14:paraId="7C147B35" w14:textId="21845157" w:rsidR="00341784" w:rsidRPr="005401E5" w:rsidRDefault="00CF367F" w:rsidP="00341784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color w:val="0070C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 xml:space="preserve">Certains choix politiques </w:t>
      </w:r>
      <w:r w:rsidR="003D53DB" w:rsidRPr="005401E5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coûte</w:t>
      </w:r>
      <w:r w:rsidR="004C1DD7" w:rsidRPr="005401E5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nt</w:t>
      </w:r>
      <w:r w:rsidR="003D53DB" w:rsidRPr="005401E5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 xml:space="preserve"> cher</w:t>
      </w:r>
    </w:p>
    <w:p w14:paraId="33A4D2B4" w14:textId="7C65CFA3" w:rsidR="00B5787D" w:rsidRPr="00C32392" w:rsidRDefault="00CF367F" w:rsidP="005401E5">
      <w:pPr>
        <w:pStyle w:val="Paragraphedeliste"/>
        <w:numPr>
          <w:ilvl w:val="0"/>
          <w:numId w:val="25"/>
        </w:numPr>
        <w:ind w:left="142" w:hanging="153"/>
        <w:jc w:val="both"/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L</w:t>
      </w:r>
      <w:r w:rsidR="00B5787D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a sécurisation des infrastructures routières </w:t>
      </w:r>
      <w:r w:rsidRPr="00C32392">
        <w:rPr>
          <w:rFonts w:asciiTheme="minorHAnsi" w:hAnsiTheme="minorHAnsi" w:cstheme="minorHAnsi"/>
          <w:b/>
          <w:bCs/>
          <w:color w:val="111533"/>
          <w:sz w:val="20"/>
          <w:szCs w:val="20"/>
          <w:shd w:val="clear" w:color="auto" w:fill="FFFFFF"/>
        </w:rPr>
        <w:t>en zones B et C</w:t>
      </w:r>
      <w:r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de Cisjordanie </w:t>
      </w:r>
      <w:r w:rsidR="00B5787D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absorbe</w:t>
      </w:r>
      <w:r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une grande partie </w:t>
      </w:r>
      <w:r w:rsidR="00B5787D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du budget des </w:t>
      </w:r>
      <w:r w:rsidR="00B1681F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t</w:t>
      </w:r>
      <w:r w:rsidR="00B5787D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ransports</w:t>
      </w:r>
      <w:r w:rsidR="00B41001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.</w:t>
      </w:r>
    </w:p>
    <w:p w14:paraId="34523409" w14:textId="23C44C11" w:rsidR="00C12471" w:rsidRPr="00CF367F" w:rsidRDefault="00AC14CD" w:rsidP="00F65708">
      <w:pPr>
        <w:pStyle w:val="Paragraphedeliste"/>
        <w:numPr>
          <w:ilvl w:val="0"/>
          <w:numId w:val="25"/>
        </w:numPr>
        <w:ind w:left="142" w:hanging="153"/>
        <w:jc w:val="both"/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</w:pPr>
      <w:r w:rsidRPr="00CF367F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Le gouvernement a renforcé le </w:t>
      </w:r>
      <w:r w:rsidRPr="00CF367F">
        <w:rPr>
          <w:rFonts w:asciiTheme="minorHAnsi" w:hAnsiTheme="minorHAnsi" w:cstheme="minorHAnsi"/>
          <w:b/>
          <w:bCs/>
          <w:color w:val="111533"/>
          <w:sz w:val="20"/>
          <w:szCs w:val="20"/>
          <w:shd w:val="clear" w:color="auto" w:fill="FFFFFF"/>
        </w:rPr>
        <w:t xml:space="preserve">financement des </w:t>
      </w:r>
      <w:r w:rsidR="00920DD8" w:rsidRPr="00CF367F">
        <w:rPr>
          <w:rFonts w:asciiTheme="minorHAnsi" w:hAnsiTheme="minorHAnsi" w:cstheme="minorHAnsi"/>
          <w:b/>
          <w:bCs/>
          <w:color w:val="111533"/>
          <w:sz w:val="20"/>
          <w:szCs w:val="20"/>
          <w:shd w:val="clear" w:color="auto" w:fill="FFFFFF"/>
        </w:rPr>
        <w:t xml:space="preserve">écoles ultra-orthodoxes et des </w:t>
      </w:r>
      <w:r w:rsidRPr="00CF367F">
        <w:rPr>
          <w:rFonts w:asciiTheme="minorHAnsi" w:hAnsiTheme="minorHAnsi" w:cstheme="minorHAnsi"/>
          <w:b/>
          <w:bCs/>
          <w:color w:val="111533"/>
          <w:sz w:val="20"/>
          <w:szCs w:val="20"/>
          <w:shd w:val="clear" w:color="auto" w:fill="FFFFFF"/>
        </w:rPr>
        <w:t>yeshivas</w:t>
      </w:r>
      <w:r w:rsidR="00CF367F" w:rsidRPr="00CF367F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et </w:t>
      </w:r>
      <w:r w:rsidR="00CF367F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l</w:t>
      </w:r>
      <w:r w:rsidR="00C12471" w:rsidRPr="00CF367F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e débat sur la conscription des </w:t>
      </w:r>
      <w:r w:rsidR="00C12471" w:rsidRPr="00CF367F">
        <w:rPr>
          <w:rFonts w:asciiTheme="minorHAnsi" w:hAnsiTheme="minorHAnsi" w:cstheme="minorHAnsi"/>
          <w:b/>
          <w:bCs/>
          <w:color w:val="111533"/>
          <w:sz w:val="20"/>
          <w:szCs w:val="20"/>
          <w:shd w:val="clear" w:color="auto" w:fill="FFFFFF"/>
        </w:rPr>
        <w:t>Ultra-Orthodoxes</w:t>
      </w:r>
      <w:r w:rsidR="00C12471" w:rsidRPr="00CF367F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</w:t>
      </w:r>
      <w:r w:rsidR="00862E2F" w:rsidRPr="00CF367F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(13% de la population) </w:t>
      </w:r>
      <w:r w:rsidR="00440BBC" w:rsidRPr="00CF367F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amplifie</w:t>
      </w:r>
      <w:r w:rsidR="00C12471" w:rsidRPr="00CF367F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un clivage</w:t>
      </w:r>
      <w:r w:rsidR="00964E58" w:rsidRPr="00CF367F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de société</w:t>
      </w:r>
      <w:r w:rsidR="008C53B2" w:rsidRPr="00CF367F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. </w:t>
      </w:r>
    </w:p>
    <w:p w14:paraId="503818FF" w14:textId="52CC7D57" w:rsidR="00B1681F" w:rsidRPr="00C32392" w:rsidRDefault="00B5787D" w:rsidP="005401E5">
      <w:pPr>
        <w:pStyle w:val="Paragraphedeliste"/>
        <w:numPr>
          <w:ilvl w:val="0"/>
          <w:numId w:val="25"/>
        </w:numPr>
        <w:ind w:left="142" w:hanging="153"/>
        <w:jc w:val="both"/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</w:pPr>
      <w:r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La suspension des permis de travail des Palestiniens </w:t>
      </w:r>
      <w:r w:rsidR="00CF367F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aura un impact</w:t>
      </w:r>
      <w:r w:rsidR="00E41BEB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, l</w:t>
      </w:r>
      <w:r w:rsidR="00AC14CD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a mise à l’arrêt de 50% des chantiers va avoir des conséquences sur le prix déjà très élevé</w:t>
      </w:r>
      <w:r w:rsidR="00862E2F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s</w:t>
      </w:r>
      <w:r w:rsidR="00AC14CD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de l’immobilier</w:t>
      </w:r>
      <w:r w:rsidR="005401E5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.</w:t>
      </w:r>
    </w:p>
    <w:p w14:paraId="6080CE76" w14:textId="77777777" w:rsidR="00B1681F" w:rsidRPr="00B5787D" w:rsidRDefault="00B1681F" w:rsidP="00D218F9">
      <w:pPr>
        <w:pStyle w:val="Paragraphedeliste"/>
        <w:jc w:val="both"/>
        <w:rPr>
          <w:rFonts w:asciiTheme="minorHAnsi" w:hAnsiTheme="minorHAnsi" w:cstheme="minorHAnsi"/>
          <w:color w:val="111533"/>
          <w:shd w:val="clear" w:color="auto" w:fill="FFFFFF"/>
        </w:rPr>
      </w:pPr>
    </w:p>
    <w:p w14:paraId="2E81D6FD" w14:textId="10CAAAE2" w:rsidR="00E67FC6" w:rsidRPr="005401E5" w:rsidRDefault="00E67FC6" w:rsidP="00341784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color w:val="0070C0"/>
          <w:shd w:val="clear" w:color="auto" w:fill="FFFFFF"/>
        </w:rPr>
      </w:pPr>
      <w:r w:rsidRPr="005401E5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La réforme judiciaire</w:t>
      </w:r>
      <w:r w:rsidR="00F23626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 xml:space="preserve"> et</w:t>
      </w:r>
      <w:r w:rsidR="00B1681F" w:rsidRPr="005401E5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 xml:space="preserve"> climat des affaires</w:t>
      </w:r>
    </w:p>
    <w:p w14:paraId="61F78A4D" w14:textId="75D886FD" w:rsidR="004C1DD7" w:rsidRPr="00C32392" w:rsidRDefault="00A87788" w:rsidP="00E67FC6">
      <w:pPr>
        <w:jc w:val="both"/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</w:pPr>
      <w:r w:rsidRPr="00C32392">
        <w:rPr>
          <w:rFonts w:asciiTheme="minorHAnsi" w:hAnsiTheme="minorHAnsi" w:cstheme="minorHAnsi"/>
          <w:b/>
          <w:bCs/>
          <w:color w:val="111533"/>
          <w:sz w:val="20"/>
          <w:szCs w:val="20"/>
          <w:shd w:val="clear" w:color="auto" w:fill="FFFFFF"/>
        </w:rPr>
        <w:t>La c</w:t>
      </w:r>
      <w:r w:rsidR="00E67FC6" w:rsidRPr="00C32392">
        <w:rPr>
          <w:rFonts w:asciiTheme="minorHAnsi" w:hAnsiTheme="minorHAnsi" w:cstheme="minorHAnsi"/>
          <w:b/>
          <w:bCs/>
          <w:color w:val="111533"/>
          <w:sz w:val="20"/>
          <w:szCs w:val="20"/>
          <w:shd w:val="clear" w:color="auto" w:fill="FFFFFF"/>
        </w:rPr>
        <w:t>onfiance des investisseurs</w:t>
      </w:r>
      <w:r w:rsidRPr="00C32392">
        <w:rPr>
          <w:rFonts w:asciiTheme="minorHAnsi" w:hAnsiTheme="minorHAnsi" w:cstheme="minorHAnsi"/>
          <w:b/>
          <w:bCs/>
          <w:color w:val="111533"/>
          <w:sz w:val="20"/>
          <w:szCs w:val="20"/>
          <w:shd w:val="clear" w:color="auto" w:fill="FFFFFF"/>
        </w:rPr>
        <w:t xml:space="preserve"> </w:t>
      </w:r>
      <w:r w:rsidR="00F05103" w:rsidRPr="00C32392">
        <w:rPr>
          <w:rFonts w:asciiTheme="minorHAnsi" w:hAnsiTheme="minorHAnsi" w:cstheme="minorHAnsi"/>
          <w:b/>
          <w:bCs/>
          <w:color w:val="111533"/>
          <w:sz w:val="20"/>
          <w:szCs w:val="20"/>
          <w:shd w:val="clear" w:color="auto" w:fill="FFFFFF"/>
        </w:rPr>
        <w:t xml:space="preserve">étrangers </w:t>
      </w:r>
      <w:r w:rsidRPr="00C32392">
        <w:rPr>
          <w:rFonts w:asciiTheme="minorHAnsi" w:hAnsiTheme="minorHAnsi" w:cstheme="minorHAnsi"/>
          <w:b/>
          <w:bCs/>
          <w:color w:val="111533"/>
          <w:sz w:val="20"/>
          <w:szCs w:val="20"/>
          <w:shd w:val="clear" w:color="auto" w:fill="FFFFFF"/>
        </w:rPr>
        <w:t>a été écornée</w:t>
      </w:r>
      <w:r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par </w:t>
      </w:r>
      <w:r w:rsidR="00B1681F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la réforme judiciaire</w:t>
      </w:r>
      <w:r w:rsidR="00F23626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,</w:t>
      </w:r>
      <w:r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perçu</w:t>
      </w:r>
      <w:r w:rsidR="00B1681F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e</w:t>
      </w:r>
      <w:r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comme une remise en cause de l’Etat de droit.</w:t>
      </w:r>
      <w:r w:rsidR="0071155D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</w:t>
      </w:r>
      <w:r w:rsidR="004C1DD7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Les IDE </w:t>
      </w:r>
      <w:r w:rsidR="00295EE3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sont </w:t>
      </w:r>
      <w:r w:rsidR="00CE7927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toujours enviables</w:t>
      </w:r>
      <w:r w:rsidR="00E41BEB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, notamment dans la Tech, </w:t>
      </w:r>
      <w:r w:rsidR="00CE7927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mais ils sont </w:t>
      </w:r>
      <w:r w:rsidR="00295EE3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passés en quatre ans de </w:t>
      </w:r>
      <w:r w:rsidR="00793873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25-30</w:t>
      </w:r>
      <w:r w:rsidR="006944DF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</w:t>
      </w:r>
      <w:r w:rsidR="00295EE3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milliards USD par an à 16 milliards USD en 2023</w:t>
      </w:r>
      <w:r w:rsidR="00B76F6E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.</w:t>
      </w:r>
      <w:r w:rsidR="00F23626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C</w:t>
      </w:r>
      <w:r w:rsidR="00CE7927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e projet de </w:t>
      </w:r>
      <w:r w:rsidR="004C1DD7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réforme </w:t>
      </w:r>
      <w:r w:rsidR="00793873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de la justice</w:t>
      </w:r>
      <w:r w:rsidR="004C1DD7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met en lumière un clivage au sein de société. Les agences de notation n’ont pas manqué de le relever</w:t>
      </w:r>
      <w:r w:rsidR="007F6307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 ;</w:t>
      </w:r>
      <w:r w:rsidR="004C1DD7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elles </w:t>
      </w:r>
      <w:r w:rsidR="00135D65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o</w:t>
      </w:r>
      <w:r w:rsidR="004C1DD7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nt dégradé les perspectives d’Israël </w:t>
      </w:r>
      <w:r w:rsidR="0036678D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à </w:t>
      </w:r>
      <w:r w:rsidR="00135D65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négatives </w:t>
      </w:r>
      <w:r w:rsidR="0036678D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même si</w:t>
      </w:r>
      <w:r w:rsidR="00135D65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</w:t>
      </w:r>
      <w:r w:rsidR="00993207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la notation d’Israël</w:t>
      </w:r>
      <w:r w:rsidR="00135D65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demeure très bonne (A2 pour Moody</w:t>
      </w:r>
      <w:r w:rsidR="00FD07FA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’</w:t>
      </w:r>
      <w:r w:rsidR="00135D65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s, </w:t>
      </w:r>
      <w:r w:rsidR="0036678D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A+ pour Fitch et AA- pour S&amp;P)</w:t>
      </w:r>
      <w:r w:rsidR="00E41BEB" w:rsidRPr="00C32392">
        <w:rPr>
          <w:rStyle w:val="Appelnotedebasdep"/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footnoteReference w:id="2"/>
      </w:r>
      <w:r w:rsidR="004C1DD7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.</w:t>
      </w:r>
    </w:p>
    <w:p w14:paraId="086E8CE0" w14:textId="00912B37" w:rsidR="00295EE3" w:rsidRPr="00C32392" w:rsidRDefault="00295EE3" w:rsidP="00E67FC6">
      <w:pPr>
        <w:jc w:val="both"/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</w:pPr>
      <w:r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Sur l’investissement intérieur, </w:t>
      </w:r>
      <w:r w:rsidRPr="00C32392">
        <w:rPr>
          <w:rFonts w:asciiTheme="minorHAnsi" w:hAnsiTheme="minorHAnsi" w:cstheme="minorHAnsi"/>
          <w:b/>
          <w:bCs/>
          <w:color w:val="111533"/>
          <w:sz w:val="20"/>
          <w:szCs w:val="20"/>
          <w:shd w:val="clear" w:color="auto" w:fill="FFFFFF"/>
        </w:rPr>
        <w:t>la guerre a</w:t>
      </w:r>
      <w:r w:rsidR="00F23626">
        <w:rPr>
          <w:rFonts w:asciiTheme="minorHAnsi" w:hAnsiTheme="minorHAnsi" w:cstheme="minorHAnsi"/>
          <w:b/>
          <w:bCs/>
          <w:color w:val="111533"/>
          <w:sz w:val="20"/>
          <w:szCs w:val="20"/>
          <w:shd w:val="clear" w:color="auto" w:fill="FFFFFF"/>
        </w:rPr>
        <w:t xml:space="preserve"> aussi</w:t>
      </w:r>
      <w:r w:rsidRPr="00C32392">
        <w:rPr>
          <w:rFonts w:asciiTheme="minorHAnsi" w:hAnsiTheme="minorHAnsi" w:cstheme="minorHAnsi"/>
          <w:b/>
          <w:bCs/>
          <w:color w:val="111533"/>
          <w:sz w:val="20"/>
          <w:szCs w:val="20"/>
          <w:shd w:val="clear" w:color="auto" w:fill="FFFFFF"/>
        </w:rPr>
        <w:t xml:space="preserve"> ralenti </w:t>
      </w:r>
      <w:r w:rsidR="0058090F" w:rsidRPr="00C32392">
        <w:rPr>
          <w:rFonts w:asciiTheme="minorHAnsi" w:hAnsiTheme="minorHAnsi" w:cstheme="minorHAnsi"/>
          <w:b/>
          <w:bCs/>
          <w:color w:val="111533"/>
          <w:sz w:val="20"/>
          <w:szCs w:val="20"/>
          <w:shd w:val="clear" w:color="auto" w:fill="FFFFFF"/>
        </w:rPr>
        <w:t>l</w:t>
      </w:r>
      <w:r w:rsidRPr="00C32392">
        <w:rPr>
          <w:rFonts w:asciiTheme="minorHAnsi" w:hAnsiTheme="minorHAnsi" w:cstheme="minorHAnsi"/>
          <w:b/>
          <w:bCs/>
          <w:color w:val="111533"/>
          <w:sz w:val="20"/>
          <w:szCs w:val="20"/>
          <w:shd w:val="clear" w:color="auto" w:fill="FFFFFF"/>
        </w:rPr>
        <w:t>es prises de décisions</w:t>
      </w:r>
      <w:r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et suspendu certains projets</w:t>
      </w:r>
      <w:r w:rsidR="00657687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.</w:t>
      </w:r>
    </w:p>
    <w:p w14:paraId="69AA9AF7" w14:textId="77777777" w:rsidR="00BF3C48" w:rsidRPr="00D218F9" w:rsidRDefault="00BF3C48" w:rsidP="00D218F9">
      <w:pPr>
        <w:jc w:val="both"/>
        <w:rPr>
          <w:rFonts w:asciiTheme="minorHAnsi" w:hAnsiTheme="minorHAnsi" w:cstheme="minorHAnsi"/>
          <w:color w:val="111533"/>
          <w:shd w:val="clear" w:color="auto" w:fill="FFFFFF"/>
        </w:rPr>
      </w:pPr>
    </w:p>
    <w:p w14:paraId="243EEC0B" w14:textId="3C34BB26" w:rsidR="00E67FC6" w:rsidRPr="005401E5" w:rsidRDefault="004D0AAA" w:rsidP="00341784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color w:val="0070C0"/>
          <w:shd w:val="clear" w:color="auto" w:fill="FFFFFF"/>
        </w:rPr>
      </w:pPr>
      <w:r w:rsidRPr="005401E5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L</w:t>
      </w:r>
      <w:r w:rsidR="00953C04" w:rsidRPr="005401E5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 xml:space="preserve">’effort </w:t>
      </w:r>
      <w:r w:rsidR="00E67FC6" w:rsidRPr="005401E5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de défense nationale</w:t>
      </w:r>
      <w:r w:rsidRPr="005401E5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 xml:space="preserve"> </w:t>
      </w:r>
      <w:r w:rsidR="00F23626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va</w:t>
      </w:r>
      <w:r w:rsidRPr="005401E5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 xml:space="preserve"> augmenter</w:t>
      </w:r>
    </w:p>
    <w:p w14:paraId="4E5307C1" w14:textId="517D9794" w:rsidR="00D575C3" w:rsidRPr="00C32392" w:rsidRDefault="00D575C3" w:rsidP="00E67FC6">
      <w:pPr>
        <w:jc w:val="both"/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</w:pPr>
      <w:r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Tendanciellement</w:t>
      </w:r>
      <w:r w:rsidR="004D0AAA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,</w:t>
      </w:r>
      <w:r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l’effort de défense d’Israël se normalis</w:t>
      </w:r>
      <w:r w:rsidR="001C077F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ait</w:t>
      </w:r>
      <w:r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par rapport aux autres pays de l’OCDE. Il était de 4,5% du PIB avant le 7 octobre, soutenu par une aide américaine de 3,8 milliards USD par an votée sur base décennale.</w:t>
      </w:r>
      <w:r w:rsidR="004D0AAA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</w:t>
      </w:r>
      <w:r w:rsidR="00F23626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Il grimpera a</w:t>
      </w:r>
      <w:r w:rsidRPr="00C32392">
        <w:rPr>
          <w:rFonts w:asciiTheme="minorHAnsi" w:hAnsiTheme="minorHAnsi" w:cstheme="minorHAnsi"/>
          <w:b/>
          <w:bCs/>
          <w:color w:val="111533"/>
          <w:sz w:val="20"/>
          <w:szCs w:val="20"/>
          <w:shd w:val="clear" w:color="auto" w:fill="FFFFFF"/>
        </w:rPr>
        <w:t>u moins</w:t>
      </w:r>
      <w:r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</w:t>
      </w:r>
      <w:r w:rsidR="0089294A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à </w:t>
      </w:r>
      <w:r w:rsidRPr="00C32392">
        <w:rPr>
          <w:rFonts w:asciiTheme="minorHAnsi" w:hAnsiTheme="minorHAnsi" w:cstheme="minorHAnsi"/>
          <w:b/>
          <w:bCs/>
          <w:color w:val="111533"/>
          <w:sz w:val="20"/>
          <w:szCs w:val="20"/>
          <w:shd w:val="clear" w:color="auto" w:fill="FFFFFF"/>
        </w:rPr>
        <w:t>5,5% de la richesse nationale</w:t>
      </w:r>
      <w:r w:rsidR="004D0AAA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.</w:t>
      </w:r>
      <w:r w:rsidR="0041006B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</w:t>
      </w:r>
      <w:r w:rsidR="001C077F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C’est </w:t>
      </w:r>
      <w:r w:rsidR="004424D4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1 point de PIB </w:t>
      </w:r>
      <w:r w:rsidR="0059270B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supplémentaire qui devra y être consacré </w:t>
      </w:r>
      <w:r w:rsidR="0041006B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au moment où l’Etat devra faire face à une augmentation du taux de dépendance des personnes âgées - actuellement de 25% </w:t>
      </w:r>
      <w:r w:rsidR="0059270B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il</w:t>
      </w:r>
      <w:r w:rsidR="0041006B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devrait passer à 32% dans 25 ans</w:t>
      </w:r>
      <w:r w:rsidR="004424D4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– et</w:t>
      </w:r>
      <w:r w:rsidR="00F23626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à une </w:t>
      </w:r>
      <w:r w:rsidR="004424D4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croissance des besoins en infrastructures</w:t>
      </w:r>
      <w:r w:rsidR="00953804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 xml:space="preserve"> (au moins 1 à 2 points de PIB par an estimait la banque centrale en 2021)</w:t>
      </w:r>
      <w:r w:rsidR="0041006B" w:rsidRPr="00C32392"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  <w:t>.</w:t>
      </w:r>
    </w:p>
    <w:bookmarkEnd w:id="0"/>
    <w:p w14:paraId="61AE98F6" w14:textId="77777777" w:rsidR="00953804" w:rsidRDefault="00953804" w:rsidP="00AF62C7">
      <w:pPr>
        <w:jc w:val="both"/>
        <w:rPr>
          <w:rFonts w:asciiTheme="minorHAnsi" w:hAnsiTheme="minorHAnsi" w:cstheme="minorHAnsi"/>
          <w:color w:val="111533"/>
          <w:sz w:val="20"/>
          <w:szCs w:val="20"/>
          <w:shd w:val="clear" w:color="auto" w:fill="FFFFFF"/>
        </w:rPr>
      </w:pPr>
    </w:p>
    <w:sectPr w:rsidR="00953804" w:rsidSect="00A019D1">
      <w:headerReference w:type="first" r:id="rId8"/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31E5" w14:textId="77777777" w:rsidR="00275A16" w:rsidRDefault="00275A16" w:rsidP="00D91815">
      <w:r>
        <w:separator/>
      </w:r>
    </w:p>
  </w:endnote>
  <w:endnote w:type="continuationSeparator" w:id="0">
    <w:p w14:paraId="3AE7B8F9" w14:textId="77777777" w:rsidR="00275A16" w:rsidRDefault="00275A16" w:rsidP="00D9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7ADA" w14:textId="77777777" w:rsidR="00275A16" w:rsidRDefault="00275A16" w:rsidP="00D91815">
      <w:r>
        <w:separator/>
      </w:r>
    </w:p>
  </w:footnote>
  <w:footnote w:type="continuationSeparator" w:id="0">
    <w:p w14:paraId="242F3344" w14:textId="77777777" w:rsidR="00275A16" w:rsidRDefault="00275A16" w:rsidP="00D91815">
      <w:r>
        <w:continuationSeparator/>
      </w:r>
    </w:p>
  </w:footnote>
  <w:footnote w:id="1">
    <w:p w14:paraId="0A16E716" w14:textId="611871A8" w:rsidR="00BF5A02" w:rsidRDefault="00BF5A02" w:rsidP="0017707B">
      <w:pPr>
        <w:pStyle w:val="Notedebasdepage"/>
        <w:jc w:val="both"/>
      </w:pPr>
      <w:r w:rsidRPr="00C32392">
        <w:rPr>
          <w:rStyle w:val="Appelnotedebasdep"/>
          <w:sz w:val="18"/>
          <w:szCs w:val="18"/>
        </w:rPr>
        <w:footnoteRef/>
      </w:r>
      <w:r w:rsidRPr="00C32392">
        <w:rPr>
          <w:sz w:val="18"/>
          <w:szCs w:val="18"/>
        </w:rPr>
        <w:t xml:space="preserve"> A</w:t>
      </w:r>
      <w:r w:rsidR="0017707B" w:rsidRPr="00C32392">
        <w:rPr>
          <w:sz w:val="18"/>
          <w:szCs w:val="18"/>
        </w:rPr>
        <w:t>vant-guerre</w:t>
      </w:r>
      <w:r w:rsidRPr="00C32392">
        <w:rPr>
          <w:sz w:val="18"/>
          <w:szCs w:val="18"/>
        </w:rPr>
        <w:t xml:space="preserve">, il y avait 100 000 permis valides </w:t>
      </w:r>
      <w:r w:rsidR="002A5DFE" w:rsidRPr="00C32392">
        <w:rPr>
          <w:sz w:val="18"/>
          <w:szCs w:val="18"/>
        </w:rPr>
        <w:t xml:space="preserve">pour les travailleurs palestiniens venant travailler en Israël, </w:t>
      </w:r>
      <w:r w:rsidRPr="00C32392">
        <w:rPr>
          <w:sz w:val="18"/>
          <w:szCs w:val="18"/>
        </w:rPr>
        <w:t>auxquels venaient s’ajouter de 80 à 100 000 « clandestins »</w:t>
      </w:r>
      <w:r w:rsidR="002A5DFE" w:rsidRPr="00C32392">
        <w:rPr>
          <w:sz w:val="18"/>
          <w:szCs w:val="18"/>
        </w:rPr>
        <w:t>.</w:t>
      </w:r>
      <w:r w:rsidRPr="00C32392">
        <w:rPr>
          <w:sz w:val="18"/>
          <w:szCs w:val="18"/>
        </w:rPr>
        <w:t xml:space="preserve"> </w:t>
      </w:r>
      <w:r w:rsidR="002A5DFE" w:rsidRPr="00C32392">
        <w:rPr>
          <w:sz w:val="18"/>
          <w:szCs w:val="18"/>
        </w:rPr>
        <w:t>A</w:t>
      </w:r>
      <w:r w:rsidRPr="00C32392">
        <w:rPr>
          <w:sz w:val="18"/>
          <w:szCs w:val="18"/>
        </w:rPr>
        <w:t xml:space="preserve">ujourd’hui </w:t>
      </w:r>
      <w:r w:rsidR="002A5DFE" w:rsidRPr="00C32392">
        <w:rPr>
          <w:sz w:val="18"/>
          <w:szCs w:val="18"/>
        </w:rPr>
        <w:t>seuls</w:t>
      </w:r>
      <w:r w:rsidRPr="00C32392">
        <w:rPr>
          <w:sz w:val="18"/>
          <w:szCs w:val="18"/>
        </w:rPr>
        <w:t xml:space="preserve"> 24 000 permis</w:t>
      </w:r>
      <w:r w:rsidR="002A5DFE" w:rsidRPr="00C32392">
        <w:rPr>
          <w:sz w:val="18"/>
          <w:szCs w:val="18"/>
        </w:rPr>
        <w:t xml:space="preserve"> sont reconnus</w:t>
      </w:r>
      <w:r w:rsidRPr="00C32392">
        <w:rPr>
          <w:sz w:val="18"/>
          <w:szCs w:val="18"/>
        </w:rPr>
        <w:t>, dont 16 000 pour les colonies. Le nombre de « clandestins » pourrait être de 20 000.</w:t>
      </w:r>
    </w:p>
  </w:footnote>
  <w:footnote w:id="2">
    <w:p w14:paraId="051E9445" w14:textId="461E06B1" w:rsidR="00E41BEB" w:rsidRDefault="00E41BEB" w:rsidP="0058090F">
      <w:pPr>
        <w:pStyle w:val="Notedebasdepage"/>
        <w:jc w:val="both"/>
      </w:pPr>
      <w:r w:rsidRPr="005401E5">
        <w:rPr>
          <w:rStyle w:val="Appelnotedebasdep"/>
          <w:sz w:val="18"/>
          <w:szCs w:val="18"/>
        </w:rPr>
        <w:footnoteRef/>
      </w:r>
      <w:r w:rsidRPr="005401E5">
        <w:rPr>
          <w:sz w:val="18"/>
          <w:szCs w:val="18"/>
        </w:rPr>
        <w:t xml:space="preserve"> Etonna</w:t>
      </w:r>
      <w:r w:rsidR="0058090F" w:rsidRPr="005401E5">
        <w:rPr>
          <w:sz w:val="18"/>
          <w:szCs w:val="18"/>
        </w:rPr>
        <w:t>m</w:t>
      </w:r>
      <w:r w:rsidRPr="005401E5">
        <w:rPr>
          <w:sz w:val="18"/>
          <w:szCs w:val="18"/>
        </w:rPr>
        <w:t>ment, le gouverneur de la banque centrale estimait le</w:t>
      </w:r>
      <w:r w:rsidR="0058090F" w:rsidRPr="005401E5">
        <w:rPr>
          <w:sz w:val="18"/>
          <w:szCs w:val="18"/>
        </w:rPr>
        <w:t xml:space="preserve"> 1er avril que la note réelle d’Israël serait plutôt BBB, donc </w:t>
      </w:r>
      <w:r w:rsidR="00FD07FA" w:rsidRPr="005401E5">
        <w:rPr>
          <w:sz w:val="18"/>
          <w:szCs w:val="18"/>
        </w:rPr>
        <w:t xml:space="preserve">que le pays était surnoté </w:t>
      </w:r>
      <w:r w:rsidR="0058090F" w:rsidRPr="005401E5">
        <w:rPr>
          <w:sz w:val="18"/>
          <w:szCs w:val="18"/>
        </w:rPr>
        <w:t>par les agences.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AEE2" w14:textId="7D406F12" w:rsidR="00184E88" w:rsidRPr="00184E88" w:rsidRDefault="00184E88" w:rsidP="00184E88">
    <w:pPr>
      <w:pStyle w:val="En-tte"/>
      <w:tabs>
        <w:tab w:val="clear" w:pos="9072"/>
      </w:tabs>
      <w:rPr>
        <w:sz w:val="16"/>
        <w:szCs w:val="16"/>
      </w:rPr>
    </w:pPr>
    <w:r>
      <w:rPr>
        <w:rFonts w:ascii="Arial" w:hAnsi="Arial" w:cs="Arial"/>
        <w:b/>
        <w:szCs w:val="24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0D7"/>
    <w:multiLevelType w:val="hybridMultilevel"/>
    <w:tmpl w:val="6B2E3CBC"/>
    <w:lvl w:ilvl="0" w:tplc="A10E29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436D2"/>
    <w:multiLevelType w:val="hybridMultilevel"/>
    <w:tmpl w:val="4F223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1493"/>
    <w:multiLevelType w:val="hybridMultilevel"/>
    <w:tmpl w:val="F05A64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5A9C"/>
    <w:multiLevelType w:val="hybridMultilevel"/>
    <w:tmpl w:val="144608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4CA2"/>
    <w:multiLevelType w:val="hybridMultilevel"/>
    <w:tmpl w:val="211814FA"/>
    <w:lvl w:ilvl="0" w:tplc="71624854">
      <w:start w:val="1"/>
      <w:numFmt w:val="decimal"/>
      <w:lvlText w:val="%1-"/>
      <w:lvlJc w:val="left"/>
      <w:pPr>
        <w:ind w:left="643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52CF"/>
    <w:multiLevelType w:val="hybridMultilevel"/>
    <w:tmpl w:val="046A91D0"/>
    <w:lvl w:ilvl="0" w:tplc="D97ADCB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24D0A93"/>
    <w:multiLevelType w:val="hybridMultilevel"/>
    <w:tmpl w:val="144608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87747"/>
    <w:multiLevelType w:val="hybridMultilevel"/>
    <w:tmpl w:val="144608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A6D"/>
    <w:multiLevelType w:val="hybridMultilevel"/>
    <w:tmpl w:val="738C4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F4C34"/>
    <w:multiLevelType w:val="hybridMultilevel"/>
    <w:tmpl w:val="FBE2C5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D29AA"/>
    <w:multiLevelType w:val="hybridMultilevel"/>
    <w:tmpl w:val="2230D8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25639"/>
    <w:multiLevelType w:val="hybridMultilevel"/>
    <w:tmpl w:val="1484551A"/>
    <w:lvl w:ilvl="0" w:tplc="1DAA423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C7560"/>
    <w:multiLevelType w:val="hybridMultilevel"/>
    <w:tmpl w:val="789EA24C"/>
    <w:lvl w:ilvl="0" w:tplc="5BB6B536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6347155"/>
    <w:multiLevelType w:val="hybridMultilevel"/>
    <w:tmpl w:val="3808E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561FE"/>
    <w:multiLevelType w:val="hybridMultilevel"/>
    <w:tmpl w:val="AE22F2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757C"/>
    <w:multiLevelType w:val="hybridMultilevel"/>
    <w:tmpl w:val="F6D63110"/>
    <w:lvl w:ilvl="0" w:tplc="9EDCE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F39E1"/>
    <w:multiLevelType w:val="hybridMultilevel"/>
    <w:tmpl w:val="144608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21050"/>
    <w:multiLevelType w:val="hybridMultilevel"/>
    <w:tmpl w:val="1BAA8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43ADE"/>
    <w:multiLevelType w:val="hybridMultilevel"/>
    <w:tmpl w:val="664263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F37EE"/>
    <w:multiLevelType w:val="hybridMultilevel"/>
    <w:tmpl w:val="C76A9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67BEB"/>
    <w:multiLevelType w:val="hybridMultilevel"/>
    <w:tmpl w:val="C47A05E4"/>
    <w:lvl w:ilvl="0" w:tplc="48C6522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A0E59"/>
    <w:multiLevelType w:val="hybridMultilevel"/>
    <w:tmpl w:val="257EA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B3356"/>
    <w:multiLevelType w:val="hybridMultilevel"/>
    <w:tmpl w:val="2758B646"/>
    <w:lvl w:ilvl="0" w:tplc="BDA4F456">
      <w:start w:val="1"/>
      <w:numFmt w:val="decimal"/>
      <w:lvlText w:val="%1."/>
      <w:lvlJc w:val="left"/>
      <w:pPr>
        <w:ind w:left="720" w:hanging="360"/>
      </w:pPr>
      <w:rPr>
        <w:rFonts w:eastAsia="MS Gothic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E7CCA"/>
    <w:multiLevelType w:val="hybridMultilevel"/>
    <w:tmpl w:val="393C2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E7D53"/>
    <w:multiLevelType w:val="hybridMultilevel"/>
    <w:tmpl w:val="F05A64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D4E7E"/>
    <w:multiLevelType w:val="hybridMultilevel"/>
    <w:tmpl w:val="9724ADC4"/>
    <w:lvl w:ilvl="0" w:tplc="E092C0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5514A"/>
    <w:multiLevelType w:val="hybridMultilevel"/>
    <w:tmpl w:val="2AC6737C"/>
    <w:lvl w:ilvl="0" w:tplc="24D43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19"/>
  </w:num>
  <w:num w:numId="5">
    <w:abstractNumId w:val="23"/>
  </w:num>
  <w:num w:numId="6">
    <w:abstractNumId w:val="8"/>
  </w:num>
  <w:num w:numId="7">
    <w:abstractNumId w:val="18"/>
  </w:num>
  <w:num w:numId="8">
    <w:abstractNumId w:val="13"/>
  </w:num>
  <w:num w:numId="9">
    <w:abstractNumId w:val="9"/>
  </w:num>
  <w:num w:numId="10">
    <w:abstractNumId w:val="11"/>
  </w:num>
  <w:num w:numId="11">
    <w:abstractNumId w:val="3"/>
  </w:num>
  <w:num w:numId="12">
    <w:abstractNumId w:val="16"/>
  </w:num>
  <w:num w:numId="13">
    <w:abstractNumId w:val="2"/>
  </w:num>
  <w:num w:numId="14">
    <w:abstractNumId w:val="14"/>
  </w:num>
  <w:num w:numId="15">
    <w:abstractNumId w:val="7"/>
  </w:num>
  <w:num w:numId="16">
    <w:abstractNumId w:val="24"/>
  </w:num>
  <w:num w:numId="17">
    <w:abstractNumId w:val="1"/>
  </w:num>
  <w:num w:numId="18">
    <w:abstractNumId w:val="17"/>
  </w:num>
  <w:num w:numId="19">
    <w:abstractNumId w:val="20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1"/>
  </w:num>
  <w:num w:numId="25">
    <w:abstractNumId w:val="0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87"/>
    <w:rsid w:val="00011C51"/>
    <w:rsid w:val="00012C9A"/>
    <w:rsid w:val="00021423"/>
    <w:rsid w:val="000265DE"/>
    <w:rsid w:val="00036BDE"/>
    <w:rsid w:val="0003728E"/>
    <w:rsid w:val="00045A12"/>
    <w:rsid w:val="000478FC"/>
    <w:rsid w:val="0005220D"/>
    <w:rsid w:val="00053392"/>
    <w:rsid w:val="000636A0"/>
    <w:rsid w:val="00070E5E"/>
    <w:rsid w:val="00071F11"/>
    <w:rsid w:val="000726C9"/>
    <w:rsid w:val="0009399F"/>
    <w:rsid w:val="00094622"/>
    <w:rsid w:val="000A1F84"/>
    <w:rsid w:val="000A292F"/>
    <w:rsid w:val="000A46EE"/>
    <w:rsid w:val="000B392E"/>
    <w:rsid w:val="000C3DE2"/>
    <w:rsid w:val="000C426A"/>
    <w:rsid w:val="000D5AEB"/>
    <w:rsid w:val="000D61DB"/>
    <w:rsid w:val="000D6B12"/>
    <w:rsid w:val="000E03BD"/>
    <w:rsid w:val="000E19D4"/>
    <w:rsid w:val="000E61B9"/>
    <w:rsid w:val="000F2611"/>
    <w:rsid w:val="00106AB6"/>
    <w:rsid w:val="0011589A"/>
    <w:rsid w:val="00120A37"/>
    <w:rsid w:val="00120B92"/>
    <w:rsid w:val="00135D65"/>
    <w:rsid w:val="00147728"/>
    <w:rsid w:val="0014785E"/>
    <w:rsid w:val="0015619F"/>
    <w:rsid w:val="00170044"/>
    <w:rsid w:val="00170BA3"/>
    <w:rsid w:val="00174AF4"/>
    <w:rsid w:val="001751C3"/>
    <w:rsid w:val="0017707B"/>
    <w:rsid w:val="00184E88"/>
    <w:rsid w:val="001856B0"/>
    <w:rsid w:val="001864B5"/>
    <w:rsid w:val="001A3DBE"/>
    <w:rsid w:val="001B0F12"/>
    <w:rsid w:val="001B10C4"/>
    <w:rsid w:val="001C077F"/>
    <w:rsid w:val="001C73F5"/>
    <w:rsid w:val="001D05F8"/>
    <w:rsid w:val="001D4C7F"/>
    <w:rsid w:val="001E0D64"/>
    <w:rsid w:val="001E3CB5"/>
    <w:rsid w:val="001E7BE3"/>
    <w:rsid w:val="001F3AD2"/>
    <w:rsid w:val="001F46DD"/>
    <w:rsid w:val="0020198A"/>
    <w:rsid w:val="002023EB"/>
    <w:rsid w:val="002043AF"/>
    <w:rsid w:val="002075F5"/>
    <w:rsid w:val="00210F1D"/>
    <w:rsid w:val="00213293"/>
    <w:rsid w:val="00213502"/>
    <w:rsid w:val="00214B97"/>
    <w:rsid w:val="00222604"/>
    <w:rsid w:val="00222D19"/>
    <w:rsid w:val="00224076"/>
    <w:rsid w:val="0022634F"/>
    <w:rsid w:val="002275DB"/>
    <w:rsid w:val="00227AEE"/>
    <w:rsid w:val="00230518"/>
    <w:rsid w:val="002446CE"/>
    <w:rsid w:val="002448FC"/>
    <w:rsid w:val="002456C3"/>
    <w:rsid w:val="00247E9B"/>
    <w:rsid w:val="00250577"/>
    <w:rsid w:val="00253626"/>
    <w:rsid w:val="002540FF"/>
    <w:rsid w:val="00261914"/>
    <w:rsid w:val="0026600E"/>
    <w:rsid w:val="00270214"/>
    <w:rsid w:val="002728B0"/>
    <w:rsid w:val="00275A16"/>
    <w:rsid w:val="00277238"/>
    <w:rsid w:val="002807DE"/>
    <w:rsid w:val="002907A9"/>
    <w:rsid w:val="00290D4A"/>
    <w:rsid w:val="00295EE3"/>
    <w:rsid w:val="002A5DFE"/>
    <w:rsid w:val="002B0EA9"/>
    <w:rsid w:val="002B2C77"/>
    <w:rsid w:val="002C4C89"/>
    <w:rsid w:val="002D4F1D"/>
    <w:rsid w:val="002E4622"/>
    <w:rsid w:val="002F1175"/>
    <w:rsid w:val="002F6440"/>
    <w:rsid w:val="002F7C9D"/>
    <w:rsid w:val="00304377"/>
    <w:rsid w:val="00306FB6"/>
    <w:rsid w:val="00313902"/>
    <w:rsid w:val="00316ADC"/>
    <w:rsid w:val="0032329F"/>
    <w:rsid w:val="00323516"/>
    <w:rsid w:val="00334BF2"/>
    <w:rsid w:val="003357B6"/>
    <w:rsid w:val="003357CF"/>
    <w:rsid w:val="003363F9"/>
    <w:rsid w:val="00341784"/>
    <w:rsid w:val="00347C0E"/>
    <w:rsid w:val="00355739"/>
    <w:rsid w:val="003608B6"/>
    <w:rsid w:val="00363A8C"/>
    <w:rsid w:val="00365587"/>
    <w:rsid w:val="003655BB"/>
    <w:rsid w:val="0036578B"/>
    <w:rsid w:val="0036678D"/>
    <w:rsid w:val="003719EC"/>
    <w:rsid w:val="003729CF"/>
    <w:rsid w:val="003831D1"/>
    <w:rsid w:val="00384D1E"/>
    <w:rsid w:val="003851BA"/>
    <w:rsid w:val="00387E15"/>
    <w:rsid w:val="00393BD7"/>
    <w:rsid w:val="003B448D"/>
    <w:rsid w:val="003B458A"/>
    <w:rsid w:val="003C465C"/>
    <w:rsid w:val="003D53DB"/>
    <w:rsid w:val="003E40F0"/>
    <w:rsid w:val="003F78E3"/>
    <w:rsid w:val="004052FE"/>
    <w:rsid w:val="0041006B"/>
    <w:rsid w:val="00420013"/>
    <w:rsid w:val="00431268"/>
    <w:rsid w:val="00431B61"/>
    <w:rsid w:val="00432D1A"/>
    <w:rsid w:val="00440BBC"/>
    <w:rsid w:val="004424D4"/>
    <w:rsid w:val="0045102C"/>
    <w:rsid w:val="00461F5B"/>
    <w:rsid w:val="00481DFF"/>
    <w:rsid w:val="00482F90"/>
    <w:rsid w:val="0048741F"/>
    <w:rsid w:val="004921F1"/>
    <w:rsid w:val="0049334B"/>
    <w:rsid w:val="00495B5B"/>
    <w:rsid w:val="00497D52"/>
    <w:rsid w:val="004A34F4"/>
    <w:rsid w:val="004A3C14"/>
    <w:rsid w:val="004A678A"/>
    <w:rsid w:val="004B7862"/>
    <w:rsid w:val="004C1DD7"/>
    <w:rsid w:val="004C3A32"/>
    <w:rsid w:val="004C767C"/>
    <w:rsid w:val="004D0AAA"/>
    <w:rsid w:val="004D0C19"/>
    <w:rsid w:val="004E63A9"/>
    <w:rsid w:val="004F01ED"/>
    <w:rsid w:val="004F459C"/>
    <w:rsid w:val="00510FAD"/>
    <w:rsid w:val="00524ADA"/>
    <w:rsid w:val="00530235"/>
    <w:rsid w:val="005401E5"/>
    <w:rsid w:val="0054178D"/>
    <w:rsid w:val="0055163A"/>
    <w:rsid w:val="00554791"/>
    <w:rsid w:val="005553CD"/>
    <w:rsid w:val="00557D9B"/>
    <w:rsid w:val="00561EE9"/>
    <w:rsid w:val="00573804"/>
    <w:rsid w:val="0058090F"/>
    <w:rsid w:val="00583172"/>
    <w:rsid w:val="005856EE"/>
    <w:rsid w:val="00590460"/>
    <w:rsid w:val="00590673"/>
    <w:rsid w:val="00590D0A"/>
    <w:rsid w:val="0059270B"/>
    <w:rsid w:val="005A0EFF"/>
    <w:rsid w:val="005A297B"/>
    <w:rsid w:val="005B06DB"/>
    <w:rsid w:val="005B3FFB"/>
    <w:rsid w:val="005B5104"/>
    <w:rsid w:val="005C03D9"/>
    <w:rsid w:val="005C0923"/>
    <w:rsid w:val="005C22E0"/>
    <w:rsid w:val="005C2682"/>
    <w:rsid w:val="005C3DC6"/>
    <w:rsid w:val="005C449E"/>
    <w:rsid w:val="005D2BD9"/>
    <w:rsid w:val="005D2C87"/>
    <w:rsid w:val="005D5BAE"/>
    <w:rsid w:val="005E5F05"/>
    <w:rsid w:val="005F3084"/>
    <w:rsid w:val="00602F7D"/>
    <w:rsid w:val="00610AD9"/>
    <w:rsid w:val="00610D21"/>
    <w:rsid w:val="00613F56"/>
    <w:rsid w:val="00630ADA"/>
    <w:rsid w:val="00632406"/>
    <w:rsid w:val="006325C4"/>
    <w:rsid w:val="006346D3"/>
    <w:rsid w:val="00642453"/>
    <w:rsid w:val="00643F35"/>
    <w:rsid w:val="00644834"/>
    <w:rsid w:val="0064653B"/>
    <w:rsid w:val="00655E69"/>
    <w:rsid w:val="00657687"/>
    <w:rsid w:val="00661D7D"/>
    <w:rsid w:val="006634D6"/>
    <w:rsid w:val="006719B5"/>
    <w:rsid w:val="00677AF6"/>
    <w:rsid w:val="00692A60"/>
    <w:rsid w:val="006944DF"/>
    <w:rsid w:val="006A072A"/>
    <w:rsid w:val="006B0739"/>
    <w:rsid w:val="006C17B0"/>
    <w:rsid w:val="006C4544"/>
    <w:rsid w:val="006C7410"/>
    <w:rsid w:val="006D081F"/>
    <w:rsid w:val="006D164F"/>
    <w:rsid w:val="006D4362"/>
    <w:rsid w:val="006D44A1"/>
    <w:rsid w:val="006E4260"/>
    <w:rsid w:val="006E70FC"/>
    <w:rsid w:val="006F70A5"/>
    <w:rsid w:val="00702D86"/>
    <w:rsid w:val="007031DA"/>
    <w:rsid w:val="00707329"/>
    <w:rsid w:val="0071155D"/>
    <w:rsid w:val="00716573"/>
    <w:rsid w:val="00722C3F"/>
    <w:rsid w:val="00730A94"/>
    <w:rsid w:val="007375A4"/>
    <w:rsid w:val="007479DA"/>
    <w:rsid w:val="00747B59"/>
    <w:rsid w:val="0075111E"/>
    <w:rsid w:val="00752A36"/>
    <w:rsid w:val="0075525F"/>
    <w:rsid w:val="00761B6E"/>
    <w:rsid w:val="0076302A"/>
    <w:rsid w:val="0076524E"/>
    <w:rsid w:val="00770148"/>
    <w:rsid w:val="007748A2"/>
    <w:rsid w:val="007832BC"/>
    <w:rsid w:val="00785D69"/>
    <w:rsid w:val="00790901"/>
    <w:rsid w:val="00793723"/>
    <w:rsid w:val="00793873"/>
    <w:rsid w:val="00796F3A"/>
    <w:rsid w:val="007A023D"/>
    <w:rsid w:val="007A1717"/>
    <w:rsid w:val="007A5E10"/>
    <w:rsid w:val="007C1ACB"/>
    <w:rsid w:val="007C30E6"/>
    <w:rsid w:val="007C37A5"/>
    <w:rsid w:val="007C67E6"/>
    <w:rsid w:val="007D34FB"/>
    <w:rsid w:val="007F277A"/>
    <w:rsid w:val="007F6307"/>
    <w:rsid w:val="00801945"/>
    <w:rsid w:val="00801959"/>
    <w:rsid w:val="00802480"/>
    <w:rsid w:val="008037C5"/>
    <w:rsid w:val="008060E9"/>
    <w:rsid w:val="008158D3"/>
    <w:rsid w:val="008261EE"/>
    <w:rsid w:val="00830B85"/>
    <w:rsid w:val="00831F30"/>
    <w:rsid w:val="008329A8"/>
    <w:rsid w:val="008429BE"/>
    <w:rsid w:val="00846523"/>
    <w:rsid w:val="00862E2F"/>
    <w:rsid w:val="00865E93"/>
    <w:rsid w:val="008719B7"/>
    <w:rsid w:val="00874FAA"/>
    <w:rsid w:val="00877A03"/>
    <w:rsid w:val="00881248"/>
    <w:rsid w:val="008829C6"/>
    <w:rsid w:val="008856E3"/>
    <w:rsid w:val="00886732"/>
    <w:rsid w:val="0089294A"/>
    <w:rsid w:val="008A7860"/>
    <w:rsid w:val="008B4C67"/>
    <w:rsid w:val="008B5435"/>
    <w:rsid w:val="008B7E58"/>
    <w:rsid w:val="008C28D6"/>
    <w:rsid w:val="008C53B2"/>
    <w:rsid w:val="008D7631"/>
    <w:rsid w:val="008F3797"/>
    <w:rsid w:val="00901A2D"/>
    <w:rsid w:val="00906E9B"/>
    <w:rsid w:val="00907E3C"/>
    <w:rsid w:val="0091747E"/>
    <w:rsid w:val="009200E0"/>
    <w:rsid w:val="00920DD8"/>
    <w:rsid w:val="00922158"/>
    <w:rsid w:val="00925F34"/>
    <w:rsid w:val="009332C0"/>
    <w:rsid w:val="00940936"/>
    <w:rsid w:val="00946978"/>
    <w:rsid w:val="00947008"/>
    <w:rsid w:val="009515F4"/>
    <w:rsid w:val="009535E3"/>
    <w:rsid w:val="00953804"/>
    <w:rsid w:val="00953C04"/>
    <w:rsid w:val="009579FE"/>
    <w:rsid w:val="00964D1C"/>
    <w:rsid w:val="00964E58"/>
    <w:rsid w:val="00975318"/>
    <w:rsid w:val="00985ECB"/>
    <w:rsid w:val="0098692F"/>
    <w:rsid w:val="00993207"/>
    <w:rsid w:val="009936E2"/>
    <w:rsid w:val="0099600D"/>
    <w:rsid w:val="009A05FD"/>
    <w:rsid w:val="009A37ED"/>
    <w:rsid w:val="009A7DA5"/>
    <w:rsid w:val="009C38F6"/>
    <w:rsid w:val="009C398D"/>
    <w:rsid w:val="009D5E53"/>
    <w:rsid w:val="009D5FD1"/>
    <w:rsid w:val="009D6CE3"/>
    <w:rsid w:val="009D7A25"/>
    <w:rsid w:val="009D7BF1"/>
    <w:rsid w:val="009E1026"/>
    <w:rsid w:val="009E12C1"/>
    <w:rsid w:val="009E16DC"/>
    <w:rsid w:val="009E5EDF"/>
    <w:rsid w:val="009F1DF2"/>
    <w:rsid w:val="009F695D"/>
    <w:rsid w:val="009F7479"/>
    <w:rsid w:val="009F76D6"/>
    <w:rsid w:val="00A019D1"/>
    <w:rsid w:val="00A064EC"/>
    <w:rsid w:val="00A11ED6"/>
    <w:rsid w:val="00A11FEB"/>
    <w:rsid w:val="00A12CF3"/>
    <w:rsid w:val="00A14B12"/>
    <w:rsid w:val="00A200C9"/>
    <w:rsid w:val="00A20509"/>
    <w:rsid w:val="00A21269"/>
    <w:rsid w:val="00A33DE8"/>
    <w:rsid w:val="00A462EF"/>
    <w:rsid w:val="00A5020A"/>
    <w:rsid w:val="00A54FE9"/>
    <w:rsid w:val="00A63B0C"/>
    <w:rsid w:val="00A70EC6"/>
    <w:rsid w:val="00A826EA"/>
    <w:rsid w:val="00A836F4"/>
    <w:rsid w:val="00A87788"/>
    <w:rsid w:val="00A8791A"/>
    <w:rsid w:val="00A972BC"/>
    <w:rsid w:val="00AA08C5"/>
    <w:rsid w:val="00AA4FA7"/>
    <w:rsid w:val="00AA5E7D"/>
    <w:rsid w:val="00AB1388"/>
    <w:rsid w:val="00AB4EC5"/>
    <w:rsid w:val="00AC14CD"/>
    <w:rsid w:val="00AD6B92"/>
    <w:rsid w:val="00AE6748"/>
    <w:rsid w:val="00AE7D14"/>
    <w:rsid w:val="00AF0BC3"/>
    <w:rsid w:val="00AF62C7"/>
    <w:rsid w:val="00B05388"/>
    <w:rsid w:val="00B1027A"/>
    <w:rsid w:val="00B119DA"/>
    <w:rsid w:val="00B14EB7"/>
    <w:rsid w:val="00B1681F"/>
    <w:rsid w:val="00B232EA"/>
    <w:rsid w:val="00B3480C"/>
    <w:rsid w:val="00B354F1"/>
    <w:rsid w:val="00B41001"/>
    <w:rsid w:val="00B42569"/>
    <w:rsid w:val="00B46ABC"/>
    <w:rsid w:val="00B54930"/>
    <w:rsid w:val="00B5787D"/>
    <w:rsid w:val="00B612D7"/>
    <w:rsid w:val="00B661B5"/>
    <w:rsid w:val="00B75CD5"/>
    <w:rsid w:val="00B76F6E"/>
    <w:rsid w:val="00B8163F"/>
    <w:rsid w:val="00B93C6A"/>
    <w:rsid w:val="00B95674"/>
    <w:rsid w:val="00BA1F65"/>
    <w:rsid w:val="00BA4A3B"/>
    <w:rsid w:val="00BB1D35"/>
    <w:rsid w:val="00BB1DF3"/>
    <w:rsid w:val="00BC4607"/>
    <w:rsid w:val="00BC4FC0"/>
    <w:rsid w:val="00BE235E"/>
    <w:rsid w:val="00BE4C2A"/>
    <w:rsid w:val="00BF1946"/>
    <w:rsid w:val="00BF3C48"/>
    <w:rsid w:val="00BF5A02"/>
    <w:rsid w:val="00C00D70"/>
    <w:rsid w:val="00C07CF3"/>
    <w:rsid w:val="00C12471"/>
    <w:rsid w:val="00C1281B"/>
    <w:rsid w:val="00C169B4"/>
    <w:rsid w:val="00C171F0"/>
    <w:rsid w:val="00C21481"/>
    <w:rsid w:val="00C223E6"/>
    <w:rsid w:val="00C31185"/>
    <w:rsid w:val="00C32392"/>
    <w:rsid w:val="00C44A3F"/>
    <w:rsid w:val="00C51473"/>
    <w:rsid w:val="00C6319F"/>
    <w:rsid w:val="00C6350D"/>
    <w:rsid w:val="00C64589"/>
    <w:rsid w:val="00C7255C"/>
    <w:rsid w:val="00C74450"/>
    <w:rsid w:val="00C75B11"/>
    <w:rsid w:val="00C92D93"/>
    <w:rsid w:val="00C9435D"/>
    <w:rsid w:val="00CA2055"/>
    <w:rsid w:val="00CA36C4"/>
    <w:rsid w:val="00CA6178"/>
    <w:rsid w:val="00CA7038"/>
    <w:rsid w:val="00CC4D1E"/>
    <w:rsid w:val="00CC75A6"/>
    <w:rsid w:val="00CD056D"/>
    <w:rsid w:val="00CD20F3"/>
    <w:rsid w:val="00CD4E62"/>
    <w:rsid w:val="00CD55E2"/>
    <w:rsid w:val="00CE1CBA"/>
    <w:rsid w:val="00CE7927"/>
    <w:rsid w:val="00CF367F"/>
    <w:rsid w:val="00CF565F"/>
    <w:rsid w:val="00CF5C48"/>
    <w:rsid w:val="00D053A3"/>
    <w:rsid w:val="00D173A5"/>
    <w:rsid w:val="00D218F9"/>
    <w:rsid w:val="00D411C7"/>
    <w:rsid w:val="00D420E4"/>
    <w:rsid w:val="00D45167"/>
    <w:rsid w:val="00D4734F"/>
    <w:rsid w:val="00D53150"/>
    <w:rsid w:val="00D53C14"/>
    <w:rsid w:val="00D55181"/>
    <w:rsid w:val="00D575C3"/>
    <w:rsid w:val="00D61D8A"/>
    <w:rsid w:val="00D71603"/>
    <w:rsid w:val="00D74CA5"/>
    <w:rsid w:val="00D80648"/>
    <w:rsid w:val="00D80658"/>
    <w:rsid w:val="00D84876"/>
    <w:rsid w:val="00D91815"/>
    <w:rsid w:val="00DA429F"/>
    <w:rsid w:val="00DA502A"/>
    <w:rsid w:val="00DB57EB"/>
    <w:rsid w:val="00DB6D2C"/>
    <w:rsid w:val="00DB71B2"/>
    <w:rsid w:val="00DC37BA"/>
    <w:rsid w:val="00DD53BE"/>
    <w:rsid w:val="00DE07E6"/>
    <w:rsid w:val="00DE3895"/>
    <w:rsid w:val="00DE41C7"/>
    <w:rsid w:val="00DE5636"/>
    <w:rsid w:val="00DF7D30"/>
    <w:rsid w:val="00E175BA"/>
    <w:rsid w:val="00E213B3"/>
    <w:rsid w:val="00E30EEE"/>
    <w:rsid w:val="00E31E01"/>
    <w:rsid w:val="00E37DF9"/>
    <w:rsid w:val="00E404D8"/>
    <w:rsid w:val="00E413FC"/>
    <w:rsid w:val="00E4192E"/>
    <w:rsid w:val="00E41B33"/>
    <w:rsid w:val="00E41BEB"/>
    <w:rsid w:val="00E44D43"/>
    <w:rsid w:val="00E50190"/>
    <w:rsid w:val="00E518C6"/>
    <w:rsid w:val="00E62CCF"/>
    <w:rsid w:val="00E650EA"/>
    <w:rsid w:val="00E67FC6"/>
    <w:rsid w:val="00E70DB7"/>
    <w:rsid w:val="00E80DF1"/>
    <w:rsid w:val="00EA1A14"/>
    <w:rsid w:val="00EB3BFD"/>
    <w:rsid w:val="00EC105C"/>
    <w:rsid w:val="00ED3828"/>
    <w:rsid w:val="00EE27C4"/>
    <w:rsid w:val="00EE659B"/>
    <w:rsid w:val="00EE6F8A"/>
    <w:rsid w:val="00EF292A"/>
    <w:rsid w:val="00F05103"/>
    <w:rsid w:val="00F05550"/>
    <w:rsid w:val="00F07343"/>
    <w:rsid w:val="00F12C87"/>
    <w:rsid w:val="00F14209"/>
    <w:rsid w:val="00F23626"/>
    <w:rsid w:val="00F32510"/>
    <w:rsid w:val="00F337EF"/>
    <w:rsid w:val="00F42889"/>
    <w:rsid w:val="00F455BA"/>
    <w:rsid w:val="00F51B56"/>
    <w:rsid w:val="00F52B15"/>
    <w:rsid w:val="00F5694E"/>
    <w:rsid w:val="00F6751D"/>
    <w:rsid w:val="00F74092"/>
    <w:rsid w:val="00F81C08"/>
    <w:rsid w:val="00F82277"/>
    <w:rsid w:val="00F83047"/>
    <w:rsid w:val="00F96177"/>
    <w:rsid w:val="00FA131E"/>
    <w:rsid w:val="00FA1611"/>
    <w:rsid w:val="00FB4780"/>
    <w:rsid w:val="00FC29B6"/>
    <w:rsid w:val="00FC3CF9"/>
    <w:rsid w:val="00FC56FB"/>
    <w:rsid w:val="00FC59B3"/>
    <w:rsid w:val="00FC668A"/>
    <w:rsid w:val="00FC798E"/>
    <w:rsid w:val="00FD034D"/>
    <w:rsid w:val="00FD07FA"/>
    <w:rsid w:val="00FD1CF7"/>
    <w:rsid w:val="00F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C7E3"/>
  <w15:docId w15:val="{DF23BA49-FD95-411C-AB97-5796A6EF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87"/>
    <w:pPr>
      <w:spacing w:after="0" w:line="240" w:lineRule="auto"/>
    </w:pPr>
    <w:rPr>
      <w:rFonts w:ascii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56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2C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2C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C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6CE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918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1815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918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1815"/>
    <w:rPr>
      <w:rFonts w:ascii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77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7728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7728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24ADA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456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79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E4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 w:bidi="he-IL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E4622"/>
    <w:rPr>
      <w:rFonts w:ascii="Courier New" w:eastAsia="Times New Roman" w:hAnsi="Courier New" w:cs="Courier New"/>
      <w:sz w:val="20"/>
      <w:szCs w:val="20"/>
      <w:lang w:eastAsia="fr-FR" w:bidi="he-IL"/>
    </w:rPr>
  </w:style>
  <w:style w:type="character" w:customStyle="1" w:styleId="y2iqfc">
    <w:name w:val="y2iqfc"/>
    <w:basedOn w:val="Policepardfaut"/>
    <w:rsid w:val="002E4622"/>
  </w:style>
  <w:style w:type="character" w:styleId="Mentionnonrsolue">
    <w:name w:val="Unresolved Mention"/>
    <w:basedOn w:val="Policepardfaut"/>
    <w:uiPriority w:val="99"/>
    <w:semiHidden/>
    <w:unhideWhenUsed/>
    <w:rsid w:val="00F52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2EA5-CE67-4540-ABE0-C8554A1A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HEDOIN Mathieu</dc:creator>
  <cp:keywords/>
  <dc:description/>
  <cp:lastModifiedBy>SAYETTAT Eric</cp:lastModifiedBy>
  <cp:revision>3</cp:revision>
  <cp:lastPrinted>2023-10-02T08:18:00Z</cp:lastPrinted>
  <dcterms:created xsi:type="dcterms:W3CDTF">2024-04-16T13:45:00Z</dcterms:created>
  <dcterms:modified xsi:type="dcterms:W3CDTF">2024-04-16T14:18:00Z</dcterms:modified>
</cp:coreProperties>
</file>