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4811A" w14:textId="772804B1" w:rsidR="00683BE3" w:rsidRDefault="00FC0679" w:rsidP="006D220A">
      <w:pPr>
        <w:spacing w:before="80" w:after="80"/>
        <w:ind w:right="1"/>
        <w:jc w:val="center"/>
        <w:rPr>
          <w:rFonts w:ascii="Segoe UI" w:hAnsi="Segoe UI" w:cs="Segoe UI"/>
          <w:color w:val="000091" w:themeColor="text1"/>
          <w:sz w:val="32"/>
          <w:szCs w:val="20"/>
          <w:lang w:eastAsia="fr-FR"/>
        </w:rPr>
      </w:pPr>
      <w:r w:rsidRPr="00FC0679">
        <w:rPr>
          <w:rFonts w:ascii="Segoe UI" w:hAnsi="Segoe UI" w:cs="Segoe UI"/>
          <w:noProof/>
          <w:color w:val="000091" w:themeColor="text1"/>
          <w:sz w:val="32"/>
          <w:szCs w:val="20"/>
          <w:lang w:eastAsia="fr-FR"/>
        </w:rPr>
        <mc:AlternateContent>
          <mc:Choice Requires="wps">
            <w:drawing>
              <wp:anchor distT="0" distB="0" distL="114300" distR="114300" simplePos="0" relativeHeight="251664384" behindDoc="0" locked="0" layoutInCell="1" allowOverlap="1" wp14:anchorId="554902E5" wp14:editId="12CFA17F">
                <wp:simplePos x="0" y="0"/>
                <wp:positionH relativeFrom="column">
                  <wp:posOffset>3847465</wp:posOffset>
                </wp:positionH>
                <wp:positionV relativeFrom="paragraph">
                  <wp:posOffset>167005</wp:posOffset>
                </wp:positionV>
                <wp:extent cx="2318400" cy="392400"/>
                <wp:effectExtent l="0" t="0" r="24765" b="27305"/>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8400" cy="392400"/>
                        </a:xfrm>
                        <a:prstGeom prst="rect">
                          <a:avLst/>
                        </a:prstGeom>
                        <a:solidFill>
                          <a:srgbClr val="FFFFFF"/>
                        </a:solidFill>
                        <a:ln w="9525">
                          <a:solidFill>
                            <a:schemeClr val="bg1"/>
                          </a:solidFill>
                          <a:miter lim="800000"/>
                          <a:headEnd/>
                          <a:tailEnd/>
                        </a:ln>
                      </wps:spPr>
                      <wps:txbx>
                        <w:txbxContent>
                          <w:p w14:paraId="0C11C494" w14:textId="0C39DACD" w:rsidR="00FC0679" w:rsidRPr="00FC0679" w:rsidRDefault="00FC0679">
                            <w:r w:rsidRPr="00FC0679">
                              <w:rPr>
                                <w:rFonts w:ascii="Marianne" w:hAnsi="Marianne" w:cs="Segoe UI"/>
                                <w:b/>
                                <w:bCs/>
                                <w:sz w:val="20"/>
                                <w:szCs w:val="12"/>
                              </w:rPr>
                              <w:t xml:space="preserve">Direction générale du Trésor </w:t>
                            </w:r>
                          </w:p>
                        </w:txbxContent>
                      </wps:txbx>
                      <wps:bodyPr rot="0" vert="horz" wrap="square" lIns="91440" tIns="45720" rIns="91440" bIns="45720" anchor="t" anchorCtr="0">
                        <a:spAutoFit/>
                      </wps:bodyPr>
                    </wps:wsp>
                  </a:graphicData>
                </a:graphic>
              </wp:anchor>
            </w:drawing>
          </mc:Choice>
          <mc:Fallback>
            <w:pict>
              <v:shapetype w14:anchorId="554902E5" id="_x0000_t202" coordsize="21600,21600" o:spt="202" path="m,l,21600r21600,l21600,xe">
                <v:stroke joinstyle="miter"/>
                <v:path gradientshapeok="t" o:connecttype="rect"/>
              </v:shapetype>
              <v:shape id="Zone de texte 2" o:spid="_x0000_s1026" type="#_x0000_t202" style="position:absolute;left:0;text-align:left;margin-left:302.95pt;margin-top:13.15pt;width:182.55pt;height:30.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" strokecolor="white [3212]">
                <v:textbox style="mso-fit-shape-to-text:t">
                  <w:txbxContent>
                    <w:p w14:paraId="0C11C494" w14:textId="0C39DACD" w:rsidR="00FC0679" w:rsidRPr="00FC0679" w:rsidRDefault="00FC0679">
                      <w:r w:rsidRPr="00FC0679">
                        <w:rPr>
                          <w:rFonts w:ascii="Marianne" w:hAnsi="Marianne" w:cs="Segoe UI"/>
                          <w:b/>
                          <w:bCs/>
                          <w:sz w:val="20"/>
                          <w:szCs w:val="12"/>
                        </w:rPr>
                        <w:t xml:space="preserve">Direction générale du Trésor </w:t>
                      </w:r>
                    </w:p>
                  </w:txbxContent>
                </v:textbox>
              </v:shape>
            </w:pict>
          </mc:Fallback>
        </mc:AlternateContent>
      </w:r>
      <w:r w:rsidRPr="00935070">
        <w:rPr>
          <w:rFonts w:ascii="Marianne" w:hAnsi="Marianne" w:cs="Segoe UI"/>
          <w:b/>
          <w:bCs/>
          <w:noProof/>
          <w:sz w:val="20"/>
          <w:szCs w:val="12"/>
        </w:rPr>
        <w:drawing>
          <wp:anchor distT="0" distB="0" distL="114300" distR="114300" simplePos="0" relativeHeight="251663360" behindDoc="0" locked="0" layoutInCell="1" allowOverlap="1" wp14:anchorId="1819E4A5" wp14:editId="1EF42B11">
            <wp:simplePos x="0" y="0"/>
            <wp:positionH relativeFrom="column">
              <wp:posOffset>-464820</wp:posOffset>
            </wp:positionH>
            <wp:positionV relativeFrom="paragraph">
              <wp:posOffset>-266700</wp:posOffset>
            </wp:positionV>
            <wp:extent cx="1950720" cy="1287663"/>
            <wp:effectExtent l="0" t="0" r="0" b="825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0720" cy="1287663"/>
                    </a:xfrm>
                    <a:prstGeom prst="rect">
                      <a:avLst/>
                    </a:prstGeom>
                    <a:noFill/>
                  </pic:spPr>
                </pic:pic>
              </a:graphicData>
            </a:graphic>
            <wp14:sizeRelH relativeFrom="margin">
              <wp14:pctWidth>0</wp14:pctWidth>
            </wp14:sizeRelH>
            <wp14:sizeRelV relativeFrom="margin">
              <wp14:pctHeight>0</wp14:pctHeight>
            </wp14:sizeRelV>
          </wp:anchor>
        </w:drawing>
      </w:r>
      <w:r w:rsidR="00F53292">
        <w:rPr>
          <w:rFonts w:ascii="Segoe UI" w:hAnsi="Segoe UI" w:cs="Segoe UI"/>
          <w:noProof/>
          <w:color w:val="000091" w:themeColor="text1"/>
        </w:rPr>
        <mc:AlternateContent>
          <mc:Choice Requires="wps">
            <w:drawing>
              <wp:anchor distT="0" distB="0" distL="114300" distR="114300" simplePos="0" relativeHeight="251656190" behindDoc="0" locked="0" layoutInCell="1" allowOverlap="1" wp14:anchorId="16D250F6" wp14:editId="6934187D">
                <wp:simplePos x="0" y="0"/>
                <wp:positionH relativeFrom="column">
                  <wp:posOffset>-545465</wp:posOffset>
                </wp:positionH>
                <wp:positionV relativeFrom="paragraph">
                  <wp:posOffset>1492885</wp:posOffset>
                </wp:positionV>
                <wp:extent cx="6800850" cy="361950"/>
                <wp:effectExtent l="0" t="0" r="0" b="0"/>
                <wp:wrapNone/>
                <wp:docPr id="4" name="Rectangle 4"/>
                <wp:cNvGraphicFramePr/>
                <a:graphic xmlns:a="http://schemas.openxmlformats.org/drawingml/2006/main">
                  <a:graphicData uri="http://schemas.microsoft.com/office/word/2010/wordprocessingShape">
                    <wps:wsp>
                      <wps:cNvSpPr/>
                      <wps:spPr>
                        <a:xfrm>
                          <a:off x="0" y="0"/>
                          <a:ext cx="6800850" cy="361950"/>
                        </a:xfrm>
                        <a:prstGeom prst="rect">
                          <a:avLst/>
                        </a:prstGeom>
                        <a:solidFill>
                          <a:srgbClr val="FCC63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3FE0E" w14:textId="46CEBE96" w:rsidR="00532CE3" w:rsidRDefault="006D220A" w:rsidP="00532CE3">
                            <w:pPr>
                              <w:jc w:val="center"/>
                            </w:pPr>
                            <w:r>
                              <w:rPr>
                                <w:rFonts w:ascii="Segoe UI" w:hAnsi="Segoe UI" w:cs="Segoe UI"/>
                                <w:b/>
                                <w:bCs/>
                                <w:color w:val="000091" w:themeColor="text1"/>
                                <w:sz w:val="32"/>
                                <w:szCs w:val="20"/>
                              </w:rPr>
                              <w:t>OMAN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250F6" id="Rectangle 4" o:spid="_x0000_s1027" style="position:absolute;left:0;text-align:left;margin-left:-42.95pt;margin-top:117.55pt;width:535.5pt;height:28.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" fillcolor="#fcc63a" stroked="f" strokeweight="1pt">
                <v:textbox>
                  <w:txbxContent>
                    <w:p w14:paraId="2ED3FE0E" w14:textId="46CEBE96" w:rsidR="00532CE3" w:rsidRDefault="006D220A" w:rsidP="00532CE3">
                      <w:pPr>
                        <w:jc w:val="center"/>
                      </w:pPr>
                      <w:r>
                        <w:rPr>
                          <w:rFonts w:ascii="Segoe UI" w:hAnsi="Segoe UI" w:cs="Segoe UI"/>
                          <w:b/>
                          <w:bCs/>
                          <w:color w:val="000091" w:themeColor="text1"/>
                          <w:sz w:val="32"/>
                          <w:szCs w:val="20"/>
                        </w:rPr>
                        <w:t>OMAN</w:t>
                      </w:r>
                    </w:p>
                  </w:txbxContent>
                </v:textbox>
              </v:rect>
            </w:pict>
          </mc:Fallback>
        </mc:AlternateContent>
      </w:r>
      <w:r w:rsidR="00F53292" w:rsidRPr="00490B3C">
        <w:rPr>
          <w:rFonts w:ascii="Segoe UI" w:hAnsi="Segoe UI" w:cs="Segoe UI"/>
          <w:noProof/>
          <w:color w:val="000091" w:themeColor="text1"/>
        </w:rPr>
        <mc:AlternateContent>
          <mc:Choice Requires="wps">
            <w:drawing>
              <wp:anchor distT="0" distB="0" distL="114300" distR="114300" simplePos="0" relativeHeight="251657215" behindDoc="0" locked="0" layoutInCell="1" allowOverlap="1" wp14:anchorId="71112931" wp14:editId="31C119A8">
                <wp:simplePos x="0" y="0"/>
                <wp:positionH relativeFrom="column">
                  <wp:posOffset>-546100</wp:posOffset>
                </wp:positionH>
                <wp:positionV relativeFrom="paragraph">
                  <wp:posOffset>1018540</wp:posOffset>
                </wp:positionV>
                <wp:extent cx="6800850" cy="476250"/>
                <wp:effectExtent l="0" t="0" r="0" b="0"/>
                <wp:wrapTopAndBottom/>
                <wp:docPr id="2" name="Rectangle 2"/>
                <wp:cNvGraphicFramePr/>
                <a:graphic xmlns:a="http://schemas.openxmlformats.org/drawingml/2006/main">
                  <a:graphicData uri="http://schemas.microsoft.com/office/word/2010/wordprocessingShape">
                    <wps:wsp>
                      <wps:cNvSpPr/>
                      <wps:spPr>
                        <a:xfrm>
                          <a:off x="0" y="0"/>
                          <a:ext cx="6800850" cy="476250"/>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65B737" w14:textId="5B868EC8"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France </w:t>
                            </w:r>
                            <w:r w:rsidR="006D220A">
                              <w:rPr>
                                <w:rFonts w:ascii="Segoe UI" w:hAnsi="Segoe UI" w:cs="Segoe UI"/>
                                <w:bCs/>
                                <w:color w:val="000091" w:themeColor="text1"/>
                                <w:sz w:val="18"/>
                                <w:szCs w:val="18"/>
                                <w:lang w:eastAsia="ja-JP"/>
                              </w:rPr>
                              <w:t>au Sultanat d’Oman</w:t>
                            </w:r>
                          </w:p>
                          <w:p w14:paraId="3D62CBBB" w14:textId="53D0760A"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Service économique</w:t>
                            </w:r>
                            <w:r w:rsidR="006D220A">
                              <w:rPr>
                                <w:rFonts w:ascii="Segoe UI" w:hAnsi="Segoe UI" w:cs="Segoe UI"/>
                                <w:bCs/>
                                <w:color w:val="000091" w:themeColor="text1"/>
                                <w:sz w:val="18"/>
                                <w:szCs w:val="18"/>
                                <w:lang w:eastAsia="ja-JP"/>
                              </w:rPr>
                              <w:t xml:space="preserve"> de Mascate</w:t>
                            </w:r>
                            <w:r w:rsidR="008A3AD5" w:rsidRPr="00532CE3">
                              <w:rPr>
                                <w:rFonts w:ascii="Arial" w:hAnsi="Arial" w:cs="Arial"/>
                                <w:bCs/>
                              </w:rPr>
                              <w:tab/>
                            </w:r>
                            <w:r w:rsidR="008A3AD5" w:rsidRPr="00A0743B">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112931" id="Rectangle 2" o:spid="_x0000_s1028" style="position:absolute;left:0;text-align:left;margin-left:-43pt;margin-top:80.2pt;width:535.5pt;height:37.5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" fillcolor="#fde8b0 [1301]" stroked="f" strokeweight="1pt">
                <v:textbox>
                  <w:txbxContent>
                    <w:p w14:paraId="7465B737" w14:textId="5B868EC8" w:rsidR="00490B3C" w:rsidRPr="00532CE3" w:rsidRDefault="00490B3C" w:rsidP="00490B3C">
                      <w:pPr>
                        <w:tabs>
                          <w:tab w:val="left" w:pos="3969"/>
                        </w:tabs>
                        <w:spacing w:after="0"/>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France </w:t>
                      </w:r>
                      <w:r w:rsidR="006D220A">
                        <w:rPr>
                          <w:rFonts w:ascii="Segoe UI" w:hAnsi="Segoe UI" w:cs="Segoe UI"/>
                          <w:bCs/>
                          <w:color w:val="000091" w:themeColor="text1"/>
                          <w:sz w:val="18"/>
                          <w:szCs w:val="18"/>
                          <w:lang w:eastAsia="ja-JP"/>
                        </w:rPr>
                        <w:t>au Sultanat d’Oman</w:t>
                      </w:r>
                    </w:p>
                    <w:p w14:paraId="3D62CBBB" w14:textId="53D0760A" w:rsidR="008A3AD5" w:rsidRPr="00A0743B" w:rsidRDefault="00490B3C" w:rsidP="00490B3C">
                      <w:pPr>
                        <w:spacing w:after="0"/>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Service économique</w:t>
                      </w:r>
                      <w:r w:rsidR="006D220A">
                        <w:rPr>
                          <w:rFonts w:ascii="Segoe UI" w:hAnsi="Segoe UI" w:cs="Segoe UI"/>
                          <w:bCs/>
                          <w:color w:val="000091" w:themeColor="text1"/>
                          <w:sz w:val="18"/>
                          <w:szCs w:val="18"/>
                          <w:lang w:eastAsia="ja-JP"/>
                        </w:rPr>
                        <w:t xml:space="preserve"> de Mascate</w:t>
                      </w:r>
                      <w:r w:rsidR="008A3AD5" w:rsidRPr="00532CE3">
                        <w:rPr>
                          <w:rFonts w:ascii="Arial" w:hAnsi="Arial" w:cs="Arial"/>
                          <w:bCs/>
                        </w:rPr>
                        <w:tab/>
                      </w:r>
                      <w:r w:rsidR="008A3AD5" w:rsidRPr="00A0743B">
                        <w:rPr>
                          <w:rFonts w:ascii="Arial" w:hAnsi="Arial" w:cs="Arial"/>
                          <w:b/>
                          <w:bCs/>
                          <w:sz w:val="20"/>
                          <w:szCs w:val="20"/>
                        </w:rPr>
                        <w:t xml:space="preserve"> </w:t>
                      </w:r>
                    </w:p>
                  </w:txbxContent>
                </v:textbox>
                <w10:wrap type="topAndBottom"/>
              </v:rect>
            </w:pict>
          </mc:Fallback>
        </mc:AlternateContent>
      </w:r>
      <w:r w:rsidR="00FD7798" w:rsidRPr="00490B3C">
        <w:rPr>
          <w:rFonts w:ascii="Segoe UI" w:hAnsi="Segoe UI" w:cs="Segoe UI"/>
          <w:noProof/>
          <w:color w:val="000091" w:themeColor="text1"/>
        </w:rPr>
        <mc:AlternateContent>
          <mc:Choice Requires="wps">
            <w:drawing>
              <wp:anchor distT="0" distB="0" distL="114300" distR="114300" simplePos="0" relativeHeight="251659264" behindDoc="0" locked="0" layoutInCell="1" allowOverlap="1" wp14:anchorId="585DE714" wp14:editId="4BE5B3E9">
                <wp:simplePos x="0" y="0"/>
                <wp:positionH relativeFrom="margin">
                  <wp:posOffset>3691255</wp:posOffset>
                </wp:positionH>
                <wp:positionV relativeFrom="paragraph">
                  <wp:posOffset>986774</wp:posOffset>
                </wp:positionV>
                <wp:extent cx="2508250" cy="40005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508250" cy="400050"/>
                        </a:xfrm>
                        <a:prstGeom prst="rect">
                          <a:avLst/>
                        </a:prstGeom>
                        <a:noFill/>
                        <a:ln w="6350">
                          <a:noFill/>
                        </a:ln>
                      </wps:spPr>
                      <wps:txbx>
                        <w:txbxContent>
                          <w:p w14:paraId="3507FCF3" w14:textId="77777777" w:rsidR="00474F00" w:rsidRPr="00A7004D" w:rsidRDefault="00474F00" w:rsidP="00474F00">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 </w:t>
                            </w:r>
                            <w:r>
                              <w:rPr>
                                <w:rFonts w:ascii="Segoe UI" w:hAnsi="Segoe UI" w:cs="Segoe UI"/>
                                <w:color w:val="000091" w:themeColor="text1"/>
                                <w:sz w:val="17"/>
                                <w:szCs w:val="17"/>
                                <w:lang w:eastAsia="ja-JP"/>
                              </w:rPr>
                              <w:t>R. Al Keilani</w:t>
                            </w:r>
                          </w:p>
                          <w:p w14:paraId="0E7FCF98" w14:textId="0DD5E460" w:rsidR="00474F00" w:rsidRPr="00A7004D" w:rsidRDefault="00474F00" w:rsidP="00474F00">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Visa :</w:t>
                            </w:r>
                            <w:r>
                              <w:rPr>
                                <w:rFonts w:ascii="Segoe UI" w:hAnsi="Segoe UI" w:cs="Segoe UI"/>
                                <w:color w:val="000091" w:themeColor="text1"/>
                                <w:sz w:val="17"/>
                                <w:szCs w:val="17"/>
                                <w:lang w:eastAsia="ja-JP"/>
                              </w:rPr>
                              <w:t xml:space="preserve"> A. Bouilloux-Lafont </w:t>
                            </w:r>
                            <w:r w:rsidRPr="00A7004D">
                              <w:rPr>
                                <w:rFonts w:ascii="Segoe UI" w:hAnsi="Segoe UI" w:cs="Segoe UI"/>
                                <w:color w:val="000091" w:themeColor="text1"/>
                                <w:sz w:val="17"/>
                                <w:szCs w:val="17"/>
                                <w:lang w:eastAsia="ja-JP"/>
                              </w:rPr>
                              <w:t xml:space="preserve"> </w:t>
                            </w: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DE714" id="Zone de texte 3" o:spid="_x0000_s1029" type="#_x0000_t202" style="position:absolute;left:0;text-align:left;margin-left:290.65pt;margin-top:77.7pt;width:197.5pt;height:3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" filled="f" stroked="f" strokeweight=".5pt">
                <v:textbox>
                  <w:txbxContent>
                    <w:p w14:paraId="3507FCF3" w14:textId="77777777" w:rsidR="00474F00" w:rsidRPr="00A7004D" w:rsidRDefault="00474F00" w:rsidP="00474F00">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 </w:t>
                      </w:r>
                      <w:r>
                        <w:rPr>
                          <w:rFonts w:ascii="Segoe UI" w:hAnsi="Segoe UI" w:cs="Segoe UI"/>
                          <w:color w:val="000091" w:themeColor="text1"/>
                          <w:sz w:val="17"/>
                          <w:szCs w:val="17"/>
                          <w:lang w:eastAsia="ja-JP"/>
                        </w:rPr>
                        <w:t>R. Al Keilani</w:t>
                      </w:r>
                    </w:p>
                    <w:p w14:paraId="0E7FCF98" w14:textId="0DD5E460" w:rsidR="00474F00" w:rsidRPr="00A7004D" w:rsidRDefault="00474F00" w:rsidP="00474F00">
                      <w:pPr>
                        <w:tabs>
                          <w:tab w:val="left" w:pos="3969"/>
                        </w:tabs>
                        <w:spacing w:after="0"/>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Visa :</w:t>
                      </w:r>
                      <w:r>
                        <w:rPr>
                          <w:rFonts w:ascii="Segoe UI" w:hAnsi="Segoe UI" w:cs="Segoe UI"/>
                          <w:color w:val="000091" w:themeColor="text1"/>
                          <w:sz w:val="17"/>
                          <w:szCs w:val="17"/>
                          <w:lang w:eastAsia="ja-JP"/>
                        </w:rPr>
                        <w:t xml:space="preserve"> A. Bouilloux-Lafont </w:t>
                      </w:r>
                      <w:r w:rsidRPr="00A7004D">
                        <w:rPr>
                          <w:rFonts w:ascii="Segoe UI" w:hAnsi="Segoe UI" w:cs="Segoe UI"/>
                          <w:color w:val="000091" w:themeColor="text1"/>
                          <w:sz w:val="17"/>
                          <w:szCs w:val="17"/>
                          <w:lang w:eastAsia="ja-JP"/>
                        </w:rPr>
                        <w:t xml:space="preserve"> </w:t>
                      </w:r>
                    </w:p>
                    <w:p w14:paraId="067872AE" w14:textId="7EEE9B92" w:rsidR="008A3AD5" w:rsidRPr="00A0743B" w:rsidRDefault="008A3AD5" w:rsidP="00490B3C">
                      <w:pPr>
                        <w:spacing w:after="0"/>
                        <w:ind w:left="142" w:right="-88"/>
                        <w:jc w:val="right"/>
                        <w:rPr>
                          <w:rFonts w:ascii="Arial" w:hAnsi="Arial" w:cs="Arial"/>
                          <w:color w:val="000091" w:themeColor="text1"/>
                          <w:sz w:val="18"/>
                          <w:szCs w:val="18"/>
                        </w:rPr>
                      </w:pPr>
                    </w:p>
                  </w:txbxContent>
                </v:textbox>
                <w10:wrap anchorx="margin"/>
              </v:shape>
            </w:pict>
          </mc:Fallback>
        </mc:AlternateContent>
      </w:r>
      <w:r w:rsidR="00FD7798" w:rsidRPr="00490B3C">
        <w:rPr>
          <w:rFonts w:ascii="Segoe UI" w:hAnsi="Segoe UI" w:cs="Segoe UI"/>
          <w:noProof/>
          <w:color w:val="000091" w:themeColor="text1"/>
        </w:rPr>
        <mc:AlternateContent>
          <mc:Choice Requires="wps">
            <w:drawing>
              <wp:anchor distT="45720" distB="45720" distL="114300" distR="114300" simplePos="0" relativeHeight="251661312" behindDoc="0" locked="0" layoutInCell="1" allowOverlap="1" wp14:anchorId="5987A5E4" wp14:editId="535ACBBD">
                <wp:simplePos x="0" y="0"/>
                <wp:positionH relativeFrom="margin">
                  <wp:posOffset>3844290</wp:posOffset>
                </wp:positionH>
                <wp:positionV relativeFrom="paragraph">
                  <wp:posOffset>605155</wp:posOffset>
                </wp:positionV>
                <wp:extent cx="2524125" cy="35242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52425"/>
                        </a:xfrm>
                        <a:prstGeom prst="rect">
                          <a:avLst/>
                        </a:prstGeom>
                        <a:noFill/>
                        <a:ln w="9525">
                          <a:noFill/>
                          <a:miter lim="800000"/>
                          <a:headEnd/>
                          <a:tailEnd/>
                        </a:ln>
                      </wps:spPr>
                      <wps:txbx>
                        <w:txbxContent>
                          <w:p w14:paraId="44111769" w14:textId="0E2B3858" w:rsidR="00490B3C" w:rsidRPr="00532CE3" w:rsidRDefault="00834DEB"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0</w:t>
                            </w:r>
                            <w:r w:rsidR="00474F00">
                              <w:rPr>
                                <w:rFonts w:ascii="Segoe UI" w:hAnsi="Segoe UI" w:cs="Segoe UI"/>
                                <w:color w:val="986E02" w:themeColor="accent2" w:themeShade="80"/>
                                <w:sz w:val="17"/>
                                <w:szCs w:val="17"/>
                                <w:lang w:eastAsia="ja-JP"/>
                              </w:rPr>
                              <w:t>8</w:t>
                            </w:r>
                            <w:r w:rsidR="006D220A">
                              <w:rPr>
                                <w:rFonts w:ascii="Segoe UI" w:hAnsi="Segoe UI" w:cs="Segoe UI"/>
                                <w:color w:val="986E02" w:themeColor="accent2" w:themeShade="80"/>
                                <w:sz w:val="17"/>
                                <w:szCs w:val="17"/>
                                <w:lang w:eastAsia="ja-JP"/>
                              </w:rPr>
                              <w:t>/</w:t>
                            </w:r>
                            <w:r>
                              <w:rPr>
                                <w:rFonts w:ascii="Segoe UI" w:hAnsi="Segoe UI" w:cs="Segoe UI"/>
                                <w:color w:val="986E02" w:themeColor="accent2" w:themeShade="80"/>
                                <w:sz w:val="17"/>
                                <w:szCs w:val="17"/>
                                <w:lang w:eastAsia="ja-JP"/>
                              </w:rPr>
                              <w:t>06</w:t>
                            </w:r>
                            <w:r w:rsidR="006D220A">
                              <w:rPr>
                                <w:rFonts w:ascii="Segoe UI" w:hAnsi="Segoe UI" w:cs="Segoe UI"/>
                                <w:color w:val="986E02" w:themeColor="accent2" w:themeShade="80"/>
                                <w:sz w:val="17"/>
                                <w:szCs w:val="17"/>
                                <w:lang w:eastAsia="ja-JP"/>
                              </w:rPr>
                              <w:t>/202</w:t>
                            </w:r>
                            <w:r>
                              <w:rPr>
                                <w:rFonts w:ascii="Segoe UI" w:hAnsi="Segoe UI" w:cs="Segoe UI"/>
                                <w:color w:val="986E02" w:themeColor="accent2" w:themeShade="80"/>
                                <w:sz w:val="17"/>
                                <w:szCs w:val="17"/>
                                <w:lang w:eastAsia="ja-JP"/>
                              </w:rPr>
                              <w:t>6</w:t>
                            </w:r>
                          </w:p>
                          <w:p w14:paraId="36A3B918" w14:textId="266F4991" w:rsidR="00490B3C" w:rsidRPr="00490B3C" w:rsidRDefault="00490B3C">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7A5E4" id="_x0000_s1030" type="#_x0000_t202" style="position:absolute;left:0;text-align:left;margin-left:302.7pt;margin-top:47.65pt;width:198.75pt;height:27.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" filled="f" stroked="f">
                <v:textbox>
                  <w:txbxContent>
                    <w:p w14:paraId="44111769" w14:textId="0E2B3858" w:rsidR="00490B3C" w:rsidRPr="00532CE3" w:rsidRDefault="00834DEB"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0</w:t>
                      </w:r>
                      <w:r w:rsidR="00474F00">
                        <w:rPr>
                          <w:rFonts w:ascii="Segoe UI" w:hAnsi="Segoe UI" w:cs="Segoe UI"/>
                          <w:color w:val="986E02" w:themeColor="accent2" w:themeShade="80"/>
                          <w:sz w:val="17"/>
                          <w:szCs w:val="17"/>
                          <w:lang w:eastAsia="ja-JP"/>
                        </w:rPr>
                        <w:t>8</w:t>
                      </w:r>
                      <w:r w:rsidR="006D220A">
                        <w:rPr>
                          <w:rFonts w:ascii="Segoe UI" w:hAnsi="Segoe UI" w:cs="Segoe UI"/>
                          <w:color w:val="986E02" w:themeColor="accent2" w:themeShade="80"/>
                          <w:sz w:val="17"/>
                          <w:szCs w:val="17"/>
                          <w:lang w:eastAsia="ja-JP"/>
                        </w:rPr>
                        <w:t>/</w:t>
                      </w:r>
                      <w:r>
                        <w:rPr>
                          <w:rFonts w:ascii="Segoe UI" w:hAnsi="Segoe UI" w:cs="Segoe UI"/>
                          <w:color w:val="986E02" w:themeColor="accent2" w:themeShade="80"/>
                          <w:sz w:val="17"/>
                          <w:szCs w:val="17"/>
                          <w:lang w:eastAsia="ja-JP"/>
                        </w:rPr>
                        <w:t>06</w:t>
                      </w:r>
                      <w:r w:rsidR="006D220A">
                        <w:rPr>
                          <w:rFonts w:ascii="Segoe UI" w:hAnsi="Segoe UI" w:cs="Segoe UI"/>
                          <w:color w:val="986E02" w:themeColor="accent2" w:themeShade="80"/>
                          <w:sz w:val="17"/>
                          <w:szCs w:val="17"/>
                          <w:lang w:eastAsia="ja-JP"/>
                        </w:rPr>
                        <w:t>/202</w:t>
                      </w:r>
                      <w:r>
                        <w:rPr>
                          <w:rFonts w:ascii="Segoe UI" w:hAnsi="Segoe UI" w:cs="Segoe UI"/>
                          <w:color w:val="986E02" w:themeColor="accent2" w:themeShade="80"/>
                          <w:sz w:val="17"/>
                          <w:szCs w:val="17"/>
                          <w:lang w:eastAsia="ja-JP"/>
                        </w:rPr>
                        <w:t>6</w:t>
                      </w:r>
                    </w:p>
                    <w:p w14:paraId="36A3B918" w14:textId="266F4991" w:rsidR="00490B3C" w:rsidRPr="00490B3C" w:rsidRDefault="00490B3C">
                      <w:pPr>
                        <w:rPr>
                          <w:sz w:val="28"/>
                          <w:szCs w:val="28"/>
                        </w:rPr>
                      </w:pPr>
                    </w:p>
                  </w:txbxContent>
                </v:textbox>
                <w10:wrap type="square" anchorx="margin"/>
              </v:shape>
            </w:pict>
          </mc:Fallback>
        </mc:AlternateContent>
      </w:r>
      <w:r w:rsidR="00490B3C" w:rsidRPr="00490B3C">
        <w:rPr>
          <w:rFonts w:ascii="Segoe UI" w:hAnsi="Segoe UI" w:cs="Segoe UI"/>
          <w:color w:val="000091" w:themeColor="text1"/>
          <w:sz w:val="44"/>
          <w:szCs w:val="28"/>
        </w:rPr>
        <w:br/>
      </w:r>
    </w:p>
    <w:p w14:paraId="5AC5C93C" w14:textId="1EC17572" w:rsidR="00683BE3" w:rsidRDefault="00683BE3" w:rsidP="006D220A">
      <w:pPr>
        <w:spacing w:before="80" w:after="80"/>
        <w:ind w:right="1"/>
        <w:jc w:val="center"/>
        <w:rPr>
          <w:rFonts w:ascii="Segoe UI" w:hAnsi="Segoe UI" w:cs="Segoe UI"/>
          <w:color w:val="000091" w:themeColor="text1"/>
          <w:sz w:val="32"/>
          <w:szCs w:val="20"/>
          <w:lang w:eastAsia="fr-FR"/>
        </w:rPr>
      </w:pPr>
    </w:p>
    <w:p w14:paraId="69A09471" w14:textId="63B96788" w:rsidR="006D220A" w:rsidRDefault="006D220A" w:rsidP="006D220A">
      <w:pPr>
        <w:spacing w:before="80" w:after="80"/>
        <w:ind w:right="1"/>
        <w:jc w:val="center"/>
        <w:rPr>
          <w:rFonts w:ascii="Segoe UI" w:hAnsi="Segoe UI" w:cs="Segoe UI"/>
          <w:color w:val="000091" w:themeColor="text1"/>
          <w:sz w:val="32"/>
          <w:szCs w:val="20"/>
          <w:lang w:eastAsia="fr-FR"/>
        </w:rPr>
      </w:pPr>
      <w:r>
        <w:rPr>
          <w:rFonts w:ascii="Segoe UI" w:hAnsi="Segoe UI" w:cs="Segoe UI"/>
          <w:color w:val="000091" w:themeColor="text1"/>
          <w:sz w:val="32"/>
          <w:szCs w:val="20"/>
          <w:lang w:eastAsia="fr-FR"/>
        </w:rPr>
        <w:t>Situation économique et financière</w:t>
      </w:r>
    </w:p>
    <w:p w14:paraId="5374D058" w14:textId="362FC62B" w:rsidR="007209E2" w:rsidRPr="00D66CC8" w:rsidRDefault="00A52FBE" w:rsidP="006058D9">
      <w:pPr>
        <w:pStyle w:val="Paragraphedeliste"/>
        <w:numPr>
          <w:ilvl w:val="0"/>
          <w:numId w:val="18"/>
        </w:numPr>
        <w:spacing w:after="0"/>
        <w:ind w:right="-567"/>
        <w:rPr>
          <w:rFonts w:ascii="Segoe UI" w:hAnsi="Segoe UI" w:cs="Segoe UI"/>
          <w:color w:val="000091" w:themeColor="text1"/>
          <w:sz w:val="32"/>
          <w:szCs w:val="20"/>
          <w:lang w:eastAsia="fr-FR"/>
        </w:rPr>
      </w:pPr>
      <w:r>
        <w:rPr>
          <w:rFonts w:ascii="Segoe UI" w:hAnsi="Segoe UI" w:cs="Segoe UI"/>
          <w:b/>
          <w:color w:val="000091" w:themeColor="text1"/>
          <w:szCs w:val="20"/>
        </w:rPr>
        <w:t>Une croissance solide,</w:t>
      </w:r>
      <w:r w:rsidR="006058D9" w:rsidRPr="006058D9">
        <w:rPr>
          <w:rFonts w:ascii="Segoe UI" w:hAnsi="Segoe UI" w:cs="Segoe UI"/>
          <w:b/>
          <w:color w:val="000091" w:themeColor="text1"/>
          <w:szCs w:val="20"/>
        </w:rPr>
        <w:t xml:space="preserve"> dont la diversification reste le défi central</w:t>
      </w:r>
    </w:p>
    <w:p w14:paraId="467BC5D2" w14:textId="14F2B0E3" w:rsidR="0077249E" w:rsidRDefault="0077249E" w:rsidP="001F7AA3">
      <w:pPr>
        <w:spacing w:after="0"/>
        <w:ind w:left="-794" w:right="-567"/>
        <w:jc w:val="both"/>
        <w:rPr>
          <w:rFonts w:ascii="Segoe UI" w:hAnsi="Segoe UI" w:cs="Segoe UI"/>
          <w:spacing w:val="-4"/>
          <w:sz w:val="20"/>
          <w:szCs w:val="20"/>
        </w:rPr>
      </w:pPr>
      <w:r w:rsidRPr="00950680">
        <w:rPr>
          <w:rFonts w:ascii="Segoe UI" w:hAnsi="Segoe UI" w:cs="Segoe UI"/>
          <w:b/>
          <w:bCs/>
          <w:iCs/>
          <w:spacing w:val="-4"/>
          <w:sz w:val="20"/>
          <w:szCs w:val="20"/>
        </w:rPr>
        <w:t>Avec</w:t>
      </w:r>
      <w:r w:rsidRPr="00950680">
        <w:rPr>
          <w:rFonts w:ascii="Segoe UI" w:hAnsi="Segoe UI" w:cs="Segoe UI"/>
          <w:b/>
          <w:bCs/>
          <w:spacing w:val="-4"/>
          <w:sz w:val="20"/>
          <w:szCs w:val="20"/>
        </w:rPr>
        <w:t xml:space="preserve"> un PIB </w:t>
      </w:r>
      <w:r w:rsidR="009D4122">
        <w:rPr>
          <w:rFonts w:ascii="Segoe UI" w:hAnsi="Segoe UI" w:cs="Segoe UI"/>
          <w:b/>
          <w:bCs/>
          <w:spacing w:val="-4"/>
          <w:sz w:val="20"/>
          <w:szCs w:val="20"/>
        </w:rPr>
        <w:t xml:space="preserve">nominal </w:t>
      </w:r>
      <w:r w:rsidRPr="00950680">
        <w:rPr>
          <w:rFonts w:ascii="Segoe UI" w:hAnsi="Segoe UI" w:cs="Segoe UI"/>
          <w:b/>
          <w:bCs/>
          <w:spacing w:val="-4"/>
          <w:sz w:val="20"/>
          <w:szCs w:val="20"/>
        </w:rPr>
        <w:t>d</w:t>
      </w:r>
      <w:r w:rsidR="009D4122">
        <w:rPr>
          <w:rFonts w:ascii="Segoe UI" w:hAnsi="Segoe UI" w:cs="Segoe UI"/>
          <w:b/>
          <w:bCs/>
          <w:spacing w:val="-4"/>
          <w:sz w:val="20"/>
          <w:szCs w:val="20"/>
        </w:rPr>
        <w:t>e</w:t>
      </w:r>
      <w:r w:rsidRPr="00950680">
        <w:rPr>
          <w:rFonts w:ascii="Segoe UI" w:hAnsi="Segoe UI" w:cs="Segoe UI"/>
          <w:b/>
          <w:bCs/>
          <w:spacing w:val="-4"/>
          <w:sz w:val="20"/>
          <w:szCs w:val="20"/>
        </w:rPr>
        <w:t xml:space="preserve"> 10</w:t>
      </w:r>
      <w:r w:rsidR="009D4122">
        <w:rPr>
          <w:rFonts w:ascii="Segoe UI" w:hAnsi="Segoe UI" w:cs="Segoe UI"/>
          <w:b/>
          <w:bCs/>
          <w:spacing w:val="-4"/>
          <w:sz w:val="20"/>
          <w:szCs w:val="20"/>
        </w:rPr>
        <w:t xml:space="preserve">9,5 Mds </w:t>
      </w:r>
      <w:r w:rsidRPr="00950680">
        <w:rPr>
          <w:rFonts w:ascii="Segoe UI" w:hAnsi="Segoe UI" w:cs="Segoe UI"/>
          <w:b/>
          <w:bCs/>
          <w:spacing w:val="-4"/>
          <w:sz w:val="20"/>
          <w:szCs w:val="20"/>
        </w:rPr>
        <w:t xml:space="preserve">USD en </w:t>
      </w:r>
      <w:r w:rsidR="009D4122">
        <w:rPr>
          <w:rFonts w:ascii="Segoe UI" w:hAnsi="Segoe UI" w:cs="Segoe UI"/>
          <w:b/>
          <w:bCs/>
          <w:spacing w:val="-4"/>
          <w:sz w:val="20"/>
          <w:szCs w:val="20"/>
        </w:rPr>
        <w:t xml:space="preserve">2025 </w:t>
      </w:r>
      <w:r w:rsidRPr="00950680">
        <w:rPr>
          <w:rFonts w:ascii="Segoe UI" w:hAnsi="Segoe UI" w:cs="Segoe UI"/>
          <w:b/>
          <w:bCs/>
          <w:spacing w:val="-4"/>
          <w:sz w:val="20"/>
          <w:szCs w:val="20"/>
        </w:rPr>
        <w:t>et une population de 5,</w:t>
      </w:r>
      <w:r w:rsidR="00200E08" w:rsidRPr="00950680">
        <w:rPr>
          <w:rFonts w:ascii="Segoe UI" w:hAnsi="Segoe UI" w:cs="Segoe UI"/>
          <w:b/>
          <w:bCs/>
          <w:spacing w:val="-4"/>
          <w:sz w:val="20"/>
          <w:szCs w:val="20"/>
        </w:rPr>
        <w:t>3</w:t>
      </w:r>
      <w:r w:rsidRPr="00950680">
        <w:rPr>
          <w:rFonts w:ascii="Segoe UI" w:hAnsi="Segoe UI" w:cs="Segoe UI"/>
          <w:b/>
          <w:bCs/>
          <w:spacing w:val="-4"/>
          <w:sz w:val="20"/>
          <w:szCs w:val="20"/>
        </w:rPr>
        <w:t xml:space="preserve"> M d’habitants, dont 43% d’expatriés principalement originaires du sous-continent indien, le Sultanat d’Oman fait partie des « pays à revenus élevés » selon la </w:t>
      </w:r>
      <w:r w:rsidRPr="00950680">
        <w:rPr>
          <w:rFonts w:ascii="Segoe UI" w:hAnsi="Segoe UI" w:cs="Segoe UI"/>
          <w:b/>
          <w:bCs/>
          <w:i/>
          <w:spacing w:val="-4"/>
          <w:sz w:val="20"/>
          <w:szCs w:val="20"/>
        </w:rPr>
        <w:t>Banque mondiale</w:t>
      </w:r>
      <w:r w:rsidRPr="00950680">
        <w:rPr>
          <w:rFonts w:ascii="Segoe UI" w:hAnsi="Segoe UI" w:cs="Segoe UI"/>
          <w:b/>
          <w:bCs/>
          <w:spacing w:val="-4"/>
          <w:sz w:val="20"/>
          <w:szCs w:val="20"/>
        </w:rPr>
        <w:t xml:space="preserve"> (PIB par habitant d</w:t>
      </w:r>
      <w:r w:rsidR="003A7035">
        <w:rPr>
          <w:rFonts w:ascii="Segoe UI" w:hAnsi="Segoe UI" w:cs="Segoe UI"/>
          <w:b/>
          <w:bCs/>
          <w:spacing w:val="-4"/>
          <w:sz w:val="20"/>
          <w:szCs w:val="20"/>
        </w:rPr>
        <w:t>e</w:t>
      </w:r>
      <w:r w:rsidRPr="00950680">
        <w:rPr>
          <w:rFonts w:ascii="Segoe UI" w:hAnsi="Segoe UI" w:cs="Segoe UI"/>
          <w:b/>
          <w:bCs/>
          <w:spacing w:val="-4"/>
          <w:sz w:val="20"/>
          <w:szCs w:val="20"/>
        </w:rPr>
        <w:t xml:space="preserve"> 20 </w:t>
      </w:r>
      <w:r w:rsidR="003A7035">
        <w:rPr>
          <w:rFonts w:ascii="Segoe UI" w:hAnsi="Segoe UI" w:cs="Segoe UI"/>
          <w:b/>
          <w:bCs/>
          <w:spacing w:val="-4"/>
          <w:sz w:val="20"/>
          <w:szCs w:val="20"/>
        </w:rPr>
        <w:t xml:space="preserve">660 </w:t>
      </w:r>
      <w:r w:rsidRPr="00950680">
        <w:rPr>
          <w:rFonts w:ascii="Segoe UI" w:hAnsi="Segoe UI" w:cs="Segoe UI"/>
          <w:b/>
          <w:bCs/>
          <w:spacing w:val="-4"/>
          <w:sz w:val="20"/>
          <w:szCs w:val="20"/>
        </w:rPr>
        <w:t>USD</w:t>
      </w:r>
      <w:r w:rsidR="00FC59D2" w:rsidRPr="00950680">
        <w:rPr>
          <w:rFonts w:ascii="Segoe UI" w:hAnsi="Segoe UI" w:cs="Segoe UI"/>
          <w:b/>
          <w:bCs/>
          <w:spacing w:val="-4"/>
          <w:sz w:val="20"/>
          <w:szCs w:val="20"/>
        </w:rPr>
        <w:t>, le plus bas du CCEAG</w:t>
      </w:r>
      <w:r w:rsidRPr="00950680">
        <w:rPr>
          <w:rFonts w:ascii="Segoe UI" w:hAnsi="Segoe UI" w:cs="Segoe UI"/>
          <w:b/>
          <w:bCs/>
          <w:spacing w:val="-4"/>
          <w:sz w:val="20"/>
          <w:szCs w:val="20"/>
        </w:rPr>
        <w:t>).</w:t>
      </w:r>
      <w:r w:rsidRPr="00FC7346">
        <w:rPr>
          <w:rFonts w:ascii="Segoe UI" w:hAnsi="Segoe UI" w:cs="Segoe UI"/>
          <w:spacing w:val="-4"/>
          <w:sz w:val="20"/>
          <w:szCs w:val="20"/>
        </w:rPr>
        <w:t xml:space="preserve"> </w:t>
      </w:r>
      <w:r w:rsidRPr="00FC7346">
        <w:rPr>
          <w:rFonts w:ascii="Segoe UI" w:hAnsi="Segoe UI" w:cs="Segoe UI"/>
          <w:bCs/>
          <w:spacing w:val="-4"/>
          <w:sz w:val="20"/>
          <w:szCs w:val="20"/>
        </w:rPr>
        <w:t>Le développement de l’économie omanais</w:t>
      </w:r>
      <w:r w:rsidR="003D1EBA">
        <w:rPr>
          <w:rFonts w:ascii="Segoe UI" w:hAnsi="Segoe UI" w:cs="Segoe UI"/>
          <w:bCs/>
          <w:spacing w:val="-4"/>
          <w:sz w:val="20"/>
          <w:szCs w:val="20"/>
        </w:rPr>
        <w:t>e</w:t>
      </w:r>
      <w:r w:rsidRPr="00FC7346">
        <w:rPr>
          <w:rFonts w:ascii="Segoe UI" w:hAnsi="Segoe UI" w:cs="Segoe UI"/>
          <w:bCs/>
          <w:spacing w:val="-4"/>
          <w:sz w:val="20"/>
          <w:szCs w:val="20"/>
        </w:rPr>
        <w:t xml:space="preserve"> a reposé à l’origine presque</w:t>
      </w:r>
      <w:r w:rsidRPr="00FA3E79">
        <w:rPr>
          <w:rFonts w:ascii="Segoe UI" w:hAnsi="Segoe UI" w:cs="Segoe UI"/>
          <w:bCs/>
          <w:spacing w:val="-4"/>
          <w:sz w:val="20"/>
          <w:szCs w:val="20"/>
        </w:rPr>
        <w:t xml:space="preserve"> intégralement sur</w:t>
      </w:r>
      <w:r w:rsidRPr="00FA3E79">
        <w:rPr>
          <w:rFonts w:ascii="Segoe UI" w:hAnsi="Segoe UI" w:cs="Segoe UI"/>
          <w:b/>
          <w:bCs/>
          <w:spacing w:val="-4"/>
          <w:sz w:val="20"/>
          <w:szCs w:val="20"/>
        </w:rPr>
        <w:t xml:space="preserve"> </w:t>
      </w:r>
      <w:r w:rsidRPr="00950680">
        <w:rPr>
          <w:rFonts w:ascii="Segoe UI" w:hAnsi="Segoe UI" w:cs="Segoe UI"/>
          <w:spacing w:val="-4"/>
          <w:sz w:val="20"/>
          <w:szCs w:val="20"/>
        </w:rPr>
        <w:t xml:space="preserve">l’exploitation des hydrocarbures </w:t>
      </w:r>
      <w:r w:rsidR="003A7035">
        <w:rPr>
          <w:rFonts w:ascii="Segoe UI" w:hAnsi="Segoe UI" w:cs="Segoe UI"/>
          <w:spacing w:val="-4"/>
          <w:sz w:val="20"/>
          <w:szCs w:val="20"/>
        </w:rPr>
        <w:t>-</w:t>
      </w:r>
      <w:r w:rsidRPr="00950680">
        <w:rPr>
          <w:rFonts w:ascii="Segoe UI" w:hAnsi="Segoe UI" w:cs="Segoe UI"/>
          <w:spacing w:val="-4"/>
          <w:sz w:val="20"/>
          <w:szCs w:val="20"/>
        </w:rPr>
        <w:t xml:space="preserve"> secteur qui reste aujourd’hui au cœur du modèle de croissance</w:t>
      </w:r>
      <w:r w:rsidRPr="00FA3E79">
        <w:rPr>
          <w:rFonts w:ascii="Segoe UI" w:hAnsi="Segoe UI" w:cs="Segoe UI"/>
          <w:b/>
          <w:bCs/>
          <w:spacing w:val="-4"/>
          <w:sz w:val="20"/>
          <w:szCs w:val="20"/>
        </w:rPr>
        <w:t>.</w:t>
      </w:r>
      <w:r w:rsidRPr="00FA3E79">
        <w:rPr>
          <w:rFonts w:ascii="Segoe UI" w:hAnsi="Segoe UI" w:cs="Segoe UI"/>
          <w:spacing w:val="-4"/>
          <w:sz w:val="20"/>
          <w:szCs w:val="20"/>
        </w:rPr>
        <w:t xml:space="preserve"> Le pétrole et le gaz représent</w:t>
      </w:r>
      <w:r w:rsidR="00834DEB">
        <w:rPr>
          <w:rFonts w:ascii="Segoe UI" w:hAnsi="Segoe UI" w:cs="Segoe UI"/>
          <w:spacing w:val="-4"/>
          <w:sz w:val="20"/>
          <w:szCs w:val="20"/>
        </w:rPr>
        <w:t>aien</w:t>
      </w:r>
      <w:r w:rsidRPr="00FA3E79">
        <w:rPr>
          <w:rFonts w:ascii="Segoe UI" w:hAnsi="Segoe UI" w:cs="Segoe UI"/>
          <w:spacing w:val="-4"/>
          <w:sz w:val="20"/>
          <w:szCs w:val="20"/>
        </w:rPr>
        <w:t xml:space="preserve">t ainsi </w:t>
      </w:r>
      <w:r w:rsidR="003D1EBA">
        <w:rPr>
          <w:rFonts w:ascii="Segoe UI" w:hAnsi="Segoe UI" w:cs="Segoe UI"/>
          <w:spacing w:val="-4"/>
          <w:sz w:val="20"/>
          <w:szCs w:val="20"/>
        </w:rPr>
        <w:t>30%</w:t>
      </w:r>
      <w:r w:rsidRPr="00FA3E79">
        <w:rPr>
          <w:rFonts w:ascii="Segoe UI" w:hAnsi="Segoe UI" w:cs="Segoe UI"/>
          <w:spacing w:val="-4"/>
          <w:sz w:val="20"/>
          <w:szCs w:val="20"/>
        </w:rPr>
        <w:t xml:space="preserve"> du PIB</w:t>
      </w:r>
      <w:r w:rsidR="003D1EBA">
        <w:rPr>
          <w:rFonts w:ascii="Segoe UI" w:hAnsi="Segoe UI" w:cs="Segoe UI"/>
          <w:spacing w:val="-4"/>
          <w:sz w:val="20"/>
          <w:szCs w:val="20"/>
        </w:rPr>
        <w:t xml:space="preserve">, 60% </w:t>
      </w:r>
      <w:r w:rsidRPr="00FA3E79">
        <w:rPr>
          <w:rFonts w:ascii="Segoe UI" w:hAnsi="Segoe UI" w:cs="Segoe UI"/>
          <w:spacing w:val="-4"/>
          <w:sz w:val="20"/>
          <w:szCs w:val="20"/>
        </w:rPr>
        <w:t xml:space="preserve">des exportations et </w:t>
      </w:r>
      <w:r w:rsidR="001F7AA3">
        <w:rPr>
          <w:rFonts w:ascii="Segoe UI" w:hAnsi="Segoe UI" w:cs="Segoe UI"/>
          <w:spacing w:val="-4"/>
          <w:sz w:val="20"/>
          <w:szCs w:val="20"/>
        </w:rPr>
        <w:t>deux tiers</w:t>
      </w:r>
      <w:r w:rsidR="003D1EBA">
        <w:rPr>
          <w:rFonts w:ascii="Segoe UI" w:hAnsi="Segoe UI" w:cs="Segoe UI"/>
          <w:spacing w:val="-4"/>
          <w:sz w:val="20"/>
          <w:szCs w:val="20"/>
        </w:rPr>
        <w:t xml:space="preserve"> </w:t>
      </w:r>
      <w:r w:rsidRPr="00FA3E79">
        <w:rPr>
          <w:rFonts w:ascii="Segoe UI" w:hAnsi="Segoe UI" w:cs="Segoe UI"/>
          <w:spacing w:val="-4"/>
          <w:sz w:val="20"/>
          <w:szCs w:val="20"/>
        </w:rPr>
        <w:t>des recettes budgétaires</w:t>
      </w:r>
      <w:r w:rsidR="003D1EBA">
        <w:rPr>
          <w:rFonts w:ascii="Segoe UI" w:hAnsi="Segoe UI" w:cs="Segoe UI"/>
          <w:spacing w:val="-4"/>
          <w:sz w:val="20"/>
          <w:szCs w:val="20"/>
        </w:rPr>
        <w:t xml:space="preserve"> à la fin de 202</w:t>
      </w:r>
      <w:r w:rsidR="003A7035">
        <w:rPr>
          <w:rFonts w:ascii="Segoe UI" w:hAnsi="Segoe UI" w:cs="Segoe UI"/>
          <w:spacing w:val="-4"/>
          <w:sz w:val="20"/>
          <w:szCs w:val="20"/>
        </w:rPr>
        <w:t>5</w:t>
      </w:r>
      <w:r w:rsidRPr="00FA3E79">
        <w:rPr>
          <w:rFonts w:ascii="Segoe UI" w:hAnsi="Segoe UI" w:cs="Segoe UI"/>
          <w:spacing w:val="-4"/>
          <w:sz w:val="20"/>
          <w:szCs w:val="20"/>
        </w:rPr>
        <w:t>. Dans le cadre de la stratégie « </w:t>
      </w:r>
      <w:r w:rsidRPr="00FA3E79">
        <w:rPr>
          <w:rFonts w:ascii="Segoe UI" w:hAnsi="Segoe UI" w:cs="Segoe UI"/>
          <w:i/>
          <w:iCs/>
          <w:spacing w:val="-4"/>
          <w:sz w:val="20"/>
          <w:szCs w:val="20"/>
        </w:rPr>
        <w:t>Oman Vision 2040</w:t>
      </w:r>
      <w:r w:rsidRPr="00FA3E79">
        <w:rPr>
          <w:rFonts w:ascii="Segoe UI" w:hAnsi="Segoe UI" w:cs="Segoe UI"/>
          <w:spacing w:val="-4"/>
          <w:sz w:val="20"/>
          <w:szCs w:val="20"/>
        </w:rPr>
        <w:t xml:space="preserve"> », les autorités omanaises ont décidé de mettre en œuvre </w:t>
      </w:r>
      <w:r w:rsidRPr="00950680">
        <w:rPr>
          <w:rFonts w:ascii="Segoe UI" w:hAnsi="Segoe UI" w:cs="Segoe UI"/>
          <w:spacing w:val="-4"/>
          <w:sz w:val="20"/>
          <w:szCs w:val="20"/>
        </w:rPr>
        <w:t>un plan de diversification</w:t>
      </w:r>
      <w:r w:rsidR="001F7AA3">
        <w:rPr>
          <w:rFonts w:ascii="Segoe UI" w:hAnsi="Segoe UI" w:cs="Segoe UI"/>
          <w:spacing w:val="-4"/>
          <w:sz w:val="20"/>
          <w:szCs w:val="20"/>
        </w:rPr>
        <w:t xml:space="preserve"> </w:t>
      </w:r>
      <w:r w:rsidRPr="00FA3E79">
        <w:rPr>
          <w:rFonts w:ascii="Segoe UI" w:hAnsi="Segoe UI" w:cs="Segoe UI"/>
          <w:spacing w:val="-4"/>
          <w:sz w:val="20"/>
          <w:szCs w:val="20"/>
        </w:rPr>
        <w:t xml:space="preserve">visant, grâce au secteur privé, à favoriser la croissance hors-pétrole (industrie manufacturière, tourisme, logistique, pêche, </w:t>
      </w:r>
      <w:r w:rsidR="00452747">
        <w:rPr>
          <w:rFonts w:ascii="Segoe UI" w:hAnsi="Segoe UI" w:cs="Segoe UI"/>
          <w:spacing w:val="-4"/>
          <w:sz w:val="20"/>
          <w:szCs w:val="20"/>
        </w:rPr>
        <w:t>minier</w:t>
      </w:r>
      <w:r w:rsidRPr="00FA3E79">
        <w:rPr>
          <w:rFonts w:ascii="Segoe UI" w:hAnsi="Segoe UI" w:cs="Segoe UI"/>
          <w:spacing w:val="-4"/>
          <w:sz w:val="20"/>
          <w:szCs w:val="20"/>
        </w:rPr>
        <w:t xml:space="preserve">) et à créer de l’emploi. </w:t>
      </w:r>
      <w:r w:rsidR="001505C7" w:rsidRPr="001F7AA3">
        <w:rPr>
          <w:rFonts w:ascii="Segoe UI" w:hAnsi="Segoe UI" w:cs="Segoe UI"/>
          <w:spacing w:val="-4"/>
          <w:sz w:val="20"/>
          <w:szCs w:val="20"/>
        </w:rPr>
        <w:t xml:space="preserve">Le 11ᵉ Plan quinquennal de développement pour la période 2026-2030 </w:t>
      </w:r>
      <w:r w:rsidR="003A7035" w:rsidRPr="001F7AA3">
        <w:rPr>
          <w:rFonts w:ascii="Segoe UI" w:hAnsi="Segoe UI" w:cs="Segoe UI"/>
          <w:spacing w:val="-4"/>
          <w:sz w:val="20"/>
          <w:szCs w:val="20"/>
        </w:rPr>
        <w:t>a été offic</w:t>
      </w:r>
      <w:r w:rsidR="004F2D85" w:rsidRPr="001F7AA3">
        <w:rPr>
          <w:rFonts w:ascii="Segoe UI" w:hAnsi="Segoe UI" w:cs="Segoe UI"/>
          <w:spacing w:val="-4"/>
          <w:sz w:val="20"/>
          <w:szCs w:val="20"/>
        </w:rPr>
        <w:t>iel</w:t>
      </w:r>
      <w:r w:rsidR="003A7035" w:rsidRPr="001F7AA3">
        <w:rPr>
          <w:rFonts w:ascii="Segoe UI" w:hAnsi="Segoe UI" w:cs="Segoe UI"/>
          <w:spacing w:val="-4"/>
          <w:sz w:val="20"/>
          <w:szCs w:val="20"/>
        </w:rPr>
        <w:t>l</w:t>
      </w:r>
      <w:r w:rsidR="004F2D85" w:rsidRPr="001F7AA3">
        <w:rPr>
          <w:rFonts w:ascii="Segoe UI" w:hAnsi="Segoe UI" w:cs="Segoe UI"/>
          <w:spacing w:val="-4"/>
          <w:sz w:val="20"/>
          <w:szCs w:val="20"/>
        </w:rPr>
        <w:t>e</w:t>
      </w:r>
      <w:r w:rsidR="003A7035" w:rsidRPr="001F7AA3">
        <w:rPr>
          <w:rFonts w:ascii="Segoe UI" w:hAnsi="Segoe UI" w:cs="Segoe UI"/>
          <w:spacing w:val="-4"/>
          <w:sz w:val="20"/>
          <w:szCs w:val="20"/>
        </w:rPr>
        <w:t xml:space="preserve">ment </w:t>
      </w:r>
      <w:r w:rsidR="004F2D85" w:rsidRPr="001F7AA3">
        <w:rPr>
          <w:rFonts w:ascii="Segoe UI" w:hAnsi="Segoe UI" w:cs="Segoe UI"/>
          <w:spacing w:val="-4"/>
          <w:sz w:val="20"/>
          <w:szCs w:val="20"/>
        </w:rPr>
        <w:t>adopté début 2026</w:t>
      </w:r>
      <w:r w:rsidR="001F7AA3">
        <w:rPr>
          <w:rFonts w:ascii="Segoe UI" w:hAnsi="Segoe UI" w:cs="Segoe UI"/>
          <w:spacing w:val="-4"/>
          <w:sz w:val="20"/>
          <w:szCs w:val="20"/>
        </w:rPr>
        <w:t xml:space="preserve">. </w:t>
      </w:r>
      <w:r w:rsidR="001F7AA3" w:rsidRPr="001F7AA3">
        <w:rPr>
          <w:rFonts w:ascii="Segoe UI" w:hAnsi="Segoe UI" w:cs="Segoe UI"/>
          <w:spacing w:val="-4"/>
          <w:sz w:val="20"/>
          <w:szCs w:val="20"/>
        </w:rPr>
        <w:t>Le plan met l’accent sur trois axes principaux : le développement des infrastructures stratégiques et des zones économiques spéciales, le soutien à l’essor du secteur privé et des industries non pétrolières, et l’optimisation de la gouvernance publique et de la gestion budgétaire.</w:t>
      </w:r>
    </w:p>
    <w:p w14:paraId="1560E24F" w14:textId="3690E9E7" w:rsidR="0077249E" w:rsidRPr="00A150BA" w:rsidRDefault="0077249E" w:rsidP="00D66CC8">
      <w:pPr>
        <w:spacing w:after="0"/>
        <w:ind w:left="-794" w:right="-567"/>
        <w:jc w:val="both"/>
        <w:rPr>
          <w:rFonts w:ascii="Segoe UI" w:hAnsi="Segoe UI" w:cs="Segoe UI"/>
          <w:spacing w:val="-4"/>
          <w:sz w:val="20"/>
          <w:szCs w:val="20"/>
        </w:rPr>
      </w:pPr>
      <w:r w:rsidRPr="00950680">
        <w:rPr>
          <w:rFonts w:ascii="Segoe UI" w:hAnsi="Segoe UI" w:cs="Segoe UI"/>
          <w:b/>
          <w:bCs/>
          <w:spacing w:val="-4"/>
          <w:sz w:val="20"/>
          <w:szCs w:val="20"/>
        </w:rPr>
        <w:t xml:space="preserve">Traditionnellement, le </w:t>
      </w:r>
      <w:r w:rsidR="003D1EBA" w:rsidRPr="00950680">
        <w:rPr>
          <w:rFonts w:ascii="Segoe UI" w:hAnsi="Segoe UI" w:cs="Segoe UI"/>
          <w:b/>
          <w:bCs/>
          <w:spacing w:val="-4"/>
          <w:sz w:val="20"/>
          <w:szCs w:val="20"/>
        </w:rPr>
        <w:t xml:space="preserve">secteur </w:t>
      </w:r>
      <w:r w:rsidRPr="00950680">
        <w:rPr>
          <w:rFonts w:ascii="Segoe UI" w:hAnsi="Segoe UI" w:cs="Segoe UI"/>
          <w:b/>
          <w:bCs/>
          <w:spacing w:val="-4"/>
          <w:sz w:val="20"/>
          <w:szCs w:val="20"/>
        </w:rPr>
        <w:t>public</w:t>
      </w:r>
      <w:r w:rsidR="003D1EBA" w:rsidRPr="00950680">
        <w:rPr>
          <w:rFonts w:ascii="Segoe UI" w:hAnsi="Segoe UI" w:cs="Segoe UI"/>
          <w:b/>
          <w:bCs/>
          <w:spacing w:val="-4"/>
          <w:sz w:val="20"/>
          <w:szCs w:val="20"/>
        </w:rPr>
        <w:t xml:space="preserve"> </w:t>
      </w:r>
      <w:r w:rsidR="00A462E2" w:rsidRPr="00950680">
        <w:rPr>
          <w:rFonts w:ascii="Segoe UI" w:hAnsi="Segoe UI" w:cs="Segoe UI"/>
          <w:b/>
          <w:bCs/>
          <w:spacing w:val="-4"/>
          <w:sz w:val="20"/>
          <w:szCs w:val="20"/>
        </w:rPr>
        <w:t>représent</w:t>
      </w:r>
      <w:r w:rsidR="00A462E2">
        <w:rPr>
          <w:rFonts w:ascii="Segoe UI" w:hAnsi="Segoe UI" w:cs="Segoe UI"/>
          <w:b/>
          <w:bCs/>
          <w:spacing w:val="-4"/>
          <w:sz w:val="20"/>
          <w:szCs w:val="20"/>
        </w:rPr>
        <w:t>e</w:t>
      </w:r>
      <w:r w:rsidR="00A462E2" w:rsidRPr="00950680">
        <w:rPr>
          <w:rFonts w:ascii="Segoe UI" w:hAnsi="Segoe UI" w:cs="Segoe UI"/>
          <w:b/>
          <w:bCs/>
          <w:spacing w:val="-4"/>
          <w:sz w:val="20"/>
          <w:szCs w:val="20"/>
        </w:rPr>
        <w:t xml:space="preserve"> </w:t>
      </w:r>
      <w:r w:rsidRPr="00950680">
        <w:rPr>
          <w:rFonts w:ascii="Segoe UI" w:hAnsi="Segoe UI" w:cs="Segoe UI"/>
          <w:b/>
          <w:bCs/>
          <w:spacing w:val="-4"/>
          <w:sz w:val="20"/>
          <w:szCs w:val="20"/>
        </w:rPr>
        <w:t>un amortisseur important du chômage</w:t>
      </w:r>
      <w:r w:rsidR="003D1EBA" w:rsidRPr="00950680">
        <w:rPr>
          <w:rFonts w:ascii="Segoe UI" w:hAnsi="Segoe UI" w:cs="Segoe UI"/>
          <w:b/>
          <w:bCs/>
          <w:spacing w:val="-4"/>
          <w:sz w:val="20"/>
          <w:szCs w:val="20"/>
        </w:rPr>
        <w:t>, en employant près de 50% de la population omanaise active</w:t>
      </w:r>
      <w:r w:rsidRPr="00950680">
        <w:rPr>
          <w:rFonts w:ascii="Segoe UI" w:hAnsi="Segoe UI" w:cs="Segoe UI"/>
          <w:b/>
          <w:bCs/>
          <w:spacing w:val="-4"/>
          <w:sz w:val="20"/>
          <w:szCs w:val="20"/>
        </w:rPr>
        <w:t>.</w:t>
      </w:r>
      <w:r w:rsidRPr="00FA3E79">
        <w:rPr>
          <w:rFonts w:ascii="Segoe UI" w:hAnsi="Segoe UI" w:cs="Segoe UI"/>
          <w:spacing w:val="-4"/>
          <w:sz w:val="20"/>
          <w:szCs w:val="20"/>
        </w:rPr>
        <w:t xml:space="preserve"> Cette question du chômage </w:t>
      </w:r>
      <w:r w:rsidR="001F7AA3">
        <w:rPr>
          <w:rFonts w:ascii="Segoe UI" w:hAnsi="Segoe UI" w:cs="Segoe UI"/>
          <w:spacing w:val="-4"/>
          <w:sz w:val="20"/>
          <w:szCs w:val="20"/>
        </w:rPr>
        <w:t>reste</w:t>
      </w:r>
      <w:r w:rsidR="004F2D85">
        <w:rPr>
          <w:rFonts w:ascii="Segoe UI" w:hAnsi="Segoe UI" w:cs="Segoe UI"/>
          <w:spacing w:val="-4"/>
          <w:sz w:val="20"/>
          <w:szCs w:val="20"/>
        </w:rPr>
        <w:t xml:space="preserve"> </w:t>
      </w:r>
      <w:r w:rsidRPr="00FA3E79">
        <w:rPr>
          <w:rFonts w:ascii="Segoe UI" w:hAnsi="Segoe UI" w:cs="Segoe UI"/>
          <w:spacing w:val="-4"/>
          <w:sz w:val="20"/>
          <w:szCs w:val="20"/>
        </w:rPr>
        <w:t>préoccupante</w:t>
      </w:r>
      <w:r w:rsidRPr="00FA3E79">
        <w:rPr>
          <w:rFonts w:ascii="Segoe UI" w:hAnsi="Segoe UI" w:cs="Segoe UI"/>
          <w:b/>
          <w:bCs/>
          <w:spacing w:val="-4"/>
          <w:sz w:val="20"/>
          <w:szCs w:val="20"/>
        </w:rPr>
        <w:t xml:space="preserve"> </w:t>
      </w:r>
      <w:r w:rsidRPr="00950680">
        <w:rPr>
          <w:rFonts w:ascii="Segoe UI" w:hAnsi="Segoe UI" w:cs="Segoe UI"/>
          <w:spacing w:val="-4"/>
          <w:sz w:val="20"/>
          <w:szCs w:val="20"/>
        </w:rPr>
        <w:t>en particulier chez les jeunes</w:t>
      </w:r>
      <w:r w:rsidRPr="00FA3E79">
        <w:rPr>
          <w:rFonts w:ascii="Segoe UI" w:hAnsi="Segoe UI" w:cs="Segoe UI"/>
          <w:spacing w:val="-4"/>
          <w:sz w:val="20"/>
          <w:szCs w:val="20"/>
        </w:rPr>
        <w:t xml:space="preserve"> </w:t>
      </w:r>
      <w:r w:rsidR="004F2D85">
        <w:rPr>
          <w:rFonts w:ascii="Segoe UI" w:hAnsi="Segoe UI" w:cs="Segoe UI"/>
          <w:spacing w:val="-4"/>
          <w:sz w:val="20"/>
          <w:szCs w:val="20"/>
        </w:rPr>
        <w:t>-</w:t>
      </w:r>
      <w:r w:rsidRPr="00FA3E79">
        <w:rPr>
          <w:rFonts w:ascii="Segoe UI" w:hAnsi="Segoe UI" w:cs="Segoe UI"/>
          <w:spacing w:val="-4"/>
          <w:sz w:val="20"/>
          <w:szCs w:val="20"/>
        </w:rPr>
        <w:t xml:space="preserve"> comme en </w:t>
      </w:r>
      <w:r w:rsidR="003B5783">
        <w:rPr>
          <w:rFonts w:ascii="Segoe UI" w:hAnsi="Segoe UI" w:cs="Segoe UI"/>
          <w:spacing w:val="-4"/>
          <w:sz w:val="20"/>
          <w:szCs w:val="20"/>
        </w:rPr>
        <w:t xml:space="preserve">a </w:t>
      </w:r>
      <w:r w:rsidRPr="00FA3E79">
        <w:rPr>
          <w:rFonts w:ascii="Segoe UI" w:hAnsi="Segoe UI" w:cs="Segoe UI"/>
          <w:spacing w:val="-4"/>
          <w:sz w:val="20"/>
          <w:szCs w:val="20"/>
        </w:rPr>
        <w:t>témoign</w:t>
      </w:r>
      <w:r w:rsidR="003B5783">
        <w:rPr>
          <w:rFonts w:ascii="Segoe UI" w:hAnsi="Segoe UI" w:cs="Segoe UI"/>
          <w:spacing w:val="-4"/>
          <w:sz w:val="20"/>
          <w:szCs w:val="20"/>
        </w:rPr>
        <w:t>é</w:t>
      </w:r>
      <w:r w:rsidRPr="00FA3E79">
        <w:rPr>
          <w:rFonts w:ascii="Segoe UI" w:hAnsi="Segoe UI" w:cs="Segoe UI"/>
          <w:spacing w:val="-4"/>
          <w:sz w:val="20"/>
          <w:szCs w:val="20"/>
        </w:rPr>
        <w:t xml:space="preserve"> le mouvement de contestation sociale de mai 2021. </w:t>
      </w:r>
      <w:r w:rsidRPr="00FA3E79">
        <w:rPr>
          <w:rFonts w:ascii="Segoe UI" w:hAnsi="Segoe UI" w:cs="Segoe UI"/>
          <w:spacing w:val="-6"/>
          <w:sz w:val="20"/>
          <w:szCs w:val="20"/>
        </w:rPr>
        <w:t xml:space="preserve">Accentuée ces dernières années, la </w:t>
      </w:r>
      <w:r w:rsidRPr="00950680">
        <w:rPr>
          <w:rFonts w:ascii="Segoe UI" w:hAnsi="Segoe UI" w:cs="Segoe UI"/>
          <w:spacing w:val="-6"/>
          <w:sz w:val="20"/>
          <w:szCs w:val="20"/>
        </w:rPr>
        <w:t>politique d’</w:t>
      </w:r>
      <w:r w:rsidRPr="00950680">
        <w:rPr>
          <w:rFonts w:ascii="Segoe UI" w:hAnsi="Segoe UI" w:cs="Segoe UI"/>
          <w:i/>
          <w:iCs/>
          <w:spacing w:val="-6"/>
          <w:sz w:val="20"/>
          <w:szCs w:val="20"/>
        </w:rPr>
        <w:t>omanisation</w:t>
      </w:r>
      <w:r w:rsidRPr="00950680">
        <w:rPr>
          <w:rFonts w:ascii="Segoe UI" w:hAnsi="Segoe UI" w:cs="Segoe UI"/>
          <w:spacing w:val="-6"/>
          <w:sz w:val="20"/>
          <w:szCs w:val="20"/>
        </w:rPr>
        <w:t xml:space="preserve"> des emplois</w:t>
      </w:r>
      <w:r w:rsidRPr="00FA3E79">
        <w:rPr>
          <w:rFonts w:ascii="Segoe UI" w:hAnsi="Segoe UI" w:cs="Segoe UI"/>
          <w:spacing w:val="-6"/>
          <w:sz w:val="20"/>
          <w:szCs w:val="20"/>
        </w:rPr>
        <w:t xml:space="preserve">, </w:t>
      </w:r>
      <w:r w:rsidR="003B5783">
        <w:rPr>
          <w:rFonts w:ascii="Segoe UI" w:hAnsi="Segoe UI" w:cs="Segoe UI"/>
          <w:spacing w:val="-6"/>
          <w:sz w:val="20"/>
          <w:szCs w:val="20"/>
        </w:rPr>
        <w:t xml:space="preserve">en imposant des quotas d’employés omanais </w:t>
      </w:r>
      <w:r w:rsidRPr="00FA3E79">
        <w:rPr>
          <w:rFonts w:ascii="Segoe UI" w:hAnsi="Segoe UI" w:cs="Segoe UI"/>
          <w:spacing w:val="-6"/>
          <w:sz w:val="20"/>
          <w:szCs w:val="20"/>
        </w:rPr>
        <w:t xml:space="preserve">dans le secteur privé, n’offre pour sa part qu’une solution partielle au défi de </w:t>
      </w:r>
      <w:r w:rsidR="00C975A7">
        <w:rPr>
          <w:rFonts w:ascii="Segoe UI" w:hAnsi="Segoe UI" w:cs="Segoe UI"/>
          <w:spacing w:val="-6"/>
          <w:sz w:val="20"/>
          <w:szCs w:val="20"/>
        </w:rPr>
        <w:t xml:space="preserve">la </w:t>
      </w:r>
      <w:r w:rsidRPr="00FA3E79">
        <w:rPr>
          <w:rFonts w:ascii="Segoe UI" w:hAnsi="Segoe UI" w:cs="Segoe UI"/>
          <w:spacing w:val="-6"/>
          <w:sz w:val="20"/>
          <w:szCs w:val="20"/>
        </w:rPr>
        <w:t>création d’emploi</w:t>
      </w:r>
      <w:r w:rsidR="00A462E2">
        <w:rPr>
          <w:rFonts w:ascii="Segoe UI" w:hAnsi="Segoe UI" w:cs="Segoe UI"/>
          <w:spacing w:val="-6"/>
          <w:sz w:val="20"/>
          <w:szCs w:val="20"/>
        </w:rPr>
        <w:t>s</w:t>
      </w:r>
      <w:r w:rsidRPr="00FA3E79">
        <w:rPr>
          <w:rFonts w:ascii="Segoe UI" w:hAnsi="Segoe UI" w:cs="Segoe UI"/>
          <w:spacing w:val="-6"/>
          <w:sz w:val="20"/>
          <w:szCs w:val="20"/>
        </w:rPr>
        <w:t xml:space="preserve"> tout en étant un frein à l’attractivité du pays. </w:t>
      </w:r>
      <w:r w:rsidR="00C975A7">
        <w:rPr>
          <w:rFonts w:ascii="Segoe UI" w:hAnsi="Segoe UI" w:cs="Segoe UI"/>
          <w:spacing w:val="-6"/>
          <w:sz w:val="20"/>
          <w:szCs w:val="20"/>
        </w:rPr>
        <w:t>L</w:t>
      </w:r>
      <w:r w:rsidRPr="00FA3E79">
        <w:rPr>
          <w:rFonts w:ascii="Segoe UI" w:hAnsi="Segoe UI" w:cs="Segoe UI"/>
          <w:spacing w:val="-6"/>
          <w:sz w:val="20"/>
          <w:szCs w:val="20"/>
        </w:rPr>
        <w:t xml:space="preserve">es </w:t>
      </w:r>
      <w:r w:rsidR="00843F68">
        <w:rPr>
          <w:rFonts w:ascii="Segoe UI" w:hAnsi="Segoe UI" w:cs="Segoe UI"/>
          <w:spacing w:val="-6"/>
          <w:sz w:val="20"/>
          <w:szCs w:val="20"/>
        </w:rPr>
        <w:t>lois « </w:t>
      </w:r>
      <w:r w:rsidRPr="00FA3E79">
        <w:rPr>
          <w:rFonts w:ascii="Segoe UI" w:hAnsi="Segoe UI" w:cs="Segoe UI"/>
          <w:spacing w:val="-6"/>
          <w:sz w:val="20"/>
          <w:szCs w:val="20"/>
        </w:rPr>
        <w:t>travail et protection sociale</w:t>
      </w:r>
      <w:r w:rsidR="00843F68">
        <w:rPr>
          <w:rFonts w:ascii="Segoe UI" w:hAnsi="Segoe UI" w:cs="Segoe UI"/>
          <w:spacing w:val="-6"/>
          <w:sz w:val="20"/>
          <w:szCs w:val="20"/>
        </w:rPr>
        <w:t> »</w:t>
      </w:r>
      <w:r w:rsidRPr="00FA3E79">
        <w:rPr>
          <w:rFonts w:ascii="Segoe UI" w:hAnsi="Segoe UI" w:cs="Segoe UI"/>
          <w:spacing w:val="-6"/>
          <w:sz w:val="20"/>
          <w:szCs w:val="20"/>
        </w:rPr>
        <w:t xml:space="preserve">, adoptées en juillet 2023 pour flexibiliser le marché de l’emploi tout en introduisant un certain nombre d’améliorations pour les droits des travailleurs, </w:t>
      </w:r>
      <w:r w:rsidR="00A462E2">
        <w:rPr>
          <w:rFonts w:ascii="Segoe UI" w:hAnsi="Segoe UI" w:cs="Segoe UI"/>
          <w:spacing w:val="-6"/>
          <w:sz w:val="20"/>
          <w:szCs w:val="20"/>
        </w:rPr>
        <w:t>constituent des progrès notables</w:t>
      </w:r>
      <w:r w:rsidR="00A828AE">
        <w:rPr>
          <w:rFonts w:ascii="Segoe UI" w:hAnsi="Segoe UI" w:cs="Segoe UI"/>
          <w:spacing w:val="-6"/>
          <w:sz w:val="20"/>
          <w:szCs w:val="20"/>
        </w:rPr>
        <w:t xml:space="preserve">. </w:t>
      </w:r>
    </w:p>
    <w:p w14:paraId="7C79BD2F" w14:textId="2221A974" w:rsidR="001505C7" w:rsidRPr="007737E6" w:rsidRDefault="00B424B8" w:rsidP="007F6739">
      <w:pPr>
        <w:pStyle w:val="NormalWeb"/>
        <w:spacing w:before="0" w:beforeAutospacing="0" w:after="120" w:afterAutospacing="0"/>
        <w:ind w:left="-794" w:right="-567"/>
        <w:jc w:val="both"/>
        <w:rPr>
          <w:rFonts w:ascii="Segoe UI" w:hAnsi="Segoe UI" w:cs="Segoe UI"/>
          <w:bCs/>
          <w:spacing w:val="-6"/>
          <w:sz w:val="20"/>
          <w:szCs w:val="20"/>
        </w:rPr>
      </w:pPr>
      <w:r w:rsidRPr="00B424B8">
        <w:rPr>
          <w:rFonts w:ascii="Segoe UI" w:hAnsi="Segoe UI" w:cs="Segoe UI"/>
          <w:b/>
          <w:spacing w:val="-6"/>
          <w:sz w:val="20"/>
          <w:szCs w:val="20"/>
        </w:rPr>
        <w:t>La croissance du PIB réel</w:t>
      </w:r>
      <w:r w:rsidR="00843F68">
        <w:rPr>
          <w:rFonts w:ascii="Segoe UI" w:hAnsi="Segoe UI" w:cs="Segoe UI"/>
          <w:b/>
          <w:spacing w:val="-6"/>
          <w:sz w:val="20"/>
          <w:szCs w:val="20"/>
        </w:rPr>
        <w:t xml:space="preserve"> </w:t>
      </w:r>
      <w:r w:rsidRPr="00B424B8">
        <w:rPr>
          <w:rFonts w:ascii="Segoe UI" w:hAnsi="Segoe UI" w:cs="Segoe UI"/>
          <w:b/>
          <w:spacing w:val="-6"/>
          <w:sz w:val="20"/>
          <w:szCs w:val="20"/>
        </w:rPr>
        <w:t>s’est établie à +</w:t>
      </w:r>
      <w:r w:rsidR="00843F68">
        <w:rPr>
          <w:rFonts w:ascii="Segoe UI" w:hAnsi="Segoe UI" w:cs="Segoe UI"/>
          <w:b/>
          <w:spacing w:val="-6"/>
          <w:sz w:val="20"/>
          <w:szCs w:val="20"/>
        </w:rPr>
        <w:t xml:space="preserve">2,4 % </w:t>
      </w:r>
      <w:r w:rsidRPr="00B424B8">
        <w:rPr>
          <w:rFonts w:ascii="Segoe UI" w:hAnsi="Segoe UI" w:cs="Segoe UI"/>
          <w:b/>
          <w:spacing w:val="-6"/>
          <w:sz w:val="20"/>
          <w:szCs w:val="20"/>
        </w:rPr>
        <w:t>en 202</w:t>
      </w:r>
      <w:r w:rsidR="00843F68">
        <w:rPr>
          <w:rFonts w:ascii="Segoe UI" w:hAnsi="Segoe UI" w:cs="Segoe UI"/>
          <w:b/>
          <w:spacing w:val="-6"/>
          <w:sz w:val="20"/>
          <w:szCs w:val="20"/>
        </w:rPr>
        <w:t>5</w:t>
      </w:r>
      <w:r w:rsidRPr="00B424B8">
        <w:rPr>
          <w:rFonts w:ascii="Segoe UI" w:hAnsi="Segoe UI" w:cs="Segoe UI"/>
          <w:b/>
          <w:spacing w:val="-6"/>
          <w:sz w:val="20"/>
          <w:szCs w:val="20"/>
        </w:rPr>
        <w:t xml:space="preserve">, après </w:t>
      </w:r>
      <w:r w:rsidR="00843F68">
        <w:rPr>
          <w:rFonts w:ascii="Segoe UI" w:hAnsi="Segoe UI" w:cs="Segoe UI"/>
          <w:b/>
          <w:spacing w:val="-6"/>
          <w:sz w:val="20"/>
          <w:szCs w:val="20"/>
        </w:rPr>
        <w:t xml:space="preserve">une progression de </w:t>
      </w:r>
      <w:r w:rsidRPr="00B424B8">
        <w:rPr>
          <w:rFonts w:ascii="Segoe UI" w:hAnsi="Segoe UI" w:cs="Segoe UI"/>
          <w:b/>
          <w:spacing w:val="-6"/>
          <w:sz w:val="20"/>
          <w:szCs w:val="20"/>
        </w:rPr>
        <w:t>+1,</w:t>
      </w:r>
      <w:r w:rsidR="00843F68">
        <w:rPr>
          <w:rFonts w:ascii="Segoe UI" w:hAnsi="Segoe UI" w:cs="Segoe UI"/>
          <w:b/>
          <w:spacing w:val="-6"/>
          <w:sz w:val="20"/>
          <w:szCs w:val="20"/>
        </w:rPr>
        <w:t>7</w:t>
      </w:r>
      <w:r w:rsidRPr="00B424B8">
        <w:rPr>
          <w:rFonts w:ascii="Segoe UI" w:hAnsi="Segoe UI" w:cs="Segoe UI"/>
          <w:b/>
          <w:spacing w:val="-6"/>
          <w:sz w:val="20"/>
          <w:szCs w:val="20"/>
        </w:rPr>
        <w:t> % en 202</w:t>
      </w:r>
      <w:r w:rsidR="00843F68">
        <w:rPr>
          <w:rFonts w:ascii="Segoe UI" w:hAnsi="Segoe UI" w:cs="Segoe UI"/>
          <w:b/>
          <w:spacing w:val="-6"/>
          <w:sz w:val="20"/>
          <w:szCs w:val="20"/>
        </w:rPr>
        <w:t>4</w:t>
      </w:r>
      <w:r w:rsidRPr="00B424B8">
        <w:rPr>
          <w:rFonts w:ascii="Segoe UI" w:hAnsi="Segoe UI" w:cs="Segoe UI"/>
          <w:b/>
          <w:spacing w:val="-6"/>
          <w:sz w:val="20"/>
          <w:szCs w:val="20"/>
        </w:rPr>
        <w:t xml:space="preserve"> (FMI). </w:t>
      </w:r>
      <w:r w:rsidRPr="00074ACA">
        <w:rPr>
          <w:rFonts w:ascii="Segoe UI" w:hAnsi="Segoe UI" w:cs="Segoe UI"/>
          <w:bCs/>
          <w:spacing w:val="-6"/>
          <w:sz w:val="20"/>
          <w:szCs w:val="20"/>
        </w:rPr>
        <w:t>Ce</w:t>
      </w:r>
      <w:r w:rsidR="00860AEE">
        <w:rPr>
          <w:rFonts w:ascii="Segoe UI" w:hAnsi="Segoe UI" w:cs="Segoe UI"/>
          <w:bCs/>
          <w:spacing w:val="-6"/>
          <w:sz w:val="20"/>
          <w:szCs w:val="20"/>
        </w:rPr>
        <w:t xml:space="preserve">tte augmentation est </w:t>
      </w:r>
      <w:r w:rsidRPr="00074ACA">
        <w:rPr>
          <w:rFonts w:ascii="Segoe UI" w:hAnsi="Segoe UI" w:cs="Segoe UI"/>
          <w:bCs/>
          <w:spacing w:val="-6"/>
          <w:sz w:val="20"/>
          <w:szCs w:val="20"/>
        </w:rPr>
        <w:t xml:space="preserve">essentiellement </w:t>
      </w:r>
      <w:r w:rsidR="00860AEE">
        <w:rPr>
          <w:rFonts w:ascii="Segoe UI" w:hAnsi="Segoe UI" w:cs="Segoe UI"/>
          <w:bCs/>
          <w:spacing w:val="-6"/>
          <w:sz w:val="20"/>
          <w:szCs w:val="20"/>
        </w:rPr>
        <w:t xml:space="preserve">due au </w:t>
      </w:r>
      <w:r w:rsidRPr="00074ACA">
        <w:rPr>
          <w:rFonts w:ascii="Segoe UI" w:hAnsi="Segoe UI" w:cs="Segoe UI"/>
          <w:bCs/>
          <w:spacing w:val="-6"/>
          <w:sz w:val="20"/>
          <w:szCs w:val="20"/>
        </w:rPr>
        <w:t>secteur</w:t>
      </w:r>
      <w:r w:rsidR="00860AEE">
        <w:rPr>
          <w:rFonts w:ascii="Segoe UI" w:hAnsi="Segoe UI" w:cs="Segoe UI"/>
          <w:bCs/>
          <w:spacing w:val="-6"/>
          <w:sz w:val="20"/>
          <w:szCs w:val="20"/>
        </w:rPr>
        <w:t xml:space="preserve"> hors hydrocarbures </w:t>
      </w:r>
      <w:r w:rsidRPr="00A828AE">
        <w:rPr>
          <w:rFonts w:ascii="Segoe UI" w:hAnsi="Segoe UI" w:cs="Segoe UI"/>
          <w:bCs/>
          <w:spacing w:val="-6"/>
          <w:sz w:val="20"/>
          <w:szCs w:val="20"/>
        </w:rPr>
        <w:t>(+3,</w:t>
      </w:r>
      <w:r w:rsidR="00860AEE" w:rsidRPr="00A828AE">
        <w:rPr>
          <w:rFonts w:ascii="Segoe UI" w:hAnsi="Segoe UI" w:cs="Segoe UI"/>
          <w:bCs/>
          <w:spacing w:val="-6"/>
          <w:sz w:val="20"/>
          <w:szCs w:val="20"/>
        </w:rPr>
        <w:t>1</w:t>
      </w:r>
      <w:r w:rsidRPr="00A828AE">
        <w:rPr>
          <w:rFonts w:ascii="Segoe UI" w:hAnsi="Segoe UI" w:cs="Segoe UI"/>
          <w:bCs/>
          <w:spacing w:val="-6"/>
          <w:sz w:val="20"/>
          <w:szCs w:val="20"/>
        </w:rPr>
        <w:t> %)</w:t>
      </w:r>
      <w:r w:rsidR="00860AEE">
        <w:rPr>
          <w:rFonts w:ascii="Segoe UI" w:hAnsi="Segoe UI" w:cs="Segoe UI"/>
          <w:bCs/>
          <w:spacing w:val="-6"/>
          <w:sz w:val="20"/>
          <w:szCs w:val="20"/>
        </w:rPr>
        <w:t xml:space="preserve"> </w:t>
      </w:r>
      <w:r w:rsidRPr="00074ACA">
        <w:rPr>
          <w:rFonts w:ascii="Segoe UI" w:hAnsi="Segoe UI" w:cs="Segoe UI"/>
          <w:bCs/>
          <w:spacing w:val="-6"/>
          <w:sz w:val="20"/>
          <w:szCs w:val="20"/>
        </w:rPr>
        <w:t xml:space="preserve">tandis que le PIB </w:t>
      </w:r>
      <w:r w:rsidR="00860AEE">
        <w:rPr>
          <w:rFonts w:ascii="Segoe UI" w:hAnsi="Segoe UI" w:cs="Segoe UI"/>
          <w:bCs/>
          <w:spacing w:val="-6"/>
          <w:sz w:val="20"/>
          <w:szCs w:val="20"/>
        </w:rPr>
        <w:t xml:space="preserve">du secteur hydrocarbures a progressé de </w:t>
      </w:r>
      <w:r w:rsidR="00860AEE" w:rsidRPr="00A828AE">
        <w:rPr>
          <w:rFonts w:ascii="Segoe UI" w:hAnsi="Segoe UI" w:cs="Segoe UI"/>
          <w:bCs/>
          <w:spacing w:val="-6"/>
          <w:sz w:val="20"/>
          <w:szCs w:val="20"/>
        </w:rPr>
        <w:t xml:space="preserve">0,6 </w:t>
      </w:r>
      <w:r w:rsidRPr="00A828AE">
        <w:rPr>
          <w:rFonts w:ascii="Segoe UI" w:hAnsi="Segoe UI" w:cs="Segoe UI"/>
          <w:bCs/>
          <w:spacing w:val="-6"/>
          <w:sz w:val="20"/>
          <w:szCs w:val="20"/>
        </w:rPr>
        <w:t>%.</w:t>
      </w:r>
      <w:r w:rsidRPr="00074ACA">
        <w:rPr>
          <w:rFonts w:ascii="Segoe UI" w:hAnsi="Segoe UI" w:cs="Segoe UI"/>
          <w:bCs/>
          <w:spacing w:val="-6"/>
          <w:sz w:val="20"/>
          <w:szCs w:val="20"/>
        </w:rPr>
        <w:t xml:space="preserve"> </w:t>
      </w:r>
      <w:r w:rsidR="00BE35B8" w:rsidRPr="00BE35B8">
        <w:rPr>
          <w:rFonts w:ascii="Segoe UI" w:hAnsi="Segoe UI" w:cs="Segoe UI"/>
          <w:bCs/>
          <w:spacing w:val="-6"/>
          <w:sz w:val="20"/>
          <w:szCs w:val="20"/>
        </w:rPr>
        <w:t xml:space="preserve">La dépendance à l'égard des hydrocarbures demeure structurelle : depuis 2017, Oman participe aux accords OPEP+ de réduction de production, et reste en temps normal fortement exposé à la demande chinoise, qui absorbe habituellement près des trois quarts de sa production de brut. Toutefois, la cotation via le </w:t>
      </w:r>
      <w:r w:rsidR="00BE35B8" w:rsidRPr="00BE35B8">
        <w:rPr>
          <w:rFonts w:ascii="Segoe UI" w:hAnsi="Segoe UI" w:cs="Segoe UI"/>
          <w:bCs/>
          <w:i/>
          <w:iCs/>
          <w:spacing w:val="-6"/>
          <w:sz w:val="20"/>
          <w:szCs w:val="20"/>
        </w:rPr>
        <w:t>Gulf Mercantile Exchange</w:t>
      </w:r>
      <w:r w:rsidR="00BE35B8" w:rsidRPr="00BE35B8">
        <w:rPr>
          <w:rFonts w:ascii="Segoe UI" w:hAnsi="Segoe UI" w:cs="Segoe UI"/>
          <w:bCs/>
          <w:spacing w:val="-6"/>
          <w:sz w:val="20"/>
          <w:szCs w:val="20"/>
        </w:rPr>
        <w:t xml:space="preserve"> (GME) confère à Oman une flexibilité commerciale réelle : lors de la fermeture du détroit d'Ormuz en 2025, la chute brutale des achats chinois a pu être compensée rapidement par l'Inde, Taiwan et l'Europe, à des prix historiquement élevés.</w:t>
      </w:r>
      <w:r w:rsidR="00BE35B8">
        <w:rPr>
          <w:rFonts w:ascii="Segoe UI" w:hAnsi="Segoe UI" w:cs="Segoe UI"/>
          <w:bCs/>
          <w:spacing w:val="-6"/>
          <w:sz w:val="20"/>
          <w:szCs w:val="20"/>
        </w:rPr>
        <w:t xml:space="preserve"> </w:t>
      </w:r>
      <w:r w:rsidRPr="00B424B8">
        <w:rPr>
          <w:rFonts w:ascii="Segoe UI" w:hAnsi="Segoe UI" w:cs="Segoe UI"/>
          <w:b/>
          <w:spacing w:val="-6"/>
          <w:sz w:val="20"/>
          <w:szCs w:val="20"/>
        </w:rPr>
        <w:t xml:space="preserve">Pour </w:t>
      </w:r>
      <w:r w:rsidR="003A6437">
        <w:rPr>
          <w:rFonts w:ascii="Segoe UI" w:hAnsi="Segoe UI" w:cs="Segoe UI"/>
          <w:b/>
          <w:spacing w:val="-6"/>
          <w:sz w:val="20"/>
          <w:szCs w:val="20"/>
        </w:rPr>
        <w:t>2026</w:t>
      </w:r>
      <w:r w:rsidRPr="00B424B8">
        <w:rPr>
          <w:rFonts w:ascii="Segoe UI" w:hAnsi="Segoe UI" w:cs="Segoe UI"/>
          <w:b/>
          <w:spacing w:val="-6"/>
          <w:sz w:val="20"/>
          <w:szCs w:val="20"/>
        </w:rPr>
        <w:t>, le FMI anticipe une croissance (+</w:t>
      </w:r>
      <w:r w:rsidR="003A6437">
        <w:rPr>
          <w:rFonts w:ascii="Segoe UI" w:hAnsi="Segoe UI" w:cs="Segoe UI"/>
          <w:b/>
          <w:spacing w:val="-6"/>
          <w:sz w:val="20"/>
          <w:szCs w:val="20"/>
        </w:rPr>
        <w:t>3,5</w:t>
      </w:r>
      <w:r w:rsidRPr="00B424B8">
        <w:rPr>
          <w:rFonts w:ascii="Segoe UI" w:hAnsi="Segoe UI" w:cs="Segoe UI"/>
          <w:b/>
          <w:spacing w:val="-6"/>
          <w:sz w:val="20"/>
          <w:szCs w:val="20"/>
        </w:rPr>
        <w:t xml:space="preserve"> %), </w:t>
      </w:r>
      <w:r w:rsidR="003A6437" w:rsidRPr="003A6437">
        <w:rPr>
          <w:rFonts w:ascii="Segoe UI" w:hAnsi="Segoe UI" w:cs="Segoe UI"/>
          <w:b/>
          <w:spacing w:val="-6"/>
          <w:sz w:val="20"/>
          <w:szCs w:val="20"/>
        </w:rPr>
        <w:t>soit légèrement inférieure à celle prévue fin 2025 (+ 3,</w:t>
      </w:r>
      <w:r w:rsidR="00BE35B8">
        <w:rPr>
          <w:rFonts w:ascii="Segoe UI" w:hAnsi="Segoe UI" w:cs="Segoe UI"/>
          <w:b/>
          <w:spacing w:val="-6"/>
          <w:sz w:val="20"/>
          <w:szCs w:val="20"/>
        </w:rPr>
        <w:t>8</w:t>
      </w:r>
      <w:r w:rsidR="003A6437" w:rsidRPr="003A6437">
        <w:rPr>
          <w:rFonts w:ascii="Segoe UI" w:hAnsi="Segoe UI" w:cs="Segoe UI"/>
          <w:b/>
          <w:spacing w:val="-6"/>
          <w:sz w:val="20"/>
          <w:szCs w:val="20"/>
        </w:rPr>
        <w:t xml:space="preserve"> %)</w:t>
      </w:r>
      <w:r w:rsidR="003A6437">
        <w:rPr>
          <w:rFonts w:ascii="Segoe UI" w:hAnsi="Segoe UI" w:cs="Segoe UI"/>
          <w:b/>
          <w:spacing w:val="-6"/>
          <w:sz w:val="20"/>
          <w:szCs w:val="20"/>
        </w:rPr>
        <w:t xml:space="preserve"> avant le conflit régional</w:t>
      </w:r>
      <w:r w:rsidRPr="00BE35B8">
        <w:rPr>
          <w:rFonts w:ascii="Segoe UI" w:hAnsi="Segoe UI" w:cs="Segoe UI"/>
          <w:b/>
          <w:spacing w:val="-6"/>
          <w:sz w:val="20"/>
          <w:szCs w:val="20"/>
        </w:rPr>
        <w:t xml:space="preserve">. </w:t>
      </w:r>
    </w:p>
    <w:p w14:paraId="20D51CB3" w14:textId="006E9BAA" w:rsidR="009B0B72" w:rsidRDefault="00B723B5" w:rsidP="001C583C">
      <w:pPr>
        <w:pStyle w:val="Titre02"/>
        <w:numPr>
          <w:ilvl w:val="0"/>
          <w:numId w:val="18"/>
        </w:numPr>
      </w:pPr>
      <w:r>
        <w:t>Une discipline fiscale robuste</w:t>
      </w:r>
      <w:r w:rsidR="005129A1">
        <w:t xml:space="preserve"> et saluée par les marchés </w:t>
      </w:r>
    </w:p>
    <w:p w14:paraId="46112CE9" w14:textId="1BB029A4" w:rsidR="00395EA0" w:rsidRPr="00A5643B" w:rsidRDefault="00395EA0" w:rsidP="00A5643B">
      <w:pPr>
        <w:spacing w:after="0"/>
        <w:ind w:left="-794" w:right="-567"/>
        <w:jc w:val="both"/>
        <w:rPr>
          <w:rFonts w:ascii="Segoe UI" w:hAnsi="Segoe UI" w:cs="Segoe UI"/>
          <w:spacing w:val="-6"/>
          <w:sz w:val="20"/>
          <w:szCs w:val="20"/>
        </w:rPr>
      </w:pPr>
      <w:r>
        <w:rPr>
          <w:rFonts w:ascii="Segoe UI" w:hAnsi="Segoe UI" w:cs="Segoe UI"/>
          <w:b/>
          <w:bCs/>
          <w:spacing w:val="-4"/>
          <w:sz w:val="20"/>
          <w:szCs w:val="20"/>
        </w:rPr>
        <w:t>Dans la continuité des efforts d’assainissement des comptes publics, le</w:t>
      </w:r>
      <w:r w:rsidRPr="00EF45AB">
        <w:rPr>
          <w:rFonts w:ascii="Segoe UI" w:hAnsi="Segoe UI" w:cs="Segoe UI"/>
          <w:b/>
          <w:bCs/>
          <w:spacing w:val="-4"/>
          <w:sz w:val="20"/>
          <w:szCs w:val="20"/>
        </w:rPr>
        <w:t xml:space="preserve"> budget général d’Oman pour l'exercice fiscal 202</w:t>
      </w:r>
      <w:r>
        <w:rPr>
          <w:rFonts w:ascii="Segoe UI" w:hAnsi="Segoe UI" w:cs="Segoe UI"/>
          <w:b/>
          <w:bCs/>
          <w:spacing w:val="-4"/>
          <w:sz w:val="20"/>
          <w:szCs w:val="20"/>
        </w:rPr>
        <w:t>5</w:t>
      </w:r>
      <w:r w:rsidRPr="00EF45AB">
        <w:rPr>
          <w:rFonts w:ascii="Segoe UI" w:hAnsi="Segoe UI" w:cs="Segoe UI"/>
          <w:b/>
          <w:bCs/>
          <w:spacing w:val="-4"/>
          <w:sz w:val="20"/>
          <w:szCs w:val="20"/>
        </w:rPr>
        <w:t xml:space="preserve"> a enregistré un </w:t>
      </w:r>
      <w:r w:rsidRPr="00395EA0">
        <w:rPr>
          <w:rFonts w:ascii="Segoe UI" w:hAnsi="Segoe UI" w:cs="Segoe UI"/>
          <w:b/>
          <w:bCs/>
          <w:spacing w:val="-6"/>
          <w:sz w:val="20"/>
          <w:szCs w:val="20"/>
        </w:rPr>
        <w:t>déficit de 1,25 Md USD (soit 1,1 % du PIB)</w:t>
      </w:r>
      <w:r>
        <w:rPr>
          <w:rFonts w:ascii="Segoe UI" w:hAnsi="Segoe UI" w:cs="Segoe UI"/>
          <w:b/>
          <w:bCs/>
          <w:spacing w:val="-6"/>
          <w:sz w:val="20"/>
          <w:szCs w:val="20"/>
        </w:rPr>
        <w:t xml:space="preserve">, plus modeste que celui </w:t>
      </w:r>
      <w:r w:rsidR="000D5B1C">
        <w:rPr>
          <w:rFonts w:ascii="Segoe UI" w:hAnsi="Segoe UI" w:cs="Segoe UI"/>
          <w:b/>
          <w:bCs/>
          <w:spacing w:val="-6"/>
          <w:sz w:val="20"/>
          <w:szCs w:val="20"/>
        </w:rPr>
        <w:t xml:space="preserve">initialement </w:t>
      </w:r>
      <w:r>
        <w:rPr>
          <w:rFonts w:ascii="Segoe UI" w:hAnsi="Segoe UI" w:cs="Segoe UI"/>
          <w:b/>
          <w:bCs/>
          <w:spacing w:val="-6"/>
          <w:sz w:val="20"/>
          <w:szCs w:val="20"/>
        </w:rPr>
        <w:t xml:space="preserve">anticipé </w:t>
      </w:r>
      <w:r w:rsidR="000D5B1C">
        <w:rPr>
          <w:rFonts w:ascii="Segoe UI" w:hAnsi="Segoe UI" w:cs="Segoe UI"/>
          <w:b/>
          <w:bCs/>
          <w:spacing w:val="-6"/>
          <w:sz w:val="20"/>
          <w:szCs w:val="20"/>
        </w:rPr>
        <w:t xml:space="preserve">à </w:t>
      </w:r>
      <w:r w:rsidR="000D5B1C" w:rsidRPr="000D5B1C">
        <w:rPr>
          <w:rFonts w:ascii="Segoe UI" w:hAnsi="Segoe UI" w:cs="Segoe UI"/>
          <w:b/>
          <w:bCs/>
          <w:spacing w:val="-6"/>
          <w:sz w:val="20"/>
          <w:szCs w:val="20"/>
        </w:rPr>
        <w:t>1,36 Md USD</w:t>
      </w:r>
      <w:r w:rsidR="000D5B1C">
        <w:rPr>
          <w:rFonts w:ascii="Segoe UI" w:hAnsi="Segoe UI" w:cs="Segoe UI"/>
          <w:b/>
          <w:bCs/>
          <w:spacing w:val="-6"/>
          <w:sz w:val="20"/>
          <w:szCs w:val="20"/>
        </w:rPr>
        <w:t xml:space="preserve">. </w:t>
      </w:r>
      <w:r w:rsidR="000D5B1C" w:rsidRPr="000D5B1C">
        <w:rPr>
          <w:rFonts w:ascii="Segoe UI" w:hAnsi="Segoe UI" w:cs="Segoe UI"/>
          <w:spacing w:val="-6"/>
          <w:sz w:val="20"/>
          <w:szCs w:val="20"/>
        </w:rPr>
        <w:t>Alors que le solde budgétaire dégageait traditionnellement un surplus abondant</w:t>
      </w:r>
      <w:r w:rsidR="00B12275">
        <w:rPr>
          <w:rFonts w:ascii="Segoe UI" w:hAnsi="Segoe UI" w:cs="Segoe UI"/>
          <w:spacing w:val="-6"/>
          <w:sz w:val="20"/>
          <w:szCs w:val="20"/>
        </w:rPr>
        <w:t>,</w:t>
      </w:r>
      <w:r w:rsidR="000D5B1C" w:rsidRPr="000D5B1C">
        <w:rPr>
          <w:rFonts w:ascii="Segoe UI" w:hAnsi="Segoe UI" w:cs="Segoe UI"/>
          <w:spacing w:val="-6"/>
          <w:sz w:val="20"/>
          <w:szCs w:val="20"/>
        </w:rPr>
        <w:t xml:space="preserve"> l’effondrement des cours du pétrole en 2015 s’</w:t>
      </w:r>
      <w:r w:rsidR="00B12275">
        <w:rPr>
          <w:rFonts w:ascii="Segoe UI" w:hAnsi="Segoe UI" w:cs="Segoe UI"/>
          <w:spacing w:val="-6"/>
          <w:sz w:val="20"/>
          <w:szCs w:val="20"/>
        </w:rPr>
        <w:t>est</w:t>
      </w:r>
      <w:r w:rsidR="000D5B1C" w:rsidRPr="000D5B1C">
        <w:rPr>
          <w:rFonts w:ascii="Segoe UI" w:hAnsi="Segoe UI" w:cs="Segoe UI"/>
          <w:spacing w:val="-6"/>
          <w:sz w:val="20"/>
          <w:szCs w:val="20"/>
        </w:rPr>
        <w:t xml:space="preserve"> soldé l’apparition de déficits publics récurrents. Confrontées à une nouvelle dégradation des comptes publics pendant la crise sanitaire, les autorités ont mis en œuvre un certain nombre de mesures d’austérité (réduction des dépenses des entités publiques, suspension de projets d’investissement, mise à la retraite de fonctionnaires) et dévoilé un plan de consolidation budgétaire à horizon 2024. </w:t>
      </w:r>
      <w:r w:rsidR="0099696C">
        <w:rPr>
          <w:rFonts w:ascii="Segoe UI" w:hAnsi="Segoe UI" w:cs="Segoe UI"/>
          <w:spacing w:val="-6"/>
          <w:sz w:val="20"/>
          <w:szCs w:val="20"/>
        </w:rPr>
        <w:t>Avec l’appui de ces mesures,</w:t>
      </w:r>
      <w:r w:rsidR="00B12275">
        <w:rPr>
          <w:rFonts w:ascii="Segoe UI" w:hAnsi="Segoe UI" w:cs="Segoe UI"/>
          <w:spacing w:val="-6"/>
          <w:sz w:val="20"/>
          <w:szCs w:val="20"/>
        </w:rPr>
        <w:t xml:space="preserve"> le budget omanais </w:t>
      </w:r>
      <w:r w:rsidR="0099696C">
        <w:rPr>
          <w:rFonts w:ascii="Segoe UI" w:hAnsi="Segoe UI" w:cs="Segoe UI"/>
          <w:spacing w:val="-6"/>
          <w:sz w:val="20"/>
          <w:szCs w:val="20"/>
        </w:rPr>
        <w:t>est passé d’un déficit</w:t>
      </w:r>
      <w:r w:rsidR="00B12275">
        <w:rPr>
          <w:rFonts w:ascii="Segoe UI" w:hAnsi="Segoe UI" w:cs="Segoe UI"/>
          <w:spacing w:val="-6"/>
          <w:sz w:val="20"/>
          <w:szCs w:val="20"/>
        </w:rPr>
        <w:t xml:space="preserve"> de</w:t>
      </w:r>
      <w:r w:rsidR="000D5B1C" w:rsidRPr="000D5B1C">
        <w:rPr>
          <w:rFonts w:ascii="Segoe UI" w:hAnsi="Segoe UI" w:cs="Segoe UI"/>
          <w:spacing w:val="-6"/>
          <w:sz w:val="20"/>
          <w:szCs w:val="20"/>
        </w:rPr>
        <w:t xml:space="preserve"> -16,1% du PIB en 2020, à -</w:t>
      </w:r>
      <w:r w:rsidR="00A462E2">
        <w:rPr>
          <w:rFonts w:ascii="Segoe UI" w:hAnsi="Segoe UI" w:cs="Segoe UI"/>
          <w:spacing w:val="-6"/>
          <w:sz w:val="20"/>
          <w:szCs w:val="20"/>
        </w:rPr>
        <w:t> </w:t>
      </w:r>
      <w:r w:rsidR="000D5B1C" w:rsidRPr="000D5B1C">
        <w:rPr>
          <w:rFonts w:ascii="Segoe UI" w:hAnsi="Segoe UI" w:cs="Segoe UI"/>
          <w:spacing w:val="-6"/>
          <w:sz w:val="20"/>
          <w:szCs w:val="20"/>
        </w:rPr>
        <w:t>3,2% du PIB en 2021</w:t>
      </w:r>
      <w:r w:rsidR="0099696C">
        <w:rPr>
          <w:rFonts w:ascii="Segoe UI" w:hAnsi="Segoe UI" w:cs="Segoe UI"/>
          <w:spacing w:val="-6"/>
          <w:sz w:val="20"/>
          <w:szCs w:val="20"/>
        </w:rPr>
        <w:t>, à la suite d</w:t>
      </w:r>
      <w:r w:rsidR="000D5B1C" w:rsidRPr="000D5B1C">
        <w:rPr>
          <w:rFonts w:ascii="Segoe UI" w:hAnsi="Segoe UI" w:cs="Segoe UI"/>
          <w:spacing w:val="-6"/>
          <w:sz w:val="20"/>
          <w:szCs w:val="20"/>
        </w:rPr>
        <w:t xml:space="preserve">u rebond des revenus pétroliers et à l’introduction d’une TVA à 5%.  </w:t>
      </w:r>
    </w:p>
    <w:p w14:paraId="74D1EF0F" w14:textId="761D8525" w:rsidR="002B5B98" w:rsidRPr="00371764" w:rsidRDefault="00371764" w:rsidP="00371764">
      <w:pPr>
        <w:spacing w:after="0"/>
        <w:ind w:left="-794" w:right="-567"/>
        <w:jc w:val="both"/>
        <w:rPr>
          <w:rFonts w:ascii="Segoe UI" w:hAnsi="Segoe UI" w:cs="Segoe UI"/>
          <w:spacing w:val="-6"/>
          <w:sz w:val="20"/>
          <w:szCs w:val="20"/>
        </w:rPr>
      </w:pPr>
      <w:r w:rsidRPr="00371764">
        <w:rPr>
          <w:rFonts w:ascii="Segoe UI" w:hAnsi="Segoe UI" w:cs="Segoe UI"/>
          <w:b/>
          <w:bCs/>
          <w:spacing w:val="-6"/>
          <w:sz w:val="20"/>
          <w:szCs w:val="20"/>
        </w:rPr>
        <w:t>Etabli sur la base d'un prix du baril à 60 USD, le budget 2026 anticipait un déficit de -1,3% du PIB (530 M OMR, soit 1,4 Md USD), en réduction de 14,5% par rapport au déficit inscrit au budget 2025.</w:t>
      </w:r>
      <w:r w:rsidRPr="00371764">
        <w:rPr>
          <w:rFonts w:ascii="Segoe UI" w:hAnsi="Segoe UI" w:cs="Segoe UI"/>
          <w:spacing w:val="-6"/>
          <w:sz w:val="20"/>
          <w:szCs w:val="20"/>
        </w:rPr>
        <w:t xml:space="preserve"> </w:t>
      </w:r>
      <w:r w:rsidR="0099696C">
        <w:rPr>
          <w:rFonts w:ascii="Segoe UI" w:hAnsi="Segoe UI" w:cs="Segoe UI"/>
          <w:spacing w:val="-6"/>
          <w:sz w:val="20"/>
          <w:szCs w:val="20"/>
        </w:rPr>
        <w:t>E</w:t>
      </w:r>
      <w:r w:rsidRPr="00371764">
        <w:rPr>
          <w:rFonts w:ascii="Segoe UI" w:hAnsi="Segoe UI" w:cs="Segoe UI"/>
          <w:spacing w:val="-6"/>
          <w:sz w:val="20"/>
          <w:szCs w:val="20"/>
        </w:rPr>
        <w:t xml:space="preserve">n 2025, </w:t>
      </w:r>
      <w:r w:rsidR="0099696C">
        <w:rPr>
          <w:rFonts w:ascii="Segoe UI" w:hAnsi="Segoe UI" w:cs="Segoe UI"/>
          <w:spacing w:val="-6"/>
          <w:sz w:val="20"/>
          <w:szCs w:val="20"/>
        </w:rPr>
        <w:t xml:space="preserve">cette hypothèse conservatrice s’est vue invalidée – </w:t>
      </w:r>
      <w:r w:rsidRPr="00371764">
        <w:rPr>
          <w:rFonts w:ascii="Segoe UI" w:hAnsi="Segoe UI" w:cs="Segoe UI"/>
          <w:spacing w:val="-6"/>
          <w:sz w:val="20"/>
          <w:szCs w:val="20"/>
        </w:rPr>
        <w:t>Oman a</w:t>
      </w:r>
      <w:r w:rsidR="0099696C">
        <w:rPr>
          <w:rFonts w:ascii="Segoe UI" w:hAnsi="Segoe UI" w:cs="Segoe UI"/>
          <w:spacing w:val="-6"/>
          <w:sz w:val="20"/>
          <w:szCs w:val="20"/>
        </w:rPr>
        <w:t>yant</w:t>
      </w:r>
      <w:r w:rsidRPr="00371764">
        <w:rPr>
          <w:rFonts w:ascii="Segoe UI" w:hAnsi="Segoe UI" w:cs="Segoe UI"/>
          <w:spacing w:val="-6"/>
          <w:sz w:val="20"/>
          <w:szCs w:val="20"/>
        </w:rPr>
        <w:t xml:space="preserve"> vendu son pétrole à un prix moyen de 71 USD/baril</w:t>
      </w:r>
      <w:r w:rsidR="0099696C">
        <w:rPr>
          <w:rFonts w:ascii="Segoe UI" w:hAnsi="Segoe UI" w:cs="Segoe UI"/>
          <w:spacing w:val="-6"/>
          <w:sz w:val="20"/>
          <w:szCs w:val="20"/>
        </w:rPr>
        <w:t xml:space="preserve"> –,</w:t>
      </w:r>
      <w:r w:rsidRPr="00371764">
        <w:rPr>
          <w:rFonts w:ascii="Segoe UI" w:hAnsi="Segoe UI" w:cs="Segoe UI"/>
          <w:spacing w:val="-6"/>
          <w:sz w:val="20"/>
          <w:szCs w:val="20"/>
        </w:rPr>
        <w:t xml:space="preserve"> ce qui a permis de contenir le déficit en deçà des projections initiales</w:t>
      </w:r>
      <w:r w:rsidRPr="00371764">
        <w:rPr>
          <w:rFonts w:ascii="Segoe UI" w:hAnsi="Segoe UI" w:cs="Segoe UI"/>
          <w:b/>
          <w:bCs/>
          <w:spacing w:val="-6"/>
          <w:sz w:val="20"/>
          <w:szCs w:val="20"/>
        </w:rPr>
        <w:t>. Le conflit régional de 2026 a depuis lors profondément reconfiguré les perspectives budgétaires</w:t>
      </w:r>
      <w:r w:rsidRPr="00371764">
        <w:rPr>
          <w:rFonts w:ascii="Segoe UI" w:hAnsi="Segoe UI" w:cs="Segoe UI"/>
          <w:spacing w:val="-6"/>
          <w:sz w:val="20"/>
          <w:szCs w:val="20"/>
        </w:rPr>
        <w:t xml:space="preserve"> : le FMI projette désormais un excédent du compte courant de 7,5% du PIB et une dette publique en recul à environ 33% du PIB</w:t>
      </w:r>
      <w:r w:rsidR="0099696C">
        <w:rPr>
          <w:rFonts w:ascii="Segoe UI" w:hAnsi="Segoe UI" w:cs="Segoe UI"/>
          <w:spacing w:val="-6"/>
          <w:sz w:val="20"/>
          <w:szCs w:val="20"/>
        </w:rPr>
        <w:t xml:space="preserve">. L’augmentation du </w:t>
      </w:r>
      <w:r w:rsidRPr="00371764">
        <w:rPr>
          <w:rFonts w:ascii="Segoe UI" w:hAnsi="Segoe UI" w:cs="Segoe UI"/>
          <w:spacing w:val="-6"/>
          <w:sz w:val="20"/>
          <w:szCs w:val="20"/>
        </w:rPr>
        <w:t>des prix des hydrocarbures venant mécaniquement transformer le déficit budgétaire anticipé en excédent. Le déficit primaire hors hydrocarbures reste néanmoins structurellement élevé, bien qu'il se soit réduit en 2025 grâce à la maîtrise des dépenses et à l'amélioration des recettes non-pétrolières.</w:t>
      </w:r>
      <w:r>
        <w:rPr>
          <w:rFonts w:ascii="Segoe UI" w:hAnsi="Segoe UI" w:cs="Segoe UI"/>
          <w:spacing w:val="-6"/>
          <w:sz w:val="20"/>
          <w:szCs w:val="20"/>
        </w:rPr>
        <w:t xml:space="preserve"> </w:t>
      </w:r>
      <w:r w:rsidRPr="00371764">
        <w:rPr>
          <w:rFonts w:ascii="Segoe UI" w:hAnsi="Segoe UI" w:cs="Segoe UI"/>
          <w:spacing w:val="-6"/>
          <w:sz w:val="20"/>
          <w:szCs w:val="20"/>
        </w:rPr>
        <w:t xml:space="preserve">Toutefois, la dynamique inflationniste induite par le conflit </w:t>
      </w:r>
      <w:r>
        <w:rPr>
          <w:rFonts w:ascii="Segoe UI" w:hAnsi="Segoe UI" w:cs="Segoe UI"/>
          <w:spacing w:val="-6"/>
          <w:sz w:val="20"/>
          <w:szCs w:val="20"/>
        </w:rPr>
        <w:t>(</w:t>
      </w:r>
      <w:r w:rsidRPr="00371764">
        <w:rPr>
          <w:rFonts w:ascii="Segoe UI" w:hAnsi="Segoe UI" w:cs="Segoe UI"/>
          <w:spacing w:val="-6"/>
          <w:sz w:val="20"/>
          <w:szCs w:val="20"/>
        </w:rPr>
        <w:t>notamment sur les prix alimentaires et les biens importés</w:t>
      </w:r>
      <w:r>
        <w:rPr>
          <w:rFonts w:ascii="Segoe UI" w:hAnsi="Segoe UI" w:cs="Segoe UI"/>
          <w:spacing w:val="-6"/>
          <w:sz w:val="20"/>
          <w:szCs w:val="20"/>
        </w:rPr>
        <w:t xml:space="preserve">) </w:t>
      </w:r>
      <w:r w:rsidRPr="00371764">
        <w:rPr>
          <w:rFonts w:ascii="Segoe UI" w:hAnsi="Segoe UI" w:cs="Segoe UI"/>
          <w:spacing w:val="-6"/>
          <w:sz w:val="20"/>
          <w:szCs w:val="20"/>
        </w:rPr>
        <w:t>pourrait contraindre le gouvernement à renforcer ses mécanismes de soutien aux ménages, partiellement réformés ces dernières années, pesant en retour sur la trajectoire de consolidation budgétaire.</w:t>
      </w:r>
    </w:p>
    <w:p w14:paraId="305A3F19" w14:textId="6589E52F" w:rsidR="001505C7" w:rsidRPr="00795900" w:rsidRDefault="00CE1688" w:rsidP="007F6739">
      <w:pPr>
        <w:spacing w:after="120"/>
        <w:ind w:left="-794" w:right="-567"/>
        <w:jc w:val="both"/>
        <w:rPr>
          <w:rFonts w:ascii="Segoe UI" w:hAnsi="Segoe UI" w:cs="Segoe UI"/>
          <w:spacing w:val="-6"/>
          <w:sz w:val="20"/>
          <w:szCs w:val="20"/>
        </w:rPr>
      </w:pPr>
      <w:r w:rsidRPr="00371764">
        <w:rPr>
          <w:rFonts w:ascii="Segoe UI" w:hAnsi="Segoe UI" w:cs="Segoe UI"/>
          <w:b/>
          <w:bCs/>
          <w:spacing w:val="-6"/>
          <w:sz w:val="20"/>
          <w:szCs w:val="20"/>
        </w:rPr>
        <w:t>Cette nette amélioration de la situation des finances publiques a été mise à profit par les autorités pour désendetter significativement le pays</w:t>
      </w:r>
      <w:r w:rsidR="002E574C" w:rsidRPr="00371764">
        <w:rPr>
          <w:rFonts w:ascii="Segoe UI" w:hAnsi="Segoe UI" w:cs="Segoe UI"/>
          <w:b/>
          <w:bCs/>
          <w:spacing w:val="-6"/>
          <w:sz w:val="20"/>
          <w:szCs w:val="20"/>
        </w:rPr>
        <w:t xml:space="preserve"> et a incité les grandes agences de notation à réviser à la hausse la note souveraine d’Oman</w:t>
      </w:r>
      <w:r w:rsidR="00371764">
        <w:rPr>
          <w:rFonts w:ascii="Segoe UI" w:hAnsi="Segoe UI" w:cs="Segoe UI"/>
          <w:b/>
          <w:bCs/>
          <w:spacing w:val="-6"/>
          <w:sz w:val="20"/>
          <w:szCs w:val="20"/>
        </w:rPr>
        <w:t>, y compris dans le contexte de la crise régionale</w:t>
      </w:r>
      <w:r w:rsidR="002E574C" w:rsidRPr="00371764">
        <w:rPr>
          <w:rFonts w:ascii="Segoe UI" w:hAnsi="Segoe UI" w:cs="Segoe UI"/>
          <w:b/>
          <w:bCs/>
          <w:spacing w:val="-6"/>
          <w:sz w:val="20"/>
          <w:szCs w:val="20"/>
        </w:rPr>
        <w:t>.</w:t>
      </w:r>
      <w:r w:rsidR="002E574C" w:rsidRPr="00371764">
        <w:rPr>
          <w:rFonts w:ascii="Segoe UI" w:hAnsi="Segoe UI" w:cs="Segoe UI"/>
          <w:spacing w:val="-6"/>
          <w:sz w:val="20"/>
          <w:szCs w:val="20"/>
        </w:rPr>
        <w:t xml:space="preserve"> V</w:t>
      </w:r>
      <w:r w:rsidRPr="00371764">
        <w:rPr>
          <w:rFonts w:ascii="Segoe UI" w:hAnsi="Segoe UI" w:cs="Segoe UI"/>
          <w:spacing w:val="-6"/>
          <w:sz w:val="20"/>
          <w:szCs w:val="20"/>
        </w:rPr>
        <w:t xml:space="preserve">ia notamment le rachat d’obligations souveraines et le remboursement d’emprunts avant leur date d’échéance, </w:t>
      </w:r>
      <w:r w:rsidR="002E574C" w:rsidRPr="00371764">
        <w:rPr>
          <w:rFonts w:ascii="Segoe UI" w:hAnsi="Segoe UI" w:cs="Segoe UI"/>
          <w:spacing w:val="-6"/>
          <w:sz w:val="20"/>
          <w:szCs w:val="20"/>
        </w:rPr>
        <w:t>l’administration omanaise a entériné son</w:t>
      </w:r>
      <w:r w:rsidRPr="00371764">
        <w:rPr>
          <w:rFonts w:ascii="Segoe UI" w:hAnsi="Segoe UI" w:cs="Segoe UI"/>
          <w:spacing w:val="-6"/>
          <w:sz w:val="20"/>
          <w:szCs w:val="20"/>
        </w:rPr>
        <w:t xml:space="preserve"> objectif à long terme d’orthodoxie budgétaire – qui s’est matérialisé </w:t>
      </w:r>
      <w:r w:rsidR="002E574C" w:rsidRPr="00371764">
        <w:rPr>
          <w:rFonts w:ascii="Segoe UI" w:hAnsi="Segoe UI" w:cs="Segoe UI"/>
          <w:spacing w:val="-6"/>
          <w:sz w:val="20"/>
          <w:szCs w:val="20"/>
        </w:rPr>
        <w:t xml:space="preserve">en 2023 </w:t>
      </w:r>
      <w:r w:rsidRPr="00371764">
        <w:rPr>
          <w:rFonts w:ascii="Segoe UI" w:hAnsi="Segoe UI" w:cs="Segoe UI"/>
          <w:spacing w:val="-6"/>
          <w:sz w:val="20"/>
          <w:szCs w:val="20"/>
        </w:rPr>
        <w:t xml:space="preserve">par la création d’un comité de gestion de la dette. Le niveau de la dette publique, passé de seulement 5% du PIB en 2014 à 70% en 2020 (recours massif au marché international de la dette obligataire, prêt de 3,6 Md USD de banques publiques chinoises en 2017), a été ramené à 38% du PIB en 2023 </w:t>
      </w:r>
      <w:r w:rsidR="002E574C" w:rsidRPr="00371764">
        <w:rPr>
          <w:rFonts w:ascii="Segoe UI" w:hAnsi="Segoe UI" w:cs="Segoe UI"/>
          <w:spacing w:val="-6"/>
          <w:sz w:val="20"/>
          <w:szCs w:val="20"/>
        </w:rPr>
        <w:t>et à 35% en 202</w:t>
      </w:r>
      <w:r w:rsidR="00DB3F69">
        <w:rPr>
          <w:rFonts w:ascii="Segoe UI" w:hAnsi="Segoe UI" w:cs="Segoe UI"/>
          <w:spacing w:val="-6"/>
          <w:sz w:val="20"/>
          <w:szCs w:val="20"/>
        </w:rPr>
        <w:t>5</w:t>
      </w:r>
      <w:r w:rsidR="002E574C" w:rsidRPr="00371764">
        <w:rPr>
          <w:rFonts w:ascii="Segoe UI" w:hAnsi="Segoe UI" w:cs="Segoe UI"/>
          <w:spacing w:val="-6"/>
          <w:sz w:val="20"/>
          <w:szCs w:val="20"/>
        </w:rPr>
        <w:t xml:space="preserve"> </w:t>
      </w:r>
      <w:r w:rsidRPr="00371764">
        <w:rPr>
          <w:rFonts w:ascii="Segoe UI" w:hAnsi="Segoe UI" w:cs="Segoe UI"/>
          <w:spacing w:val="-6"/>
          <w:sz w:val="20"/>
          <w:szCs w:val="20"/>
        </w:rPr>
        <w:t>selon le FMI.</w:t>
      </w:r>
      <w:r w:rsidR="002E574C" w:rsidRPr="00371764">
        <w:rPr>
          <w:rFonts w:ascii="Segoe UI" w:hAnsi="Segoe UI" w:cs="Segoe UI"/>
          <w:spacing w:val="-6"/>
          <w:sz w:val="20"/>
          <w:szCs w:val="20"/>
        </w:rPr>
        <w:t xml:space="preserve"> Les marchés ont salué cette solide performance : </w:t>
      </w:r>
      <w:r w:rsidR="002E574C" w:rsidRPr="00DC660E">
        <w:rPr>
          <w:rFonts w:ascii="Segoe UI" w:hAnsi="Segoe UI" w:cs="Segoe UI"/>
          <w:b/>
          <w:bCs/>
          <w:spacing w:val="-6"/>
          <w:sz w:val="20"/>
          <w:szCs w:val="20"/>
        </w:rPr>
        <w:t>S&amp;P</w:t>
      </w:r>
      <w:r w:rsidR="002E574C" w:rsidRPr="00371764">
        <w:rPr>
          <w:rFonts w:ascii="Segoe UI" w:hAnsi="Segoe UI" w:cs="Segoe UI"/>
          <w:spacing w:val="-6"/>
          <w:sz w:val="20"/>
          <w:szCs w:val="20"/>
        </w:rPr>
        <w:t xml:space="preserve"> a relevé la note souveraine du pays de BB+ à </w:t>
      </w:r>
      <w:r w:rsidR="002E574C" w:rsidRPr="00DC660E">
        <w:rPr>
          <w:rFonts w:ascii="Segoe UI" w:hAnsi="Segoe UI" w:cs="Segoe UI"/>
          <w:b/>
          <w:bCs/>
          <w:spacing w:val="-6"/>
          <w:sz w:val="20"/>
          <w:szCs w:val="20"/>
        </w:rPr>
        <w:t>BBB-</w:t>
      </w:r>
      <w:r w:rsidR="002E574C" w:rsidRPr="00371764">
        <w:rPr>
          <w:rFonts w:ascii="Segoe UI" w:hAnsi="Segoe UI" w:cs="Segoe UI"/>
          <w:spacing w:val="-6"/>
          <w:sz w:val="20"/>
          <w:szCs w:val="20"/>
        </w:rPr>
        <w:t xml:space="preserve"> en octobre 2024</w:t>
      </w:r>
      <w:r w:rsidR="006650D5" w:rsidRPr="00371764">
        <w:rPr>
          <w:rFonts w:ascii="Segoe UI" w:hAnsi="Segoe UI" w:cs="Segoe UI"/>
          <w:spacing w:val="-6"/>
          <w:sz w:val="20"/>
          <w:szCs w:val="20"/>
        </w:rPr>
        <w:t xml:space="preserve"> (</w:t>
      </w:r>
      <w:r w:rsidR="002E574C" w:rsidRPr="00371764">
        <w:rPr>
          <w:rFonts w:ascii="Segoe UI" w:hAnsi="Segoe UI" w:cs="Segoe UI"/>
          <w:spacing w:val="-6"/>
          <w:sz w:val="20"/>
          <w:szCs w:val="20"/>
        </w:rPr>
        <w:t xml:space="preserve">une décision confirmée en </w:t>
      </w:r>
      <w:r w:rsidR="00DB3F69">
        <w:rPr>
          <w:rFonts w:ascii="Segoe UI" w:hAnsi="Segoe UI" w:cs="Segoe UI"/>
          <w:spacing w:val="-6"/>
          <w:sz w:val="20"/>
          <w:szCs w:val="20"/>
        </w:rPr>
        <w:t>mars</w:t>
      </w:r>
      <w:r w:rsidR="002E574C" w:rsidRPr="00371764">
        <w:rPr>
          <w:rFonts w:ascii="Segoe UI" w:hAnsi="Segoe UI" w:cs="Segoe UI"/>
          <w:spacing w:val="-6"/>
          <w:sz w:val="20"/>
          <w:szCs w:val="20"/>
        </w:rPr>
        <w:t xml:space="preserve"> 202</w:t>
      </w:r>
      <w:r w:rsidR="00DB3F69">
        <w:rPr>
          <w:rFonts w:ascii="Segoe UI" w:hAnsi="Segoe UI" w:cs="Segoe UI"/>
          <w:spacing w:val="-6"/>
          <w:sz w:val="20"/>
          <w:szCs w:val="20"/>
        </w:rPr>
        <w:t>6 malgré la guerre</w:t>
      </w:r>
      <w:r w:rsidR="006650D5" w:rsidRPr="00371764">
        <w:rPr>
          <w:rFonts w:ascii="Segoe UI" w:hAnsi="Segoe UI" w:cs="Segoe UI"/>
          <w:spacing w:val="-6"/>
          <w:sz w:val="20"/>
          <w:szCs w:val="20"/>
        </w:rPr>
        <w:t>)</w:t>
      </w:r>
      <w:r w:rsidR="002E574C" w:rsidRPr="00371764">
        <w:rPr>
          <w:rFonts w:ascii="Segoe UI" w:hAnsi="Segoe UI" w:cs="Segoe UI"/>
          <w:spacing w:val="-6"/>
          <w:sz w:val="20"/>
          <w:szCs w:val="20"/>
        </w:rPr>
        <w:t xml:space="preserve">, tandis que </w:t>
      </w:r>
      <w:r w:rsidR="002E574C" w:rsidRPr="00DC660E">
        <w:rPr>
          <w:rFonts w:ascii="Segoe UI" w:hAnsi="Segoe UI" w:cs="Segoe UI"/>
          <w:b/>
          <w:bCs/>
          <w:spacing w:val="-6"/>
          <w:sz w:val="20"/>
          <w:szCs w:val="20"/>
        </w:rPr>
        <w:t>Moody’s</w:t>
      </w:r>
      <w:r w:rsidR="002E574C" w:rsidRPr="00371764">
        <w:rPr>
          <w:rFonts w:ascii="Segoe UI" w:hAnsi="Segoe UI" w:cs="Segoe UI"/>
          <w:spacing w:val="-6"/>
          <w:sz w:val="20"/>
          <w:szCs w:val="20"/>
        </w:rPr>
        <w:t xml:space="preserve"> a rehaussé sa notation de Ba1 à </w:t>
      </w:r>
      <w:r w:rsidR="002E574C" w:rsidRPr="00DC660E">
        <w:rPr>
          <w:rFonts w:ascii="Segoe UI" w:hAnsi="Segoe UI" w:cs="Segoe UI"/>
          <w:b/>
          <w:bCs/>
          <w:spacing w:val="-6"/>
          <w:sz w:val="20"/>
          <w:szCs w:val="20"/>
        </w:rPr>
        <w:t>Baa3</w:t>
      </w:r>
      <w:r w:rsidR="002E574C" w:rsidRPr="00371764">
        <w:rPr>
          <w:rFonts w:ascii="Segoe UI" w:hAnsi="Segoe UI" w:cs="Segoe UI"/>
          <w:spacing w:val="-6"/>
          <w:sz w:val="20"/>
          <w:szCs w:val="20"/>
        </w:rPr>
        <w:t xml:space="preserve"> avec perspective stable en juillet 2025. </w:t>
      </w:r>
      <w:r w:rsidR="00DB3F69">
        <w:rPr>
          <w:rFonts w:ascii="Segoe UI" w:hAnsi="Segoe UI" w:cs="Segoe UI"/>
          <w:spacing w:val="-6"/>
          <w:sz w:val="20"/>
          <w:szCs w:val="20"/>
        </w:rPr>
        <w:t xml:space="preserve">Enfin, </w:t>
      </w:r>
      <w:r w:rsidR="00DB3F69" w:rsidRPr="00DC660E">
        <w:rPr>
          <w:rFonts w:ascii="Segoe UI" w:hAnsi="Segoe UI" w:cs="Segoe UI"/>
          <w:b/>
          <w:bCs/>
          <w:spacing w:val="-6"/>
          <w:sz w:val="20"/>
          <w:szCs w:val="20"/>
        </w:rPr>
        <w:t>Fitch</w:t>
      </w:r>
      <w:r w:rsidR="00DB3F69">
        <w:rPr>
          <w:rFonts w:ascii="Segoe UI" w:hAnsi="Segoe UI" w:cs="Segoe UI"/>
          <w:spacing w:val="-6"/>
          <w:sz w:val="20"/>
          <w:szCs w:val="20"/>
        </w:rPr>
        <w:t xml:space="preserve"> a aussi réhaussé sa notation en décembre 2025 à </w:t>
      </w:r>
      <w:r w:rsidR="00DB3F69" w:rsidRPr="00DC660E">
        <w:rPr>
          <w:rFonts w:ascii="Segoe UI" w:hAnsi="Segoe UI" w:cs="Segoe UI"/>
          <w:b/>
          <w:bCs/>
          <w:spacing w:val="-6"/>
          <w:sz w:val="20"/>
          <w:szCs w:val="20"/>
        </w:rPr>
        <w:t>BBB-</w:t>
      </w:r>
      <w:r w:rsidR="00DB3F69">
        <w:rPr>
          <w:rFonts w:ascii="Segoe UI" w:hAnsi="Segoe UI" w:cs="Segoe UI"/>
          <w:spacing w:val="-6"/>
          <w:sz w:val="20"/>
          <w:szCs w:val="20"/>
        </w:rPr>
        <w:t xml:space="preserve">. </w:t>
      </w:r>
      <w:r w:rsidR="002E574C" w:rsidRPr="00371764">
        <w:rPr>
          <w:rFonts w:ascii="Segoe UI" w:hAnsi="Segoe UI" w:cs="Segoe UI"/>
          <w:spacing w:val="-6"/>
          <w:sz w:val="20"/>
          <w:szCs w:val="20"/>
        </w:rPr>
        <w:t xml:space="preserve">Le </w:t>
      </w:r>
      <w:r w:rsidR="006650D5" w:rsidRPr="00371764">
        <w:rPr>
          <w:rFonts w:ascii="Segoe UI" w:hAnsi="Segoe UI" w:cs="Segoe UI"/>
          <w:spacing w:val="-6"/>
          <w:sz w:val="20"/>
          <w:szCs w:val="20"/>
        </w:rPr>
        <w:t>« </w:t>
      </w:r>
      <w:r w:rsidR="002E574C" w:rsidRPr="00371764">
        <w:rPr>
          <w:rFonts w:ascii="Segoe UI" w:hAnsi="Segoe UI" w:cs="Segoe UI"/>
          <w:spacing w:val="-6"/>
          <w:sz w:val="20"/>
          <w:szCs w:val="20"/>
        </w:rPr>
        <w:t>spread</w:t>
      </w:r>
      <w:r w:rsidR="006650D5" w:rsidRPr="00371764">
        <w:rPr>
          <w:rFonts w:ascii="Segoe UI" w:hAnsi="Segoe UI" w:cs="Segoe UI"/>
          <w:spacing w:val="-6"/>
          <w:sz w:val="20"/>
          <w:szCs w:val="20"/>
        </w:rPr>
        <w:t> »</w:t>
      </w:r>
      <w:r w:rsidR="002E574C" w:rsidRPr="00371764">
        <w:rPr>
          <w:rFonts w:ascii="Segoe UI" w:hAnsi="Segoe UI" w:cs="Segoe UI"/>
          <w:spacing w:val="-6"/>
          <w:sz w:val="20"/>
          <w:szCs w:val="20"/>
        </w:rPr>
        <w:t xml:space="preserve"> d’Oman est </w:t>
      </w:r>
      <w:r w:rsidR="006650D5" w:rsidRPr="00371764">
        <w:rPr>
          <w:rFonts w:ascii="Segoe UI" w:hAnsi="Segoe UI" w:cs="Segoe UI"/>
          <w:spacing w:val="-6"/>
          <w:sz w:val="20"/>
          <w:szCs w:val="20"/>
        </w:rPr>
        <w:t xml:space="preserve">par ailleurs </w:t>
      </w:r>
      <w:r w:rsidR="002E574C" w:rsidRPr="00371764">
        <w:rPr>
          <w:rFonts w:ascii="Segoe UI" w:hAnsi="Segoe UI" w:cs="Segoe UI"/>
          <w:spacing w:val="-6"/>
          <w:sz w:val="20"/>
          <w:szCs w:val="20"/>
        </w:rPr>
        <w:t>passé de 400 points de base en décembre 2021 à 120 points de base en mai 2025, traduisant une amélioration notable de la perception des actifs omanais par les investisseurs</w:t>
      </w:r>
      <w:r w:rsidR="006650D5" w:rsidRPr="00371764">
        <w:rPr>
          <w:rFonts w:ascii="Segoe UI" w:hAnsi="Segoe UI" w:cs="Segoe UI"/>
          <w:spacing w:val="-6"/>
          <w:sz w:val="20"/>
          <w:szCs w:val="20"/>
        </w:rPr>
        <w:t xml:space="preserve">, avoisinant </w:t>
      </w:r>
      <w:r w:rsidRPr="00371764">
        <w:rPr>
          <w:rFonts w:ascii="Segoe UI" w:hAnsi="Segoe UI" w:cs="Segoe UI"/>
          <w:spacing w:val="-6"/>
          <w:sz w:val="20"/>
          <w:szCs w:val="20"/>
        </w:rPr>
        <w:t>le niveau moyen de ses voisins du</w:t>
      </w:r>
      <w:r w:rsidR="006650D5" w:rsidRPr="00371764">
        <w:rPr>
          <w:rFonts w:ascii="Segoe UI" w:hAnsi="Segoe UI" w:cs="Segoe UI"/>
          <w:spacing w:val="-6"/>
          <w:sz w:val="20"/>
          <w:szCs w:val="20"/>
        </w:rPr>
        <w:t xml:space="preserve"> CCEAG</w:t>
      </w:r>
      <w:r w:rsidRPr="00371764">
        <w:rPr>
          <w:rFonts w:ascii="Segoe UI" w:hAnsi="Segoe UI" w:cs="Segoe UI"/>
          <w:spacing w:val="-6"/>
          <w:sz w:val="20"/>
          <w:szCs w:val="20"/>
        </w:rPr>
        <w:t xml:space="preserve">. </w:t>
      </w:r>
      <w:r w:rsidR="006650D5" w:rsidRPr="00371764">
        <w:rPr>
          <w:rFonts w:ascii="Segoe UI" w:hAnsi="Segoe UI" w:cs="Segoe UI"/>
          <w:spacing w:val="-6"/>
          <w:sz w:val="20"/>
          <w:szCs w:val="20"/>
        </w:rPr>
        <w:t>Cette confiance du marché devrait se consolider par</w:t>
      </w:r>
      <w:r w:rsidR="00CB0A99" w:rsidRPr="00371764">
        <w:rPr>
          <w:rFonts w:ascii="Segoe UI" w:hAnsi="Segoe UI" w:cs="Segoe UI"/>
          <w:spacing w:val="-6"/>
          <w:sz w:val="20"/>
          <w:szCs w:val="20"/>
        </w:rPr>
        <w:t xml:space="preserve"> la récente introduction d’un </w:t>
      </w:r>
      <w:r w:rsidR="00CB0A99" w:rsidRPr="00DC660E">
        <w:rPr>
          <w:rFonts w:ascii="Segoe UI" w:hAnsi="Segoe UI" w:cs="Segoe UI"/>
          <w:b/>
          <w:bCs/>
          <w:spacing w:val="-6"/>
          <w:sz w:val="20"/>
          <w:szCs w:val="20"/>
        </w:rPr>
        <w:t>impôt sur le revenu des personnes physiques</w:t>
      </w:r>
      <w:r w:rsidR="00CB0A99" w:rsidRPr="00371764">
        <w:rPr>
          <w:rFonts w:ascii="Segoe UI" w:hAnsi="Segoe UI" w:cs="Segoe UI"/>
          <w:spacing w:val="-6"/>
          <w:sz w:val="20"/>
          <w:szCs w:val="20"/>
        </w:rPr>
        <w:t xml:space="preserve"> (le 1er du </w:t>
      </w:r>
      <w:r w:rsidR="002E0350">
        <w:rPr>
          <w:rFonts w:ascii="Segoe UI" w:hAnsi="Segoe UI" w:cs="Segoe UI"/>
          <w:spacing w:val="-6"/>
          <w:sz w:val="20"/>
          <w:szCs w:val="20"/>
        </w:rPr>
        <w:t>CCG</w:t>
      </w:r>
      <w:r w:rsidR="00CB0A99" w:rsidRPr="00371764">
        <w:rPr>
          <w:rFonts w:ascii="Segoe UI" w:hAnsi="Segoe UI" w:cs="Segoe UI"/>
          <w:spacing w:val="-6"/>
          <w:sz w:val="20"/>
          <w:szCs w:val="20"/>
        </w:rPr>
        <w:t>)</w:t>
      </w:r>
      <w:r w:rsidR="006650D5" w:rsidRPr="00371764">
        <w:rPr>
          <w:rFonts w:ascii="Segoe UI" w:hAnsi="Segoe UI" w:cs="Segoe UI"/>
          <w:spacing w:val="-6"/>
          <w:sz w:val="20"/>
          <w:szCs w:val="20"/>
        </w:rPr>
        <w:t xml:space="preserve">, qui devrait </w:t>
      </w:r>
      <w:r w:rsidR="00CB0A99" w:rsidRPr="00371764">
        <w:rPr>
          <w:rFonts w:ascii="Segoe UI" w:hAnsi="Segoe UI" w:cs="Segoe UI"/>
          <w:spacing w:val="-6"/>
          <w:sz w:val="20"/>
          <w:szCs w:val="20"/>
        </w:rPr>
        <w:t>entrer en vigueur en 2028</w:t>
      </w:r>
      <w:r w:rsidR="006650D5" w:rsidRPr="00371764">
        <w:rPr>
          <w:rFonts w:ascii="Segoe UI" w:hAnsi="Segoe UI" w:cs="Segoe UI"/>
          <w:spacing w:val="-6"/>
          <w:sz w:val="20"/>
          <w:szCs w:val="20"/>
        </w:rPr>
        <w:t xml:space="preserve">. </w:t>
      </w:r>
    </w:p>
    <w:p w14:paraId="4E0C1D9C" w14:textId="0E0DFEFD" w:rsidR="009C018E" w:rsidRPr="009C018E" w:rsidRDefault="00980AD3" w:rsidP="007F6739">
      <w:pPr>
        <w:pStyle w:val="Paragraphedeliste"/>
        <w:numPr>
          <w:ilvl w:val="0"/>
          <w:numId w:val="18"/>
        </w:numPr>
        <w:spacing w:after="0"/>
        <w:jc w:val="both"/>
        <w:rPr>
          <w:rFonts w:ascii="Segoe UI" w:hAnsi="Segoe UI" w:cs="Segoe UI"/>
          <w:b/>
          <w:bCs/>
          <w:color w:val="000091" w:themeColor="text1"/>
        </w:rPr>
      </w:pPr>
      <w:r>
        <w:rPr>
          <w:rFonts w:ascii="Segoe UI" w:hAnsi="Segoe UI" w:cs="Segoe UI"/>
          <w:b/>
          <w:bCs/>
          <w:color w:val="000091" w:themeColor="text1"/>
        </w:rPr>
        <w:t>U</w:t>
      </w:r>
      <w:r w:rsidR="00EF5E00" w:rsidRPr="00EF5E00">
        <w:rPr>
          <w:rFonts w:ascii="Segoe UI" w:hAnsi="Segoe UI" w:cs="Segoe UI"/>
          <w:b/>
          <w:bCs/>
          <w:color w:val="000091" w:themeColor="text1"/>
        </w:rPr>
        <w:t>ne stabilité globalement préservée</w:t>
      </w:r>
      <w:r w:rsidRPr="00980AD3">
        <w:rPr>
          <w:rFonts w:ascii="Segoe UI" w:hAnsi="Segoe UI" w:cs="Segoe UI"/>
          <w:b/>
          <w:bCs/>
          <w:color w:val="000091" w:themeColor="text1"/>
        </w:rPr>
        <w:t xml:space="preserve"> </w:t>
      </w:r>
      <w:r>
        <w:rPr>
          <w:rFonts w:ascii="Segoe UI" w:hAnsi="Segoe UI" w:cs="Segoe UI"/>
          <w:b/>
          <w:bCs/>
          <w:color w:val="000091" w:themeColor="text1"/>
        </w:rPr>
        <w:t>des c</w:t>
      </w:r>
      <w:r w:rsidRPr="00EF5E00">
        <w:rPr>
          <w:rFonts w:ascii="Segoe UI" w:hAnsi="Segoe UI" w:cs="Segoe UI"/>
          <w:b/>
          <w:bCs/>
          <w:color w:val="000091" w:themeColor="text1"/>
        </w:rPr>
        <w:t xml:space="preserve">omptes extérieurs et </w:t>
      </w:r>
      <w:r>
        <w:rPr>
          <w:rFonts w:ascii="Segoe UI" w:hAnsi="Segoe UI" w:cs="Segoe UI"/>
          <w:b/>
          <w:bCs/>
          <w:color w:val="000091" w:themeColor="text1"/>
        </w:rPr>
        <w:t>de l’</w:t>
      </w:r>
      <w:r w:rsidRPr="00EF5E00">
        <w:rPr>
          <w:rFonts w:ascii="Segoe UI" w:hAnsi="Segoe UI" w:cs="Segoe UI"/>
          <w:b/>
          <w:bCs/>
          <w:color w:val="000091" w:themeColor="text1"/>
        </w:rPr>
        <w:t>inflation</w:t>
      </w:r>
      <w:r w:rsidR="00EF5E00" w:rsidRPr="00EF5E00">
        <w:rPr>
          <w:rFonts w:ascii="Segoe UI" w:hAnsi="Segoe UI" w:cs="Segoe UI"/>
          <w:b/>
          <w:bCs/>
          <w:color w:val="000091" w:themeColor="text1"/>
        </w:rPr>
        <w:t>, malgré des à-coups conjoncturels</w:t>
      </w:r>
    </w:p>
    <w:p w14:paraId="4D28A508" w14:textId="1528873A" w:rsidR="00AE6A6D" w:rsidRPr="007737E6" w:rsidRDefault="002D5D40" w:rsidP="007F6739">
      <w:pPr>
        <w:spacing w:after="120"/>
        <w:ind w:left="-794" w:right="-567"/>
        <w:jc w:val="both"/>
      </w:pPr>
      <w:r w:rsidRPr="00DC660E">
        <w:rPr>
          <w:rFonts w:ascii="Segoe UI" w:hAnsi="Segoe UI" w:cs="Segoe UI"/>
          <w:b/>
          <w:bCs/>
          <w:spacing w:val="-6"/>
          <w:sz w:val="20"/>
          <w:szCs w:val="20"/>
        </w:rPr>
        <w:t>L</w:t>
      </w:r>
      <w:r w:rsidR="00A74034" w:rsidRPr="00DC660E">
        <w:rPr>
          <w:rFonts w:ascii="Segoe UI" w:hAnsi="Segoe UI" w:cs="Segoe UI"/>
          <w:b/>
          <w:bCs/>
          <w:spacing w:val="-6"/>
          <w:sz w:val="20"/>
          <w:szCs w:val="20"/>
        </w:rPr>
        <w:t>a balance des paiements a enregistré en 2025 un déficit du compte courant de -1,1 % du PIB selon le FMI, après un excédent en 2023 et 2024 (+2,8% et + 2,4% respectivement)</w:t>
      </w:r>
      <w:r w:rsidR="00DC660E">
        <w:rPr>
          <w:rFonts w:ascii="Segoe UI" w:hAnsi="Segoe UI" w:cs="Segoe UI"/>
          <w:b/>
          <w:bCs/>
          <w:spacing w:val="-6"/>
          <w:sz w:val="20"/>
          <w:szCs w:val="20"/>
        </w:rPr>
        <w:t>,</w:t>
      </w:r>
      <w:r w:rsidR="00DC660E" w:rsidRPr="00DC660E">
        <w:rPr>
          <w:rFonts w:ascii="Segoe UI" w:hAnsi="Segoe UI" w:cs="Segoe UI"/>
          <w:b/>
          <w:bCs/>
          <w:spacing w:val="-6"/>
          <w:sz w:val="20"/>
          <w:szCs w:val="20"/>
        </w:rPr>
        <w:t xml:space="preserve"> principalement sous l’effet d'une modération des prix pétroliers</w:t>
      </w:r>
      <w:r w:rsidR="00A74034" w:rsidRPr="00DC660E">
        <w:rPr>
          <w:rFonts w:ascii="Segoe UI" w:hAnsi="Segoe UI" w:cs="Segoe UI"/>
          <w:b/>
          <w:bCs/>
          <w:spacing w:val="-6"/>
          <w:sz w:val="20"/>
          <w:szCs w:val="20"/>
        </w:rPr>
        <w:t>.</w:t>
      </w:r>
      <w:r w:rsidR="00A74034" w:rsidRPr="00F94ABF">
        <w:rPr>
          <w:rFonts w:ascii="Segoe UI" w:hAnsi="Segoe UI" w:cs="Segoe UI"/>
          <w:spacing w:val="-6"/>
          <w:sz w:val="20"/>
          <w:szCs w:val="20"/>
        </w:rPr>
        <w:t xml:space="preserve"> </w:t>
      </w:r>
      <w:r w:rsidR="00DC660E" w:rsidRPr="00DC660E">
        <w:rPr>
          <w:rFonts w:ascii="Segoe UI" w:hAnsi="Segoe UI" w:cs="Segoe UI"/>
          <w:spacing w:val="-6"/>
          <w:sz w:val="20"/>
          <w:szCs w:val="20"/>
        </w:rPr>
        <w:t xml:space="preserve">Ce tableau a été profondément reconfiguré par le conflit régional de 2026 : le FMI projette désormais un excédent du compte courant de </w:t>
      </w:r>
      <w:r w:rsidR="00DC660E" w:rsidRPr="00DC660E">
        <w:rPr>
          <w:rFonts w:ascii="Segoe UI" w:hAnsi="Segoe UI" w:cs="Segoe UI"/>
          <w:b/>
          <w:bCs/>
          <w:spacing w:val="-6"/>
          <w:sz w:val="20"/>
          <w:szCs w:val="20"/>
        </w:rPr>
        <w:t>+7,5% du PIB pour 2026</w:t>
      </w:r>
      <w:r w:rsidR="00DC660E" w:rsidRPr="00DC660E">
        <w:rPr>
          <w:rFonts w:ascii="Segoe UI" w:hAnsi="Segoe UI" w:cs="Segoe UI"/>
          <w:spacing w:val="-6"/>
          <w:sz w:val="20"/>
          <w:szCs w:val="20"/>
        </w:rPr>
        <w:t>, porté par la forte hausse des recettes d'exportation d'hydrocarbures et des entrées soutenues de liquidités étrangères.</w:t>
      </w:r>
      <w:r w:rsidR="007737E6">
        <w:t xml:space="preserve"> </w:t>
      </w:r>
      <w:r w:rsidR="00AC30C2" w:rsidRPr="00DC660E">
        <w:rPr>
          <w:rFonts w:ascii="Segoe UI" w:hAnsi="Segoe UI" w:cs="Segoe UI"/>
          <w:b/>
          <w:bCs/>
          <w:spacing w:val="-6"/>
          <w:sz w:val="20"/>
          <w:szCs w:val="20"/>
        </w:rPr>
        <w:t>Le stock d’IDE s’élève à 80 Md USD à fin 2025, soit +16,2% en glissement annuel</w:t>
      </w:r>
      <w:r w:rsidR="00AC30C2" w:rsidRPr="00F94ABF">
        <w:rPr>
          <w:rFonts w:ascii="Segoe UI" w:hAnsi="Segoe UI" w:cs="Segoe UI"/>
          <w:spacing w:val="-6"/>
          <w:sz w:val="20"/>
          <w:szCs w:val="20"/>
        </w:rPr>
        <w:t>. Ce stock représente environ 65% du PIB et continue de se concentrer dans le secteur des hydrocarbures. Le Royaume-Uni contrôle la moitié du stock IDE, via Shell et BP notamment, devant les États-Unis, le Koweït, la Chine et les Emirats arabes unis.</w:t>
      </w:r>
      <w:r w:rsidR="007737E6">
        <w:t xml:space="preserve"> </w:t>
      </w:r>
      <w:r w:rsidR="00AC30C2" w:rsidRPr="00AE6A6D">
        <w:rPr>
          <w:rFonts w:ascii="Segoe UI" w:hAnsi="Segoe UI" w:cs="Segoe UI"/>
          <w:b/>
          <w:bCs/>
          <w:spacing w:val="-6"/>
          <w:sz w:val="20"/>
          <w:szCs w:val="20"/>
        </w:rPr>
        <w:t xml:space="preserve">L’inflation s’est </w:t>
      </w:r>
      <w:r w:rsidR="00AE6A6D">
        <w:rPr>
          <w:rFonts w:ascii="Segoe UI" w:hAnsi="Segoe UI" w:cs="Segoe UI"/>
          <w:b/>
          <w:bCs/>
          <w:spacing w:val="-6"/>
          <w:sz w:val="20"/>
          <w:szCs w:val="20"/>
        </w:rPr>
        <w:t>maintenue</w:t>
      </w:r>
      <w:r w:rsidR="00AC30C2" w:rsidRPr="00AE6A6D">
        <w:rPr>
          <w:rFonts w:ascii="Segoe UI" w:hAnsi="Segoe UI" w:cs="Segoe UI"/>
          <w:b/>
          <w:bCs/>
          <w:spacing w:val="-6"/>
          <w:sz w:val="20"/>
          <w:szCs w:val="20"/>
        </w:rPr>
        <w:t xml:space="preserve"> à un niveau </w:t>
      </w:r>
      <w:r w:rsidR="00AE6A6D">
        <w:rPr>
          <w:rFonts w:ascii="Segoe UI" w:hAnsi="Segoe UI" w:cs="Segoe UI"/>
          <w:b/>
          <w:bCs/>
          <w:spacing w:val="-6"/>
          <w:sz w:val="20"/>
          <w:szCs w:val="20"/>
        </w:rPr>
        <w:t xml:space="preserve">faible en 2025 </w:t>
      </w:r>
      <w:r w:rsidR="00AC30C2" w:rsidRPr="00AE6A6D">
        <w:rPr>
          <w:rFonts w:ascii="Segoe UI" w:hAnsi="Segoe UI" w:cs="Segoe UI"/>
          <w:b/>
          <w:bCs/>
          <w:spacing w:val="-6"/>
          <w:sz w:val="20"/>
          <w:szCs w:val="20"/>
        </w:rPr>
        <w:t>de 0,9 % (0,6 % en 2024)</w:t>
      </w:r>
      <w:r w:rsidR="00AE6A6D">
        <w:rPr>
          <w:rFonts w:ascii="Segoe UI" w:hAnsi="Segoe UI" w:cs="Segoe UI"/>
          <w:b/>
          <w:bCs/>
          <w:spacing w:val="-6"/>
          <w:sz w:val="20"/>
          <w:szCs w:val="20"/>
        </w:rPr>
        <w:t xml:space="preserve">, porté par </w:t>
      </w:r>
      <w:r w:rsidR="00AE6A6D" w:rsidRPr="00AE6A6D">
        <w:rPr>
          <w:rFonts w:ascii="Segoe UI" w:hAnsi="Segoe UI" w:cs="Segoe UI"/>
          <w:b/>
          <w:bCs/>
          <w:spacing w:val="-6"/>
          <w:sz w:val="20"/>
          <w:szCs w:val="20"/>
        </w:rPr>
        <w:t>l</w:t>
      </w:r>
      <w:r w:rsidR="00AC30C2" w:rsidRPr="00AE6A6D">
        <w:rPr>
          <w:rFonts w:ascii="Segoe UI" w:hAnsi="Segoe UI" w:cs="Segoe UI"/>
          <w:b/>
          <w:bCs/>
          <w:spacing w:val="-6"/>
          <w:sz w:val="20"/>
          <w:szCs w:val="20"/>
        </w:rPr>
        <w:t xml:space="preserve">’ancrage du rial au dollar, objectif prioritaire de la Banque centrale, </w:t>
      </w:r>
      <w:r w:rsidR="00AE6A6D" w:rsidRPr="00AE6A6D">
        <w:rPr>
          <w:rFonts w:ascii="Segoe UI" w:hAnsi="Segoe UI" w:cs="Segoe UI"/>
          <w:b/>
          <w:bCs/>
          <w:spacing w:val="-6"/>
          <w:sz w:val="20"/>
          <w:szCs w:val="20"/>
        </w:rPr>
        <w:t xml:space="preserve">qui </w:t>
      </w:r>
      <w:r w:rsidR="00AC30C2" w:rsidRPr="00AE6A6D">
        <w:rPr>
          <w:rFonts w:ascii="Segoe UI" w:hAnsi="Segoe UI" w:cs="Segoe UI"/>
          <w:b/>
          <w:bCs/>
          <w:spacing w:val="-6"/>
          <w:sz w:val="20"/>
          <w:szCs w:val="20"/>
        </w:rPr>
        <w:t xml:space="preserve">a contribué à </w:t>
      </w:r>
      <w:r w:rsidR="00AE6A6D">
        <w:rPr>
          <w:rFonts w:ascii="Segoe UI" w:hAnsi="Segoe UI" w:cs="Segoe UI"/>
          <w:b/>
          <w:bCs/>
          <w:spacing w:val="-6"/>
          <w:sz w:val="20"/>
          <w:szCs w:val="20"/>
        </w:rPr>
        <w:t>contenir les pressions inflationnistes</w:t>
      </w:r>
      <w:r w:rsidR="00AC30C2" w:rsidRPr="00AE6A6D">
        <w:rPr>
          <w:rFonts w:ascii="Segoe UI" w:hAnsi="Segoe UI" w:cs="Segoe UI"/>
          <w:b/>
          <w:bCs/>
          <w:spacing w:val="-6"/>
          <w:sz w:val="20"/>
          <w:szCs w:val="20"/>
        </w:rPr>
        <w:t xml:space="preserve"> au cours de la dernière décennie</w:t>
      </w:r>
      <w:r w:rsidR="00AC30C2" w:rsidRPr="00F94ABF">
        <w:rPr>
          <w:rFonts w:ascii="Segoe UI" w:hAnsi="Segoe UI" w:cs="Segoe UI"/>
          <w:spacing w:val="-6"/>
          <w:sz w:val="20"/>
          <w:szCs w:val="20"/>
        </w:rPr>
        <w:t>. Les réserves de changes, estimées à 19,3 Mds USD fin 2025 selon le FMI, assurent une couverture suffisante pour cet arrimage</w:t>
      </w:r>
      <w:r w:rsidR="00AE6A6D">
        <w:rPr>
          <w:rFonts w:ascii="Segoe UI" w:hAnsi="Segoe UI" w:cs="Segoe UI"/>
          <w:spacing w:val="-6"/>
          <w:sz w:val="20"/>
          <w:szCs w:val="20"/>
        </w:rPr>
        <w:t xml:space="preserve"> (4 mois d’importations)</w:t>
      </w:r>
      <w:r w:rsidR="00AC30C2" w:rsidRPr="00F94ABF">
        <w:rPr>
          <w:rFonts w:ascii="Segoe UI" w:hAnsi="Segoe UI" w:cs="Segoe UI"/>
          <w:spacing w:val="-6"/>
          <w:sz w:val="20"/>
          <w:szCs w:val="20"/>
        </w:rPr>
        <w:t xml:space="preserve">. </w:t>
      </w:r>
      <w:r w:rsidR="00AE6A6D" w:rsidRPr="00AE6A6D">
        <w:rPr>
          <w:rFonts w:ascii="Segoe UI" w:hAnsi="Segoe UI" w:cs="Segoe UI"/>
          <w:spacing w:val="-6"/>
          <w:sz w:val="20"/>
          <w:szCs w:val="20"/>
        </w:rPr>
        <w:t xml:space="preserve">Le déclenchement du conflit régional a rompu cette tendance : l'inflation a atteint 2% en février 2026, tirée par l'alimentation (+2,8%) et les biens de consommation courante, portant la moyenne des deux premiers mois à 1,7%. La prévision initiale du FMI de 1,2% pour 2026 </w:t>
      </w:r>
      <w:r w:rsidR="000D1AF7">
        <w:rPr>
          <w:rFonts w:ascii="Segoe UI" w:hAnsi="Segoe UI" w:cs="Segoe UI"/>
          <w:spacing w:val="-6"/>
          <w:sz w:val="20"/>
          <w:szCs w:val="20"/>
        </w:rPr>
        <w:t>aura donc sans doute vocation à être révisée</w:t>
      </w:r>
      <w:r w:rsidR="00AE6A6D" w:rsidRPr="00AE6A6D">
        <w:rPr>
          <w:rFonts w:ascii="Segoe UI" w:hAnsi="Segoe UI" w:cs="Segoe UI"/>
          <w:spacing w:val="-6"/>
          <w:sz w:val="20"/>
          <w:szCs w:val="20"/>
        </w:rPr>
        <w:t>.</w:t>
      </w:r>
      <w:r w:rsidR="00AE6A6D">
        <w:rPr>
          <w:rFonts w:ascii="Segoe UI" w:hAnsi="Segoe UI" w:cs="Segoe UI"/>
          <w:spacing w:val="-6"/>
          <w:sz w:val="20"/>
          <w:szCs w:val="20"/>
        </w:rPr>
        <w:t xml:space="preserve"> </w:t>
      </w:r>
    </w:p>
    <w:p w14:paraId="6F7C0A65" w14:textId="53A3D404" w:rsidR="00AE6A6D" w:rsidRPr="00E85E8C" w:rsidRDefault="00A5643B" w:rsidP="00A5643B">
      <w:pPr>
        <w:pStyle w:val="Paragraphedeliste"/>
        <w:numPr>
          <w:ilvl w:val="0"/>
          <w:numId w:val="18"/>
        </w:numPr>
        <w:spacing w:after="0"/>
        <w:rPr>
          <w:rFonts w:ascii="Segoe UI" w:hAnsi="Segoe UI" w:cs="Segoe UI"/>
          <w:b/>
          <w:bCs/>
          <w:color w:val="000091" w:themeColor="text1"/>
        </w:rPr>
      </w:pPr>
      <w:r w:rsidRPr="00A5643B">
        <w:rPr>
          <w:rFonts w:ascii="Segoe UI" w:hAnsi="Segoe UI" w:cs="Segoe UI"/>
          <w:b/>
          <w:bCs/>
          <w:color w:val="000091" w:themeColor="text1"/>
        </w:rPr>
        <w:t>Un secteur bancaire solide, bien capitalisé et en expansion</w:t>
      </w:r>
    </w:p>
    <w:p w14:paraId="61D5BE36" w14:textId="762A28F1" w:rsidR="00072DE8" w:rsidRPr="00F94ABF" w:rsidRDefault="00E85E8C" w:rsidP="007F6739">
      <w:pPr>
        <w:spacing w:after="0"/>
        <w:ind w:left="-794" w:right="-567"/>
        <w:jc w:val="both"/>
        <w:rPr>
          <w:rFonts w:ascii="Segoe UI" w:hAnsi="Segoe UI" w:cs="Segoe UI"/>
          <w:spacing w:val="-6"/>
          <w:sz w:val="20"/>
          <w:szCs w:val="20"/>
        </w:rPr>
      </w:pPr>
      <w:r w:rsidRPr="009C018E">
        <w:rPr>
          <w:rFonts w:ascii="Segoe UI" w:hAnsi="Segoe UI" w:cs="Segoe UI"/>
          <w:b/>
          <w:bCs/>
          <w:spacing w:val="-4"/>
          <w:sz w:val="20"/>
          <w:szCs w:val="20"/>
        </w:rPr>
        <w:t>Le secteur bancaire omanais</w:t>
      </w:r>
      <w:r w:rsidRPr="009C018E">
        <w:rPr>
          <w:rFonts w:ascii="Segoe UI" w:hAnsi="Segoe UI" w:cs="Segoe UI"/>
          <w:bCs/>
          <w:spacing w:val="-4"/>
          <w:sz w:val="20"/>
          <w:szCs w:val="20"/>
        </w:rPr>
        <w:t xml:space="preserve">, </w:t>
      </w:r>
      <w:r w:rsidRPr="00D42613">
        <w:rPr>
          <w:rFonts w:ascii="Segoe UI" w:hAnsi="Segoe UI" w:cs="Segoe UI"/>
          <w:b/>
          <w:spacing w:val="-4"/>
          <w:sz w:val="20"/>
          <w:szCs w:val="20"/>
        </w:rPr>
        <w:t>principalement tourné vers les activités de prêt aux entreprises et aux particuliers (ratio actifs/PIB de 1</w:t>
      </w:r>
      <w:r w:rsidR="00D42613" w:rsidRPr="00D42613">
        <w:rPr>
          <w:rFonts w:ascii="Segoe UI" w:hAnsi="Segoe UI" w:cs="Segoe UI"/>
          <w:b/>
          <w:spacing w:val="-4"/>
          <w:sz w:val="20"/>
          <w:szCs w:val="20"/>
        </w:rPr>
        <w:t>20</w:t>
      </w:r>
      <w:r w:rsidRPr="00D42613">
        <w:rPr>
          <w:rFonts w:ascii="Segoe UI" w:hAnsi="Segoe UI" w:cs="Segoe UI"/>
          <w:b/>
          <w:spacing w:val="-4"/>
          <w:sz w:val="20"/>
          <w:szCs w:val="20"/>
        </w:rPr>
        <w:t>% en combinant les banques conventionnelles et islamiques), apparaît</w:t>
      </w:r>
      <w:r w:rsidRPr="009C018E">
        <w:rPr>
          <w:rFonts w:ascii="Segoe UI" w:hAnsi="Segoe UI" w:cs="Segoe UI"/>
          <w:b/>
          <w:bCs/>
          <w:spacing w:val="-4"/>
          <w:sz w:val="20"/>
          <w:szCs w:val="20"/>
        </w:rPr>
        <w:t xml:space="preserve"> relativement solide</w:t>
      </w:r>
      <w:r w:rsidRPr="009C018E">
        <w:rPr>
          <w:rFonts w:ascii="Segoe UI" w:hAnsi="Segoe UI" w:cs="Segoe UI"/>
          <w:spacing w:val="-4"/>
          <w:sz w:val="20"/>
          <w:szCs w:val="20"/>
        </w:rPr>
        <w:t>,</w:t>
      </w:r>
      <w:r>
        <w:rPr>
          <w:rFonts w:ascii="Segoe UI" w:hAnsi="Segoe UI" w:cs="Segoe UI"/>
          <w:spacing w:val="-4"/>
          <w:sz w:val="20"/>
          <w:szCs w:val="20"/>
        </w:rPr>
        <w:t xml:space="preserve"> </w:t>
      </w:r>
      <w:r w:rsidRPr="00F14AD5">
        <w:rPr>
          <w:rFonts w:ascii="Segoe UI" w:hAnsi="Segoe UI" w:cs="Segoe UI"/>
          <w:spacing w:val="-4"/>
          <w:sz w:val="20"/>
          <w:szCs w:val="20"/>
        </w:rPr>
        <w:t xml:space="preserve">soutenu par </w:t>
      </w:r>
      <w:r w:rsidR="00CF1B3A">
        <w:rPr>
          <w:rFonts w:ascii="Segoe UI" w:hAnsi="Segoe UI" w:cs="Segoe UI"/>
          <w:spacing w:val="-4"/>
          <w:sz w:val="20"/>
          <w:szCs w:val="20"/>
        </w:rPr>
        <w:t>des actifs de qualité</w:t>
      </w:r>
      <w:r w:rsidRPr="00F14AD5">
        <w:rPr>
          <w:rFonts w:ascii="Segoe UI" w:hAnsi="Segoe UI" w:cs="Segoe UI"/>
          <w:spacing w:val="-4"/>
          <w:sz w:val="20"/>
          <w:szCs w:val="20"/>
        </w:rPr>
        <w:t>, des ratios de capitalisation et de liquidité confortables, ainsi qu’une rentabilité soutenue.</w:t>
      </w:r>
      <w:r w:rsidR="00D42613">
        <w:rPr>
          <w:rFonts w:ascii="Segoe UI" w:hAnsi="Segoe UI" w:cs="Segoe UI"/>
          <w:spacing w:val="-4"/>
          <w:sz w:val="20"/>
          <w:szCs w:val="20"/>
        </w:rPr>
        <w:t xml:space="preserve"> </w:t>
      </w:r>
      <w:r w:rsidR="00D42613" w:rsidRPr="00D42613">
        <w:rPr>
          <w:rFonts w:ascii="Segoe UI" w:hAnsi="Segoe UI" w:cs="Segoe UI"/>
          <w:spacing w:val="-4"/>
          <w:sz w:val="20"/>
          <w:szCs w:val="20"/>
        </w:rPr>
        <w:t xml:space="preserve">Le ratio de fonds propres s'établit à 18,8% </w:t>
      </w:r>
      <w:r w:rsidR="00D42613">
        <w:rPr>
          <w:rFonts w:ascii="Segoe UI" w:hAnsi="Segoe UI" w:cs="Segoe UI"/>
          <w:spacing w:val="-4"/>
          <w:sz w:val="20"/>
          <w:szCs w:val="20"/>
        </w:rPr>
        <w:t>(</w:t>
      </w:r>
      <w:r w:rsidR="00D42613" w:rsidRPr="00D42613">
        <w:rPr>
          <w:rFonts w:ascii="Segoe UI" w:hAnsi="Segoe UI" w:cs="Segoe UI"/>
          <w:spacing w:val="-4"/>
          <w:sz w:val="20"/>
          <w:szCs w:val="20"/>
        </w:rPr>
        <w:t>plus du double du minimum réglementaire de Bâle III</w:t>
      </w:r>
      <w:r w:rsidR="00D42613">
        <w:rPr>
          <w:rFonts w:ascii="Segoe UI" w:hAnsi="Segoe UI" w:cs="Segoe UI"/>
          <w:spacing w:val="-4"/>
          <w:sz w:val="20"/>
          <w:szCs w:val="20"/>
        </w:rPr>
        <w:t xml:space="preserve">) </w:t>
      </w:r>
      <w:r w:rsidR="00D42613" w:rsidRPr="00D42613">
        <w:rPr>
          <w:rFonts w:ascii="Segoe UI" w:hAnsi="Segoe UI" w:cs="Segoe UI"/>
          <w:spacing w:val="-4"/>
          <w:sz w:val="20"/>
          <w:szCs w:val="20"/>
        </w:rPr>
        <w:t xml:space="preserve">et les créances douteuses </w:t>
      </w:r>
      <w:r w:rsidR="00D42613">
        <w:rPr>
          <w:rFonts w:ascii="Segoe UI" w:hAnsi="Segoe UI" w:cs="Segoe UI"/>
          <w:spacing w:val="-4"/>
          <w:sz w:val="20"/>
          <w:szCs w:val="20"/>
        </w:rPr>
        <w:t xml:space="preserve">(NPL) </w:t>
      </w:r>
      <w:r w:rsidR="00D42613" w:rsidRPr="00D42613">
        <w:rPr>
          <w:rFonts w:ascii="Segoe UI" w:hAnsi="Segoe UI" w:cs="Segoe UI"/>
          <w:spacing w:val="-4"/>
          <w:sz w:val="20"/>
          <w:szCs w:val="20"/>
        </w:rPr>
        <w:t>restent contenues à 4,5% du total des prêts</w:t>
      </w:r>
      <w:r w:rsidR="00D42613">
        <w:rPr>
          <w:rFonts w:ascii="Segoe UI" w:hAnsi="Segoe UI" w:cs="Segoe UI"/>
          <w:spacing w:val="-4"/>
          <w:sz w:val="20"/>
          <w:szCs w:val="20"/>
        </w:rPr>
        <w:t xml:space="preserve">, </w:t>
      </w:r>
      <w:r w:rsidR="00D42613" w:rsidRPr="00D42613">
        <w:rPr>
          <w:rFonts w:ascii="Segoe UI" w:hAnsi="Segoe UI" w:cs="Segoe UI"/>
          <w:spacing w:val="-4"/>
          <w:sz w:val="20"/>
          <w:szCs w:val="20"/>
        </w:rPr>
        <w:t>conférant une capacité à absorber des scénarios de stress sévères.</w:t>
      </w:r>
      <w:r w:rsidR="00D42613">
        <w:rPr>
          <w:rFonts w:ascii="Segoe UI" w:hAnsi="Segoe UI" w:cs="Segoe UI"/>
          <w:spacing w:val="-4"/>
          <w:sz w:val="20"/>
          <w:szCs w:val="20"/>
        </w:rPr>
        <w:t xml:space="preserve"> </w:t>
      </w:r>
      <w:r w:rsidR="00072DE8" w:rsidRPr="00F94ABF">
        <w:rPr>
          <w:rFonts w:ascii="Segoe UI" w:hAnsi="Segoe UI" w:cs="Segoe UI"/>
          <w:spacing w:val="-6"/>
          <w:sz w:val="20"/>
          <w:szCs w:val="20"/>
        </w:rPr>
        <w:t xml:space="preserve">Les banques conservent une position extérieure nette positive et la croissance du crédit au secteur privé reste soutenue, favorisée par l’expansion continue des dépôts. </w:t>
      </w:r>
      <w:r w:rsidR="00D42613" w:rsidRPr="00D42613">
        <w:rPr>
          <w:rFonts w:ascii="Segoe UI" w:hAnsi="Segoe UI" w:cs="Segoe UI"/>
          <w:spacing w:val="-4"/>
          <w:sz w:val="20"/>
          <w:szCs w:val="20"/>
        </w:rPr>
        <w:t xml:space="preserve">Le spread entre taux de crédit (5,4%) et taux de dépôt (2,5%) demeure confortable, ce qui soutient la profitabilité du secteur : selon le FMI, le </w:t>
      </w:r>
      <w:r w:rsidR="00D42613" w:rsidRPr="007737E6">
        <w:rPr>
          <w:rFonts w:ascii="Segoe UI" w:hAnsi="Segoe UI" w:cs="Segoe UI"/>
          <w:i/>
          <w:iCs/>
          <w:spacing w:val="-4"/>
          <w:sz w:val="20"/>
          <w:szCs w:val="20"/>
        </w:rPr>
        <w:t>Return on Equity</w:t>
      </w:r>
      <w:r w:rsidR="00D42613" w:rsidRPr="00D42613">
        <w:rPr>
          <w:rFonts w:ascii="Segoe UI" w:hAnsi="Segoe UI" w:cs="Segoe UI"/>
          <w:spacing w:val="-4"/>
          <w:sz w:val="20"/>
          <w:szCs w:val="20"/>
        </w:rPr>
        <w:t xml:space="preserve"> s'établit autour de 12% et le </w:t>
      </w:r>
      <w:r w:rsidR="00D42613" w:rsidRPr="007737E6">
        <w:rPr>
          <w:rFonts w:ascii="Segoe UI" w:hAnsi="Segoe UI" w:cs="Segoe UI"/>
          <w:i/>
          <w:iCs/>
          <w:spacing w:val="-4"/>
          <w:sz w:val="20"/>
          <w:szCs w:val="20"/>
        </w:rPr>
        <w:t>Return on Assets</w:t>
      </w:r>
      <w:r w:rsidR="00D42613" w:rsidRPr="00D42613">
        <w:rPr>
          <w:rFonts w:ascii="Segoe UI" w:hAnsi="Segoe UI" w:cs="Segoe UI"/>
          <w:spacing w:val="-4"/>
          <w:sz w:val="20"/>
          <w:szCs w:val="20"/>
        </w:rPr>
        <w:t xml:space="preserve"> autour de 1,3%.</w:t>
      </w:r>
      <w:r w:rsidR="007737E6" w:rsidRPr="007737E6">
        <w:t xml:space="preserve"> </w:t>
      </w:r>
      <w:r w:rsidR="007737E6" w:rsidRPr="00D378D1">
        <w:rPr>
          <w:rFonts w:ascii="Segoe UI" w:hAnsi="Segoe UI" w:cs="Segoe UI"/>
          <w:b/>
          <w:bCs/>
          <w:spacing w:val="-4"/>
          <w:sz w:val="20"/>
          <w:szCs w:val="20"/>
        </w:rPr>
        <w:t>Le secteur bancaire reste relativement concentré</w:t>
      </w:r>
      <w:r w:rsidR="007737E6" w:rsidRPr="007737E6">
        <w:rPr>
          <w:rFonts w:ascii="Segoe UI" w:hAnsi="Segoe UI" w:cs="Segoe UI"/>
          <w:spacing w:val="-4"/>
          <w:sz w:val="20"/>
          <w:szCs w:val="20"/>
        </w:rPr>
        <w:t xml:space="preserve">, les </w:t>
      </w:r>
      <w:r w:rsidR="007737E6">
        <w:rPr>
          <w:rFonts w:ascii="Segoe UI" w:hAnsi="Segoe UI" w:cs="Segoe UI"/>
          <w:spacing w:val="-4"/>
          <w:sz w:val="20"/>
          <w:szCs w:val="20"/>
        </w:rPr>
        <w:t xml:space="preserve">cinq </w:t>
      </w:r>
      <w:r w:rsidR="007737E6" w:rsidRPr="007737E6">
        <w:rPr>
          <w:rFonts w:ascii="Segoe UI" w:hAnsi="Segoe UI" w:cs="Segoe UI"/>
          <w:spacing w:val="-4"/>
          <w:sz w:val="20"/>
          <w:szCs w:val="20"/>
        </w:rPr>
        <w:t xml:space="preserve">principales banques </w:t>
      </w:r>
      <w:r w:rsidR="00A5643B">
        <w:rPr>
          <w:rFonts w:ascii="Segoe UI" w:hAnsi="Segoe UI" w:cs="Segoe UI"/>
          <w:spacing w:val="-4"/>
          <w:sz w:val="20"/>
          <w:szCs w:val="20"/>
        </w:rPr>
        <w:t xml:space="preserve">- </w:t>
      </w:r>
      <w:r w:rsidR="007737E6">
        <w:rPr>
          <w:rFonts w:ascii="Segoe UI" w:hAnsi="Segoe UI" w:cs="Segoe UI"/>
          <w:spacing w:val="-4"/>
          <w:sz w:val="20"/>
          <w:szCs w:val="20"/>
        </w:rPr>
        <w:t xml:space="preserve">Bank </w:t>
      </w:r>
      <w:r w:rsidR="007737E6" w:rsidRPr="007737E6">
        <w:rPr>
          <w:rFonts w:ascii="Segoe UI" w:hAnsi="Segoe UI" w:cs="Segoe UI"/>
          <w:spacing w:val="-4"/>
          <w:sz w:val="20"/>
          <w:szCs w:val="20"/>
        </w:rPr>
        <w:t xml:space="preserve">Muscat, Bank Dhofar, Sohar International, National Bank of Oman et Oman Arab Bank </w:t>
      </w:r>
      <w:r w:rsidR="007737E6">
        <w:rPr>
          <w:rFonts w:ascii="Segoe UI" w:hAnsi="Segoe UI" w:cs="Segoe UI"/>
          <w:spacing w:val="-4"/>
          <w:sz w:val="20"/>
          <w:szCs w:val="20"/>
        </w:rPr>
        <w:t xml:space="preserve">- </w:t>
      </w:r>
      <w:r w:rsidR="007737E6" w:rsidRPr="00F94ABF">
        <w:rPr>
          <w:rFonts w:ascii="Segoe UI" w:hAnsi="Segoe UI" w:cs="Segoe UI"/>
          <w:spacing w:val="-6"/>
          <w:sz w:val="20"/>
          <w:szCs w:val="20"/>
        </w:rPr>
        <w:t>représentent près des trois quarts des actifs bancaires</w:t>
      </w:r>
      <w:r w:rsidR="007737E6" w:rsidRPr="007737E6">
        <w:rPr>
          <w:rFonts w:ascii="Segoe UI" w:hAnsi="Segoe UI" w:cs="Segoe UI"/>
          <w:spacing w:val="-4"/>
          <w:sz w:val="20"/>
          <w:szCs w:val="20"/>
        </w:rPr>
        <w:t xml:space="preserve">. </w:t>
      </w:r>
      <w:r w:rsidR="007737E6" w:rsidRPr="00D378D1">
        <w:rPr>
          <w:rFonts w:ascii="Segoe UI" w:hAnsi="Segoe UI" w:cs="Segoe UI"/>
          <w:b/>
          <w:bCs/>
          <w:spacing w:val="-4"/>
          <w:sz w:val="20"/>
          <w:szCs w:val="20"/>
        </w:rPr>
        <w:t>Le segment islamique poursuit son expansion</w:t>
      </w:r>
      <w:r w:rsidR="007737E6" w:rsidRPr="007737E6">
        <w:rPr>
          <w:rFonts w:ascii="Segoe UI" w:hAnsi="Segoe UI" w:cs="Segoe UI"/>
          <w:spacing w:val="-4"/>
          <w:sz w:val="20"/>
          <w:szCs w:val="20"/>
        </w:rPr>
        <w:t xml:space="preserve"> et représente désormais environ 19% des actifs bancaires totaux. La base de dépôts, bien qu'encore partiellement adossée aux entités publiques, s'élargit progressivement vers le secteur privé, réduisant la dépendance structurelle au financement public. Le FMI juge le profil de financement du secteur stable et les risques de liquidité contenus.</w:t>
      </w:r>
    </w:p>
    <w:sectPr w:rsidR="00072DE8" w:rsidRPr="00F94ABF" w:rsidSect="00415F39">
      <w:endnotePr>
        <w:numFmt w:val="decimal"/>
      </w:endnotePr>
      <w:pgSz w:w="11906" w:h="16838"/>
      <w:pgMar w:top="709" w:right="1274"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F7D63" w14:textId="77777777" w:rsidR="000F7889" w:rsidRDefault="000F7889" w:rsidP="001C2361">
      <w:pPr>
        <w:spacing w:after="0" w:line="240" w:lineRule="auto"/>
      </w:pPr>
      <w:r>
        <w:separator/>
      </w:r>
    </w:p>
  </w:endnote>
  <w:endnote w:type="continuationSeparator" w:id="0">
    <w:p w14:paraId="72B6F570" w14:textId="77777777" w:rsidR="000F7889" w:rsidRDefault="000F7889"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auto"/>
    <w:pitch w:val="variable"/>
    <w:sig w:usb0="0000000F" w:usb1="00000000" w:usb2="00000000" w:usb3="00000000" w:csb0="00000003" w:csb1="00000000"/>
  </w:font>
  <w:font w:name="Marianne ExtraBold">
    <w:panose1 w:val="02000000000000000000"/>
    <w:charset w:val="00"/>
    <w:family w:val="auto"/>
    <w:pitch w:val="variable"/>
    <w:sig w:usb0="0000000F" w:usb1="00000000" w:usb2="00000000" w:usb3="00000000" w:csb0="00000003" w:csb1="00000000"/>
  </w:font>
  <w:font w:name="Marianne">
    <w:panose1 w:val="02000000000000000000"/>
    <w:charset w:val="00"/>
    <w:family w:val="auto"/>
    <w:pitch w:val="variable"/>
    <w:sig w:usb0="0000000F" w:usb1="00000000" w:usb2="00000000" w:usb3="00000000" w:csb0="00000003" w:csb1="00000000"/>
  </w:font>
  <w:font w:name="Spectral Medium">
    <w:panose1 w:val="02020602060000000000"/>
    <w:charset w:val="00"/>
    <w:family w:val="roman"/>
    <w:pitch w:val="variable"/>
    <w:sig w:usb0="E000027F" w:usb1="4000E43B"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Times New Roman (Corp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4ACAB" w14:textId="77777777" w:rsidR="000F7889" w:rsidRDefault="000F7889" w:rsidP="001C2361">
      <w:pPr>
        <w:spacing w:after="0" w:line="240" w:lineRule="auto"/>
      </w:pPr>
      <w:r>
        <w:separator/>
      </w:r>
    </w:p>
  </w:footnote>
  <w:footnote w:type="continuationSeparator" w:id="0">
    <w:p w14:paraId="1975D652" w14:textId="77777777" w:rsidR="000F7889" w:rsidRDefault="000F7889"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4FB"/>
    <w:multiLevelType w:val="hybridMultilevel"/>
    <w:tmpl w:val="0F965B52"/>
    <w:lvl w:ilvl="0" w:tplc="77D0C44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1"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375830"/>
    <w:multiLevelType w:val="hybridMultilevel"/>
    <w:tmpl w:val="D8D61E78"/>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3" w15:restartNumberingAfterBreak="0">
    <w:nsid w:val="23B5117D"/>
    <w:multiLevelType w:val="hybridMultilevel"/>
    <w:tmpl w:val="FC9467FA"/>
    <w:lvl w:ilvl="0" w:tplc="506A857A">
      <w:start w:val="1"/>
      <w:numFmt w:val="decimal"/>
      <w:lvlText w:val="%1."/>
      <w:lvlJc w:val="left"/>
      <w:pPr>
        <w:ind w:left="720" w:hanging="360"/>
      </w:pPr>
      <w:rPr>
        <w:rFonts w:ascii="Segoe UI" w:hAnsi="Segoe UI" w:cs="Segoe UI" w:hint="default"/>
        <w:color w:val="000091" w:themeColor="text1"/>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39077AEF"/>
    <w:multiLevelType w:val="hybridMultilevel"/>
    <w:tmpl w:val="9A20665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8"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A1A7D81"/>
    <w:multiLevelType w:val="hybridMultilevel"/>
    <w:tmpl w:val="FCA62E1A"/>
    <w:lvl w:ilvl="0" w:tplc="8B2A6988">
      <w:start w:val="1"/>
      <w:numFmt w:val="decimal"/>
      <w:lvlText w:val="%1."/>
      <w:lvlJc w:val="left"/>
      <w:pPr>
        <w:ind w:left="-434" w:hanging="360"/>
      </w:pPr>
      <w:rPr>
        <w:rFonts w:hint="default"/>
        <w:b/>
        <w:sz w:val="22"/>
      </w:rPr>
    </w:lvl>
    <w:lvl w:ilvl="1" w:tplc="040C0019" w:tentative="1">
      <w:start w:val="1"/>
      <w:numFmt w:val="lowerLetter"/>
      <w:lvlText w:val="%2."/>
      <w:lvlJc w:val="left"/>
      <w:pPr>
        <w:ind w:left="286" w:hanging="360"/>
      </w:pPr>
    </w:lvl>
    <w:lvl w:ilvl="2" w:tplc="040C001B" w:tentative="1">
      <w:start w:val="1"/>
      <w:numFmt w:val="lowerRoman"/>
      <w:lvlText w:val="%3."/>
      <w:lvlJc w:val="right"/>
      <w:pPr>
        <w:ind w:left="1006" w:hanging="180"/>
      </w:pPr>
    </w:lvl>
    <w:lvl w:ilvl="3" w:tplc="040C000F" w:tentative="1">
      <w:start w:val="1"/>
      <w:numFmt w:val="decimal"/>
      <w:lvlText w:val="%4."/>
      <w:lvlJc w:val="left"/>
      <w:pPr>
        <w:ind w:left="1726" w:hanging="360"/>
      </w:pPr>
    </w:lvl>
    <w:lvl w:ilvl="4" w:tplc="040C0019" w:tentative="1">
      <w:start w:val="1"/>
      <w:numFmt w:val="lowerLetter"/>
      <w:lvlText w:val="%5."/>
      <w:lvlJc w:val="left"/>
      <w:pPr>
        <w:ind w:left="2446" w:hanging="360"/>
      </w:pPr>
    </w:lvl>
    <w:lvl w:ilvl="5" w:tplc="040C001B" w:tentative="1">
      <w:start w:val="1"/>
      <w:numFmt w:val="lowerRoman"/>
      <w:lvlText w:val="%6."/>
      <w:lvlJc w:val="right"/>
      <w:pPr>
        <w:ind w:left="3166" w:hanging="180"/>
      </w:pPr>
    </w:lvl>
    <w:lvl w:ilvl="6" w:tplc="040C000F" w:tentative="1">
      <w:start w:val="1"/>
      <w:numFmt w:val="decimal"/>
      <w:lvlText w:val="%7."/>
      <w:lvlJc w:val="left"/>
      <w:pPr>
        <w:ind w:left="3886" w:hanging="360"/>
      </w:pPr>
    </w:lvl>
    <w:lvl w:ilvl="7" w:tplc="040C0019" w:tentative="1">
      <w:start w:val="1"/>
      <w:numFmt w:val="lowerLetter"/>
      <w:lvlText w:val="%8."/>
      <w:lvlJc w:val="left"/>
      <w:pPr>
        <w:ind w:left="4606" w:hanging="360"/>
      </w:pPr>
    </w:lvl>
    <w:lvl w:ilvl="8" w:tplc="040C001B" w:tentative="1">
      <w:start w:val="1"/>
      <w:numFmt w:val="lowerRoman"/>
      <w:lvlText w:val="%9."/>
      <w:lvlJc w:val="right"/>
      <w:pPr>
        <w:ind w:left="5326" w:hanging="180"/>
      </w:pPr>
    </w:lvl>
  </w:abstractNum>
  <w:abstractNum w:abstractNumId="11" w15:restartNumberingAfterBreak="0">
    <w:nsid w:val="50965CDA"/>
    <w:multiLevelType w:val="hybridMultilevel"/>
    <w:tmpl w:val="5C84C856"/>
    <w:lvl w:ilvl="0" w:tplc="53463B82">
      <w:start w:val="1"/>
      <w:numFmt w:val="decimal"/>
      <w:lvlText w:val="%1."/>
      <w:lvlJc w:val="left"/>
      <w:pPr>
        <w:ind w:left="76" w:hanging="360"/>
      </w:pPr>
      <w:rPr>
        <w:rFonts w:ascii="Segoe UI" w:hAnsi="Segoe UI" w:cs="Segoe UI" w:hint="default"/>
        <w:color w:val="000091" w:themeColor="text1"/>
        <w:sz w:val="22"/>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12"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5FE52771"/>
    <w:multiLevelType w:val="hybridMultilevel"/>
    <w:tmpl w:val="9A10C69E"/>
    <w:lvl w:ilvl="0" w:tplc="38A6962C">
      <w:numFmt w:val="bullet"/>
      <w:pStyle w:val="accentuation01"/>
      <w:lvlText w:val=""/>
      <w:lvlJc w:val="left"/>
      <w:pPr>
        <w:ind w:left="720" w:hanging="360"/>
      </w:pPr>
      <w:rPr>
        <w:rFonts w:ascii="Symbol" w:eastAsiaTheme="minorHAnsi" w:hAnsi="Symbol" w:cs="Segoe U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17"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16"/>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7"/>
  </w:num>
  <w:num w:numId="6">
    <w:abstractNumId w:val="15"/>
  </w:num>
  <w:num w:numId="7">
    <w:abstractNumId w:val="5"/>
  </w:num>
  <w:num w:numId="8">
    <w:abstractNumId w:val="4"/>
  </w:num>
  <w:num w:numId="9">
    <w:abstractNumId w:val="1"/>
  </w:num>
  <w:num w:numId="10">
    <w:abstractNumId w:val="9"/>
  </w:num>
  <w:num w:numId="11">
    <w:abstractNumId w:val="6"/>
  </w:num>
  <w:num w:numId="12">
    <w:abstractNumId w:val="0"/>
  </w:num>
  <w:num w:numId="13">
    <w:abstractNumId w:val="2"/>
  </w:num>
  <w:num w:numId="14">
    <w:abstractNumId w:val="13"/>
  </w:num>
  <w:num w:numId="15">
    <w:abstractNumId w:val="7"/>
  </w:num>
  <w:num w:numId="16">
    <w:abstractNumId w:val="11"/>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B6"/>
    <w:rsid w:val="00006091"/>
    <w:rsid w:val="000064C1"/>
    <w:rsid w:val="00006D9E"/>
    <w:rsid w:val="00006E50"/>
    <w:rsid w:val="00010563"/>
    <w:rsid w:val="0001745C"/>
    <w:rsid w:val="00020EE2"/>
    <w:rsid w:val="00022880"/>
    <w:rsid w:val="00022F44"/>
    <w:rsid w:val="00031533"/>
    <w:rsid w:val="00045CF8"/>
    <w:rsid w:val="00050225"/>
    <w:rsid w:val="000534EC"/>
    <w:rsid w:val="00064115"/>
    <w:rsid w:val="000676F2"/>
    <w:rsid w:val="00070FE5"/>
    <w:rsid w:val="00071F97"/>
    <w:rsid w:val="00072DE8"/>
    <w:rsid w:val="00074ACA"/>
    <w:rsid w:val="000763B3"/>
    <w:rsid w:val="00080037"/>
    <w:rsid w:val="00097777"/>
    <w:rsid w:val="000A1918"/>
    <w:rsid w:val="000D1AF7"/>
    <w:rsid w:val="000D5B1C"/>
    <w:rsid w:val="000E1E2F"/>
    <w:rsid w:val="000E7384"/>
    <w:rsid w:val="000E7793"/>
    <w:rsid w:val="000F2C4E"/>
    <w:rsid w:val="000F7889"/>
    <w:rsid w:val="00100569"/>
    <w:rsid w:val="00100C95"/>
    <w:rsid w:val="001105E1"/>
    <w:rsid w:val="001109EF"/>
    <w:rsid w:val="00111C32"/>
    <w:rsid w:val="0012430D"/>
    <w:rsid w:val="00134DE8"/>
    <w:rsid w:val="001360A8"/>
    <w:rsid w:val="001429C7"/>
    <w:rsid w:val="00147754"/>
    <w:rsid w:val="00147B9F"/>
    <w:rsid w:val="001505C0"/>
    <w:rsid w:val="001505C7"/>
    <w:rsid w:val="00152C27"/>
    <w:rsid w:val="00175E92"/>
    <w:rsid w:val="00184135"/>
    <w:rsid w:val="0019173B"/>
    <w:rsid w:val="0019280B"/>
    <w:rsid w:val="001A1A43"/>
    <w:rsid w:val="001A1CD5"/>
    <w:rsid w:val="001A5A37"/>
    <w:rsid w:val="001B1CF0"/>
    <w:rsid w:val="001B49CB"/>
    <w:rsid w:val="001C100F"/>
    <w:rsid w:val="001C2361"/>
    <w:rsid w:val="001C583C"/>
    <w:rsid w:val="001D49A1"/>
    <w:rsid w:val="001E4D67"/>
    <w:rsid w:val="001F235A"/>
    <w:rsid w:val="001F2D7C"/>
    <w:rsid w:val="001F7AA3"/>
    <w:rsid w:val="00200E08"/>
    <w:rsid w:val="00201331"/>
    <w:rsid w:val="00201624"/>
    <w:rsid w:val="00211967"/>
    <w:rsid w:val="00223554"/>
    <w:rsid w:val="00225798"/>
    <w:rsid w:val="00246C65"/>
    <w:rsid w:val="00250F27"/>
    <w:rsid w:val="002550BB"/>
    <w:rsid w:val="00255F30"/>
    <w:rsid w:val="00257E48"/>
    <w:rsid w:val="00262C8C"/>
    <w:rsid w:val="002762C9"/>
    <w:rsid w:val="00281BCD"/>
    <w:rsid w:val="002A33AB"/>
    <w:rsid w:val="002B5B98"/>
    <w:rsid w:val="002D13A2"/>
    <w:rsid w:val="002D4C04"/>
    <w:rsid w:val="002D5D40"/>
    <w:rsid w:val="002E0350"/>
    <w:rsid w:val="002E574C"/>
    <w:rsid w:val="002E6890"/>
    <w:rsid w:val="002E7383"/>
    <w:rsid w:val="002F210F"/>
    <w:rsid w:val="0030017B"/>
    <w:rsid w:val="00301021"/>
    <w:rsid w:val="0030148A"/>
    <w:rsid w:val="00301D4D"/>
    <w:rsid w:val="00317870"/>
    <w:rsid w:val="00323A4A"/>
    <w:rsid w:val="003257BD"/>
    <w:rsid w:val="0033036F"/>
    <w:rsid w:val="00330428"/>
    <w:rsid w:val="00332310"/>
    <w:rsid w:val="003339CE"/>
    <w:rsid w:val="003407BF"/>
    <w:rsid w:val="00341E94"/>
    <w:rsid w:val="00341EC1"/>
    <w:rsid w:val="00344131"/>
    <w:rsid w:val="00347F9E"/>
    <w:rsid w:val="00351E1C"/>
    <w:rsid w:val="00371764"/>
    <w:rsid w:val="00377143"/>
    <w:rsid w:val="00377431"/>
    <w:rsid w:val="003847EC"/>
    <w:rsid w:val="00395EA0"/>
    <w:rsid w:val="003A1D94"/>
    <w:rsid w:val="003A6437"/>
    <w:rsid w:val="003A7035"/>
    <w:rsid w:val="003A7EB8"/>
    <w:rsid w:val="003B1A22"/>
    <w:rsid w:val="003B33D3"/>
    <w:rsid w:val="003B5783"/>
    <w:rsid w:val="003D1EBA"/>
    <w:rsid w:val="003D2AD3"/>
    <w:rsid w:val="003D3C8B"/>
    <w:rsid w:val="003D5550"/>
    <w:rsid w:val="003D6537"/>
    <w:rsid w:val="0040330E"/>
    <w:rsid w:val="00406D60"/>
    <w:rsid w:val="00415F39"/>
    <w:rsid w:val="004311AF"/>
    <w:rsid w:val="00433546"/>
    <w:rsid w:val="004372C1"/>
    <w:rsid w:val="00450D73"/>
    <w:rsid w:val="00452747"/>
    <w:rsid w:val="00452C51"/>
    <w:rsid w:val="00457B18"/>
    <w:rsid w:val="00463378"/>
    <w:rsid w:val="00466E34"/>
    <w:rsid w:val="004716CD"/>
    <w:rsid w:val="00471702"/>
    <w:rsid w:val="00472C6F"/>
    <w:rsid w:val="00472F94"/>
    <w:rsid w:val="004749E9"/>
    <w:rsid w:val="00474F00"/>
    <w:rsid w:val="004908E5"/>
    <w:rsid w:val="00490B3C"/>
    <w:rsid w:val="00496D10"/>
    <w:rsid w:val="00497FAE"/>
    <w:rsid w:val="004A28DB"/>
    <w:rsid w:val="004C3273"/>
    <w:rsid w:val="004C713B"/>
    <w:rsid w:val="004C7845"/>
    <w:rsid w:val="004D2D1F"/>
    <w:rsid w:val="004D444C"/>
    <w:rsid w:val="004D7C76"/>
    <w:rsid w:val="004E6C1A"/>
    <w:rsid w:val="004E6DB3"/>
    <w:rsid w:val="004E7972"/>
    <w:rsid w:val="004F0417"/>
    <w:rsid w:val="004F211B"/>
    <w:rsid w:val="004F2D85"/>
    <w:rsid w:val="004F751C"/>
    <w:rsid w:val="005077FB"/>
    <w:rsid w:val="005129A1"/>
    <w:rsid w:val="005176FE"/>
    <w:rsid w:val="00532CDF"/>
    <w:rsid w:val="00532CE3"/>
    <w:rsid w:val="00533C10"/>
    <w:rsid w:val="00541AB4"/>
    <w:rsid w:val="00543CA9"/>
    <w:rsid w:val="00545FE6"/>
    <w:rsid w:val="00557E89"/>
    <w:rsid w:val="00561CC4"/>
    <w:rsid w:val="00570D3F"/>
    <w:rsid w:val="00575F99"/>
    <w:rsid w:val="005806A2"/>
    <w:rsid w:val="00584799"/>
    <w:rsid w:val="005857BC"/>
    <w:rsid w:val="00590894"/>
    <w:rsid w:val="00591EEF"/>
    <w:rsid w:val="0059242E"/>
    <w:rsid w:val="00595003"/>
    <w:rsid w:val="005A1ECF"/>
    <w:rsid w:val="005A5D69"/>
    <w:rsid w:val="005B28D9"/>
    <w:rsid w:val="005B3D40"/>
    <w:rsid w:val="005E6FED"/>
    <w:rsid w:val="005F3966"/>
    <w:rsid w:val="005F6235"/>
    <w:rsid w:val="006058D9"/>
    <w:rsid w:val="00610942"/>
    <w:rsid w:val="006115EC"/>
    <w:rsid w:val="00616EE2"/>
    <w:rsid w:val="00625C1C"/>
    <w:rsid w:val="00627753"/>
    <w:rsid w:val="00632692"/>
    <w:rsid w:val="00641868"/>
    <w:rsid w:val="006477A2"/>
    <w:rsid w:val="00651A2D"/>
    <w:rsid w:val="006600F3"/>
    <w:rsid w:val="006650D5"/>
    <w:rsid w:val="00683BE3"/>
    <w:rsid w:val="006A0293"/>
    <w:rsid w:val="006A3795"/>
    <w:rsid w:val="006B4AE0"/>
    <w:rsid w:val="006B5511"/>
    <w:rsid w:val="006D209E"/>
    <w:rsid w:val="006D220A"/>
    <w:rsid w:val="006D4D83"/>
    <w:rsid w:val="006E40BB"/>
    <w:rsid w:val="006E6805"/>
    <w:rsid w:val="006E6FA7"/>
    <w:rsid w:val="006F4CCE"/>
    <w:rsid w:val="006F6043"/>
    <w:rsid w:val="00706D2B"/>
    <w:rsid w:val="00713D95"/>
    <w:rsid w:val="007209E2"/>
    <w:rsid w:val="007241D4"/>
    <w:rsid w:val="00727D83"/>
    <w:rsid w:val="0073377D"/>
    <w:rsid w:val="00733B08"/>
    <w:rsid w:val="00733CCE"/>
    <w:rsid w:val="00743DD2"/>
    <w:rsid w:val="00745853"/>
    <w:rsid w:val="00754E7E"/>
    <w:rsid w:val="00756A18"/>
    <w:rsid w:val="0077249E"/>
    <w:rsid w:val="007737E6"/>
    <w:rsid w:val="0077520D"/>
    <w:rsid w:val="00776C9A"/>
    <w:rsid w:val="00777884"/>
    <w:rsid w:val="00777E06"/>
    <w:rsid w:val="00781BFC"/>
    <w:rsid w:val="0078229D"/>
    <w:rsid w:val="007855F6"/>
    <w:rsid w:val="00786241"/>
    <w:rsid w:val="00787921"/>
    <w:rsid w:val="00791390"/>
    <w:rsid w:val="00791423"/>
    <w:rsid w:val="007952D4"/>
    <w:rsid w:val="00795900"/>
    <w:rsid w:val="00797604"/>
    <w:rsid w:val="007A352F"/>
    <w:rsid w:val="007B0159"/>
    <w:rsid w:val="007B4BC5"/>
    <w:rsid w:val="007B74A6"/>
    <w:rsid w:val="007C3111"/>
    <w:rsid w:val="007E456F"/>
    <w:rsid w:val="007E6D56"/>
    <w:rsid w:val="007F4001"/>
    <w:rsid w:val="007F55EB"/>
    <w:rsid w:val="007F6278"/>
    <w:rsid w:val="007F632E"/>
    <w:rsid w:val="007F6739"/>
    <w:rsid w:val="00801A45"/>
    <w:rsid w:val="008029D3"/>
    <w:rsid w:val="00816CD2"/>
    <w:rsid w:val="00834DEB"/>
    <w:rsid w:val="0084327A"/>
    <w:rsid w:val="00843F68"/>
    <w:rsid w:val="00847CE8"/>
    <w:rsid w:val="00860AEE"/>
    <w:rsid w:val="00872358"/>
    <w:rsid w:val="0088232B"/>
    <w:rsid w:val="00890E59"/>
    <w:rsid w:val="008918AF"/>
    <w:rsid w:val="008924BF"/>
    <w:rsid w:val="008A299F"/>
    <w:rsid w:val="008A3AD5"/>
    <w:rsid w:val="008B697B"/>
    <w:rsid w:val="008E048F"/>
    <w:rsid w:val="008E1707"/>
    <w:rsid w:val="008E3942"/>
    <w:rsid w:val="008F7A1E"/>
    <w:rsid w:val="009014EA"/>
    <w:rsid w:val="00920915"/>
    <w:rsid w:val="009210BC"/>
    <w:rsid w:val="009233E1"/>
    <w:rsid w:val="00924ECB"/>
    <w:rsid w:val="0092634F"/>
    <w:rsid w:val="00947A4C"/>
    <w:rsid w:val="00950680"/>
    <w:rsid w:val="00952A36"/>
    <w:rsid w:val="00957E6E"/>
    <w:rsid w:val="00965841"/>
    <w:rsid w:val="0096625D"/>
    <w:rsid w:val="00971B84"/>
    <w:rsid w:val="009770F2"/>
    <w:rsid w:val="00980AD3"/>
    <w:rsid w:val="00981726"/>
    <w:rsid w:val="00985384"/>
    <w:rsid w:val="009854A7"/>
    <w:rsid w:val="00985A53"/>
    <w:rsid w:val="0099696C"/>
    <w:rsid w:val="009A4894"/>
    <w:rsid w:val="009A5CB7"/>
    <w:rsid w:val="009B0B72"/>
    <w:rsid w:val="009B7F35"/>
    <w:rsid w:val="009C018E"/>
    <w:rsid w:val="009D4122"/>
    <w:rsid w:val="009D65B6"/>
    <w:rsid w:val="009F118B"/>
    <w:rsid w:val="00A0197D"/>
    <w:rsid w:val="00A073CB"/>
    <w:rsid w:val="00A0743B"/>
    <w:rsid w:val="00A164E0"/>
    <w:rsid w:val="00A16E6F"/>
    <w:rsid w:val="00A2007D"/>
    <w:rsid w:val="00A233D7"/>
    <w:rsid w:val="00A27EA0"/>
    <w:rsid w:val="00A35142"/>
    <w:rsid w:val="00A41063"/>
    <w:rsid w:val="00A413F3"/>
    <w:rsid w:val="00A462E2"/>
    <w:rsid w:val="00A52FBE"/>
    <w:rsid w:val="00A5643B"/>
    <w:rsid w:val="00A567A5"/>
    <w:rsid w:val="00A74034"/>
    <w:rsid w:val="00A77F4A"/>
    <w:rsid w:val="00A828AE"/>
    <w:rsid w:val="00A92617"/>
    <w:rsid w:val="00AA020A"/>
    <w:rsid w:val="00AA5DA2"/>
    <w:rsid w:val="00AA684E"/>
    <w:rsid w:val="00AB3252"/>
    <w:rsid w:val="00AB48A8"/>
    <w:rsid w:val="00AB69AB"/>
    <w:rsid w:val="00AC17E1"/>
    <w:rsid w:val="00AC30C2"/>
    <w:rsid w:val="00AC5DE5"/>
    <w:rsid w:val="00AE00C8"/>
    <w:rsid w:val="00AE6A6D"/>
    <w:rsid w:val="00B02AE3"/>
    <w:rsid w:val="00B12275"/>
    <w:rsid w:val="00B16C2B"/>
    <w:rsid w:val="00B30489"/>
    <w:rsid w:val="00B343C4"/>
    <w:rsid w:val="00B424B8"/>
    <w:rsid w:val="00B454D0"/>
    <w:rsid w:val="00B6555F"/>
    <w:rsid w:val="00B723B5"/>
    <w:rsid w:val="00B95CDB"/>
    <w:rsid w:val="00BA5EF8"/>
    <w:rsid w:val="00BA7283"/>
    <w:rsid w:val="00BB069D"/>
    <w:rsid w:val="00BB0E21"/>
    <w:rsid w:val="00BB12C7"/>
    <w:rsid w:val="00BE35B8"/>
    <w:rsid w:val="00BE7CCA"/>
    <w:rsid w:val="00BF4E9B"/>
    <w:rsid w:val="00C17508"/>
    <w:rsid w:val="00C264C8"/>
    <w:rsid w:val="00C26A1B"/>
    <w:rsid w:val="00C34A5E"/>
    <w:rsid w:val="00C3555F"/>
    <w:rsid w:val="00C41E6D"/>
    <w:rsid w:val="00C42AD3"/>
    <w:rsid w:val="00C9503E"/>
    <w:rsid w:val="00C975A7"/>
    <w:rsid w:val="00CA0084"/>
    <w:rsid w:val="00CA0BF9"/>
    <w:rsid w:val="00CA50BD"/>
    <w:rsid w:val="00CA5F26"/>
    <w:rsid w:val="00CB0A99"/>
    <w:rsid w:val="00CB51F4"/>
    <w:rsid w:val="00CC1270"/>
    <w:rsid w:val="00CC3768"/>
    <w:rsid w:val="00CC37AF"/>
    <w:rsid w:val="00CD1F5E"/>
    <w:rsid w:val="00CE1688"/>
    <w:rsid w:val="00CF1B3A"/>
    <w:rsid w:val="00CF2A11"/>
    <w:rsid w:val="00CF49B9"/>
    <w:rsid w:val="00D047A7"/>
    <w:rsid w:val="00D11E72"/>
    <w:rsid w:val="00D13274"/>
    <w:rsid w:val="00D13547"/>
    <w:rsid w:val="00D13D02"/>
    <w:rsid w:val="00D170FE"/>
    <w:rsid w:val="00D21565"/>
    <w:rsid w:val="00D309B8"/>
    <w:rsid w:val="00D378D1"/>
    <w:rsid w:val="00D42613"/>
    <w:rsid w:val="00D517AB"/>
    <w:rsid w:val="00D6187C"/>
    <w:rsid w:val="00D647F8"/>
    <w:rsid w:val="00D66CC8"/>
    <w:rsid w:val="00D75547"/>
    <w:rsid w:val="00D7794E"/>
    <w:rsid w:val="00D82E2E"/>
    <w:rsid w:val="00D8590D"/>
    <w:rsid w:val="00D87853"/>
    <w:rsid w:val="00D90CE7"/>
    <w:rsid w:val="00D91814"/>
    <w:rsid w:val="00D9438C"/>
    <w:rsid w:val="00DA218D"/>
    <w:rsid w:val="00DB3A59"/>
    <w:rsid w:val="00DB3E4A"/>
    <w:rsid w:val="00DB3F69"/>
    <w:rsid w:val="00DB4B5B"/>
    <w:rsid w:val="00DC660E"/>
    <w:rsid w:val="00DE5AE7"/>
    <w:rsid w:val="00E01524"/>
    <w:rsid w:val="00E07DE5"/>
    <w:rsid w:val="00E10956"/>
    <w:rsid w:val="00E1114C"/>
    <w:rsid w:val="00E12D9E"/>
    <w:rsid w:val="00E17D80"/>
    <w:rsid w:val="00E2222E"/>
    <w:rsid w:val="00E23C6C"/>
    <w:rsid w:val="00E273AF"/>
    <w:rsid w:val="00E40931"/>
    <w:rsid w:val="00E55039"/>
    <w:rsid w:val="00E60A24"/>
    <w:rsid w:val="00E73D15"/>
    <w:rsid w:val="00E81403"/>
    <w:rsid w:val="00E85E8C"/>
    <w:rsid w:val="00E909BE"/>
    <w:rsid w:val="00E95F3D"/>
    <w:rsid w:val="00EA31C5"/>
    <w:rsid w:val="00EB1FBA"/>
    <w:rsid w:val="00EB6DCF"/>
    <w:rsid w:val="00EC3104"/>
    <w:rsid w:val="00EC6882"/>
    <w:rsid w:val="00EC769F"/>
    <w:rsid w:val="00ED7BA8"/>
    <w:rsid w:val="00EF45AB"/>
    <w:rsid w:val="00EF5E00"/>
    <w:rsid w:val="00F0225A"/>
    <w:rsid w:val="00F05AE8"/>
    <w:rsid w:val="00F063F5"/>
    <w:rsid w:val="00F14AD5"/>
    <w:rsid w:val="00F15ADF"/>
    <w:rsid w:val="00F26F9A"/>
    <w:rsid w:val="00F327E0"/>
    <w:rsid w:val="00F32FC3"/>
    <w:rsid w:val="00F33442"/>
    <w:rsid w:val="00F4255E"/>
    <w:rsid w:val="00F43D4E"/>
    <w:rsid w:val="00F44858"/>
    <w:rsid w:val="00F53292"/>
    <w:rsid w:val="00F61170"/>
    <w:rsid w:val="00F676DD"/>
    <w:rsid w:val="00F84859"/>
    <w:rsid w:val="00F90A47"/>
    <w:rsid w:val="00F93864"/>
    <w:rsid w:val="00F94ABF"/>
    <w:rsid w:val="00FB3378"/>
    <w:rsid w:val="00FB4B42"/>
    <w:rsid w:val="00FC0679"/>
    <w:rsid w:val="00FC59D2"/>
    <w:rsid w:val="00FD06D8"/>
    <w:rsid w:val="00FD6573"/>
    <w:rsid w:val="00FD7798"/>
    <w:rsid w:val="00FE0055"/>
    <w:rsid w:val="00FE0C91"/>
    <w:rsid w:val="00FF680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B3222"/>
  <w15:chartTrackingRefBased/>
  <w15:docId w15:val="{4E9A3945-EB59-4A63-8F52-48C2A89C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6EE2"/>
  </w:style>
  <w:style w:type="paragraph" w:styleId="Titre1">
    <w:name w:val="heading 1"/>
    <w:basedOn w:val="Normal"/>
    <w:next w:val="Normal"/>
    <w:link w:val="Titre1Car"/>
    <w:autoRedefine/>
    <w:uiPriority w:val="9"/>
    <w:rsid w:val="00490B3C"/>
    <w:pPr>
      <w:keepNext/>
      <w:keepLines/>
      <w:spacing w:after="360"/>
      <w:ind w:left="-851"/>
      <w:jc w:val="center"/>
      <w:outlineLvl w:val="0"/>
    </w:pPr>
    <w:rPr>
      <w:rFonts w:ascii="Segoe UI" w:eastAsiaTheme="majorEastAsia" w:hAnsi="Segoe UI" w:cs="Segoe UI"/>
      <w:b/>
      <w:bCs/>
      <w:color w:val="000091" w:themeColor="text1"/>
      <w:sz w:val="36"/>
    </w:rPr>
  </w:style>
  <w:style w:type="paragraph" w:styleId="Titre2">
    <w:name w:val="heading 2"/>
    <w:aliases w:val="Titre 04"/>
    <w:basedOn w:val="Normal"/>
    <w:next w:val="Normal"/>
    <w:link w:val="Titre2Car"/>
    <w:autoRedefine/>
    <w:uiPriority w:val="9"/>
    <w:unhideWhenUsed/>
    <w:rsid w:val="00472C6F"/>
    <w:pPr>
      <w:keepNext/>
      <w:keepLines/>
      <w:spacing w:after="120"/>
      <w:outlineLvl w:val="1"/>
    </w:pPr>
    <w:rPr>
      <w:rFonts w:ascii="Marianne Light" w:eastAsiaTheme="majorEastAsia" w:hAnsi="Marianne Light" w:cstheme="majorBidi"/>
      <w:caps/>
      <w:sz w:val="32"/>
      <w:szCs w:val="26"/>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paragraph" w:styleId="Titre4">
    <w:name w:val="heading 4"/>
    <w:basedOn w:val="Normal"/>
    <w:next w:val="Normal"/>
    <w:link w:val="Titre4Car"/>
    <w:uiPriority w:val="9"/>
    <w:unhideWhenUsed/>
    <w:rsid w:val="00F676DD"/>
    <w:pPr>
      <w:keepNext/>
      <w:keepLines/>
      <w:spacing w:before="40" w:after="0"/>
      <w:outlineLvl w:val="3"/>
    </w:pPr>
    <w:rPr>
      <w:rFonts w:asciiTheme="majorHAnsi" w:eastAsiaTheme="majorEastAsia" w:hAnsiTheme="majorHAnsi" w:cstheme="majorBidi"/>
      <w:i/>
      <w:iCs/>
      <w:color w:val="006B60"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F676DD"/>
    <w:rPr>
      <w:rFonts w:asciiTheme="majorHAnsi" w:eastAsiaTheme="majorEastAsia" w:hAnsiTheme="majorHAnsi" w:cstheme="majorBidi"/>
      <w:i/>
      <w:iCs/>
      <w:color w:val="006B60" w:themeColor="accent1" w:themeShade="BF"/>
    </w:rPr>
  </w:style>
  <w:style w:type="character" w:styleId="lev">
    <w:name w:val="Strong"/>
    <w:basedOn w:val="Policepardfaut"/>
    <w:uiPriority w:val="22"/>
    <w:rsid w:val="004D444C"/>
    <w:rPr>
      <w:b/>
      <w:bCs/>
    </w:rPr>
  </w:style>
  <w:style w:type="character" w:styleId="Accentuation">
    <w:name w:val="Emphasis"/>
    <w:aliases w:val="titre liste"/>
    <w:basedOn w:val="Policepardfaut"/>
    <w:uiPriority w:val="20"/>
    <w:qFormat/>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link w:val="SansinterligneCar"/>
    <w:uiPriority w:val="1"/>
    <w:qFormat/>
    <w:rsid w:val="005B3D40"/>
    <w:pPr>
      <w:spacing w:after="0" w:line="240" w:lineRule="auto"/>
    </w:pPr>
  </w:style>
  <w:style w:type="paragraph" w:styleId="Notedebasdepage">
    <w:name w:val="footnote text"/>
    <w:basedOn w:val="Normal"/>
    <w:link w:val="NotedebasdepageCar"/>
    <w:uiPriority w:val="99"/>
    <w:semiHidden/>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2">
    <w:name w:val="Titre 02"/>
    <w:basedOn w:val="Normal"/>
    <w:link w:val="Titre02Car"/>
    <w:autoRedefine/>
    <w:qFormat/>
    <w:rsid w:val="001C583C"/>
    <w:pPr>
      <w:spacing w:after="0" w:line="240" w:lineRule="auto"/>
      <w:ind w:left="-851" w:right="-567"/>
    </w:pPr>
    <w:rPr>
      <w:rFonts w:ascii="Segoe UI" w:hAnsi="Segoe UI" w:cs="Segoe UI"/>
      <w:b/>
      <w:color w:val="000091" w:themeColor="text1"/>
      <w:szCs w:val="20"/>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2Car">
    <w:name w:val="Titre 02 Car"/>
    <w:basedOn w:val="Policepardfaut"/>
    <w:link w:val="Titre02"/>
    <w:rsid w:val="001C583C"/>
    <w:rPr>
      <w:rFonts w:ascii="Segoe UI" w:hAnsi="Segoe UI" w:cs="Segoe UI"/>
      <w:b/>
      <w:color w:val="000091" w:themeColor="text1"/>
      <w:szCs w:val="20"/>
    </w:rPr>
  </w:style>
  <w:style w:type="paragraph" w:styleId="Titre">
    <w:name w:val="Title"/>
    <w:aliases w:val="Titre 01"/>
    <w:basedOn w:val="Normal"/>
    <w:next w:val="Normal"/>
    <w:link w:val="TitreCar"/>
    <w:uiPriority w:val="10"/>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aliases w:val="Titre 04 Car"/>
    <w:basedOn w:val="Policepardfaut"/>
    <w:link w:val="Titre2"/>
    <w:uiPriority w:val="9"/>
    <w:rsid w:val="00472C6F"/>
    <w:rPr>
      <w:rFonts w:ascii="Marianne Light" w:eastAsiaTheme="majorEastAsia" w:hAnsi="Marianne Light" w:cstheme="majorBidi"/>
      <w:caps/>
      <w:sz w:val="32"/>
      <w:szCs w:val="26"/>
    </w:rPr>
  </w:style>
  <w:style w:type="character" w:customStyle="1" w:styleId="Titre1Car">
    <w:name w:val="Titre 1 Car"/>
    <w:basedOn w:val="Policepardfaut"/>
    <w:link w:val="Titre1"/>
    <w:uiPriority w:val="9"/>
    <w:rsid w:val="00490B3C"/>
    <w:rPr>
      <w:rFonts w:ascii="Segoe UI" w:eastAsiaTheme="majorEastAsia" w:hAnsi="Segoe UI" w:cs="Segoe UI"/>
      <w:b/>
      <w:bCs/>
      <w:color w:val="000091" w:themeColor="text1"/>
      <w:sz w:val="36"/>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uiPriority w:val="32"/>
    <w:qFormat/>
    <w:rsid w:val="00AA020A"/>
    <w:rPr>
      <w:rFonts w:ascii="Segoe UI" w:hAnsi="Segoe UI" w:cs="Segoe UI"/>
      <w:color w:val="000091" w:themeColor="text1"/>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B02AE3"/>
    <w:pPr>
      <w:spacing w:after="0" w:line="240" w:lineRule="auto"/>
      <w:ind w:left="-284"/>
      <w:jc w:val="both"/>
    </w:pPr>
    <w:rPr>
      <w:rFonts w:ascii="Segoe UI" w:hAnsi="Segoe UI" w:cs="Segoe UI"/>
      <w:sz w:val="20"/>
      <w:szCs w:val="20"/>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B02AE3"/>
    <w:rPr>
      <w:rFonts w:ascii="Segoe UI" w:hAnsi="Segoe UI" w:cs="Segoe UI"/>
      <w:sz w:val="20"/>
      <w:szCs w:val="20"/>
    </w:rPr>
  </w:style>
  <w:style w:type="paragraph" w:customStyle="1" w:styleId="listeTitre">
    <w:name w:val="liste Titre"/>
    <w:basedOn w:val="Titreliste"/>
    <w:link w:val="listeTitreCar"/>
    <w:qFormat/>
    <w:rsid w:val="00985384"/>
    <w:pPr>
      <w:spacing w:after="240"/>
    </w:pPr>
    <w:rPr>
      <w:rFonts w:ascii="Marianne Medium" w:hAnsi="Marianne Medium"/>
      <w:sz w:val="24"/>
    </w:rPr>
  </w:style>
  <w:style w:type="paragraph" w:customStyle="1" w:styleId="accentuation01">
    <w:name w:val="accentuation 01"/>
    <w:basedOn w:val="textecourant0"/>
    <w:link w:val="accentuation01Car"/>
    <w:qFormat/>
    <w:rsid w:val="00457B18"/>
    <w:pPr>
      <w:numPr>
        <w:numId w:val="14"/>
      </w:numPr>
      <w:spacing w:after="80" w:line="240" w:lineRule="auto"/>
      <w:ind w:left="-142" w:hanging="142"/>
      <w:jc w:val="left"/>
    </w:pPr>
    <w:rPr>
      <w:rFonts w:cs="Segoe UI"/>
      <w:color w:val="6A6AF4" w:themeColor="text2"/>
      <w:szCs w:val="20"/>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457B18"/>
    <w:rPr>
      <w:rFonts w:ascii="Segoe UI" w:hAnsi="Segoe UI" w:cs="Segoe UI"/>
      <w:color w:val="6A6AF4" w:themeColor="text2"/>
      <w:sz w:val="20"/>
      <w:szCs w:val="20"/>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ind w:left="862" w:right="862"/>
    </w:pPr>
    <w:rPr>
      <w:rFonts w:ascii="Spectral Medium" w:hAnsi="Spectral Medium"/>
      <w:i/>
      <w:iCs/>
      <w:color w:val="6D6DFF" w:themeColor="text1" w:themeTint="66"/>
      <w:sz w:val="28"/>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s="Segoe UI"/>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spacing w:after="0" w:line="240" w:lineRule="auto"/>
    </w:pPr>
  </w:style>
  <w:style w:type="character" w:customStyle="1" w:styleId="En-tteCar">
    <w:name w:val="En-tête Car"/>
    <w:basedOn w:val="Policepardfaut"/>
    <w:link w:val="En-tte"/>
    <w:uiPriority w:val="99"/>
    <w:rsid w:val="00DB4B5B"/>
  </w:style>
  <w:style w:type="character" w:customStyle="1" w:styleId="listeCar">
    <w:name w:val="liste Car"/>
    <w:basedOn w:val="Policepardfaut"/>
    <w:link w:val="liste"/>
    <w:locked/>
    <w:rsid w:val="004311AF"/>
    <w:rPr>
      <w:rFonts w:ascii="Marianne Light" w:hAnsi="Marianne Light"/>
    </w:rPr>
  </w:style>
  <w:style w:type="paragraph" w:customStyle="1" w:styleId="liste">
    <w:name w:val="liste"/>
    <w:basedOn w:val="Paragraphedeliste"/>
    <w:link w:val="listeCar"/>
    <w:rsid w:val="004311AF"/>
    <w:pPr>
      <w:numPr>
        <w:numId w:val="11"/>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4311AF"/>
    <w:rPr>
      <w:rFonts w:ascii="Marianne Light" w:hAnsi="Marianne Light"/>
    </w:rPr>
  </w:style>
  <w:style w:type="paragraph" w:customStyle="1" w:styleId="listeN-1">
    <w:name w:val="liste N-1"/>
    <w:basedOn w:val="Paragraphedeliste"/>
    <w:link w:val="listeN-1Car"/>
    <w:autoRedefine/>
    <w:qFormat/>
    <w:rsid w:val="004311AF"/>
    <w:pPr>
      <w:numPr>
        <w:numId w:val="12"/>
      </w:numPr>
      <w:spacing w:before="240" w:after="240" w:line="256" w:lineRule="auto"/>
      <w:ind w:left="567" w:firstLine="0"/>
    </w:pPr>
    <w:rPr>
      <w:rFonts w:ascii="Marianne Light" w:hAnsi="Marianne Light"/>
    </w:rPr>
  </w:style>
  <w:style w:type="paragraph" w:customStyle="1" w:styleId="ListeN-2">
    <w:name w:val="Liste N-2"/>
    <w:basedOn w:val="Paragraphedeliste"/>
    <w:rsid w:val="004311AF"/>
    <w:pPr>
      <w:numPr>
        <w:ilvl w:val="5"/>
        <w:numId w:val="12"/>
      </w:numPr>
      <w:tabs>
        <w:tab w:val="num" w:pos="360"/>
      </w:tabs>
      <w:spacing w:after="0" w:line="256" w:lineRule="auto"/>
      <w:ind w:left="1276" w:hanging="283"/>
    </w:pPr>
    <w:rPr>
      <w:rFonts w:ascii="Marianne Light" w:hAnsi="Marianne Light"/>
      <w:b/>
    </w:rPr>
  </w:style>
  <w:style w:type="paragraph" w:styleId="Paragraphedeliste">
    <w:name w:val="List Paragraph"/>
    <w:basedOn w:val="Normal"/>
    <w:link w:val="ParagraphedelisteCar"/>
    <w:uiPriority w:val="34"/>
    <w:rsid w:val="004311AF"/>
    <w:pPr>
      <w:ind w:left="720"/>
      <w:contextualSpacing/>
    </w:pPr>
  </w:style>
  <w:style w:type="character" w:customStyle="1" w:styleId="ParagraphedelisteCar">
    <w:name w:val="Paragraphe de liste Car"/>
    <w:basedOn w:val="Policepardfaut"/>
    <w:link w:val="Paragraphedeliste"/>
    <w:uiPriority w:val="34"/>
    <w:locked/>
    <w:rsid w:val="004311AF"/>
  </w:style>
  <w:style w:type="paragraph" w:customStyle="1" w:styleId="Titrenote">
    <w:name w:val="Titre note"/>
    <w:basedOn w:val="Normal"/>
    <w:link w:val="TitrenoteCar"/>
    <w:rsid w:val="00706D2B"/>
    <w:pPr>
      <w:ind w:right="-1417" w:hanging="709"/>
      <w:jc w:val="center"/>
    </w:pPr>
    <w:rPr>
      <w:rFonts w:ascii="Marianne" w:hAnsi="Marianne" w:cs="Segoe UI"/>
      <w:b/>
      <w:bCs/>
      <w:color w:val="E4A503" w:themeColor="accent2" w:themeShade="BF"/>
      <w:sz w:val="28"/>
      <w:szCs w:val="28"/>
    </w:rPr>
  </w:style>
  <w:style w:type="paragraph" w:customStyle="1" w:styleId="Commentairenote">
    <w:name w:val="Commentaire note"/>
    <w:basedOn w:val="Normal"/>
    <w:rsid w:val="00706D2B"/>
    <w:pPr>
      <w:ind w:right="-708"/>
    </w:pPr>
    <w:rPr>
      <w:rFonts w:ascii="Marianne" w:hAnsi="Marianne" w:cs="Segoe UI"/>
      <w:i/>
      <w:iCs/>
      <w:color w:val="6A6AF4" w:themeColor="text2"/>
    </w:rPr>
  </w:style>
  <w:style w:type="character" w:customStyle="1" w:styleId="TitrenoteCar">
    <w:name w:val="Titre note Car"/>
    <w:basedOn w:val="Policepardfaut"/>
    <w:link w:val="Titrenote"/>
    <w:rsid w:val="00706D2B"/>
    <w:rPr>
      <w:rFonts w:ascii="Marianne" w:hAnsi="Marianne" w:cs="Segoe UI"/>
      <w:b/>
      <w:bCs/>
      <w:color w:val="E4A503" w:themeColor="accent2" w:themeShade="BF"/>
      <w:sz w:val="28"/>
      <w:szCs w:val="28"/>
    </w:rPr>
  </w:style>
  <w:style w:type="character" w:customStyle="1" w:styleId="SansinterligneCar">
    <w:name w:val="Sans interligne Car"/>
    <w:basedOn w:val="Policepardfaut"/>
    <w:link w:val="Sansinterligne"/>
    <w:uiPriority w:val="1"/>
    <w:locked/>
    <w:rsid w:val="007209E2"/>
  </w:style>
  <w:style w:type="paragraph" w:styleId="Notedefin">
    <w:name w:val="endnote text"/>
    <w:basedOn w:val="Normal"/>
    <w:link w:val="NotedefinCar"/>
    <w:uiPriority w:val="99"/>
    <w:unhideWhenUsed/>
    <w:rsid w:val="007209E2"/>
    <w:pPr>
      <w:spacing w:after="0" w:line="240" w:lineRule="auto"/>
    </w:pPr>
    <w:rPr>
      <w:rFonts w:eastAsia="SimSun"/>
      <w:sz w:val="20"/>
      <w:szCs w:val="20"/>
    </w:rPr>
  </w:style>
  <w:style w:type="character" w:customStyle="1" w:styleId="NotedefinCar">
    <w:name w:val="Note de fin Car"/>
    <w:basedOn w:val="Policepardfaut"/>
    <w:link w:val="Notedefin"/>
    <w:uiPriority w:val="99"/>
    <w:rsid w:val="007209E2"/>
    <w:rPr>
      <w:rFonts w:eastAsia="SimSun"/>
      <w:sz w:val="20"/>
      <w:szCs w:val="20"/>
    </w:rPr>
  </w:style>
  <w:style w:type="character" w:styleId="Appeldenotedefin">
    <w:name w:val="endnote reference"/>
    <w:basedOn w:val="Policepardfaut"/>
    <w:uiPriority w:val="99"/>
    <w:semiHidden/>
    <w:unhideWhenUsed/>
    <w:rsid w:val="007209E2"/>
    <w:rPr>
      <w:vertAlign w:val="superscript"/>
    </w:rPr>
  </w:style>
  <w:style w:type="paragraph" w:customStyle="1" w:styleId="Brvesco-Normal">
    <w:name w:val="BrèvesÉco - Normal"/>
    <w:basedOn w:val="Normal"/>
    <w:rsid w:val="007209E2"/>
    <w:pPr>
      <w:spacing w:after="0" w:line="260" w:lineRule="exact"/>
      <w:jc w:val="both"/>
    </w:pPr>
    <w:rPr>
      <w:rFonts w:ascii="Marianne" w:hAnsi="Marianne" w:cs="Times New Roman (Corps CS)"/>
      <w:color w:val="1A171B"/>
      <w:sz w:val="20"/>
      <w:szCs w:val="24"/>
    </w:rPr>
  </w:style>
  <w:style w:type="paragraph" w:customStyle="1" w:styleId="notesbasdepage">
    <w:name w:val="notes bas de page"/>
    <w:basedOn w:val="Notedefin"/>
    <w:link w:val="notesbasdepageCar"/>
    <w:rsid w:val="007209E2"/>
    <w:pPr>
      <w:ind w:left="-567" w:right="142"/>
    </w:pPr>
    <w:rPr>
      <w:rFonts w:ascii="Segoe UI" w:hAnsi="Segoe UI" w:cs="Segoe UI"/>
      <w:sz w:val="18"/>
      <w:szCs w:val="18"/>
    </w:rPr>
  </w:style>
  <w:style w:type="paragraph" w:customStyle="1" w:styleId="textecourant0">
    <w:name w:val="texte courant"/>
    <w:basedOn w:val="Normal"/>
    <w:rsid w:val="00532CE3"/>
    <w:pPr>
      <w:spacing w:after="0" w:line="260" w:lineRule="exact"/>
      <w:jc w:val="both"/>
    </w:pPr>
    <w:rPr>
      <w:rFonts w:ascii="Segoe UI" w:hAnsi="Segoe UI" w:cs="Times New Roman (Corps CS)"/>
      <w:color w:val="1A171B"/>
      <w:sz w:val="20"/>
      <w:szCs w:val="24"/>
    </w:rPr>
  </w:style>
  <w:style w:type="character" w:customStyle="1" w:styleId="notesbasdepageCar">
    <w:name w:val="notes bas de page Car"/>
    <w:basedOn w:val="NotedefinCar"/>
    <w:link w:val="notesbasdepage"/>
    <w:rsid w:val="007209E2"/>
    <w:rPr>
      <w:rFonts w:ascii="Segoe UI" w:eastAsia="SimSun" w:hAnsi="Segoe UI" w:cs="Segoe UI"/>
      <w:sz w:val="18"/>
      <w:szCs w:val="18"/>
    </w:rPr>
  </w:style>
  <w:style w:type="table" w:styleId="Grilledutableau">
    <w:name w:val="Table Grid"/>
    <w:basedOn w:val="TableauNormal"/>
    <w:uiPriority w:val="39"/>
    <w:rsid w:val="009854A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nclusion">
    <w:name w:val="Intro/conclusion"/>
    <w:basedOn w:val="Sansinterligne"/>
    <w:link w:val="IntroconclusionCar"/>
    <w:qFormat/>
    <w:rsid w:val="00B343C4"/>
    <w:pPr>
      <w:spacing w:after="240"/>
      <w:ind w:left="-284"/>
      <w:jc w:val="both"/>
    </w:pPr>
    <w:rPr>
      <w:rFonts w:ascii="Segoe UI" w:hAnsi="Segoe UI" w:cs="Segoe UI"/>
      <w:color w:val="000091" w:themeColor="text1"/>
      <w:sz w:val="20"/>
      <w:szCs w:val="20"/>
      <w:lang w:eastAsia="fr-FR"/>
    </w:rPr>
  </w:style>
  <w:style w:type="character" w:customStyle="1" w:styleId="IntroconclusionCar">
    <w:name w:val="Intro/conclusion Car"/>
    <w:basedOn w:val="SansinterligneCar"/>
    <w:link w:val="Introconclusion"/>
    <w:rsid w:val="00B343C4"/>
    <w:rPr>
      <w:rFonts w:ascii="Segoe UI" w:hAnsi="Segoe UI" w:cs="Segoe UI"/>
      <w:color w:val="000091" w:themeColor="text1"/>
      <w:sz w:val="20"/>
      <w:szCs w:val="20"/>
      <w:lang w:eastAsia="fr-FR"/>
    </w:rPr>
  </w:style>
  <w:style w:type="paragraph" w:styleId="NormalWeb">
    <w:name w:val="Normal (Web)"/>
    <w:basedOn w:val="Normal"/>
    <w:uiPriority w:val="99"/>
    <w:unhideWhenUsed/>
    <w:rsid w:val="0077249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51321869">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732800365">
      <w:bodyDiv w:val="1"/>
      <w:marLeft w:val="0"/>
      <w:marRight w:val="0"/>
      <w:marTop w:val="0"/>
      <w:marBottom w:val="0"/>
      <w:divBdr>
        <w:top w:val="none" w:sz="0" w:space="0" w:color="auto"/>
        <w:left w:val="none" w:sz="0" w:space="0" w:color="auto"/>
        <w:bottom w:val="none" w:sz="0" w:space="0" w:color="auto"/>
        <w:right w:val="none" w:sz="0" w:space="0" w:color="auto"/>
      </w:divBdr>
    </w:div>
    <w:div w:id="1985742892">
      <w:bodyDiv w:val="1"/>
      <w:marLeft w:val="0"/>
      <w:marRight w:val="0"/>
      <w:marTop w:val="0"/>
      <w:marBottom w:val="0"/>
      <w:divBdr>
        <w:top w:val="none" w:sz="0" w:space="0" w:color="auto"/>
        <w:left w:val="none" w:sz="0" w:space="0" w:color="auto"/>
        <w:bottom w:val="none" w:sz="0" w:space="0" w:color="auto"/>
        <w:right w:val="none" w:sz="0" w:space="0" w:color="auto"/>
      </w:divBdr>
    </w:div>
    <w:div w:id="202008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lfredOrdreDocumentNumeric xmlns="45684573-93AC-4E02-A6DD-E818D6CB76BB">5</AlfredOrdreDocumentNumeri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ontentTypeDocument" ma:contentTypeID="0x0101000509D36CDFC148A38A3584DC303082EF00C302AED2AAEF9E4E93A8C44CC7906340" ma:contentTypeVersion="0" ma:contentTypeDescription="" ma:contentTypeScope="" ma:versionID="2f3c4cfe039b31c78dc8b72a4c9fdfc1">
  <xsd:schema xmlns:xsd="http://www.w3.org/2001/XMLSchema" xmlns:xs="http://www.w3.org/2001/XMLSchema" xmlns:p="http://schemas.microsoft.com/office/2006/metadata/properties" xmlns:ns2="45684573-93AC-4E02-A6DD-E818D6CB76BB" targetNamespace="http://schemas.microsoft.com/office/2006/metadata/properties" ma:root="true" ma:fieldsID="facb2bad72f9d40af5f8e7f4d31d5c4f" ns2:_="">
    <xsd:import namespace="45684573-93AC-4E02-A6DD-E818D6CB76BB"/>
    <xsd:element name="properties">
      <xsd:complexType>
        <xsd:sequence>
          <xsd:element name="documentManagement">
            <xsd:complexType>
              <xsd:all>
                <xsd:element ref="ns2:AlfredOrdreDocumentNumer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84573-93AC-4E02-A6DD-E818D6CB76BB" elementFormDefault="qualified">
    <xsd:import namespace="http://schemas.microsoft.com/office/2006/documentManagement/types"/>
    <xsd:import namespace="http://schemas.microsoft.com/office/infopath/2007/PartnerControls"/>
    <xsd:element name="AlfredOrdreDocumentNumeric" ma:index="8" nillable="true" ma:displayName="Ordre de priorité" ma:description="" ma:internalName="AlfredOrdreDocumentNumeric">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E70A4-4068-4A2A-B461-0F496D4F37F6}">
  <ds:schemaRefs>
    <ds:schemaRef ds:uri="http://schemas.microsoft.com/office/2006/metadata/properties"/>
    <ds:schemaRef ds:uri="http://schemas.microsoft.com/office/infopath/2007/PartnerControls"/>
    <ds:schemaRef ds:uri="45684573-93AC-4E02-A6DD-E818D6CB76BB"/>
  </ds:schemaRefs>
</ds:datastoreItem>
</file>

<file path=customXml/itemProps2.xml><?xml version="1.0" encoding="utf-8"?>
<ds:datastoreItem xmlns:ds="http://schemas.openxmlformats.org/officeDocument/2006/customXml" ds:itemID="{A7089C39-B73A-4C06-BD6A-F911CC7058AB}">
  <ds:schemaRefs>
    <ds:schemaRef ds:uri="http://schemas.microsoft.com/sharepoint/v3/contenttype/forms"/>
  </ds:schemaRefs>
</ds:datastoreItem>
</file>

<file path=customXml/itemProps3.xml><?xml version="1.0" encoding="utf-8"?>
<ds:datastoreItem xmlns:ds="http://schemas.openxmlformats.org/officeDocument/2006/customXml" ds:itemID="{5FAC675B-C259-4B27-BF1A-B60DCD4E5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84573-93AC-4E02-A6DD-E818D6CB7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1</Pages>
  <Words>1606</Words>
  <Characters>8837</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Assouad</dc:creator>
  <cp:keywords>template</cp:keywords>
  <dc:description/>
  <cp:lastModifiedBy>SAUDRAIS Romain</cp:lastModifiedBy>
  <cp:revision>24</cp:revision>
  <dcterms:created xsi:type="dcterms:W3CDTF">2026-06-03T13:51:00Z</dcterms:created>
  <dcterms:modified xsi:type="dcterms:W3CDTF">2026-06-22T16:15:00Z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0x0101000509D36CDFC148A38A3584DC303082EF00C302AED2AAEF9E4E93A8C44CC7906340</vt:lpwstr>
  </property>
</Properties>
</file>