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D056" w14:textId="04C42148" w:rsidR="00937B7E" w:rsidRPr="009E7C62" w:rsidRDefault="00937B7E" w:rsidP="00AE6311">
      <w:pPr>
        <w:pStyle w:val="Dateetlieu"/>
      </w:pPr>
      <w:r w:rsidRPr="009E7C62">
        <w:t xml:space="preserve">La Haye, le </w:t>
      </w:r>
      <w:r w:rsidR="00210F93">
        <w:t>2</w:t>
      </w:r>
      <w:r w:rsidR="00A55F21">
        <w:t>6</w:t>
      </w:r>
      <w:r w:rsidR="0086172B">
        <w:t xml:space="preserve"> juin</w:t>
      </w:r>
      <w:r w:rsidRPr="009E7C62">
        <w:t xml:space="preserve"> 202</w:t>
      </w:r>
      <w:r w:rsidR="00BF0C51">
        <w:t>5</w:t>
      </w:r>
    </w:p>
    <w:tbl>
      <w:tblPr>
        <w:tblStyle w:val="Grilledutableau"/>
        <w:tblW w:w="10774" w:type="dxa"/>
        <w:tblInd w:w="-851" w:type="dxa"/>
        <w:tblLook w:val="04A0" w:firstRow="1" w:lastRow="0" w:firstColumn="1" w:lastColumn="0" w:noHBand="0" w:noVBand="1"/>
      </w:tblPr>
      <w:tblGrid>
        <w:gridCol w:w="4957"/>
        <w:gridCol w:w="5817"/>
      </w:tblGrid>
      <w:tr w:rsidR="00C10E38" w:rsidRPr="009E7C62" w14:paraId="4302B03A" w14:textId="77777777" w:rsidTr="003C6C92">
        <w:trPr>
          <w:trHeight w:val="734"/>
        </w:trPr>
        <w:tc>
          <w:tcPr>
            <w:tcW w:w="4957" w:type="dxa"/>
            <w:tcBorders>
              <w:top w:val="nil"/>
              <w:left w:val="nil"/>
              <w:bottom w:val="nil"/>
              <w:right w:val="nil"/>
            </w:tcBorders>
            <w:shd w:val="clear" w:color="auto" w:fill="FDE8B0" w:themeFill="accent2" w:themeFillTint="66"/>
          </w:tcPr>
          <w:p w14:paraId="225D14D2" w14:textId="2D0F9F59" w:rsidR="00633870" w:rsidRPr="00633870" w:rsidRDefault="00633870" w:rsidP="00633870">
            <w:pPr>
              <w:pStyle w:val="Enttegauche"/>
            </w:pPr>
            <w:r w:rsidRPr="00633870">
              <w:t>Ambassade de France en Belgique / SE de Bruxelles</w:t>
            </w:r>
          </w:p>
          <w:p w14:paraId="38D6726D" w14:textId="67F486B1" w:rsidR="00C10E38" w:rsidRPr="009E7C62" w:rsidRDefault="00633870" w:rsidP="00633870">
            <w:pPr>
              <w:pStyle w:val="Enttegauche"/>
              <w:contextualSpacing/>
              <w:rPr>
                <w:b/>
              </w:rPr>
            </w:pPr>
            <w:r w:rsidRPr="00633870">
              <w:t>Ambassade de France aux Pays-Bas / SER de La Haye</w:t>
            </w:r>
          </w:p>
        </w:tc>
        <w:tc>
          <w:tcPr>
            <w:tcW w:w="5817" w:type="dxa"/>
            <w:tcBorders>
              <w:top w:val="nil"/>
              <w:left w:val="nil"/>
              <w:bottom w:val="nil"/>
              <w:right w:val="nil"/>
            </w:tcBorders>
            <w:shd w:val="clear" w:color="auto" w:fill="FDE8B0" w:themeFill="accent2" w:themeFillTint="66"/>
          </w:tcPr>
          <w:p w14:paraId="15F08FA0" w14:textId="5FEBB64D" w:rsidR="00C10E38" w:rsidRPr="009E7C62" w:rsidRDefault="00937B7E" w:rsidP="00AE6311">
            <w:pPr>
              <w:pStyle w:val="Enttedroite"/>
            </w:pPr>
            <w:r w:rsidRPr="009E7C62">
              <w:t xml:space="preserve">Affaire suivie par : </w:t>
            </w:r>
            <w:r w:rsidR="00633870">
              <w:t xml:space="preserve">L. </w:t>
            </w:r>
            <w:r w:rsidR="00633870">
              <w:t>Chauvet</w:t>
            </w:r>
          </w:p>
          <w:p w14:paraId="6D8C8622" w14:textId="3E596C83" w:rsidR="00C10E38" w:rsidRPr="009E7C62" w:rsidRDefault="0086172B" w:rsidP="00210F93">
            <w:pPr>
              <w:pStyle w:val="Enttedroite"/>
              <w:spacing w:before="0"/>
            </w:pPr>
            <w:r>
              <w:t xml:space="preserve">Revue par : </w:t>
            </w:r>
            <w:r w:rsidR="00633870">
              <w:t>J. Bouvry</w:t>
            </w:r>
          </w:p>
        </w:tc>
      </w:tr>
      <w:tr w:rsidR="004C0876" w:rsidRPr="009E7C62" w14:paraId="161B198E" w14:textId="77777777" w:rsidTr="003C6C92">
        <w:tc>
          <w:tcPr>
            <w:tcW w:w="10774" w:type="dxa"/>
            <w:gridSpan w:val="2"/>
            <w:tcBorders>
              <w:top w:val="nil"/>
              <w:left w:val="nil"/>
              <w:bottom w:val="nil"/>
              <w:right w:val="nil"/>
            </w:tcBorders>
            <w:shd w:val="clear" w:color="auto" w:fill="FCC63A"/>
          </w:tcPr>
          <w:p w14:paraId="1EE36EB7" w14:textId="39AF4812" w:rsidR="004C0876" w:rsidRPr="009E7C62" w:rsidRDefault="00F41C63" w:rsidP="00AE6311">
            <w:pPr>
              <w:pStyle w:val="Pays"/>
            </w:pPr>
            <w:r>
              <w:t>Luxembourg</w:t>
            </w:r>
          </w:p>
        </w:tc>
      </w:tr>
    </w:tbl>
    <w:p w14:paraId="57D86287" w14:textId="2976C0A4" w:rsidR="00565B03" w:rsidRPr="009E7C62" w:rsidRDefault="00B60F51" w:rsidP="00B60F51">
      <w:pPr>
        <w:pStyle w:val="Titrenote"/>
        <w:spacing w:after="120" w:line="216" w:lineRule="auto"/>
        <w:ind w:left="-284" w:right="-113"/>
        <w:rPr>
          <w:caps w:val="0"/>
        </w:rPr>
      </w:pPr>
      <w:r>
        <w:rPr>
          <w:caps w:val="0"/>
        </w:rPr>
        <w:t>Situation économique et financière</w:t>
      </w:r>
    </w:p>
    <w:p w14:paraId="65824BC9" w14:textId="526468A4" w:rsidR="007C2CB9" w:rsidRPr="009E7C62" w:rsidRDefault="00FE5187" w:rsidP="00FE5187">
      <w:pPr>
        <w:pStyle w:val="Rsum"/>
        <w:spacing w:after="120" w:line="216" w:lineRule="auto"/>
        <w:ind w:left="-284" w:right="-113"/>
        <w:rPr>
          <w:lang w:val="fr-FR"/>
        </w:rPr>
      </w:pPr>
      <w:r w:rsidRPr="00FE5187">
        <w:rPr>
          <w:lang w:val="fr-FR"/>
        </w:rPr>
        <w:t xml:space="preserve">Après </w:t>
      </w:r>
      <w:r>
        <w:rPr>
          <w:lang w:val="fr-FR"/>
        </w:rPr>
        <w:t>avoir enregistré</w:t>
      </w:r>
      <w:r w:rsidRPr="00FE5187">
        <w:rPr>
          <w:lang w:val="fr-FR"/>
        </w:rPr>
        <w:t xml:space="preserve"> croissance soutenue entre 2011 et 2021 (+2,5 % par an en moyenne), l’économie luxembourgeoise,</w:t>
      </w:r>
      <w:r>
        <w:rPr>
          <w:lang w:val="fr-FR"/>
        </w:rPr>
        <w:t xml:space="preserve"> principalement</w:t>
      </w:r>
      <w:r w:rsidRPr="00FE5187">
        <w:rPr>
          <w:lang w:val="fr-FR"/>
        </w:rPr>
        <w:t xml:space="preserve"> portée par son secteur financier, est entrée en récession en 2022-2023, sous l’effet du retour de l’inflation (+10 % en deux ans) et d</w:t>
      </w:r>
      <w:r>
        <w:rPr>
          <w:lang w:val="fr-FR"/>
        </w:rPr>
        <w:t>’une</w:t>
      </w:r>
      <w:r w:rsidRPr="00FE5187">
        <w:rPr>
          <w:lang w:val="fr-FR"/>
        </w:rPr>
        <w:t xml:space="preserve"> crise du secteur de la construction. </w:t>
      </w:r>
      <w:r w:rsidR="00EE7AD2">
        <w:rPr>
          <w:lang w:val="fr-FR"/>
        </w:rPr>
        <w:t>Si l</w:t>
      </w:r>
      <w:r w:rsidRPr="00FE5187">
        <w:rPr>
          <w:lang w:val="fr-FR"/>
        </w:rPr>
        <w:t xml:space="preserve">’année 2024 marque une reprise, </w:t>
      </w:r>
      <w:r w:rsidR="00EE7AD2">
        <w:rPr>
          <w:lang w:val="fr-FR"/>
        </w:rPr>
        <w:t>elle reste</w:t>
      </w:r>
      <w:r w:rsidRPr="00FE5187">
        <w:rPr>
          <w:lang w:val="fr-FR"/>
        </w:rPr>
        <w:t xml:space="preserve"> modeste, freinée par la stagnation de la productivité et du marché de l’emploi.</w:t>
      </w:r>
      <w:r>
        <w:rPr>
          <w:lang w:val="fr-FR"/>
        </w:rPr>
        <w:t xml:space="preserve"> </w:t>
      </w:r>
      <w:r w:rsidR="00EE7AD2">
        <w:rPr>
          <w:lang w:val="fr-FR"/>
        </w:rPr>
        <w:t xml:space="preserve">Alors que </w:t>
      </w:r>
      <w:r w:rsidR="006D7308">
        <w:rPr>
          <w:lang w:val="fr-FR"/>
        </w:rPr>
        <w:t>l</w:t>
      </w:r>
      <w:r w:rsidR="00EE7AD2">
        <w:rPr>
          <w:lang w:val="fr-FR"/>
        </w:rPr>
        <w:t xml:space="preserve">’inflation s’est apaisée </w:t>
      </w:r>
      <w:r w:rsidRPr="00FE5187">
        <w:rPr>
          <w:lang w:val="fr-FR"/>
        </w:rPr>
        <w:t xml:space="preserve">en 2024, </w:t>
      </w:r>
      <w:r w:rsidR="006D7308">
        <w:rPr>
          <w:lang w:val="fr-FR"/>
        </w:rPr>
        <w:t>d</w:t>
      </w:r>
      <w:r w:rsidR="006D7308" w:rsidRPr="006D7308">
        <w:rPr>
          <w:lang w:val="fr-FR"/>
        </w:rPr>
        <w:t xml:space="preserve">es ajustements ponctuels </w:t>
      </w:r>
      <w:r>
        <w:rPr>
          <w:lang w:val="fr-FR"/>
        </w:rPr>
        <w:t>ont</w:t>
      </w:r>
      <w:r w:rsidRPr="00FE5187">
        <w:rPr>
          <w:lang w:val="fr-FR"/>
        </w:rPr>
        <w:t xml:space="preserve"> ravivé </w:t>
      </w:r>
      <w:r>
        <w:rPr>
          <w:lang w:val="fr-FR"/>
        </w:rPr>
        <w:t>la tendance haussière</w:t>
      </w:r>
      <w:r w:rsidR="006D7308">
        <w:rPr>
          <w:lang w:val="fr-FR"/>
        </w:rPr>
        <w:t xml:space="preserve"> en 2025</w:t>
      </w:r>
      <w:r w:rsidRPr="00FE5187">
        <w:rPr>
          <w:lang w:val="fr-FR"/>
        </w:rPr>
        <w:t>.</w:t>
      </w:r>
      <w:r w:rsidR="006D7308" w:rsidRPr="006D7308">
        <w:rPr>
          <w:lang w:val="fr-FR"/>
        </w:rPr>
        <w:t xml:space="preserve"> La hausse des prix devrait néanmoins restée contenue.</w:t>
      </w:r>
      <w:r w:rsidRPr="00FE5187">
        <w:rPr>
          <w:lang w:val="fr-FR"/>
        </w:rPr>
        <w:t xml:space="preserve"> </w:t>
      </w:r>
      <w:r>
        <w:rPr>
          <w:lang w:val="fr-FR"/>
        </w:rPr>
        <w:t>L</w:t>
      </w:r>
      <w:r w:rsidRPr="00FE5187">
        <w:rPr>
          <w:lang w:val="fr-FR"/>
        </w:rPr>
        <w:t xml:space="preserve">es finances publiques demeurent </w:t>
      </w:r>
      <w:r>
        <w:rPr>
          <w:lang w:val="fr-FR"/>
        </w:rPr>
        <w:t xml:space="preserve">quant à elles </w:t>
      </w:r>
      <w:r w:rsidRPr="00FE5187">
        <w:rPr>
          <w:lang w:val="fr-FR"/>
        </w:rPr>
        <w:t>solides, avec un excédent budgétaire et une dette publique inférieure à 30 % du PIB en 2024. À plus long terme, la hausse attendue des dépenses de retraite et de transition climatique pourrait fragiliser cet équilibre.</w:t>
      </w:r>
      <w:r>
        <w:rPr>
          <w:lang w:val="fr-FR"/>
        </w:rPr>
        <w:t xml:space="preserve"> </w:t>
      </w:r>
    </w:p>
    <w:p w14:paraId="5374D058" w14:textId="6FBB9893" w:rsidR="007209E2" w:rsidRPr="009E7C62" w:rsidRDefault="0098013D" w:rsidP="00396E0B">
      <w:pPr>
        <w:pStyle w:val="Titre1"/>
      </w:pPr>
      <w:r w:rsidRPr="009E7C62">
        <w:t>1.</w:t>
      </w:r>
      <w:r w:rsidR="00FE5187">
        <w:t xml:space="preserve"> </w:t>
      </w:r>
      <w:r w:rsidR="001D4A60" w:rsidRPr="001D4A60">
        <w:t>Une reprise économique fragile dans un contexte d’incertitude globale et de modération inflationniste</w:t>
      </w:r>
    </w:p>
    <w:p w14:paraId="7CD376A6" w14:textId="1E8FEE87" w:rsidR="00F4255E" w:rsidRPr="00E759CB" w:rsidRDefault="00916277" w:rsidP="00916277">
      <w:pPr>
        <w:pStyle w:val="textecourant"/>
        <w:spacing w:line="216" w:lineRule="auto"/>
        <w:ind w:left="-284" w:right="-113"/>
      </w:pPr>
      <w:r w:rsidRPr="00916277">
        <w:rPr>
          <w:b/>
          <w:bCs/>
        </w:rPr>
        <w:t xml:space="preserve">1.1. </w:t>
      </w:r>
      <w:r w:rsidR="00B0066B" w:rsidRPr="00B0066B">
        <w:rPr>
          <w:b/>
          <w:bCs/>
        </w:rPr>
        <w:t>En 2024, le Luxembourg a renoué avec la croissance, mais ses perspectives à</w:t>
      </w:r>
      <w:r w:rsidR="00B0066B">
        <w:rPr>
          <w:b/>
          <w:bCs/>
        </w:rPr>
        <w:t xml:space="preserve"> très</w:t>
      </w:r>
      <w:r w:rsidR="00B0066B" w:rsidRPr="00B0066B">
        <w:rPr>
          <w:b/>
          <w:bCs/>
        </w:rPr>
        <w:t xml:space="preserve"> court terme demeurent relativement moroses.</w:t>
      </w:r>
      <w:r w:rsidRPr="00916277">
        <w:rPr>
          <w:b/>
          <w:bCs/>
        </w:rPr>
        <w:t xml:space="preserve"> </w:t>
      </w:r>
      <w:r w:rsidR="00B0066B" w:rsidRPr="00B0066B">
        <w:t>A</w:t>
      </w:r>
      <w:r w:rsidRPr="00B0066B">
        <w:t>près une contraction du PIB de -0,7 % en 2023</w:t>
      </w:r>
      <w:r w:rsidR="00B0066B" w:rsidRPr="00B0066B">
        <w:t>, la croissance</w:t>
      </w:r>
      <w:r w:rsidR="00B0066B">
        <w:t xml:space="preserve"> </w:t>
      </w:r>
      <w:r w:rsidRPr="00916277">
        <w:t>économi</w:t>
      </w:r>
      <w:r w:rsidR="00B0066B">
        <w:t xml:space="preserve">que </w:t>
      </w:r>
      <w:r w:rsidRPr="00916277">
        <w:t xml:space="preserve">a progressé de </w:t>
      </w:r>
      <w:r w:rsidR="00B0066B">
        <w:t>+</w:t>
      </w:r>
      <w:r w:rsidRPr="00916277">
        <w:t>1</w:t>
      </w:r>
      <w:r w:rsidR="00B0066B">
        <w:t>,0</w:t>
      </w:r>
      <w:r w:rsidRPr="00916277">
        <w:t xml:space="preserve"> % </w:t>
      </w:r>
      <w:r w:rsidR="00B0066B">
        <w:t xml:space="preserve">en 2024 </w:t>
      </w:r>
      <w:r w:rsidRPr="00916277">
        <w:t>(cf. annexe 1), atteignant 90</w:t>
      </w:r>
      <w:r w:rsidR="0098316F">
        <w:t xml:space="preserve"> Md€</w:t>
      </w:r>
      <w:r w:rsidRPr="00916277">
        <w:t xml:space="preserve">, soit 143 200 € par habitant </w:t>
      </w:r>
      <w:r>
        <w:t>-</w:t>
      </w:r>
      <w:r w:rsidRPr="00916277">
        <w:t xml:space="preserve"> le niveau le plus élevé au monde </w:t>
      </w:r>
      <w:r>
        <w:t>-</w:t>
      </w:r>
      <w:r w:rsidRPr="00916277">
        <w:t>, malgré une performance inférieure aux prévisions initiales de 1,5 % (cf. annexe 2).</w:t>
      </w:r>
      <w:r>
        <w:t xml:space="preserve"> </w:t>
      </w:r>
      <w:r w:rsidRPr="00916277">
        <w:t>Cette reprise demeure néanmoins fragile. L’activité économique a reculé de 0,4 % au</w:t>
      </w:r>
      <w:r w:rsidR="002B164B">
        <w:t xml:space="preserve"> 1</w:t>
      </w:r>
      <w:r w:rsidR="002B164B" w:rsidRPr="002B164B">
        <w:rPr>
          <w:vertAlign w:val="superscript"/>
        </w:rPr>
        <w:t>er</w:t>
      </w:r>
      <w:r w:rsidRPr="00916277">
        <w:t xml:space="preserve"> trimestre 2025, sous l’effet du ralentissement du secteur financier</w:t>
      </w:r>
      <w:r w:rsidR="00522DD6">
        <w:t xml:space="preserve">. </w:t>
      </w:r>
      <w:r w:rsidRPr="00916277">
        <w:t>À l’inverse, le secteur des technologies de l’information et de la communication a enregistré une croissance soutenue, portée par les investissements publics en faveur de la digitalisation.</w:t>
      </w:r>
      <w:r>
        <w:t xml:space="preserve"> </w:t>
      </w:r>
      <w:r w:rsidRPr="00916277">
        <w:t xml:space="preserve">Sur le marché du travail, la dynamique de l’emploi s’est nettement essoufflée, atteignant son plus bas niveau depuis 2009, et ne devrait se redresser qu’à l’horizon 2026. Pour l’année 2025, le STATEC anticipe une croissance </w:t>
      </w:r>
      <w:r w:rsidR="00B0066B">
        <w:t xml:space="preserve">stable à </w:t>
      </w:r>
      <w:r w:rsidRPr="00916277">
        <w:t>+1,0 %</w:t>
      </w:r>
      <w:r w:rsidR="00BF117A">
        <w:t xml:space="preserve"> (-1,5 pp par rapport aux prévisions d’automne)</w:t>
      </w:r>
      <w:r w:rsidRPr="00916277">
        <w:t xml:space="preserve">, pénalisée par la dégradation des perspectives économiques internationales. Un léger rebond est attendu en 2026, avec une croissance estimée à +2,0 %. Cette trajectoire reste cependant tributaire d’une amélioration progressive des activités marchandes, elle-même susceptible d’être remise en cause par les incertitudes du contexte global </w:t>
      </w:r>
      <w:r>
        <w:t>-</w:t>
      </w:r>
      <w:r w:rsidRPr="00916277">
        <w:t xml:space="preserve"> tensions commerciales, évolution de l’inflation, ou rythme de la baisse des taux d’intérêt </w:t>
      </w:r>
      <w:r>
        <w:t>-</w:t>
      </w:r>
      <w:r w:rsidRPr="00916277">
        <w:t xml:space="preserve">, qui pourraient </w:t>
      </w:r>
      <w:r w:rsidR="00BF117A">
        <w:t xml:space="preserve">notamment </w:t>
      </w:r>
      <w:r w:rsidRPr="00916277">
        <w:t>accroître l’instabilité des marchés financiers.</w:t>
      </w:r>
    </w:p>
    <w:p w14:paraId="342704AA" w14:textId="35A8FDC9" w:rsidR="00D663A6" w:rsidRDefault="00396E0B" w:rsidP="000B5ED2">
      <w:pPr>
        <w:pStyle w:val="Brvesco-Normal"/>
        <w:spacing w:after="120" w:line="216" w:lineRule="auto"/>
        <w:ind w:left="-284" w:right="-113"/>
        <w:rPr>
          <w:rFonts w:ascii="Segoe UI" w:hAnsi="Segoe UI" w:cs="Segoe UI"/>
          <w:szCs w:val="20"/>
        </w:rPr>
      </w:pPr>
      <w:r w:rsidRPr="00396E0B">
        <w:rPr>
          <w:rFonts w:ascii="Segoe UI" w:hAnsi="Segoe UI" w:cs="Segoe UI"/>
          <w:b/>
          <w:bCs/>
          <w:szCs w:val="20"/>
        </w:rPr>
        <w:t>1.2.</w:t>
      </w:r>
      <w:r w:rsidR="00D90D84" w:rsidRPr="00D90D84">
        <w:rPr>
          <w:rFonts w:ascii="Times New Roman" w:eastAsia="Times New Roman" w:hAnsi="Times New Roman" w:cs="Times New Roman"/>
          <w:sz w:val="24"/>
          <w:lang w:eastAsia="fr-FR"/>
        </w:rPr>
        <w:t xml:space="preserve"> </w:t>
      </w:r>
      <w:r w:rsidR="00E9459B" w:rsidRPr="00E9459B">
        <w:rPr>
          <w:rFonts w:ascii="Segoe UI" w:hAnsi="Segoe UI" w:cs="Segoe UI"/>
          <w:b/>
          <w:bCs/>
          <w:szCs w:val="20"/>
        </w:rPr>
        <w:t>Les pressions inflationnistes et salariales devraient continuer à se relâcher.</w:t>
      </w:r>
      <w:r w:rsidR="00E9459B" w:rsidRPr="00E9459B">
        <w:rPr>
          <w:rFonts w:ascii="Times New Roman" w:eastAsia="Times New Roman" w:hAnsi="Times New Roman" w:cs="Times New Roman"/>
          <w:sz w:val="24"/>
          <w:lang w:eastAsia="fr-FR"/>
        </w:rPr>
        <w:t xml:space="preserve"> </w:t>
      </w:r>
      <w:r w:rsidR="00F41C63" w:rsidRPr="00E9459B">
        <w:rPr>
          <w:rFonts w:ascii="Segoe UI" w:hAnsi="Segoe UI" w:cs="Segoe UI"/>
          <w:szCs w:val="20"/>
        </w:rPr>
        <w:t>A</w:t>
      </w:r>
      <w:r w:rsidR="00D663A6" w:rsidRPr="00E9459B">
        <w:rPr>
          <w:rFonts w:ascii="Segoe UI" w:hAnsi="Segoe UI" w:cs="Segoe UI"/>
          <w:szCs w:val="20"/>
        </w:rPr>
        <w:t xml:space="preserve">vec un taux d’inflation </w:t>
      </w:r>
      <w:r w:rsidR="00BF117A">
        <w:rPr>
          <w:rFonts w:ascii="Segoe UI" w:hAnsi="Segoe UI" w:cs="Segoe UI"/>
          <w:szCs w:val="20"/>
        </w:rPr>
        <w:t>inférieur à</w:t>
      </w:r>
      <w:r w:rsidR="00D663A6" w:rsidRPr="00E9459B">
        <w:rPr>
          <w:rFonts w:ascii="Segoe UI" w:hAnsi="Segoe UI" w:cs="Segoe UI"/>
          <w:szCs w:val="20"/>
        </w:rPr>
        <w:t xml:space="preserve"> 1</w:t>
      </w:r>
      <w:r w:rsidR="00BF117A">
        <w:rPr>
          <w:rFonts w:ascii="Segoe UI" w:hAnsi="Segoe UI" w:cs="Segoe UI"/>
          <w:szCs w:val="20"/>
        </w:rPr>
        <w:t>,0</w:t>
      </w:r>
      <w:r w:rsidR="00D663A6" w:rsidRPr="00E9459B">
        <w:rPr>
          <w:rFonts w:ascii="Segoe UI" w:hAnsi="Segoe UI" w:cs="Segoe UI"/>
          <w:szCs w:val="20"/>
        </w:rPr>
        <w:t xml:space="preserve"> </w:t>
      </w:r>
      <w:r w:rsidR="00D663A6" w:rsidRPr="00E9459B">
        <w:rPr>
          <w:rFonts w:ascii="Segoe UI" w:hAnsi="Segoe UI" w:cs="Segoe UI"/>
          <w:color w:val="auto"/>
          <w:szCs w:val="20"/>
        </w:rPr>
        <w:t xml:space="preserve">% au dernier trimestre, le ralentissement de l’inflation au Luxembourg a été plus marqué que prévu en 2024. </w:t>
      </w:r>
      <w:r w:rsidR="00D663A6" w:rsidRPr="00D663A6">
        <w:rPr>
          <w:rFonts w:ascii="Segoe UI" w:hAnsi="Segoe UI" w:cs="Segoe UI"/>
          <w:szCs w:val="20"/>
        </w:rPr>
        <w:t xml:space="preserve">La levée des boucliers tarifaires en janvier 2025 a </w:t>
      </w:r>
      <w:r w:rsidR="00BF117A">
        <w:rPr>
          <w:rFonts w:ascii="Segoe UI" w:hAnsi="Segoe UI" w:cs="Segoe UI"/>
          <w:szCs w:val="20"/>
        </w:rPr>
        <w:t xml:space="preserve">néanmoins </w:t>
      </w:r>
      <w:r w:rsidR="00D663A6" w:rsidRPr="00D663A6">
        <w:rPr>
          <w:rFonts w:ascii="Segoe UI" w:hAnsi="Segoe UI" w:cs="Segoe UI"/>
          <w:szCs w:val="20"/>
        </w:rPr>
        <w:t xml:space="preserve">entraîné </w:t>
      </w:r>
      <w:r w:rsidR="00BF117A">
        <w:rPr>
          <w:rFonts w:ascii="Segoe UI" w:hAnsi="Segoe UI" w:cs="Segoe UI"/>
          <w:szCs w:val="20"/>
        </w:rPr>
        <w:t xml:space="preserve">un renchérissement </w:t>
      </w:r>
      <w:r w:rsidR="00D663A6" w:rsidRPr="00D663A6">
        <w:rPr>
          <w:rFonts w:ascii="Segoe UI" w:hAnsi="Segoe UI" w:cs="Segoe UI"/>
          <w:szCs w:val="20"/>
        </w:rPr>
        <w:t xml:space="preserve">des prix du gaz et de l’électricité, relançant l’inflation à près de 2 %. Si cet effet s’est atténué, </w:t>
      </w:r>
      <w:r w:rsidR="00D663A6">
        <w:rPr>
          <w:rFonts w:ascii="Segoe UI" w:hAnsi="Segoe UI" w:cs="Segoe UI"/>
          <w:szCs w:val="20"/>
        </w:rPr>
        <w:t>aidé par ailleurs par le</w:t>
      </w:r>
      <w:r w:rsidR="00D663A6" w:rsidRPr="00D663A6">
        <w:rPr>
          <w:rFonts w:ascii="Segoe UI" w:hAnsi="Segoe UI" w:cs="Segoe UI"/>
          <w:szCs w:val="20"/>
        </w:rPr>
        <w:t xml:space="preserve"> recul des prix du pétrole (-6,1 % en </w:t>
      </w:r>
      <w:r w:rsidR="00D663A6">
        <w:rPr>
          <w:rFonts w:ascii="Segoe UI" w:hAnsi="Segoe UI" w:cs="Segoe UI"/>
          <w:szCs w:val="20"/>
        </w:rPr>
        <w:t xml:space="preserve">g.a. </w:t>
      </w:r>
      <w:r w:rsidR="00D663A6" w:rsidRPr="00D663A6">
        <w:rPr>
          <w:rFonts w:ascii="Segoe UI" w:hAnsi="Segoe UI" w:cs="Segoe UI"/>
          <w:szCs w:val="20"/>
        </w:rPr>
        <w:t>en avril), il a</w:t>
      </w:r>
      <w:r w:rsidR="00BF117A">
        <w:rPr>
          <w:rFonts w:ascii="Segoe UI" w:hAnsi="Segoe UI" w:cs="Segoe UI"/>
          <w:szCs w:val="20"/>
        </w:rPr>
        <w:t xml:space="preserve"> </w:t>
      </w:r>
      <w:r w:rsidR="00D663A6" w:rsidRPr="00D663A6">
        <w:rPr>
          <w:rFonts w:ascii="Segoe UI" w:hAnsi="Segoe UI" w:cs="Segoe UI"/>
          <w:szCs w:val="20"/>
        </w:rPr>
        <w:t xml:space="preserve">déclenché une nouvelle indexation automatique </w:t>
      </w:r>
      <w:r w:rsidR="001A6617" w:rsidRPr="00D663A6">
        <w:rPr>
          <w:rFonts w:ascii="Segoe UI" w:hAnsi="Segoe UI" w:cs="Segoe UI"/>
          <w:szCs w:val="20"/>
        </w:rPr>
        <w:t xml:space="preserve">de 2,5 % des salaires, traitements et pensions </w:t>
      </w:r>
      <w:r w:rsidR="00D663A6" w:rsidRPr="00D663A6">
        <w:rPr>
          <w:rFonts w:ascii="Segoe UI" w:hAnsi="Segoe UI" w:cs="Segoe UI"/>
          <w:szCs w:val="20"/>
        </w:rPr>
        <w:t>des salaires</w:t>
      </w:r>
      <w:r w:rsidR="00B27707" w:rsidRPr="008F76B4">
        <w:rPr>
          <w:rStyle w:val="Appeldenotedefin"/>
          <w:rFonts w:ascii="Segoe UI" w:hAnsi="Segoe UI" w:cs="Segoe UI"/>
          <w:color w:val="auto"/>
          <w:szCs w:val="20"/>
        </w:rPr>
        <w:endnoteReference w:id="1"/>
      </w:r>
      <w:r w:rsidR="00D663A6" w:rsidRPr="008F76B4">
        <w:rPr>
          <w:rFonts w:ascii="Segoe UI" w:hAnsi="Segoe UI" w:cs="Segoe UI"/>
          <w:color w:val="auto"/>
          <w:szCs w:val="20"/>
        </w:rPr>
        <w:t xml:space="preserve"> - la </w:t>
      </w:r>
      <w:r w:rsidR="007F1CF8" w:rsidRPr="008F76B4">
        <w:rPr>
          <w:rFonts w:ascii="Segoe UI" w:hAnsi="Segoe UI" w:cs="Segoe UI"/>
          <w:color w:val="auto"/>
          <w:szCs w:val="20"/>
        </w:rPr>
        <w:t>7</w:t>
      </w:r>
      <w:r w:rsidR="00D663A6" w:rsidRPr="008F76B4">
        <w:rPr>
          <w:rFonts w:ascii="Segoe UI" w:hAnsi="Segoe UI" w:cs="Segoe UI"/>
          <w:color w:val="auto"/>
          <w:szCs w:val="20"/>
          <w:vertAlign w:val="superscript"/>
        </w:rPr>
        <w:t>ème</w:t>
      </w:r>
      <w:r w:rsidR="00D663A6" w:rsidRPr="008F76B4">
        <w:rPr>
          <w:rFonts w:ascii="Segoe UI" w:hAnsi="Segoe UI" w:cs="Segoe UI"/>
          <w:color w:val="auto"/>
          <w:szCs w:val="20"/>
        </w:rPr>
        <w:t xml:space="preserve"> depuis </w:t>
      </w:r>
      <w:r w:rsidR="00F81398" w:rsidRPr="008F76B4">
        <w:rPr>
          <w:rFonts w:ascii="Segoe UI" w:hAnsi="Segoe UI" w:cs="Segoe UI"/>
          <w:color w:val="auto"/>
          <w:szCs w:val="20"/>
        </w:rPr>
        <w:t>2022</w:t>
      </w:r>
      <w:r w:rsidR="00D663A6" w:rsidRPr="008F76B4">
        <w:rPr>
          <w:rFonts w:ascii="Segoe UI" w:hAnsi="Segoe UI" w:cs="Segoe UI"/>
          <w:color w:val="auto"/>
          <w:szCs w:val="20"/>
        </w:rPr>
        <w:t xml:space="preserve"> - entraînant </w:t>
      </w:r>
      <w:r w:rsidR="00D663A6" w:rsidRPr="00D663A6">
        <w:rPr>
          <w:rFonts w:ascii="Segoe UI" w:hAnsi="Segoe UI" w:cs="Segoe UI"/>
          <w:szCs w:val="20"/>
        </w:rPr>
        <w:t>une majoration.</w:t>
      </w:r>
      <w:r w:rsidR="00D663A6">
        <w:rPr>
          <w:rFonts w:ascii="Segoe UI" w:hAnsi="Segoe UI" w:cs="Segoe UI"/>
          <w:szCs w:val="20"/>
        </w:rPr>
        <w:t xml:space="preserve"> </w:t>
      </w:r>
      <w:r w:rsidR="00D663A6" w:rsidRPr="00D663A6">
        <w:rPr>
          <w:rFonts w:ascii="Segoe UI" w:hAnsi="Segoe UI" w:cs="Segoe UI"/>
          <w:szCs w:val="20"/>
        </w:rPr>
        <w:t xml:space="preserve">Cette revalorisation a provoqué une nouvelle hausse des prix </w:t>
      </w:r>
      <w:r w:rsidR="000B5ED2">
        <w:rPr>
          <w:rFonts w:ascii="Segoe UI" w:hAnsi="Segoe UI" w:cs="Segoe UI"/>
          <w:szCs w:val="20"/>
        </w:rPr>
        <w:t xml:space="preserve">en mai </w:t>
      </w:r>
      <w:r w:rsidR="00D663A6" w:rsidRPr="00D663A6">
        <w:rPr>
          <w:rFonts w:ascii="Segoe UI" w:hAnsi="Segoe UI" w:cs="Segoe UI"/>
          <w:szCs w:val="20"/>
        </w:rPr>
        <w:t xml:space="preserve">(+2,0 %, </w:t>
      </w:r>
      <w:r w:rsidR="00EE7AD2">
        <w:rPr>
          <w:rFonts w:ascii="Segoe UI" w:hAnsi="Segoe UI" w:cs="Segoe UI"/>
          <w:szCs w:val="20"/>
        </w:rPr>
        <w:t>et</w:t>
      </w:r>
      <w:r w:rsidR="00D663A6" w:rsidRPr="00D663A6">
        <w:rPr>
          <w:rFonts w:ascii="Segoe UI" w:hAnsi="Segoe UI" w:cs="Segoe UI"/>
          <w:szCs w:val="20"/>
        </w:rPr>
        <w:t xml:space="preserve"> +2,3 % d’inflation sous-jacente). Ces ajustements ponctuels ne devraient toutefois pas compromettre la stabilité </w:t>
      </w:r>
      <w:r w:rsidR="00EE7AD2">
        <w:rPr>
          <w:rFonts w:ascii="Segoe UI" w:hAnsi="Segoe UI" w:cs="Segoe UI"/>
          <w:szCs w:val="20"/>
        </w:rPr>
        <w:t xml:space="preserve">alors </w:t>
      </w:r>
      <w:r w:rsidR="0098316F">
        <w:rPr>
          <w:rFonts w:ascii="Segoe UI" w:hAnsi="Segoe UI" w:cs="Segoe UI"/>
          <w:szCs w:val="20"/>
        </w:rPr>
        <w:t>que, d</w:t>
      </w:r>
      <w:r w:rsidR="00D663A6" w:rsidRPr="00D663A6">
        <w:rPr>
          <w:rFonts w:ascii="Segoe UI" w:hAnsi="Segoe UI" w:cs="Segoe UI"/>
          <w:szCs w:val="20"/>
        </w:rPr>
        <w:t xml:space="preserve">’une part, </w:t>
      </w:r>
      <w:r w:rsidR="0098316F">
        <w:rPr>
          <w:rFonts w:ascii="Segoe UI" w:hAnsi="Segoe UI" w:cs="Segoe UI"/>
          <w:szCs w:val="20"/>
        </w:rPr>
        <w:t>s</w:t>
      </w:r>
      <w:r w:rsidR="0098316F" w:rsidRPr="00D663A6">
        <w:rPr>
          <w:rFonts w:ascii="Segoe UI" w:hAnsi="Segoe UI" w:cs="Segoe UI"/>
          <w:szCs w:val="20"/>
        </w:rPr>
        <w:t xml:space="preserve">elon le STATEC </w:t>
      </w:r>
      <w:r w:rsidR="0098316F">
        <w:rPr>
          <w:rFonts w:ascii="Segoe UI" w:hAnsi="Segoe UI" w:cs="Segoe UI"/>
          <w:szCs w:val="20"/>
        </w:rPr>
        <w:t>l</w:t>
      </w:r>
      <w:r w:rsidR="00D663A6" w:rsidRPr="00D663A6">
        <w:rPr>
          <w:rFonts w:ascii="Segoe UI" w:hAnsi="Segoe UI" w:cs="Segoe UI"/>
          <w:szCs w:val="20"/>
        </w:rPr>
        <w:t>es tensions commerciales accrues ne se traduisent pas par une pression inflationniste supplémentaire</w:t>
      </w:r>
      <w:r w:rsidR="0098316F">
        <w:rPr>
          <w:rFonts w:ascii="Segoe UI" w:hAnsi="Segoe UI" w:cs="Segoe UI"/>
          <w:szCs w:val="20"/>
        </w:rPr>
        <w:t xml:space="preserve"> et que,</w:t>
      </w:r>
      <w:r w:rsidR="00D663A6" w:rsidRPr="00D663A6">
        <w:rPr>
          <w:rFonts w:ascii="Segoe UI" w:hAnsi="Segoe UI" w:cs="Segoe UI"/>
          <w:szCs w:val="20"/>
        </w:rPr>
        <w:t xml:space="preserve"> </w:t>
      </w:r>
      <w:r w:rsidR="0098316F">
        <w:rPr>
          <w:rFonts w:ascii="Segoe UI" w:hAnsi="Segoe UI" w:cs="Segoe UI"/>
          <w:szCs w:val="20"/>
        </w:rPr>
        <w:t>d</w:t>
      </w:r>
      <w:r w:rsidR="00D663A6" w:rsidRPr="00D663A6">
        <w:rPr>
          <w:rFonts w:ascii="Segoe UI" w:hAnsi="Segoe UI" w:cs="Segoe UI"/>
          <w:szCs w:val="20"/>
        </w:rPr>
        <w:t>’autre part, le contexte économique dégradé en zone euro comme au Luxembourg devrait tempérer l</w:t>
      </w:r>
      <w:r w:rsidR="0098316F">
        <w:rPr>
          <w:rFonts w:ascii="Segoe UI" w:hAnsi="Segoe UI" w:cs="Segoe UI"/>
          <w:szCs w:val="20"/>
        </w:rPr>
        <w:t>eur</w:t>
      </w:r>
      <w:r w:rsidR="00D663A6" w:rsidRPr="00D663A6">
        <w:rPr>
          <w:rFonts w:ascii="Segoe UI" w:hAnsi="Segoe UI" w:cs="Segoe UI"/>
          <w:szCs w:val="20"/>
        </w:rPr>
        <w:t xml:space="preserve"> progression.</w:t>
      </w:r>
      <w:r w:rsidR="00D663A6">
        <w:rPr>
          <w:rFonts w:ascii="Segoe UI" w:hAnsi="Segoe UI" w:cs="Segoe UI"/>
          <w:szCs w:val="20"/>
        </w:rPr>
        <w:t xml:space="preserve"> </w:t>
      </w:r>
      <w:r w:rsidR="00D663A6" w:rsidRPr="00D663A6">
        <w:rPr>
          <w:rFonts w:ascii="Segoe UI" w:hAnsi="Segoe UI" w:cs="Segoe UI"/>
          <w:szCs w:val="20"/>
        </w:rPr>
        <w:t>Le STATEC prévoit ainsi une inflation légèrement inférieure à 2</w:t>
      </w:r>
      <w:r w:rsidR="00E9459B">
        <w:rPr>
          <w:rFonts w:ascii="Segoe UI" w:hAnsi="Segoe UI" w:cs="Segoe UI"/>
          <w:szCs w:val="20"/>
        </w:rPr>
        <w:t>,0</w:t>
      </w:r>
      <w:r w:rsidR="00D663A6" w:rsidRPr="00D663A6">
        <w:rPr>
          <w:rFonts w:ascii="Segoe UI" w:hAnsi="Segoe UI" w:cs="Segoe UI"/>
          <w:szCs w:val="20"/>
        </w:rPr>
        <w:t xml:space="preserve"> % en 2025 et 2026, ce qui conduirait à une prochaine indexation des salaires au </w:t>
      </w:r>
      <w:r w:rsidR="000B5ED2">
        <w:rPr>
          <w:rFonts w:ascii="Segoe UI" w:hAnsi="Segoe UI" w:cs="Segoe UI"/>
          <w:szCs w:val="20"/>
        </w:rPr>
        <w:t>3</w:t>
      </w:r>
      <w:r w:rsidR="000B5ED2" w:rsidRPr="000B5ED2">
        <w:rPr>
          <w:rFonts w:ascii="Segoe UI" w:hAnsi="Segoe UI" w:cs="Segoe UI"/>
          <w:szCs w:val="20"/>
          <w:vertAlign w:val="superscript"/>
        </w:rPr>
        <w:t>ème</w:t>
      </w:r>
      <w:r w:rsidR="000B5ED2">
        <w:rPr>
          <w:rFonts w:ascii="Segoe UI" w:hAnsi="Segoe UI" w:cs="Segoe UI"/>
          <w:szCs w:val="20"/>
        </w:rPr>
        <w:t xml:space="preserve"> </w:t>
      </w:r>
      <w:r w:rsidR="00D663A6" w:rsidRPr="00D663A6">
        <w:rPr>
          <w:rFonts w:ascii="Segoe UI" w:hAnsi="Segoe UI" w:cs="Segoe UI"/>
          <w:szCs w:val="20"/>
        </w:rPr>
        <w:t>trimestre 2026.</w:t>
      </w:r>
    </w:p>
    <w:p w14:paraId="07C4AAE1" w14:textId="29F9DB04" w:rsidR="007209E2" w:rsidRPr="009E7C62" w:rsidRDefault="0098013D" w:rsidP="00396E0B">
      <w:pPr>
        <w:pStyle w:val="Titre1"/>
      </w:pPr>
      <w:r w:rsidRPr="009E7C62">
        <w:t xml:space="preserve">2. </w:t>
      </w:r>
      <w:r w:rsidR="001D4A60" w:rsidRPr="001D4A60">
        <w:t>Le secteur financier, pilier de l</w:t>
      </w:r>
      <w:r w:rsidR="001D4A60">
        <w:t>’</w:t>
      </w:r>
      <w:r w:rsidR="001D4A60" w:rsidRPr="001D4A60">
        <w:t>économie et de l’ancrage international du Luxembourg</w:t>
      </w:r>
    </w:p>
    <w:p w14:paraId="74109886" w14:textId="2E6998C9" w:rsidR="006B653D" w:rsidRDefault="00A371A4" w:rsidP="00484ED4">
      <w:pPr>
        <w:pStyle w:val="Brvesco-Normal"/>
        <w:spacing w:after="120" w:line="216" w:lineRule="auto"/>
        <w:ind w:left="-284" w:right="-113"/>
        <w:rPr>
          <w:rFonts w:asciiTheme="minorHAnsi" w:hAnsiTheme="minorHAnsi" w:cstheme="minorBidi"/>
          <w:color w:val="auto"/>
          <w:sz w:val="22"/>
          <w:szCs w:val="22"/>
        </w:rPr>
      </w:pPr>
      <w:r w:rsidRPr="00CD5268">
        <w:rPr>
          <w:rFonts w:ascii="Segoe UI" w:hAnsi="Segoe UI" w:cs="Segoe UI"/>
          <w:b/>
          <w:bCs/>
          <w:szCs w:val="20"/>
        </w:rPr>
        <w:t>2.1.</w:t>
      </w:r>
      <w:r w:rsidR="00047C6B">
        <w:rPr>
          <w:rFonts w:ascii="Segoe UI" w:hAnsi="Segoe UI" w:cs="Segoe UI"/>
          <w:b/>
          <w:bCs/>
          <w:szCs w:val="20"/>
        </w:rPr>
        <w:t xml:space="preserve"> Le secteur financier est </w:t>
      </w:r>
      <w:r w:rsidR="00EE7AD2">
        <w:rPr>
          <w:rFonts w:ascii="Segoe UI" w:hAnsi="Segoe UI" w:cs="Segoe UI"/>
          <w:b/>
          <w:bCs/>
          <w:szCs w:val="20"/>
        </w:rPr>
        <w:t>le piler de l’économie luxembourgeoise</w:t>
      </w:r>
      <w:r w:rsidR="00522DD6">
        <w:rPr>
          <w:rFonts w:ascii="Segoe UI" w:hAnsi="Segoe UI" w:cs="Segoe UI"/>
          <w:b/>
          <w:bCs/>
          <w:szCs w:val="20"/>
        </w:rPr>
        <w:t>,</w:t>
      </w:r>
      <w:r w:rsidR="00522DD6" w:rsidRPr="00522DD6">
        <w:rPr>
          <w:rFonts w:ascii="Segoe UI" w:eastAsiaTheme="minorHAnsi" w:hAnsi="Segoe UI" w:cs="Segoe UI"/>
          <w:b/>
          <w:bCs/>
          <w:color w:val="auto"/>
          <w:szCs w:val="20"/>
        </w:rPr>
        <w:t xml:space="preserve"> </w:t>
      </w:r>
      <w:r w:rsidR="00522DD6" w:rsidRPr="00F0265A">
        <w:rPr>
          <w:rFonts w:ascii="Segoe UI" w:hAnsi="Segoe UI" w:cs="Segoe UI"/>
          <w:b/>
          <w:bCs/>
          <w:szCs w:val="20"/>
        </w:rPr>
        <w:t xml:space="preserve">représentant environ 25 % du PIB et </w:t>
      </w:r>
      <w:r w:rsidR="00522DD6">
        <w:rPr>
          <w:rFonts w:ascii="Segoe UI" w:hAnsi="Segoe UI" w:cs="Segoe UI"/>
          <w:b/>
          <w:bCs/>
          <w:szCs w:val="20"/>
        </w:rPr>
        <w:t xml:space="preserve">plus de </w:t>
      </w:r>
      <w:r w:rsidR="00522DD6" w:rsidRPr="00F0265A">
        <w:rPr>
          <w:rFonts w:ascii="Segoe UI" w:hAnsi="Segoe UI" w:cs="Segoe UI"/>
          <w:b/>
          <w:bCs/>
          <w:szCs w:val="20"/>
        </w:rPr>
        <w:t>10 % de l’emploi</w:t>
      </w:r>
      <w:r w:rsidR="00EE7AD2">
        <w:rPr>
          <w:rFonts w:ascii="Segoe UI" w:hAnsi="Segoe UI" w:cs="Segoe UI"/>
          <w:b/>
          <w:bCs/>
          <w:szCs w:val="20"/>
        </w:rPr>
        <w:t xml:space="preserve">. </w:t>
      </w:r>
      <w:r w:rsidR="00C94030">
        <w:rPr>
          <w:rFonts w:asciiTheme="minorHAnsi" w:hAnsiTheme="minorHAnsi" w:cstheme="minorBidi"/>
          <w:color w:val="auto"/>
          <w:sz w:val="22"/>
          <w:szCs w:val="22"/>
        </w:rPr>
        <w:t xml:space="preserve"> </w:t>
      </w:r>
      <w:r w:rsidR="00C94030" w:rsidRPr="00C94030">
        <w:rPr>
          <w:rFonts w:asciiTheme="minorHAnsi" w:hAnsiTheme="minorHAnsi" w:cstheme="minorBidi"/>
          <w:color w:val="auto"/>
          <w:sz w:val="22"/>
          <w:szCs w:val="22"/>
        </w:rPr>
        <w:t>Cette prépondérance s’appuie sur une infrastructure financière sophistiquée, caractérisée par une forte spécialisation dans les activités de gestion d’actifs, la domiciliation de fonds d’investissement (notamment les OPCVM et fonds alternatifs), la banque privée, ainsi que les services de post-marché et de clearing. Le Luxembourg est le deuxième centre mondial de fonds d’investissement après les États-Unis, avec plus de 5 200 Md€ d’actifs sous gestion (cf. annexe 4), une performance rendue possible par un cadre réglementaire agile et un environnement international. Après avoir enregistré une baisse de -</w:t>
      </w:r>
      <w:r w:rsidR="00C94030" w:rsidRPr="00C94030">
        <w:rPr>
          <w:rFonts w:asciiTheme="minorHAnsi" w:hAnsiTheme="minorHAnsi" w:cstheme="minorBidi"/>
          <w:color w:val="auto"/>
          <w:sz w:val="22"/>
          <w:szCs w:val="22"/>
        </w:rPr>
        <w:lastRenderedPageBreak/>
        <w:t>1,9 % en volume en 2024, une reprise graduelle des performances du secteur est attendue, favorisée par la remontée prévue des émissions d’actifs dans les organismes de placement collectif (OPC), qui profitent de la confiance renouvelée des investisseurs dans un contexte de baisse des taux.</w:t>
      </w:r>
      <w:r w:rsidR="00484ED4">
        <w:rPr>
          <w:rFonts w:asciiTheme="minorHAnsi" w:hAnsiTheme="minorHAnsi" w:cstheme="minorBidi"/>
          <w:color w:val="auto"/>
          <w:sz w:val="22"/>
          <w:szCs w:val="22"/>
        </w:rPr>
        <w:t xml:space="preserve"> </w:t>
      </w:r>
      <w:r w:rsidR="00484ED4" w:rsidRPr="00484ED4">
        <w:rPr>
          <w:rFonts w:asciiTheme="minorHAnsi" w:hAnsiTheme="minorHAnsi" w:cstheme="minorBidi"/>
          <w:color w:val="auto"/>
          <w:sz w:val="22"/>
          <w:szCs w:val="22"/>
        </w:rPr>
        <w:t xml:space="preserve">Le secteur financier traditionnel luxembourgeois doit néanmoins poursuivre son adaptation aux transformations économiques mondiales, dans un contexte marqué par une pénurie de talents et une pression croissante sur la transparence fiscale. Malgré ces défis, il conserve sa position de place de référence en matière de finance verte </w:t>
      </w:r>
      <w:r w:rsidR="00484ED4">
        <w:rPr>
          <w:rFonts w:asciiTheme="minorHAnsi" w:hAnsiTheme="minorHAnsi" w:cstheme="minorBidi"/>
          <w:color w:val="auto"/>
          <w:sz w:val="22"/>
          <w:szCs w:val="22"/>
        </w:rPr>
        <w:t>-</w:t>
      </w:r>
      <w:r w:rsidR="00484ED4" w:rsidRPr="00484ED4">
        <w:rPr>
          <w:rFonts w:asciiTheme="minorHAnsi" w:hAnsiTheme="minorHAnsi" w:cstheme="minorBidi"/>
          <w:color w:val="auto"/>
          <w:sz w:val="22"/>
          <w:szCs w:val="22"/>
        </w:rPr>
        <w:t xml:space="preserve"> notamment grâce à la Luxembourg Green Exchange </w:t>
      </w:r>
      <w:r w:rsidR="00484ED4">
        <w:rPr>
          <w:rFonts w:asciiTheme="minorHAnsi" w:hAnsiTheme="minorHAnsi" w:cstheme="minorBidi"/>
          <w:color w:val="auto"/>
          <w:sz w:val="22"/>
          <w:szCs w:val="22"/>
        </w:rPr>
        <w:t>-</w:t>
      </w:r>
      <w:r w:rsidR="00484ED4" w:rsidRPr="00484ED4">
        <w:rPr>
          <w:rFonts w:asciiTheme="minorHAnsi" w:hAnsiTheme="minorHAnsi" w:cstheme="minorBidi"/>
          <w:color w:val="auto"/>
          <w:sz w:val="22"/>
          <w:szCs w:val="22"/>
        </w:rPr>
        <w:t xml:space="preserve"> et d’innovation financière, en réponse à la montée des technologies comme la blockchain, la tokenisation d’actifs ou la regtech, soutenu par des initiatives public-privé en faveur de la transformation digitale.</w:t>
      </w:r>
    </w:p>
    <w:p w14:paraId="5676F777" w14:textId="761F602E" w:rsidR="00D340C2" w:rsidRPr="00041B02" w:rsidRDefault="00D340C2" w:rsidP="00041B02">
      <w:pPr>
        <w:pStyle w:val="Brvesco-Normal"/>
        <w:spacing w:after="120" w:line="216" w:lineRule="auto"/>
        <w:ind w:left="-284" w:right="-113"/>
        <w:rPr>
          <w:rFonts w:ascii="Segoe UI" w:hAnsi="Segoe UI" w:cs="Segoe UI"/>
          <w:color w:val="auto"/>
          <w:szCs w:val="20"/>
        </w:rPr>
      </w:pPr>
      <w:r w:rsidRPr="00CD5268">
        <w:rPr>
          <w:rFonts w:ascii="Segoe UI" w:hAnsi="Segoe UI" w:cs="Segoe UI"/>
          <w:b/>
          <w:bCs/>
          <w:szCs w:val="20"/>
        </w:rPr>
        <w:t xml:space="preserve">2.2. </w:t>
      </w:r>
      <w:r w:rsidR="00F41C63" w:rsidRPr="00F41C63">
        <w:rPr>
          <w:rFonts w:ascii="Segoe UI" w:hAnsi="Segoe UI" w:cs="Segoe UI"/>
          <w:b/>
          <w:bCs/>
          <w:szCs w:val="20"/>
        </w:rPr>
        <w:t>L</w:t>
      </w:r>
      <w:r w:rsidR="0058500C">
        <w:rPr>
          <w:rFonts w:ascii="Segoe UI" w:hAnsi="Segoe UI" w:cs="Segoe UI"/>
          <w:b/>
          <w:bCs/>
          <w:szCs w:val="20"/>
        </w:rPr>
        <w:t>e</w:t>
      </w:r>
      <w:r w:rsidR="003367B4">
        <w:rPr>
          <w:rFonts w:ascii="Segoe UI" w:hAnsi="Segoe UI" w:cs="Segoe UI"/>
          <w:b/>
          <w:bCs/>
          <w:szCs w:val="20"/>
        </w:rPr>
        <w:t xml:space="preserve"> secteur financier permet également au Luxembourg d’enregistrer </w:t>
      </w:r>
      <w:r w:rsidR="00935581">
        <w:rPr>
          <w:rFonts w:ascii="Segoe UI" w:hAnsi="Segoe UI" w:cs="Segoe UI"/>
          <w:b/>
          <w:bCs/>
          <w:szCs w:val="20"/>
        </w:rPr>
        <w:t xml:space="preserve">une position </w:t>
      </w:r>
      <w:r w:rsidR="003367B4">
        <w:rPr>
          <w:rFonts w:ascii="Segoe UI" w:hAnsi="Segoe UI" w:cs="Segoe UI"/>
          <w:b/>
          <w:bCs/>
          <w:szCs w:val="20"/>
        </w:rPr>
        <w:t>favorable</w:t>
      </w:r>
      <w:r w:rsidR="00935581">
        <w:rPr>
          <w:rFonts w:ascii="Segoe UI" w:hAnsi="Segoe UI" w:cs="Segoe UI"/>
          <w:b/>
          <w:bCs/>
          <w:szCs w:val="20"/>
        </w:rPr>
        <w:t xml:space="preserve"> face au reste du monde</w:t>
      </w:r>
      <w:r w:rsidR="003367B4">
        <w:rPr>
          <w:rFonts w:ascii="Segoe UI" w:hAnsi="Segoe UI" w:cs="Segoe UI"/>
          <w:b/>
          <w:bCs/>
          <w:szCs w:val="20"/>
        </w:rPr>
        <w:t xml:space="preserve">. </w:t>
      </w:r>
      <w:r w:rsidR="00672D12" w:rsidRPr="00672D12">
        <w:rPr>
          <w:rFonts w:ascii="Segoe UI" w:hAnsi="Segoe UI" w:cs="Segoe UI"/>
          <w:color w:val="auto"/>
          <w:szCs w:val="20"/>
        </w:rPr>
        <w:t xml:space="preserve">Comptant parmi les économies les plus ouvertes au monde </w:t>
      </w:r>
      <w:r w:rsidR="00F306C1">
        <w:rPr>
          <w:rFonts w:ascii="Segoe UI" w:hAnsi="Segoe UI" w:cs="Segoe UI"/>
          <w:color w:val="auto"/>
          <w:szCs w:val="20"/>
        </w:rPr>
        <w:t>-</w:t>
      </w:r>
      <w:r w:rsidR="00672D12" w:rsidRPr="00672D12">
        <w:rPr>
          <w:rFonts w:ascii="Segoe UI" w:hAnsi="Segoe UI" w:cs="Segoe UI"/>
          <w:color w:val="auto"/>
          <w:szCs w:val="20"/>
        </w:rPr>
        <w:t>avec un taux d’ouverture de 181 %</w:t>
      </w:r>
      <w:r w:rsidR="00F306C1">
        <w:rPr>
          <w:rFonts w:ascii="Segoe UI" w:hAnsi="Segoe UI" w:cs="Segoe UI"/>
          <w:color w:val="auto"/>
          <w:szCs w:val="20"/>
        </w:rPr>
        <w:t xml:space="preserve"> -</w:t>
      </w:r>
      <w:r w:rsidR="00672D12" w:rsidRPr="00672D12">
        <w:rPr>
          <w:rFonts w:ascii="Segoe UI" w:hAnsi="Segoe UI" w:cs="Segoe UI"/>
          <w:color w:val="auto"/>
          <w:szCs w:val="20"/>
        </w:rPr>
        <w:t xml:space="preserve">, le Luxembourg affiche traditionnellement un excédent de sa balance courante (+11,8 Md€ en 2024), porté principalement par les exportations de services (158,2 Md€, </w:t>
      </w:r>
      <w:r w:rsidR="00672D12">
        <w:rPr>
          <w:rFonts w:ascii="Segoe UI" w:hAnsi="Segoe UI" w:cs="Segoe UI"/>
          <w:color w:val="auto"/>
          <w:szCs w:val="20"/>
        </w:rPr>
        <w:t>dont près de 50</w:t>
      </w:r>
      <w:r w:rsidR="00262C8B">
        <w:rPr>
          <w:rFonts w:ascii="Segoe UI" w:hAnsi="Segoe UI" w:cs="Segoe UI"/>
          <w:color w:val="auto"/>
          <w:szCs w:val="20"/>
        </w:rPr>
        <w:t xml:space="preserve"> % de service</w:t>
      </w:r>
      <w:r w:rsidR="00672D12" w:rsidRPr="00672D12">
        <w:rPr>
          <w:rFonts w:ascii="Segoe UI" w:hAnsi="Segoe UI" w:cs="Segoe UI"/>
          <w:color w:val="auto"/>
          <w:szCs w:val="20"/>
        </w:rPr>
        <w:t xml:space="preserve"> financiers), compensant largement le déficit des revenus primaires</w:t>
      </w:r>
      <w:r w:rsidR="00262C8B" w:rsidRPr="00672D12">
        <w:rPr>
          <w:rFonts w:ascii="Segoe UI" w:hAnsi="Segoe UI" w:cs="Segoe UI"/>
          <w:color w:val="auto"/>
          <w:szCs w:val="20"/>
        </w:rPr>
        <w:t xml:space="preserve"> (-16,0 Md€)</w:t>
      </w:r>
      <w:r w:rsidR="00262C8B">
        <w:rPr>
          <w:rFonts w:ascii="Segoe UI" w:hAnsi="Segoe UI" w:cs="Segoe UI"/>
          <w:color w:val="auto"/>
          <w:szCs w:val="20"/>
        </w:rPr>
        <w:t xml:space="preserve"> </w:t>
      </w:r>
      <w:r w:rsidR="00672D12" w:rsidRPr="00672D12">
        <w:rPr>
          <w:rFonts w:ascii="Segoe UI" w:hAnsi="Segoe UI" w:cs="Segoe UI"/>
          <w:color w:val="auto"/>
          <w:szCs w:val="20"/>
        </w:rPr>
        <w:t xml:space="preserve">lié à la main-d’œuvre </w:t>
      </w:r>
      <w:r w:rsidR="00262C8B">
        <w:rPr>
          <w:rFonts w:ascii="Segoe UI" w:hAnsi="Segoe UI" w:cs="Segoe UI"/>
          <w:color w:val="auto"/>
          <w:szCs w:val="20"/>
        </w:rPr>
        <w:t xml:space="preserve">transfrontalière </w:t>
      </w:r>
      <w:r w:rsidR="00672D12" w:rsidRPr="00672D12">
        <w:rPr>
          <w:rFonts w:ascii="Segoe UI" w:hAnsi="Segoe UI" w:cs="Segoe UI"/>
          <w:color w:val="auto"/>
          <w:szCs w:val="20"/>
        </w:rPr>
        <w:t>tandis que l’excédent commercial en biens demeure modeste (1,5 Md€ pour 28,6 Md€ d’exportations).</w:t>
      </w:r>
      <w:r w:rsidR="00672D12">
        <w:rPr>
          <w:rFonts w:ascii="Segoe UI" w:hAnsi="Segoe UI" w:cs="Segoe UI"/>
          <w:color w:val="auto"/>
          <w:szCs w:val="20"/>
        </w:rPr>
        <w:t xml:space="preserve"> En parallèle, </w:t>
      </w:r>
      <w:r w:rsidR="00F10893">
        <w:rPr>
          <w:rFonts w:ascii="Segoe UI" w:hAnsi="Segoe UI" w:cs="Segoe UI"/>
          <w:color w:val="auto"/>
          <w:szCs w:val="20"/>
        </w:rPr>
        <w:t>le Luxembourg enregistre un position extérieur excédentaire (29,7 Md€), portée par un solde positif d’IDE</w:t>
      </w:r>
      <w:r w:rsidR="005F12F9">
        <w:rPr>
          <w:rStyle w:val="Appeldenotedefin"/>
          <w:rFonts w:ascii="Segoe UI" w:hAnsi="Segoe UI" w:cs="Segoe UI"/>
          <w:color w:val="auto"/>
          <w:szCs w:val="20"/>
        </w:rPr>
        <w:endnoteReference w:id="2"/>
      </w:r>
      <w:r w:rsidR="005F12F9">
        <w:rPr>
          <w:rFonts w:ascii="Segoe UI" w:hAnsi="Segoe UI" w:cs="Segoe UI"/>
          <w:color w:val="auto"/>
          <w:szCs w:val="20"/>
        </w:rPr>
        <w:t xml:space="preserve"> </w:t>
      </w:r>
      <w:r w:rsidR="00F10893">
        <w:rPr>
          <w:rFonts w:ascii="Segoe UI" w:hAnsi="Segoe UI" w:cs="Segoe UI"/>
          <w:color w:val="auto"/>
          <w:szCs w:val="20"/>
        </w:rPr>
        <w:t>(</w:t>
      </w:r>
      <w:r w:rsidR="00340412">
        <w:rPr>
          <w:rFonts w:ascii="Segoe UI" w:hAnsi="Segoe UI" w:cs="Segoe UI"/>
          <w:color w:val="auto"/>
          <w:szCs w:val="20"/>
        </w:rPr>
        <w:t>3 968</w:t>
      </w:r>
      <w:r w:rsidR="00F10893">
        <w:rPr>
          <w:rFonts w:ascii="Segoe UI" w:hAnsi="Segoe UI" w:cs="Segoe UI"/>
          <w:color w:val="auto"/>
          <w:szCs w:val="20"/>
        </w:rPr>
        <w:t xml:space="preserve"> Md€ d</w:t>
      </w:r>
      <w:r w:rsidR="00340412">
        <w:rPr>
          <w:rFonts w:ascii="Segoe UI" w:hAnsi="Segoe UI" w:cs="Segoe UI"/>
          <w:color w:val="auto"/>
          <w:szCs w:val="20"/>
        </w:rPr>
        <w:t>’engagements</w:t>
      </w:r>
      <w:r w:rsidR="00F10893">
        <w:rPr>
          <w:rFonts w:ascii="Segoe UI" w:hAnsi="Segoe UI" w:cs="Segoe UI"/>
          <w:color w:val="auto"/>
          <w:szCs w:val="20"/>
        </w:rPr>
        <w:t xml:space="preserve">) tandis que les investissements de portefeuille nets contribuent défavorablement à ce solde (-1 273 Md€). </w:t>
      </w:r>
    </w:p>
    <w:p w14:paraId="157D35EA" w14:textId="0560D058" w:rsidR="006A2D50" w:rsidRPr="009E7C62" w:rsidRDefault="0098013D" w:rsidP="00396E0B">
      <w:pPr>
        <w:pStyle w:val="Titre1"/>
      </w:pPr>
      <w:r w:rsidRPr="009E7C62">
        <w:t xml:space="preserve">3. </w:t>
      </w:r>
      <w:r w:rsidR="001D4A60" w:rsidRPr="001D4A60">
        <w:t>Des finances publiques solides mais confrontées à des pressions structurelles croissante</w:t>
      </w:r>
      <w:r w:rsidR="008664B5">
        <w:t>s</w:t>
      </w:r>
    </w:p>
    <w:p w14:paraId="53FC8CE2" w14:textId="39DF6F2F" w:rsidR="00C6162B" w:rsidRPr="00043DC7" w:rsidRDefault="0018179E" w:rsidP="00043DC7">
      <w:pPr>
        <w:pStyle w:val="textecourant"/>
        <w:spacing w:line="216" w:lineRule="auto"/>
        <w:ind w:left="-283" w:right="-113"/>
        <w:rPr>
          <w:rFonts w:ascii="Times New Roman" w:eastAsia="Times New Roman" w:hAnsi="Times New Roman" w:cs="Times New Roman"/>
          <w:sz w:val="24"/>
          <w:szCs w:val="24"/>
          <w:lang w:eastAsia="fr-FR"/>
        </w:rPr>
      </w:pPr>
      <w:r w:rsidRPr="00CD5268">
        <w:rPr>
          <w:b/>
          <w:bCs/>
        </w:rPr>
        <w:t>3.1</w:t>
      </w:r>
      <w:r w:rsidRPr="00682E30">
        <w:rPr>
          <w:b/>
          <w:bCs/>
        </w:rPr>
        <w:t xml:space="preserve">. </w:t>
      </w:r>
      <w:r w:rsidR="00C87E96" w:rsidRPr="00043DC7">
        <w:rPr>
          <w:rFonts w:eastAsia="Times New Roman"/>
          <w:b/>
          <w:bCs/>
          <w:lang w:eastAsia="fr-FR"/>
        </w:rPr>
        <w:t>Bien que le Luxembourg bénéficie de finances publiques globalement saines, les indicateurs d’endettement poursuivent leur progression depuis plusieurs années</w:t>
      </w:r>
      <w:r w:rsidR="00C87E96" w:rsidRPr="00C87E96">
        <w:rPr>
          <w:rFonts w:eastAsia="Times New Roman"/>
          <w:lang w:eastAsia="fr-FR"/>
        </w:rPr>
        <w:t xml:space="preserve">. En 2024, le Grand-Duché a enregistré un excédent budgétaire équivalant à 1,0 % du PIB, après un déficit de -0,8 % en 2023. Cette amélioration s’explique principalement par des recettes exceptionnelles issues de l’impôt sur les sociétés ainsi que par les revenus tirés des actifs publics. </w:t>
      </w:r>
      <w:r w:rsidR="00043DC7">
        <w:rPr>
          <w:rFonts w:eastAsia="Times New Roman"/>
          <w:lang w:eastAsia="fr-FR"/>
        </w:rPr>
        <w:t>Il</w:t>
      </w:r>
      <w:r w:rsidR="00C87E96" w:rsidRPr="00C87E96">
        <w:rPr>
          <w:rFonts w:eastAsia="Times New Roman"/>
          <w:lang w:eastAsia="fr-FR"/>
        </w:rPr>
        <w:t xml:space="preserve"> a été réalisé malgré l’entrée en vigueur, en décembre 2024, du paquet fiscal </w:t>
      </w:r>
      <w:r w:rsidR="00C87E96" w:rsidRPr="00C87E96">
        <w:rPr>
          <w:rFonts w:eastAsia="Times New Roman"/>
          <w:i/>
          <w:iCs/>
          <w:lang w:eastAsia="fr-FR"/>
        </w:rPr>
        <w:t>« Entlaaschtungs-Pak »</w:t>
      </w:r>
      <w:r w:rsidR="009D4F34">
        <w:rPr>
          <w:rStyle w:val="Appeldenotedefin"/>
          <w:rFonts w:eastAsia="Times New Roman"/>
          <w:i/>
          <w:iCs/>
          <w:lang w:eastAsia="fr-FR"/>
        </w:rPr>
        <w:endnoteReference w:id="3"/>
      </w:r>
      <w:r w:rsidR="009D4F34" w:rsidRPr="00C87E96">
        <w:rPr>
          <w:rFonts w:eastAsia="Times New Roman"/>
          <w:lang w:eastAsia="fr-FR"/>
        </w:rPr>
        <w:t>,</w:t>
      </w:r>
      <w:r w:rsidR="00C87E96" w:rsidRPr="00C87E96">
        <w:rPr>
          <w:rFonts w:eastAsia="Times New Roman"/>
          <w:lang w:eastAsia="fr-FR"/>
        </w:rPr>
        <w:t xml:space="preserve"> dont l’objectif est de renforcer le pouvoir d’achat des ménages tout en soutenant la compétitivité des entreprises.</w:t>
      </w:r>
      <w:r w:rsidR="00C87E96">
        <w:rPr>
          <w:rFonts w:eastAsia="Times New Roman"/>
          <w:lang w:eastAsia="fr-FR"/>
        </w:rPr>
        <w:t xml:space="preserve"> </w:t>
      </w:r>
      <w:r w:rsidR="00C87E96" w:rsidRPr="00C87E96">
        <w:rPr>
          <w:rFonts w:eastAsia="Times New Roman"/>
          <w:lang w:eastAsia="fr-FR"/>
        </w:rPr>
        <w:t xml:space="preserve">Malgré cet excédent, la dette publique a poursuivi sa progression, atteignant 26,3 % du PIB en 2024. Elle confirme ainsi une trajectoire haussière amorcée depuis plusieurs années (+6,7 </w:t>
      </w:r>
      <w:r w:rsidR="00043DC7">
        <w:rPr>
          <w:rFonts w:eastAsia="Times New Roman"/>
          <w:lang w:eastAsia="fr-FR"/>
        </w:rPr>
        <w:t xml:space="preserve">pp </w:t>
      </w:r>
      <w:r w:rsidR="00C87E96" w:rsidRPr="00C87E96">
        <w:rPr>
          <w:rFonts w:eastAsia="Times New Roman"/>
          <w:lang w:eastAsia="fr-FR"/>
        </w:rPr>
        <w:t>depuis 2016), rapprochant progressivement le niveau d’endettement du seuil des 30 %, considéré par les autorités luxembourgeoises comme une limite à ne pas franchir.</w:t>
      </w:r>
      <w:r w:rsidR="00043DC7">
        <w:rPr>
          <w:rFonts w:eastAsia="Times New Roman"/>
          <w:lang w:eastAsia="fr-FR"/>
        </w:rPr>
        <w:t xml:space="preserve"> </w:t>
      </w:r>
      <w:r w:rsidR="00C87E96" w:rsidRPr="00C87E96">
        <w:rPr>
          <w:rFonts w:eastAsia="Times New Roman"/>
          <w:lang w:eastAsia="fr-FR"/>
        </w:rPr>
        <w:t xml:space="preserve">Selon les prévisions du STATEC, le solde public devrait redevenir négatif à </w:t>
      </w:r>
      <w:r w:rsidR="00DF1433">
        <w:rPr>
          <w:rFonts w:eastAsia="Times New Roman"/>
          <w:lang w:eastAsia="fr-FR"/>
        </w:rPr>
        <w:t xml:space="preserve">– 0,9 % à </w:t>
      </w:r>
      <w:r w:rsidR="00C87E96" w:rsidRPr="00C87E96">
        <w:rPr>
          <w:rFonts w:eastAsia="Times New Roman"/>
          <w:lang w:eastAsia="fr-FR"/>
        </w:rPr>
        <w:t xml:space="preserve">l’horizon 2026, après une stabilisation à 0 % du PIB en 2025. Ces projections apparaissent toutefois relativement optimistes au regard de celles de la Commission européenne, qui anticipe un déficit de -0,5 % </w:t>
      </w:r>
      <w:r w:rsidR="00043DC7">
        <w:rPr>
          <w:rFonts w:eastAsia="Times New Roman"/>
          <w:lang w:eastAsia="fr-FR"/>
        </w:rPr>
        <w:t>en</w:t>
      </w:r>
      <w:r w:rsidR="00C87E96" w:rsidRPr="00C87E96">
        <w:rPr>
          <w:rFonts w:eastAsia="Times New Roman"/>
          <w:lang w:eastAsia="fr-FR"/>
        </w:rPr>
        <w:t xml:space="preserve"> 2025</w:t>
      </w:r>
      <w:r w:rsidR="00DF1433">
        <w:rPr>
          <w:rStyle w:val="Appeldenotedefin"/>
          <w:rFonts w:eastAsia="Times New Roman"/>
          <w:lang w:eastAsia="fr-FR"/>
        </w:rPr>
        <w:endnoteReference w:id="4"/>
      </w:r>
      <w:r w:rsidR="00DF1433" w:rsidRPr="00C87E96">
        <w:rPr>
          <w:rFonts w:eastAsia="Times New Roman"/>
          <w:lang w:eastAsia="fr-FR"/>
        </w:rPr>
        <w:t>.</w:t>
      </w:r>
      <w:r w:rsidR="00C87E96" w:rsidRPr="00C87E96">
        <w:rPr>
          <w:rFonts w:eastAsia="Times New Roman"/>
          <w:lang w:eastAsia="fr-FR"/>
        </w:rPr>
        <w:t xml:space="preserve"> Selon cette dernière, le ratio d</w:t>
      </w:r>
      <w:r w:rsidR="00043DC7">
        <w:rPr>
          <w:rFonts w:eastAsia="Times New Roman"/>
          <w:lang w:eastAsia="fr-FR"/>
        </w:rPr>
        <w:t>e dette</w:t>
      </w:r>
      <w:r w:rsidR="00C87E96" w:rsidRPr="00C87E96">
        <w:rPr>
          <w:rFonts w:eastAsia="Times New Roman"/>
          <w:lang w:eastAsia="fr-FR"/>
        </w:rPr>
        <w:t xml:space="preserve"> public devrait, dans un premier temps, se replier légèrement à 25,7 % du PIB en 2025, avant de repartir à la hausse à 26,2 % en 2026 (cf. annexe 7).</w:t>
      </w:r>
    </w:p>
    <w:p w14:paraId="5DCAE9B9" w14:textId="0585E040" w:rsidR="00F645BF" w:rsidRPr="00F645BF" w:rsidRDefault="00FA44A5" w:rsidP="00F645BF">
      <w:pPr>
        <w:pStyle w:val="Brvesco-Normal"/>
        <w:spacing w:line="216" w:lineRule="auto"/>
        <w:ind w:left="-284" w:right="-113"/>
        <w:rPr>
          <w:rFonts w:ascii="Times New Roman" w:eastAsia="Times New Roman" w:hAnsi="Times New Roman" w:cs="Times New Roman"/>
          <w:sz w:val="24"/>
          <w:lang w:eastAsia="fr-FR"/>
        </w:rPr>
      </w:pPr>
      <w:r w:rsidRPr="00C6162B">
        <w:rPr>
          <w:rFonts w:ascii="Segoe UI" w:hAnsi="Segoe UI" w:cs="Segoe UI"/>
          <w:b/>
          <w:bCs/>
          <w:szCs w:val="20"/>
        </w:rPr>
        <w:t>3.2.</w:t>
      </w:r>
      <w:r>
        <w:rPr>
          <w:rFonts w:ascii="Times New Roman" w:eastAsia="Times New Roman" w:hAnsi="Times New Roman" w:cs="Times New Roman"/>
          <w:sz w:val="24"/>
          <w:lang w:eastAsia="fr-FR"/>
        </w:rPr>
        <w:t xml:space="preserve"> </w:t>
      </w:r>
      <w:r w:rsidR="00F645BF" w:rsidRPr="00F645BF">
        <w:rPr>
          <w:rFonts w:ascii="Segoe UI" w:hAnsi="Segoe UI" w:cs="Segoe UI"/>
          <w:b/>
          <w:bCs/>
          <w:szCs w:val="20"/>
        </w:rPr>
        <w:t>L’équilibre budgétaire du Luxembourg est confronté à des défis structurels majeurs.</w:t>
      </w:r>
      <w:r w:rsidR="00F645BF" w:rsidRPr="00F645BF">
        <w:rPr>
          <w:rFonts w:ascii="Segoe UI" w:hAnsi="Segoe UI" w:cs="Segoe UI"/>
          <w:szCs w:val="20"/>
        </w:rPr>
        <w:t xml:space="preserve"> Selon le Conseil national des finances publiques, les dépenses liées au vieillissement démographique, notamment en santé et retraites, passeront de 15,7 % du PIB en 2022 à 24,9 % en 2070. Les pensions seules atteindraient 17,5 % du PIB, soit le plus haut niveau de l’Union européenne. Face à cela, une consultation sur la viabilité du système de retraite</w:t>
      </w:r>
      <w:r w:rsidR="00B83A4F">
        <w:rPr>
          <w:rStyle w:val="Appeldenotedefin"/>
          <w:rFonts w:ascii="Segoe UI" w:hAnsi="Segoe UI" w:cs="Segoe UI"/>
          <w:szCs w:val="20"/>
        </w:rPr>
        <w:endnoteReference w:id="5"/>
      </w:r>
      <w:r w:rsidR="00F645BF" w:rsidRPr="00F645BF">
        <w:rPr>
          <w:rFonts w:ascii="Segoe UI" w:hAnsi="Segoe UI" w:cs="Segoe UI"/>
          <w:szCs w:val="20"/>
        </w:rPr>
        <w:t>, menée par le gouvernement, devrait déboucher d’ici l’été sur une réforme structurelle</w:t>
      </w:r>
      <w:r w:rsidR="00F645BF">
        <w:rPr>
          <w:rStyle w:val="Appeldenotedefin"/>
          <w:rFonts w:ascii="Segoe UI" w:hAnsi="Segoe UI" w:cs="Segoe UI"/>
          <w:szCs w:val="20"/>
        </w:rPr>
        <w:endnoteReference w:id="6"/>
      </w:r>
      <w:r w:rsidR="00F645BF" w:rsidRPr="00F645BF">
        <w:rPr>
          <w:rFonts w:ascii="Segoe UI" w:hAnsi="Segoe UI" w:cs="Segoe UI"/>
          <w:szCs w:val="20"/>
        </w:rPr>
        <w:t>.</w:t>
      </w:r>
      <w:r w:rsidR="00F645BF">
        <w:rPr>
          <w:rFonts w:ascii="Segoe UI" w:hAnsi="Segoe UI" w:cs="Segoe UI"/>
          <w:szCs w:val="20"/>
        </w:rPr>
        <w:t xml:space="preserve"> </w:t>
      </w:r>
      <w:r w:rsidR="00F645BF" w:rsidRPr="00F645BF">
        <w:rPr>
          <w:rFonts w:ascii="Segoe UI" w:hAnsi="Segoe UI" w:cs="Segoe UI"/>
          <w:szCs w:val="20"/>
        </w:rPr>
        <w:t>Par ailleurs, le financement de la transition écologique exerce des pressions accrues, avec une mobilisation prévue de 1,6 % des dépenses publiques (510</w:t>
      </w:r>
      <w:r w:rsidR="00F645BF">
        <w:rPr>
          <w:rFonts w:ascii="Segoe UI" w:hAnsi="Segoe UI" w:cs="Segoe UI"/>
          <w:szCs w:val="20"/>
        </w:rPr>
        <w:t>M€</w:t>
      </w:r>
      <w:r w:rsidR="00F645BF" w:rsidRPr="00F645BF">
        <w:rPr>
          <w:rFonts w:ascii="Segoe UI" w:hAnsi="Segoe UI" w:cs="Segoe UI"/>
          <w:szCs w:val="20"/>
        </w:rPr>
        <w:t xml:space="preserve">) entre 2025 et 2028 pour les fonds environnementaux, à laquelle s’ajoutent 220 </w:t>
      </w:r>
      <w:r w:rsidR="00F645BF">
        <w:rPr>
          <w:rFonts w:ascii="Segoe UI" w:hAnsi="Segoe UI" w:cs="Segoe UI"/>
          <w:szCs w:val="20"/>
        </w:rPr>
        <w:t xml:space="preserve">M€ </w:t>
      </w:r>
      <w:r w:rsidR="00F645BF" w:rsidRPr="00F645BF">
        <w:rPr>
          <w:rFonts w:ascii="Segoe UI" w:hAnsi="Segoe UI" w:cs="Segoe UI"/>
          <w:szCs w:val="20"/>
        </w:rPr>
        <w:t>dédiés au financement climatique international sur cinq ans.</w:t>
      </w:r>
      <w:r w:rsidR="00F645BF">
        <w:rPr>
          <w:rFonts w:ascii="Segoe UI" w:hAnsi="Segoe UI" w:cs="Segoe UI"/>
          <w:szCs w:val="20"/>
        </w:rPr>
        <w:t xml:space="preserve"> </w:t>
      </w:r>
      <w:r w:rsidR="00F645BF" w:rsidRPr="00F645BF">
        <w:rPr>
          <w:rFonts w:ascii="Segoe UI" w:hAnsi="Segoe UI" w:cs="Segoe UI"/>
          <w:szCs w:val="20"/>
        </w:rPr>
        <w:t>Enfin, dans le cadre du paquet de printemps du Semestre européen 2024, la Commission européenne recommande de renforcer la lutte contre la planification fiscale agressive pour préserver la base fiscale. Elle incite aussi le Luxembourg à stimuler la productivité, notamment en soutenant l’investissement des entreprises en R&amp;D, afin de maintenir la compétitivité du secteur financier, source majeure de recettes fiscales.</w:t>
      </w:r>
    </w:p>
    <w:p w14:paraId="0B21A414" w14:textId="4C755245" w:rsidR="00B60F51" w:rsidRPr="00F645BF" w:rsidRDefault="00B60F51" w:rsidP="00F645BF">
      <w:pPr>
        <w:pStyle w:val="Brvesco-Normal"/>
        <w:spacing w:line="216" w:lineRule="auto"/>
        <w:ind w:left="-284" w:right="-113"/>
        <w:rPr>
          <w:rFonts w:ascii="Segoe UI" w:hAnsi="Segoe UI" w:cs="Segoe UI"/>
        </w:rPr>
      </w:pPr>
    </w:p>
    <w:p w14:paraId="24A052A8" w14:textId="6CF86D76" w:rsidR="00B60F51" w:rsidRDefault="00B60F51" w:rsidP="00B60F51">
      <w:pPr>
        <w:pStyle w:val="Pointsfinaux"/>
        <w:spacing w:before="0" w:after="0" w:line="216" w:lineRule="auto"/>
        <w:ind w:left="-284" w:right="-113"/>
      </w:pPr>
      <w:r w:rsidRPr="009E7C62">
        <w:t>* * *</w:t>
      </w:r>
    </w:p>
    <w:p w14:paraId="3E33A584" w14:textId="7080F1BD" w:rsidR="000574B4" w:rsidRDefault="00B8247A" w:rsidP="000574B4">
      <w:pPr>
        <w:pStyle w:val="Signaturefinale"/>
        <w:spacing w:before="0" w:after="0" w:line="216" w:lineRule="auto"/>
        <w:ind w:right="-113"/>
        <w:jc w:val="both"/>
        <w:rPr>
          <w:b w:val="0"/>
          <w:noProof/>
          <w:color w:val="000091" w:themeColor="text1"/>
          <w:sz w:val="20"/>
          <w:szCs w:val="20"/>
          <w:lang w:eastAsia="fr-FR"/>
        </w:rPr>
      </w:pPr>
      <w:r w:rsidRPr="00B8247A">
        <w:rPr>
          <w:b w:val="0"/>
          <w:noProof/>
          <w:color w:val="000091" w:themeColor="text1"/>
          <w:sz w:val="20"/>
          <w:szCs w:val="20"/>
          <w:lang w:eastAsia="fr-FR"/>
        </w:rPr>
        <w:t>Malgré des perspectives économiques globalement positives à l’horizon 2030, avec une croissance annuelle moyenne estimée à 2 % selon le FMI, le Luxembourg doit faire face à plusieurs défis structurels. L’OCDE alerte sur le ralentissement de la productivité et recommande de renforcer l’investissement privé dans la recherche et l’innovation pour maintenir la compétitivité. La congestion urbaine et la pression sur les infrastructures nuisent à l’attractivité, notamment pour les talents et les entreprises internationales. Sur le plan environnemental, une transition énergétique plus rapide s’impose, avec une réduction de la dépendance aux énergies fossiles et un soutien accru aux énergies renouvelables.</w:t>
      </w:r>
      <w:r w:rsidRPr="00B8247A">
        <w:rPr>
          <w:rFonts w:asciiTheme="minorHAnsi" w:hAnsiTheme="minorHAnsi" w:cstheme="minorBidi"/>
          <w:b w:val="0"/>
          <w:sz w:val="22"/>
          <w:szCs w:val="22"/>
        </w:rPr>
        <w:t xml:space="preserve"> </w:t>
      </w:r>
      <w:r>
        <w:rPr>
          <w:b w:val="0"/>
          <w:noProof/>
          <w:color w:val="000091" w:themeColor="text1"/>
          <w:sz w:val="20"/>
          <w:szCs w:val="20"/>
          <w:lang w:eastAsia="fr-FR"/>
        </w:rPr>
        <w:t>Enfin, l</w:t>
      </w:r>
      <w:r w:rsidRPr="00B8247A">
        <w:rPr>
          <w:b w:val="0"/>
          <w:noProof/>
          <w:color w:val="000091" w:themeColor="text1"/>
          <w:sz w:val="20"/>
          <w:szCs w:val="20"/>
          <w:lang w:eastAsia="fr-FR"/>
        </w:rPr>
        <w:t xml:space="preserve">a forte concentration </w:t>
      </w:r>
      <w:r w:rsidRPr="00350EED">
        <w:rPr>
          <w:b w:val="0"/>
          <w:noProof/>
          <w:color w:val="000091" w:themeColor="text1"/>
          <w:sz w:val="20"/>
          <w:szCs w:val="20"/>
          <w:lang w:eastAsia="fr-FR"/>
        </w:rPr>
        <w:t xml:space="preserve">de l’activité économique dans le secteur financier </w:t>
      </w:r>
      <w:r w:rsidRPr="00B8247A">
        <w:rPr>
          <w:b w:val="0"/>
          <w:noProof/>
          <w:color w:val="000091" w:themeColor="text1"/>
          <w:sz w:val="20"/>
          <w:szCs w:val="20"/>
          <w:lang w:eastAsia="fr-FR"/>
        </w:rPr>
        <w:t>souligne le besoin de diversification</w:t>
      </w:r>
      <w:r>
        <w:rPr>
          <w:b w:val="0"/>
          <w:noProof/>
          <w:color w:val="000091" w:themeColor="text1"/>
          <w:sz w:val="20"/>
          <w:szCs w:val="20"/>
          <w:lang w:eastAsia="fr-FR"/>
        </w:rPr>
        <w:t>.</w:t>
      </w:r>
      <w:r w:rsidRPr="00B8247A">
        <w:rPr>
          <w:b w:val="0"/>
          <w:noProof/>
          <w:color w:val="000091" w:themeColor="text1"/>
          <w:sz w:val="20"/>
          <w:szCs w:val="20"/>
          <w:lang w:eastAsia="fr-FR"/>
        </w:rPr>
        <w:t xml:space="preserve"> </w:t>
      </w:r>
      <w:r w:rsidRPr="00350EED">
        <w:rPr>
          <w:b w:val="0"/>
          <w:noProof/>
          <w:color w:val="000091" w:themeColor="text1"/>
          <w:sz w:val="20"/>
          <w:szCs w:val="20"/>
          <w:lang w:eastAsia="fr-FR"/>
        </w:rPr>
        <w:t>Dans cette optique, le Grand-Duché mise sur le développement de secteurs à fort potentiel, tels que l’économie spatiale et le numérique</w:t>
      </w:r>
      <w:r>
        <w:rPr>
          <w:b w:val="0"/>
          <w:noProof/>
          <w:color w:val="000091" w:themeColor="text1"/>
          <w:sz w:val="20"/>
          <w:szCs w:val="20"/>
          <w:lang w:eastAsia="fr-FR"/>
        </w:rPr>
        <w:t>.</w:t>
      </w:r>
    </w:p>
    <w:p w14:paraId="1DC6D6CC" w14:textId="77777777" w:rsidR="000574B4" w:rsidRDefault="000574B4" w:rsidP="000574B4">
      <w:pPr>
        <w:pStyle w:val="Signaturefinale"/>
        <w:spacing w:before="0" w:after="0" w:line="216" w:lineRule="auto"/>
        <w:ind w:right="-113"/>
        <w:jc w:val="both"/>
        <w:rPr>
          <w:b w:val="0"/>
          <w:noProof/>
          <w:color w:val="000091" w:themeColor="text1"/>
          <w:sz w:val="20"/>
          <w:szCs w:val="20"/>
          <w:lang w:eastAsia="fr-FR"/>
        </w:rPr>
      </w:pPr>
    </w:p>
    <w:p w14:paraId="0568997A" w14:textId="5836825A" w:rsidR="00B8247A" w:rsidRDefault="00B8247A" w:rsidP="000574B4">
      <w:pPr>
        <w:pStyle w:val="Signaturefinale"/>
        <w:spacing w:before="0" w:after="0" w:line="216" w:lineRule="auto"/>
        <w:ind w:left="0" w:right="-113"/>
        <w:rPr>
          <w:color w:val="1A171B"/>
          <w:sz w:val="20"/>
          <w:szCs w:val="20"/>
        </w:rPr>
      </w:pPr>
      <w:r>
        <w:rPr>
          <w:b w:val="0"/>
          <w:noProof/>
          <w:color w:val="000091" w:themeColor="text1"/>
          <w:sz w:val="20"/>
          <w:szCs w:val="20"/>
          <w:lang w:eastAsia="fr-FR"/>
        </w:rPr>
        <w:t xml:space="preserve"> </w:t>
      </w:r>
      <w:r w:rsidR="00633870" w:rsidRPr="00633870">
        <w:rPr>
          <w:color w:val="1A171B"/>
          <w:sz w:val="20"/>
          <w:szCs w:val="20"/>
        </w:rPr>
        <w:t>Aude ROBIN-MITREVSKI, cheffe du service économique régional</w:t>
      </w:r>
    </w:p>
    <w:p w14:paraId="186957E7" w14:textId="4FC32F80" w:rsidR="00FF56A6" w:rsidRPr="008F76B4" w:rsidRDefault="00B60F51" w:rsidP="008F76B4">
      <w:pPr>
        <w:pStyle w:val="Signaturefinale"/>
        <w:spacing w:before="0" w:after="0" w:line="216" w:lineRule="auto"/>
        <w:ind w:left="0" w:right="-113"/>
        <w:rPr>
          <w:color w:val="1A171B"/>
          <w:sz w:val="20"/>
          <w:szCs w:val="20"/>
        </w:rPr>
        <w:sectPr w:rsidR="00FF56A6" w:rsidRPr="008F76B4" w:rsidSect="00F645BF">
          <w:footerReference w:type="default" r:id="rId11"/>
          <w:headerReference w:type="first" r:id="rId12"/>
          <w:endnotePr>
            <w:numFmt w:val="decimal"/>
          </w:endnotePr>
          <w:type w:val="continuous"/>
          <w:pgSz w:w="11906" w:h="16838" w:code="9"/>
          <w:pgMar w:top="964" w:right="1304" w:bottom="907" w:left="1304" w:header="340" w:footer="227" w:gutter="142"/>
          <w:cols w:space="708"/>
          <w:titlePg/>
          <w:docGrid w:linePitch="360"/>
        </w:sectPr>
      </w:pPr>
      <w:r w:rsidRPr="00B60F51">
        <w:rPr>
          <w:color w:val="1A171B"/>
          <w:sz w:val="20"/>
          <w:szCs w:val="20"/>
        </w:rPr>
        <w:t>Arnaud BOULANGER, Chef du service économiq</w:t>
      </w:r>
      <w:r w:rsidR="008F76B4">
        <w:rPr>
          <w:color w:val="1A171B"/>
          <w:sz w:val="20"/>
          <w:szCs w:val="20"/>
        </w:rPr>
        <w:t>u</w:t>
      </w:r>
      <w:r w:rsidR="00B83A4F">
        <w:rPr>
          <w:color w:val="1A171B"/>
          <w:sz w:val="20"/>
          <w:szCs w:val="20"/>
        </w:rPr>
        <w:t>e</w:t>
      </w:r>
    </w:p>
    <w:p w14:paraId="554FF1DE" w14:textId="68D60254" w:rsidR="009854A7" w:rsidRDefault="009854A7" w:rsidP="00B83A4F">
      <w:pPr>
        <w:pStyle w:val="Titreannexe"/>
      </w:pPr>
      <w:r w:rsidRPr="009E7C62">
        <w:lastRenderedPageBreak/>
        <w:t>ANNEXE</w:t>
      </w:r>
      <w:r w:rsidR="00F41C63">
        <w:t>S</w:t>
      </w:r>
    </w:p>
    <w:p w14:paraId="72717C4B"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06BA49E7" w14:textId="77777777" w:rsidR="00F0265A" w:rsidRPr="00F0265A" w:rsidRDefault="00F0265A" w:rsidP="00F0265A">
      <w:pPr>
        <w:spacing w:after="0" w:line="240" w:lineRule="auto"/>
        <w:jc w:val="center"/>
        <w:rPr>
          <w:rFonts w:ascii="Segoe UI" w:eastAsiaTheme="minorHAnsi" w:hAnsi="Segoe UI" w:cs="Segoe UI"/>
          <w:bCs/>
          <w:i/>
          <w:iCs/>
          <w:color w:val="000091" w:themeColor="text1"/>
          <w:sz w:val="24"/>
          <w:szCs w:val="28"/>
        </w:rPr>
      </w:pPr>
      <w:r w:rsidRPr="00F0265A">
        <w:rPr>
          <w:rFonts w:ascii="Segoe UI" w:eastAsiaTheme="minorHAnsi" w:hAnsi="Segoe UI" w:cs="Segoe UI"/>
          <w:bCs/>
          <w:color w:val="000091" w:themeColor="text1"/>
          <w:sz w:val="24"/>
          <w:szCs w:val="28"/>
        </w:rPr>
        <w:t xml:space="preserve">ANNEXE 1 : Evolution annuelle du PIB du Luxembourg et des principales économies européennes (en volume) – </w:t>
      </w:r>
      <w:r w:rsidRPr="00F0265A">
        <w:rPr>
          <w:rFonts w:ascii="Segoe UI" w:eastAsiaTheme="minorHAnsi" w:hAnsi="Segoe UI" w:cs="Segoe UI"/>
          <w:bCs/>
          <w:i/>
          <w:iCs/>
          <w:color w:val="000091" w:themeColor="text1"/>
          <w:sz w:val="24"/>
          <w:szCs w:val="28"/>
        </w:rPr>
        <w:t>source Eurostat</w:t>
      </w:r>
    </w:p>
    <w:p w14:paraId="33B1D1C0"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6CE8E700" w14:textId="564A165A" w:rsidR="00F0265A" w:rsidRPr="00F0265A" w:rsidRDefault="00F0265A" w:rsidP="008F76B4">
      <w:pPr>
        <w:spacing w:after="0" w:line="240" w:lineRule="auto"/>
        <w:jc w:val="center"/>
        <w:rPr>
          <w:rFonts w:ascii="Segoe UI" w:eastAsiaTheme="minorHAnsi" w:hAnsi="Segoe UI" w:cs="Segoe UI"/>
          <w:bCs/>
          <w:color w:val="000091" w:themeColor="text1"/>
          <w:sz w:val="24"/>
          <w:szCs w:val="28"/>
        </w:rPr>
      </w:pPr>
      <w:r w:rsidRPr="00F0265A">
        <w:rPr>
          <w:rFonts w:ascii="Segoe UI" w:eastAsiaTheme="minorHAnsi" w:hAnsi="Segoe UI" w:cs="Segoe UI"/>
          <w:bCs/>
          <w:noProof/>
          <w:color w:val="000091" w:themeColor="text1"/>
          <w:sz w:val="24"/>
          <w:szCs w:val="28"/>
        </w:rPr>
        <w:drawing>
          <wp:inline distT="0" distB="0" distL="0" distR="0" wp14:anchorId="27DCD726" wp14:editId="5E369050">
            <wp:extent cx="5944259" cy="3080084"/>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6410"/>
                    <a:stretch/>
                  </pic:blipFill>
                  <pic:spPr bwMode="auto">
                    <a:xfrm>
                      <a:off x="0" y="0"/>
                      <a:ext cx="5980642" cy="3098936"/>
                    </a:xfrm>
                    <a:prstGeom prst="rect">
                      <a:avLst/>
                    </a:prstGeom>
                    <a:noFill/>
                    <a:ln>
                      <a:noFill/>
                    </a:ln>
                    <a:extLst>
                      <a:ext uri="{53640926-AAD7-44D8-BBD7-CCE9431645EC}">
                        <a14:shadowObscured xmlns:a14="http://schemas.microsoft.com/office/drawing/2010/main"/>
                      </a:ext>
                    </a:extLst>
                  </pic:spPr>
                </pic:pic>
              </a:graphicData>
            </a:graphic>
          </wp:inline>
        </w:drawing>
      </w:r>
    </w:p>
    <w:p w14:paraId="3DF2D16D" w14:textId="77777777" w:rsidR="00F0265A" w:rsidRPr="00F0265A" w:rsidRDefault="00F0265A" w:rsidP="00F0265A">
      <w:pPr>
        <w:spacing w:after="0" w:line="240" w:lineRule="auto"/>
        <w:rPr>
          <w:rFonts w:ascii="Segoe UI" w:eastAsiaTheme="minorHAnsi" w:hAnsi="Segoe UI" w:cs="Segoe UI"/>
          <w:bCs/>
          <w:color w:val="000091" w:themeColor="text1"/>
          <w:sz w:val="24"/>
          <w:szCs w:val="28"/>
        </w:rPr>
      </w:pPr>
    </w:p>
    <w:p w14:paraId="27592821"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r w:rsidRPr="00F0265A">
        <w:rPr>
          <w:rFonts w:ascii="Segoe UI" w:eastAsiaTheme="minorHAnsi" w:hAnsi="Segoe UI" w:cs="Segoe UI"/>
          <w:bCs/>
          <w:color w:val="000091" w:themeColor="text1"/>
          <w:sz w:val="24"/>
          <w:szCs w:val="28"/>
        </w:rPr>
        <w:t>ANNEXE 2 : Prévisions macroéconomiques de STATEC de septembre 2024</w:t>
      </w:r>
    </w:p>
    <w:p w14:paraId="711C9781" w14:textId="70ED21AD" w:rsidR="00C734E1" w:rsidRDefault="00C734E1" w:rsidP="008F76B4">
      <w:pPr>
        <w:spacing w:after="0" w:line="240" w:lineRule="auto"/>
        <w:rPr>
          <w:rFonts w:ascii="Segoe UI" w:eastAsiaTheme="minorHAnsi" w:hAnsi="Segoe UI" w:cs="Segoe UI"/>
          <w:bCs/>
          <w:color w:val="000091" w:themeColor="text1"/>
          <w:sz w:val="24"/>
          <w:szCs w:val="28"/>
        </w:rPr>
      </w:pPr>
    </w:p>
    <w:p w14:paraId="5431E6C1" w14:textId="57EBC8DF" w:rsidR="00C734E1" w:rsidRPr="00F0265A" w:rsidRDefault="008F76B4" w:rsidP="008F76B4">
      <w:pPr>
        <w:spacing w:after="0" w:line="240" w:lineRule="auto"/>
        <w:rPr>
          <w:rFonts w:ascii="Segoe UI" w:eastAsiaTheme="minorHAnsi" w:hAnsi="Segoe UI" w:cs="Segoe UI"/>
          <w:bCs/>
          <w:color w:val="000091" w:themeColor="text1"/>
          <w:sz w:val="24"/>
          <w:szCs w:val="28"/>
        </w:rPr>
      </w:pPr>
      <w:r w:rsidRPr="008F76B4">
        <w:rPr>
          <w:rFonts w:ascii="Segoe UI" w:eastAsiaTheme="minorHAnsi" w:hAnsi="Segoe UI" w:cs="Segoe UI"/>
          <w:bCs/>
          <w:noProof/>
          <w:color w:val="000091" w:themeColor="text1"/>
          <w:sz w:val="24"/>
          <w:szCs w:val="28"/>
        </w:rPr>
        <w:drawing>
          <wp:inline distT="0" distB="0" distL="0" distR="0" wp14:anchorId="0B860954" wp14:editId="11E9ED87">
            <wp:extent cx="5610225" cy="36407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7556" cy="3645467"/>
                    </a:xfrm>
                    <a:prstGeom prst="rect">
                      <a:avLst/>
                    </a:prstGeom>
                  </pic:spPr>
                </pic:pic>
              </a:graphicData>
            </a:graphic>
          </wp:inline>
        </w:drawing>
      </w:r>
    </w:p>
    <w:p w14:paraId="6BF3296B"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6A88D3B2"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1E2E4E2D"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7179C725"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67D9DC7C" w14:textId="77777777" w:rsidR="00F0265A" w:rsidRPr="00F0265A" w:rsidRDefault="00F0265A" w:rsidP="00F0265A">
      <w:pPr>
        <w:spacing w:after="0" w:line="240" w:lineRule="auto"/>
        <w:jc w:val="center"/>
        <w:rPr>
          <w:rFonts w:ascii="Segoe UI" w:eastAsiaTheme="minorHAnsi" w:hAnsi="Segoe UI" w:cs="Segoe UI"/>
          <w:bCs/>
          <w:i/>
          <w:iCs/>
          <w:color w:val="000091" w:themeColor="text1"/>
          <w:sz w:val="24"/>
          <w:szCs w:val="28"/>
        </w:rPr>
      </w:pPr>
      <w:r w:rsidRPr="00F0265A">
        <w:rPr>
          <w:rFonts w:ascii="Segoe UI" w:eastAsiaTheme="minorHAnsi" w:hAnsi="Segoe UI" w:cs="Segoe UI"/>
          <w:bCs/>
          <w:color w:val="000091" w:themeColor="text1"/>
          <w:sz w:val="24"/>
          <w:szCs w:val="28"/>
        </w:rPr>
        <w:t xml:space="preserve">ANNEXE 3 : Evolution annuelle de l'inflation (IPCH et IPCN) du Luxembourg et des principales économies européennes (en %) - 2010-2024 – </w:t>
      </w:r>
      <w:r w:rsidRPr="00F0265A">
        <w:rPr>
          <w:rFonts w:ascii="Segoe UI" w:eastAsiaTheme="minorHAnsi" w:hAnsi="Segoe UI" w:cs="Segoe UI"/>
          <w:bCs/>
          <w:i/>
          <w:iCs/>
          <w:color w:val="000091" w:themeColor="text1"/>
          <w:sz w:val="24"/>
          <w:szCs w:val="28"/>
        </w:rPr>
        <w:t>sources Eurostat et Statec</w:t>
      </w:r>
    </w:p>
    <w:p w14:paraId="2BEC7F9A"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2AE808C5" w14:textId="3CF0593F" w:rsidR="00F0265A" w:rsidRDefault="00F0265A" w:rsidP="00F0265A">
      <w:pPr>
        <w:spacing w:after="0" w:line="240" w:lineRule="auto"/>
        <w:jc w:val="center"/>
        <w:rPr>
          <w:rFonts w:ascii="Segoe UI" w:eastAsiaTheme="minorHAnsi" w:hAnsi="Segoe UI" w:cs="Segoe UI"/>
          <w:bCs/>
          <w:color w:val="000091" w:themeColor="text1"/>
          <w:sz w:val="24"/>
          <w:szCs w:val="28"/>
        </w:rPr>
      </w:pPr>
    </w:p>
    <w:p w14:paraId="2B2CA3C6" w14:textId="6A93AD42" w:rsidR="00C734E1" w:rsidRDefault="00C734E1" w:rsidP="00F0265A">
      <w:pPr>
        <w:spacing w:after="0" w:line="240" w:lineRule="auto"/>
        <w:jc w:val="center"/>
        <w:rPr>
          <w:rFonts w:ascii="Segoe UI" w:eastAsiaTheme="minorHAnsi" w:hAnsi="Segoe UI" w:cs="Segoe UI"/>
          <w:bCs/>
          <w:color w:val="000091" w:themeColor="text1"/>
          <w:sz w:val="24"/>
          <w:szCs w:val="28"/>
        </w:rPr>
      </w:pPr>
    </w:p>
    <w:p w14:paraId="3E6A9E02" w14:textId="33E6FFA0" w:rsidR="00C734E1" w:rsidRPr="00F0265A" w:rsidRDefault="00C734E1" w:rsidP="00F0265A">
      <w:pPr>
        <w:spacing w:after="0" w:line="240" w:lineRule="auto"/>
        <w:jc w:val="center"/>
        <w:rPr>
          <w:rFonts w:ascii="Segoe UI" w:eastAsiaTheme="minorHAnsi" w:hAnsi="Segoe UI" w:cs="Segoe UI"/>
          <w:bCs/>
          <w:color w:val="000091" w:themeColor="text1"/>
          <w:sz w:val="24"/>
          <w:szCs w:val="28"/>
        </w:rPr>
      </w:pPr>
      <w:r>
        <w:rPr>
          <w:rFonts w:ascii="Segoe UI" w:eastAsiaTheme="minorHAnsi" w:hAnsi="Segoe UI" w:cs="Segoe UI"/>
          <w:bCs/>
          <w:noProof/>
          <w:color w:val="000091" w:themeColor="text1"/>
          <w:sz w:val="24"/>
          <w:szCs w:val="28"/>
        </w:rPr>
        <w:drawing>
          <wp:inline distT="0" distB="0" distL="0" distR="0" wp14:anchorId="144B5779" wp14:editId="43439F17">
            <wp:extent cx="5532481" cy="3598877"/>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4341" cy="3606592"/>
                    </a:xfrm>
                    <a:prstGeom prst="rect">
                      <a:avLst/>
                    </a:prstGeom>
                    <a:noFill/>
                  </pic:spPr>
                </pic:pic>
              </a:graphicData>
            </a:graphic>
          </wp:inline>
        </w:drawing>
      </w:r>
    </w:p>
    <w:p w14:paraId="22A52E88"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35F6DD64" w14:textId="77777777" w:rsidR="00F0265A" w:rsidRPr="00F0265A" w:rsidRDefault="00F0265A" w:rsidP="00F0265A">
      <w:pPr>
        <w:spacing w:after="0" w:line="240" w:lineRule="auto"/>
        <w:jc w:val="center"/>
        <w:rPr>
          <w:rFonts w:ascii="Segoe UI" w:eastAsiaTheme="minorHAnsi" w:hAnsi="Segoe UI" w:cs="Segoe UI"/>
          <w:bCs/>
          <w:i/>
          <w:iCs/>
          <w:color w:val="000091" w:themeColor="text1"/>
          <w:sz w:val="24"/>
          <w:szCs w:val="28"/>
        </w:rPr>
      </w:pPr>
      <w:r w:rsidRPr="00F0265A">
        <w:rPr>
          <w:rFonts w:ascii="Segoe UI" w:eastAsiaTheme="minorHAnsi" w:hAnsi="Segoe UI" w:cs="Segoe UI"/>
          <w:bCs/>
          <w:color w:val="000091" w:themeColor="text1"/>
          <w:sz w:val="24"/>
          <w:szCs w:val="28"/>
        </w:rPr>
        <w:t xml:space="preserve">ANNEXE 4 : Evolution du marché des fonds domiciliés en Europe – </w:t>
      </w:r>
      <w:r w:rsidRPr="00F0265A">
        <w:rPr>
          <w:rFonts w:ascii="Segoe UI" w:eastAsiaTheme="minorHAnsi" w:hAnsi="Segoe UI" w:cs="Segoe UI"/>
          <w:bCs/>
          <w:i/>
          <w:iCs/>
          <w:color w:val="000091" w:themeColor="text1"/>
          <w:sz w:val="24"/>
          <w:szCs w:val="28"/>
        </w:rPr>
        <w:t>source EFAMA</w:t>
      </w:r>
    </w:p>
    <w:p w14:paraId="5A9811D4"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tbl>
      <w:tblPr>
        <w:tblW w:w="84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F0265A" w:rsidRPr="00F0265A" w14:paraId="7EEA67F3" w14:textId="77777777" w:rsidTr="002759A6">
        <w:trPr>
          <w:trHeight w:val="290"/>
        </w:trPr>
        <w:tc>
          <w:tcPr>
            <w:tcW w:w="1200" w:type="dxa"/>
            <w:tcBorders>
              <w:top w:val="nil"/>
              <w:left w:val="nil"/>
              <w:bottom w:val="nil"/>
              <w:right w:val="nil"/>
            </w:tcBorders>
            <w:shd w:val="clear" w:color="auto" w:fill="auto"/>
            <w:noWrap/>
            <w:vAlign w:val="bottom"/>
            <w:hideMark/>
          </w:tcPr>
          <w:p w14:paraId="16F0DD51" w14:textId="77777777" w:rsidR="00F0265A" w:rsidRPr="00F0265A" w:rsidRDefault="00F0265A" w:rsidP="00F0265A">
            <w:pPr>
              <w:spacing w:after="0" w:line="240" w:lineRule="auto"/>
              <w:rPr>
                <w:rFonts w:ascii="Times New Roman" w:eastAsia="Times New Roman" w:hAnsi="Times New Roman" w:cs="Times New Roman"/>
                <w:sz w:val="24"/>
                <w:szCs w:val="24"/>
                <w:lang w:eastAsia="fr-FR"/>
              </w:rPr>
            </w:pPr>
          </w:p>
        </w:tc>
        <w:tc>
          <w:tcPr>
            <w:tcW w:w="1200" w:type="dxa"/>
            <w:tcBorders>
              <w:top w:val="nil"/>
              <w:left w:val="nil"/>
              <w:bottom w:val="nil"/>
              <w:right w:val="nil"/>
            </w:tcBorders>
            <w:shd w:val="clear" w:color="auto" w:fill="auto"/>
            <w:noWrap/>
            <w:vAlign w:val="bottom"/>
            <w:hideMark/>
          </w:tcPr>
          <w:p w14:paraId="31672419" w14:textId="77777777" w:rsidR="00F0265A" w:rsidRPr="00F0265A" w:rsidRDefault="00F0265A" w:rsidP="00F0265A">
            <w:pPr>
              <w:spacing w:after="0" w:line="240" w:lineRule="auto"/>
              <w:rPr>
                <w:rFonts w:ascii="Times New Roman" w:eastAsia="Times New Roman" w:hAnsi="Times New Roman" w:cs="Times New Roman"/>
                <w:sz w:val="20"/>
                <w:szCs w:val="20"/>
                <w:lang w:eastAsia="fr-FR"/>
              </w:rPr>
            </w:pPr>
          </w:p>
        </w:tc>
        <w:tc>
          <w:tcPr>
            <w:tcW w:w="2400" w:type="dxa"/>
            <w:gridSpan w:val="2"/>
            <w:tcBorders>
              <w:top w:val="nil"/>
              <w:left w:val="nil"/>
              <w:bottom w:val="nil"/>
              <w:right w:val="nil"/>
            </w:tcBorders>
            <w:shd w:val="clear" w:color="000000" w:fill="C00000"/>
            <w:noWrap/>
            <w:vAlign w:val="bottom"/>
            <w:hideMark/>
          </w:tcPr>
          <w:p w14:paraId="5CE0AB59"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r w:rsidRPr="00F0265A">
              <w:rPr>
                <w:rFonts w:ascii="Calibri" w:eastAsia="Times New Roman" w:hAnsi="Calibri" w:cs="Times New Roman"/>
                <w:b/>
                <w:bCs/>
                <w:color w:val="FFFFFF"/>
                <w:lang w:eastAsia="fr-FR"/>
              </w:rPr>
              <w:t>Fonds domiciliés* (Md€)</w:t>
            </w:r>
          </w:p>
        </w:tc>
        <w:tc>
          <w:tcPr>
            <w:tcW w:w="1200" w:type="dxa"/>
            <w:tcBorders>
              <w:top w:val="nil"/>
              <w:left w:val="nil"/>
              <w:bottom w:val="nil"/>
              <w:right w:val="nil"/>
            </w:tcBorders>
            <w:shd w:val="clear" w:color="auto" w:fill="auto"/>
            <w:noWrap/>
            <w:vAlign w:val="bottom"/>
            <w:hideMark/>
          </w:tcPr>
          <w:p w14:paraId="321A4E20"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p>
        </w:tc>
        <w:tc>
          <w:tcPr>
            <w:tcW w:w="2400" w:type="dxa"/>
            <w:gridSpan w:val="2"/>
            <w:tcBorders>
              <w:top w:val="nil"/>
              <w:left w:val="nil"/>
              <w:bottom w:val="nil"/>
              <w:right w:val="nil"/>
            </w:tcBorders>
            <w:shd w:val="clear" w:color="000000" w:fill="C00000"/>
            <w:noWrap/>
            <w:vAlign w:val="bottom"/>
            <w:hideMark/>
          </w:tcPr>
          <w:p w14:paraId="3633DE78"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r w:rsidRPr="00F0265A">
              <w:rPr>
                <w:rFonts w:ascii="Calibri" w:eastAsia="Times New Roman" w:hAnsi="Calibri" w:cs="Times New Roman"/>
                <w:b/>
                <w:bCs/>
                <w:color w:val="FFFFFF"/>
                <w:lang w:eastAsia="fr-FR"/>
              </w:rPr>
              <w:t>Part de marché</w:t>
            </w:r>
          </w:p>
        </w:tc>
      </w:tr>
      <w:tr w:rsidR="00F0265A" w:rsidRPr="00F0265A" w14:paraId="202FE191" w14:textId="77777777" w:rsidTr="002759A6">
        <w:trPr>
          <w:trHeight w:val="290"/>
        </w:trPr>
        <w:tc>
          <w:tcPr>
            <w:tcW w:w="1200" w:type="dxa"/>
            <w:tcBorders>
              <w:top w:val="nil"/>
              <w:left w:val="nil"/>
              <w:bottom w:val="nil"/>
              <w:right w:val="nil"/>
            </w:tcBorders>
            <w:shd w:val="clear" w:color="auto" w:fill="auto"/>
            <w:noWrap/>
            <w:vAlign w:val="center"/>
            <w:hideMark/>
          </w:tcPr>
          <w:p w14:paraId="01A2C4A0"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p>
        </w:tc>
        <w:tc>
          <w:tcPr>
            <w:tcW w:w="1200" w:type="dxa"/>
            <w:tcBorders>
              <w:top w:val="nil"/>
              <w:left w:val="nil"/>
              <w:bottom w:val="nil"/>
              <w:right w:val="nil"/>
            </w:tcBorders>
            <w:shd w:val="clear" w:color="auto" w:fill="auto"/>
            <w:noWrap/>
            <w:vAlign w:val="center"/>
            <w:hideMark/>
          </w:tcPr>
          <w:p w14:paraId="5C5DDE9A" w14:textId="77777777" w:rsidR="00F0265A" w:rsidRPr="00F0265A" w:rsidRDefault="00F0265A" w:rsidP="00F0265A">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single" w:sz="4" w:space="0" w:color="FFFFFF"/>
            </w:tcBorders>
            <w:shd w:val="clear" w:color="000000" w:fill="C00000"/>
            <w:noWrap/>
            <w:vAlign w:val="center"/>
            <w:hideMark/>
          </w:tcPr>
          <w:p w14:paraId="1831A7CB"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r w:rsidRPr="00F0265A">
              <w:rPr>
                <w:rFonts w:ascii="Calibri" w:eastAsia="Times New Roman" w:hAnsi="Calibri" w:cs="Times New Roman"/>
                <w:b/>
                <w:bCs/>
                <w:color w:val="FFFFFF"/>
                <w:lang w:eastAsia="fr-FR"/>
              </w:rPr>
              <w:t>2023</w:t>
            </w:r>
          </w:p>
        </w:tc>
        <w:tc>
          <w:tcPr>
            <w:tcW w:w="1200" w:type="dxa"/>
            <w:tcBorders>
              <w:top w:val="nil"/>
              <w:left w:val="nil"/>
              <w:bottom w:val="nil"/>
              <w:right w:val="nil"/>
            </w:tcBorders>
            <w:shd w:val="clear" w:color="000000" w:fill="C00000"/>
            <w:noWrap/>
            <w:vAlign w:val="center"/>
            <w:hideMark/>
          </w:tcPr>
          <w:p w14:paraId="43FEE0A0"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r w:rsidRPr="00F0265A">
              <w:rPr>
                <w:rFonts w:ascii="Calibri" w:eastAsia="Times New Roman" w:hAnsi="Calibri" w:cs="Times New Roman"/>
                <w:b/>
                <w:bCs/>
                <w:color w:val="FFFFFF"/>
                <w:lang w:eastAsia="fr-FR"/>
              </w:rPr>
              <w:t>2013</w:t>
            </w:r>
          </w:p>
        </w:tc>
        <w:tc>
          <w:tcPr>
            <w:tcW w:w="1200" w:type="dxa"/>
            <w:tcBorders>
              <w:top w:val="nil"/>
              <w:left w:val="nil"/>
              <w:bottom w:val="nil"/>
              <w:right w:val="nil"/>
            </w:tcBorders>
            <w:shd w:val="clear" w:color="auto" w:fill="auto"/>
            <w:noWrap/>
            <w:vAlign w:val="center"/>
            <w:hideMark/>
          </w:tcPr>
          <w:p w14:paraId="23FC37B6"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p>
        </w:tc>
        <w:tc>
          <w:tcPr>
            <w:tcW w:w="1200" w:type="dxa"/>
            <w:tcBorders>
              <w:top w:val="nil"/>
              <w:left w:val="nil"/>
              <w:bottom w:val="nil"/>
              <w:right w:val="single" w:sz="4" w:space="0" w:color="FFFFFF"/>
            </w:tcBorders>
            <w:shd w:val="clear" w:color="000000" w:fill="C00000"/>
            <w:noWrap/>
            <w:vAlign w:val="center"/>
            <w:hideMark/>
          </w:tcPr>
          <w:p w14:paraId="1DF215F0"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r w:rsidRPr="00F0265A">
              <w:rPr>
                <w:rFonts w:ascii="Calibri" w:eastAsia="Times New Roman" w:hAnsi="Calibri" w:cs="Times New Roman"/>
                <w:b/>
                <w:bCs/>
                <w:color w:val="FFFFFF"/>
                <w:lang w:eastAsia="fr-FR"/>
              </w:rPr>
              <w:t>2023</w:t>
            </w:r>
          </w:p>
        </w:tc>
        <w:tc>
          <w:tcPr>
            <w:tcW w:w="1200" w:type="dxa"/>
            <w:tcBorders>
              <w:top w:val="nil"/>
              <w:left w:val="nil"/>
              <w:bottom w:val="nil"/>
              <w:right w:val="nil"/>
            </w:tcBorders>
            <w:shd w:val="clear" w:color="000000" w:fill="C00000"/>
            <w:noWrap/>
            <w:vAlign w:val="center"/>
            <w:hideMark/>
          </w:tcPr>
          <w:p w14:paraId="6B406357" w14:textId="77777777" w:rsidR="00F0265A" w:rsidRPr="00F0265A" w:rsidRDefault="00F0265A" w:rsidP="00F0265A">
            <w:pPr>
              <w:spacing w:after="0" w:line="240" w:lineRule="auto"/>
              <w:jc w:val="center"/>
              <w:rPr>
                <w:rFonts w:ascii="Calibri" w:eastAsia="Times New Roman" w:hAnsi="Calibri" w:cs="Times New Roman"/>
                <w:b/>
                <w:bCs/>
                <w:color w:val="FFFFFF"/>
                <w:lang w:eastAsia="fr-FR"/>
              </w:rPr>
            </w:pPr>
            <w:r w:rsidRPr="00F0265A">
              <w:rPr>
                <w:rFonts w:ascii="Calibri" w:eastAsia="Times New Roman" w:hAnsi="Calibri" w:cs="Times New Roman"/>
                <w:b/>
                <w:bCs/>
                <w:color w:val="FFFFFF"/>
                <w:lang w:eastAsia="fr-FR"/>
              </w:rPr>
              <w:t>2013</w:t>
            </w:r>
          </w:p>
        </w:tc>
      </w:tr>
      <w:tr w:rsidR="00F0265A" w:rsidRPr="00F0265A" w14:paraId="6CADF6C2" w14:textId="77777777" w:rsidTr="002759A6">
        <w:trPr>
          <w:trHeight w:val="290"/>
        </w:trPr>
        <w:tc>
          <w:tcPr>
            <w:tcW w:w="1200" w:type="dxa"/>
            <w:tcBorders>
              <w:top w:val="nil"/>
              <w:left w:val="nil"/>
              <w:bottom w:val="nil"/>
              <w:right w:val="nil"/>
            </w:tcBorders>
            <w:shd w:val="clear" w:color="000000" w:fill="FFFFFF"/>
            <w:noWrap/>
            <w:vAlign w:val="bottom"/>
            <w:hideMark/>
          </w:tcPr>
          <w:p w14:paraId="67ED2CF3" w14:textId="77777777" w:rsidR="00F0265A" w:rsidRPr="00F0265A" w:rsidRDefault="00F0265A" w:rsidP="00F0265A">
            <w:pPr>
              <w:spacing w:after="0" w:line="240" w:lineRule="auto"/>
              <w:rPr>
                <w:rFonts w:ascii="Calibri" w:eastAsia="Times New Roman" w:hAnsi="Calibri" w:cs="Times New Roman"/>
                <w:b/>
                <w:bCs/>
                <w:color w:val="000000"/>
                <w:lang w:eastAsia="fr-FR"/>
              </w:rPr>
            </w:pPr>
            <w:r w:rsidRPr="00F0265A">
              <w:rPr>
                <w:rFonts w:ascii="Calibri" w:eastAsia="Times New Roman" w:hAnsi="Calibri" w:cs="Times New Roman"/>
                <w:b/>
                <w:bCs/>
                <w:color w:val="000000"/>
                <w:lang w:eastAsia="fr-FR"/>
              </w:rPr>
              <w:t>Europe</w:t>
            </w:r>
          </w:p>
        </w:tc>
        <w:tc>
          <w:tcPr>
            <w:tcW w:w="1200" w:type="dxa"/>
            <w:tcBorders>
              <w:top w:val="nil"/>
              <w:left w:val="nil"/>
              <w:bottom w:val="nil"/>
              <w:right w:val="nil"/>
            </w:tcBorders>
            <w:shd w:val="clear" w:color="000000" w:fill="FFFFFF"/>
            <w:noWrap/>
            <w:vAlign w:val="bottom"/>
            <w:hideMark/>
          </w:tcPr>
          <w:p w14:paraId="10E245BD" w14:textId="77777777" w:rsidR="00F0265A" w:rsidRPr="00F0265A" w:rsidRDefault="00F0265A" w:rsidP="00F0265A">
            <w:pPr>
              <w:spacing w:after="0" w:line="240" w:lineRule="auto"/>
              <w:rPr>
                <w:rFonts w:ascii="Calibri" w:eastAsia="Times New Roman" w:hAnsi="Calibri" w:cs="Times New Roman"/>
                <w:b/>
                <w:bCs/>
                <w:color w:val="000000"/>
                <w:lang w:eastAsia="fr-FR"/>
              </w:rPr>
            </w:pPr>
            <w:r w:rsidRPr="00F0265A">
              <w:rPr>
                <w:rFonts w:ascii="Calibri" w:eastAsia="Times New Roman" w:hAnsi="Calibri" w:cs="Times New Roman"/>
                <w:b/>
                <w:bCs/>
                <w:color w:val="000000"/>
                <w:lang w:eastAsia="fr-FR"/>
              </w:rPr>
              <w:t> </w:t>
            </w:r>
          </w:p>
        </w:tc>
        <w:tc>
          <w:tcPr>
            <w:tcW w:w="1200" w:type="dxa"/>
            <w:tcBorders>
              <w:top w:val="nil"/>
              <w:left w:val="nil"/>
              <w:bottom w:val="nil"/>
              <w:right w:val="nil"/>
            </w:tcBorders>
            <w:shd w:val="clear" w:color="000000" w:fill="FFFFFF"/>
            <w:noWrap/>
            <w:vAlign w:val="bottom"/>
            <w:hideMark/>
          </w:tcPr>
          <w:p w14:paraId="539A26DF" w14:textId="77777777" w:rsidR="00F0265A" w:rsidRPr="00F0265A" w:rsidRDefault="00F0265A" w:rsidP="00F0265A">
            <w:pPr>
              <w:spacing w:after="0" w:line="240" w:lineRule="auto"/>
              <w:jc w:val="right"/>
              <w:rPr>
                <w:rFonts w:ascii="Calibri" w:eastAsia="Times New Roman" w:hAnsi="Calibri" w:cs="Times New Roman"/>
                <w:b/>
                <w:bCs/>
                <w:color w:val="000000"/>
                <w:lang w:eastAsia="fr-FR"/>
              </w:rPr>
            </w:pPr>
            <w:r w:rsidRPr="00F0265A">
              <w:rPr>
                <w:rFonts w:ascii="Calibri" w:eastAsia="Times New Roman" w:hAnsi="Calibri" w:cs="Times New Roman"/>
                <w:b/>
                <w:bCs/>
                <w:color w:val="000000"/>
                <w:lang w:eastAsia="fr-FR"/>
              </w:rPr>
              <w:t>20 685,8</w:t>
            </w:r>
          </w:p>
        </w:tc>
        <w:tc>
          <w:tcPr>
            <w:tcW w:w="1200" w:type="dxa"/>
            <w:tcBorders>
              <w:top w:val="nil"/>
              <w:left w:val="nil"/>
              <w:bottom w:val="nil"/>
              <w:right w:val="nil"/>
            </w:tcBorders>
            <w:shd w:val="clear" w:color="000000" w:fill="FFFFFF"/>
            <w:noWrap/>
            <w:vAlign w:val="bottom"/>
            <w:hideMark/>
          </w:tcPr>
          <w:p w14:paraId="5BD2103A" w14:textId="77777777" w:rsidR="00F0265A" w:rsidRPr="00F0265A" w:rsidRDefault="00F0265A" w:rsidP="00F0265A">
            <w:pPr>
              <w:spacing w:after="0" w:line="240" w:lineRule="auto"/>
              <w:jc w:val="right"/>
              <w:rPr>
                <w:rFonts w:ascii="Calibri" w:eastAsia="Times New Roman" w:hAnsi="Calibri" w:cs="Times New Roman"/>
                <w:b/>
                <w:bCs/>
                <w:color w:val="000000"/>
                <w:lang w:eastAsia="fr-FR"/>
              </w:rPr>
            </w:pPr>
            <w:r w:rsidRPr="00F0265A">
              <w:rPr>
                <w:rFonts w:ascii="Calibri" w:eastAsia="Times New Roman" w:hAnsi="Calibri" w:cs="Times New Roman"/>
                <w:b/>
                <w:bCs/>
                <w:color w:val="000000"/>
                <w:lang w:eastAsia="fr-FR"/>
              </w:rPr>
              <w:t>10 361,8</w:t>
            </w:r>
          </w:p>
        </w:tc>
        <w:tc>
          <w:tcPr>
            <w:tcW w:w="1200" w:type="dxa"/>
            <w:tcBorders>
              <w:top w:val="nil"/>
              <w:left w:val="nil"/>
              <w:bottom w:val="nil"/>
              <w:right w:val="nil"/>
            </w:tcBorders>
            <w:shd w:val="clear" w:color="000000" w:fill="FFFFFF"/>
            <w:noWrap/>
            <w:vAlign w:val="bottom"/>
            <w:hideMark/>
          </w:tcPr>
          <w:p w14:paraId="24C56B65" w14:textId="77777777" w:rsidR="00F0265A" w:rsidRPr="00F0265A" w:rsidRDefault="00F0265A" w:rsidP="00F0265A">
            <w:pPr>
              <w:spacing w:after="0" w:line="240" w:lineRule="auto"/>
              <w:rPr>
                <w:rFonts w:ascii="Calibri" w:eastAsia="Times New Roman" w:hAnsi="Calibri" w:cs="Times New Roman"/>
                <w:b/>
                <w:bCs/>
                <w:color w:val="000000"/>
                <w:lang w:eastAsia="fr-FR"/>
              </w:rPr>
            </w:pPr>
            <w:r w:rsidRPr="00F0265A">
              <w:rPr>
                <w:rFonts w:ascii="Calibri" w:eastAsia="Times New Roman" w:hAnsi="Calibri" w:cs="Times New Roman"/>
                <w:b/>
                <w:bCs/>
                <w:color w:val="000000"/>
                <w:lang w:eastAsia="fr-FR"/>
              </w:rPr>
              <w:t> </w:t>
            </w:r>
          </w:p>
        </w:tc>
        <w:tc>
          <w:tcPr>
            <w:tcW w:w="1200" w:type="dxa"/>
            <w:tcBorders>
              <w:top w:val="nil"/>
              <w:left w:val="nil"/>
              <w:bottom w:val="nil"/>
              <w:right w:val="nil"/>
            </w:tcBorders>
            <w:shd w:val="clear" w:color="000000" w:fill="FFFFFF"/>
            <w:noWrap/>
            <w:vAlign w:val="bottom"/>
            <w:hideMark/>
          </w:tcPr>
          <w:p w14:paraId="44B5D1DD" w14:textId="77777777" w:rsidR="00F0265A" w:rsidRPr="00F0265A" w:rsidRDefault="00F0265A" w:rsidP="00F0265A">
            <w:pPr>
              <w:spacing w:after="0" w:line="240" w:lineRule="auto"/>
              <w:jc w:val="right"/>
              <w:rPr>
                <w:rFonts w:ascii="Calibri" w:eastAsia="Times New Roman" w:hAnsi="Calibri" w:cs="Times New Roman"/>
                <w:b/>
                <w:bCs/>
                <w:color w:val="000000"/>
                <w:lang w:eastAsia="fr-FR"/>
              </w:rPr>
            </w:pPr>
            <w:r w:rsidRPr="00F0265A">
              <w:rPr>
                <w:rFonts w:ascii="Calibri" w:eastAsia="Times New Roman" w:hAnsi="Calibri" w:cs="Times New Roman"/>
                <w:b/>
                <w:bCs/>
                <w:color w:val="000000"/>
                <w:lang w:eastAsia="fr-FR"/>
              </w:rPr>
              <w:t>100%</w:t>
            </w:r>
          </w:p>
        </w:tc>
        <w:tc>
          <w:tcPr>
            <w:tcW w:w="1200" w:type="dxa"/>
            <w:tcBorders>
              <w:top w:val="nil"/>
              <w:left w:val="nil"/>
              <w:bottom w:val="nil"/>
              <w:right w:val="nil"/>
            </w:tcBorders>
            <w:shd w:val="clear" w:color="000000" w:fill="FFFFFF"/>
            <w:noWrap/>
            <w:vAlign w:val="bottom"/>
            <w:hideMark/>
          </w:tcPr>
          <w:p w14:paraId="0E40F2C4" w14:textId="77777777" w:rsidR="00F0265A" w:rsidRPr="00F0265A" w:rsidRDefault="00F0265A" w:rsidP="00F0265A">
            <w:pPr>
              <w:spacing w:after="0" w:line="240" w:lineRule="auto"/>
              <w:jc w:val="right"/>
              <w:rPr>
                <w:rFonts w:ascii="Calibri" w:eastAsia="Times New Roman" w:hAnsi="Calibri" w:cs="Times New Roman"/>
                <w:b/>
                <w:bCs/>
                <w:color w:val="000000"/>
                <w:lang w:eastAsia="fr-FR"/>
              </w:rPr>
            </w:pPr>
            <w:r w:rsidRPr="00F0265A">
              <w:rPr>
                <w:rFonts w:ascii="Calibri" w:eastAsia="Times New Roman" w:hAnsi="Calibri" w:cs="Times New Roman"/>
                <w:b/>
                <w:bCs/>
                <w:color w:val="000000"/>
                <w:lang w:eastAsia="fr-FR"/>
              </w:rPr>
              <w:t>100%</w:t>
            </w:r>
          </w:p>
        </w:tc>
      </w:tr>
      <w:tr w:rsidR="00F0265A" w:rsidRPr="00F0265A" w14:paraId="07335BF8" w14:textId="77777777" w:rsidTr="002759A6">
        <w:trPr>
          <w:trHeight w:val="290"/>
        </w:trPr>
        <w:tc>
          <w:tcPr>
            <w:tcW w:w="2400" w:type="dxa"/>
            <w:gridSpan w:val="2"/>
            <w:tcBorders>
              <w:top w:val="nil"/>
              <w:left w:val="nil"/>
              <w:bottom w:val="nil"/>
              <w:right w:val="nil"/>
            </w:tcBorders>
            <w:shd w:val="clear" w:color="000000" w:fill="FFFFFF"/>
            <w:noWrap/>
            <w:vAlign w:val="bottom"/>
            <w:hideMark/>
          </w:tcPr>
          <w:p w14:paraId="68E05B19" w14:textId="77777777" w:rsidR="00F0265A" w:rsidRPr="00F0265A" w:rsidRDefault="00F0265A" w:rsidP="00F0265A">
            <w:pPr>
              <w:spacing w:after="0" w:line="240" w:lineRule="auto"/>
              <w:rPr>
                <w:rFonts w:ascii="Calibri" w:eastAsia="Times New Roman" w:hAnsi="Calibri" w:cs="Times New Roman"/>
                <w:b/>
                <w:bCs/>
                <w:color w:val="00B0F0"/>
                <w:lang w:eastAsia="fr-FR"/>
              </w:rPr>
            </w:pPr>
            <w:r w:rsidRPr="00F0265A">
              <w:rPr>
                <w:rFonts w:ascii="Calibri" w:eastAsia="Times New Roman" w:hAnsi="Calibri" w:cs="Times New Roman"/>
                <w:b/>
                <w:bCs/>
                <w:color w:val="00B0F0"/>
                <w:lang w:eastAsia="fr-FR"/>
              </w:rPr>
              <w:t>Luxembourg</w:t>
            </w:r>
          </w:p>
        </w:tc>
        <w:tc>
          <w:tcPr>
            <w:tcW w:w="1200" w:type="dxa"/>
            <w:tcBorders>
              <w:top w:val="nil"/>
              <w:left w:val="nil"/>
              <w:bottom w:val="nil"/>
              <w:right w:val="nil"/>
            </w:tcBorders>
            <w:shd w:val="clear" w:color="000000" w:fill="FFFFFF"/>
            <w:noWrap/>
            <w:vAlign w:val="bottom"/>
            <w:hideMark/>
          </w:tcPr>
          <w:p w14:paraId="0213BA35" w14:textId="77777777" w:rsidR="00F0265A" w:rsidRPr="00F0265A" w:rsidRDefault="00F0265A" w:rsidP="00F0265A">
            <w:pPr>
              <w:spacing w:after="0" w:line="240" w:lineRule="auto"/>
              <w:jc w:val="right"/>
              <w:rPr>
                <w:rFonts w:ascii="Calibri" w:eastAsia="Times New Roman" w:hAnsi="Calibri" w:cs="Times New Roman"/>
                <w:b/>
                <w:bCs/>
                <w:color w:val="00B0F0"/>
                <w:lang w:eastAsia="fr-FR"/>
              </w:rPr>
            </w:pPr>
            <w:r w:rsidRPr="00F0265A">
              <w:rPr>
                <w:rFonts w:ascii="Calibri" w:eastAsia="Times New Roman" w:hAnsi="Calibri" w:cs="Times New Roman"/>
                <w:b/>
                <w:bCs/>
                <w:color w:val="00B0F0"/>
                <w:lang w:eastAsia="fr-FR"/>
              </w:rPr>
              <w:t>5 285,0</w:t>
            </w:r>
          </w:p>
        </w:tc>
        <w:tc>
          <w:tcPr>
            <w:tcW w:w="1200" w:type="dxa"/>
            <w:tcBorders>
              <w:top w:val="nil"/>
              <w:left w:val="nil"/>
              <w:bottom w:val="nil"/>
              <w:right w:val="nil"/>
            </w:tcBorders>
            <w:shd w:val="clear" w:color="000000" w:fill="FFFFFF"/>
            <w:noWrap/>
            <w:vAlign w:val="bottom"/>
            <w:hideMark/>
          </w:tcPr>
          <w:p w14:paraId="49DB3ADA" w14:textId="77777777" w:rsidR="00F0265A" w:rsidRPr="00F0265A" w:rsidRDefault="00F0265A" w:rsidP="00F0265A">
            <w:pPr>
              <w:spacing w:after="0" w:line="240" w:lineRule="auto"/>
              <w:jc w:val="right"/>
              <w:rPr>
                <w:rFonts w:ascii="Calibri" w:eastAsia="Times New Roman" w:hAnsi="Calibri" w:cs="Times New Roman"/>
                <w:b/>
                <w:bCs/>
                <w:color w:val="00B0F0"/>
                <w:lang w:eastAsia="fr-FR"/>
              </w:rPr>
            </w:pPr>
            <w:r w:rsidRPr="00F0265A">
              <w:rPr>
                <w:rFonts w:ascii="Calibri" w:eastAsia="Times New Roman" w:hAnsi="Calibri" w:cs="Times New Roman"/>
                <w:b/>
                <w:bCs/>
                <w:color w:val="00B0F0"/>
                <w:lang w:eastAsia="fr-FR"/>
              </w:rPr>
              <w:t>2 615,4</w:t>
            </w:r>
          </w:p>
        </w:tc>
        <w:tc>
          <w:tcPr>
            <w:tcW w:w="1200" w:type="dxa"/>
            <w:tcBorders>
              <w:top w:val="nil"/>
              <w:left w:val="nil"/>
              <w:bottom w:val="nil"/>
              <w:right w:val="nil"/>
            </w:tcBorders>
            <w:shd w:val="clear" w:color="000000" w:fill="FFFFFF"/>
            <w:noWrap/>
            <w:vAlign w:val="bottom"/>
            <w:hideMark/>
          </w:tcPr>
          <w:p w14:paraId="7A6D8E7E" w14:textId="77777777" w:rsidR="00F0265A" w:rsidRPr="00F0265A" w:rsidRDefault="00F0265A" w:rsidP="00F0265A">
            <w:pPr>
              <w:spacing w:after="0" w:line="240" w:lineRule="auto"/>
              <w:rPr>
                <w:rFonts w:ascii="Calibri" w:eastAsia="Times New Roman" w:hAnsi="Calibri" w:cs="Times New Roman"/>
                <w:b/>
                <w:bCs/>
                <w:color w:val="00B0F0"/>
                <w:lang w:eastAsia="fr-FR"/>
              </w:rPr>
            </w:pPr>
            <w:r w:rsidRPr="00F0265A">
              <w:rPr>
                <w:rFonts w:ascii="Calibri" w:eastAsia="Times New Roman" w:hAnsi="Calibri" w:cs="Times New Roman"/>
                <w:b/>
                <w:bCs/>
                <w:color w:val="00B0F0"/>
                <w:lang w:eastAsia="fr-FR"/>
              </w:rPr>
              <w:t> </w:t>
            </w:r>
          </w:p>
        </w:tc>
        <w:tc>
          <w:tcPr>
            <w:tcW w:w="1200" w:type="dxa"/>
            <w:tcBorders>
              <w:top w:val="nil"/>
              <w:left w:val="nil"/>
              <w:bottom w:val="nil"/>
              <w:right w:val="nil"/>
            </w:tcBorders>
            <w:shd w:val="clear" w:color="000000" w:fill="FFFFFF"/>
            <w:noWrap/>
            <w:vAlign w:val="bottom"/>
            <w:hideMark/>
          </w:tcPr>
          <w:p w14:paraId="58006BB0" w14:textId="77777777" w:rsidR="00F0265A" w:rsidRPr="00F0265A" w:rsidRDefault="00F0265A" w:rsidP="00F0265A">
            <w:pPr>
              <w:spacing w:after="0" w:line="240" w:lineRule="auto"/>
              <w:jc w:val="right"/>
              <w:rPr>
                <w:rFonts w:ascii="Calibri" w:eastAsia="Times New Roman" w:hAnsi="Calibri" w:cs="Times New Roman"/>
                <w:b/>
                <w:bCs/>
                <w:color w:val="00B0F0"/>
                <w:lang w:eastAsia="fr-FR"/>
              </w:rPr>
            </w:pPr>
            <w:r w:rsidRPr="00F0265A">
              <w:rPr>
                <w:rFonts w:ascii="Calibri" w:eastAsia="Times New Roman" w:hAnsi="Calibri" w:cs="Times New Roman"/>
                <w:b/>
                <w:bCs/>
                <w:color w:val="00B0F0"/>
                <w:lang w:eastAsia="fr-FR"/>
              </w:rPr>
              <w:t>26%</w:t>
            </w:r>
          </w:p>
        </w:tc>
        <w:tc>
          <w:tcPr>
            <w:tcW w:w="1200" w:type="dxa"/>
            <w:tcBorders>
              <w:top w:val="nil"/>
              <w:left w:val="nil"/>
              <w:bottom w:val="nil"/>
              <w:right w:val="nil"/>
            </w:tcBorders>
            <w:shd w:val="clear" w:color="000000" w:fill="FFFFFF"/>
            <w:noWrap/>
            <w:vAlign w:val="bottom"/>
            <w:hideMark/>
          </w:tcPr>
          <w:p w14:paraId="233018C7" w14:textId="77777777" w:rsidR="00F0265A" w:rsidRPr="00F0265A" w:rsidRDefault="00F0265A" w:rsidP="00F0265A">
            <w:pPr>
              <w:spacing w:after="0" w:line="240" w:lineRule="auto"/>
              <w:jc w:val="right"/>
              <w:rPr>
                <w:rFonts w:ascii="Calibri" w:eastAsia="Times New Roman" w:hAnsi="Calibri" w:cs="Times New Roman"/>
                <w:b/>
                <w:bCs/>
                <w:color w:val="00B0F0"/>
                <w:lang w:eastAsia="fr-FR"/>
              </w:rPr>
            </w:pPr>
            <w:r w:rsidRPr="00F0265A">
              <w:rPr>
                <w:rFonts w:ascii="Calibri" w:eastAsia="Times New Roman" w:hAnsi="Calibri" w:cs="Times New Roman"/>
                <w:b/>
                <w:bCs/>
                <w:color w:val="00B0F0"/>
                <w:lang w:eastAsia="fr-FR"/>
              </w:rPr>
              <w:t>25%</w:t>
            </w:r>
          </w:p>
        </w:tc>
      </w:tr>
      <w:tr w:rsidR="00F0265A" w:rsidRPr="00F0265A" w14:paraId="601D95D8" w14:textId="77777777" w:rsidTr="002759A6">
        <w:trPr>
          <w:trHeight w:val="290"/>
        </w:trPr>
        <w:tc>
          <w:tcPr>
            <w:tcW w:w="1200" w:type="dxa"/>
            <w:tcBorders>
              <w:top w:val="nil"/>
              <w:left w:val="nil"/>
              <w:bottom w:val="nil"/>
              <w:right w:val="nil"/>
            </w:tcBorders>
            <w:shd w:val="clear" w:color="000000" w:fill="FFFFFF"/>
            <w:noWrap/>
            <w:vAlign w:val="bottom"/>
            <w:hideMark/>
          </w:tcPr>
          <w:p w14:paraId="585BEC1E" w14:textId="77777777" w:rsidR="00F0265A" w:rsidRPr="00F0265A" w:rsidRDefault="00F0265A" w:rsidP="00F0265A">
            <w:pPr>
              <w:spacing w:after="0" w:line="240" w:lineRule="auto"/>
              <w:rPr>
                <w:rFonts w:ascii="Calibri" w:eastAsia="Times New Roman" w:hAnsi="Calibri" w:cs="Times New Roman"/>
                <w:b/>
                <w:bCs/>
                <w:color w:val="00B050"/>
                <w:lang w:eastAsia="fr-FR"/>
              </w:rPr>
            </w:pPr>
            <w:r w:rsidRPr="00F0265A">
              <w:rPr>
                <w:rFonts w:ascii="Calibri" w:eastAsia="Times New Roman" w:hAnsi="Calibri" w:cs="Times New Roman"/>
                <w:b/>
                <w:bCs/>
                <w:color w:val="00B050"/>
                <w:lang w:eastAsia="fr-FR"/>
              </w:rPr>
              <w:t>Irlande</w:t>
            </w:r>
          </w:p>
        </w:tc>
        <w:tc>
          <w:tcPr>
            <w:tcW w:w="1200" w:type="dxa"/>
            <w:tcBorders>
              <w:top w:val="nil"/>
              <w:left w:val="nil"/>
              <w:bottom w:val="nil"/>
              <w:right w:val="nil"/>
            </w:tcBorders>
            <w:shd w:val="clear" w:color="000000" w:fill="FFFFFF"/>
            <w:noWrap/>
            <w:vAlign w:val="bottom"/>
            <w:hideMark/>
          </w:tcPr>
          <w:p w14:paraId="597E2F7C" w14:textId="77777777" w:rsidR="00F0265A" w:rsidRPr="00F0265A" w:rsidRDefault="00F0265A" w:rsidP="00F0265A">
            <w:pPr>
              <w:spacing w:after="0" w:line="240" w:lineRule="auto"/>
              <w:rPr>
                <w:rFonts w:ascii="Calibri" w:eastAsia="Times New Roman" w:hAnsi="Calibri" w:cs="Times New Roman"/>
                <w:b/>
                <w:bCs/>
                <w:color w:val="00B050"/>
                <w:lang w:eastAsia="fr-FR"/>
              </w:rPr>
            </w:pPr>
            <w:r w:rsidRPr="00F0265A">
              <w:rPr>
                <w:rFonts w:ascii="Calibri" w:eastAsia="Times New Roman" w:hAnsi="Calibri" w:cs="Times New Roman"/>
                <w:b/>
                <w:bCs/>
                <w:color w:val="00B050"/>
                <w:lang w:eastAsia="fr-FR"/>
              </w:rPr>
              <w:t> </w:t>
            </w:r>
          </w:p>
        </w:tc>
        <w:tc>
          <w:tcPr>
            <w:tcW w:w="1200" w:type="dxa"/>
            <w:tcBorders>
              <w:top w:val="nil"/>
              <w:left w:val="nil"/>
              <w:bottom w:val="nil"/>
              <w:right w:val="nil"/>
            </w:tcBorders>
            <w:shd w:val="clear" w:color="000000" w:fill="FFFFFF"/>
            <w:noWrap/>
            <w:vAlign w:val="bottom"/>
            <w:hideMark/>
          </w:tcPr>
          <w:p w14:paraId="58F09A29" w14:textId="77777777" w:rsidR="00F0265A" w:rsidRPr="00F0265A" w:rsidRDefault="00F0265A" w:rsidP="00F0265A">
            <w:pPr>
              <w:spacing w:after="0" w:line="240" w:lineRule="auto"/>
              <w:jc w:val="right"/>
              <w:rPr>
                <w:rFonts w:ascii="Calibri" w:eastAsia="Times New Roman" w:hAnsi="Calibri" w:cs="Times New Roman"/>
                <w:b/>
                <w:bCs/>
                <w:color w:val="00B050"/>
                <w:lang w:eastAsia="fr-FR"/>
              </w:rPr>
            </w:pPr>
            <w:r w:rsidRPr="00F0265A">
              <w:rPr>
                <w:rFonts w:ascii="Calibri" w:eastAsia="Times New Roman" w:hAnsi="Calibri" w:cs="Times New Roman"/>
                <w:b/>
                <w:bCs/>
                <w:color w:val="00B050"/>
                <w:lang w:eastAsia="fr-FR"/>
              </w:rPr>
              <w:t>4 082,7</w:t>
            </w:r>
          </w:p>
        </w:tc>
        <w:tc>
          <w:tcPr>
            <w:tcW w:w="1200" w:type="dxa"/>
            <w:tcBorders>
              <w:top w:val="nil"/>
              <w:left w:val="nil"/>
              <w:bottom w:val="nil"/>
              <w:right w:val="nil"/>
            </w:tcBorders>
            <w:shd w:val="clear" w:color="000000" w:fill="FFFFFF"/>
            <w:noWrap/>
            <w:vAlign w:val="bottom"/>
            <w:hideMark/>
          </w:tcPr>
          <w:p w14:paraId="2157093D" w14:textId="77777777" w:rsidR="00F0265A" w:rsidRPr="00F0265A" w:rsidRDefault="00F0265A" w:rsidP="00F0265A">
            <w:pPr>
              <w:spacing w:after="0" w:line="240" w:lineRule="auto"/>
              <w:jc w:val="right"/>
              <w:rPr>
                <w:rFonts w:ascii="Calibri" w:eastAsia="Times New Roman" w:hAnsi="Calibri" w:cs="Times New Roman"/>
                <w:b/>
                <w:bCs/>
                <w:color w:val="00B050"/>
                <w:lang w:eastAsia="fr-FR"/>
              </w:rPr>
            </w:pPr>
            <w:r w:rsidRPr="00F0265A">
              <w:rPr>
                <w:rFonts w:ascii="Calibri" w:eastAsia="Times New Roman" w:hAnsi="Calibri" w:cs="Times New Roman"/>
                <w:b/>
                <w:bCs/>
                <w:color w:val="00B050"/>
                <w:lang w:eastAsia="fr-FR"/>
              </w:rPr>
              <w:t>1 343,9</w:t>
            </w:r>
          </w:p>
        </w:tc>
        <w:tc>
          <w:tcPr>
            <w:tcW w:w="1200" w:type="dxa"/>
            <w:tcBorders>
              <w:top w:val="nil"/>
              <w:left w:val="nil"/>
              <w:bottom w:val="nil"/>
              <w:right w:val="nil"/>
            </w:tcBorders>
            <w:shd w:val="clear" w:color="000000" w:fill="FFFFFF"/>
            <w:noWrap/>
            <w:vAlign w:val="bottom"/>
            <w:hideMark/>
          </w:tcPr>
          <w:p w14:paraId="230A23AE" w14:textId="77777777" w:rsidR="00F0265A" w:rsidRPr="00F0265A" w:rsidRDefault="00F0265A" w:rsidP="00F0265A">
            <w:pPr>
              <w:spacing w:after="0" w:line="240" w:lineRule="auto"/>
              <w:rPr>
                <w:rFonts w:ascii="Calibri" w:eastAsia="Times New Roman" w:hAnsi="Calibri" w:cs="Times New Roman"/>
                <w:b/>
                <w:bCs/>
                <w:color w:val="00B050"/>
                <w:lang w:eastAsia="fr-FR"/>
              </w:rPr>
            </w:pPr>
            <w:r w:rsidRPr="00F0265A">
              <w:rPr>
                <w:rFonts w:ascii="Calibri" w:eastAsia="Times New Roman" w:hAnsi="Calibri" w:cs="Times New Roman"/>
                <w:b/>
                <w:bCs/>
                <w:color w:val="00B050"/>
                <w:lang w:eastAsia="fr-FR"/>
              </w:rPr>
              <w:t> </w:t>
            </w:r>
          </w:p>
        </w:tc>
        <w:tc>
          <w:tcPr>
            <w:tcW w:w="1200" w:type="dxa"/>
            <w:tcBorders>
              <w:top w:val="nil"/>
              <w:left w:val="nil"/>
              <w:bottom w:val="nil"/>
              <w:right w:val="nil"/>
            </w:tcBorders>
            <w:shd w:val="clear" w:color="000000" w:fill="FFFFFF"/>
            <w:noWrap/>
            <w:vAlign w:val="bottom"/>
            <w:hideMark/>
          </w:tcPr>
          <w:p w14:paraId="57079EBB" w14:textId="77777777" w:rsidR="00F0265A" w:rsidRPr="00F0265A" w:rsidRDefault="00F0265A" w:rsidP="00F0265A">
            <w:pPr>
              <w:spacing w:after="0" w:line="240" w:lineRule="auto"/>
              <w:jc w:val="right"/>
              <w:rPr>
                <w:rFonts w:ascii="Calibri" w:eastAsia="Times New Roman" w:hAnsi="Calibri" w:cs="Times New Roman"/>
                <w:b/>
                <w:bCs/>
                <w:color w:val="00B050"/>
                <w:lang w:eastAsia="fr-FR"/>
              </w:rPr>
            </w:pPr>
            <w:r w:rsidRPr="00F0265A">
              <w:rPr>
                <w:rFonts w:ascii="Calibri" w:eastAsia="Times New Roman" w:hAnsi="Calibri" w:cs="Times New Roman"/>
                <w:b/>
                <w:bCs/>
                <w:color w:val="00B050"/>
                <w:lang w:eastAsia="fr-FR"/>
              </w:rPr>
              <w:t>20%</w:t>
            </w:r>
          </w:p>
        </w:tc>
        <w:tc>
          <w:tcPr>
            <w:tcW w:w="1200" w:type="dxa"/>
            <w:tcBorders>
              <w:top w:val="nil"/>
              <w:left w:val="nil"/>
              <w:bottom w:val="nil"/>
              <w:right w:val="nil"/>
            </w:tcBorders>
            <w:shd w:val="clear" w:color="000000" w:fill="FFFFFF"/>
            <w:noWrap/>
            <w:vAlign w:val="bottom"/>
            <w:hideMark/>
          </w:tcPr>
          <w:p w14:paraId="5A614193" w14:textId="77777777" w:rsidR="00F0265A" w:rsidRPr="00F0265A" w:rsidRDefault="00F0265A" w:rsidP="00F0265A">
            <w:pPr>
              <w:spacing w:after="0" w:line="240" w:lineRule="auto"/>
              <w:jc w:val="right"/>
              <w:rPr>
                <w:rFonts w:ascii="Calibri" w:eastAsia="Times New Roman" w:hAnsi="Calibri" w:cs="Times New Roman"/>
                <w:b/>
                <w:bCs/>
                <w:color w:val="00B050"/>
                <w:lang w:eastAsia="fr-FR"/>
              </w:rPr>
            </w:pPr>
            <w:r w:rsidRPr="00F0265A">
              <w:rPr>
                <w:rFonts w:ascii="Calibri" w:eastAsia="Times New Roman" w:hAnsi="Calibri" w:cs="Times New Roman"/>
                <w:b/>
                <w:bCs/>
                <w:color w:val="00B050"/>
                <w:lang w:eastAsia="fr-FR"/>
              </w:rPr>
              <w:t>13%</w:t>
            </w:r>
          </w:p>
        </w:tc>
      </w:tr>
      <w:tr w:rsidR="00F0265A" w:rsidRPr="00F0265A" w14:paraId="22F83BCF" w14:textId="77777777" w:rsidTr="002759A6">
        <w:trPr>
          <w:trHeight w:val="290"/>
        </w:trPr>
        <w:tc>
          <w:tcPr>
            <w:tcW w:w="1200" w:type="dxa"/>
            <w:tcBorders>
              <w:top w:val="nil"/>
              <w:left w:val="nil"/>
              <w:bottom w:val="nil"/>
              <w:right w:val="nil"/>
            </w:tcBorders>
            <w:shd w:val="clear" w:color="000000" w:fill="FFFFFF"/>
            <w:noWrap/>
            <w:vAlign w:val="bottom"/>
            <w:hideMark/>
          </w:tcPr>
          <w:p w14:paraId="6A0A5975"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Allemagne</w:t>
            </w:r>
          </w:p>
        </w:tc>
        <w:tc>
          <w:tcPr>
            <w:tcW w:w="1200" w:type="dxa"/>
            <w:tcBorders>
              <w:top w:val="nil"/>
              <w:left w:val="nil"/>
              <w:bottom w:val="nil"/>
              <w:right w:val="nil"/>
            </w:tcBorders>
            <w:shd w:val="clear" w:color="000000" w:fill="FFFFFF"/>
            <w:noWrap/>
            <w:vAlign w:val="bottom"/>
            <w:hideMark/>
          </w:tcPr>
          <w:p w14:paraId="2A16BD1D"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4561D2AF"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2 653,4</w:t>
            </w:r>
          </w:p>
        </w:tc>
        <w:tc>
          <w:tcPr>
            <w:tcW w:w="1200" w:type="dxa"/>
            <w:tcBorders>
              <w:top w:val="nil"/>
              <w:left w:val="nil"/>
              <w:bottom w:val="nil"/>
              <w:right w:val="nil"/>
            </w:tcBorders>
            <w:shd w:val="clear" w:color="000000" w:fill="FFFFFF"/>
            <w:noWrap/>
            <w:vAlign w:val="bottom"/>
            <w:hideMark/>
          </w:tcPr>
          <w:p w14:paraId="54DC528C"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1 404,3</w:t>
            </w:r>
          </w:p>
        </w:tc>
        <w:tc>
          <w:tcPr>
            <w:tcW w:w="1200" w:type="dxa"/>
            <w:tcBorders>
              <w:top w:val="nil"/>
              <w:left w:val="nil"/>
              <w:bottom w:val="nil"/>
              <w:right w:val="nil"/>
            </w:tcBorders>
            <w:shd w:val="clear" w:color="000000" w:fill="FFFFFF"/>
            <w:noWrap/>
            <w:vAlign w:val="bottom"/>
            <w:hideMark/>
          </w:tcPr>
          <w:p w14:paraId="2357AFEF"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76052CF4"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13%</w:t>
            </w:r>
          </w:p>
        </w:tc>
        <w:tc>
          <w:tcPr>
            <w:tcW w:w="1200" w:type="dxa"/>
            <w:tcBorders>
              <w:top w:val="nil"/>
              <w:left w:val="nil"/>
              <w:bottom w:val="nil"/>
              <w:right w:val="nil"/>
            </w:tcBorders>
            <w:shd w:val="clear" w:color="000000" w:fill="FFFFFF"/>
            <w:noWrap/>
            <w:vAlign w:val="bottom"/>
            <w:hideMark/>
          </w:tcPr>
          <w:p w14:paraId="3F9A7145"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14%</w:t>
            </w:r>
          </w:p>
        </w:tc>
      </w:tr>
      <w:tr w:rsidR="00F0265A" w:rsidRPr="00F0265A" w14:paraId="5730A131" w14:textId="77777777" w:rsidTr="002759A6">
        <w:trPr>
          <w:trHeight w:val="290"/>
        </w:trPr>
        <w:tc>
          <w:tcPr>
            <w:tcW w:w="1200" w:type="dxa"/>
            <w:tcBorders>
              <w:top w:val="nil"/>
              <w:left w:val="nil"/>
              <w:bottom w:val="nil"/>
              <w:right w:val="nil"/>
            </w:tcBorders>
            <w:shd w:val="clear" w:color="000000" w:fill="FFFFFF"/>
            <w:noWrap/>
            <w:vAlign w:val="bottom"/>
            <w:hideMark/>
          </w:tcPr>
          <w:p w14:paraId="281B4293"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France</w:t>
            </w:r>
          </w:p>
        </w:tc>
        <w:tc>
          <w:tcPr>
            <w:tcW w:w="1200" w:type="dxa"/>
            <w:tcBorders>
              <w:top w:val="nil"/>
              <w:left w:val="nil"/>
              <w:bottom w:val="nil"/>
              <w:right w:val="nil"/>
            </w:tcBorders>
            <w:shd w:val="clear" w:color="000000" w:fill="FFFFFF"/>
            <w:noWrap/>
            <w:vAlign w:val="bottom"/>
            <w:hideMark/>
          </w:tcPr>
          <w:p w14:paraId="38D5DB18"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7F42EB73"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2 276,9</w:t>
            </w:r>
          </w:p>
        </w:tc>
        <w:tc>
          <w:tcPr>
            <w:tcW w:w="1200" w:type="dxa"/>
            <w:tcBorders>
              <w:top w:val="nil"/>
              <w:left w:val="nil"/>
              <w:bottom w:val="nil"/>
              <w:right w:val="nil"/>
            </w:tcBorders>
            <w:shd w:val="clear" w:color="000000" w:fill="FFFFFF"/>
            <w:noWrap/>
            <w:vAlign w:val="bottom"/>
            <w:hideMark/>
          </w:tcPr>
          <w:p w14:paraId="454FA2C6"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1 543,0</w:t>
            </w:r>
          </w:p>
        </w:tc>
        <w:tc>
          <w:tcPr>
            <w:tcW w:w="1200" w:type="dxa"/>
            <w:tcBorders>
              <w:top w:val="nil"/>
              <w:left w:val="nil"/>
              <w:bottom w:val="nil"/>
              <w:right w:val="nil"/>
            </w:tcBorders>
            <w:shd w:val="clear" w:color="000000" w:fill="FFFFFF"/>
            <w:noWrap/>
            <w:vAlign w:val="bottom"/>
            <w:hideMark/>
          </w:tcPr>
          <w:p w14:paraId="1B24537C"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5BA36F72"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11%</w:t>
            </w:r>
          </w:p>
        </w:tc>
        <w:tc>
          <w:tcPr>
            <w:tcW w:w="1200" w:type="dxa"/>
            <w:tcBorders>
              <w:top w:val="nil"/>
              <w:left w:val="nil"/>
              <w:bottom w:val="nil"/>
              <w:right w:val="nil"/>
            </w:tcBorders>
            <w:shd w:val="clear" w:color="000000" w:fill="FFFFFF"/>
            <w:noWrap/>
            <w:vAlign w:val="bottom"/>
            <w:hideMark/>
          </w:tcPr>
          <w:p w14:paraId="27F7597C"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15%</w:t>
            </w:r>
          </w:p>
        </w:tc>
      </w:tr>
      <w:tr w:rsidR="00F0265A" w:rsidRPr="00F0265A" w14:paraId="29178B93" w14:textId="77777777" w:rsidTr="002759A6">
        <w:trPr>
          <w:trHeight w:val="290"/>
        </w:trPr>
        <w:tc>
          <w:tcPr>
            <w:tcW w:w="2400" w:type="dxa"/>
            <w:gridSpan w:val="2"/>
            <w:tcBorders>
              <w:top w:val="nil"/>
              <w:left w:val="nil"/>
              <w:bottom w:val="nil"/>
              <w:right w:val="nil"/>
            </w:tcBorders>
            <w:shd w:val="clear" w:color="000000" w:fill="FFFFFF"/>
            <w:noWrap/>
            <w:vAlign w:val="bottom"/>
            <w:hideMark/>
          </w:tcPr>
          <w:p w14:paraId="7FA4C903"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Royaume-Uni</w:t>
            </w:r>
          </w:p>
        </w:tc>
        <w:tc>
          <w:tcPr>
            <w:tcW w:w="1200" w:type="dxa"/>
            <w:tcBorders>
              <w:top w:val="nil"/>
              <w:left w:val="nil"/>
              <w:bottom w:val="nil"/>
              <w:right w:val="nil"/>
            </w:tcBorders>
            <w:shd w:val="clear" w:color="000000" w:fill="FFFFFF"/>
            <w:noWrap/>
            <w:vAlign w:val="bottom"/>
            <w:hideMark/>
          </w:tcPr>
          <w:p w14:paraId="6FC06DBA"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1 909,4</w:t>
            </w:r>
          </w:p>
        </w:tc>
        <w:tc>
          <w:tcPr>
            <w:tcW w:w="1200" w:type="dxa"/>
            <w:tcBorders>
              <w:top w:val="nil"/>
              <w:left w:val="nil"/>
              <w:bottom w:val="nil"/>
              <w:right w:val="nil"/>
            </w:tcBorders>
            <w:shd w:val="clear" w:color="000000" w:fill="FFFFFF"/>
            <w:noWrap/>
            <w:vAlign w:val="bottom"/>
            <w:hideMark/>
          </w:tcPr>
          <w:p w14:paraId="443E594E"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1 105,2</w:t>
            </w:r>
          </w:p>
        </w:tc>
        <w:tc>
          <w:tcPr>
            <w:tcW w:w="1200" w:type="dxa"/>
            <w:tcBorders>
              <w:top w:val="nil"/>
              <w:left w:val="nil"/>
              <w:bottom w:val="nil"/>
              <w:right w:val="nil"/>
            </w:tcBorders>
            <w:shd w:val="clear" w:color="000000" w:fill="FFFFFF"/>
            <w:noWrap/>
            <w:vAlign w:val="bottom"/>
            <w:hideMark/>
          </w:tcPr>
          <w:p w14:paraId="26F4CBFF"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1842B421"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9%</w:t>
            </w:r>
          </w:p>
        </w:tc>
        <w:tc>
          <w:tcPr>
            <w:tcW w:w="1200" w:type="dxa"/>
            <w:tcBorders>
              <w:top w:val="nil"/>
              <w:left w:val="nil"/>
              <w:bottom w:val="nil"/>
              <w:right w:val="nil"/>
            </w:tcBorders>
            <w:shd w:val="clear" w:color="000000" w:fill="FFFFFF"/>
            <w:noWrap/>
            <w:vAlign w:val="bottom"/>
            <w:hideMark/>
          </w:tcPr>
          <w:p w14:paraId="52051C32"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11%</w:t>
            </w:r>
          </w:p>
        </w:tc>
      </w:tr>
      <w:tr w:rsidR="00F0265A" w:rsidRPr="00F0265A" w14:paraId="43D62201" w14:textId="77777777" w:rsidTr="002759A6">
        <w:trPr>
          <w:trHeight w:val="290"/>
        </w:trPr>
        <w:tc>
          <w:tcPr>
            <w:tcW w:w="1200" w:type="dxa"/>
            <w:tcBorders>
              <w:top w:val="nil"/>
              <w:left w:val="nil"/>
              <w:bottom w:val="nil"/>
              <w:right w:val="nil"/>
            </w:tcBorders>
            <w:shd w:val="clear" w:color="000000" w:fill="FFFFFF"/>
            <w:noWrap/>
            <w:vAlign w:val="bottom"/>
            <w:hideMark/>
          </w:tcPr>
          <w:p w14:paraId="07523EFA"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Suisse</w:t>
            </w:r>
          </w:p>
        </w:tc>
        <w:tc>
          <w:tcPr>
            <w:tcW w:w="1200" w:type="dxa"/>
            <w:tcBorders>
              <w:top w:val="nil"/>
              <w:left w:val="nil"/>
              <w:bottom w:val="nil"/>
              <w:right w:val="nil"/>
            </w:tcBorders>
            <w:shd w:val="clear" w:color="000000" w:fill="FFFFFF"/>
            <w:noWrap/>
            <w:vAlign w:val="bottom"/>
            <w:hideMark/>
          </w:tcPr>
          <w:p w14:paraId="7946B59D"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28B23C1A"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883,0</w:t>
            </w:r>
          </w:p>
        </w:tc>
        <w:tc>
          <w:tcPr>
            <w:tcW w:w="1200" w:type="dxa"/>
            <w:tcBorders>
              <w:top w:val="nil"/>
              <w:left w:val="nil"/>
              <w:bottom w:val="nil"/>
              <w:right w:val="nil"/>
            </w:tcBorders>
            <w:shd w:val="clear" w:color="000000" w:fill="FFFFFF"/>
            <w:noWrap/>
            <w:vAlign w:val="bottom"/>
            <w:hideMark/>
          </w:tcPr>
          <w:p w14:paraId="58B872DB"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360,2</w:t>
            </w:r>
          </w:p>
        </w:tc>
        <w:tc>
          <w:tcPr>
            <w:tcW w:w="1200" w:type="dxa"/>
            <w:tcBorders>
              <w:top w:val="nil"/>
              <w:left w:val="nil"/>
              <w:bottom w:val="nil"/>
              <w:right w:val="nil"/>
            </w:tcBorders>
            <w:shd w:val="clear" w:color="000000" w:fill="FFFFFF"/>
            <w:noWrap/>
            <w:vAlign w:val="bottom"/>
            <w:hideMark/>
          </w:tcPr>
          <w:p w14:paraId="371B2B5A"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285AF5D6"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4%</w:t>
            </w:r>
          </w:p>
        </w:tc>
        <w:tc>
          <w:tcPr>
            <w:tcW w:w="1200" w:type="dxa"/>
            <w:tcBorders>
              <w:top w:val="nil"/>
              <w:left w:val="nil"/>
              <w:bottom w:val="nil"/>
              <w:right w:val="nil"/>
            </w:tcBorders>
            <w:shd w:val="clear" w:color="000000" w:fill="FFFFFF"/>
            <w:noWrap/>
            <w:vAlign w:val="bottom"/>
            <w:hideMark/>
          </w:tcPr>
          <w:p w14:paraId="4495D9ED"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3%</w:t>
            </w:r>
          </w:p>
        </w:tc>
      </w:tr>
      <w:tr w:rsidR="00F0265A" w:rsidRPr="00F0265A" w14:paraId="16286F0E" w14:textId="77777777" w:rsidTr="002759A6">
        <w:trPr>
          <w:trHeight w:val="290"/>
        </w:trPr>
        <w:tc>
          <w:tcPr>
            <w:tcW w:w="1200" w:type="dxa"/>
            <w:tcBorders>
              <w:top w:val="nil"/>
              <w:left w:val="nil"/>
              <w:bottom w:val="nil"/>
              <w:right w:val="nil"/>
            </w:tcBorders>
            <w:shd w:val="clear" w:color="000000" w:fill="FFFFFF"/>
            <w:noWrap/>
            <w:vAlign w:val="bottom"/>
            <w:hideMark/>
          </w:tcPr>
          <w:p w14:paraId="08E35017"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Pays-Bas</w:t>
            </w:r>
          </w:p>
        </w:tc>
        <w:tc>
          <w:tcPr>
            <w:tcW w:w="1200" w:type="dxa"/>
            <w:tcBorders>
              <w:top w:val="nil"/>
              <w:left w:val="nil"/>
              <w:bottom w:val="nil"/>
              <w:right w:val="nil"/>
            </w:tcBorders>
            <w:shd w:val="clear" w:color="000000" w:fill="FFFFFF"/>
            <w:noWrap/>
            <w:vAlign w:val="bottom"/>
            <w:hideMark/>
          </w:tcPr>
          <w:p w14:paraId="13844006"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5398EC76"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826,3</w:t>
            </w:r>
          </w:p>
        </w:tc>
        <w:tc>
          <w:tcPr>
            <w:tcW w:w="1200" w:type="dxa"/>
            <w:tcBorders>
              <w:top w:val="nil"/>
              <w:left w:val="nil"/>
              <w:bottom w:val="nil"/>
              <w:right w:val="nil"/>
            </w:tcBorders>
            <w:shd w:val="clear" w:color="000000" w:fill="FFFFFF"/>
            <w:noWrap/>
            <w:vAlign w:val="bottom"/>
            <w:hideMark/>
          </w:tcPr>
          <w:p w14:paraId="2CB4533E"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626,8</w:t>
            </w:r>
          </w:p>
        </w:tc>
        <w:tc>
          <w:tcPr>
            <w:tcW w:w="1200" w:type="dxa"/>
            <w:tcBorders>
              <w:top w:val="nil"/>
              <w:left w:val="nil"/>
              <w:bottom w:val="nil"/>
              <w:right w:val="nil"/>
            </w:tcBorders>
            <w:shd w:val="clear" w:color="000000" w:fill="FFFFFF"/>
            <w:noWrap/>
            <w:vAlign w:val="bottom"/>
            <w:hideMark/>
          </w:tcPr>
          <w:p w14:paraId="1CEA4C57"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637F5EC6"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4%</w:t>
            </w:r>
          </w:p>
        </w:tc>
        <w:tc>
          <w:tcPr>
            <w:tcW w:w="1200" w:type="dxa"/>
            <w:tcBorders>
              <w:top w:val="nil"/>
              <w:left w:val="nil"/>
              <w:bottom w:val="nil"/>
              <w:right w:val="nil"/>
            </w:tcBorders>
            <w:shd w:val="clear" w:color="000000" w:fill="FFFFFF"/>
            <w:noWrap/>
            <w:vAlign w:val="bottom"/>
            <w:hideMark/>
          </w:tcPr>
          <w:p w14:paraId="2863C279"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6%</w:t>
            </w:r>
          </w:p>
        </w:tc>
      </w:tr>
      <w:tr w:rsidR="00F0265A" w:rsidRPr="00F0265A" w14:paraId="18243D8E" w14:textId="77777777" w:rsidTr="002759A6">
        <w:trPr>
          <w:trHeight w:val="290"/>
        </w:trPr>
        <w:tc>
          <w:tcPr>
            <w:tcW w:w="1200" w:type="dxa"/>
            <w:tcBorders>
              <w:top w:val="nil"/>
              <w:left w:val="nil"/>
              <w:bottom w:val="nil"/>
              <w:right w:val="nil"/>
            </w:tcBorders>
            <w:shd w:val="clear" w:color="000000" w:fill="FFFFFF"/>
            <w:noWrap/>
            <w:vAlign w:val="bottom"/>
            <w:hideMark/>
          </w:tcPr>
          <w:p w14:paraId="2839306C"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Suède</w:t>
            </w:r>
          </w:p>
        </w:tc>
        <w:tc>
          <w:tcPr>
            <w:tcW w:w="1200" w:type="dxa"/>
            <w:tcBorders>
              <w:top w:val="nil"/>
              <w:left w:val="nil"/>
              <w:bottom w:val="nil"/>
              <w:right w:val="nil"/>
            </w:tcBorders>
            <w:shd w:val="clear" w:color="000000" w:fill="FFFFFF"/>
            <w:noWrap/>
            <w:vAlign w:val="bottom"/>
            <w:hideMark/>
          </w:tcPr>
          <w:p w14:paraId="35036BE3"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5F4EB655"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584,6</w:t>
            </w:r>
          </w:p>
        </w:tc>
        <w:tc>
          <w:tcPr>
            <w:tcW w:w="1200" w:type="dxa"/>
            <w:tcBorders>
              <w:top w:val="nil"/>
              <w:left w:val="nil"/>
              <w:bottom w:val="nil"/>
              <w:right w:val="nil"/>
            </w:tcBorders>
            <w:shd w:val="clear" w:color="000000" w:fill="FFFFFF"/>
            <w:noWrap/>
            <w:vAlign w:val="bottom"/>
            <w:hideMark/>
          </w:tcPr>
          <w:p w14:paraId="69B5D708"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200,2</w:t>
            </w:r>
          </w:p>
        </w:tc>
        <w:tc>
          <w:tcPr>
            <w:tcW w:w="1200" w:type="dxa"/>
            <w:tcBorders>
              <w:top w:val="nil"/>
              <w:left w:val="nil"/>
              <w:bottom w:val="nil"/>
              <w:right w:val="nil"/>
            </w:tcBorders>
            <w:shd w:val="clear" w:color="000000" w:fill="FFFFFF"/>
            <w:noWrap/>
            <w:vAlign w:val="bottom"/>
            <w:hideMark/>
          </w:tcPr>
          <w:p w14:paraId="00074D4A"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332CBB44"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3%</w:t>
            </w:r>
          </w:p>
        </w:tc>
        <w:tc>
          <w:tcPr>
            <w:tcW w:w="1200" w:type="dxa"/>
            <w:tcBorders>
              <w:top w:val="nil"/>
              <w:left w:val="nil"/>
              <w:bottom w:val="nil"/>
              <w:right w:val="nil"/>
            </w:tcBorders>
            <w:shd w:val="clear" w:color="000000" w:fill="FFFFFF"/>
            <w:noWrap/>
            <w:vAlign w:val="bottom"/>
            <w:hideMark/>
          </w:tcPr>
          <w:p w14:paraId="56190010"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w:t>
            </w:r>
          </w:p>
        </w:tc>
      </w:tr>
      <w:tr w:rsidR="00F0265A" w:rsidRPr="00F0265A" w14:paraId="6271921C" w14:textId="77777777" w:rsidTr="002759A6">
        <w:trPr>
          <w:trHeight w:val="290"/>
        </w:trPr>
        <w:tc>
          <w:tcPr>
            <w:tcW w:w="1200" w:type="dxa"/>
            <w:tcBorders>
              <w:top w:val="nil"/>
              <w:left w:val="nil"/>
              <w:bottom w:val="nil"/>
              <w:right w:val="nil"/>
            </w:tcBorders>
            <w:shd w:val="clear" w:color="000000" w:fill="FFFFFF"/>
            <w:noWrap/>
            <w:vAlign w:val="bottom"/>
            <w:hideMark/>
          </w:tcPr>
          <w:p w14:paraId="415A3EF6"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Italie</w:t>
            </w:r>
          </w:p>
        </w:tc>
        <w:tc>
          <w:tcPr>
            <w:tcW w:w="1200" w:type="dxa"/>
            <w:tcBorders>
              <w:top w:val="nil"/>
              <w:left w:val="nil"/>
              <w:bottom w:val="nil"/>
              <w:right w:val="nil"/>
            </w:tcBorders>
            <w:shd w:val="clear" w:color="000000" w:fill="FFFFFF"/>
            <w:noWrap/>
            <w:vAlign w:val="bottom"/>
            <w:hideMark/>
          </w:tcPr>
          <w:p w14:paraId="3E2E3D0F"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0EE92C30"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373,3</w:t>
            </w:r>
          </w:p>
        </w:tc>
        <w:tc>
          <w:tcPr>
            <w:tcW w:w="1200" w:type="dxa"/>
            <w:tcBorders>
              <w:top w:val="nil"/>
              <w:left w:val="nil"/>
              <w:bottom w:val="nil"/>
              <w:right w:val="nil"/>
            </w:tcBorders>
            <w:shd w:val="clear" w:color="000000" w:fill="FFFFFF"/>
            <w:noWrap/>
            <w:vAlign w:val="bottom"/>
            <w:hideMark/>
          </w:tcPr>
          <w:p w14:paraId="2250E8B5"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217,0</w:t>
            </w:r>
          </w:p>
        </w:tc>
        <w:tc>
          <w:tcPr>
            <w:tcW w:w="1200" w:type="dxa"/>
            <w:tcBorders>
              <w:top w:val="nil"/>
              <w:left w:val="nil"/>
              <w:bottom w:val="nil"/>
              <w:right w:val="nil"/>
            </w:tcBorders>
            <w:shd w:val="clear" w:color="000000" w:fill="FFFFFF"/>
            <w:noWrap/>
            <w:vAlign w:val="bottom"/>
            <w:hideMark/>
          </w:tcPr>
          <w:p w14:paraId="14FC353C"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2A92EB3B"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w:t>
            </w:r>
          </w:p>
        </w:tc>
        <w:tc>
          <w:tcPr>
            <w:tcW w:w="1200" w:type="dxa"/>
            <w:tcBorders>
              <w:top w:val="nil"/>
              <w:left w:val="nil"/>
              <w:bottom w:val="nil"/>
              <w:right w:val="nil"/>
            </w:tcBorders>
            <w:shd w:val="clear" w:color="000000" w:fill="FFFFFF"/>
            <w:noWrap/>
            <w:vAlign w:val="bottom"/>
            <w:hideMark/>
          </w:tcPr>
          <w:p w14:paraId="61570542"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w:t>
            </w:r>
          </w:p>
        </w:tc>
      </w:tr>
      <w:tr w:rsidR="00F0265A" w:rsidRPr="00F0265A" w14:paraId="4D994CEA" w14:textId="77777777" w:rsidTr="002759A6">
        <w:trPr>
          <w:trHeight w:val="290"/>
        </w:trPr>
        <w:tc>
          <w:tcPr>
            <w:tcW w:w="1200" w:type="dxa"/>
            <w:tcBorders>
              <w:top w:val="nil"/>
              <w:left w:val="nil"/>
              <w:bottom w:val="nil"/>
              <w:right w:val="nil"/>
            </w:tcBorders>
            <w:shd w:val="clear" w:color="000000" w:fill="FFFFFF"/>
            <w:noWrap/>
            <w:vAlign w:val="bottom"/>
            <w:hideMark/>
          </w:tcPr>
          <w:p w14:paraId="39FF33E8"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Espagne</w:t>
            </w:r>
          </w:p>
        </w:tc>
        <w:tc>
          <w:tcPr>
            <w:tcW w:w="1200" w:type="dxa"/>
            <w:tcBorders>
              <w:top w:val="nil"/>
              <w:left w:val="nil"/>
              <w:bottom w:val="nil"/>
              <w:right w:val="nil"/>
            </w:tcBorders>
            <w:shd w:val="clear" w:color="000000" w:fill="FFFFFF"/>
            <w:noWrap/>
            <w:vAlign w:val="bottom"/>
            <w:hideMark/>
          </w:tcPr>
          <w:p w14:paraId="0E772F2A"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0D59169B"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364,1</w:t>
            </w:r>
          </w:p>
        </w:tc>
        <w:tc>
          <w:tcPr>
            <w:tcW w:w="1200" w:type="dxa"/>
            <w:tcBorders>
              <w:top w:val="nil"/>
              <w:left w:val="nil"/>
              <w:bottom w:val="nil"/>
              <w:right w:val="nil"/>
            </w:tcBorders>
            <w:shd w:val="clear" w:color="000000" w:fill="FFFFFF"/>
            <w:noWrap/>
            <w:vAlign w:val="bottom"/>
            <w:hideMark/>
          </w:tcPr>
          <w:p w14:paraId="2DC50290"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185,5</w:t>
            </w:r>
          </w:p>
        </w:tc>
        <w:tc>
          <w:tcPr>
            <w:tcW w:w="1200" w:type="dxa"/>
            <w:tcBorders>
              <w:top w:val="nil"/>
              <w:left w:val="nil"/>
              <w:bottom w:val="nil"/>
              <w:right w:val="nil"/>
            </w:tcBorders>
            <w:shd w:val="clear" w:color="000000" w:fill="FFFFFF"/>
            <w:noWrap/>
            <w:vAlign w:val="bottom"/>
            <w:hideMark/>
          </w:tcPr>
          <w:p w14:paraId="7A002860"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7319D173"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w:t>
            </w:r>
          </w:p>
        </w:tc>
        <w:tc>
          <w:tcPr>
            <w:tcW w:w="1200" w:type="dxa"/>
            <w:tcBorders>
              <w:top w:val="nil"/>
              <w:left w:val="nil"/>
              <w:bottom w:val="nil"/>
              <w:right w:val="nil"/>
            </w:tcBorders>
            <w:shd w:val="clear" w:color="000000" w:fill="FFFFFF"/>
            <w:noWrap/>
            <w:vAlign w:val="bottom"/>
            <w:hideMark/>
          </w:tcPr>
          <w:p w14:paraId="40851C3E"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w:t>
            </w:r>
          </w:p>
        </w:tc>
      </w:tr>
      <w:tr w:rsidR="00F0265A" w:rsidRPr="00F0265A" w14:paraId="69E87C36" w14:textId="77777777" w:rsidTr="002759A6">
        <w:trPr>
          <w:trHeight w:val="290"/>
        </w:trPr>
        <w:tc>
          <w:tcPr>
            <w:tcW w:w="1200" w:type="dxa"/>
            <w:tcBorders>
              <w:top w:val="nil"/>
              <w:left w:val="nil"/>
              <w:bottom w:val="nil"/>
              <w:right w:val="nil"/>
            </w:tcBorders>
            <w:shd w:val="clear" w:color="000000" w:fill="FFFFFF"/>
            <w:noWrap/>
            <w:vAlign w:val="bottom"/>
            <w:hideMark/>
          </w:tcPr>
          <w:p w14:paraId="0D289769"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Danemark</w:t>
            </w:r>
          </w:p>
        </w:tc>
        <w:tc>
          <w:tcPr>
            <w:tcW w:w="1200" w:type="dxa"/>
            <w:tcBorders>
              <w:top w:val="nil"/>
              <w:left w:val="nil"/>
              <w:bottom w:val="nil"/>
              <w:right w:val="nil"/>
            </w:tcBorders>
            <w:shd w:val="clear" w:color="000000" w:fill="FFFFFF"/>
            <w:noWrap/>
            <w:vAlign w:val="bottom"/>
            <w:hideMark/>
          </w:tcPr>
          <w:p w14:paraId="694547EC"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21E50C17"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275,4</w:t>
            </w:r>
          </w:p>
        </w:tc>
        <w:tc>
          <w:tcPr>
            <w:tcW w:w="1200" w:type="dxa"/>
            <w:tcBorders>
              <w:top w:val="nil"/>
              <w:left w:val="nil"/>
              <w:bottom w:val="nil"/>
              <w:right w:val="nil"/>
            </w:tcBorders>
            <w:shd w:val="clear" w:color="000000" w:fill="FFFFFF"/>
            <w:noWrap/>
            <w:vAlign w:val="bottom"/>
            <w:hideMark/>
          </w:tcPr>
          <w:p w14:paraId="6B0DA2A6"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185,9</w:t>
            </w:r>
          </w:p>
        </w:tc>
        <w:tc>
          <w:tcPr>
            <w:tcW w:w="1200" w:type="dxa"/>
            <w:tcBorders>
              <w:top w:val="nil"/>
              <w:left w:val="nil"/>
              <w:bottom w:val="nil"/>
              <w:right w:val="nil"/>
            </w:tcBorders>
            <w:shd w:val="clear" w:color="000000" w:fill="FFFFFF"/>
            <w:noWrap/>
            <w:vAlign w:val="bottom"/>
            <w:hideMark/>
          </w:tcPr>
          <w:p w14:paraId="0525A169"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0FADEA3A"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w:t>
            </w:r>
          </w:p>
        </w:tc>
        <w:tc>
          <w:tcPr>
            <w:tcW w:w="1200" w:type="dxa"/>
            <w:tcBorders>
              <w:top w:val="nil"/>
              <w:left w:val="nil"/>
              <w:bottom w:val="nil"/>
              <w:right w:val="nil"/>
            </w:tcBorders>
            <w:shd w:val="clear" w:color="000000" w:fill="FFFFFF"/>
            <w:noWrap/>
            <w:vAlign w:val="bottom"/>
            <w:hideMark/>
          </w:tcPr>
          <w:p w14:paraId="1DFF6593"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w:t>
            </w:r>
          </w:p>
        </w:tc>
      </w:tr>
      <w:tr w:rsidR="00F0265A" w:rsidRPr="00F0265A" w14:paraId="239124DC" w14:textId="77777777" w:rsidTr="002759A6">
        <w:trPr>
          <w:trHeight w:val="290"/>
        </w:trPr>
        <w:tc>
          <w:tcPr>
            <w:tcW w:w="1200" w:type="dxa"/>
            <w:tcBorders>
              <w:top w:val="nil"/>
              <w:left w:val="nil"/>
              <w:bottom w:val="nil"/>
              <w:right w:val="nil"/>
            </w:tcBorders>
            <w:shd w:val="clear" w:color="000000" w:fill="FFFFFF"/>
            <w:noWrap/>
            <w:vAlign w:val="bottom"/>
            <w:hideMark/>
          </w:tcPr>
          <w:p w14:paraId="16F20C38"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Autriche</w:t>
            </w:r>
          </w:p>
        </w:tc>
        <w:tc>
          <w:tcPr>
            <w:tcW w:w="1200" w:type="dxa"/>
            <w:tcBorders>
              <w:top w:val="nil"/>
              <w:left w:val="nil"/>
              <w:bottom w:val="nil"/>
              <w:right w:val="nil"/>
            </w:tcBorders>
            <w:shd w:val="clear" w:color="000000" w:fill="FFFFFF"/>
            <w:noWrap/>
            <w:vAlign w:val="bottom"/>
            <w:hideMark/>
          </w:tcPr>
          <w:p w14:paraId="5ECB89B2"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416E6B33"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211,4</w:t>
            </w:r>
          </w:p>
        </w:tc>
        <w:tc>
          <w:tcPr>
            <w:tcW w:w="1200" w:type="dxa"/>
            <w:tcBorders>
              <w:top w:val="nil"/>
              <w:left w:val="nil"/>
              <w:bottom w:val="nil"/>
              <w:right w:val="nil"/>
            </w:tcBorders>
            <w:shd w:val="clear" w:color="000000" w:fill="FFFFFF"/>
            <w:noWrap/>
            <w:vAlign w:val="bottom"/>
            <w:hideMark/>
          </w:tcPr>
          <w:p w14:paraId="44134ED5"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149,4</w:t>
            </w:r>
          </w:p>
        </w:tc>
        <w:tc>
          <w:tcPr>
            <w:tcW w:w="1200" w:type="dxa"/>
            <w:tcBorders>
              <w:top w:val="nil"/>
              <w:left w:val="nil"/>
              <w:bottom w:val="nil"/>
              <w:right w:val="nil"/>
            </w:tcBorders>
            <w:shd w:val="clear" w:color="000000" w:fill="FFFFFF"/>
            <w:noWrap/>
            <w:vAlign w:val="bottom"/>
            <w:hideMark/>
          </w:tcPr>
          <w:p w14:paraId="33C409E9"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02BD02E5"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w:t>
            </w:r>
          </w:p>
        </w:tc>
        <w:tc>
          <w:tcPr>
            <w:tcW w:w="1200" w:type="dxa"/>
            <w:tcBorders>
              <w:top w:val="nil"/>
              <w:left w:val="nil"/>
              <w:bottom w:val="nil"/>
              <w:right w:val="nil"/>
            </w:tcBorders>
            <w:shd w:val="clear" w:color="000000" w:fill="FFFFFF"/>
            <w:noWrap/>
            <w:vAlign w:val="bottom"/>
            <w:hideMark/>
          </w:tcPr>
          <w:p w14:paraId="2824B71A"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w:t>
            </w:r>
          </w:p>
        </w:tc>
      </w:tr>
      <w:tr w:rsidR="00F0265A" w:rsidRPr="00F0265A" w14:paraId="7A63A5FA" w14:textId="77777777" w:rsidTr="002759A6">
        <w:trPr>
          <w:trHeight w:val="290"/>
        </w:trPr>
        <w:tc>
          <w:tcPr>
            <w:tcW w:w="1200" w:type="dxa"/>
            <w:tcBorders>
              <w:top w:val="nil"/>
              <w:left w:val="nil"/>
              <w:bottom w:val="nil"/>
              <w:right w:val="nil"/>
            </w:tcBorders>
            <w:shd w:val="clear" w:color="000000" w:fill="FFFFFF"/>
            <w:noWrap/>
            <w:vAlign w:val="bottom"/>
            <w:hideMark/>
          </w:tcPr>
          <w:p w14:paraId="123FD02F"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Belgique</w:t>
            </w:r>
          </w:p>
        </w:tc>
        <w:tc>
          <w:tcPr>
            <w:tcW w:w="1200" w:type="dxa"/>
            <w:tcBorders>
              <w:top w:val="nil"/>
              <w:left w:val="nil"/>
              <w:bottom w:val="nil"/>
              <w:right w:val="nil"/>
            </w:tcBorders>
            <w:shd w:val="clear" w:color="000000" w:fill="FFFFFF"/>
            <w:noWrap/>
            <w:vAlign w:val="bottom"/>
            <w:hideMark/>
          </w:tcPr>
          <w:p w14:paraId="352260C2"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02E6C979"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201,7</w:t>
            </w:r>
          </w:p>
        </w:tc>
        <w:tc>
          <w:tcPr>
            <w:tcW w:w="1200" w:type="dxa"/>
            <w:tcBorders>
              <w:top w:val="nil"/>
              <w:left w:val="nil"/>
              <w:bottom w:val="nil"/>
              <w:right w:val="nil"/>
            </w:tcBorders>
            <w:shd w:val="clear" w:color="000000" w:fill="FFFFFF"/>
            <w:noWrap/>
            <w:vAlign w:val="bottom"/>
            <w:hideMark/>
          </w:tcPr>
          <w:p w14:paraId="6ACBD602"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96,3</w:t>
            </w:r>
          </w:p>
        </w:tc>
        <w:tc>
          <w:tcPr>
            <w:tcW w:w="1200" w:type="dxa"/>
            <w:tcBorders>
              <w:top w:val="nil"/>
              <w:left w:val="nil"/>
              <w:bottom w:val="nil"/>
              <w:right w:val="nil"/>
            </w:tcBorders>
            <w:shd w:val="clear" w:color="000000" w:fill="FFFFFF"/>
            <w:noWrap/>
            <w:vAlign w:val="bottom"/>
            <w:hideMark/>
          </w:tcPr>
          <w:p w14:paraId="28DE0DA1"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69BDB07A"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w:t>
            </w:r>
          </w:p>
        </w:tc>
        <w:tc>
          <w:tcPr>
            <w:tcW w:w="1200" w:type="dxa"/>
            <w:tcBorders>
              <w:top w:val="nil"/>
              <w:left w:val="nil"/>
              <w:bottom w:val="nil"/>
              <w:right w:val="nil"/>
            </w:tcBorders>
            <w:shd w:val="clear" w:color="000000" w:fill="FFFFFF"/>
            <w:noWrap/>
            <w:vAlign w:val="bottom"/>
            <w:hideMark/>
          </w:tcPr>
          <w:p w14:paraId="2D28341A"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w:t>
            </w:r>
          </w:p>
        </w:tc>
      </w:tr>
      <w:tr w:rsidR="00F0265A" w:rsidRPr="00F0265A" w14:paraId="7714DE83" w14:textId="77777777" w:rsidTr="002759A6">
        <w:trPr>
          <w:trHeight w:val="290"/>
        </w:trPr>
        <w:tc>
          <w:tcPr>
            <w:tcW w:w="1200" w:type="dxa"/>
            <w:tcBorders>
              <w:top w:val="nil"/>
              <w:left w:val="nil"/>
              <w:bottom w:val="nil"/>
              <w:right w:val="nil"/>
            </w:tcBorders>
            <w:shd w:val="clear" w:color="000000" w:fill="FFFFFF"/>
            <w:noWrap/>
            <w:vAlign w:val="bottom"/>
            <w:hideMark/>
          </w:tcPr>
          <w:p w14:paraId="5BE37489"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Norvège</w:t>
            </w:r>
          </w:p>
        </w:tc>
        <w:tc>
          <w:tcPr>
            <w:tcW w:w="1200" w:type="dxa"/>
            <w:tcBorders>
              <w:top w:val="nil"/>
              <w:left w:val="nil"/>
              <w:bottom w:val="nil"/>
              <w:right w:val="nil"/>
            </w:tcBorders>
            <w:shd w:val="clear" w:color="000000" w:fill="FFFFFF"/>
            <w:noWrap/>
            <w:vAlign w:val="bottom"/>
            <w:hideMark/>
          </w:tcPr>
          <w:p w14:paraId="3FFA8A67"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099C7B12"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173,1</w:t>
            </w:r>
          </w:p>
        </w:tc>
        <w:tc>
          <w:tcPr>
            <w:tcW w:w="1200" w:type="dxa"/>
            <w:tcBorders>
              <w:top w:val="nil"/>
              <w:left w:val="nil"/>
              <w:bottom w:val="nil"/>
              <w:right w:val="nil"/>
            </w:tcBorders>
            <w:shd w:val="clear" w:color="000000" w:fill="FFFFFF"/>
            <w:noWrap/>
            <w:vAlign w:val="bottom"/>
            <w:hideMark/>
          </w:tcPr>
          <w:p w14:paraId="532A195C"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79,1</w:t>
            </w:r>
          </w:p>
        </w:tc>
        <w:tc>
          <w:tcPr>
            <w:tcW w:w="1200" w:type="dxa"/>
            <w:tcBorders>
              <w:top w:val="nil"/>
              <w:left w:val="nil"/>
              <w:bottom w:val="nil"/>
              <w:right w:val="nil"/>
            </w:tcBorders>
            <w:shd w:val="clear" w:color="000000" w:fill="FFFFFF"/>
            <w:noWrap/>
            <w:vAlign w:val="bottom"/>
            <w:hideMark/>
          </w:tcPr>
          <w:p w14:paraId="111BC4A1"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7152FEAC"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w:t>
            </w:r>
          </w:p>
        </w:tc>
        <w:tc>
          <w:tcPr>
            <w:tcW w:w="1200" w:type="dxa"/>
            <w:tcBorders>
              <w:top w:val="nil"/>
              <w:left w:val="nil"/>
              <w:bottom w:val="nil"/>
              <w:right w:val="nil"/>
            </w:tcBorders>
            <w:shd w:val="clear" w:color="000000" w:fill="FFFFFF"/>
            <w:noWrap/>
            <w:vAlign w:val="bottom"/>
            <w:hideMark/>
          </w:tcPr>
          <w:p w14:paraId="1800F071" w14:textId="77777777" w:rsidR="00F0265A" w:rsidRPr="00F0265A" w:rsidRDefault="00F0265A" w:rsidP="00F0265A">
            <w:pPr>
              <w:spacing w:after="0" w:line="240" w:lineRule="auto"/>
              <w:jc w:val="right"/>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1%</w:t>
            </w:r>
          </w:p>
        </w:tc>
      </w:tr>
      <w:tr w:rsidR="00F0265A" w:rsidRPr="00F0265A" w14:paraId="549CBFF4" w14:textId="77777777" w:rsidTr="002759A6">
        <w:trPr>
          <w:trHeight w:val="290"/>
        </w:trPr>
        <w:tc>
          <w:tcPr>
            <w:tcW w:w="1200" w:type="dxa"/>
            <w:tcBorders>
              <w:top w:val="nil"/>
              <w:left w:val="nil"/>
              <w:bottom w:val="nil"/>
              <w:right w:val="nil"/>
            </w:tcBorders>
            <w:shd w:val="clear" w:color="000000" w:fill="FFFFFF"/>
            <w:noWrap/>
            <w:vAlign w:val="bottom"/>
            <w:hideMark/>
          </w:tcPr>
          <w:p w14:paraId="76A94205"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5656B286"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570BB07F"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767ECE9A"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79C8DB4F"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29925F29"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6F596C4D"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r>
      <w:tr w:rsidR="00F0265A" w:rsidRPr="00F0265A" w14:paraId="7A79A74C" w14:textId="77777777" w:rsidTr="002759A6">
        <w:trPr>
          <w:trHeight w:val="290"/>
        </w:trPr>
        <w:tc>
          <w:tcPr>
            <w:tcW w:w="4800" w:type="dxa"/>
            <w:gridSpan w:val="4"/>
            <w:tcBorders>
              <w:top w:val="nil"/>
              <w:left w:val="nil"/>
              <w:bottom w:val="nil"/>
              <w:right w:val="nil"/>
            </w:tcBorders>
            <w:shd w:val="clear" w:color="000000" w:fill="FFFFFF"/>
            <w:noWrap/>
            <w:vAlign w:val="bottom"/>
            <w:hideMark/>
          </w:tcPr>
          <w:p w14:paraId="1C7CE8C2"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Valeur nette des OPCVM et fonds alternatifs</w:t>
            </w:r>
          </w:p>
        </w:tc>
        <w:tc>
          <w:tcPr>
            <w:tcW w:w="1200" w:type="dxa"/>
            <w:tcBorders>
              <w:top w:val="nil"/>
              <w:left w:val="nil"/>
              <w:bottom w:val="nil"/>
              <w:right w:val="nil"/>
            </w:tcBorders>
            <w:shd w:val="clear" w:color="000000" w:fill="FFFFFF"/>
            <w:noWrap/>
            <w:vAlign w:val="bottom"/>
            <w:hideMark/>
          </w:tcPr>
          <w:p w14:paraId="7EFA0A47"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596941A6"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360860E3"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r>
      <w:tr w:rsidR="00F0265A" w:rsidRPr="00F0265A" w14:paraId="0BFB4FA6" w14:textId="77777777" w:rsidTr="002759A6">
        <w:trPr>
          <w:trHeight w:val="290"/>
        </w:trPr>
        <w:tc>
          <w:tcPr>
            <w:tcW w:w="1200" w:type="dxa"/>
            <w:tcBorders>
              <w:top w:val="nil"/>
              <w:left w:val="nil"/>
              <w:bottom w:val="nil"/>
              <w:right w:val="nil"/>
            </w:tcBorders>
            <w:shd w:val="clear" w:color="000000" w:fill="FFFFFF"/>
            <w:noWrap/>
            <w:vAlign w:val="bottom"/>
            <w:hideMark/>
          </w:tcPr>
          <w:p w14:paraId="28140FB6"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24AB91C2"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650394BE"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556E31FC"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7F807F23"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7F9A65CF"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c>
          <w:tcPr>
            <w:tcW w:w="1200" w:type="dxa"/>
            <w:tcBorders>
              <w:top w:val="nil"/>
              <w:left w:val="nil"/>
              <w:bottom w:val="nil"/>
              <w:right w:val="nil"/>
            </w:tcBorders>
            <w:shd w:val="clear" w:color="000000" w:fill="FFFFFF"/>
            <w:noWrap/>
            <w:vAlign w:val="bottom"/>
            <w:hideMark/>
          </w:tcPr>
          <w:p w14:paraId="6140BF64" w14:textId="77777777" w:rsidR="00F0265A" w:rsidRPr="00F0265A" w:rsidRDefault="00F0265A" w:rsidP="00F0265A">
            <w:pPr>
              <w:spacing w:after="0" w:line="240" w:lineRule="auto"/>
              <w:rPr>
                <w:rFonts w:ascii="Calibri" w:eastAsia="Times New Roman" w:hAnsi="Calibri" w:cs="Times New Roman"/>
                <w:color w:val="000000"/>
                <w:lang w:eastAsia="fr-FR"/>
              </w:rPr>
            </w:pPr>
            <w:r w:rsidRPr="00F0265A">
              <w:rPr>
                <w:rFonts w:ascii="Calibri" w:eastAsia="Times New Roman" w:hAnsi="Calibri" w:cs="Times New Roman"/>
                <w:color w:val="000000"/>
                <w:lang w:eastAsia="fr-FR"/>
              </w:rPr>
              <w:t> </w:t>
            </w:r>
          </w:p>
        </w:tc>
      </w:tr>
    </w:tbl>
    <w:p w14:paraId="10FBDDC0" w14:textId="77777777" w:rsidR="00F0265A" w:rsidRPr="00F0265A" w:rsidRDefault="00F0265A" w:rsidP="009D4F34">
      <w:pPr>
        <w:spacing w:after="0" w:line="240" w:lineRule="auto"/>
        <w:ind w:right="143"/>
        <w:rPr>
          <w:rFonts w:ascii="Segoe UI" w:eastAsiaTheme="minorHAnsi" w:hAnsi="Segoe UI" w:cs="Segoe UI"/>
          <w:bCs/>
          <w:noProof/>
          <w:color w:val="000091" w:themeColor="text1"/>
          <w:sz w:val="24"/>
          <w:szCs w:val="28"/>
        </w:rPr>
      </w:pPr>
    </w:p>
    <w:p w14:paraId="2976BBC9" w14:textId="77777777" w:rsidR="00F0265A" w:rsidRPr="00F0265A" w:rsidRDefault="00F0265A" w:rsidP="00F0265A">
      <w:pPr>
        <w:spacing w:after="0" w:line="240" w:lineRule="auto"/>
        <w:ind w:right="143"/>
        <w:jc w:val="center"/>
        <w:rPr>
          <w:rFonts w:ascii="Segoe UI" w:eastAsiaTheme="minorHAnsi" w:hAnsi="Segoe UI" w:cs="Segoe UI"/>
          <w:bCs/>
          <w:noProof/>
          <w:color w:val="000091" w:themeColor="text1"/>
          <w:sz w:val="24"/>
          <w:szCs w:val="28"/>
        </w:rPr>
      </w:pPr>
    </w:p>
    <w:p w14:paraId="4B0EC7DD" w14:textId="4BD97763" w:rsidR="00F0265A" w:rsidRDefault="00F0265A" w:rsidP="00F0265A">
      <w:pPr>
        <w:jc w:val="center"/>
        <w:rPr>
          <w:rFonts w:ascii="Segoe UI" w:eastAsiaTheme="minorHAnsi" w:hAnsi="Segoe UI" w:cs="Segoe UI"/>
          <w:color w:val="000091" w:themeColor="text1"/>
          <w:sz w:val="24"/>
          <w:szCs w:val="24"/>
        </w:rPr>
      </w:pPr>
      <w:r w:rsidRPr="00F0265A">
        <w:rPr>
          <w:rFonts w:ascii="Segoe UI" w:eastAsiaTheme="minorHAnsi" w:hAnsi="Segoe UI" w:cs="Segoe UI"/>
          <w:color w:val="000091" w:themeColor="text1"/>
          <w:sz w:val="24"/>
          <w:szCs w:val="24"/>
        </w:rPr>
        <w:t>ANNEXE 5 : Secteur financier</w:t>
      </w:r>
    </w:p>
    <w:p w14:paraId="072B9669" w14:textId="45F30840" w:rsidR="009543FF" w:rsidRPr="009543FF" w:rsidRDefault="009543FF" w:rsidP="009543FF">
      <w:pPr>
        <w:jc w:val="both"/>
        <w:rPr>
          <w:rFonts w:ascii="Segoe UI" w:eastAsiaTheme="minorHAnsi" w:hAnsi="Segoe UI" w:cs="Segoe UI"/>
          <w:sz w:val="20"/>
          <w:szCs w:val="20"/>
        </w:rPr>
      </w:pPr>
      <w:r w:rsidRPr="009543FF">
        <w:rPr>
          <w:rFonts w:ascii="Segoe UI" w:eastAsiaTheme="minorHAnsi" w:hAnsi="Segoe UI" w:cs="Segoe UI"/>
          <w:b/>
          <w:bCs/>
          <w:sz w:val="20"/>
          <w:szCs w:val="20"/>
        </w:rPr>
        <w:t>La place financière luxembourgeoise constitue un pilier central de l’économie nationale, représentant environ 25 % du PIB et 10 % de l’emploi total.</w:t>
      </w:r>
      <w:r w:rsidRPr="009543FF">
        <w:rPr>
          <w:rFonts w:ascii="Segoe UI" w:eastAsiaTheme="minorHAnsi" w:hAnsi="Segoe UI" w:cs="Segoe UI"/>
          <w:sz w:val="20"/>
          <w:szCs w:val="20"/>
        </w:rPr>
        <w:t xml:space="preserve"> Elle emploie plus de 60 000 personnes, ce qui en fait l’un des premiers secteurs employeurs du pays. Grâce à sa taille significative, son orientation vers l’exportation de services, ses emplois à haute valeur ajoutée et sa capacité à attirer capitaux et entreprises internationales, le secteur financier est un moteur essentiel de la croissance économique. Des analyses économétriques indiquent qu’une baisse de 1 % de la valeur ajoutée réelle de ce secteur entraînerait une contraction de -0,6 %</w:t>
      </w:r>
      <w:r w:rsidR="00150910" w:rsidRPr="00F0265A">
        <w:rPr>
          <w:rFonts w:ascii="Segoe UI" w:eastAsiaTheme="minorHAnsi" w:hAnsi="Segoe UI" w:cs="Segoe UI"/>
          <w:sz w:val="20"/>
          <w:szCs w:val="20"/>
          <w:vertAlign w:val="superscript"/>
        </w:rPr>
        <w:endnoteReference w:id="7"/>
      </w:r>
      <w:r w:rsidR="00150910" w:rsidRPr="00F0265A">
        <w:rPr>
          <w:rFonts w:ascii="Segoe UI" w:eastAsiaTheme="minorHAnsi" w:hAnsi="Segoe UI" w:cs="Segoe UI"/>
          <w:sz w:val="20"/>
          <w:szCs w:val="20"/>
        </w:rPr>
        <w:t xml:space="preserve"> </w:t>
      </w:r>
      <w:r w:rsidRPr="009543FF">
        <w:rPr>
          <w:rFonts w:ascii="Segoe UI" w:eastAsiaTheme="minorHAnsi" w:hAnsi="Segoe UI" w:cs="Segoe UI"/>
          <w:sz w:val="20"/>
          <w:szCs w:val="20"/>
        </w:rPr>
        <w:t xml:space="preserve"> du PIB national. Ce rôle central est renforcé par la notation souveraine « triple A » du Luxembourg, partagée avec seulement quelques États comme l’Allemagne, l’Australie ou la Suisse.</w:t>
      </w:r>
      <w:r>
        <w:rPr>
          <w:rFonts w:ascii="Segoe UI" w:eastAsiaTheme="minorHAnsi" w:hAnsi="Segoe UI" w:cs="Segoe UI"/>
          <w:sz w:val="20"/>
          <w:szCs w:val="20"/>
        </w:rPr>
        <w:t xml:space="preserve"> </w:t>
      </w:r>
      <w:r w:rsidRPr="009543FF">
        <w:rPr>
          <w:rFonts w:ascii="Segoe UI" w:eastAsiaTheme="minorHAnsi" w:hAnsi="Segoe UI" w:cs="Segoe UI"/>
          <w:sz w:val="20"/>
          <w:szCs w:val="20"/>
        </w:rPr>
        <w:t>Le secteur contribue également de manière déterminante aux finances publiques. Les recettes fiscales issues de la finance se déclinent principalement en quatre canaux : les impôts sur les bénéfices et autres taxes versés par les banques ; ceux versés par les organismes d’assurance et de réassurance ; ceux des professionnels du secteur financier (PSF) et sociétés de gestion ; et enfin, la taxe d’abonnement sur les titres de sociétés</w:t>
      </w:r>
      <w:r w:rsidR="00150910" w:rsidRPr="00F0265A">
        <w:rPr>
          <w:rFonts w:ascii="Segoe UI" w:eastAsiaTheme="minorHAnsi" w:hAnsi="Segoe UI" w:cs="Segoe UI"/>
          <w:sz w:val="20"/>
          <w:szCs w:val="20"/>
          <w:vertAlign w:val="superscript"/>
        </w:rPr>
        <w:endnoteReference w:id="8"/>
      </w:r>
      <w:r w:rsidR="00150910" w:rsidRPr="00F0265A">
        <w:rPr>
          <w:rFonts w:ascii="Segoe UI" w:eastAsiaTheme="minorHAnsi" w:hAnsi="Segoe UI" w:cs="Segoe UI"/>
          <w:sz w:val="20"/>
          <w:szCs w:val="20"/>
        </w:rPr>
        <w:t xml:space="preserve">.  </w:t>
      </w:r>
      <w:r w:rsidRPr="009543FF">
        <w:rPr>
          <w:rFonts w:ascii="Segoe UI" w:eastAsiaTheme="minorHAnsi" w:hAnsi="Segoe UI" w:cs="Segoe UI"/>
          <w:sz w:val="20"/>
          <w:szCs w:val="20"/>
        </w:rPr>
        <w:t xml:space="preserve">. </w:t>
      </w:r>
    </w:p>
    <w:p w14:paraId="2E3601B4" w14:textId="2EE586A2" w:rsidR="009543FF" w:rsidRPr="009543FF" w:rsidRDefault="009543FF" w:rsidP="009543FF">
      <w:pPr>
        <w:jc w:val="both"/>
        <w:rPr>
          <w:rFonts w:ascii="Segoe UI" w:eastAsiaTheme="minorHAnsi" w:hAnsi="Segoe UI" w:cs="Segoe UI"/>
          <w:sz w:val="20"/>
          <w:szCs w:val="20"/>
        </w:rPr>
      </w:pPr>
      <w:r w:rsidRPr="009543FF">
        <w:rPr>
          <w:rFonts w:ascii="Segoe UI" w:eastAsiaTheme="minorHAnsi" w:hAnsi="Segoe UI" w:cs="Segoe UI"/>
          <w:b/>
          <w:bCs/>
          <w:sz w:val="20"/>
          <w:szCs w:val="20"/>
        </w:rPr>
        <w:t xml:space="preserve">Au sein de cette architecture, les organismes de placement collectif (OPC) occupent une place dominante. </w:t>
      </w:r>
      <w:r w:rsidRPr="009543FF">
        <w:rPr>
          <w:rFonts w:ascii="Segoe UI" w:eastAsiaTheme="minorHAnsi" w:hAnsi="Segoe UI" w:cs="Segoe UI"/>
          <w:sz w:val="20"/>
          <w:szCs w:val="20"/>
        </w:rPr>
        <w:t xml:space="preserve">En 2023, ils représentaient 77 % des actifs totaux du secteur financier, soit une progression de 12 points de pourcentage depuis la crise financière de 2008. Le Luxembourg s’est affirmé comme le premier centre européen de fonds régulés, avec un encours d’actifs nets sous gestion de </w:t>
      </w:r>
      <w:r w:rsidRPr="00150910">
        <w:rPr>
          <w:rFonts w:ascii="Segoe UI" w:eastAsiaTheme="minorHAnsi" w:hAnsi="Segoe UI" w:cs="Segoe UI"/>
          <w:sz w:val="20"/>
          <w:szCs w:val="20"/>
        </w:rPr>
        <w:t xml:space="preserve">plus de </w:t>
      </w:r>
      <w:r w:rsidRPr="009543FF">
        <w:rPr>
          <w:rFonts w:ascii="Segoe UI" w:eastAsiaTheme="minorHAnsi" w:hAnsi="Segoe UI" w:cs="Segoe UI"/>
          <w:sz w:val="20"/>
          <w:szCs w:val="20"/>
        </w:rPr>
        <w:t>5 285 Md€, en hausse de 5,1 % par rapport à l’année précédente. Cette dynamique s’est poursuivie au premier trimestre 2024, avec une nouvelle progression de 3,8 %.</w:t>
      </w:r>
    </w:p>
    <w:p w14:paraId="68EC1BC6" w14:textId="5D4C409E" w:rsidR="009543FF" w:rsidRPr="009543FF" w:rsidRDefault="009543FF" w:rsidP="009543FF">
      <w:pPr>
        <w:jc w:val="both"/>
        <w:rPr>
          <w:rFonts w:ascii="Segoe UI" w:eastAsiaTheme="minorHAnsi" w:hAnsi="Segoe UI" w:cs="Segoe UI"/>
          <w:sz w:val="20"/>
          <w:szCs w:val="20"/>
        </w:rPr>
      </w:pPr>
      <w:r w:rsidRPr="009543FF">
        <w:rPr>
          <w:rFonts w:ascii="Segoe UI" w:eastAsiaTheme="minorHAnsi" w:hAnsi="Segoe UI" w:cs="Segoe UI"/>
          <w:b/>
          <w:bCs/>
          <w:sz w:val="20"/>
          <w:szCs w:val="20"/>
        </w:rPr>
        <w:t>Le secteur bancaire, quant à lui, comptait 119 entités en 2023</w:t>
      </w:r>
      <w:r w:rsidR="00150910" w:rsidRPr="00150910">
        <w:rPr>
          <w:rFonts w:ascii="Segoe UI" w:eastAsiaTheme="minorHAnsi" w:hAnsi="Segoe UI" w:cs="Segoe UI"/>
          <w:sz w:val="20"/>
          <w:szCs w:val="20"/>
        </w:rPr>
        <w:t xml:space="preserve"> </w:t>
      </w:r>
      <w:r w:rsidR="00150910" w:rsidRPr="00F0265A">
        <w:rPr>
          <w:rFonts w:ascii="Segoe UI" w:eastAsiaTheme="minorHAnsi" w:hAnsi="Segoe UI" w:cs="Segoe UI"/>
          <w:b/>
          <w:bCs/>
          <w:sz w:val="20"/>
          <w:szCs w:val="20"/>
        </w:rPr>
        <w:t>gérant environ 1000 Md€ d’actifs</w:t>
      </w:r>
      <w:r w:rsidR="00150910">
        <w:rPr>
          <w:rFonts w:ascii="Segoe UI" w:eastAsiaTheme="minorHAnsi" w:hAnsi="Segoe UI" w:cs="Segoe UI"/>
          <w:b/>
          <w:bCs/>
          <w:sz w:val="20"/>
          <w:szCs w:val="20"/>
        </w:rPr>
        <w:t xml:space="preserve"> et</w:t>
      </w:r>
      <w:r w:rsidRPr="009543FF">
        <w:rPr>
          <w:rFonts w:ascii="Segoe UI" w:eastAsiaTheme="minorHAnsi" w:hAnsi="Segoe UI" w:cs="Segoe UI"/>
          <w:b/>
          <w:bCs/>
          <w:sz w:val="20"/>
          <w:szCs w:val="20"/>
        </w:rPr>
        <w:t xml:space="preserve"> employant 26 254 personnes.</w:t>
      </w:r>
      <w:r w:rsidRPr="009543FF">
        <w:rPr>
          <w:rFonts w:ascii="Segoe UI" w:eastAsiaTheme="minorHAnsi" w:hAnsi="Segoe UI" w:cs="Segoe UI"/>
          <w:sz w:val="20"/>
          <w:szCs w:val="20"/>
        </w:rPr>
        <w:t xml:space="preserve"> L’année a été marquée par une forte hausse de la marge sur intérêts (+51 %), ce qui a permis au résultat avant provisions et impôts d’atteindre 8,9 Md€ (+45,1 %). Le résultat net a progressé de 67,3 %, pour s’établir à 6,6 Md€, notamment grâce à une normalisation des dotations aux provisions, après une année 2022 marquée par les risques liés à certaines contreparties russes. Sur le plan prudentiel, les banques luxembourgeoises restent solidement capitalisées, avec un ratio CET1 à 21,8 % en 2023 (contre 21,6 % en 2022), et affichent un niveau de liquidité très confortable, illustré par un LCR médian à 249 %, en forte hausse par rapport aux 200 % enregistrés fin 2022.</w:t>
      </w:r>
    </w:p>
    <w:p w14:paraId="44F25C69" w14:textId="77777777" w:rsidR="009543FF" w:rsidRPr="009543FF" w:rsidRDefault="009543FF" w:rsidP="009543FF">
      <w:pPr>
        <w:jc w:val="both"/>
        <w:rPr>
          <w:rFonts w:ascii="Segoe UI" w:eastAsiaTheme="minorHAnsi" w:hAnsi="Segoe UI" w:cs="Segoe UI"/>
          <w:sz w:val="20"/>
          <w:szCs w:val="20"/>
        </w:rPr>
      </w:pPr>
      <w:r w:rsidRPr="009543FF">
        <w:rPr>
          <w:rFonts w:ascii="Segoe UI" w:eastAsiaTheme="minorHAnsi" w:hAnsi="Segoe UI" w:cs="Segoe UI"/>
          <w:b/>
          <w:bCs/>
          <w:sz w:val="20"/>
          <w:szCs w:val="20"/>
        </w:rPr>
        <w:t>Le secteur de l’assurance a également démontré sa stabilité et sa résilience</w:t>
      </w:r>
      <w:r w:rsidRPr="009543FF">
        <w:rPr>
          <w:rFonts w:ascii="Segoe UI" w:eastAsiaTheme="minorHAnsi" w:hAnsi="Segoe UI" w:cs="Segoe UI"/>
          <w:sz w:val="20"/>
          <w:szCs w:val="20"/>
        </w:rPr>
        <w:t>, tiré notamment par la croissance continue de l’assurance non-vie. Fin juin 2024, le Luxembourg comptait 278 entreprises d’assurance et de réassurance. Le total des primes enregistrées s’élevait à 46,4 Md€ (+43 % par rapport à 2023), avec une croissance de 41 % en assurance vie (26,8 Md€) et de 4,3 % en assurance non-vie (19,6 Md€). Les actifs sous gestion ont progressé de 9 %, atteignant 242 Md€. Alors que la croissance de l’assurance non-vie se confirme, l’assurance vie connaît à nouveau un repli. Le ratio de solvabilité moyen, bien qu’en léger recul, reste solide, passant de 178 % fin 2022 à 171 % fin 2023.</w:t>
      </w:r>
    </w:p>
    <w:p w14:paraId="20D00E0D" w14:textId="77777777" w:rsidR="009543FF" w:rsidRPr="009543FF" w:rsidRDefault="009543FF" w:rsidP="009543FF">
      <w:pPr>
        <w:jc w:val="both"/>
        <w:rPr>
          <w:rFonts w:ascii="Segoe UI" w:eastAsiaTheme="minorHAnsi" w:hAnsi="Segoe UI" w:cs="Segoe UI"/>
          <w:sz w:val="20"/>
          <w:szCs w:val="20"/>
        </w:rPr>
      </w:pPr>
      <w:r w:rsidRPr="009543FF">
        <w:rPr>
          <w:rFonts w:ascii="Segoe UI" w:eastAsiaTheme="minorHAnsi" w:hAnsi="Segoe UI" w:cs="Segoe UI"/>
          <w:b/>
          <w:bCs/>
          <w:sz w:val="20"/>
          <w:szCs w:val="20"/>
        </w:rPr>
        <w:t>Enfin, le Luxembourg s’impose comme un leader mondial en finance durable.</w:t>
      </w:r>
      <w:r w:rsidRPr="009543FF">
        <w:rPr>
          <w:rFonts w:ascii="Segoe UI" w:eastAsiaTheme="minorHAnsi" w:hAnsi="Segoe UI" w:cs="Segoe UI"/>
          <w:sz w:val="20"/>
          <w:szCs w:val="20"/>
        </w:rPr>
        <w:t xml:space="preserve"> La Luxembourg Green Exchange (LGX) demeure la première plateforme au monde en matière de cotation d’obligations vertes, avec 133 obligations pour un montant total de 63 Md€. En 2024, les actifs ESG (environnementaux, sociaux et de gouvernance) gérés au Luxembourg atteignent 3 750 Md€, et 73 % des fonds UCITS y sont labellisés durables. Cette position dominante est néanmoins mise à l’épreuve par un recul de 12 % des émissions vertes au premier trimestre 2025, la montée en puissance de places concurrentes comme Dubaï et Singapour, qui attirent 40 % des fonds asiatiques, ainsi qu’une pénurie de talents : 25 % des postes dans la finance durable restent aujourd’hui non pourvus.</w:t>
      </w:r>
    </w:p>
    <w:p w14:paraId="70C5FB36" w14:textId="7643362F" w:rsidR="00867CBD" w:rsidRPr="009543FF" w:rsidRDefault="00867CBD" w:rsidP="009543FF">
      <w:pPr>
        <w:jc w:val="both"/>
        <w:rPr>
          <w:rFonts w:ascii="Segoe UI" w:eastAsiaTheme="minorHAnsi" w:hAnsi="Segoe UI" w:cs="Segoe UI"/>
          <w:sz w:val="20"/>
          <w:szCs w:val="20"/>
        </w:rPr>
      </w:pPr>
    </w:p>
    <w:p w14:paraId="0B8294C0" w14:textId="77777777" w:rsidR="00867CBD" w:rsidRPr="00F0265A" w:rsidRDefault="00867CBD" w:rsidP="009543FF">
      <w:pPr>
        <w:jc w:val="both"/>
        <w:rPr>
          <w:rFonts w:ascii="Segoe UI" w:eastAsiaTheme="minorHAnsi" w:hAnsi="Segoe UI" w:cs="Segoe UI"/>
          <w:sz w:val="24"/>
          <w:szCs w:val="24"/>
        </w:rPr>
      </w:pPr>
    </w:p>
    <w:p w14:paraId="7D64929F" w14:textId="0E0233B2" w:rsidR="00F0265A" w:rsidRPr="00F0265A" w:rsidRDefault="00F0265A" w:rsidP="00B83A4F">
      <w:pPr>
        <w:spacing w:after="0" w:line="240" w:lineRule="auto"/>
        <w:ind w:right="143"/>
        <w:rPr>
          <w:rFonts w:ascii="Segoe UI" w:eastAsiaTheme="minorHAnsi" w:hAnsi="Segoe UI" w:cs="Segoe UI"/>
          <w:bCs/>
          <w:noProof/>
          <w:color w:val="000091" w:themeColor="text1"/>
          <w:sz w:val="24"/>
          <w:szCs w:val="28"/>
        </w:rPr>
      </w:pPr>
    </w:p>
    <w:p w14:paraId="1659EAC8" w14:textId="77777777" w:rsidR="00F0265A" w:rsidRPr="00F0265A" w:rsidRDefault="00F0265A" w:rsidP="00F0265A">
      <w:pPr>
        <w:spacing w:after="0" w:line="240" w:lineRule="auto"/>
        <w:ind w:right="143"/>
        <w:jc w:val="center"/>
        <w:rPr>
          <w:rFonts w:ascii="Segoe UI" w:eastAsiaTheme="minorHAnsi" w:hAnsi="Segoe UI" w:cs="Segoe UI"/>
          <w:bCs/>
          <w:i/>
          <w:iCs/>
          <w:color w:val="000091" w:themeColor="text1"/>
          <w:sz w:val="24"/>
          <w:szCs w:val="28"/>
        </w:rPr>
      </w:pPr>
      <w:r w:rsidRPr="00F0265A">
        <w:rPr>
          <w:rFonts w:ascii="Segoe UI" w:eastAsiaTheme="minorHAnsi" w:hAnsi="Segoe UI" w:cs="Segoe UI"/>
          <w:bCs/>
          <w:color w:val="000091" w:themeColor="text1"/>
          <w:sz w:val="24"/>
          <w:szCs w:val="28"/>
        </w:rPr>
        <w:t xml:space="preserve">ANNEXE 6 : Evolution annuelle du solde budgétaire et du stock de dette exprimée en % du PIB – 2000 – 2024 – </w:t>
      </w:r>
      <w:r w:rsidRPr="00F0265A">
        <w:rPr>
          <w:rFonts w:ascii="Segoe UI" w:eastAsiaTheme="minorHAnsi" w:hAnsi="Segoe UI" w:cs="Segoe UI"/>
          <w:bCs/>
          <w:i/>
          <w:iCs/>
          <w:color w:val="000091" w:themeColor="text1"/>
          <w:sz w:val="24"/>
          <w:szCs w:val="28"/>
        </w:rPr>
        <w:t>source STATEC</w:t>
      </w:r>
    </w:p>
    <w:p w14:paraId="1290A871"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529AA9DA"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r w:rsidRPr="00F0265A">
        <w:rPr>
          <w:rFonts w:ascii="Segoe UI" w:eastAsiaTheme="minorHAnsi" w:hAnsi="Segoe UI" w:cs="Segoe UI"/>
          <w:bCs/>
          <w:noProof/>
          <w:color w:val="000091" w:themeColor="text1"/>
          <w:sz w:val="24"/>
          <w:szCs w:val="28"/>
        </w:rPr>
        <w:drawing>
          <wp:inline distT="0" distB="0" distL="0" distR="0" wp14:anchorId="08B7EF89" wp14:editId="136D009D">
            <wp:extent cx="5571429" cy="277142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71429" cy="2771429"/>
                    </a:xfrm>
                    <a:prstGeom prst="rect">
                      <a:avLst/>
                    </a:prstGeom>
                  </pic:spPr>
                </pic:pic>
              </a:graphicData>
            </a:graphic>
          </wp:inline>
        </w:drawing>
      </w:r>
    </w:p>
    <w:p w14:paraId="1272EFE2"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5E6962DA"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0C02366A"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r w:rsidRPr="00F0265A">
        <w:rPr>
          <w:rFonts w:ascii="Segoe UI" w:eastAsiaTheme="minorHAnsi" w:hAnsi="Segoe UI" w:cs="Segoe UI"/>
          <w:bCs/>
          <w:color w:val="000091" w:themeColor="text1"/>
          <w:sz w:val="24"/>
          <w:szCs w:val="28"/>
        </w:rPr>
        <w:t>ANNEXE 7 : Prévisions macroéconomiques 2024-2026</w:t>
      </w:r>
    </w:p>
    <w:p w14:paraId="4BEE4597" w14:textId="77777777" w:rsidR="00F0265A" w:rsidRPr="00F0265A" w:rsidRDefault="00F0265A" w:rsidP="00F0265A">
      <w:pPr>
        <w:spacing w:after="0" w:line="240" w:lineRule="auto"/>
        <w:jc w:val="center"/>
        <w:rPr>
          <w:rFonts w:ascii="Segoe UI" w:eastAsiaTheme="minorHAnsi" w:hAnsi="Segoe UI" w:cs="Segoe UI"/>
          <w:bCs/>
          <w:color w:val="000091" w:themeColor="text1"/>
          <w:sz w:val="24"/>
          <w:szCs w:val="28"/>
        </w:rPr>
      </w:pPr>
    </w:p>
    <w:p w14:paraId="0EF09DD5" w14:textId="77777777" w:rsidR="00F0265A" w:rsidRPr="00F0265A" w:rsidRDefault="00F0265A" w:rsidP="00F0265A">
      <w:pPr>
        <w:spacing w:after="0" w:line="240" w:lineRule="auto"/>
        <w:ind w:left="-142"/>
        <w:rPr>
          <w:rFonts w:ascii="Segoe UI" w:eastAsiaTheme="minorHAnsi" w:hAnsi="Segoe UI" w:cs="Segoe UI"/>
          <w:color w:val="000091" w:themeColor="text1"/>
          <w:sz w:val="24"/>
          <w:szCs w:val="24"/>
        </w:rPr>
      </w:pPr>
      <w:r w:rsidRPr="00F0265A">
        <w:rPr>
          <w:rFonts w:eastAsiaTheme="minorHAnsi"/>
          <w:noProof/>
        </w:rPr>
        <w:drawing>
          <wp:inline distT="0" distB="0" distL="0" distR="0" wp14:anchorId="57BD3018" wp14:editId="0FEAF73E">
            <wp:extent cx="6124191" cy="1275347"/>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6093" cy="1277826"/>
                    </a:xfrm>
                    <a:prstGeom prst="rect">
                      <a:avLst/>
                    </a:prstGeom>
                    <a:noFill/>
                    <a:ln>
                      <a:noFill/>
                    </a:ln>
                  </pic:spPr>
                </pic:pic>
              </a:graphicData>
            </a:graphic>
          </wp:inline>
        </w:drawing>
      </w:r>
    </w:p>
    <w:p w14:paraId="3FE39E0A" w14:textId="77777777" w:rsidR="00F0265A" w:rsidRPr="00F0265A" w:rsidRDefault="00F0265A" w:rsidP="00F0265A">
      <w:pPr>
        <w:spacing w:after="0" w:line="240" w:lineRule="auto"/>
        <w:rPr>
          <w:rFonts w:ascii="Segoe UI" w:eastAsiaTheme="minorHAnsi" w:hAnsi="Segoe UI" w:cs="Segoe UI"/>
          <w:color w:val="000091" w:themeColor="text1"/>
          <w:sz w:val="24"/>
          <w:szCs w:val="24"/>
        </w:rPr>
      </w:pPr>
    </w:p>
    <w:p w14:paraId="1A32BF2D" w14:textId="77777777" w:rsidR="00F0265A" w:rsidRPr="00F0265A" w:rsidRDefault="00F0265A" w:rsidP="00F0265A">
      <w:pPr>
        <w:rPr>
          <w:rFonts w:ascii="Segoe UI" w:eastAsiaTheme="minorHAnsi" w:hAnsi="Segoe UI" w:cs="Segoe UI"/>
          <w:color w:val="000091" w:themeColor="text1"/>
          <w:sz w:val="24"/>
          <w:szCs w:val="24"/>
        </w:rPr>
      </w:pPr>
      <w:r w:rsidRPr="00F0265A">
        <w:rPr>
          <w:rFonts w:ascii="Segoe UI" w:eastAsiaTheme="minorHAnsi" w:hAnsi="Segoe UI" w:cs="Segoe UI"/>
          <w:color w:val="000091" w:themeColor="text1"/>
          <w:sz w:val="24"/>
          <w:szCs w:val="24"/>
        </w:rPr>
        <w:br w:type="page"/>
      </w:r>
    </w:p>
    <w:p w14:paraId="7524488C" w14:textId="77777777" w:rsidR="00F0265A" w:rsidRPr="009E7C62" w:rsidRDefault="00F0265A" w:rsidP="006A2D50">
      <w:pPr>
        <w:pStyle w:val="Titreannexe"/>
      </w:pPr>
    </w:p>
    <w:p w14:paraId="7848B838" w14:textId="77777777" w:rsidR="00CB431C" w:rsidRDefault="00CB431C" w:rsidP="006A2D50">
      <w:pPr>
        <w:pStyle w:val="Titreannexe"/>
      </w:pPr>
    </w:p>
    <w:p w14:paraId="6D689790" w14:textId="74F1B8BA" w:rsidR="00341EC1" w:rsidRPr="009E7C62" w:rsidRDefault="00AA020A" w:rsidP="006A2D50">
      <w:pPr>
        <w:pStyle w:val="Titreannexe"/>
      </w:pPr>
      <w:r w:rsidRPr="009E7C62">
        <w:t>NOTES DE FIN</w:t>
      </w:r>
    </w:p>
    <w:sectPr w:rsidR="00341EC1" w:rsidRPr="009E7C62" w:rsidSect="00B52D22">
      <w:headerReference w:type="default" r:id="rId18"/>
      <w:endnotePr>
        <w:numFmt w:val="decimal"/>
      </w:endnotePr>
      <w:type w:val="continuous"/>
      <w:pgSz w:w="11906" w:h="16838" w:code="9"/>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BF35" w14:textId="77777777" w:rsidR="000C0A2E" w:rsidRDefault="000C0A2E" w:rsidP="001C2361">
      <w:pPr>
        <w:spacing w:after="0" w:line="240" w:lineRule="auto"/>
      </w:pPr>
      <w:r>
        <w:separator/>
      </w:r>
    </w:p>
  </w:endnote>
  <w:endnote w:type="continuationSeparator" w:id="0">
    <w:p w14:paraId="6C8BCD73" w14:textId="77777777" w:rsidR="000C0A2E" w:rsidRDefault="000C0A2E" w:rsidP="001C2361">
      <w:pPr>
        <w:spacing w:after="0" w:line="240" w:lineRule="auto"/>
      </w:pPr>
      <w:r>
        <w:continuationSeparator/>
      </w:r>
    </w:p>
  </w:endnote>
  <w:endnote w:id="1">
    <w:p w14:paraId="0CF94DE3" w14:textId="1C3C66A6" w:rsidR="00B27707" w:rsidRDefault="00B27707" w:rsidP="006F19B7">
      <w:pPr>
        <w:pStyle w:val="Notedefin"/>
        <w:jc w:val="both"/>
      </w:pPr>
      <w:r>
        <w:rPr>
          <w:rStyle w:val="Appeldenotedefin"/>
        </w:rPr>
        <w:endnoteRef/>
      </w:r>
      <w:r>
        <w:t xml:space="preserve"> </w:t>
      </w:r>
      <w:r w:rsidR="007F1CF8">
        <w:t>L’indexation automatique repose</w:t>
      </w:r>
      <w:r w:rsidR="003311DF">
        <w:t xml:space="preserve"> </w:t>
      </w:r>
      <w:r w:rsidR="007F1CF8">
        <w:t>sur l’évolution de l’indice des prix à la consommation (IPC). Dès que la moyenne semestrielle de l’IPC dépasse la cote d’application, les revenus sont augmentés de 2,5 %. Depuis le 1</w:t>
      </w:r>
      <w:r w:rsidR="007F1CF8" w:rsidRPr="007F1CF8">
        <w:rPr>
          <w:vertAlign w:val="superscript"/>
        </w:rPr>
        <w:t>er</w:t>
      </w:r>
      <w:r w:rsidR="007F1CF8">
        <w:t xml:space="preserve"> mai 2025, la cote d’application en vigueur est de 968,04 points (base 100 en 1948 et précédemment fixée à 944,43 points en avril 2023</w:t>
      </w:r>
      <w:r w:rsidR="00BB1E29">
        <w:t>)</w:t>
      </w:r>
      <w:r w:rsidR="007F1CF8">
        <w:t xml:space="preserve">. </w:t>
      </w:r>
    </w:p>
  </w:endnote>
  <w:endnote w:id="2">
    <w:p w14:paraId="5580AF09" w14:textId="32645868" w:rsidR="005F12F9" w:rsidRDefault="005F12F9" w:rsidP="006F19B7">
      <w:pPr>
        <w:pStyle w:val="Notedefin"/>
        <w:jc w:val="both"/>
      </w:pPr>
      <w:r>
        <w:rPr>
          <w:rStyle w:val="Appeldenotedefin"/>
        </w:rPr>
        <w:endnoteRef/>
      </w:r>
      <w:r>
        <w:t xml:space="preserve"> </w:t>
      </w:r>
      <w:r w:rsidRPr="005F12F9">
        <w:t>A noter que les investissements directs du Luxembourg se concentrent sur les institutions financières captives, qui en représentent près de 90 % tant pour les avoirs (investissements sortants) que pour les engagements (investissements entrants). Les institutions financières captives sont des sociétés financières contrôlées par un groupe non financier, souvent utilisées à des fins de financement ou de gestion de patrimoine intra-groupe.</w:t>
      </w:r>
    </w:p>
  </w:endnote>
  <w:endnote w:id="3">
    <w:p w14:paraId="092BCF45" w14:textId="77B1B5FA" w:rsidR="009D4F34" w:rsidRDefault="009D4F34" w:rsidP="006F19B7">
      <w:pPr>
        <w:pStyle w:val="Notedefin"/>
        <w:jc w:val="both"/>
      </w:pPr>
      <w:r>
        <w:rPr>
          <w:rStyle w:val="Appeldenotedefin"/>
        </w:rPr>
        <w:endnoteRef/>
      </w:r>
      <w:r>
        <w:t xml:space="preserve"> </w:t>
      </w:r>
      <w:r w:rsidRPr="009D4F34">
        <w:t>Ce dispositif a pour objectif d’alléger la pression fiscale des ménages et de créer un environnement fiscal plus favorable aux entreprises, aux investissements et à l’emploi, afin de renforcer l’attractivité du pays et de la place financière luxembourgeoise.</w:t>
      </w:r>
    </w:p>
  </w:endnote>
  <w:endnote w:id="4">
    <w:p w14:paraId="5F4BBCF4" w14:textId="1678BDEF" w:rsidR="00DF1433" w:rsidRDefault="00DF1433" w:rsidP="006F19B7">
      <w:pPr>
        <w:pStyle w:val="Notedefin"/>
        <w:jc w:val="both"/>
      </w:pPr>
      <w:r w:rsidRPr="002301FF">
        <w:rPr>
          <w:rStyle w:val="Appeldenotedefin"/>
        </w:rPr>
        <w:endnoteRef/>
      </w:r>
      <w:r w:rsidRPr="002301FF">
        <w:t xml:space="preserve"> D’autant que les prévisions de </w:t>
      </w:r>
      <w:r w:rsidR="002301FF" w:rsidRPr="002301FF">
        <w:t>printemps de la commission</w:t>
      </w:r>
      <w:r w:rsidRPr="002301FF">
        <w:t xml:space="preserve"> prévoient une croissance à 1,7 % du PIB en 2025 puis de </w:t>
      </w:r>
      <w:r w:rsidR="002301FF" w:rsidRPr="002301FF">
        <w:t>2,0</w:t>
      </w:r>
      <w:r w:rsidRPr="002301FF">
        <w:t xml:space="preserve"> % en 2026.</w:t>
      </w:r>
    </w:p>
  </w:endnote>
  <w:endnote w:id="5">
    <w:p w14:paraId="7BF8ADA5" w14:textId="46DC506D" w:rsidR="00B83A4F" w:rsidRPr="00557A7A" w:rsidRDefault="00B83A4F" w:rsidP="006F19B7">
      <w:pPr>
        <w:pStyle w:val="Notedefin"/>
        <w:jc w:val="both"/>
        <w:rPr>
          <w:color w:val="FF0000"/>
        </w:rPr>
      </w:pPr>
      <w:r w:rsidRPr="00980138">
        <w:rPr>
          <w:rStyle w:val="Appeldenotedefin"/>
          <w:color w:val="FF0000"/>
        </w:rPr>
        <w:endnoteRef/>
      </w:r>
      <w:r w:rsidRPr="00980138">
        <w:rPr>
          <w:color w:val="FF0000"/>
        </w:rPr>
        <w:t xml:space="preserve"> </w:t>
      </w:r>
      <w:r w:rsidR="000834AB" w:rsidRPr="00980138">
        <w:rPr>
          <w:color w:val="FF0000"/>
        </w:rPr>
        <w:t>Le système de retraite au Luxembourg repose</w:t>
      </w:r>
      <w:r w:rsidR="0034356C" w:rsidRPr="00980138">
        <w:rPr>
          <w:color w:val="FF0000"/>
        </w:rPr>
        <w:t xml:space="preserve"> principalement sur un régime de répartition, dans lequel les cotisations des travailleurs actifs servent à financer les pensions des retraités actuels. L’âge de départ à la retraite est fixé à 65 ans, à condition d’avoir cotisé pendant au moins 10 ans. Toutefois, dans la pratique, l’âge effectif de départ à la retraite est inférieur à l’âge légal : en moyenne les luxembourgeois prennent leur retraite autour de 60/61 ans. </w:t>
      </w:r>
      <w:r w:rsidR="00557A7A">
        <w:rPr>
          <w:color w:val="FF0000"/>
        </w:rPr>
        <w:t>L</w:t>
      </w:r>
      <w:r w:rsidR="00B01A57">
        <w:rPr>
          <w:color w:val="FF0000"/>
        </w:rPr>
        <w:t xml:space="preserve">a </w:t>
      </w:r>
      <w:r w:rsidR="002D4FD6" w:rsidRPr="00980138">
        <w:rPr>
          <w:color w:val="FF0000"/>
        </w:rPr>
        <w:t xml:space="preserve">Caisse nationale d’assurance pension (CNAP) </w:t>
      </w:r>
      <w:r w:rsidR="00557A7A">
        <w:rPr>
          <w:color w:val="FF0000"/>
        </w:rPr>
        <w:t>dispose d’un</w:t>
      </w:r>
      <w:r w:rsidR="00B01A57">
        <w:rPr>
          <w:color w:val="FF0000"/>
        </w:rPr>
        <w:t xml:space="preserve">e réserve </w:t>
      </w:r>
      <w:r w:rsidR="002D4FD6" w:rsidRPr="00980138">
        <w:rPr>
          <w:color w:val="FF0000"/>
        </w:rPr>
        <w:t>accumulé</w:t>
      </w:r>
      <w:r w:rsidR="00B01A57">
        <w:rPr>
          <w:color w:val="FF0000"/>
        </w:rPr>
        <w:t>e</w:t>
      </w:r>
      <w:r w:rsidR="002D4FD6" w:rsidRPr="00980138">
        <w:rPr>
          <w:color w:val="FF0000"/>
        </w:rPr>
        <w:t xml:space="preserve"> grâce aux excédents passés</w:t>
      </w:r>
      <w:r w:rsidR="00084F90">
        <w:rPr>
          <w:color w:val="FF0000"/>
        </w:rPr>
        <w:t xml:space="preserve"> qui permet</w:t>
      </w:r>
      <w:r w:rsidR="002D4FD6" w:rsidRPr="00980138">
        <w:rPr>
          <w:color w:val="FF0000"/>
        </w:rPr>
        <w:t xml:space="preserve"> de maintenir l’équilibre</w:t>
      </w:r>
      <w:r w:rsidR="00084F90">
        <w:rPr>
          <w:color w:val="FF0000"/>
        </w:rPr>
        <w:t xml:space="preserve"> du régime</w:t>
      </w:r>
      <w:r w:rsidR="002D4FD6" w:rsidRPr="00980138">
        <w:rPr>
          <w:color w:val="FF0000"/>
        </w:rPr>
        <w:t xml:space="preserve"> sans augmenter immédiatement les cotisations ou réduire les pensions</w:t>
      </w:r>
      <w:r w:rsidR="00B01A57">
        <w:rPr>
          <w:color w:val="FF0000"/>
        </w:rPr>
        <w:t>.</w:t>
      </w:r>
      <w:r w:rsidR="002D4FD6" w:rsidRPr="00980138">
        <w:rPr>
          <w:color w:val="FF0000"/>
        </w:rPr>
        <w:t xml:space="preserve"> </w:t>
      </w:r>
      <w:r w:rsidR="00B01A57">
        <w:rPr>
          <w:color w:val="FF0000"/>
        </w:rPr>
        <w:t>Ainsi</w:t>
      </w:r>
      <w:r w:rsidR="006F19B7" w:rsidRPr="00980138">
        <w:rPr>
          <w:color w:val="FF0000"/>
        </w:rPr>
        <w:t xml:space="preserve">, en 2023, </w:t>
      </w:r>
      <w:r w:rsidR="002600E7" w:rsidRPr="00980138">
        <w:rPr>
          <w:color w:val="FF0000"/>
        </w:rPr>
        <w:t>la CNAP a dégagé un excédent de 2,85 Md€</w:t>
      </w:r>
      <w:r w:rsidR="00B01A57">
        <w:rPr>
          <w:color w:val="FF0000"/>
        </w:rPr>
        <w:t xml:space="preserve"> portant la réserve à 27,4 </w:t>
      </w:r>
      <w:r w:rsidR="00B01A57" w:rsidRPr="00980138">
        <w:rPr>
          <w:color w:val="FF0000"/>
        </w:rPr>
        <w:t xml:space="preserve">Md€, </w:t>
      </w:r>
      <w:r w:rsidR="001048C0" w:rsidRPr="00980138">
        <w:rPr>
          <w:color w:val="FF0000"/>
        </w:rPr>
        <w:t>soit</w:t>
      </w:r>
      <w:r w:rsidR="002600E7" w:rsidRPr="00980138">
        <w:rPr>
          <w:color w:val="FF0000"/>
        </w:rPr>
        <w:t xml:space="preserve"> l’équivalent de 4,3 années de</w:t>
      </w:r>
      <w:r w:rsidR="00084F90">
        <w:rPr>
          <w:color w:val="FF0000"/>
        </w:rPr>
        <w:t xml:space="preserve"> prestations annuelles</w:t>
      </w:r>
      <w:r w:rsidR="002600E7" w:rsidRPr="00980138">
        <w:rPr>
          <w:color w:val="FF0000"/>
        </w:rPr>
        <w:t>. Cependant,</w:t>
      </w:r>
      <w:r w:rsidR="00B01A57">
        <w:rPr>
          <w:color w:val="FF0000"/>
        </w:rPr>
        <w:t xml:space="preserve"> malgré cette situation saine,</w:t>
      </w:r>
      <w:r w:rsidR="002600E7" w:rsidRPr="00980138">
        <w:rPr>
          <w:color w:val="FF0000"/>
        </w:rPr>
        <w:t xml:space="preserve"> les projections de l’IGSS </w:t>
      </w:r>
      <w:r w:rsidR="00B01A57" w:rsidRPr="00980138">
        <w:rPr>
          <w:color w:val="FF0000"/>
        </w:rPr>
        <w:t xml:space="preserve">(Inspection Générale de la Sécurité Sociale) </w:t>
      </w:r>
      <w:r w:rsidR="002600E7" w:rsidRPr="00980138">
        <w:rPr>
          <w:color w:val="FF0000"/>
        </w:rPr>
        <w:t>indiquent que dès 2026, les dépenses dépasseront les recettes, forçant le CNAP à puiser dans l</w:t>
      </w:r>
      <w:r w:rsidR="00B01A57">
        <w:rPr>
          <w:color w:val="FF0000"/>
        </w:rPr>
        <w:t xml:space="preserve">a </w:t>
      </w:r>
      <w:r w:rsidR="002600E7" w:rsidRPr="00980138">
        <w:rPr>
          <w:color w:val="FF0000"/>
        </w:rPr>
        <w:t xml:space="preserve">réserve. Le seuil légal minimum de réserve (1,5 fois les prestations annuelles) </w:t>
      </w:r>
      <w:r w:rsidR="001048C0" w:rsidRPr="00980138">
        <w:rPr>
          <w:color w:val="FF0000"/>
        </w:rPr>
        <w:t xml:space="preserve">devrait être franchi dès 2039 et la réserve complètement épuisée en 2045. </w:t>
      </w:r>
      <w:r w:rsidR="00B01A57">
        <w:rPr>
          <w:color w:val="FF0000"/>
        </w:rPr>
        <w:t>L</w:t>
      </w:r>
      <w:r w:rsidR="00B01A57" w:rsidRPr="00980138">
        <w:rPr>
          <w:color w:val="FF0000"/>
        </w:rPr>
        <w:t>’IGGS</w:t>
      </w:r>
      <w:r w:rsidR="00B01A57">
        <w:rPr>
          <w:color w:val="FF0000"/>
        </w:rPr>
        <w:t xml:space="preserve"> </w:t>
      </w:r>
      <w:r w:rsidR="00B01A57" w:rsidRPr="00980138">
        <w:rPr>
          <w:color w:val="FF0000"/>
        </w:rPr>
        <w:t>suggère</w:t>
      </w:r>
      <w:r w:rsidR="00B01A57">
        <w:rPr>
          <w:color w:val="FF0000"/>
        </w:rPr>
        <w:t xml:space="preserve"> donc </w:t>
      </w:r>
      <w:r w:rsidR="00B01A57" w:rsidRPr="00980138">
        <w:rPr>
          <w:color w:val="FF0000"/>
        </w:rPr>
        <w:t xml:space="preserve">une réforme des retraites. </w:t>
      </w:r>
      <w:r w:rsidR="00B01A57">
        <w:rPr>
          <w:color w:val="FF0000"/>
        </w:rPr>
        <w:t xml:space="preserve">En effet, </w:t>
      </w:r>
      <w:r w:rsidR="001048C0" w:rsidRPr="00980138">
        <w:rPr>
          <w:color w:val="FF0000"/>
        </w:rPr>
        <w:t xml:space="preserve">sans ajustements le modèle de répartition ne pourra plus assurer durablement les pensions, mettant en péril la stabilité financière du système luxembourgeois. </w:t>
      </w:r>
    </w:p>
  </w:endnote>
  <w:endnote w:id="6">
    <w:p w14:paraId="0DDC2C30" w14:textId="77777777" w:rsidR="00F645BF" w:rsidRDefault="00F645BF" w:rsidP="006F19B7">
      <w:pPr>
        <w:pStyle w:val="Notedefin"/>
        <w:jc w:val="both"/>
      </w:pPr>
      <w:r>
        <w:rPr>
          <w:rStyle w:val="Appeldenotedefin"/>
        </w:rPr>
        <w:endnoteRef/>
      </w:r>
      <w:r>
        <w:t xml:space="preserve"> </w:t>
      </w:r>
      <w:r w:rsidRPr="00992F3B">
        <w:t>Malgré les annonces faites par le Premier ministre Luc Frieden, les contours précis de la réforme des retraites restent flous.</w:t>
      </w:r>
      <w:r>
        <w:t xml:space="preserve"> La mesure phare de cette réforme est </w:t>
      </w:r>
      <w:r w:rsidRPr="00992F3B">
        <w:t>un allongement progressif des carrières de trois mois par a</w:t>
      </w:r>
      <w:r>
        <w:t xml:space="preserve">n. </w:t>
      </w:r>
    </w:p>
  </w:endnote>
  <w:endnote w:id="7">
    <w:p w14:paraId="32E20016" w14:textId="77777777" w:rsidR="00150910" w:rsidRDefault="00150910" w:rsidP="006F19B7">
      <w:pPr>
        <w:pStyle w:val="Notedefin"/>
        <w:jc w:val="both"/>
      </w:pPr>
      <w:r>
        <w:rPr>
          <w:rStyle w:val="Appeldenotedefin"/>
        </w:rPr>
        <w:endnoteRef/>
      </w:r>
      <w:r>
        <w:t xml:space="preserve"> STATEC, 2008</w:t>
      </w:r>
    </w:p>
  </w:endnote>
  <w:endnote w:id="8">
    <w:p w14:paraId="1105BF71" w14:textId="77777777" w:rsidR="00150910" w:rsidRDefault="00150910" w:rsidP="006F19B7">
      <w:pPr>
        <w:pStyle w:val="Notedefin"/>
        <w:jc w:val="both"/>
      </w:pPr>
      <w:r>
        <w:rPr>
          <w:rStyle w:val="Appeldenotedefin"/>
        </w:rPr>
        <w:endnoteRef/>
      </w:r>
      <w:r>
        <w:t xml:space="preserve"> Cette taxe d'abonnement est annuelle et porte essentiellement sur les OPC. Son taux normal s'élève à 0.05 % des avoirs nets, mais certains types d'OPC bénéficient d'un taux réduit s'établissant à 0.01 % des actifs nets, voire d'une exonération.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Times New Roman (Corps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Roboto">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713B" w14:textId="77777777" w:rsidR="006A2D50" w:rsidRDefault="006A2D50" w:rsidP="006A2D50">
    <w:pPr>
      <w:pStyle w:val="Pieddepage"/>
      <w:jc w:val="right"/>
    </w:pPr>
    <w:r>
      <w:fldChar w:fldCharType="begin"/>
    </w:r>
    <w:r>
      <w:instrText xml:space="preserve"> PAGE  \* Arabic  \* MERGEFORMAT </w:instrText>
    </w:r>
    <w:r>
      <w:fldChar w:fldCharType="separate"/>
    </w:r>
    <w:r>
      <w:t>1</w:t>
    </w:r>
    <w:r>
      <w:fldChar w:fldCharType="end"/>
    </w:r>
    <w:r>
      <w:t xml:space="preserve"> sur </w:t>
    </w:r>
    <w:r w:rsidR="008664B5">
      <w:fldChar w:fldCharType="begin"/>
    </w:r>
    <w:r w:rsidR="008664B5">
      <w:instrText xml:space="preserve"> NUMPAGES   \* MERGEFORMAT </w:instrText>
    </w:r>
    <w:r w:rsidR="008664B5">
      <w:fldChar w:fldCharType="separate"/>
    </w:r>
    <w:r>
      <w:t>4</w:t>
    </w:r>
    <w:r w:rsidR="008664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1551" w14:textId="77777777" w:rsidR="000C0A2E" w:rsidRDefault="000C0A2E" w:rsidP="001C2361">
      <w:pPr>
        <w:spacing w:after="0" w:line="240" w:lineRule="auto"/>
      </w:pPr>
      <w:r>
        <w:separator/>
      </w:r>
    </w:p>
  </w:footnote>
  <w:footnote w:type="continuationSeparator" w:id="0">
    <w:p w14:paraId="7B070C2E" w14:textId="77777777" w:rsidR="000C0A2E" w:rsidRDefault="000C0A2E" w:rsidP="001C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238" w14:textId="1088885A" w:rsidR="004E7041" w:rsidRDefault="00152403">
    <w:pPr>
      <w:pStyle w:val="En-tte"/>
    </w:pPr>
    <w:r w:rsidRPr="00490B3C">
      <w:rPr>
        <w:rFonts w:ascii="Segoe UI" w:hAnsi="Segoe UI" w:cs="Segoe UI"/>
        <w:noProof/>
        <w:color w:val="000091" w:themeColor="text1"/>
      </w:rPr>
      <w:drawing>
        <wp:anchor distT="0" distB="0" distL="114300" distR="114300" simplePos="0" relativeHeight="251669504" behindDoc="1" locked="0" layoutInCell="1" allowOverlap="1" wp14:anchorId="60E397A5" wp14:editId="35524A67">
          <wp:simplePos x="0" y="0"/>
          <wp:positionH relativeFrom="column">
            <wp:posOffset>-507365</wp:posOffset>
          </wp:positionH>
          <wp:positionV relativeFrom="page">
            <wp:posOffset>313055</wp:posOffset>
          </wp:positionV>
          <wp:extent cx="2638800" cy="936000"/>
          <wp:effectExtent l="0" t="0" r="9525"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
                    <a:extLst>
                      <a:ext uri="{28A0092B-C50C-407E-A947-70E740481C1C}">
                        <a14:useLocalDpi xmlns:a14="http://schemas.microsoft.com/office/drawing/2010/main" val="0"/>
                      </a:ext>
                    </a:extLst>
                  </a:blip>
                  <a:stretch>
                    <a:fillRect/>
                  </a:stretch>
                </pic:blipFill>
                <pic:spPr>
                  <a:xfrm>
                    <a:off x="0" y="0"/>
                    <a:ext cx="26388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D83A" w14:textId="5E22E8CD" w:rsidR="00063753" w:rsidRDefault="00B25C19">
    <w:pPr>
      <w:pStyle w:val="En-tte"/>
    </w:pPr>
    <w:r>
      <w:rPr>
        <w:rFonts w:ascii="Segoe UI" w:hAnsi="Segoe UI" w:cs="Segoe UI"/>
        <w:bCs/>
        <w:noProof/>
        <w:color w:val="000091" w:themeColor="text1"/>
        <w:sz w:val="24"/>
        <w:szCs w:val="28"/>
      </w:rPr>
      <mc:AlternateContent>
        <mc:Choice Requires="wps">
          <w:drawing>
            <wp:anchor distT="0" distB="0" distL="114300" distR="114300" simplePos="0" relativeHeight="251667456" behindDoc="1" locked="0" layoutInCell="1" allowOverlap="1" wp14:anchorId="7C49EE17" wp14:editId="7E8BDE63">
              <wp:simplePos x="0" y="0"/>
              <wp:positionH relativeFrom="page">
                <wp:align>right</wp:align>
              </wp:positionH>
              <wp:positionV relativeFrom="paragraph">
                <wp:posOffset>-511274</wp:posOffset>
              </wp:positionV>
              <wp:extent cx="7677150" cy="10687050"/>
              <wp:effectExtent l="0" t="0" r="0" b="0"/>
              <wp:wrapNone/>
              <wp:docPr id="9" name="Rectangle 9"/>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5F92B" id="Rectangle 9" o:spid="_x0000_s1026" style="position:absolute;margin-left:553.3pt;margin-top:-40.25pt;width:604.5pt;height:841.5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" fillcolor="#fef8e8"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10291D3B"/>
    <w:multiLevelType w:val="multilevel"/>
    <w:tmpl w:val="3860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70559"/>
    <w:multiLevelType w:val="multilevel"/>
    <w:tmpl w:val="89A2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9077AEF"/>
    <w:multiLevelType w:val="hybridMultilevel"/>
    <w:tmpl w:val="3CA87548"/>
    <w:lvl w:ilvl="0" w:tplc="E7A8A250">
      <w:start w:val="1"/>
      <w:numFmt w:val="bullet"/>
      <w:pStyle w:val="Listepoints"/>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047788"/>
    <w:multiLevelType w:val="multilevel"/>
    <w:tmpl w:val="E3B2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42C27"/>
    <w:multiLevelType w:val="multilevel"/>
    <w:tmpl w:val="3E52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E4683"/>
    <w:multiLevelType w:val="multilevel"/>
    <w:tmpl w:val="93C2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8580168"/>
    <w:multiLevelType w:val="hybridMultilevel"/>
    <w:tmpl w:val="8F6494E0"/>
    <w:lvl w:ilvl="0" w:tplc="45BCB7BE">
      <w:start w:val="1"/>
      <w:numFmt w:val="decimal"/>
      <w:lvlText w:val="%1."/>
      <w:lvlJc w:val="left"/>
      <w:pPr>
        <w:ind w:left="720" w:hanging="360"/>
      </w:pPr>
      <w:rPr>
        <w:rFonts w:ascii="Segoe UI" w:hAnsi="Segoe UI" w:cs="Segoe UI" w:hint="default"/>
        <w:color w:val="000091" w:themeColor="text1"/>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41677A0"/>
    <w:multiLevelType w:val="multilevel"/>
    <w:tmpl w:val="3028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1"/>
  </w:num>
  <w:num w:numId="6">
    <w:abstractNumId w:val="19"/>
  </w:num>
  <w:num w:numId="7">
    <w:abstractNumId w:val="6"/>
  </w:num>
  <w:num w:numId="8">
    <w:abstractNumId w:val="5"/>
  </w:num>
  <w:num w:numId="9">
    <w:abstractNumId w:val="1"/>
  </w:num>
  <w:num w:numId="10">
    <w:abstractNumId w:val="10"/>
  </w:num>
  <w:num w:numId="11">
    <w:abstractNumId w:val="7"/>
  </w:num>
  <w:num w:numId="12">
    <w:abstractNumId w:val="0"/>
  </w:num>
  <w:num w:numId="13">
    <w:abstractNumId w:val="2"/>
  </w:num>
  <w:num w:numId="14">
    <w:abstractNumId w:val="16"/>
  </w:num>
  <w:num w:numId="15">
    <w:abstractNumId w:val="8"/>
  </w:num>
  <w:num w:numId="16">
    <w:abstractNumId w:val="15"/>
  </w:num>
  <w:num w:numId="17">
    <w:abstractNumId w:val="18"/>
  </w:num>
  <w:num w:numId="18">
    <w:abstractNumId w:val="11"/>
  </w:num>
  <w:num w:numId="19">
    <w:abstractNumId w:val="13"/>
  </w:num>
  <w:num w:numId="20">
    <w:abstractNumId w:val="4"/>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o:colormru v:ext="edit" colors="#fef8e8"/>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1B4"/>
    <w:rsid w:val="000064C1"/>
    <w:rsid w:val="00006D9E"/>
    <w:rsid w:val="00006E50"/>
    <w:rsid w:val="00016C1C"/>
    <w:rsid w:val="00020C75"/>
    <w:rsid w:val="00020EE2"/>
    <w:rsid w:val="00022880"/>
    <w:rsid w:val="00022F44"/>
    <w:rsid w:val="00031533"/>
    <w:rsid w:val="00041B02"/>
    <w:rsid w:val="000421AE"/>
    <w:rsid w:val="00043DC7"/>
    <w:rsid w:val="00045CF8"/>
    <w:rsid w:val="00047C6B"/>
    <w:rsid w:val="00050225"/>
    <w:rsid w:val="000534EC"/>
    <w:rsid w:val="000574B4"/>
    <w:rsid w:val="00063753"/>
    <w:rsid w:val="00064115"/>
    <w:rsid w:val="000676F2"/>
    <w:rsid w:val="00071F97"/>
    <w:rsid w:val="000763B3"/>
    <w:rsid w:val="00080037"/>
    <w:rsid w:val="000834AB"/>
    <w:rsid w:val="00084F90"/>
    <w:rsid w:val="00097777"/>
    <w:rsid w:val="000A1918"/>
    <w:rsid w:val="000A5E97"/>
    <w:rsid w:val="000A6015"/>
    <w:rsid w:val="000A7999"/>
    <w:rsid w:val="000B5ED2"/>
    <w:rsid w:val="000C0A2E"/>
    <w:rsid w:val="000E1E2F"/>
    <w:rsid w:val="000E7793"/>
    <w:rsid w:val="000F0916"/>
    <w:rsid w:val="000F2C4E"/>
    <w:rsid w:val="000F62A7"/>
    <w:rsid w:val="00100569"/>
    <w:rsid w:val="00100C95"/>
    <w:rsid w:val="001048C0"/>
    <w:rsid w:val="001105E1"/>
    <w:rsid w:val="001109EF"/>
    <w:rsid w:val="00111C32"/>
    <w:rsid w:val="00112803"/>
    <w:rsid w:val="00117B5D"/>
    <w:rsid w:val="0012430D"/>
    <w:rsid w:val="00130AFB"/>
    <w:rsid w:val="00134DE8"/>
    <w:rsid w:val="001360A8"/>
    <w:rsid w:val="00147754"/>
    <w:rsid w:val="001505C0"/>
    <w:rsid w:val="00150910"/>
    <w:rsid w:val="00152403"/>
    <w:rsid w:val="00152C27"/>
    <w:rsid w:val="00175E92"/>
    <w:rsid w:val="0018179E"/>
    <w:rsid w:val="00184135"/>
    <w:rsid w:val="001848B5"/>
    <w:rsid w:val="0019173B"/>
    <w:rsid w:val="0019280B"/>
    <w:rsid w:val="001A1019"/>
    <w:rsid w:val="001A1A43"/>
    <w:rsid w:val="001A1CD5"/>
    <w:rsid w:val="001A5A37"/>
    <w:rsid w:val="001A6617"/>
    <w:rsid w:val="001B1CF0"/>
    <w:rsid w:val="001C100F"/>
    <w:rsid w:val="001C2361"/>
    <w:rsid w:val="001D4A60"/>
    <w:rsid w:val="001E4D67"/>
    <w:rsid w:val="001F235A"/>
    <w:rsid w:val="001F2D7C"/>
    <w:rsid w:val="001F5F61"/>
    <w:rsid w:val="00201867"/>
    <w:rsid w:val="00210F93"/>
    <w:rsid w:val="00223554"/>
    <w:rsid w:val="002244FD"/>
    <w:rsid w:val="00225798"/>
    <w:rsid w:val="002301FF"/>
    <w:rsid w:val="00230DDC"/>
    <w:rsid w:val="00246C65"/>
    <w:rsid w:val="00250F27"/>
    <w:rsid w:val="002550BB"/>
    <w:rsid w:val="00255F30"/>
    <w:rsid w:val="00257E48"/>
    <w:rsid w:val="002600E7"/>
    <w:rsid w:val="00262C8B"/>
    <w:rsid w:val="002762C9"/>
    <w:rsid w:val="00281BCD"/>
    <w:rsid w:val="002924B6"/>
    <w:rsid w:val="002A11BA"/>
    <w:rsid w:val="002A5891"/>
    <w:rsid w:val="002A6A02"/>
    <w:rsid w:val="002B164B"/>
    <w:rsid w:val="002B3910"/>
    <w:rsid w:val="002D13A2"/>
    <w:rsid w:val="002D1B04"/>
    <w:rsid w:val="002D4C04"/>
    <w:rsid w:val="002D4FD6"/>
    <w:rsid w:val="002D6A0D"/>
    <w:rsid w:val="002E6890"/>
    <w:rsid w:val="002E7383"/>
    <w:rsid w:val="002F210F"/>
    <w:rsid w:val="002F69AF"/>
    <w:rsid w:val="0030017B"/>
    <w:rsid w:val="00301021"/>
    <w:rsid w:val="0030148A"/>
    <w:rsid w:val="00303EFD"/>
    <w:rsid w:val="0031360B"/>
    <w:rsid w:val="00317870"/>
    <w:rsid w:val="00321022"/>
    <w:rsid w:val="00323A4A"/>
    <w:rsid w:val="003257BD"/>
    <w:rsid w:val="0033036F"/>
    <w:rsid w:val="00330428"/>
    <w:rsid w:val="003311DF"/>
    <w:rsid w:val="00332310"/>
    <w:rsid w:val="003339CE"/>
    <w:rsid w:val="003367B4"/>
    <w:rsid w:val="00340412"/>
    <w:rsid w:val="003407BF"/>
    <w:rsid w:val="00341E94"/>
    <w:rsid w:val="00341EC1"/>
    <w:rsid w:val="0034356C"/>
    <w:rsid w:val="00344131"/>
    <w:rsid w:val="00347F9E"/>
    <w:rsid w:val="00350EED"/>
    <w:rsid w:val="00351E1C"/>
    <w:rsid w:val="00375B0A"/>
    <w:rsid w:val="00377143"/>
    <w:rsid w:val="00377431"/>
    <w:rsid w:val="003847EC"/>
    <w:rsid w:val="00391BB9"/>
    <w:rsid w:val="00396E0B"/>
    <w:rsid w:val="003A15FC"/>
    <w:rsid w:val="003A1D94"/>
    <w:rsid w:val="003A7EB8"/>
    <w:rsid w:val="003B1A22"/>
    <w:rsid w:val="003B33D3"/>
    <w:rsid w:val="003B7A57"/>
    <w:rsid w:val="003C4B96"/>
    <w:rsid w:val="003C55E6"/>
    <w:rsid w:val="003C6C92"/>
    <w:rsid w:val="003D2AD3"/>
    <w:rsid w:val="003D458C"/>
    <w:rsid w:val="003D5550"/>
    <w:rsid w:val="003D6537"/>
    <w:rsid w:val="003E2B52"/>
    <w:rsid w:val="003E5451"/>
    <w:rsid w:val="003E5F2C"/>
    <w:rsid w:val="00401BD1"/>
    <w:rsid w:val="0040330E"/>
    <w:rsid w:val="00406D60"/>
    <w:rsid w:val="00415F39"/>
    <w:rsid w:val="0042759D"/>
    <w:rsid w:val="004311AF"/>
    <w:rsid w:val="004344B5"/>
    <w:rsid w:val="004372C1"/>
    <w:rsid w:val="00450D73"/>
    <w:rsid w:val="00452C51"/>
    <w:rsid w:val="00457B18"/>
    <w:rsid w:val="00463378"/>
    <w:rsid w:val="004716CD"/>
    <w:rsid w:val="00471702"/>
    <w:rsid w:val="00472C6F"/>
    <w:rsid w:val="00484ED4"/>
    <w:rsid w:val="00486EC1"/>
    <w:rsid w:val="004908E5"/>
    <w:rsid w:val="00490B3C"/>
    <w:rsid w:val="00496D10"/>
    <w:rsid w:val="004A1B71"/>
    <w:rsid w:val="004A28DB"/>
    <w:rsid w:val="004C0876"/>
    <w:rsid w:val="004C3273"/>
    <w:rsid w:val="004D444C"/>
    <w:rsid w:val="004D7C76"/>
    <w:rsid w:val="004E6595"/>
    <w:rsid w:val="004E6C1A"/>
    <w:rsid w:val="004E6DB3"/>
    <w:rsid w:val="004E7041"/>
    <w:rsid w:val="004E7972"/>
    <w:rsid w:val="004F211B"/>
    <w:rsid w:val="004F6F17"/>
    <w:rsid w:val="005077FB"/>
    <w:rsid w:val="005205E0"/>
    <w:rsid w:val="00522DD6"/>
    <w:rsid w:val="00532CDF"/>
    <w:rsid w:val="00532CE3"/>
    <w:rsid w:val="00533C10"/>
    <w:rsid w:val="00541AB4"/>
    <w:rsid w:val="00543CA9"/>
    <w:rsid w:val="00544AE1"/>
    <w:rsid w:val="00545FE6"/>
    <w:rsid w:val="00555BDF"/>
    <w:rsid w:val="00557A7A"/>
    <w:rsid w:val="00557E89"/>
    <w:rsid w:val="005612C9"/>
    <w:rsid w:val="00561CC4"/>
    <w:rsid w:val="0056271F"/>
    <w:rsid w:val="00563DFB"/>
    <w:rsid w:val="00565B03"/>
    <w:rsid w:val="00570D3F"/>
    <w:rsid w:val="00574AD5"/>
    <w:rsid w:val="00575F99"/>
    <w:rsid w:val="005806A2"/>
    <w:rsid w:val="00584799"/>
    <w:rsid w:val="0058500C"/>
    <w:rsid w:val="00590894"/>
    <w:rsid w:val="00591EEF"/>
    <w:rsid w:val="0059242E"/>
    <w:rsid w:val="00595003"/>
    <w:rsid w:val="005A1ECF"/>
    <w:rsid w:val="005A5D69"/>
    <w:rsid w:val="005B28D9"/>
    <w:rsid w:val="005B3D40"/>
    <w:rsid w:val="005D0828"/>
    <w:rsid w:val="005E6FED"/>
    <w:rsid w:val="005F12F9"/>
    <w:rsid w:val="005F3966"/>
    <w:rsid w:val="005F509A"/>
    <w:rsid w:val="005F6235"/>
    <w:rsid w:val="00610942"/>
    <w:rsid w:val="00612CD4"/>
    <w:rsid w:val="00616EE2"/>
    <w:rsid w:val="00627753"/>
    <w:rsid w:val="00632692"/>
    <w:rsid w:val="00633870"/>
    <w:rsid w:val="00641868"/>
    <w:rsid w:val="006477A2"/>
    <w:rsid w:val="00654368"/>
    <w:rsid w:val="006600F3"/>
    <w:rsid w:val="00672D12"/>
    <w:rsid w:val="00673F95"/>
    <w:rsid w:val="00676D67"/>
    <w:rsid w:val="00682E30"/>
    <w:rsid w:val="006844ED"/>
    <w:rsid w:val="006A0293"/>
    <w:rsid w:val="006A2D50"/>
    <w:rsid w:val="006A32F5"/>
    <w:rsid w:val="006A3795"/>
    <w:rsid w:val="006B4AE0"/>
    <w:rsid w:val="006B5511"/>
    <w:rsid w:val="006B5893"/>
    <w:rsid w:val="006B653D"/>
    <w:rsid w:val="006C5C1A"/>
    <w:rsid w:val="006C5F85"/>
    <w:rsid w:val="006D033D"/>
    <w:rsid w:val="006D209E"/>
    <w:rsid w:val="006D4D83"/>
    <w:rsid w:val="006D70DE"/>
    <w:rsid w:val="006D7308"/>
    <w:rsid w:val="006E1056"/>
    <w:rsid w:val="006E2F11"/>
    <w:rsid w:val="006E40BB"/>
    <w:rsid w:val="006E56B1"/>
    <w:rsid w:val="006E6805"/>
    <w:rsid w:val="006E6FA7"/>
    <w:rsid w:val="006E7775"/>
    <w:rsid w:val="006F19B7"/>
    <w:rsid w:val="006F4CCE"/>
    <w:rsid w:val="006F6043"/>
    <w:rsid w:val="00704C68"/>
    <w:rsid w:val="00706D2B"/>
    <w:rsid w:val="00713D95"/>
    <w:rsid w:val="007209E2"/>
    <w:rsid w:val="007241D4"/>
    <w:rsid w:val="00727D83"/>
    <w:rsid w:val="0073377D"/>
    <w:rsid w:val="00733B08"/>
    <w:rsid w:val="00733CCE"/>
    <w:rsid w:val="0073629A"/>
    <w:rsid w:val="00741C61"/>
    <w:rsid w:val="00743DD2"/>
    <w:rsid w:val="00745853"/>
    <w:rsid w:val="00745D48"/>
    <w:rsid w:val="00754E7E"/>
    <w:rsid w:val="00756794"/>
    <w:rsid w:val="00756A18"/>
    <w:rsid w:val="007661C6"/>
    <w:rsid w:val="0077520D"/>
    <w:rsid w:val="00776C9A"/>
    <w:rsid w:val="00777884"/>
    <w:rsid w:val="00781BFC"/>
    <w:rsid w:val="0078229D"/>
    <w:rsid w:val="007855F6"/>
    <w:rsid w:val="00786241"/>
    <w:rsid w:val="00787921"/>
    <w:rsid w:val="00791423"/>
    <w:rsid w:val="007952D4"/>
    <w:rsid w:val="00797604"/>
    <w:rsid w:val="007A3292"/>
    <w:rsid w:val="007A352F"/>
    <w:rsid w:val="007B0159"/>
    <w:rsid w:val="007B4BC5"/>
    <w:rsid w:val="007B74A6"/>
    <w:rsid w:val="007C2CB9"/>
    <w:rsid w:val="007C3111"/>
    <w:rsid w:val="007C370E"/>
    <w:rsid w:val="007D2E9A"/>
    <w:rsid w:val="007E456F"/>
    <w:rsid w:val="007E6D56"/>
    <w:rsid w:val="007F1CF8"/>
    <w:rsid w:val="007F4001"/>
    <w:rsid w:val="007F55EB"/>
    <w:rsid w:val="007F6278"/>
    <w:rsid w:val="007F632E"/>
    <w:rsid w:val="008029D3"/>
    <w:rsid w:val="00805096"/>
    <w:rsid w:val="00810F2D"/>
    <w:rsid w:val="00816CD2"/>
    <w:rsid w:val="00817EEE"/>
    <w:rsid w:val="00840F6F"/>
    <w:rsid w:val="00847CE8"/>
    <w:rsid w:val="00855DFB"/>
    <w:rsid w:val="008567EA"/>
    <w:rsid w:val="0085697C"/>
    <w:rsid w:val="0086172B"/>
    <w:rsid w:val="008664B5"/>
    <w:rsid w:val="00867CBD"/>
    <w:rsid w:val="00872358"/>
    <w:rsid w:val="0088232B"/>
    <w:rsid w:val="00890E59"/>
    <w:rsid w:val="008918AF"/>
    <w:rsid w:val="00891DFF"/>
    <w:rsid w:val="008924BF"/>
    <w:rsid w:val="008A299F"/>
    <w:rsid w:val="008A33F3"/>
    <w:rsid w:val="008A3AD5"/>
    <w:rsid w:val="008B4E25"/>
    <w:rsid w:val="008B697B"/>
    <w:rsid w:val="008E048F"/>
    <w:rsid w:val="008E1707"/>
    <w:rsid w:val="008E3942"/>
    <w:rsid w:val="008F0F27"/>
    <w:rsid w:val="008F40EF"/>
    <w:rsid w:val="008F76B4"/>
    <w:rsid w:val="008F7A1E"/>
    <w:rsid w:val="00913880"/>
    <w:rsid w:val="00916277"/>
    <w:rsid w:val="00920915"/>
    <w:rsid w:val="009210BC"/>
    <w:rsid w:val="009233E1"/>
    <w:rsid w:val="00924ECB"/>
    <w:rsid w:val="0092634F"/>
    <w:rsid w:val="00935581"/>
    <w:rsid w:val="009360EB"/>
    <w:rsid w:val="00937B7E"/>
    <w:rsid w:val="00952A36"/>
    <w:rsid w:val="009543FF"/>
    <w:rsid w:val="00957E6E"/>
    <w:rsid w:val="00965841"/>
    <w:rsid w:val="0096625D"/>
    <w:rsid w:val="00971B84"/>
    <w:rsid w:val="009770F2"/>
    <w:rsid w:val="00980138"/>
    <w:rsid w:val="0098013D"/>
    <w:rsid w:val="00981726"/>
    <w:rsid w:val="0098316F"/>
    <w:rsid w:val="00985384"/>
    <w:rsid w:val="009854A7"/>
    <w:rsid w:val="00985A53"/>
    <w:rsid w:val="00992E37"/>
    <w:rsid w:val="00992F3B"/>
    <w:rsid w:val="009A5CB7"/>
    <w:rsid w:val="009A62BF"/>
    <w:rsid w:val="009B7F35"/>
    <w:rsid w:val="009D4F34"/>
    <w:rsid w:val="009D65B6"/>
    <w:rsid w:val="009D7BDF"/>
    <w:rsid w:val="009E7C62"/>
    <w:rsid w:val="009F118B"/>
    <w:rsid w:val="009F3559"/>
    <w:rsid w:val="00A0197D"/>
    <w:rsid w:val="00A073CB"/>
    <w:rsid w:val="00A0743B"/>
    <w:rsid w:val="00A11062"/>
    <w:rsid w:val="00A164E0"/>
    <w:rsid w:val="00A16E6F"/>
    <w:rsid w:val="00A2007D"/>
    <w:rsid w:val="00A233D7"/>
    <w:rsid w:val="00A25CEA"/>
    <w:rsid w:val="00A27EA0"/>
    <w:rsid w:val="00A35142"/>
    <w:rsid w:val="00A371A4"/>
    <w:rsid w:val="00A413F3"/>
    <w:rsid w:val="00A4398A"/>
    <w:rsid w:val="00A4488F"/>
    <w:rsid w:val="00A55F21"/>
    <w:rsid w:val="00A77F37"/>
    <w:rsid w:val="00A84CC3"/>
    <w:rsid w:val="00A92617"/>
    <w:rsid w:val="00AA020A"/>
    <w:rsid w:val="00AA26D6"/>
    <w:rsid w:val="00AA5DA2"/>
    <w:rsid w:val="00AA6423"/>
    <w:rsid w:val="00AA684E"/>
    <w:rsid w:val="00AB3252"/>
    <w:rsid w:val="00AB48A8"/>
    <w:rsid w:val="00AC17E1"/>
    <w:rsid w:val="00AE00C8"/>
    <w:rsid w:val="00AE0B98"/>
    <w:rsid w:val="00AE6311"/>
    <w:rsid w:val="00AF68E4"/>
    <w:rsid w:val="00B0066B"/>
    <w:rsid w:val="00B01A57"/>
    <w:rsid w:val="00B01D60"/>
    <w:rsid w:val="00B02AE3"/>
    <w:rsid w:val="00B02E73"/>
    <w:rsid w:val="00B06929"/>
    <w:rsid w:val="00B16C2B"/>
    <w:rsid w:val="00B25C19"/>
    <w:rsid w:val="00B27707"/>
    <w:rsid w:val="00B30489"/>
    <w:rsid w:val="00B343C4"/>
    <w:rsid w:val="00B36FB9"/>
    <w:rsid w:val="00B44A47"/>
    <w:rsid w:val="00B454D0"/>
    <w:rsid w:val="00B52D22"/>
    <w:rsid w:val="00B60F51"/>
    <w:rsid w:val="00B6555F"/>
    <w:rsid w:val="00B8247A"/>
    <w:rsid w:val="00B83787"/>
    <w:rsid w:val="00B83A4F"/>
    <w:rsid w:val="00B93699"/>
    <w:rsid w:val="00B956CA"/>
    <w:rsid w:val="00B95CDB"/>
    <w:rsid w:val="00BA5EF8"/>
    <w:rsid w:val="00BA7283"/>
    <w:rsid w:val="00BB069D"/>
    <w:rsid w:val="00BB12C7"/>
    <w:rsid w:val="00BB1E29"/>
    <w:rsid w:val="00BC5A54"/>
    <w:rsid w:val="00BD4E29"/>
    <w:rsid w:val="00BE4C06"/>
    <w:rsid w:val="00BE59CC"/>
    <w:rsid w:val="00BE5D03"/>
    <w:rsid w:val="00BE7CCA"/>
    <w:rsid w:val="00BF0C51"/>
    <w:rsid w:val="00BF117A"/>
    <w:rsid w:val="00BF4E9B"/>
    <w:rsid w:val="00C10E38"/>
    <w:rsid w:val="00C17508"/>
    <w:rsid w:val="00C264C8"/>
    <w:rsid w:val="00C26A1B"/>
    <w:rsid w:val="00C34A5E"/>
    <w:rsid w:val="00C3555F"/>
    <w:rsid w:val="00C41E6D"/>
    <w:rsid w:val="00C42AD3"/>
    <w:rsid w:val="00C433C0"/>
    <w:rsid w:val="00C541A9"/>
    <w:rsid w:val="00C6162B"/>
    <w:rsid w:val="00C734E1"/>
    <w:rsid w:val="00C87E96"/>
    <w:rsid w:val="00C94030"/>
    <w:rsid w:val="00C9503E"/>
    <w:rsid w:val="00CA0084"/>
    <w:rsid w:val="00CA0BF9"/>
    <w:rsid w:val="00CA50BD"/>
    <w:rsid w:val="00CA5F26"/>
    <w:rsid w:val="00CB431C"/>
    <w:rsid w:val="00CB51F4"/>
    <w:rsid w:val="00CB62DB"/>
    <w:rsid w:val="00CC1270"/>
    <w:rsid w:val="00CC3768"/>
    <w:rsid w:val="00CC37AF"/>
    <w:rsid w:val="00CC4CF0"/>
    <w:rsid w:val="00CC711F"/>
    <w:rsid w:val="00CD1F5E"/>
    <w:rsid w:val="00CD5268"/>
    <w:rsid w:val="00CF2A11"/>
    <w:rsid w:val="00CF49B9"/>
    <w:rsid w:val="00D032E7"/>
    <w:rsid w:val="00D047A7"/>
    <w:rsid w:val="00D05A79"/>
    <w:rsid w:val="00D068D0"/>
    <w:rsid w:val="00D11E72"/>
    <w:rsid w:val="00D13547"/>
    <w:rsid w:val="00D13E4F"/>
    <w:rsid w:val="00D21565"/>
    <w:rsid w:val="00D25951"/>
    <w:rsid w:val="00D309B8"/>
    <w:rsid w:val="00D340C2"/>
    <w:rsid w:val="00D3776F"/>
    <w:rsid w:val="00D6187C"/>
    <w:rsid w:val="00D647F8"/>
    <w:rsid w:val="00D663A6"/>
    <w:rsid w:val="00D75547"/>
    <w:rsid w:val="00D7794E"/>
    <w:rsid w:val="00D81810"/>
    <w:rsid w:val="00D82E2E"/>
    <w:rsid w:val="00D833E1"/>
    <w:rsid w:val="00D8590D"/>
    <w:rsid w:val="00D87853"/>
    <w:rsid w:val="00D90D84"/>
    <w:rsid w:val="00D91814"/>
    <w:rsid w:val="00D9438C"/>
    <w:rsid w:val="00DA218D"/>
    <w:rsid w:val="00DB026C"/>
    <w:rsid w:val="00DB3A59"/>
    <w:rsid w:val="00DB3E4A"/>
    <w:rsid w:val="00DB4B5B"/>
    <w:rsid w:val="00DC1031"/>
    <w:rsid w:val="00DE5AE7"/>
    <w:rsid w:val="00DE77F8"/>
    <w:rsid w:val="00DF1433"/>
    <w:rsid w:val="00DF3A97"/>
    <w:rsid w:val="00E01524"/>
    <w:rsid w:val="00E05774"/>
    <w:rsid w:val="00E07DE5"/>
    <w:rsid w:val="00E113B8"/>
    <w:rsid w:val="00E12D9E"/>
    <w:rsid w:val="00E17D80"/>
    <w:rsid w:val="00E21129"/>
    <w:rsid w:val="00E2222E"/>
    <w:rsid w:val="00E23C6C"/>
    <w:rsid w:val="00E27127"/>
    <w:rsid w:val="00E273AF"/>
    <w:rsid w:val="00E40931"/>
    <w:rsid w:val="00E469DB"/>
    <w:rsid w:val="00E46D60"/>
    <w:rsid w:val="00E52D20"/>
    <w:rsid w:val="00E55039"/>
    <w:rsid w:val="00E57504"/>
    <w:rsid w:val="00E73D15"/>
    <w:rsid w:val="00E759CB"/>
    <w:rsid w:val="00E81403"/>
    <w:rsid w:val="00E909BE"/>
    <w:rsid w:val="00E9459B"/>
    <w:rsid w:val="00E95F3D"/>
    <w:rsid w:val="00EA1643"/>
    <w:rsid w:val="00EA2F12"/>
    <w:rsid w:val="00EA31C5"/>
    <w:rsid w:val="00EA75AD"/>
    <w:rsid w:val="00EB1FBA"/>
    <w:rsid w:val="00EC02E3"/>
    <w:rsid w:val="00EC3104"/>
    <w:rsid w:val="00EC6882"/>
    <w:rsid w:val="00EC769F"/>
    <w:rsid w:val="00ED7BA8"/>
    <w:rsid w:val="00EE4CD6"/>
    <w:rsid w:val="00EE7AD2"/>
    <w:rsid w:val="00F02095"/>
    <w:rsid w:val="00F0265A"/>
    <w:rsid w:val="00F05AE8"/>
    <w:rsid w:val="00F063F5"/>
    <w:rsid w:val="00F10893"/>
    <w:rsid w:val="00F15ADF"/>
    <w:rsid w:val="00F22E47"/>
    <w:rsid w:val="00F26F9A"/>
    <w:rsid w:val="00F306C1"/>
    <w:rsid w:val="00F32FC3"/>
    <w:rsid w:val="00F34E47"/>
    <w:rsid w:val="00F41C63"/>
    <w:rsid w:val="00F41E7B"/>
    <w:rsid w:val="00F4255E"/>
    <w:rsid w:val="00F42770"/>
    <w:rsid w:val="00F43D4E"/>
    <w:rsid w:val="00F44858"/>
    <w:rsid w:val="00F47FDE"/>
    <w:rsid w:val="00F56440"/>
    <w:rsid w:val="00F61170"/>
    <w:rsid w:val="00F642BE"/>
    <w:rsid w:val="00F645BF"/>
    <w:rsid w:val="00F654BD"/>
    <w:rsid w:val="00F676DD"/>
    <w:rsid w:val="00F75692"/>
    <w:rsid w:val="00F81398"/>
    <w:rsid w:val="00F817CA"/>
    <w:rsid w:val="00F90A47"/>
    <w:rsid w:val="00F93864"/>
    <w:rsid w:val="00FA44A5"/>
    <w:rsid w:val="00FB3378"/>
    <w:rsid w:val="00FC0383"/>
    <w:rsid w:val="00FD06D8"/>
    <w:rsid w:val="00FD6573"/>
    <w:rsid w:val="00FD7798"/>
    <w:rsid w:val="00FE0055"/>
    <w:rsid w:val="00FE0C91"/>
    <w:rsid w:val="00FE2D2A"/>
    <w:rsid w:val="00FE5187"/>
    <w:rsid w:val="00FE5BE2"/>
    <w:rsid w:val="00FE6321"/>
    <w:rsid w:val="00FF06DF"/>
    <w:rsid w:val="00FF0A02"/>
    <w:rsid w:val="00FF1641"/>
    <w:rsid w:val="00FF56A6"/>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ef8e8"/>
    </o:shapedefaults>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6E0B"/>
  </w:style>
  <w:style w:type="paragraph" w:styleId="Titre1">
    <w:name w:val="heading 1"/>
    <w:basedOn w:val="Normal"/>
    <w:next w:val="Normal"/>
    <w:link w:val="Titre1Car"/>
    <w:autoRedefine/>
    <w:uiPriority w:val="9"/>
    <w:qFormat/>
    <w:rsid w:val="00396E0B"/>
    <w:pPr>
      <w:spacing w:after="0" w:line="216" w:lineRule="auto"/>
      <w:ind w:left="-284" w:right="-113"/>
      <w:jc w:val="both"/>
      <w:outlineLvl w:val="0"/>
    </w:pPr>
    <w:rPr>
      <w:rFonts w:ascii="Segoe UI" w:hAnsi="Segoe UI" w:cs="Segoe UI"/>
      <w:b/>
      <w:color w:val="000091" w:themeColor="text1"/>
      <w:szCs w:val="20"/>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unhideWhenUsed/>
    <w:rsid w:val="00981726"/>
    <w:pPr>
      <w:spacing w:line="240" w:lineRule="auto"/>
    </w:pPr>
    <w:rPr>
      <w:sz w:val="20"/>
      <w:szCs w:val="20"/>
    </w:rPr>
  </w:style>
  <w:style w:type="character" w:customStyle="1" w:styleId="CommentaireCar">
    <w:name w:val="Commentaire Car"/>
    <w:basedOn w:val="Policepardfaut"/>
    <w:link w:val="Commentaire"/>
    <w:uiPriority w:val="99"/>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rsid w:val="005B3D40"/>
    <w:pPr>
      <w:spacing w:after="0" w:line="240" w:lineRule="auto"/>
    </w:pPr>
  </w:style>
  <w:style w:type="paragraph" w:styleId="Notedebasdepage">
    <w:name w:val="footnote text"/>
    <w:basedOn w:val="Normal"/>
    <w:link w:val="NotedebasdepageCar"/>
    <w:uiPriority w:val="99"/>
    <w:unhideWhenUsed/>
    <w:rsid w:val="006C5F85"/>
    <w:pPr>
      <w:spacing w:after="0" w:line="240" w:lineRule="auto"/>
    </w:pPr>
    <w:rPr>
      <w:rFonts w:ascii="Segoe UI" w:hAnsi="Segoe UI"/>
      <w:sz w:val="16"/>
      <w:szCs w:val="20"/>
    </w:rPr>
  </w:style>
  <w:style w:type="character" w:customStyle="1" w:styleId="NotedebasdepageCar">
    <w:name w:val="Note de bas de page Car"/>
    <w:basedOn w:val="Policepardfaut"/>
    <w:link w:val="Notedebasdepage"/>
    <w:uiPriority w:val="99"/>
    <w:rsid w:val="006C5F85"/>
    <w:rPr>
      <w:rFonts w:ascii="Segoe UI" w:hAnsi="Segoe UI"/>
      <w:sz w:val="16"/>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exteaccentu">
    <w:name w:val="Texte accentué"/>
    <w:basedOn w:val="textecourant"/>
    <w:link w:val="TexteaccentuCar"/>
    <w:qFormat/>
    <w:rsid w:val="006A2D50"/>
    <w:rPr>
      <w:color w:val="6A6AF4" w:themeColor="text2"/>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paragraph" w:customStyle="1" w:styleId="Listepoints">
    <w:name w:val="Liste à points"/>
    <w:basedOn w:val="Brvesco-Normal"/>
    <w:link w:val="ListepointsCar"/>
    <w:qFormat/>
    <w:rsid w:val="006A2D50"/>
    <w:pPr>
      <w:numPr>
        <w:numId w:val="15"/>
      </w:numPr>
      <w:spacing w:after="120" w:line="240" w:lineRule="auto"/>
    </w:pPr>
    <w:rPr>
      <w:rFonts w:ascii="Segoe UI" w:hAnsi="Segoe UI" w:cs="Segoe UI"/>
      <w:color w:val="6A6AF4" w:themeColor="text2"/>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396E0B"/>
    <w:rPr>
      <w:rFonts w:ascii="Segoe UI" w:hAnsi="Segoe UI" w:cs="Segoe UI"/>
      <w:b/>
      <w:color w:val="000091" w:themeColor="text1"/>
      <w:szCs w:val="2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rsid w:val="00AA020A"/>
    <w:rPr>
      <w:rFonts w:ascii="Segoe UI" w:hAnsi="Segoe UI" w:cs="Segoe UI"/>
      <w:color w:val="000091" w:themeColor="text1"/>
    </w:rPr>
  </w:style>
  <w:style w:type="paragraph" w:customStyle="1" w:styleId="Soustitrechapeau">
    <w:name w:val="Sous titre chapeau"/>
    <w:basedOn w:val="Normal"/>
    <w:link w:val="SoustitrechapeauCar"/>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0">
    <w:name w:val="Texte courant"/>
    <w:basedOn w:val="textecourant"/>
    <w:link w:val="TextecourantCar"/>
    <w:rsid w:val="00992E37"/>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0"/>
    <w:rsid w:val="00992E37"/>
    <w:rPr>
      <w:rFonts w:ascii="Segoe UI" w:hAnsi="Segoe UI" w:cs="Segoe UI"/>
      <w:noProof/>
      <w:sz w:val="20"/>
      <w:szCs w:val="20"/>
    </w:rPr>
  </w:style>
  <w:style w:type="paragraph" w:customStyle="1" w:styleId="listeTitre">
    <w:name w:val="liste Titre"/>
    <w:basedOn w:val="Titreliste"/>
    <w:link w:val="listeTitreCar"/>
    <w:rsid w:val="00985384"/>
    <w:pPr>
      <w:spacing w:after="240"/>
    </w:pPr>
    <w:rPr>
      <w:rFonts w:ascii="Marianne Medium" w:hAnsi="Marianne Medium"/>
      <w:sz w:val="24"/>
    </w:rPr>
  </w:style>
  <w:style w:type="paragraph" w:customStyle="1" w:styleId="accentuation01">
    <w:name w:val="accentuation 01"/>
    <w:basedOn w:val="textecourant"/>
    <w:link w:val="accentuation01Car"/>
    <w:rsid w:val="00457B18"/>
    <w:pPr>
      <w:numPr>
        <w:numId w:val="14"/>
      </w:numPr>
      <w:spacing w:after="80"/>
      <w:ind w:left="-142" w:hanging="142"/>
      <w:jc w:val="left"/>
    </w:pPr>
    <w:rPr>
      <w:color w:val="6A6AF4" w:themeColor="text2"/>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notesbasdepage"/>
    <w:link w:val="notesdebasdepageCar"/>
    <w:rsid w:val="006C5F85"/>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6C5F85"/>
    <w:rPr>
      <w:rFonts w:ascii="Segoe UI" w:hAnsi="Segoe UI" w:cs="Segoe UI"/>
      <w:noProof/>
      <w:sz w:val="16"/>
      <w:szCs w:val="16"/>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AE6311"/>
    <w:pPr>
      <w:spacing w:before="120" w:after="360"/>
      <w:jc w:val="center"/>
    </w:pPr>
    <w:rPr>
      <w:rFonts w:ascii="Segoe UI" w:hAnsi="Segoe UI" w:cs="Segoe UI"/>
      <w:caps/>
      <w:color w:val="000091" w:themeColor="text1"/>
      <w:sz w:val="32"/>
      <w:szCs w:val="20"/>
      <w:lang w:eastAsia="fr-FR"/>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AE6311"/>
    <w:rPr>
      <w:rFonts w:ascii="Segoe UI" w:hAnsi="Segoe UI" w:cs="Segoe UI"/>
      <w:caps/>
      <w:color w:val="000091" w:themeColor="text1"/>
      <w:sz w:val="32"/>
      <w:szCs w:val="20"/>
      <w:lang w:eastAsia="fr-FR"/>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te"/>
    <w:link w:val="NotedefinCar"/>
    <w:uiPriority w:val="99"/>
    <w:unhideWhenUsed/>
    <w:rsid w:val="006C5F85"/>
  </w:style>
  <w:style w:type="character" w:customStyle="1" w:styleId="NotedefinCar">
    <w:name w:val="Note de fin Car"/>
    <w:basedOn w:val="Policepardfaut"/>
    <w:link w:val="Notedefin"/>
    <w:uiPriority w:val="99"/>
    <w:rsid w:val="006C5F85"/>
    <w:rPr>
      <w:rFonts w:ascii="Segoe UI" w:hAnsi="Segoe UI" w:cs="Segoe UI"/>
      <w:sz w:val="16"/>
      <w:szCs w:val="16"/>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link w:val="Brvesco-NormalCar"/>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6C5F85"/>
  </w:style>
  <w:style w:type="paragraph" w:customStyle="1" w:styleId="textecourant">
    <w:name w:val="texte courant"/>
    <w:basedOn w:val="Brvesco-Normal"/>
    <w:link w:val="textecourantCar0"/>
    <w:qFormat/>
    <w:rsid w:val="00992E37"/>
    <w:pPr>
      <w:spacing w:after="120" w:line="240" w:lineRule="auto"/>
    </w:pPr>
    <w:rPr>
      <w:rFonts w:ascii="Segoe UI" w:hAnsi="Segoe UI" w:cs="Segoe UI"/>
      <w:noProof/>
      <w:color w:val="auto"/>
      <w:szCs w:val="20"/>
    </w:rPr>
  </w:style>
  <w:style w:type="character" w:customStyle="1" w:styleId="notesbasdepageCar">
    <w:name w:val="notes bas de page Car"/>
    <w:basedOn w:val="NotedefinCar"/>
    <w:link w:val="notesbasdepage"/>
    <w:rsid w:val="006C5F85"/>
    <w:rPr>
      <w:rFonts w:ascii="Segoe UI" w:hAnsi="Segoe UI" w:cs="Segoe UI"/>
      <w:sz w:val="16"/>
      <w:szCs w:val="16"/>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paragraph" w:customStyle="1" w:styleId="Enttegauche">
    <w:name w:val="Entête gauche"/>
    <w:basedOn w:val="Normal"/>
    <w:link w:val="EnttegaucheCar"/>
    <w:qFormat/>
    <w:rsid w:val="00AE6311"/>
    <w:pPr>
      <w:spacing w:before="120" w:after="0" w:line="240" w:lineRule="auto"/>
      <w:ind w:left="142"/>
    </w:pPr>
    <w:rPr>
      <w:rFonts w:ascii="Segoe UI" w:hAnsi="Segoe UI" w:cs="Segoe UI"/>
      <w:bCs/>
      <w:color w:val="000091" w:themeColor="text1"/>
      <w:sz w:val="18"/>
      <w:szCs w:val="18"/>
      <w:lang w:eastAsia="ja-JP"/>
    </w:rPr>
  </w:style>
  <w:style w:type="paragraph" w:customStyle="1" w:styleId="Enttedroite">
    <w:name w:val="Entête droite"/>
    <w:basedOn w:val="Normal"/>
    <w:link w:val="EnttedroiteCar"/>
    <w:qFormat/>
    <w:rsid w:val="00AE6311"/>
    <w:pPr>
      <w:spacing w:before="120" w:after="0" w:line="240" w:lineRule="auto"/>
      <w:ind w:right="147"/>
      <w:jc w:val="right"/>
    </w:pPr>
    <w:rPr>
      <w:rFonts w:ascii="Segoe UI" w:hAnsi="Segoe UI" w:cs="Segoe UI"/>
      <w:bCs/>
      <w:color w:val="000091" w:themeColor="text1"/>
      <w:sz w:val="18"/>
      <w:szCs w:val="18"/>
      <w:lang w:eastAsia="ja-JP"/>
    </w:rPr>
  </w:style>
  <w:style w:type="character" w:customStyle="1" w:styleId="EnttegaucheCar">
    <w:name w:val="Entête gauche Car"/>
    <w:basedOn w:val="Policepardfaut"/>
    <w:link w:val="Enttegauche"/>
    <w:rsid w:val="00AE6311"/>
    <w:rPr>
      <w:rFonts w:ascii="Segoe UI" w:hAnsi="Segoe UI" w:cs="Segoe UI"/>
      <w:bCs/>
      <w:color w:val="000091" w:themeColor="text1"/>
      <w:sz w:val="18"/>
      <w:szCs w:val="18"/>
      <w:lang w:eastAsia="ja-JP"/>
    </w:rPr>
  </w:style>
  <w:style w:type="paragraph" w:customStyle="1" w:styleId="Dateetlieu">
    <w:name w:val="Date et lieu"/>
    <w:basedOn w:val="Normal"/>
    <w:link w:val="DateetlieuCar"/>
    <w:qFormat/>
    <w:rsid w:val="00AE6311"/>
    <w:pPr>
      <w:spacing w:before="120" w:after="120"/>
      <w:ind w:right="-454"/>
      <w:jc w:val="right"/>
    </w:pPr>
    <w:rPr>
      <w:rFonts w:ascii="Segoe UI" w:hAnsi="Segoe UI" w:cs="Segoe UI"/>
      <w:color w:val="986E02" w:themeColor="accent2" w:themeShade="80"/>
      <w:sz w:val="17"/>
      <w:szCs w:val="17"/>
      <w:lang w:eastAsia="ja-JP"/>
    </w:rPr>
  </w:style>
  <w:style w:type="character" w:customStyle="1" w:styleId="EnttedroiteCar">
    <w:name w:val="Entête droite Car"/>
    <w:basedOn w:val="Policepardfaut"/>
    <w:link w:val="Enttedroite"/>
    <w:rsid w:val="00AE6311"/>
    <w:rPr>
      <w:rFonts w:ascii="Segoe UI" w:hAnsi="Segoe UI" w:cs="Segoe UI"/>
      <w:bCs/>
      <w:color w:val="000091" w:themeColor="text1"/>
      <w:sz w:val="18"/>
      <w:szCs w:val="18"/>
      <w:lang w:eastAsia="ja-JP"/>
    </w:rPr>
  </w:style>
  <w:style w:type="paragraph" w:customStyle="1" w:styleId="Pays">
    <w:name w:val="Pays"/>
    <w:basedOn w:val="Normal"/>
    <w:link w:val="PaysCar"/>
    <w:qFormat/>
    <w:rsid w:val="00AE6311"/>
    <w:pPr>
      <w:spacing w:before="80" w:after="80" w:line="240" w:lineRule="auto"/>
      <w:jc w:val="center"/>
    </w:pPr>
    <w:rPr>
      <w:rFonts w:ascii="Segoe UI" w:eastAsia="SimSun" w:hAnsi="Segoe UI" w:cs="Segoe UI"/>
      <w:b/>
      <w:bCs/>
      <w:caps/>
      <w:color w:val="000091" w:themeColor="text1"/>
      <w:sz w:val="32"/>
      <w:szCs w:val="20"/>
    </w:rPr>
  </w:style>
  <w:style w:type="character" w:customStyle="1" w:styleId="DateetlieuCar">
    <w:name w:val="Date et lieu Car"/>
    <w:basedOn w:val="Policepardfaut"/>
    <w:link w:val="Dateetlieu"/>
    <w:rsid w:val="00AE6311"/>
    <w:rPr>
      <w:rFonts w:ascii="Segoe UI" w:hAnsi="Segoe UI" w:cs="Segoe UI"/>
      <w:color w:val="986E02" w:themeColor="accent2" w:themeShade="80"/>
      <w:sz w:val="17"/>
      <w:szCs w:val="17"/>
      <w:lang w:eastAsia="ja-JP"/>
    </w:rPr>
  </w:style>
  <w:style w:type="paragraph" w:customStyle="1" w:styleId="Rsum">
    <w:name w:val="Résumé"/>
    <w:basedOn w:val="Normal"/>
    <w:link w:val="RsumCar"/>
    <w:qFormat/>
    <w:rsid w:val="00AE6311"/>
    <w:pPr>
      <w:spacing w:before="120" w:after="360"/>
      <w:jc w:val="both"/>
    </w:pPr>
    <w:rPr>
      <w:rFonts w:ascii="Segoe UI" w:hAnsi="Segoe UI" w:cs="Segoe UI"/>
      <w:noProof/>
      <w:color w:val="000091" w:themeColor="text1"/>
      <w:sz w:val="20"/>
      <w:szCs w:val="20"/>
      <w:lang w:val="es-419" w:eastAsia="fr-FR"/>
    </w:rPr>
  </w:style>
  <w:style w:type="character" w:customStyle="1" w:styleId="PaysCar">
    <w:name w:val="Pays Car"/>
    <w:basedOn w:val="Policepardfaut"/>
    <w:link w:val="Pays"/>
    <w:rsid w:val="00AE6311"/>
    <w:rPr>
      <w:rFonts w:ascii="Segoe UI" w:eastAsia="SimSun" w:hAnsi="Segoe UI" w:cs="Segoe UI"/>
      <w:b/>
      <w:bCs/>
      <w:caps/>
      <w:color w:val="000091" w:themeColor="text1"/>
      <w:sz w:val="32"/>
      <w:szCs w:val="20"/>
    </w:rPr>
  </w:style>
  <w:style w:type="character" w:customStyle="1" w:styleId="Brvesco-NormalCar">
    <w:name w:val="BrèvesÉco - Normal Car"/>
    <w:basedOn w:val="Policepardfaut"/>
    <w:link w:val="Brvesco-Normal"/>
    <w:rsid w:val="006A2D50"/>
    <w:rPr>
      <w:rFonts w:ascii="Marianne" w:hAnsi="Marianne" w:cs="Times New Roman (Corps CS)"/>
      <w:color w:val="1A171B"/>
      <w:sz w:val="20"/>
      <w:szCs w:val="24"/>
    </w:rPr>
  </w:style>
  <w:style w:type="character" w:customStyle="1" w:styleId="RsumCar">
    <w:name w:val="Résumé Car"/>
    <w:basedOn w:val="Policepardfaut"/>
    <w:link w:val="Rsum"/>
    <w:rsid w:val="00AE6311"/>
    <w:rPr>
      <w:rFonts w:ascii="Segoe UI" w:hAnsi="Segoe UI" w:cs="Segoe UI"/>
      <w:noProof/>
      <w:color w:val="000091" w:themeColor="text1"/>
      <w:sz w:val="20"/>
      <w:szCs w:val="20"/>
      <w:lang w:val="es-419" w:eastAsia="fr-FR"/>
    </w:rPr>
  </w:style>
  <w:style w:type="character" w:customStyle="1" w:styleId="textecourantCar0">
    <w:name w:val="texte courant Car"/>
    <w:basedOn w:val="Brvesco-NormalCar"/>
    <w:link w:val="textecourant"/>
    <w:rsid w:val="006A2D50"/>
    <w:rPr>
      <w:rFonts w:ascii="Segoe UI" w:hAnsi="Segoe UI" w:cs="Segoe UI"/>
      <w:noProof/>
      <w:color w:val="1A171B"/>
      <w:sz w:val="20"/>
      <w:szCs w:val="20"/>
    </w:rPr>
  </w:style>
  <w:style w:type="character" w:customStyle="1" w:styleId="TexteaccentuCar">
    <w:name w:val="Texte accentué Car"/>
    <w:basedOn w:val="textecourantCar0"/>
    <w:link w:val="Texteaccentu"/>
    <w:rsid w:val="006A2D50"/>
    <w:rPr>
      <w:rFonts w:ascii="Segoe UI" w:hAnsi="Segoe UI" w:cs="Segoe UI"/>
      <w:noProof/>
      <w:color w:val="6A6AF4" w:themeColor="text2"/>
      <w:sz w:val="20"/>
      <w:szCs w:val="20"/>
    </w:rPr>
  </w:style>
  <w:style w:type="paragraph" w:customStyle="1" w:styleId="Pointsfinaux">
    <w:name w:val="Points finaux"/>
    <w:basedOn w:val="Normal"/>
    <w:link w:val="PointsfinauxCar"/>
    <w:qFormat/>
    <w:rsid w:val="006A2D50"/>
    <w:pPr>
      <w:spacing w:before="240" w:after="240"/>
      <w:jc w:val="center"/>
    </w:pPr>
    <w:rPr>
      <w:rFonts w:ascii="Arial" w:hAnsi="Arial" w:cs="Arial"/>
      <w:b/>
      <w:bCs/>
      <w:color w:val="E4A503" w:themeColor="accent2" w:themeShade="BF"/>
      <w:sz w:val="28"/>
      <w:szCs w:val="28"/>
    </w:rPr>
  </w:style>
  <w:style w:type="character" w:customStyle="1" w:styleId="ListepointsCar">
    <w:name w:val="Liste à points Car"/>
    <w:basedOn w:val="Brvesco-NormalCar"/>
    <w:link w:val="Listepoints"/>
    <w:rsid w:val="006A2D50"/>
    <w:rPr>
      <w:rFonts w:ascii="Segoe UI" w:hAnsi="Segoe UI" w:cs="Segoe UI"/>
      <w:color w:val="6A6AF4" w:themeColor="text2"/>
      <w:sz w:val="20"/>
      <w:szCs w:val="20"/>
    </w:rPr>
  </w:style>
  <w:style w:type="paragraph" w:customStyle="1" w:styleId="Commentairefinal">
    <w:name w:val="Commentaire final"/>
    <w:basedOn w:val="Brvesco-Normal"/>
    <w:link w:val="CommentairefinalCar"/>
    <w:qFormat/>
    <w:rsid w:val="006A2D50"/>
    <w:pPr>
      <w:spacing w:line="240" w:lineRule="auto"/>
    </w:pPr>
    <w:rPr>
      <w:rFonts w:ascii="Segoe UI" w:hAnsi="Segoe UI" w:cs="Segoe UI"/>
      <w:iCs/>
      <w:color w:val="000091"/>
      <w:lang w:val="es-419" w:eastAsia="fr-FR"/>
    </w:rPr>
  </w:style>
  <w:style w:type="character" w:customStyle="1" w:styleId="PointsfinauxCar">
    <w:name w:val="Points finaux Car"/>
    <w:basedOn w:val="Policepardfaut"/>
    <w:link w:val="Pointsfinaux"/>
    <w:rsid w:val="006A2D50"/>
    <w:rPr>
      <w:rFonts w:ascii="Arial" w:hAnsi="Arial" w:cs="Arial"/>
      <w:b/>
      <w:bCs/>
      <w:color w:val="E4A503" w:themeColor="accent2" w:themeShade="BF"/>
      <w:sz w:val="28"/>
      <w:szCs w:val="28"/>
    </w:rPr>
  </w:style>
  <w:style w:type="paragraph" w:customStyle="1" w:styleId="Signaturefinale">
    <w:name w:val="Signature finale"/>
    <w:basedOn w:val="Normal"/>
    <w:link w:val="SignaturefinaleCar"/>
    <w:qFormat/>
    <w:rsid w:val="006A2D50"/>
    <w:pPr>
      <w:spacing w:before="120"/>
      <w:ind w:left="-284"/>
      <w:jc w:val="right"/>
    </w:pPr>
    <w:rPr>
      <w:rFonts w:ascii="Segoe UI" w:hAnsi="Segoe UI" w:cs="Segoe UI"/>
      <w:b/>
      <w:sz w:val="18"/>
      <w:szCs w:val="18"/>
    </w:rPr>
  </w:style>
  <w:style w:type="character" w:customStyle="1" w:styleId="CommentairefinalCar">
    <w:name w:val="Commentaire final Car"/>
    <w:basedOn w:val="Brvesco-NormalCar"/>
    <w:link w:val="Commentairefinal"/>
    <w:rsid w:val="006A2D50"/>
    <w:rPr>
      <w:rFonts w:ascii="Segoe UI" w:hAnsi="Segoe UI" w:cs="Segoe UI"/>
      <w:iCs/>
      <w:color w:val="000091"/>
      <w:sz w:val="20"/>
      <w:szCs w:val="24"/>
      <w:lang w:val="es-419" w:eastAsia="fr-FR"/>
    </w:rPr>
  </w:style>
  <w:style w:type="paragraph" w:customStyle="1" w:styleId="Titreannexe">
    <w:name w:val="Titre annexe"/>
    <w:basedOn w:val="Normal"/>
    <w:link w:val="TitreannexeCar"/>
    <w:qFormat/>
    <w:rsid w:val="006A2D50"/>
    <w:pPr>
      <w:spacing w:before="240" w:after="240"/>
      <w:jc w:val="center"/>
    </w:pPr>
    <w:rPr>
      <w:rFonts w:ascii="Segoe UI" w:hAnsi="Segoe UI" w:cs="Segoe UI"/>
      <w:bCs/>
      <w:color w:val="000091" w:themeColor="text1"/>
      <w:sz w:val="24"/>
      <w:szCs w:val="28"/>
    </w:rPr>
  </w:style>
  <w:style w:type="character" w:customStyle="1" w:styleId="SignaturefinaleCar">
    <w:name w:val="Signature finale Car"/>
    <w:basedOn w:val="Policepardfaut"/>
    <w:link w:val="Signaturefinale"/>
    <w:rsid w:val="006A2D50"/>
    <w:rPr>
      <w:rFonts w:ascii="Segoe UI" w:hAnsi="Segoe UI" w:cs="Segoe UI"/>
      <w:b/>
      <w:sz w:val="18"/>
      <w:szCs w:val="18"/>
    </w:rPr>
  </w:style>
  <w:style w:type="paragraph" w:customStyle="1" w:styleId="note">
    <w:name w:val="note"/>
    <w:basedOn w:val="Notedebasdepage"/>
    <w:link w:val="noteCar"/>
    <w:qFormat/>
    <w:rsid w:val="00BE59CC"/>
    <w:rPr>
      <w:rFonts w:cs="Segoe UI"/>
      <w:szCs w:val="16"/>
    </w:rPr>
  </w:style>
  <w:style w:type="character" w:customStyle="1" w:styleId="TitreannexeCar">
    <w:name w:val="Titre annexe Car"/>
    <w:basedOn w:val="Policepardfaut"/>
    <w:link w:val="Titreannexe"/>
    <w:rsid w:val="006A2D50"/>
    <w:rPr>
      <w:rFonts w:ascii="Segoe UI" w:hAnsi="Segoe UI" w:cs="Segoe UI"/>
      <w:bCs/>
      <w:color w:val="000091" w:themeColor="text1"/>
      <w:sz w:val="24"/>
      <w:szCs w:val="28"/>
    </w:rPr>
  </w:style>
  <w:style w:type="character" w:customStyle="1" w:styleId="noteCar">
    <w:name w:val="note Car"/>
    <w:basedOn w:val="NotedebasdepageCar"/>
    <w:link w:val="note"/>
    <w:rsid w:val="00BE59CC"/>
    <w:rPr>
      <w:rFonts w:ascii="Segoe UI" w:hAnsi="Segoe UI" w:cs="Segoe UI"/>
      <w:sz w:val="16"/>
      <w:szCs w:val="16"/>
    </w:rPr>
  </w:style>
  <w:style w:type="character" w:styleId="Mentionnonrsolue">
    <w:name w:val="Unresolved Mention"/>
    <w:basedOn w:val="Policepardfaut"/>
    <w:uiPriority w:val="99"/>
    <w:semiHidden/>
    <w:unhideWhenUsed/>
    <w:rsid w:val="00E759CB"/>
    <w:rPr>
      <w:color w:val="605E5C"/>
      <w:shd w:val="clear" w:color="auto" w:fill="E1DFDD"/>
    </w:rPr>
  </w:style>
  <w:style w:type="paragraph" w:customStyle="1" w:styleId="Pa15">
    <w:name w:val="Pa15"/>
    <w:basedOn w:val="Normal"/>
    <w:next w:val="Normal"/>
    <w:uiPriority w:val="99"/>
    <w:rsid w:val="00117B5D"/>
    <w:pPr>
      <w:autoSpaceDE w:val="0"/>
      <w:autoSpaceDN w:val="0"/>
      <w:adjustRightInd w:val="0"/>
      <w:spacing w:after="0" w:line="211" w:lineRule="atLeast"/>
    </w:pPr>
    <w:rPr>
      <w:rFonts w:ascii="Roboto" w:eastAsiaTheme="minorHAnsi" w:hAnsi="Roboto"/>
      <w:sz w:val="24"/>
      <w:szCs w:val="24"/>
    </w:rPr>
  </w:style>
  <w:style w:type="paragraph" w:styleId="NormalWeb">
    <w:name w:val="Normal (Web)"/>
    <w:basedOn w:val="Normal"/>
    <w:uiPriority w:val="99"/>
    <w:semiHidden/>
    <w:unhideWhenUsed/>
    <w:rsid w:val="006C5C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3836">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36349027">
      <w:bodyDiv w:val="1"/>
      <w:marLeft w:val="0"/>
      <w:marRight w:val="0"/>
      <w:marTop w:val="0"/>
      <w:marBottom w:val="0"/>
      <w:divBdr>
        <w:top w:val="none" w:sz="0" w:space="0" w:color="auto"/>
        <w:left w:val="none" w:sz="0" w:space="0" w:color="auto"/>
        <w:bottom w:val="none" w:sz="0" w:space="0" w:color="auto"/>
        <w:right w:val="none" w:sz="0" w:space="0" w:color="auto"/>
      </w:divBdr>
    </w:div>
    <w:div w:id="353697827">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10608513">
      <w:bodyDiv w:val="1"/>
      <w:marLeft w:val="0"/>
      <w:marRight w:val="0"/>
      <w:marTop w:val="0"/>
      <w:marBottom w:val="0"/>
      <w:divBdr>
        <w:top w:val="none" w:sz="0" w:space="0" w:color="auto"/>
        <w:left w:val="none" w:sz="0" w:space="0" w:color="auto"/>
        <w:bottom w:val="none" w:sz="0" w:space="0" w:color="auto"/>
        <w:right w:val="none" w:sz="0" w:space="0" w:color="auto"/>
      </w:divBdr>
    </w:div>
    <w:div w:id="531574686">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589389361">
      <w:bodyDiv w:val="1"/>
      <w:marLeft w:val="0"/>
      <w:marRight w:val="0"/>
      <w:marTop w:val="0"/>
      <w:marBottom w:val="0"/>
      <w:divBdr>
        <w:top w:val="none" w:sz="0" w:space="0" w:color="auto"/>
        <w:left w:val="none" w:sz="0" w:space="0" w:color="auto"/>
        <w:bottom w:val="none" w:sz="0" w:space="0" w:color="auto"/>
        <w:right w:val="none" w:sz="0" w:space="0" w:color="auto"/>
      </w:divBdr>
    </w:div>
    <w:div w:id="651063581">
      <w:bodyDiv w:val="1"/>
      <w:marLeft w:val="0"/>
      <w:marRight w:val="0"/>
      <w:marTop w:val="0"/>
      <w:marBottom w:val="0"/>
      <w:divBdr>
        <w:top w:val="none" w:sz="0" w:space="0" w:color="auto"/>
        <w:left w:val="none" w:sz="0" w:space="0" w:color="auto"/>
        <w:bottom w:val="none" w:sz="0" w:space="0" w:color="auto"/>
        <w:right w:val="none" w:sz="0" w:space="0" w:color="auto"/>
      </w:divBdr>
    </w:div>
    <w:div w:id="686103633">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768550846">
      <w:bodyDiv w:val="1"/>
      <w:marLeft w:val="0"/>
      <w:marRight w:val="0"/>
      <w:marTop w:val="0"/>
      <w:marBottom w:val="0"/>
      <w:divBdr>
        <w:top w:val="none" w:sz="0" w:space="0" w:color="auto"/>
        <w:left w:val="none" w:sz="0" w:space="0" w:color="auto"/>
        <w:bottom w:val="none" w:sz="0" w:space="0" w:color="auto"/>
        <w:right w:val="none" w:sz="0" w:space="0" w:color="auto"/>
      </w:divBdr>
    </w:div>
    <w:div w:id="774010915">
      <w:bodyDiv w:val="1"/>
      <w:marLeft w:val="0"/>
      <w:marRight w:val="0"/>
      <w:marTop w:val="0"/>
      <w:marBottom w:val="0"/>
      <w:divBdr>
        <w:top w:val="none" w:sz="0" w:space="0" w:color="auto"/>
        <w:left w:val="none" w:sz="0" w:space="0" w:color="auto"/>
        <w:bottom w:val="none" w:sz="0" w:space="0" w:color="auto"/>
        <w:right w:val="none" w:sz="0" w:space="0" w:color="auto"/>
      </w:divBdr>
    </w:div>
    <w:div w:id="907303776">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78924115">
      <w:bodyDiv w:val="1"/>
      <w:marLeft w:val="0"/>
      <w:marRight w:val="0"/>
      <w:marTop w:val="0"/>
      <w:marBottom w:val="0"/>
      <w:divBdr>
        <w:top w:val="none" w:sz="0" w:space="0" w:color="auto"/>
        <w:left w:val="none" w:sz="0" w:space="0" w:color="auto"/>
        <w:bottom w:val="none" w:sz="0" w:space="0" w:color="auto"/>
        <w:right w:val="none" w:sz="0" w:space="0" w:color="auto"/>
      </w:divBdr>
    </w:div>
    <w:div w:id="1041513737">
      <w:bodyDiv w:val="1"/>
      <w:marLeft w:val="0"/>
      <w:marRight w:val="0"/>
      <w:marTop w:val="0"/>
      <w:marBottom w:val="0"/>
      <w:divBdr>
        <w:top w:val="none" w:sz="0" w:space="0" w:color="auto"/>
        <w:left w:val="none" w:sz="0" w:space="0" w:color="auto"/>
        <w:bottom w:val="none" w:sz="0" w:space="0" w:color="auto"/>
        <w:right w:val="none" w:sz="0" w:space="0" w:color="auto"/>
      </w:divBdr>
    </w:div>
    <w:div w:id="1089547166">
      <w:bodyDiv w:val="1"/>
      <w:marLeft w:val="0"/>
      <w:marRight w:val="0"/>
      <w:marTop w:val="0"/>
      <w:marBottom w:val="0"/>
      <w:divBdr>
        <w:top w:val="none" w:sz="0" w:space="0" w:color="auto"/>
        <w:left w:val="none" w:sz="0" w:space="0" w:color="auto"/>
        <w:bottom w:val="none" w:sz="0" w:space="0" w:color="auto"/>
        <w:right w:val="none" w:sz="0" w:space="0" w:color="auto"/>
      </w:divBdr>
    </w:div>
    <w:div w:id="1123116010">
      <w:bodyDiv w:val="1"/>
      <w:marLeft w:val="0"/>
      <w:marRight w:val="0"/>
      <w:marTop w:val="0"/>
      <w:marBottom w:val="0"/>
      <w:divBdr>
        <w:top w:val="none" w:sz="0" w:space="0" w:color="auto"/>
        <w:left w:val="none" w:sz="0" w:space="0" w:color="auto"/>
        <w:bottom w:val="none" w:sz="0" w:space="0" w:color="auto"/>
        <w:right w:val="none" w:sz="0" w:space="0" w:color="auto"/>
      </w:divBdr>
    </w:div>
    <w:div w:id="1240361725">
      <w:bodyDiv w:val="1"/>
      <w:marLeft w:val="0"/>
      <w:marRight w:val="0"/>
      <w:marTop w:val="0"/>
      <w:marBottom w:val="0"/>
      <w:divBdr>
        <w:top w:val="none" w:sz="0" w:space="0" w:color="auto"/>
        <w:left w:val="none" w:sz="0" w:space="0" w:color="auto"/>
        <w:bottom w:val="none" w:sz="0" w:space="0" w:color="auto"/>
        <w:right w:val="none" w:sz="0" w:space="0" w:color="auto"/>
      </w:divBdr>
    </w:div>
    <w:div w:id="1389451188">
      <w:bodyDiv w:val="1"/>
      <w:marLeft w:val="0"/>
      <w:marRight w:val="0"/>
      <w:marTop w:val="0"/>
      <w:marBottom w:val="0"/>
      <w:divBdr>
        <w:top w:val="none" w:sz="0" w:space="0" w:color="auto"/>
        <w:left w:val="none" w:sz="0" w:space="0" w:color="auto"/>
        <w:bottom w:val="none" w:sz="0" w:space="0" w:color="auto"/>
        <w:right w:val="none" w:sz="0" w:space="0" w:color="auto"/>
      </w:divBdr>
    </w:div>
    <w:div w:id="1429542021">
      <w:bodyDiv w:val="1"/>
      <w:marLeft w:val="0"/>
      <w:marRight w:val="0"/>
      <w:marTop w:val="0"/>
      <w:marBottom w:val="0"/>
      <w:divBdr>
        <w:top w:val="none" w:sz="0" w:space="0" w:color="auto"/>
        <w:left w:val="none" w:sz="0" w:space="0" w:color="auto"/>
        <w:bottom w:val="none" w:sz="0" w:space="0" w:color="auto"/>
        <w:right w:val="none" w:sz="0" w:space="0" w:color="auto"/>
      </w:divBdr>
    </w:div>
    <w:div w:id="1449011605">
      <w:bodyDiv w:val="1"/>
      <w:marLeft w:val="0"/>
      <w:marRight w:val="0"/>
      <w:marTop w:val="0"/>
      <w:marBottom w:val="0"/>
      <w:divBdr>
        <w:top w:val="none" w:sz="0" w:space="0" w:color="auto"/>
        <w:left w:val="none" w:sz="0" w:space="0" w:color="auto"/>
        <w:bottom w:val="none" w:sz="0" w:space="0" w:color="auto"/>
        <w:right w:val="none" w:sz="0" w:space="0" w:color="auto"/>
      </w:divBdr>
    </w:div>
    <w:div w:id="1529217795">
      <w:bodyDiv w:val="1"/>
      <w:marLeft w:val="0"/>
      <w:marRight w:val="0"/>
      <w:marTop w:val="0"/>
      <w:marBottom w:val="0"/>
      <w:divBdr>
        <w:top w:val="none" w:sz="0" w:space="0" w:color="auto"/>
        <w:left w:val="none" w:sz="0" w:space="0" w:color="auto"/>
        <w:bottom w:val="none" w:sz="0" w:space="0" w:color="auto"/>
        <w:right w:val="none" w:sz="0" w:space="0" w:color="auto"/>
      </w:divBdr>
    </w:div>
    <w:div w:id="1638991767">
      <w:bodyDiv w:val="1"/>
      <w:marLeft w:val="0"/>
      <w:marRight w:val="0"/>
      <w:marTop w:val="0"/>
      <w:marBottom w:val="0"/>
      <w:divBdr>
        <w:top w:val="none" w:sz="0" w:space="0" w:color="auto"/>
        <w:left w:val="none" w:sz="0" w:space="0" w:color="auto"/>
        <w:bottom w:val="none" w:sz="0" w:space="0" w:color="auto"/>
        <w:right w:val="none" w:sz="0" w:space="0" w:color="auto"/>
      </w:divBdr>
    </w:div>
    <w:div w:id="1645233932">
      <w:bodyDiv w:val="1"/>
      <w:marLeft w:val="0"/>
      <w:marRight w:val="0"/>
      <w:marTop w:val="0"/>
      <w:marBottom w:val="0"/>
      <w:divBdr>
        <w:top w:val="none" w:sz="0" w:space="0" w:color="auto"/>
        <w:left w:val="none" w:sz="0" w:space="0" w:color="auto"/>
        <w:bottom w:val="none" w:sz="0" w:space="0" w:color="auto"/>
        <w:right w:val="none" w:sz="0" w:space="0" w:color="auto"/>
      </w:divBdr>
    </w:div>
    <w:div w:id="1684626746">
      <w:bodyDiv w:val="1"/>
      <w:marLeft w:val="0"/>
      <w:marRight w:val="0"/>
      <w:marTop w:val="0"/>
      <w:marBottom w:val="0"/>
      <w:divBdr>
        <w:top w:val="none" w:sz="0" w:space="0" w:color="auto"/>
        <w:left w:val="none" w:sz="0" w:space="0" w:color="auto"/>
        <w:bottom w:val="none" w:sz="0" w:space="0" w:color="auto"/>
        <w:right w:val="none" w:sz="0" w:space="0" w:color="auto"/>
      </w:divBdr>
    </w:div>
    <w:div w:id="1787575258">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103329744">
      <w:bodyDiv w:val="1"/>
      <w:marLeft w:val="0"/>
      <w:marRight w:val="0"/>
      <w:marTop w:val="0"/>
      <w:marBottom w:val="0"/>
      <w:divBdr>
        <w:top w:val="none" w:sz="0" w:space="0" w:color="auto"/>
        <w:left w:val="none" w:sz="0" w:space="0" w:color="auto"/>
        <w:bottom w:val="none" w:sz="0" w:space="0" w:color="auto"/>
        <w:right w:val="none" w:sz="0" w:space="0" w:color="auto"/>
      </w:divBdr>
    </w:div>
    <w:div w:id="214133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9005160E0354B97D11C5EB1EE2046" ma:contentTypeVersion="1" ma:contentTypeDescription="Crée un document." ma:contentTypeScope="" ma:versionID="ca4208826e6f251cb6f23fc58a7d33fe">
  <xsd:schema xmlns:xsd="http://www.w3.org/2001/XMLSchema" xmlns:xs="http://www.w3.org/2001/XMLSchema" xmlns:p="http://schemas.microsoft.com/office/2006/metadata/properties" xmlns:ns2="dedc6476-5dc5-4e85-a189-fa8f8d99b319" targetNamespace="http://schemas.microsoft.com/office/2006/metadata/properties" ma:root="true" ma:fieldsID="ae9b4514baedfa790b6c2ddc0c6accfa" ns2:_="">
    <xsd:import namespace="dedc6476-5dc5-4e85-a189-fa8f8d99b31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c6476-5dc5-4e85-a189-fa8f8d99b31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BDF6E-B38A-4F88-9316-1B3D0D17B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c6476-5dc5-4e85-a189-fa8f8d99b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3.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4.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2463</Words>
  <Characters>13552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RIDDER Dave</dc:creator>
  <cp:keywords>template</cp:keywords>
  <dc:description/>
  <cp:lastModifiedBy>SALAVERA Eva</cp:lastModifiedBy>
  <cp:revision>3</cp:revision>
  <dcterms:created xsi:type="dcterms:W3CDTF">2025-11-03T16:34:00Z</dcterms:created>
  <dcterms:modified xsi:type="dcterms:W3CDTF">2025-11-03T16:38:00Z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0x0101006C99005160E0354B97D11C5EB1EE2046</vt:lpwstr>
  </property>
</Properties>
</file>