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0F95" w14:textId="77777777" w:rsidR="00D22E35" w:rsidRPr="00AF3E63" w:rsidRDefault="00D22E35" w:rsidP="00D22E35">
      <w:pPr>
        <w:tabs>
          <w:tab w:val="left" w:pos="3969"/>
        </w:tabs>
        <w:spacing w:after="0"/>
        <w:rPr>
          <w:rFonts w:ascii="Arial" w:hAnsi="Arial" w:cs="Arial"/>
        </w:rPr>
      </w:pPr>
      <w:r w:rsidRPr="00AF3E63">
        <w:rPr>
          <w:rFonts w:ascii="Arial" w:hAnsi="Arial" w:cs="Arial"/>
        </w:rPr>
        <w:tab/>
      </w:r>
    </w:p>
    <w:tbl>
      <w:tblPr>
        <w:tblStyle w:val="Grilledutableau"/>
        <w:tblW w:w="9170" w:type="dxa"/>
        <w:tblInd w:w="-108" w:type="dxa"/>
        <w:tblLook w:val="04A0" w:firstRow="1" w:lastRow="0" w:firstColumn="1" w:lastColumn="0" w:noHBand="0" w:noVBand="1"/>
      </w:tblPr>
      <w:tblGrid>
        <w:gridCol w:w="108"/>
        <w:gridCol w:w="5245"/>
        <w:gridCol w:w="3709"/>
        <w:gridCol w:w="108"/>
      </w:tblGrid>
      <w:tr w:rsidR="00D22E35" w:rsidRPr="00AF3E63" w14:paraId="57D07DFD" w14:textId="77777777" w:rsidTr="007D3CFA">
        <w:trPr>
          <w:gridAfter w:val="1"/>
          <w:wAfter w:w="108" w:type="dxa"/>
        </w:trPr>
        <w:tc>
          <w:tcPr>
            <w:tcW w:w="5353" w:type="dxa"/>
            <w:gridSpan w:val="2"/>
            <w:tcBorders>
              <w:top w:val="nil"/>
              <w:left w:val="nil"/>
              <w:bottom w:val="nil"/>
              <w:right w:val="nil"/>
            </w:tcBorders>
          </w:tcPr>
          <w:p w14:paraId="61F571B0" w14:textId="77777777" w:rsidR="00D22E35" w:rsidRPr="00AF3E63" w:rsidRDefault="00D22E35" w:rsidP="006E68CB">
            <w:pPr>
              <w:tabs>
                <w:tab w:val="left" w:pos="3969"/>
              </w:tabs>
              <w:rPr>
                <w:rFonts w:ascii="Arial" w:eastAsia="SimSun" w:hAnsi="Arial" w:cs="Arial"/>
                <w:b/>
                <w:color w:val="000000" w:themeColor="text1"/>
                <w:lang w:eastAsia="ja-JP"/>
              </w:rPr>
            </w:pPr>
            <w:r w:rsidRPr="00AF3E63">
              <w:rPr>
                <w:rFonts w:ascii="Arial" w:eastAsia="SimSun" w:hAnsi="Arial" w:cs="Arial"/>
                <w:b/>
                <w:color w:val="000000" w:themeColor="text1"/>
                <w:lang w:eastAsia="ja-JP"/>
              </w:rPr>
              <w:t xml:space="preserve">  </w:t>
            </w:r>
          </w:p>
          <w:p w14:paraId="20174D5F" w14:textId="77777777" w:rsidR="00D22E35" w:rsidRPr="00AF3E63" w:rsidRDefault="00D22E35" w:rsidP="006E68CB">
            <w:pPr>
              <w:tabs>
                <w:tab w:val="left" w:pos="3969"/>
              </w:tabs>
              <w:rPr>
                <w:rFonts w:ascii="Arial" w:eastAsia="SimSun" w:hAnsi="Arial" w:cs="Arial"/>
                <w:b/>
                <w:color w:val="000000" w:themeColor="text1"/>
                <w:lang w:eastAsia="ja-JP"/>
              </w:rPr>
            </w:pPr>
          </w:p>
          <w:p w14:paraId="39000696" w14:textId="77777777" w:rsidR="00D22E35" w:rsidRPr="00AF3E63" w:rsidRDefault="00D22E35" w:rsidP="006E68CB">
            <w:pPr>
              <w:tabs>
                <w:tab w:val="left" w:pos="3969"/>
              </w:tabs>
              <w:rPr>
                <w:rFonts w:ascii="Arial" w:eastAsia="SimSun" w:hAnsi="Arial" w:cs="Arial"/>
                <w:b/>
                <w:color w:val="000000" w:themeColor="text1"/>
                <w:lang w:eastAsia="ja-JP"/>
              </w:rPr>
            </w:pPr>
            <w:r w:rsidRPr="00AF3E63">
              <w:rPr>
                <w:rFonts w:ascii="Arial" w:eastAsia="SimSun" w:hAnsi="Arial" w:cs="Arial"/>
                <w:b/>
                <w:color w:val="000000" w:themeColor="text1"/>
                <w:lang w:eastAsia="ja-JP"/>
              </w:rPr>
              <w:t>Ambassade de France en</w:t>
            </w:r>
            <w:r>
              <w:rPr>
                <w:rFonts w:ascii="Arial" w:eastAsia="SimSun" w:hAnsi="Arial" w:cs="Arial"/>
                <w:b/>
                <w:color w:val="000000" w:themeColor="text1"/>
                <w:lang w:eastAsia="ja-JP"/>
              </w:rPr>
              <w:t xml:space="preserve"> Angola</w:t>
            </w:r>
          </w:p>
          <w:p w14:paraId="5109707F" w14:textId="77777777" w:rsidR="00D22E35" w:rsidRPr="00AF3E63" w:rsidRDefault="00D22E35" w:rsidP="006E68CB">
            <w:pPr>
              <w:tabs>
                <w:tab w:val="left" w:pos="3969"/>
              </w:tabs>
              <w:rPr>
                <w:rFonts w:ascii="Arial" w:eastAsia="SimSun" w:hAnsi="Arial" w:cs="Arial"/>
                <w:b/>
                <w:color w:val="000000" w:themeColor="text1"/>
                <w:lang w:eastAsia="ja-JP"/>
              </w:rPr>
            </w:pPr>
            <w:r w:rsidRPr="00AF3E63">
              <w:rPr>
                <w:rFonts w:ascii="Arial" w:eastAsia="SimSun" w:hAnsi="Arial" w:cs="Arial"/>
                <w:b/>
                <w:color w:val="000000" w:themeColor="text1"/>
                <w:lang w:eastAsia="ja-JP"/>
              </w:rPr>
              <w:t xml:space="preserve">Service économique de </w:t>
            </w:r>
            <w:r>
              <w:rPr>
                <w:rFonts w:ascii="Arial" w:eastAsia="SimSun" w:hAnsi="Arial" w:cs="Arial"/>
                <w:b/>
                <w:color w:val="000000" w:themeColor="text1"/>
                <w:lang w:eastAsia="ja-JP"/>
              </w:rPr>
              <w:t>Luanda</w:t>
            </w:r>
          </w:p>
          <w:p w14:paraId="722DA754" w14:textId="77777777" w:rsidR="00D22E35" w:rsidRPr="00AF3E63" w:rsidRDefault="00D22E35" w:rsidP="006E68CB">
            <w:pPr>
              <w:tabs>
                <w:tab w:val="left" w:pos="3969"/>
              </w:tabs>
              <w:rPr>
                <w:rFonts w:ascii="Arial" w:hAnsi="Arial" w:cs="Arial"/>
              </w:rPr>
            </w:pPr>
          </w:p>
        </w:tc>
        <w:tc>
          <w:tcPr>
            <w:tcW w:w="3709" w:type="dxa"/>
            <w:tcBorders>
              <w:top w:val="nil"/>
              <w:left w:val="nil"/>
              <w:bottom w:val="nil"/>
              <w:right w:val="nil"/>
            </w:tcBorders>
          </w:tcPr>
          <w:p w14:paraId="19BB105B" w14:textId="46801B88" w:rsidR="007D3CFA" w:rsidRDefault="00D22E35" w:rsidP="00707179">
            <w:pPr>
              <w:tabs>
                <w:tab w:val="left" w:pos="3969"/>
              </w:tabs>
              <w:ind w:left="-106"/>
              <w:jc w:val="right"/>
              <w:rPr>
                <w:rFonts w:ascii="Arial" w:eastAsia="SimSun" w:hAnsi="Arial" w:cs="Arial"/>
                <w:color w:val="000000" w:themeColor="text1"/>
                <w:sz w:val="20"/>
                <w:lang w:eastAsia="ja-JP"/>
              </w:rPr>
            </w:pPr>
            <w:r>
              <w:rPr>
                <w:rFonts w:ascii="Arial" w:eastAsia="SimSun" w:hAnsi="Arial" w:cs="Arial"/>
                <w:color w:val="000000" w:themeColor="text1"/>
                <w:sz w:val="20"/>
                <w:lang w:eastAsia="ja-JP"/>
              </w:rPr>
              <w:t>Luanda</w:t>
            </w:r>
            <w:r w:rsidRPr="00AF3E63">
              <w:rPr>
                <w:rFonts w:ascii="Arial" w:eastAsia="SimSun" w:hAnsi="Arial" w:cs="Arial"/>
                <w:color w:val="000000" w:themeColor="text1"/>
                <w:sz w:val="20"/>
                <w:lang w:eastAsia="ja-JP"/>
              </w:rPr>
              <w:t xml:space="preserve">, le </w:t>
            </w:r>
            <w:r w:rsidR="001A07DE">
              <w:rPr>
                <w:rFonts w:ascii="Arial" w:eastAsia="SimSun" w:hAnsi="Arial" w:cs="Arial"/>
                <w:color w:val="000000" w:themeColor="text1"/>
                <w:sz w:val="20"/>
                <w:lang w:eastAsia="ja-JP"/>
              </w:rPr>
              <w:t xml:space="preserve">13 </w:t>
            </w:r>
            <w:r w:rsidR="004940CE">
              <w:rPr>
                <w:rFonts w:ascii="Arial" w:eastAsia="SimSun" w:hAnsi="Arial" w:cs="Arial"/>
                <w:color w:val="000000" w:themeColor="text1"/>
                <w:sz w:val="20"/>
                <w:lang w:eastAsia="ja-JP"/>
              </w:rPr>
              <w:t xml:space="preserve">avril </w:t>
            </w:r>
            <w:r w:rsidR="000D4961">
              <w:rPr>
                <w:rFonts w:ascii="Arial" w:eastAsia="SimSun" w:hAnsi="Arial" w:cs="Arial"/>
                <w:color w:val="000000" w:themeColor="text1"/>
                <w:sz w:val="20"/>
                <w:lang w:eastAsia="ja-JP"/>
              </w:rPr>
              <w:t>202</w:t>
            </w:r>
            <w:r w:rsidR="00786301">
              <w:rPr>
                <w:rFonts w:ascii="Arial" w:eastAsia="SimSun" w:hAnsi="Arial" w:cs="Arial"/>
                <w:color w:val="000000" w:themeColor="text1"/>
                <w:sz w:val="20"/>
                <w:lang w:eastAsia="ja-JP"/>
              </w:rPr>
              <w:t>3</w:t>
            </w:r>
            <w:r w:rsidR="007D3CFA">
              <w:rPr>
                <w:rFonts w:ascii="Arial" w:eastAsia="SimSun" w:hAnsi="Arial" w:cs="Arial"/>
                <w:color w:val="000000" w:themeColor="text1"/>
                <w:sz w:val="20"/>
                <w:lang w:eastAsia="ja-JP"/>
              </w:rPr>
              <w:t xml:space="preserve"> </w:t>
            </w:r>
          </w:p>
          <w:p w14:paraId="394B9783" w14:textId="77777777" w:rsidR="00707179" w:rsidRDefault="00707179" w:rsidP="00707179">
            <w:pPr>
              <w:tabs>
                <w:tab w:val="left" w:pos="3969"/>
              </w:tabs>
              <w:ind w:left="-106"/>
              <w:rPr>
                <w:rFonts w:ascii="Arial" w:eastAsia="SimSun" w:hAnsi="Arial" w:cs="Arial"/>
                <w:color w:val="000000" w:themeColor="text1"/>
                <w:sz w:val="20"/>
                <w:lang w:eastAsia="ja-JP"/>
              </w:rPr>
            </w:pPr>
          </w:p>
          <w:p w14:paraId="4B084F9D" w14:textId="77777777" w:rsidR="00707179" w:rsidRDefault="007D3CFA" w:rsidP="00707179">
            <w:pPr>
              <w:tabs>
                <w:tab w:val="left" w:pos="3969"/>
              </w:tabs>
              <w:ind w:left="-106"/>
              <w:rPr>
                <w:rFonts w:ascii="Arial" w:eastAsia="SimSun" w:hAnsi="Arial" w:cs="Arial"/>
                <w:color w:val="000000" w:themeColor="text1"/>
                <w:sz w:val="20"/>
                <w:lang w:eastAsia="ja-JP"/>
              </w:rPr>
            </w:pPr>
            <w:r>
              <w:rPr>
                <w:rFonts w:ascii="Arial" w:eastAsia="SimSun" w:hAnsi="Arial" w:cs="Arial"/>
                <w:color w:val="000000" w:themeColor="text1"/>
                <w:sz w:val="20"/>
                <w:lang w:eastAsia="ja-JP"/>
              </w:rPr>
              <w:t>Affaire suivie</w:t>
            </w:r>
            <w:r w:rsidR="00D22E35">
              <w:rPr>
                <w:rFonts w:ascii="Arial" w:eastAsia="SimSun" w:hAnsi="Arial" w:cs="Arial"/>
                <w:color w:val="000000" w:themeColor="text1"/>
                <w:sz w:val="20"/>
                <w:lang w:eastAsia="ja-JP"/>
              </w:rPr>
              <w:t xml:space="preserve"> par</w:t>
            </w:r>
            <w:r w:rsidR="00D22E35" w:rsidRPr="00AF3E63">
              <w:rPr>
                <w:rFonts w:ascii="Arial" w:eastAsia="SimSun" w:hAnsi="Arial" w:cs="Arial"/>
                <w:color w:val="000000" w:themeColor="text1"/>
                <w:sz w:val="20"/>
                <w:lang w:eastAsia="ja-JP"/>
              </w:rPr>
              <w:t xml:space="preserve"> : </w:t>
            </w:r>
            <w:r w:rsidR="00707179">
              <w:rPr>
                <w:rFonts w:ascii="Arial" w:eastAsia="SimSun" w:hAnsi="Arial" w:cs="Arial"/>
                <w:color w:val="000000" w:themeColor="text1"/>
                <w:sz w:val="20"/>
                <w:lang w:eastAsia="ja-JP"/>
              </w:rPr>
              <w:t>Alain Bouilloux-Lafont</w:t>
            </w:r>
          </w:p>
          <w:p w14:paraId="60228F24" w14:textId="3D392B5E" w:rsidR="00D22E35" w:rsidRDefault="00D22E35" w:rsidP="00707179">
            <w:pPr>
              <w:tabs>
                <w:tab w:val="left" w:pos="3969"/>
              </w:tabs>
              <w:ind w:left="-106"/>
              <w:rPr>
                <w:rFonts w:ascii="Arial" w:eastAsia="SimSun" w:hAnsi="Arial" w:cs="Arial"/>
                <w:color w:val="000000" w:themeColor="text1"/>
                <w:sz w:val="20"/>
                <w:lang w:eastAsia="ja-JP"/>
              </w:rPr>
            </w:pPr>
          </w:p>
          <w:p w14:paraId="1CDEF744" w14:textId="1BD5734C" w:rsidR="005515CF" w:rsidRDefault="005515CF" w:rsidP="00707179">
            <w:pPr>
              <w:tabs>
                <w:tab w:val="left" w:pos="3969"/>
              </w:tabs>
              <w:ind w:left="-106"/>
              <w:rPr>
                <w:rFonts w:ascii="Arial" w:eastAsia="SimSun" w:hAnsi="Arial" w:cs="Arial"/>
                <w:color w:val="000000" w:themeColor="text1"/>
                <w:sz w:val="20"/>
                <w:lang w:eastAsia="ja-JP"/>
              </w:rPr>
            </w:pPr>
          </w:p>
          <w:p w14:paraId="66B4DBAF" w14:textId="77777777" w:rsidR="00707179" w:rsidRDefault="00707179" w:rsidP="00707179">
            <w:pPr>
              <w:tabs>
                <w:tab w:val="left" w:pos="3969"/>
              </w:tabs>
              <w:ind w:left="-106"/>
              <w:rPr>
                <w:rFonts w:ascii="Arial" w:eastAsia="SimSun" w:hAnsi="Arial" w:cs="Arial"/>
                <w:color w:val="000000" w:themeColor="text1"/>
                <w:sz w:val="20"/>
                <w:lang w:eastAsia="ja-JP"/>
              </w:rPr>
            </w:pPr>
          </w:p>
          <w:p w14:paraId="28DA3FDB" w14:textId="77777777" w:rsidR="00D22E35" w:rsidRPr="00AF3E63" w:rsidRDefault="00D22E35" w:rsidP="00707179">
            <w:pPr>
              <w:tabs>
                <w:tab w:val="left" w:pos="3969"/>
              </w:tabs>
              <w:ind w:left="-106" w:firstLine="708"/>
              <w:rPr>
                <w:rFonts w:ascii="Arial" w:hAnsi="Arial" w:cs="Arial"/>
              </w:rPr>
            </w:pPr>
          </w:p>
        </w:tc>
      </w:tr>
      <w:tr w:rsidR="00D22E35" w:rsidRPr="00F37E56" w14:paraId="1F111BE8" w14:textId="77777777" w:rsidTr="007D3CFA">
        <w:trPr>
          <w:gridBefore w:val="1"/>
          <w:wBefore w:w="108" w:type="dxa"/>
        </w:trPr>
        <w:tc>
          <w:tcPr>
            <w:tcW w:w="9062" w:type="dxa"/>
            <w:gridSpan w:val="3"/>
            <w:tcBorders>
              <w:top w:val="nil"/>
              <w:left w:val="nil"/>
              <w:bottom w:val="nil"/>
              <w:right w:val="nil"/>
            </w:tcBorders>
          </w:tcPr>
          <w:p w14:paraId="0F2C42A0" w14:textId="6FCBEAB7" w:rsidR="00707179" w:rsidRPr="00707179" w:rsidRDefault="00707179" w:rsidP="00707179">
            <w:pPr>
              <w:tabs>
                <w:tab w:val="left" w:pos="3969"/>
              </w:tabs>
              <w:spacing w:line="259" w:lineRule="auto"/>
              <w:jc w:val="center"/>
              <w:rPr>
                <w:rFonts w:ascii="Arial" w:eastAsia="Calibri" w:hAnsi="Arial" w:cs="Arial"/>
                <w:color w:val="006CE5"/>
                <w:sz w:val="32"/>
                <w:szCs w:val="32"/>
                <w:lang w:eastAsia="fr-FR"/>
              </w:rPr>
            </w:pPr>
            <w:r w:rsidRPr="00707179">
              <w:rPr>
                <w:rFonts w:ascii="Arial" w:eastAsia="Calibri" w:hAnsi="Arial" w:cs="Arial"/>
                <w:color w:val="006CE5"/>
                <w:sz w:val="32"/>
                <w:szCs w:val="32"/>
                <w:lang w:eastAsia="fr-FR"/>
              </w:rPr>
              <w:t xml:space="preserve">Le commerce bilatéral </w:t>
            </w:r>
            <w:r>
              <w:rPr>
                <w:rFonts w:ascii="Arial" w:eastAsia="Calibri" w:hAnsi="Arial" w:cs="Arial"/>
                <w:color w:val="006CE5"/>
                <w:sz w:val="32"/>
                <w:szCs w:val="32"/>
                <w:lang w:eastAsia="fr-FR"/>
              </w:rPr>
              <w:t xml:space="preserve">entre la </w:t>
            </w:r>
            <w:r w:rsidR="00786301">
              <w:rPr>
                <w:rFonts w:ascii="Arial" w:eastAsia="Calibri" w:hAnsi="Arial" w:cs="Arial"/>
                <w:color w:val="006CE5"/>
                <w:sz w:val="32"/>
                <w:szCs w:val="32"/>
                <w:lang w:eastAsia="fr-FR"/>
              </w:rPr>
              <w:t>France et l’</w:t>
            </w:r>
            <w:r w:rsidRPr="00707179">
              <w:rPr>
                <w:rFonts w:ascii="Arial" w:eastAsia="Calibri" w:hAnsi="Arial" w:cs="Arial"/>
                <w:color w:val="006CE5"/>
                <w:sz w:val="32"/>
                <w:szCs w:val="32"/>
                <w:lang w:eastAsia="fr-FR"/>
              </w:rPr>
              <w:t>Angola en 202</w:t>
            </w:r>
            <w:r w:rsidR="004940CE">
              <w:rPr>
                <w:rFonts w:ascii="Arial" w:eastAsia="Calibri" w:hAnsi="Arial" w:cs="Arial"/>
                <w:color w:val="006CE5"/>
                <w:sz w:val="32"/>
                <w:szCs w:val="32"/>
                <w:lang w:eastAsia="fr-FR"/>
              </w:rPr>
              <w:t>2</w:t>
            </w:r>
          </w:p>
          <w:p w14:paraId="50491756" w14:textId="3581FF7E" w:rsidR="00D22E35" w:rsidRPr="00F37E56" w:rsidRDefault="00D22E35" w:rsidP="006E68CB">
            <w:pPr>
              <w:tabs>
                <w:tab w:val="left" w:pos="3969"/>
                <w:tab w:val="center" w:pos="4423"/>
                <w:tab w:val="right" w:pos="8846"/>
              </w:tabs>
              <w:rPr>
                <w:rFonts w:ascii="Arial" w:eastAsia="Calibri" w:hAnsi="Arial" w:cs="Arial"/>
                <w:color w:val="006CE5"/>
                <w:sz w:val="32"/>
                <w:szCs w:val="32"/>
                <w:lang w:eastAsia="fr-FR"/>
              </w:rPr>
            </w:pPr>
            <w:r w:rsidRPr="00F37E56">
              <w:rPr>
                <w:rFonts w:ascii="Arial" w:eastAsia="Calibri" w:hAnsi="Arial" w:cs="Arial"/>
                <w:noProof/>
                <w:color w:val="006CE5"/>
                <w:sz w:val="32"/>
                <w:szCs w:val="32"/>
                <w:lang w:eastAsia="fr-FR"/>
              </w:rPr>
              <mc:AlternateContent>
                <mc:Choice Requires="wps">
                  <w:drawing>
                    <wp:anchor distT="0" distB="0" distL="114300" distR="114300" simplePos="0" relativeHeight="251659264" behindDoc="0" locked="0" layoutInCell="1" allowOverlap="1" wp14:anchorId="26AB4D45" wp14:editId="14C00BB6">
                      <wp:simplePos x="0" y="0"/>
                      <wp:positionH relativeFrom="column">
                        <wp:posOffset>4241800</wp:posOffset>
                      </wp:positionH>
                      <wp:positionV relativeFrom="paragraph">
                        <wp:posOffset>72390</wp:posOffset>
                      </wp:positionV>
                      <wp:extent cx="1352550"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2303D"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4pt,5.7pt" to="44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" strokecolor="#4472c4 [3204]" strokeweight=".5pt">
                      <v:stroke joinstyle="miter"/>
                    </v:line>
                  </w:pict>
                </mc:Fallback>
              </mc:AlternateContent>
            </w:r>
          </w:p>
        </w:tc>
      </w:tr>
    </w:tbl>
    <w:p w14:paraId="4ED71913" w14:textId="2F32A2CF" w:rsidR="00707179" w:rsidRPr="001A07DE" w:rsidRDefault="00707179" w:rsidP="001A07DE">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i/>
          <w:iCs/>
        </w:rPr>
      </w:pPr>
      <w:r w:rsidRPr="001A07DE">
        <w:rPr>
          <w:rFonts w:ascii="Arial" w:eastAsia="Calibri" w:hAnsi="Arial" w:cs="Arial"/>
          <w:i/>
          <w:iCs/>
        </w:rPr>
        <w:t xml:space="preserve">Au cours de l’année 2022, </w:t>
      </w:r>
      <w:r w:rsidR="00D60DF7">
        <w:rPr>
          <w:rFonts w:ascii="Arial" w:eastAsia="Calibri" w:hAnsi="Arial" w:cs="Arial"/>
          <w:i/>
          <w:iCs/>
        </w:rPr>
        <w:t xml:space="preserve">les </w:t>
      </w:r>
      <w:r w:rsidRPr="001A07DE">
        <w:rPr>
          <w:rFonts w:ascii="Arial" w:eastAsia="Calibri" w:hAnsi="Arial" w:cs="Arial"/>
          <w:i/>
          <w:iCs/>
        </w:rPr>
        <w:t xml:space="preserve">importations </w:t>
      </w:r>
      <w:r w:rsidR="00D60DF7">
        <w:rPr>
          <w:rFonts w:ascii="Arial" w:eastAsia="Calibri" w:hAnsi="Arial" w:cs="Arial"/>
          <w:i/>
          <w:iCs/>
        </w:rPr>
        <w:t xml:space="preserve">de la France depuis l’Angola </w:t>
      </w:r>
      <w:r w:rsidRPr="001A07DE">
        <w:rPr>
          <w:rFonts w:ascii="Arial" w:eastAsia="Calibri" w:hAnsi="Arial" w:cs="Arial"/>
          <w:i/>
          <w:iCs/>
        </w:rPr>
        <w:t>ont explosé, passant de 1</w:t>
      </w:r>
      <w:r w:rsidR="001A07DE" w:rsidRPr="001A07DE">
        <w:rPr>
          <w:rFonts w:ascii="Arial" w:eastAsia="Calibri" w:hAnsi="Arial" w:cs="Arial"/>
          <w:i/>
          <w:iCs/>
        </w:rPr>
        <w:t>96</w:t>
      </w:r>
      <w:r w:rsidRPr="001A07DE">
        <w:rPr>
          <w:rFonts w:ascii="Arial" w:eastAsia="Calibri" w:hAnsi="Arial" w:cs="Arial"/>
          <w:i/>
          <w:iCs/>
        </w:rPr>
        <w:t xml:space="preserve"> M EUR à 3,</w:t>
      </w:r>
      <w:r w:rsidR="001A07DE" w:rsidRPr="001A07DE">
        <w:rPr>
          <w:rFonts w:ascii="Arial" w:eastAsia="Calibri" w:hAnsi="Arial" w:cs="Arial"/>
          <w:i/>
          <w:iCs/>
        </w:rPr>
        <w:t>7</w:t>
      </w:r>
      <w:r w:rsidRPr="001A07DE">
        <w:rPr>
          <w:rFonts w:ascii="Arial" w:eastAsia="Calibri" w:hAnsi="Arial" w:cs="Arial"/>
          <w:i/>
          <w:iCs/>
        </w:rPr>
        <w:t xml:space="preserve"> Md</w:t>
      </w:r>
      <w:r w:rsidR="001A07DE" w:rsidRPr="001A07DE">
        <w:rPr>
          <w:rFonts w:ascii="Arial" w:eastAsia="Calibri" w:hAnsi="Arial" w:cs="Arial"/>
          <w:i/>
          <w:iCs/>
        </w:rPr>
        <w:t>s</w:t>
      </w:r>
      <w:r w:rsidRPr="001A07DE">
        <w:rPr>
          <w:rFonts w:ascii="Arial" w:eastAsia="Calibri" w:hAnsi="Arial" w:cs="Arial"/>
          <w:i/>
          <w:iCs/>
        </w:rPr>
        <w:t xml:space="preserve"> EUR, en raison d’importations massives d’hydrocarbures (pétrole brut et gaz naturel) à partir du mois de février 2022, en conséquence de l’agression russe en Ukraine </w:t>
      </w:r>
      <w:r w:rsidR="00613388">
        <w:rPr>
          <w:rFonts w:ascii="Arial" w:eastAsia="Calibri" w:hAnsi="Arial" w:cs="Arial"/>
          <w:i/>
          <w:iCs/>
        </w:rPr>
        <w:t xml:space="preserve">qui a conduit à </w:t>
      </w:r>
      <w:r w:rsidRPr="001A07DE">
        <w:rPr>
          <w:rFonts w:ascii="Arial" w:eastAsia="Calibri" w:hAnsi="Arial" w:cs="Arial"/>
          <w:i/>
          <w:iCs/>
        </w:rPr>
        <w:t xml:space="preserve">notre désengagement de la Russie. </w:t>
      </w:r>
      <w:r w:rsidR="001A07DE">
        <w:rPr>
          <w:rFonts w:ascii="Arial" w:eastAsia="Calibri" w:hAnsi="Arial" w:cs="Arial"/>
          <w:i/>
          <w:iCs/>
        </w:rPr>
        <w:t xml:space="preserve">Les hydrocarbures représentent 99 % de nos importations. </w:t>
      </w:r>
      <w:r w:rsidRPr="001A07DE">
        <w:rPr>
          <w:rFonts w:ascii="Arial" w:eastAsia="Calibri" w:hAnsi="Arial" w:cs="Arial"/>
          <w:i/>
          <w:iCs/>
        </w:rPr>
        <w:t>Nos exportations augmentent de 5,</w:t>
      </w:r>
      <w:r w:rsidR="001A07DE" w:rsidRPr="001A07DE">
        <w:rPr>
          <w:rFonts w:ascii="Arial" w:eastAsia="Calibri" w:hAnsi="Arial" w:cs="Arial"/>
          <w:i/>
          <w:iCs/>
        </w:rPr>
        <w:t>4</w:t>
      </w:r>
      <w:r w:rsidRPr="001A07DE">
        <w:rPr>
          <w:rFonts w:ascii="Arial" w:eastAsia="Calibri" w:hAnsi="Arial" w:cs="Arial"/>
          <w:i/>
          <w:iCs/>
        </w:rPr>
        <w:t xml:space="preserve"> % (</w:t>
      </w:r>
      <w:r w:rsidR="001A07DE" w:rsidRPr="001A07DE">
        <w:rPr>
          <w:rFonts w:ascii="Arial" w:eastAsia="Calibri" w:hAnsi="Arial" w:cs="Arial"/>
          <w:i/>
          <w:iCs/>
        </w:rPr>
        <w:t>256</w:t>
      </w:r>
      <w:r w:rsidRPr="001A07DE">
        <w:rPr>
          <w:rFonts w:ascii="Arial" w:eastAsia="Calibri" w:hAnsi="Arial" w:cs="Arial"/>
          <w:i/>
          <w:iCs/>
        </w:rPr>
        <w:t xml:space="preserve"> M EUR) avec un fléchissement de nos ventes de blé et un accroissement de nos ventes d’équipements mécaniques et autres produits industriels</w:t>
      </w:r>
      <w:r w:rsidR="001A07DE">
        <w:rPr>
          <w:rFonts w:ascii="Arial" w:eastAsia="Calibri" w:hAnsi="Arial" w:cs="Arial"/>
          <w:i/>
          <w:iCs/>
        </w:rPr>
        <w:t>.</w:t>
      </w:r>
    </w:p>
    <w:p w14:paraId="7AF9DD89" w14:textId="5EB4BDCA" w:rsidR="001E19F1" w:rsidRDefault="001E19F1" w:rsidP="001E19F1">
      <w:pPr>
        <w:spacing w:after="240"/>
        <w:rPr>
          <w:rFonts w:ascii="Arial" w:hAnsi="Arial" w:cs="Arial"/>
          <w:b/>
          <w:bCs/>
          <w:color w:val="006CE5"/>
          <w:sz w:val="24"/>
          <w:u w:val="single"/>
        </w:rPr>
      </w:pPr>
    </w:p>
    <w:p w14:paraId="57E5A65E" w14:textId="50F63799" w:rsidR="00AA7900" w:rsidRPr="00AA7900" w:rsidRDefault="00AA7900" w:rsidP="00AA7900">
      <w:pPr>
        <w:spacing w:after="240"/>
        <w:rPr>
          <w:rFonts w:ascii="Arial" w:hAnsi="Arial" w:cs="Arial"/>
          <w:color w:val="006CE5"/>
          <w:sz w:val="24"/>
          <w:u w:val="single"/>
        </w:rPr>
      </w:pPr>
      <w:r w:rsidRPr="00AA7900">
        <w:rPr>
          <w:rFonts w:ascii="Arial" w:hAnsi="Arial" w:cs="Arial"/>
          <w:color w:val="006CE5"/>
          <w:sz w:val="24"/>
          <w:u w:val="single"/>
        </w:rPr>
        <w:t xml:space="preserve">1) </w:t>
      </w:r>
      <w:r>
        <w:rPr>
          <w:rFonts w:ascii="Arial" w:hAnsi="Arial" w:cs="Arial"/>
          <w:color w:val="006CE5"/>
          <w:sz w:val="24"/>
          <w:u w:val="single"/>
        </w:rPr>
        <w:t>Le déficit commercial de la France a bondi à 3,</w:t>
      </w:r>
      <w:r w:rsidR="00062F52">
        <w:rPr>
          <w:rFonts w:ascii="Arial" w:hAnsi="Arial" w:cs="Arial"/>
          <w:color w:val="006CE5"/>
          <w:sz w:val="24"/>
          <w:u w:val="single"/>
        </w:rPr>
        <w:t>4</w:t>
      </w:r>
      <w:r w:rsidR="009A1ABF">
        <w:rPr>
          <w:rFonts w:ascii="Arial" w:hAnsi="Arial" w:cs="Arial"/>
          <w:color w:val="006CE5"/>
          <w:sz w:val="24"/>
          <w:u w:val="single"/>
        </w:rPr>
        <w:t>5</w:t>
      </w:r>
      <w:r w:rsidR="00062F52">
        <w:rPr>
          <w:rFonts w:ascii="Arial" w:hAnsi="Arial" w:cs="Arial"/>
          <w:color w:val="006CE5"/>
          <w:sz w:val="24"/>
          <w:u w:val="single"/>
        </w:rPr>
        <w:t>9</w:t>
      </w:r>
      <w:r>
        <w:rPr>
          <w:rFonts w:ascii="Arial" w:hAnsi="Arial" w:cs="Arial"/>
          <w:color w:val="006CE5"/>
          <w:sz w:val="24"/>
          <w:u w:val="single"/>
        </w:rPr>
        <w:t xml:space="preserve"> Mds EUR </w:t>
      </w:r>
      <w:r w:rsidR="00A434A1">
        <w:rPr>
          <w:rFonts w:ascii="Arial" w:hAnsi="Arial" w:cs="Arial"/>
          <w:color w:val="006CE5"/>
          <w:sz w:val="24"/>
          <w:u w:val="single"/>
        </w:rPr>
        <w:t xml:space="preserve">en 2022 </w:t>
      </w:r>
      <w:r>
        <w:rPr>
          <w:rFonts w:ascii="Arial" w:hAnsi="Arial" w:cs="Arial"/>
          <w:color w:val="006CE5"/>
          <w:sz w:val="24"/>
          <w:u w:val="single"/>
        </w:rPr>
        <w:t xml:space="preserve">en raison de la </w:t>
      </w:r>
      <w:r w:rsidRPr="00AA7900">
        <w:rPr>
          <w:rFonts w:ascii="Arial" w:hAnsi="Arial" w:cs="Arial"/>
          <w:color w:val="006CE5"/>
          <w:sz w:val="24"/>
          <w:u w:val="single"/>
        </w:rPr>
        <w:t>croissance exponentielle de</w:t>
      </w:r>
      <w:r>
        <w:rPr>
          <w:rFonts w:ascii="Arial" w:hAnsi="Arial" w:cs="Arial"/>
          <w:color w:val="006CE5"/>
          <w:sz w:val="24"/>
          <w:u w:val="single"/>
        </w:rPr>
        <w:t xml:space="preserve"> no</w:t>
      </w:r>
      <w:r w:rsidRPr="00AA7900">
        <w:rPr>
          <w:rFonts w:ascii="Arial" w:hAnsi="Arial" w:cs="Arial"/>
          <w:color w:val="006CE5"/>
          <w:sz w:val="24"/>
          <w:u w:val="single"/>
        </w:rPr>
        <w:t xml:space="preserve">s importations d’hydrocarbures </w:t>
      </w:r>
    </w:p>
    <w:p w14:paraId="05F2FBBF" w14:textId="00FCA1E6" w:rsidR="000E211C" w:rsidRPr="00062F52" w:rsidRDefault="005450CF" w:rsidP="00523880">
      <w:pPr>
        <w:spacing w:after="240"/>
        <w:jc w:val="both"/>
        <w:rPr>
          <w:rFonts w:ascii="Arial" w:eastAsia="Calibri" w:hAnsi="Arial" w:cs="Arial"/>
          <w:u w:val="single"/>
        </w:rPr>
      </w:pPr>
      <w:r>
        <w:rPr>
          <w:rFonts w:ascii="Arial" w:eastAsia="Calibri" w:hAnsi="Arial" w:cs="Arial"/>
        </w:rPr>
        <w:t xml:space="preserve">En 2022, </w:t>
      </w:r>
      <w:r w:rsidR="00A6298F">
        <w:rPr>
          <w:rFonts w:ascii="Arial" w:eastAsia="Calibri" w:hAnsi="Arial" w:cs="Arial"/>
        </w:rPr>
        <w:t xml:space="preserve">notre </w:t>
      </w:r>
      <w:r>
        <w:rPr>
          <w:rFonts w:ascii="Arial" w:eastAsia="Calibri" w:hAnsi="Arial" w:cs="Arial"/>
        </w:rPr>
        <w:t xml:space="preserve">déficit commercial de la France a atteint </w:t>
      </w:r>
      <w:r w:rsidR="009A1ABF">
        <w:rPr>
          <w:rFonts w:ascii="Arial" w:eastAsia="Calibri" w:hAnsi="Arial" w:cs="Arial"/>
        </w:rPr>
        <w:t>3,459 Mds EUR alors qu</w:t>
      </w:r>
      <w:r w:rsidR="0025440B">
        <w:rPr>
          <w:rFonts w:ascii="Arial" w:eastAsia="Calibri" w:hAnsi="Arial" w:cs="Arial"/>
        </w:rPr>
        <w:t xml:space="preserve">e la France avait dégagé </w:t>
      </w:r>
      <w:r w:rsidR="00A434A1">
        <w:rPr>
          <w:rFonts w:ascii="Arial" w:eastAsia="Calibri" w:hAnsi="Arial" w:cs="Arial"/>
        </w:rPr>
        <w:t>u</w:t>
      </w:r>
      <w:r w:rsidR="0025440B">
        <w:rPr>
          <w:rFonts w:ascii="Arial" w:eastAsia="Calibri" w:hAnsi="Arial" w:cs="Arial"/>
        </w:rPr>
        <w:t xml:space="preserve">n léger excédent commercial </w:t>
      </w:r>
      <w:r w:rsidR="009A1ABF">
        <w:rPr>
          <w:rFonts w:ascii="Arial" w:eastAsia="Calibri" w:hAnsi="Arial" w:cs="Arial"/>
        </w:rPr>
        <w:t xml:space="preserve">de 46,6 M EUR en 2021. Cette évolution s’explique par </w:t>
      </w:r>
      <w:r w:rsidR="00F21403" w:rsidRPr="0025440B">
        <w:rPr>
          <w:rFonts w:ascii="Arial" w:eastAsia="Calibri" w:hAnsi="Arial" w:cs="Arial"/>
        </w:rPr>
        <w:t>des importations massives d’hydrocarbures par la France à partir du mois de février 2022</w:t>
      </w:r>
      <w:r w:rsidR="000E211C">
        <w:rPr>
          <w:rFonts w:ascii="Arial" w:eastAsia="Calibri" w:hAnsi="Arial" w:cs="Arial"/>
        </w:rPr>
        <w:t>.</w:t>
      </w:r>
      <w:r w:rsidR="000E211C" w:rsidRPr="000E211C">
        <w:rPr>
          <w:rFonts w:ascii="Arial" w:eastAsia="Calibri" w:hAnsi="Arial" w:cs="Arial"/>
        </w:rPr>
        <w:t xml:space="preserve"> </w:t>
      </w:r>
      <w:r w:rsidR="000E211C">
        <w:rPr>
          <w:rFonts w:ascii="Arial" w:eastAsia="Calibri" w:hAnsi="Arial" w:cs="Arial"/>
        </w:rPr>
        <w:t xml:space="preserve">Elles </w:t>
      </w:r>
      <w:r w:rsidR="000E211C" w:rsidRPr="000E76CE">
        <w:rPr>
          <w:rFonts w:ascii="Arial" w:eastAsia="Calibri" w:hAnsi="Arial" w:cs="Arial"/>
        </w:rPr>
        <w:t xml:space="preserve">sont une conséquence directe de l’agression russe en Ukraine </w:t>
      </w:r>
      <w:r w:rsidR="000E211C">
        <w:rPr>
          <w:rFonts w:ascii="Arial" w:eastAsia="Calibri" w:hAnsi="Arial" w:cs="Arial"/>
        </w:rPr>
        <w:t>car la France s</w:t>
      </w:r>
      <w:r w:rsidR="00062F52">
        <w:rPr>
          <w:rFonts w:ascii="Arial" w:eastAsia="Calibri" w:hAnsi="Arial" w:cs="Arial"/>
        </w:rPr>
        <w:t xml:space="preserve">’est </w:t>
      </w:r>
      <w:r w:rsidR="000E211C">
        <w:rPr>
          <w:rFonts w:ascii="Arial" w:eastAsia="Calibri" w:hAnsi="Arial" w:cs="Arial"/>
        </w:rPr>
        <w:t>désengag</w:t>
      </w:r>
      <w:r w:rsidR="00062F52">
        <w:rPr>
          <w:rFonts w:ascii="Arial" w:eastAsia="Calibri" w:hAnsi="Arial" w:cs="Arial"/>
        </w:rPr>
        <w:t>é</w:t>
      </w:r>
      <w:r w:rsidR="000E211C">
        <w:rPr>
          <w:rFonts w:ascii="Arial" w:eastAsia="Calibri" w:hAnsi="Arial" w:cs="Arial"/>
        </w:rPr>
        <w:t xml:space="preserve">e de la </w:t>
      </w:r>
      <w:r w:rsidR="000E211C" w:rsidRPr="000E76CE">
        <w:rPr>
          <w:rFonts w:ascii="Arial" w:eastAsia="Calibri" w:hAnsi="Arial" w:cs="Arial"/>
        </w:rPr>
        <w:t>Russie</w:t>
      </w:r>
      <w:r w:rsidR="000E211C">
        <w:rPr>
          <w:rFonts w:ascii="Arial" w:eastAsia="Calibri" w:hAnsi="Arial" w:cs="Arial"/>
        </w:rPr>
        <w:t xml:space="preserve"> pour son approvisionnement.</w:t>
      </w:r>
      <w:r w:rsidR="00062F52">
        <w:rPr>
          <w:rFonts w:ascii="Arial" w:eastAsia="Calibri" w:hAnsi="Arial" w:cs="Arial"/>
        </w:rPr>
        <w:t xml:space="preserve"> </w:t>
      </w:r>
      <w:r w:rsidR="00C260D1" w:rsidRPr="00062F52">
        <w:rPr>
          <w:rFonts w:ascii="Arial" w:eastAsia="Calibri" w:hAnsi="Arial" w:cs="Arial"/>
          <w:u w:val="single"/>
        </w:rPr>
        <w:t xml:space="preserve">Les </w:t>
      </w:r>
      <w:r w:rsidR="00523880" w:rsidRPr="00062F52">
        <w:rPr>
          <w:rFonts w:ascii="Arial" w:eastAsia="Calibri" w:hAnsi="Arial" w:cs="Arial"/>
          <w:u w:val="single"/>
        </w:rPr>
        <w:t>échanges</w:t>
      </w:r>
      <w:r w:rsidR="00C260D1" w:rsidRPr="00062F52">
        <w:rPr>
          <w:rFonts w:ascii="Arial" w:eastAsia="Calibri" w:hAnsi="Arial" w:cs="Arial"/>
          <w:u w:val="single"/>
        </w:rPr>
        <w:t xml:space="preserve"> </w:t>
      </w:r>
      <w:r w:rsidR="00523880" w:rsidRPr="00062F52">
        <w:rPr>
          <w:rFonts w:ascii="Arial" w:eastAsia="Calibri" w:hAnsi="Arial" w:cs="Arial"/>
          <w:u w:val="single"/>
        </w:rPr>
        <w:t>bilatéraux</w:t>
      </w:r>
      <w:r w:rsidR="00C260D1" w:rsidRPr="00062F52">
        <w:rPr>
          <w:rFonts w:ascii="Arial" w:eastAsia="Calibri" w:hAnsi="Arial" w:cs="Arial"/>
          <w:u w:val="single"/>
        </w:rPr>
        <w:t xml:space="preserve"> sont </w:t>
      </w:r>
      <w:r w:rsidR="00523880" w:rsidRPr="00062F52">
        <w:rPr>
          <w:rFonts w:ascii="Arial" w:eastAsia="Calibri" w:hAnsi="Arial" w:cs="Arial"/>
          <w:u w:val="single"/>
        </w:rPr>
        <w:t>extrêmement déséquilibrés avec un taux de couverture pour la France qui n’atteint que 6,9 % en 2022.</w:t>
      </w:r>
    </w:p>
    <w:p w14:paraId="6E20FE8D" w14:textId="1E20B66E" w:rsidR="00A434A1" w:rsidRDefault="000034EF" w:rsidP="00373711">
      <w:pPr>
        <w:spacing w:after="120"/>
        <w:jc w:val="both"/>
        <w:rPr>
          <w:rFonts w:ascii="Arial" w:hAnsi="Arial" w:cs="Arial"/>
          <w:color w:val="006CE5"/>
          <w:sz w:val="24"/>
          <w:u w:val="single"/>
        </w:rPr>
      </w:pPr>
      <w:bookmarkStart w:id="0" w:name="_Hlk132123830"/>
      <w:r>
        <w:rPr>
          <w:rFonts w:ascii="Arial" w:hAnsi="Arial" w:cs="Arial"/>
          <w:color w:val="006CE5"/>
          <w:sz w:val="24"/>
          <w:u w:val="single"/>
        </w:rPr>
        <w:t>2</w:t>
      </w:r>
      <w:r w:rsidR="00645E57" w:rsidRPr="00645E57">
        <w:rPr>
          <w:rFonts w:ascii="Arial" w:hAnsi="Arial" w:cs="Arial"/>
          <w:color w:val="006CE5"/>
          <w:sz w:val="24"/>
          <w:u w:val="single"/>
        </w:rPr>
        <w:t xml:space="preserve">) </w:t>
      </w:r>
      <w:r w:rsidR="0025440B">
        <w:rPr>
          <w:rFonts w:ascii="Arial" w:hAnsi="Arial" w:cs="Arial"/>
          <w:color w:val="006CE5"/>
          <w:sz w:val="24"/>
          <w:u w:val="single"/>
        </w:rPr>
        <w:t xml:space="preserve">Nos importations </w:t>
      </w:r>
      <w:r w:rsidR="00A434A1">
        <w:rPr>
          <w:rFonts w:ascii="Arial" w:hAnsi="Arial" w:cs="Arial"/>
          <w:color w:val="006CE5"/>
          <w:sz w:val="24"/>
          <w:u w:val="single"/>
        </w:rPr>
        <w:t>ont atteint 3,7</w:t>
      </w:r>
      <w:r w:rsidR="00062F52">
        <w:rPr>
          <w:rFonts w:ascii="Arial" w:hAnsi="Arial" w:cs="Arial"/>
          <w:color w:val="006CE5"/>
          <w:sz w:val="24"/>
          <w:u w:val="single"/>
        </w:rPr>
        <w:t>14</w:t>
      </w:r>
      <w:r w:rsidR="00A434A1">
        <w:rPr>
          <w:rFonts w:ascii="Arial" w:hAnsi="Arial" w:cs="Arial"/>
          <w:color w:val="006CE5"/>
          <w:sz w:val="24"/>
          <w:u w:val="single"/>
        </w:rPr>
        <w:t xml:space="preserve"> Mds EUR en 2022 soit un montant </w:t>
      </w:r>
      <w:r w:rsidR="00F21924">
        <w:rPr>
          <w:rFonts w:ascii="Arial" w:hAnsi="Arial" w:cs="Arial"/>
          <w:color w:val="006CE5"/>
          <w:sz w:val="24"/>
          <w:u w:val="single"/>
        </w:rPr>
        <w:t>20</w:t>
      </w:r>
      <w:r w:rsidR="00A434A1">
        <w:rPr>
          <w:rFonts w:ascii="Arial" w:hAnsi="Arial" w:cs="Arial"/>
          <w:color w:val="006CE5"/>
          <w:sz w:val="24"/>
          <w:u w:val="single"/>
        </w:rPr>
        <w:t xml:space="preserve"> fois plus élevé qu’en 2021 </w:t>
      </w:r>
      <w:r w:rsidR="00F21924">
        <w:rPr>
          <w:rFonts w:ascii="Arial" w:hAnsi="Arial" w:cs="Arial"/>
          <w:color w:val="006CE5"/>
          <w:sz w:val="24"/>
          <w:u w:val="single"/>
        </w:rPr>
        <w:t xml:space="preserve">du fait </w:t>
      </w:r>
      <w:r w:rsidR="00A434A1">
        <w:rPr>
          <w:rFonts w:ascii="Arial" w:hAnsi="Arial" w:cs="Arial"/>
          <w:color w:val="006CE5"/>
          <w:sz w:val="24"/>
          <w:u w:val="single"/>
        </w:rPr>
        <w:t>d</w:t>
      </w:r>
      <w:r w:rsidR="00F21924">
        <w:rPr>
          <w:rFonts w:ascii="Arial" w:hAnsi="Arial" w:cs="Arial"/>
          <w:color w:val="006CE5"/>
          <w:sz w:val="24"/>
          <w:u w:val="single"/>
        </w:rPr>
        <w:t xml:space="preserve">e </w:t>
      </w:r>
      <w:r w:rsidR="00504E85">
        <w:rPr>
          <w:rFonts w:ascii="Arial" w:hAnsi="Arial" w:cs="Arial"/>
          <w:color w:val="006CE5"/>
          <w:sz w:val="24"/>
          <w:u w:val="single"/>
        </w:rPr>
        <w:t xml:space="preserve">l’explosion de </w:t>
      </w:r>
      <w:r w:rsidR="00F21924">
        <w:rPr>
          <w:rFonts w:ascii="Arial" w:hAnsi="Arial" w:cs="Arial"/>
          <w:color w:val="006CE5"/>
          <w:sz w:val="24"/>
          <w:u w:val="single"/>
        </w:rPr>
        <w:t>no</w:t>
      </w:r>
      <w:r w:rsidR="00A434A1">
        <w:rPr>
          <w:rFonts w:ascii="Arial" w:hAnsi="Arial" w:cs="Arial"/>
          <w:color w:val="006CE5"/>
          <w:sz w:val="24"/>
          <w:u w:val="single"/>
        </w:rPr>
        <w:t xml:space="preserve">s </w:t>
      </w:r>
      <w:r w:rsidR="00F21924">
        <w:rPr>
          <w:rFonts w:ascii="Arial" w:hAnsi="Arial" w:cs="Arial"/>
          <w:color w:val="006CE5"/>
          <w:sz w:val="24"/>
          <w:u w:val="single"/>
        </w:rPr>
        <w:t>importations d’</w:t>
      </w:r>
      <w:r w:rsidR="00A434A1">
        <w:rPr>
          <w:rFonts w:ascii="Arial" w:hAnsi="Arial" w:cs="Arial"/>
          <w:color w:val="006CE5"/>
          <w:sz w:val="24"/>
          <w:u w:val="single"/>
        </w:rPr>
        <w:t>hydrocarbures</w:t>
      </w:r>
    </w:p>
    <w:bookmarkEnd w:id="0"/>
    <w:p w14:paraId="72671E5B" w14:textId="4535D603" w:rsidR="000E211C" w:rsidRPr="00504E85" w:rsidRDefault="00786301" w:rsidP="00C76E46">
      <w:pPr>
        <w:spacing w:after="120"/>
        <w:jc w:val="both"/>
        <w:rPr>
          <w:rFonts w:ascii="Arial" w:eastAsia="Calibri" w:hAnsi="Arial" w:cs="Arial"/>
          <w:u w:val="single"/>
        </w:rPr>
      </w:pPr>
      <w:r w:rsidRPr="00E85B00">
        <w:rPr>
          <w:rFonts w:ascii="Arial" w:eastAsia="Calibri" w:hAnsi="Arial" w:cs="Arial"/>
        </w:rPr>
        <w:t>Les importations d’hydrocarbures de la France se sont élevées à 3,</w:t>
      </w:r>
      <w:r w:rsidR="00A434A1" w:rsidRPr="00E85B00">
        <w:rPr>
          <w:rFonts w:ascii="Arial" w:eastAsia="Calibri" w:hAnsi="Arial" w:cs="Arial"/>
        </w:rPr>
        <w:t>685</w:t>
      </w:r>
      <w:r w:rsidRPr="00E85B00">
        <w:rPr>
          <w:rFonts w:ascii="Arial" w:eastAsia="Calibri" w:hAnsi="Arial" w:cs="Arial"/>
        </w:rPr>
        <w:t xml:space="preserve"> Mds EUR (dont 70 % </w:t>
      </w:r>
      <w:r w:rsidR="00F21924">
        <w:rPr>
          <w:rFonts w:ascii="Arial" w:eastAsia="Calibri" w:hAnsi="Arial" w:cs="Arial"/>
        </w:rPr>
        <w:t xml:space="preserve">de </w:t>
      </w:r>
      <w:r w:rsidRPr="00E85B00">
        <w:rPr>
          <w:rFonts w:ascii="Arial" w:eastAsia="Calibri" w:hAnsi="Arial" w:cs="Arial"/>
        </w:rPr>
        <w:t xml:space="preserve">pétrole brut et 30 </w:t>
      </w:r>
      <w:r w:rsidRPr="000E76CE">
        <w:rPr>
          <w:rFonts w:ascii="Arial" w:eastAsia="Calibri" w:hAnsi="Arial" w:cs="Arial"/>
        </w:rPr>
        <w:t xml:space="preserve">% </w:t>
      </w:r>
      <w:r w:rsidR="00F21924" w:rsidRPr="000E76CE">
        <w:rPr>
          <w:rFonts w:ascii="Arial" w:eastAsia="Calibri" w:hAnsi="Arial" w:cs="Arial"/>
        </w:rPr>
        <w:t xml:space="preserve">de </w:t>
      </w:r>
      <w:r w:rsidRPr="000E76CE">
        <w:rPr>
          <w:rFonts w:ascii="Arial" w:eastAsia="Calibri" w:hAnsi="Arial" w:cs="Arial"/>
        </w:rPr>
        <w:t xml:space="preserve">gaz naturel) </w:t>
      </w:r>
      <w:r w:rsidR="000034EF" w:rsidRPr="000E76CE">
        <w:rPr>
          <w:rFonts w:ascii="Arial" w:eastAsia="Calibri" w:hAnsi="Arial" w:cs="Arial"/>
        </w:rPr>
        <w:t xml:space="preserve">en </w:t>
      </w:r>
      <w:r w:rsidRPr="000E76CE">
        <w:rPr>
          <w:rFonts w:ascii="Arial" w:eastAsia="Calibri" w:hAnsi="Arial" w:cs="Arial"/>
        </w:rPr>
        <w:t xml:space="preserve">2022, soit </w:t>
      </w:r>
      <w:r w:rsidR="00E85B00" w:rsidRPr="000E76CE">
        <w:rPr>
          <w:rFonts w:ascii="Arial" w:eastAsia="Calibri" w:hAnsi="Arial" w:cs="Arial"/>
        </w:rPr>
        <w:t xml:space="preserve">un montant </w:t>
      </w:r>
      <w:r w:rsidR="00F05D94" w:rsidRPr="000E76CE">
        <w:rPr>
          <w:rFonts w:ascii="Arial" w:eastAsia="Calibri" w:hAnsi="Arial" w:cs="Arial"/>
        </w:rPr>
        <w:t>20</w:t>
      </w:r>
      <w:r w:rsidRPr="000E76CE">
        <w:rPr>
          <w:rFonts w:ascii="Arial" w:eastAsia="Calibri" w:hAnsi="Arial" w:cs="Arial"/>
        </w:rPr>
        <w:t xml:space="preserve"> fois plus </w:t>
      </w:r>
      <w:r w:rsidR="00E85B00" w:rsidRPr="000E76CE">
        <w:rPr>
          <w:rFonts w:ascii="Arial" w:eastAsia="Calibri" w:hAnsi="Arial" w:cs="Arial"/>
        </w:rPr>
        <w:t xml:space="preserve">élevé </w:t>
      </w:r>
      <w:r w:rsidRPr="000E76CE">
        <w:rPr>
          <w:rFonts w:ascii="Arial" w:eastAsia="Calibri" w:hAnsi="Arial" w:cs="Arial"/>
        </w:rPr>
        <w:t>qu’en 2021</w:t>
      </w:r>
      <w:r w:rsidR="00E85B00" w:rsidRPr="000E76CE">
        <w:rPr>
          <w:rFonts w:ascii="Arial" w:eastAsia="Calibri" w:hAnsi="Arial" w:cs="Arial"/>
        </w:rPr>
        <w:t xml:space="preserve"> (</w:t>
      </w:r>
      <w:r w:rsidRPr="000E76CE">
        <w:rPr>
          <w:rFonts w:ascii="Arial" w:eastAsia="Calibri" w:hAnsi="Arial" w:cs="Arial"/>
        </w:rPr>
        <w:t>174 M EUR</w:t>
      </w:r>
      <w:r w:rsidR="00523880">
        <w:rPr>
          <w:rFonts w:ascii="Arial" w:eastAsia="Calibri" w:hAnsi="Arial" w:cs="Arial"/>
        </w:rPr>
        <w:t xml:space="preserve">, année </w:t>
      </w:r>
      <w:r w:rsidR="003840E1">
        <w:rPr>
          <w:rFonts w:ascii="Arial" w:eastAsia="Calibri" w:hAnsi="Arial" w:cs="Arial"/>
        </w:rPr>
        <w:t>d’</w:t>
      </w:r>
      <w:r w:rsidR="00523880">
        <w:rPr>
          <w:rFonts w:ascii="Arial" w:eastAsia="Calibri" w:hAnsi="Arial" w:cs="Arial"/>
        </w:rPr>
        <w:t xml:space="preserve">un niveau exceptionnellement bas </w:t>
      </w:r>
      <w:r w:rsidR="003840E1">
        <w:rPr>
          <w:rFonts w:ascii="Arial" w:eastAsia="Calibri" w:hAnsi="Arial" w:cs="Arial"/>
        </w:rPr>
        <w:t xml:space="preserve">toutefois </w:t>
      </w:r>
      <w:r w:rsidR="00523880">
        <w:rPr>
          <w:rFonts w:ascii="Arial" w:eastAsia="Calibri" w:hAnsi="Arial" w:cs="Arial"/>
        </w:rPr>
        <w:t>pour ces importations</w:t>
      </w:r>
      <w:r w:rsidRPr="00504E85">
        <w:rPr>
          <w:rFonts w:ascii="Arial" w:eastAsia="Calibri" w:hAnsi="Arial" w:cs="Arial"/>
          <w:u w:val="single"/>
        </w:rPr>
        <w:t xml:space="preserve">). </w:t>
      </w:r>
      <w:r w:rsidR="000E211C" w:rsidRPr="00504E85">
        <w:rPr>
          <w:rFonts w:ascii="Arial" w:eastAsia="Calibri" w:hAnsi="Arial" w:cs="Arial"/>
          <w:u w:val="single"/>
        </w:rPr>
        <w:t xml:space="preserve">Les </w:t>
      </w:r>
      <w:r w:rsidR="00062F52" w:rsidRPr="00504E85">
        <w:rPr>
          <w:rFonts w:ascii="Arial" w:eastAsia="Calibri" w:hAnsi="Arial" w:cs="Arial"/>
          <w:u w:val="single"/>
        </w:rPr>
        <w:t>importations d’</w:t>
      </w:r>
      <w:r w:rsidR="000E211C" w:rsidRPr="00504E85">
        <w:rPr>
          <w:rFonts w:ascii="Arial" w:eastAsia="Calibri" w:hAnsi="Arial" w:cs="Arial"/>
          <w:u w:val="single"/>
        </w:rPr>
        <w:t xml:space="preserve">hydrocarbures représentent 99 % de </w:t>
      </w:r>
      <w:r w:rsidR="00504E85">
        <w:rPr>
          <w:rFonts w:ascii="Arial" w:eastAsia="Calibri" w:hAnsi="Arial" w:cs="Arial"/>
          <w:u w:val="single"/>
        </w:rPr>
        <w:t xml:space="preserve">l’ensemble </w:t>
      </w:r>
      <w:r w:rsidR="000E211C" w:rsidRPr="00504E85">
        <w:rPr>
          <w:rFonts w:ascii="Arial" w:eastAsia="Calibri" w:hAnsi="Arial" w:cs="Arial"/>
          <w:u w:val="single"/>
        </w:rPr>
        <w:t xml:space="preserve">nos importations. </w:t>
      </w:r>
    </w:p>
    <w:p w14:paraId="39DBAFA8" w14:textId="0E4A88AB" w:rsidR="00786301" w:rsidRPr="00E85B00" w:rsidRDefault="00786301" w:rsidP="00C76E46">
      <w:pPr>
        <w:spacing w:after="120"/>
        <w:jc w:val="both"/>
        <w:rPr>
          <w:rFonts w:ascii="Arial" w:eastAsia="Calibri" w:hAnsi="Arial" w:cs="Arial"/>
        </w:rPr>
      </w:pPr>
      <w:r w:rsidRPr="000E76CE">
        <w:rPr>
          <w:rFonts w:ascii="Arial" w:eastAsia="Calibri" w:hAnsi="Arial" w:cs="Arial"/>
        </w:rPr>
        <w:t xml:space="preserve">Ces achats massifs d’hydrocarbures </w:t>
      </w:r>
      <w:r w:rsidR="0028229C" w:rsidRPr="000E76CE">
        <w:rPr>
          <w:rFonts w:ascii="Arial" w:eastAsia="Calibri" w:hAnsi="Arial" w:cs="Arial"/>
        </w:rPr>
        <w:t xml:space="preserve">ont </w:t>
      </w:r>
      <w:r w:rsidR="000E76CE">
        <w:rPr>
          <w:rFonts w:ascii="Arial" w:eastAsia="Calibri" w:hAnsi="Arial" w:cs="Arial"/>
        </w:rPr>
        <w:t>débuté</w:t>
      </w:r>
      <w:r w:rsidR="0028229C" w:rsidRPr="000E76CE">
        <w:rPr>
          <w:rFonts w:ascii="Arial" w:eastAsia="Calibri" w:hAnsi="Arial" w:cs="Arial"/>
        </w:rPr>
        <w:t xml:space="preserve"> à partir de février 2022 </w:t>
      </w:r>
      <w:r w:rsidR="000E76CE">
        <w:rPr>
          <w:rFonts w:ascii="Arial" w:eastAsia="Calibri" w:hAnsi="Arial" w:cs="Arial"/>
        </w:rPr>
        <w:t xml:space="preserve">et </w:t>
      </w:r>
      <w:r w:rsidR="00D60DF7">
        <w:rPr>
          <w:rFonts w:ascii="Arial" w:eastAsia="Calibri" w:hAnsi="Arial" w:cs="Arial"/>
        </w:rPr>
        <w:t>l</w:t>
      </w:r>
      <w:r w:rsidR="00F05D94">
        <w:rPr>
          <w:rFonts w:ascii="Arial" w:eastAsia="Calibri" w:hAnsi="Arial" w:cs="Arial"/>
        </w:rPr>
        <w:t>’essor d</w:t>
      </w:r>
      <w:r w:rsidRPr="00E85B00">
        <w:rPr>
          <w:rFonts w:ascii="Arial" w:eastAsia="Calibri" w:hAnsi="Arial" w:cs="Arial"/>
        </w:rPr>
        <w:t xml:space="preserve">es importations </w:t>
      </w:r>
      <w:r w:rsidR="00F05D94">
        <w:rPr>
          <w:rFonts w:ascii="Arial" w:eastAsia="Calibri" w:hAnsi="Arial" w:cs="Arial"/>
        </w:rPr>
        <w:t>d</w:t>
      </w:r>
      <w:r w:rsidR="00F05D94" w:rsidRPr="00E85B00">
        <w:rPr>
          <w:rFonts w:ascii="Arial" w:eastAsia="Calibri" w:hAnsi="Arial" w:cs="Arial"/>
        </w:rPr>
        <w:t xml:space="preserve">e gaz naturel </w:t>
      </w:r>
      <w:r w:rsidR="00F05D94">
        <w:rPr>
          <w:rFonts w:ascii="Arial" w:eastAsia="Calibri" w:hAnsi="Arial" w:cs="Arial"/>
        </w:rPr>
        <w:t xml:space="preserve">est </w:t>
      </w:r>
      <w:r w:rsidR="00CA2A70">
        <w:rPr>
          <w:rFonts w:ascii="Arial" w:eastAsia="Calibri" w:hAnsi="Arial" w:cs="Arial"/>
        </w:rPr>
        <w:t xml:space="preserve">aussi </w:t>
      </w:r>
      <w:r w:rsidR="00742AEC">
        <w:rPr>
          <w:rFonts w:ascii="Arial" w:eastAsia="Calibri" w:hAnsi="Arial" w:cs="Arial"/>
        </w:rPr>
        <w:t xml:space="preserve">particulièrement </w:t>
      </w:r>
      <w:r w:rsidR="00F05D94">
        <w:rPr>
          <w:rFonts w:ascii="Arial" w:eastAsia="Calibri" w:hAnsi="Arial" w:cs="Arial"/>
        </w:rPr>
        <w:t xml:space="preserve">marqué puisqu’elles </w:t>
      </w:r>
      <w:r w:rsidRPr="00E85B00">
        <w:rPr>
          <w:rFonts w:ascii="Arial" w:eastAsia="Calibri" w:hAnsi="Arial" w:cs="Arial"/>
        </w:rPr>
        <w:t xml:space="preserve">étaient nulles en 2021 et sont passées à </w:t>
      </w:r>
      <w:r w:rsidR="00742AEC">
        <w:rPr>
          <w:rFonts w:ascii="Arial" w:eastAsia="Calibri" w:hAnsi="Arial" w:cs="Arial"/>
        </w:rPr>
        <w:t>1 Md</w:t>
      </w:r>
      <w:r w:rsidRPr="00E85B00">
        <w:rPr>
          <w:rFonts w:ascii="Arial" w:eastAsia="Calibri" w:hAnsi="Arial" w:cs="Arial"/>
        </w:rPr>
        <w:t xml:space="preserve"> EUR </w:t>
      </w:r>
      <w:r w:rsidR="00742AEC">
        <w:rPr>
          <w:rFonts w:ascii="Arial" w:eastAsia="Calibri" w:hAnsi="Arial" w:cs="Arial"/>
        </w:rPr>
        <w:t xml:space="preserve">en </w:t>
      </w:r>
      <w:r w:rsidRPr="00E85B00">
        <w:rPr>
          <w:rFonts w:ascii="Arial" w:eastAsia="Calibri" w:hAnsi="Arial" w:cs="Arial"/>
        </w:rPr>
        <w:t>2022</w:t>
      </w:r>
      <w:r w:rsidR="00742AEC">
        <w:rPr>
          <w:rFonts w:ascii="Arial" w:eastAsia="Calibri" w:hAnsi="Arial" w:cs="Arial"/>
        </w:rPr>
        <w:t>.</w:t>
      </w:r>
      <w:r w:rsidR="000E211C">
        <w:rPr>
          <w:rFonts w:ascii="Arial" w:eastAsia="Calibri" w:hAnsi="Arial" w:cs="Arial"/>
        </w:rPr>
        <w:t xml:space="preserve"> </w:t>
      </w:r>
    </w:p>
    <w:p w14:paraId="21A3B4BF" w14:textId="02676991" w:rsidR="000316D7" w:rsidRPr="000316D7" w:rsidRDefault="000034EF" w:rsidP="000316D7">
      <w:pPr>
        <w:jc w:val="both"/>
        <w:rPr>
          <w:rFonts w:ascii="Arial" w:eastAsia="Calibri" w:hAnsi="Arial" w:cs="Arial"/>
        </w:rPr>
      </w:pPr>
      <w:r w:rsidRPr="009F52DB">
        <w:rPr>
          <w:rFonts w:ascii="Arial" w:eastAsia="Calibri" w:hAnsi="Arial" w:cs="Arial"/>
          <w:u w:val="single"/>
        </w:rPr>
        <w:t>L</w:t>
      </w:r>
      <w:r w:rsidR="00786301" w:rsidRPr="009F52DB">
        <w:rPr>
          <w:rFonts w:ascii="Arial" w:eastAsia="Calibri" w:hAnsi="Arial" w:cs="Arial"/>
          <w:u w:val="single"/>
        </w:rPr>
        <w:t>es importations de produits pétroliers raffinés</w:t>
      </w:r>
      <w:r w:rsidR="00786301" w:rsidRPr="00786301">
        <w:rPr>
          <w:rFonts w:ascii="Arial" w:eastAsia="Calibri" w:hAnsi="Arial" w:cs="Arial"/>
        </w:rPr>
        <w:t xml:space="preserve"> </w:t>
      </w:r>
      <w:r>
        <w:rPr>
          <w:rFonts w:ascii="Arial" w:eastAsia="Calibri" w:hAnsi="Arial" w:cs="Arial"/>
        </w:rPr>
        <w:t>s</w:t>
      </w:r>
      <w:r w:rsidR="00786301" w:rsidRPr="00786301">
        <w:rPr>
          <w:rFonts w:ascii="Arial" w:eastAsia="Calibri" w:hAnsi="Arial" w:cs="Arial"/>
        </w:rPr>
        <w:t xml:space="preserve">ont </w:t>
      </w:r>
      <w:r>
        <w:rPr>
          <w:rFonts w:ascii="Arial" w:eastAsia="Calibri" w:hAnsi="Arial" w:cs="Arial"/>
        </w:rPr>
        <w:t xml:space="preserve">en hausse </w:t>
      </w:r>
      <w:r w:rsidR="00E85B00">
        <w:rPr>
          <w:rFonts w:ascii="Arial" w:eastAsia="Calibri" w:hAnsi="Arial" w:cs="Arial"/>
        </w:rPr>
        <w:t xml:space="preserve">de 36,8 %, </w:t>
      </w:r>
      <w:r w:rsidR="00742AEC">
        <w:rPr>
          <w:rFonts w:ascii="Arial" w:eastAsia="Calibri" w:hAnsi="Arial" w:cs="Arial"/>
        </w:rPr>
        <w:t xml:space="preserve">elles </w:t>
      </w:r>
      <w:r w:rsidR="00E85B00">
        <w:rPr>
          <w:rFonts w:ascii="Arial" w:eastAsia="Calibri" w:hAnsi="Arial" w:cs="Arial"/>
        </w:rPr>
        <w:t xml:space="preserve">atteignent 27 </w:t>
      </w:r>
      <w:r w:rsidR="00786301" w:rsidRPr="00786301">
        <w:rPr>
          <w:rFonts w:ascii="Arial" w:eastAsia="Calibri" w:hAnsi="Arial" w:cs="Arial"/>
        </w:rPr>
        <w:t>M EUR</w:t>
      </w:r>
      <w:r w:rsidR="00504E85">
        <w:rPr>
          <w:rFonts w:ascii="Arial" w:eastAsia="Calibri" w:hAnsi="Arial" w:cs="Arial"/>
        </w:rPr>
        <w:t>, soit 0,7 % de nos importations</w:t>
      </w:r>
      <w:r w:rsidR="00786301" w:rsidRPr="00786301">
        <w:rPr>
          <w:rFonts w:ascii="Arial" w:eastAsia="Calibri" w:hAnsi="Arial" w:cs="Arial"/>
        </w:rPr>
        <w:t xml:space="preserve">. </w:t>
      </w:r>
      <w:r w:rsidR="000316D7" w:rsidRPr="000316D7">
        <w:rPr>
          <w:rFonts w:ascii="Arial" w:eastAsia="Calibri" w:hAnsi="Arial" w:cs="Arial"/>
        </w:rPr>
        <w:t xml:space="preserve">Les autres catégories de produits importés </w:t>
      </w:r>
      <w:r w:rsidR="00504E85">
        <w:rPr>
          <w:rFonts w:ascii="Arial" w:eastAsia="Calibri" w:hAnsi="Arial" w:cs="Arial"/>
        </w:rPr>
        <w:t xml:space="preserve">(0,3% de nos importations) </w:t>
      </w:r>
      <w:r w:rsidR="000316D7" w:rsidRPr="000316D7">
        <w:rPr>
          <w:rFonts w:ascii="Arial" w:eastAsia="Calibri" w:hAnsi="Arial" w:cs="Arial"/>
        </w:rPr>
        <w:t xml:space="preserve">sont </w:t>
      </w:r>
      <w:r w:rsidR="00CE0CA4">
        <w:rPr>
          <w:rFonts w:ascii="Arial" w:eastAsia="Calibri" w:hAnsi="Arial" w:cs="Arial"/>
        </w:rPr>
        <w:t xml:space="preserve">relativement </w:t>
      </w:r>
      <w:r w:rsidR="000316D7" w:rsidRPr="000316D7">
        <w:rPr>
          <w:rFonts w:ascii="Arial" w:eastAsia="Calibri" w:hAnsi="Arial" w:cs="Arial"/>
        </w:rPr>
        <w:t xml:space="preserve">marginales : </w:t>
      </w:r>
      <w:r w:rsidR="000316D7">
        <w:rPr>
          <w:rFonts w:ascii="Arial" w:eastAsia="Calibri" w:hAnsi="Arial" w:cs="Arial"/>
        </w:rPr>
        <w:t xml:space="preserve">machines industrielles </w:t>
      </w:r>
      <w:r w:rsidR="00B330A1">
        <w:rPr>
          <w:rFonts w:ascii="Arial" w:eastAsia="Calibri" w:hAnsi="Arial" w:cs="Arial"/>
        </w:rPr>
        <w:t xml:space="preserve">et agricoles 1 M EUR (+ 256 %), produits informatiques électroniques et optiques (499 K EUR (+21 %), </w:t>
      </w:r>
      <w:r w:rsidR="000316D7" w:rsidRPr="000316D7">
        <w:rPr>
          <w:rFonts w:ascii="Arial" w:eastAsia="Calibri" w:hAnsi="Arial" w:cs="Arial"/>
        </w:rPr>
        <w:t xml:space="preserve">bois </w:t>
      </w:r>
      <w:r w:rsidR="000316D7">
        <w:rPr>
          <w:rFonts w:ascii="Arial" w:eastAsia="Calibri" w:hAnsi="Arial" w:cs="Arial"/>
        </w:rPr>
        <w:t>4</w:t>
      </w:r>
      <w:r w:rsidR="000316D7" w:rsidRPr="000316D7">
        <w:rPr>
          <w:rFonts w:ascii="Arial" w:eastAsia="Calibri" w:hAnsi="Arial" w:cs="Arial"/>
        </w:rPr>
        <w:t>7</w:t>
      </w:r>
      <w:r w:rsidR="000316D7">
        <w:rPr>
          <w:rFonts w:ascii="Arial" w:eastAsia="Calibri" w:hAnsi="Arial" w:cs="Arial"/>
        </w:rPr>
        <w:t>6</w:t>
      </w:r>
      <w:r w:rsidR="000316D7" w:rsidRPr="000316D7">
        <w:rPr>
          <w:rFonts w:ascii="Arial" w:eastAsia="Calibri" w:hAnsi="Arial" w:cs="Arial"/>
        </w:rPr>
        <w:t xml:space="preserve"> K</w:t>
      </w:r>
      <w:r w:rsidR="00504E85">
        <w:rPr>
          <w:rFonts w:ascii="Arial" w:eastAsia="Calibri" w:hAnsi="Arial" w:cs="Arial"/>
        </w:rPr>
        <w:t xml:space="preserve"> </w:t>
      </w:r>
      <w:r w:rsidR="000316D7" w:rsidRPr="000316D7">
        <w:rPr>
          <w:rFonts w:ascii="Arial" w:eastAsia="Calibri" w:hAnsi="Arial" w:cs="Arial"/>
        </w:rPr>
        <w:t>EUR (-</w:t>
      </w:r>
      <w:r w:rsidR="00B330A1">
        <w:rPr>
          <w:rFonts w:ascii="Arial" w:eastAsia="Calibri" w:hAnsi="Arial" w:cs="Arial"/>
        </w:rPr>
        <w:t xml:space="preserve"> </w:t>
      </w:r>
      <w:r w:rsidR="000316D7">
        <w:rPr>
          <w:rFonts w:ascii="Arial" w:eastAsia="Calibri" w:hAnsi="Arial" w:cs="Arial"/>
        </w:rPr>
        <w:t xml:space="preserve">17 </w:t>
      </w:r>
      <w:r w:rsidR="000316D7" w:rsidRPr="000316D7">
        <w:rPr>
          <w:rFonts w:ascii="Arial" w:eastAsia="Calibri" w:hAnsi="Arial" w:cs="Arial"/>
        </w:rPr>
        <w:t xml:space="preserve">%) ; produits manufacturés divers </w:t>
      </w:r>
      <w:r w:rsidR="000316D7">
        <w:rPr>
          <w:rFonts w:ascii="Arial" w:eastAsia="Calibri" w:hAnsi="Arial" w:cs="Arial"/>
        </w:rPr>
        <w:t>263</w:t>
      </w:r>
      <w:r w:rsidR="000316D7" w:rsidRPr="000316D7">
        <w:rPr>
          <w:rFonts w:ascii="Arial" w:eastAsia="Calibri" w:hAnsi="Arial" w:cs="Arial"/>
        </w:rPr>
        <w:t xml:space="preserve"> K EUR (-</w:t>
      </w:r>
      <w:r w:rsidR="000316D7">
        <w:rPr>
          <w:rFonts w:ascii="Arial" w:eastAsia="Calibri" w:hAnsi="Arial" w:cs="Arial"/>
        </w:rPr>
        <w:t xml:space="preserve"> 57</w:t>
      </w:r>
      <w:r w:rsidR="000316D7" w:rsidRPr="000316D7">
        <w:rPr>
          <w:rFonts w:ascii="Arial" w:eastAsia="Calibri" w:hAnsi="Arial" w:cs="Arial"/>
        </w:rPr>
        <w:t xml:space="preserve"> %). </w:t>
      </w:r>
    </w:p>
    <w:p w14:paraId="6FDA6485" w14:textId="77777777" w:rsidR="000316D7" w:rsidRPr="00786301" w:rsidRDefault="000316D7" w:rsidP="00786301">
      <w:pPr>
        <w:jc w:val="both"/>
        <w:rPr>
          <w:rFonts w:ascii="Arial" w:eastAsia="Calibri" w:hAnsi="Arial" w:cs="Arial"/>
        </w:rPr>
      </w:pPr>
    </w:p>
    <w:p w14:paraId="1AB2EF02" w14:textId="5325C6C2" w:rsidR="00786301" w:rsidRDefault="00D60DF7" w:rsidP="00373711">
      <w:pPr>
        <w:spacing w:after="120"/>
        <w:jc w:val="both"/>
        <w:rPr>
          <w:rFonts w:ascii="Arial" w:hAnsi="Arial" w:cs="Arial"/>
          <w:color w:val="006CE5"/>
          <w:sz w:val="24"/>
          <w:u w:val="single"/>
        </w:rPr>
      </w:pPr>
      <w:r>
        <w:rPr>
          <w:rFonts w:ascii="Arial" w:hAnsi="Arial" w:cs="Arial"/>
          <w:color w:val="006CE5"/>
          <w:sz w:val="24"/>
          <w:u w:val="single"/>
        </w:rPr>
        <w:lastRenderedPageBreak/>
        <w:t>3</w:t>
      </w:r>
      <w:r w:rsidR="00786301" w:rsidRPr="00786301">
        <w:rPr>
          <w:rFonts w:ascii="Arial" w:hAnsi="Arial" w:cs="Arial"/>
          <w:color w:val="006CE5"/>
          <w:sz w:val="24"/>
          <w:u w:val="single"/>
        </w:rPr>
        <w:t>) Nos exportations sont en hausse de 5,</w:t>
      </w:r>
      <w:r w:rsidR="00504E85">
        <w:rPr>
          <w:rFonts w:ascii="Arial" w:hAnsi="Arial" w:cs="Arial"/>
          <w:color w:val="006CE5"/>
          <w:sz w:val="24"/>
          <w:u w:val="single"/>
        </w:rPr>
        <w:t>4</w:t>
      </w:r>
      <w:r w:rsidR="00786301" w:rsidRPr="00786301">
        <w:rPr>
          <w:rFonts w:ascii="Arial" w:hAnsi="Arial" w:cs="Arial"/>
          <w:color w:val="006CE5"/>
          <w:sz w:val="24"/>
          <w:u w:val="single"/>
        </w:rPr>
        <w:t xml:space="preserve"> % </w:t>
      </w:r>
      <w:r w:rsidR="00504E85">
        <w:rPr>
          <w:rFonts w:ascii="Arial" w:hAnsi="Arial" w:cs="Arial"/>
          <w:color w:val="006CE5"/>
          <w:sz w:val="24"/>
          <w:u w:val="single"/>
        </w:rPr>
        <w:t>(</w:t>
      </w:r>
      <w:r w:rsidR="001F5BD0">
        <w:rPr>
          <w:rFonts w:ascii="Arial" w:hAnsi="Arial" w:cs="Arial"/>
          <w:color w:val="006CE5"/>
          <w:sz w:val="24"/>
          <w:u w:val="single"/>
        </w:rPr>
        <w:t xml:space="preserve">256 M EUR) </w:t>
      </w:r>
      <w:r w:rsidR="00786301" w:rsidRPr="00786301">
        <w:rPr>
          <w:rFonts w:ascii="Arial" w:hAnsi="Arial" w:cs="Arial"/>
          <w:color w:val="006CE5"/>
          <w:sz w:val="24"/>
          <w:u w:val="single"/>
        </w:rPr>
        <w:t xml:space="preserve">avec </w:t>
      </w:r>
      <w:r>
        <w:rPr>
          <w:rFonts w:ascii="Arial" w:hAnsi="Arial" w:cs="Arial"/>
          <w:color w:val="006CE5"/>
          <w:sz w:val="24"/>
          <w:u w:val="single"/>
        </w:rPr>
        <w:t xml:space="preserve">toutefois </w:t>
      </w:r>
      <w:r w:rsidR="00786301" w:rsidRPr="00786301">
        <w:rPr>
          <w:rFonts w:ascii="Arial" w:hAnsi="Arial" w:cs="Arial"/>
          <w:color w:val="006CE5"/>
          <w:sz w:val="24"/>
          <w:u w:val="single"/>
        </w:rPr>
        <w:t>un fléchissement des ventes de blé</w:t>
      </w:r>
      <w:r w:rsidR="007821DD">
        <w:rPr>
          <w:rFonts w:ascii="Arial" w:hAnsi="Arial" w:cs="Arial"/>
          <w:color w:val="006CE5"/>
          <w:sz w:val="24"/>
          <w:u w:val="single"/>
        </w:rPr>
        <w:t xml:space="preserve"> et des flux plus soutenus pour les produits industriels </w:t>
      </w:r>
    </w:p>
    <w:p w14:paraId="2A2C80D6" w14:textId="19CB74C9" w:rsidR="00786301" w:rsidRPr="00786301" w:rsidRDefault="001F5BD0" w:rsidP="00786301">
      <w:pPr>
        <w:spacing w:after="0"/>
        <w:jc w:val="both"/>
        <w:rPr>
          <w:rFonts w:ascii="Arial" w:eastAsia="Calibri" w:hAnsi="Arial" w:cs="Arial"/>
        </w:rPr>
      </w:pPr>
      <w:r>
        <w:rPr>
          <w:rFonts w:ascii="Arial" w:eastAsia="Calibri" w:hAnsi="Arial" w:cs="Arial"/>
        </w:rPr>
        <w:t xml:space="preserve">En 2022, </w:t>
      </w:r>
      <w:r w:rsidR="00786301" w:rsidRPr="00786301">
        <w:rPr>
          <w:rFonts w:ascii="Arial" w:eastAsia="Calibri" w:hAnsi="Arial" w:cs="Arial"/>
        </w:rPr>
        <w:t>nos exportations ont augmenté de 5,</w:t>
      </w:r>
      <w:r>
        <w:rPr>
          <w:rFonts w:ascii="Arial" w:eastAsia="Calibri" w:hAnsi="Arial" w:cs="Arial"/>
        </w:rPr>
        <w:t xml:space="preserve">4 % et atteignent </w:t>
      </w:r>
      <w:r w:rsidR="00786301" w:rsidRPr="00786301">
        <w:rPr>
          <w:rFonts w:ascii="Arial" w:eastAsia="Calibri" w:hAnsi="Arial" w:cs="Arial"/>
        </w:rPr>
        <w:t>2</w:t>
      </w:r>
      <w:r>
        <w:rPr>
          <w:rFonts w:ascii="Arial" w:eastAsia="Calibri" w:hAnsi="Arial" w:cs="Arial"/>
        </w:rPr>
        <w:t>56</w:t>
      </w:r>
      <w:r w:rsidR="00786301" w:rsidRPr="00786301">
        <w:rPr>
          <w:rFonts w:ascii="Arial" w:eastAsia="Calibri" w:hAnsi="Arial" w:cs="Arial"/>
        </w:rPr>
        <w:t xml:space="preserve"> M EUR.</w:t>
      </w:r>
    </w:p>
    <w:p w14:paraId="08575EB3" w14:textId="14A3FBF5" w:rsidR="00786301" w:rsidRPr="00786301" w:rsidRDefault="00786301" w:rsidP="00786301">
      <w:pPr>
        <w:spacing w:after="0"/>
        <w:jc w:val="both"/>
        <w:rPr>
          <w:rFonts w:ascii="Arial" w:eastAsia="Calibri" w:hAnsi="Arial" w:cs="Arial"/>
        </w:rPr>
      </w:pPr>
      <w:r w:rsidRPr="00786301">
        <w:rPr>
          <w:rFonts w:ascii="Arial" w:eastAsia="Calibri" w:hAnsi="Arial" w:cs="Arial"/>
        </w:rPr>
        <w:t xml:space="preserve">- Les exportations de </w:t>
      </w:r>
      <w:r w:rsidRPr="00786301">
        <w:rPr>
          <w:rFonts w:ascii="Arial" w:eastAsia="Calibri" w:hAnsi="Arial" w:cs="Arial"/>
          <w:u w:val="single"/>
        </w:rPr>
        <w:t xml:space="preserve">blé </w:t>
      </w:r>
      <w:r w:rsidRPr="00786301">
        <w:rPr>
          <w:rFonts w:ascii="Arial" w:eastAsia="Calibri" w:hAnsi="Arial" w:cs="Arial"/>
        </w:rPr>
        <w:t>connaissent une baisse de 15,8 % (</w:t>
      </w:r>
      <w:r w:rsidR="00FA68D9">
        <w:rPr>
          <w:rFonts w:ascii="Arial" w:eastAsia="Calibri" w:hAnsi="Arial" w:cs="Arial"/>
        </w:rPr>
        <w:t>5</w:t>
      </w:r>
      <w:r w:rsidRPr="00786301">
        <w:rPr>
          <w:rFonts w:ascii="Arial" w:eastAsia="Calibri" w:hAnsi="Arial" w:cs="Arial"/>
        </w:rPr>
        <w:t>8,</w:t>
      </w:r>
      <w:r w:rsidR="00FA68D9">
        <w:rPr>
          <w:rFonts w:ascii="Arial" w:eastAsia="Calibri" w:hAnsi="Arial" w:cs="Arial"/>
        </w:rPr>
        <w:t>4</w:t>
      </w:r>
      <w:r w:rsidRPr="00786301">
        <w:rPr>
          <w:rFonts w:ascii="Arial" w:eastAsia="Calibri" w:hAnsi="Arial" w:cs="Arial"/>
        </w:rPr>
        <w:t xml:space="preserve"> M EUR), c’est le 3ème poste d’exportation </w:t>
      </w:r>
      <w:r w:rsidR="00D60DF7">
        <w:rPr>
          <w:rFonts w:ascii="Arial" w:eastAsia="Calibri" w:hAnsi="Arial" w:cs="Arial"/>
        </w:rPr>
        <w:t>(1</w:t>
      </w:r>
      <w:r w:rsidR="00D60DF7" w:rsidRPr="00D60DF7">
        <w:rPr>
          <w:rFonts w:ascii="Arial" w:eastAsia="Calibri" w:hAnsi="Arial" w:cs="Arial"/>
          <w:vertAlign w:val="superscript"/>
        </w:rPr>
        <w:t>er</w:t>
      </w:r>
      <w:r w:rsidR="00D60DF7">
        <w:rPr>
          <w:rFonts w:ascii="Arial" w:eastAsia="Calibri" w:hAnsi="Arial" w:cs="Arial"/>
        </w:rPr>
        <w:t xml:space="preserve"> poste en 2021) </w:t>
      </w:r>
      <w:r w:rsidRPr="00786301">
        <w:rPr>
          <w:rFonts w:ascii="Arial" w:eastAsia="Calibri" w:hAnsi="Arial" w:cs="Arial"/>
        </w:rPr>
        <w:t>derrière les équipements mécaniques et les autres produits industriels.</w:t>
      </w:r>
    </w:p>
    <w:p w14:paraId="1AD89B0C" w14:textId="2EB127C3" w:rsidR="00786301" w:rsidRPr="00786301" w:rsidRDefault="00786301" w:rsidP="00786301">
      <w:pPr>
        <w:spacing w:after="0"/>
        <w:jc w:val="both"/>
        <w:rPr>
          <w:rFonts w:ascii="Arial" w:eastAsia="Calibri" w:hAnsi="Arial" w:cs="Arial"/>
        </w:rPr>
      </w:pPr>
      <w:r w:rsidRPr="00786301">
        <w:rPr>
          <w:rFonts w:ascii="Arial" w:eastAsia="Calibri" w:hAnsi="Arial" w:cs="Arial"/>
        </w:rPr>
        <w:t xml:space="preserve">- Les exportations des </w:t>
      </w:r>
      <w:r w:rsidRPr="00786301">
        <w:rPr>
          <w:rFonts w:ascii="Arial" w:eastAsia="Calibri" w:hAnsi="Arial" w:cs="Arial"/>
          <w:u w:val="single"/>
        </w:rPr>
        <w:t>produits des industries alimentaires</w:t>
      </w:r>
      <w:r w:rsidRPr="00786301">
        <w:rPr>
          <w:rFonts w:ascii="Arial" w:eastAsia="Calibri" w:hAnsi="Arial" w:cs="Arial"/>
        </w:rPr>
        <w:t xml:space="preserve"> progressent de </w:t>
      </w:r>
      <w:r w:rsidR="00FA68D9">
        <w:rPr>
          <w:rFonts w:ascii="Arial" w:eastAsia="Calibri" w:hAnsi="Arial" w:cs="Arial"/>
        </w:rPr>
        <w:t>18</w:t>
      </w:r>
      <w:r w:rsidRPr="00786301">
        <w:rPr>
          <w:rFonts w:ascii="Arial" w:eastAsia="Calibri" w:hAnsi="Arial" w:cs="Arial"/>
        </w:rPr>
        <w:t>,</w:t>
      </w:r>
      <w:r w:rsidR="00FA68D9">
        <w:rPr>
          <w:rFonts w:ascii="Arial" w:eastAsia="Calibri" w:hAnsi="Arial" w:cs="Arial"/>
        </w:rPr>
        <w:t>4</w:t>
      </w:r>
      <w:r w:rsidRPr="00786301">
        <w:rPr>
          <w:rFonts w:ascii="Arial" w:eastAsia="Calibri" w:hAnsi="Arial" w:cs="Arial"/>
        </w:rPr>
        <w:t xml:space="preserve"> % (</w:t>
      </w:r>
      <w:r w:rsidR="00FA68D9">
        <w:rPr>
          <w:rFonts w:ascii="Arial" w:eastAsia="Calibri" w:hAnsi="Arial" w:cs="Arial"/>
        </w:rPr>
        <w:t>22,1</w:t>
      </w:r>
      <w:r w:rsidRPr="00786301">
        <w:rPr>
          <w:rFonts w:ascii="Arial" w:eastAsia="Calibri" w:hAnsi="Arial" w:cs="Arial"/>
        </w:rPr>
        <w:t xml:space="preserve"> M EUR) ; le malt continue sa progression (</w:t>
      </w:r>
      <w:r w:rsidR="00684469">
        <w:rPr>
          <w:rFonts w:ascii="Arial" w:eastAsia="Calibri" w:hAnsi="Arial" w:cs="Arial"/>
        </w:rPr>
        <w:t>8</w:t>
      </w:r>
      <w:r w:rsidRPr="00786301">
        <w:rPr>
          <w:rFonts w:ascii="Arial" w:eastAsia="Calibri" w:hAnsi="Arial" w:cs="Arial"/>
        </w:rPr>
        <w:t>,</w:t>
      </w:r>
      <w:r w:rsidR="00684469">
        <w:rPr>
          <w:rFonts w:ascii="Arial" w:eastAsia="Calibri" w:hAnsi="Arial" w:cs="Arial"/>
        </w:rPr>
        <w:t>3</w:t>
      </w:r>
      <w:r w:rsidRPr="00786301">
        <w:rPr>
          <w:rFonts w:ascii="Arial" w:eastAsia="Calibri" w:hAnsi="Arial" w:cs="Arial"/>
        </w:rPr>
        <w:t xml:space="preserve"> M EUR, + 46 %) de même que les produits laitiers et fromages </w:t>
      </w:r>
      <w:r w:rsidR="00CC27BE">
        <w:rPr>
          <w:rFonts w:ascii="Arial" w:eastAsia="Calibri" w:hAnsi="Arial" w:cs="Arial"/>
        </w:rPr>
        <w:t xml:space="preserve">bien que le montant soit faible </w:t>
      </w:r>
      <w:r w:rsidRPr="00786301">
        <w:rPr>
          <w:rFonts w:ascii="Arial" w:eastAsia="Calibri" w:hAnsi="Arial" w:cs="Arial"/>
        </w:rPr>
        <w:t>(</w:t>
      </w:r>
      <w:r w:rsidR="00684469">
        <w:rPr>
          <w:rFonts w:ascii="Arial" w:eastAsia="Calibri" w:hAnsi="Arial" w:cs="Arial"/>
        </w:rPr>
        <w:t>5</w:t>
      </w:r>
      <w:r w:rsidRPr="00786301">
        <w:rPr>
          <w:rFonts w:ascii="Arial" w:eastAsia="Calibri" w:hAnsi="Arial" w:cs="Arial"/>
        </w:rPr>
        <w:t xml:space="preserve"> M EUR, + 24 %). </w:t>
      </w:r>
    </w:p>
    <w:p w14:paraId="02C0E0AC" w14:textId="7DBDECA9" w:rsidR="00786301" w:rsidRPr="00786301" w:rsidRDefault="00786301" w:rsidP="00786301">
      <w:pPr>
        <w:spacing w:after="0"/>
        <w:jc w:val="both"/>
        <w:rPr>
          <w:rFonts w:ascii="Arial" w:eastAsia="Calibri" w:hAnsi="Arial" w:cs="Arial"/>
        </w:rPr>
      </w:pPr>
      <w:r w:rsidRPr="00786301">
        <w:rPr>
          <w:rFonts w:ascii="Arial" w:eastAsia="Calibri" w:hAnsi="Arial" w:cs="Arial"/>
        </w:rPr>
        <w:t xml:space="preserve">- </w:t>
      </w:r>
      <w:bookmarkStart w:id="1" w:name="_Hlk125565093"/>
      <w:r w:rsidRPr="00786301">
        <w:rPr>
          <w:rFonts w:ascii="Arial" w:eastAsia="Calibri" w:hAnsi="Arial" w:cs="Arial"/>
          <w:u w:val="single"/>
        </w:rPr>
        <w:t>Les exportations d’équipements mécaniques</w:t>
      </w:r>
      <w:r w:rsidRPr="00786301">
        <w:rPr>
          <w:rFonts w:ascii="Arial" w:eastAsia="Calibri" w:hAnsi="Arial" w:cs="Arial"/>
        </w:rPr>
        <w:t xml:space="preserve"> (</w:t>
      </w:r>
      <w:r w:rsidR="00684469">
        <w:rPr>
          <w:rFonts w:ascii="Arial" w:eastAsia="Calibri" w:hAnsi="Arial" w:cs="Arial"/>
        </w:rPr>
        <w:t xml:space="preserve">71,9 </w:t>
      </w:r>
      <w:r w:rsidRPr="00786301">
        <w:rPr>
          <w:rFonts w:ascii="Arial" w:eastAsia="Calibri" w:hAnsi="Arial" w:cs="Arial"/>
        </w:rPr>
        <w:t>M EUR</w:t>
      </w:r>
      <w:r w:rsidR="00684469">
        <w:rPr>
          <w:rFonts w:ascii="Arial" w:eastAsia="Calibri" w:hAnsi="Arial" w:cs="Arial"/>
        </w:rPr>
        <w:t>, +7,5 %</w:t>
      </w:r>
      <w:r w:rsidRPr="00786301">
        <w:rPr>
          <w:rFonts w:ascii="Arial" w:eastAsia="Calibri" w:hAnsi="Arial" w:cs="Arial"/>
        </w:rPr>
        <w:t xml:space="preserve">) </w:t>
      </w:r>
      <w:r w:rsidR="00565219">
        <w:rPr>
          <w:rFonts w:ascii="Arial" w:eastAsia="Calibri" w:hAnsi="Arial" w:cs="Arial"/>
        </w:rPr>
        <w:t xml:space="preserve">sont portés par les ventes de </w:t>
      </w:r>
      <w:r w:rsidR="00565219" w:rsidRPr="00CC27BE">
        <w:rPr>
          <w:rFonts w:ascii="Arial" w:eastAsia="Calibri" w:hAnsi="Arial" w:cs="Arial"/>
          <w:u w:val="single"/>
        </w:rPr>
        <w:t>machines industrielles et agricoles</w:t>
      </w:r>
      <w:r w:rsidR="00565219">
        <w:rPr>
          <w:rFonts w:ascii="Arial" w:eastAsia="Calibri" w:hAnsi="Arial" w:cs="Arial"/>
        </w:rPr>
        <w:t xml:space="preserve"> (46,6 M EUR, 22,7 % ; les </w:t>
      </w:r>
      <w:r w:rsidRPr="00786301">
        <w:rPr>
          <w:rFonts w:ascii="Arial" w:eastAsia="Calibri" w:hAnsi="Arial" w:cs="Arial"/>
          <w:u w:val="single"/>
        </w:rPr>
        <w:t>autres produits industriels</w:t>
      </w:r>
      <w:r w:rsidRPr="00786301">
        <w:rPr>
          <w:rFonts w:ascii="Arial" w:eastAsia="Calibri" w:hAnsi="Arial" w:cs="Arial"/>
        </w:rPr>
        <w:t xml:space="preserve"> </w:t>
      </w:r>
      <w:bookmarkEnd w:id="1"/>
      <w:r w:rsidRPr="00786301">
        <w:rPr>
          <w:rFonts w:ascii="Arial" w:eastAsia="Calibri" w:hAnsi="Arial" w:cs="Arial"/>
        </w:rPr>
        <w:t>(</w:t>
      </w:r>
      <w:r w:rsidR="00684469">
        <w:rPr>
          <w:rFonts w:ascii="Arial" w:eastAsia="Calibri" w:hAnsi="Arial" w:cs="Arial"/>
        </w:rPr>
        <w:t>81</w:t>
      </w:r>
      <w:r w:rsidRPr="00786301">
        <w:rPr>
          <w:rFonts w:ascii="Arial" w:eastAsia="Calibri" w:hAnsi="Arial" w:cs="Arial"/>
        </w:rPr>
        <w:t xml:space="preserve"> M EUR</w:t>
      </w:r>
      <w:r w:rsidR="00684469">
        <w:rPr>
          <w:rFonts w:ascii="Arial" w:eastAsia="Calibri" w:hAnsi="Arial" w:cs="Arial"/>
        </w:rPr>
        <w:t>, 14,9 %</w:t>
      </w:r>
      <w:r w:rsidRPr="00786301">
        <w:rPr>
          <w:rFonts w:ascii="Arial" w:eastAsia="Calibri" w:hAnsi="Arial" w:cs="Arial"/>
        </w:rPr>
        <w:t xml:space="preserve">) connaissent </w:t>
      </w:r>
      <w:r w:rsidR="00565219">
        <w:rPr>
          <w:rFonts w:ascii="Arial" w:eastAsia="Calibri" w:hAnsi="Arial" w:cs="Arial"/>
        </w:rPr>
        <w:t xml:space="preserve">aussi </w:t>
      </w:r>
      <w:r w:rsidRPr="00786301">
        <w:rPr>
          <w:rFonts w:ascii="Arial" w:eastAsia="Calibri" w:hAnsi="Arial" w:cs="Arial"/>
        </w:rPr>
        <w:t xml:space="preserve">une progression. </w:t>
      </w:r>
      <w:r w:rsidR="00CA3F3B">
        <w:rPr>
          <w:rFonts w:ascii="Arial" w:eastAsia="Calibri" w:hAnsi="Arial" w:cs="Arial"/>
        </w:rPr>
        <w:t>Parmi ceux-ci, i</w:t>
      </w:r>
      <w:r w:rsidRPr="00786301">
        <w:rPr>
          <w:rFonts w:ascii="Arial" w:eastAsia="Calibri" w:hAnsi="Arial" w:cs="Arial"/>
        </w:rPr>
        <w:t xml:space="preserve">l est à noter une forte hausse des </w:t>
      </w:r>
      <w:r w:rsidRPr="00786301">
        <w:rPr>
          <w:rFonts w:ascii="Arial" w:eastAsia="Calibri" w:hAnsi="Arial" w:cs="Arial"/>
          <w:u w:val="single"/>
        </w:rPr>
        <w:t>produits chimiques, parfums et cosmétiques</w:t>
      </w:r>
      <w:r w:rsidRPr="00786301">
        <w:rPr>
          <w:rFonts w:ascii="Arial" w:eastAsia="Calibri" w:hAnsi="Arial" w:cs="Arial"/>
        </w:rPr>
        <w:t xml:space="preserve"> (</w:t>
      </w:r>
      <w:r w:rsidR="00684469">
        <w:rPr>
          <w:rFonts w:ascii="Arial" w:eastAsia="Calibri" w:hAnsi="Arial" w:cs="Arial"/>
        </w:rPr>
        <w:t>46,6</w:t>
      </w:r>
      <w:r w:rsidRPr="00786301">
        <w:rPr>
          <w:rFonts w:ascii="Arial" w:eastAsia="Calibri" w:hAnsi="Arial" w:cs="Arial"/>
        </w:rPr>
        <w:t xml:space="preserve"> M EUR, +144 %)</w:t>
      </w:r>
      <w:r w:rsidR="00684469">
        <w:rPr>
          <w:rFonts w:ascii="Arial" w:eastAsia="Calibri" w:hAnsi="Arial" w:cs="Arial"/>
        </w:rPr>
        <w:t xml:space="preserve">, alors que les </w:t>
      </w:r>
      <w:r w:rsidR="00684469" w:rsidRPr="00CC27BE">
        <w:rPr>
          <w:rFonts w:ascii="Arial" w:eastAsia="Calibri" w:hAnsi="Arial" w:cs="Arial"/>
          <w:u w:val="single"/>
        </w:rPr>
        <w:t>produits métallurgiques et métalliques</w:t>
      </w:r>
      <w:r w:rsidR="00320583">
        <w:rPr>
          <w:rFonts w:ascii="Arial" w:eastAsia="Calibri" w:hAnsi="Arial" w:cs="Arial"/>
        </w:rPr>
        <w:t xml:space="preserve"> qui sont exportés essentiellement pour le secteur pétrolier</w:t>
      </w:r>
      <w:r w:rsidR="00684469">
        <w:rPr>
          <w:rFonts w:ascii="Arial" w:eastAsia="Calibri" w:hAnsi="Arial" w:cs="Arial"/>
        </w:rPr>
        <w:t xml:space="preserve"> </w:t>
      </w:r>
      <w:r w:rsidR="00565219">
        <w:rPr>
          <w:rFonts w:ascii="Arial" w:eastAsia="Calibri" w:hAnsi="Arial" w:cs="Arial"/>
        </w:rPr>
        <w:t>reculent nettement (21,4 M EUR, - 49,9 %</w:t>
      </w:r>
      <w:proofErr w:type="gramStart"/>
      <w:r w:rsidR="00565219">
        <w:rPr>
          <w:rFonts w:ascii="Arial" w:eastAsia="Calibri" w:hAnsi="Arial" w:cs="Arial"/>
        </w:rPr>
        <w:t>)</w:t>
      </w:r>
      <w:r w:rsidR="00684469">
        <w:rPr>
          <w:rFonts w:ascii="Arial" w:eastAsia="Calibri" w:hAnsi="Arial" w:cs="Arial"/>
        </w:rPr>
        <w:t xml:space="preserve"> </w:t>
      </w:r>
      <w:r w:rsidRPr="00786301">
        <w:rPr>
          <w:rFonts w:ascii="Arial" w:eastAsia="Calibri" w:hAnsi="Arial" w:cs="Arial"/>
        </w:rPr>
        <w:t>.</w:t>
      </w:r>
      <w:proofErr w:type="gramEnd"/>
      <w:r w:rsidRPr="00786301">
        <w:rPr>
          <w:rFonts w:ascii="Arial" w:eastAsia="Calibri" w:hAnsi="Arial" w:cs="Arial"/>
        </w:rPr>
        <w:t>/.</w:t>
      </w:r>
    </w:p>
    <w:p w14:paraId="77B1EE3A" w14:textId="7205B08E" w:rsidR="00786301" w:rsidRDefault="00786301" w:rsidP="00916517">
      <w:pPr>
        <w:spacing w:after="0" w:line="240" w:lineRule="auto"/>
        <w:jc w:val="both"/>
        <w:rPr>
          <w:rFonts w:ascii="Arial" w:eastAsia="SimSun" w:hAnsi="Arial" w:cs="Arial"/>
          <w:color w:val="000000" w:themeColor="text1"/>
          <w:lang w:eastAsia="ja-JP"/>
        </w:rPr>
      </w:pPr>
    </w:p>
    <w:p w14:paraId="5F532D86" w14:textId="77777777" w:rsidR="00D60DF7" w:rsidRDefault="00D60DF7" w:rsidP="00916517">
      <w:pPr>
        <w:spacing w:after="0" w:line="240" w:lineRule="auto"/>
        <w:jc w:val="both"/>
        <w:rPr>
          <w:rFonts w:ascii="Arial" w:eastAsia="SimSun" w:hAnsi="Arial" w:cs="Arial"/>
          <w:color w:val="000000" w:themeColor="text1"/>
          <w:lang w:eastAsia="ja-JP"/>
        </w:rPr>
      </w:pPr>
    </w:p>
    <w:p w14:paraId="0A1B7AB5" w14:textId="60EE2D4C" w:rsidR="003931CD" w:rsidRDefault="00916517" w:rsidP="00C76E46">
      <w:pPr>
        <w:spacing w:after="120" w:line="240" w:lineRule="auto"/>
        <w:jc w:val="both"/>
        <w:rPr>
          <w:rFonts w:ascii="Arial" w:hAnsi="Arial" w:cs="Arial"/>
          <w:color w:val="006CE5"/>
          <w:sz w:val="24"/>
          <w:u w:val="single"/>
        </w:rPr>
      </w:pPr>
      <w:r>
        <w:rPr>
          <w:rFonts w:ascii="Arial" w:hAnsi="Arial" w:cs="Arial"/>
          <w:color w:val="006CE5"/>
          <w:sz w:val="24"/>
          <w:u w:val="single"/>
        </w:rPr>
        <w:t>Commentaires</w:t>
      </w:r>
    </w:p>
    <w:p w14:paraId="77EE1FD2" w14:textId="1FE74879" w:rsidR="00C76E46" w:rsidRPr="009F52DB" w:rsidRDefault="00C76E46" w:rsidP="00C76E46">
      <w:pPr>
        <w:spacing w:after="0"/>
        <w:jc w:val="both"/>
        <w:rPr>
          <w:rFonts w:ascii="Arial" w:hAnsi="Arial" w:cs="Arial"/>
          <w:i/>
          <w:iCs/>
        </w:rPr>
      </w:pPr>
      <w:r w:rsidRPr="009F52DB">
        <w:rPr>
          <w:rFonts w:ascii="Arial" w:hAnsi="Arial" w:cs="Arial"/>
          <w:i/>
          <w:iCs/>
        </w:rPr>
        <w:t>Les échanges commerciaux bilatéraux entre la France et l’Angola sont peu élevés, même s’ils ont été très fortement gonflés par les importations d’hydrocarbures en 2022, en raison de la guerre en Ukraine. Selon les Douanes angolaises la France est le 3</w:t>
      </w:r>
      <w:r w:rsidRPr="009F52DB">
        <w:rPr>
          <w:rFonts w:ascii="Arial" w:hAnsi="Arial" w:cs="Arial"/>
          <w:i/>
          <w:iCs/>
          <w:vertAlign w:val="superscript"/>
        </w:rPr>
        <w:t>ème</w:t>
      </w:r>
      <w:r w:rsidRPr="009F52DB">
        <w:rPr>
          <w:rFonts w:ascii="Arial" w:hAnsi="Arial" w:cs="Arial"/>
          <w:i/>
          <w:iCs/>
        </w:rPr>
        <w:t xml:space="preserve"> client de l’Angola </w:t>
      </w:r>
      <w:r w:rsidR="00CA3F3B" w:rsidRPr="009F52DB">
        <w:rPr>
          <w:rFonts w:ascii="Arial" w:hAnsi="Arial" w:cs="Arial"/>
          <w:i/>
          <w:iCs/>
        </w:rPr>
        <w:t xml:space="preserve">en </w:t>
      </w:r>
      <w:r w:rsidRPr="009F52DB">
        <w:rPr>
          <w:rFonts w:ascii="Arial" w:hAnsi="Arial" w:cs="Arial"/>
          <w:i/>
          <w:iCs/>
        </w:rPr>
        <w:t xml:space="preserve">2022, derrière la Chine et l’Inde. Hormis des hydrocarbures et des produits pétroliers raffinés, l’Angola ne vend quasiment rien à la France. Pour rappel les principaux postes des exportations angolaises globales sont les hydrocarbures et les diamants </w:t>
      </w:r>
      <w:r w:rsidR="00CA3F3B" w:rsidRPr="009F52DB">
        <w:rPr>
          <w:rFonts w:ascii="Arial" w:hAnsi="Arial" w:cs="Arial"/>
          <w:i/>
          <w:iCs/>
        </w:rPr>
        <w:t>(</w:t>
      </w:r>
      <w:r w:rsidRPr="009F52DB">
        <w:rPr>
          <w:rFonts w:ascii="Arial" w:hAnsi="Arial" w:cs="Arial"/>
          <w:i/>
          <w:iCs/>
        </w:rPr>
        <w:t>plus de 99 % en valeur</w:t>
      </w:r>
      <w:r w:rsidR="00CA3F3B" w:rsidRPr="009F52DB">
        <w:rPr>
          <w:rFonts w:ascii="Arial" w:hAnsi="Arial" w:cs="Arial"/>
          <w:i/>
          <w:iCs/>
        </w:rPr>
        <w:t>)</w:t>
      </w:r>
      <w:r w:rsidRPr="009F52DB">
        <w:rPr>
          <w:rFonts w:ascii="Arial" w:hAnsi="Arial" w:cs="Arial"/>
          <w:i/>
          <w:iCs/>
        </w:rPr>
        <w:t>.</w:t>
      </w:r>
    </w:p>
    <w:p w14:paraId="0547A6E4" w14:textId="79AD2D51" w:rsidR="00C76E46" w:rsidRPr="009F52DB" w:rsidRDefault="00C76E46" w:rsidP="00C76E46">
      <w:pPr>
        <w:jc w:val="both"/>
        <w:rPr>
          <w:rFonts w:ascii="Arial" w:hAnsi="Arial" w:cs="Arial"/>
          <w:i/>
          <w:iCs/>
        </w:rPr>
      </w:pPr>
      <w:r w:rsidRPr="009F52DB">
        <w:rPr>
          <w:rFonts w:ascii="Arial" w:hAnsi="Arial" w:cs="Arial"/>
          <w:i/>
          <w:iCs/>
        </w:rPr>
        <w:t>En ce qui concerne nos exportations, la France était, au premier semestre 2022, le 12</w:t>
      </w:r>
      <w:r w:rsidRPr="009F52DB">
        <w:rPr>
          <w:rFonts w:ascii="Arial" w:hAnsi="Arial" w:cs="Arial"/>
          <w:i/>
          <w:iCs/>
          <w:vertAlign w:val="superscript"/>
        </w:rPr>
        <w:t>ème</w:t>
      </w:r>
      <w:r w:rsidRPr="009F52DB">
        <w:rPr>
          <w:rFonts w:ascii="Arial" w:hAnsi="Arial" w:cs="Arial"/>
          <w:i/>
          <w:iCs/>
        </w:rPr>
        <w:t xml:space="preserve"> pays fournisseur de l’Angola. Les deux premiers fournisseurs, la Chine et le Portugal, vendent environ 6 fois plus que la France à l’Angola. Nos exportations de produits des industries alimentaires s</w:t>
      </w:r>
      <w:r w:rsidR="00B45549" w:rsidRPr="009F52DB">
        <w:rPr>
          <w:rFonts w:ascii="Arial" w:hAnsi="Arial" w:cs="Arial"/>
          <w:i/>
          <w:iCs/>
        </w:rPr>
        <w:t>ont faibles</w:t>
      </w:r>
      <w:r w:rsidR="009F52DB" w:rsidRPr="009F52DB">
        <w:rPr>
          <w:rFonts w:ascii="Arial" w:hAnsi="Arial" w:cs="Arial"/>
          <w:i/>
          <w:iCs/>
        </w:rPr>
        <w:t xml:space="preserve"> </w:t>
      </w:r>
      <w:r w:rsidR="009F52DB" w:rsidRPr="009F52DB">
        <w:rPr>
          <w:rFonts w:ascii="Arial" w:hAnsi="Arial" w:cs="Arial"/>
          <w:i/>
          <w:iCs/>
        </w:rPr>
        <w:t>même s</w:t>
      </w:r>
      <w:r w:rsidR="009F52DB">
        <w:rPr>
          <w:rFonts w:ascii="Arial" w:hAnsi="Arial" w:cs="Arial"/>
          <w:i/>
          <w:iCs/>
        </w:rPr>
        <w:t xml:space="preserve">i elles </w:t>
      </w:r>
      <w:r w:rsidR="009F52DB" w:rsidRPr="009F52DB">
        <w:rPr>
          <w:rFonts w:ascii="Arial" w:hAnsi="Arial" w:cs="Arial"/>
          <w:i/>
          <w:iCs/>
        </w:rPr>
        <w:t>sont en progression</w:t>
      </w:r>
      <w:r w:rsidR="009F52DB">
        <w:rPr>
          <w:rFonts w:ascii="Arial" w:hAnsi="Arial" w:cs="Arial"/>
          <w:i/>
          <w:iCs/>
        </w:rPr>
        <w:t xml:space="preserve"> et il </w:t>
      </w:r>
      <w:r w:rsidRPr="009F52DB">
        <w:rPr>
          <w:rFonts w:ascii="Arial" w:hAnsi="Arial" w:cs="Arial"/>
          <w:i/>
          <w:iCs/>
        </w:rPr>
        <w:t xml:space="preserve">existe assurément une bonne marge de progression pour nos exportations vers l’Angola, à commencer par les </w:t>
      </w:r>
      <w:r w:rsidR="00CA3F3B" w:rsidRPr="009F52DB">
        <w:rPr>
          <w:rFonts w:ascii="Arial" w:hAnsi="Arial" w:cs="Arial"/>
          <w:i/>
          <w:iCs/>
        </w:rPr>
        <w:t xml:space="preserve">produits laitiers et </w:t>
      </w:r>
      <w:r w:rsidR="009F52DB">
        <w:rPr>
          <w:rFonts w:ascii="Arial" w:hAnsi="Arial" w:cs="Arial"/>
          <w:i/>
          <w:iCs/>
        </w:rPr>
        <w:t xml:space="preserve">les </w:t>
      </w:r>
      <w:r w:rsidR="00CA3F3B" w:rsidRPr="009F52DB">
        <w:rPr>
          <w:rFonts w:ascii="Arial" w:hAnsi="Arial" w:cs="Arial"/>
          <w:i/>
          <w:iCs/>
        </w:rPr>
        <w:t>vin</w:t>
      </w:r>
      <w:r w:rsidR="00CC27BE" w:rsidRPr="009F52DB">
        <w:rPr>
          <w:rFonts w:ascii="Arial" w:hAnsi="Arial" w:cs="Arial"/>
          <w:i/>
          <w:iCs/>
        </w:rPr>
        <w:t>s</w:t>
      </w:r>
      <w:r w:rsidR="00CA3F3B" w:rsidRPr="009F52DB">
        <w:rPr>
          <w:rFonts w:ascii="Arial" w:hAnsi="Arial" w:cs="Arial"/>
          <w:i/>
          <w:iCs/>
        </w:rPr>
        <w:t xml:space="preserve"> </w:t>
      </w:r>
      <w:r w:rsidRPr="009F52DB">
        <w:rPr>
          <w:rFonts w:ascii="Arial" w:hAnsi="Arial" w:cs="Arial"/>
          <w:i/>
          <w:iCs/>
        </w:rPr>
        <w:t>pour lesquels un rééquilibrage par rapport au Portugal serait bénéfique</w:t>
      </w:r>
      <w:r w:rsidR="00D60DF7" w:rsidRPr="009F52DB">
        <w:rPr>
          <w:rFonts w:ascii="Arial" w:hAnsi="Arial" w:cs="Arial"/>
          <w:i/>
          <w:iCs/>
        </w:rPr>
        <w:t>.</w:t>
      </w:r>
    </w:p>
    <w:p w14:paraId="4908671B" w14:textId="4027336E" w:rsidR="00916517" w:rsidRDefault="00916517" w:rsidP="00916517">
      <w:pPr>
        <w:spacing w:after="0" w:line="240" w:lineRule="auto"/>
        <w:jc w:val="both"/>
        <w:rPr>
          <w:rFonts w:ascii="Times New Roman" w:eastAsia="SimSun" w:hAnsi="Times New Roman" w:cs="Times New Roman"/>
          <w:i/>
          <w:iCs/>
          <w:color w:val="000000" w:themeColor="text1"/>
          <w:lang w:eastAsia="ja-JP"/>
        </w:rPr>
      </w:pPr>
    </w:p>
    <w:p w14:paraId="3AECCC9E" w14:textId="29729215" w:rsidR="00877B69" w:rsidRDefault="00877B69" w:rsidP="00916517">
      <w:pPr>
        <w:spacing w:after="0" w:line="240" w:lineRule="auto"/>
        <w:jc w:val="both"/>
        <w:rPr>
          <w:rFonts w:ascii="Times New Roman" w:eastAsia="SimSun" w:hAnsi="Times New Roman" w:cs="Times New Roman"/>
          <w:i/>
          <w:iCs/>
          <w:color w:val="000000" w:themeColor="text1"/>
          <w:lang w:eastAsia="ja-JP"/>
        </w:rPr>
      </w:pPr>
    </w:p>
    <w:p w14:paraId="2B5AEA73" w14:textId="59E107CE" w:rsidR="00877B69" w:rsidRDefault="00877B69" w:rsidP="00916517">
      <w:pPr>
        <w:spacing w:after="0" w:line="240" w:lineRule="auto"/>
        <w:jc w:val="both"/>
        <w:rPr>
          <w:rFonts w:ascii="Times New Roman" w:eastAsia="SimSun" w:hAnsi="Times New Roman" w:cs="Times New Roman"/>
          <w:i/>
          <w:iCs/>
          <w:color w:val="000000" w:themeColor="text1"/>
          <w:lang w:eastAsia="ja-JP"/>
        </w:rPr>
      </w:pPr>
    </w:p>
    <w:p w14:paraId="28F5555C" w14:textId="66D876FF" w:rsidR="00877B69" w:rsidRDefault="00877B69" w:rsidP="00916517">
      <w:pPr>
        <w:spacing w:after="0" w:line="240" w:lineRule="auto"/>
        <w:jc w:val="both"/>
        <w:rPr>
          <w:rFonts w:ascii="Times New Roman" w:eastAsia="SimSun" w:hAnsi="Times New Roman" w:cs="Times New Roman"/>
          <w:i/>
          <w:iCs/>
          <w:color w:val="000000" w:themeColor="text1"/>
          <w:lang w:eastAsia="ja-JP"/>
        </w:rPr>
      </w:pPr>
    </w:p>
    <w:p w14:paraId="65ADC76E" w14:textId="56C8C37E" w:rsidR="00D454CD" w:rsidRDefault="00D454CD" w:rsidP="00916517">
      <w:pPr>
        <w:spacing w:after="0" w:line="240" w:lineRule="auto"/>
        <w:jc w:val="both"/>
        <w:rPr>
          <w:rFonts w:ascii="Times New Roman" w:eastAsia="SimSun" w:hAnsi="Times New Roman" w:cs="Times New Roman"/>
          <w:i/>
          <w:iCs/>
          <w:color w:val="000000" w:themeColor="text1"/>
          <w:lang w:eastAsia="ja-JP"/>
        </w:rPr>
      </w:pPr>
    </w:p>
    <w:p w14:paraId="6F008E44" w14:textId="035EAA36" w:rsidR="00D454CD" w:rsidRDefault="00D454CD" w:rsidP="00916517">
      <w:pPr>
        <w:spacing w:after="0" w:line="240" w:lineRule="auto"/>
        <w:jc w:val="both"/>
        <w:rPr>
          <w:rFonts w:ascii="Times New Roman" w:eastAsia="SimSun" w:hAnsi="Times New Roman" w:cs="Times New Roman"/>
          <w:i/>
          <w:iCs/>
          <w:color w:val="000000" w:themeColor="text1"/>
          <w:lang w:eastAsia="ja-JP"/>
        </w:rPr>
      </w:pPr>
    </w:p>
    <w:p w14:paraId="61B4957C" w14:textId="77777777" w:rsidR="00D454CD" w:rsidRDefault="00D454CD" w:rsidP="00916517">
      <w:pPr>
        <w:spacing w:after="0" w:line="240" w:lineRule="auto"/>
        <w:jc w:val="both"/>
        <w:rPr>
          <w:rFonts w:ascii="Times New Roman" w:eastAsia="SimSun" w:hAnsi="Times New Roman" w:cs="Times New Roman"/>
          <w:i/>
          <w:iCs/>
          <w:color w:val="000000" w:themeColor="text1"/>
          <w:lang w:eastAsia="ja-JP"/>
        </w:rPr>
      </w:pPr>
    </w:p>
    <w:p w14:paraId="59B740E0" w14:textId="6640C669" w:rsidR="00877B69" w:rsidRDefault="00877B69" w:rsidP="00916517">
      <w:pPr>
        <w:spacing w:after="0" w:line="240" w:lineRule="auto"/>
        <w:jc w:val="both"/>
        <w:rPr>
          <w:rFonts w:ascii="Times New Roman" w:eastAsia="SimSun" w:hAnsi="Times New Roman" w:cs="Times New Roman"/>
          <w:i/>
          <w:iCs/>
          <w:color w:val="000000" w:themeColor="text1"/>
          <w:lang w:eastAsia="ja-JP"/>
        </w:rPr>
      </w:pPr>
    </w:p>
    <w:sectPr w:rsidR="00877B69" w:rsidSect="0078630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A75E" w14:textId="77777777" w:rsidR="00C3573E" w:rsidRDefault="00C3573E">
      <w:pPr>
        <w:spacing w:after="0" w:line="240" w:lineRule="auto"/>
      </w:pPr>
      <w:r>
        <w:separator/>
      </w:r>
    </w:p>
  </w:endnote>
  <w:endnote w:type="continuationSeparator" w:id="0">
    <w:p w14:paraId="2245B6E5" w14:textId="77777777" w:rsidR="00C3573E" w:rsidRDefault="00C3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CD7E" w14:textId="77777777" w:rsidR="00C3573E" w:rsidRDefault="00C3573E">
      <w:pPr>
        <w:spacing w:after="0" w:line="240" w:lineRule="auto"/>
      </w:pPr>
      <w:r>
        <w:separator/>
      </w:r>
    </w:p>
  </w:footnote>
  <w:footnote w:type="continuationSeparator" w:id="0">
    <w:p w14:paraId="4CF4FD6D" w14:textId="77777777" w:rsidR="00C3573E" w:rsidRDefault="00C35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0486" w14:textId="77777777" w:rsidR="009A2918" w:rsidRDefault="009A2918" w:rsidP="00AF3E63">
    <w:pPr>
      <w:pStyle w:val="Intituldirection"/>
      <w:rPr>
        <w:lang w:val="fr-FR"/>
      </w:rPr>
    </w:pPr>
    <w:r>
      <w:rPr>
        <w:b w:val="0"/>
        <w:bCs w:val="0"/>
        <w:noProof/>
        <w:lang w:val="fr-FR" w:eastAsia="fr-FR"/>
      </w:rPr>
      <w:drawing>
        <wp:anchor distT="0" distB="0" distL="114300" distR="114300" simplePos="0" relativeHeight="251660288" behindDoc="1" locked="0" layoutInCell="1" allowOverlap="1" wp14:anchorId="66688C3A" wp14:editId="5A4DD49D">
          <wp:simplePos x="0" y="0"/>
          <wp:positionH relativeFrom="margin">
            <wp:align>left</wp:align>
          </wp:positionH>
          <wp:positionV relativeFrom="paragraph">
            <wp:posOffset>-287655</wp:posOffset>
          </wp:positionV>
          <wp:extent cx="1840230" cy="1123950"/>
          <wp:effectExtent l="0" t="0" r="7620" b="0"/>
          <wp:wrapTight wrapText="bothSides">
            <wp:wrapPolygon edited="0">
              <wp:start x="0" y="0"/>
              <wp:lineTo x="0" y="21234"/>
              <wp:lineTo x="21466" y="21234"/>
              <wp:lineTo x="21466"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875948" cy="1145597"/>
                  </a:xfrm>
                  <a:prstGeom prst="rect">
                    <a:avLst/>
                  </a:prstGeom>
                </pic:spPr>
              </pic:pic>
            </a:graphicData>
          </a:graphic>
          <wp14:sizeRelH relativeFrom="margin">
            <wp14:pctWidth>0</wp14:pctWidth>
          </wp14:sizeRelH>
          <wp14:sizeRelV relativeFrom="margin">
            <wp14:pctHeight>0</wp14:pctHeight>
          </wp14:sizeRelV>
        </wp:anchor>
      </w:drawing>
    </w:r>
  </w:p>
  <w:p w14:paraId="7219413F" w14:textId="77777777" w:rsidR="009A2918" w:rsidRDefault="009A2918" w:rsidP="00AF3E63">
    <w:pPr>
      <w:pStyle w:val="Intituldirection"/>
      <w:rPr>
        <w:lang w:val="fr-FR"/>
      </w:rPr>
    </w:pPr>
  </w:p>
  <w:p w14:paraId="4DE91369" w14:textId="77777777" w:rsidR="009A2918" w:rsidRPr="003D4054" w:rsidRDefault="009A2918" w:rsidP="00AF3E63">
    <w:pPr>
      <w:pStyle w:val="Intituldirection"/>
      <w:rPr>
        <w:lang w:val="fr-FR"/>
      </w:rPr>
    </w:pPr>
    <w:r>
      <w:rPr>
        <w:lang w:val="fr-FR"/>
      </w:rPr>
      <w:t>Direction générale du Trésor</w:t>
    </w:r>
  </w:p>
  <w:p w14:paraId="019A7100" w14:textId="77777777" w:rsidR="009A2918" w:rsidRDefault="009A2918">
    <w:pPr>
      <w:pStyle w:val="En-tte"/>
    </w:pPr>
  </w:p>
  <w:p w14:paraId="1CEDB5EA" w14:textId="77777777" w:rsidR="009A2918" w:rsidRDefault="009A2918" w:rsidP="007F3C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B11"/>
    <w:multiLevelType w:val="hybridMultilevel"/>
    <w:tmpl w:val="FA30C488"/>
    <w:lvl w:ilvl="0" w:tplc="8AF2DFD2">
      <w:start w:val="7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114258"/>
    <w:multiLevelType w:val="hybridMultilevel"/>
    <w:tmpl w:val="46C8D276"/>
    <w:lvl w:ilvl="0" w:tplc="1E2CCFBE">
      <w:start w:val="13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F9167B"/>
    <w:multiLevelType w:val="hybridMultilevel"/>
    <w:tmpl w:val="48A8CE4A"/>
    <w:lvl w:ilvl="0" w:tplc="77FC9E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B48F4"/>
    <w:multiLevelType w:val="hybridMultilevel"/>
    <w:tmpl w:val="918887AE"/>
    <w:lvl w:ilvl="0" w:tplc="3FCA85A6">
      <w:numFmt w:val="bullet"/>
      <w:lvlText w:val="-"/>
      <w:lvlJc w:val="left"/>
      <w:pPr>
        <w:ind w:left="360" w:hanging="360"/>
      </w:pPr>
      <w:rPr>
        <w:rFonts w:ascii="Arial" w:eastAsia="SimSu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AC13F10"/>
    <w:multiLevelType w:val="hybridMultilevel"/>
    <w:tmpl w:val="953A3A98"/>
    <w:lvl w:ilvl="0" w:tplc="31DAEC02">
      <w:start w:val="13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12683B"/>
    <w:multiLevelType w:val="hybridMultilevel"/>
    <w:tmpl w:val="38BABC0A"/>
    <w:lvl w:ilvl="0" w:tplc="2DB26C9C">
      <w:start w:val="9"/>
      <w:numFmt w:val="bullet"/>
      <w:lvlText w:val=""/>
      <w:lvlJc w:val="left"/>
      <w:pPr>
        <w:ind w:left="720" w:hanging="36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E35"/>
    <w:rsid w:val="000034EF"/>
    <w:rsid w:val="000034FF"/>
    <w:rsid w:val="00022133"/>
    <w:rsid w:val="000316D7"/>
    <w:rsid w:val="00035D38"/>
    <w:rsid w:val="00052A7B"/>
    <w:rsid w:val="00062F52"/>
    <w:rsid w:val="00081207"/>
    <w:rsid w:val="000821B1"/>
    <w:rsid w:val="0008299D"/>
    <w:rsid w:val="0008444F"/>
    <w:rsid w:val="0008486E"/>
    <w:rsid w:val="00094894"/>
    <w:rsid w:val="000959BA"/>
    <w:rsid w:val="000B4E80"/>
    <w:rsid w:val="000C444C"/>
    <w:rsid w:val="000D4961"/>
    <w:rsid w:val="000E211C"/>
    <w:rsid w:val="000E42A6"/>
    <w:rsid w:val="000E76CE"/>
    <w:rsid w:val="00102C88"/>
    <w:rsid w:val="00115718"/>
    <w:rsid w:val="00130187"/>
    <w:rsid w:val="001366CA"/>
    <w:rsid w:val="001539E7"/>
    <w:rsid w:val="00164041"/>
    <w:rsid w:val="001746ED"/>
    <w:rsid w:val="00176362"/>
    <w:rsid w:val="001774B9"/>
    <w:rsid w:val="00180330"/>
    <w:rsid w:val="00182AF7"/>
    <w:rsid w:val="001858D7"/>
    <w:rsid w:val="0019100A"/>
    <w:rsid w:val="001930F7"/>
    <w:rsid w:val="001A07DE"/>
    <w:rsid w:val="001A4E7A"/>
    <w:rsid w:val="001B4C7B"/>
    <w:rsid w:val="001C14E3"/>
    <w:rsid w:val="001E19F1"/>
    <w:rsid w:val="001E2225"/>
    <w:rsid w:val="001E7610"/>
    <w:rsid w:val="001F5BD0"/>
    <w:rsid w:val="002015E9"/>
    <w:rsid w:val="00202FC6"/>
    <w:rsid w:val="00206B59"/>
    <w:rsid w:val="00235243"/>
    <w:rsid w:val="0025440B"/>
    <w:rsid w:val="00265BF8"/>
    <w:rsid w:val="00267CF3"/>
    <w:rsid w:val="00272B57"/>
    <w:rsid w:val="002817F2"/>
    <w:rsid w:val="0028229C"/>
    <w:rsid w:val="002918F1"/>
    <w:rsid w:val="002929C2"/>
    <w:rsid w:val="002B6FFC"/>
    <w:rsid w:val="002C4B1D"/>
    <w:rsid w:val="002D70DF"/>
    <w:rsid w:val="002E2D07"/>
    <w:rsid w:val="002E6CA9"/>
    <w:rsid w:val="003169ED"/>
    <w:rsid w:val="00320330"/>
    <w:rsid w:val="00320583"/>
    <w:rsid w:val="00345825"/>
    <w:rsid w:val="003510FE"/>
    <w:rsid w:val="00373711"/>
    <w:rsid w:val="003840E1"/>
    <w:rsid w:val="00384E52"/>
    <w:rsid w:val="0038778B"/>
    <w:rsid w:val="003931CD"/>
    <w:rsid w:val="00393AA8"/>
    <w:rsid w:val="003966A0"/>
    <w:rsid w:val="003A2242"/>
    <w:rsid w:val="003B7342"/>
    <w:rsid w:val="003F21D8"/>
    <w:rsid w:val="00406AE6"/>
    <w:rsid w:val="004127CF"/>
    <w:rsid w:val="00416EA8"/>
    <w:rsid w:val="0042703F"/>
    <w:rsid w:val="004356D4"/>
    <w:rsid w:val="00447446"/>
    <w:rsid w:val="00467EBD"/>
    <w:rsid w:val="00474D60"/>
    <w:rsid w:val="00484613"/>
    <w:rsid w:val="004940CE"/>
    <w:rsid w:val="00494824"/>
    <w:rsid w:val="00495129"/>
    <w:rsid w:val="004A714E"/>
    <w:rsid w:val="004B51E3"/>
    <w:rsid w:val="004B61B6"/>
    <w:rsid w:val="004C314F"/>
    <w:rsid w:val="004C3DBE"/>
    <w:rsid w:val="00504E85"/>
    <w:rsid w:val="00505AE3"/>
    <w:rsid w:val="00507980"/>
    <w:rsid w:val="00513183"/>
    <w:rsid w:val="00523685"/>
    <w:rsid w:val="00523880"/>
    <w:rsid w:val="005450CF"/>
    <w:rsid w:val="005515CF"/>
    <w:rsid w:val="00555AF3"/>
    <w:rsid w:val="00556C09"/>
    <w:rsid w:val="00565219"/>
    <w:rsid w:val="00593335"/>
    <w:rsid w:val="00593B32"/>
    <w:rsid w:val="005B3C96"/>
    <w:rsid w:val="005C5C3D"/>
    <w:rsid w:val="005D380C"/>
    <w:rsid w:val="005E0D48"/>
    <w:rsid w:val="005F3B0A"/>
    <w:rsid w:val="0060071C"/>
    <w:rsid w:val="00613388"/>
    <w:rsid w:val="006328A7"/>
    <w:rsid w:val="006444AB"/>
    <w:rsid w:val="00645E57"/>
    <w:rsid w:val="00684469"/>
    <w:rsid w:val="0069774F"/>
    <w:rsid w:val="006A0D92"/>
    <w:rsid w:val="006B61F5"/>
    <w:rsid w:val="006D4C8C"/>
    <w:rsid w:val="006E0D3C"/>
    <w:rsid w:val="006E4079"/>
    <w:rsid w:val="006F5B24"/>
    <w:rsid w:val="00707179"/>
    <w:rsid w:val="0071127B"/>
    <w:rsid w:val="00740F9F"/>
    <w:rsid w:val="00742AEC"/>
    <w:rsid w:val="00746410"/>
    <w:rsid w:val="00747AAC"/>
    <w:rsid w:val="00765CB2"/>
    <w:rsid w:val="007821DD"/>
    <w:rsid w:val="00786301"/>
    <w:rsid w:val="007C5813"/>
    <w:rsid w:val="007D1368"/>
    <w:rsid w:val="007D3CFA"/>
    <w:rsid w:val="007D4A69"/>
    <w:rsid w:val="007D4FC6"/>
    <w:rsid w:val="007E3616"/>
    <w:rsid w:val="007E56DE"/>
    <w:rsid w:val="007E69A4"/>
    <w:rsid w:val="008039B7"/>
    <w:rsid w:val="008075FD"/>
    <w:rsid w:val="00827593"/>
    <w:rsid w:val="00831B58"/>
    <w:rsid w:val="00836C3D"/>
    <w:rsid w:val="008403EF"/>
    <w:rsid w:val="008440D1"/>
    <w:rsid w:val="0084454E"/>
    <w:rsid w:val="0086093F"/>
    <w:rsid w:val="00877B69"/>
    <w:rsid w:val="00880894"/>
    <w:rsid w:val="00880B03"/>
    <w:rsid w:val="00881CB7"/>
    <w:rsid w:val="00886241"/>
    <w:rsid w:val="008C0F72"/>
    <w:rsid w:val="008D1BA2"/>
    <w:rsid w:val="008F21FD"/>
    <w:rsid w:val="008F584E"/>
    <w:rsid w:val="009001BC"/>
    <w:rsid w:val="009056B7"/>
    <w:rsid w:val="00916517"/>
    <w:rsid w:val="00920191"/>
    <w:rsid w:val="00925F76"/>
    <w:rsid w:val="00933BD5"/>
    <w:rsid w:val="00953A79"/>
    <w:rsid w:val="00954A99"/>
    <w:rsid w:val="009662EF"/>
    <w:rsid w:val="00985989"/>
    <w:rsid w:val="009A1ABF"/>
    <w:rsid w:val="009A2918"/>
    <w:rsid w:val="009A4C4E"/>
    <w:rsid w:val="009C65FF"/>
    <w:rsid w:val="009E1D3B"/>
    <w:rsid w:val="009F3390"/>
    <w:rsid w:val="009F52DB"/>
    <w:rsid w:val="009F7000"/>
    <w:rsid w:val="00A07DF7"/>
    <w:rsid w:val="00A2364E"/>
    <w:rsid w:val="00A24F07"/>
    <w:rsid w:val="00A434A1"/>
    <w:rsid w:val="00A6298F"/>
    <w:rsid w:val="00A90E9E"/>
    <w:rsid w:val="00AA764E"/>
    <w:rsid w:val="00AA7900"/>
    <w:rsid w:val="00AC7715"/>
    <w:rsid w:val="00AC7FB5"/>
    <w:rsid w:val="00AF6C93"/>
    <w:rsid w:val="00B066D8"/>
    <w:rsid w:val="00B11CB1"/>
    <w:rsid w:val="00B13DF8"/>
    <w:rsid w:val="00B2437C"/>
    <w:rsid w:val="00B25B31"/>
    <w:rsid w:val="00B25E8A"/>
    <w:rsid w:val="00B2664C"/>
    <w:rsid w:val="00B330A1"/>
    <w:rsid w:val="00B344B5"/>
    <w:rsid w:val="00B45549"/>
    <w:rsid w:val="00B50FEA"/>
    <w:rsid w:val="00B61F78"/>
    <w:rsid w:val="00B642DF"/>
    <w:rsid w:val="00B65BE2"/>
    <w:rsid w:val="00B72F91"/>
    <w:rsid w:val="00B75865"/>
    <w:rsid w:val="00B75E9B"/>
    <w:rsid w:val="00B8373F"/>
    <w:rsid w:val="00B90A5E"/>
    <w:rsid w:val="00B931FC"/>
    <w:rsid w:val="00B97730"/>
    <w:rsid w:val="00BC143C"/>
    <w:rsid w:val="00BC2ED1"/>
    <w:rsid w:val="00BE0B87"/>
    <w:rsid w:val="00BE5963"/>
    <w:rsid w:val="00BF2A7A"/>
    <w:rsid w:val="00C03E57"/>
    <w:rsid w:val="00C24689"/>
    <w:rsid w:val="00C260D1"/>
    <w:rsid w:val="00C31103"/>
    <w:rsid w:val="00C34DAE"/>
    <w:rsid w:val="00C3573E"/>
    <w:rsid w:val="00C42798"/>
    <w:rsid w:val="00C52434"/>
    <w:rsid w:val="00C709F2"/>
    <w:rsid w:val="00C72963"/>
    <w:rsid w:val="00C73A45"/>
    <w:rsid w:val="00C76E46"/>
    <w:rsid w:val="00C836BB"/>
    <w:rsid w:val="00CA2A70"/>
    <w:rsid w:val="00CA3CED"/>
    <w:rsid w:val="00CA3F3B"/>
    <w:rsid w:val="00CC27BE"/>
    <w:rsid w:val="00CE0CA4"/>
    <w:rsid w:val="00CE42DD"/>
    <w:rsid w:val="00D0550A"/>
    <w:rsid w:val="00D07EA3"/>
    <w:rsid w:val="00D13BB3"/>
    <w:rsid w:val="00D14F9D"/>
    <w:rsid w:val="00D22E35"/>
    <w:rsid w:val="00D3721E"/>
    <w:rsid w:val="00D454CD"/>
    <w:rsid w:val="00D57D60"/>
    <w:rsid w:val="00D600B3"/>
    <w:rsid w:val="00D60DF7"/>
    <w:rsid w:val="00D85DEF"/>
    <w:rsid w:val="00D95776"/>
    <w:rsid w:val="00DD3649"/>
    <w:rsid w:val="00DD7A07"/>
    <w:rsid w:val="00DE052B"/>
    <w:rsid w:val="00DE5B35"/>
    <w:rsid w:val="00DE63E9"/>
    <w:rsid w:val="00DE7129"/>
    <w:rsid w:val="00DF6A51"/>
    <w:rsid w:val="00E13485"/>
    <w:rsid w:val="00E166B7"/>
    <w:rsid w:val="00E2015A"/>
    <w:rsid w:val="00E2221A"/>
    <w:rsid w:val="00E343F7"/>
    <w:rsid w:val="00E35F5B"/>
    <w:rsid w:val="00E40A7D"/>
    <w:rsid w:val="00E4330B"/>
    <w:rsid w:val="00E441BA"/>
    <w:rsid w:val="00E507B9"/>
    <w:rsid w:val="00E61B72"/>
    <w:rsid w:val="00E85B00"/>
    <w:rsid w:val="00E90074"/>
    <w:rsid w:val="00E93328"/>
    <w:rsid w:val="00E97C7A"/>
    <w:rsid w:val="00EA37C6"/>
    <w:rsid w:val="00EB0639"/>
    <w:rsid w:val="00EC3036"/>
    <w:rsid w:val="00ED7F0A"/>
    <w:rsid w:val="00F05D94"/>
    <w:rsid w:val="00F21403"/>
    <w:rsid w:val="00F21924"/>
    <w:rsid w:val="00F23239"/>
    <w:rsid w:val="00F42E10"/>
    <w:rsid w:val="00F81028"/>
    <w:rsid w:val="00F814FB"/>
    <w:rsid w:val="00FA4FD5"/>
    <w:rsid w:val="00FA6412"/>
    <w:rsid w:val="00FA68D9"/>
    <w:rsid w:val="00FA7301"/>
    <w:rsid w:val="00FB0281"/>
    <w:rsid w:val="00FC0730"/>
    <w:rsid w:val="00FC249A"/>
    <w:rsid w:val="00FD417E"/>
    <w:rsid w:val="00FE5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B5D87A"/>
  <w15:chartTrackingRefBased/>
  <w15:docId w15:val="{99098444-4BCD-40FD-826E-E7A642A3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2E35"/>
    <w:pPr>
      <w:tabs>
        <w:tab w:val="center" w:pos="4536"/>
        <w:tab w:val="right" w:pos="9072"/>
      </w:tabs>
      <w:spacing w:after="0" w:line="240" w:lineRule="auto"/>
    </w:pPr>
  </w:style>
  <w:style w:type="character" w:customStyle="1" w:styleId="En-tteCar">
    <w:name w:val="En-tête Car"/>
    <w:basedOn w:val="Policepardfaut"/>
    <w:link w:val="En-tte"/>
    <w:uiPriority w:val="99"/>
    <w:rsid w:val="00D22E35"/>
  </w:style>
  <w:style w:type="paragraph" w:styleId="Pieddepage">
    <w:name w:val="footer"/>
    <w:basedOn w:val="Normal"/>
    <w:link w:val="PieddepageCar"/>
    <w:uiPriority w:val="99"/>
    <w:unhideWhenUsed/>
    <w:rsid w:val="00D22E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2E35"/>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Puce"/>
    <w:basedOn w:val="Normal"/>
    <w:link w:val="ParagraphedelisteCar"/>
    <w:uiPriority w:val="34"/>
    <w:qFormat/>
    <w:rsid w:val="00D22E35"/>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D22E35"/>
  </w:style>
  <w:style w:type="table" w:styleId="Grilledutableau">
    <w:name w:val="Table Grid"/>
    <w:basedOn w:val="TableauNormal"/>
    <w:uiPriority w:val="39"/>
    <w:rsid w:val="00D2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D22E35"/>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D22E35"/>
    <w:rPr>
      <w:rFonts w:ascii="Arial" w:hAnsi="Arial" w:cs="Arial"/>
      <w:b/>
      <w:bCs/>
      <w:sz w:val="24"/>
      <w:szCs w:val="24"/>
      <w:lang w:val="en-US"/>
    </w:rPr>
  </w:style>
  <w:style w:type="paragraph" w:styleId="Corpsdetexte">
    <w:name w:val="Body Text"/>
    <w:basedOn w:val="Normal"/>
    <w:link w:val="CorpsdetexteCar"/>
    <w:uiPriority w:val="99"/>
    <w:semiHidden/>
    <w:unhideWhenUsed/>
    <w:rsid w:val="00D22E35"/>
    <w:pPr>
      <w:spacing w:after="120"/>
    </w:pPr>
  </w:style>
  <w:style w:type="character" w:customStyle="1" w:styleId="CorpsdetexteCar">
    <w:name w:val="Corps de texte Car"/>
    <w:basedOn w:val="Policepardfaut"/>
    <w:link w:val="Corpsdetexte"/>
    <w:uiPriority w:val="99"/>
    <w:semiHidden/>
    <w:rsid w:val="00D22E35"/>
  </w:style>
  <w:style w:type="paragraph" w:styleId="Notedebasdepage">
    <w:name w:val="footnote text"/>
    <w:basedOn w:val="Normal"/>
    <w:link w:val="NotedebasdepageCar"/>
    <w:uiPriority w:val="99"/>
    <w:semiHidden/>
    <w:unhideWhenUsed/>
    <w:rsid w:val="005E0D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E0D48"/>
    <w:rPr>
      <w:sz w:val="20"/>
      <w:szCs w:val="20"/>
    </w:rPr>
  </w:style>
  <w:style w:type="character" w:styleId="Appelnotedebasdep">
    <w:name w:val="footnote reference"/>
    <w:basedOn w:val="Policepardfaut"/>
    <w:uiPriority w:val="99"/>
    <w:semiHidden/>
    <w:unhideWhenUsed/>
    <w:rsid w:val="005E0D48"/>
    <w:rPr>
      <w:vertAlign w:val="superscript"/>
    </w:rPr>
  </w:style>
  <w:style w:type="paragraph" w:styleId="Textedebulles">
    <w:name w:val="Balloon Text"/>
    <w:basedOn w:val="Normal"/>
    <w:link w:val="TextedebullesCar"/>
    <w:uiPriority w:val="99"/>
    <w:semiHidden/>
    <w:unhideWhenUsed/>
    <w:rsid w:val="00880B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0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17459">
      <w:bodyDiv w:val="1"/>
      <w:marLeft w:val="0"/>
      <w:marRight w:val="0"/>
      <w:marTop w:val="0"/>
      <w:marBottom w:val="0"/>
      <w:divBdr>
        <w:top w:val="none" w:sz="0" w:space="0" w:color="auto"/>
        <w:left w:val="none" w:sz="0" w:space="0" w:color="auto"/>
        <w:bottom w:val="none" w:sz="0" w:space="0" w:color="auto"/>
        <w:right w:val="none" w:sz="0" w:space="0" w:color="auto"/>
      </w:divBdr>
    </w:div>
    <w:div w:id="19774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2EFC-0996-48D8-8CD7-2032A5AD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763</Words>
  <Characters>4201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Haffner Santiago</dc:creator>
  <cp:keywords/>
  <dc:description/>
  <cp:lastModifiedBy>BOUILLOUX-LAFONT Alain</cp:lastModifiedBy>
  <cp:revision>3</cp:revision>
  <cp:lastPrinted>2022-12-19T17:48:00Z</cp:lastPrinted>
  <dcterms:created xsi:type="dcterms:W3CDTF">2023-04-13T10:58:00Z</dcterms:created>
  <dcterms:modified xsi:type="dcterms:W3CDTF">2023-04-13T14:38:00Z</dcterms:modified>
</cp:coreProperties>
</file>