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14" w:rsidRPr="00AF3E63" w:rsidRDefault="004432FE" w:rsidP="004432FE">
      <w:pPr>
        <w:tabs>
          <w:tab w:val="left" w:pos="3969"/>
        </w:tabs>
        <w:spacing w:after="0"/>
        <w:rPr>
          <w:rFonts w:ascii="Arial" w:hAnsi="Arial" w:cs="Arial"/>
        </w:rPr>
      </w:pPr>
      <w:bookmarkStart w:id="0" w:name="_GoBack"/>
      <w:bookmarkEnd w:id="0"/>
      <w:r w:rsidRPr="00AF3E63">
        <w:rPr>
          <w:rFonts w:ascii="Arial" w:hAnsi="Arial" w:cs="Arial"/>
        </w:rPr>
        <w:tab/>
      </w:r>
    </w:p>
    <w:tbl>
      <w:tblPr>
        <w:tblStyle w:val="Grilledutableau"/>
        <w:tblW w:w="9356" w:type="dxa"/>
        <w:tblLook w:val="04A0" w:firstRow="1" w:lastRow="0" w:firstColumn="1" w:lastColumn="0" w:noHBand="0" w:noVBand="1"/>
      </w:tblPr>
      <w:tblGrid>
        <w:gridCol w:w="5812"/>
        <w:gridCol w:w="3250"/>
        <w:gridCol w:w="294"/>
      </w:tblGrid>
      <w:tr w:rsidR="006A6814" w:rsidRPr="005C5173" w:rsidTr="009647F2">
        <w:trPr>
          <w:trHeight w:val="1193"/>
        </w:trPr>
        <w:tc>
          <w:tcPr>
            <w:tcW w:w="5812" w:type="dxa"/>
            <w:tcBorders>
              <w:top w:val="nil"/>
              <w:left w:val="nil"/>
              <w:bottom w:val="nil"/>
              <w:right w:val="nil"/>
            </w:tcBorders>
          </w:tcPr>
          <w:p w:rsidR="00AF3E63" w:rsidRPr="005C5173" w:rsidRDefault="006A6814" w:rsidP="006A6814">
            <w:pPr>
              <w:tabs>
                <w:tab w:val="left" w:pos="3969"/>
              </w:tabs>
              <w:rPr>
                <w:rFonts w:ascii="Segoe UI" w:eastAsia="SimSun" w:hAnsi="Segoe UI" w:cs="Segoe UI"/>
                <w:b/>
                <w:color w:val="000000" w:themeColor="text1"/>
                <w:lang w:eastAsia="ja-JP"/>
              </w:rPr>
            </w:pPr>
            <w:r w:rsidRPr="005C5173">
              <w:rPr>
                <w:rFonts w:ascii="Segoe UI" w:eastAsia="SimSun" w:hAnsi="Segoe UI" w:cs="Segoe UI"/>
                <w:b/>
                <w:color w:val="000000" w:themeColor="text1"/>
                <w:lang w:eastAsia="ja-JP"/>
              </w:rPr>
              <w:t xml:space="preserve">  </w:t>
            </w:r>
          </w:p>
          <w:p w:rsidR="00AF3E63" w:rsidRPr="005C5173" w:rsidRDefault="00AF3E63" w:rsidP="006A6814">
            <w:pPr>
              <w:tabs>
                <w:tab w:val="left" w:pos="3969"/>
              </w:tabs>
              <w:rPr>
                <w:rFonts w:ascii="Segoe UI" w:eastAsia="SimSun" w:hAnsi="Segoe UI" w:cs="Segoe UI"/>
                <w:b/>
                <w:color w:val="000000" w:themeColor="text1"/>
                <w:lang w:eastAsia="ja-JP"/>
              </w:rPr>
            </w:pPr>
          </w:p>
          <w:p w:rsidR="00AF3E63" w:rsidRPr="00963B41" w:rsidRDefault="00EE2556" w:rsidP="006A6814">
            <w:pPr>
              <w:tabs>
                <w:tab w:val="left" w:pos="3969"/>
              </w:tabs>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Bureau Français de Taipei</w:t>
            </w:r>
          </w:p>
          <w:p w:rsidR="006A6814" w:rsidRPr="00963B41" w:rsidRDefault="006A6814" w:rsidP="006A6814">
            <w:pPr>
              <w:tabs>
                <w:tab w:val="left" w:pos="3969"/>
              </w:tabs>
              <w:rPr>
                <w:rFonts w:ascii="Segoe UI" w:eastAsia="SimSun" w:hAnsi="Segoe UI" w:cs="Segoe UI"/>
                <w:b/>
                <w:color w:val="000000" w:themeColor="text1"/>
                <w:sz w:val="20"/>
                <w:lang w:eastAsia="ja-JP"/>
              </w:rPr>
            </w:pPr>
            <w:r w:rsidRPr="00963B41">
              <w:rPr>
                <w:rFonts w:ascii="Segoe UI" w:eastAsia="SimSun" w:hAnsi="Segoe UI" w:cs="Segoe UI"/>
                <w:b/>
                <w:color w:val="000000" w:themeColor="text1"/>
                <w:sz w:val="20"/>
                <w:lang w:eastAsia="ja-JP"/>
              </w:rPr>
              <w:t>Service économique</w:t>
            </w:r>
          </w:p>
          <w:p w:rsidR="006A6814" w:rsidRPr="005C5173" w:rsidRDefault="006A6814" w:rsidP="004432FE">
            <w:pPr>
              <w:tabs>
                <w:tab w:val="left" w:pos="3969"/>
              </w:tabs>
              <w:rPr>
                <w:rFonts w:ascii="Segoe UI" w:hAnsi="Segoe UI" w:cs="Segoe UI"/>
              </w:rPr>
            </w:pPr>
          </w:p>
        </w:tc>
        <w:tc>
          <w:tcPr>
            <w:tcW w:w="3544" w:type="dxa"/>
            <w:gridSpan w:val="2"/>
            <w:tcBorders>
              <w:top w:val="nil"/>
              <w:left w:val="nil"/>
              <w:bottom w:val="nil"/>
              <w:right w:val="nil"/>
            </w:tcBorders>
          </w:tcPr>
          <w:p w:rsidR="00AF3E63" w:rsidRPr="005C5173" w:rsidRDefault="00AF3E63" w:rsidP="007E6B29">
            <w:pPr>
              <w:tabs>
                <w:tab w:val="left" w:pos="3969"/>
              </w:tabs>
              <w:rPr>
                <w:rFonts w:ascii="Segoe UI" w:eastAsia="SimSun" w:hAnsi="Segoe UI" w:cs="Segoe UI"/>
                <w:color w:val="000000" w:themeColor="text1"/>
                <w:sz w:val="20"/>
                <w:lang w:eastAsia="ja-JP"/>
              </w:rPr>
            </w:pPr>
          </w:p>
          <w:p w:rsidR="003C1760" w:rsidRPr="005C5173" w:rsidRDefault="003C1760" w:rsidP="007E6B29">
            <w:pPr>
              <w:tabs>
                <w:tab w:val="left" w:pos="3969"/>
              </w:tabs>
              <w:rPr>
                <w:rFonts w:ascii="Segoe UI" w:eastAsia="SimSun" w:hAnsi="Segoe UI" w:cs="Segoe UI"/>
                <w:color w:val="000000" w:themeColor="text1"/>
                <w:sz w:val="20"/>
                <w:lang w:eastAsia="ja-JP"/>
              </w:rPr>
            </w:pPr>
          </w:p>
          <w:p w:rsidR="006A6814" w:rsidRPr="005C5173" w:rsidRDefault="003E035E" w:rsidP="00F71E82">
            <w:pPr>
              <w:tabs>
                <w:tab w:val="left" w:pos="3969"/>
              </w:tabs>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 xml:space="preserve">            </w:t>
            </w:r>
            <w:r w:rsidR="00EE2556">
              <w:rPr>
                <w:rFonts w:ascii="Segoe UI" w:eastAsia="SimSun" w:hAnsi="Segoe UI" w:cs="Segoe UI"/>
                <w:color w:val="000000" w:themeColor="text1"/>
                <w:sz w:val="20"/>
                <w:lang w:eastAsia="ja-JP"/>
              </w:rPr>
              <w:t>Taipei</w:t>
            </w:r>
            <w:r w:rsidR="006A6814" w:rsidRPr="005C5173">
              <w:rPr>
                <w:rFonts w:ascii="Segoe UI" w:eastAsia="SimSun" w:hAnsi="Segoe UI" w:cs="Segoe UI"/>
                <w:color w:val="000000" w:themeColor="text1"/>
                <w:sz w:val="20"/>
                <w:lang w:eastAsia="ja-JP"/>
              </w:rPr>
              <w:t xml:space="preserve">, le </w:t>
            </w:r>
            <w:r w:rsidR="00A731EE">
              <w:rPr>
                <w:rFonts w:ascii="Segoe UI" w:eastAsia="SimSun" w:hAnsi="Segoe UI" w:cs="Segoe UI"/>
                <w:color w:val="000000" w:themeColor="text1"/>
                <w:sz w:val="20"/>
                <w:lang w:eastAsia="ja-JP"/>
              </w:rPr>
              <w:t xml:space="preserve">7 </w:t>
            </w:r>
            <w:r w:rsidR="00667CD7">
              <w:rPr>
                <w:rFonts w:ascii="Segoe UI" w:eastAsia="SimSun" w:hAnsi="Segoe UI" w:cs="Segoe UI"/>
                <w:color w:val="000000" w:themeColor="text1"/>
                <w:sz w:val="20"/>
                <w:lang w:eastAsia="ja-JP"/>
              </w:rPr>
              <w:t>mars</w:t>
            </w:r>
            <w:r w:rsidR="00A731EE">
              <w:rPr>
                <w:rFonts w:ascii="Segoe UI" w:eastAsia="SimSun" w:hAnsi="Segoe UI" w:cs="Segoe UI"/>
                <w:color w:val="000000" w:themeColor="text1"/>
                <w:sz w:val="20"/>
                <w:lang w:eastAsia="ja-JP"/>
              </w:rPr>
              <w:t xml:space="preserve"> 2022</w:t>
            </w:r>
          </w:p>
          <w:p w:rsidR="006A6814" w:rsidRPr="005C5173" w:rsidRDefault="003E035E" w:rsidP="003E035E">
            <w:pPr>
              <w:tabs>
                <w:tab w:val="left" w:pos="3969"/>
              </w:tabs>
              <w:rPr>
                <w:rFonts w:ascii="Segoe UI" w:hAnsi="Segoe UI" w:cs="Segoe UI"/>
              </w:rPr>
            </w:pPr>
            <w:r>
              <w:rPr>
                <w:rFonts w:ascii="Segoe UI" w:eastAsia="SimSun" w:hAnsi="Segoe UI" w:cs="Segoe UI"/>
                <w:color w:val="000000" w:themeColor="text1"/>
                <w:sz w:val="20"/>
                <w:lang w:eastAsia="ja-JP"/>
              </w:rPr>
              <w:t xml:space="preserve">            </w:t>
            </w:r>
            <w:r w:rsidR="006A6814" w:rsidRPr="005C5173">
              <w:rPr>
                <w:rFonts w:ascii="Segoe UI" w:eastAsia="SimSun" w:hAnsi="Segoe UI" w:cs="Segoe UI"/>
                <w:color w:val="000000" w:themeColor="text1"/>
                <w:sz w:val="20"/>
                <w:lang w:eastAsia="ja-JP"/>
              </w:rPr>
              <w:t xml:space="preserve">Affaire suivie par : </w:t>
            </w:r>
            <w:r w:rsidR="00F71E82">
              <w:rPr>
                <w:rFonts w:ascii="Segoe UI" w:eastAsia="SimSun" w:hAnsi="Segoe UI" w:cs="Segoe UI"/>
                <w:color w:val="000000" w:themeColor="text1"/>
                <w:sz w:val="20"/>
                <w:lang w:eastAsia="ja-JP"/>
              </w:rPr>
              <w:t>Max Chang</w:t>
            </w:r>
          </w:p>
        </w:tc>
      </w:tr>
      <w:tr w:rsidR="00F37E56" w:rsidRPr="005C5173" w:rsidTr="001F55B5">
        <w:trPr>
          <w:gridAfter w:val="1"/>
          <w:wAfter w:w="294" w:type="dxa"/>
          <w:trHeight w:val="1340"/>
        </w:trPr>
        <w:tc>
          <w:tcPr>
            <w:tcW w:w="9062" w:type="dxa"/>
            <w:gridSpan w:val="2"/>
            <w:tcBorders>
              <w:top w:val="nil"/>
              <w:left w:val="nil"/>
              <w:bottom w:val="nil"/>
              <w:right w:val="nil"/>
            </w:tcBorders>
          </w:tcPr>
          <w:p w:rsidR="00EB6784" w:rsidRDefault="00A06D8C" w:rsidP="003C1760">
            <w:pPr>
              <w:tabs>
                <w:tab w:val="left" w:pos="3969"/>
                <w:tab w:val="center" w:pos="4423"/>
                <w:tab w:val="right" w:pos="8846"/>
              </w:tabs>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 xml:space="preserve">Taïwan : </w:t>
            </w:r>
            <w:r w:rsidR="00EB6784">
              <w:rPr>
                <w:rFonts w:ascii="Segoe UI" w:eastAsia="Calibri" w:hAnsi="Segoe UI" w:cs="Segoe UI"/>
                <w:color w:val="006CE5"/>
                <w:sz w:val="32"/>
                <w:szCs w:val="32"/>
                <w:lang w:eastAsia="fr-FR"/>
              </w:rPr>
              <w:t>le commerce de biens avec la France en 2021</w:t>
            </w:r>
          </w:p>
          <w:p w:rsidR="00904EBC" w:rsidRPr="005C5173" w:rsidRDefault="00EB6784" w:rsidP="003C1760">
            <w:pPr>
              <w:tabs>
                <w:tab w:val="left" w:pos="3969"/>
                <w:tab w:val="center" w:pos="4423"/>
                <w:tab w:val="right" w:pos="8846"/>
              </w:tabs>
              <w:jc w:val="center"/>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w:t>
            </w:r>
            <w:r w:rsidR="00A06D8C">
              <w:rPr>
                <w:rFonts w:ascii="Segoe UI" w:eastAsia="Calibri" w:hAnsi="Segoe UI" w:cs="Segoe UI"/>
                <w:color w:val="006CE5"/>
                <w:sz w:val="32"/>
                <w:szCs w:val="32"/>
                <w:lang w:eastAsia="fr-FR"/>
              </w:rPr>
              <w:t>forte augmentation des importations françaises de composants électroniques</w:t>
            </w:r>
            <w:r>
              <w:rPr>
                <w:rFonts w:ascii="Segoe UI" w:eastAsia="Calibri" w:hAnsi="Segoe UI" w:cs="Segoe UI"/>
                <w:color w:val="006CE5"/>
                <w:sz w:val="32"/>
                <w:szCs w:val="32"/>
                <w:lang w:eastAsia="fr-FR"/>
              </w:rPr>
              <w:t>)</w:t>
            </w:r>
            <w:r w:rsidR="006637EE">
              <w:rPr>
                <w:rFonts w:ascii="Segoe UI" w:eastAsia="Calibri" w:hAnsi="Segoe UI" w:cs="Segoe UI"/>
                <w:color w:val="006CE5"/>
                <w:sz w:val="32"/>
                <w:szCs w:val="32"/>
                <w:lang w:eastAsia="fr-FR"/>
              </w:rPr>
              <w:t xml:space="preserve">  </w:t>
            </w:r>
          </w:p>
          <w:p w:rsidR="00904EBC" w:rsidRPr="005C5173" w:rsidRDefault="00E7604C" w:rsidP="003C1760">
            <w:pPr>
              <w:tabs>
                <w:tab w:val="left" w:pos="3969"/>
                <w:tab w:val="center" w:pos="4423"/>
                <w:tab w:val="right" w:pos="8846"/>
              </w:tabs>
              <w:rPr>
                <w:rFonts w:ascii="Segoe UI" w:eastAsia="Calibri" w:hAnsi="Segoe UI" w:cs="Segoe UI"/>
                <w:color w:val="006CE5"/>
                <w:sz w:val="32"/>
                <w:szCs w:val="32"/>
                <w:lang w:eastAsia="fr-FR"/>
              </w:rPr>
            </w:pPr>
            <w:r w:rsidRPr="005C5173">
              <w:rPr>
                <w:rFonts w:ascii="Segoe UI" w:eastAsia="Calibri" w:hAnsi="Segoe UI" w:cs="Segoe UI"/>
                <w:color w:val="006CE5"/>
                <w:sz w:val="32"/>
                <w:szCs w:val="32"/>
                <w:lang w:eastAsia="fr-FR"/>
              </w:rPr>
              <w:tab/>
            </w:r>
            <w:r w:rsidRPr="005C5173">
              <w:rPr>
                <w:rFonts w:ascii="Segoe UI" w:eastAsia="Calibri" w:hAnsi="Segoe UI" w:cs="Segoe UI"/>
                <w:color w:val="006CE5"/>
                <w:sz w:val="32"/>
                <w:szCs w:val="32"/>
                <w:lang w:eastAsia="fr-FR"/>
              </w:rPr>
              <w:tab/>
            </w:r>
          </w:p>
        </w:tc>
      </w:tr>
    </w:tbl>
    <w:p w:rsidR="00126A87" w:rsidRPr="00130AB8" w:rsidRDefault="00A731EE" w:rsidP="00126A87">
      <w:pPr>
        <w:pStyle w:val="Briefinglist1"/>
        <w:keepLines w:val="0"/>
        <w:numPr>
          <w:ilvl w:val="0"/>
          <w:numId w:val="0"/>
        </w:numPr>
        <w:rPr>
          <w:rFonts w:ascii="Segoe UI" w:eastAsia="Times New Roman" w:hAnsi="Segoe UI" w:cs="Segoe UI"/>
          <w:color w:val="006CE5"/>
          <w:sz w:val="20"/>
          <w:szCs w:val="20"/>
          <w:lang w:val="fr-FR" w:eastAsia="fr-FR"/>
        </w:rPr>
      </w:pPr>
      <w:r>
        <w:rPr>
          <w:rFonts w:ascii="Segoe UI" w:eastAsia="Times New Roman" w:hAnsi="Segoe UI" w:cs="Segoe UI"/>
          <w:color w:val="006CE5"/>
          <w:sz w:val="20"/>
          <w:szCs w:val="20"/>
          <w:lang w:val="fr-FR" w:eastAsia="fr-FR"/>
        </w:rPr>
        <w:t>En 2021</w:t>
      </w:r>
      <w:r w:rsidR="00F71E82" w:rsidRPr="00130AB8">
        <w:rPr>
          <w:rFonts w:ascii="Segoe UI" w:eastAsia="Times New Roman" w:hAnsi="Segoe UI" w:cs="Segoe UI"/>
          <w:color w:val="006CE5"/>
          <w:sz w:val="20"/>
          <w:szCs w:val="20"/>
          <w:lang w:val="fr-FR" w:eastAsia="fr-FR"/>
        </w:rPr>
        <w:t xml:space="preserve">, le commerce de biens </w:t>
      </w:r>
      <w:r w:rsidR="00187709" w:rsidRPr="00130AB8">
        <w:rPr>
          <w:rFonts w:ascii="Segoe UI" w:eastAsia="Times New Roman" w:hAnsi="Segoe UI" w:cs="Segoe UI"/>
          <w:color w:val="006CE5"/>
          <w:sz w:val="20"/>
          <w:szCs w:val="20"/>
          <w:lang w:val="fr-FR" w:eastAsia="fr-FR"/>
        </w:rPr>
        <w:t xml:space="preserve">franco-taïwanais </w:t>
      </w:r>
      <w:r w:rsidR="007E151B" w:rsidRPr="00130AB8">
        <w:rPr>
          <w:rFonts w:ascii="Segoe UI" w:eastAsia="Times New Roman" w:hAnsi="Segoe UI" w:cs="Segoe UI"/>
          <w:color w:val="006CE5"/>
          <w:sz w:val="20"/>
          <w:szCs w:val="20"/>
          <w:lang w:val="fr-FR" w:eastAsia="fr-FR"/>
        </w:rPr>
        <w:t>progresse</w:t>
      </w:r>
      <w:r w:rsidR="00F71E82" w:rsidRPr="00130AB8">
        <w:rPr>
          <w:rFonts w:ascii="Segoe UI" w:eastAsia="Times New Roman" w:hAnsi="Segoe UI" w:cs="Segoe UI"/>
          <w:color w:val="006CE5"/>
          <w:sz w:val="20"/>
          <w:szCs w:val="20"/>
          <w:lang w:val="fr-FR" w:eastAsia="fr-FR"/>
        </w:rPr>
        <w:t xml:space="preserve"> de </w:t>
      </w:r>
      <w:r>
        <w:rPr>
          <w:rFonts w:ascii="Segoe UI" w:eastAsia="Times New Roman" w:hAnsi="Segoe UI" w:cs="Segoe UI"/>
          <w:color w:val="006CE5"/>
          <w:sz w:val="20"/>
          <w:szCs w:val="20"/>
          <w:lang w:val="fr-FR" w:eastAsia="fr-FR"/>
        </w:rPr>
        <w:t>21,5</w:t>
      </w:r>
      <w:r w:rsidR="00F71E82" w:rsidRPr="00130AB8">
        <w:rPr>
          <w:rFonts w:ascii="Segoe UI" w:eastAsia="Times New Roman" w:hAnsi="Segoe UI" w:cs="Segoe UI"/>
          <w:color w:val="006CE5"/>
          <w:sz w:val="20"/>
          <w:szCs w:val="20"/>
          <w:lang w:val="fr-FR" w:eastAsia="fr-FR"/>
        </w:rPr>
        <w:t xml:space="preserve">%, </w:t>
      </w:r>
      <w:r w:rsidR="00DF5DD9" w:rsidRPr="00130AB8">
        <w:rPr>
          <w:rFonts w:ascii="Segoe UI" w:eastAsia="Times New Roman" w:hAnsi="Segoe UI" w:cs="Segoe UI"/>
          <w:color w:val="006CE5"/>
          <w:sz w:val="20"/>
          <w:szCs w:val="20"/>
          <w:lang w:val="fr-FR" w:eastAsia="fr-FR"/>
        </w:rPr>
        <w:t xml:space="preserve">à </w:t>
      </w:r>
      <w:r>
        <w:rPr>
          <w:rFonts w:ascii="Segoe UI" w:eastAsia="Times New Roman" w:hAnsi="Segoe UI" w:cs="Segoe UI"/>
          <w:color w:val="006CE5"/>
          <w:sz w:val="20"/>
          <w:szCs w:val="20"/>
          <w:lang w:val="fr-FR" w:eastAsia="fr-FR"/>
        </w:rPr>
        <w:t>5,58</w:t>
      </w:r>
      <w:r w:rsidR="00F71E82" w:rsidRPr="00130AB8">
        <w:rPr>
          <w:rFonts w:ascii="Segoe UI" w:eastAsia="Times New Roman" w:hAnsi="Segoe UI" w:cs="Segoe UI"/>
          <w:color w:val="006CE5"/>
          <w:sz w:val="20"/>
          <w:szCs w:val="20"/>
          <w:lang w:val="fr-FR" w:eastAsia="fr-FR"/>
        </w:rPr>
        <w:t xml:space="preserve"> Md EUR</w:t>
      </w:r>
      <w:r w:rsidR="003F3074" w:rsidRPr="00130AB8">
        <w:rPr>
          <w:rFonts w:ascii="Segoe UI" w:eastAsia="Times New Roman" w:hAnsi="Segoe UI" w:cs="Segoe UI"/>
          <w:color w:val="006CE5"/>
          <w:sz w:val="20"/>
          <w:szCs w:val="20"/>
          <w:lang w:val="fr-FR" w:eastAsia="fr-FR"/>
        </w:rPr>
        <w:t xml:space="preserve"> </w:t>
      </w:r>
      <w:r w:rsidR="00003CE7" w:rsidRPr="00130AB8">
        <w:rPr>
          <w:rFonts w:ascii="Segoe UI" w:eastAsia="Times New Roman" w:hAnsi="Segoe UI" w:cs="Segoe UI"/>
          <w:color w:val="006CE5"/>
          <w:sz w:val="20"/>
          <w:szCs w:val="20"/>
          <w:lang w:val="fr-FR" w:eastAsia="fr-FR"/>
        </w:rPr>
        <w:t>p</w:t>
      </w:r>
      <w:r w:rsidR="003F3074" w:rsidRPr="00130AB8">
        <w:rPr>
          <w:rFonts w:ascii="Segoe UI" w:eastAsia="Times New Roman" w:hAnsi="Segoe UI" w:cs="Segoe UI"/>
          <w:color w:val="006CE5"/>
          <w:sz w:val="20"/>
          <w:szCs w:val="20"/>
          <w:lang w:val="fr-FR" w:eastAsia="fr-FR"/>
        </w:rPr>
        <w:t xml:space="preserve">ar rapport </w:t>
      </w:r>
      <w:r w:rsidR="00C52D8D" w:rsidRPr="00130AB8">
        <w:rPr>
          <w:rFonts w:ascii="Segoe UI" w:eastAsia="Times New Roman" w:hAnsi="Segoe UI" w:cs="Segoe UI"/>
          <w:color w:val="006CE5"/>
          <w:sz w:val="20"/>
          <w:szCs w:val="20"/>
          <w:lang w:val="fr-FR" w:eastAsia="fr-FR"/>
        </w:rPr>
        <w:t xml:space="preserve">à </w:t>
      </w:r>
      <w:r w:rsidR="003F3074" w:rsidRPr="00130AB8">
        <w:rPr>
          <w:rFonts w:ascii="Segoe UI" w:eastAsia="Times New Roman" w:hAnsi="Segoe UI" w:cs="Segoe UI"/>
          <w:color w:val="006CE5"/>
          <w:sz w:val="20"/>
          <w:szCs w:val="20"/>
          <w:lang w:val="fr-FR" w:eastAsia="fr-FR"/>
        </w:rPr>
        <w:t>2020</w:t>
      </w:r>
      <w:r w:rsidR="00177E3C">
        <w:rPr>
          <w:rFonts w:ascii="Segoe UI" w:eastAsia="Times New Roman" w:hAnsi="Segoe UI" w:cs="Segoe UI"/>
          <w:color w:val="006CE5"/>
          <w:sz w:val="20"/>
          <w:szCs w:val="20"/>
          <w:lang w:val="fr-FR" w:eastAsia="fr-FR"/>
        </w:rPr>
        <w:t>,</w:t>
      </w:r>
      <w:r w:rsidR="003F3074" w:rsidRPr="00130AB8">
        <w:rPr>
          <w:rFonts w:ascii="Segoe UI" w:eastAsia="Times New Roman" w:hAnsi="Segoe UI" w:cs="Segoe UI"/>
          <w:color w:val="006CE5"/>
          <w:sz w:val="20"/>
          <w:szCs w:val="20"/>
          <w:lang w:val="fr-FR" w:eastAsia="fr-FR"/>
        </w:rPr>
        <w:t xml:space="preserve"> et </w:t>
      </w:r>
      <w:r w:rsidR="006326AE" w:rsidRPr="00130AB8">
        <w:rPr>
          <w:rFonts w:ascii="Segoe UI" w:eastAsia="Times New Roman" w:hAnsi="Segoe UI" w:cs="Segoe UI"/>
          <w:color w:val="006CE5"/>
          <w:sz w:val="20"/>
          <w:szCs w:val="20"/>
          <w:lang w:val="fr-FR" w:eastAsia="fr-FR"/>
        </w:rPr>
        <w:t xml:space="preserve">de </w:t>
      </w:r>
      <w:r w:rsidR="006A4DAC">
        <w:rPr>
          <w:rFonts w:ascii="Segoe UI" w:eastAsia="Times New Roman" w:hAnsi="Segoe UI" w:cs="Segoe UI"/>
          <w:color w:val="006CE5"/>
          <w:sz w:val="20"/>
          <w:szCs w:val="20"/>
          <w:lang w:val="fr-FR" w:eastAsia="fr-FR"/>
        </w:rPr>
        <w:t>12,6</w:t>
      </w:r>
      <w:r w:rsidR="003F3074" w:rsidRPr="00130AB8">
        <w:rPr>
          <w:rFonts w:ascii="Segoe UI" w:eastAsia="Times New Roman" w:hAnsi="Segoe UI" w:cs="Segoe UI"/>
          <w:color w:val="006CE5"/>
          <w:sz w:val="20"/>
          <w:szCs w:val="20"/>
          <w:lang w:val="fr-FR" w:eastAsia="fr-FR"/>
        </w:rPr>
        <w:t xml:space="preserve">% par rapport à la situation </w:t>
      </w:r>
      <w:r w:rsidR="004B0A3E" w:rsidRPr="00130AB8">
        <w:rPr>
          <w:rFonts w:ascii="Segoe UI" w:eastAsia="Times New Roman" w:hAnsi="Segoe UI" w:cs="Segoe UI"/>
          <w:color w:val="006CE5"/>
          <w:sz w:val="20"/>
          <w:szCs w:val="20"/>
          <w:lang w:val="fr-FR" w:eastAsia="fr-FR"/>
        </w:rPr>
        <w:t xml:space="preserve">qui prévalait </w:t>
      </w:r>
      <w:r w:rsidR="003F3074" w:rsidRPr="00130AB8">
        <w:rPr>
          <w:rFonts w:ascii="Segoe UI" w:eastAsia="Times New Roman" w:hAnsi="Segoe UI" w:cs="Segoe UI"/>
          <w:color w:val="006CE5"/>
          <w:sz w:val="20"/>
          <w:szCs w:val="20"/>
          <w:lang w:val="fr-FR" w:eastAsia="fr-FR"/>
        </w:rPr>
        <w:t>avant la crise sanitaire</w:t>
      </w:r>
      <w:r w:rsidR="00177E3C">
        <w:rPr>
          <w:rFonts w:ascii="Segoe UI" w:eastAsia="Times New Roman" w:hAnsi="Segoe UI" w:cs="Segoe UI"/>
          <w:color w:val="006CE5"/>
          <w:sz w:val="20"/>
          <w:szCs w:val="20"/>
          <w:lang w:val="fr-FR" w:eastAsia="fr-FR"/>
        </w:rPr>
        <w:t>,</w:t>
      </w:r>
      <w:r w:rsidR="003F3074" w:rsidRPr="00130AB8">
        <w:rPr>
          <w:rFonts w:ascii="Segoe UI" w:eastAsia="Times New Roman" w:hAnsi="Segoe UI" w:cs="Segoe UI"/>
          <w:color w:val="006CE5"/>
          <w:sz w:val="20"/>
          <w:szCs w:val="20"/>
          <w:lang w:val="fr-FR" w:eastAsia="fr-FR"/>
        </w:rPr>
        <w:t xml:space="preserve"> </w:t>
      </w:r>
      <w:r w:rsidR="00C52D8D" w:rsidRPr="00130AB8">
        <w:rPr>
          <w:rFonts w:ascii="Segoe UI" w:eastAsia="Times New Roman" w:hAnsi="Segoe UI" w:cs="Segoe UI"/>
          <w:color w:val="006CE5"/>
          <w:sz w:val="20"/>
          <w:szCs w:val="20"/>
          <w:lang w:val="fr-FR" w:eastAsia="fr-FR"/>
        </w:rPr>
        <w:t>en raison d’</w:t>
      </w:r>
      <w:r w:rsidR="00187709" w:rsidRPr="00130AB8">
        <w:rPr>
          <w:rFonts w:ascii="Segoe UI" w:eastAsia="Times New Roman" w:hAnsi="Segoe UI" w:cs="Segoe UI"/>
          <w:color w:val="006CE5"/>
          <w:sz w:val="20"/>
          <w:szCs w:val="20"/>
          <w:lang w:val="fr-FR" w:eastAsia="fr-FR"/>
        </w:rPr>
        <w:t>un effet de base, nos exportation</w:t>
      </w:r>
      <w:r w:rsidR="00C52D8D" w:rsidRPr="00130AB8">
        <w:rPr>
          <w:rFonts w:ascii="Segoe UI" w:eastAsia="Times New Roman" w:hAnsi="Segoe UI" w:cs="Segoe UI"/>
          <w:color w:val="006CE5"/>
          <w:sz w:val="20"/>
          <w:szCs w:val="20"/>
          <w:lang w:val="fr-FR" w:eastAsia="fr-FR"/>
        </w:rPr>
        <w:t>s</w:t>
      </w:r>
      <w:r w:rsidR="00187709" w:rsidRPr="00130AB8">
        <w:rPr>
          <w:rFonts w:ascii="Segoe UI" w:eastAsia="Times New Roman" w:hAnsi="Segoe UI" w:cs="Segoe UI"/>
          <w:color w:val="006CE5"/>
          <w:sz w:val="20"/>
          <w:szCs w:val="20"/>
          <w:lang w:val="fr-FR" w:eastAsia="fr-FR"/>
        </w:rPr>
        <w:t xml:space="preserve"> ayant chuté de </w:t>
      </w:r>
      <w:r w:rsidR="00351D04">
        <w:rPr>
          <w:rFonts w:ascii="Segoe UI" w:eastAsia="Times New Roman" w:hAnsi="Segoe UI" w:cs="Segoe UI"/>
          <w:color w:val="006CE5"/>
          <w:sz w:val="20"/>
          <w:szCs w:val="20"/>
          <w:lang w:val="fr-FR" w:eastAsia="fr-FR"/>
        </w:rPr>
        <w:t>20</w:t>
      </w:r>
      <w:r w:rsidR="00187709" w:rsidRPr="00130AB8">
        <w:rPr>
          <w:rFonts w:ascii="Segoe UI" w:eastAsia="Times New Roman" w:hAnsi="Segoe UI" w:cs="Segoe UI"/>
          <w:color w:val="006CE5"/>
          <w:sz w:val="20"/>
          <w:szCs w:val="20"/>
          <w:lang w:val="fr-FR" w:eastAsia="fr-FR"/>
        </w:rPr>
        <w:t xml:space="preserve">% </w:t>
      </w:r>
      <w:r w:rsidR="006A4DAC">
        <w:rPr>
          <w:rFonts w:ascii="Segoe UI" w:eastAsia="Times New Roman" w:hAnsi="Segoe UI" w:cs="Segoe UI"/>
          <w:color w:val="006CE5"/>
          <w:sz w:val="20"/>
          <w:szCs w:val="20"/>
          <w:lang w:val="fr-FR" w:eastAsia="fr-FR"/>
        </w:rPr>
        <w:t>e</w:t>
      </w:r>
      <w:r w:rsidR="0020723C">
        <w:rPr>
          <w:rFonts w:ascii="Segoe UI" w:eastAsia="Times New Roman" w:hAnsi="Segoe UI" w:cs="Segoe UI"/>
          <w:color w:val="006CE5"/>
          <w:sz w:val="20"/>
          <w:szCs w:val="20"/>
          <w:lang w:val="fr-FR" w:eastAsia="fr-FR"/>
        </w:rPr>
        <w:t>n</w:t>
      </w:r>
      <w:r w:rsidR="00187709" w:rsidRPr="00130AB8">
        <w:rPr>
          <w:rFonts w:ascii="Segoe UI" w:eastAsia="Times New Roman" w:hAnsi="Segoe UI" w:cs="Segoe UI"/>
          <w:color w:val="006CE5"/>
          <w:sz w:val="20"/>
          <w:szCs w:val="20"/>
          <w:lang w:val="fr-FR" w:eastAsia="fr-FR"/>
        </w:rPr>
        <w:t xml:space="preserve"> </w:t>
      </w:r>
      <w:r w:rsidR="003F3074" w:rsidRPr="00130AB8">
        <w:rPr>
          <w:rFonts w:ascii="Segoe UI" w:eastAsia="Times New Roman" w:hAnsi="Segoe UI" w:cs="Segoe UI"/>
          <w:color w:val="006CE5"/>
          <w:sz w:val="20"/>
          <w:szCs w:val="20"/>
          <w:lang w:val="fr-FR" w:eastAsia="fr-FR"/>
        </w:rPr>
        <w:t>2019</w:t>
      </w:r>
      <w:r w:rsidR="00F71E82" w:rsidRPr="00130AB8">
        <w:rPr>
          <w:rFonts w:ascii="Segoe UI" w:eastAsia="Times New Roman" w:hAnsi="Segoe UI" w:cs="Segoe UI"/>
          <w:color w:val="006CE5"/>
          <w:sz w:val="20"/>
          <w:szCs w:val="20"/>
          <w:lang w:val="fr-FR" w:eastAsia="fr-FR"/>
        </w:rPr>
        <w:t xml:space="preserve">. </w:t>
      </w:r>
      <w:r w:rsidR="004B0A3E" w:rsidRPr="00130AB8">
        <w:rPr>
          <w:rFonts w:ascii="Segoe UI" w:eastAsia="Times New Roman" w:hAnsi="Segoe UI" w:cs="Segoe UI"/>
          <w:color w:val="006CE5"/>
          <w:sz w:val="20"/>
          <w:szCs w:val="20"/>
          <w:lang w:val="fr-FR" w:eastAsia="fr-FR"/>
        </w:rPr>
        <w:t>En 2021, l</w:t>
      </w:r>
      <w:r w:rsidR="003F3074" w:rsidRPr="00130AB8">
        <w:rPr>
          <w:rFonts w:ascii="Segoe UI" w:eastAsia="Times New Roman" w:hAnsi="Segoe UI" w:cs="Segoe UI"/>
          <w:color w:val="006CE5"/>
          <w:sz w:val="20"/>
          <w:szCs w:val="20"/>
          <w:lang w:val="fr-FR" w:eastAsia="fr-FR"/>
        </w:rPr>
        <w:t xml:space="preserve">e renforcement du commerce bilatéral bénéficie </w:t>
      </w:r>
      <w:r w:rsidR="00F3736D">
        <w:rPr>
          <w:rFonts w:ascii="Segoe UI" w:eastAsia="Times New Roman" w:hAnsi="Segoe UI" w:cs="Segoe UI"/>
          <w:color w:val="006CE5"/>
          <w:sz w:val="20"/>
          <w:szCs w:val="20"/>
          <w:lang w:val="fr-FR" w:eastAsia="fr-FR"/>
        </w:rPr>
        <w:t xml:space="preserve">davantage </w:t>
      </w:r>
      <w:r w:rsidR="003F3074" w:rsidRPr="00130AB8">
        <w:rPr>
          <w:rFonts w:ascii="Segoe UI" w:eastAsia="Times New Roman" w:hAnsi="Segoe UI" w:cs="Segoe UI"/>
          <w:color w:val="006CE5"/>
          <w:sz w:val="20"/>
          <w:szCs w:val="20"/>
          <w:lang w:val="fr-FR" w:eastAsia="fr-FR"/>
        </w:rPr>
        <w:t xml:space="preserve">à Taïwan dont les exportations vers la France </w:t>
      </w:r>
      <w:r w:rsidR="000700C7" w:rsidRPr="00130AB8">
        <w:rPr>
          <w:rFonts w:ascii="Segoe UI" w:eastAsia="Times New Roman" w:hAnsi="Segoe UI" w:cs="Segoe UI"/>
          <w:color w:val="006CE5"/>
          <w:sz w:val="20"/>
          <w:szCs w:val="20"/>
          <w:lang w:val="fr-FR" w:eastAsia="fr-FR"/>
        </w:rPr>
        <w:t xml:space="preserve">augmentent </w:t>
      </w:r>
      <w:r w:rsidR="003F3074" w:rsidRPr="00130AB8">
        <w:rPr>
          <w:rFonts w:ascii="Segoe UI" w:eastAsia="Times New Roman" w:hAnsi="Segoe UI" w:cs="Segoe UI"/>
          <w:color w:val="006CE5"/>
          <w:sz w:val="20"/>
          <w:szCs w:val="20"/>
          <w:lang w:val="fr-FR" w:eastAsia="fr-FR"/>
        </w:rPr>
        <w:t xml:space="preserve">de </w:t>
      </w:r>
      <w:r w:rsidR="006A4DAC">
        <w:rPr>
          <w:rFonts w:ascii="Segoe UI" w:eastAsia="Times New Roman" w:hAnsi="Segoe UI" w:cs="Segoe UI"/>
          <w:color w:val="006CE5"/>
          <w:sz w:val="20"/>
          <w:szCs w:val="20"/>
          <w:lang w:val="fr-FR" w:eastAsia="fr-FR"/>
        </w:rPr>
        <w:t>28,8</w:t>
      </w:r>
      <w:r w:rsidR="003F3074" w:rsidRPr="00130AB8">
        <w:rPr>
          <w:rFonts w:ascii="Segoe UI" w:eastAsia="Times New Roman" w:hAnsi="Segoe UI" w:cs="Segoe UI"/>
          <w:color w:val="006CE5"/>
          <w:sz w:val="20"/>
          <w:szCs w:val="20"/>
          <w:lang w:val="fr-FR" w:eastAsia="fr-FR"/>
        </w:rPr>
        <w:t xml:space="preserve">% à </w:t>
      </w:r>
      <w:r w:rsidR="006A4DAC">
        <w:rPr>
          <w:rFonts w:ascii="Segoe UI" w:eastAsia="Times New Roman" w:hAnsi="Segoe UI" w:cs="Segoe UI"/>
          <w:color w:val="006CE5"/>
          <w:sz w:val="20"/>
          <w:szCs w:val="20"/>
          <w:lang w:val="fr-FR" w:eastAsia="fr-FR"/>
        </w:rPr>
        <w:t>3,72</w:t>
      </w:r>
      <w:r w:rsidR="000700C7" w:rsidRPr="00130AB8">
        <w:rPr>
          <w:rFonts w:ascii="Segoe UI" w:eastAsia="Times New Roman" w:hAnsi="Segoe UI" w:cs="Segoe UI"/>
          <w:color w:val="006CE5"/>
          <w:sz w:val="20"/>
          <w:szCs w:val="20"/>
          <w:lang w:val="fr-FR" w:eastAsia="fr-FR"/>
        </w:rPr>
        <w:t xml:space="preserve"> Md </w:t>
      </w:r>
      <w:r w:rsidR="00C52D8D" w:rsidRPr="00130AB8">
        <w:rPr>
          <w:rFonts w:ascii="Segoe UI" w:eastAsia="Times New Roman" w:hAnsi="Segoe UI" w:cs="Segoe UI"/>
          <w:color w:val="006CE5"/>
          <w:sz w:val="20"/>
          <w:szCs w:val="20"/>
          <w:lang w:val="fr-FR" w:eastAsia="fr-FR"/>
        </w:rPr>
        <w:t xml:space="preserve">EUR </w:t>
      </w:r>
      <w:r w:rsidR="000700C7" w:rsidRPr="00130AB8">
        <w:rPr>
          <w:rFonts w:ascii="Segoe UI" w:eastAsia="Times New Roman" w:hAnsi="Segoe UI" w:cs="Segoe UI"/>
          <w:color w:val="006CE5"/>
          <w:sz w:val="20"/>
          <w:szCs w:val="20"/>
          <w:lang w:val="fr-FR" w:eastAsia="fr-FR"/>
        </w:rPr>
        <w:t>alors que</w:t>
      </w:r>
      <w:r w:rsidR="003F3074" w:rsidRPr="00130AB8">
        <w:rPr>
          <w:rFonts w:ascii="Segoe UI" w:eastAsia="Times New Roman" w:hAnsi="Segoe UI" w:cs="Segoe UI"/>
          <w:color w:val="006CE5"/>
          <w:sz w:val="20"/>
          <w:szCs w:val="20"/>
          <w:lang w:val="fr-FR" w:eastAsia="fr-FR"/>
        </w:rPr>
        <w:t xml:space="preserve"> </w:t>
      </w:r>
      <w:r w:rsidR="000700C7" w:rsidRPr="00130AB8">
        <w:rPr>
          <w:rFonts w:ascii="Segoe UI" w:eastAsia="Times New Roman" w:hAnsi="Segoe UI" w:cs="Segoe UI"/>
          <w:color w:val="006CE5"/>
          <w:sz w:val="20"/>
          <w:szCs w:val="20"/>
          <w:lang w:val="fr-FR" w:eastAsia="fr-FR"/>
        </w:rPr>
        <w:t>l</w:t>
      </w:r>
      <w:r w:rsidR="00F71E82" w:rsidRPr="00130AB8">
        <w:rPr>
          <w:rFonts w:ascii="Segoe UI" w:eastAsia="Times New Roman" w:hAnsi="Segoe UI" w:cs="Segoe UI"/>
          <w:color w:val="006CE5"/>
          <w:sz w:val="20"/>
          <w:szCs w:val="20"/>
          <w:lang w:val="fr-FR" w:eastAsia="fr-FR"/>
        </w:rPr>
        <w:t xml:space="preserve">es exportations françaises </w:t>
      </w:r>
      <w:r w:rsidR="00C52D8D" w:rsidRPr="00130AB8">
        <w:rPr>
          <w:rFonts w:ascii="Segoe UI" w:eastAsia="Times New Roman" w:hAnsi="Segoe UI" w:cs="Segoe UI"/>
          <w:color w:val="006CE5"/>
          <w:sz w:val="20"/>
          <w:szCs w:val="20"/>
          <w:lang w:val="fr-FR" w:eastAsia="fr-FR"/>
        </w:rPr>
        <w:t xml:space="preserve">progressent de </w:t>
      </w:r>
      <w:r w:rsidR="006A4DAC">
        <w:rPr>
          <w:rFonts w:ascii="Segoe UI" w:eastAsia="Times New Roman" w:hAnsi="Segoe UI" w:cs="Segoe UI"/>
          <w:color w:val="006CE5"/>
          <w:sz w:val="20"/>
          <w:szCs w:val="20"/>
          <w:lang w:val="fr-FR" w:eastAsia="fr-FR"/>
        </w:rPr>
        <w:t>9,3</w:t>
      </w:r>
      <w:r w:rsidR="00F71E82" w:rsidRPr="00130AB8">
        <w:rPr>
          <w:rFonts w:ascii="Segoe UI" w:eastAsia="Times New Roman" w:hAnsi="Segoe UI" w:cs="Segoe UI"/>
          <w:color w:val="006CE5"/>
          <w:sz w:val="20"/>
          <w:szCs w:val="20"/>
          <w:lang w:val="fr-FR" w:eastAsia="fr-FR"/>
        </w:rPr>
        <w:t xml:space="preserve">% </w:t>
      </w:r>
      <w:r w:rsidR="00C52D8D" w:rsidRPr="00130AB8">
        <w:rPr>
          <w:rFonts w:ascii="Segoe UI" w:eastAsia="Times New Roman" w:hAnsi="Segoe UI" w:cs="Segoe UI"/>
          <w:color w:val="006CE5"/>
          <w:sz w:val="20"/>
          <w:szCs w:val="20"/>
          <w:lang w:val="fr-FR" w:eastAsia="fr-FR"/>
        </w:rPr>
        <w:t xml:space="preserve">à </w:t>
      </w:r>
      <w:r w:rsidR="006A4DAC">
        <w:rPr>
          <w:rFonts w:ascii="Segoe UI" w:eastAsia="Times New Roman" w:hAnsi="Segoe UI" w:cs="Segoe UI"/>
          <w:color w:val="006CE5"/>
          <w:sz w:val="20"/>
          <w:szCs w:val="20"/>
          <w:lang w:val="fr-FR" w:eastAsia="fr-FR"/>
        </w:rPr>
        <w:t>1,86</w:t>
      </w:r>
      <w:r w:rsidR="00351D04">
        <w:rPr>
          <w:rFonts w:ascii="Segoe UI" w:eastAsia="Times New Roman" w:hAnsi="Segoe UI" w:cs="Segoe UI"/>
          <w:color w:val="006CE5"/>
          <w:sz w:val="20"/>
          <w:szCs w:val="20"/>
          <w:lang w:val="fr-FR" w:eastAsia="fr-FR"/>
        </w:rPr>
        <w:t xml:space="preserve"> Md</w:t>
      </w:r>
      <w:r w:rsidR="00F71E82" w:rsidRPr="00130AB8">
        <w:rPr>
          <w:rFonts w:ascii="Segoe UI" w:eastAsia="Times New Roman" w:hAnsi="Segoe UI" w:cs="Segoe UI"/>
          <w:color w:val="006CE5"/>
          <w:sz w:val="20"/>
          <w:szCs w:val="20"/>
          <w:lang w:val="fr-FR" w:eastAsia="fr-FR"/>
        </w:rPr>
        <w:t xml:space="preserve"> EUR</w:t>
      </w:r>
      <w:r w:rsidR="00C52D8D" w:rsidRPr="00130AB8">
        <w:rPr>
          <w:rFonts w:ascii="Segoe UI" w:eastAsia="Times New Roman" w:hAnsi="Segoe UI" w:cs="Segoe UI"/>
          <w:color w:val="006CE5"/>
          <w:sz w:val="20"/>
          <w:szCs w:val="20"/>
          <w:lang w:val="fr-FR" w:eastAsia="fr-FR"/>
        </w:rPr>
        <w:t xml:space="preserve"> (</w:t>
      </w:r>
      <w:r w:rsidR="00FD2C29">
        <w:rPr>
          <w:rFonts w:ascii="Segoe UI" w:eastAsia="Times New Roman" w:hAnsi="Segoe UI" w:cs="Segoe UI"/>
          <w:color w:val="006CE5"/>
          <w:sz w:val="20"/>
          <w:szCs w:val="20"/>
          <w:lang w:val="fr-FR" w:eastAsia="fr-FR"/>
        </w:rPr>
        <w:t>+</w:t>
      </w:r>
      <w:r w:rsidR="00DB1ABC">
        <w:rPr>
          <w:rFonts w:ascii="Segoe UI" w:eastAsia="Times New Roman" w:hAnsi="Segoe UI" w:cs="Segoe UI"/>
          <w:color w:val="006CE5"/>
          <w:sz w:val="20"/>
          <w:szCs w:val="20"/>
          <w:lang w:val="fr-FR" w:eastAsia="fr-FR"/>
        </w:rPr>
        <w:t>4,8</w:t>
      </w:r>
      <w:r w:rsidR="000700C7" w:rsidRPr="00130AB8">
        <w:rPr>
          <w:rFonts w:ascii="Segoe UI" w:eastAsia="Times New Roman" w:hAnsi="Segoe UI" w:cs="Segoe UI"/>
          <w:color w:val="006CE5"/>
          <w:sz w:val="20"/>
          <w:szCs w:val="20"/>
          <w:lang w:val="fr-FR" w:eastAsia="fr-FR"/>
        </w:rPr>
        <w:t xml:space="preserve">% hors </w:t>
      </w:r>
      <w:r w:rsidR="0085325C" w:rsidRPr="00130AB8">
        <w:rPr>
          <w:rFonts w:ascii="Segoe UI" w:eastAsia="Times New Roman" w:hAnsi="Segoe UI" w:cs="Segoe UI"/>
          <w:color w:val="006CE5"/>
          <w:sz w:val="20"/>
          <w:szCs w:val="20"/>
          <w:lang w:val="fr-FR" w:eastAsia="fr-FR"/>
        </w:rPr>
        <w:t>matériel de transport</w:t>
      </w:r>
      <w:r w:rsidR="00C52D8D" w:rsidRPr="00130AB8">
        <w:rPr>
          <w:rFonts w:ascii="Segoe UI" w:eastAsia="Times New Roman" w:hAnsi="Segoe UI" w:cs="Segoe UI"/>
          <w:color w:val="006CE5"/>
          <w:sz w:val="20"/>
          <w:szCs w:val="20"/>
          <w:lang w:val="fr-FR" w:eastAsia="fr-FR"/>
        </w:rPr>
        <w:t>)</w:t>
      </w:r>
      <w:r w:rsidR="00F71E82" w:rsidRPr="00130AB8">
        <w:rPr>
          <w:rFonts w:ascii="Segoe UI" w:eastAsia="Times New Roman" w:hAnsi="Segoe UI" w:cs="Segoe UI"/>
          <w:color w:val="006CE5"/>
          <w:sz w:val="20"/>
          <w:szCs w:val="20"/>
          <w:lang w:val="fr-FR" w:eastAsia="fr-FR"/>
        </w:rPr>
        <w:t xml:space="preserve">. </w:t>
      </w:r>
      <w:r w:rsidR="000700C7" w:rsidRPr="00130AB8">
        <w:rPr>
          <w:rFonts w:ascii="Segoe UI" w:eastAsia="Times New Roman" w:hAnsi="Segoe UI" w:cs="Segoe UI"/>
          <w:color w:val="006CE5"/>
          <w:sz w:val="20"/>
          <w:szCs w:val="20"/>
          <w:lang w:val="fr-FR" w:eastAsia="fr-FR"/>
        </w:rPr>
        <w:t xml:space="preserve">Taïwan </w:t>
      </w:r>
      <w:r w:rsidR="00DF5DD9" w:rsidRPr="00130AB8">
        <w:rPr>
          <w:rFonts w:ascii="Segoe UI" w:eastAsia="Times New Roman" w:hAnsi="Segoe UI" w:cs="Segoe UI"/>
          <w:color w:val="006CE5"/>
          <w:sz w:val="20"/>
          <w:szCs w:val="20"/>
          <w:lang w:val="fr-FR" w:eastAsia="fr-FR"/>
        </w:rPr>
        <w:t xml:space="preserve">valorise </w:t>
      </w:r>
      <w:r w:rsidR="004B0A3E" w:rsidRPr="00130AB8">
        <w:rPr>
          <w:rFonts w:ascii="Segoe UI" w:eastAsia="Times New Roman" w:hAnsi="Segoe UI" w:cs="Segoe UI"/>
          <w:color w:val="006CE5"/>
          <w:sz w:val="20"/>
          <w:szCs w:val="20"/>
          <w:lang w:val="fr-FR" w:eastAsia="fr-FR"/>
        </w:rPr>
        <w:t xml:space="preserve">ainsi </w:t>
      </w:r>
      <w:r w:rsidR="000700C7" w:rsidRPr="00130AB8">
        <w:rPr>
          <w:rFonts w:ascii="Segoe UI" w:eastAsia="Times New Roman" w:hAnsi="Segoe UI" w:cs="Segoe UI"/>
          <w:color w:val="006CE5"/>
          <w:sz w:val="20"/>
          <w:szCs w:val="20"/>
          <w:lang w:val="fr-FR" w:eastAsia="fr-FR"/>
        </w:rPr>
        <w:t>sa spécialisation dans l’industrie des TIC</w:t>
      </w:r>
      <w:r w:rsidR="00F3736D">
        <w:rPr>
          <w:rFonts w:ascii="Segoe UI" w:eastAsia="Times New Roman" w:hAnsi="Segoe UI" w:cs="Segoe UI"/>
          <w:color w:val="006CE5"/>
          <w:sz w:val="20"/>
          <w:szCs w:val="20"/>
          <w:lang w:val="fr-FR" w:eastAsia="fr-FR"/>
        </w:rPr>
        <w:t>. L</w:t>
      </w:r>
      <w:r w:rsidR="00667CD7">
        <w:rPr>
          <w:rFonts w:ascii="Segoe UI" w:eastAsia="Times New Roman" w:hAnsi="Segoe UI" w:cs="Segoe UI"/>
          <w:color w:val="006CE5"/>
          <w:sz w:val="20"/>
          <w:szCs w:val="20"/>
          <w:lang w:val="fr-FR" w:eastAsia="fr-FR"/>
        </w:rPr>
        <w:t xml:space="preserve">es importations </w:t>
      </w:r>
      <w:r w:rsidR="004E24CD">
        <w:rPr>
          <w:rFonts w:ascii="Segoe UI" w:eastAsia="Times New Roman" w:hAnsi="Segoe UI" w:cs="Segoe UI"/>
          <w:color w:val="006CE5"/>
          <w:sz w:val="20"/>
          <w:szCs w:val="20"/>
          <w:lang w:val="fr-FR" w:eastAsia="fr-FR"/>
        </w:rPr>
        <w:t xml:space="preserve">françaises </w:t>
      </w:r>
      <w:r w:rsidR="00667CD7">
        <w:rPr>
          <w:rFonts w:ascii="Segoe UI" w:eastAsia="Times New Roman" w:hAnsi="Segoe UI" w:cs="Segoe UI"/>
          <w:color w:val="006CE5"/>
          <w:sz w:val="20"/>
          <w:szCs w:val="20"/>
          <w:lang w:val="fr-FR" w:eastAsia="fr-FR"/>
        </w:rPr>
        <w:t>de composants électroniques atteignent près de 1 Md EUR (+30,</w:t>
      </w:r>
      <w:r w:rsidR="004E24CD">
        <w:rPr>
          <w:rFonts w:ascii="Segoe UI" w:eastAsia="Times New Roman" w:hAnsi="Segoe UI" w:cs="Segoe UI"/>
          <w:color w:val="006CE5"/>
          <w:sz w:val="20"/>
          <w:szCs w:val="20"/>
          <w:lang w:val="fr-FR" w:eastAsia="fr-FR"/>
        </w:rPr>
        <w:t>7</w:t>
      </w:r>
      <w:r w:rsidR="00667CD7">
        <w:rPr>
          <w:rFonts w:ascii="Segoe UI" w:eastAsia="Times New Roman" w:hAnsi="Segoe UI" w:cs="Segoe UI"/>
          <w:color w:val="006CE5"/>
          <w:sz w:val="20"/>
          <w:szCs w:val="20"/>
          <w:lang w:val="fr-FR" w:eastAsia="fr-FR"/>
        </w:rPr>
        <w:t>%)</w:t>
      </w:r>
      <w:r w:rsidR="000700C7" w:rsidRPr="00130AB8">
        <w:rPr>
          <w:rFonts w:ascii="Segoe UI" w:eastAsia="Times New Roman" w:hAnsi="Segoe UI" w:cs="Segoe UI"/>
          <w:color w:val="006CE5"/>
          <w:sz w:val="20"/>
          <w:szCs w:val="20"/>
          <w:lang w:val="fr-FR" w:eastAsia="fr-FR"/>
        </w:rPr>
        <w:t xml:space="preserve"> </w:t>
      </w:r>
      <w:r w:rsidR="00187709" w:rsidRPr="00130AB8">
        <w:rPr>
          <w:rFonts w:ascii="Segoe UI" w:eastAsia="Times New Roman" w:hAnsi="Segoe UI" w:cs="Segoe UI"/>
          <w:color w:val="006CE5"/>
          <w:sz w:val="20"/>
          <w:szCs w:val="20"/>
          <w:lang w:val="fr-FR" w:eastAsia="fr-FR"/>
        </w:rPr>
        <w:t xml:space="preserve">alors que </w:t>
      </w:r>
      <w:r w:rsidR="000700C7" w:rsidRPr="00130AB8">
        <w:rPr>
          <w:rFonts w:ascii="Segoe UI" w:eastAsia="Times New Roman" w:hAnsi="Segoe UI" w:cs="Segoe UI"/>
          <w:color w:val="006CE5"/>
          <w:sz w:val="20"/>
          <w:szCs w:val="20"/>
          <w:lang w:val="fr-FR" w:eastAsia="fr-FR"/>
        </w:rPr>
        <w:t xml:space="preserve">les exportations françaises </w:t>
      </w:r>
      <w:r w:rsidR="00187709" w:rsidRPr="00130AB8">
        <w:rPr>
          <w:rFonts w:ascii="Segoe UI" w:eastAsia="Times New Roman" w:hAnsi="Segoe UI" w:cs="Segoe UI"/>
          <w:color w:val="006CE5"/>
          <w:sz w:val="20"/>
          <w:szCs w:val="20"/>
          <w:lang w:val="fr-FR" w:eastAsia="fr-FR"/>
        </w:rPr>
        <w:t xml:space="preserve">connaissent une embellie </w:t>
      </w:r>
      <w:r w:rsidR="000D3351">
        <w:rPr>
          <w:rFonts w:ascii="Segoe UI" w:eastAsia="Times New Roman" w:hAnsi="Segoe UI" w:cs="Segoe UI"/>
          <w:color w:val="006CE5"/>
          <w:sz w:val="20"/>
          <w:szCs w:val="20"/>
          <w:lang w:val="fr-FR" w:eastAsia="fr-FR"/>
        </w:rPr>
        <w:t xml:space="preserve">dans </w:t>
      </w:r>
      <w:r w:rsidR="00187709" w:rsidRPr="00130AB8">
        <w:rPr>
          <w:rFonts w:ascii="Segoe UI" w:eastAsia="Times New Roman" w:hAnsi="Segoe UI" w:cs="Segoe UI"/>
          <w:color w:val="006CE5"/>
          <w:sz w:val="20"/>
          <w:szCs w:val="20"/>
          <w:lang w:val="fr-FR" w:eastAsia="fr-FR"/>
        </w:rPr>
        <w:t>l</w:t>
      </w:r>
      <w:r w:rsidR="006B072E">
        <w:rPr>
          <w:rFonts w:ascii="Segoe UI" w:eastAsia="Times New Roman" w:hAnsi="Segoe UI" w:cs="Segoe UI"/>
          <w:color w:val="006CE5"/>
          <w:sz w:val="20"/>
          <w:szCs w:val="20"/>
          <w:lang w:val="fr-FR" w:eastAsia="fr-FR"/>
        </w:rPr>
        <w:t>’</w:t>
      </w:r>
      <w:r w:rsidR="00187709" w:rsidRPr="00130AB8">
        <w:rPr>
          <w:rFonts w:ascii="Segoe UI" w:eastAsia="Times New Roman" w:hAnsi="Segoe UI" w:cs="Segoe UI"/>
          <w:color w:val="006CE5"/>
          <w:sz w:val="20"/>
          <w:szCs w:val="20"/>
          <w:lang w:val="fr-FR" w:eastAsia="fr-FR"/>
        </w:rPr>
        <w:t>industrie du luxe</w:t>
      </w:r>
      <w:r w:rsidR="006B072E">
        <w:rPr>
          <w:rFonts w:ascii="Segoe UI" w:eastAsia="Times New Roman" w:hAnsi="Segoe UI" w:cs="Segoe UI"/>
          <w:color w:val="006CE5"/>
          <w:sz w:val="20"/>
          <w:szCs w:val="20"/>
          <w:lang w:val="fr-FR" w:eastAsia="fr-FR"/>
        </w:rPr>
        <w:t xml:space="preserve"> et</w:t>
      </w:r>
      <w:r w:rsidR="000D3351">
        <w:rPr>
          <w:rFonts w:ascii="Segoe UI" w:eastAsia="Times New Roman" w:hAnsi="Segoe UI" w:cs="Segoe UI"/>
          <w:color w:val="006CE5"/>
          <w:sz w:val="20"/>
          <w:szCs w:val="20"/>
          <w:lang w:val="fr-FR" w:eastAsia="fr-FR"/>
        </w:rPr>
        <w:t xml:space="preserve"> </w:t>
      </w:r>
      <w:r w:rsidR="006B072E">
        <w:rPr>
          <w:rFonts w:ascii="Segoe UI" w:eastAsia="Times New Roman" w:hAnsi="Segoe UI" w:cs="Segoe UI"/>
          <w:color w:val="006CE5"/>
          <w:sz w:val="20"/>
          <w:szCs w:val="20"/>
          <w:lang w:val="fr-FR" w:eastAsia="fr-FR"/>
        </w:rPr>
        <w:t>les</w:t>
      </w:r>
      <w:r w:rsidR="000D3351">
        <w:rPr>
          <w:rFonts w:ascii="Segoe UI" w:eastAsia="Times New Roman" w:hAnsi="Segoe UI" w:cs="Segoe UI"/>
          <w:color w:val="006CE5"/>
          <w:sz w:val="20"/>
          <w:szCs w:val="20"/>
          <w:lang w:val="fr-FR" w:eastAsia="fr-FR"/>
        </w:rPr>
        <w:t xml:space="preserve"> IAA (</w:t>
      </w:r>
      <w:r w:rsidR="006B072E">
        <w:rPr>
          <w:rFonts w:ascii="Segoe UI" w:eastAsia="Times New Roman" w:hAnsi="Segoe UI" w:cs="Segoe UI"/>
          <w:color w:val="006CE5"/>
          <w:sz w:val="20"/>
          <w:szCs w:val="20"/>
          <w:lang w:val="fr-FR" w:eastAsia="fr-FR"/>
        </w:rPr>
        <w:t xml:space="preserve">hors alcools distillés) </w:t>
      </w:r>
      <w:r w:rsidR="009D01FC" w:rsidRPr="00130AB8">
        <w:rPr>
          <w:rFonts w:ascii="Segoe UI" w:eastAsia="Times New Roman" w:hAnsi="Segoe UI" w:cs="Segoe UI"/>
          <w:color w:val="006CE5"/>
          <w:sz w:val="20"/>
          <w:szCs w:val="20"/>
          <w:lang w:val="fr-FR" w:eastAsia="fr-FR"/>
        </w:rPr>
        <w:t>grâce a</w:t>
      </w:r>
      <w:r w:rsidR="0085325C" w:rsidRPr="00130AB8">
        <w:rPr>
          <w:rFonts w:ascii="Segoe UI" w:eastAsia="Times New Roman" w:hAnsi="Segoe UI" w:cs="Segoe UI"/>
          <w:color w:val="006CE5"/>
          <w:sz w:val="20"/>
          <w:szCs w:val="20"/>
          <w:lang w:val="fr-FR" w:eastAsia="fr-FR"/>
        </w:rPr>
        <w:t xml:space="preserve">u </w:t>
      </w:r>
      <w:r w:rsidR="009B727D" w:rsidRPr="00130AB8">
        <w:rPr>
          <w:rFonts w:ascii="Segoe UI" w:eastAsia="Times New Roman" w:hAnsi="Segoe UI" w:cs="Segoe UI"/>
          <w:color w:val="006CE5"/>
          <w:sz w:val="20"/>
          <w:szCs w:val="20"/>
          <w:lang w:val="fr-FR" w:eastAsia="fr-FR"/>
        </w:rPr>
        <w:t>rebond d</w:t>
      </w:r>
      <w:r w:rsidR="00C154FB" w:rsidRPr="00130AB8">
        <w:rPr>
          <w:rFonts w:ascii="Segoe UI" w:eastAsia="Times New Roman" w:hAnsi="Segoe UI" w:cs="Segoe UI"/>
          <w:color w:val="006CE5"/>
          <w:sz w:val="20"/>
          <w:szCs w:val="20"/>
          <w:lang w:val="fr-FR" w:eastAsia="fr-FR"/>
        </w:rPr>
        <w:t xml:space="preserve">e </w:t>
      </w:r>
      <w:r w:rsidR="009B727D" w:rsidRPr="00130AB8">
        <w:rPr>
          <w:rFonts w:ascii="Segoe UI" w:eastAsia="Times New Roman" w:hAnsi="Segoe UI" w:cs="Segoe UI"/>
          <w:color w:val="006CE5"/>
          <w:sz w:val="20"/>
          <w:szCs w:val="20"/>
          <w:lang w:val="fr-FR" w:eastAsia="fr-FR"/>
        </w:rPr>
        <w:t>l’é</w:t>
      </w:r>
      <w:r w:rsidR="0075696F" w:rsidRPr="00130AB8">
        <w:rPr>
          <w:rFonts w:ascii="Segoe UI" w:eastAsia="Times New Roman" w:hAnsi="Segoe UI" w:cs="Segoe UI"/>
          <w:color w:val="006CE5"/>
          <w:sz w:val="20"/>
          <w:szCs w:val="20"/>
          <w:lang w:val="fr-FR" w:eastAsia="fr-FR"/>
        </w:rPr>
        <w:t>conomie taïwanaise (</w:t>
      </w:r>
      <w:r w:rsidR="00DB1ABC">
        <w:rPr>
          <w:rFonts w:ascii="Segoe UI" w:eastAsia="Times New Roman" w:hAnsi="Segoe UI" w:cs="Segoe UI"/>
          <w:color w:val="006CE5"/>
          <w:sz w:val="20"/>
          <w:szCs w:val="20"/>
          <w:lang w:val="fr-FR" w:eastAsia="fr-FR"/>
        </w:rPr>
        <w:t>6,</w:t>
      </w:r>
      <w:r w:rsidR="00EA638B">
        <w:rPr>
          <w:rFonts w:ascii="Segoe UI" w:eastAsia="Times New Roman" w:hAnsi="Segoe UI" w:cs="Segoe UI"/>
          <w:color w:val="006CE5"/>
          <w:sz w:val="20"/>
          <w:szCs w:val="20"/>
          <w:lang w:val="fr-FR" w:eastAsia="fr-FR"/>
        </w:rPr>
        <w:t>45</w:t>
      </w:r>
      <w:r w:rsidR="00DD4385" w:rsidRPr="00130AB8">
        <w:rPr>
          <w:rFonts w:ascii="Segoe UI" w:eastAsia="Times New Roman" w:hAnsi="Segoe UI" w:cs="Segoe UI"/>
          <w:color w:val="006CE5"/>
          <w:sz w:val="20"/>
          <w:szCs w:val="20"/>
          <w:lang w:val="fr-FR" w:eastAsia="fr-FR"/>
        </w:rPr>
        <w:t>%</w:t>
      </w:r>
      <w:r w:rsidR="00A06D8C">
        <w:rPr>
          <w:rStyle w:val="Appelnotedebasdep"/>
          <w:rFonts w:ascii="Segoe UI" w:eastAsia="Times New Roman" w:hAnsi="Segoe UI" w:cs="Segoe UI"/>
          <w:color w:val="006CE5"/>
          <w:sz w:val="20"/>
          <w:szCs w:val="20"/>
          <w:lang w:val="fr-FR" w:eastAsia="fr-FR"/>
        </w:rPr>
        <w:footnoteReference w:id="1"/>
      </w:r>
      <w:r w:rsidR="003E035E" w:rsidRPr="00130AB8">
        <w:rPr>
          <w:rFonts w:ascii="Segoe UI" w:eastAsia="Times New Roman" w:hAnsi="Segoe UI" w:cs="Segoe UI"/>
          <w:color w:val="006CE5"/>
          <w:sz w:val="20"/>
          <w:szCs w:val="20"/>
          <w:lang w:val="fr-FR" w:eastAsia="fr-FR"/>
        </w:rPr>
        <w:t>)</w:t>
      </w:r>
      <w:r w:rsidR="00F71E82" w:rsidRPr="00130AB8">
        <w:rPr>
          <w:rFonts w:ascii="Segoe UI" w:eastAsia="Times New Roman" w:hAnsi="Segoe UI" w:cs="Segoe UI"/>
          <w:color w:val="006CE5"/>
          <w:sz w:val="20"/>
          <w:szCs w:val="20"/>
          <w:lang w:val="fr-FR" w:eastAsia="fr-FR"/>
        </w:rPr>
        <w:t xml:space="preserve">. </w:t>
      </w:r>
      <w:r w:rsidR="004B0A3E" w:rsidRPr="00130AB8">
        <w:rPr>
          <w:rFonts w:ascii="Segoe UI" w:eastAsia="Times New Roman" w:hAnsi="Segoe UI" w:cs="Segoe UI"/>
          <w:color w:val="006CE5"/>
          <w:sz w:val="20"/>
          <w:szCs w:val="20"/>
          <w:lang w:val="fr-FR" w:eastAsia="fr-FR"/>
        </w:rPr>
        <w:t>Au final, n</w:t>
      </w:r>
      <w:r w:rsidR="009B727D" w:rsidRPr="00130AB8">
        <w:rPr>
          <w:rFonts w:ascii="Segoe UI" w:eastAsia="Times New Roman" w:hAnsi="Segoe UI" w:cs="Segoe UI"/>
          <w:color w:val="006CE5"/>
          <w:sz w:val="20"/>
          <w:szCs w:val="20"/>
          <w:lang w:val="fr-FR" w:eastAsia="fr-FR"/>
        </w:rPr>
        <w:t xml:space="preserve">otre </w:t>
      </w:r>
      <w:r w:rsidR="00F71E82" w:rsidRPr="00130AB8">
        <w:rPr>
          <w:rFonts w:ascii="Segoe UI" w:eastAsia="Times New Roman" w:hAnsi="Segoe UI" w:cs="Segoe UI"/>
          <w:color w:val="006CE5"/>
          <w:sz w:val="20"/>
          <w:szCs w:val="20"/>
          <w:lang w:val="fr-FR" w:eastAsia="fr-FR"/>
        </w:rPr>
        <w:t>déficit commercial</w:t>
      </w:r>
      <w:r w:rsidR="00EF0642" w:rsidRPr="00130AB8">
        <w:rPr>
          <w:rFonts w:ascii="Segoe UI" w:eastAsia="Times New Roman" w:hAnsi="Segoe UI" w:cs="Segoe UI"/>
          <w:color w:val="006CE5"/>
          <w:sz w:val="20"/>
          <w:szCs w:val="20"/>
          <w:lang w:val="fr-FR" w:eastAsia="fr-FR"/>
        </w:rPr>
        <w:t xml:space="preserve"> </w:t>
      </w:r>
      <w:r w:rsidR="00F3736D">
        <w:rPr>
          <w:rFonts w:ascii="Segoe UI" w:eastAsia="Times New Roman" w:hAnsi="Segoe UI" w:cs="Segoe UI"/>
          <w:color w:val="006CE5"/>
          <w:sz w:val="20"/>
          <w:szCs w:val="20"/>
          <w:lang w:val="fr-FR" w:eastAsia="fr-FR"/>
        </w:rPr>
        <w:t xml:space="preserve">avec Taïwan </w:t>
      </w:r>
      <w:r w:rsidR="004B0A3E" w:rsidRPr="00130AB8">
        <w:rPr>
          <w:rFonts w:ascii="Segoe UI" w:eastAsia="Times New Roman" w:hAnsi="Segoe UI" w:cs="Segoe UI"/>
          <w:color w:val="006CE5"/>
          <w:sz w:val="20"/>
          <w:szCs w:val="20"/>
          <w:lang w:val="fr-FR" w:eastAsia="fr-FR"/>
        </w:rPr>
        <w:t>s</w:t>
      </w:r>
      <w:r w:rsidR="006326AE" w:rsidRPr="00130AB8">
        <w:rPr>
          <w:rFonts w:ascii="Segoe UI" w:eastAsia="Times New Roman" w:hAnsi="Segoe UI" w:cs="Segoe UI"/>
          <w:color w:val="006CE5"/>
          <w:sz w:val="20"/>
          <w:szCs w:val="20"/>
          <w:lang w:val="fr-FR" w:eastAsia="fr-FR"/>
        </w:rPr>
        <w:t xml:space="preserve">e creuse </w:t>
      </w:r>
      <w:r w:rsidR="00F71E82" w:rsidRPr="00130AB8">
        <w:rPr>
          <w:rFonts w:ascii="Segoe UI" w:eastAsia="Times New Roman" w:hAnsi="Segoe UI" w:cs="Segoe UI"/>
          <w:color w:val="006CE5"/>
          <w:sz w:val="20"/>
          <w:szCs w:val="20"/>
          <w:lang w:val="fr-FR" w:eastAsia="fr-FR"/>
        </w:rPr>
        <w:t xml:space="preserve">de </w:t>
      </w:r>
      <w:r w:rsidR="00DB1ABC">
        <w:rPr>
          <w:rFonts w:ascii="Segoe UI" w:eastAsia="Times New Roman" w:hAnsi="Segoe UI" w:cs="Segoe UI"/>
          <w:color w:val="006CE5"/>
          <w:sz w:val="20"/>
          <w:szCs w:val="20"/>
          <w:lang w:val="fr-FR" w:eastAsia="fr-FR"/>
        </w:rPr>
        <w:t>56,6</w:t>
      </w:r>
      <w:r w:rsidR="00F71E82" w:rsidRPr="00130AB8">
        <w:rPr>
          <w:rFonts w:ascii="Segoe UI" w:eastAsia="Times New Roman" w:hAnsi="Segoe UI" w:cs="Segoe UI"/>
          <w:color w:val="006CE5"/>
          <w:sz w:val="20"/>
          <w:szCs w:val="20"/>
          <w:lang w:val="fr-FR" w:eastAsia="fr-FR"/>
        </w:rPr>
        <w:t xml:space="preserve">% </w:t>
      </w:r>
      <w:r w:rsidR="000D3351">
        <w:rPr>
          <w:rFonts w:ascii="Segoe UI" w:eastAsia="Times New Roman" w:hAnsi="Segoe UI" w:cs="Segoe UI"/>
          <w:color w:val="006CE5"/>
          <w:sz w:val="20"/>
          <w:szCs w:val="20"/>
          <w:lang w:val="fr-FR" w:eastAsia="fr-FR"/>
        </w:rPr>
        <w:t xml:space="preserve">pour atteindre </w:t>
      </w:r>
      <w:r w:rsidR="00DB1ABC">
        <w:rPr>
          <w:rFonts w:ascii="Segoe UI" w:eastAsia="Times New Roman" w:hAnsi="Segoe UI" w:cs="Segoe UI"/>
          <w:color w:val="006CE5"/>
          <w:sz w:val="20"/>
          <w:szCs w:val="20"/>
          <w:lang w:val="fr-FR" w:eastAsia="fr-FR"/>
        </w:rPr>
        <w:t>1,86</w:t>
      </w:r>
      <w:r w:rsidR="008661D4">
        <w:rPr>
          <w:rFonts w:ascii="Segoe UI" w:eastAsia="Times New Roman" w:hAnsi="Segoe UI" w:cs="Segoe UI"/>
          <w:color w:val="006CE5"/>
          <w:sz w:val="20"/>
          <w:szCs w:val="20"/>
          <w:lang w:val="fr-FR" w:eastAsia="fr-FR"/>
        </w:rPr>
        <w:t xml:space="preserve"> Md</w:t>
      </w:r>
      <w:r w:rsidR="000D3351">
        <w:rPr>
          <w:rFonts w:ascii="Segoe UI" w:eastAsia="Times New Roman" w:hAnsi="Segoe UI" w:cs="Segoe UI"/>
          <w:color w:val="006CE5"/>
          <w:sz w:val="20"/>
          <w:szCs w:val="20"/>
          <w:lang w:val="fr-FR" w:eastAsia="fr-FR"/>
        </w:rPr>
        <w:t xml:space="preserve"> EUR</w:t>
      </w:r>
      <w:r w:rsidR="00F71E82" w:rsidRPr="00130AB8">
        <w:rPr>
          <w:rFonts w:ascii="Segoe UI" w:eastAsia="Times New Roman" w:hAnsi="Segoe UI" w:cs="Segoe UI"/>
          <w:color w:val="006CE5"/>
          <w:sz w:val="20"/>
          <w:szCs w:val="20"/>
          <w:lang w:val="fr-FR" w:eastAsia="fr-FR"/>
        </w:rPr>
        <w:t>.</w:t>
      </w:r>
    </w:p>
    <w:p w:rsidR="00F71E82" w:rsidRPr="000E0033" w:rsidRDefault="004432FE" w:rsidP="000E0033">
      <w:pPr>
        <w:rPr>
          <w:rFonts w:ascii="Segoe UI" w:eastAsia="Times New Roman" w:hAnsi="Segoe UI" w:cs="Segoe UI"/>
          <w:color w:val="000091"/>
          <w:lang w:eastAsia="fr-FR"/>
        </w:rPr>
      </w:pPr>
      <w:r w:rsidRPr="005C5173">
        <w:rPr>
          <w:rFonts w:ascii="Segoe UI" w:hAnsi="Segoe UI" w:cs="Segoe UI"/>
          <w:noProof/>
          <w:color w:val="000091"/>
          <w:lang w:eastAsia="fr-FR"/>
        </w:rPr>
        <mc:AlternateContent>
          <mc:Choice Requires="wps">
            <w:drawing>
              <wp:inline distT="0" distB="0" distL="0" distR="0" wp14:anchorId="6D0FAD4F" wp14:editId="7BE4CB81">
                <wp:extent cx="5978237" cy="304800"/>
                <wp:effectExtent l="0" t="0" r="381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237" cy="304800"/>
                        </a:xfrm>
                        <a:prstGeom prst="rect">
                          <a:avLst/>
                        </a:prstGeom>
                        <a:solidFill>
                          <a:srgbClr val="006CE5"/>
                        </a:solidFill>
                        <a:ln w="9525">
                          <a:noFill/>
                          <a:miter lim="800000"/>
                          <a:headEnd/>
                          <a:tailEnd/>
                        </a:ln>
                      </wps:spPr>
                      <wps:txbx>
                        <w:txbxContent>
                          <w:p w:rsidR="00354762" w:rsidRPr="00130AB8" w:rsidRDefault="00354762" w:rsidP="004432FE">
                            <w:pPr>
                              <w:rPr>
                                <w:rFonts w:ascii="Segoe UI" w:hAnsi="Segoe UI" w:cs="Segoe UI"/>
                                <w:color w:val="000091"/>
                              </w:rPr>
                            </w:pPr>
                            <w:r w:rsidRPr="00130AB8">
                              <w:rPr>
                                <w:rFonts w:ascii="Segoe UI" w:hAnsi="Segoe UI" w:cs="Segoe UI"/>
                                <w:color w:val="FFFFFF" w:themeColor="background1"/>
                              </w:rPr>
                              <w:t xml:space="preserve">Les exportations françaises progressent </w:t>
                            </w:r>
                            <w:r>
                              <w:rPr>
                                <w:rFonts w:ascii="Segoe UI" w:hAnsi="Segoe UI" w:cs="Segoe UI"/>
                                <w:color w:val="FFFFFF" w:themeColor="background1"/>
                              </w:rPr>
                              <w:t>en</w:t>
                            </w:r>
                            <w:r w:rsidRPr="00130AB8">
                              <w:rPr>
                                <w:rFonts w:ascii="Segoe UI" w:hAnsi="Segoe UI" w:cs="Segoe UI"/>
                                <w:color w:val="FFFFFF" w:themeColor="background1"/>
                              </w:rPr>
                              <w:t xml:space="preserve"> 2021 et dépassent le</w:t>
                            </w:r>
                            <w:r w:rsidR="00EA638B">
                              <w:rPr>
                                <w:rFonts w:ascii="Segoe UI" w:hAnsi="Segoe UI" w:cs="Segoe UI"/>
                                <w:color w:val="FFFFFF" w:themeColor="background1"/>
                              </w:rPr>
                              <w:t>ur</w:t>
                            </w:r>
                            <w:r w:rsidRPr="00130AB8">
                              <w:rPr>
                                <w:rFonts w:ascii="Segoe UI" w:hAnsi="Segoe UI" w:cs="Segoe UI"/>
                                <w:color w:val="FFFFFF" w:themeColor="background1"/>
                              </w:rPr>
                              <w:t xml:space="preserve"> montant</w:t>
                            </w:r>
                            <w:r w:rsidR="00EA638B">
                              <w:rPr>
                                <w:rFonts w:ascii="Segoe UI" w:hAnsi="Segoe UI" w:cs="Segoe UI"/>
                                <w:color w:val="FFFFFF" w:themeColor="background1"/>
                              </w:rPr>
                              <w:t xml:space="preserve"> d</w:t>
                            </w:r>
                            <w:r w:rsidRPr="00130AB8">
                              <w:rPr>
                                <w:rFonts w:ascii="Segoe UI" w:hAnsi="Segoe UI" w:cs="Segoe UI"/>
                                <w:color w:val="FFFFFF" w:themeColor="background1"/>
                              </w:rPr>
                              <w:t xml:space="preserve">e 2019 </w:t>
                            </w:r>
                          </w:p>
                          <w:p w:rsidR="00354762" w:rsidRPr="00492C67" w:rsidRDefault="00354762" w:rsidP="004432FE">
                            <w:pPr>
                              <w:rPr>
                                <w:rFonts w:ascii="Segoe UI Historic" w:hAnsi="Segoe UI Historic" w:cs="Segoe UI Historic"/>
                                <w:color w:val="FFFFFF" w:themeColor="background1"/>
                                <w:sz w:val="24"/>
                                <w:szCs w:val="24"/>
                              </w:rPr>
                            </w:pPr>
                          </w:p>
                        </w:txbxContent>
                      </wps:txbx>
                      <wps:bodyPr rot="0" vert="horz" wrap="square" lIns="91440" tIns="45720" rIns="91440" bIns="45720" anchor="t" anchorCtr="0">
                        <a:noAutofit/>
                      </wps:bodyPr>
                    </wps:wsp>
                  </a:graphicData>
                </a:graphic>
              </wp:inline>
            </w:drawing>
          </mc:Choice>
          <mc:Fallback>
            <w:pict>
              <v:shapetype w14:anchorId="6D0FAD4F" id="_x0000_t202" coordsize="21600,21600" o:spt="202" path="m,l,21600r21600,l21600,xe">
                <v:stroke joinstyle="miter"/>
                <v:path gradientshapeok="t" o:connecttype="rect"/>
              </v:shapetype>
              <v:shape id="Zone de texte 2" o:spid="_x0000_s1026" type="#_x0000_t202" style="width:470.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" fillcolor="#006ce5" stroked="f">
                <v:textbox>
                  <w:txbxContent>
                    <w:p w:rsidR="00354762" w:rsidRPr="00130AB8" w:rsidRDefault="00354762" w:rsidP="004432FE">
                      <w:pPr>
                        <w:rPr>
                          <w:rFonts w:ascii="Segoe UI" w:hAnsi="Segoe UI" w:cs="Segoe UI"/>
                          <w:color w:val="000091"/>
                        </w:rPr>
                      </w:pPr>
                      <w:r w:rsidRPr="00130AB8">
                        <w:rPr>
                          <w:rFonts w:ascii="Segoe UI" w:hAnsi="Segoe UI" w:cs="Segoe UI"/>
                          <w:color w:val="FFFFFF" w:themeColor="background1"/>
                        </w:rPr>
                        <w:t xml:space="preserve">Les exportations françaises progressent </w:t>
                      </w:r>
                      <w:r>
                        <w:rPr>
                          <w:rFonts w:ascii="Segoe UI" w:hAnsi="Segoe UI" w:cs="Segoe UI"/>
                          <w:color w:val="FFFFFF" w:themeColor="background1"/>
                        </w:rPr>
                        <w:t>en</w:t>
                      </w:r>
                      <w:r w:rsidRPr="00130AB8">
                        <w:rPr>
                          <w:rFonts w:ascii="Segoe UI" w:hAnsi="Segoe UI" w:cs="Segoe UI"/>
                          <w:color w:val="FFFFFF" w:themeColor="background1"/>
                        </w:rPr>
                        <w:t xml:space="preserve"> 2021 et dépassent le</w:t>
                      </w:r>
                      <w:r w:rsidR="00EA638B">
                        <w:rPr>
                          <w:rFonts w:ascii="Segoe UI" w:hAnsi="Segoe UI" w:cs="Segoe UI"/>
                          <w:color w:val="FFFFFF" w:themeColor="background1"/>
                        </w:rPr>
                        <w:t>ur</w:t>
                      </w:r>
                      <w:r w:rsidRPr="00130AB8">
                        <w:rPr>
                          <w:rFonts w:ascii="Segoe UI" w:hAnsi="Segoe UI" w:cs="Segoe UI"/>
                          <w:color w:val="FFFFFF" w:themeColor="background1"/>
                        </w:rPr>
                        <w:t xml:space="preserve"> montant</w:t>
                      </w:r>
                      <w:r w:rsidR="00EA638B">
                        <w:rPr>
                          <w:rFonts w:ascii="Segoe UI" w:hAnsi="Segoe UI" w:cs="Segoe UI"/>
                          <w:color w:val="FFFFFF" w:themeColor="background1"/>
                        </w:rPr>
                        <w:t xml:space="preserve"> d</w:t>
                      </w:r>
                      <w:r w:rsidRPr="00130AB8">
                        <w:rPr>
                          <w:rFonts w:ascii="Segoe UI" w:hAnsi="Segoe UI" w:cs="Segoe UI"/>
                          <w:color w:val="FFFFFF" w:themeColor="background1"/>
                        </w:rPr>
                        <w:t xml:space="preserve">e 2019 </w:t>
                      </w:r>
                    </w:p>
                    <w:p w:rsidR="00354762" w:rsidRPr="00492C67" w:rsidRDefault="00354762" w:rsidP="004432FE">
                      <w:pPr>
                        <w:rPr>
                          <w:rFonts w:ascii="Segoe UI Historic" w:hAnsi="Segoe UI Historic" w:cs="Segoe UI Historic"/>
                          <w:color w:val="FFFFFF" w:themeColor="background1"/>
                          <w:sz w:val="24"/>
                          <w:szCs w:val="24"/>
                        </w:rPr>
                      </w:pPr>
                    </w:p>
                  </w:txbxContent>
                </v:textbox>
                <w10:anchorlock/>
              </v:shape>
            </w:pict>
          </mc:Fallback>
        </mc:AlternateContent>
      </w:r>
      <w:r w:rsidRPr="005C5173">
        <w:rPr>
          <w:rFonts w:ascii="Segoe UI" w:eastAsia="Times New Roman" w:hAnsi="Segoe UI" w:cs="Segoe UI"/>
          <w:color w:val="000091"/>
          <w:lang w:eastAsia="fr-FR"/>
        </w:rPr>
        <w:t xml:space="preserve"> </w:t>
      </w:r>
    </w:p>
    <w:p w:rsidR="00BE514D" w:rsidRDefault="00F3736D" w:rsidP="00846149">
      <w:pPr>
        <w:jc w:val="both"/>
        <w:rPr>
          <w:rFonts w:ascii="Segoe UI" w:eastAsia="SimSun" w:hAnsi="Segoe UI" w:cs="Segoe UI"/>
          <w:color w:val="000000" w:themeColor="text1"/>
          <w:sz w:val="20"/>
          <w:lang w:eastAsia="ja-JP"/>
        </w:rPr>
      </w:pPr>
      <w:r>
        <w:rPr>
          <w:rFonts w:ascii="Segoe UI" w:eastAsia="SimSun" w:hAnsi="Segoe UI" w:cs="Segoe UI"/>
          <w:b/>
          <w:color w:val="000000" w:themeColor="text1"/>
          <w:sz w:val="20"/>
          <w:lang w:eastAsia="ja-JP"/>
        </w:rPr>
        <w:t xml:space="preserve">En </w:t>
      </w:r>
      <w:r w:rsidR="009B75FC">
        <w:rPr>
          <w:rFonts w:ascii="Segoe UI" w:eastAsia="SimSun" w:hAnsi="Segoe UI" w:cs="Segoe UI"/>
          <w:b/>
          <w:color w:val="000000" w:themeColor="text1"/>
          <w:sz w:val="20"/>
          <w:lang w:eastAsia="ja-JP"/>
        </w:rPr>
        <w:t xml:space="preserve">2021, </w:t>
      </w:r>
      <w:r w:rsidR="003D3480">
        <w:rPr>
          <w:rFonts w:ascii="Segoe UI" w:eastAsia="SimSun" w:hAnsi="Segoe UI" w:cs="Segoe UI"/>
          <w:b/>
          <w:color w:val="000000" w:themeColor="text1"/>
          <w:sz w:val="20"/>
          <w:lang w:eastAsia="ja-JP"/>
        </w:rPr>
        <w:t>l</w:t>
      </w:r>
      <w:r w:rsidR="00F71E82" w:rsidRPr="00B854D6">
        <w:rPr>
          <w:rFonts w:ascii="Segoe UI" w:eastAsia="SimSun" w:hAnsi="Segoe UI" w:cs="Segoe UI"/>
          <w:b/>
          <w:color w:val="000000" w:themeColor="text1"/>
          <w:sz w:val="20"/>
          <w:lang w:eastAsia="ja-JP"/>
        </w:rPr>
        <w:t>es expor</w:t>
      </w:r>
      <w:r w:rsidR="003D3480">
        <w:rPr>
          <w:rFonts w:ascii="Segoe UI" w:eastAsia="SimSun" w:hAnsi="Segoe UI" w:cs="Segoe UI"/>
          <w:b/>
          <w:color w:val="000000" w:themeColor="text1"/>
          <w:sz w:val="20"/>
          <w:lang w:eastAsia="ja-JP"/>
        </w:rPr>
        <w:t xml:space="preserve">tations françaises </w:t>
      </w:r>
      <w:r w:rsidR="00C35B85">
        <w:rPr>
          <w:rFonts w:ascii="Segoe UI" w:eastAsia="SimSun" w:hAnsi="Segoe UI" w:cs="Segoe UI"/>
          <w:b/>
          <w:color w:val="000000" w:themeColor="text1"/>
          <w:sz w:val="20"/>
          <w:lang w:eastAsia="ja-JP"/>
        </w:rPr>
        <w:t>progresse</w:t>
      </w:r>
      <w:r w:rsidR="00BE514D">
        <w:rPr>
          <w:rFonts w:ascii="Segoe UI" w:eastAsia="SimSun" w:hAnsi="Segoe UI" w:cs="Segoe UI"/>
          <w:b/>
          <w:color w:val="000000" w:themeColor="text1"/>
          <w:sz w:val="20"/>
          <w:lang w:eastAsia="ja-JP"/>
        </w:rPr>
        <w:t>nt</w:t>
      </w:r>
      <w:r w:rsidR="00C35B85">
        <w:rPr>
          <w:rFonts w:ascii="Segoe UI" w:eastAsia="SimSun" w:hAnsi="Segoe UI" w:cs="Segoe UI"/>
          <w:b/>
          <w:color w:val="000000" w:themeColor="text1"/>
          <w:sz w:val="20"/>
          <w:lang w:eastAsia="ja-JP"/>
        </w:rPr>
        <w:t xml:space="preserve"> </w:t>
      </w:r>
      <w:r w:rsidR="00C35B85" w:rsidRPr="00C35B85">
        <w:rPr>
          <w:rFonts w:ascii="Segoe UI" w:eastAsia="SimSun" w:hAnsi="Segoe UI" w:cs="Segoe UI"/>
          <w:b/>
          <w:color w:val="000000" w:themeColor="text1"/>
          <w:sz w:val="20"/>
          <w:lang w:eastAsia="ja-JP"/>
        </w:rPr>
        <w:t xml:space="preserve">de </w:t>
      </w:r>
      <w:r w:rsidR="00AA2278">
        <w:rPr>
          <w:rFonts w:ascii="Segoe UI" w:eastAsia="SimSun" w:hAnsi="Segoe UI" w:cs="Segoe UI"/>
          <w:b/>
          <w:color w:val="000000" w:themeColor="text1"/>
          <w:sz w:val="20"/>
          <w:lang w:eastAsia="ja-JP"/>
        </w:rPr>
        <w:t>9,3</w:t>
      </w:r>
      <w:r w:rsidR="00C35B85" w:rsidRPr="00C35B85">
        <w:rPr>
          <w:rFonts w:ascii="Segoe UI" w:eastAsia="SimSun" w:hAnsi="Segoe UI" w:cs="Segoe UI"/>
          <w:b/>
          <w:color w:val="000000" w:themeColor="text1"/>
          <w:sz w:val="20"/>
          <w:lang w:eastAsia="ja-JP"/>
        </w:rPr>
        <w:t xml:space="preserve">% à </w:t>
      </w:r>
      <w:r w:rsidR="00AA2278">
        <w:rPr>
          <w:rFonts w:ascii="Segoe UI" w:eastAsia="SimSun" w:hAnsi="Segoe UI" w:cs="Segoe UI"/>
          <w:b/>
          <w:color w:val="000000" w:themeColor="text1"/>
          <w:sz w:val="20"/>
          <w:lang w:eastAsia="ja-JP"/>
        </w:rPr>
        <w:t>1,86</w:t>
      </w:r>
      <w:r w:rsidR="00C35B85" w:rsidRPr="00C35B85">
        <w:rPr>
          <w:rFonts w:ascii="Segoe UI" w:eastAsia="SimSun" w:hAnsi="Segoe UI" w:cs="Segoe UI"/>
          <w:b/>
          <w:color w:val="000000" w:themeColor="text1"/>
          <w:sz w:val="20"/>
          <w:lang w:eastAsia="ja-JP"/>
        </w:rPr>
        <w:t xml:space="preserve"> M</w:t>
      </w:r>
      <w:r w:rsidR="00FD2C29">
        <w:rPr>
          <w:rFonts w:ascii="Segoe UI" w:eastAsia="SimSun" w:hAnsi="Segoe UI" w:cs="Segoe UI"/>
          <w:b/>
          <w:color w:val="000000" w:themeColor="text1"/>
          <w:sz w:val="20"/>
          <w:lang w:eastAsia="ja-JP"/>
        </w:rPr>
        <w:t>d</w:t>
      </w:r>
      <w:r w:rsidR="00C35B85" w:rsidRPr="00C35B85">
        <w:rPr>
          <w:rFonts w:ascii="Segoe UI" w:eastAsia="SimSun" w:hAnsi="Segoe UI" w:cs="Segoe UI"/>
          <w:b/>
          <w:color w:val="000000" w:themeColor="text1"/>
          <w:sz w:val="20"/>
          <w:lang w:eastAsia="ja-JP"/>
        </w:rPr>
        <w:t xml:space="preserve"> EUR</w:t>
      </w:r>
      <w:r w:rsidR="00097F69">
        <w:rPr>
          <w:rFonts w:ascii="Segoe UI" w:eastAsia="SimSun" w:hAnsi="Segoe UI" w:cs="Segoe UI"/>
          <w:b/>
          <w:color w:val="000000" w:themeColor="text1"/>
          <w:sz w:val="20"/>
          <w:lang w:eastAsia="ja-JP"/>
        </w:rPr>
        <w:t xml:space="preserve"> </w:t>
      </w:r>
      <w:r w:rsidR="003D3480">
        <w:rPr>
          <w:rFonts w:ascii="Segoe UI" w:eastAsia="SimSun" w:hAnsi="Segoe UI" w:cs="Segoe UI"/>
          <w:b/>
          <w:color w:val="000000" w:themeColor="text1"/>
          <w:sz w:val="20"/>
          <w:lang w:eastAsia="ja-JP"/>
        </w:rPr>
        <w:t>bénéfici</w:t>
      </w:r>
      <w:r w:rsidR="00C35B85">
        <w:rPr>
          <w:rFonts w:ascii="Segoe UI" w:eastAsia="SimSun" w:hAnsi="Segoe UI" w:cs="Segoe UI"/>
          <w:b/>
          <w:color w:val="000000" w:themeColor="text1"/>
          <w:sz w:val="20"/>
          <w:lang w:eastAsia="ja-JP"/>
        </w:rPr>
        <w:t>a</w:t>
      </w:r>
      <w:r w:rsidR="003D3480">
        <w:rPr>
          <w:rFonts w:ascii="Segoe UI" w:eastAsia="SimSun" w:hAnsi="Segoe UI" w:cs="Segoe UI"/>
          <w:b/>
          <w:color w:val="000000" w:themeColor="text1"/>
          <w:sz w:val="20"/>
          <w:lang w:eastAsia="ja-JP"/>
        </w:rPr>
        <w:t xml:space="preserve">nt </w:t>
      </w:r>
      <w:r w:rsidR="0085325C">
        <w:rPr>
          <w:rFonts w:ascii="Segoe UI" w:eastAsia="SimSun" w:hAnsi="Segoe UI" w:cs="Segoe UI"/>
          <w:b/>
          <w:color w:val="000000" w:themeColor="text1"/>
          <w:sz w:val="20"/>
          <w:lang w:eastAsia="ja-JP"/>
        </w:rPr>
        <w:t>d</w:t>
      </w:r>
      <w:r w:rsidR="00F71E82" w:rsidRPr="00B854D6">
        <w:rPr>
          <w:rFonts w:ascii="Segoe UI" w:eastAsia="SimSun" w:hAnsi="Segoe UI" w:cs="Segoe UI"/>
          <w:b/>
          <w:color w:val="000000" w:themeColor="text1"/>
          <w:sz w:val="20"/>
          <w:lang w:eastAsia="ja-JP"/>
        </w:rPr>
        <w:t>e l</w:t>
      </w:r>
      <w:r w:rsidR="00C35B85">
        <w:rPr>
          <w:rFonts w:ascii="Segoe UI" w:eastAsia="SimSun" w:hAnsi="Segoe UI" w:cs="Segoe UI"/>
          <w:b/>
          <w:color w:val="000000" w:themeColor="text1"/>
          <w:sz w:val="20"/>
          <w:lang w:eastAsia="ja-JP"/>
        </w:rPr>
        <w:t xml:space="preserve">a croissance </w:t>
      </w:r>
      <w:r w:rsidR="00F71E82" w:rsidRPr="00B854D6">
        <w:rPr>
          <w:rFonts w:ascii="Segoe UI" w:eastAsia="SimSun" w:hAnsi="Segoe UI" w:cs="Segoe UI"/>
          <w:b/>
          <w:color w:val="000000" w:themeColor="text1"/>
          <w:sz w:val="20"/>
          <w:lang w:eastAsia="ja-JP"/>
        </w:rPr>
        <w:t xml:space="preserve">taïwanaise </w:t>
      </w:r>
      <w:r w:rsidR="00C35B85">
        <w:rPr>
          <w:rFonts w:ascii="Segoe UI" w:eastAsia="SimSun" w:hAnsi="Segoe UI" w:cs="Segoe UI"/>
          <w:b/>
          <w:color w:val="000000" w:themeColor="text1"/>
          <w:sz w:val="20"/>
          <w:lang w:eastAsia="ja-JP"/>
        </w:rPr>
        <w:t xml:space="preserve">qui </w:t>
      </w:r>
      <w:r w:rsidR="00B854D6" w:rsidRPr="00B854D6">
        <w:rPr>
          <w:rFonts w:ascii="Segoe UI" w:eastAsia="SimSun" w:hAnsi="Segoe UI" w:cs="Segoe UI"/>
          <w:b/>
          <w:color w:val="000000" w:themeColor="text1"/>
          <w:sz w:val="20"/>
          <w:lang w:eastAsia="ja-JP"/>
        </w:rPr>
        <w:t xml:space="preserve">atteint </w:t>
      </w:r>
      <w:r w:rsidR="00AA2278">
        <w:rPr>
          <w:rFonts w:ascii="Segoe UI" w:eastAsia="SimSun" w:hAnsi="Segoe UI" w:cs="Segoe UI"/>
          <w:b/>
          <w:color w:val="000000" w:themeColor="text1"/>
          <w:sz w:val="20"/>
          <w:lang w:eastAsia="ja-JP"/>
        </w:rPr>
        <w:t>6,</w:t>
      </w:r>
      <w:r>
        <w:rPr>
          <w:rFonts w:ascii="Segoe UI" w:eastAsia="SimSun" w:hAnsi="Segoe UI" w:cs="Segoe UI"/>
          <w:b/>
          <w:color w:val="000000" w:themeColor="text1"/>
          <w:sz w:val="20"/>
          <w:lang w:eastAsia="ja-JP"/>
        </w:rPr>
        <w:t>45</w:t>
      </w:r>
      <w:r w:rsidR="00BE514D" w:rsidRPr="00BE514D">
        <w:rPr>
          <w:rFonts w:ascii="Segoe UI" w:eastAsia="SimSun" w:hAnsi="Segoe UI" w:cs="Segoe UI"/>
          <w:b/>
          <w:color w:val="000000" w:themeColor="text1"/>
          <w:sz w:val="20"/>
          <w:lang w:eastAsia="ja-JP"/>
        </w:rPr>
        <w:t>% (9,2</w:t>
      </w:r>
      <w:r w:rsidR="0068470F">
        <w:rPr>
          <w:rFonts w:ascii="Segoe UI" w:eastAsia="SimSun" w:hAnsi="Segoe UI" w:cs="Segoe UI"/>
          <w:b/>
          <w:color w:val="000000" w:themeColor="text1"/>
          <w:sz w:val="20"/>
          <w:lang w:eastAsia="ja-JP"/>
        </w:rPr>
        <w:t>0</w:t>
      </w:r>
      <w:r w:rsidR="00BE514D" w:rsidRPr="00BE514D">
        <w:rPr>
          <w:rFonts w:ascii="Segoe UI" w:eastAsia="SimSun" w:hAnsi="Segoe UI" w:cs="Segoe UI"/>
          <w:b/>
          <w:color w:val="000000" w:themeColor="text1"/>
          <w:sz w:val="20"/>
          <w:lang w:eastAsia="ja-JP"/>
        </w:rPr>
        <w:t>% au T1</w:t>
      </w:r>
      <w:r w:rsidR="001D7D91">
        <w:rPr>
          <w:rFonts w:ascii="Segoe UI" w:eastAsia="SimSun" w:hAnsi="Segoe UI" w:cs="Segoe UI"/>
          <w:b/>
          <w:color w:val="000000" w:themeColor="text1"/>
          <w:sz w:val="20"/>
          <w:lang w:eastAsia="ja-JP"/>
        </w:rPr>
        <w:t>,</w:t>
      </w:r>
      <w:r w:rsidR="00BE514D" w:rsidRPr="00BE514D">
        <w:rPr>
          <w:rFonts w:ascii="Segoe UI" w:eastAsia="SimSun" w:hAnsi="Segoe UI" w:cs="Segoe UI"/>
          <w:b/>
          <w:color w:val="000000" w:themeColor="text1"/>
          <w:sz w:val="20"/>
          <w:lang w:eastAsia="ja-JP"/>
        </w:rPr>
        <w:t xml:space="preserve"> 7,</w:t>
      </w:r>
      <w:r w:rsidR="0068470F">
        <w:rPr>
          <w:rFonts w:ascii="Segoe UI" w:eastAsia="SimSun" w:hAnsi="Segoe UI" w:cs="Segoe UI"/>
          <w:b/>
          <w:color w:val="000000" w:themeColor="text1"/>
          <w:sz w:val="20"/>
          <w:lang w:eastAsia="ja-JP"/>
        </w:rPr>
        <w:t>76</w:t>
      </w:r>
      <w:r w:rsidR="00BE514D" w:rsidRPr="00BE514D">
        <w:rPr>
          <w:rFonts w:ascii="Segoe UI" w:eastAsia="SimSun" w:hAnsi="Segoe UI" w:cs="Segoe UI"/>
          <w:b/>
          <w:color w:val="000000" w:themeColor="text1"/>
          <w:sz w:val="20"/>
          <w:lang w:eastAsia="ja-JP"/>
        </w:rPr>
        <w:t>% au T2</w:t>
      </w:r>
      <w:r w:rsidR="0068470F">
        <w:rPr>
          <w:rFonts w:ascii="Segoe UI" w:eastAsia="SimSun" w:hAnsi="Segoe UI" w:cs="Segoe UI"/>
          <w:b/>
          <w:color w:val="000000" w:themeColor="text1"/>
          <w:sz w:val="20"/>
          <w:lang w:eastAsia="ja-JP"/>
        </w:rPr>
        <w:t>,</w:t>
      </w:r>
      <w:r w:rsidR="001D7D91">
        <w:rPr>
          <w:rFonts w:ascii="Segoe UI" w:eastAsia="SimSun" w:hAnsi="Segoe UI" w:cs="Segoe UI"/>
          <w:b/>
          <w:color w:val="000000" w:themeColor="text1"/>
          <w:sz w:val="20"/>
          <w:lang w:eastAsia="ja-JP"/>
        </w:rPr>
        <w:t xml:space="preserve"> </w:t>
      </w:r>
      <w:r w:rsidR="00D61E84">
        <w:rPr>
          <w:rFonts w:ascii="Segoe UI" w:eastAsia="SimSun" w:hAnsi="Segoe UI" w:cs="Segoe UI"/>
          <w:b/>
          <w:color w:val="000000" w:themeColor="text1"/>
          <w:sz w:val="20"/>
          <w:lang w:eastAsia="ja-JP"/>
        </w:rPr>
        <w:t>4,37</w:t>
      </w:r>
      <w:r w:rsidR="001D7D91">
        <w:rPr>
          <w:rFonts w:ascii="Segoe UI" w:eastAsia="SimSun" w:hAnsi="Segoe UI" w:cs="Segoe UI"/>
          <w:b/>
          <w:color w:val="000000" w:themeColor="text1"/>
          <w:sz w:val="20"/>
          <w:lang w:eastAsia="ja-JP"/>
        </w:rPr>
        <w:t>% au T3</w:t>
      </w:r>
      <w:r w:rsidR="0068470F">
        <w:rPr>
          <w:rFonts w:ascii="Segoe UI" w:eastAsia="SimSun" w:hAnsi="Segoe UI" w:cs="Segoe UI"/>
          <w:b/>
          <w:color w:val="000000" w:themeColor="text1"/>
          <w:sz w:val="20"/>
          <w:lang w:eastAsia="ja-JP"/>
        </w:rPr>
        <w:t xml:space="preserve"> et </w:t>
      </w:r>
      <w:r w:rsidR="00D61E84">
        <w:rPr>
          <w:rFonts w:ascii="Segoe UI" w:eastAsia="SimSun" w:hAnsi="Segoe UI" w:cs="Segoe UI"/>
          <w:b/>
          <w:color w:val="000000" w:themeColor="text1"/>
          <w:sz w:val="20"/>
          <w:lang w:eastAsia="ja-JP"/>
        </w:rPr>
        <w:t>4,86</w:t>
      </w:r>
      <w:r w:rsidR="0068470F">
        <w:rPr>
          <w:rFonts w:ascii="Segoe UI" w:eastAsia="SimSun" w:hAnsi="Segoe UI" w:cs="Segoe UI"/>
          <w:b/>
          <w:color w:val="000000" w:themeColor="text1"/>
          <w:sz w:val="20"/>
          <w:lang w:eastAsia="ja-JP"/>
        </w:rPr>
        <w:t>% au T4</w:t>
      </w:r>
      <w:r w:rsidR="00BE514D" w:rsidRPr="00BE514D">
        <w:rPr>
          <w:rFonts w:ascii="Segoe UI" w:eastAsia="SimSun" w:hAnsi="Segoe UI" w:cs="Segoe UI"/>
          <w:b/>
          <w:color w:val="000000" w:themeColor="text1"/>
          <w:sz w:val="20"/>
          <w:lang w:eastAsia="ja-JP"/>
        </w:rPr>
        <w:t>)</w:t>
      </w:r>
      <w:r w:rsidR="00924F06">
        <w:rPr>
          <w:rFonts w:ascii="Segoe UI" w:eastAsia="SimSun" w:hAnsi="Segoe UI" w:cs="Segoe UI"/>
          <w:b/>
          <w:color w:val="000000" w:themeColor="text1"/>
          <w:sz w:val="20"/>
          <w:lang w:eastAsia="ja-JP"/>
        </w:rPr>
        <w:t xml:space="preserve">. </w:t>
      </w:r>
      <w:r w:rsidR="00924F06" w:rsidRPr="00FD2C29">
        <w:rPr>
          <w:rFonts w:ascii="Segoe UI" w:eastAsia="SimSun" w:hAnsi="Segoe UI" w:cs="Segoe UI"/>
          <w:color w:val="000000" w:themeColor="text1"/>
          <w:sz w:val="20"/>
          <w:u w:val="single"/>
          <w:lang w:eastAsia="ja-JP"/>
        </w:rPr>
        <w:t xml:space="preserve">Elles </w:t>
      </w:r>
      <w:r w:rsidR="00DF7B27" w:rsidRPr="00FD2C29">
        <w:rPr>
          <w:rFonts w:ascii="Segoe UI" w:eastAsia="SimSun" w:hAnsi="Segoe UI" w:cs="Segoe UI"/>
          <w:color w:val="000000" w:themeColor="text1"/>
          <w:sz w:val="20"/>
          <w:u w:val="single"/>
          <w:lang w:eastAsia="ja-JP"/>
        </w:rPr>
        <w:t>s’établissent à</w:t>
      </w:r>
      <w:r w:rsidR="00924F06" w:rsidRPr="00FD2C29">
        <w:rPr>
          <w:rFonts w:ascii="Segoe UI" w:eastAsia="SimSun" w:hAnsi="Segoe UI" w:cs="Segoe UI"/>
          <w:color w:val="000000" w:themeColor="text1"/>
          <w:sz w:val="20"/>
          <w:u w:val="single"/>
          <w:lang w:eastAsia="ja-JP"/>
        </w:rPr>
        <w:t xml:space="preserve"> </w:t>
      </w:r>
      <w:r w:rsidR="009B75FC" w:rsidRPr="00FD2C29">
        <w:rPr>
          <w:rFonts w:ascii="Segoe UI" w:eastAsia="SimSun" w:hAnsi="Segoe UI" w:cs="Segoe UI"/>
          <w:color w:val="000000" w:themeColor="text1"/>
          <w:sz w:val="20"/>
          <w:u w:val="single"/>
          <w:lang w:eastAsia="ja-JP"/>
        </w:rPr>
        <w:t>un niveau supérieur à celle</w:t>
      </w:r>
      <w:r w:rsidR="00924F06" w:rsidRPr="00FD2C29">
        <w:rPr>
          <w:rFonts w:ascii="Segoe UI" w:eastAsia="SimSun" w:hAnsi="Segoe UI" w:cs="Segoe UI"/>
          <w:color w:val="000000" w:themeColor="text1"/>
          <w:sz w:val="20"/>
          <w:u w:val="single"/>
          <w:lang w:eastAsia="ja-JP"/>
        </w:rPr>
        <w:t>s</w:t>
      </w:r>
      <w:r w:rsidR="009B75FC" w:rsidRPr="00FD2C29">
        <w:rPr>
          <w:rFonts w:ascii="Segoe UI" w:eastAsia="SimSun" w:hAnsi="Segoe UI" w:cs="Segoe UI"/>
          <w:color w:val="000000" w:themeColor="text1"/>
          <w:sz w:val="20"/>
          <w:u w:val="single"/>
          <w:lang w:eastAsia="ja-JP"/>
        </w:rPr>
        <w:t xml:space="preserve">  de 2019</w:t>
      </w:r>
      <w:r w:rsidR="009B75FC" w:rsidRPr="00924F06">
        <w:rPr>
          <w:rFonts w:ascii="Segoe UI" w:eastAsia="SimSun" w:hAnsi="Segoe UI" w:cs="Segoe UI"/>
          <w:color w:val="000000" w:themeColor="text1"/>
          <w:sz w:val="20"/>
          <w:lang w:eastAsia="ja-JP"/>
        </w:rPr>
        <w:t xml:space="preserve"> (</w:t>
      </w:r>
      <w:r w:rsidR="0068470F">
        <w:rPr>
          <w:rFonts w:ascii="Segoe UI" w:eastAsia="SimSun" w:hAnsi="Segoe UI" w:cs="Segoe UI"/>
          <w:color w:val="000000" w:themeColor="text1"/>
          <w:sz w:val="20"/>
          <w:lang w:eastAsia="ja-JP"/>
        </w:rPr>
        <w:t>1,75</w:t>
      </w:r>
      <w:r w:rsidR="001D7D91">
        <w:rPr>
          <w:rFonts w:ascii="Segoe UI" w:eastAsia="SimSun" w:hAnsi="Segoe UI" w:cs="Segoe UI"/>
          <w:color w:val="000000" w:themeColor="text1"/>
          <w:sz w:val="20"/>
          <w:lang w:eastAsia="ja-JP"/>
        </w:rPr>
        <w:t xml:space="preserve"> Md</w:t>
      </w:r>
      <w:r w:rsidR="009B75FC" w:rsidRPr="00924F06">
        <w:rPr>
          <w:rFonts w:ascii="Segoe UI" w:eastAsia="SimSun" w:hAnsi="Segoe UI" w:cs="Segoe UI"/>
          <w:color w:val="000000" w:themeColor="text1"/>
          <w:sz w:val="20"/>
          <w:lang w:eastAsia="ja-JP"/>
        </w:rPr>
        <w:t xml:space="preserve"> EUR)</w:t>
      </w:r>
      <w:r w:rsidR="00924F06">
        <w:rPr>
          <w:rFonts w:ascii="Segoe UI" w:eastAsia="SimSun" w:hAnsi="Segoe UI" w:cs="Segoe UI"/>
          <w:color w:val="000000" w:themeColor="text1"/>
          <w:sz w:val="20"/>
          <w:lang w:eastAsia="ja-JP"/>
        </w:rPr>
        <w:t xml:space="preserve"> qui avai</w:t>
      </w:r>
      <w:r w:rsidR="00DF7B27">
        <w:rPr>
          <w:rFonts w:ascii="Segoe UI" w:eastAsia="SimSun" w:hAnsi="Segoe UI" w:cs="Segoe UI"/>
          <w:color w:val="000000" w:themeColor="text1"/>
          <w:sz w:val="20"/>
          <w:lang w:eastAsia="ja-JP"/>
        </w:rPr>
        <w:t>en</w:t>
      </w:r>
      <w:r w:rsidR="00924F06">
        <w:rPr>
          <w:rFonts w:ascii="Segoe UI" w:eastAsia="SimSun" w:hAnsi="Segoe UI" w:cs="Segoe UI"/>
          <w:color w:val="000000" w:themeColor="text1"/>
          <w:sz w:val="20"/>
          <w:lang w:eastAsia="ja-JP"/>
        </w:rPr>
        <w:t xml:space="preserve">t </w:t>
      </w:r>
      <w:r w:rsidR="00DF7B27">
        <w:rPr>
          <w:rFonts w:ascii="Segoe UI" w:eastAsia="SimSun" w:hAnsi="Segoe UI" w:cs="Segoe UI"/>
          <w:color w:val="000000" w:themeColor="text1"/>
          <w:sz w:val="20"/>
          <w:lang w:eastAsia="ja-JP"/>
        </w:rPr>
        <w:t xml:space="preserve">enregistré </w:t>
      </w:r>
      <w:r w:rsidR="00924F06">
        <w:rPr>
          <w:rFonts w:ascii="Segoe UI" w:eastAsia="SimSun" w:hAnsi="Segoe UI" w:cs="Segoe UI"/>
          <w:color w:val="000000" w:themeColor="text1"/>
          <w:sz w:val="20"/>
          <w:lang w:eastAsia="ja-JP"/>
        </w:rPr>
        <w:t xml:space="preserve">une baisse de </w:t>
      </w:r>
      <w:r w:rsidR="001D7D91">
        <w:rPr>
          <w:rFonts w:ascii="Segoe UI" w:eastAsia="SimSun" w:hAnsi="Segoe UI" w:cs="Segoe UI"/>
          <w:color w:val="000000" w:themeColor="text1"/>
          <w:sz w:val="20"/>
          <w:lang w:eastAsia="ja-JP"/>
        </w:rPr>
        <w:t>20</w:t>
      </w:r>
      <w:r w:rsidR="00924F06">
        <w:rPr>
          <w:rFonts w:ascii="Segoe UI" w:eastAsia="SimSun" w:hAnsi="Segoe UI" w:cs="Segoe UI"/>
          <w:color w:val="000000" w:themeColor="text1"/>
          <w:sz w:val="20"/>
          <w:lang w:eastAsia="ja-JP"/>
        </w:rPr>
        <w:t xml:space="preserve">% en raison </w:t>
      </w:r>
      <w:r w:rsidR="00CB3467">
        <w:rPr>
          <w:rFonts w:ascii="Segoe UI" w:eastAsia="SimSun" w:hAnsi="Segoe UI" w:cs="Segoe UI"/>
          <w:color w:val="000000" w:themeColor="text1"/>
          <w:sz w:val="20"/>
          <w:lang w:eastAsia="ja-JP"/>
        </w:rPr>
        <w:t xml:space="preserve"> </w:t>
      </w:r>
      <w:r w:rsidR="00924F06">
        <w:rPr>
          <w:rFonts w:ascii="Segoe UI" w:eastAsia="SimSun" w:hAnsi="Segoe UI" w:cs="Segoe UI"/>
          <w:color w:val="000000" w:themeColor="text1"/>
          <w:sz w:val="20"/>
          <w:lang w:eastAsia="ja-JP"/>
        </w:rPr>
        <w:t>de la chute des exportations de matériel de transport (-</w:t>
      </w:r>
      <w:r w:rsidR="00067177">
        <w:rPr>
          <w:rFonts w:ascii="Segoe UI" w:eastAsia="SimSun" w:hAnsi="Segoe UI" w:cs="Segoe UI"/>
          <w:color w:val="000000" w:themeColor="text1"/>
          <w:sz w:val="20"/>
          <w:lang w:eastAsia="ja-JP"/>
        </w:rPr>
        <w:t>7</w:t>
      </w:r>
      <w:r w:rsidR="0068470F">
        <w:rPr>
          <w:rFonts w:ascii="Segoe UI" w:eastAsia="SimSun" w:hAnsi="Segoe UI" w:cs="Segoe UI"/>
          <w:color w:val="000000" w:themeColor="text1"/>
          <w:sz w:val="20"/>
          <w:lang w:eastAsia="ja-JP"/>
        </w:rPr>
        <w:t>5</w:t>
      </w:r>
      <w:r w:rsidR="00924F06">
        <w:rPr>
          <w:rFonts w:ascii="Segoe UI" w:eastAsia="SimSun" w:hAnsi="Segoe UI" w:cs="Segoe UI"/>
          <w:color w:val="000000" w:themeColor="text1"/>
          <w:sz w:val="20"/>
          <w:lang w:eastAsia="ja-JP"/>
        </w:rPr>
        <w:t>%)</w:t>
      </w:r>
      <w:r w:rsidR="00B854D6" w:rsidRPr="00924F06">
        <w:rPr>
          <w:rFonts w:ascii="Segoe UI" w:eastAsia="SimSun" w:hAnsi="Segoe UI" w:cs="Segoe UI"/>
          <w:color w:val="000000" w:themeColor="text1"/>
          <w:sz w:val="20"/>
          <w:lang w:eastAsia="ja-JP"/>
        </w:rPr>
        <w:t>.</w:t>
      </w:r>
      <w:r w:rsidR="00CB3467">
        <w:rPr>
          <w:rFonts w:ascii="Segoe UI" w:eastAsia="SimSun" w:hAnsi="Segoe UI" w:cs="Segoe UI"/>
          <w:color w:val="000000" w:themeColor="text1"/>
          <w:sz w:val="20"/>
          <w:lang w:eastAsia="ja-JP"/>
        </w:rPr>
        <w:t xml:space="preserve"> </w:t>
      </w:r>
      <w:r w:rsidR="00ED621D">
        <w:rPr>
          <w:rFonts w:ascii="Segoe UI" w:eastAsia="SimSun" w:hAnsi="Segoe UI" w:cs="Segoe UI"/>
          <w:color w:val="000000" w:themeColor="text1"/>
          <w:sz w:val="20"/>
          <w:lang w:eastAsia="ja-JP"/>
        </w:rPr>
        <w:t>Les exportations de matériel de transport augmentent</w:t>
      </w:r>
      <w:r w:rsidR="00067177">
        <w:rPr>
          <w:rFonts w:ascii="Segoe UI" w:eastAsia="SimSun" w:hAnsi="Segoe UI" w:cs="Segoe UI"/>
          <w:color w:val="000000" w:themeColor="text1"/>
          <w:sz w:val="20"/>
          <w:lang w:eastAsia="ja-JP"/>
        </w:rPr>
        <w:t>, en glissement annuel,</w:t>
      </w:r>
      <w:r w:rsidR="00ED621D">
        <w:rPr>
          <w:rFonts w:ascii="Segoe UI" w:eastAsia="SimSun" w:hAnsi="Segoe UI" w:cs="Segoe UI"/>
          <w:color w:val="000000" w:themeColor="text1"/>
          <w:sz w:val="20"/>
          <w:lang w:eastAsia="ja-JP"/>
        </w:rPr>
        <w:t xml:space="preserve"> de </w:t>
      </w:r>
      <w:r w:rsidR="0068470F">
        <w:rPr>
          <w:rFonts w:ascii="Segoe UI" w:eastAsia="SimSun" w:hAnsi="Segoe UI" w:cs="Segoe UI"/>
          <w:color w:val="000000" w:themeColor="text1"/>
          <w:sz w:val="20"/>
          <w:lang w:eastAsia="ja-JP"/>
        </w:rPr>
        <w:t>88,3</w:t>
      </w:r>
      <w:r w:rsidR="00ED621D">
        <w:rPr>
          <w:rFonts w:ascii="Segoe UI" w:eastAsia="SimSun" w:hAnsi="Segoe UI" w:cs="Segoe UI"/>
          <w:color w:val="000000" w:themeColor="text1"/>
          <w:sz w:val="20"/>
          <w:lang w:eastAsia="ja-JP"/>
        </w:rPr>
        <w:t>% (</w:t>
      </w:r>
      <w:r w:rsidR="0068470F">
        <w:rPr>
          <w:rFonts w:ascii="Segoe UI" w:eastAsia="SimSun" w:hAnsi="Segoe UI" w:cs="Segoe UI"/>
          <w:color w:val="000000" w:themeColor="text1"/>
          <w:sz w:val="20"/>
          <w:lang w:eastAsia="ja-JP"/>
        </w:rPr>
        <w:t>171</w:t>
      </w:r>
      <w:r w:rsidR="00ED621D">
        <w:rPr>
          <w:rFonts w:ascii="Segoe UI" w:eastAsia="SimSun" w:hAnsi="Segoe UI" w:cs="Segoe UI"/>
          <w:color w:val="000000" w:themeColor="text1"/>
          <w:sz w:val="20"/>
          <w:lang w:eastAsia="ja-JP"/>
        </w:rPr>
        <w:t xml:space="preserve"> M EUR)</w:t>
      </w:r>
      <w:r w:rsidR="00067177">
        <w:rPr>
          <w:rFonts w:ascii="Segoe UI" w:eastAsia="SimSun" w:hAnsi="Segoe UI" w:cs="Segoe UI"/>
          <w:color w:val="000000" w:themeColor="text1"/>
          <w:sz w:val="20"/>
          <w:lang w:eastAsia="ja-JP"/>
        </w:rPr>
        <w:t xml:space="preserve">, dépassant également </w:t>
      </w:r>
      <w:r w:rsidR="00ED621D">
        <w:rPr>
          <w:rFonts w:ascii="Segoe UI" w:eastAsia="SimSun" w:hAnsi="Segoe UI" w:cs="Segoe UI"/>
          <w:color w:val="000000" w:themeColor="text1"/>
          <w:sz w:val="20"/>
          <w:lang w:eastAsia="ja-JP"/>
        </w:rPr>
        <w:t xml:space="preserve"> leur </w:t>
      </w:r>
      <w:r w:rsidR="00A9154A">
        <w:rPr>
          <w:rFonts w:ascii="Segoe UI" w:eastAsia="SimSun" w:hAnsi="Segoe UI" w:cs="Segoe UI"/>
          <w:color w:val="000000" w:themeColor="text1"/>
          <w:sz w:val="20"/>
          <w:lang w:eastAsia="ja-JP"/>
        </w:rPr>
        <w:t xml:space="preserve">niveau </w:t>
      </w:r>
      <w:r w:rsidR="00564860">
        <w:rPr>
          <w:rFonts w:ascii="Segoe UI" w:eastAsia="SimSun" w:hAnsi="Segoe UI" w:cs="Segoe UI"/>
          <w:color w:val="000000" w:themeColor="text1"/>
          <w:sz w:val="20"/>
          <w:lang w:eastAsia="ja-JP"/>
        </w:rPr>
        <w:t>(</w:t>
      </w:r>
      <w:r w:rsidR="00A9154A">
        <w:rPr>
          <w:rFonts w:ascii="Segoe UI" w:eastAsia="SimSun" w:hAnsi="Segoe UI" w:cs="Segoe UI"/>
          <w:color w:val="000000" w:themeColor="text1"/>
          <w:sz w:val="20"/>
          <w:lang w:eastAsia="ja-JP"/>
        </w:rPr>
        <w:t xml:space="preserve">relativement </w:t>
      </w:r>
      <w:r w:rsidR="00ED621D">
        <w:rPr>
          <w:rFonts w:ascii="Segoe UI" w:eastAsia="SimSun" w:hAnsi="Segoe UI" w:cs="Segoe UI"/>
          <w:color w:val="000000" w:themeColor="text1"/>
          <w:sz w:val="20"/>
          <w:lang w:eastAsia="ja-JP"/>
        </w:rPr>
        <w:t>faible</w:t>
      </w:r>
      <w:r w:rsidR="00564860">
        <w:rPr>
          <w:rFonts w:ascii="Segoe UI" w:eastAsia="SimSun" w:hAnsi="Segoe UI" w:cs="Segoe UI"/>
          <w:color w:val="000000" w:themeColor="text1"/>
          <w:sz w:val="20"/>
          <w:lang w:eastAsia="ja-JP"/>
        </w:rPr>
        <w:t>)</w:t>
      </w:r>
      <w:r w:rsidR="00ED621D">
        <w:rPr>
          <w:rFonts w:ascii="Segoe UI" w:eastAsia="SimSun" w:hAnsi="Segoe UI" w:cs="Segoe UI"/>
          <w:color w:val="000000" w:themeColor="text1"/>
          <w:sz w:val="20"/>
          <w:lang w:eastAsia="ja-JP"/>
        </w:rPr>
        <w:t xml:space="preserve"> de 2019 (</w:t>
      </w:r>
      <w:r w:rsidR="0068470F">
        <w:rPr>
          <w:rFonts w:ascii="Segoe UI" w:eastAsia="SimSun" w:hAnsi="Segoe UI" w:cs="Segoe UI"/>
          <w:color w:val="000000" w:themeColor="text1"/>
          <w:sz w:val="20"/>
          <w:lang w:eastAsia="ja-JP"/>
        </w:rPr>
        <w:t>144</w:t>
      </w:r>
      <w:r w:rsidR="00ED621D">
        <w:rPr>
          <w:rFonts w:ascii="Segoe UI" w:eastAsia="SimSun" w:hAnsi="Segoe UI" w:cs="Segoe UI"/>
          <w:color w:val="000000" w:themeColor="text1"/>
          <w:sz w:val="20"/>
          <w:lang w:eastAsia="ja-JP"/>
        </w:rPr>
        <w:t xml:space="preserve"> M EUR). </w:t>
      </w:r>
      <w:r w:rsidR="00CB3467">
        <w:rPr>
          <w:rFonts w:ascii="Segoe UI" w:eastAsia="SimSun" w:hAnsi="Segoe UI" w:cs="Segoe UI"/>
          <w:color w:val="000000" w:themeColor="text1"/>
          <w:sz w:val="20"/>
          <w:lang w:eastAsia="ja-JP"/>
        </w:rPr>
        <w:t xml:space="preserve">Hors matériel de transport, nos exportations progressent </w:t>
      </w:r>
      <w:r>
        <w:rPr>
          <w:rFonts w:ascii="Segoe UI" w:eastAsia="SimSun" w:hAnsi="Segoe UI" w:cs="Segoe UI"/>
          <w:color w:val="000000" w:themeColor="text1"/>
          <w:sz w:val="20"/>
          <w:lang w:eastAsia="ja-JP"/>
        </w:rPr>
        <w:t xml:space="preserve">néanmoins </w:t>
      </w:r>
      <w:r w:rsidR="00CB3467">
        <w:rPr>
          <w:rFonts w:ascii="Segoe UI" w:eastAsia="SimSun" w:hAnsi="Segoe UI" w:cs="Segoe UI"/>
          <w:color w:val="000000" w:themeColor="text1"/>
          <w:sz w:val="20"/>
          <w:lang w:eastAsia="ja-JP"/>
        </w:rPr>
        <w:t xml:space="preserve">de </w:t>
      </w:r>
      <w:r w:rsidR="0068470F">
        <w:rPr>
          <w:rFonts w:ascii="Segoe UI" w:eastAsia="SimSun" w:hAnsi="Segoe UI" w:cs="Segoe UI"/>
          <w:color w:val="000000" w:themeColor="text1"/>
          <w:sz w:val="20"/>
          <w:lang w:eastAsia="ja-JP"/>
        </w:rPr>
        <w:t>4,8</w:t>
      </w:r>
      <w:r w:rsidR="00CB3467">
        <w:rPr>
          <w:rFonts w:ascii="Segoe UI" w:eastAsia="SimSun" w:hAnsi="Segoe UI" w:cs="Segoe UI"/>
          <w:color w:val="000000" w:themeColor="text1"/>
          <w:sz w:val="20"/>
          <w:lang w:eastAsia="ja-JP"/>
        </w:rPr>
        <w:t>%.</w:t>
      </w:r>
    </w:p>
    <w:p w:rsidR="00BE09E8" w:rsidRPr="00BE09E8" w:rsidRDefault="00C35B85" w:rsidP="00846149">
      <w:pPr>
        <w:jc w:val="both"/>
        <w:rPr>
          <w:rFonts w:ascii="Segoe UI" w:eastAsia="SimSun" w:hAnsi="Segoe UI" w:cs="Segoe UI"/>
          <w:b/>
          <w:color w:val="000000" w:themeColor="text1"/>
          <w:sz w:val="20"/>
          <w:lang w:eastAsia="ja-JP"/>
        </w:rPr>
      </w:pPr>
      <w:r w:rsidRPr="00C35B85">
        <w:rPr>
          <w:rFonts w:ascii="Segoe UI" w:eastAsia="SimSun" w:hAnsi="Segoe UI" w:cs="Segoe UI"/>
          <w:b/>
          <w:color w:val="000000" w:themeColor="text1"/>
          <w:sz w:val="20"/>
          <w:lang w:eastAsia="ja-JP"/>
        </w:rPr>
        <w:t>Le</w:t>
      </w:r>
      <w:r w:rsidR="00ED621D">
        <w:rPr>
          <w:rFonts w:ascii="Segoe UI" w:eastAsia="SimSun" w:hAnsi="Segoe UI" w:cs="Segoe UI"/>
          <w:b/>
          <w:color w:val="000000" w:themeColor="text1"/>
          <w:sz w:val="20"/>
          <w:lang w:eastAsia="ja-JP"/>
        </w:rPr>
        <w:t xml:space="preserve">s équipements mécaniques, matériel électrique, électronique et informatique </w:t>
      </w:r>
      <w:r w:rsidR="00B14BA4">
        <w:rPr>
          <w:rFonts w:ascii="Segoe UI" w:eastAsia="SimSun" w:hAnsi="Segoe UI" w:cs="Segoe UI"/>
          <w:b/>
          <w:color w:val="000000" w:themeColor="text1"/>
          <w:sz w:val="20"/>
          <w:lang w:eastAsia="ja-JP"/>
        </w:rPr>
        <w:t xml:space="preserve">restent le premier secteur de nos exportations </w:t>
      </w:r>
      <w:r w:rsidR="00ED621D">
        <w:rPr>
          <w:rFonts w:ascii="Segoe UI" w:eastAsia="SimSun" w:hAnsi="Segoe UI" w:cs="Segoe UI"/>
          <w:b/>
          <w:color w:val="000000" w:themeColor="text1"/>
          <w:sz w:val="20"/>
          <w:lang w:eastAsia="ja-JP"/>
        </w:rPr>
        <w:t xml:space="preserve">avec </w:t>
      </w:r>
      <w:r w:rsidR="00EA2AC6">
        <w:rPr>
          <w:rFonts w:ascii="Segoe UI" w:eastAsia="SimSun" w:hAnsi="Segoe UI" w:cs="Segoe UI"/>
          <w:b/>
          <w:color w:val="000000" w:themeColor="text1"/>
          <w:sz w:val="20"/>
          <w:lang w:eastAsia="ja-JP"/>
        </w:rPr>
        <w:t>490</w:t>
      </w:r>
      <w:r w:rsidR="00BE09E8">
        <w:rPr>
          <w:rFonts w:ascii="Segoe UI" w:eastAsia="SimSun" w:hAnsi="Segoe UI" w:cs="Segoe UI"/>
          <w:b/>
          <w:color w:val="000000" w:themeColor="text1"/>
          <w:sz w:val="20"/>
          <w:lang w:eastAsia="ja-JP"/>
        </w:rPr>
        <w:t xml:space="preserve"> M EUR</w:t>
      </w:r>
      <w:r w:rsidR="00B14BA4">
        <w:rPr>
          <w:rFonts w:ascii="Segoe UI" w:eastAsia="SimSun" w:hAnsi="Segoe UI" w:cs="Segoe UI"/>
          <w:b/>
          <w:color w:val="000000" w:themeColor="text1"/>
          <w:sz w:val="20"/>
          <w:lang w:eastAsia="ja-JP"/>
        </w:rPr>
        <w:t xml:space="preserve"> </w:t>
      </w:r>
      <w:r w:rsidR="002B15EA">
        <w:rPr>
          <w:rFonts w:ascii="Segoe UI" w:eastAsia="SimSun" w:hAnsi="Segoe UI" w:cs="Segoe UI"/>
          <w:b/>
          <w:color w:val="000000" w:themeColor="text1"/>
          <w:sz w:val="20"/>
          <w:lang w:eastAsia="ja-JP"/>
        </w:rPr>
        <w:t>(soit 26% du total)</w:t>
      </w:r>
      <w:r w:rsidR="000611A4">
        <w:rPr>
          <w:rFonts w:ascii="Segoe UI" w:eastAsia="SimSun" w:hAnsi="Segoe UI" w:cs="Segoe UI"/>
          <w:b/>
          <w:color w:val="000000" w:themeColor="text1"/>
          <w:sz w:val="20"/>
          <w:lang w:eastAsia="ja-JP"/>
        </w:rPr>
        <w:t xml:space="preserve">. </w:t>
      </w:r>
      <w:r w:rsidR="000611A4" w:rsidRPr="000611A4">
        <w:rPr>
          <w:rFonts w:ascii="Segoe UI" w:eastAsia="SimSun" w:hAnsi="Segoe UI" w:cs="Segoe UI"/>
          <w:color w:val="000000" w:themeColor="text1"/>
          <w:sz w:val="20"/>
          <w:lang w:eastAsia="ja-JP"/>
        </w:rPr>
        <w:t xml:space="preserve">Cette </w:t>
      </w:r>
      <w:r w:rsidR="0080126D" w:rsidRPr="000611A4">
        <w:rPr>
          <w:rFonts w:ascii="Segoe UI" w:eastAsia="SimSun" w:hAnsi="Segoe UI" w:cs="Segoe UI"/>
          <w:color w:val="000000" w:themeColor="text1"/>
          <w:sz w:val="20"/>
          <w:lang w:eastAsia="ja-JP"/>
        </w:rPr>
        <w:t>hausse de 5,2%</w:t>
      </w:r>
      <w:r w:rsidR="000611A4">
        <w:rPr>
          <w:rFonts w:ascii="Segoe UI" w:eastAsia="SimSun" w:hAnsi="Segoe UI" w:cs="Segoe UI"/>
          <w:b/>
          <w:color w:val="000000" w:themeColor="text1"/>
          <w:sz w:val="20"/>
          <w:lang w:eastAsia="ja-JP"/>
        </w:rPr>
        <w:t xml:space="preserve"> </w:t>
      </w:r>
      <w:r w:rsidR="004C1D04">
        <w:rPr>
          <w:rFonts w:ascii="Segoe UI" w:eastAsia="SimSun" w:hAnsi="Segoe UI" w:cs="Segoe UI"/>
          <w:color w:val="000000" w:themeColor="text1"/>
          <w:sz w:val="20"/>
          <w:lang w:eastAsia="ja-JP"/>
        </w:rPr>
        <w:t>provient principalement d</w:t>
      </w:r>
      <w:r w:rsidR="000611A4">
        <w:rPr>
          <w:rFonts w:ascii="Segoe UI" w:eastAsia="SimSun" w:hAnsi="Segoe UI" w:cs="Segoe UI"/>
          <w:color w:val="000000" w:themeColor="text1"/>
          <w:sz w:val="20"/>
          <w:lang w:eastAsia="ja-JP"/>
        </w:rPr>
        <w:t>u</w:t>
      </w:r>
      <w:r w:rsidR="004C1D04">
        <w:rPr>
          <w:rFonts w:ascii="Segoe UI" w:eastAsia="SimSun" w:hAnsi="Segoe UI" w:cs="Segoe UI"/>
          <w:color w:val="000000" w:themeColor="text1"/>
          <w:sz w:val="20"/>
          <w:lang w:eastAsia="ja-JP"/>
        </w:rPr>
        <w:t xml:space="preserve"> secteur des produits informatiques, électroniques et optiques qui </w:t>
      </w:r>
      <w:r w:rsidR="008F026C">
        <w:rPr>
          <w:rFonts w:ascii="Segoe UI" w:eastAsia="SimSun" w:hAnsi="Segoe UI" w:cs="Segoe UI"/>
          <w:color w:val="000000" w:themeColor="text1"/>
          <w:sz w:val="20"/>
          <w:lang w:eastAsia="ja-JP"/>
        </w:rPr>
        <w:t xml:space="preserve">a connu une </w:t>
      </w:r>
      <w:r w:rsidR="0080126D">
        <w:rPr>
          <w:rFonts w:ascii="Segoe UI" w:eastAsia="SimSun" w:hAnsi="Segoe UI" w:cs="Segoe UI"/>
          <w:color w:val="000000" w:themeColor="text1"/>
          <w:sz w:val="20"/>
          <w:lang w:eastAsia="ja-JP"/>
        </w:rPr>
        <w:t>progression</w:t>
      </w:r>
      <w:r w:rsidR="008F026C">
        <w:rPr>
          <w:rFonts w:ascii="Segoe UI" w:eastAsia="SimSun" w:hAnsi="Segoe UI" w:cs="Segoe UI"/>
          <w:color w:val="000000" w:themeColor="text1"/>
          <w:sz w:val="20"/>
          <w:lang w:eastAsia="ja-JP"/>
        </w:rPr>
        <w:t xml:space="preserve"> de </w:t>
      </w:r>
      <w:r w:rsidR="0080126D">
        <w:rPr>
          <w:rFonts w:ascii="Segoe UI" w:eastAsia="SimSun" w:hAnsi="Segoe UI" w:cs="Segoe UI"/>
          <w:color w:val="000000" w:themeColor="text1"/>
          <w:sz w:val="20"/>
          <w:lang w:eastAsia="ja-JP"/>
        </w:rPr>
        <w:t>6,4</w:t>
      </w:r>
      <w:r w:rsidR="008F026C">
        <w:rPr>
          <w:rFonts w:ascii="Segoe UI" w:eastAsia="SimSun" w:hAnsi="Segoe UI" w:cs="Segoe UI"/>
          <w:color w:val="000000" w:themeColor="text1"/>
          <w:sz w:val="20"/>
          <w:lang w:eastAsia="ja-JP"/>
        </w:rPr>
        <w:t>%</w:t>
      </w:r>
      <w:r w:rsidR="004C1D04">
        <w:rPr>
          <w:rFonts w:ascii="Segoe UI" w:eastAsia="SimSun" w:hAnsi="Segoe UI" w:cs="Segoe UI"/>
          <w:color w:val="000000" w:themeColor="text1"/>
          <w:sz w:val="20"/>
          <w:lang w:eastAsia="ja-JP"/>
        </w:rPr>
        <w:t xml:space="preserve"> à </w:t>
      </w:r>
      <w:r w:rsidR="0080126D">
        <w:rPr>
          <w:rFonts w:ascii="Segoe UI" w:eastAsia="SimSun" w:hAnsi="Segoe UI" w:cs="Segoe UI"/>
          <w:color w:val="000000" w:themeColor="text1"/>
          <w:sz w:val="20"/>
          <w:lang w:eastAsia="ja-JP"/>
        </w:rPr>
        <w:t>332</w:t>
      </w:r>
      <w:r w:rsidR="004C1D04">
        <w:rPr>
          <w:rFonts w:ascii="Segoe UI" w:eastAsia="SimSun" w:hAnsi="Segoe UI" w:cs="Segoe UI"/>
          <w:color w:val="000000" w:themeColor="text1"/>
          <w:sz w:val="20"/>
          <w:lang w:eastAsia="ja-JP"/>
        </w:rPr>
        <w:t xml:space="preserve"> M EUR. </w:t>
      </w:r>
      <w:r w:rsidR="000611A4">
        <w:rPr>
          <w:rFonts w:ascii="Segoe UI" w:eastAsia="SimSun" w:hAnsi="Segoe UI" w:cs="Segoe UI"/>
          <w:color w:val="000000" w:themeColor="text1"/>
          <w:sz w:val="20"/>
          <w:lang w:eastAsia="ja-JP"/>
        </w:rPr>
        <w:t>Par ailleurs n</w:t>
      </w:r>
      <w:r w:rsidR="004C1D04">
        <w:rPr>
          <w:rFonts w:ascii="Segoe UI" w:eastAsia="SimSun" w:hAnsi="Segoe UI" w:cs="Segoe UI"/>
          <w:color w:val="000000" w:themeColor="text1"/>
          <w:sz w:val="20"/>
          <w:lang w:eastAsia="ja-JP"/>
        </w:rPr>
        <w:t xml:space="preserve">os exportations de composants électroniques </w:t>
      </w:r>
      <w:r w:rsidR="000611A4">
        <w:rPr>
          <w:rFonts w:ascii="Segoe UI" w:eastAsia="SimSun" w:hAnsi="Segoe UI" w:cs="Segoe UI"/>
          <w:color w:val="000000" w:themeColor="text1"/>
          <w:sz w:val="20"/>
          <w:lang w:eastAsia="ja-JP"/>
        </w:rPr>
        <w:t xml:space="preserve">progressent </w:t>
      </w:r>
      <w:r w:rsidR="004C1D04">
        <w:rPr>
          <w:rFonts w:ascii="Segoe UI" w:eastAsia="SimSun" w:hAnsi="Segoe UI" w:cs="Segoe UI"/>
          <w:color w:val="000000" w:themeColor="text1"/>
          <w:sz w:val="20"/>
          <w:lang w:eastAsia="ja-JP"/>
        </w:rPr>
        <w:t xml:space="preserve">de </w:t>
      </w:r>
      <w:r w:rsidR="0080126D">
        <w:rPr>
          <w:rFonts w:ascii="Segoe UI" w:eastAsia="SimSun" w:hAnsi="Segoe UI" w:cs="Segoe UI"/>
          <w:color w:val="000000" w:themeColor="text1"/>
          <w:sz w:val="20"/>
          <w:lang w:eastAsia="ja-JP"/>
        </w:rPr>
        <w:t>9,4</w:t>
      </w:r>
      <w:r w:rsidR="004C1D04">
        <w:rPr>
          <w:rFonts w:ascii="Segoe UI" w:eastAsia="SimSun" w:hAnsi="Segoe UI" w:cs="Segoe UI"/>
          <w:color w:val="000000" w:themeColor="text1"/>
          <w:sz w:val="20"/>
          <w:lang w:eastAsia="ja-JP"/>
        </w:rPr>
        <w:t>% à </w:t>
      </w:r>
      <w:r w:rsidR="0080126D">
        <w:rPr>
          <w:rFonts w:ascii="Segoe UI" w:eastAsia="SimSun" w:hAnsi="Segoe UI" w:cs="Segoe UI"/>
          <w:color w:val="000000" w:themeColor="text1"/>
          <w:sz w:val="20"/>
          <w:lang w:eastAsia="ja-JP"/>
        </w:rPr>
        <w:t>234</w:t>
      </w:r>
      <w:r w:rsidR="004C1D04">
        <w:rPr>
          <w:rFonts w:ascii="Segoe UI" w:eastAsia="SimSun" w:hAnsi="Segoe UI" w:cs="Segoe UI"/>
          <w:color w:val="000000" w:themeColor="text1"/>
          <w:sz w:val="20"/>
          <w:lang w:eastAsia="ja-JP"/>
        </w:rPr>
        <w:t xml:space="preserve"> M EUR.</w:t>
      </w:r>
      <w:r w:rsidR="00DA7A20">
        <w:rPr>
          <w:rFonts w:ascii="Segoe UI" w:eastAsia="SimSun" w:hAnsi="Segoe UI" w:cs="Segoe UI"/>
          <w:color w:val="000000" w:themeColor="text1"/>
          <w:sz w:val="20"/>
          <w:lang w:eastAsia="ja-JP"/>
        </w:rPr>
        <w:t xml:space="preserve"> </w:t>
      </w:r>
      <w:r w:rsidR="000611A4">
        <w:rPr>
          <w:rFonts w:ascii="Segoe UI" w:eastAsia="SimSun" w:hAnsi="Segoe UI" w:cs="Segoe UI"/>
          <w:color w:val="000000" w:themeColor="text1"/>
          <w:sz w:val="20"/>
          <w:lang w:eastAsia="ja-JP"/>
        </w:rPr>
        <w:t>Ces chiffres rappellent la spécialisation de la France dans les hautes technologies.</w:t>
      </w:r>
      <w:r w:rsidR="004C1D04">
        <w:rPr>
          <w:rFonts w:ascii="Segoe UI" w:eastAsia="SimSun" w:hAnsi="Segoe UI" w:cs="Segoe UI"/>
          <w:color w:val="000000" w:themeColor="text1"/>
          <w:sz w:val="20"/>
          <w:lang w:eastAsia="ja-JP"/>
        </w:rPr>
        <w:t xml:space="preserve"> </w:t>
      </w:r>
    </w:p>
    <w:p w:rsidR="00130AB8" w:rsidRDefault="00D66702" w:rsidP="00846149">
      <w:pPr>
        <w:jc w:val="both"/>
        <w:rPr>
          <w:rFonts w:ascii="Segoe UI" w:eastAsia="SimSun" w:hAnsi="Segoe UI" w:cs="Segoe UI"/>
          <w:color w:val="000000" w:themeColor="text1"/>
          <w:sz w:val="20"/>
          <w:lang w:eastAsia="ja-JP"/>
        </w:rPr>
      </w:pPr>
      <w:r>
        <w:rPr>
          <w:rFonts w:ascii="Segoe UI" w:eastAsia="SimSun" w:hAnsi="Segoe UI" w:cs="Segoe UI"/>
          <w:b/>
          <w:color w:val="000000" w:themeColor="text1"/>
          <w:sz w:val="20"/>
          <w:lang w:eastAsia="ja-JP"/>
        </w:rPr>
        <w:t>L</w:t>
      </w:r>
      <w:r w:rsidR="00F71E82" w:rsidRPr="00C35B85">
        <w:rPr>
          <w:rFonts w:ascii="Segoe UI" w:eastAsia="SimSun" w:hAnsi="Segoe UI" w:cs="Segoe UI"/>
          <w:b/>
          <w:color w:val="000000" w:themeColor="text1"/>
          <w:sz w:val="20"/>
          <w:lang w:eastAsia="ja-JP"/>
        </w:rPr>
        <w:t xml:space="preserve">es </w:t>
      </w:r>
      <w:r w:rsidR="00962AE1" w:rsidRPr="00C35B85">
        <w:rPr>
          <w:rFonts w:ascii="Segoe UI" w:eastAsia="SimSun" w:hAnsi="Segoe UI" w:cs="Segoe UI"/>
          <w:b/>
          <w:color w:val="000000" w:themeColor="text1"/>
          <w:sz w:val="20"/>
          <w:lang w:eastAsia="ja-JP"/>
        </w:rPr>
        <w:t>p</w:t>
      </w:r>
      <w:r w:rsidR="00F71E82" w:rsidRPr="00C35B85">
        <w:rPr>
          <w:rFonts w:ascii="Segoe UI" w:eastAsia="SimSun" w:hAnsi="Segoe UI" w:cs="Segoe UI"/>
          <w:b/>
          <w:color w:val="000000" w:themeColor="text1"/>
          <w:sz w:val="20"/>
          <w:lang w:eastAsia="ja-JP"/>
        </w:rPr>
        <w:t xml:space="preserve">roduits </w:t>
      </w:r>
      <w:r w:rsidR="00301E27">
        <w:rPr>
          <w:rFonts w:ascii="Segoe UI" w:eastAsia="SimSun" w:hAnsi="Segoe UI" w:cs="Segoe UI"/>
          <w:b/>
          <w:color w:val="000000" w:themeColor="text1"/>
          <w:sz w:val="20"/>
          <w:lang w:eastAsia="ja-JP"/>
        </w:rPr>
        <w:t xml:space="preserve">chimiques </w:t>
      </w:r>
      <w:r>
        <w:rPr>
          <w:rFonts w:ascii="Segoe UI" w:eastAsia="SimSun" w:hAnsi="Segoe UI" w:cs="Segoe UI"/>
          <w:b/>
          <w:color w:val="000000" w:themeColor="text1"/>
          <w:sz w:val="20"/>
          <w:lang w:eastAsia="ja-JP"/>
        </w:rPr>
        <w:t>constituent le 2</w:t>
      </w:r>
      <w:r w:rsidRPr="00D66702">
        <w:rPr>
          <w:rFonts w:ascii="Segoe UI" w:eastAsia="SimSun" w:hAnsi="Segoe UI" w:cs="Segoe UI"/>
          <w:b/>
          <w:color w:val="000000" w:themeColor="text1"/>
          <w:sz w:val="20"/>
          <w:vertAlign w:val="superscript"/>
          <w:lang w:eastAsia="ja-JP"/>
        </w:rPr>
        <w:t>ème</w:t>
      </w:r>
      <w:r>
        <w:rPr>
          <w:rFonts w:ascii="Segoe UI" w:eastAsia="SimSun" w:hAnsi="Segoe UI" w:cs="Segoe UI"/>
          <w:b/>
          <w:color w:val="000000" w:themeColor="text1"/>
          <w:sz w:val="20"/>
          <w:lang w:eastAsia="ja-JP"/>
        </w:rPr>
        <w:t xml:space="preserve"> </w:t>
      </w:r>
      <w:r w:rsidR="00846149" w:rsidRPr="00C35B85">
        <w:rPr>
          <w:rFonts w:ascii="Segoe UI" w:eastAsia="SimSun" w:hAnsi="Segoe UI" w:cs="Segoe UI"/>
          <w:b/>
          <w:color w:val="000000" w:themeColor="text1"/>
          <w:sz w:val="20"/>
          <w:lang w:eastAsia="ja-JP"/>
        </w:rPr>
        <w:t>poste d</w:t>
      </w:r>
      <w:r w:rsidR="00C35B85" w:rsidRPr="00C35B85">
        <w:rPr>
          <w:rFonts w:ascii="Segoe UI" w:eastAsia="SimSun" w:hAnsi="Segoe UI" w:cs="Segoe UI"/>
          <w:b/>
          <w:color w:val="000000" w:themeColor="text1"/>
          <w:sz w:val="20"/>
          <w:lang w:eastAsia="ja-JP"/>
        </w:rPr>
        <w:t xml:space="preserve">e nos </w:t>
      </w:r>
      <w:r w:rsidR="00846149" w:rsidRPr="00C35B85">
        <w:rPr>
          <w:rFonts w:ascii="Segoe UI" w:eastAsia="SimSun" w:hAnsi="Segoe UI" w:cs="Segoe UI"/>
          <w:b/>
          <w:color w:val="000000" w:themeColor="text1"/>
          <w:sz w:val="20"/>
          <w:lang w:eastAsia="ja-JP"/>
        </w:rPr>
        <w:t xml:space="preserve">exportations </w:t>
      </w:r>
      <w:r w:rsidR="00C35B85" w:rsidRPr="00C35B85">
        <w:rPr>
          <w:rFonts w:ascii="Segoe UI" w:eastAsia="SimSun" w:hAnsi="Segoe UI" w:cs="Segoe UI"/>
          <w:b/>
          <w:color w:val="000000" w:themeColor="text1"/>
          <w:sz w:val="20"/>
          <w:lang w:eastAsia="ja-JP"/>
        </w:rPr>
        <w:t xml:space="preserve">avec un montant de </w:t>
      </w:r>
      <w:r w:rsidR="0080126D">
        <w:rPr>
          <w:rFonts w:ascii="Segoe UI" w:eastAsia="SimSun" w:hAnsi="Segoe UI" w:cs="Segoe UI"/>
          <w:b/>
          <w:color w:val="000000" w:themeColor="text1"/>
          <w:sz w:val="20"/>
          <w:lang w:eastAsia="ja-JP"/>
        </w:rPr>
        <w:t>334</w:t>
      </w:r>
      <w:r w:rsidR="00C35B85" w:rsidRPr="00C35B85">
        <w:rPr>
          <w:rFonts w:ascii="Segoe UI" w:eastAsia="SimSun" w:hAnsi="Segoe UI" w:cs="Segoe UI"/>
          <w:b/>
          <w:color w:val="000000" w:themeColor="text1"/>
          <w:sz w:val="20"/>
          <w:lang w:eastAsia="ja-JP"/>
        </w:rPr>
        <w:t xml:space="preserve"> M EUR </w:t>
      </w:r>
      <w:r w:rsidR="00635C8B">
        <w:rPr>
          <w:rFonts w:ascii="Segoe UI" w:eastAsia="SimSun" w:hAnsi="Segoe UI" w:cs="Segoe UI"/>
          <w:b/>
          <w:color w:val="000000" w:themeColor="text1"/>
          <w:sz w:val="20"/>
          <w:lang w:eastAsia="ja-JP"/>
        </w:rPr>
        <w:t xml:space="preserve">(près de 18% du total) </w:t>
      </w:r>
      <w:r w:rsidR="000611A4">
        <w:rPr>
          <w:rFonts w:ascii="Segoe UI" w:eastAsia="SimSun" w:hAnsi="Segoe UI" w:cs="Segoe UI"/>
          <w:b/>
          <w:color w:val="000000" w:themeColor="text1"/>
          <w:sz w:val="20"/>
          <w:lang w:eastAsia="ja-JP"/>
        </w:rPr>
        <w:t xml:space="preserve">malgré une baisse de </w:t>
      </w:r>
      <w:r w:rsidR="00337379">
        <w:rPr>
          <w:rFonts w:ascii="Segoe UI" w:eastAsia="SimSun" w:hAnsi="Segoe UI" w:cs="Segoe UI"/>
          <w:b/>
          <w:color w:val="000000" w:themeColor="text1"/>
          <w:sz w:val="20"/>
          <w:lang w:eastAsia="ja-JP"/>
        </w:rPr>
        <w:t>4,1</w:t>
      </w:r>
      <w:r w:rsidR="00F71E82" w:rsidRPr="00C35B85">
        <w:rPr>
          <w:rFonts w:ascii="Segoe UI" w:eastAsia="SimSun" w:hAnsi="Segoe UI" w:cs="Segoe UI"/>
          <w:b/>
          <w:color w:val="000000" w:themeColor="text1"/>
          <w:sz w:val="20"/>
          <w:lang w:eastAsia="ja-JP"/>
        </w:rPr>
        <w:t>%</w:t>
      </w:r>
      <w:r w:rsidR="000611A4">
        <w:rPr>
          <w:rFonts w:ascii="Segoe UI" w:eastAsia="SimSun" w:hAnsi="Segoe UI" w:cs="Segoe UI"/>
          <w:b/>
          <w:color w:val="000000" w:themeColor="text1"/>
          <w:sz w:val="20"/>
          <w:lang w:eastAsia="ja-JP"/>
        </w:rPr>
        <w:t xml:space="preserve"> par rapport à 2020</w:t>
      </w:r>
      <w:r w:rsidR="00727C6C">
        <w:rPr>
          <w:rFonts w:ascii="Segoe UI" w:eastAsia="SimSun" w:hAnsi="Segoe UI" w:cs="Segoe UI"/>
          <w:b/>
          <w:color w:val="000000" w:themeColor="text1"/>
          <w:sz w:val="20"/>
          <w:lang w:eastAsia="ja-JP"/>
        </w:rPr>
        <w:t>.</w:t>
      </w:r>
      <w:r>
        <w:rPr>
          <w:rFonts w:ascii="Segoe UI" w:eastAsia="SimSun" w:hAnsi="Segoe UI" w:cs="Segoe UI"/>
          <w:b/>
          <w:color w:val="000000" w:themeColor="text1"/>
          <w:sz w:val="20"/>
          <w:lang w:eastAsia="ja-JP"/>
        </w:rPr>
        <w:t xml:space="preserve"> </w:t>
      </w:r>
      <w:r w:rsidR="00635C8B" w:rsidRPr="00635C8B">
        <w:rPr>
          <w:rFonts w:ascii="Segoe UI" w:eastAsia="SimSun" w:hAnsi="Segoe UI" w:cs="Segoe UI"/>
          <w:color w:val="000000" w:themeColor="text1"/>
          <w:sz w:val="20"/>
          <w:lang w:eastAsia="ja-JP"/>
        </w:rPr>
        <w:t>A</w:t>
      </w:r>
      <w:r w:rsidR="00727C6C" w:rsidRPr="00635C8B">
        <w:rPr>
          <w:rFonts w:ascii="Segoe UI" w:eastAsia="SimSun" w:hAnsi="Segoe UI" w:cs="Segoe UI"/>
          <w:color w:val="000000" w:themeColor="text1"/>
          <w:sz w:val="20"/>
          <w:lang w:eastAsia="ja-JP"/>
        </w:rPr>
        <w:t>u s</w:t>
      </w:r>
      <w:r w:rsidR="00727C6C" w:rsidRPr="00727C6C">
        <w:rPr>
          <w:rFonts w:ascii="Segoe UI" w:eastAsia="SimSun" w:hAnsi="Segoe UI" w:cs="Segoe UI"/>
          <w:color w:val="000000" w:themeColor="text1"/>
          <w:sz w:val="20"/>
          <w:lang w:eastAsia="ja-JP"/>
        </w:rPr>
        <w:t xml:space="preserve">ein de cette catégorie qui regroupe </w:t>
      </w:r>
      <w:r w:rsidR="00635C8B">
        <w:rPr>
          <w:rFonts w:ascii="Segoe UI" w:eastAsia="SimSun" w:hAnsi="Segoe UI" w:cs="Segoe UI"/>
          <w:color w:val="000000" w:themeColor="text1"/>
          <w:sz w:val="20"/>
          <w:lang w:eastAsia="ja-JP"/>
        </w:rPr>
        <w:t xml:space="preserve">une grande diversité </w:t>
      </w:r>
      <w:r w:rsidR="00727C6C" w:rsidRPr="00727C6C">
        <w:rPr>
          <w:rFonts w:ascii="Segoe UI" w:eastAsia="SimSun" w:hAnsi="Segoe UI" w:cs="Segoe UI"/>
          <w:color w:val="000000" w:themeColor="text1"/>
          <w:sz w:val="20"/>
          <w:lang w:eastAsia="ja-JP"/>
        </w:rPr>
        <w:t>de produits</w:t>
      </w:r>
      <w:r w:rsidR="0052041D">
        <w:rPr>
          <w:rFonts w:ascii="Segoe UI" w:eastAsia="SimSun" w:hAnsi="Segoe UI" w:cs="Segoe UI"/>
          <w:color w:val="000000" w:themeColor="text1"/>
          <w:sz w:val="20"/>
          <w:lang w:eastAsia="ja-JP"/>
        </w:rPr>
        <w:t xml:space="preserve">, </w:t>
      </w:r>
      <w:r w:rsidR="00727C6C">
        <w:rPr>
          <w:rFonts w:ascii="Segoe UI" w:eastAsia="SimSun" w:hAnsi="Segoe UI" w:cs="Segoe UI"/>
          <w:color w:val="000000" w:themeColor="text1"/>
          <w:sz w:val="20"/>
          <w:lang w:eastAsia="ja-JP"/>
        </w:rPr>
        <w:t>no</w:t>
      </w:r>
      <w:r w:rsidR="00024C6D" w:rsidRPr="00024C6D">
        <w:rPr>
          <w:rFonts w:ascii="Segoe UI" w:eastAsia="SimSun" w:hAnsi="Segoe UI" w:cs="Segoe UI"/>
          <w:color w:val="000000" w:themeColor="text1"/>
          <w:sz w:val="20"/>
          <w:lang w:eastAsia="ja-JP"/>
        </w:rPr>
        <w:t xml:space="preserve">s </w:t>
      </w:r>
      <w:r w:rsidR="006A0EFE">
        <w:rPr>
          <w:rFonts w:ascii="Segoe UI" w:eastAsia="SimSun" w:hAnsi="Segoe UI" w:cs="Segoe UI"/>
          <w:color w:val="000000" w:themeColor="text1"/>
          <w:sz w:val="20"/>
          <w:lang w:eastAsia="ja-JP"/>
        </w:rPr>
        <w:t xml:space="preserve">exportations de </w:t>
      </w:r>
      <w:r w:rsidR="00024C6D" w:rsidRPr="00024C6D">
        <w:rPr>
          <w:rFonts w:ascii="Segoe UI" w:eastAsia="SimSun" w:hAnsi="Segoe UI" w:cs="Segoe UI"/>
          <w:color w:val="000000" w:themeColor="text1"/>
          <w:sz w:val="20"/>
          <w:lang w:eastAsia="ja-JP"/>
        </w:rPr>
        <w:t>produits pharmaceutiques</w:t>
      </w:r>
      <w:r w:rsidR="00024C6D">
        <w:rPr>
          <w:rFonts w:ascii="Segoe UI" w:eastAsia="SimSun" w:hAnsi="Segoe UI" w:cs="Segoe UI"/>
          <w:color w:val="000000" w:themeColor="text1"/>
          <w:sz w:val="20"/>
          <w:lang w:eastAsia="ja-JP"/>
        </w:rPr>
        <w:t xml:space="preserve"> </w:t>
      </w:r>
      <w:r w:rsidR="00024C6D" w:rsidRPr="00024C6D">
        <w:rPr>
          <w:rFonts w:ascii="Segoe UI" w:eastAsia="SimSun" w:hAnsi="Segoe UI" w:cs="Segoe UI"/>
          <w:color w:val="000000" w:themeColor="text1"/>
          <w:sz w:val="20"/>
          <w:lang w:eastAsia="ja-JP"/>
        </w:rPr>
        <w:t xml:space="preserve">enregistrent une baisse de </w:t>
      </w:r>
      <w:r w:rsidR="00337379">
        <w:rPr>
          <w:rFonts w:ascii="Segoe UI" w:eastAsia="SimSun" w:hAnsi="Segoe UI" w:cs="Segoe UI"/>
          <w:color w:val="000000" w:themeColor="text1"/>
          <w:sz w:val="20"/>
          <w:lang w:eastAsia="ja-JP"/>
        </w:rPr>
        <w:t>4,2</w:t>
      </w:r>
      <w:r w:rsidR="00024C6D" w:rsidRPr="00024C6D">
        <w:rPr>
          <w:rFonts w:ascii="Segoe UI" w:eastAsia="SimSun" w:hAnsi="Segoe UI" w:cs="Segoe UI"/>
          <w:color w:val="000000" w:themeColor="text1"/>
          <w:sz w:val="20"/>
          <w:lang w:eastAsia="ja-JP"/>
        </w:rPr>
        <w:t xml:space="preserve">% à </w:t>
      </w:r>
      <w:r w:rsidR="00337379">
        <w:rPr>
          <w:rFonts w:ascii="Segoe UI" w:eastAsia="SimSun" w:hAnsi="Segoe UI" w:cs="Segoe UI"/>
          <w:color w:val="000000" w:themeColor="text1"/>
          <w:sz w:val="20"/>
          <w:lang w:eastAsia="ja-JP"/>
        </w:rPr>
        <w:t>153</w:t>
      </w:r>
      <w:r w:rsidR="00024C6D" w:rsidRPr="00024C6D">
        <w:rPr>
          <w:rFonts w:ascii="Segoe UI" w:eastAsia="SimSun" w:hAnsi="Segoe UI" w:cs="Segoe UI"/>
          <w:color w:val="000000" w:themeColor="text1"/>
          <w:sz w:val="20"/>
          <w:lang w:eastAsia="ja-JP"/>
        </w:rPr>
        <w:t xml:space="preserve"> M EUR</w:t>
      </w:r>
      <w:r w:rsidR="0052041D">
        <w:rPr>
          <w:rFonts w:ascii="Segoe UI" w:eastAsia="SimSun" w:hAnsi="Segoe UI" w:cs="Segoe UI"/>
          <w:color w:val="000000" w:themeColor="text1"/>
          <w:sz w:val="20"/>
          <w:lang w:eastAsia="ja-JP"/>
        </w:rPr>
        <w:t xml:space="preserve"> tout en restant supérieures à leur montant </w:t>
      </w:r>
      <w:r w:rsidR="00411248">
        <w:rPr>
          <w:rFonts w:ascii="Segoe UI" w:eastAsia="SimSun" w:hAnsi="Segoe UI" w:cs="Segoe UI"/>
          <w:color w:val="000000" w:themeColor="text1"/>
          <w:sz w:val="20"/>
          <w:lang w:eastAsia="ja-JP"/>
        </w:rPr>
        <w:t>d</w:t>
      </w:r>
      <w:r w:rsidR="008F026C">
        <w:rPr>
          <w:rFonts w:ascii="Segoe UI" w:eastAsia="SimSun" w:hAnsi="Segoe UI" w:cs="Segoe UI"/>
          <w:color w:val="000000" w:themeColor="text1"/>
          <w:sz w:val="20"/>
          <w:lang w:eastAsia="ja-JP"/>
        </w:rPr>
        <w:t>e</w:t>
      </w:r>
      <w:r w:rsidR="00337379">
        <w:rPr>
          <w:rFonts w:ascii="Segoe UI" w:eastAsia="SimSun" w:hAnsi="Segoe UI" w:cs="Segoe UI"/>
          <w:color w:val="000000" w:themeColor="text1"/>
          <w:sz w:val="20"/>
          <w:lang w:eastAsia="ja-JP"/>
        </w:rPr>
        <w:t xml:space="preserve"> </w:t>
      </w:r>
      <w:r w:rsidR="00635C8B">
        <w:rPr>
          <w:rFonts w:ascii="Segoe UI" w:eastAsia="SimSun" w:hAnsi="Segoe UI" w:cs="Segoe UI"/>
          <w:color w:val="000000" w:themeColor="text1"/>
          <w:sz w:val="20"/>
          <w:lang w:eastAsia="ja-JP"/>
        </w:rPr>
        <w:t>2020</w:t>
      </w:r>
      <w:r w:rsidR="0052041D">
        <w:rPr>
          <w:rFonts w:ascii="Segoe UI" w:eastAsia="SimSun" w:hAnsi="Segoe UI" w:cs="Segoe UI"/>
          <w:color w:val="000000" w:themeColor="text1"/>
          <w:sz w:val="20"/>
          <w:lang w:eastAsia="ja-JP"/>
        </w:rPr>
        <w:t xml:space="preserve"> (</w:t>
      </w:r>
      <w:r w:rsidR="00337379">
        <w:rPr>
          <w:rFonts w:ascii="Segoe UI" w:eastAsia="SimSun" w:hAnsi="Segoe UI" w:cs="Segoe UI"/>
          <w:color w:val="000000" w:themeColor="text1"/>
          <w:sz w:val="20"/>
          <w:lang w:eastAsia="ja-JP"/>
        </w:rPr>
        <w:t>149</w:t>
      </w:r>
      <w:r w:rsidR="0052041D">
        <w:rPr>
          <w:rFonts w:ascii="Segoe UI" w:eastAsia="SimSun" w:hAnsi="Segoe UI" w:cs="Segoe UI"/>
          <w:color w:val="000000" w:themeColor="text1"/>
          <w:sz w:val="20"/>
          <w:lang w:eastAsia="ja-JP"/>
        </w:rPr>
        <w:t xml:space="preserve"> M EUR)</w:t>
      </w:r>
      <w:r w:rsidR="00024C6D" w:rsidRPr="00024C6D">
        <w:rPr>
          <w:rFonts w:ascii="Segoe UI" w:eastAsia="SimSun" w:hAnsi="Segoe UI" w:cs="Segoe UI"/>
          <w:color w:val="000000" w:themeColor="text1"/>
          <w:sz w:val="20"/>
          <w:lang w:eastAsia="ja-JP"/>
        </w:rPr>
        <w:t>.</w:t>
      </w:r>
    </w:p>
    <w:p w:rsidR="0041541C" w:rsidRDefault="0041541C" w:rsidP="00846149">
      <w:pPr>
        <w:jc w:val="both"/>
        <w:rPr>
          <w:rFonts w:ascii="Segoe UI" w:eastAsia="SimSun" w:hAnsi="Segoe UI" w:cs="Segoe UI"/>
          <w:b/>
          <w:color w:val="000000" w:themeColor="text1"/>
          <w:sz w:val="20"/>
          <w:lang w:eastAsia="ja-JP"/>
        </w:rPr>
      </w:pPr>
      <w:r>
        <w:rPr>
          <w:rFonts w:ascii="Segoe UI" w:eastAsia="SimSun" w:hAnsi="Segoe UI" w:cs="Segoe UI"/>
          <w:b/>
          <w:color w:val="000000" w:themeColor="text1"/>
          <w:sz w:val="20"/>
          <w:lang w:eastAsia="ja-JP"/>
        </w:rPr>
        <w:t>L’industrie du luxe reste une valeur sûre de nos exportations vers Taïwan</w:t>
      </w:r>
      <w:r w:rsidR="000751C3">
        <w:rPr>
          <w:rFonts w:ascii="Segoe UI" w:eastAsia="SimSun" w:hAnsi="Segoe UI" w:cs="Segoe UI"/>
          <w:b/>
          <w:color w:val="000000" w:themeColor="text1"/>
          <w:sz w:val="20"/>
          <w:lang w:eastAsia="ja-JP"/>
        </w:rPr>
        <w:t xml:space="preserve"> en raison du haut niveau de </w:t>
      </w:r>
      <w:r w:rsidR="00727C6C">
        <w:rPr>
          <w:rFonts w:ascii="Segoe UI" w:eastAsia="SimSun" w:hAnsi="Segoe UI" w:cs="Segoe UI"/>
          <w:b/>
          <w:color w:val="000000" w:themeColor="text1"/>
          <w:sz w:val="20"/>
          <w:lang w:eastAsia="ja-JP"/>
        </w:rPr>
        <w:t xml:space="preserve">PIB </w:t>
      </w:r>
      <w:r w:rsidR="000751C3">
        <w:rPr>
          <w:rFonts w:ascii="Segoe UI" w:eastAsia="SimSun" w:hAnsi="Segoe UI" w:cs="Segoe UI"/>
          <w:b/>
          <w:color w:val="000000" w:themeColor="text1"/>
          <w:sz w:val="20"/>
          <w:lang w:eastAsia="ja-JP"/>
        </w:rPr>
        <w:t>par habitant</w:t>
      </w:r>
      <w:r w:rsidR="000751C3">
        <w:rPr>
          <w:rStyle w:val="Appelnotedebasdep"/>
          <w:rFonts w:ascii="Segoe UI" w:eastAsia="SimSun" w:hAnsi="Segoe UI" w:cs="Segoe UI"/>
          <w:b/>
          <w:color w:val="000000" w:themeColor="text1"/>
          <w:sz w:val="20"/>
          <w:lang w:eastAsia="ja-JP"/>
        </w:rPr>
        <w:footnoteReference w:id="2"/>
      </w:r>
      <w:r w:rsidR="000751C3">
        <w:rPr>
          <w:rFonts w:ascii="Segoe UI" w:eastAsia="SimSun" w:hAnsi="Segoe UI" w:cs="Segoe UI"/>
          <w:b/>
          <w:color w:val="000000" w:themeColor="text1"/>
          <w:sz w:val="20"/>
          <w:lang w:eastAsia="ja-JP"/>
        </w:rPr>
        <w:t xml:space="preserve"> et du retour de nombreux Taïwanais disposant d’un haut niveau de revenu</w:t>
      </w:r>
      <w:r>
        <w:rPr>
          <w:rFonts w:ascii="Segoe UI" w:eastAsia="SimSun" w:hAnsi="Segoe UI" w:cs="Segoe UI"/>
          <w:b/>
          <w:color w:val="000000" w:themeColor="text1"/>
          <w:sz w:val="20"/>
          <w:lang w:eastAsia="ja-JP"/>
        </w:rPr>
        <w:t>.</w:t>
      </w:r>
      <w:r w:rsidR="000751C3">
        <w:rPr>
          <w:rFonts w:ascii="Segoe UI" w:eastAsia="SimSun" w:hAnsi="Segoe UI" w:cs="Segoe UI"/>
          <w:b/>
          <w:color w:val="000000" w:themeColor="text1"/>
          <w:sz w:val="20"/>
          <w:lang w:eastAsia="ja-JP"/>
        </w:rPr>
        <w:t xml:space="preserve"> </w:t>
      </w:r>
      <w:r w:rsidR="00DA7A20" w:rsidRPr="00DA7A20">
        <w:rPr>
          <w:rFonts w:ascii="Segoe UI" w:eastAsia="SimSun" w:hAnsi="Segoe UI" w:cs="Segoe UI"/>
          <w:color w:val="000000" w:themeColor="text1"/>
          <w:sz w:val="20"/>
          <w:lang w:eastAsia="ja-JP"/>
        </w:rPr>
        <w:t>N</w:t>
      </w:r>
      <w:r w:rsidR="000751C3" w:rsidRPr="000751C3">
        <w:rPr>
          <w:rFonts w:ascii="Segoe UI" w:eastAsia="SimSun" w:hAnsi="Segoe UI" w:cs="Segoe UI"/>
          <w:color w:val="000000" w:themeColor="text1"/>
          <w:sz w:val="20"/>
          <w:lang w:eastAsia="ja-JP"/>
        </w:rPr>
        <w:t>os exportations</w:t>
      </w:r>
      <w:r w:rsidR="000751C3">
        <w:rPr>
          <w:rFonts w:ascii="Segoe UI" w:eastAsia="SimSun" w:hAnsi="Segoe UI" w:cs="Segoe UI"/>
          <w:b/>
          <w:color w:val="000000" w:themeColor="text1"/>
          <w:sz w:val="20"/>
          <w:lang w:eastAsia="ja-JP"/>
        </w:rPr>
        <w:t xml:space="preserve"> </w:t>
      </w:r>
      <w:r w:rsidR="000751C3" w:rsidRPr="00301E27">
        <w:rPr>
          <w:rFonts w:ascii="Segoe UI" w:eastAsia="SimSun" w:hAnsi="Segoe UI" w:cs="Segoe UI"/>
          <w:color w:val="000000" w:themeColor="text1"/>
          <w:sz w:val="20"/>
          <w:lang w:eastAsia="ja-JP"/>
        </w:rPr>
        <w:t xml:space="preserve">d’articles de voyage, de maroquinerie, de sellerie et de bourrellerie bondissent de </w:t>
      </w:r>
      <w:r w:rsidR="00D82378">
        <w:rPr>
          <w:rFonts w:ascii="Segoe UI" w:eastAsia="SimSun" w:hAnsi="Segoe UI" w:cs="Segoe UI"/>
          <w:color w:val="000000" w:themeColor="text1"/>
          <w:sz w:val="20"/>
          <w:lang w:eastAsia="ja-JP"/>
        </w:rPr>
        <w:t>20,3</w:t>
      </w:r>
      <w:r w:rsidR="000751C3" w:rsidRPr="00301E27">
        <w:rPr>
          <w:rFonts w:ascii="Segoe UI" w:eastAsia="SimSun" w:hAnsi="Segoe UI" w:cs="Segoe UI"/>
          <w:color w:val="000000" w:themeColor="text1"/>
          <w:sz w:val="20"/>
          <w:lang w:eastAsia="ja-JP"/>
        </w:rPr>
        <w:t>%</w:t>
      </w:r>
      <w:r w:rsidR="00301E27">
        <w:rPr>
          <w:rFonts w:ascii="Segoe UI" w:eastAsia="SimSun" w:hAnsi="Segoe UI" w:cs="Segoe UI"/>
          <w:color w:val="000000" w:themeColor="text1"/>
          <w:sz w:val="20"/>
          <w:lang w:eastAsia="ja-JP"/>
        </w:rPr>
        <w:t xml:space="preserve"> </w:t>
      </w:r>
      <w:r w:rsidR="000751C3" w:rsidRPr="00301E27">
        <w:rPr>
          <w:rFonts w:ascii="Segoe UI" w:eastAsia="SimSun" w:hAnsi="Segoe UI" w:cs="Segoe UI"/>
          <w:color w:val="000000" w:themeColor="text1"/>
          <w:sz w:val="20"/>
          <w:lang w:eastAsia="ja-JP"/>
        </w:rPr>
        <w:t xml:space="preserve">à </w:t>
      </w:r>
      <w:r w:rsidR="00D82378">
        <w:rPr>
          <w:rFonts w:ascii="Segoe UI" w:eastAsia="SimSun" w:hAnsi="Segoe UI" w:cs="Segoe UI"/>
          <w:color w:val="000000" w:themeColor="text1"/>
          <w:sz w:val="20"/>
          <w:lang w:eastAsia="ja-JP"/>
        </w:rPr>
        <w:t>111</w:t>
      </w:r>
      <w:r w:rsidR="000751C3" w:rsidRPr="00301E27">
        <w:rPr>
          <w:rFonts w:ascii="Segoe UI" w:eastAsia="SimSun" w:hAnsi="Segoe UI" w:cs="Segoe UI"/>
          <w:color w:val="000000" w:themeColor="text1"/>
          <w:sz w:val="20"/>
          <w:lang w:eastAsia="ja-JP"/>
        </w:rPr>
        <w:t xml:space="preserve"> M EUR </w:t>
      </w:r>
      <w:r w:rsidR="00FC5C64">
        <w:rPr>
          <w:rFonts w:ascii="Segoe UI" w:eastAsia="SimSun" w:hAnsi="Segoe UI" w:cs="Segoe UI"/>
          <w:color w:val="000000" w:themeColor="text1"/>
          <w:sz w:val="20"/>
          <w:lang w:eastAsia="ja-JP"/>
        </w:rPr>
        <w:t xml:space="preserve">; </w:t>
      </w:r>
      <w:r w:rsidR="00FE1833">
        <w:rPr>
          <w:rFonts w:ascii="Segoe UI" w:eastAsia="SimSun" w:hAnsi="Segoe UI" w:cs="Segoe UI"/>
          <w:color w:val="000000" w:themeColor="text1"/>
          <w:sz w:val="20"/>
          <w:lang w:eastAsia="ja-JP"/>
        </w:rPr>
        <w:t>c</w:t>
      </w:r>
      <w:r w:rsidR="000751C3" w:rsidRPr="00301E27">
        <w:rPr>
          <w:rFonts w:ascii="Segoe UI" w:eastAsia="SimSun" w:hAnsi="Segoe UI" w:cs="Segoe UI"/>
          <w:color w:val="000000" w:themeColor="text1"/>
          <w:sz w:val="20"/>
          <w:lang w:eastAsia="ja-JP"/>
        </w:rPr>
        <w:t>elles d</w:t>
      </w:r>
      <w:r w:rsidR="00097F69">
        <w:rPr>
          <w:rFonts w:ascii="Segoe UI" w:eastAsia="SimSun" w:hAnsi="Segoe UI" w:cs="Segoe UI"/>
          <w:color w:val="000000" w:themeColor="text1"/>
          <w:sz w:val="20"/>
          <w:lang w:eastAsia="ja-JP"/>
        </w:rPr>
        <w:t>’</w:t>
      </w:r>
      <w:r w:rsidR="000751C3" w:rsidRPr="00301E27">
        <w:rPr>
          <w:rFonts w:ascii="Segoe UI" w:eastAsia="SimSun" w:hAnsi="Segoe UI" w:cs="Segoe UI"/>
          <w:color w:val="000000" w:themeColor="text1"/>
          <w:sz w:val="20"/>
          <w:lang w:eastAsia="ja-JP"/>
        </w:rPr>
        <w:t>articles de joaillerie et bijouterie progresse</w:t>
      </w:r>
      <w:r w:rsidR="001436DC">
        <w:rPr>
          <w:rFonts w:ascii="Segoe UI" w:eastAsia="SimSun" w:hAnsi="Segoe UI" w:cs="Segoe UI"/>
          <w:color w:val="000000" w:themeColor="text1"/>
          <w:sz w:val="20"/>
          <w:lang w:eastAsia="ja-JP"/>
        </w:rPr>
        <w:t>nt</w:t>
      </w:r>
      <w:r w:rsidR="000751C3" w:rsidRPr="00301E27">
        <w:rPr>
          <w:rFonts w:ascii="Segoe UI" w:eastAsia="SimSun" w:hAnsi="Segoe UI" w:cs="Segoe UI"/>
          <w:color w:val="000000" w:themeColor="text1"/>
          <w:sz w:val="20"/>
          <w:lang w:eastAsia="ja-JP"/>
        </w:rPr>
        <w:t xml:space="preserve"> de façon similaire (+</w:t>
      </w:r>
      <w:r w:rsidR="00D82378">
        <w:rPr>
          <w:rFonts w:ascii="Segoe UI" w:eastAsia="SimSun" w:hAnsi="Segoe UI" w:cs="Segoe UI"/>
          <w:color w:val="000000" w:themeColor="text1"/>
          <w:sz w:val="20"/>
          <w:lang w:eastAsia="ja-JP"/>
        </w:rPr>
        <w:t>12,2</w:t>
      </w:r>
      <w:r w:rsidR="000751C3" w:rsidRPr="00301E27">
        <w:rPr>
          <w:rFonts w:ascii="Segoe UI" w:eastAsia="SimSun" w:hAnsi="Segoe UI" w:cs="Segoe UI"/>
          <w:color w:val="000000" w:themeColor="text1"/>
          <w:sz w:val="20"/>
          <w:lang w:eastAsia="ja-JP"/>
        </w:rPr>
        <w:t xml:space="preserve">%) à </w:t>
      </w:r>
      <w:r w:rsidR="00D82378">
        <w:rPr>
          <w:rFonts w:ascii="Segoe UI" w:eastAsia="SimSun" w:hAnsi="Segoe UI" w:cs="Segoe UI"/>
          <w:color w:val="000000" w:themeColor="text1"/>
          <w:sz w:val="20"/>
          <w:lang w:eastAsia="ja-JP"/>
        </w:rPr>
        <w:t>45</w:t>
      </w:r>
      <w:r w:rsidR="000751C3" w:rsidRPr="00301E27">
        <w:rPr>
          <w:rFonts w:ascii="Segoe UI" w:eastAsia="SimSun" w:hAnsi="Segoe UI" w:cs="Segoe UI"/>
          <w:color w:val="000000" w:themeColor="text1"/>
          <w:sz w:val="20"/>
          <w:lang w:eastAsia="ja-JP"/>
        </w:rPr>
        <w:t xml:space="preserve"> M EUR.</w:t>
      </w:r>
      <w:r w:rsidR="00301E27">
        <w:rPr>
          <w:rFonts w:ascii="Segoe UI" w:eastAsia="SimSun" w:hAnsi="Segoe UI" w:cs="Segoe UI"/>
          <w:color w:val="000000" w:themeColor="text1"/>
          <w:sz w:val="20"/>
          <w:lang w:eastAsia="ja-JP"/>
        </w:rPr>
        <w:t xml:space="preserve"> Les </w:t>
      </w:r>
      <w:r w:rsidR="00097F69">
        <w:rPr>
          <w:rFonts w:ascii="Segoe UI" w:eastAsia="SimSun" w:hAnsi="Segoe UI" w:cs="Segoe UI"/>
          <w:color w:val="000000" w:themeColor="text1"/>
          <w:sz w:val="20"/>
          <w:lang w:eastAsia="ja-JP"/>
        </w:rPr>
        <w:lastRenderedPageBreak/>
        <w:t xml:space="preserve">exportations de </w:t>
      </w:r>
      <w:r w:rsidR="00301E27">
        <w:rPr>
          <w:rFonts w:ascii="Segoe UI" w:eastAsia="SimSun" w:hAnsi="Segoe UI" w:cs="Segoe UI"/>
          <w:color w:val="000000" w:themeColor="text1"/>
          <w:sz w:val="20"/>
          <w:lang w:eastAsia="ja-JP"/>
        </w:rPr>
        <w:t>parfums</w:t>
      </w:r>
      <w:r w:rsidR="000751C3">
        <w:rPr>
          <w:rFonts w:ascii="Segoe UI" w:eastAsia="SimSun" w:hAnsi="Segoe UI" w:cs="Segoe UI"/>
          <w:b/>
          <w:color w:val="000000" w:themeColor="text1"/>
          <w:sz w:val="20"/>
          <w:lang w:eastAsia="ja-JP"/>
        </w:rPr>
        <w:t xml:space="preserve"> </w:t>
      </w:r>
      <w:r w:rsidR="00301E27" w:rsidRPr="007A04CC">
        <w:rPr>
          <w:rFonts w:ascii="Segoe UI" w:eastAsia="SimSun" w:hAnsi="Segoe UI" w:cs="Segoe UI"/>
          <w:color w:val="000000" w:themeColor="text1"/>
          <w:sz w:val="20"/>
          <w:lang w:eastAsia="ja-JP"/>
        </w:rPr>
        <w:t>et produits pour la toilette progresse</w:t>
      </w:r>
      <w:r w:rsidR="00097F69">
        <w:rPr>
          <w:rFonts w:ascii="Segoe UI" w:eastAsia="SimSun" w:hAnsi="Segoe UI" w:cs="Segoe UI"/>
          <w:color w:val="000000" w:themeColor="text1"/>
          <w:sz w:val="20"/>
          <w:lang w:eastAsia="ja-JP"/>
        </w:rPr>
        <w:t>nt</w:t>
      </w:r>
      <w:r w:rsidR="00301E27" w:rsidRPr="007A04CC">
        <w:rPr>
          <w:rFonts w:ascii="Segoe UI" w:eastAsia="SimSun" w:hAnsi="Segoe UI" w:cs="Segoe UI"/>
          <w:color w:val="000000" w:themeColor="text1"/>
          <w:sz w:val="20"/>
          <w:lang w:eastAsia="ja-JP"/>
        </w:rPr>
        <w:t xml:space="preserve"> à </w:t>
      </w:r>
      <w:r w:rsidR="00D82378">
        <w:rPr>
          <w:rFonts w:ascii="Segoe UI" w:eastAsia="SimSun" w:hAnsi="Segoe UI" w:cs="Segoe UI"/>
          <w:color w:val="000000" w:themeColor="text1"/>
          <w:sz w:val="20"/>
          <w:lang w:eastAsia="ja-JP"/>
        </w:rPr>
        <w:t>105</w:t>
      </w:r>
      <w:r w:rsidR="00301E27" w:rsidRPr="007A04CC">
        <w:rPr>
          <w:rFonts w:ascii="Segoe UI" w:eastAsia="SimSun" w:hAnsi="Segoe UI" w:cs="Segoe UI"/>
          <w:color w:val="000000" w:themeColor="text1"/>
          <w:sz w:val="20"/>
          <w:lang w:eastAsia="ja-JP"/>
        </w:rPr>
        <w:t xml:space="preserve"> M EUR (+</w:t>
      </w:r>
      <w:r w:rsidR="00D82378">
        <w:rPr>
          <w:rFonts w:ascii="Segoe UI" w:eastAsia="SimSun" w:hAnsi="Segoe UI" w:cs="Segoe UI"/>
          <w:color w:val="000000" w:themeColor="text1"/>
          <w:sz w:val="20"/>
          <w:lang w:eastAsia="ja-JP"/>
        </w:rPr>
        <w:t>15,4</w:t>
      </w:r>
      <w:r w:rsidR="00301E27" w:rsidRPr="007A04CC">
        <w:rPr>
          <w:rFonts w:ascii="Segoe UI" w:eastAsia="SimSun" w:hAnsi="Segoe UI" w:cs="Segoe UI"/>
          <w:color w:val="000000" w:themeColor="text1"/>
          <w:sz w:val="20"/>
          <w:lang w:eastAsia="ja-JP"/>
        </w:rPr>
        <w:t xml:space="preserve">%) alors que </w:t>
      </w:r>
      <w:r w:rsidR="00097F69">
        <w:rPr>
          <w:rFonts w:ascii="Segoe UI" w:eastAsia="SimSun" w:hAnsi="Segoe UI" w:cs="Segoe UI"/>
          <w:color w:val="000000" w:themeColor="text1"/>
          <w:sz w:val="20"/>
          <w:lang w:eastAsia="ja-JP"/>
        </w:rPr>
        <w:t>cel</w:t>
      </w:r>
      <w:r w:rsidR="00301E27" w:rsidRPr="007A04CC">
        <w:rPr>
          <w:rFonts w:ascii="Segoe UI" w:eastAsia="SimSun" w:hAnsi="Segoe UI" w:cs="Segoe UI"/>
          <w:color w:val="000000" w:themeColor="text1"/>
          <w:sz w:val="20"/>
          <w:lang w:eastAsia="ja-JP"/>
        </w:rPr>
        <w:t>les d</w:t>
      </w:r>
      <w:r w:rsidR="00097F69">
        <w:rPr>
          <w:rFonts w:ascii="Segoe UI" w:eastAsia="SimSun" w:hAnsi="Segoe UI" w:cs="Segoe UI"/>
          <w:color w:val="000000" w:themeColor="text1"/>
          <w:sz w:val="20"/>
          <w:lang w:eastAsia="ja-JP"/>
        </w:rPr>
        <w:t xml:space="preserve">u secteur </w:t>
      </w:r>
      <w:r w:rsidR="00301E27" w:rsidRPr="007A04CC">
        <w:rPr>
          <w:rFonts w:ascii="Segoe UI" w:eastAsia="SimSun" w:hAnsi="Segoe UI" w:cs="Segoe UI"/>
          <w:color w:val="000000" w:themeColor="text1"/>
          <w:sz w:val="20"/>
          <w:lang w:eastAsia="ja-JP"/>
        </w:rPr>
        <w:t xml:space="preserve">autres vêtements et accessoires connaissent une embellie à </w:t>
      </w:r>
      <w:r w:rsidR="00D82378">
        <w:rPr>
          <w:rFonts w:ascii="Segoe UI" w:eastAsia="SimSun" w:hAnsi="Segoe UI" w:cs="Segoe UI"/>
          <w:color w:val="000000" w:themeColor="text1"/>
          <w:sz w:val="20"/>
          <w:lang w:eastAsia="ja-JP"/>
        </w:rPr>
        <w:t>44</w:t>
      </w:r>
      <w:r w:rsidR="00301E27" w:rsidRPr="007A04CC">
        <w:rPr>
          <w:rFonts w:ascii="Segoe UI" w:eastAsia="SimSun" w:hAnsi="Segoe UI" w:cs="Segoe UI"/>
          <w:color w:val="000000" w:themeColor="text1"/>
          <w:sz w:val="20"/>
          <w:lang w:eastAsia="ja-JP"/>
        </w:rPr>
        <w:t xml:space="preserve"> M EUR (+</w:t>
      </w:r>
      <w:r w:rsidR="00D82378">
        <w:rPr>
          <w:rFonts w:ascii="Segoe UI" w:eastAsia="SimSun" w:hAnsi="Segoe UI" w:cs="Segoe UI"/>
          <w:color w:val="000000" w:themeColor="text1"/>
          <w:sz w:val="20"/>
          <w:lang w:eastAsia="ja-JP"/>
        </w:rPr>
        <w:t>50,3</w:t>
      </w:r>
      <w:r w:rsidR="007A04CC" w:rsidRPr="007A04CC">
        <w:rPr>
          <w:rFonts w:ascii="Segoe UI" w:eastAsia="SimSun" w:hAnsi="Segoe UI" w:cs="Segoe UI"/>
          <w:color w:val="000000" w:themeColor="text1"/>
          <w:sz w:val="20"/>
          <w:lang w:eastAsia="ja-JP"/>
        </w:rPr>
        <w:t>%).</w:t>
      </w:r>
      <w:r w:rsidR="008F616D">
        <w:rPr>
          <w:rFonts w:ascii="Segoe UI" w:eastAsia="SimSun" w:hAnsi="Segoe UI" w:cs="Segoe UI"/>
          <w:color w:val="000000" w:themeColor="text1"/>
          <w:sz w:val="20"/>
          <w:lang w:eastAsia="ja-JP"/>
        </w:rPr>
        <w:t xml:space="preserve"> Dans ces quatre secteurs nos exportations dépassent </w:t>
      </w:r>
      <w:r w:rsidR="0034015B">
        <w:rPr>
          <w:rFonts w:ascii="Segoe UI" w:eastAsia="SimSun" w:hAnsi="Segoe UI" w:cs="Segoe UI"/>
          <w:color w:val="000000" w:themeColor="text1"/>
          <w:sz w:val="20"/>
          <w:lang w:eastAsia="ja-JP"/>
        </w:rPr>
        <w:t xml:space="preserve">également </w:t>
      </w:r>
      <w:r w:rsidR="008F616D">
        <w:rPr>
          <w:rFonts w:ascii="Segoe UI" w:eastAsia="SimSun" w:hAnsi="Segoe UI" w:cs="Segoe UI"/>
          <w:color w:val="000000" w:themeColor="text1"/>
          <w:sz w:val="20"/>
          <w:lang w:eastAsia="ja-JP"/>
        </w:rPr>
        <w:t xml:space="preserve">sensiblement leur niveau </w:t>
      </w:r>
      <w:r w:rsidR="00D82378">
        <w:rPr>
          <w:rFonts w:ascii="Segoe UI" w:eastAsia="SimSun" w:hAnsi="Segoe UI" w:cs="Segoe UI"/>
          <w:color w:val="000000" w:themeColor="text1"/>
          <w:sz w:val="20"/>
          <w:lang w:eastAsia="ja-JP"/>
        </w:rPr>
        <w:t xml:space="preserve">de </w:t>
      </w:r>
      <w:r w:rsidR="008F616D">
        <w:rPr>
          <w:rFonts w:ascii="Segoe UI" w:eastAsia="SimSun" w:hAnsi="Segoe UI" w:cs="Segoe UI"/>
          <w:color w:val="000000" w:themeColor="text1"/>
          <w:sz w:val="20"/>
          <w:lang w:eastAsia="ja-JP"/>
        </w:rPr>
        <w:t>2019.</w:t>
      </w:r>
      <w:r w:rsidR="00DA7A20">
        <w:rPr>
          <w:rFonts w:ascii="Segoe UI" w:eastAsia="SimSun" w:hAnsi="Segoe UI" w:cs="Segoe UI"/>
          <w:color w:val="000000" w:themeColor="text1"/>
          <w:sz w:val="20"/>
          <w:lang w:eastAsia="ja-JP"/>
        </w:rPr>
        <w:t xml:space="preserve"> Cette hausse de nos exportations ne traduit pas une augmentation des dépenses des consommateurs taïwanais</w:t>
      </w:r>
      <w:r w:rsidR="00960AA6">
        <w:rPr>
          <w:rFonts w:ascii="Segoe UI" w:eastAsia="SimSun" w:hAnsi="Segoe UI" w:cs="Segoe UI"/>
          <w:color w:val="000000" w:themeColor="text1"/>
          <w:sz w:val="20"/>
          <w:lang w:eastAsia="ja-JP"/>
        </w:rPr>
        <w:t>,</w:t>
      </w:r>
      <w:r w:rsidR="00DA7A20">
        <w:rPr>
          <w:rFonts w:ascii="Segoe UI" w:eastAsia="SimSun" w:hAnsi="Segoe UI" w:cs="Segoe UI"/>
          <w:color w:val="000000" w:themeColor="text1"/>
          <w:sz w:val="20"/>
          <w:lang w:eastAsia="ja-JP"/>
        </w:rPr>
        <w:t xml:space="preserve"> mais leur concentration sur le territoire taïwanais</w:t>
      </w:r>
      <w:r w:rsidR="00960AA6">
        <w:rPr>
          <w:rFonts w:ascii="Segoe UI" w:eastAsia="SimSun" w:hAnsi="Segoe UI" w:cs="Segoe UI"/>
          <w:color w:val="000000" w:themeColor="text1"/>
          <w:sz w:val="20"/>
          <w:lang w:eastAsia="ja-JP"/>
        </w:rPr>
        <w:t>,</w:t>
      </w:r>
      <w:r w:rsidR="00DA7A20">
        <w:rPr>
          <w:rFonts w:ascii="Segoe UI" w:eastAsia="SimSun" w:hAnsi="Segoe UI" w:cs="Segoe UI"/>
          <w:color w:val="000000" w:themeColor="text1"/>
          <w:sz w:val="20"/>
          <w:lang w:eastAsia="ja-JP"/>
        </w:rPr>
        <w:t xml:space="preserve"> en raison des règles sanitaires qui ont limité les achats à l’étranger.  </w:t>
      </w:r>
      <w:r w:rsidR="00301E27" w:rsidRPr="007A04CC">
        <w:rPr>
          <w:rFonts w:ascii="Segoe UI" w:eastAsia="SimSun" w:hAnsi="Segoe UI" w:cs="Segoe UI"/>
          <w:color w:val="000000" w:themeColor="text1"/>
          <w:sz w:val="20"/>
          <w:lang w:eastAsia="ja-JP"/>
        </w:rPr>
        <w:t xml:space="preserve">   </w:t>
      </w:r>
      <w:r w:rsidR="000751C3" w:rsidRPr="007A04CC">
        <w:rPr>
          <w:rFonts w:ascii="Segoe UI" w:eastAsia="SimSun" w:hAnsi="Segoe UI" w:cs="Segoe UI"/>
          <w:color w:val="000000" w:themeColor="text1"/>
          <w:sz w:val="20"/>
          <w:lang w:eastAsia="ja-JP"/>
        </w:rPr>
        <w:t xml:space="preserve">  </w:t>
      </w:r>
      <w:r w:rsidRPr="007A04CC">
        <w:rPr>
          <w:rFonts w:ascii="Segoe UI" w:eastAsia="SimSun" w:hAnsi="Segoe UI" w:cs="Segoe UI"/>
          <w:color w:val="000000" w:themeColor="text1"/>
          <w:sz w:val="20"/>
          <w:lang w:eastAsia="ja-JP"/>
        </w:rPr>
        <w:t xml:space="preserve"> </w:t>
      </w:r>
    </w:p>
    <w:p w:rsidR="00143B98" w:rsidRDefault="00B903CA" w:rsidP="00846149">
      <w:pPr>
        <w:jc w:val="both"/>
        <w:rPr>
          <w:rFonts w:ascii="Segoe UI" w:eastAsia="SimSun" w:hAnsi="Segoe UI" w:cs="Segoe UI"/>
          <w:color w:val="000000" w:themeColor="text1"/>
          <w:sz w:val="20"/>
          <w:lang w:eastAsia="ja-JP"/>
        </w:rPr>
      </w:pPr>
      <w:r w:rsidRPr="00143B98">
        <w:rPr>
          <w:rFonts w:ascii="Segoe UI" w:eastAsia="SimSun" w:hAnsi="Segoe UI" w:cs="Segoe UI"/>
          <w:b/>
          <w:color w:val="000000" w:themeColor="text1"/>
          <w:sz w:val="20"/>
          <w:lang w:eastAsia="ja-JP"/>
        </w:rPr>
        <w:t>Les produits agroalimentaires</w:t>
      </w:r>
      <w:r w:rsidR="00E66481" w:rsidRPr="00143B98">
        <w:rPr>
          <w:rFonts w:ascii="Segoe UI" w:eastAsia="SimSun" w:hAnsi="Segoe UI" w:cs="Segoe UI"/>
          <w:b/>
          <w:color w:val="000000" w:themeColor="text1"/>
          <w:sz w:val="20"/>
          <w:lang w:eastAsia="ja-JP"/>
        </w:rPr>
        <w:t xml:space="preserve">, </w:t>
      </w:r>
      <w:r w:rsidR="006A0EFE">
        <w:rPr>
          <w:rFonts w:ascii="Segoe UI" w:eastAsia="SimSun" w:hAnsi="Segoe UI" w:cs="Segoe UI"/>
          <w:b/>
          <w:color w:val="000000" w:themeColor="text1"/>
          <w:sz w:val="20"/>
          <w:lang w:eastAsia="ja-JP"/>
        </w:rPr>
        <w:t>3</w:t>
      </w:r>
      <w:r w:rsidR="00E66481" w:rsidRPr="00143B98">
        <w:rPr>
          <w:rFonts w:ascii="Segoe UI" w:eastAsia="SimSun" w:hAnsi="Segoe UI" w:cs="Segoe UI"/>
          <w:b/>
          <w:color w:val="000000" w:themeColor="text1"/>
          <w:sz w:val="20"/>
          <w:vertAlign w:val="superscript"/>
          <w:lang w:eastAsia="ja-JP"/>
        </w:rPr>
        <w:t>ème</w:t>
      </w:r>
      <w:r w:rsidR="00E66481" w:rsidRPr="00143B98">
        <w:rPr>
          <w:rFonts w:ascii="Segoe UI" w:eastAsia="SimSun" w:hAnsi="Segoe UI" w:cs="Segoe UI"/>
          <w:b/>
          <w:color w:val="000000" w:themeColor="text1"/>
          <w:sz w:val="20"/>
          <w:lang w:eastAsia="ja-JP"/>
        </w:rPr>
        <w:t xml:space="preserve"> poste d</w:t>
      </w:r>
      <w:r w:rsidR="0041466A">
        <w:rPr>
          <w:rFonts w:ascii="Segoe UI" w:eastAsia="SimSun" w:hAnsi="Segoe UI" w:cs="Segoe UI"/>
          <w:b/>
          <w:color w:val="000000" w:themeColor="text1"/>
          <w:sz w:val="20"/>
          <w:lang w:eastAsia="ja-JP"/>
        </w:rPr>
        <w:t xml:space="preserve">e nos </w:t>
      </w:r>
      <w:r w:rsidR="00E66481" w:rsidRPr="00143B98">
        <w:rPr>
          <w:rFonts w:ascii="Segoe UI" w:eastAsia="SimSun" w:hAnsi="Segoe UI" w:cs="Segoe UI"/>
          <w:b/>
          <w:color w:val="000000" w:themeColor="text1"/>
          <w:sz w:val="20"/>
          <w:lang w:eastAsia="ja-JP"/>
        </w:rPr>
        <w:t xml:space="preserve">exportations, </w:t>
      </w:r>
      <w:r w:rsidR="00BB5AE4">
        <w:rPr>
          <w:rFonts w:ascii="Segoe UI" w:eastAsia="SimSun" w:hAnsi="Segoe UI" w:cs="Segoe UI"/>
          <w:b/>
          <w:color w:val="000000" w:themeColor="text1"/>
          <w:sz w:val="20"/>
          <w:lang w:eastAsia="ja-JP"/>
        </w:rPr>
        <w:t xml:space="preserve">progressent </w:t>
      </w:r>
      <w:r w:rsidRPr="00143B98">
        <w:rPr>
          <w:rFonts w:ascii="Segoe UI" w:eastAsia="SimSun" w:hAnsi="Segoe UI" w:cs="Segoe UI"/>
          <w:b/>
          <w:color w:val="000000" w:themeColor="text1"/>
          <w:sz w:val="20"/>
          <w:lang w:eastAsia="ja-JP"/>
        </w:rPr>
        <w:t xml:space="preserve">de </w:t>
      </w:r>
      <w:r w:rsidR="00D82378">
        <w:rPr>
          <w:rFonts w:ascii="Segoe UI" w:eastAsia="SimSun" w:hAnsi="Segoe UI" w:cs="Segoe UI"/>
          <w:b/>
          <w:color w:val="000000" w:themeColor="text1"/>
          <w:sz w:val="20"/>
          <w:lang w:eastAsia="ja-JP"/>
        </w:rPr>
        <w:t>6,3</w:t>
      </w:r>
      <w:r w:rsidRPr="00143B98">
        <w:rPr>
          <w:rFonts w:ascii="Segoe UI" w:eastAsia="SimSun" w:hAnsi="Segoe UI" w:cs="Segoe UI"/>
          <w:b/>
          <w:color w:val="000000" w:themeColor="text1"/>
          <w:sz w:val="20"/>
          <w:lang w:eastAsia="ja-JP"/>
        </w:rPr>
        <w:t xml:space="preserve">% à </w:t>
      </w:r>
      <w:r w:rsidR="00D82378">
        <w:rPr>
          <w:rFonts w:ascii="Segoe UI" w:eastAsia="SimSun" w:hAnsi="Segoe UI" w:cs="Segoe UI"/>
          <w:b/>
          <w:color w:val="000000" w:themeColor="text1"/>
          <w:sz w:val="20"/>
          <w:lang w:eastAsia="ja-JP"/>
        </w:rPr>
        <w:t>276</w:t>
      </w:r>
      <w:r w:rsidRPr="00143B98">
        <w:rPr>
          <w:rFonts w:ascii="Segoe UI" w:eastAsia="SimSun" w:hAnsi="Segoe UI" w:cs="Segoe UI"/>
          <w:b/>
          <w:color w:val="000000" w:themeColor="text1"/>
          <w:sz w:val="20"/>
          <w:lang w:eastAsia="ja-JP"/>
        </w:rPr>
        <w:t xml:space="preserve"> M EUR en maintenant un solde sectoriel excédentaire </w:t>
      </w:r>
      <w:r w:rsidR="001F55B5">
        <w:rPr>
          <w:rFonts w:ascii="Segoe UI" w:eastAsia="SimSun" w:hAnsi="Segoe UI" w:cs="Segoe UI"/>
          <w:b/>
          <w:color w:val="000000" w:themeColor="text1"/>
          <w:sz w:val="20"/>
          <w:lang w:eastAsia="ja-JP"/>
        </w:rPr>
        <w:t>(</w:t>
      </w:r>
      <w:r w:rsidR="00D82378">
        <w:rPr>
          <w:rFonts w:ascii="Segoe UI" w:eastAsia="SimSun" w:hAnsi="Segoe UI" w:cs="Segoe UI"/>
          <w:b/>
          <w:color w:val="000000" w:themeColor="text1"/>
          <w:sz w:val="20"/>
          <w:lang w:eastAsia="ja-JP"/>
        </w:rPr>
        <w:t>255</w:t>
      </w:r>
      <w:r w:rsidRPr="00143B98">
        <w:rPr>
          <w:rFonts w:ascii="Segoe UI" w:eastAsia="SimSun" w:hAnsi="Segoe UI" w:cs="Segoe UI"/>
          <w:b/>
          <w:color w:val="000000" w:themeColor="text1"/>
          <w:sz w:val="20"/>
          <w:lang w:eastAsia="ja-JP"/>
        </w:rPr>
        <w:t xml:space="preserve"> M EUR</w:t>
      </w:r>
      <w:r w:rsidR="001F55B5">
        <w:rPr>
          <w:rFonts w:ascii="Segoe UI" w:eastAsia="SimSun" w:hAnsi="Segoe UI" w:cs="Segoe UI"/>
          <w:b/>
          <w:color w:val="000000" w:themeColor="text1"/>
          <w:sz w:val="20"/>
          <w:lang w:eastAsia="ja-JP"/>
        </w:rPr>
        <w:t>)</w:t>
      </w:r>
      <w:r w:rsidRPr="00143B98">
        <w:rPr>
          <w:rFonts w:ascii="Segoe UI" w:eastAsia="SimSun" w:hAnsi="Segoe UI" w:cs="Segoe UI"/>
          <w:b/>
          <w:color w:val="000000" w:themeColor="text1"/>
          <w:sz w:val="20"/>
          <w:lang w:eastAsia="ja-JP"/>
        </w:rPr>
        <w:t>.</w:t>
      </w:r>
      <w:r w:rsidR="009957A0" w:rsidRPr="009957A0">
        <w:rPr>
          <w:rFonts w:ascii="Segoe UI" w:eastAsia="SimSun" w:hAnsi="Segoe UI" w:cs="Segoe UI"/>
          <w:color w:val="000000" w:themeColor="text1"/>
          <w:sz w:val="20"/>
          <w:lang w:eastAsia="ja-JP"/>
        </w:rPr>
        <w:t xml:space="preserve"> </w:t>
      </w:r>
      <w:r w:rsidR="009957A0" w:rsidRPr="00B903CA">
        <w:rPr>
          <w:rFonts w:ascii="Segoe UI" w:eastAsia="SimSun" w:hAnsi="Segoe UI" w:cs="Segoe UI"/>
          <w:color w:val="000000" w:themeColor="text1"/>
          <w:sz w:val="20"/>
          <w:lang w:eastAsia="ja-JP"/>
        </w:rPr>
        <w:t xml:space="preserve">Nos exportations de vins </w:t>
      </w:r>
      <w:r w:rsidR="009B6A2F">
        <w:rPr>
          <w:rFonts w:ascii="Segoe UI" w:eastAsia="SimSun" w:hAnsi="Segoe UI" w:cs="Segoe UI"/>
          <w:color w:val="000000" w:themeColor="text1"/>
          <w:sz w:val="20"/>
          <w:lang w:eastAsia="ja-JP"/>
        </w:rPr>
        <w:t xml:space="preserve">de raisin atteignent </w:t>
      </w:r>
      <w:r w:rsidR="00D82378">
        <w:rPr>
          <w:rFonts w:ascii="Segoe UI" w:eastAsia="SimSun" w:hAnsi="Segoe UI" w:cs="Segoe UI"/>
          <w:color w:val="000000" w:themeColor="text1"/>
          <w:sz w:val="20"/>
          <w:lang w:eastAsia="ja-JP"/>
        </w:rPr>
        <w:t>102</w:t>
      </w:r>
      <w:r w:rsidR="009957A0" w:rsidRPr="00B903CA">
        <w:rPr>
          <w:rFonts w:ascii="Segoe UI" w:eastAsia="SimSun" w:hAnsi="Segoe UI" w:cs="Segoe UI"/>
          <w:color w:val="000000" w:themeColor="text1"/>
          <w:sz w:val="20"/>
          <w:lang w:eastAsia="ja-JP"/>
        </w:rPr>
        <w:t xml:space="preserve"> M EUR (+</w:t>
      </w:r>
      <w:r w:rsidR="003E2D5C">
        <w:rPr>
          <w:rFonts w:ascii="Segoe UI" w:eastAsia="SimSun" w:hAnsi="Segoe UI" w:cs="Segoe UI"/>
          <w:color w:val="000000" w:themeColor="text1"/>
          <w:sz w:val="20"/>
          <w:lang w:eastAsia="ja-JP"/>
        </w:rPr>
        <w:t>10,8</w:t>
      </w:r>
      <w:r w:rsidR="009957A0" w:rsidRPr="00B903CA">
        <w:rPr>
          <w:rFonts w:ascii="Segoe UI" w:eastAsia="SimSun" w:hAnsi="Segoe UI" w:cs="Segoe UI"/>
          <w:color w:val="000000" w:themeColor="text1"/>
          <w:sz w:val="20"/>
          <w:lang w:eastAsia="ja-JP"/>
        </w:rPr>
        <w:t xml:space="preserve">%), celles de produits laitiers </w:t>
      </w:r>
      <w:r w:rsidR="003E2D5C">
        <w:rPr>
          <w:rFonts w:ascii="Segoe UI" w:eastAsia="SimSun" w:hAnsi="Segoe UI" w:cs="Segoe UI"/>
          <w:color w:val="000000" w:themeColor="text1"/>
          <w:sz w:val="20"/>
          <w:lang w:eastAsia="ja-JP"/>
        </w:rPr>
        <w:t>43</w:t>
      </w:r>
      <w:r w:rsidR="009957A0" w:rsidRPr="00B903CA">
        <w:rPr>
          <w:rFonts w:ascii="Segoe UI" w:eastAsia="SimSun" w:hAnsi="Segoe UI" w:cs="Segoe UI"/>
          <w:color w:val="000000" w:themeColor="text1"/>
          <w:sz w:val="20"/>
          <w:lang w:eastAsia="ja-JP"/>
        </w:rPr>
        <w:t xml:space="preserve"> M EUR (+</w:t>
      </w:r>
      <w:r w:rsidR="003E2D5C">
        <w:rPr>
          <w:rFonts w:ascii="Segoe UI" w:eastAsia="SimSun" w:hAnsi="Segoe UI" w:cs="Segoe UI"/>
          <w:color w:val="000000" w:themeColor="text1"/>
          <w:sz w:val="20"/>
          <w:lang w:eastAsia="ja-JP"/>
        </w:rPr>
        <w:t>10,8</w:t>
      </w:r>
      <w:r w:rsidR="009957A0" w:rsidRPr="00B903CA">
        <w:rPr>
          <w:rFonts w:ascii="Segoe UI" w:eastAsia="SimSun" w:hAnsi="Segoe UI" w:cs="Segoe UI"/>
          <w:color w:val="000000" w:themeColor="text1"/>
          <w:sz w:val="20"/>
          <w:lang w:eastAsia="ja-JP"/>
        </w:rPr>
        <w:t xml:space="preserve">%) alors que les boissons alcoolisées distillées enregistrent </w:t>
      </w:r>
      <w:r w:rsidR="0041466A">
        <w:rPr>
          <w:rFonts w:ascii="Segoe UI" w:eastAsia="SimSun" w:hAnsi="Segoe UI" w:cs="Segoe UI"/>
          <w:color w:val="000000" w:themeColor="text1"/>
          <w:sz w:val="20"/>
          <w:lang w:eastAsia="ja-JP"/>
        </w:rPr>
        <w:t xml:space="preserve">a contrario </w:t>
      </w:r>
      <w:r w:rsidR="009957A0" w:rsidRPr="00B903CA">
        <w:rPr>
          <w:rFonts w:ascii="Segoe UI" w:eastAsia="SimSun" w:hAnsi="Segoe UI" w:cs="Segoe UI"/>
          <w:color w:val="000000" w:themeColor="text1"/>
          <w:sz w:val="20"/>
          <w:lang w:eastAsia="ja-JP"/>
        </w:rPr>
        <w:t xml:space="preserve">une baisse de </w:t>
      </w:r>
      <w:r w:rsidR="003E2D5C">
        <w:rPr>
          <w:rFonts w:ascii="Segoe UI" w:eastAsia="SimSun" w:hAnsi="Segoe UI" w:cs="Segoe UI"/>
          <w:color w:val="000000" w:themeColor="text1"/>
          <w:sz w:val="20"/>
          <w:lang w:eastAsia="ja-JP"/>
        </w:rPr>
        <w:t>30,6</w:t>
      </w:r>
      <w:r w:rsidR="009957A0" w:rsidRPr="00B903CA">
        <w:rPr>
          <w:rFonts w:ascii="Segoe UI" w:eastAsia="SimSun" w:hAnsi="Segoe UI" w:cs="Segoe UI"/>
          <w:color w:val="000000" w:themeColor="text1"/>
          <w:sz w:val="20"/>
          <w:lang w:eastAsia="ja-JP"/>
        </w:rPr>
        <w:t xml:space="preserve">% à </w:t>
      </w:r>
      <w:r w:rsidR="003E2D5C">
        <w:rPr>
          <w:rFonts w:ascii="Segoe UI" w:eastAsia="SimSun" w:hAnsi="Segoe UI" w:cs="Segoe UI"/>
          <w:color w:val="000000" w:themeColor="text1"/>
          <w:sz w:val="20"/>
          <w:lang w:eastAsia="ja-JP"/>
        </w:rPr>
        <w:t>17</w:t>
      </w:r>
      <w:r w:rsidR="009957A0" w:rsidRPr="00B903CA">
        <w:rPr>
          <w:rFonts w:ascii="Segoe UI" w:eastAsia="SimSun" w:hAnsi="Segoe UI" w:cs="Segoe UI"/>
          <w:color w:val="000000" w:themeColor="text1"/>
          <w:sz w:val="20"/>
          <w:lang w:eastAsia="ja-JP"/>
        </w:rPr>
        <w:t xml:space="preserve"> M EUR.</w:t>
      </w:r>
      <w:r w:rsidR="009957A0">
        <w:rPr>
          <w:rFonts w:ascii="Segoe UI" w:eastAsia="SimSun" w:hAnsi="Segoe UI" w:cs="Segoe UI"/>
          <w:color w:val="000000" w:themeColor="text1"/>
          <w:sz w:val="20"/>
          <w:lang w:eastAsia="ja-JP"/>
        </w:rPr>
        <w:t xml:space="preserve"> La performance du secteur agro dans son ensemble est remarquable compte tenu de la baisse de </w:t>
      </w:r>
      <w:r w:rsidR="00BB5AE4">
        <w:rPr>
          <w:rFonts w:ascii="Segoe UI" w:eastAsia="SimSun" w:hAnsi="Segoe UI" w:cs="Segoe UI"/>
          <w:color w:val="000000" w:themeColor="text1"/>
          <w:sz w:val="20"/>
          <w:lang w:eastAsia="ja-JP"/>
        </w:rPr>
        <w:t>l</w:t>
      </w:r>
      <w:r w:rsidR="009957A0">
        <w:rPr>
          <w:rFonts w:ascii="Segoe UI" w:eastAsia="SimSun" w:hAnsi="Segoe UI" w:cs="Segoe UI"/>
          <w:color w:val="000000" w:themeColor="text1"/>
          <w:sz w:val="20"/>
          <w:lang w:eastAsia="ja-JP"/>
        </w:rPr>
        <w:t>a consommation des ménages taïwanais au T2 en raison de la hausse subite des cas de Covid-19 à la mi-mai, la crise sanitaire ayant</w:t>
      </w:r>
      <w:r w:rsidR="0041466A">
        <w:rPr>
          <w:rFonts w:ascii="Segoe UI" w:eastAsia="SimSun" w:hAnsi="Segoe UI" w:cs="Segoe UI"/>
          <w:color w:val="000000" w:themeColor="text1"/>
          <w:sz w:val="20"/>
          <w:lang w:eastAsia="ja-JP"/>
        </w:rPr>
        <w:t>,</w:t>
      </w:r>
      <w:r w:rsidR="009957A0">
        <w:rPr>
          <w:rFonts w:ascii="Segoe UI" w:eastAsia="SimSun" w:hAnsi="Segoe UI" w:cs="Segoe UI"/>
          <w:color w:val="000000" w:themeColor="text1"/>
          <w:sz w:val="20"/>
          <w:lang w:eastAsia="ja-JP"/>
        </w:rPr>
        <w:t xml:space="preserve"> </w:t>
      </w:r>
      <w:r w:rsidR="00BB5AE4">
        <w:rPr>
          <w:rFonts w:ascii="Segoe UI" w:eastAsia="SimSun" w:hAnsi="Segoe UI" w:cs="Segoe UI"/>
          <w:color w:val="000000" w:themeColor="text1"/>
          <w:sz w:val="20"/>
          <w:lang w:eastAsia="ja-JP"/>
        </w:rPr>
        <w:t>par ailleurs</w:t>
      </w:r>
      <w:r w:rsidR="0041466A">
        <w:rPr>
          <w:rFonts w:ascii="Segoe UI" w:eastAsia="SimSun" w:hAnsi="Segoe UI" w:cs="Segoe UI"/>
          <w:color w:val="000000" w:themeColor="text1"/>
          <w:sz w:val="20"/>
          <w:lang w:eastAsia="ja-JP"/>
        </w:rPr>
        <w:t>,</w:t>
      </w:r>
      <w:r w:rsidR="00BB5AE4">
        <w:rPr>
          <w:rFonts w:ascii="Segoe UI" w:eastAsia="SimSun" w:hAnsi="Segoe UI" w:cs="Segoe UI"/>
          <w:color w:val="000000" w:themeColor="text1"/>
          <w:sz w:val="20"/>
          <w:lang w:eastAsia="ja-JP"/>
        </w:rPr>
        <w:t xml:space="preserve"> </w:t>
      </w:r>
      <w:r w:rsidR="009957A0">
        <w:rPr>
          <w:rFonts w:ascii="Segoe UI" w:eastAsia="SimSun" w:hAnsi="Segoe UI" w:cs="Segoe UI"/>
          <w:color w:val="000000" w:themeColor="text1"/>
          <w:sz w:val="20"/>
          <w:lang w:eastAsia="ja-JP"/>
        </w:rPr>
        <w:t xml:space="preserve">durablement </w:t>
      </w:r>
      <w:r w:rsidR="0041466A">
        <w:rPr>
          <w:rFonts w:ascii="Segoe UI" w:eastAsia="SimSun" w:hAnsi="Segoe UI" w:cs="Segoe UI"/>
          <w:color w:val="000000" w:themeColor="text1"/>
          <w:sz w:val="20"/>
          <w:lang w:eastAsia="ja-JP"/>
        </w:rPr>
        <w:t>impacté négativement l</w:t>
      </w:r>
      <w:r w:rsidR="009957A0">
        <w:rPr>
          <w:rFonts w:ascii="Segoe UI" w:eastAsia="SimSun" w:hAnsi="Segoe UI" w:cs="Segoe UI"/>
          <w:color w:val="000000" w:themeColor="text1"/>
          <w:sz w:val="20"/>
          <w:lang w:eastAsia="ja-JP"/>
        </w:rPr>
        <w:t xml:space="preserve">es secteurs de l’hôtellerie, de la restauration et des loisirs. </w:t>
      </w:r>
      <w:r w:rsidR="00030D0F">
        <w:rPr>
          <w:rFonts w:ascii="Segoe UI" w:eastAsia="SimSun" w:hAnsi="Segoe UI" w:cs="Segoe UI"/>
          <w:color w:val="000000" w:themeColor="text1"/>
          <w:sz w:val="20"/>
          <w:lang w:eastAsia="ja-JP"/>
        </w:rPr>
        <w:t xml:space="preserve">Le montant de </w:t>
      </w:r>
      <w:r w:rsidR="00BB5AE4">
        <w:rPr>
          <w:rFonts w:ascii="Segoe UI" w:eastAsia="SimSun" w:hAnsi="Segoe UI" w:cs="Segoe UI"/>
          <w:color w:val="000000" w:themeColor="text1"/>
          <w:sz w:val="20"/>
          <w:lang w:eastAsia="ja-JP"/>
        </w:rPr>
        <w:t xml:space="preserve">nos exportations </w:t>
      </w:r>
      <w:r w:rsidR="0041466A">
        <w:rPr>
          <w:rFonts w:ascii="Segoe UI" w:eastAsia="SimSun" w:hAnsi="Segoe UI" w:cs="Segoe UI"/>
          <w:color w:val="000000" w:themeColor="text1"/>
          <w:sz w:val="20"/>
          <w:lang w:eastAsia="ja-JP"/>
        </w:rPr>
        <w:t xml:space="preserve">agroalimentaires </w:t>
      </w:r>
      <w:r w:rsidR="00030D0F">
        <w:rPr>
          <w:rFonts w:ascii="Segoe UI" w:eastAsia="SimSun" w:hAnsi="Segoe UI" w:cs="Segoe UI"/>
          <w:color w:val="000000" w:themeColor="text1"/>
          <w:sz w:val="20"/>
          <w:lang w:eastAsia="ja-JP"/>
        </w:rPr>
        <w:t xml:space="preserve">reste </w:t>
      </w:r>
      <w:r w:rsidR="00FA168D">
        <w:rPr>
          <w:rFonts w:ascii="Segoe UI" w:eastAsia="SimSun" w:hAnsi="Segoe UI" w:cs="Segoe UI"/>
          <w:color w:val="000000" w:themeColor="text1"/>
          <w:sz w:val="20"/>
          <w:lang w:eastAsia="ja-JP"/>
        </w:rPr>
        <w:t xml:space="preserve">toutefois </w:t>
      </w:r>
      <w:r w:rsidR="00030D0F">
        <w:rPr>
          <w:rFonts w:ascii="Segoe UI" w:eastAsia="SimSun" w:hAnsi="Segoe UI" w:cs="Segoe UI"/>
          <w:color w:val="000000" w:themeColor="text1"/>
          <w:sz w:val="20"/>
          <w:lang w:eastAsia="ja-JP"/>
        </w:rPr>
        <w:t>inférieur à</w:t>
      </w:r>
      <w:r w:rsidR="00BB5AE4">
        <w:rPr>
          <w:rFonts w:ascii="Segoe UI" w:eastAsia="SimSun" w:hAnsi="Segoe UI" w:cs="Segoe UI"/>
          <w:color w:val="000000" w:themeColor="text1"/>
          <w:sz w:val="20"/>
          <w:lang w:eastAsia="ja-JP"/>
        </w:rPr>
        <w:t xml:space="preserve"> </w:t>
      </w:r>
      <w:r w:rsidR="00FC12E9">
        <w:rPr>
          <w:rFonts w:ascii="Segoe UI" w:eastAsia="SimSun" w:hAnsi="Segoe UI" w:cs="Segoe UI"/>
          <w:color w:val="000000" w:themeColor="text1"/>
          <w:sz w:val="20"/>
          <w:lang w:eastAsia="ja-JP"/>
        </w:rPr>
        <w:t>celui d</w:t>
      </w:r>
      <w:r w:rsidR="003E2D5C">
        <w:rPr>
          <w:rFonts w:ascii="Segoe UI" w:eastAsia="SimSun" w:hAnsi="Segoe UI" w:cs="Segoe UI"/>
          <w:color w:val="000000" w:themeColor="text1"/>
          <w:sz w:val="20"/>
          <w:lang w:eastAsia="ja-JP"/>
        </w:rPr>
        <w:t>e</w:t>
      </w:r>
      <w:r w:rsidR="00030D0F">
        <w:rPr>
          <w:rFonts w:ascii="Segoe UI" w:eastAsia="SimSun" w:hAnsi="Segoe UI" w:cs="Segoe UI"/>
          <w:color w:val="000000" w:themeColor="text1"/>
          <w:sz w:val="20"/>
          <w:lang w:eastAsia="ja-JP"/>
        </w:rPr>
        <w:t xml:space="preserve"> </w:t>
      </w:r>
      <w:r w:rsidR="00E8045D">
        <w:rPr>
          <w:rFonts w:ascii="Segoe UI" w:eastAsia="SimSun" w:hAnsi="Segoe UI" w:cs="Segoe UI"/>
          <w:color w:val="000000" w:themeColor="text1"/>
          <w:sz w:val="20"/>
          <w:lang w:eastAsia="ja-JP"/>
        </w:rPr>
        <w:t>2019 (</w:t>
      </w:r>
      <w:r w:rsidR="003E2D5C">
        <w:rPr>
          <w:rFonts w:ascii="Segoe UI" w:eastAsia="SimSun" w:hAnsi="Segoe UI" w:cs="Segoe UI"/>
          <w:color w:val="000000" w:themeColor="text1"/>
          <w:sz w:val="20"/>
          <w:lang w:eastAsia="ja-JP"/>
        </w:rPr>
        <w:t>296</w:t>
      </w:r>
      <w:r w:rsidR="00E8045D">
        <w:rPr>
          <w:rFonts w:ascii="Segoe UI" w:eastAsia="SimSun" w:hAnsi="Segoe UI" w:cs="Segoe UI"/>
          <w:color w:val="000000" w:themeColor="text1"/>
          <w:sz w:val="20"/>
          <w:lang w:eastAsia="ja-JP"/>
        </w:rPr>
        <w:t xml:space="preserve"> M EUR).</w:t>
      </w:r>
    </w:p>
    <w:p w:rsidR="004432FE" w:rsidRPr="005C5173" w:rsidRDefault="004432FE" w:rsidP="004432FE">
      <w:pPr>
        <w:jc w:val="both"/>
        <w:rPr>
          <w:rFonts w:ascii="Segoe UI" w:hAnsi="Segoe UI" w:cs="Segoe UI"/>
        </w:rPr>
      </w:pPr>
      <w:r w:rsidRPr="005C5173">
        <w:rPr>
          <w:rFonts w:ascii="Segoe UI" w:hAnsi="Segoe UI" w:cs="Segoe UI"/>
          <w:noProof/>
          <w:lang w:eastAsia="fr-FR"/>
        </w:rPr>
        <mc:AlternateContent>
          <mc:Choice Requires="wps">
            <w:drawing>
              <wp:inline distT="0" distB="0" distL="0" distR="0" wp14:anchorId="656C376D" wp14:editId="09DAD7C0">
                <wp:extent cx="5950528" cy="311727"/>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28" cy="311727"/>
                        </a:xfrm>
                        <a:prstGeom prst="rect">
                          <a:avLst/>
                        </a:prstGeom>
                        <a:solidFill>
                          <a:srgbClr val="006CE5"/>
                        </a:solidFill>
                        <a:ln w="9525">
                          <a:noFill/>
                          <a:miter lim="800000"/>
                          <a:headEnd/>
                          <a:tailEnd/>
                        </a:ln>
                      </wps:spPr>
                      <wps:txbx>
                        <w:txbxContent>
                          <w:p w:rsidR="00354762" w:rsidRPr="007D475C" w:rsidRDefault="00354762" w:rsidP="004432FE">
                            <w:pPr>
                              <w:rPr>
                                <w:rFonts w:ascii="Segoe UI" w:hAnsi="Segoe UI" w:cs="Segoe UI"/>
                                <w:color w:val="5770BE"/>
                              </w:rPr>
                            </w:pPr>
                            <w:r w:rsidRPr="007D475C">
                              <w:rPr>
                                <w:rFonts w:ascii="Segoe UI" w:hAnsi="Segoe UI" w:cs="Segoe UI"/>
                                <w:color w:val="FFFFFF" w:themeColor="background1"/>
                              </w:rPr>
                              <w:t>L</w:t>
                            </w:r>
                            <w:r w:rsidR="00EA638B">
                              <w:rPr>
                                <w:rFonts w:ascii="Segoe UI" w:hAnsi="Segoe UI" w:cs="Segoe UI"/>
                                <w:color w:val="FFFFFF" w:themeColor="background1"/>
                              </w:rPr>
                              <w:t xml:space="preserve">es importations </w:t>
                            </w:r>
                            <w:r w:rsidR="00BC63C4">
                              <w:rPr>
                                <w:rFonts w:ascii="Segoe UI" w:hAnsi="Segoe UI" w:cs="Segoe UI"/>
                                <w:color w:val="FFFFFF" w:themeColor="background1"/>
                              </w:rPr>
                              <w:t xml:space="preserve">françaises </w:t>
                            </w:r>
                            <w:r w:rsidR="00EA638B">
                              <w:rPr>
                                <w:rFonts w:ascii="Segoe UI" w:hAnsi="Segoe UI" w:cs="Segoe UI"/>
                                <w:color w:val="FFFFFF" w:themeColor="background1"/>
                              </w:rPr>
                              <w:t xml:space="preserve">de composants électroniques </w:t>
                            </w:r>
                            <w:r w:rsidR="00326CDB">
                              <w:rPr>
                                <w:rFonts w:ascii="Segoe UI" w:hAnsi="Segoe UI" w:cs="Segoe UI"/>
                                <w:color w:val="FFFFFF" w:themeColor="background1"/>
                              </w:rPr>
                              <w:t xml:space="preserve">représentent </w:t>
                            </w:r>
                            <w:r w:rsidR="00EA638B">
                              <w:rPr>
                                <w:rFonts w:ascii="Segoe UI" w:hAnsi="Segoe UI" w:cs="Segoe UI"/>
                                <w:color w:val="FFFFFF" w:themeColor="background1"/>
                              </w:rPr>
                              <w:t>près de 1 Md EUR</w:t>
                            </w:r>
                            <w:r w:rsidR="00326CDB">
                              <w:rPr>
                                <w:rFonts w:ascii="Segoe UI" w:hAnsi="Segoe UI" w:cs="Segoe UI"/>
                                <w:color w:val="FFFFFF" w:themeColor="background1"/>
                              </w:rPr>
                              <w:t xml:space="preserve"> (30,7%)</w:t>
                            </w:r>
                          </w:p>
                          <w:p w:rsidR="00354762" w:rsidRPr="00492C67" w:rsidRDefault="00354762" w:rsidP="004432FE">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g</w:t>
                            </w:r>
                          </w:p>
                        </w:txbxContent>
                      </wps:txbx>
                      <wps:bodyPr rot="0" vert="horz" wrap="square" lIns="91440" tIns="45720" rIns="91440" bIns="45720" anchor="t" anchorCtr="0">
                        <a:noAutofit/>
                      </wps:bodyPr>
                    </wps:wsp>
                  </a:graphicData>
                </a:graphic>
              </wp:inline>
            </w:drawing>
          </mc:Choice>
          <mc:Fallback>
            <w:pict>
              <v:shape w14:anchorId="656C376D" id="_x0000_s1027" type="#_x0000_t202" style="width:468.5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" fillcolor="#006ce5" stroked="f">
                <v:textbox>
                  <w:txbxContent>
                    <w:p w:rsidR="00354762" w:rsidRPr="007D475C" w:rsidRDefault="00354762" w:rsidP="004432FE">
                      <w:pPr>
                        <w:rPr>
                          <w:rFonts w:ascii="Segoe UI" w:hAnsi="Segoe UI" w:cs="Segoe UI"/>
                          <w:color w:val="5770BE"/>
                        </w:rPr>
                      </w:pPr>
                      <w:r w:rsidRPr="007D475C">
                        <w:rPr>
                          <w:rFonts w:ascii="Segoe UI" w:hAnsi="Segoe UI" w:cs="Segoe UI"/>
                          <w:color w:val="FFFFFF" w:themeColor="background1"/>
                        </w:rPr>
                        <w:t>L</w:t>
                      </w:r>
                      <w:r w:rsidR="00EA638B">
                        <w:rPr>
                          <w:rFonts w:ascii="Segoe UI" w:hAnsi="Segoe UI" w:cs="Segoe UI"/>
                          <w:color w:val="FFFFFF" w:themeColor="background1"/>
                        </w:rPr>
                        <w:t xml:space="preserve">es importations </w:t>
                      </w:r>
                      <w:r w:rsidR="00BC63C4">
                        <w:rPr>
                          <w:rFonts w:ascii="Segoe UI" w:hAnsi="Segoe UI" w:cs="Segoe UI"/>
                          <w:color w:val="FFFFFF" w:themeColor="background1"/>
                        </w:rPr>
                        <w:t xml:space="preserve">françaises </w:t>
                      </w:r>
                      <w:r w:rsidR="00EA638B">
                        <w:rPr>
                          <w:rFonts w:ascii="Segoe UI" w:hAnsi="Segoe UI" w:cs="Segoe UI"/>
                          <w:color w:val="FFFFFF" w:themeColor="background1"/>
                        </w:rPr>
                        <w:t xml:space="preserve">de composants électroniques </w:t>
                      </w:r>
                      <w:r w:rsidR="00326CDB">
                        <w:rPr>
                          <w:rFonts w:ascii="Segoe UI" w:hAnsi="Segoe UI" w:cs="Segoe UI"/>
                          <w:color w:val="FFFFFF" w:themeColor="background1"/>
                        </w:rPr>
                        <w:t xml:space="preserve">représentent </w:t>
                      </w:r>
                      <w:r w:rsidR="00EA638B">
                        <w:rPr>
                          <w:rFonts w:ascii="Segoe UI" w:hAnsi="Segoe UI" w:cs="Segoe UI"/>
                          <w:color w:val="FFFFFF" w:themeColor="background1"/>
                        </w:rPr>
                        <w:t>près de 1 Md EUR</w:t>
                      </w:r>
                      <w:r w:rsidR="00326CDB">
                        <w:rPr>
                          <w:rFonts w:ascii="Segoe UI" w:hAnsi="Segoe UI" w:cs="Segoe UI"/>
                          <w:color w:val="FFFFFF" w:themeColor="background1"/>
                        </w:rPr>
                        <w:t xml:space="preserve"> (30,7%)</w:t>
                      </w:r>
                    </w:p>
                    <w:p w:rsidR="00354762" w:rsidRPr="00492C67" w:rsidRDefault="00354762" w:rsidP="004432FE">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g</w:t>
                      </w:r>
                    </w:p>
                  </w:txbxContent>
                </v:textbox>
                <w10:anchorlock/>
              </v:shape>
            </w:pict>
          </mc:Fallback>
        </mc:AlternateContent>
      </w:r>
    </w:p>
    <w:p w:rsidR="009F401D" w:rsidRPr="009F401D" w:rsidRDefault="00030D0F" w:rsidP="00D66711">
      <w:pPr>
        <w:jc w:val="both"/>
        <w:rPr>
          <w:rFonts w:ascii="Segoe UI" w:eastAsia="SimSun" w:hAnsi="Segoe UI" w:cs="Segoe UI"/>
          <w:color w:val="000000" w:themeColor="text1"/>
          <w:sz w:val="20"/>
          <w:lang w:eastAsia="ja-JP"/>
        </w:rPr>
      </w:pPr>
      <w:r>
        <w:rPr>
          <w:rFonts w:ascii="Segoe UI" w:eastAsia="SimSun" w:hAnsi="Segoe UI" w:cs="Segoe UI"/>
          <w:b/>
          <w:color w:val="000000" w:themeColor="text1"/>
          <w:sz w:val="20"/>
          <w:lang w:eastAsia="ja-JP"/>
        </w:rPr>
        <w:t>L</w:t>
      </w:r>
      <w:r w:rsidR="00A63517" w:rsidRPr="00F87A9D">
        <w:rPr>
          <w:rFonts w:ascii="Segoe UI" w:eastAsia="SimSun" w:hAnsi="Segoe UI" w:cs="Segoe UI"/>
          <w:b/>
          <w:color w:val="000000" w:themeColor="text1"/>
          <w:sz w:val="20"/>
          <w:lang w:eastAsia="ja-JP"/>
        </w:rPr>
        <w:t xml:space="preserve">es importations </w:t>
      </w:r>
      <w:r w:rsidR="00F87A9D" w:rsidRPr="00F87A9D">
        <w:rPr>
          <w:rFonts w:ascii="Segoe UI" w:eastAsia="SimSun" w:hAnsi="Segoe UI" w:cs="Segoe UI"/>
          <w:b/>
          <w:color w:val="000000" w:themeColor="text1"/>
          <w:sz w:val="20"/>
          <w:lang w:eastAsia="ja-JP"/>
        </w:rPr>
        <w:t xml:space="preserve">françaises </w:t>
      </w:r>
      <w:r w:rsidR="00A63517" w:rsidRPr="00F87A9D">
        <w:rPr>
          <w:rFonts w:ascii="Segoe UI" w:eastAsia="SimSun" w:hAnsi="Segoe UI" w:cs="Segoe UI"/>
          <w:b/>
          <w:color w:val="000000" w:themeColor="text1"/>
          <w:sz w:val="20"/>
          <w:lang w:eastAsia="ja-JP"/>
        </w:rPr>
        <w:t xml:space="preserve">en provenance de Taïwan augmentent de </w:t>
      </w:r>
      <w:r w:rsidR="00341CFE">
        <w:rPr>
          <w:rFonts w:ascii="Segoe UI" w:eastAsia="SimSun" w:hAnsi="Segoe UI" w:cs="Segoe UI"/>
          <w:b/>
          <w:color w:val="000000" w:themeColor="text1"/>
          <w:sz w:val="20"/>
          <w:lang w:eastAsia="ja-JP"/>
        </w:rPr>
        <w:t>28,8</w:t>
      </w:r>
      <w:r w:rsidR="00A63517" w:rsidRPr="00F87A9D">
        <w:rPr>
          <w:rFonts w:ascii="Segoe UI" w:eastAsia="SimSun" w:hAnsi="Segoe UI" w:cs="Segoe UI"/>
          <w:b/>
          <w:color w:val="000000" w:themeColor="text1"/>
          <w:sz w:val="20"/>
          <w:lang w:eastAsia="ja-JP"/>
        </w:rPr>
        <w:t xml:space="preserve">% </w:t>
      </w:r>
      <w:r w:rsidR="00F535A4">
        <w:rPr>
          <w:rFonts w:ascii="Segoe UI" w:eastAsia="SimSun" w:hAnsi="Segoe UI" w:cs="Segoe UI"/>
          <w:b/>
          <w:color w:val="000000" w:themeColor="text1"/>
          <w:sz w:val="20"/>
          <w:lang w:eastAsia="ja-JP"/>
        </w:rPr>
        <w:t xml:space="preserve">à </w:t>
      </w:r>
      <w:r w:rsidR="00341CFE">
        <w:rPr>
          <w:rFonts w:ascii="Segoe UI" w:eastAsia="SimSun" w:hAnsi="Segoe UI" w:cs="Segoe UI"/>
          <w:b/>
          <w:color w:val="000000" w:themeColor="text1"/>
          <w:sz w:val="20"/>
          <w:lang w:eastAsia="ja-JP"/>
        </w:rPr>
        <w:t>3,72</w:t>
      </w:r>
      <w:r w:rsidR="00A63517" w:rsidRPr="00F87A9D">
        <w:rPr>
          <w:rFonts w:ascii="Segoe UI" w:eastAsia="SimSun" w:hAnsi="Segoe UI" w:cs="Segoe UI"/>
          <w:b/>
          <w:color w:val="000000" w:themeColor="text1"/>
          <w:sz w:val="20"/>
          <w:lang w:eastAsia="ja-JP"/>
        </w:rPr>
        <w:t xml:space="preserve"> Md EUR</w:t>
      </w:r>
      <w:r w:rsidR="00F535A4">
        <w:rPr>
          <w:rFonts w:ascii="Segoe UI" w:eastAsia="SimSun" w:hAnsi="Segoe UI" w:cs="Segoe UI"/>
          <w:b/>
          <w:color w:val="000000" w:themeColor="text1"/>
          <w:sz w:val="20"/>
          <w:lang w:eastAsia="ja-JP"/>
        </w:rPr>
        <w:t xml:space="preserve"> (</w:t>
      </w:r>
      <w:r w:rsidR="00341CFE">
        <w:rPr>
          <w:rFonts w:ascii="Segoe UI" w:eastAsia="SimSun" w:hAnsi="Segoe UI" w:cs="Segoe UI"/>
          <w:b/>
          <w:color w:val="000000" w:themeColor="text1"/>
          <w:sz w:val="20"/>
          <w:lang w:eastAsia="ja-JP"/>
        </w:rPr>
        <w:t>3,2</w:t>
      </w:r>
      <w:r w:rsidR="00F535A4">
        <w:rPr>
          <w:rFonts w:ascii="Segoe UI" w:eastAsia="SimSun" w:hAnsi="Segoe UI" w:cs="Segoe UI"/>
          <w:b/>
          <w:color w:val="000000" w:themeColor="text1"/>
          <w:sz w:val="20"/>
          <w:lang w:eastAsia="ja-JP"/>
        </w:rPr>
        <w:t xml:space="preserve"> Md EUR </w:t>
      </w:r>
      <w:r w:rsidR="00341CFE">
        <w:rPr>
          <w:rFonts w:ascii="Segoe UI" w:eastAsia="SimSun" w:hAnsi="Segoe UI" w:cs="Segoe UI"/>
          <w:b/>
          <w:color w:val="000000" w:themeColor="text1"/>
          <w:sz w:val="20"/>
          <w:lang w:eastAsia="ja-JP"/>
        </w:rPr>
        <w:t>en</w:t>
      </w:r>
      <w:r w:rsidR="00F535A4">
        <w:rPr>
          <w:rFonts w:ascii="Segoe UI" w:eastAsia="SimSun" w:hAnsi="Segoe UI" w:cs="Segoe UI"/>
          <w:b/>
          <w:color w:val="000000" w:themeColor="text1"/>
          <w:sz w:val="20"/>
          <w:lang w:eastAsia="ja-JP"/>
        </w:rPr>
        <w:t xml:space="preserve"> 2019)</w:t>
      </w:r>
      <w:r w:rsidR="00A63517" w:rsidRPr="00F87A9D">
        <w:rPr>
          <w:rFonts w:ascii="Segoe UI" w:eastAsia="SimSun" w:hAnsi="Segoe UI" w:cs="Segoe UI"/>
          <w:b/>
          <w:color w:val="000000" w:themeColor="text1"/>
          <w:sz w:val="20"/>
          <w:lang w:eastAsia="ja-JP"/>
        </w:rPr>
        <w:t>.</w:t>
      </w:r>
      <w:r w:rsidR="00A63517">
        <w:rPr>
          <w:rFonts w:ascii="Segoe UI" w:eastAsia="SimSun" w:hAnsi="Segoe UI" w:cs="Segoe UI"/>
          <w:color w:val="000000" w:themeColor="text1"/>
          <w:sz w:val="20"/>
          <w:lang w:eastAsia="ja-JP"/>
        </w:rPr>
        <w:t xml:space="preserve"> </w:t>
      </w:r>
      <w:r w:rsidR="009F401D" w:rsidRPr="009F401D">
        <w:rPr>
          <w:rFonts w:ascii="Segoe UI" w:eastAsia="SimSun" w:hAnsi="Segoe UI" w:cs="Segoe UI"/>
          <w:color w:val="000000" w:themeColor="text1"/>
          <w:sz w:val="20"/>
          <w:lang w:eastAsia="ja-JP"/>
        </w:rPr>
        <w:t xml:space="preserve">Le secteur équipements mécaniques, matériel électrique et produits optiques reste le premier poste de nos importations avec </w:t>
      </w:r>
      <w:r w:rsidR="00354762">
        <w:rPr>
          <w:rFonts w:ascii="Segoe UI" w:eastAsia="SimSun" w:hAnsi="Segoe UI" w:cs="Segoe UI"/>
          <w:color w:val="000000" w:themeColor="text1"/>
          <w:sz w:val="20"/>
          <w:lang w:eastAsia="ja-JP"/>
        </w:rPr>
        <w:t>2,32</w:t>
      </w:r>
      <w:r w:rsidR="009F401D" w:rsidRPr="009F401D">
        <w:rPr>
          <w:rFonts w:ascii="Segoe UI" w:eastAsia="SimSun" w:hAnsi="Segoe UI" w:cs="Segoe UI"/>
          <w:color w:val="000000" w:themeColor="text1"/>
          <w:sz w:val="20"/>
          <w:lang w:eastAsia="ja-JP"/>
        </w:rPr>
        <w:t xml:space="preserve"> Md EUR (</w:t>
      </w:r>
      <w:r w:rsidR="00A63517">
        <w:rPr>
          <w:rFonts w:ascii="Segoe UI" w:eastAsia="SimSun" w:hAnsi="Segoe UI" w:cs="Segoe UI"/>
          <w:color w:val="000000" w:themeColor="text1"/>
          <w:sz w:val="20"/>
          <w:lang w:eastAsia="ja-JP"/>
        </w:rPr>
        <w:t>+</w:t>
      </w:r>
      <w:r w:rsidR="00354762">
        <w:rPr>
          <w:rFonts w:ascii="Segoe UI" w:eastAsia="SimSun" w:hAnsi="Segoe UI" w:cs="Segoe UI"/>
          <w:color w:val="000000" w:themeColor="text1"/>
          <w:sz w:val="20"/>
          <w:lang w:eastAsia="ja-JP"/>
        </w:rPr>
        <w:t>30</w:t>
      </w:r>
      <w:r w:rsidR="009F401D" w:rsidRPr="009F401D">
        <w:rPr>
          <w:rFonts w:ascii="Segoe UI" w:eastAsia="SimSun" w:hAnsi="Segoe UI" w:cs="Segoe UI"/>
          <w:color w:val="000000" w:themeColor="text1"/>
          <w:sz w:val="20"/>
          <w:lang w:eastAsia="ja-JP"/>
        </w:rPr>
        <w:t>%)</w:t>
      </w:r>
      <w:r w:rsidR="000D7873">
        <w:rPr>
          <w:rFonts w:ascii="Segoe UI" w:eastAsia="SimSun" w:hAnsi="Segoe UI" w:cs="Segoe UI"/>
          <w:color w:val="000000" w:themeColor="text1"/>
          <w:sz w:val="20"/>
          <w:lang w:eastAsia="ja-JP"/>
        </w:rPr>
        <w:t xml:space="preserve"> soit </w:t>
      </w:r>
      <w:r w:rsidR="00F95C1F">
        <w:rPr>
          <w:rFonts w:ascii="Segoe UI" w:eastAsia="SimSun" w:hAnsi="Segoe UI" w:cs="Segoe UI"/>
          <w:color w:val="000000" w:themeColor="text1"/>
          <w:sz w:val="20"/>
          <w:lang w:eastAsia="ja-JP"/>
        </w:rPr>
        <w:t>62</w:t>
      </w:r>
      <w:r w:rsidR="000D7873">
        <w:rPr>
          <w:rFonts w:ascii="Segoe UI" w:eastAsia="SimSun" w:hAnsi="Segoe UI" w:cs="Segoe UI"/>
          <w:color w:val="000000" w:themeColor="text1"/>
          <w:sz w:val="20"/>
          <w:lang w:eastAsia="ja-JP"/>
        </w:rPr>
        <w:t>% du total</w:t>
      </w:r>
      <w:r w:rsidR="009F401D" w:rsidRPr="009F401D">
        <w:rPr>
          <w:rFonts w:ascii="Segoe UI" w:eastAsia="SimSun" w:hAnsi="Segoe UI" w:cs="Segoe UI"/>
          <w:color w:val="000000" w:themeColor="text1"/>
          <w:sz w:val="20"/>
          <w:lang w:eastAsia="ja-JP"/>
        </w:rPr>
        <w:t xml:space="preserve">. </w:t>
      </w:r>
      <w:r w:rsidR="00F87A9D" w:rsidRPr="00667CD7">
        <w:rPr>
          <w:rFonts w:ascii="Segoe UI" w:eastAsia="SimSun" w:hAnsi="Segoe UI" w:cs="Segoe UI"/>
          <w:color w:val="000000" w:themeColor="text1"/>
          <w:sz w:val="20"/>
          <w:u w:val="single"/>
          <w:lang w:eastAsia="ja-JP"/>
        </w:rPr>
        <w:t xml:space="preserve">Les </w:t>
      </w:r>
      <w:r w:rsidR="009F401D" w:rsidRPr="00667CD7">
        <w:rPr>
          <w:rFonts w:ascii="Segoe UI" w:eastAsia="SimSun" w:hAnsi="Segoe UI" w:cs="Segoe UI"/>
          <w:color w:val="000000" w:themeColor="text1"/>
          <w:sz w:val="20"/>
          <w:u w:val="single"/>
          <w:lang w:eastAsia="ja-JP"/>
        </w:rPr>
        <w:t xml:space="preserve">composants électroniques </w:t>
      </w:r>
      <w:r w:rsidR="00F87A9D" w:rsidRPr="00667CD7">
        <w:rPr>
          <w:rFonts w:ascii="Segoe UI" w:eastAsia="SimSun" w:hAnsi="Segoe UI" w:cs="Segoe UI"/>
          <w:color w:val="000000" w:themeColor="text1"/>
          <w:sz w:val="20"/>
          <w:u w:val="single"/>
          <w:lang w:eastAsia="ja-JP"/>
        </w:rPr>
        <w:t xml:space="preserve">en </w:t>
      </w:r>
      <w:r w:rsidR="009F401D" w:rsidRPr="00667CD7">
        <w:rPr>
          <w:rFonts w:ascii="Segoe UI" w:eastAsia="SimSun" w:hAnsi="Segoe UI" w:cs="Segoe UI"/>
          <w:color w:val="000000" w:themeColor="text1"/>
          <w:sz w:val="20"/>
          <w:u w:val="single"/>
          <w:lang w:eastAsia="ja-JP"/>
        </w:rPr>
        <w:t xml:space="preserve">représentent </w:t>
      </w:r>
      <w:r w:rsidR="00354762" w:rsidRPr="00667CD7">
        <w:rPr>
          <w:rFonts w:ascii="Segoe UI" w:eastAsia="SimSun" w:hAnsi="Segoe UI" w:cs="Segoe UI"/>
          <w:color w:val="000000" w:themeColor="text1"/>
          <w:sz w:val="20"/>
          <w:u w:val="single"/>
          <w:lang w:eastAsia="ja-JP"/>
        </w:rPr>
        <w:t>40,8</w:t>
      </w:r>
      <w:r w:rsidR="009F401D" w:rsidRPr="00667CD7">
        <w:rPr>
          <w:rFonts w:ascii="Segoe UI" w:eastAsia="SimSun" w:hAnsi="Segoe UI" w:cs="Segoe UI"/>
          <w:color w:val="000000" w:themeColor="text1"/>
          <w:sz w:val="20"/>
          <w:u w:val="single"/>
          <w:lang w:eastAsia="ja-JP"/>
        </w:rPr>
        <w:t>%</w:t>
      </w:r>
      <w:r w:rsidR="00F87A9D" w:rsidRPr="00667CD7">
        <w:rPr>
          <w:rFonts w:ascii="Segoe UI" w:eastAsia="SimSun" w:hAnsi="Segoe UI" w:cs="Segoe UI"/>
          <w:color w:val="000000" w:themeColor="text1"/>
          <w:sz w:val="20"/>
          <w:u w:val="single"/>
          <w:lang w:eastAsia="ja-JP"/>
        </w:rPr>
        <w:t xml:space="preserve"> avec </w:t>
      </w:r>
      <w:r w:rsidR="00354762" w:rsidRPr="00667CD7">
        <w:rPr>
          <w:rFonts w:ascii="Segoe UI" w:eastAsia="SimSun" w:hAnsi="Segoe UI" w:cs="Segoe UI"/>
          <w:color w:val="000000" w:themeColor="text1"/>
          <w:sz w:val="20"/>
          <w:u w:val="single"/>
          <w:lang w:eastAsia="ja-JP"/>
        </w:rPr>
        <w:t>951</w:t>
      </w:r>
      <w:r w:rsidR="00F87A9D" w:rsidRPr="00667CD7">
        <w:rPr>
          <w:rFonts w:ascii="Segoe UI" w:eastAsia="SimSun" w:hAnsi="Segoe UI" w:cs="Segoe UI"/>
          <w:color w:val="000000" w:themeColor="text1"/>
          <w:sz w:val="20"/>
          <w:u w:val="single"/>
          <w:lang w:eastAsia="ja-JP"/>
        </w:rPr>
        <w:t xml:space="preserve"> M EUR (+</w:t>
      </w:r>
      <w:r w:rsidR="00354762" w:rsidRPr="00667CD7">
        <w:rPr>
          <w:rFonts w:ascii="Segoe UI" w:eastAsia="SimSun" w:hAnsi="Segoe UI" w:cs="Segoe UI"/>
          <w:color w:val="000000" w:themeColor="text1"/>
          <w:sz w:val="20"/>
          <w:u w:val="single"/>
          <w:lang w:eastAsia="ja-JP"/>
        </w:rPr>
        <w:t>30,7</w:t>
      </w:r>
      <w:r w:rsidR="0037515E" w:rsidRPr="00667CD7">
        <w:rPr>
          <w:rFonts w:ascii="Segoe UI" w:eastAsia="SimSun" w:hAnsi="Segoe UI" w:cs="Segoe UI"/>
          <w:color w:val="000000" w:themeColor="text1"/>
          <w:sz w:val="20"/>
          <w:u w:val="single"/>
          <w:lang w:eastAsia="ja-JP"/>
        </w:rPr>
        <w:t>%</w:t>
      </w:r>
      <w:r w:rsidR="00F87A9D" w:rsidRPr="00667CD7">
        <w:rPr>
          <w:rFonts w:ascii="Segoe UI" w:eastAsia="SimSun" w:hAnsi="Segoe UI" w:cs="Segoe UI"/>
          <w:color w:val="000000" w:themeColor="text1"/>
          <w:sz w:val="20"/>
          <w:u w:val="single"/>
          <w:lang w:eastAsia="ja-JP"/>
        </w:rPr>
        <w:t>)</w:t>
      </w:r>
      <w:r w:rsidR="00F87A9D" w:rsidRPr="009B6A2F">
        <w:rPr>
          <w:rFonts w:ascii="Segoe UI" w:eastAsia="SimSun" w:hAnsi="Segoe UI" w:cs="Segoe UI"/>
          <w:color w:val="000000" w:themeColor="text1"/>
          <w:sz w:val="20"/>
          <w:lang w:eastAsia="ja-JP"/>
        </w:rPr>
        <w:t xml:space="preserve">. </w:t>
      </w:r>
      <w:r w:rsidR="00F87A9D">
        <w:rPr>
          <w:rFonts w:ascii="Segoe UI" w:eastAsia="SimSun" w:hAnsi="Segoe UI" w:cs="Segoe UI"/>
          <w:color w:val="000000" w:themeColor="text1"/>
          <w:sz w:val="20"/>
          <w:lang w:eastAsia="ja-JP"/>
        </w:rPr>
        <w:t xml:space="preserve">Viennent ensuite </w:t>
      </w:r>
      <w:r w:rsidR="005677D2">
        <w:rPr>
          <w:rFonts w:ascii="Segoe UI" w:eastAsia="SimSun" w:hAnsi="Segoe UI" w:cs="Segoe UI"/>
          <w:color w:val="000000" w:themeColor="text1"/>
          <w:sz w:val="20"/>
          <w:lang w:eastAsia="ja-JP"/>
        </w:rPr>
        <w:t>les</w:t>
      </w:r>
      <w:r w:rsidR="00F87A9D">
        <w:rPr>
          <w:rFonts w:ascii="Segoe UI" w:eastAsia="SimSun" w:hAnsi="Segoe UI" w:cs="Segoe UI"/>
          <w:color w:val="000000" w:themeColor="text1"/>
          <w:sz w:val="20"/>
          <w:lang w:eastAsia="ja-JP"/>
        </w:rPr>
        <w:t xml:space="preserve"> </w:t>
      </w:r>
      <w:r w:rsidR="00432E34">
        <w:rPr>
          <w:rFonts w:ascii="Segoe UI" w:eastAsia="SimSun" w:hAnsi="Segoe UI" w:cs="Segoe UI"/>
          <w:color w:val="000000" w:themeColor="text1"/>
          <w:sz w:val="20"/>
          <w:lang w:eastAsia="ja-JP"/>
        </w:rPr>
        <w:t>o</w:t>
      </w:r>
      <w:r w:rsidR="005677D2" w:rsidRPr="005677D2">
        <w:rPr>
          <w:rFonts w:ascii="Segoe UI" w:eastAsia="SimSun" w:hAnsi="Segoe UI" w:cs="Segoe UI"/>
          <w:color w:val="000000" w:themeColor="text1"/>
          <w:sz w:val="20"/>
          <w:lang w:eastAsia="ja-JP"/>
        </w:rPr>
        <w:t>rdinateurs et équipements périphériques (</w:t>
      </w:r>
      <w:r w:rsidR="00354762">
        <w:rPr>
          <w:rFonts w:ascii="Segoe UI" w:eastAsia="SimSun" w:hAnsi="Segoe UI" w:cs="Segoe UI"/>
          <w:color w:val="000000" w:themeColor="text1"/>
          <w:sz w:val="20"/>
          <w:lang w:eastAsia="ja-JP"/>
        </w:rPr>
        <w:t>440</w:t>
      </w:r>
      <w:r w:rsidR="005677D2" w:rsidRPr="005677D2">
        <w:rPr>
          <w:rFonts w:ascii="Segoe UI" w:eastAsia="SimSun" w:hAnsi="Segoe UI" w:cs="Segoe UI"/>
          <w:color w:val="000000" w:themeColor="text1"/>
          <w:sz w:val="20"/>
          <w:lang w:eastAsia="ja-JP"/>
        </w:rPr>
        <w:t xml:space="preserve"> M EUR; +</w:t>
      </w:r>
      <w:r w:rsidR="00354762">
        <w:rPr>
          <w:rFonts w:ascii="Segoe UI" w:eastAsia="SimSun" w:hAnsi="Segoe UI" w:cs="Segoe UI"/>
          <w:color w:val="000000" w:themeColor="text1"/>
          <w:sz w:val="20"/>
          <w:lang w:eastAsia="ja-JP"/>
        </w:rPr>
        <w:t>22,2</w:t>
      </w:r>
      <w:r w:rsidR="005677D2" w:rsidRPr="005677D2">
        <w:rPr>
          <w:rFonts w:ascii="Segoe UI" w:eastAsia="SimSun" w:hAnsi="Segoe UI" w:cs="Segoe UI"/>
          <w:color w:val="000000" w:themeColor="text1"/>
          <w:sz w:val="20"/>
          <w:lang w:eastAsia="ja-JP"/>
        </w:rPr>
        <w:t xml:space="preserve">%) et </w:t>
      </w:r>
      <w:r w:rsidR="00727C6C">
        <w:rPr>
          <w:rFonts w:ascii="Segoe UI" w:eastAsia="SimSun" w:hAnsi="Segoe UI" w:cs="Segoe UI"/>
          <w:color w:val="000000" w:themeColor="text1"/>
          <w:sz w:val="20"/>
          <w:lang w:eastAsia="ja-JP"/>
        </w:rPr>
        <w:t xml:space="preserve">les </w:t>
      </w:r>
      <w:r w:rsidR="005677D2" w:rsidRPr="005677D2">
        <w:rPr>
          <w:rFonts w:ascii="Segoe UI" w:eastAsia="SimSun" w:hAnsi="Segoe UI" w:cs="Segoe UI"/>
          <w:color w:val="000000" w:themeColor="text1"/>
          <w:sz w:val="20"/>
          <w:lang w:eastAsia="ja-JP"/>
        </w:rPr>
        <w:t>équipements de communication (</w:t>
      </w:r>
      <w:r w:rsidR="00354762">
        <w:rPr>
          <w:rFonts w:ascii="Segoe UI" w:eastAsia="SimSun" w:hAnsi="Segoe UI" w:cs="Segoe UI"/>
          <w:color w:val="000000" w:themeColor="text1"/>
          <w:sz w:val="20"/>
          <w:lang w:eastAsia="ja-JP"/>
        </w:rPr>
        <w:t>249</w:t>
      </w:r>
      <w:r w:rsidR="005677D2" w:rsidRPr="005677D2">
        <w:rPr>
          <w:rFonts w:ascii="Segoe UI" w:eastAsia="SimSun" w:hAnsi="Segoe UI" w:cs="Segoe UI"/>
          <w:color w:val="000000" w:themeColor="text1"/>
          <w:sz w:val="20"/>
          <w:lang w:eastAsia="ja-JP"/>
        </w:rPr>
        <w:t xml:space="preserve"> M EUR; +</w:t>
      </w:r>
      <w:r w:rsidR="00354762">
        <w:rPr>
          <w:rFonts w:ascii="Segoe UI" w:eastAsia="SimSun" w:hAnsi="Segoe UI" w:cs="Segoe UI"/>
          <w:color w:val="000000" w:themeColor="text1"/>
          <w:sz w:val="20"/>
          <w:lang w:eastAsia="ja-JP"/>
        </w:rPr>
        <w:t>25,7</w:t>
      </w:r>
      <w:r w:rsidR="005677D2" w:rsidRPr="005677D2">
        <w:rPr>
          <w:rFonts w:ascii="Segoe UI" w:eastAsia="SimSun" w:hAnsi="Segoe UI" w:cs="Segoe UI"/>
          <w:color w:val="000000" w:themeColor="text1"/>
          <w:sz w:val="20"/>
          <w:lang w:eastAsia="ja-JP"/>
        </w:rPr>
        <w:t>%)</w:t>
      </w:r>
      <w:r w:rsidR="005663E9">
        <w:rPr>
          <w:rFonts w:ascii="Segoe UI" w:eastAsia="SimSun" w:hAnsi="Segoe UI" w:cs="Segoe UI"/>
          <w:color w:val="000000" w:themeColor="text1"/>
          <w:sz w:val="20"/>
          <w:lang w:eastAsia="ja-JP"/>
        </w:rPr>
        <w:t>,</w:t>
      </w:r>
      <w:r w:rsidR="009F401D" w:rsidRPr="009F401D">
        <w:rPr>
          <w:rFonts w:ascii="Segoe UI" w:eastAsia="SimSun" w:hAnsi="Segoe UI" w:cs="Segoe UI"/>
          <w:color w:val="000000" w:themeColor="text1"/>
          <w:sz w:val="20"/>
          <w:lang w:eastAsia="ja-JP"/>
        </w:rPr>
        <w:t xml:space="preserve"> </w:t>
      </w:r>
      <w:r w:rsidR="0037515E">
        <w:rPr>
          <w:rFonts w:ascii="Segoe UI" w:eastAsia="SimSun" w:hAnsi="Segoe UI" w:cs="Segoe UI"/>
          <w:color w:val="000000" w:themeColor="text1"/>
          <w:sz w:val="20"/>
          <w:lang w:eastAsia="ja-JP"/>
        </w:rPr>
        <w:t>en raison du développement du télétravail et de l’enseignement à distance</w:t>
      </w:r>
      <w:r w:rsidR="009F401D" w:rsidRPr="009F401D">
        <w:rPr>
          <w:rFonts w:ascii="Segoe UI" w:eastAsia="SimSun" w:hAnsi="Segoe UI" w:cs="Segoe UI"/>
          <w:color w:val="000000" w:themeColor="text1"/>
          <w:sz w:val="20"/>
          <w:lang w:eastAsia="ja-JP"/>
        </w:rPr>
        <w:t xml:space="preserve">. </w:t>
      </w:r>
      <w:r w:rsidR="00477F1C">
        <w:rPr>
          <w:rFonts w:ascii="Segoe UI" w:eastAsia="SimSun" w:hAnsi="Segoe UI" w:cs="Segoe UI"/>
          <w:color w:val="000000" w:themeColor="text1"/>
          <w:sz w:val="20"/>
          <w:lang w:eastAsia="ja-JP"/>
        </w:rPr>
        <w:t>L</w:t>
      </w:r>
      <w:r w:rsidR="00477F1C" w:rsidRPr="009F401D">
        <w:rPr>
          <w:rFonts w:ascii="Segoe UI" w:eastAsia="SimSun" w:hAnsi="Segoe UI" w:cs="Segoe UI"/>
          <w:color w:val="000000" w:themeColor="text1"/>
          <w:sz w:val="20"/>
          <w:lang w:eastAsia="ja-JP"/>
        </w:rPr>
        <w:t xml:space="preserve">es importations de motocycles </w:t>
      </w:r>
      <w:r>
        <w:rPr>
          <w:rFonts w:ascii="Segoe UI" w:eastAsia="SimSun" w:hAnsi="Segoe UI" w:cs="Segoe UI"/>
          <w:color w:val="000000" w:themeColor="text1"/>
          <w:sz w:val="20"/>
          <w:lang w:eastAsia="ja-JP"/>
        </w:rPr>
        <w:t xml:space="preserve">atteignent </w:t>
      </w:r>
      <w:r w:rsidR="008779DF">
        <w:rPr>
          <w:rFonts w:ascii="Segoe UI" w:eastAsia="SimSun" w:hAnsi="Segoe UI" w:cs="Segoe UI"/>
          <w:color w:val="000000" w:themeColor="text1"/>
          <w:sz w:val="20"/>
          <w:lang w:eastAsia="ja-JP"/>
        </w:rPr>
        <w:t>130</w:t>
      </w:r>
      <w:r>
        <w:rPr>
          <w:rFonts w:ascii="Segoe UI" w:eastAsia="SimSun" w:hAnsi="Segoe UI" w:cs="Segoe UI"/>
          <w:color w:val="000000" w:themeColor="text1"/>
          <w:sz w:val="20"/>
          <w:lang w:eastAsia="ja-JP"/>
        </w:rPr>
        <w:t xml:space="preserve"> M EUR (+</w:t>
      </w:r>
      <w:r w:rsidR="008779DF">
        <w:rPr>
          <w:rFonts w:ascii="Segoe UI" w:eastAsia="SimSun" w:hAnsi="Segoe UI" w:cs="Segoe UI"/>
          <w:color w:val="000000" w:themeColor="text1"/>
          <w:sz w:val="20"/>
          <w:lang w:eastAsia="ja-JP"/>
        </w:rPr>
        <w:t>5,1</w:t>
      </w:r>
      <w:r w:rsidR="00477F1C" w:rsidRPr="009F401D">
        <w:rPr>
          <w:rFonts w:ascii="Segoe UI" w:eastAsia="SimSun" w:hAnsi="Segoe UI" w:cs="Segoe UI"/>
          <w:color w:val="000000" w:themeColor="text1"/>
          <w:sz w:val="20"/>
          <w:lang w:eastAsia="ja-JP"/>
        </w:rPr>
        <w:t>%</w:t>
      </w:r>
      <w:r>
        <w:rPr>
          <w:rFonts w:ascii="Segoe UI" w:eastAsia="SimSun" w:hAnsi="Segoe UI" w:cs="Segoe UI"/>
          <w:color w:val="000000" w:themeColor="text1"/>
          <w:sz w:val="20"/>
          <w:lang w:eastAsia="ja-JP"/>
        </w:rPr>
        <w:t>)</w:t>
      </w:r>
      <w:r w:rsidR="00477F1C" w:rsidRPr="009F401D">
        <w:rPr>
          <w:rFonts w:ascii="Segoe UI" w:eastAsia="SimSun" w:hAnsi="Segoe UI" w:cs="Segoe UI"/>
          <w:color w:val="000000" w:themeColor="text1"/>
          <w:sz w:val="20"/>
          <w:lang w:eastAsia="ja-JP"/>
        </w:rPr>
        <w:t xml:space="preserve"> soutenues par la demande </w:t>
      </w:r>
      <w:r w:rsidR="005663E9">
        <w:rPr>
          <w:rFonts w:ascii="Segoe UI" w:eastAsia="SimSun" w:hAnsi="Segoe UI" w:cs="Segoe UI"/>
          <w:color w:val="000000" w:themeColor="text1"/>
          <w:sz w:val="20"/>
          <w:lang w:eastAsia="ja-JP"/>
        </w:rPr>
        <w:t xml:space="preserve">continue </w:t>
      </w:r>
      <w:r w:rsidR="00477F1C" w:rsidRPr="009F401D">
        <w:rPr>
          <w:rFonts w:ascii="Segoe UI" w:eastAsia="SimSun" w:hAnsi="Segoe UI" w:cs="Segoe UI"/>
          <w:color w:val="000000" w:themeColor="text1"/>
          <w:sz w:val="20"/>
          <w:lang w:eastAsia="ja-JP"/>
        </w:rPr>
        <w:t>de vélos et de scooters électriques</w:t>
      </w:r>
      <w:r w:rsidR="00477F1C">
        <w:rPr>
          <w:rFonts w:ascii="Segoe UI" w:eastAsia="SimSun" w:hAnsi="Segoe UI" w:cs="Segoe UI"/>
          <w:color w:val="000000" w:themeColor="text1"/>
          <w:sz w:val="20"/>
          <w:lang w:eastAsia="ja-JP"/>
        </w:rPr>
        <w:t xml:space="preserve"> </w:t>
      </w:r>
      <w:r>
        <w:rPr>
          <w:rFonts w:ascii="Segoe UI" w:eastAsia="SimSun" w:hAnsi="Segoe UI" w:cs="Segoe UI"/>
          <w:color w:val="000000" w:themeColor="text1"/>
          <w:sz w:val="20"/>
          <w:lang w:eastAsia="ja-JP"/>
        </w:rPr>
        <w:t xml:space="preserve">en raison d’une </w:t>
      </w:r>
      <w:r w:rsidR="00477F1C">
        <w:rPr>
          <w:rFonts w:ascii="Segoe UI" w:eastAsia="SimSun" w:hAnsi="Segoe UI" w:cs="Segoe UI"/>
          <w:color w:val="000000" w:themeColor="text1"/>
          <w:sz w:val="20"/>
          <w:lang w:eastAsia="ja-JP"/>
        </w:rPr>
        <w:t>moindre fréquentation des transports en commun</w:t>
      </w:r>
      <w:r w:rsidR="00BC63C4">
        <w:rPr>
          <w:rFonts w:ascii="Segoe UI" w:eastAsia="SimSun" w:hAnsi="Segoe UI" w:cs="Segoe UI"/>
          <w:color w:val="000000" w:themeColor="text1"/>
          <w:sz w:val="20"/>
          <w:lang w:eastAsia="ja-JP"/>
        </w:rPr>
        <w:t xml:space="preserve"> en raison de la pandémie</w:t>
      </w:r>
      <w:r w:rsidR="00477F1C" w:rsidRPr="009F401D">
        <w:rPr>
          <w:rFonts w:ascii="Segoe UI" w:eastAsia="SimSun" w:hAnsi="Segoe UI" w:cs="Segoe UI"/>
          <w:color w:val="000000" w:themeColor="text1"/>
          <w:sz w:val="20"/>
          <w:lang w:eastAsia="ja-JP"/>
        </w:rPr>
        <w:t>.</w:t>
      </w:r>
    </w:p>
    <w:p w:rsidR="009F401D" w:rsidRPr="009F401D" w:rsidRDefault="00997B81" w:rsidP="00D66711">
      <w:pPr>
        <w:jc w:val="both"/>
        <w:rPr>
          <w:rFonts w:ascii="Segoe UI" w:eastAsia="SimSun" w:hAnsi="Segoe UI" w:cs="Segoe UI"/>
          <w:color w:val="000000" w:themeColor="text1"/>
          <w:sz w:val="20"/>
          <w:lang w:eastAsia="ja-JP"/>
        </w:rPr>
      </w:pPr>
      <w:r w:rsidRPr="00997B81">
        <w:rPr>
          <w:rFonts w:ascii="Segoe UI" w:eastAsia="SimSun" w:hAnsi="Segoe UI" w:cs="Segoe UI"/>
          <w:b/>
          <w:color w:val="000000" w:themeColor="text1"/>
          <w:sz w:val="20"/>
          <w:lang w:eastAsia="ja-JP"/>
        </w:rPr>
        <w:t xml:space="preserve">Les secteurs de l’économie traditionnelle </w:t>
      </w:r>
      <w:r w:rsidR="000D7873">
        <w:rPr>
          <w:rFonts w:ascii="Segoe UI" w:eastAsia="SimSun" w:hAnsi="Segoe UI" w:cs="Segoe UI"/>
          <w:b/>
          <w:color w:val="000000" w:themeColor="text1"/>
          <w:sz w:val="20"/>
          <w:lang w:eastAsia="ja-JP"/>
        </w:rPr>
        <w:t>co</w:t>
      </w:r>
      <w:r w:rsidR="006B6488">
        <w:rPr>
          <w:rFonts w:ascii="Segoe UI" w:eastAsia="SimSun" w:hAnsi="Segoe UI" w:cs="Segoe UI"/>
          <w:b/>
          <w:color w:val="000000" w:themeColor="text1"/>
          <w:sz w:val="20"/>
          <w:lang w:eastAsia="ja-JP"/>
        </w:rPr>
        <w:t>nt</w:t>
      </w:r>
      <w:r w:rsidR="000D7873">
        <w:rPr>
          <w:rFonts w:ascii="Segoe UI" w:eastAsia="SimSun" w:hAnsi="Segoe UI" w:cs="Segoe UI"/>
          <w:b/>
          <w:color w:val="000000" w:themeColor="text1"/>
          <w:sz w:val="20"/>
          <w:lang w:eastAsia="ja-JP"/>
        </w:rPr>
        <w:t xml:space="preserve">ribuent </w:t>
      </w:r>
      <w:r w:rsidR="00BC63C4">
        <w:rPr>
          <w:rFonts w:ascii="Segoe UI" w:eastAsia="SimSun" w:hAnsi="Segoe UI" w:cs="Segoe UI"/>
          <w:b/>
          <w:color w:val="000000" w:themeColor="text1"/>
          <w:sz w:val="20"/>
          <w:lang w:eastAsia="ja-JP"/>
        </w:rPr>
        <w:t xml:space="preserve">également </w:t>
      </w:r>
      <w:r w:rsidR="000D7873">
        <w:rPr>
          <w:rFonts w:ascii="Segoe UI" w:eastAsia="SimSun" w:hAnsi="Segoe UI" w:cs="Segoe UI"/>
          <w:b/>
          <w:color w:val="000000" w:themeColor="text1"/>
          <w:sz w:val="20"/>
          <w:lang w:eastAsia="ja-JP"/>
        </w:rPr>
        <w:t xml:space="preserve">à la hausse de nos </w:t>
      </w:r>
      <w:r w:rsidR="009B6A2F">
        <w:rPr>
          <w:rFonts w:ascii="Segoe UI" w:eastAsia="SimSun" w:hAnsi="Segoe UI" w:cs="Segoe UI"/>
          <w:b/>
          <w:color w:val="000000" w:themeColor="text1"/>
          <w:sz w:val="20"/>
          <w:lang w:eastAsia="ja-JP"/>
        </w:rPr>
        <w:t>importa</w:t>
      </w:r>
      <w:r w:rsidR="000B449C">
        <w:rPr>
          <w:rFonts w:ascii="Segoe UI" w:eastAsia="SimSun" w:hAnsi="Segoe UI" w:cs="Segoe UI"/>
          <w:b/>
          <w:color w:val="000000" w:themeColor="text1"/>
          <w:sz w:val="20"/>
          <w:lang w:eastAsia="ja-JP"/>
        </w:rPr>
        <w:t>tions</w:t>
      </w:r>
      <w:r w:rsidR="000F6741">
        <w:rPr>
          <w:rFonts w:ascii="Segoe UI" w:eastAsia="SimSun" w:hAnsi="Segoe UI" w:cs="Segoe UI"/>
          <w:b/>
          <w:color w:val="000000" w:themeColor="text1"/>
          <w:sz w:val="20"/>
          <w:lang w:eastAsia="ja-JP"/>
        </w:rPr>
        <w:t>, notamment celui des</w:t>
      </w:r>
      <w:r w:rsidR="000D7873">
        <w:rPr>
          <w:rFonts w:ascii="Segoe UI" w:eastAsia="SimSun" w:hAnsi="Segoe UI" w:cs="Segoe UI"/>
          <w:b/>
          <w:color w:val="000000" w:themeColor="text1"/>
          <w:sz w:val="20"/>
          <w:lang w:eastAsia="ja-JP"/>
        </w:rPr>
        <w:t xml:space="preserve"> </w:t>
      </w:r>
      <w:r w:rsidR="00DA62E6" w:rsidRPr="000D7873">
        <w:rPr>
          <w:rFonts w:ascii="Segoe UI" w:eastAsia="SimSun" w:hAnsi="Segoe UI" w:cs="Segoe UI"/>
          <w:b/>
          <w:color w:val="000000" w:themeColor="text1"/>
          <w:sz w:val="20"/>
          <w:lang w:eastAsia="ja-JP"/>
        </w:rPr>
        <w:t>« vis et boulons » (</w:t>
      </w:r>
      <w:r w:rsidR="008312FF">
        <w:rPr>
          <w:rFonts w:ascii="Segoe UI" w:eastAsia="SimSun" w:hAnsi="Segoe UI" w:cs="Segoe UI"/>
          <w:b/>
          <w:color w:val="000000" w:themeColor="text1"/>
          <w:sz w:val="20"/>
          <w:lang w:eastAsia="ja-JP"/>
        </w:rPr>
        <w:t>136</w:t>
      </w:r>
      <w:r w:rsidR="00DA62E6" w:rsidRPr="000D7873">
        <w:rPr>
          <w:rFonts w:ascii="Segoe UI" w:eastAsia="SimSun" w:hAnsi="Segoe UI" w:cs="Segoe UI"/>
          <w:b/>
          <w:color w:val="000000" w:themeColor="text1"/>
          <w:sz w:val="20"/>
          <w:lang w:eastAsia="ja-JP"/>
        </w:rPr>
        <w:t xml:space="preserve"> M EUR ; </w:t>
      </w:r>
      <w:r w:rsidR="00DA62E6">
        <w:rPr>
          <w:rFonts w:ascii="Segoe UI" w:eastAsia="SimSun" w:hAnsi="Segoe UI" w:cs="Segoe UI"/>
          <w:b/>
          <w:color w:val="000000" w:themeColor="text1"/>
          <w:sz w:val="20"/>
          <w:lang w:eastAsia="ja-JP"/>
        </w:rPr>
        <w:t>+</w:t>
      </w:r>
      <w:r w:rsidR="008312FF">
        <w:rPr>
          <w:rFonts w:ascii="Segoe UI" w:eastAsia="SimSun" w:hAnsi="Segoe UI" w:cs="Segoe UI"/>
          <w:b/>
          <w:color w:val="000000" w:themeColor="text1"/>
          <w:sz w:val="20"/>
          <w:lang w:eastAsia="ja-JP"/>
        </w:rPr>
        <w:t>14,2</w:t>
      </w:r>
      <w:r w:rsidR="00DA62E6" w:rsidRPr="00EC4666">
        <w:rPr>
          <w:rFonts w:ascii="Segoe UI" w:eastAsia="SimSun" w:hAnsi="Segoe UI" w:cs="Segoe UI"/>
          <w:b/>
          <w:color w:val="000000" w:themeColor="text1"/>
          <w:sz w:val="20"/>
          <w:lang w:eastAsia="ja-JP"/>
        </w:rPr>
        <w:t>%)</w:t>
      </w:r>
      <w:r w:rsidR="00DA62E6">
        <w:rPr>
          <w:rFonts w:ascii="Segoe UI" w:eastAsia="SimSun" w:hAnsi="Segoe UI" w:cs="Segoe UI"/>
          <w:color w:val="000000" w:themeColor="text1"/>
          <w:sz w:val="20"/>
          <w:lang w:eastAsia="ja-JP"/>
        </w:rPr>
        <w:t xml:space="preserve">, </w:t>
      </w:r>
      <w:r w:rsidR="000D7873">
        <w:rPr>
          <w:rFonts w:ascii="Segoe UI" w:eastAsia="SimSun" w:hAnsi="Segoe UI" w:cs="Segoe UI"/>
          <w:b/>
          <w:color w:val="000000" w:themeColor="text1"/>
          <w:sz w:val="20"/>
          <w:lang w:eastAsia="ja-JP"/>
        </w:rPr>
        <w:t>à l’exception de</w:t>
      </w:r>
      <w:r w:rsidR="00BC63C4">
        <w:rPr>
          <w:rFonts w:ascii="Segoe UI" w:eastAsia="SimSun" w:hAnsi="Segoe UI" w:cs="Segoe UI"/>
          <w:b/>
          <w:color w:val="000000" w:themeColor="text1"/>
          <w:sz w:val="20"/>
          <w:lang w:eastAsia="ja-JP"/>
        </w:rPr>
        <w:t xml:space="preserve"> la baisse attendue</w:t>
      </w:r>
      <w:r w:rsidR="000D7873">
        <w:rPr>
          <w:rFonts w:ascii="Segoe UI" w:eastAsia="SimSun" w:hAnsi="Segoe UI" w:cs="Segoe UI"/>
          <w:b/>
          <w:color w:val="000000" w:themeColor="text1"/>
          <w:sz w:val="20"/>
          <w:lang w:eastAsia="ja-JP"/>
        </w:rPr>
        <w:t xml:space="preserve"> </w:t>
      </w:r>
      <w:r w:rsidR="00BC63C4">
        <w:rPr>
          <w:rFonts w:ascii="Segoe UI" w:eastAsia="SimSun" w:hAnsi="Segoe UI" w:cs="Segoe UI"/>
          <w:b/>
          <w:color w:val="000000" w:themeColor="text1"/>
          <w:sz w:val="20"/>
          <w:lang w:eastAsia="ja-JP"/>
        </w:rPr>
        <w:t xml:space="preserve">des </w:t>
      </w:r>
      <w:r w:rsidR="000D7873" w:rsidRPr="000D7873">
        <w:rPr>
          <w:rFonts w:ascii="Segoe UI" w:eastAsia="SimSun" w:hAnsi="Segoe UI" w:cs="Segoe UI"/>
          <w:b/>
          <w:color w:val="000000" w:themeColor="text1"/>
          <w:sz w:val="20"/>
          <w:lang w:eastAsia="ja-JP"/>
        </w:rPr>
        <w:t>composants aéronautiques (</w:t>
      </w:r>
      <w:r w:rsidR="008312FF">
        <w:rPr>
          <w:rFonts w:ascii="Segoe UI" w:eastAsia="SimSun" w:hAnsi="Segoe UI" w:cs="Segoe UI"/>
          <w:b/>
          <w:color w:val="000000" w:themeColor="text1"/>
          <w:sz w:val="20"/>
          <w:lang w:eastAsia="ja-JP"/>
        </w:rPr>
        <w:t>21,2</w:t>
      </w:r>
      <w:r w:rsidR="000D7873" w:rsidRPr="000D7873">
        <w:rPr>
          <w:rFonts w:ascii="Segoe UI" w:eastAsia="SimSun" w:hAnsi="Segoe UI" w:cs="Segoe UI"/>
          <w:b/>
          <w:color w:val="000000" w:themeColor="text1"/>
          <w:sz w:val="20"/>
          <w:lang w:eastAsia="ja-JP"/>
        </w:rPr>
        <w:t xml:space="preserve"> M EUR ; </w:t>
      </w:r>
      <w:r w:rsidR="008312FF">
        <w:rPr>
          <w:rFonts w:ascii="Segoe UI" w:eastAsia="SimSun" w:hAnsi="Segoe UI" w:cs="Segoe UI"/>
          <w:b/>
          <w:color w:val="000000" w:themeColor="text1"/>
          <w:sz w:val="20"/>
          <w:lang w:eastAsia="ja-JP"/>
        </w:rPr>
        <w:t>-15,6</w:t>
      </w:r>
      <w:r w:rsidR="000D7873" w:rsidRPr="000D7873">
        <w:rPr>
          <w:rFonts w:ascii="Segoe UI" w:eastAsia="SimSun" w:hAnsi="Segoe UI" w:cs="Segoe UI"/>
          <w:b/>
          <w:color w:val="000000" w:themeColor="text1"/>
          <w:sz w:val="20"/>
          <w:lang w:eastAsia="ja-JP"/>
        </w:rPr>
        <w:t>%)</w:t>
      </w:r>
      <w:r>
        <w:rPr>
          <w:rFonts w:ascii="Segoe UI" w:eastAsia="SimSun" w:hAnsi="Segoe UI" w:cs="Segoe UI"/>
          <w:color w:val="000000" w:themeColor="text1"/>
          <w:sz w:val="20"/>
          <w:lang w:eastAsia="ja-JP"/>
        </w:rPr>
        <w:t>.</w:t>
      </w:r>
      <w:r w:rsidR="000D7873">
        <w:rPr>
          <w:rFonts w:ascii="Segoe UI" w:eastAsia="SimSun" w:hAnsi="Segoe UI" w:cs="Segoe UI"/>
          <w:color w:val="000000" w:themeColor="text1"/>
          <w:sz w:val="20"/>
          <w:lang w:eastAsia="ja-JP"/>
        </w:rPr>
        <w:t xml:space="preserve"> </w:t>
      </w:r>
      <w:r>
        <w:rPr>
          <w:rFonts w:ascii="Segoe UI" w:eastAsia="SimSun" w:hAnsi="Segoe UI" w:cs="Segoe UI"/>
          <w:color w:val="000000" w:themeColor="text1"/>
          <w:sz w:val="20"/>
          <w:lang w:eastAsia="ja-JP"/>
        </w:rPr>
        <w:t>L</w:t>
      </w:r>
      <w:r w:rsidRPr="009F401D">
        <w:rPr>
          <w:rFonts w:ascii="Segoe UI" w:eastAsia="SimSun" w:hAnsi="Segoe UI" w:cs="Segoe UI"/>
          <w:color w:val="000000" w:themeColor="text1"/>
          <w:sz w:val="20"/>
          <w:lang w:eastAsia="ja-JP"/>
        </w:rPr>
        <w:t xml:space="preserve">es importations </w:t>
      </w:r>
      <w:r>
        <w:rPr>
          <w:rFonts w:ascii="Segoe UI" w:eastAsia="SimSun" w:hAnsi="Segoe UI" w:cs="Segoe UI"/>
          <w:color w:val="000000" w:themeColor="text1"/>
          <w:sz w:val="20"/>
          <w:lang w:eastAsia="ja-JP"/>
        </w:rPr>
        <w:t>d</w:t>
      </w:r>
      <w:r w:rsidRPr="009F401D">
        <w:rPr>
          <w:rFonts w:ascii="Segoe UI" w:eastAsia="SimSun" w:hAnsi="Segoe UI" w:cs="Segoe UI"/>
          <w:color w:val="000000" w:themeColor="text1"/>
          <w:sz w:val="20"/>
          <w:lang w:eastAsia="ja-JP"/>
        </w:rPr>
        <w:t xml:space="preserve">e matériels électriques </w:t>
      </w:r>
      <w:r w:rsidR="006B6488">
        <w:rPr>
          <w:rFonts w:ascii="Segoe UI" w:eastAsia="SimSun" w:hAnsi="Segoe UI" w:cs="Segoe UI"/>
          <w:color w:val="000000" w:themeColor="text1"/>
          <w:sz w:val="20"/>
          <w:lang w:eastAsia="ja-JP"/>
        </w:rPr>
        <w:t>augmentent</w:t>
      </w:r>
      <w:r>
        <w:rPr>
          <w:rFonts w:ascii="Segoe UI" w:eastAsia="SimSun" w:hAnsi="Segoe UI" w:cs="Segoe UI"/>
          <w:color w:val="000000" w:themeColor="text1"/>
          <w:sz w:val="20"/>
          <w:lang w:eastAsia="ja-JP"/>
        </w:rPr>
        <w:t xml:space="preserve"> </w:t>
      </w:r>
      <w:r w:rsidR="000D7873">
        <w:rPr>
          <w:rFonts w:ascii="Segoe UI" w:eastAsia="SimSun" w:hAnsi="Segoe UI" w:cs="Segoe UI"/>
          <w:color w:val="000000" w:themeColor="text1"/>
          <w:sz w:val="20"/>
          <w:lang w:eastAsia="ja-JP"/>
        </w:rPr>
        <w:t xml:space="preserve">ainsi </w:t>
      </w:r>
      <w:r>
        <w:rPr>
          <w:rFonts w:ascii="Segoe UI" w:eastAsia="SimSun" w:hAnsi="Segoe UI" w:cs="Segoe UI"/>
          <w:color w:val="000000" w:themeColor="text1"/>
          <w:sz w:val="20"/>
          <w:lang w:eastAsia="ja-JP"/>
        </w:rPr>
        <w:t xml:space="preserve">de </w:t>
      </w:r>
      <w:r w:rsidR="008312FF">
        <w:rPr>
          <w:rFonts w:ascii="Segoe UI" w:eastAsia="SimSun" w:hAnsi="Segoe UI" w:cs="Segoe UI"/>
          <w:color w:val="000000" w:themeColor="text1"/>
          <w:sz w:val="20"/>
          <w:lang w:eastAsia="ja-JP"/>
        </w:rPr>
        <w:t>13,3</w:t>
      </w:r>
      <w:r>
        <w:rPr>
          <w:rFonts w:ascii="Segoe UI" w:eastAsia="SimSun" w:hAnsi="Segoe UI" w:cs="Segoe UI"/>
          <w:color w:val="000000" w:themeColor="text1"/>
          <w:sz w:val="20"/>
          <w:lang w:eastAsia="ja-JP"/>
        </w:rPr>
        <w:t>% (</w:t>
      </w:r>
      <w:r w:rsidR="008312FF">
        <w:rPr>
          <w:rFonts w:ascii="Segoe UI" w:eastAsia="SimSun" w:hAnsi="Segoe UI" w:cs="Segoe UI"/>
          <w:color w:val="000000" w:themeColor="text1"/>
          <w:sz w:val="20"/>
          <w:lang w:eastAsia="ja-JP"/>
        </w:rPr>
        <w:t>83</w:t>
      </w:r>
      <w:r w:rsidRPr="009F401D">
        <w:rPr>
          <w:rFonts w:ascii="Segoe UI" w:eastAsia="SimSun" w:hAnsi="Segoe UI" w:cs="Segoe UI"/>
          <w:color w:val="000000" w:themeColor="text1"/>
          <w:sz w:val="20"/>
          <w:lang w:eastAsia="ja-JP"/>
        </w:rPr>
        <w:t xml:space="preserve"> M EUR</w:t>
      </w:r>
      <w:r>
        <w:rPr>
          <w:rFonts w:ascii="Segoe UI" w:eastAsia="SimSun" w:hAnsi="Segoe UI" w:cs="Segoe UI"/>
          <w:color w:val="000000" w:themeColor="text1"/>
          <w:sz w:val="20"/>
          <w:lang w:eastAsia="ja-JP"/>
        </w:rPr>
        <w:t>)</w:t>
      </w:r>
      <w:r w:rsidR="008C035F">
        <w:rPr>
          <w:rFonts w:ascii="Segoe UI" w:eastAsia="SimSun" w:hAnsi="Segoe UI" w:cs="Segoe UI"/>
          <w:color w:val="000000" w:themeColor="text1"/>
          <w:sz w:val="20"/>
          <w:lang w:eastAsia="ja-JP"/>
        </w:rPr>
        <w:t>,</w:t>
      </w:r>
      <w:r w:rsidRPr="009F401D">
        <w:rPr>
          <w:rFonts w:ascii="Segoe UI" w:eastAsia="SimSun" w:hAnsi="Segoe UI" w:cs="Segoe UI"/>
          <w:color w:val="000000" w:themeColor="text1"/>
          <w:sz w:val="20"/>
          <w:lang w:eastAsia="ja-JP"/>
        </w:rPr>
        <w:t xml:space="preserve"> </w:t>
      </w:r>
      <w:r w:rsidR="003A51D3">
        <w:rPr>
          <w:rFonts w:ascii="Segoe UI" w:eastAsia="SimSun" w:hAnsi="Segoe UI" w:cs="Segoe UI"/>
          <w:color w:val="000000" w:themeColor="text1"/>
          <w:sz w:val="20"/>
          <w:lang w:eastAsia="ja-JP"/>
        </w:rPr>
        <w:t>cel</w:t>
      </w:r>
      <w:r w:rsidRPr="009F401D">
        <w:rPr>
          <w:rFonts w:ascii="Segoe UI" w:eastAsia="SimSun" w:hAnsi="Segoe UI" w:cs="Segoe UI"/>
          <w:color w:val="000000" w:themeColor="text1"/>
          <w:sz w:val="20"/>
          <w:lang w:eastAsia="ja-JP"/>
        </w:rPr>
        <w:t xml:space="preserve">les de produits sidérurgiques de base et </w:t>
      </w:r>
      <w:r w:rsidR="00BC63C4">
        <w:rPr>
          <w:rFonts w:ascii="Segoe UI" w:eastAsia="SimSun" w:hAnsi="Segoe UI" w:cs="Segoe UI"/>
          <w:color w:val="000000" w:themeColor="text1"/>
          <w:sz w:val="20"/>
          <w:lang w:eastAsia="ja-JP"/>
        </w:rPr>
        <w:t xml:space="preserve">de </w:t>
      </w:r>
      <w:r w:rsidRPr="009F401D">
        <w:rPr>
          <w:rFonts w:ascii="Segoe UI" w:eastAsia="SimSun" w:hAnsi="Segoe UI" w:cs="Segoe UI"/>
          <w:color w:val="000000" w:themeColor="text1"/>
          <w:sz w:val="20"/>
          <w:lang w:eastAsia="ja-JP"/>
        </w:rPr>
        <w:t xml:space="preserve">ferroalliages </w:t>
      </w:r>
      <w:r w:rsidR="00F87A9D">
        <w:rPr>
          <w:rFonts w:ascii="Segoe UI" w:eastAsia="SimSun" w:hAnsi="Segoe UI" w:cs="Segoe UI"/>
          <w:color w:val="000000" w:themeColor="text1"/>
          <w:sz w:val="20"/>
          <w:lang w:eastAsia="ja-JP"/>
        </w:rPr>
        <w:t>d</w:t>
      </w:r>
      <w:r w:rsidR="00046AE9">
        <w:rPr>
          <w:rFonts w:ascii="Segoe UI" w:eastAsia="SimSun" w:hAnsi="Segoe UI" w:cs="Segoe UI"/>
          <w:color w:val="000000" w:themeColor="text1"/>
          <w:sz w:val="20"/>
          <w:lang w:eastAsia="ja-JP"/>
        </w:rPr>
        <w:t xml:space="preserve">e </w:t>
      </w:r>
      <w:r w:rsidR="008312FF">
        <w:rPr>
          <w:rFonts w:ascii="Segoe UI" w:eastAsia="SimSun" w:hAnsi="Segoe UI" w:cs="Segoe UI"/>
          <w:color w:val="000000" w:themeColor="text1"/>
          <w:sz w:val="20"/>
          <w:lang w:eastAsia="ja-JP"/>
        </w:rPr>
        <w:t>1 049</w:t>
      </w:r>
      <w:r w:rsidR="00046AE9">
        <w:rPr>
          <w:rFonts w:ascii="Segoe UI" w:eastAsia="SimSun" w:hAnsi="Segoe UI" w:cs="Segoe UI"/>
          <w:color w:val="000000" w:themeColor="text1"/>
          <w:sz w:val="20"/>
          <w:lang w:eastAsia="ja-JP"/>
        </w:rPr>
        <w:t xml:space="preserve">% </w:t>
      </w:r>
      <w:r w:rsidR="00BC63C4">
        <w:rPr>
          <w:rFonts w:ascii="Segoe UI" w:eastAsia="SimSun" w:hAnsi="Segoe UI" w:cs="Segoe UI"/>
          <w:color w:val="000000" w:themeColor="text1"/>
          <w:sz w:val="20"/>
          <w:lang w:eastAsia="ja-JP"/>
        </w:rPr>
        <w:t xml:space="preserve">tout en représentant un montant relativement faible </w:t>
      </w:r>
      <w:r w:rsidR="008F616D">
        <w:rPr>
          <w:rFonts w:ascii="Segoe UI" w:eastAsia="SimSun" w:hAnsi="Segoe UI" w:cs="Segoe UI"/>
          <w:color w:val="000000" w:themeColor="text1"/>
          <w:sz w:val="20"/>
          <w:lang w:eastAsia="ja-JP"/>
        </w:rPr>
        <w:t>(</w:t>
      </w:r>
      <w:r w:rsidR="008312FF">
        <w:rPr>
          <w:rFonts w:ascii="Segoe UI" w:eastAsia="SimSun" w:hAnsi="Segoe UI" w:cs="Segoe UI"/>
          <w:color w:val="000000" w:themeColor="text1"/>
          <w:sz w:val="20"/>
          <w:lang w:eastAsia="ja-JP"/>
        </w:rPr>
        <w:t>37,1</w:t>
      </w:r>
      <w:r w:rsidRPr="009F401D">
        <w:rPr>
          <w:rFonts w:ascii="Segoe UI" w:eastAsia="SimSun" w:hAnsi="Segoe UI" w:cs="Segoe UI"/>
          <w:color w:val="000000" w:themeColor="text1"/>
          <w:sz w:val="20"/>
          <w:lang w:eastAsia="ja-JP"/>
        </w:rPr>
        <w:t xml:space="preserve"> M EUR</w:t>
      </w:r>
      <w:r w:rsidR="00F87A9D">
        <w:rPr>
          <w:rFonts w:ascii="Segoe UI" w:eastAsia="SimSun" w:hAnsi="Segoe UI" w:cs="Segoe UI"/>
          <w:color w:val="000000" w:themeColor="text1"/>
          <w:sz w:val="20"/>
          <w:lang w:eastAsia="ja-JP"/>
        </w:rPr>
        <w:t>)</w:t>
      </w:r>
      <w:r w:rsidRPr="009F401D">
        <w:rPr>
          <w:rFonts w:ascii="Segoe UI" w:eastAsia="SimSun" w:hAnsi="Segoe UI" w:cs="Segoe UI"/>
          <w:color w:val="000000" w:themeColor="text1"/>
          <w:sz w:val="20"/>
          <w:lang w:eastAsia="ja-JP"/>
        </w:rPr>
        <w:t xml:space="preserve">. La France a également </w:t>
      </w:r>
      <w:r w:rsidR="008F616D">
        <w:rPr>
          <w:rFonts w:ascii="Segoe UI" w:eastAsia="SimSun" w:hAnsi="Segoe UI" w:cs="Segoe UI"/>
          <w:color w:val="000000" w:themeColor="text1"/>
          <w:sz w:val="20"/>
          <w:lang w:eastAsia="ja-JP"/>
        </w:rPr>
        <w:t xml:space="preserve">importé plus </w:t>
      </w:r>
      <w:r w:rsidRPr="009F401D">
        <w:rPr>
          <w:rFonts w:ascii="Segoe UI" w:eastAsia="SimSun" w:hAnsi="Segoe UI" w:cs="Segoe UI"/>
          <w:color w:val="000000" w:themeColor="text1"/>
          <w:sz w:val="20"/>
          <w:lang w:eastAsia="ja-JP"/>
        </w:rPr>
        <w:t>d’outillage (</w:t>
      </w:r>
      <w:r w:rsidR="00046AE9">
        <w:rPr>
          <w:rFonts w:ascii="Segoe UI" w:eastAsia="SimSun" w:hAnsi="Segoe UI" w:cs="Segoe UI"/>
          <w:color w:val="000000" w:themeColor="text1"/>
          <w:sz w:val="20"/>
          <w:lang w:eastAsia="ja-JP"/>
        </w:rPr>
        <w:t>+</w:t>
      </w:r>
      <w:r w:rsidR="00580E2B">
        <w:rPr>
          <w:rFonts w:ascii="Segoe UI" w:eastAsia="SimSun" w:hAnsi="Segoe UI" w:cs="Segoe UI"/>
          <w:color w:val="000000" w:themeColor="text1"/>
          <w:sz w:val="20"/>
          <w:lang w:eastAsia="ja-JP"/>
        </w:rPr>
        <w:t>27</w:t>
      </w:r>
      <w:r w:rsidRPr="009F401D">
        <w:rPr>
          <w:rFonts w:ascii="Segoe UI" w:eastAsia="SimSun" w:hAnsi="Segoe UI" w:cs="Segoe UI"/>
          <w:color w:val="000000" w:themeColor="text1"/>
          <w:sz w:val="20"/>
          <w:lang w:eastAsia="ja-JP"/>
        </w:rPr>
        <w:t xml:space="preserve">% ; </w:t>
      </w:r>
      <w:r w:rsidR="00580E2B">
        <w:rPr>
          <w:rFonts w:ascii="Segoe UI" w:eastAsia="SimSun" w:hAnsi="Segoe UI" w:cs="Segoe UI"/>
          <w:color w:val="000000" w:themeColor="text1"/>
          <w:sz w:val="20"/>
          <w:lang w:eastAsia="ja-JP"/>
        </w:rPr>
        <w:t>99</w:t>
      </w:r>
      <w:r w:rsidRPr="009F401D">
        <w:rPr>
          <w:rFonts w:ascii="Segoe UI" w:eastAsia="SimSun" w:hAnsi="Segoe UI" w:cs="Segoe UI"/>
          <w:color w:val="000000" w:themeColor="text1"/>
          <w:sz w:val="20"/>
          <w:lang w:eastAsia="ja-JP"/>
        </w:rPr>
        <w:t xml:space="preserve"> M EUR), de matériel optique et photographique (</w:t>
      </w:r>
      <w:r w:rsidR="00CE0A4D">
        <w:rPr>
          <w:rFonts w:ascii="Segoe UI" w:eastAsia="SimSun" w:hAnsi="Segoe UI" w:cs="Segoe UI"/>
          <w:color w:val="000000" w:themeColor="text1"/>
          <w:sz w:val="20"/>
          <w:lang w:eastAsia="ja-JP"/>
        </w:rPr>
        <w:t>-2,6</w:t>
      </w:r>
      <w:r w:rsidRPr="009F401D">
        <w:rPr>
          <w:rFonts w:ascii="Segoe UI" w:eastAsia="SimSun" w:hAnsi="Segoe UI" w:cs="Segoe UI"/>
          <w:color w:val="000000" w:themeColor="text1"/>
          <w:sz w:val="20"/>
          <w:lang w:eastAsia="ja-JP"/>
        </w:rPr>
        <w:t xml:space="preserve">% ; </w:t>
      </w:r>
      <w:r w:rsidR="00CE0A4D">
        <w:rPr>
          <w:rFonts w:ascii="Segoe UI" w:eastAsia="SimSun" w:hAnsi="Segoe UI" w:cs="Segoe UI"/>
          <w:color w:val="000000" w:themeColor="text1"/>
          <w:sz w:val="20"/>
          <w:lang w:eastAsia="ja-JP"/>
        </w:rPr>
        <w:t>30</w:t>
      </w:r>
      <w:r w:rsidRPr="009F401D">
        <w:rPr>
          <w:rFonts w:ascii="Segoe UI" w:eastAsia="SimSun" w:hAnsi="Segoe UI" w:cs="Segoe UI"/>
          <w:color w:val="000000" w:themeColor="text1"/>
          <w:sz w:val="20"/>
          <w:lang w:eastAsia="ja-JP"/>
        </w:rPr>
        <w:t xml:space="preserve"> M EUR), d’articles de sport (</w:t>
      </w:r>
      <w:r w:rsidR="00046AE9">
        <w:rPr>
          <w:rFonts w:ascii="Segoe UI" w:eastAsia="SimSun" w:hAnsi="Segoe UI" w:cs="Segoe UI"/>
          <w:color w:val="000000" w:themeColor="text1"/>
          <w:sz w:val="20"/>
          <w:lang w:eastAsia="ja-JP"/>
        </w:rPr>
        <w:t>+</w:t>
      </w:r>
      <w:r w:rsidR="00C71C95">
        <w:rPr>
          <w:rFonts w:ascii="Segoe UI" w:eastAsia="SimSun" w:hAnsi="Segoe UI" w:cs="Segoe UI"/>
          <w:color w:val="000000" w:themeColor="text1"/>
          <w:sz w:val="20"/>
          <w:lang w:eastAsia="ja-JP"/>
        </w:rPr>
        <w:t>40,5</w:t>
      </w:r>
      <w:r w:rsidRPr="009F401D">
        <w:rPr>
          <w:rFonts w:ascii="Segoe UI" w:eastAsia="SimSun" w:hAnsi="Segoe UI" w:cs="Segoe UI"/>
          <w:color w:val="000000" w:themeColor="text1"/>
          <w:sz w:val="20"/>
          <w:lang w:eastAsia="ja-JP"/>
        </w:rPr>
        <w:t xml:space="preserve">% ; </w:t>
      </w:r>
      <w:r w:rsidR="00C71C95">
        <w:rPr>
          <w:rFonts w:ascii="Segoe UI" w:eastAsia="SimSun" w:hAnsi="Segoe UI" w:cs="Segoe UI"/>
          <w:color w:val="000000" w:themeColor="text1"/>
          <w:sz w:val="20"/>
          <w:lang w:eastAsia="ja-JP"/>
        </w:rPr>
        <w:t>48</w:t>
      </w:r>
      <w:r w:rsidRPr="009F401D">
        <w:rPr>
          <w:rFonts w:ascii="Segoe UI" w:eastAsia="SimSun" w:hAnsi="Segoe UI" w:cs="Segoe UI"/>
          <w:color w:val="000000" w:themeColor="text1"/>
          <w:sz w:val="20"/>
          <w:lang w:eastAsia="ja-JP"/>
        </w:rPr>
        <w:t xml:space="preserve"> M EUR) et de machines et équipements de bureau hors ordinateurs et équipements périphériques (</w:t>
      </w:r>
      <w:r w:rsidR="00046AE9">
        <w:rPr>
          <w:rFonts w:ascii="Segoe UI" w:eastAsia="SimSun" w:hAnsi="Segoe UI" w:cs="Segoe UI"/>
          <w:color w:val="000000" w:themeColor="text1"/>
          <w:sz w:val="20"/>
          <w:lang w:eastAsia="ja-JP"/>
        </w:rPr>
        <w:t>+</w:t>
      </w:r>
      <w:r w:rsidR="00C71C95">
        <w:rPr>
          <w:rFonts w:ascii="Segoe UI" w:eastAsia="SimSun" w:hAnsi="Segoe UI" w:cs="Segoe UI"/>
          <w:color w:val="000000" w:themeColor="text1"/>
          <w:sz w:val="20"/>
          <w:lang w:eastAsia="ja-JP"/>
        </w:rPr>
        <w:t>32,1</w:t>
      </w:r>
      <w:r w:rsidRPr="009F401D">
        <w:rPr>
          <w:rFonts w:ascii="Segoe UI" w:eastAsia="SimSun" w:hAnsi="Segoe UI" w:cs="Segoe UI"/>
          <w:color w:val="000000" w:themeColor="text1"/>
          <w:sz w:val="20"/>
          <w:lang w:eastAsia="ja-JP"/>
        </w:rPr>
        <w:t xml:space="preserve">% ; </w:t>
      </w:r>
      <w:r w:rsidR="00C71C95">
        <w:rPr>
          <w:rFonts w:ascii="Segoe UI" w:eastAsia="SimSun" w:hAnsi="Segoe UI" w:cs="Segoe UI"/>
          <w:color w:val="000000" w:themeColor="text1"/>
          <w:sz w:val="20"/>
          <w:lang w:eastAsia="ja-JP"/>
        </w:rPr>
        <w:t>19</w:t>
      </w:r>
      <w:r w:rsidRPr="009F401D">
        <w:rPr>
          <w:rFonts w:ascii="Segoe UI" w:eastAsia="SimSun" w:hAnsi="Segoe UI" w:cs="Segoe UI"/>
          <w:color w:val="000000" w:themeColor="text1"/>
          <w:sz w:val="20"/>
          <w:lang w:eastAsia="ja-JP"/>
        </w:rPr>
        <w:t xml:space="preserve"> M EUR).</w:t>
      </w:r>
      <w:r>
        <w:rPr>
          <w:rFonts w:ascii="Segoe UI" w:eastAsia="SimSun" w:hAnsi="Segoe UI" w:cs="Segoe UI"/>
          <w:color w:val="000000" w:themeColor="text1"/>
          <w:sz w:val="20"/>
          <w:lang w:eastAsia="ja-JP"/>
        </w:rPr>
        <w:t xml:space="preserve"> </w:t>
      </w:r>
      <w:r w:rsidR="009F401D" w:rsidRPr="009F401D">
        <w:rPr>
          <w:rFonts w:ascii="Segoe UI" w:eastAsia="SimSun" w:hAnsi="Segoe UI" w:cs="Segoe UI"/>
          <w:color w:val="000000" w:themeColor="text1"/>
          <w:sz w:val="20"/>
          <w:lang w:eastAsia="ja-JP"/>
        </w:rPr>
        <w:t>Dans les autres secteurs</w:t>
      </w:r>
      <w:r w:rsidR="005357F1">
        <w:rPr>
          <w:rFonts w:ascii="Segoe UI" w:eastAsia="SimSun" w:hAnsi="Segoe UI" w:cs="Segoe UI"/>
          <w:color w:val="000000" w:themeColor="text1"/>
          <w:sz w:val="20"/>
          <w:lang w:eastAsia="ja-JP"/>
        </w:rPr>
        <w:t>,</w:t>
      </w:r>
      <w:r w:rsidR="009F401D" w:rsidRPr="009F401D">
        <w:rPr>
          <w:rFonts w:ascii="Segoe UI" w:eastAsia="SimSun" w:hAnsi="Segoe UI" w:cs="Segoe UI"/>
          <w:color w:val="000000" w:themeColor="text1"/>
          <w:sz w:val="20"/>
          <w:lang w:eastAsia="ja-JP"/>
        </w:rPr>
        <w:t xml:space="preserve"> </w:t>
      </w:r>
      <w:r>
        <w:rPr>
          <w:rFonts w:ascii="Segoe UI" w:eastAsia="SimSun" w:hAnsi="Segoe UI" w:cs="Segoe UI"/>
          <w:color w:val="000000" w:themeColor="text1"/>
          <w:sz w:val="20"/>
          <w:lang w:eastAsia="ja-JP"/>
        </w:rPr>
        <w:t xml:space="preserve">les importations </w:t>
      </w:r>
      <w:r w:rsidR="009F401D" w:rsidRPr="009F401D">
        <w:rPr>
          <w:rFonts w:ascii="Segoe UI" w:eastAsia="SimSun" w:hAnsi="Segoe UI" w:cs="Segoe UI"/>
          <w:color w:val="000000" w:themeColor="text1"/>
          <w:sz w:val="20"/>
          <w:lang w:eastAsia="ja-JP"/>
        </w:rPr>
        <w:t>de cycles et véhicules pour invalides</w:t>
      </w:r>
      <w:r w:rsidR="0034015B">
        <w:rPr>
          <w:rFonts w:ascii="Segoe UI" w:eastAsia="SimSun" w:hAnsi="Segoe UI" w:cs="Segoe UI"/>
          <w:color w:val="000000" w:themeColor="text1"/>
          <w:sz w:val="20"/>
          <w:lang w:eastAsia="ja-JP"/>
        </w:rPr>
        <w:t>,</w:t>
      </w:r>
      <w:r w:rsidR="009F401D" w:rsidRPr="009F401D">
        <w:rPr>
          <w:rFonts w:ascii="Segoe UI" w:eastAsia="SimSun" w:hAnsi="Segoe UI" w:cs="Segoe UI"/>
          <w:color w:val="000000" w:themeColor="text1"/>
          <w:sz w:val="20"/>
          <w:lang w:eastAsia="ja-JP"/>
        </w:rPr>
        <w:t xml:space="preserve"> </w:t>
      </w:r>
      <w:r w:rsidR="00130AB8">
        <w:rPr>
          <w:rFonts w:ascii="Segoe UI" w:eastAsia="SimSun" w:hAnsi="Segoe UI" w:cs="Segoe UI"/>
          <w:color w:val="000000" w:themeColor="text1"/>
          <w:sz w:val="20"/>
          <w:lang w:eastAsia="ja-JP"/>
        </w:rPr>
        <w:t xml:space="preserve">dont Taïwan est le premier producteur mondial, </w:t>
      </w:r>
      <w:r w:rsidR="00537085">
        <w:rPr>
          <w:rFonts w:ascii="Segoe UI" w:eastAsia="SimSun" w:hAnsi="Segoe UI" w:cs="Segoe UI"/>
          <w:color w:val="000000" w:themeColor="text1"/>
          <w:sz w:val="20"/>
          <w:lang w:eastAsia="ja-JP"/>
        </w:rPr>
        <w:t>progress</w:t>
      </w:r>
      <w:r w:rsidR="00C472E5">
        <w:rPr>
          <w:rFonts w:ascii="Segoe UI" w:eastAsia="SimSun" w:hAnsi="Segoe UI" w:cs="Segoe UI"/>
          <w:color w:val="000000" w:themeColor="text1"/>
          <w:sz w:val="20"/>
          <w:lang w:eastAsia="ja-JP"/>
        </w:rPr>
        <w:t xml:space="preserve">ent </w:t>
      </w:r>
      <w:r w:rsidR="00BC63C4">
        <w:rPr>
          <w:rFonts w:ascii="Segoe UI" w:eastAsia="SimSun" w:hAnsi="Segoe UI" w:cs="Segoe UI"/>
          <w:color w:val="000000" w:themeColor="text1"/>
          <w:sz w:val="20"/>
          <w:lang w:eastAsia="ja-JP"/>
        </w:rPr>
        <w:t xml:space="preserve">sensiblement </w:t>
      </w:r>
      <w:r w:rsidR="00C472E5">
        <w:rPr>
          <w:rFonts w:ascii="Segoe UI" w:eastAsia="SimSun" w:hAnsi="Segoe UI" w:cs="Segoe UI"/>
          <w:color w:val="000000" w:themeColor="text1"/>
          <w:sz w:val="20"/>
          <w:lang w:eastAsia="ja-JP"/>
        </w:rPr>
        <w:t xml:space="preserve">à </w:t>
      </w:r>
      <w:r w:rsidR="00C71C95">
        <w:rPr>
          <w:rFonts w:ascii="Segoe UI" w:eastAsia="SimSun" w:hAnsi="Segoe UI" w:cs="Segoe UI"/>
          <w:color w:val="000000" w:themeColor="text1"/>
          <w:sz w:val="20"/>
          <w:lang w:eastAsia="ja-JP"/>
        </w:rPr>
        <w:t>204</w:t>
      </w:r>
      <w:r w:rsidR="00C472E5">
        <w:rPr>
          <w:rFonts w:ascii="Segoe UI" w:eastAsia="SimSun" w:hAnsi="Segoe UI" w:cs="Segoe UI"/>
          <w:color w:val="000000" w:themeColor="text1"/>
          <w:sz w:val="20"/>
          <w:lang w:eastAsia="ja-JP"/>
        </w:rPr>
        <w:t xml:space="preserve"> M EUR</w:t>
      </w:r>
      <w:r w:rsidR="00284D78">
        <w:rPr>
          <w:rFonts w:ascii="Segoe UI" w:eastAsia="SimSun" w:hAnsi="Segoe UI" w:cs="Segoe UI"/>
          <w:color w:val="000000" w:themeColor="text1"/>
          <w:sz w:val="20"/>
          <w:lang w:eastAsia="ja-JP"/>
        </w:rPr>
        <w:t xml:space="preserve"> (+38,9%)</w:t>
      </w:r>
      <w:r w:rsidR="008F616D">
        <w:rPr>
          <w:rFonts w:ascii="Segoe UI" w:eastAsia="SimSun" w:hAnsi="Segoe UI" w:cs="Segoe UI"/>
          <w:color w:val="000000" w:themeColor="text1"/>
          <w:sz w:val="20"/>
          <w:lang w:eastAsia="ja-JP"/>
        </w:rPr>
        <w:t>.</w:t>
      </w:r>
      <w:r w:rsidR="00C472E5">
        <w:rPr>
          <w:rFonts w:ascii="Segoe UI" w:eastAsia="SimSun" w:hAnsi="Segoe UI" w:cs="Segoe UI"/>
          <w:color w:val="000000" w:themeColor="text1"/>
          <w:sz w:val="20"/>
          <w:lang w:eastAsia="ja-JP"/>
        </w:rPr>
        <w:t xml:space="preserve"> </w:t>
      </w:r>
    </w:p>
    <w:p w:rsidR="00D66711" w:rsidRDefault="007D04A3" w:rsidP="00F82E29">
      <w:pPr>
        <w:spacing w:after="0"/>
        <w:jc w:val="both"/>
        <w:rPr>
          <w:rFonts w:ascii="Segoe UI" w:eastAsia="SimSun" w:hAnsi="Segoe UI" w:cs="Segoe UI"/>
          <w:color w:val="000000" w:themeColor="text1"/>
          <w:sz w:val="20"/>
          <w:lang w:eastAsia="ja-JP"/>
        </w:rPr>
      </w:pPr>
      <w:r w:rsidRPr="007D04A3">
        <w:rPr>
          <w:rFonts w:ascii="Segoe UI" w:eastAsia="SimSun" w:hAnsi="Segoe UI" w:cs="Segoe UI"/>
          <w:b/>
          <w:color w:val="000000" w:themeColor="text1"/>
          <w:sz w:val="20"/>
          <w:lang w:eastAsia="ja-JP"/>
        </w:rPr>
        <w:t>Au final, le déficit commercial de la France avec Taïwan s</w:t>
      </w:r>
      <w:r w:rsidR="006326AE">
        <w:rPr>
          <w:rFonts w:ascii="Segoe UI" w:eastAsia="SimSun" w:hAnsi="Segoe UI" w:cs="Segoe UI"/>
          <w:b/>
          <w:color w:val="000000" w:themeColor="text1"/>
          <w:sz w:val="20"/>
          <w:lang w:eastAsia="ja-JP"/>
        </w:rPr>
        <w:t xml:space="preserve">e </w:t>
      </w:r>
      <w:r w:rsidR="00D42DFC">
        <w:rPr>
          <w:rFonts w:ascii="Segoe UI" w:eastAsia="SimSun" w:hAnsi="Segoe UI" w:cs="Segoe UI"/>
          <w:b/>
          <w:color w:val="000000" w:themeColor="text1"/>
          <w:sz w:val="20"/>
          <w:lang w:eastAsia="ja-JP"/>
        </w:rPr>
        <w:t>cr</w:t>
      </w:r>
      <w:r w:rsidR="006326AE">
        <w:rPr>
          <w:rFonts w:ascii="Segoe UI" w:eastAsia="SimSun" w:hAnsi="Segoe UI" w:cs="Segoe UI"/>
          <w:b/>
          <w:color w:val="000000" w:themeColor="text1"/>
          <w:sz w:val="20"/>
          <w:lang w:eastAsia="ja-JP"/>
        </w:rPr>
        <w:t>euse</w:t>
      </w:r>
      <w:r w:rsidR="00D42DFC">
        <w:rPr>
          <w:rFonts w:ascii="Segoe UI" w:eastAsia="SimSun" w:hAnsi="Segoe UI" w:cs="Segoe UI"/>
          <w:b/>
          <w:color w:val="000000" w:themeColor="text1"/>
          <w:sz w:val="20"/>
          <w:lang w:eastAsia="ja-JP"/>
        </w:rPr>
        <w:t xml:space="preserve"> </w:t>
      </w:r>
      <w:r w:rsidRPr="007D04A3">
        <w:rPr>
          <w:rFonts w:ascii="Segoe UI" w:eastAsia="SimSun" w:hAnsi="Segoe UI" w:cs="Segoe UI"/>
          <w:b/>
          <w:color w:val="000000" w:themeColor="text1"/>
          <w:sz w:val="20"/>
          <w:lang w:eastAsia="ja-JP"/>
        </w:rPr>
        <w:t xml:space="preserve">de </w:t>
      </w:r>
      <w:r w:rsidR="00C71C95">
        <w:rPr>
          <w:rFonts w:ascii="Segoe UI" w:eastAsia="SimSun" w:hAnsi="Segoe UI" w:cs="Segoe UI"/>
          <w:b/>
          <w:color w:val="000000" w:themeColor="text1"/>
          <w:sz w:val="20"/>
          <w:lang w:eastAsia="ja-JP"/>
        </w:rPr>
        <w:t>56,</w:t>
      </w:r>
      <w:r w:rsidR="0078627F">
        <w:rPr>
          <w:rFonts w:ascii="Segoe UI" w:eastAsia="SimSun" w:hAnsi="Segoe UI" w:cs="Segoe UI"/>
          <w:b/>
          <w:color w:val="000000" w:themeColor="text1"/>
          <w:sz w:val="20"/>
          <w:lang w:eastAsia="ja-JP"/>
        </w:rPr>
        <w:t>6</w:t>
      </w:r>
      <w:r w:rsidRPr="007D04A3">
        <w:rPr>
          <w:rFonts w:ascii="Segoe UI" w:eastAsia="SimSun" w:hAnsi="Segoe UI" w:cs="Segoe UI"/>
          <w:b/>
          <w:color w:val="000000" w:themeColor="text1"/>
          <w:sz w:val="20"/>
          <w:lang w:eastAsia="ja-JP"/>
        </w:rPr>
        <w:t xml:space="preserve">% à </w:t>
      </w:r>
      <w:r w:rsidR="00C71C95">
        <w:rPr>
          <w:rFonts w:ascii="Segoe UI" w:eastAsia="SimSun" w:hAnsi="Segoe UI" w:cs="Segoe UI"/>
          <w:b/>
          <w:color w:val="000000" w:themeColor="text1"/>
          <w:sz w:val="20"/>
          <w:lang w:eastAsia="ja-JP"/>
        </w:rPr>
        <w:t>1,86</w:t>
      </w:r>
      <w:r w:rsidR="005448FA">
        <w:rPr>
          <w:rFonts w:ascii="Segoe UI" w:eastAsia="SimSun" w:hAnsi="Segoe UI" w:cs="Segoe UI"/>
          <w:b/>
          <w:color w:val="000000" w:themeColor="text1"/>
          <w:sz w:val="20"/>
          <w:lang w:eastAsia="ja-JP"/>
        </w:rPr>
        <w:t xml:space="preserve"> Md</w:t>
      </w:r>
      <w:r w:rsidRPr="007D04A3">
        <w:rPr>
          <w:rFonts w:ascii="Segoe UI" w:eastAsia="SimSun" w:hAnsi="Segoe UI" w:cs="Segoe UI"/>
          <w:b/>
          <w:color w:val="000000" w:themeColor="text1"/>
          <w:sz w:val="20"/>
          <w:lang w:eastAsia="ja-JP"/>
        </w:rPr>
        <w:t xml:space="preserve"> EUR.</w:t>
      </w:r>
      <w:r w:rsidR="00AF61E5">
        <w:rPr>
          <w:rFonts w:ascii="Segoe UI" w:eastAsia="SimSun" w:hAnsi="Segoe UI" w:cs="Segoe UI"/>
          <w:b/>
          <w:color w:val="000000" w:themeColor="text1"/>
          <w:sz w:val="20"/>
          <w:lang w:eastAsia="ja-JP"/>
        </w:rPr>
        <w:t xml:space="preserve"> </w:t>
      </w:r>
      <w:r w:rsidR="00AF61E5" w:rsidRPr="00AF61E5">
        <w:rPr>
          <w:rFonts w:ascii="Segoe UI" w:eastAsia="SimSun" w:hAnsi="Segoe UI" w:cs="Segoe UI"/>
          <w:color w:val="000000" w:themeColor="text1"/>
          <w:sz w:val="20"/>
          <w:lang w:eastAsia="ja-JP"/>
        </w:rPr>
        <w:t xml:space="preserve">Il se dégrade de </w:t>
      </w:r>
      <w:r w:rsidR="009E60FD">
        <w:rPr>
          <w:rFonts w:ascii="Segoe UI" w:eastAsia="SimSun" w:hAnsi="Segoe UI" w:cs="Segoe UI"/>
          <w:color w:val="000000" w:themeColor="text1"/>
          <w:sz w:val="20"/>
          <w:lang w:eastAsia="ja-JP"/>
        </w:rPr>
        <w:t>28</w:t>
      </w:r>
      <w:r w:rsidR="00AF61E5" w:rsidRPr="00AF61E5">
        <w:rPr>
          <w:rFonts w:ascii="Segoe UI" w:eastAsia="SimSun" w:hAnsi="Segoe UI" w:cs="Segoe UI"/>
          <w:color w:val="000000" w:themeColor="text1"/>
          <w:sz w:val="20"/>
          <w:lang w:eastAsia="ja-JP"/>
        </w:rPr>
        <w:t>% par rapport à celui enregistré au</w:t>
      </w:r>
      <w:r w:rsidR="005448FA">
        <w:rPr>
          <w:rFonts w:ascii="Segoe UI" w:eastAsia="SimSun" w:hAnsi="Segoe UI" w:cs="Segoe UI"/>
          <w:color w:val="000000" w:themeColor="text1"/>
          <w:sz w:val="20"/>
          <w:lang w:eastAsia="ja-JP"/>
        </w:rPr>
        <w:t xml:space="preserve"> cours de</w:t>
      </w:r>
      <w:r w:rsidR="009E60FD">
        <w:rPr>
          <w:rFonts w:ascii="Segoe UI" w:eastAsia="SimSun" w:hAnsi="Segoe UI" w:cs="Segoe UI"/>
          <w:color w:val="000000" w:themeColor="text1"/>
          <w:sz w:val="20"/>
          <w:lang w:eastAsia="ja-JP"/>
        </w:rPr>
        <w:t xml:space="preserve"> l’année</w:t>
      </w:r>
      <w:r w:rsidR="00AF61E5" w:rsidRPr="00AF61E5">
        <w:rPr>
          <w:rFonts w:ascii="Segoe UI" w:eastAsia="SimSun" w:hAnsi="Segoe UI" w:cs="Segoe UI"/>
          <w:color w:val="000000" w:themeColor="text1"/>
          <w:sz w:val="20"/>
          <w:lang w:eastAsia="ja-JP"/>
        </w:rPr>
        <w:t xml:space="preserve"> 2019 (</w:t>
      </w:r>
      <w:r w:rsidR="009E60FD">
        <w:rPr>
          <w:rFonts w:ascii="Segoe UI" w:eastAsia="SimSun" w:hAnsi="Segoe UI" w:cs="Segoe UI"/>
          <w:color w:val="000000" w:themeColor="text1"/>
          <w:sz w:val="20"/>
          <w:lang w:eastAsia="ja-JP"/>
        </w:rPr>
        <w:t>1,45 Md</w:t>
      </w:r>
      <w:r w:rsidR="00AF61E5" w:rsidRPr="00AF61E5">
        <w:rPr>
          <w:rFonts w:ascii="Segoe UI" w:eastAsia="SimSun" w:hAnsi="Segoe UI" w:cs="Segoe UI"/>
          <w:color w:val="000000" w:themeColor="text1"/>
          <w:sz w:val="20"/>
          <w:lang w:eastAsia="ja-JP"/>
        </w:rPr>
        <w:t xml:space="preserve"> EUR).</w:t>
      </w:r>
      <w:r w:rsidR="00D66711" w:rsidRPr="00AF61E5">
        <w:rPr>
          <w:rFonts w:ascii="Segoe UI" w:eastAsia="SimSun" w:hAnsi="Segoe UI" w:cs="Segoe UI"/>
          <w:color w:val="000000" w:themeColor="text1"/>
          <w:sz w:val="20"/>
          <w:lang w:eastAsia="ja-JP"/>
        </w:rPr>
        <w:t xml:space="preserve">  </w:t>
      </w:r>
    </w:p>
    <w:p w:rsidR="00EA638B" w:rsidRDefault="00EA638B" w:rsidP="00F82E29">
      <w:pPr>
        <w:spacing w:before="120" w:after="120"/>
        <w:jc w:val="center"/>
        <w:rPr>
          <w:rFonts w:ascii="Segoe UI" w:eastAsia="SimSun" w:hAnsi="Segoe UI" w:cs="Segoe UI"/>
          <w:color w:val="000000" w:themeColor="text1"/>
          <w:sz w:val="20"/>
          <w:lang w:eastAsia="ja-JP"/>
        </w:rPr>
      </w:pPr>
      <w:r>
        <w:rPr>
          <w:rFonts w:ascii="Segoe UI" w:eastAsia="SimSun" w:hAnsi="Segoe UI" w:cs="Segoe UI"/>
          <w:color w:val="000000" w:themeColor="text1"/>
          <w:sz w:val="20"/>
          <w:lang w:eastAsia="ja-JP"/>
        </w:rPr>
        <w:t>***</w:t>
      </w:r>
    </w:p>
    <w:p w:rsidR="00F82E29" w:rsidRDefault="00FA168D" w:rsidP="00F82E29">
      <w:pPr>
        <w:jc w:val="both"/>
        <w:rPr>
          <w:rFonts w:ascii="Segoe UI" w:eastAsia="SimSun" w:hAnsi="Segoe UI" w:cs="Segoe UI"/>
          <w:i/>
          <w:color w:val="000000" w:themeColor="text1"/>
          <w:sz w:val="20"/>
          <w:lang w:eastAsia="ja-JP"/>
        </w:rPr>
      </w:pPr>
      <w:r>
        <w:rPr>
          <w:rFonts w:ascii="Segoe UI" w:eastAsia="SimSun" w:hAnsi="Segoe UI" w:cs="Segoe UI"/>
          <w:i/>
          <w:color w:val="000000" w:themeColor="text1"/>
          <w:sz w:val="20"/>
          <w:lang w:eastAsia="ja-JP"/>
        </w:rPr>
        <w:t>Si n</w:t>
      </w:r>
      <w:r w:rsidR="00C154FB" w:rsidRPr="00AF620E">
        <w:rPr>
          <w:rFonts w:ascii="Segoe UI" w:eastAsia="SimSun" w:hAnsi="Segoe UI" w:cs="Segoe UI"/>
          <w:i/>
          <w:color w:val="000000" w:themeColor="text1"/>
          <w:sz w:val="20"/>
          <w:lang w:eastAsia="ja-JP"/>
        </w:rPr>
        <w:t>os exportations</w:t>
      </w:r>
      <w:r w:rsidR="008F616D" w:rsidRPr="00AF620E">
        <w:rPr>
          <w:rFonts w:ascii="Segoe UI" w:eastAsia="SimSun" w:hAnsi="Segoe UI" w:cs="Segoe UI"/>
          <w:i/>
          <w:color w:val="000000" w:themeColor="text1"/>
          <w:sz w:val="20"/>
          <w:lang w:eastAsia="ja-JP"/>
        </w:rPr>
        <w:t xml:space="preserve"> </w:t>
      </w:r>
      <w:r w:rsidR="007D475C" w:rsidRPr="00AF620E">
        <w:rPr>
          <w:rFonts w:ascii="Segoe UI" w:eastAsia="SimSun" w:hAnsi="Segoe UI" w:cs="Segoe UI"/>
          <w:i/>
          <w:color w:val="000000" w:themeColor="text1"/>
          <w:sz w:val="20"/>
          <w:lang w:eastAsia="ja-JP"/>
        </w:rPr>
        <w:t>dépasse</w:t>
      </w:r>
      <w:r w:rsidR="00CA0504" w:rsidRPr="00AF620E">
        <w:rPr>
          <w:rFonts w:ascii="Segoe UI" w:eastAsia="SimSun" w:hAnsi="Segoe UI" w:cs="Segoe UI"/>
          <w:i/>
          <w:color w:val="000000" w:themeColor="text1"/>
          <w:sz w:val="20"/>
          <w:lang w:eastAsia="ja-JP"/>
        </w:rPr>
        <w:t>nt</w:t>
      </w:r>
      <w:r w:rsidR="007D475C" w:rsidRPr="00AF620E">
        <w:rPr>
          <w:rFonts w:ascii="Segoe UI" w:eastAsia="SimSun" w:hAnsi="Segoe UI" w:cs="Segoe UI"/>
          <w:i/>
          <w:color w:val="000000" w:themeColor="text1"/>
          <w:sz w:val="20"/>
          <w:lang w:eastAsia="ja-JP"/>
        </w:rPr>
        <w:t xml:space="preserve"> le</w:t>
      </w:r>
      <w:r>
        <w:rPr>
          <w:rFonts w:ascii="Segoe UI" w:eastAsia="SimSun" w:hAnsi="Segoe UI" w:cs="Segoe UI"/>
          <w:i/>
          <w:color w:val="000000" w:themeColor="text1"/>
          <w:sz w:val="20"/>
          <w:lang w:eastAsia="ja-JP"/>
        </w:rPr>
        <w:t>ur</w:t>
      </w:r>
      <w:r w:rsidR="007D475C" w:rsidRPr="00AF620E">
        <w:rPr>
          <w:rFonts w:ascii="Segoe UI" w:eastAsia="SimSun" w:hAnsi="Segoe UI" w:cs="Segoe UI"/>
          <w:i/>
          <w:color w:val="000000" w:themeColor="text1"/>
          <w:sz w:val="20"/>
          <w:lang w:eastAsia="ja-JP"/>
        </w:rPr>
        <w:t xml:space="preserve"> niveau </w:t>
      </w:r>
      <w:r>
        <w:rPr>
          <w:rFonts w:ascii="Segoe UI" w:eastAsia="SimSun" w:hAnsi="Segoe UI" w:cs="Segoe UI"/>
          <w:i/>
          <w:color w:val="000000" w:themeColor="text1"/>
          <w:sz w:val="20"/>
          <w:lang w:eastAsia="ja-JP"/>
        </w:rPr>
        <w:t>de</w:t>
      </w:r>
      <w:r w:rsidR="007D475C" w:rsidRPr="00AF620E">
        <w:rPr>
          <w:rFonts w:ascii="Segoe UI" w:eastAsia="SimSun" w:hAnsi="Segoe UI" w:cs="Segoe UI"/>
          <w:i/>
          <w:color w:val="000000" w:themeColor="text1"/>
          <w:sz w:val="20"/>
          <w:lang w:eastAsia="ja-JP"/>
        </w:rPr>
        <w:t xml:space="preserve"> 2019</w:t>
      </w:r>
      <w:r w:rsidR="00F82E29">
        <w:rPr>
          <w:rFonts w:ascii="Segoe UI" w:eastAsia="SimSun" w:hAnsi="Segoe UI" w:cs="Segoe UI"/>
          <w:i/>
          <w:color w:val="000000" w:themeColor="text1"/>
          <w:sz w:val="20"/>
          <w:lang w:eastAsia="ja-JP"/>
        </w:rPr>
        <w:t>,</w:t>
      </w:r>
      <w:r>
        <w:rPr>
          <w:rFonts w:ascii="Segoe UI" w:eastAsia="SimSun" w:hAnsi="Segoe UI" w:cs="Segoe UI"/>
          <w:i/>
          <w:color w:val="000000" w:themeColor="text1"/>
          <w:sz w:val="20"/>
          <w:lang w:eastAsia="ja-JP"/>
        </w:rPr>
        <w:t xml:space="preserve"> l’évolution du commerce </w:t>
      </w:r>
      <w:r w:rsidR="00EF4C22">
        <w:rPr>
          <w:rFonts w:ascii="Segoe UI" w:eastAsia="SimSun" w:hAnsi="Segoe UI" w:cs="Segoe UI"/>
          <w:i/>
          <w:color w:val="000000" w:themeColor="text1"/>
          <w:sz w:val="20"/>
          <w:lang w:eastAsia="ja-JP"/>
        </w:rPr>
        <w:t xml:space="preserve">de biens avec </w:t>
      </w:r>
      <w:r>
        <w:rPr>
          <w:rFonts w:ascii="Segoe UI" w:eastAsia="SimSun" w:hAnsi="Segoe UI" w:cs="Segoe UI"/>
          <w:i/>
          <w:color w:val="000000" w:themeColor="text1"/>
          <w:sz w:val="20"/>
          <w:lang w:eastAsia="ja-JP"/>
        </w:rPr>
        <w:t xml:space="preserve">Taïwan </w:t>
      </w:r>
      <w:r w:rsidR="00EF4C22">
        <w:rPr>
          <w:rFonts w:ascii="Segoe UI" w:eastAsia="SimSun" w:hAnsi="Segoe UI" w:cs="Segoe UI"/>
          <w:i/>
          <w:color w:val="000000" w:themeColor="text1"/>
          <w:sz w:val="20"/>
          <w:lang w:eastAsia="ja-JP"/>
        </w:rPr>
        <w:t xml:space="preserve">en 2021 </w:t>
      </w:r>
      <w:r>
        <w:rPr>
          <w:rFonts w:ascii="Segoe UI" w:eastAsia="SimSun" w:hAnsi="Segoe UI" w:cs="Segoe UI"/>
          <w:i/>
          <w:color w:val="000000" w:themeColor="text1"/>
          <w:sz w:val="20"/>
          <w:lang w:eastAsia="ja-JP"/>
        </w:rPr>
        <w:t xml:space="preserve">traduit une dépendance </w:t>
      </w:r>
      <w:r w:rsidR="00F82E29">
        <w:rPr>
          <w:rFonts w:ascii="Segoe UI" w:eastAsia="SimSun" w:hAnsi="Segoe UI" w:cs="Segoe UI"/>
          <w:i/>
          <w:color w:val="000000" w:themeColor="text1"/>
          <w:sz w:val="20"/>
          <w:lang w:eastAsia="ja-JP"/>
        </w:rPr>
        <w:t>accrue</w:t>
      </w:r>
      <w:r>
        <w:rPr>
          <w:rFonts w:ascii="Segoe UI" w:eastAsia="SimSun" w:hAnsi="Segoe UI" w:cs="Segoe UI"/>
          <w:i/>
          <w:color w:val="000000" w:themeColor="text1"/>
          <w:sz w:val="20"/>
          <w:lang w:eastAsia="ja-JP"/>
        </w:rPr>
        <w:t xml:space="preserve"> de la France aux importations </w:t>
      </w:r>
      <w:r w:rsidR="00B052A9">
        <w:rPr>
          <w:rFonts w:ascii="Segoe UI" w:eastAsia="SimSun" w:hAnsi="Segoe UI" w:cs="Segoe UI"/>
          <w:i/>
          <w:color w:val="000000" w:themeColor="text1"/>
          <w:sz w:val="20"/>
          <w:lang w:eastAsia="ja-JP"/>
        </w:rPr>
        <w:t>taïwanais</w:t>
      </w:r>
      <w:r w:rsidR="009935DA">
        <w:rPr>
          <w:rFonts w:ascii="Segoe UI" w:eastAsia="SimSun" w:hAnsi="Segoe UI" w:cs="Segoe UI"/>
          <w:i/>
          <w:color w:val="000000" w:themeColor="text1"/>
          <w:sz w:val="20"/>
          <w:lang w:eastAsia="ja-JP"/>
        </w:rPr>
        <w:t>es</w:t>
      </w:r>
      <w:r w:rsidR="00EF4C22">
        <w:rPr>
          <w:rFonts w:ascii="Segoe UI" w:eastAsia="SimSun" w:hAnsi="Segoe UI" w:cs="Segoe UI"/>
          <w:i/>
          <w:color w:val="000000" w:themeColor="text1"/>
          <w:sz w:val="20"/>
          <w:lang w:eastAsia="ja-JP"/>
        </w:rPr>
        <w:t xml:space="preserve">. </w:t>
      </w:r>
      <w:r w:rsidR="00FE2763">
        <w:rPr>
          <w:rFonts w:ascii="Segoe UI" w:eastAsia="SimSun" w:hAnsi="Segoe UI" w:cs="Segoe UI"/>
          <w:i/>
          <w:color w:val="000000" w:themeColor="text1"/>
          <w:sz w:val="20"/>
          <w:lang w:eastAsia="ja-JP"/>
        </w:rPr>
        <w:t xml:space="preserve">Cette évolution </w:t>
      </w:r>
      <w:r w:rsidR="00EF4C22">
        <w:rPr>
          <w:rFonts w:ascii="Segoe UI" w:eastAsia="SimSun" w:hAnsi="Segoe UI" w:cs="Segoe UI"/>
          <w:i/>
          <w:color w:val="000000" w:themeColor="text1"/>
          <w:sz w:val="20"/>
          <w:lang w:eastAsia="ja-JP"/>
        </w:rPr>
        <w:t xml:space="preserve">contribue </w:t>
      </w:r>
      <w:r w:rsidR="009935DA">
        <w:rPr>
          <w:rFonts w:ascii="Segoe UI" w:eastAsia="SimSun" w:hAnsi="Segoe UI" w:cs="Segoe UI"/>
          <w:i/>
          <w:color w:val="000000" w:themeColor="text1"/>
          <w:sz w:val="20"/>
          <w:lang w:eastAsia="ja-JP"/>
        </w:rPr>
        <w:t xml:space="preserve">toutefois </w:t>
      </w:r>
      <w:r w:rsidR="00EF4C22">
        <w:rPr>
          <w:rFonts w:ascii="Segoe UI" w:eastAsia="SimSun" w:hAnsi="Segoe UI" w:cs="Segoe UI"/>
          <w:i/>
          <w:color w:val="000000" w:themeColor="text1"/>
          <w:sz w:val="20"/>
          <w:lang w:eastAsia="ja-JP"/>
        </w:rPr>
        <w:t xml:space="preserve">à réduire la pénurie de composants </w:t>
      </w:r>
      <w:r w:rsidR="009935DA">
        <w:rPr>
          <w:rFonts w:ascii="Segoe UI" w:eastAsia="SimSun" w:hAnsi="Segoe UI" w:cs="Segoe UI"/>
          <w:i/>
          <w:color w:val="000000" w:themeColor="text1"/>
          <w:sz w:val="20"/>
          <w:lang w:eastAsia="ja-JP"/>
        </w:rPr>
        <w:t xml:space="preserve">électroniques </w:t>
      </w:r>
      <w:r w:rsidR="00EF4C22">
        <w:rPr>
          <w:rFonts w:ascii="Segoe UI" w:eastAsia="SimSun" w:hAnsi="Segoe UI" w:cs="Segoe UI"/>
          <w:i/>
          <w:color w:val="000000" w:themeColor="text1"/>
          <w:sz w:val="20"/>
          <w:lang w:eastAsia="ja-JP"/>
        </w:rPr>
        <w:t xml:space="preserve">en France. En revanche, la </w:t>
      </w:r>
      <w:r w:rsidR="00B052A9">
        <w:rPr>
          <w:rFonts w:ascii="Segoe UI" w:eastAsia="SimSun" w:hAnsi="Segoe UI" w:cs="Segoe UI"/>
          <w:i/>
          <w:color w:val="000000" w:themeColor="text1"/>
          <w:sz w:val="20"/>
          <w:lang w:eastAsia="ja-JP"/>
        </w:rPr>
        <w:t xml:space="preserve">pandémie </w:t>
      </w:r>
      <w:r w:rsidR="00FE2763">
        <w:rPr>
          <w:rFonts w:ascii="Segoe UI" w:eastAsia="SimSun" w:hAnsi="Segoe UI" w:cs="Segoe UI"/>
          <w:i/>
          <w:color w:val="000000" w:themeColor="text1"/>
          <w:sz w:val="20"/>
          <w:lang w:eastAsia="ja-JP"/>
        </w:rPr>
        <w:t>impact</w:t>
      </w:r>
      <w:r w:rsidR="00284D78">
        <w:rPr>
          <w:rFonts w:ascii="Segoe UI" w:eastAsia="SimSun" w:hAnsi="Segoe UI" w:cs="Segoe UI"/>
          <w:i/>
          <w:color w:val="000000" w:themeColor="text1"/>
          <w:sz w:val="20"/>
          <w:lang w:eastAsia="ja-JP"/>
        </w:rPr>
        <w:t>e</w:t>
      </w:r>
      <w:r w:rsidR="00FE2763">
        <w:rPr>
          <w:rFonts w:ascii="Segoe UI" w:eastAsia="SimSun" w:hAnsi="Segoe UI" w:cs="Segoe UI"/>
          <w:i/>
          <w:color w:val="000000" w:themeColor="text1"/>
          <w:sz w:val="20"/>
          <w:lang w:eastAsia="ja-JP"/>
        </w:rPr>
        <w:t xml:space="preserve"> négati</w:t>
      </w:r>
      <w:r w:rsidR="00284D78">
        <w:rPr>
          <w:rFonts w:ascii="Segoe UI" w:eastAsia="SimSun" w:hAnsi="Segoe UI" w:cs="Segoe UI"/>
          <w:i/>
          <w:color w:val="000000" w:themeColor="text1"/>
          <w:sz w:val="20"/>
          <w:lang w:eastAsia="ja-JP"/>
        </w:rPr>
        <w:t>vement</w:t>
      </w:r>
      <w:r w:rsidR="00FE2763">
        <w:rPr>
          <w:rFonts w:ascii="Segoe UI" w:eastAsia="SimSun" w:hAnsi="Segoe UI" w:cs="Segoe UI"/>
          <w:i/>
          <w:color w:val="000000" w:themeColor="text1"/>
          <w:sz w:val="20"/>
          <w:lang w:eastAsia="ja-JP"/>
        </w:rPr>
        <w:t xml:space="preserve"> </w:t>
      </w:r>
      <w:r w:rsidR="009935DA">
        <w:rPr>
          <w:rFonts w:ascii="Segoe UI" w:eastAsia="SimSun" w:hAnsi="Segoe UI" w:cs="Segoe UI"/>
          <w:i/>
          <w:color w:val="000000" w:themeColor="text1"/>
          <w:sz w:val="20"/>
          <w:lang w:eastAsia="ja-JP"/>
        </w:rPr>
        <w:t>le secteur</w:t>
      </w:r>
      <w:r w:rsidR="00FE2763">
        <w:rPr>
          <w:rFonts w:ascii="Segoe UI" w:eastAsia="SimSun" w:hAnsi="Segoe UI" w:cs="Segoe UI"/>
          <w:i/>
          <w:color w:val="000000" w:themeColor="text1"/>
          <w:sz w:val="20"/>
          <w:lang w:eastAsia="ja-JP"/>
        </w:rPr>
        <w:t xml:space="preserve"> aéronautique</w:t>
      </w:r>
      <w:r w:rsidR="00B052A9">
        <w:rPr>
          <w:rFonts w:ascii="Segoe UI" w:eastAsia="SimSun" w:hAnsi="Segoe UI" w:cs="Segoe UI"/>
          <w:i/>
          <w:color w:val="000000" w:themeColor="text1"/>
          <w:sz w:val="20"/>
          <w:lang w:eastAsia="ja-JP"/>
        </w:rPr>
        <w:t>, la nouvelle compagnie StarLux qui a fait un choix 100% Airbus</w:t>
      </w:r>
      <w:r w:rsidR="00EF4C22">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en 2019, a</w:t>
      </w:r>
      <w:r w:rsidR="00FE2763">
        <w:rPr>
          <w:rFonts w:ascii="Segoe UI" w:eastAsia="SimSun" w:hAnsi="Segoe UI" w:cs="Segoe UI"/>
          <w:i/>
          <w:color w:val="000000" w:themeColor="text1"/>
          <w:sz w:val="20"/>
          <w:lang w:eastAsia="ja-JP"/>
        </w:rPr>
        <w:t xml:space="preserve">yant </w:t>
      </w:r>
      <w:r w:rsidR="00B052A9">
        <w:rPr>
          <w:rFonts w:ascii="Segoe UI" w:eastAsia="SimSun" w:hAnsi="Segoe UI" w:cs="Segoe UI"/>
          <w:i/>
          <w:color w:val="000000" w:themeColor="text1"/>
          <w:sz w:val="20"/>
          <w:lang w:eastAsia="ja-JP"/>
        </w:rPr>
        <w:t>d</w:t>
      </w:r>
      <w:r w:rsidR="00284D78">
        <w:rPr>
          <w:rFonts w:ascii="Segoe UI" w:eastAsia="SimSun" w:hAnsi="Segoe UI" w:cs="Segoe UI"/>
          <w:i/>
          <w:color w:val="000000" w:themeColor="text1"/>
          <w:sz w:val="20"/>
          <w:lang w:eastAsia="ja-JP"/>
        </w:rPr>
        <w:t>û rééchelonner ses livraisons</w:t>
      </w:r>
      <w:r w:rsidR="00B052A9">
        <w:rPr>
          <w:rFonts w:ascii="Segoe UI" w:eastAsia="SimSun" w:hAnsi="Segoe UI" w:cs="Segoe UI"/>
          <w:i/>
          <w:color w:val="000000" w:themeColor="text1"/>
          <w:sz w:val="20"/>
          <w:lang w:eastAsia="ja-JP"/>
        </w:rPr>
        <w:t>. Par ailleurs, Airbus ne disposant pas d’un appareil concurrent du B777F</w:t>
      </w:r>
      <w:r w:rsidR="00284D78">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China Airlines </w:t>
      </w:r>
      <w:r w:rsidR="00FE2763">
        <w:rPr>
          <w:rFonts w:ascii="Segoe UI" w:eastAsia="SimSun" w:hAnsi="Segoe UI" w:cs="Segoe UI"/>
          <w:i/>
          <w:color w:val="000000" w:themeColor="text1"/>
          <w:sz w:val="20"/>
          <w:lang w:eastAsia="ja-JP"/>
        </w:rPr>
        <w:t xml:space="preserve">(CAL) </w:t>
      </w:r>
      <w:r w:rsidR="00B052A9">
        <w:rPr>
          <w:rFonts w:ascii="Segoe UI" w:eastAsia="SimSun" w:hAnsi="Segoe UI" w:cs="Segoe UI"/>
          <w:i/>
          <w:color w:val="000000" w:themeColor="text1"/>
          <w:sz w:val="20"/>
          <w:lang w:eastAsia="ja-JP"/>
        </w:rPr>
        <w:t>qui bénéficie de l’envolée des prix du f</w:t>
      </w:r>
      <w:r w:rsidR="00FE2763">
        <w:rPr>
          <w:rFonts w:ascii="Segoe UI" w:eastAsia="SimSun" w:hAnsi="Segoe UI" w:cs="Segoe UI"/>
          <w:i/>
          <w:color w:val="000000" w:themeColor="text1"/>
          <w:sz w:val="20"/>
          <w:lang w:eastAsia="ja-JP"/>
        </w:rPr>
        <w:t>r</w:t>
      </w:r>
      <w:r w:rsidR="00B052A9">
        <w:rPr>
          <w:rFonts w:ascii="Segoe UI" w:eastAsia="SimSun" w:hAnsi="Segoe UI" w:cs="Segoe UI"/>
          <w:i/>
          <w:color w:val="000000" w:themeColor="text1"/>
          <w:sz w:val="20"/>
          <w:lang w:eastAsia="ja-JP"/>
        </w:rPr>
        <w:t>et aérien</w:t>
      </w:r>
      <w:r w:rsidR="00FE2763">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a command</w:t>
      </w:r>
      <w:r w:rsidR="00FE2763">
        <w:rPr>
          <w:rFonts w:ascii="Segoe UI" w:eastAsia="SimSun" w:hAnsi="Segoe UI" w:cs="Segoe UI"/>
          <w:i/>
          <w:color w:val="000000" w:themeColor="text1"/>
          <w:sz w:val="20"/>
          <w:lang w:eastAsia="ja-JP"/>
        </w:rPr>
        <w:t>é,</w:t>
      </w:r>
      <w:r w:rsidR="00B052A9">
        <w:rPr>
          <w:rFonts w:ascii="Segoe UI" w:eastAsia="SimSun" w:hAnsi="Segoe UI" w:cs="Segoe UI"/>
          <w:i/>
          <w:color w:val="000000" w:themeColor="text1"/>
          <w:sz w:val="20"/>
          <w:lang w:eastAsia="ja-JP"/>
        </w:rPr>
        <w:t xml:space="preserve"> en 2019</w:t>
      </w:r>
      <w:r w:rsidR="00FE2763">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w:t>
      </w:r>
      <w:r w:rsidR="00FE2763">
        <w:rPr>
          <w:rFonts w:ascii="Segoe UI" w:eastAsia="SimSun" w:hAnsi="Segoe UI" w:cs="Segoe UI"/>
          <w:i/>
          <w:color w:val="000000" w:themeColor="text1"/>
          <w:sz w:val="20"/>
          <w:lang w:eastAsia="ja-JP"/>
        </w:rPr>
        <w:t xml:space="preserve">six appareils de ce type </w:t>
      </w:r>
      <w:r w:rsidR="00B052A9">
        <w:rPr>
          <w:rFonts w:ascii="Segoe UI" w:eastAsia="SimSun" w:hAnsi="Segoe UI" w:cs="Segoe UI"/>
          <w:i/>
          <w:color w:val="000000" w:themeColor="text1"/>
          <w:sz w:val="20"/>
          <w:lang w:eastAsia="ja-JP"/>
        </w:rPr>
        <w:t>au concurrent américain et a signé</w:t>
      </w:r>
      <w:r w:rsidR="00284D78">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en janvier </w:t>
      </w:r>
      <w:r w:rsidR="00FE2763">
        <w:rPr>
          <w:rFonts w:ascii="Segoe UI" w:eastAsia="SimSun" w:hAnsi="Segoe UI" w:cs="Segoe UI"/>
          <w:i/>
          <w:color w:val="000000" w:themeColor="text1"/>
          <w:sz w:val="20"/>
          <w:lang w:eastAsia="ja-JP"/>
        </w:rPr>
        <w:t>2022</w:t>
      </w:r>
      <w:r w:rsidR="00284D78">
        <w:rPr>
          <w:rFonts w:ascii="Segoe UI" w:eastAsia="SimSun" w:hAnsi="Segoe UI" w:cs="Segoe UI"/>
          <w:i/>
          <w:color w:val="000000" w:themeColor="text1"/>
          <w:sz w:val="20"/>
          <w:lang w:eastAsia="ja-JP"/>
        </w:rPr>
        <w:t>,</w:t>
      </w:r>
      <w:r w:rsidR="00FE2763">
        <w:rPr>
          <w:rFonts w:ascii="Segoe UI" w:eastAsia="SimSun" w:hAnsi="Segoe UI" w:cs="Segoe UI"/>
          <w:i/>
          <w:color w:val="000000" w:themeColor="text1"/>
          <w:sz w:val="20"/>
          <w:lang w:eastAsia="ja-JP"/>
        </w:rPr>
        <w:t xml:space="preserve"> </w:t>
      </w:r>
      <w:r w:rsidR="00B052A9">
        <w:rPr>
          <w:rFonts w:ascii="Segoe UI" w:eastAsia="SimSun" w:hAnsi="Segoe UI" w:cs="Segoe UI"/>
          <w:i/>
          <w:color w:val="000000" w:themeColor="text1"/>
          <w:sz w:val="20"/>
          <w:lang w:eastAsia="ja-JP"/>
        </w:rPr>
        <w:t xml:space="preserve">un nouveau contrat pour la </w:t>
      </w:r>
      <w:r w:rsidR="00FE2763">
        <w:rPr>
          <w:rFonts w:ascii="Segoe UI" w:eastAsia="SimSun" w:hAnsi="Segoe UI" w:cs="Segoe UI"/>
          <w:i/>
          <w:color w:val="000000" w:themeColor="text1"/>
          <w:sz w:val="20"/>
          <w:lang w:eastAsia="ja-JP"/>
        </w:rPr>
        <w:t xml:space="preserve">fourniture de quatre </w:t>
      </w:r>
      <w:r w:rsidR="00B052A9">
        <w:rPr>
          <w:rFonts w:ascii="Segoe UI" w:eastAsia="SimSun" w:hAnsi="Segoe UI" w:cs="Segoe UI"/>
          <w:i/>
          <w:color w:val="000000" w:themeColor="text1"/>
          <w:sz w:val="20"/>
          <w:lang w:eastAsia="ja-JP"/>
        </w:rPr>
        <w:t>appareils</w:t>
      </w:r>
      <w:r w:rsidR="00FE2763">
        <w:rPr>
          <w:rFonts w:ascii="Segoe UI" w:eastAsia="SimSun" w:hAnsi="Segoe UI" w:cs="Segoe UI"/>
          <w:i/>
          <w:color w:val="000000" w:themeColor="text1"/>
          <w:sz w:val="20"/>
          <w:lang w:eastAsia="ja-JP"/>
        </w:rPr>
        <w:t xml:space="preserve"> supplémentaires. </w:t>
      </w:r>
      <w:r w:rsidR="00B052A9">
        <w:rPr>
          <w:rFonts w:ascii="Segoe UI" w:eastAsia="SimSun" w:hAnsi="Segoe UI" w:cs="Segoe UI"/>
          <w:i/>
          <w:color w:val="000000" w:themeColor="text1"/>
          <w:sz w:val="20"/>
          <w:lang w:eastAsia="ja-JP"/>
        </w:rPr>
        <w:t>Dans ces conditions</w:t>
      </w:r>
      <w:r w:rsidR="009935DA">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l’appel d’offres lancé</w:t>
      </w:r>
      <w:r w:rsidR="00284D78">
        <w:rPr>
          <w:rFonts w:ascii="Segoe UI" w:eastAsia="SimSun" w:hAnsi="Segoe UI" w:cs="Segoe UI"/>
          <w:i/>
          <w:color w:val="000000" w:themeColor="text1"/>
          <w:sz w:val="20"/>
          <w:lang w:eastAsia="ja-JP"/>
        </w:rPr>
        <w:t>,</w:t>
      </w:r>
      <w:r w:rsidR="00B052A9">
        <w:rPr>
          <w:rFonts w:ascii="Segoe UI" w:eastAsia="SimSun" w:hAnsi="Segoe UI" w:cs="Segoe UI"/>
          <w:i/>
          <w:color w:val="000000" w:themeColor="text1"/>
          <w:sz w:val="20"/>
          <w:lang w:eastAsia="ja-JP"/>
        </w:rPr>
        <w:t xml:space="preserve"> en janvier </w:t>
      </w:r>
      <w:r w:rsidR="00EF4C22">
        <w:rPr>
          <w:rFonts w:ascii="Segoe UI" w:eastAsia="SimSun" w:hAnsi="Segoe UI" w:cs="Segoe UI"/>
          <w:i/>
          <w:color w:val="000000" w:themeColor="text1"/>
          <w:sz w:val="20"/>
          <w:lang w:eastAsia="ja-JP"/>
        </w:rPr>
        <w:t>2022</w:t>
      </w:r>
      <w:r w:rsidR="00284D78">
        <w:rPr>
          <w:rFonts w:ascii="Segoe UI" w:eastAsia="SimSun" w:hAnsi="Segoe UI" w:cs="Segoe UI"/>
          <w:i/>
          <w:color w:val="000000" w:themeColor="text1"/>
          <w:sz w:val="20"/>
          <w:lang w:eastAsia="ja-JP"/>
        </w:rPr>
        <w:t>,</w:t>
      </w:r>
      <w:r w:rsidR="00EF4C22">
        <w:rPr>
          <w:rFonts w:ascii="Segoe UI" w:eastAsia="SimSun" w:hAnsi="Segoe UI" w:cs="Segoe UI"/>
          <w:i/>
          <w:color w:val="000000" w:themeColor="text1"/>
          <w:sz w:val="20"/>
          <w:lang w:eastAsia="ja-JP"/>
        </w:rPr>
        <w:t xml:space="preserve"> </w:t>
      </w:r>
      <w:r w:rsidR="00B052A9">
        <w:rPr>
          <w:rFonts w:ascii="Segoe UI" w:eastAsia="SimSun" w:hAnsi="Segoe UI" w:cs="Segoe UI"/>
          <w:i/>
          <w:color w:val="000000" w:themeColor="text1"/>
          <w:sz w:val="20"/>
          <w:lang w:eastAsia="ja-JP"/>
        </w:rPr>
        <w:t xml:space="preserve">par CAL pour l’acquisition de 24 appareils long courrier </w:t>
      </w:r>
      <w:r w:rsidR="00EF4C22">
        <w:rPr>
          <w:rFonts w:ascii="Segoe UI" w:eastAsia="SimSun" w:hAnsi="Segoe UI" w:cs="Segoe UI"/>
          <w:i/>
          <w:color w:val="000000" w:themeColor="text1"/>
          <w:sz w:val="20"/>
          <w:lang w:eastAsia="ja-JP"/>
        </w:rPr>
        <w:t xml:space="preserve">(5 à 7 Md EUR) </w:t>
      </w:r>
      <w:r w:rsidR="00FE2763">
        <w:rPr>
          <w:rFonts w:ascii="Segoe UI" w:eastAsia="SimSun" w:hAnsi="Segoe UI" w:cs="Segoe UI"/>
          <w:i/>
          <w:color w:val="000000" w:themeColor="text1"/>
          <w:sz w:val="20"/>
          <w:lang w:eastAsia="ja-JP"/>
        </w:rPr>
        <w:t xml:space="preserve">revêt des enjeux importants </w:t>
      </w:r>
      <w:r w:rsidR="009935DA">
        <w:rPr>
          <w:rFonts w:ascii="Segoe UI" w:eastAsia="SimSun" w:hAnsi="Segoe UI" w:cs="Segoe UI"/>
          <w:i/>
          <w:color w:val="000000" w:themeColor="text1"/>
          <w:sz w:val="20"/>
          <w:lang w:eastAsia="ja-JP"/>
        </w:rPr>
        <w:t xml:space="preserve">à terme </w:t>
      </w:r>
      <w:r w:rsidR="00FE2763">
        <w:rPr>
          <w:rFonts w:ascii="Segoe UI" w:eastAsia="SimSun" w:hAnsi="Segoe UI" w:cs="Segoe UI"/>
          <w:i/>
          <w:color w:val="000000" w:themeColor="text1"/>
          <w:sz w:val="20"/>
          <w:lang w:eastAsia="ja-JP"/>
        </w:rPr>
        <w:t>pour nos exportations</w:t>
      </w:r>
      <w:r w:rsidR="00C95673">
        <w:rPr>
          <w:rFonts w:ascii="Segoe UI" w:eastAsia="SimSun" w:hAnsi="Segoe UI" w:cs="Segoe UI"/>
          <w:i/>
          <w:color w:val="000000" w:themeColor="text1"/>
          <w:sz w:val="20"/>
          <w:lang w:eastAsia="ja-JP"/>
        </w:rPr>
        <w:t>.</w:t>
      </w:r>
      <w:r w:rsidR="00F82E29">
        <w:rPr>
          <w:rFonts w:ascii="Segoe UI" w:eastAsia="SimSun" w:hAnsi="Segoe UI" w:cs="Segoe UI"/>
          <w:i/>
          <w:color w:val="000000" w:themeColor="text1"/>
          <w:sz w:val="20"/>
          <w:lang w:eastAsia="ja-JP"/>
        </w:rPr>
        <w:t xml:space="preserve">                                         </w:t>
      </w:r>
    </w:p>
    <w:p w:rsidR="001C7316" w:rsidRDefault="005C1007" w:rsidP="00F82E29">
      <w:pPr>
        <w:spacing w:after="0"/>
        <w:jc w:val="right"/>
        <w:rPr>
          <w:rFonts w:ascii="Segoe UI" w:eastAsia="SimSun" w:hAnsi="Segoe UI" w:cs="Segoe UI"/>
          <w:b/>
          <w:color w:val="000000" w:themeColor="text1"/>
          <w:sz w:val="20"/>
          <w:lang w:eastAsia="ja-JP"/>
        </w:rPr>
        <w:sectPr w:rsidR="001C7316" w:rsidSect="00FE2763">
          <w:headerReference w:type="default" r:id="rId11"/>
          <w:footerReference w:type="default" r:id="rId12"/>
          <w:headerReference w:type="first" r:id="rId13"/>
          <w:footerReference w:type="first" r:id="rId14"/>
          <w:pgSz w:w="11906" w:h="16838"/>
          <w:pgMar w:top="142" w:right="1418" w:bottom="284" w:left="1134" w:header="709" w:footer="709" w:gutter="0"/>
          <w:cols w:space="708"/>
          <w:titlePg/>
          <w:docGrid w:linePitch="360"/>
        </w:sectPr>
      </w:pPr>
      <w:r w:rsidRPr="005C1007">
        <w:rPr>
          <w:rFonts w:ascii="Segoe UI" w:eastAsia="SimSun" w:hAnsi="Segoe UI" w:cs="Segoe UI"/>
          <w:b/>
          <w:color w:val="000000" w:themeColor="text1"/>
          <w:sz w:val="20"/>
          <w:lang w:eastAsia="ja-JP"/>
        </w:rPr>
        <w:t>Alain BERDER</w:t>
      </w:r>
    </w:p>
    <w:tbl>
      <w:tblPr>
        <w:tblW w:w="16137" w:type="dxa"/>
        <w:tblInd w:w="-284" w:type="dxa"/>
        <w:tblCellMar>
          <w:left w:w="70" w:type="dxa"/>
          <w:right w:w="70" w:type="dxa"/>
        </w:tblCellMar>
        <w:tblLook w:val="04A0" w:firstRow="1" w:lastRow="0" w:firstColumn="1" w:lastColumn="0" w:noHBand="0" w:noVBand="1"/>
      </w:tblPr>
      <w:tblGrid>
        <w:gridCol w:w="6307"/>
        <w:gridCol w:w="1342"/>
        <w:gridCol w:w="1342"/>
        <w:gridCol w:w="889"/>
        <w:gridCol w:w="1342"/>
        <w:gridCol w:w="1342"/>
        <w:gridCol w:w="923"/>
        <w:gridCol w:w="1291"/>
        <w:gridCol w:w="1359"/>
      </w:tblGrid>
      <w:tr w:rsidR="00C336F9" w:rsidRPr="00C336F9" w:rsidTr="00C336F9">
        <w:trPr>
          <w:trHeight w:val="250"/>
        </w:trPr>
        <w:tc>
          <w:tcPr>
            <w:tcW w:w="6307"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lastRenderedPageBreak/>
              <w:t>Echanges France/Taïwan</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b/>
                <w:bCs/>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889"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923"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59"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r>
      <w:tr w:rsidR="00C336F9" w:rsidRPr="00C336F9" w:rsidTr="00C336F9">
        <w:trPr>
          <w:trHeight w:val="250"/>
        </w:trPr>
        <w:tc>
          <w:tcPr>
            <w:tcW w:w="6307"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889"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923"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59"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rPr>
                <w:rFonts w:ascii="Segoe UI" w:eastAsia="Times New Roman" w:hAnsi="Segoe UI" w:cs="Segoe UI"/>
                <w:sz w:val="16"/>
                <w:szCs w:val="16"/>
                <w:lang w:eastAsia="zh-TW"/>
              </w:rPr>
            </w:pPr>
          </w:p>
        </w:tc>
      </w:tr>
      <w:tr w:rsidR="00C336F9" w:rsidRPr="00C336F9" w:rsidTr="00C336F9">
        <w:trPr>
          <w:trHeight w:val="250"/>
        </w:trPr>
        <w:tc>
          <w:tcPr>
            <w:tcW w:w="6307"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Evolution récente en A17 et A38 - euros</w:t>
            </w:r>
            <w:r w:rsidRPr="00C336F9">
              <w:rPr>
                <w:rFonts w:ascii="Segoe UI" w:eastAsia="Times New Roman" w:hAnsi="Segoe UI" w:cs="Segoe UI"/>
                <w:b/>
                <w:bCs/>
                <w:sz w:val="16"/>
                <w:szCs w:val="16"/>
                <w:lang w:eastAsia="zh-TW"/>
              </w:rPr>
              <w:br/>
              <w:t>Source : Douanes</w:t>
            </w:r>
          </w:p>
        </w:tc>
        <w:tc>
          <w:tcPr>
            <w:tcW w:w="3573"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C336F9" w:rsidRPr="00C336F9" w:rsidRDefault="00C336F9" w:rsidP="00C336F9">
            <w:pPr>
              <w:spacing w:after="0" w:line="240" w:lineRule="auto"/>
              <w:jc w:val="center"/>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Exportations FAB</w:t>
            </w:r>
          </w:p>
        </w:tc>
        <w:tc>
          <w:tcPr>
            <w:tcW w:w="3607"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C336F9" w:rsidRPr="00C336F9" w:rsidRDefault="00C336F9" w:rsidP="00C336F9">
            <w:pPr>
              <w:spacing w:after="0" w:line="240" w:lineRule="auto"/>
              <w:jc w:val="center"/>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Importations CAF</w:t>
            </w:r>
          </w:p>
        </w:tc>
        <w:tc>
          <w:tcPr>
            <w:tcW w:w="2650"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C336F9" w:rsidRPr="00C336F9" w:rsidRDefault="00C336F9" w:rsidP="00C336F9">
            <w:pPr>
              <w:spacing w:after="0" w:line="240" w:lineRule="auto"/>
              <w:jc w:val="center"/>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Solde</w:t>
            </w:r>
          </w:p>
        </w:tc>
      </w:tr>
      <w:tr w:rsidR="00C336F9" w:rsidRPr="00C336F9" w:rsidTr="00C336F9">
        <w:trPr>
          <w:trHeight w:val="450"/>
        </w:trPr>
        <w:tc>
          <w:tcPr>
            <w:tcW w:w="6307" w:type="dxa"/>
            <w:vMerge/>
            <w:tcBorders>
              <w:top w:val="single" w:sz="4" w:space="0" w:color="auto"/>
              <w:left w:val="single" w:sz="4" w:space="0" w:color="auto"/>
              <w:bottom w:val="single" w:sz="4" w:space="0" w:color="000000"/>
              <w:right w:val="single" w:sz="4" w:space="0" w:color="auto"/>
            </w:tcBorders>
            <w:vAlign w:val="center"/>
            <w:hideMark/>
          </w:tcPr>
          <w:p w:rsidR="00C336F9" w:rsidRPr="00C336F9" w:rsidRDefault="00C336F9" w:rsidP="00C336F9">
            <w:pPr>
              <w:spacing w:after="0" w:line="240" w:lineRule="auto"/>
              <w:rPr>
                <w:rFonts w:ascii="Segoe UI" w:eastAsia="Times New Roman" w:hAnsi="Segoe UI" w:cs="Segoe UI"/>
                <w:b/>
                <w:bCs/>
                <w:sz w:val="16"/>
                <w:szCs w:val="16"/>
                <w:lang w:eastAsia="zh-TW"/>
              </w:rPr>
            </w:pPr>
          </w:p>
        </w:tc>
        <w:tc>
          <w:tcPr>
            <w:tcW w:w="1342" w:type="dxa"/>
            <w:vMerge w:val="restart"/>
            <w:tcBorders>
              <w:top w:val="nil"/>
              <w:left w:val="single" w:sz="4" w:space="0" w:color="auto"/>
              <w:bottom w:val="single" w:sz="4" w:space="0" w:color="000000"/>
              <w:right w:val="nil"/>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2020</w:t>
            </w:r>
          </w:p>
        </w:tc>
        <w:tc>
          <w:tcPr>
            <w:tcW w:w="1342" w:type="dxa"/>
            <w:vMerge w:val="restart"/>
            <w:tcBorders>
              <w:top w:val="nil"/>
              <w:left w:val="nil"/>
              <w:bottom w:val="single" w:sz="4" w:space="0" w:color="000000"/>
              <w:right w:val="nil"/>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2021</w:t>
            </w:r>
          </w:p>
        </w:tc>
        <w:tc>
          <w:tcPr>
            <w:tcW w:w="889" w:type="dxa"/>
            <w:vMerge w:val="restart"/>
            <w:tcBorders>
              <w:top w:val="nil"/>
              <w:left w:val="nil"/>
              <w:bottom w:val="single" w:sz="4" w:space="0" w:color="000000"/>
              <w:right w:val="single" w:sz="4" w:space="0" w:color="auto"/>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évolution</w:t>
            </w:r>
            <w:r w:rsidRPr="00C336F9">
              <w:rPr>
                <w:rFonts w:ascii="Segoe UI" w:eastAsia="Times New Roman" w:hAnsi="Segoe UI" w:cs="Segoe UI"/>
                <w:sz w:val="16"/>
                <w:szCs w:val="16"/>
                <w:lang w:eastAsia="zh-TW"/>
              </w:rPr>
              <w:br/>
              <w:t>%</w:t>
            </w:r>
          </w:p>
        </w:tc>
        <w:tc>
          <w:tcPr>
            <w:tcW w:w="1342" w:type="dxa"/>
            <w:vMerge w:val="restart"/>
            <w:tcBorders>
              <w:top w:val="nil"/>
              <w:left w:val="single" w:sz="4" w:space="0" w:color="auto"/>
              <w:bottom w:val="single" w:sz="4" w:space="0" w:color="000000"/>
              <w:right w:val="nil"/>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2020</w:t>
            </w:r>
          </w:p>
        </w:tc>
        <w:tc>
          <w:tcPr>
            <w:tcW w:w="1342" w:type="dxa"/>
            <w:vMerge w:val="restart"/>
            <w:tcBorders>
              <w:top w:val="nil"/>
              <w:left w:val="nil"/>
              <w:bottom w:val="single" w:sz="4" w:space="0" w:color="000000"/>
              <w:right w:val="nil"/>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2021</w:t>
            </w:r>
          </w:p>
        </w:tc>
        <w:tc>
          <w:tcPr>
            <w:tcW w:w="923" w:type="dxa"/>
            <w:vMerge w:val="restart"/>
            <w:tcBorders>
              <w:top w:val="nil"/>
              <w:left w:val="nil"/>
              <w:bottom w:val="single" w:sz="4" w:space="0" w:color="000000"/>
              <w:right w:val="single" w:sz="4" w:space="0" w:color="auto"/>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évolution</w:t>
            </w:r>
            <w:r w:rsidRPr="00C336F9">
              <w:rPr>
                <w:rFonts w:ascii="Segoe UI" w:eastAsia="Times New Roman" w:hAnsi="Segoe UI" w:cs="Segoe UI"/>
                <w:sz w:val="16"/>
                <w:szCs w:val="16"/>
                <w:lang w:eastAsia="zh-TW"/>
              </w:rPr>
              <w:br/>
              <w:t>%</w:t>
            </w:r>
          </w:p>
        </w:tc>
        <w:tc>
          <w:tcPr>
            <w:tcW w:w="1291" w:type="dxa"/>
            <w:vMerge w:val="restart"/>
            <w:tcBorders>
              <w:top w:val="nil"/>
              <w:left w:val="single" w:sz="4" w:space="0" w:color="auto"/>
              <w:bottom w:val="single" w:sz="4" w:space="0" w:color="000000"/>
              <w:right w:val="nil"/>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2020</w:t>
            </w:r>
          </w:p>
        </w:tc>
        <w:tc>
          <w:tcPr>
            <w:tcW w:w="1359" w:type="dxa"/>
            <w:vMerge w:val="restart"/>
            <w:tcBorders>
              <w:top w:val="nil"/>
              <w:left w:val="nil"/>
              <w:bottom w:val="single" w:sz="4" w:space="0" w:color="000000"/>
              <w:right w:val="single" w:sz="4" w:space="0" w:color="auto"/>
            </w:tcBorders>
            <w:shd w:val="clear" w:color="auto" w:fill="auto"/>
            <w:vAlign w:val="center"/>
            <w:hideMark/>
          </w:tcPr>
          <w:p w:rsidR="00C336F9" w:rsidRPr="00C336F9" w:rsidRDefault="00C336F9" w:rsidP="00C336F9">
            <w:pPr>
              <w:spacing w:after="0" w:line="240" w:lineRule="auto"/>
              <w:jc w:val="center"/>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2021</w:t>
            </w:r>
          </w:p>
        </w:tc>
      </w:tr>
      <w:tr w:rsidR="00C336F9" w:rsidRPr="00C336F9" w:rsidTr="00C336F9">
        <w:trPr>
          <w:trHeight w:val="450"/>
        </w:trPr>
        <w:tc>
          <w:tcPr>
            <w:tcW w:w="6307" w:type="dxa"/>
            <w:vMerge/>
            <w:tcBorders>
              <w:top w:val="single" w:sz="4" w:space="0" w:color="auto"/>
              <w:left w:val="single" w:sz="4" w:space="0" w:color="auto"/>
              <w:bottom w:val="single" w:sz="4" w:space="0" w:color="000000"/>
              <w:right w:val="single" w:sz="4" w:space="0" w:color="auto"/>
            </w:tcBorders>
            <w:vAlign w:val="center"/>
            <w:hideMark/>
          </w:tcPr>
          <w:p w:rsidR="00C336F9" w:rsidRPr="00C336F9" w:rsidRDefault="00C336F9" w:rsidP="00C336F9">
            <w:pPr>
              <w:spacing w:after="0" w:line="240" w:lineRule="auto"/>
              <w:rPr>
                <w:rFonts w:ascii="Segoe UI" w:eastAsia="Times New Roman" w:hAnsi="Segoe UI" w:cs="Segoe UI"/>
                <w:b/>
                <w:bCs/>
                <w:sz w:val="16"/>
                <w:szCs w:val="16"/>
                <w:lang w:eastAsia="zh-TW"/>
              </w:rPr>
            </w:pPr>
          </w:p>
        </w:tc>
        <w:tc>
          <w:tcPr>
            <w:tcW w:w="1342" w:type="dxa"/>
            <w:vMerge/>
            <w:tcBorders>
              <w:top w:val="nil"/>
              <w:left w:val="single" w:sz="4" w:space="0" w:color="auto"/>
              <w:bottom w:val="single" w:sz="4" w:space="0" w:color="000000"/>
              <w:right w:val="nil"/>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vMerge/>
            <w:tcBorders>
              <w:top w:val="nil"/>
              <w:left w:val="nil"/>
              <w:bottom w:val="single" w:sz="4" w:space="0" w:color="000000"/>
              <w:right w:val="nil"/>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889" w:type="dxa"/>
            <w:vMerge/>
            <w:tcBorders>
              <w:top w:val="nil"/>
              <w:left w:val="nil"/>
              <w:bottom w:val="single" w:sz="4" w:space="0" w:color="000000"/>
              <w:right w:val="single" w:sz="4" w:space="0" w:color="auto"/>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vMerge/>
            <w:tcBorders>
              <w:top w:val="nil"/>
              <w:left w:val="single" w:sz="4" w:space="0" w:color="auto"/>
              <w:bottom w:val="single" w:sz="4" w:space="0" w:color="000000"/>
              <w:right w:val="nil"/>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42" w:type="dxa"/>
            <w:vMerge/>
            <w:tcBorders>
              <w:top w:val="nil"/>
              <w:left w:val="nil"/>
              <w:bottom w:val="single" w:sz="4" w:space="0" w:color="000000"/>
              <w:right w:val="nil"/>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923" w:type="dxa"/>
            <w:vMerge/>
            <w:tcBorders>
              <w:top w:val="nil"/>
              <w:left w:val="nil"/>
              <w:bottom w:val="single" w:sz="4" w:space="0" w:color="000000"/>
              <w:right w:val="single" w:sz="4" w:space="0" w:color="auto"/>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291" w:type="dxa"/>
            <w:vMerge/>
            <w:tcBorders>
              <w:top w:val="nil"/>
              <w:left w:val="single" w:sz="4" w:space="0" w:color="auto"/>
              <w:bottom w:val="single" w:sz="4" w:space="0" w:color="000000"/>
              <w:right w:val="nil"/>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c>
          <w:tcPr>
            <w:tcW w:w="1359" w:type="dxa"/>
            <w:vMerge/>
            <w:tcBorders>
              <w:top w:val="nil"/>
              <w:left w:val="nil"/>
              <w:bottom w:val="single" w:sz="4" w:space="0" w:color="000000"/>
              <w:right w:val="single" w:sz="4" w:space="0" w:color="auto"/>
            </w:tcBorders>
            <w:vAlign w:val="center"/>
            <w:hideMark/>
          </w:tcPr>
          <w:p w:rsidR="00C336F9" w:rsidRPr="00C336F9" w:rsidRDefault="00C336F9" w:rsidP="00C336F9">
            <w:pPr>
              <w:spacing w:after="0" w:line="240" w:lineRule="auto"/>
              <w:rPr>
                <w:rFonts w:ascii="Segoe UI" w:eastAsia="Times New Roman" w:hAnsi="Segoe UI" w:cs="Segoe UI"/>
                <w:sz w:val="16"/>
                <w:szCs w:val="16"/>
                <w:lang w:eastAsia="zh-TW"/>
              </w:rPr>
            </w:pP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jc w:val="center"/>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Ensemble</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1 703 290 767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1 861 253 289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9,3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2 895 841 560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3 728 719 224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28,8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-1 192 550 793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 xml:space="preserve">-1 867 465 935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Produits agricoles, sylvicoles, de la pêche et de l’aquaculture</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5 446 092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5 518 660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2 427 464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2 879 882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18,6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3 018 628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2 638 778  </w:t>
            </w:r>
          </w:p>
        </w:tc>
      </w:tr>
      <w:tr w:rsidR="00C336F9" w:rsidRPr="00C336F9" w:rsidTr="00C336F9">
        <w:trPr>
          <w:trHeight w:val="501"/>
        </w:trPr>
        <w:tc>
          <w:tcPr>
            <w:tcW w:w="6307" w:type="dxa"/>
            <w:tcBorders>
              <w:top w:val="nil"/>
              <w:left w:val="single" w:sz="4" w:space="0" w:color="auto"/>
              <w:bottom w:val="nil"/>
              <w:right w:val="single" w:sz="4" w:space="0" w:color="auto"/>
            </w:tcBorders>
            <w:shd w:val="clear" w:color="auto" w:fill="auto"/>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Hydrocarbures naturels, autres produits des industries extractives, électricité, déchets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15 087 233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6 371 530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-57,8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132 362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71 961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-45,6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14 954 871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6 299 569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Hydrocarbures naturels et autres produits des industries extractives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12 149 005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1 626 843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-86,6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22 640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10 468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-53,8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12 126 365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1 616 375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Électricité et gaz manufacturé</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Déchets industriels et ménagers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2 938 228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4 744 687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61,5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109 722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61 493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-44,0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2 828 506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4 683 194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Produits des industries agroalimentaires (IAA)</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259 808 417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276 190 575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10 827 218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20 918 041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93,2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248 981 199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255 272 534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Produits pétroliers raffinés et coke</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4 596 627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5 875 496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27,8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237 434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64 981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-72,6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4 359 193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5 810 515  </w:t>
            </w:r>
          </w:p>
        </w:tc>
      </w:tr>
      <w:tr w:rsidR="00C336F9" w:rsidRPr="00C336F9" w:rsidTr="00C336F9">
        <w:trPr>
          <w:trHeight w:val="501"/>
        </w:trPr>
        <w:tc>
          <w:tcPr>
            <w:tcW w:w="6307" w:type="dxa"/>
            <w:tcBorders>
              <w:top w:val="nil"/>
              <w:left w:val="single" w:sz="4" w:space="0" w:color="auto"/>
              <w:bottom w:val="nil"/>
              <w:right w:val="single" w:sz="4" w:space="0" w:color="auto"/>
            </w:tcBorders>
            <w:shd w:val="clear" w:color="auto" w:fill="auto"/>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Equipements mécaniques, matériel électrique, électronique et informatique</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465 796 673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490 097 338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1 787 932 235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2 326 755 252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30,1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-1 322 135 562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-1 836 657 914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Produits informatiques, électroniques et optiques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312 680 416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332 666 089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1 408 473 679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1 824 125 884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29,5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-1 095 793 263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-1 491 459 795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Équipements électriques et ménagers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59 579 783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62 062 510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178 775 164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205 627 875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15,0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-119 195 381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-143 565 365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Machines industrielles et agricoles, machines diverses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93 536 474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95 368 739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200 683 392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297 001 493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48,0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-107 146 918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-201 632 754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Matériels de transport</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90 823 900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171 038 235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88,3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335 400 436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409 755 327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22,2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-244 576 536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-238 717 092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Autres produits industriels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846 794 033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882 448 627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752 449 614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959 357 701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27,5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94 344 419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-76 909 074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Textiles, habillement, cuir et chaussures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153 429 944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182 174 772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18,7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40 129 665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45 395 504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13,1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113 300 279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136 779 268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Bois, papier et carton</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21 904 143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25 077 685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5 709 795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8 591 528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50,5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16 194 348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16 486 157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Produits chimiques, parfums et cosmétiques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349 315 746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334 923 154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-4,1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109 059 316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140 569 771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28,9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240 256 430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194 353 383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Produits pharmaceutiques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160 546 311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153 762 099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11 753 212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31 969 749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172,0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148 793 099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121 792 350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Produits en caoutchouc et en plastique, produits minéraux divers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37 963 026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42 293 540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11,4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133 490 538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169 721 804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27,1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-95 527 512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-127 428 264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Produits métallurgiques et métalliques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45 764 504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61 593 017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34,6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294 842 530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383 171 005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30,0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-249 078 026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-321 577 988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color w:val="000000"/>
                <w:sz w:val="16"/>
                <w:szCs w:val="16"/>
                <w:lang w:eastAsia="zh-TW"/>
              </w:rPr>
            </w:pPr>
            <w:r w:rsidRPr="00C336F9">
              <w:rPr>
                <w:rFonts w:ascii="Segoe UI" w:eastAsia="Times New Roman" w:hAnsi="Segoe UI" w:cs="Segoe UI"/>
                <w:color w:val="000000"/>
                <w:sz w:val="16"/>
                <w:szCs w:val="16"/>
                <w:lang w:eastAsia="zh-TW"/>
              </w:rPr>
              <w:t>Produits manufacturés divers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77 870 359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82 624 360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6,1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157 464 558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179 938 340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14,3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-79 594 199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-97 313 980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100" w:firstLine="161"/>
              <w:rPr>
                <w:rFonts w:ascii="Segoe UI" w:eastAsia="Times New Roman" w:hAnsi="Segoe UI" w:cs="Segoe UI"/>
                <w:b/>
                <w:bCs/>
                <w:sz w:val="16"/>
                <w:szCs w:val="16"/>
                <w:lang w:eastAsia="zh-TW"/>
              </w:rPr>
            </w:pPr>
            <w:r w:rsidRPr="00C336F9">
              <w:rPr>
                <w:rFonts w:ascii="Segoe UI" w:eastAsia="Times New Roman" w:hAnsi="Segoe UI" w:cs="Segoe UI"/>
                <w:b/>
                <w:bCs/>
                <w:sz w:val="16"/>
                <w:szCs w:val="16"/>
                <w:lang w:eastAsia="zh-TW"/>
              </w:rPr>
              <w:t>Produits divers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14 937 792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23 712 828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58,7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6 434 797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8 916 079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38,6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8 502 995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14 796 749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Produits de l’édition et de la communication</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8 322 943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17 924 233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115,4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6 017 940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8 728 800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45,0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2 305 003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9 195 433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Plans et dessins techniques ; plaques et films photographiques exposés</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939 741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66 931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-92,9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23 971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24 529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2,3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915 770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42 402  </w:t>
            </w:r>
          </w:p>
        </w:tc>
      </w:tr>
      <w:tr w:rsidR="00C336F9" w:rsidRPr="00C336F9" w:rsidTr="00C336F9">
        <w:trPr>
          <w:trHeight w:val="250"/>
        </w:trPr>
        <w:tc>
          <w:tcPr>
            <w:tcW w:w="6307" w:type="dxa"/>
            <w:tcBorders>
              <w:top w:val="nil"/>
              <w:left w:val="single" w:sz="4" w:space="0" w:color="auto"/>
              <w:bottom w:val="nil"/>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Objets d’art, d’antiquité et de collection</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5 675 108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5 721 664  </w:t>
            </w:r>
          </w:p>
        </w:tc>
        <w:tc>
          <w:tcPr>
            <w:tcW w:w="88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0,8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392 886  </w:t>
            </w:r>
          </w:p>
        </w:tc>
        <w:tc>
          <w:tcPr>
            <w:tcW w:w="1342"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162 750  </w:t>
            </w:r>
          </w:p>
        </w:tc>
        <w:tc>
          <w:tcPr>
            <w:tcW w:w="923"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-58,6  </w:t>
            </w:r>
          </w:p>
        </w:tc>
        <w:tc>
          <w:tcPr>
            <w:tcW w:w="1291" w:type="dxa"/>
            <w:tcBorders>
              <w:top w:val="nil"/>
              <w:left w:val="nil"/>
              <w:bottom w:val="nil"/>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5 282 222  </w:t>
            </w:r>
          </w:p>
        </w:tc>
        <w:tc>
          <w:tcPr>
            <w:tcW w:w="1359" w:type="dxa"/>
            <w:tcBorders>
              <w:top w:val="nil"/>
              <w:left w:val="nil"/>
              <w:bottom w:val="nil"/>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5 558 914  </w:t>
            </w:r>
          </w:p>
        </w:tc>
      </w:tr>
      <w:tr w:rsidR="00C336F9" w:rsidRPr="00C336F9" w:rsidTr="00C336F9">
        <w:trPr>
          <w:trHeight w:val="250"/>
        </w:trPr>
        <w:tc>
          <w:tcPr>
            <w:tcW w:w="6307" w:type="dxa"/>
            <w:tcBorders>
              <w:top w:val="nil"/>
              <w:left w:val="single" w:sz="4" w:space="0" w:color="auto"/>
              <w:bottom w:val="single" w:sz="4" w:space="0" w:color="auto"/>
              <w:right w:val="single" w:sz="4" w:space="0" w:color="auto"/>
            </w:tcBorders>
            <w:shd w:val="clear" w:color="auto" w:fill="auto"/>
            <w:noWrap/>
            <w:vAlign w:val="bottom"/>
            <w:hideMark/>
          </w:tcPr>
          <w:p w:rsidR="00C336F9" w:rsidRPr="00C336F9" w:rsidRDefault="00C336F9" w:rsidP="00C336F9">
            <w:pPr>
              <w:spacing w:after="0" w:line="240" w:lineRule="auto"/>
              <w:ind w:firstLineChars="200" w:firstLine="320"/>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Cheveux bruts</w:t>
            </w:r>
          </w:p>
        </w:tc>
        <w:tc>
          <w:tcPr>
            <w:tcW w:w="1342" w:type="dxa"/>
            <w:tcBorders>
              <w:top w:val="nil"/>
              <w:left w:val="nil"/>
              <w:bottom w:val="single" w:sz="4" w:space="0" w:color="auto"/>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42" w:type="dxa"/>
            <w:tcBorders>
              <w:top w:val="nil"/>
              <w:left w:val="nil"/>
              <w:bottom w:val="single" w:sz="4" w:space="0" w:color="auto"/>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w:t>
            </w:r>
          </w:p>
        </w:tc>
        <w:tc>
          <w:tcPr>
            <w:tcW w:w="1342" w:type="dxa"/>
            <w:tcBorders>
              <w:top w:val="nil"/>
              <w:left w:val="nil"/>
              <w:bottom w:val="single" w:sz="4" w:space="0" w:color="auto"/>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42" w:type="dxa"/>
            <w:tcBorders>
              <w:top w:val="nil"/>
              <w:left w:val="nil"/>
              <w:bottom w:val="single" w:sz="4" w:space="0" w:color="auto"/>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923" w:type="dxa"/>
            <w:tcBorders>
              <w:top w:val="nil"/>
              <w:left w:val="nil"/>
              <w:bottom w:val="single" w:sz="4" w:space="0" w:color="auto"/>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w:t>
            </w:r>
          </w:p>
        </w:tc>
        <w:tc>
          <w:tcPr>
            <w:tcW w:w="1291" w:type="dxa"/>
            <w:tcBorders>
              <w:top w:val="nil"/>
              <w:left w:val="nil"/>
              <w:bottom w:val="single" w:sz="4" w:space="0" w:color="auto"/>
              <w:right w:val="nil"/>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c>
          <w:tcPr>
            <w:tcW w:w="1359" w:type="dxa"/>
            <w:tcBorders>
              <w:top w:val="nil"/>
              <w:left w:val="nil"/>
              <w:bottom w:val="single" w:sz="4" w:space="0" w:color="auto"/>
              <w:right w:val="single" w:sz="4" w:space="0" w:color="auto"/>
            </w:tcBorders>
            <w:shd w:val="clear" w:color="auto" w:fill="auto"/>
            <w:noWrap/>
            <w:vAlign w:val="bottom"/>
            <w:hideMark/>
          </w:tcPr>
          <w:p w:rsidR="00C336F9" w:rsidRPr="00C336F9" w:rsidRDefault="00C336F9" w:rsidP="00C336F9">
            <w:pPr>
              <w:spacing w:after="0" w:line="240" w:lineRule="auto"/>
              <w:jc w:val="right"/>
              <w:rPr>
                <w:rFonts w:ascii="Segoe UI" w:eastAsia="Times New Roman" w:hAnsi="Segoe UI" w:cs="Segoe UI"/>
                <w:sz w:val="16"/>
                <w:szCs w:val="16"/>
                <w:lang w:eastAsia="zh-TW"/>
              </w:rPr>
            </w:pPr>
            <w:r w:rsidRPr="00C336F9">
              <w:rPr>
                <w:rFonts w:ascii="Segoe UI" w:eastAsia="Times New Roman" w:hAnsi="Segoe UI" w:cs="Segoe UI"/>
                <w:sz w:val="16"/>
                <w:szCs w:val="16"/>
                <w:lang w:eastAsia="zh-TW"/>
              </w:rPr>
              <w:t xml:space="preserve">0  </w:t>
            </w:r>
          </w:p>
        </w:tc>
      </w:tr>
    </w:tbl>
    <w:p w:rsidR="00C57D80" w:rsidRDefault="00C57D80" w:rsidP="003C2B79">
      <w:pPr>
        <w:rPr>
          <w:rFonts w:ascii="Arial" w:hAnsi="Arial" w:cs="Arial"/>
          <w:b/>
          <w:color w:val="006CE5"/>
          <w:sz w:val="24"/>
          <w:szCs w:val="24"/>
        </w:rPr>
        <w:sectPr w:rsidR="00C57D80" w:rsidSect="003C2B79">
          <w:pgSz w:w="16838" w:h="11906" w:orient="landscape"/>
          <w:pgMar w:top="567" w:right="567" w:bottom="454" w:left="680" w:header="709" w:footer="709" w:gutter="0"/>
          <w:cols w:space="708"/>
          <w:docGrid w:linePitch="360"/>
        </w:sectPr>
      </w:pPr>
    </w:p>
    <w:p w:rsidR="00C57D80" w:rsidRPr="0017315D" w:rsidRDefault="00C57D80" w:rsidP="00C57D80">
      <w:pPr>
        <w:jc w:val="center"/>
        <w:rPr>
          <w:u w:val="single"/>
        </w:rPr>
      </w:pPr>
      <w:r w:rsidRPr="0017315D">
        <w:rPr>
          <w:u w:val="single"/>
        </w:rPr>
        <w:lastRenderedPageBreak/>
        <w:t>Annexe</w:t>
      </w:r>
      <w:r>
        <w:rPr>
          <w:u w:val="single"/>
        </w:rPr>
        <w:t>s</w:t>
      </w:r>
    </w:p>
    <w:p w:rsidR="00C57D80" w:rsidRDefault="00C57D80" w:rsidP="00C57D80"/>
    <w:p w:rsidR="00C57D80" w:rsidRPr="00CE4439" w:rsidRDefault="00C57D80" w:rsidP="00CE4439">
      <w:pPr>
        <w:jc w:val="center"/>
        <w:rPr>
          <w:b/>
        </w:rPr>
      </w:pPr>
      <w:r w:rsidRPr="00CE4439">
        <w:rPr>
          <w:b/>
        </w:rPr>
        <w:t>Echanges de biens entre la Fran</w:t>
      </w:r>
      <w:r w:rsidR="00CD3C48">
        <w:rPr>
          <w:b/>
        </w:rPr>
        <w:t>ce et Taïwan entre 2012 et 2021</w:t>
      </w:r>
      <w:r w:rsidRPr="00CE4439">
        <w:rPr>
          <w:b/>
        </w:rPr>
        <w:t xml:space="preserve"> (en Md EUR)</w:t>
      </w:r>
    </w:p>
    <w:p w:rsidR="00C57D80" w:rsidRDefault="00C57D80" w:rsidP="00C57D80"/>
    <w:p w:rsidR="00C57D80" w:rsidRDefault="00CD3C48" w:rsidP="00C57D80">
      <w:r>
        <w:rPr>
          <w:noProof/>
          <w:lang w:eastAsia="fr-FR"/>
        </w:rPr>
        <w:drawing>
          <wp:inline distT="0" distB="0" distL="0" distR="0" wp14:anchorId="5878F9FD" wp14:editId="704B334F">
            <wp:extent cx="5991225" cy="275272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7D80" w:rsidRPr="00665879" w:rsidRDefault="00C57D80" w:rsidP="00C57D80">
      <w:pPr>
        <w:jc w:val="right"/>
        <w:rPr>
          <w:i/>
        </w:rPr>
      </w:pPr>
      <w:r w:rsidRPr="00665879">
        <w:rPr>
          <w:i/>
          <w:sz w:val="20"/>
        </w:rPr>
        <w:t>Source : Douanes françaises</w:t>
      </w:r>
    </w:p>
    <w:p w:rsidR="00C57D80" w:rsidRDefault="00C57D80" w:rsidP="00C57D80"/>
    <w:p w:rsidR="00C57D80" w:rsidRPr="00CE4439" w:rsidRDefault="00C57D80" w:rsidP="00CE4439">
      <w:pPr>
        <w:jc w:val="center"/>
        <w:rPr>
          <w:b/>
        </w:rPr>
      </w:pPr>
      <w:r w:rsidRPr="00CE4439">
        <w:rPr>
          <w:b/>
        </w:rPr>
        <w:t xml:space="preserve">Parts de marché de la France et de ses principaux concurrents à Taïwan </w:t>
      </w:r>
      <w:r w:rsidR="00262903">
        <w:rPr>
          <w:b/>
        </w:rPr>
        <w:t>en</w:t>
      </w:r>
      <w:r w:rsidRPr="00CE4439">
        <w:rPr>
          <w:b/>
        </w:rPr>
        <w:t xml:space="preserve"> 2021</w:t>
      </w:r>
    </w:p>
    <w:p w:rsidR="00C57D80" w:rsidRDefault="00C57D80" w:rsidP="00C57D80"/>
    <w:p w:rsidR="00C57D80" w:rsidRDefault="00836DCA" w:rsidP="00C57D80">
      <w:r>
        <w:rPr>
          <w:noProof/>
          <w:lang w:eastAsia="fr-FR"/>
        </w:rPr>
        <w:drawing>
          <wp:inline distT="0" distB="0" distL="0" distR="0" wp14:anchorId="34F22AE3" wp14:editId="476E282B">
            <wp:extent cx="6372225" cy="3409950"/>
            <wp:effectExtent l="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7D80" w:rsidRDefault="00C57D80" w:rsidP="00C57D80">
      <w:pPr>
        <w:jc w:val="right"/>
      </w:pPr>
      <w:r w:rsidRPr="00665879">
        <w:rPr>
          <w:i/>
          <w:sz w:val="20"/>
        </w:rPr>
        <w:t xml:space="preserve">Source : </w:t>
      </w:r>
      <w:r>
        <w:rPr>
          <w:i/>
          <w:sz w:val="20"/>
        </w:rPr>
        <w:t>MOF</w:t>
      </w:r>
    </w:p>
    <w:p w:rsidR="00C57D80" w:rsidRPr="00CE4439" w:rsidRDefault="00C57D80" w:rsidP="00CE4439">
      <w:pPr>
        <w:ind w:right="-284"/>
        <w:jc w:val="center"/>
        <w:rPr>
          <w:b/>
        </w:rPr>
      </w:pPr>
      <w:r w:rsidRPr="00CE4439">
        <w:rPr>
          <w:b/>
        </w:rPr>
        <w:lastRenderedPageBreak/>
        <w:t xml:space="preserve">Structure des échanges de biens entre la France et Taïwan </w:t>
      </w:r>
      <w:r w:rsidR="00262903">
        <w:rPr>
          <w:b/>
        </w:rPr>
        <w:t>en</w:t>
      </w:r>
      <w:r w:rsidRPr="00CE4439">
        <w:rPr>
          <w:b/>
        </w:rPr>
        <w:t xml:space="preserve"> 2021</w:t>
      </w:r>
    </w:p>
    <w:p w:rsidR="00C57D80" w:rsidRDefault="00C57D80" w:rsidP="00C57D80"/>
    <w:p w:rsidR="00C57D80" w:rsidRDefault="00EC1097" w:rsidP="00CE4439">
      <w:pPr>
        <w:jc w:val="center"/>
      </w:pPr>
      <w:r>
        <w:rPr>
          <w:noProof/>
          <w:lang w:eastAsia="fr-FR"/>
        </w:rPr>
        <w:drawing>
          <wp:inline distT="0" distB="0" distL="0" distR="0" wp14:anchorId="79B7B87E" wp14:editId="0FFC41CF">
            <wp:extent cx="6219825" cy="346710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7D80" w:rsidRDefault="00C57D80" w:rsidP="00C57D80"/>
    <w:p w:rsidR="00C57D80" w:rsidRDefault="004963C5" w:rsidP="00C57D80">
      <w:r>
        <w:rPr>
          <w:noProof/>
          <w:lang w:eastAsia="fr-FR"/>
        </w:rPr>
        <w:drawing>
          <wp:inline distT="0" distB="0" distL="0" distR="0" wp14:anchorId="2246B85D" wp14:editId="5B754916">
            <wp:extent cx="6210300" cy="356235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7D80" w:rsidRDefault="00C57D80" w:rsidP="00C57D80">
      <w:pPr>
        <w:jc w:val="right"/>
      </w:pPr>
      <w:r w:rsidRPr="00665879">
        <w:rPr>
          <w:i/>
          <w:sz w:val="20"/>
        </w:rPr>
        <w:t>Source : Douanes françaises</w:t>
      </w:r>
    </w:p>
    <w:p w:rsidR="004F6F24" w:rsidRPr="00AF3E63" w:rsidRDefault="004F6F24" w:rsidP="003C2B79">
      <w:pPr>
        <w:rPr>
          <w:rFonts w:ascii="Arial" w:hAnsi="Arial" w:cs="Arial"/>
          <w:b/>
          <w:color w:val="006CE5"/>
          <w:sz w:val="24"/>
          <w:szCs w:val="24"/>
        </w:rPr>
      </w:pPr>
    </w:p>
    <w:sectPr w:rsidR="004F6F24" w:rsidRPr="00AF3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02" w:rsidRDefault="006E6802" w:rsidP="004432FE">
      <w:pPr>
        <w:spacing w:after="0" w:line="240" w:lineRule="auto"/>
      </w:pPr>
      <w:r>
        <w:separator/>
      </w:r>
    </w:p>
  </w:endnote>
  <w:endnote w:type="continuationSeparator" w:id="0">
    <w:p w:rsidR="006E6802" w:rsidRDefault="006E6802" w:rsidP="0044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71170"/>
      <w:docPartObj>
        <w:docPartGallery w:val="Page Numbers (Bottom of Page)"/>
        <w:docPartUnique/>
      </w:docPartObj>
    </w:sdtPr>
    <w:sdtEndPr/>
    <w:sdtContent>
      <w:p w:rsidR="00354762" w:rsidRDefault="00354762">
        <w:pPr>
          <w:pStyle w:val="Pieddepage"/>
          <w:jc w:val="right"/>
        </w:pPr>
        <w:r>
          <w:fldChar w:fldCharType="begin"/>
        </w:r>
        <w:r>
          <w:instrText>PAGE   \* MERGEFORMAT</w:instrText>
        </w:r>
        <w:r>
          <w:fldChar w:fldCharType="separate"/>
        </w:r>
        <w:r w:rsidR="00400B31">
          <w:rPr>
            <w:noProof/>
          </w:rPr>
          <w:t>2</w:t>
        </w:r>
        <w:r>
          <w:fldChar w:fldCharType="end"/>
        </w:r>
      </w:p>
    </w:sdtContent>
  </w:sdt>
  <w:p w:rsidR="00354762" w:rsidRDefault="003547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62" w:rsidRDefault="00354762" w:rsidP="007E6B29">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02" w:rsidRDefault="006E6802" w:rsidP="004432FE">
      <w:pPr>
        <w:spacing w:after="0" w:line="240" w:lineRule="auto"/>
      </w:pPr>
      <w:r>
        <w:separator/>
      </w:r>
    </w:p>
  </w:footnote>
  <w:footnote w:type="continuationSeparator" w:id="0">
    <w:p w:rsidR="006E6802" w:rsidRDefault="006E6802" w:rsidP="004432FE">
      <w:pPr>
        <w:spacing w:after="0" w:line="240" w:lineRule="auto"/>
      </w:pPr>
      <w:r>
        <w:continuationSeparator/>
      </w:r>
    </w:p>
  </w:footnote>
  <w:footnote w:id="1">
    <w:p w:rsidR="00A06D8C" w:rsidRDefault="00A06D8C">
      <w:pPr>
        <w:pStyle w:val="Notedebasdepage"/>
      </w:pPr>
      <w:r>
        <w:rPr>
          <w:rStyle w:val="Appelnotedebasdep"/>
        </w:rPr>
        <w:footnoteRef/>
      </w:r>
      <w:r>
        <w:t xml:space="preserve"> </w:t>
      </w:r>
      <w:r w:rsidR="00EB6784">
        <w:t>Nouvelle estimation de croissance taïwanaise publiée par la DGBAS en mars 2022 (contre 6,28% préc</w:t>
      </w:r>
      <w:r w:rsidR="00FC12E9">
        <w:t>é</w:t>
      </w:r>
      <w:r w:rsidR="00EB6784">
        <w:t>demment).</w:t>
      </w:r>
    </w:p>
  </w:footnote>
  <w:footnote w:id="2">
    <w:p w:rsidR="00354762" w:rsidRDefault="00354762" w:rsidP="001F55B5">
      <w:pPr>
        <w:pStyle w:val="Notedebasdepage"/>
        <w:jc w:val="both"/>
      </w:pPr>
      <w:r>
        <w:rPr>
          <w:rStyle w:val="Appelnotedebasdep"/>
        </w:rPr>
        <w:footnoteRef/>
      </w:r>
      <w:r>
        <w:t xml:space="preserve"> PIB/H de Taïwan en ppa était de 61 371 USD, en 2021, contre 50 876 USD pour la France (</w:t>
      </w:r>
      <w:hyperlink r:id="rId1" w:history="1">
        <w:r w:rsidRPr="00FD2C29">
          <w:t xml:space="preserve">chiffres </w:t>
        </w:r>
        <w:r>
          <w:t xml:space="preserve">du </w:t>
        </w:r>
        <w:r w:rsidRPr="00FD2C29">
          <w:t xml:space="preserve">FMI </w:t>
        </w:r>
        <w:r>
          <w:t xml:space="preserve">publiés </w:t>
        </w:r>
        <w:r w:rsidRPr="00FD2C29">
          <w:t>en octobre 2021</w:t>
        </w:r>
      </w:hyperlink>
      <w:r>
        <w:t>). L</w:t>
      </w:r>
      <w:r w:rsidRPr="00FD2C29">
        <w:t xml:space="preserve">e PIB / H de Taïwan devrait atteindre </w:t>
      </w:r>
      <w:r>
        <w:t>33 401</w:t>
      </w:r>
      <w:r w:rsidRPr="00FD2C29">
        <w:t xml:space="preserve"> USD en 2021</w:t>
      </w:r>
      <w:r>
        <w:t xml:space="preserve"> (35 195 USD en </w:t>
      </w:r>
      <w:r w:rsidRPr="00FD2C29">
        <w:t>Corée du Sud</w:t>
      </w:r>
      <w:r>
        <w:t>)</w:t>
      </w:r>
      <w:r w:rsidRPr="00FD2C29">
        <w:t>. Tou</w:t>
      </w:r>
      <w:r>
        <w:t>jours</w:t>
      </w:r>
      <w:r w:rsidRPr="00FD2C29">
        <w:t xml:space="preserve"> selon </w:t>
      </w:r>
      <w:r>
        <w:t>le FMI</w:t>
      </w:r>
      <w:r w:rsidRPr="00FD2C29">
        <w:t>, le PIB/H de Taïwan (42 802 USD) devrait dépasser celui de la Corée (42 719 USD)</w:t>
      </w:r>
      <w:r>
        <w:t xml:space="preserve"> </w:t>
      </w:r>
      <w:r w:rsidRPr="00FD2C29">
        <w:t>en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62" w:rsidRDefault="00354762" w:rsidP="004432FE">
    <w:pPr>
      <w:pStyle w:val="En-tte"/>
    </w:pPr>
  </w:p>
  <w:p w:rsidR="00354762" w:rsidRDefault="00354762" w:rsidP="004432F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62" w:rsidRDefault="00354762" w:rsidP="00AF3E63">
    <w:pPr>
      <w:pStyle w:val="Intituldirection"/>
      <w:rPr>
        <w:lang w:val="fr-FR"/>
      </w:rPr>
    </w:pPr>
  </w:p>
  <w:p w:rsidR="00354762" w:rsidRDefault="00354762" w:rsidP="00AF3E63">
    <w:pPr>
      <w:pStyle w:val="Intituldirection"/>
      <w:rPr>
        <w:lang w:val="fr-FR"/>
      </w:rPr>
    </w:pPr>
  </w:p>
  <w:p w:rsidR="00354762" w:rsidRPr="003D4054" w:rsidRDefault="00354762" w:rsidP="00AF3E63">
    <w:pPr>
      <w:pStyle w:val="Intituldirection"/>
      <w:rPr>
        <w:lang w:val="fr-FR"/>
      </w:rPr>
    </w:pPr>
    <w:r>
      <w:rPr>
        <w:b w:val="0"/>
        <w:bCs w:val="0"/>
        <w:noProof/>
        <w:lang w:val="fr-FR" w:eastAsia="fr-FR"/>
      </w:rPr>
      <w:drawing>
        <wp:anchor distT="0" distB="0" distL="114300" distR="114300" simplePos="0" relativeHeight="251673600" behindDoc="0" locked="0" layoutInCell="1" allowOverlap="1" wp14:anchorId="110381CD" wp14:editId="4E973F6F">
          <wp:simplePos x="0" y="0"/>
          <wp:positionH relativeFrom="margin">
            <wp:align>left</wp:align>
          </wp:positionH>
          <wp:positionV relativeFrom="page">
            <wp:posOffset>460303</wp:posOffset>
          </wp:positionV>
          <wp:extent cx="1426829" cy="1142665"/>
          <wp:effectExtent l="0" t="0" r="254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r>
      <w:rPr>
        <w:lang w:val="fr-FR"/>
      </w:rPr>
      <w:t>Direction générale du Trésor</w:t>
    </w:r>
  </w:p>
  <w:p w:rsidR="00354762" w:rsidRDefault="00354762">
    <w:pPr>
      <w:pStyle w:val="En-tte"/>
    </w:pPr>
  </w:p>
  <w:p w:rsidR="00354762" w:rsidRDefault="00354762" w:rsidP="007F3C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67A"/>
    <w:multiLevelType w:val="hybridMultilevel"/>
    <w:tmpl w:val="78F24274"/>
    <w:lvl w:ilvl="0" w:tplc="65D87EEA">
      <w:start w:val="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600AE"/>
    <w:multiLevelType w:val="hybridMultilevel"/>
    <w:tmpl w:val="7E48EF44"/>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F7275"/>
    <w:multiLevelType w:val="hybridMultilevel"/>
    <w:tmpl w:val="4EF8D602"/>
    <w:lvl w:ilvl="0" w:tplc="7D9A04D6">
      <w:start w:val="1"/>
      <w:numFmt w:val="bullet"/>
      <w:lvlText w:val=""/>
      <w:lvlJc w:val="left"/>
      <w:pPr>
        <w:ind w:left="720" w:hanging="360"/>
      </w:pPr>
      <w:rPr>
        <w:rFonts w:ascii="Wingdings" w:hAnsi="Wingdings" w:hint="default"/>
        <w:color w:val="006CE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1F79ED"/>
    <w:multiLevelType w:val="hybridMultilevel"/>
    <w:tmpl w:val="9D96E9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FE"/>
    <w:rsid w:val="0000386B"/>
    <w:rsid w:val="00003B44"/>
    <w:rsid w:val="00003CE7"/>
    <w:rsid w:val="00015E21"/>
    <w:rsid w:val="00024C6D"/>
    <w:rsid w:val="00030D0F"/>
    <w:rsid w:val="00043200"/>
    <w:rsid w:val="0004464A"/>
    <w:rsid w:val="0004657C"/>
    <w:rsid w:val="00046AE9"/>
    <w:rsid w:val="000611A4"/>
    <w:rsid w:val="00067177"/>
    <w:rsid w:val="00067533"/>
    <w:rsid w:val="000700C7"/>
    <w:rsid w:val="00072826"/>
    <w:rsid w:val="000751C3"/>
    <w:rsid w:val="000804EF"/>
    <w:rsid w:val="00091930"/>
    <w:rsid w:val="00091B4F"/>
    <w:rsid w:val="00097F69"/>
    <w:rsid w:val="000A2747"/>
    <w:rsid w:val="000B33C1"/>
    <w:rsid w:val="000B449C"/>
    <w:rsid w:val="000D3351"/>
    <w:rsid w:val="000D7873"/>
    <w:rsid w:val="000E0033"/>
    <w:rsid w:val="000E547D"/>
    <w:rsid w:val="000F6741"/>
    <w:rsid w:val="00126A87"/>
    <w:rsid w:val="001308DE"/>
    <w:rsid w:val="00130AB8"/>
    <w:rsid w:val="00141D52"/>
    <w:rsid w:val="001436DC"/>
    <w:rsid w:val="00143B98"/>
    <w:rsid w:val="00145419"/>
    <w:rsid w:val="0015590C"/>
    <w:rsid w:val="00164732"/>
    <w:rsid w:val="00165FE3"/>
    <w:rsid w:val="00176241"/>
    <w:rsid w:val="00177E3C"/>
    <w:rsid w:val="0018196B"/>
    <w:rsid w:val="00187709"/>
    <w:rsid w:val="001943DC"/>
    <w:rsid w:val="001C7316"/>
    <w:rsid w:val="001D7473"/>
    <w:rsid w:val="001D7D91"/>
    <w:rsid w:val="001F55B5"/>
    <w:rsid w:val="0020723C"/>
    <w:rsid w:val="0021116C"/>
    <w:rsid w:val="002370BD"/>
    <w:rsid w:val="00262903"/>
    <w:rsid w:val="00264181"/>
    <w:rsid w:val="00284D78"/>
    <w:rsid w:val="002B15EA"/>
    <w:rsid w:val="002B2D95"/>
    <w:rsid w:val="002B5783"/>
    <w:rsid w:val="002B7E7E"/>
    <w:rsid w:val="002D0BA6"/>
    <w:rsid w:val="002D7D92"/>
    <w:rsid w:val="002E218C"/>
    <w:rsid w:val="002E5B5B"/>
    <w:rsid w:val="00301E27"/>
    <w:rsid w:val="003111C2"/>
    <w:rsid w:val="00320ED6"/>
    <w:rsid w:val="0032521C"/>
    <w:rsid w:val="00326CDB"/>
    <w:rsid w:val="00334A24"/>
    <w:rsid w:val="00337379"/>
    <w:rsid w:val="0034015B"/>
    <w:rsid w:val="00341CFE"/>
    <w:rsid w:val="00351D04"/>
    <w:rsid w:val="00354762"/>
    <w:rsid w:val="00360F36"/>
    <w:rsid w:val="003615BC"/>
    <w:rsid w:val="00366900"/>
    <w:rsid w:val="003728C0"/>
    <w:rsid w:val="00373332"/>
    <w:rsid w:val="0037515E"/>
    <w:rsid w:val="00382580"/>
    <w:rsid w:val="00386E92"/>
    <w:rsid w:val="003951BB"/>
    <w:rsid w:val="003A51D3"/>
    <w:rsid w:val="003B21D8"/>
    <w:rsid w:val="003C1760"/>
    <w:rsid w:val="003C2B79"/>
    <w:rsid w:val="003D270E"/>
    <w:rsid w:val="003D3480"/>
    <w:rsid w:val="003E035E"/>
    <w:rsid w:val="003E2D5C"/>
    <w:rsid w:val="003F3074"/>
    <w:rsid w:val="00400B31"/>
    <w:rsid w:val="00411248"/>
    <w:rsid w:val="0041466A"/>
    <w:rsid w:val="0041541C"/>
    <w:rsid w:val="00416C6B"/>
    <w:rsid w:val="00430131"/>
    <w:rsid w:val="00430FD2"/>
    <w:rsid w:val="004310B4"/>
    <w:rsid w:val="00432E34"/>
    <w:rsid w:val="00436F64"/>
    <w:rsid w:val="004431E9"/>
    <w:rsid w:val="004432FE"/>
    <w:rsid w:val="00457144"/>
    <w:rsid w:val="004667A0"/>
    <w:rsid w:val="00466BB0"/>
    <w:rsid w:val="00467690"/>
    <w:rsid w:val="0047162B"/>
    <w:rsid w:val="00477F1C"/>
    <w:rsid w:val="004963C5"/>
    <w:rsid w:val="004B0A3E"/>
    <w:rsid w:val="004B77FD"/>
    <w:rsid w:val="004C1D04"/>
    <w:rsid w:val="004E24CD"/>
    <w:rsid w:val="004F0D0B"/>
    <w:rsid w:val="004F1DB4"/>
    <w:rsid w:val="004F6F24"/>
    <w:rsid w:val="004F77CE"/>
    <w:rsid w:val="0050018A"/>
    <w:rsid w:val="0052041D"/>
    <w:rsid w:val="005357F1"/>
    <w:rsid w:val="00537085"/>
    <w:rsid w:val="005448FA"/>
    <w:rsid w:val="0054564E"/>
    <w:rsid w:val="00552D18"/>
    <w:rsid w:val="00554524"/>
    <w:rsid w:val="00555491"/>
    <w:rsid w:val="00564860"/>
    <w:rsid w:val="005663E9"/>
    <w:rsid w:val="005677D2"/>
    <w:rsid w:val="00580E2B"/>
    <w:rsid w:val="005B0DC1"/>
    <w:rsid w:val="005C0D07"/>
    <w:rsid w:val="005C1007"/>
    <w:rsid w:val="005C5173"/>
    <w:rsid w:val="005D08BF"/>
    <w:rsid w:val="005F6912"/>
    <w:rsid w:val="00606F4E"/>
    <w:rsid w:val="006125F4"/>
    <w:rsid w:val="0061505C"/>
    <w:rsid w:val="00616C7C"/>
    <w:rsid w:val="00621CC1"/>
    <w:rsid w:val="006326AE"/>
    <w:rsid w:val="006330E9"/>
    <w:rsid w:val="00634B72"/>
    <w:rsid w:val="00635C8B"/>
    <w:rsid w:val="006368E7"/>
    <w:rsid w:val="0064423C"/>
    <w:rsid w:val="006551B9"/>
    <w:rsid w:val="006637EE"/>
    <w:rsid w:val="00666DD1"/>
    <w:rsid w:val="00667CD7"/>
    <w:rsid w:val="00671110"/>
    <w:rsid w:val="006807CE"/>
    <w:rsid w:val="0068470F"/>
    <w:rsid w:val="00691863"/>
    <w:rsid w:val="006A0EFE"/>
    <w:rsid w:val="006A4DAC"/>
    <w:rsid w:val="006A6000"/>
    <w:rsid w:val="006A6814"/>
    <w:rsid w:val="006B072E"/>
    <w:rsid w:val="006B2BC3"/>
    <w:rsid w:val="006B6488"/>
    <w:rsid w:val="006C4601"/>
    <w:rsid w:val="006C6F6B"/>
    <w:rsid w:val="006C7CC9"/>
    <w:rsid w:val="006D4275"/>
    <w:rsid w:val="006E1FA6"/>
    <w:rsid w:val="006E413B"/>
    <w:rsid w:val="006E6802"/>
    <w:rsid w:val="0070703D"/>
    <w:rsid w:val="00715388"/>
    <w:rsid w:val="0071679B"/>
    <w:rsid w:val="007177D1"/>
    <w:rsid w:val="00723913"/>
    <w:rsid w:val="00727C6C"/>
    <w:rsid w:val="007307F4"/>
    <w:rsid w:val="0075696F"/>
    <w:rsid w:val="00756C0B"/>
    <w:rsid w:val="00770020"/>
    <w:rsid w:val="0078627F"/>
    <w:rsid w:val="00796E83"/>
    <w:rsid w:val="007A04CC"/>
    <w:rsid w:val="007A3CBB"/>
    <w:rsid w:val="007A4A21"/>
    <w:rsid w:val="007D04A3"/>
    <w:rsid w:val="007D475C"/>
    <w:rsid w:val="007D4DB5"/>
    <w:rsid w:val="007E0350"/>
    <w:rsid w:val="007E151B"/>
    <w:rsid w:val="007E6B29"/>
    <w:rsid w:val="007F399B"/>
    <w:rsid w:val="007F3CB4"/>
    <w:rsid w:val="007F5452"/>
    <w:rsid w:val="007F7F42"/>
    <w:rsid w:val="0080126D"/>
    <w:rsid w:val="00803BD4"/>
    <w:rsid w:val="0081578B"/>
    <w:rsid w:val="008312FF"/>
    <w:rsid w:val="00832ACB"/>
    <w:rsid w:val="00836DCA"/>
    <w:rsid w:val="00846149"/>
    <w:rsid w:val="0085325C"/>
    <w:rsid w:val="0086525C"/>
    <w:rsid w:val="008661D4"/>
    <w:rsid w:val="008779DF"/>
    <w:rsid w:val="008A1CE9"/>
    <w:rsid w:val="008A3649"/>
    <w:rsid w:val="008C035F"/>
    <w:rsid w:val="008C0C4C"/>
    <w:rsid w:val="008D22DE"/>
    <w:rsid w:val="008E2FFE"/>
    <w:rsid w:val="008F026C"/>
    <w:rsid w:val="008F19BF"/>
    <w:rsid w:val="008F40EE"/>
    <w:rsid w:val="008F530E"/>
    <w:rsid w:val="008F616D"/>
    <w:rsid w:val="00900655"/>
    <w:rsid w:val="00904EBC"/>
    <w:rsid w:val="00906CBA"/>
    <w:rsid w:val="00924F06"/>
    <w:rsid w:val="00927766"/>
    <w:rsid w:val="0093222C"/>
    <w:rsid w:val="00932708"/>
    <w:rsid w:val="00935890"/>
    <w:rsid w:val="00935F65"/>
    <w:rsid w:val="00937E83"/>
    <w:rsid w:val="0096054F"/>
    <w:rsid w:val="00960AA6"/>
    <w:rsid w:val="00962AE1"/>
    <w:rsid w:val="00963B41"/>
    <w:rsid w:val="009647F2"/>
    <w:rsid w:val="009935DA"/>
    <w:rsid w:val="00993E6B"/>
    <w:rsid w:val="009957A0"/>
    <w:rsid w:val="00997B81"/>
    <w:rsid w:val="009A1305"/>
    <w:rsid w:val="009A31F3"/>
    <w:rsid w:val="009B6A2F"/>
    <w:rsid w:val="009B727D"/>
    <w:rsid w:val="009B75FC"/>
    <w:rsid w:val="009D01FC"/>
    <w:rsid w:val="009E60FD"/>
    <w:rsid w:val="009F401D"/>
    <w:rsid w:val="00A001E9"/>
    <w:rsid w:val="00A045E0"/>
    <w:rsid w:val="00A06D8C"/>
    <w:rsid w:val="00A14C84"/>
    <w:rsid w:val="00A22C84"/>
    <w:rsid w:val="00A61BC0"/>
    <w:rsid w:val="00A63517"/>
    <w:rsid w:val="00A64BBC"/>
    <w:rsid w:val="00A731EE"/>
    <w:rsid w:val="00A74851"/>
    <w:rsid w:val="00A85BEA"/>
    <w:rsid w:val="00A9154A"/>
    <w:rsid w:val="00AA2278"/>
    <w:rsid w:val="00AF3E63"/>
    <w:rsid w:val="00AF61E5"/>
    <w:rsid w:val="00AF620E"/>
    <w:rsid w:val="00B052A9"/>
    <w:rsid w:val="00B14BA4"/>
    <w:rsid w:val="00B179B9"/>
    <w:rsid w:val="00B23AD7"/>
    <w:rsid w:val="00B25B40"/>
    <w:rsid w:val="00B57A0D"/>
    <w:rsid w:val="00B854D6"/>
    <w:rsid w:val="00B903CA"/>
    <w:rsid w:val="00BA2A31"/>
    <w:rsid w:val="00BA34CE"/>
    <w:rsid w:val="00BB5AE4"/>
    <w:rsid w:val="00BC63C4"/>
    <w:rsid w:val="00BD0444"/>
    <w:rsid w:val="00BE09E8"/>
    <w:rsid w:val="00BE2DF9"/>
    <w:rsid w:val="00BE514D"/>
    <w:rsid w:val="00BF361E"/>
    <w:rsid w:val="00BF3E46"/>
    <w:rsid w:val="00C02197"/>
    <w:rsid w:val="00C02875"/>
    <w:rsid w:val="00C154FB"/>
    <w:rsid w:val="00C22E31"/>
    <w:rsid w:val="00C336F9"/>
    <w:rsid w:val="00C35B85"/>
    <w:rsid w:val="00C40E62"/>
    <w:rsid w:val="00C414CE"/>
    <w:rsid w:val="00C472E5"/>
    <w:rsid w:val="00C47B71"/>
    <w:rsid w:val="00C52D8D"/>
    <w:rsid w:val="00C57D80"/>
    <w:rsid w:val="00C677EA"/>
    <w:rsid w:val="00C71C95"/>
    <w:rsid w:val="00C92C4C"/>
    <w:rsid w:val="00C95673"/>
    <w:rsid w:val="00CA0504"/>
    <w:rsid w:val="00CB3467"/>
    <w:rsid w:val="00CD3C48"/>
    <w:rsid w:val="00CD60DB"/>
    <w:rsid w:val="00CE0A4D"/>
    <w:rsid w:val="00CE239A"/>
    <w:rsid w:val="00CE4439"/>
    <w:rsid w:val="00CF20EF"/>
    <w:rsid w:val="00CF6397"/>
    <w:rsid w:val="00D114C3"/>
    <w:rsid w:val="00D411EC"/>
    <w:rsid w:val="00D42DFC"/>
    <w:rsid w:val="00D61E84"/>
    <w:rsid w:val="00D66691"/>
    <w:rsid w:val="00D66702"/>
    <w:rsid w:val="00D66711"/>
    <w:rsid w:val="00D82378"/>
    <w:rsid w:val="00D93B82"/>
    <w:rsid w:val="00D94D39"/>
    <w:rsid w:val="00DA6213"/>
    <w:rsid w:val="00DA62E6"/>
    <w:rsid w:val="00DA7A20"/>
    <w:rsid w:val="00DA7D95"/>
    <w:rsid w:val="00DB02C2"/>
    <w:rsid w:val="00DB1ABC"/>
    <w:rsid w:val="00DB22C9"/>
    <w:rsid w:val="00DC0F79"/>
    <w:rsid w:val="00DC1480"/>
    <w:rsid w:val="00DD4385"/>
    <w:rsid w:val="00DF5DD9"/>
    <w:rsid w:val="00DF7B27"/>
    <w:rsid w:val="00E02BC3"/>
    <w:rsid w:val="00E036CD"/>
    <w:rsid w:val="00E05312"/>
    <w:rsid w:val="00E206EB"/>
    <w:rsid w:val="00E27DA0"/>
    <w:rsid w:val="00E36590"/>
    <w:rsid w:val="00E66481"/>
    <w:rsid w:val="00E7604C"/>
    <w:rsid w:val="00E8045D"/>
    <w:rsid w:val="00E90FFF"/>
    <w:rsid w:val="00EA2AC6"/>
    <w:rsid w:val="00EA638B"/>
    <w:rsid w:val="00EB14AE"/>
    <w:rsid w:val="00EB6784"/>
    <w:rsid w:val="00EC1097"/>
    <w:rsid w:val="00EC4666"/>
    <w:rsid w:val="00EC6960"/>
    <w:rsid w:val="00ED108C"/>
    <w:rsid w:val="00ED621D"/>
    <w:rsid w:val="00EE2556"/>
    <w:rsid w:val="00EF0642"/>
    <w:rsid w:val="00EF4C22"/>
    <w:rsid w:val="00F025C1"/>
    <w:rsid w:val="00F02915"/>
    <w:rsid w:val="00F063F0"/>
    <w:rsid w:val="00F07914"/>
    <w:rsid w:val="00F15A73"/>
    <w:rsid w:val="00F21757"/>
    <w:rsid w:val="00F3736D"/>
    <w:rsid w:val="00F37E56"/>
    <w:rsid w:val="00F535A4"/>
    <w:rsid w:val="00F561EF"/>
    <w:rsid w:val="00F71E82"/>
    <w:rsid w:val="00F74982"/>
    <w:rsid w:val="00F82E29"/>
    <w:rsid w:val="00F87A9D"/>
    <w:rsid w:val="00F95C1F"/>
    <w:rsid w:val="00F96762"/>
    <w:rsid w:val="00FA168D"/>
    <w:rsid w:val="00FA2B2A"/>
    <w:rsid w:val="00FB2DF8"/>
    <w:rsid w:val="00FC12E9"/>
    <w:rsid w:val="00FC3090"/>
    <w:rsid w:val="00FC3D21"/>
    <w:rsid w:val="00FC50D8"/>
    <w:rsid w:val="00FC5C64"/>
    <w:rsid w:val="00FD2C29"/>
    <w:rsid w:val="00FD611D"/>
    <w:rsid w:val="00FE1833"/>
    <w:rsid w:val="00FE276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364D6C-3651-4DB1-B7F3-619FED11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2FE"/>
    <w:pPr>
      <w:tabs>
        <w:tab w:val="center" w:pos="4536"/>
        <w:tab w:val="right" w:pos="9072"/>
      </w:tabs>
      <w:spacing w:after="0" w:line="240" w:lineRule="auto"/>
    </w:pPr>
  </w:style>
  <w:style w:type="character" w:customStyle="1" w:styleId="En-tteCar">
    <w:name w:val="En-tête Car"/>
    <w:basedOn w:val="Policepardfaut"/>
    <w:link w:val="En-tte"/>
    <w:uiPriority w:val="99"/>
    <w:rsid w:val="004432FE"/>
  </w:style>
  <w:style w:type="paragraph" w:styleId="Pieddepage">
    <w:name w:val="footer"/>
    <w:basedOn w:val="Normal"/>
    <w:link w:val="PieddepageCar"/>
    <w:uiPriority w:val="99"/>
    <w:unhideWhenUsed/>
    <w:rsid w:val="004432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2FE"/>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4432FE"/>
    <w:pPr>
      <w:spacing w:after="200" w:line="276" w:lineRule="auto"/>
      <w:ind w:left="720"/>
      <w:contextualSpacing/>
    </w:p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4432FE"/>
  </w:style>
  <w:style w:type="paragraph" w:customStyle="1" w:styleId="Briefinglist1">
    <w:name w:val="Briefing list 1"/>
    <w:basedOn w:val="Normal"/>
    <w:rsid w:val="004432FE"/>
    <w:pPr>
      <w:keepLines/>
      <w:numPr>
        <w:numId w:val="1"/>
      </w:numPr>
      <w:spacing w:after="120" w:line="240" w:lineRule="auto"/>
      <w:jc w:val="both"/>
    </w:pPr>
    <w:rPr>
      <w:rFonts w:ascii="Arial" w:eastAsia="SimSun" w:hAnsi="Arial" w:cs="Arial"/>
      <w:szCs w:val="24"/>
      <w:lang w:val="en-GB"/>
    </w:rPr>
  </w:style>
  <w:style w:type="paragraph" w:styleId="Textedebulles">
    <w:name w:val="Balloon Text"/>
    <w:basedOn w:val="Normal"/>
    <w:link w:val="TextedebullesCar"/>
    <w:semiHidden/>
    <w:rsid w:val="004432FE"/>
    <w:pPr>
      <w:overflowPunct w:val="0"/>
      <w:autoSpaceDE w:val="0"/>
      <w:autoSpaceDN w:val="0"/>
      <w:adjustRightInd w:val="0"/>
      <w:spacing w:after="0" w:line="240" w:lineRule="auto"/>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4432FE"/>
    <w:rPr>
      <w:rFonts w:ascii="Tahoma" w:eastAsia="Times New Roman" w:hAnsi="Tahoma" w:cs="Tahoma"/>
      <w:sz w:val="16"/>
      <w:szCs w:val="16"/>
      <w:lang w:eastAsia="fr-FR"/>
    </w:rPr>
  </w:style>
  <w:style w:type="character" w:customStyle="1" w:styleId="affaire-suiviepar">
    <w:name w:val="affaire-suivie par"/>
    <w:basedOn w:val="Policepardfaut"/>
    <w:uiPriority w:val="1"/>
    <w:rsid w:val="004432FE"/>
    <w:rPr>
      <w:rFonts w:ascii="Times New Roman" w:hAnsi="Times New Roman"/>
      <w:sz w:val="18"/>
    </w:rPr>
  </w:style>
  <w:style w:type="paragraph" w:styleId="Sansinterligne">
    <w:name w:val="No Spacing"/>
    <w:uiPriority w:val="1"/>
    <w:qFormat/>
    <w:rsid w:val="004432FE"/>
    <w:pPr>
      <w:spacing w:after="0" w:line="240" w:lineRule="auto"/>
    </w:pPr>
  </w:style>
  <w:style w:type="table" w:styleId="Grilledutableau">
    <w:name w:val="Table Grid"/>
    <w:basedOn w:val="TableauNormal"/>
    <w:uiPriority w:val="39"/>
    <w:rsid w:val="006A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AF3E6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IntituldirectionCar">
    <w:name w:val="Intitulé direction Car"/>
    <w:basedOn w:val="En-tteCar"/>
    <w:link w:val="Intituldirection"/>
    <w:rsid w:val="00AF3E63"/>
    <w:rPr>
      <w:rFonts w:ascii="Arial" w:hAnsi="Arial" w:cs="Arial"/>
      <w:b/>
      <w:bCs/>
      <w:sz w:val="24"/>
      <w:szCs w:val="24"/>
      <w:lang w:val="en-US"/>
    </w:rPr>
  </w:style>
  <w:style w:type="paragraph" w:styleId="Corpsdetexte">
    <w:name w:val="Body Text"/>
    <w:basedOn w:val="Normal"/>
    <w:link w:val="CorpsdetexteCar"/>
    <w:uiPriority w:val="99"/>
    <w:semiHidden/>
    <w:unhideWhenUsed/>
    <w:rsid w:val="00AF3E63"/>
    <w:pPr>
      <w:spacing w:after="120"/>
    </w:pPr>
  </w:style>
  <w:style w:type="character" w:customStyle="1" w:styleId="CorpsdetexteCar">
    <w:name w:val="Corps de texte Car"/>
    <w:basedOn w:val="Policepardfaut"/>
    <w:link w:val="Corpsdetexte"/>
    <w:uiPriority w:val="99"/>
    <w:semiHidden/>
    <w:rsid w:val="00AF3E63"/>
  </w:style>
  <w:style w:type="paragraph" w:styleId="Notedebasdepage">
    <w:name w:val="footnote text"/>
    <w:basedOn w:val="Normal"/>
    <w:link w:val="NotedebasdepageCar"/>
    <w:uiPriority w:val="99"/>
    <w:semiHidden/>
    <w:unhideWhenUsed/>
    <w:rsid w:val="000E00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0033"/>
    <w:rPr>
      <w:sz w:val="20"/>
      <w:szCs w:val="20"/>
    </w:rPr>
  </w:style>
  <w:style w:type="character" w:styleId="Appelnotedebasdep">
    <w:name w:val="footnote reference"/>
    <w:basedOn w:val="Policepardfaut"/>
    <w:uiPriority w:val="99"/>
    <w:semiHidden/>
    <w:unhideWhenUsed/>
    <w:rsid w:val="000E0033"/>
    <w:rPr>
      <w:vertAlign w:val="superscript"/>
    </w:rPr>
  </w:style>
  <w:style w:type="character" w:styleId="Lienhypertexte">
    <w:name w:val="Hyperlink"/>
    <w:basedOn w:val="Policepardfaut"/>
    <w:uiPriority w:val="99"/>
    <w:unhideWhenUsed/>
    <w:rsid w:val="00097F69"/>
    <w:rPr>
      <w:color w:val="0563C1"/>
      <w:u w:val="single"/>
    </w:rPr>
  </w:style>
  <w:style w:type="character" w:styleId="Marquedecommentaire">
    <w:name w:val="annotation reference"/>
    <w:basedOn w:val="Policepardfaut"/>
    <w:uiPriority w:val="99"/>
    <w:semiHidden/>
    <w:unhideWhenUsed/>
    <w:rsid w:val="00D94D39"/>
    <w:rPr>
      <w:sz w:val="16"/>
      <w:szCs w:val="16"/>
    </w:rPr>
  </w:style>
  <w:style w:type="paragraph" w:styleId="Commentaire">
    <w:name w:val="annotation text"/>
    <w:basedOn w:val="Normal"/>
    <w:link w:val="CommentaireCar"/>
    <w:uiPriority w:val="99"/>
    <w:semiHidden/>
    <w:unhideWhenUsed/>
    <w:rsid w:val="00D94D39"/>
    <w:pPr>
      <w:spacing w:line="240" w:lineRule="auto"/>
    </w:pPr>
    <w:rPr>
      <w:sz w:val="20"/>
      <w:szCs w:val="20"/>
    </w:rPr>
  </w:style>
  <w:style w:type="character" w:customStyle="1" w:styleId="CommentaireCar">
    <w:name w:val="Commentaire Car"/>
    <w:basedOn w:val="Policepardfaut"/>
    <w:link w:val="Commentaire"/>
    <w:uiPriority w:val="99"/>
    <w:semiHidden/>
    <w:rsid w:val="00D94D39"/>
    <w:rPr>
      <w:sz w:val="20"/>
      <w:szCs w:val="20"/>
    </w:rPr>
  </w:style>
  <w:style w:type="paragraph" w:styleId="Objetducommentaire">
    <w:name w:val="annotation subject"/>
    <w:basedOn w:val="Commentaire"/>
    <w:next w:val="Commentaire"/>
    <w:link w:val="ObjetducommentaireCar"/>
    <w:uiPriority w:val="99"/>
    <w:semiHidden/>
    <w:unhideWhenUsed/>
    <w:rsid w:val="00D94D39"/>
    <w:rPr>
      <w:b/>
      <w:bCs/>
    </w:rPr>
  </w:style>
  <w:style w:type="character" w:customStyle="1" w:styleId="ObjetducommentaireCar">
    <w:name w:val="Objet du commentaire Car"/>
    <w:basedOn w:val="CommentaireCar"/>
    <w:link w:val="Objetducommentaire"/>
    <w:uiPriority w:val="99"/>
    <w:semiHidden/>
    <w:rsid w:val="00D94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
    <w:div w:id="500776315">
      <w:bodyDiv w:val="1"/>
      <w:marLeft w:val="0"/>
      <w:marRight w:val="0"/>
      <w:marTop w:val="0"/>
      <w:marBottom w:val="0"/>
      <w:divBdr>
        <w:top w:val="none" w:sz="0" w:space="0" w:color="auto"/>
        <w:left w:val="none" w:sz="0" w:space="0" w:color="auto"/>
        <w:bottom w:val="none" w:sz="0" w:space="0" w:color="auto"/>
        <w:right w:val="none" w:sz="0" w:space="0" w:color="auto"/>
      </w:divBdr>
    </w:div>
    <w:div w:id="895362732">
      <w:bodyDiv w:val="1"/>
      <w:marLeft w:val="0"/>
      <w:marRight w:val="0"/>
      <w:marTop w:val="0"/>
      <w:marBottom w:val="0"/>
      <w:divBdr>
        <w:top w:val="none" w:sz="0" w:space="0" w:color="auto"/>
        <w:left w:val="none" w:sz="0" w:space="0" w:color="auto"/>
        <w:bottom w:val="none" w:sz="0" w:space="0" w:color="auto"/>
        <w:right w:val="none" w:sz="0" w:space="0" w:color="auto"/>
      </w:divBdr>
    </w:div>
    <w:div w:id="1087768935">
      <w:bodyDiv w:val="1"/>
      <w:marLeft w:val="0"/>
      <w:marRight w:val="0"/>
      <w:marTop w:val="0"/>
      <w:marBottom w:val="0"/>
      <w:divBdr>
        <w:top w:val="none" w:sz="0" w:space="0" w:color="auto"/>
        <w:left w:val="none" w:sz="0" w:space="0" w:color="auto"/>
        <w:bottom w:val="none" w:sz="0" w:space="0" w:color="auto"/>
        <w:right w:val="none" w:sz="0" w:space="0" w:color="auto"/>
      </w:divBdr>
    </w:div>
    <w:div w:id="1099450529">
      <w:bodyDiv w:val="1"/>
      <w:marLeft w:val="0"/>
      <w:marRight w:val="0"/>
      <w:marTop w:val="0"/>
      <w:marBottom w:val="0"/>
      <w:divBdr>
        <w:top w:val="none" w:sz="0" w:space="0" w:color="auto"/>
        <w:left w:val="none" w:sz="0" w:space="0" w:color="auto"/>
        <w:bottom w:val="none" w:sz="0" w:space="0" w:color="auto"/>
        <w:right w:val="none" w:sz="0" w:space="0" w:color="auto"/>
      </w:divBdr>
    </w:div>
    <w:div w:id="1105150647">
      <w:bodyDiv w:val="1"/>
      <w:marLeft w:val="0"/>
      <w:marRight w:val="0"/>
      <w:marTop w:val="0"/>
      <w:marBottom w:val="0"/>
      <w:divBdr>
        <w:top w:val="none" w:sz="0" w:space="0" w:color="auto"/>
        <w:left w:val="none" w:sz="0" w:space="0" w:color="auto"/>
        <w:bottom w:val="none" w:sz="0" w:space="0" w:color="auto"/>
        <w:right w:val="none" w:sz="0" w:space="0" w:color="auto"/>
      </w:divBdr>
    </w:div>
    <w:div w:id="12890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n/Publications/WEO/weo-database/2021/October/weo-report?c=132,528,&amp;s=PPPPC,&amp;sy=2019&amp;ey=2022&amp;ssm=0&amp;scsm=1&amp;scc=0&amp;ssd=1&amp;ssc=0&amp;sic=0&amp;sort=country&amp;ds=.&amp;br=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S-TPE-SRV16.si.local\TPE$\Secteurs\1-%20Ecofin\1-_Relations_bilaterales\2022\Commerce%20bilat&#233;ral\ComExt%20FR-TW%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PE-SRV16.si.local\TPE$\Secteurs\1-%20Ecofin\1-_Relations_bilaterales\2022\Commerce%20bilat&#233;ral\ComExt%20FR-TW%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TPE-SRV16.si.local\TPE$\Secteurs\1-%20Ecofin\1-_Relations_bilaterales\2022\Commerce%20bilat&#233;ral\ComExt%20FR-TW%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S-TPE-SRV16.si.local\TPE$\Secteurs\1-%20Ecofin\1-_Relations_bilaterales\2022\Commerce%20bilat&#233;ral\ComExt%20FR-TW%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'GraphComExt 2012-2020'!$B$5</c:f>
              <c:strCache>
                <c:ptCount val="1"/>
                <c:pt idx="0">
                  <c:v>Export</c:v>
                </c:pt>
              </c:strCache>
            </c:strRef>
          </c:tx>
          <c:spPr>
            <a:solidFill>
              <a:schemeClr val="accent1"/>
            </a:solidFill>
            <a:ln>
              <a:noFill/>
            </a:ln>
            <a:effectLst/>
          </c:spPr>
          <c:invertIfNegative val="0"/>
          <c:cat>
            <c:numRef>
              <c:f>'GraphComExt 2012-2020'!$C$4:$L$4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'GraphComExt 2012-2020'!$C$5:$L$5</c:f>
              <c:numCache>
                <c:formatCode>0.00</c:formatCode>
                <c:ptCount val="10"/>
                <c:pt idx="0">
                  <c:v>1.9139515629999999</c:v>
                </c:pt>
                <c:pt idx="1">
                  <c:v>1.6553025100000001</c:v>
                </c:pt>
                <c:pt idx="2">
                  <c:v>1.601299603</c:v>
                </c:pt>
                <c:pt idx="3">
                  <c:v>1.871566684</c:v>
                </c:pt>
                <c:pt idx="4">
                  <c:v>2.0425001030000001</c:v>
                </c:pt>
                <c:pt idx="5">
                  <c:v>2.7721211120000002</c:v>
                </c:pt>
                <c:pt idx="6">
                  <c:v>2.1837515409999999</c:v>
                </c:pt>
                <c:pt idx="7">
                  <c:v>1.7518886869999999</c:v>
                </c:pt>
                <c:pt idx="8">
                  <c:v>1.703290543</c:v>
                </c:pt>
                <c:pt idx="9">
                  <c:v>1.86</c:v>
                </c:pt>
              </c:numCache>
            </c:numRef>
          </c:val>
        </c:ser>
        <c:ser>
          <c:idx val="1"/>
          <c:order val="1"/>
          <c:tx>
            <c:strRef>
              <c:f>'GraphComExt 2012-2020'!$B$6</c:f>
              <c:strCache>
                <c:ptCount val="1"/>
                <c:pt idx="0">
                  <c:v>Import</c:v>
                </c:pt>
              </c:strCache>
            </c:strRef>
          </c:tx>
          <c:spPr>
            <a:solidFill>
              <a:schemeClr val="accent2"/>
            </a:solidFill>
            <a:ln>
              <a:noFill/>
            </a:ln>
            <a:effectLst/>
          </c:spPr>
          <c:invertIfNegative val="0"/>
          <c:cat>
            <c:numRef>
              <c:f>'GraphComExt 2012-2020'!$C$4:$L$4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'GraphComExt 2012-2020'!$C$6:$L$6</c:f>
              <c:numCache>
                <c:formatCode>0.00</c:formatCode>
                <c:ptCount val="10"/>
                <c:pt idx="0">
                  <c:v>-2.3731877319999999</c:v>
                </c:pt>
                <c:pt idx="1">
                  <c:v>-2.3564443110000002</c:v>
                </c:pt>
                <c:pt idx="2">
                  <c:v>-2.2570486249999999</c:v>
                </c:pt>
                <c:pt idx="3">
                  <c:v>-2.5347399940000002</c:v>
                </c:pt>
                <c:pt idx="4">
                  <c:v>-2.760421644</c:v>
                </c:pt>
                <c:pt idx="5">
                  <c:v>-3.0532447409999999</c:v>
                </c:pt>
                <c:pt idx="6">
                  <c:v>-3.1518443550000002</c:v>
                </c:pt>
                <c:pt idx="7">
                  <c:v>-3.208860102</c:v>
                </c:pt>
                <c:pt idx="8">
                  <c:v>-2.8957946030000001</c:v>
                </c:pt>
                <c:pt idx="9">
                  <c:v>-3.72</c:v>
                </c:pt>
              </c:numCache>
            </c:numRef>
          </c:val>
        </c:ser>
        <c:dLbls>
          <c:showLegendKey val="0"/>
          <c:showVal val="0"/>
          <c:showCatName val="0"/>
          <c:showSerName val="0"/>
          <c:showPercent val="0"/>
          <c:showBubbleSize val="0"/>
        </c:dLbls>
        <c:gapWidth val="219"/>
        <c:overlap val="-27"/>
        <c:axId val="264579416"/>
        <c:axId val="304484928"/>
      </c:barChart>
      <c:lineChart>
        <c:grouping val="stacked"/>
        <c:varyColors val="0"/>
        <c:ser>
          <c:idx val="2"/>
          <c:order val="2"/>
          <c:tx>
            <c:strRef>
              <c:f>'GraphComExt 2012-2020'!$B$7</c:f>
              <c:strCache>
                <c:ptCount val="1"/>
                <c:pt idx="0">
                  <c:v>Solde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'GraphComExt 2012-2020'!$C$4:$L$4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'GraphComExt 2012-2020'!$C$7:$L$7</c:f>
              <c:numCache>
                <c:formatCode>0.00</c:formatCode>
                <c:ptCount val="10"/>
                <c:pt idx="0">
                  <c:v>-0.45923616900000003</c:v>
                </c:pt>
                <c:pt idx="1">
                  <c:v>-0.70114180100000001</c:v>
                </c:pt>
                <c:pt idx="2">
                  <c:v>-0.65574902199999996</c:v>
                </c:pt>
                <c:pt idx="3">
                  <c:v>-0.66317331000000002</c:v>
                </c:pt>
                <c:pt idx="4">
                  <c:v>-0.71792154100000005</c:v>
                </c:pt>
                <c:pt idx="5">
                  <c:v>-0.28112362899999999</c:v>
                </c:pt>
                <c:pt idx="6">
                  <c:v>-0.96809281400000002</c:v>
                </c:pt>
                <c:pt idx="7">
                  <c:v>-1.4569714149999999</c:v>
                </c:pt>
                <c:pt idx="8">
                  <c:v>-1.1925040600000001</c:v>
                </c:pt>
                <c:pt idx="9">
                  <c:v>-1.86</c:v>
                </c:pt>
              </c:numCache>
            </c:numRef>
          </c:val>
          <c:smooth val="0"/>
        </c:ser>
        <c:dLbls>
          <c:showLegendKey val="0"/>
          <c:showVal val="0"/>
          <c:showCatName val="0"/>
          <c:showSerName val="0"/>
          <c:showPercent val="0"/>
          <c:showBubbleSize val="0"/>
        </c:dLbls>
        <c:marker val="1"/>
        <c:smooth val="0"/>
        <c:axId val="264579416"/>
        <c:axId val="304484928"/>
      </c:lineChart>
      <c:catAx>
        <c:axId val="264579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04484928"/>
        <c:crosses val="autoZero"/>
        <c:auto val="1"/>
        <c:lblAlgn val="ctr"/>
        <c:lblOffset val="100"/>
        <c:noMultiLvlLbl val="0"/>
      </c:catAx>
      <c:valAx>
        <c:axId val="304484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45794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'Part de marché'!$B$17</c:f>
              <c:strCache>
                <c:ptCount val="1"/>
                <c:pt idx="0">
                  <c:v>China&amp;HK</c:v>
                </c:pt>
              </c:strCache>
            </c:strRef>
          </c:tx>
          <c:spPr>
            <a:solidFill>
              <a:schemeClr val="accent1"/>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marché'!$C$17:$I$17</c:f>
              <c:numCache>
                <c:formatCode>0.0%</c:formatCode>
                <c:ptCount val="7"/>
                <c:pt idx="0">
                  <c:v>0.22090943692821957</c:v>
                </c:pt>
                <c:pt idx="1">
                  <c:v>0.16515316089276041</c:v>
                </c:pt>
                <c:pt idx="2">
                  <c:v>0.30950753547699156</c:v>
                </c:pt>
                <c:pt idx="3">
                  <c:v>6.9220206710918261E-2</c:v>
                </c:pt>
                <c:pt idx="4">
                  <c:v>7.3529364649645823E-2</c:v>
                </c:pt>
                <c:pt idx="5">
                  <c:v>0.12196874741596832</c:v>
                </c:pt>
                <c:pt idx="6">
                  <c:v>5.7044124930266983E-3</c:v>
                </c:pt>
              </c:numCache>
            </c:numRef>
          </c:val>
        </c:ser>
        <c:ser>
          <c:idx val="1"/>
          <c:order val="1"/>
          <c:tx>
            <c:strRef>
              <c:f>'Part de marché'!$B$18</c:f>
              <c:strCache>
                <c:ptCount val="1"/>
                <c:pt idx="0">
                  <c:v>Japan</c:v>
                </c:pt>
              </c:strCache>
            </c:strRef>
          </c:tx>
          <c:spPr>
            <a:solidFill>
              <a:schemeClr val="accent2"/>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marché'!$C$18:$I$18</c:f>
              <c:numCache>
                <c:formatCode>0.0%</c:formatCode>
                <c:ptCount val="7"/>
                <c:pt idx="0">
                  <c:v>0.14735654717073113</c:v>
                </c:pt>
                <c:pt idx="1">
                  <c:v>0.24928965057818805</c:v>
                </c:pt>
                <c:pt idx="2">
                  <c:v>0.1475916551883634</c:v>
                </c:pt>
                <c:pt idx="3">
                  <c:v>0.10397404172879778</c:v>
                </c:pt>
                <c:pt idx="4">
                  <c:v>7.8785238060148588E-2</c:v>
                </c:pt>
                <c:pt idx="5">
                  <c:v>0.26579376884416139</c:v>
                </c:pt>
                <c:pt idx="6">
                  <c:v>1.4212120297423204E-2</c:v>
                </c:pt>
              </c:numCache>
            </c:numRef>
          </c:val>
        </c:ser>
        <c:ser>
          <c:idx val="2"/>
          <c:order val="2"/>
          <c:tx>
            <c:strRef>
              <c:f>'Part de marché'!$B$19</c:f>
              <c:strCache>
                <c:ptCount val="1"/>
                <c:pt idx="0">
                  <c:v>USA</c:v>
                </c:pt>
              </c:strCache>
            </c:strRef>
          </c:tx>
          <c:spPr>
            <a:solidFill>
              <a:schemeClr val="accent3"/>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marché'!$C$19:$I$19</c:f>
              <c:numCache>
                <c:formatCode>0.0%</c:formatCode>
                <c:ptCount val="7"/>
                <c:pt idx="0">
                  <c:v>0.10255282749074676</c:v>
                </c:pt>
                <c:pt idx="1">
                  <c:v>0.12105766931596383</c:v>
                </c:pt>
                <c:pt idx="2">
                  <c:v>8.3190417442945253E-2</c:v>
                </c:pt>
                <c:pt idx="3">
                  <c:v>0.14342810558894187</c:v>
                </c:pt>
                <c:pt idx="4">
                  <c:v>2.8949754426883929E-2</c:v>
                </c:pt>
                <c:pt idx="5">
                  <c:v>0.1618709886448593</c:v>
                </c:pt>
                <c:pt idx="6">
                  <c:v>0.6959271445069386</c:v>
                </c:pt>
              </c:numCache>
            </c:numRef>
          </c:val>
        </c:ser>
        <c:ser>
          <c:idx val="3"/>
          <c:order val="3"/>
          <c:tx>
            <c:strRef>
              <c:f>'Part de marché'!$B$20</c:f>
              <c:strCache>
                <c:ptCount val="1"/>
                <c:pt idx="0">
                  <c:v>Germany</c:v>
                </c:pt>
              </c:strCache>
            </c:strRef>
          </c:tx>
          <c:spPr>
            <a:solidFill>
              <a:schemeClr val="accent4"/>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marché'!$C$20:$I$20</c:f>
              <c:numCache>
                <c:formatCode>0.0%</c:formatCode>
                <c:ptCount val="7"/>
                <c:pt idx="0">
                  <c:v>3.2803877938552238E-2</c:v>
                </c:pt>
                <c:pt idx="1">
                  <c:v>8.3537246732892548E-2</c:v>
                </c:pt>
                <c:pt idx="2">
                  <c:v>2.7287191224246363E-2</c:v>
                </c:pt>
                <c:pt idx="3">
                  <c:v>2.7428144805302791E-2</c:v>
                </c:pt>
                <c:pt idx="4">
                  <c:v>8.1281017021917357E-3</c:v>
                </c:pt>
                <c:pt idx="5">
                  <c:v>0.16021334508562399</c:v>
                </c:pt>
                <c:pt idx="6">
                  <c:v>8.1399534703286702E-2</c:v>
                </c:pt>
              </c:numCache>
            </c:numRef>
          </c:val>
        </c:ser>
        <c:ser>
          <c:idx val="4"/>
          <c:order val="4"/>
          <c:tx>
            <c:strRef>
              <c:f>'Part de marché'!$B$21</c:f>
              <c:strCache>
                <c:ptCount val="1"/>
                <c:pt idx="0">
                  <c:v>Netherlands</c:v>
                </c:pt>
              </c:strCache>
            </c:strRef>
          </c:tx>
          <c:spPr>
            <a:solidFill>
              <a:schemeClr val="accent5"/>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marché'!$C$21:$I$21</c:f>
              <c:numCache>
                <c:formatCode>0.0%</c:formatCode>
                <c:ptCount val="7"/>
                <c:pt idx="0">
                  <c:v>2.6812381777667576E-2</c:v>
                </c:pt>
                <c:pt idx="1">
                  <c:v>5.4200854073703517E-3</c:v>
                </c:pt>
                <c:pt idx="2">
                  <c:v>5.0539045842322237E-2</c:v>
                </c:pt>
                <c:pt idx="3">
                  <c:v>4.538387360344897E-2</c:v>
                </c:pt>
                <c:pt idx="4">
                  <c:v>6.8534602902023858E-2</c:v>
                </c:pt>
                <c:pt idx="5">
                  <c:v>5.5510108379071702E-3</c:v>
                </c:pt>
                <c:pt idx="6">
                  <c:v>9.2232049127820206E-4</c:v>
                </c:pt>
              </c:numCache>
            </c:numRef>
          </c:val>
        </c:ser>
        <c:ser>
          <c:idx val="5"/>
          <c:order val="5"/>
          <c:tx>
            <c:strRef>
              <c:f>'Part de marché'!$B$22</c:f>
              <c:strCache>
                <c:ptCount val="1"/>
                <c:pt idx="0">
                  <c:v>France</c:v>
                </c:pt>
              </c:strCache>
            </c:strRef>
          </c:tx>
          <c:spPr>
            <a:solidFill>
              <a:schemeClr val="accent6"/>
            </a:solidFill>
            <a:ln>
              <a:noFill/>
            </a:ln>
            <a:effectLst/>
          </c:spPr>
          <c:invertIfNegative val="0"/>
          <c:cat>
            <c:strRef>
              <c:f>'Part de marché'!$C$16:$I$16</c:f>
              <c:strCache>
                <c:ptCount val="7"/>
                <c:pt idx="0">
                  <c:v>Total</c:v>
                </c:pt>
                <c:pt idx="1">
                  <c:v>Chemicals</c:v>
                </c:pt>
                <c:pt idx="2">
                  <c:v>Machinery and Electrical Equipment</c:v>
                </c:pt>
                <c:pt idx="3">
                  <c:v>Prepared Foodstuffs; Beverages, Spirits and Tobacco Products</c:v>
                </c:pt>
                <c:pt idx="4">
                  <c:v>Wine</c:v>
                </c:pt>
                <c:pt idx="5">
                  <c:v>Vehicles, Aircraft, Vessels and Associated Transport Equipment</c:v>
                </c:pt>
                <c:pt idx="6">
                  <c:v>Aircraft and Parts</c:v>
                </c:pt>
              </c:strCache>
            </c:strRef>
          </c:cat>
          <c:val>
            <c:numRef>
              <c:f>'Part de marché'!$C$22:$I$22</c:f>
              <c:numCache>
                <c:formatCode>0.0%</c:formatCode>
                <c:ptCount val="7"/>
                <c:pt idx="0">
                  <c:v>9.1941876588367832E-3</c:v>
                </c:pt>
                <c:pt idx="1">
                  <c:v>2.8278411507178598E-2</c:v>
                </c:pt>
                <c:pt idx="2">
                  <c:v>4.9226474247278263E-3</c:v>
                </c:pt>
                <c:pt idx="3">
                  <c:v>6.9779779785334825E-2</c:v>
                </c:pt>
                <c:pt idx="4">
                  <c:v>0.20361503490566341</c:v>
                </c:pt>
                <c:pt idx="5">
                  <c:v>1.6959197317755605E-2</c:v>
                </c:pt>
                <c:pt idx="6">
                  <c:v>0.10835197538689947</c:v>
                </c:pt>
              </c:numCache>
            </c:numRef>
          </c:val>
        </c:ser>
        <c:dLbls>
          <c:showLegendKey val="0"/>
          <c:showVal val="0"/>
          <c:showCatName val="0"/>
          <c:showSerName val="0"/>
          <c:showPercent val="0"/>
          <c:showBubbleSize val="0"/>
        </c:dLbls>
        <c:gapWidth val="219"/>
        <c:overlap val="-27"/>
        <c:axId val="304733984"/>
        <c:axId val="304734368"/>
      </c:barChart>
      <c:catAx>
        <c:axId val="3047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crossAx val="304734368"/>
        <c:crosses val="autoZero"/>
        <c:auto val="1"/>
        <c:lblAlgn val="ctr"/>
        <c:lblOffset val="100"/>
        <c:noMultiLvlLbl val="0"/>
      </c:catAx>
      <c:valAx>
        <c:axId val="304734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crossAx val="304733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fr-FR" b="1"/>
              <a:t>Exportations</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2.8811903871893501E-3"/>
                  <c:y val="4.8124369069250959E-2"/>
                </c:manualLayout>
              </c:layout>
              <c:showLegendKey val="0"/>
              <c:showVal val="0"/>
              <c:showCatName val="1"/>
              <c:showSerName val="0"/>
              <c:showPercent val="0"/>
              <c:showBubbleSize val="0"/>
              <c:separator> </c:separator>
              <c:extLst>
                <c:ext xmlns:c15="http://schemas.microsoft.com/office/drawing/2012/chart" uri="{CE6537A1-D6FC-4f65-9D91-7224C49458BB}">
                  <c15:layout/>
                </c:ext>
              </c:extLst>
            </c:dLbl>
            <c:dLbl>
              <c:idx val="1"/>
              <c:layout>
                <c:manualLayout>
                  <c:x val="1.0437592697543742E-3"/>
                  <c:y val="-2.9017622797150356E-2"/>
                </c:manualLayout>
              </c:layout>
              <c:showLegendKey val="0"/>
              <c:showVal val="0"/>
              <c:showCatName val="1"/>
              <c:showSerName val="0"/>
              <c:showPercent val="0"/>
              <c:showBubbleSize val="0"/>
              <c:separator> </c:separator>
              <c:extLst>
                <c:ext xmlns:c15="http://schemas.microsoft.com/office/drawing/2012/chart" uri="{CE6537A1-D6FC-4f65-9D91-7224C49458BB}">
                  <c15:layout/>
                </c:ext>
              </c:extLst>
            </c:dLbl>
            <c:dLbl>
              <c:idx val="2"/>
              <c:layout>
                <c:manualLayout>
                  <c:x val="7.0688644776983278E-2"/>
                  <c:y val="-1.9890109890109892E-2"/>
                </c:manualLayout>
              </c:layout>
              <c:showLegendKey val="0"/>
              <c:showVal val="0"/>
              <c:showCatName val="1"/>
              <c:showSerName val="0"/>
              <c:showPercent val="0"/>
              <c:showBubbleSize val="0"/>
              <c:separator> </c:separator>
              <c:extLst>
                <c:ext xmlns:c15="http://schemas.microsoft.com/office/drawing/2012/chart" uri="{CE6537A1-D6FC-4f65-9D91-7224C49458BB}">
                  <c15:layout>
                    <c:manualLayout>
                      <c:w val="0.2493005832157657"/>
                      <c:h val="0.18981684981684982"/>
                    </c:manualLayout>
                  </c15:layout>
                </c:ext>
              </c:extLst>
            </c:dLbl>
            <c:dLbl>
              <c:idx val="4"/>
              <c:layout>
                <c:manualLayout>
                  <c:x val="-2.8653378511453297E-2"/>
                  <c:y val="-8.9595915895128497E-2"/>
                </c:manualLayout>
              </c:layout>
              <c:showLegendKey val="0"/>
              <c:showVal val="0"/>
              <c:showCatName val="1"/>
              <c:showSerName val="0"/>
              <c:showPercent val="0"/>
              <c:showBubbleSize val="0"/>
              <c:separator> </c:separator>
              <c:extLst>
                <c:ext xmlns:c15="http://schemas.microsoft.com/office/drawing/2012/chart" uri="{CE6537A1-D6FC-4f65-9D91-7224C49458BB}">
                  <c15:layout/>
                </c:ext>
              </c:extLst>
            </c:dLbl>
            <c:dLbl>
              <c:idx val="5"/>
              <c:layout>
                <c:manualLayout>
                  <c:x val="4.5005285518483233E-3"/>
                  <c:y val="-5.4886216146058667E-2"/>
                </c:manualLayout>
              </c:layou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1.7289479440069991E-2"/>
                  <c:y val="3.7890055409740449E-2"/>
                </c:manualLayout>
              </c:layout>
              <c:showLegendKey val="0"/>
              <c:showVal val="0"/>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'StructureComExt T1-T3 2021'!$A$7:$A$13</c:f>
              <c:strCache>
                <c:ptCount val="7"/>
                <c:pt idx="0">
                  <c:v>Produits chimiques, parfums et cosmétiques; 335 M EUR</c:v>
                </c:pt>
                <c:pt idx="1">
                  <c:v>Produits informatiques, électroniques et optiques; 332 M EUR</c:v>
                </c:pt>
                <c:pt idx="2">
                  <c:v>Produits des industries agroalimentaires (IAA); 276 M EUR</c:v>
                </c:pt>
                <c:pt idx="3">
                  <c:v>Textiles, habillement, cuir et chaussures; 182 M EUR</c:v>
                </c:pt>
                <c:pt idx="4">
                  <c:v>Matériels de transport; 171 M EUR</c:v>
                </c:pt>
                <c:pt idx="5">
                  <c:v>Produits pharmaceutiques; 153 M EUR</c:v>
                </c:pt>
                <c:pt idx="6">
                  <c:v>Autres; 410 M EUR</c:v>
                </c:pt>
              </c:strCache>
            </c:strRef>
          </c:cat>
          <c:val>
            <c:numRef>
              <c:f>'StructureComExt T1-T3 2021'!$B$7:$B$13</c:f>
              <c:numCache>
                <c:formatCode>0.0%</c:formatCode>
                <c:ptCount val="7"/>
                <c:pt idx="0">
                  <c:v>0.17994496288033154</c:v>
                </c:pt>
                <c:pt idx="1">
                  <c:v>0.17873230417700553</c:v>
                </c:pt>
                <c:pt idx="2">
                  <c:v>0.14838956988405891</c:v>
                </c:pt>
                <c:pt idx="3">
                  <c:v>9.7877474858823477E-2</c:v>
                </c:pt>
                <c:pt idx="4">
                  <c:v>9.1894121026318845E-2</c:v>
                </c:pt>
                <c:pt idx="5">
                  <c:v>8.2612130175260631E-2</c:v>
                </c:pt>
                <c:pt idx="6">
                  <c:v>0.22054943699820106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fr-F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r>
              <a:rPr lang="fr-FR" b="1"/>
              <a:t>Importations</a:t>
            </a:r>
          </a:p>
        </c:rich>
      </c:tx>
      <c:layout/>
      <c:overlay val="0"/>
      <c:spPr>
        <a:noFill/>
        <a:ln>
          <a:noFill/>
        </a:ln>
        <a:effectLst/>
      </c:spPr>
      <c:txPr>
        <a:bodyPr rot="0" spcFirstLastPara="1" vertOverflow="ellipsis" vert="horz" wrap="square" anchor="ctr" anchorCtr="1"/>
        <a:lstStyle/>
        <a:p>
          <a:pPr>
            <a:defRPr sz="126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1"/>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8.4860634751942852E-3"/>
                  <c:y val="-2.371566522099176E-2"/>
                </c:manualLayout>
              </c:layout>
              <c:showLegendKey val="0"/>
              <c:showVal val="0"/>
              <c:showCatName val="1"/>
              <c:showSerName val="0"/>
              <c:showPercent val="0"/>
              <c:showBubbleSize val="0"/>
              <c:extLst>
                <c:ext xmlns:c15="http://schemas.microsoft.com/office/drawing/2012/chart" uri="{CE6537A1-D6FC-4f65-9D91-7224C49458BB}">
                  <c15:layout>
                    <c:manualLayout>
                      <c:w val="0.2078629051736631"/>
                      <c:h val="0.23921568627450976"/>
                    </c:manualLayout>
                  </c15:layout>
                </c:ext>
              </c:extLst>
            </c:dLbl>
            <c:dLbl>
              <c:idx val="1"/>
              <c:layout>
                <c:manualLayout>
                  <c:x val="4.2804614913933343E-2"/>
                  <c:y val="0"/>
                </c:manualLayout>
              </c:layout>
              <c:showLegendKey val="0"/>
              <c:showVal val="0"/>
              <c:showCatName val="1"/>
              <c:showSerName val="0"/>
              <c:showPercent val="0"/>
              <c:showBubbleSize val="0"/>
              <c:extLst>
                <c:ext xmlns:c15="http://schemas.microsoft.com/office/drawing/2012/chart" uri="{CE6537A1-D6FC-4f65-9D91-7224C49458BB}">
                  <c15:layout>
                    <c:manualLayout>
                      <c:w val="0.20152343687100457"/>
                      <c:h val="0.14780748663101603"/>
                    </c:manualLayout>
                  </c15:layout>
                </c:ext>
              </c:extLst>
            </c:dLbl>
            <c:dLbl>
              <c:idx val="2"/>
              <c:layout>
                <c:manualLayout>
                  <c:x val="-1.6359918200408999E-2"/>
                  <c:y val="-1.5852737659129507E-2"/>
                </c:manualLayout>
              </c:layout>
              <c:showLegendKey val="0"/>
              <c:showVal val="0"/>
              <c:showCatName val="1"/>
              <c:showSerName val="0"/>
              <c:showPercent val="0"/>
              <c:showBubbleSize val="0"/>
              <c:extLst>
                <c:ext xmlns:c15="http://schemas.microsoft.com/office/drawing/2012/chart" uri="{CE6537A1-D6FC-4f65-9D91-7224C49458BB}">
                  <c15:layout>
                    <c:manualLayout>
                      <c:w val="0.22597137014314927"/>
                      <c:h val="0.19251336898395721"/>
                    </c:manualLayout>
                  </c15:layout>
                </c:ext>
              </c:extLst>
            </c:dLbl>
            <c:dLbl>
              <c:idx val="3"/>
              <c:layout>
                <c:manualLayout>
                  <c:x val="2.3890713814147459E-2"/>
                  <c:y val="3.7318062514912907E-3"/>
                </c:manualLayout>
              </c:layout>
              <c:showLegendKey val="0"/>
              <c:showVal val="0"/>
              <c:showCatName val="1"/>
              <c:showSerName val="0"/>
              <c:showPercent val="0"/>
              <c:showBubbleSize val="0"/>
              <c:extLst>
                <c:ext xmlns:c15="http://schemas.microsoft.com/office/drawing/2012/chart" uri="{CE6537A1-D6FC-4f65-9D91-7224C49458BB}">
                  <c15:layout>
                    <c:manualLayout>
                      <c:w val="0.22988760607378064"/>
                      <c:h val="0.19351158645276292"/>
                    </c:manualLayout>
                  </c15:layout>
                </c:ext>
              </c:extLst>
            </c:dLbl>
            <c:dLbl>
              <c:idx val="4"/>
              <c:layout>
                <c:manualLayout>
                  <c:x val="-3.7731752089271056E-2"/>
                  <c:y val="-1.374457871910393E-2"/>
                </c:manualLayout>
              </c:layout>
              <c:showLegendKey val="0"/>
              <c:showVal val="0"/>
              <c:showCatName val="1"/>
              <c:showSerName val="0"/>
              <c:showPercent val="0"/>
              <c:showBubbleSize val="0"/>
              <c:extLst>
                <c:ext xmlns:c15="http://schemas.microsoft.com/office/drawing/2012/chart" uri="{CE6537A1-D6FC-4f65-9D91-7224C49458BB}">
                  <c15:layout>
                    <c:manualLayout>
                      <c:w val="0.19547026713685328"/>
                      <c:h val="0.19351158645276292"/>
                    </c:manualLayout>
                  </c15:layout>
                </c:ext>
              </c:extLst>
            </c:dLbl>
            <c:dLbl>
              <c:idx val="5"/>
              <c:layout>
                <c:manualLayout>
                  <c:x val="8.1818913740076965E-3"/>
                  <c:y val="-5.963324771569329E-2"/>
                </c:manualLayout>
              </c:layout>
              <c:showLegendKey val="0"/>
              <c:showVal val="0"/>
              <c:showCatName val="1"/>
              <c:showSerName val="0"/>
              <c:showPercent val="0"/>
              <c:showBubbleSize val="0"/>
              <c:extLst>
                <c:ext xmlns:c15="http://schemas.microsoft.com/office/drawing/2012/chart" uri="{CE6537A1-D6FC-4f65-9D91-7224C49458BB}">
                  <c15:layout>
                    <c:manualLayout>
                      <c:w val="0.23204498977505111"/>
                      <c:h val="0.23921568627450976"/>
                    </c:manualLayout>
                  </c15:layout>
                </c:ext>
              </c:extLst>
            </c:dLbl>
            <c:dLbl>
              <c:idx val="6"/>
              <c:layout>
                <c:manualLayout>
                  <c:x val="0.14404344395600849"/>
                  <c:y val="-2.8702401504624758E-2"/>
                </c:manualLayout>
              </c:layou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'StructureComExt T1-T3 2021'!$A$20:$A$26</c:f>
              <c:strCache>
                <c:ptCount val="7"/>
                <c:pt idx="0">
                  <c:v>Produits informatiques, électroniques et optiques; 1,8 Md EUR</c:v>
                </c:pt>
                <c:pt idx="1">
                  <c:v>Matériels de transport; 409 M EUR</c:v>
                </c:pt>
                <c:pt idx="2">
                  <c:v>Produits métallurgiques et métalliques; 383 M EUR</c:v>
                </c:pt>
                <c:pt idx="3">
                  <c:v>Machines industrielles et agricoles, machines diverses; 297 M EUR</c:v>
                </c:pt>
                <c:pt idx="4">
                  <c:v>Équipements électriques et ménagers; 205 M EUR</c:v>
                </c:pt>
                <c:pt idx="5">
                  <c:v>Produits en caoutchouc et en plastique, produits minéraux divers; 169 M EUR</c:v>
                </c:pt>
                <c:pt idx="6">
                  <c:v>Autres; 439 M EUR</c:v>
                </c:pt>
              </c:strCache>
            </c:strRef>
          </c:cat>
          <c:val>
            <c:numRef>
              <c:f>'StructureComExt T1-T3 2021'!$B$20:$B$26</c:f>
              <c:numCache>
                <c:formatCode>0.0%</c:formatCode>
                <c:ptCount val="7"/>
                <c:pt idx="0">
                  <c:v>0.48920977269057037</c:v>
                </c:pt>
                <c:pt idx="1">
                  <c:v>0.10989170875688332</c:v>
                </c:pt>
                <c:pt idx="2">
                  <c:v>0.10276209657560421</c:v>
                </c:pt>
                <c:pt idx="3">
                  <c:v>7.9652415523363093E-2</c:v>
                </c:pt>
                <c:pt idx="4">
                  <c:v>5.5147052552648838E-2</c:v>
                </c:pt>
                <c:pt idx="5">
                  <c:v>4.5517453528702595E-2</c:v>
                </c:pt>
                <c:pt idx="6">
                  <c:v>0.11781950037222755</c:v>
                </c:pt>
              </c:numCache>
            </c:numRef>
          </c:val>
        </c:ser>
        <c:ser>
          <c:idx val="2"/>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'StructureComExt T1-T3 2021'!$A$20:$A$26</c:f>
              <c:strCache>
                <c:ptCount val="7"/>
                <c:pt idx="0">
                  <c:v>Produits informatiques, électroniques et optiques; 1,8 Md EUR</c:v>
                </c:pt>
                <c:pt idx="1">
                  <c:v>Matériels de transport; 409 M EUR</c:v>
                </c:pt>
                <c:pt idx="2">
                  <c:v>Produits métallurgiques et métalliques; 383 M EUR</c:v>
                </c:pt>
                <c:pt idx="3">
                  <c:v>Machines industrielles et agricoles, machines diverses; 297 M EUR</c:v>
                </c:pt>
                <c:pt idx="4">
                  <c:v>Équipements électriques et ménagers; 205 M EUR</c:v>
                </c:pt>
                <c:pt idx="5">
                  <c:v>Produits en caoutchouc et en plastique, produits minéraux divers; 169 M EUR</c:v>
                </c:pt>
                <c:pt idx="6">
                  <c:v>Autres; 439 M EUR</c:v>
                </c:pt>
              </c:strCache>
            </c:strRef>
          </c:cat>
          <c:val>
            <c:numRef>
              <c:f>'StructureComExt T1-T3 2021'!$B$20:$B$26</c:f>
              <c:numCache>
                <c:formatCode>0.0%</c:formatCode>
                <c:ptCount val="7"/>
                <c:pt idx="0">
                  <c:v>0.48920977269057037</c:v>
                </c:pt>
                <c:pt idx="1">
                  <c:v>0.10989170875688332</c:v>
                </c:pt>
                <c:pt idx="2">
                  <c:v>0.10276209657560421</c:v>
                </c:pt>
                <c:pt idx="3">
                  <c:v>7.9652415523363093E-2</c:v>
                </c:pt>
                <c:pt idx="4">
                  <c:v>5.5147052552648838E-2</c:v>
                </c:pt>
                <c:pt idx="5">
                  <c:v>4.5517453528702595E-2</c:v>
                </c:pt>
                <c:pt idx="6">
                  <c:v>0.11781950037222755</c:v>
                </c:pt>
              </c:numCache>
            </c:numRef>
          </c:val>
        </c:ser>
        <c:ser>
          <c:idx val="0"/>
          <c:order val="2"/>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'StructureComExt T1-T3 2021'!$A$20:$A$26</c:f>
              <c:strCache>
                <c:ptCount val="7"/>
                <c:pt idx="0">
                  <c:v>Produits informatiques, électroniques et optiques; 1,8 Md EUR</c:v>
                </c:pt>
                <c:pt idx="1">
                  <c:v>Matériels de transport; 409 M EUR</c:v>
                </c:pt>
                <c:pt idx="2">
                  <c:v>Produits métallurgiques et métalliques; 383 M EUR</c:v>
                </c:pt>
                <c:pt idx="3">
                  <c:v>Machines industrielles et agricoles, machines diverses; 297 M EUR</c:v>
                </c:pt>
                <c:pt idx="4">
                  <c:v>Équipements électriques et ménagers; 205 M EUR</c:v>
                </c:pt>
                <c:pt idx="5">
                  <c:v>Produits en caoutchouc et en plastique, produits minéraux divers; 169 M EUR</c:v>
                </c:pt>
                <c:pt idx="6">
                  <c:v>Autres; 439 M EUR</c:v>
                </c:pt>
              </c:strCache>
            </c:strRef>
          </c:cat>
          <c:val>
            <c:numRef>
              <c:f>'StructureComExt T1-T3 2021'!$B$20:$B$26</c:f>
              <c:numCache>
                <c:formatCode>0.0%</c:formatCode>
                <c:ptCount val="7"/>
                <c:pt idx="0">
                  <c:v>0.48920977269057037</c:v>
                </c:pt>
                <c:pt idx="1">
                  <c:v>0.10989170875688332</c:v>
                </c:pt>
                <c:pt idx="2">
                  <c:v>0.10276209657560421</c:v>
                </c:pt>
                <c:pt idx="3">
                  <c:v>7.9652415523363093E-2</c:v>
                </c:pt>
                <c:pt idx="4">
                  <c:v>5.5147052552648838E-2</c:v>
                </c:pt>
                <c:pt idx="5">
                  <c:v>4.5517453528702595E-2</c:v>
                </c:pt>
                <c:pt idx="6">
                  <c:v>0.11781950037222755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0.36354</cdr:x>
      <cdr:y>0.34896</cdr:y>
    </cdr:from>
    <cdr:to>
      <cdr:x>0.47396</cdr:x>
      <cdr:y>0.43576</cdr:y>
    </cdr:to>
    <cdr:sp macro="" textlink="">
      <cdr:nvSpPr>
        <cdr:cNvPr id="3" name="ZoneTexte 2"/>
        <cdr:cNvSpPr txBox="1"/>
      </cdr:nvSpPr>
      <cdr:spPr>
        <a:xfrm xmlns:a="http://schemas.openxmlformats.org/drawingml/2006/main">
          <a:off x="1662112" y="957263"/>
          <a:ext cx="5048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fr-FR" sz="1050"/>
            <a:t>22,1%</a:t>
          </a:r>
        </a:p>
      </cdr:txBody>
    </cdr:sp>
  </cdr:relSizeAnchor>
  <cdr:relSizeAnchor xmlns:cdr="http://schemas.openxmlformats.org/drawingml/2006/chartDrawing">
    <cdr:from>
      <cdr:x>0.51736</cdr:x>
      <cdr:y>0.34491</cdr:y>
    </cdr:from>
    <cdr:to>
      <cdr:x>0.62778</cdr:x>
      <cdr:y>0.43171</cdr:y>
    </cdr:to>
    <cdr:sp macro="" textlink="">
      <cdr:nvSpPr>
        <cdr:cNvPr id="4" name="ZoneTexte 1"/>
        <cdr:cNvSpPr txBox="1"/>
      </cdr:nvSpPr>
      <cdr:spPr>
        <a:xfrm xmlns:a="http://schemas.openxmlformats.org/drawingml/2006/main">
          <a:off x="2365375" y="946150"/>
          <a:ext cx="504825"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18,0%</a:t>
          </a:r>
        </a:p>
      </cdr:txBody>
    </cdr:sp>
  </cdr:relSizeAnchor>
  <cdr:relSizeAnchor xmlns:cdr="http://schemas.openxmlformats.org/drawingml/2006/chartDrawing">
    <cdr:from>
      <cdr:x>0.57569</cdr:x>
      <cdr:y>0.53935</cdr:y>
    </cdr:from>
    <cdr:to>
      <cdr:x>0.68611</cdr:x>
      <cdr:y>0.62616</cdr:y>
    </cdr:to>
    <cdr:sp macro="" textlink="">
      <cdr:nvSpPr>
        <cdr:cNvPr id="5" name="ZoneTexte 1"/>
        <cdr:cNvSpPr txBox="1"/>
      </cdr:nvSpPr>
      <cdr:spPr>
        <a:xfrm xmlns:a="http://schemas.openxmlformats.org/drawingml/2006/main">
          <a:off x="2632075" y="1479550"/>
          <a:ext cx="504825"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17,9%</a:t>
          </a:r>
        </a:p>
      </cdr:txBody>
    </cdr:sp>
  </cdr:relSizeAnchor>
  <cdr:relSizeAnchor xmlns:cdr="http://schemas.openxmlformats.org/drawingml/2006/chartDrawing">
    <cdr:from>
      <cdr:x>0.50278</cdr:x>
      <cdr:y>0.69907</cdr:y>
    </cdr:from>
    <cdr:to>
      <cdr:x>0.61319</cdr:x>
      <cdr:y>0.78588</cdr:y>
    </cdr:to>
    <cdr:sp macro="" textlink="">
      <cdr:nvSpPr>
        <cdr:cNvPr id="6" name="ZoneTexte 1"/>
        <cdr:cNvSpPr txBox="1"/>
      </cdr:nvSpPr>
      <cdr:spPr>
        <a:xfrm xmlns:a="http://schemas.openxmlformats.org/drawingml/2006/main">
          <a:off x="2298700" y="1917700"/>
          <a:ext cx="504825"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14,8%</a:t>
          </a:r>
        </a:p>
      </cdr:txBody>
    </cdr:sp>
  </cdr:relSizeAnchor>
  <cdr:relSizeAnchor xmlns:cdr="http://schemas.openxmlformats.org/drawingml/2006/chartDrawing">
    <cdr:from>
      <cdr:x>0.41282</cdr:x>
      <cdr:y>0.73769</cdr:y>
    </cdr:from>
    <cdr:to>
      <cdr:x>0.52324</cdr:x>
      <cdr:y>0.8245</cdr:y>
    </cdr:to>
    <cdr:sp macro="" textlink="">
      <cdr:nvSpPr>
        <cdr:cNvPr id="7" name="ZoneTexte 1"/>
        <cdr:cNvSpPr txBox="1"/>
      </cdr:nvSpPr>
      <cdr:spPr>
        <a:xfrm xmlns:a="http://schemas.openxmlformats.org/drawingml/2006/main">
          <a:off x="2567648" y="2557629"/>
          <a:ext cx="686793" cy="3009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9,8%</a:t>
          </a:r>
        </a:p>
      </cdr:txBody>
    </cdr:sp>
  </cdr:relSizeAnchor>
  <cdr:relSizeAnchor xmlns:cdr="http://schemas.openxmlformats.org/drawingml/2006/chartDrawing">
    <cdr:from>
      <cdr:x>0.3388</cdr:x>
      <cdr:y>0.66897</cdr:y>
    </cdr:from>
    <cdr:to>
      <cdr:x>0.44922</cdr:x>
      <cdr:y>0.75578</cdr:y>
    </cdr:to>
    <cdr:sp macro="" textlink="">
      <cdr:nvSpPr>
        <cdr:cNvPr id="8" name="ZoneTexte 1"/>
        <cdr:cNvSpPr txBox="1"/>
      </cdr:nvSpPr>
      <cdr:spPr>
        <a:xfrm xmlns:a="http://schemas.openxmlformats.org/drawingml/2006/main">
          <a:off x="2107274" y="2319379"/>
          <a:ext cx="686793" cy="3009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9,2%</a:t>
          </a:r>
        </a:p>
      </cdr:txBody>
    </cdr:sp>
  </cdr:relSizeAnchor>
  <cdr:relSizeAnchor xmlns:cdr="http://schemas.openxmlformats.org/drawingml/2006/chartDrawing">
    <cdr:from>
      <cdr:x>0.30694</cdr:x>
      <cdr:y>0.52199</cdr:y>
    </cdr:from>
    <cdr:to>
      <cdr:x>0.41736</cdr:x>
      <cdr:y>0.6088</cdr:y>
    </cdr:to>
    <cdr:sp macro="" textlink="">
      <cdr:nvSpPr>
        <cdr:cNvPr id="9" name="ZoneTexte 1"/>
        <cdr:cNvSpPr txBox="1"/>
      </cdr:nvSpPr>
      <cdr:spPr>
        <a:xfrm xmlns:a="http://schemas.openxmlformats.org/drawingml/2006/main">
          <a:off x="1403350" y="1431925"/>
          <a:ext cx="504825" cy="2381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8,3%</a:t>
          </a:r>
        </a:p>
      </cdr:txBody>
    </cdr:sp>
  </cdr:relSizeAnchor>
</c:userShapes>
</file>

<file path=word/drawings/drawing2.xml><?xml version="1.0" encoding="utf-8"?>
<c:userShapes xmlns:c="http://schemas.openxmlformats.org/drawingml/2006/chart">
  <cdr:relSizeAnchor xmlns:cdr="http://schemas.openxmlformats.org/drawingml/2006/chartDrawing">
    <cdr:from>
      <cdr:x>0.55439</cdr:x>
      <cdr:y>0.50839</cdr:y>
    </cdr:from>
    <cdr:to>
      <cdr:x>0.65299</cdr:x>
      <cdr:y>0.58054</cdr:y>
    </cdr:to>
    <cdr:sp macro="" textlink="">
      <cdr:nvSpPr>
        <cdr:cNvPr id="2" name="ZoneTexte 1"/>
        <cdr:cNvSpPr txBox="1"/>
      </cdr:nvSpPr>
      <cdr:spPr>
        <a:xfrm xmlns:a="http://schemas.openxmlformats.org/drawingml/2006/main">
          <a:off x="3442913" y="1811066"/>
          <a:ext cx="612335" cy="257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48,9%</a:t>
          </a:r>
        </a:p>
      </cdr:txBody>
    </cdr:sp>
  </cdr:relSizeAnchor>
  <cdr:relSizeAnchor xmlns:cdr="http://schemas.openxmlformats.org/drawingml/2006/chartDrawing">
    <cdr:from>
      <cdr:x>0.42056</cdr:x>
      <cdr:y>0.75132</cdr:y>
    </cdr:from>
    <cdr:to>
      <cdr:x>0.51916</cdr:x>
      <cdr:y>0.82347</cdr:y>
    </cdr:to>
    <cdr:sp macro="" textlink="">
      <cdr:nvSpPr>
        <cdr:cNvPr id="3" name="ZoneTexte 1"/>
        <cdr:cNvSpPr txBox="1"/>
      </cdr:nvSpPr>
      <cdr:spPr>
        <a:xfrm xmlns:a="http://schemas.openxmlformats.org/drawingml/2006/main">
          <a:off x="2611795" y="2676465"/>
          <a:ext cx="612336" cy="257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11,0%</a:t>
          </a:r>
        </a:p>
      </cdr:txBody>
    </cdr:sp>
  </cdr:relSizeAnchor>
  <cdr:relSizeAnchor xmlns:cdr="http://schemas.openxmlformats.org/drawingml/2006/chartDrawing">
    <cdr:from>
      <cdr:x>0.33586</cdr:x>
      <cdr:y>0.65897</cdr:y>
    </cdr:from>
    <cdr:to>
      <cdr:x>0.43446</cdr:x>
      <cdr:y>0.73112</cdr:y>
    </cdr:to>
    <cdr:sp macro="" textlink="">
      <cdr:nvSpPr>
        <cdr:cNvPr id="4" name="ZoneTexte 1"/>
        <cdr:cNvSpPr txBox="1"/>
      </cdr:nvSpPr>
      <cdr:spPr>
        <a:xfrm xmlns:a="http://schemas.openxmlformats.org/drawingml/2006/main">
          <a:off x="2085791" y="2347482"/>
          <a:ext cx="612335" cy="257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10,3%</a:t>
          </a:r>
        </a:p>
      </cdr:txBody>
    </cdr:sp>
  </cdr:relSizeAnchor>
  <cdr:relSizeAnchor xmlns:cdr="http://schemas.openxmlformats.org/drawingml/2006/chartDrawing">
    <cdr:from>
      <cdr:x>0.31301</cdr:x>
      <cdr:y>0.5198</cdr:y>
    </cdr:from>
    <cdr:to>
      <cdr:x>0.41161</cdr:x>
      <cdr:y>0.59195</cdr:y>
    </cdr:to>
    <cdr:sp macro="" textlink="">
      <cdr:nvSpPr>
        <cdr:cNvPr id="5" name="ZoneTexte 1"/>
        <cdr:cNvSpPr txBox="1"/>
      </cdr:nvSpPr>
      <cdr:spPr>
        <a:xfrm xmlns:a="http://schemas.openxmlformats.org/drawingml/2006/main">
          <a:off x="1943877" y="1851714"/>
          <a:ext cx="612335" cy="2570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8,0%</a:t>
          </a:r>
        </a:p>
      </cdr:txBody>
    </cdr:sp>
  </cdr:relSizeAnchor>
  <cdr:relSizeAnchor xmlns:cdr="http://schemas.openxmlformats.org/drawingml/2006/chartDrawing">
    <cdr:from>
      <cdr:x>0.31157</cdr:x>
      <cdr:y>0.40993</cdr:y>
    </cdr:from>
    <cdr:to>
      <cdr:x>0.41017</cdr:x>
      <cdr:y>0.48208</cdr:y>
    </cdr:to>
    <cdr:sp macro="" textlink="">
      <cdr:nvSpPr>
        <cdr:cNvPr id="6" name="ZoneTexte 1"/>
        <cdr:cNvSpPr txBox="1"/>
      </cdr:nvSpPr>
      <cdr:spPr>
        <a:xfrm xmlns:a="http://schemas.openxmlformats.org/drawingml/2006/main">
          <a:off x="1934958" y="1460297"/>
          <a:ext cx="612335" cy="25702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5,5%</a:t>
          </a:r>
        </a:p>
      </cdr:txBody>
    </cdr:sp>
  </cdr:relSizeAnchor>
  <cdr:relSizeAnchor xmlns:cdr="http://schemas.openxmlformats.org/drawingml/2006/chartDrawing">
    <cdr:from>
      <cdr:x>0.32777</cdr:x>
      <cdr:y>0.31511</cdr:y>
    </cdr:from>
    <cdr:to>
      <cdr:x>0.42637</cdr:x>
      <cdr:y>0.38726</cdr:y>
    </cdr:to>
    <cdr:sp macro="" textlink="">
      <cdr:nvSpPr>
        <cdr:cNvPr id="7" name="ZoneTexte 1"/>
        <cdr:cNvSpPr txBox="1"/>
      </cdr:nvSpPr>
      <cdr:spPr>
        <a:xfrm xmlns:a="http://schemas.openxmlformats.org/drawingml/2006/main">
          <a:off x="2035534" y="1122524"/>
          <a:ext cx="612335" cy="257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4,6%</a:t>
          </a:r>
        </a:p>
      </cdr:txBody>
    </cdr:sp>
  </cdr:relSizeAnchor>
  <cdr:relSizeAnchor xmlns:cdr="http://schemas.openxmlformats.org/drawingml/2006/chartDrawing">
    <cdr:from>
      <cdr:x>0.4025</cdr:x>
      <cdr:y>0.26936</cdr:y>
    </cdr:from>
    <cdr:to>
      <cdr:x>0.50111</cdr:x>
      <cdr:y>0.34151</cdr:y>
    </cdr:to>
    <cdr:sp macro="" textlink="">
      <cdr:nvSpPr>
        <cdr:cNvPr id="8" name="ZoneTexte 1"/>
        <cdr:cNvSpPr txBox="1"/>
      </cdr:nvSpPr>
      <cdr:spPr>
        <a:xfrm xmlns:a="http://schemas.openxmlformats.org/drawingml/2006/main">
          <a:off x="2499668" y="959555"/>
          <a:ext cx="612398" cy="257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fr-FR" sz="1050"/>
            <a:t>11,8%</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AB5A97558B742A2DB673CBDF82631" ma:contentTypeVersion="5" ma:contentTypeDescription="Crée un document." ma:contentTypeScope="" ma:versionID="c31b6c800821cb253460375248cf1a46">
  <xsd:schema xmlns:xsd="http://www.w3.org/2001/XMLSchema" xmlns:xs="http://www.w3.org/2001/XMLSchema" xmlns:p="http://schemas.microsoft.com/office/2006/metadata/properties" xmlns:ns1="http://schemas.microsoft.com/sharepoint/v3" xmlns:ns2="57f014fb-e63d-429b-bf40-440cdd2ade6e" targetNamespace="http://schemas.microsoft.com/office/2006/metadata/properties" ma:root="true" ma:fieldsID="9edc6e895e479aa75efce00932c1c730" ns1:_="" ns2:_="">
    <xsd:import namespace="http://schemas.microsoft.com/sharepoint/v3"/>
    <xsd:import namespace="57f014fb-e63d-429b-bf40-440cdd2ade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014fb-e63d-429b-bf40-440cdd2ade6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C3BE-9D6B-49ED-965C-A9AEB9945F4B}">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57f014fb-e63d-429b-bf40-440cdd2ade6e"/>
    <ds:schemaRef ds:uri="http://www.w3.org/XML/1998/namespace"/>
  </ds:schemaRefs>
</ds:datastoreItem>
</file>

<file path=customXml/itemProps2.xml><?xml version="1.0" encoding="utf-8"?>
<ds:datastoreItem xmlns:ds="http://schemas.openxmlformats.org/officeDocument/2006/customXml" ds:itemID="{A2AED7BF-F8DC-45B9-BFE6-90231472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014fb-e63d-429b-bf40-440cdd2ad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9D934-B2D2-4B4E-A779-F24A898AEBD3}">
  <ds:schemaRefs>
    <ds:schemaRef ds:uri="http://schemas.microsoft.com/sharepoint/v3/contenttype/forms"/>
  </ds:schemaRefs>
</ds:datastoreItem>
</file>

<file path=customXml/itemProps4.xml><?xml version="1.0" encoding="utf-8"?>
<ds:datastoreItem xmlns:ds="http://schemas.openxmlformats.org/officeDocument/2006/customXml" ds:itemID="{62184CA4-4257-4C95-917D-5A547AB0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9568</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BORDES Gilles</dc:creator>
  <cp:keywords/>
  <dc:description/>
  <cp:lastModifiedBy>BERDER Alain</cp:lastModifiedBy>
  <cp:revision>2</cp:revision>
  <cp:lastPrinted>2022-03-08T03:18:00Z</cp:lastPrinted>
  <dcterms:created xsi:type="dcterms:W3CDTF">2022-03-09T07:06:00Z</dcterms:created>
  <dcterms:modified xsi:type="dcterms:W3CDTF">2022-03-09T07:06:00Z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0x010100D8CAB5A97558B742A2DB673CBDF82631</vt:lpwstr>
  </property>
</Properties>
</file>