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3EA8A" w14:textId="48FFDC22" w:rsidR="00F85775" w:rsidRPr="00F85775" w:rsidRDefault="007939AE" w:rsidP="00F85775">
      <w:pPr>
        <w:spacing w:before="80" w:after="80"/>
        <w:ind w:right="1"/>
        <w:jc w:val="center"/>
        <w:rPr>
          <w:rFonts w:ascii="Segoe UI" w:hAnsi="Segoe UI" w:cs="Segoe UI"/>
          <w:color w:val="000091" w:themeColor="text1"/>
          <w:sz w:val="32"/>
          <w:szCs w:val="20"/>
          <w:lang w:eastAsia="fr-FR"/>
        </w:rPr>
      </w:pPr>
      <w:r w:rsidRPr="00490B3C">
        <w:rPr>
          <w:rFonts w:ascii="Segoe UI" w:hAnsi="Segoe UI" w:cs="Segoe UI"/>
          <w:noProof/>
          <w:color w:val="000091" w:themeColor="text1"/>
        </w:rPr>
        <w:drawing>
          <wp:anchor distT="0" distB="0" distL="114300" distR="114300" simplePos="0" relativeHeight="251658240" behindDoc="1" locked="0" layoutInCell="1" allowOverlap="1" wp14:anchorId="56177B8F" wp14:editId="34FB05B7">
            <wp:simplePos x="0" y="0"/>
            <wp:positionH relativeFrom="column">
              <wp:posOffset>-506095</wp:posOffset>
            </wp:positionH>
            <wp:positionV relativeFrom="page">
              <wp:posOffset>312420</wp:posOffset>
            </wp:positionV>
            <wp:extent cx="2638425" cy="936625"/>
            <wp:effectExtent l="0" t="0" r="9525" b="0"/>
            <wp:wrapTopAndBottom/>
            <wp:docPr id="1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qu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936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7798">
        <w:rPr>
          <w:rFonts w:ascii="Segoe UI" w:hAnsi="Segoe UI" w:cs="Segoe UI"/>
          <w:noProof/>
          <w:color w:val="000091" w:themeColor="text1"/>
        </w:rPr>
        <mc:AlternateContent>
          <mc:Choice Requires="wps">
            <w:drawing>
              <wp:anchor distT="0" distB="0" distL="114300" distR="114300" simplePos="0" relativeHeight="251656190" behindDoc="0" locked="0" layoutInCell="1" allowOverlap="1" wp14:anchorId="16D250F6" wp14:editId="7176FFA3">
                <wp:simplePos x="0" y="0"/>
                <wp:positionH relativeFrom="column">
                  <wp:posOffset>-528320</wp:posOffset>
                </wp:positionH>
                <wp:positionV relativeFrom="paragraph">
                  <wp:posOffset>1405255</wp:posOffset>
                </wp:positionV>
                <wp:extent cx="6800850" cy="36195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0" cy="361950"/>
                        </a:xfrm>
                        <a:prstGeom prst="rect">
                          <a:avLst/>
                        </a:prstGeom>
                        <a:solidFill>
                          <a:srgbClr val="FCC63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D3FE0E" w14:textId="7419FB2D" w:rsidR="00532CE3" w:rsidRDefault="002530FB" w:rsidP="00532CE3">
                            <w:pPr>
                              <w:jc w:val="center"/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0091" w:themeColor="text1"/>
                                <w:sz w:val="32"/>
                                <w:szCs w:val="20"/>
                              </w:rPr>
                              <w:t>Lettonie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D250F6" id="Rectangle 4" o:spid="_x0000_s1026" style="position:absolute;left:0;text-align:left;margin-left:-41.6pt;margin-top:110.65pt;width:535.5pt;height:28.5pt;z-index:2516561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" fillcolor="#fcc63a" stroked="f" strokeweight="1pt">
                <v:textbox>
                  <w:txbxContent>
                    <w:p w14:paraId="2ED3FE0E" w14:textId="7419FB2D" w:rsidR="00532CE3" w:rsidRDefault="002530FB" w:rsidP="00532CE3">
                      <w:pPr>
                        <w:jc w:val="center"/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0091" w:themeColor="text1"/>
                          <w:sz w:val="32"/>
                          <w:szCs w:val="20"/>
                        </w:rPr>
                        <w:t>Lettonie</w:t>
                      </w:r>
                    </w:p>
                  </w:txbxContent>
                </v:textbox>
              </v:rect>
            </w:pict>
          </mc:Fallback>
        </mc:AlternateContent>
      </w:r>
      <w:r w:rsidR="00FD7798" w:rsidRPr="00490B3C">
        <w:rPr>
          <w:rFonts w:ascii="Segoe UI" w:hAnsi="Segoe UI" w:cs="Segoe UI"/>
          <w:noProof/>
          <w:color w:val="000091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5DE714" wp14:editId="4BE5B3E9">
                <wp:simplePos x="0" y="0"/>
                <wp:positionH relativeFrom="margin">
                  <wp:posOffset>3691255</wp:posOffset>
                </wp:positionH>
                <wp:positionV relativeFrom="paragraph">
                  <wp:posOffset>986774</wp:posOffset>
                </wp:positionV>
                <wp:extent cx="2508250" cy="400050"/>
                <wp:effectExtent l="0" t="0" r="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82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31003E" w14:textId="53593022" w:rsidR="00490B3C" w:rsidRPr="00A7004D" w:rsidRDefault="00490B3C" w:rsidP="00490B3C">
                            <w:pPr>
                              <w:tabs>
                                <w:tab w:val="left" w:pos="3969"/>
                              </w:tabs>
                              <w:spacing w:after="0"/>
                              <w:jc w:val="right"/>
                              <w:rPr>
                                <w:rFonts w:ascii="Segoe UI" w:hAnsi="Segoe UI" w:cs="Segoe UI"/>
                                <w:color w:val="000091" w:themeColor="text1"/>
                                <w:sz w:val="17"/>
                                <w:szCs w:val="17"/>
                                <w:lang w:eastAsia="ja-JP"/>
                              </w:rPr>
                            </w:pPr>
                            <w:r w:rsidRPr="00A7004D">
                              <w:rPr>
                                <w:rFonts w:ascii="Segoe UI" w:hAnsi="Segoe UI" w:cs="Segoe UI"/>
                                <w:color w:val="000091" w:themeColor="text1"/>
                                <w:sz w:val="17"/>
                                <w:szCs w:val="17"/>
                                <w:lang w:eastAsia="ja-JP"/>
                              </w:rPr>
                              <w:t>Affaire suivie par </w:t>
                            </w:r>
                            <w:r w:rsidR="009A5357">
                              <w:rPr>
                                <w:rFonts w:ascii="Segoe UI" w:hAnsi="Segoe UI" w:cs="Segoe UI"/>
                                <w:color w:val="000091" w:themeColor="text1"/>
                                <w:sz w:val="17"/>
                                <w:szCs w:val="17"/>
                                <w:lang w:eastAsia="ja-JP"/>
                              </w:rPr>
                              <w:t>J</w:t>
                            </w:r>
                            <w:r w:rsidR="00E7688D">
                              <w:rPr>
                                <w:rFonts w:ascii="Segoe UI" w:hAnsi="Segoe UI" w:cs="Segoe UI"/>
                                <w:color w:val="000091" w:themeColor="text1"/>
                                <w:sz w:val="17"/>
                                <w:szCs w:val="17"/>
                                <w:lang w:eastAsia="ja-JP"/>
                              </w:rPr>
                              <w:t>.</w:t>
                            </w:r>
                            <w:r w:rsidR="009A5357">
                              <w:rPr>
                                <w:rFonts w:ascii="Segoe UI" w:hAnsi="Segoe UI" w:cs="Segoe UI"/>
                                <w:color w:val="000091" w:themeColor="text1"/>
                                <w:sz w:val="17"/>
                                <w:szCs w:val="17"/>
                                <w:lang w:eastAsia="ja-JP"/>
                              </w:rPr>
                              <w:t xml:space="preserve"> SOUTHGATE</w:t>
                            </w:r>
                          </w:p>
                          <w:p w14:paraId="07E31681" w14:textId="1085B40B" w:rsidR="00490B3C" w:rsidRPr="00A7004D" w:rsidRDefault="00490B3C" w:rsidP="00490B3C">
                            <w:pPr>
                              <w:tabs>
                                <w:tab w:val="left" w:pos="3969"/>
                              </w:tabs>
                              <w:spacing w:after="0"/>
                              <w:jc w:val="right"/>
                              <w:rPr>
                                <w:rFonts w:ascii="Segoe UI" w:hAnsi="Segoe UI" w:cs="Segoe UI"/>
                                <w:color w:val="000091" w:themeColor="text1"/>
                                <w:sz w:val="17"/>
                                <w:szCs w:val="17"/>
                                <w:lang w:eastAsia="ja-JP"/>
                              </w:rPr>
                            </w:pPr>
                            <w:r w:rsidRPr="00A7004D">
                              <w:rPr>
                                <w:rFonts w:ascii="Segoe UI" w:hAnsi="Segoe UI" w:cs="Segoe UI"/>
                                <w:color w:val="000091" w:themeColor="text1"/>
                                <w:sz w:val="17"/>
                                <w:szCs w:val="17"/>
                                <w:lang w:eastAsia="ja-JP"/>
                              </w:rPr>
                              <w:t xml:space="preserve">Visa : </w:t>
                            </w:r>
                            <w:r w:rsidR="002530FB">
                              <w:rPr>
                                <w:rFonts w:ascii="Segoe UI" w:hAnsi="Segoe UI" w:cs="Segoe UI"/>
                                <w:color w:val="000091" w:themeColor="text1"/>
                                <w:sz w:val="17"/>
                                <w:szCs w:val="17"/>
                                <w:lang w:eastAsia="ja-JP"/>
                              </w:rPr>
                              <w:t>J. Caro</w:t>
                            </w:r>
                          </w:p>
                          <w:p w14:paraId="067872AE" w14:textId="7EEE9B92" w:rsidR="008A3AD5" w:rsidRPr="00A0743B" w:rsidRDefault="008A3AD5" w:rsidP="00490B3C">
                            <w:pPr>
                              <w:spacing w:after="0"/>
                              <w:ind w:left="142" w:right="-88"/>
                              <w:jc w:val="right"/>
                              <w:rPr>
                                <w:rFonts w:ascii="Arial" w:hAnsi="Arial" w:cs="Arial"/>
                                <w:color w:val="000091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5DE714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7" type="#_x0000_t202" style="position:absolute;left:0;text-align:left;margin-left:290.65pt;margin-top:77.7pt;width:197.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" filled="f" stroked="f" strokeweight=".5pt">
                <v:textbox>
                  <w:txbxContent>
                    <w:p w14:paraId="1931003E" w14:textId="53593022" w:rsidR="00490B3C" w:rsidRPr="00A7004D" w:rsidRDefault="00490B3C" w:rsidP="00490B3C">
                      <w:pPr>
                        <w:tabs>
                          <w:tab w:val="left" w:pos="3969"/>
                        </w:tabs>
                        <w:spacing w:after="0"/>
                        <w:jc w:val="right"/>
                        <w:rPr>
                          <w:rFonts w:ascii="Segoe UI" w:hAnsi="Segoe UI" w:cs="Segoe UI"/>
                          <w:color w:val="000091" w:themeColor="text1"/>
                          <w:sz w:val="17"/>
                          <w:szCs w:val="17"/>
                          <w:lang w:eastAsia="ja-JP"/>
                        </w:rPr>
                      </w:pPr>
                      <w:r w:rsidRPr="00A7004D">
                        <w:rPr>
                          <w:rFonts w:ascii="Segoe UI" w:hAnsi="Segoe UI" w:cs="Segoe UI"/>
                          <w:color w:val="000091" w:themeColor="text1"/>
                          <w:sz w:val="17"/>
                          <w:szCs w:val="17"/>
                          <w:lang w:eastAsia="ja-JP"/>
                        </w:rPr>
                        <w:t>Affaire suivie par </w:t>
                      </w:r>
                      <w:r w:rsidR="009A5357">
                        <w:rPr>
                          <w:rFonts w:ascii="Segoe UI" w:hAnsi="Segoe UI" w:cs="Segoe UI"/>
                          <w:color w:val="000091" w:themeColor="text1"/>
                          <w:sz w:val="17"/>
                          <w:szCs w:val="17"/>
                          <w:lang w:eastAsia="ja-JP"/>
                        </w:rPr>
                        <w:t>J</w:t>
                      </w:r>
                      <w:r w:rsidR="00E7688D">
                        <w:rPr>
                          <w:rFonts w:ascii="Segoe UI" w:hAnsi="Segoe UI" w:cs="Segoe UI"/>
                          <w:color w:val="000091" w:themeColor="text1"/>
                          <w:sz w:val="17"/>
                          <w:szCs w:val="17"/>
                          <w:lang w:eastAsia="ja-JP"/>
                        </w:rPr>
                        <w:t>.</w:t>
                      </w:r>
                      <w:r w:rsidR="009A5357">
                        <w:rPr>
                          <w:rFonts w:ascii="Segoe UI" w:hAnsi="Segoe UI" w:cs="Segoe UI"/>
                          <w:color w:val="000091" w:themeColor="text1"/>
                          <w:sz w:val="17"/>
                          <w:szCs w:val="17"/>
                          <w:lang w:eastAsia="ja-JP"/>
                        </w:rPr>
                        <w:t xml:space="preserve"> SOUTHGATE</w:t>
                      </w:r>
                    </w:p>
                    <w:p w14:paraId="07E31681" w14:textId="1085B40B" w:rsidR="00490B3C" w:rsidRPr="00A7004D" w:rsidRDefault="00490B3C" w:rsidP="00490B3C">
                      <w:pPr>
                        <w:tabs>
                          <w:tab w:val="left" w:pos="3969"/>
                        </w:tabs>
                        <w:spacing w:after="0"/>
                        <w:jc w:val="right"/>
                        <w:rPr>
                          <w:rFonts w:ascii="Segoe UI" w:hAnsi="Segoe UI" w:cs="Segoe UI"/>
                          <w:color w:val="000091" w:themeColor="text1"/>
                          <w:sz w:val="17"/>
                          <w:szCs w:val="17"/>
                          <w:lang w:eastAsia="ja-JP"/>
                        </w:rPr>
                      </w:pPr>
                      <w:r w:rsidRPr="00A7004D">
                        <w:rPr>
                          <w:rFonts w:ascii="Segoe UI" w:hAnsi="Segoe UI" w:cs="Segoe UI"/>
                          <w:color w:val="000091" w:themeColor="text1"/>
                          <w:sz w:val="17"/>
                          <w:szCs w:val="17"/>
                          <w:lang w:eastAsia="ja-JP"/>
                        </w:rPr>
                        <w:t xml:space="preserve">Visa : </w:t>
                      </w:r>
                      <w:r w:rsidR="002530FB">
                        <w:rPr>
                          <w:rFonts w:ascii="Segoe UI" w:hAnsi="Segoe UI" w:cs="Segoe UI"/>
                          <w:color w:val="000091" w:themeColor="text1"/>
                          <w:sz w:val="17"/>
                          <w:szCs w:val="17"/>
                          <w:lang w:eastAsia="ja-JP"/>
                        </w:rPr>
                        <w:t>J. Caro</w:t>
                      </w:r>
                    </w:p>
                    <w:p w14:paraId="067872AE" w14:textId="7EEE9B92" w:rsidR="008A3AD5" w:rsidRPr="00A0743B" w:rsidRDefault="008A3AD5" w:rsidP="00490B3C">
                      <w:pPr>
                        <w:spacing w:after="0"/>
                        <w:ind w:left="142" w:right="-88"/>
                        <w:jc w:val="right"/>
                        <w:rPr>
                          <w:rFonts w:ascii="Arial" w:hAnsi="Arial" w:cs="Arial"/>
                          <w:color w:val="000091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D7798" w:rsidRPr="00490B3C">
        <w:rPr>
          <w:rFonts w:ascii="Segoe UI" w:hAnsi="Segoe UI" w:cs="Segoe UI"/>
          <w:noProof/>
          <w:color w:val="000091" w:themeColor="text1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87A5E4" wp14:editId="7E3795FC">
                <wp:simplePos x="0" y="0"/>
                <wp:positionH relativeFrom="margin">
                  <wp:posOffset>3844290</wp:posOffset>
                </wp:positionH>
                <wp:positionV relativeFrom="paragraph">
                  <wp:posOffset>605155</wp:posOffset>
                </wp:positionV>
                <wp:extent cx="2524125" cy="352425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111769" w14:textId="71440E83" w:rsidR="00490B3C" w:rsidRPr="00532CE3" w:rsidRDefault="002530FB" w:rsidP="00490B3C">
                            <w:pPr>
                              <w:spacing w:before="120" w:after="120"/>
                              <w:ind w:right="284"/>
                              <w:jc w:val="right"/>
                              <w:rPr>
                                <w:color w:val="986E02" w:themeColor="accent2" w:themeShade="8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986E02" w:themeColor="accent2" w:themeShade="80"/>
                                <w:sz w:val="17"/>
                                <w:szCs w:val="17"/>
                                <w:lang w:eastAsia="ja-JP"/>
                              </w:rPr>
                              <w:t>Riga</w:t>
                            </w:r>
                            <w:r w:rsidR="00490B3C" w:rsidRPr="00532CE3">
                              <w:rPr>
                                <w:rFonts w:ascii="Segoe UI" w:hAnsi="Segoe UI" w:cs="Segoe UI"/>
                                <w:color w:val="986E02" w:themeColor="accent2" w:themeShade="80"/>
                                <w:sz w:val="17"/>
                                <w:szCs w:val="17"/>
                                <w:lang w:eastAsia="ja-JP"/>
                              </w:rPr>
                              <w:t xml:space="preserve">, </w:t>
                            </w:r>
                            <w:r w:rsidR="00CB7842">
                              <w:rPr>
                                <w:rFonts w:ascii="Segoe UI" w:hAnsi="Segoe UI" w:cs="Segoe UI"/>
                                <w:color w:val="986E02" w:themeColor="accent2" w:themeShade="80"/>
                                <w:sz w:val="17"/>
                                <w:szCs w:val="17"/>
                                <w:lang w:eastAsia="ja-JP"/>
                              </w:rPr>
                              <w:t>27 juillet</w:t>
                            </w:r>
                            <w:r w:rsidR="009A5357">
                              <w:rPr>
                                <w:rFonts w:ascii="Segoe UI" w:hAnsi="Segoe UI" w:cs="Segoe UI"/>
                                <w:color w:val="986E02" w:themeColor="accent2" w:themeShade="80"/>
                                <w:sz w:val="17"/>
                                <w:szCs w:val="17"/>
                                <w:lang w:eastAsia="ja-JP"/>
                              </w:rPr>
                              <w:t xml:space="preserve"> 2026</w:t>
                            </w:r>
                          </w:p>
                          <w:p w14:paraId="36A3B918" w14:textId="266F4991" w:rsidR="00490B3C" w:rsidRPr="00490B3C" w:rsidRDefault="00490B3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87A5E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8" type="#_x0000_t202" style="position:absolute;left:0;text-align:left;margin-left:302.7pt;margin-top:47.65pt;width:198.75pt;height:27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" filled="f" stroked="f">
                <v:textbox>
                  <w:txbxContent>
                    <w:p w14:paraId="44111769" w14:textId="71440E83" w:rsidR="00490B3C" w:rsidRPr="00532CE3" w:rsidRDefault="002530FB" w:rsidP="00490B3C">
                      <w:pPr>
                        <w:spacing w:before="120" w:after="120"/>
                        <w:ind w:right="284"/>
                        <w:jc w:val="right"/>
                        <w:rPr>
                          <w:color w:val="986E02" w:themeColor="accent2" w:themeShade="80"/>
                          <w:sz w:val="17"/>
                          <w:szCs w:val="17"/>
                        </w:rPr>
                      </w:pPr>
                      <w:r>
                        <w:rPr>
                          <w:rFonts w:ascii="Segoe UI" w:hAnsi="Segoe UI" w:cs="Segoe UI"/>
                          <w:color w:val="986E02" w:themeColor="accent2" w:themeShade="80"/>
                          <w:sz w:val="17"/>
                          <w:szCs w:val="17"/>
                          <w:lang w:eastAsia="ja-JP"/>
                        </w:rPr>
                        <w:t>Riga</w:t>
                      </w:r>
                      <w:r w:rsidR="00490B3C" w:rsidRPr="00532CE3">
                        <w:rPr>
                          <w:rFonts w:ascii="Segoe UI" w:hAnsi="Segoe UI" w:cs="Segoe UI"/>
                          <w:color w:val="986E02" w:themeColor="accent2" w:themeShade="80"/>
                          <w:sz w:val="17"/>
                          <w:szCs w:val="17"/>
                          <w:lang w:eastAsia="ja-JP"/>
                        </w:rPr>
                        <w:t xml:space="preserve">, </w:t>
                      </w:r>
                      <w:r w:rsidR="00CB7842">
                        <w:rPr>
                          <w:rFonts w:ascii="Segoe UI" w:hAnsi="Segoe UI" w:cs="Segoe UI"/>
                          <w:color w:val="986E02" w:themeColor="accent2" w:themeShade="80"/>
                          <w:sz w:val="17"/>
                          <w:szCs w:val="17"/>
                          <w:lang w:eastAsia="ja-JP"/>
                        </w:rPr>
                        <w:t>27 juillet</w:t>
                      </w:r>
                      <w:r w:rsidR="009A5357">
                        <w:rPr>
                          <w:rFonts w:ascii="Segoe UI" w:hAnsi="Segoe UI" w:cs="Segoe UI"/>
                          <w:color w:val="986E02" w:themeColor="accent2" w:themeShade="80"/>
                          <w:sz w:val="17"/>
                          <w:szCs w:val="17"/>
                          <w:lang w:eastAsia="ja-JP"/>
                        </w:rPr>
                        <w:t xml:space="preserve"> 2026</w:t>
                      </w:r>
                    </w:p>
                    <w:p w14:paraId="36A3B918" w14:textId="266F4991" w:rsidR="00490B3C" w:rsidRPr="00490B3C" w:rsidRDefault="00490B3C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D7798" w:rsidRPr="00490B3C">
        <w:rPr>
          <w:rFonts w:ascii="Segoe UI" w:hAnsi="Segoe UI" w:cs="Segoe UI"/>
          <w:noProof/>
          <w:color w:val="000091" w:themeColor="text1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71112931" wp14:editId="169F4823">
                <wp:simplePos x="0" y="0"/>
                <wp:positionH relativeFrom="column">
                  <wp:posOffset>-528320</wp:posOffset>
                </wp:positionH>
                <wp:positionV relativeFrom="paragraph">
                  <wp:posOffset>935355</wp:posOffset>
                </wp:positionV>
                <wp:extent cx="6800850" cy="476250"/>
                <wp:effectExtent l="0" t="0" r="0" b="0"/>
                <wp:wrapTopAndBottom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0" cy="4762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65B737" w14:textId="7FC7B4C7" w:rsidR="00490B3C" w:rsidRPr="00532CE3" w:rsidRDefault="00490B3C" w:rsidP="00490B3C">
                            <w:pPr>
                              <w:tabs>
                                <w:tab w:val="left" w:pos="3969"/>
                              </w:tabs>
                              <w:spacing w:after="0"/>
                              <w:ind w:left="57"/>
                              <w:rPr>
                                <w:rFonts w:ascii="Segoe UI" w:hAnsi="Segoe UI" w:cs="Segoe UI"/>
                                <w:bCs/>
                                <w:color w:val="000091" w:themeColor="text1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532CE3">
                              <w:rPr>
                                <w:rFonts w:ascii="Segoe UI" w:hAnsi="Segoe UI" w:cs="Segoe UI"/>
                                <w:bCs/>
                                <w:color w:val="000091" w:themeColor="text1"/>
                                <w:sz w:val="18"/>
                                <w:szCs w:val="18"/>
                                <w:lang w:eastAsia="ja-JP"/>
                              </w:rPr>
                              <w:t xml:space="preserve">Ambassade de France </w:t>
                            </w:r>
                            <w:r w:rsidR="002530FB">
                              <w:rPr>
                                <w:rFonts w:ascii="Segoe UI" w:hAnsi="Segoe UI" w:cs="Segoe UI"/>
                                <w:bCs/>
                                <w:color w:val="000091" w:themeColor="text1"/>
                                <w:sz w:val="18"/>
                                <w:szCs w:val="18"/>
                                <w:lang w:eastAsia="ja-JP"/>
                              </w:rPr>
                              <w:t>en Lettonie</w:t>
                            </w:r>
                          </w:p>
                          <w:p w14:paraId="3D62CBBB" w14:textId="2201371B" w:rsidR="008A3AD5" w:rsidRPr="00A0743B" w:rsidRDefault="00490B3C" w:rsidP="00490B3C">
                            <w:pPr>
                              <w:spacing w:after="0"/>
                              <w:ind w:left="57" w:right="614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32CE3">
                              <w:rPr>
                                <w:rFonts w:ascii="Segoe UI" w:hAnsi="Segoe UI" w:cs="Segoe UI"/>
                                <w:bCs/>
                                <w:color w:val="000091" w:themeColor="text1"/>
                                <w:sz w:val="18"/>
                                <w:szCs w:val="18"/>
                                <w:lang w:eastAsia="ja-JP"/>
                              </w:rPr>
                              <w:t>Service économique</w:t>
                            </w:r>
                            <w:r w:rsidR="002530FB">
                              <w:rPr>
                                <w:rFonts w:ascii="Segoe UI" w:hAnsi="Segoe UI" w:cs="Segoe UI"/>
                                <w:bCs/>
                                <w:color w:val="000091" w:themeColor="text1"/>
                                <w:sz w:val="18"/>
                                <w:szCs w:val="18"/>
                                <w:lang w:eastAsia="ja-JP"/>
                              </w:rPr>
                              <w:t xml:space="preserve"> de Riga pour les Etats baltes</w:t>
                            </w:r>
                            <w:r w:rsidR="008A3AD5" w:rsidRPr="00A0743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112931" id="Rectangle 2" o:spid="_x0000_s1029" style="position:absolute;left:0;text-align:left;margin-left:-41.6pt;margin-top:73.65pt;width:535.5pt;height:37.5pt;z-index:25165721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" fillcolor="#fde8b0 [1301]" stroked="f" strokeweight="1pt">
                <v:textbox>
                  <w:txbxContent>
                    <w:p w14:paraId="7465B737" w14:textId="7FC7B4C7" w:rsidR="00490B3C" w:rsidRPr="00532CE3" w:rsidRDefault="00490B3C" w:rsidP="00490B3C">
                      <w:pPr>
                        <w:tabs>
                          <w:tab w:val="left" w:pos="3969"/>
                        </w:tabs>
                        <w:spacing w:after="0"/>
                        <w:ind w:left="57"/>
                        <w:rPr>
                          <w:rFonts w:ascii="Segoe UI" w:hAnsi="Segoe UI" w:cs="Segoe UI"/>
                          <w:bCs/>
                          <w:color w:val="000091" w:themeColor="text1"/>
                          <w:sz w:val="18"/>
                          <w:szCs w:val="18"/>
                          <w:lang w:eastAsia="ja-JP"/>
                        </w:rPr>
                      </w:pPr>
                      <w:r w:rsidRPr="00532CE3">
                        <w:rPr>
                          <w:rFonts w:ascii="Segoe UI" w:hAnsi="Segoe UI" w:cs="Segoe UI"/>
                          <w:bCs/>
                          <w:color w:val="000091" w:themeColor="text1"/>
                          <w:sz w:val="18"/>
                          <w:szCs w:val="18"/>
                          <w:lang w:eastAsia="ja-JP"/>
                        </w:rPr>
                        <w:t xml:space="preserve">Ambassade de France </w:t>
                      </w:r>
                      <w:r w:rsidR="002530FB">
                        <w:rPr>
                          <w:rFonts w:ascii="Segoe UI" w:hAnsi="Segoe UI" w:cs="Segoe UI"/>
                          <w:bCs/>
                          <w:color w:val="000091" w:themeColor="text1"/>
                          <w:sz w:val="18"/>
                          <w:szCs w:val="18"/>
                          <w:lang w:eastAsia="ja-JP"/>
                        </w:rPr>
                        <w:t>en Lettonie</w:t>
                      </w:r>
                    </w:p>
                    <w:p w14:paraId="3D62CBBB" w14:textId="2201371B" w:rsidR="008A3AD5" w:rsidRPr="00A0743B" w:rsidRDefault="00490B3C" w:rsidP="00490B3C">
                      <w:pPr>
                        <w:spacing w:after="0"/>
                        <w:ind w:left="57" w:right="614"/>
                        <w:jc w:val="both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532CE3">
                        <w:rPr>
                          <w:rFonts w:ascii="Segoe UI" w:hAnsi="Segoe UI" w:cs="Segoe UI"/>
                          <w:bCs/>
                          <w:color w:val="000091" w:themeColor="text1"/>
                          <w:sz w:val="18"/>
                          <w:szCs w:val="18"/>
                          <w:lang w:eastAsia="ja-JP"/>
                        </w:rPr>
                        <w:t>Service économique</w:t>
                      </w:r>
                      <w:r w:rsidR="002530FB">
                        <w:rPr>
                          <w:rFonts w:ascii="Segoe UI" w:hAnsi="Segoe UI" w:cs="Segoe UI"/>
                          <w:bCs/>
                          <w:color w:val="000091" w:themeColor="text1"/>
                          <w:sz w:val="18"/>
                          <w:szCs w:val="18"/>
                          <w:lang w:eastAsia="ja-JP"/>
                        </w:rPr>
                        <w:t xml:space="preserve"> de Riga pour les Etats baltes</w:t>
                      </w:r>
                      <w:r w:rsidR="008A3AD5" w:rsidRPr="00A0743B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532CE3" w:rsidRPr="00490B3C">
        <w:rPr>
          <w:rFonts w:ascii="Segoe UI" w:hAnsi="Segoe UI" w:cs="Segoe UI"/>
          <w:color w:val="000091" w:themeColor="text1"/>
          <w:sz w:val="44"/>
          <w:szCs w:val="28"/>
        </w:rPr>
        <w:t xml:space="preserve"> </w:t>
      </w:r>
      <w:r w:rsidR="00490B3C" w:rsidRPr="00490B3C">
        <w:rPr>
          <w:rFonts w:ascii="Segoe UI" w:hAnsi="Segoe UI" w:cs="Segoe UI"/>
          <w:color w:val="000091" w:themeColor="text1"/>
          <w:sz w:val="44"/>
          <w:szCs w:val="28"/>
        </w:rPr>
        <w:br/>
      </w:r>
      <w:r w:rsidR="00F85775" w:rsidRPr="00F85775">
        <w:rPr>
          <w:rFonts w:ascii="Segoe UI" w:hAnsi="Segoe UI" w:cs="Segoe UI"/>
          <w:color w:val="000091" w:themeColor="text1"/>
          <w:sz w:val="32"/>
          <w:szCs w:val="20"/>
          <w:lang w:eastAsia="fr-FR"/>
        </w:rPr>
        <w:t>Lettonie – une reprise économique plus forte que prévu</w:t>
      </w:r>
      <w:r w:rsidR="000F61C9">
        <w:rPr>
          <w:rFonts w:ascii="Segoe UI" w:hAnsi="Segoe UI" w:cs="Segoe UI"/>
          <w:color w:val="000091" w:themeColor="text1"/>
          <w:sz w:val="32"/>
          <w:szCs w:val="20"/>
          <w:lang w:eastAsia="fr-FR"/>
        </w:rPr>
        <w:t>,</w:t>
      </w:r>
      <w:r w:rsidR="00F85775" w:rsidRPr="00F85775">
        <w:rPr>
          <w:rFonts w:ascii="Segoe UI" w:hAnsi="Segoe UI" w:cs="Segoe UI"/>
          <w:color w:val="000091" w:themeColor="text1"/>
          <w:sz w:val="32"/>
          <w:szCs w:val="20"/>
          <w:lang w:eastAsia="fr-FR"/>
        </w:rPr>
        <w:t xml:space="preserve"> </w:t>
      </w:r>
      <w:r w:rsidR="000F61C9">
        <w:rPr>
          <w:rFonts w:ascii="Segoe UI" w:hAnsi="Segoe UI" w:cs="Segoe UI"/>
          <w:color w:val="000091" w:themeColor="text1"/>
          <w:sz w:val="32"/>
          <w:szCs w:val="20"/>
          <w:lang w:eastAsia="fr-FR"/>
        </w:rPr>
        <w:br/>
      </w:r>
      <w:r w:rsidR="00F85775" w:rsidRPr="00F85775">
        <w:rPr>
          <w:rFonts w:ascii="Segoe UI" w:hAnsi="Segoe UI" w:cs="Segoe UI"/>
          <w:color w:val="000091" w:themeColor="text1"/>
          <w:sz w:val="32"/>
          <w:szCs w:val="20"/>
          <w:lang w:eastAsia="fr-FR"/>
        </w:rPr>
        <w:t>dans un contexte géopolitique tendu</w:t>
      </w:r>
      <w:r w:rsidR="00AE6E6A">
        <w:rPr>
          <w:rFonts w:ascii="Segoe UI" w:hAnsi="Segoe UI" w:cs="Segoe UI"/>
          <w:color w:val="000091" w:themeColor="text1"/>
          <w:sz w:val="32"/>
          <w:szCs w:val="20"/>
          <w:lang w:eastAsia="fr-FR"/>
        </w:rPr>
        <w:t xml:space="preserve"> </w:t>
      </w:r>
    </w:p>
    <w:p w14:paraId="33EC94B8" w14:textId="76A09D07" w:rsidR="009E36F7" w:rsidRPr="00EE2BEF" w:rsidRDefault="009E36F7" w:rsidP="00EE2BEF">
      <w:pPr>
        <w:pStyle w:val="Titre02"/>
      </w:pPr>
      <w:r w:rsidRPr="009E36F7">
        <w:t>Après avoir enregistré une contraction de son activité économique de -0,9% en 2023, puis une stagnation à 0% en 2024, l’économie lettone a enregistré une reprise plus nette qu’anticipé, avec une progression de 2% du PIB en 2025, pour atteindre 43 Md</w:t>
      </w:r>
      <w:r w:rsidR="00F85775">
        <w:t>s EUR</w:t>
      </w:r>
      <w:r w:rsidRPr="009E36F7">
        <w:t xml:space="preserve">, selon les résultats communiqués par la Banque de Lettonie en juin 2026. Cette dynamique devrait se poursuivre en 2026, malgré une révision à la baisse des prévisions de croissance de la Banque de Lettonie, de 2,8% à 2%, en raison des conséquences du conflit au Moyen-Orient. </w:t>
      </w:r>
    </w:p>
    <w:p w14:paraId="13C7F3FC" w14:textId="77777777" w:rsidR="00EE2BEF" w:rsidRDefault="00EE2BEF" w:rsidP="00D34A01">
      <w:pPr>
        <w:pStyle w:val="Titre02"/>
        <w:spacing w:before="0" w:after="0"/>
        <w:ind w:left="0"/>
      </w:pPr>
    </w:p>
    <w:p w14:paraId="3AE06A80" w14:textId="4E62889D" w:rsidR="00D46625" w:rsidRDefault="00D46625" w:rsidP="00EE2BEF">
      <w:pPr>
        <w:spacing w:line="240" w:lineRule="auto"/>
        <w:ind w:left="-284"/>
        <w:jc w:val="both"/>
        <w:rPr>
          <w:rFonts w:ascii="Segoe UI" w:hAnsi="Segoe UI" w:cs="Segoe UI"/>
          <w:b/>
          <w:color w:val="000091" w:themeColor="text1"/>
          <w:szCs w:val="20"/>
        </w:rPr>
      </w:pPr>
      <w:r w:rsidRPr="00D46625">
        <w:rPr>
          <w:rFonts w:ascii="Segoe UI" w:hAnsi="Segoe UI" w:cs="Segoe UI"/>
          <w:b/>
          <w:color w:val="000091" w:themeColor="text1"/>
          <w:szCs w:val="20"/>
        </w:rPr>
        <w:t>Une croissance soutenue en 2025 par le rebond de la consommation et de l’investissement</w:t>
      </w:r>
    </w:p>
    <w:p w14:paraId="165029BF" w14:textId="1A3113F6" w:rsidR="00EE2BEF" w:rsidRDefault="00EE2BEF" w:rsidP="00EE2BEF">
      <w:pPr>
        <w:spacing w:line="240" w:lineRule="auto"/>
        <w:ind w:left="-284"/>
        <w:jc w:val="both"/>
        <w:rPr>
          <w:rFonts w:ascii="Segoe UI" w:hAnsi="Segoe UI" w:cs="Segoe UI"/>
          <w:bCs/>
          <w:sz w:val="20"/>
          <w:szCs w:val="20"/>
        </w:rPr>
      </w:pPr>
      <w:r w:rsidRPr="00EE2BEF">
        <w:rPr>
          <w:rFonts w:ascii="Segoe UI" w:hAnsi="Segoe UI" w:cs="Segoe UI"/>
          <w:bCs/>
          <w:sz w:val="20"/>
          <w:szCs w:val="20"/>
        </w:rPr>
        <w:t>Cette performance</w:t>
      </w:r>
      <w:r w:rsidR="005F14B0">
        <w:rPr>
          <w:rFonts w:ascii="Segoe UI" w:hAnsi="Segoe UI" w:cs="Segoe UI"/>
          <w:bCs/>
          <w:sz w:val="20"/>
          <w:szCs w:val="20"/>
        </w:rPr>
        <w:t xml:space="preserve"> de+2%</w:t>
      </w:r>
      <w:r w:rsidRPr="00EE2BEF">
        <w:rPr>
          <w:rFonts w:ascii="Segoe UI" w:hAnsi="Segoe UI" w:cs="Segoe UI"/>
          <w:bCs/>
          <w:sz w:val="20"/>
          <w:szCs w:val="20"/>
        </w:rPr>
        <w:t xml:space="preserve">, supérieure aux prévisions initiales de la Banque de Lettonie, qui anticipait une croissance de 1,2% dans un contexte géopolitique incertain, s’explique par la reprise de la consommation publique </w:t>
      </w:r>
      <w:r w:rsidR="00C00008">
        <w:rPr>
          <w:rFonts w:ascii="Segoe UI" w:hAnsi="Segoe UI" w:cs="Segoe UI"/>
          <w:bCs/>
          <w:sz w:val="20"/>
          <w:szCs w:val="20"/>
        </w:rPr>
        <w:t xml:space="preserve">à </w:t>
      </w:r>
      <w:r w:rsidRPr="00EE2BEF">
        <w:rPr>
          <w:rFonts w:ascii="Segoe UI" w:hAnsi="Segoe UI" w:cs="Segoe UI"/>
          <w:bCs/>
          <w:sz w:val="20"/>
          <w:szCs w:val="20"/>
        </w:rPr>
        <w:t>+</w:t>
      </w:r>
      <w:r w:rsidR="00C00008">
        <w:rPr>
          <w:rFonts w:ascii="Segoe UI" w:hAnsi="Segoe UI" w:cs="Segoe UI"/>
          <w:bCs/>
          <w:sz w:val="20"/>
          <w:szCs w:val="20"/>
        </w:rPr>
        <w:t>5,7</w:t>
      </w:r>
      <w:r w:rsidRPr="00EE2BEF">
        <w:rPr>
          <w:rFonts w:ascii="Segoe UI" w:hAnsi="Segoe UI" w:cs="Segoe UI"/>
          <w:bCs/>
          <w:sz w:val="20"/>
          <w:szCs w:val="20"/>
        </w:rPr>
        <w:t xml:space="preserve">% en 2025 </w:t>
      </w:r>
      <w:r w:rsidR="00C00008">
        <w:rPr>
          <w:rFonts w:ascii="Segoe UI" w:hAnsi="Segoe UI" w:cs="Segoe UI"/>
          <w:bCs/>
          <w:sz w:val="20"/>
          <w:szCs w:val="20"/>
        </w:rPr>
        <w:t>(</w:t>
      </w:r>
      <w:r w:rsidRPr="00EE2BEF">
        <w:rPr>
          <w:rFonts w:ascii="Segoe UI" w:hAnsi="Segoe UI" w:cs="Segoe UI"/>
          <w:bCs/>
          <w:sz w:val="20"/>
          <w:szCs w:val="20"/>
        </w:rPr>
        <w:t>contre -0,4% en 2024</w:t>
      </w:r>
      <w:r w:rsidR="00C00008">
        <w:rPr>
          <w:rFonts w:ascii="Segoe UI" w:hAnsi="Segoe UI" w:cs="Segoe UI"/>
          <w:bCs/>
          <w:sz w:val="20"/>
          <w:szCs w:val="20"/>
        </w:rPr>
        <w:t xml:space="preserve"> selon le ministère de l’Economie</w:t>
      </w:r>
      <w:r w:rsidRPr="00EE2BEF">
        <w:rPr>
          <w:rFonts w:ascii="Segoe UI" w:hAnsi="Segoe UI" w:cs="Segoe UI"/>
          <w:bCs/>
          <w:sz w:val="20"/>
          <w:szCs w:val="20"/>
        </w:rPr>
        <w:t>) et privée (+0,</w:t>
      </w:r>
      <w:r w:rsidR="00C00008">
        <w:rPr>
          <w:rFonts w:ascii="Segoe UI" w:hAnsi="Segoe UI" w:cs="Segoe UI"/>
          <w:bCs/>
          <w:sz w:val="20"/>
          <w:szCs w:val="20"/>
        </w:rPr>
        <w:t>7</w:t>
      </w:r>
      <w:r w:rsidRPr="00EE2BEF">
        <w:rPr>
          <w:rFonts w:ascii="Segoe UI" w:hAnsi="Segoe UI" w:cs="Segoe UI"/>
          <w:bCs/>
          <w:sz w:val="20"/>
          <w:szCs w:val="20"/>
        </w:rPr>
        <w:t>%), soutenue par une hausse des salaires de 7,</w:t>
      </w:r>
      <w:r w:rsidR="00C00008">
        <w:rPr>
          <w:rFonts w:ascii="Segoe UI" w:hAnsi="Segoe UI" w:cs="Segoe UI"/>
          <w:bCs/>
          <w:sz w:val="20"/>
          <w:szCs w:val="20"/>
        </w:rPr>
        <w:t>7</w:t>
      </w:r>
      <w:r w:rsidR="00B13A6B">
        <w:rPr>
          <w:rFonts w:ascii="Segoe UI" w:hAnsi="Segoe UI" w:cs="Segoe UI"/>
          <w:bCs/>
          <w:sz w:val="20"/>
          <w:szCs w:val="20"/>
        </w:rPr>
        <w:t>%</w:t>
      </w:r>
      <w:r w:rsidRPr="00EE2BEF">
        <w:rPr>
          <w:rFonts w:ascii="Segoe UI" w:hAnsi="Segoe UI" w:cs="Segoe UI"/>
          <w:bCs/>
          <w:sz w:val="20"/>
          <w:szCs w:val="20"/>
        </w:rPr>
        <w:t>, atteignant</w:t>
      </w:r>
      <w:r w:rsidR="00C00008">
        <w:rPr>
          <w:rFonts w:ascii="Segoe UI" w:hAnsi="Segoe UI" w:cs="Segoe UI"/>
          <w:bCs/>
          <w:sz w:val="20"/>
          <w:szCs w:val="20"/>
        </w:rPr>
        <w:t xml:space="preserve"> </w:t>
      </w:r>
      <w:r w:rsidRPr="00EE2BEF">
        <w:rPr>
          <w:rFonts w:ascii="Segoe UI" w:hAnsi="Segoe UI" w:cs="Segoe UI"/>
          <w:bCs/>
          <w:sz w:val="20"/>
          <w:szCs w:val="20"/>
        </w:rPr>
        <w:t>1 835 EUR par mois</w:t>
      </w:r>
      <w:r w:rsidR="00CE339E">
        <w:rPr>
          <w:rFonts w:ascii="Segoe UI" w:hAnsi="Segoe UI" w:cs="Segoe UI"/>
          <w:bCs/>
          <w:sz w:val="20"/>
          <w:szCs w:val="20"/>
        </w:rPr>
        <w:t xml:space="preserve"> en moyenne</w:t>
      </w:r>
      <w:r w:rsidRPr="00EE2BEF">
        <w:rPr>
          <w:rFonts w:ascii="Segoe UI" w:hAnsi="Segoe UI" w:cs="Segoe UI"/>
          <w:bCs/>
          <w:sz w:val="20"/>
          <w:szCs w:val="20"/>
        </w:rPr>
        <w:t>. L’année 2025 a également été marquée par un rebond des investissements, en hausse de 9,</w:t>
      </w:r>
      <w:r w:rsidR="00C00008">
        <w:rPr>
          <w:rFonts w:ascii="Segoe UI" w:hAnsi="Segoe UI" w:cs="Segoe UI"/>
          <w:bCs/>
          <w:sz w:val="20"/>
          <w:szCs w:val="20"/>
        </w:rPr>
        <w:t>4</w:t>
      </w:r>
      <w:r w:rsidRPr="00EE2BEF">
        <w:rPr>
          <w:rFonts w:ascii="Segoe UI" w:hAnsi="Segoe UI" w:cs="Segoe UI"/>
          <w:bCs/>
          <w:sz w:val="20"/>
          <w:szCs w:val="20"/>
        </w:rPr>
        <w:t xml:space="preserve">%, après leur recul de 7% en 2024. Les stocks d’investissements directs étrangers ont progressé de 3,5% pour atteindre 27,1 Mds EUR. </w:t>
      </w:r>
      <w:r w:rsidR="00380B13" w:rsidRPr="00380B13">
        <w:rPr>
          <w:rFonts w:ascii="Segoe UI" w:hAnsi="Segoe UI" w:cs="Segoe UI"/>
          <w:bCs/>
          <w:sz w:val="20"/>
          <w:szCs w:val="20"/>
        </w:rPr>
        <w:t xml:space="preserve">Selon le ministère de l’Économie, la croissance a </w:t>
      </w:r>
      <w:r w:rsidR="00380B13">
        <w:rPr>
          <w:rFonts w:ascii="Segoe UI" w:hAnsi="Segoe UI" w:cs="Segoe UI"/>
          <w:bCs/>
          <w:sz w:val="20"/>
          <w:szCs w:val="20"/>
        </w:rPr>
        <w:t>également</w:t>
      </w:r>
      <w:r w:rsidR="00D34A01">
        <w:rPr>
          <w:rFonts w:ascii="Segoe UI" w:hAnsi="Segoe UI" w:cs="Segoe UI"/>
          <w:bCs/>
          <w:sz w:val="20"/>
          <w:szCs w:val="20"/>
        </w:rPr>
        <w:t xml:space="preserve"> </w:t>
      </w:r>
      <w:r w:rsidR="00380B13" w:rsidRPr="00380B13">
        <w:rPr>
          <w:rFonts w:ascii="Segoe UI" w:hAnsi="Segoe UI" w:cs="Segoe UI"/>
          <w:bCs/>
          <w:sz w:val="20"/>
          <w:szCs w:val="20"/>
        </w:rPr>
        <w:t>été soutenue par le secteur manufacturier, porté par la reprise de la demande extérieure, ainsi que par le secteur de la construction, en progression de 9%.</w:t>
      </w:r>
    </w:p>
    <w:p w14:paraId="32CE9825" w14:textId="720E8CF6" w:rsidR="0065370B" w:rsidRDefault="0065370B" w:rsidP="00EE2BEF">
      <w:pPr>
        <w:spacing w:line="240" w:lineRule="auto"/>
        <w:ind w:left="-284"/>
        <w:jc w:val="both"/>
        <w:rPr>
          <w:rFonts w:ascii="Segoe UI" w:hAnsi="Segoe UI" w:cs="Segoe UI"/>
          <w:bCs/>
          <w:sz w:val="20"/>
          <w:szCs w:val="20"/>
        </w:rPr>
      </w:pPr>
      <w:r w:rsidRPr="0065370B">
        <w:rPr>
          <w:rFonts w:ascii="Segoe UI" w:hAnsi="Segoe UI" w:cs="Segoe UI"/>
          <w:bCs/>
          <w:sz w:val="20"/>
          <w:szCs w:val="20"/>
        </w:rPr>
        <w:t>En revanche, la dynamique inflationniste s’est inversée en 2025, avec une accélération de l’inflation à 3,</w:t>
      </w:r>
      <w:r w:rsidR="004D4F58">
        <w:rPr>
          <w:rFonts w:ascii="Segoe UI" w:hAnsi="Segoe UI" w:cs="Segoe UI"/>
          <w:bCs/>
          <w:sz w:val="20"/>
          <w:szCs w:val="20"/>
        </w:rPr>
        <w:t>8</w:t>
      </w:r>
      <w:r w:rsidRPr="0065370B">
        <w:rPr>
          <w:rFonts w:ascii="Segoe UI" w:hAnsi="Segoe UI" w:cs="Segoe UI"/>
          <w:bCs/>
          <w:sz w:val="20"/>
          <w:szCs w:val="20"/>
        </w:rPr>
        <w:t>% après son ralentissement à 1,3% en 2024, alors qu’elle avait atteint 17,3% en 2022 et 8,9% en 2023, sous l’effet notamment de la hausse des prix de l’énergie et de l’alimentation. Sur le plan commercial, le déficit des échanges de biens s’est également creusé, les importations (+5,4%) ayant progressé plus rapidement que les exportations (+</w:t>
      </w:r>
      <w:r w:rsidR="002F61D3">
        <w:rPr>
          <w:rFonts w:ascii="Segoe UI" w:hAnsi="Segoe UI" w:cs="Segoe UI"/>
          <w:bCs/>
          <w:sz w:val="20"/>
          <w:szCs w:val="20"/>
        </w:rPr>
        <w:t>0,1</w:t>
      </w:r>
      <w:r w:rsidRPr="0065370B">
        <w:rPr>
          <w:rFonts w:ascii="Segoe UI" w:hAnsi="Segoe UI" w:cs="Segoe UI"/>
          <w:bCs/>
          <w:sz w:val="20"/>
          <w:szCs w:val="20"/>
        </w:rPr>
        <w:t>%)</w:t>
      </w:r>
      <w:r w:rsidR="002F61D3">
        <w:rPr>
          <w:rFonts w:ascii="Segoe UI" w:hAnsi="Segoe UI" w:cs="Segoe UI"/>
          <w:bCs/>
          <w:sz w:val="20"/>
          <w:szCs w:val="20"/>
        </w:rPr>
        <w:t xml:space="preserve"> notamment en raison de l’inflation</w:t>
      </w:r>
      <w:r w:rsidRPr="0065370B">
        <w:rPr>
          <w:rFonts w:ascii="Segoe UI" w:hAnsi="Segoe UI" w:cs="Segoe UI"/>
          <w:bCs/>
          <w:sz w:val="20"/>
          <w:szCs w:val="20"/>
        </w:rPr>
        <w:t>, portant le déficit à environ 3,7 Mds EUR, soit une hausse de 27,6%</w:t>
      </w:r>
      <w:r>
        <w:rPr>
          <w:rFonts w:ascii="Segoe UI" w:hAnsi="Segoe UI" w:cs="Segoe UI"/>
          <w:bCs/>
          <w:sz w:val="20"/>
          <w:szCs w:val="20"/>
        </w:rPr>
        <w:t xml:space="preserve"> selon le</w:t>
      </w:r>
      <w:r w:rsidRPr="0065370B">
        <w:rPr>
          <w:rFonts w:ascii="Segoe UI" w:hAnsi="Segoe UI" w:cs="Segoe UI"/>
          <w:bCs/>
          <w:sz w:val="20"/>
          <w:szCs w:val="20"/>
        </w:rPr>
        <w:t xml:space="preserve"> Bureau central des statistiques de Lettonie. </w:t>
      </w:r>
    </w:p>
    <w:p w14:paraId="5F4A3008" w14:textId="058D996E" w:rsidR="00F754A7" w:rsidRDefault="00D43BA4" w:rsidP="002C449E">
      <w:pPr>
        <w:spacing w:line="240" w:lineRule="auto"/>
        <w:ind w:left="-284"/>
        <w:jc w:val="both"/>
        <w:rPr>
          <w:rFonts w:ascii="Segoe UI" w:hAnsi="Segoe UI" w:cs="Segoe UI"/>
          <w:bCs/>
          <w:sz w:val="20"/>
          <w:szCs w:val="20"/>
        </w:rPr>
      </w:pPr>
      <w:r w:rsidRPr="00D43BA4">
        <w:rPr>
          <w:rFonts w:ascii="Segoe UI" w:hAnsi="Segoe UI" w:cs="Segoe UI"/>
          <w:bCs/>
          <w:sz w:val="20"/>
          <w:szCs w:val="20"/>
        </w:rPr>
        <w:t>Par ailleurs, la hausse des dépenses publiques, notamment en matière de défense, s’est poursuivie alors que la Lettonie s’est engagée à atteindre l’objectif fixé par l’OTAN de 5% du PIB consacré aux dépenses de défense, dans un contexte de défis démographiques marqués par le déclin et le vieillissement de la population lettone. Le déficit public s’est ainsi établi à 2,5% du PIB en 2025, contre 1,8% en 2024, tandis que la dette publique a légèrement progressé à 46,9% du PIB (contre 46,6% en 2024).</w:t>
      </w:r>
    </w:p>
    <w:p w14:paraId="66742CC6" w14:textId="3E18CB4D" w:rsidR="007A0F0A" w:rsidRPr="0042300C" w:rsidRDefault="0004712E" w:rsidP="0042300C">
      <w:pPr>
        <w:ind w:left="-284"/>
        <w:jc w:val="both"/>
        <w:rPr>
          <w:rFonts w:ascii="Segoe UI" w:hAnsi="Segoe UI" w:cs="Segoe UI"/>
          <w:b/>
          <w:color w:val="000091" w:themeColor="text1"/>
          <w:szCs w:val="20"/>
        </w:rPr>
      </w:pPr>
      <w:r>
        <w:rPr>
          <w:rFonts w:ascii="Segoe UI" w:hAnsi="Segoe UI" w:cs="Segoe UI"/>
          <w:b/>
          <w:color w:val="000091" w:themeColor="text1"/>
          <w:szCs w:val="20"/>
        </w:rPr>
        <w:t xml:space="preserve">Des prévisions pour 2026 revues à la baisse dans le cadre de la crise au Moyen Orient </w:t>
      </w:r>
    </w:p>
    <w:p w14:paraId="711488C5" w14:textId="549577AB" w:rsidR="00E00E87" w:rsidRDefault="00E00E87" w:rsidP="00D46625">
      <w:pPr>
        <w:spacing w:after="0"/>
        <w:ind w:left="-284"/>
        <w:jc w:val="both"/>
        <w:rPr>
          <w:rFonts w:ascii="Segoe UI" w:hAnsi="Segoe UI" w:cs="Segoe UI"/>
          <w:bCs/>
          <w:sz w:val="20"/>
          <w:szCs w:val="20"/>
        </w:rPr>
      </w:pPr>
      <w:r w:rsidRPr="00E00E87">
        <w:rPr>
          <w:rFonts w:ascii="Segoe UI" w:hAnsi="Segoe UI" w:cs="Segoe UI"/>
          <w:bCs/>
          <w:sz w:val="20"/>
          <w:szCs w:val="20"/>
        </w:rPr>
        <w:t>Alors que la guerre au Moyen-Orient et le blocage du détroit d’Ormuz ont fortement affecté l’économie et le commerce international, l’économie lettone demeure relativement résiliente, avec une croissance prévue à 2% en 2026, selon les prévisions de la Banque de Lettonie publiées en juin. Bien qu’inférieure aux prévisions initiales de 2,8%, cette estimation intervient après une croissance de 2,5% au premier trimestre 2026, avant le déclenchement du conflit au Moyen-Orient. Les perspectives restent toutefois fortement dépendantes de l’évolution du contexte géopolitique. La croissance devrait ensuite progressivement accélérer en 2027 et 2028, avec des prévisions respectives de +2,4% et +3% selon la Banque de Lettonie.</w:t>
      </w:r>
    </w:p>
    <w:p w14:paraId="166B12A3" w14:textId="4AC5DC7B" w:rsidR="009839B8" w:rsidRDefault="009839B8" w:rsidP="00D75BE7">
      <w:pPr>
        <w:spacing w:before="240" w:after="0"/>
        <w:ind w:left="-284"/>
        <w:jc w:val="both"/>
        <w:rPr>
          <w:rFonts w:ascii="Segoe UI" w:hAnsi="Segoe UI" w:cs="Segoe UI"/>
          <w:bCs/>
          <w:sz w:val="20"/>
          <w:szCs w:val="20"/>
        </w:rPr>
      </w:pPr>
      <w:r w:rsidRPr="009839B8">
        <w:rPr>
          <w:rFonts w:ascii="Segoe UI" w:hAnsi="Segoe UI" w:cs="Segoe UI"/>
          <w:bCs/>
          <w:sz w:val="20"/>
          <w:szCs w:val="20"/>
        </w:rPr>
        <w:t xml:space="preserve">Cette reprise devrait être soutenue par la progression des exportations, dont la croissance passerait de 0,7% en 2026 à 2,7% en 2027, ainsi que par la consommation privée (+2,1% en 2026 et +2,7% en 2028), portée par une hausse des salaires (+7,4% en 2026 et +7,3% en 2027) supérieure à celle de l’inflation. La crise </w:t>
      </w:r>
      <w:r w:rsidRPr="009839B8">
        <w:rPr>
          <w:rFonts w:ascii="Segoe UI" w:hAnsi="Segoe UI" w:cs="Segoe UI"/>
          <w:bCs/>
          <w:sz w:val="20"/>
          <w:szCs w:val="20"/>
        </w:rPr>
        <w:lastRenderedPageBreak/>
        <w:t>énergétique et alimentaire liée au blocage du détroit d’Ormuz a toutefois freiné le recul de l’inflation, qui devrait s’établir à 3,6% en 2026, soit 0,2 point de pourcentage de moins qu’en 2025, avant de refluer à 3,4% en 2028, un niveau qui demeurerait parmi les plus élevés de la zone euro.</w:t>
      </w:r>
    </w:p>
    <w:p w14:paraId="0078FC8A" w14:textId="5C9AB9F7" w:rsidR="00ED1C96" w:rsidRDefault="005F14B0" w:rsidP="00ED1C96">
      <w:pPr>
        <w:spacing w:before="240"/>
        <w:ind w:left="-284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ascii="Segoe UI" w:hAnsi="Segoe UI" w:cs="Segoe UI"/>
          <w:bCs/>
          <w:sz w:val="20"/>
          <w:szCs w:val="20"/>
        </w:rPr>
        <w:t>La</w:t>
      </w:r>
      <w:r w:rsidR="00771CE5" w:rsidRPr="00771CE5">
        <w:rPr>
          <w:rFonts w:ascii="Segoe UI" w:hAnsi="Segoe UI" w:cs="Segoe UI"/>
          <w:bCs/>
          <w:sz w:val="20"/>
          <w:szCs w:val="20"/>
        </w:rPr>
        <w:t xml:space="preserve"> hausse des prix devrait néanmoins peser sur la consommation publique, attendue en progression limitée à 0,7%, ainsi que sur l’investissement, dont la croissance ralentirait à 2,2% en 2026 puis 1,5% en 2027. </w:t>
      </w:r>
    </w:p>
    <w:p w14:paraId="78CAE3CD" w14:textId="77777777" w:rsidR="002C58D7" w:rsidRDefault="002C58D7" w:rsidP="00AB752A">
      <w:pPr>
        <w:spacing w:before="240"/>
        <w:ind w:left="-284"/>
        <w:jc w:val="both"/>
        <w:rPr>
          <w:rFonts w:ascii="Segoe UI" w:hAnsi="Segoe UI" w:cs="Segoe UI"/>
          <w:b/>
          <w:color w:val="000091" w:themeColor="text1"/>
          <w:szCs w:val="20"/>
        </w:rPr>
      </w:pPr>
      <w:r w:rsidRPr="002C58D7">
        <w:rPr>
          <w:rFonts w:ascii="Segoe UI" w:hAnsi="Segoe UI" w:cs="Segoe UI"/>
          <w:b/>
          <w:color w:val="000091" w:themeColor="text1"/>
          <w:szCs w:val="20"/>
        </w:rPr>
        <w:t>Des défis futurs liés à la soutenabilité budgétaire et aux financements européens</w:t>
      </w:r>
    </w:p>
    <w:p w14:paraId="5B46C638" w14:textId="48556B76" w:rsidR="000B30DD" w:rsidRDefault="001E2602" w:rsidP="00AB752A">
      <w:pPr>
        <w:spacing w:after="0"/>
        <w:ind w:left="-284"/>
        <w:jc w:val="both"/>
        <w:rPr>
          <w:rFonts w:ascii="Segoe UI" w:hAnsi="Segoe UI" w:cs="Segoe UI"/>
          <w:bCs/>
          <w:sz w:val="20"/>
          <w:szCs w:val="20"/>
        </w:rPr>
      </w:pPr>
      <w:r w:rsidRPr="001E2602">
        <w:rPr>
          <w:rFonts w:ascii="Segoe UI" w:hAnsi="Segoe UI" w:cs="Segoe UI"/>
          <w:bCs/>
          <w:sz w:val="20"/>
          <w:szCs w:val="20"/>
        </w:rPr>
        <w:t>C’est dans ce contexte que les dépenses publiques lettones ont augmenté, le déficit public s’établissant à 1,8% du PIB en 2024, avant de passer à 2,5% en 2025, puis à 3,3% en 2026</w:t>
      </w:r>
      <w:r w:rsidR="00F312C6">
        <w:rPr>
          <w:rFonts w:ascii="Segoe UI" w:hAnsi="Segoe UI" w:cs="Segoe UI"/>
          <w:bCs/>
          <w:sz w:val="20"/>
          <w:szCs w:val="20"/>
        </w:rPr>
        <w:t xml:space="preserve"> selon les dernières prévisions de la Banque de Lettonie</w:t>
      </w:r>
      <w:r w:rsidRPr="001E2602">
        <w:rPr>
          <w:rFonts w:ascii="Segoe UI" w:hAnsi="Segoe UI" w:cs="Segoe UI"/>
          <w:bCs/>
          <w:sz w:val="20"/>
          <w:szCs w:val="20"/>
        </w:rPr>
        <w:t>. Il devrait ensuite se creuser davantage pour atteindre jusqu’à 4,8% du PIB en 2028, notamment sous l’effet de la hausse des dépenses de défense.</w:t>
      </w:r>
      <w:r w:rsidR="00D46625">
        <w:rPr>
          <w:rFonts w:ascii="Segoe UI" w:hAnsi="Segoe UI" w:cs="Segoe UI"/>
          <w:bCs/>
          <w:sz w:val="20"/>
          <w:szCs w:val="20"/>
        </w:rPr>
        <w:t xml:space="preserve"> </w:t>
      </w:r>
      <w:r w:rsidR="00ED1A7A" w:rsidRPr="00ED1A7A">
        <w:rPr>
          <w:rFonts w:ascii="Segoe UI" w:hAnsi="Segoe UI" w:cs="Segoe UI"/>
          <w:bCs/>
          <w:sz w:val="20"/>
          <w:szCs w:val="20"/>
        </w:rPr>
        <w:t xml:space="preserve">La Lettonie a ainsi activé la clause dérogatoire nationale du Pacte de stabilité et de croissance afin de financer ces investissements, alors que le budget consacré à la défense représentait déjà </w:t>
      </w:r>
      <w:r w:rsidR="00A93D6C">
        <w:rPr>
          <w:rFonts w:ascii="Segoe UI" w:hAnsi="Segoe UI" w:cs="Segoe UI"/>
          <w:bCs/>
          <w:sz w:val="20"/>
          <w:szCs w:val="20"/>
        </w:rPr>
        <w:t xml:space="preserve">environ </w:t>
      </w:r>
      <w:r w:rsidR="00ED1A7A" w:rsidRPr="00ED1A7A">
        <w:rPr>
          <w:rFonts w:ascii="Segoe UI" w:hAnsi="Segoe UI" w:cs="Segoe UI"/>
          <w:bCs/>
          <w:sz w:val="20"/>
          <w:szCs w:val="20"/>
        </w:rPr>
        <w:t>4,9% du PIB et devrait dépasser</w:t>
      </w:r>
      <w:r w:rsidR="005F14B0">
        <w:rPr>
          <w:rFonts w:ascii="Segoe UI" w:hAnsi="Segoe UI" w:cs="Segoe UI"/>
          <w:bCs/>
          <w:sz w:val="20"/>
          <w:szCs w:val="20"/>
        </w:rPr>
        <w:t xml:space="preserve"> en 2027</w:t>
      </w:r>
      <w:r w:rsidR="00ED1A7A" w:rsidRPr="00ED1A7A">
        <w:rPr>
          <w:rFonts w:ascii="Segoe UI" w:hAnsi="Segoe UI" w:cs="Segoe UI"/>
          <w:bCs/>
          <w:sz w:val="20"/>
          <w:szCs w:val="20"/>
        </w:rPr>
        <w:t xml:space="preserve"> le seuil de 5% fixé par l’OTAN. Les dépenses sociales, qui représentaient 19% du PIB en 2024, devraient également progresser sous l’effet du vieillissement démographique, l’âge médian de la population lettone étant passé de 33,5 ans en 1990 à 43,6 ans en 2025. Cette tendance devrait se poursuivre dans un contexte de déclin démographique.</w:t>
      </w:r>
      <w:r w:rsidR="000B30DD">
        <w:rPr>
          <w:rFonts w:ascii="Segoe UI" w:hAnsi="Segoe UI" w:cs="Segoe UI"/>
          <w:bCs/>
          <w:sz w:val="20"/>
          <w:szCs w:val="20"/>
        </w:rPr>
        <w:t xml:space="preserve"> </w:t>
      </w:r>
    </w:p>
    <w:p w14:paraId="1C4E4B9D" w14:textId="36DD1C63" w:rsidR="00784E82" w:rsidRDefault="00C135E7" w:rsidP="00784E82">
      <w:pPr>
        <w:spacing w:before="240" w:after="0"/>
        <w:ind w:left="-284"/>
        <w:jc w:val="both"/>
        <w:rPr>
          <w:rFonts w:ascii="Segoe UI" w:hAnsi="Segoe UI" w:cs="Segoe UI"/>
          <w:bCs/>
          <w:sz w:val="20"/>
          <w:szCs w:val="20"/>
        </w:rPr>
      </w:pPr>
      <w:r w:rsidRPr="00C135E7">
        <w:rPr>
          <w:rFonts w:ascii="Segoe UI" w:hAnsi="Segoe UI" w:cs="Segoe UI"/>
          <w:bCs/>
          <w:sz w:val="20"/>
          <w:szCs w:val="20"/>
        </w:rPr>
        <w:t>Le ratio de dette publique, qui a progressé de 15,2</w:t>
      </w:r>
      <w:r>
        <w:rPr>
          <w:rFonts w:ascii="Segoe UI" w:hAnsi="Segoe UI" w:cs="Segoe UI"/>
          <w:bCs/>
          <w:sz w:val="20"/>
          <w:szCs w:val="20"/>
        </w:rPr>
        <w:t xml:space="preserve">% </w:t>
      </w:r>
      <w:r w:rsidRPr="00C135E7">
        <w:rPr>
          <w:rFonts w:ascii="Segoe UI" w:hAnsi="Segoe UI" w:cs="Segoe UI"/>
          <w:bCs/>
          <w:sz w:val="20"/>
          <w:szCs w:val="20"/>
        </w:rPr>
        <w:t>à 46,9% du PIB</w:t>
      </w:r>
      <w:r w:rsidR="00D46625">
        <w:rPr>
          <w:rFonts w:ascii="Segoe UI" w:hAnsi="Segoe UI" w:cs="Segoe UI"/>
          <w:bCs/>
          <w:sz w:val="20"/>
          <w:szCs w:val="20"/>
        </w:rPr>
        <w:t xml:space="preserve"> entre 2004 et 2025</w:t>
      </w:r>
      <w:r w:rsidRPr="00C135E7">
        <w:rPr>
          <w:rFonts w:ascii="Segoe UI" w:hAnsi="Segoe UI" w:cs="Segoe UI"/>
          <w:bCs/>
          <w:sz w:val="20"/>
          <w:szCs w:val="20"/>
        </w:rPr>
        <w:t>, devrait continuer à augmenter pour atteindre 47,9% en 2026 puis 51,3% en 2027.</w:t>
      </w:r>
      <w:r>
        <w:rPr>
          <w:rFonts w:ascii="Segoe UI" w:hAnsi="Segoe UI" w:cs="Segoe UI"/>
          <w:bCs/>
          <w:sz w:val="20"/>
          <w:szCs w:val="20"/>
        </w:rPr>
        <w:t xml:space="preserve"> </w:t>
      </w:r>
    </w:p>
    <w:p w14:paraId="7D8EB181" w14:textId="77777777" w:rsidR="002B4F60" w:rsidRDefault="002B4F60" w:rsidP="002B4F60">
      <w:pPr>
        <w:spacing w:after="0"/>
        <w:ind w:left="-284"/>
        <w:jc w:val="both"/>
        <w:rPr>
          <w:rFonts w:ascii="Segoe UI" w:hAnsi="Segoe UI" w:cs="Segoe UI"/>
          <w:bCs/>
          <w:sz w:val="20"/>
          <w:szCs w:val="20"/>
        </w:rPr>
      </w:pPr>
    </w:p>
    <w:p w14:paraId="3156CFE3" w14:textId="5EFFE213" w:rsidR="00913D17" w:rsidRPr="009E36F7" w:rsidRDefault="00557E89" w:rsidP="009E36F7">
      <w:pPr>
        <w:spacing w:after="0"/>
        <w:ind w:left="-284" w:right="425"/>
        <w:jc w:val="center"/>
        <w:rPr>
          <w:rFonts w:ascii="Arial" w:hAnsi="Arial" w:cs="Arial"/>
          <w:b/>
          <w:bCs/>
          <w:color w:val="E4A503" w:themeColor="accent2" w:themeShade="BF"/>
          <w:sz w:val="28"/>
          <w:szCs w:val="28"/>
        </w:rPr>
      </w:pPr>
      <w:r w:rsidRPr="00A0743B">
        <w:rPr>
          <w:rFonts w:ascii="Arial" w:hAnsi="Arial" w:cs="Arial"/>
          <w:b/>
          <w:bCs/>
          <w:color w:val="E4A503" w:themeColor="accent2" w:themeShade="BF"/>
          <w:sz w:val="28"/>
          <w:szCs w:val="28"/>
        </w:rPr>
        <w:t>* * *</w:t>
      </w:r>
    </w:p>
    <w:p w14:paraId="34E2C9A8" w14:textId="47AC75C7" w:rsidR="00FD7798" w:rsidRPr="00466CB0" w:rsidRDefault="00FD7798" w:rsidP="005F3966">
      <w:pPr>
        <w:tabs>
          <w:tab w:val="left" w:pos="3700"/>
        </w:tabs>
        <w:spacing w:before="120" w:after="0"/>
        <w:ind w:left="-284"/>
        <w:jc w:val="both"/>
        <w:rPr>
          <w:rFonts w:ascii="Segoe UI" w:hAnsi="Segoe UI" w:cs="Segoe UI"/>
          <w:b/>
          <w:sz w:val="18"/>
          <w:szCs w:val="18"/>
        </w:rPr>
      </w:pPr>
    </w:p>
    <w:p w14:paraId="6D60B15C" w14:textId="77777777" w:rsidR="005F14B0" w:rsidRDefault="005F14B0" w:rsidP="00AB752A">
      <w:pPr>
        <w:rPr>
          <w:rFonts w:ascii="Segoe UI" w:hAnsi="Segoe UI" w:cs="Segoe UI"/>
          <w:bCs/>
          <w:color w:val="000091" w:themeColor="text1"/>
          <w:sz w:val="24"/>
          <w:szCs w:val="28"/>
        </w:rPr>
      </w:pPr>
    </w:p>
    <w:p w14:paraId="53A44F0C" w14:textId="3192F228" w:rsidR="002C4D02" w:rsidRPr="009854A7" w:rsidRDefault="009854A7" w:rsidP="00AB752A">
      <w:pPr>
        <w:rPr>
          <w:rFonts w:ascii="Segoe UI" w:hAnsi="Segoe UI" w:cs="Segoe UI"/>
          <w:bCs/>
          <w:color w:val="000091" w:themeColor="text1"/>
          <w:sz w:val="24"/>
          <w:szCs w:val="28"/>
        </w:rPr>
      </w:pPr>
      <w:r w:rsidRPr="009854A7">
        <w:rPr>
          <w:rFonts w:ascii="Segoe UI" w:hAnsi="Segoe UI" w:cs="Segoe UI"/>
          <w:bCs/>
          <w:color w:val="000091" w:themeColor="text1"/>
          <w:sz w:val="24"/>
          <w:szCs w:val="28"/>
        </w:rPr>
        <w:t xml:space="preserve">ANNEXE </w:t>
      </w:r>
      <w:r w:rsidR="00323A4A">
        <w:rPr>
          <w:rFonts w:ascii="Segoe UI" w:hAnsi="Segoe UI" w:cs="Segoe UI"/>
          <w:bCs/>
          <w:color w:val="000091" w:themeColor="text1"/>
          <w:sz w:val="24"/>
          <w:szCs w:val="28"/>
        </w:rPr>
        <w:t>1</w:t>
      </w:r>
      <w:r w:rsidRPr="009854A7">
        <w:rPr>
          <w:rFonts w:ascii="Segoe UI" w:hAnsi="Segoe UI" w:cs="Segoe UI"/>
          <w:bCs/>
          <w:color w:val="000091" w:themeColor="text1"/>
          <w:sz w:val="24"/>
          <w:szCs w:val="28"/>
        </w:rPr>
        <w:t xml:space="preserve"> : </w:t>
      </w:r>
      <w:r w:rsidR="002C4D02">
        <w:rPr>
          <w:rFonts w:ascii="Segoe UI" w:hAnsi="Segoe UI" w:cs="Segoe UI"/>
          <w:bCs/>
          <w:color w:val="000091" w:themeColor="text1"/>
          <w:sz w:val="24"/>
          <w:szCs w:val="28"/>
        </w:rPr>
        <w:t>prévisions macroéconomiques d</w:t>
      </w:r>
      <w:r w:rsidR="00C17DF7">
        <w:rPr>
          <w:rFonts w:ascii="Segoe UI" w:hAnsi="Segoe UI" w:cs="Segoe UI"/>
          <w:bCs/>
          <w:color w:val="000091" w:themeColor="text1"/>
          <w:sz w:val="24"/>
          <w:szCs w:val="28"/>
        </w:rPr>
        <w:t>e la Banque de Lettonie</w:t>
      </w:r>
      <w:r w:rsidR="002C4D02">
        <w:rPr>
          <w:rFonts w:ascii="Segoe UI" w:hAnsi="Segoe UI" w:cs="Segoe UI"/>
          <w:bCs/>
          <w:color w:val="000091" w:themeColor="text1"/>
          <w:sz w:val="24"/>
          <w:szCs w:val="28"/>
        </w:rPr>
        <w:t xml:space="preserve"> (</w:t>
      </w:r>
      <w:r w:rsidR="00C17DF7">
        <w:rPr>
          <w:rFonts w:ascii="Segoe UI" w:hAnsi="Segoe UI" w:cs="Segoe UI"/>
          <w:bCs/>
          <w:color w:val="000091" w:themeColor="text1"/>
          <w:sz w:val="24"/>
          <w:szCs w:val="28"/>
        </w:rPr>
        <w:t>Juin</w:t>
      </w:r>
      <w:r w:rsidR="002C4D02">
        <w:rPr>
          <w:rFonts w:ascii="Segoe UI" w:hAnsi="Segoe UI" w:cs="Segoe UI"/>
          <w:bCs/>
          <w:color w:val="000091" w:themeColor="text1"/>
          <w:sz w:val="24"/>
          <w:szCs w:val="28"/>
        </w:rPr>
        <w:t xml:space="preserve"> 202</w:t>
      </w:r>
      <w:r w:rsidR="00130B26">
        <w:rPr>
          <w:rFonts w:ascii="Segoe UI" w:hAnsi="Segoe UI" w:cs="Segoe UI"/>
          <w:bCs/>
          <w:color w:val="000091" w:themeColor="text1"/>
          <w:sz w:val="24"/>
          <w:szCs w:val="28"/>
        </w:rPr>
        <w:t>5</w:t>
      </w:r>
      <w:r w:rsidR="002C4D02">
        <w:rPr>
          <w:rFonts w:ascii="Segoe UI" w:hAnsi="Segoe UI" w:cs="Segoe UI"/>
          <w:bCs/>
          <w:color w:val="000091" w:themeColor="text1"/>
          <w:sz w:val="24"/>
          <w:szCs w:val="28"/>
        </w:rPr>
        <w:t>)</w:t>
      </w:r>
    </w:p>
    <w:tbl>
      <w:tblPr>
        <w:tblStyle w:val="TableauGrille4-Accentuation1"/>
        <w:tblW w:w="8308" w:type="dxa"/>
        <w:tblLook w:val="04A0" w:firstRow="1" w:lastRow="0" w:firstColumn="1" w:lastColumn="0" w:noHBand="0" w:noVBand="1"/>
      </w:tblPr>
      <w:tblGrid>
        <w:gridCol w:w="4432"/>
        <w:gridCol w:w="1292"/>
        <w:gridCol w:w="1292"/>
        <w:gridCol w:w="1292"/>
      </w:tblGrid>
      <w:tr w:rsidR="002C4D02" w:rsidRPr="001B225F" w14:paraId="1DBDB748" w14:textId="77777777" w:rsidTr="000A3A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2" w:type="dxa"/>
            <w:hideMark/>
          </w:tcPr>
          <w:p w14:paraId="61796662" w14:textId="291008AC" w:rsidR="002C4D02" w:rsidRPr="001B225F" w:rsidRDefault="002C4D02" w:rsidP="000A3A7A">
            <w:pPr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</w:pPr>
          </w:p>
        </w:tc>
        <w:tc>
          <w:tcPr>
            <w:tcW w:w="1292" w:type="dxa"/>
            <w:hideMark/>
          </w:tcPr>
          <w:p w14:paraId="0959B471" w14:textId="706719D9" w:rsidR="002C4D02" w:rsidRPr="001B225F" w:rsidRDefault="002C4D02" w:rsidP="000A3A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</w:pPr>
            <w:r w:rsidRPr="001B225F"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  <w:t>202</w:t>
            </w:r>
            <w:r w:rsidR="00C17DF7"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1292" w:type="dxa"/>
            <w:hideMark/>
          </w:tcPr>
          <w:p w14:paraId="516C09AC" w14:textId="3EA0E0EA" w:rsidR="002C4D02" w:rsidRPr="001B225F" w:rsidRDefault="002C4D02" w:rsidP="000A3A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</w:pPr>
            <w:r w:rsidRPr="001B225F"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  <w:t>202</w:t>
            </w:r>
            <w:r w:rsidR="00C17DF7"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1292" w:type="dxa"/>
          </w:tcPr>
          <w:p w14:paraId="38BBF549" w14:textId="2A9F5165" w:rsidR="002C4D02" w:rsidRPr="001B225F" w:rsidRDefault="002C4D02" w:rsidP="000A3A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  <w:t>202</w:t>
            </w:r>
            <w:r w:rsidR="00C17DF7"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  <w:t>7</w:t>
            </w:r>
          </w:p>
        </w:tc>
      </w:tr>
      <w:tr w:rsidR="007744E3" w:rsidRPr="001B225F" w14:paraId="10E2BE41" w14:textId="77777777" w:rsidTr="000A3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2" w:type="dxa"/>
            <w:hideMark/>
          </w:tcPr>
          <w:p w14:paraId="122CFCC2" w14:textId="794C44EA" w:rsidR="007744E3" w:rsidRPr="001B225F" w:rsidRDefault="007744E3" w:rsidP="007744E3">
            <w:pPr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</w:pPr>
            <w:r w:rsidRPr="001B225F"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  <w:t xml:space="preserve">Croissance </w:t>
            </w:r>
            <w:r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  <w:t xml:space="preserve">du PIB </w:t>
            </w:r>
            <w:r w:rsidRPr="001B225F"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  <w:t>(%)</w:t>
            </w:r>
          </w:p>
        </w:tc>
        <w:tc>
          <w:tcPr>
            <w:tcW w:w="1292" w:type="dxa"/>
          </w:tcPr>
          <w:p w14:paraId="62E94969" w14:textId="7C2CF6B5" w:rsidR="007744E3" w:rsidRPr="001B225F" w:rsidRDefault="00897924" w:rsidP="00774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  <w:t>2,1%</w:t>
            </w:r>
          </w:p>
        </w:tc>
        <w:tc>
          <w:tcPr>
            <w:tcW w:w="1292" w:type="dxa"/>
          </w:tcPr>
          <w:p w14:paraId="2AB21E0F" w14:textId="273E9DDB" w:rsidR="007744E3" w:rsidRPr="001B225F" w:rsidRDefault="00897924" w:rsidP="00774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  <w:t>2%</w:t>
            </w:r>
          </w:p>
        </w:tc>
        <w:tc>
          <w:tcPr>
            <w:tcW w:w="1292" w:type="dxa"/>
          </w:tcPr>
          <w:p w14:paraId="0E37E1EB" w14:textId="6B5ECA4F" w:rsidR="007744E3" w:rsidRDefault="00897924" w:rsidP="00774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  <w:t>3%</w:t>
            </w:r>
          </w:p>
        </w:tc>
      </w:tr>
      <w:tr w:rsidR="007744E3" w:rsidRPr="001B225F" w14:paraId="3062D9ED" w14:textId="77777777" w:rsidTr="000A3A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2" w:type="dxa"/>
            <w:hideMark/>
          </w:tcPr>
          <w:p w14:paraId="65A97AD5" w14:textId="601498BB" w:rsidR="007744E3" w:rsidRPr="001B225F" w:rsidRDefault="007744E3" w:rsidP="007744E3">
            <w:pPr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</w:pPr>
            <w:r w:rsidRPr="001B225F"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  <w:t>Inflation (%)</w:t>
            </w:r>
          </w:p>
        </w:tc>
        <w:tc>
          <w:tcPr>
            <w:tcW w:w="1292" w:type="dxa"/>
          </w:tcPr>
          <w:p w14:paraId="31DA3890" w14:textId="6CE5CBF6" w:rsidR="007744E3" w:rsidRPr="001B225F" w:rsidRDefault="00897924" w:rsidP="00774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  <w:t>3,8%</w:t>
            </w:r>
          </w:p>
        </w:tc>
        <w:tc>
          <w:tcPr>
            <w:tcW w:w="1292" w:type="dxa"/>
          </w:tcPr>
          <w:p w14:paraId="1BB8B778" w14:textId="3C6ECE6B" w:rsidR="007744E3" w:rsidRPr="001B225F" w:rsidRDefault="00897924" w:rsidP="00774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  <w:t>3,6%</w:t>
            </w:r>
          </w:p>
        </w:tc>
        <w:tc>
          <w:tcPr>
            <w:tcW w:w="1292" w:type="dxa"/>
          </w:tcPr>
          <w:p w14:paraId="18633131" w14:textId="61F2F4CF" w:rsidR="007744E3" w:rsidRDefault="00897924" w:rsidP="00774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  <w:t>3,8%</w:t>
            </w:r>
          </w:p>
        </w:tc>
      </w:tr>
      <w:tr w:rsidR="007744E3" w:rsidRPr="001B225F" w14:paraId="26EC02A0" w14:textId="77777777" w:rsidTr="000A3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2" w:type="dxa"/>
            <w:hideMark/>
          </w:tcPr>
          <w:p w14:paraId="25A82463" w14:textId="77777777" w:rsidR="007744E3" w:rsidRPr="001B225F" w:rsidRDefault="007744E3" w:rsidP="007744E3">
            <w:pPr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</w:pPr>
            <w:r w:rsidRPr="001B225F"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  <w:t>Chômage (%)</w:t>
            </w:r>
          </w:p>
        </w:tc>
        <w:tc>
          <w:tcPr>
            <w:tcW w:w="1292" w:type="dxa"/>
          </w:tcPr>
          <w:p w14:paraId="3E88B38B" w14:textId="4130D97F" w:rsidR="007744E3" w:rsidRPr="001B225F" w:rsidRDefault="00897924" w:rsidP="00774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  <w:t>6,9%</w:t>
            </w:r>
          </w:p>
        </w:tc>
        <w:tc>
          <w:tcPr>
            <w:tcW w:w="1292" w:type="dxa"/>
          </w:tcPr>
          <w:p w14:paraId="1D5CC393" w14:textId="429E06F7" w:rsidR="007744E3" w:rsidRPr="001B225F" w:rsidRDefault="00897924" w:rsidP="00774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  <w:t>6,7%</w:t>
            </w:r>
          </w:p>
        </w:tc>
        <w:tc>
          <w:tcPr>
            <w:tcW w:w="1292" w:type="dxa"/>
          </w:tcPr>
          <w:p w14:paraId="0AC79D58" w14:textId="134C870A" w:rsidR="007744E3" w:rsidRDefault="00897924" w:rsidP="00774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  <w:t>6,5%</w:t>
            </w:r>
          </w:p>
        </w:tc>
      </w:tr>
      <w:tr w:rsidR="007744E3" w:rsidRPr="001B225F" w14:paraId="0522EEEE" w14:textId="77777777" w:rsidTr="000A3A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2" w:type="dxa"/>
            <w:hideMark/>
          </w:tcPr>
          <w:p w14:paraId="472D7CCE" w14:textId="429181F4" w:rsidR="007744E3" w:rsidRPr="001B225F" w:rsidRDefault="007744E3" w:rsidP="007744E3">
            <w:pPr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  <w:t>Evolution s</w:t>
            </w:r>
            <w:r w:rsidRPr="001B225F"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  <w:t xml:space="preserve">alaire </w:t>
            </w:r>
            <w:r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  <w:t>brut</w:t>
            </w:r>
            <w:r w:rsidRPr="001B225F"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  <w:t xml:space="preserve"> (</w:t>
            </w:r>
            <w:r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  <w:t>%</w:t>
            </w:r>
            <w:r w:rsidRPr="001B225F"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  <w:t>)</w:t>
            </w:r>
          </w:p>
        </w:tc>
        <w:tc>
          <w:tcPr>
            <w:tcW w:w="1292" w:type="dxa"/>
          </w:tcPr>
          <w:p w14:paraId="3719CC05" w14:textId="78A9DBFD" w:rsidR="007744E3" w:rsidRPr="001B225F" w:rsidRDefault="00897924" w:rsidP="00774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  <w:t>7,7%</w:t>
            </w:r>
          </w:p>
        </w:tc>
        <w:tc>
          <w:tcPr>
            <w:tcW w:w="1292" w:type="dxa"/>
          </w:tcPr>
          <w:p w14:paraId="73B4A5D8" w14:textId="6BB3BB03" w:rsidR="007744E3" w:rsidRPr="001B225F" w:rsidRDefault="00897924" w:rsidP="00774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  <w:t>7,4%</w:t>
            </w:r>
          </w:p>
        </w:tc>
        <w:tc>
          <w:tcPr>
            <w:tcW w:w="1292" w:type="dxa"/>
          </w:tcPr>
          <w:p w14:paraId="744B3AFD" w14:textId="5F3330F4" w:rsidR="007744E3" w:rsidRDefault="00897924" w:rsidP="00774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  <w:t>7,3%</w:t>
            </w:r>
          </w:p>
        </w:tc>
      </w:tr>
      <w:tr w:rsidR="007744E3" w14:paraId="495A9F62" w14:textId="77777777" w:rsidTr="00DC7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2" w:type="dxa"/>
          </w:tcPr>
          <w:p w14:paraId="6969DC9A" w14:textId="4A881883" w:rsidR="007744E3" w:rsidRPr="001B225F" w:rsidRDefault="007744E3" w:rsidP="007744E3">
            <w:pPr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  <w:t>Croissance de l’investissement (%)</w:t>
            </w:r>
          </w:p>
        </w:tc>
        <w:tc>
          <w:tcPr>
            <w:tcW w:w="1292" w:type="dxa"/>
          </w:tcPr>
          <w:p w14:paraId="1D410146" w14:textId="0070FA17" w:rsidR="007744E3" w:rsidRDefault="00897924" w:rsidP="00774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  <w:t>9,4%</w:t>
            </w:r>
          </w:p>
        </w:tc>
        <w:tc>
          <w:tcPr>
            <w:tcW w:w="1292" w:type="dxa"/>
          </w:tcPr>
          <w:p w14:paraId="61DAA189" w14:textId="72E422A6" w:rsidR="007744E3" w:rsidRDefault="00897924" w:rsidP="00774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  <w:t>2,2%</w:t>
            </w:r>
          </w:p>
        </w:tc>
        <w:tc>
          <w:tcPr>
            <w:tcW w:w="1292" w:type="dxa"/>
          </w:tcPr>
          <w:p w14:paraId="1B73ED13" w14:textId="11986095" w:rsidR="007744E3" w:rsidRDefault="00897924" w:rsidP="00774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  <w:t>1,5%</w:t>
            </w:r>
          </w:p>
        </w:tc>
      </w:tr>
      <w:tr w:rsidR="007744E3" w14:paraId="40B3634A" w14:textId="77777777" w:rsidTr="00DC7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2" w:type="dxa"/>
          </w:tcPr>
          <w:p w14:paraId="34A15642" w14:textId="61B9C1E2" w:rsidR="007744E3" w:rsidRDefault="007744E3" w:rsidP="007744E3">
            <w:pPr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  <w:t>Croissance des exportations (%)</w:t>
            </w:r>
          </w:p>
        </w:tc>
        <w:tc>
          <w:tcPr>
            <w:tcW w:w="1292" w:type="dxa"/>
          </w:tcPr>
          <w:p w14:paraId="2C76EBC8" w14:textId="0E067D45" w:rsidR="007744E3" w:rsidRDefault="00093142" w:rsidP="00774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  <w:t>0,1</w:t>
            </w:r>
            <w:r w:rsidR="002C659C"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  <w:t>%</w:t>
            </w:r>
          </w:p>
        </w:tc>
        <w:tc>
          <w:tcPr>
            <w:tcW w:w="1292" w:type="dxa"/>
          </w:tcPr>
          <w:p w14:paraId="69402E45" w14:textId="24C2EB3B" w:rsidR="007744E3" w:rsidRDefault="002C659C" w:rsidP="00774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  <w:t>0,7%</w:t>
            </w:r>
          </w:p>
        </w:tc>
        <w:tc>
          <w:tcPr>
            <w:tcW w:w="1292" w:type="dxa"/>
          </w:tcPr>
          <w:p w14:paraId="5E3C0C5E" w14:textId="5C4542A0" w:rsidR="007744E3" w:rsidRDefault="002C659C" w:rsidP="00774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  <w:t>2,7%</w:t>
            </w:r>
          </w:p>
        </w:tc>
      </w:tr>
      <w:tr w:rsidR="007744E3" w14:paraId="2B3A6F04" w14:textId="77777777" w:rsidTr="00DC7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2" w:type="dxa"/>
          </w:tcPr>
          <w:p w14:paraId="2D22AB26" w14:textId="77777777" w:rsidR="007744E3" w:rsidRPr="001B225F" w:rsidRDefault="007744E3" w:rsidP="007744E3">
            <w:pPr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  <w:t>Déficit public (% du PIB)</w:t>
            </w:r>
          </w:p>
        </w:tc>
        <w:tc>
          <w:tcPr>
            <w:tcW w:w="1292" w:type="dxa"/>
          </w:tcPr>
          <w:p w14:paraId="260C8F5F" w14:textId="615DA520" w:rsidR="007744E3" w:rsidRDefault="00AB6159" w:rsidP="00774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  <w:t>2,5</w:t>
            </w:r>
            <w:r w:rsidR="00750E94"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  <w:t>%</w:t>
            </w:r>
          </w:p>
        </w:tc>
        <w:tc>
          <w:tcPr>
            <w:tcW w:w="1292" w:type="dxa"/>
          </w:tcPr>
          <w:p w14:paraId="4AE4FCB0" w14:textId="06BD7BAC" w:rsidR="007744E3" w:rsidRDefault="00AB6159" w:rsidP="00774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  <w:t>3,3</w:t>
            </w:r>
            <w:r w:rsidR="00750E94"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  <w:t>%</w:t>
            </w:r>
          </w:p>
        </w:tc>
        <w:tc>
          <w:tcPr>
            <w:tcW w:w="1292" w:type="dxa"/>
          </w:tcPr>
          <w:p w14:paraId="4DBEC939" w14:textId="61EADAD3" w:rsidR="007744E3" w:rsidRDefault="00AB6159" w:rsidP="00774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  <w:t>3,9</w:t>
            </w:r>
            <w:r w:rsidR="00750E94"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  <w:t>%</w:t>
            </w:r>
          </w:p>
        </w:tc>
      </w:tr>
      <w:tr w:rsidR="007744E3" w14:paraId="12D06392" w14:textId="77777777" w:rsidTr="00DC7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2" w:type="dxa"/>
          </w:tcPr>
          <w:p w14:paraId="7BC1C816" w14:textId="77777777" w:rsidR="007744E3" w:rsidRPr="001B225F" w:rsidRDefault="007744E3" w:rsidP="007744E3">
            <w:pPr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  <w:t>Dette publique (% du PIB)</w:t>
            </w:r>
          </w:p>
        </w:tc>
        <w:tc>
          <w:tcPr>
            <w:tcW w:w="1292" w:type="dxa"/>
          </w:tcPr>
          <w:p w14:paraId="5425F9D0" w14:textId="549DE3EC" w:rsidR="007744E3" w:rsidRDefault="00750E94" w:rsidP="00774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  <w:t>46,9%</w:t>
            </w:r>
          </w:p>
        </w:tc>
        <w:tc>
          <w:tcPr>
            <w:tcW w:w="1292" w:type="dxa"/>
          </w:tcPr>
          <w:p w14:paraId="4FED8A49" w14:textId="142572DB" w:rsidR="007744E3" w:rsidRDefault="00750E94" w:rsidP="00774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  <w:t>47,9%</w:t>
            </w:r>
          </w:p>
        </w:tc>
        <w:tc>
          <w:tcPr>
            <w:tcW w:w="1292" w:type="dxa"/>
          </w:tcPr>
          <w:p w14:paraId="66DEF7AC" w14:textId="4EC9D1BC" w:rsidR="007744E3" w:rsidRDefault="00750E94" w:rsidP="00774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  <w:t>51,</w:t>
            </w:r>
            <w:r w:rsidR="000B7FB0"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  <w:t>3</w:t>
            </w:r>
            <w:r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  <w:t>%</w:t>
            </w:r>
          </w:p>
        </w:tc>
      </w:tr>
    </w:tbl>
    <w:p w14:paraId="118F2129" w14:textId="10592D02" w:rsidR="009854A7" w:rsidRDefault="009854A7" w:rsidP="002C659C">
      <w:pPr>
        <w:pStyle w:val="Textecourant"/>
        <w:ind w:left="0"/>
        <w:rPr>
          <w:bCs/>
        </w:rPr>
      </w:pPr>
    </w:p>
    <w:p w14:paraId="1AA9E0CF" w14:textId="6F61B4FC" w:rsidR="00AB752A" w:rsidRPr="00AA4E87" w:rsidRDefault="00AB752A" w:rsidP="002C659C">
      <w:pPr>
        <w:pStyle w:val="Textecourant"/>
        <w:ind w:left="0"/>
        <w:rPr>
          <w:color w:val="000091" w:themeColor="text1"/>
        </w:rPr>
      </w:pPr>
      <w:r w:rsidRPr="00AA4E87">
        <w:rPr>
          <w:bCs/>
          <w:color w:val="000091" w:themeColor="text1"/>
        </w:rPr>
        <w:t xml:space="preserve">Source : Banque de Lettonie </w:t>
      </w:r>
    </w:p>
    <w:p w14:paraId="06716954" w14:textId="2E4FD970" w:rsidR="009854A7" w:rsidRPr="00B97696" w:rsidRDefault="009854A7" w:rsidP="00415F39">
      <w:pPr>
        <w:spacing w:before="120" w:after="0"/>
        <w:ind w:left="-284"/>
        <w:rPr>
          <w:rFonts w:ascii="Segoe UI" w:hAnsi="Segoe UI" w:cs="Segoe UI"/>
          <w:iCs/>
          <w:color w:val="000091"/>
          <w:sz w:val="20"/>
          <w:szCs w:val="20"/>
          <w:lang w:val="en-GB" w:eastAsia="fr-FR"/>
        </w:rPr>
      </w:pPr>
    </w:p>
    <w:sectPr w:rsidR="009854A7" w:rsidRPr="00B97696" w:rsidSect="00415F39">
      <w:endnotePr>
        <w:numFmt w:val="decimal"/>
      </w:endnotePr>
      <w:pgSz w:w="11906" w:h="16838"/>
      <w:pgMar w:top="709" w:right="1274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D9AFB" w14:textId="77777777" w:rsidR="00B4725E" w:rsidRDefault="00B4725E" w:rsidP="001C2361">
      <w:pPr>
        <w:spacing w:after="0" w:line="240" w:lineRule="auto"/>
      </w:pPr>
      <w:r>
        <w:separator/>
      </w:r>
    </w:p>
  </w:endnote>
  <w:endnote w:type="continuationSeparator" w:id="0">
    <w:p w14:paraId="220710E3" w14:textId="77777777" w:rsidR="00B4725E" w:rsidRDefault="00B4725E" w:rsidP="001C2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 Light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rianne Medium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 ExtraBold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Marianne">
    <w:altName w:val="Calibri"/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Spectral Medium">
    <w:panose1 w:val="02020602060000000000"/>
    <w:charset w:val="00"/>
    <w:family w:val="roman"/>
    <w:pitch w:val="variable"/>
    <w:sig w:usb0="E000027F" w:usb1="4000E43B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Corps CS)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9E3DC" w14:textId="77777777" w:rsidR="00B4725E" w:rsidRDefault="00B4725E" w:rsidP="001C2361">
      <w:pPr>
        <w:spacing w:after="0" w:line="240" w:lineRule="auto"/>
      </w:pPr>
      <w:r>
        <w:separator/>
      </w:r>
    </w:p>
  </w:footnote>
  <w:footnote w:type="continuationSeparator" w:id="0">
    <w:p w14:paraId="08A620ED" w14:textId="77777777" w:rsidR="00B4725E" w:rsidRDefault="00B4725E" w:rsidP="001C23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E74FB"/>
    <w:multiLevelType w:val="hybridMultilevel"/>
    <w:tmpl w:val="0F965B52"/>
    <w:lvl w:ilvl="0" w:tplc="77D0C440">
      <w:start w:val="1"/>
      <w:numFmt w:val="bullet"/>
      <w:pStyle w:val="listeN-1"/>
      <w:lvlText w:val=""/>
      <w:lvlJc w:val="left"/>
      <w:pPr>
        <w:ind w:left="1571" w:hanging="360"/>
      </w:pPr>
      <w:rPr>
        <w:rFonts w:ascii="Wingdings 2" w:hAnsi="Wingdings 2" w:hint="default"/>
      </w:rPr>
    </w:lvl>
    <w:lvl w:ilvl="1" w:tplc="040C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D4541F58">
      <w:start w:val="1"/>
      <w:numFmt w:val="bullet"/>
      <w:pStyle w:val="ListeN-2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4334A86"/>
    <w:multiLevelType w:val="hybridMultilevel"/>
    <w:tmpl w:val="80A241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75830"/>
    <w:multiLevelType w:val="hybridMultilevel"/>
    <w:tmpl w:val="D8D61E78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AE0A5B"/>
    <w:multiLevelType w:val="hybridMultilevel"/>
    <w:tmpl w:val="91CE159C"/>
    <w:lvl w:ilvl="0" w:tplc="4ECC4104">
      <w:start w:val="2026"/>
      <w:numFmt w:val="bullet"/>
      <w:lvlText w:val=""/>
      <w:lvlJc w:val="left"/>
      <w:pPr>
        <w:ind w:left="76" w:hanging="360"/>
      </w:pPr>
      <w:rPr>
        <w:rFonts w:ascii="Symbol" w:eastAsiaTheme="minorHAnsi" w:hAnsi="Symbol" w:cs="Segoe UI" w:hint="default"/>
      </w:rPr>
    </w:lvl>
    <w:lvl w:ilvl="1" w:tplc="040C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4" w15:restartNumberingAfterBreak="0">
    <w:nsid w:val="2677533D"/>
    <w:multiLevelType w:val="hybridMultilevel"/>
    <w:tmpl w:val="059EEE3A"/>
    <w:lvl w:ilvl="0" w:tplc="7FA6A712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17505A"/>
    <w:multiLevelType w:val="hybridMultilevel"/>
    <w:tmpl w:val="036818EE"/>
    <w:lvl w:ilvl="0" w:tplc="040C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9E87447"/>
    <w:multiLevelType w:val="hybridMultilevel"/>
    <w:tmpl w:val="CB865C32"/>
    <w:lvl w:ilvl="0" w:tplc="3050CFC8">
      <w:numFmt w:val="bullet"/>
      <w:lvlText w:val="-"/>
      <w:lvlJc w:val="left"/>
      <w:pPr>
        <w:ind w:left="76" w:hanging="360"/>
      </w:pPr>
      <w:rPr>
        <w:rFonts w:ascii="Segoe UI" w:eastAsiaTheme="minorHAnsi" w:hAnsi="Segoe UI" w:cs="Segoe UI" w:hint="default"/>
        <w:b w:val="0"/>
        <w:sz w:val="20"/>
      </w:rPr>
    </w:lvl>
    <w:lvl w:ilvl="1" w:tplc="040C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7" w15:restartNumberingAfterBreak="0">
    <w:nsid w:val="36A04DBC"/>
    <w:multiLevelType w:val="hybridMultilevel"/>
    <w:tmpl w:val="9DE2858C"/>
    <w:lvl w:ilvl="0" w:tplc="E66EC32E">
      <w:start w:val="1"/>
      <w:numFmt w:val="bullet"/>
      <w:pStyle w:val="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077AEF"/>
    <w:multiLevelType w:val="hybridMultilevel"/>
    <w:tmpl w:val="9A206656"/>
    <w:lvl w:ilvl="0" w:tplc="040C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3E306C0C"/>
    <w:multiLevelType w:val="hybridMultilevel"/>
    <w:tmpl w:val="9E9672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DB13BD"/>
    <w:multiLevelType w:val="hybridMultilevel"/>
    <w:tmpl w:val="3DA8E2FA"/>
    <w:lvl w:ilvl="0" w:tplc="59244BD2">
      <w:start w:val="2026"/>
      <w:numFmt w:val="bullet"/>
      <w:lvlText w:val=""/>
      <w:lvlJc w:val="left"/>
      <w:pPr>
        <w:ind w:left="720" w:hanging="360"/>
      </w:pPr>
      <w:rPr>
        <w:rFonts w:ascii="Symbol" w:eastAsiaTheme="minorHAnsi" w:hAnsi="Symbol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954ADB"/>
    <w:multiLevelType w:val="hybridMultilevel"/>
    <w:tmpl w:val="E65CF0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F537E7"/>
    <w:multiLevelType w:val="multilevel"/>
    <w:tmpl w:val="A08E14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5FE52771"/>
    <w:multiLevelType w:val="hybridMultilevel"/>
    <w:tmpl w:val="9A10C69E"/>
    <w:lvl w:ilvl="0" w:tplc="38A6962C">
      <w:numFmt w:val="bullet"/>
      <w:pStyle w:val="accentuation01"/>
      <w:lvlText w:val=""/>
      <w:lvlJc w:val="left"/>
      <w:pPr>
        <w:ind w:left="720" w:hanging="360"/>
      </w:pPr>
      <w:rPr>
        <w:rFonts w:ascii="Symbol" w:eastAsiaTheme="minorHAnsi" w:hAnsi="Symbol" w:cs="Segoe UI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B43AA4"/>
    <w:multiLevelType w:val="hybridMultilevel"/>
    <w:tmpl w:val="6BDC361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DF64D1"/>
    <w:multiLevelType w:val="hybridMultilevel"/>
    <w:tmpl w:val="B052BE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C9220F"/>
    <w:multiLevelType w:val="hybridMultilevel"/>
    <w:tmpl w:val="72325826"/>
    <w:lvl w:ilvl="0" w:tplc="0E006CD4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  <w:color w:val="AC224F"/>
      </w:rPr>
    </w:lvl>
    <w:lvl w:ilvl="1" w:tplc="040C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 w15:restartNumberingAfterBreak="0">
    <w:nsid w:val="79A203BA"/>
    <w:multiLevelType w:val="hybridMultilevel"/>
    <w:tmpl w:val="6DF6EE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7"/>
  </w:num>
  <w:num w:numId="6">
    <w:abstractNumId w:val="15"/>
  </w:num>
  <w:num w:numId="7">
    <w:abstractNumId w:val="5"/>
  </w:num>
  <w:num w:numId="8">
    <w:abstractNumId w:val="4"/>
  </w:num>
  <w:num w:numId="9">
    <w:abstractNumId w:val="1"/>
  </w:num>
  <w:num w:numId="10">
    <w:abstractNumId w:val="11"/>
  </w:num>
  <w:num w:numId="11">
    <w:abstractNumId w:val="7"/>
  </w:num>
  <w:num w:numId="12">
    <w:abstractNumId w:val="0"/>
  </w:num>
  <w:num w:numId="13">
    <w:abstractNumId w:val="2"/>
  </w:num>
  <w:num w:numId="14">
    <w:abstractNumId w:val="13"/>
  </w:num>
  <w:num w:numId="15">
    <w:abstractNumId w:val="8"/>
  </w:num>
  <w:num w:numId="16">
    <w:abstractNumId w:val="6"/>
  </w:num>
  <w:num w:numId="17">
    <w:abstractNumId w:val="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5B6"/>
    <w:rsid w:val="00001AD1"/>
    <w:rsid w:val="000064C1"/>
    <w:rsid w:val="00006D9E"/>
    <w:rsid w:val="00006E50"/>
    <w:rsid w:val="00020EE2"/>
    <w:rsid w:val="00022127"/>
    <w:rsid w:val="00022880"/>
    <w:rsid w:val="00022F44"/>
    <w:rsid w:val="00031533"/>
    <w:rsid w:val="00045CF8"/>
    <w:rsid w:val="0004712E"/>
    <w:rsid w:val="00050225"/>
    <w:rsid w:val="000534EC"/>
    <w:rsid w:val="00056A9C"/>
    <w:rsid w:val="0006163A"/>
    <w:rsid w:val="00064115"/>
    <w:rsid w:val="000676F2"/>
    <w:rsid w:val="00071F97"/>
    <w:rsid w:val="00072A5A"/>
    <w:rsid w:val="000763B3"/>
    <w:rsid w:val="00080037"/>
    <w:rsid w:val="00080122"/>
    <w:rsid w:val="00093142"/>
    <w:rsid w:val="00097777"/>
    <w:rsid w:val="000A1918"/>
    <w:rsid w:val="000B30DD"/>
    <w:rsid w:val="000B7FB0"/>
    <w:rsid w:val="000D3DCD"/>
    <w:rsid w:val="000E1E2F"/>
    <w:rsid w:val="000E7793"/>
    <w:rsid w:val="000F2C4E"/>
    <w:rsid w:val="000F61C9"/>
    <w:rsid w:val="00100569"/>
    <w:rsid w:val="00100C95"/>
    <w:rsid w:val="00104231"/>
    <w:rsid w:val="0010778C"/>
    <w:rsid w:val="001105E1"/>
    <w:rsid w:val="001109EF"/>
    <w:rsid w:val="00111C32"/>
    <w:rsid w:val="0012430D"/>
    <w:rsid w:val="00130B26"/>
    <w:rsid w:val="00134DE8"/>
    <w:rsid w:val="001360A8"/>
    <w:rsid w:val="0014658F"/>
    <w:rsid w:val="00146F02"/>
    <w:rsid w:val="001476A7"/>
    <w:rsid w:val="00147754"/>
    <w:rsid w:val="001505C0"/>
    <w:rsid w:val="00152C27"/>
    <w:rsid w:val="00175E92"/>
    <w:rsid w:val="00184135"/>
    <w:rsid w:val="0019173B"/>
    <w:rsid w:val="0019280B"/>
    <w:rsid w:val="001A1A43"/>
    <w:rsid w:val="001A1CD5"/>
    <w:rsid w:val="001A5A37"/>
    <w:rsid w:val="001B1CF0"/>
    <w:rsid w:val="001C100F"/>
    <w:rsid w:val="001C2361"/>
    <w:rsid w:val="001C4052"/>
    <w:rsid w:val="001C7367"/>
    <w:rsid w:val="001E2602"/>
    <w:rsid w:val="001E4D67"/>
    <w:rsid w:val="001F235A"/>
    <w:rsid w:val="001F2D7C"/>
    <w:rsid w:val="001F3600"/>
    <w:rsid w:val="00211A12"/>
    <w:rsid w:val="00223554"/>
    <w:rsid w:val="00225798"/>
    <w:rsid w:val="00246C65"/>
    <w:rsid w:val="00250F27"/>
    <w:rsid w:val="002530FB"/>
    <w:rsid w:val="00253897"/>
    <w:rsid w:val="002550BB"/>
    <w:rsid w:val="00255F30"/>
    <w:rsid w:val="00257E48"/>
    <w:rsid w:val="00271182"/>
    <w:rsid w:val="002762C9"/>
    <w:rsid w:val="00281BCD"/>
    <w:rsid w:val="002B4F60"/>
    <w:rsid w:val="002B577E"/>
    <w:rsid w:val="002B6A06"/>
    <w:rsid w:val="002C2CF3"/>
    <w:rsid w:val="002C449E"/>
    <w:rsid w:val="002C4D02"/>
    <w:rsid w:val="002C58D7"/>
    <w:rsid w:val="002C659C"/>
    <w:rsid w:val="002D0066"/>
    <w:rsid w:val="002D13A2"/>
    <w:rsid w:val="002D4C04"/>
    <w:rsid w:val="002D6AC3"/>
    <w:rsid w:val="002E50E9"/>
    <w:rsid w:val="002E6890"/>
    <w:rsid w:val="002E7383"/>
    <w:rsid w:val="002F210F"/>
    <w:rsid w:val="002F2432"/>
    <w:rsid w:val="002F61D3"/>
    <w:rsid w:val="0030017B"/>
    <w:rsid w:val="00301021"/>
    <w:rsid w:val="0030148A"/>
    <w:rsid w:val="00304889"/>
    <w:rsid w:val="003145B1"/>
    <w:rsid w:val="00317870"/>
    <w:rsid w:val="00323A4A"/>
    <w:rsid w:val="003257BD"/>
    <w:rsid w:val="0033036F"/>
    <w:rsid w:val="00330428"/>
    <w:rsid w:val="00332310"/>
    <w:rsid w:val="00333019"/>
    <w:rsid w:val="003339CE"/>
    <w:rsid w:val="003407BF"/>
    <w:rsid w:val="00341E94"/>
    <w:rsid w:val="00341EC1"/>
    <w:rsid w:val="00344131"/>
    <w:rsid w:val="00347F9E"/>
    <w:rsid w:val="00351E1C"/>
    <w:rsid w:val="00377143"/>
    <w:rsid w:val="00377431"/>
    <w:rsid w:val="00380B13"/>
    <w:rsid w:val="003847EC"/>
    <w:rsid w:val="00394653"/>
    <w:rsid w:val="003A1D94"/>
    <w:rsid w:val="003A7EB8"/>
    <w:rsid w:val="003B1A22"/>
    <w:rsid w:val="003B33D3"/>
    <w:rsid w:val="003D2AD3"/>
    <w:rsid w:val="003D5550"/>
    <w:rsid w:val="003D6537"/>
    <w:rsid w:val="003E5711"/>
    <w:rsid w:val="0040330E"/>
    <w:rsid w:val="004064FA"/>
    <w:rsid w:val="00406D60"/>
    <w:rsid w:val="00415F39"/>
    <w:rsid w:val="0042300C"/>
    <w:rsid w:val="0042476B"/>
    <w:rsid w:val="004311AF"/>
    <w:rsid w:val="00435B8B"/>
    <w:rsid w:val="0043659B"/>
    <w:rsid w:val="004372C1"/>
    <w:rsid w:val="00450D73"/>
    <w:rsid w:val="00452C51"/>
    <w:rsid w:val="00457B18"/>
    <w:rsid w:val="00463378"/>
    <w:rsid w:val="00466CB0"/>
    <w:rsid w:val="004716CD"/>
    <w:rsid w:val="00471702"/>
    <w:rsid w:val="00472C6F"/>
    <w:rsid w:val="004908E5"/>
    <w:rsid w:val="00490B3C"/>
    <w:rsid w:val="00496D10"/>
    <w:rsid w:val="004A28DB"/>
    <w:rsid w:val="004C3273"/>
    <w:rsid w:val="004D02ED"/>
    <w:rsid w:val="004D444C"/>
    <w:rsid w:val="004D4F58"/>
    <w:rsid w:val="004D7C76"/>
    <w:rsid w:val="004E6C1A"/>
    <w:rsid w:val="004E6DB3"/>
    <w:rsid w:val="004E7972"/>
    <w:rsid w:val="004F211B"/>
    <w:rsid w:val="004F2214"/>
    <w:rsid w:val="004F3138"/>
    <w:rsid w:val="005077FB"/>
    <w:rsid w:val="005246C5"/>
    <w:rsid w:val="00532CDF"/>
    <w:rsid w:val="00532CE3"/>
    <w:rsid w:val="00533C10"/>
    <w:rsid w:val="00541AB4"/>
    <w:rsid w:val="00543CA9"/>
    <w:rsid w:val="00545FE6"/>
    <w:rsid w:val="00557E89"/>
    <w:rsid w:val="00560417"/>
    <w:rsid w:val="00561CC4"/>
    <w:rsid w:val="00570650"/>
    <w:rsid w:val="00570D3F"/>
    <w:rsid w:val="00575F99"/>
    <w:rsid w:val="005806A2"/>
    <w:rsid w:val="00584799"/>
    <w:rsid w:val="00590894"/>
    <w:rsid w:val="00591EEF"/>
    <w:rsid w:val="0059242E"/>
    <w:rsid w:val="00595003"/>
    <w:rsid w:val="005A1ECF"/>
    <w:rsid w:val="005A5D69"/>
    <w:rsid w:val="005B28D9"/>
    <w:rsid w:val="005B3D40"/>
    <w:rsid w:val="005C141A"/>
    <w:rsid w:val="005C62AD"/>
    <w:rsid w:val="005E2CCB"/>
    <w:rsid w:val="005E6FED"/>
    <w:rsid w:val="005F14B0"/>
    <w:rsid w:val="005F3966"/>
    <w:rsid w:val="005F6235"/>
    <w:rsid w:val="00610942"/>
    <w:rsid w:val="00616EE2"/>
    <w:rsid w:val="00627753"/>
    <w:rsid w:val="00632692"/>
    <w:rsid w:val="00632CC5"/>
    <w:rsid w:val="00641868"/>
    <w:rsid w:val="006477A2"/>
    <w:rsid w:val="0065370B"/>
    <w:rsid w:val="00653AB3"/>
    <w:rsid w:val="006561E7"/>
    <w:rsid w:val="006600F3"/>
    <w:rsid w:val="00670139"/>
    <w:rsid w:val="0068679E"/>
    <w:rsid w:val="006A0293"/>
    <w:rsid w:val="006A3795"/>
    <w:rsid w:val="006A6ECF"/>
    <w:rsid w:val="006B4AE0"/>
    <w:rsid w:val="006B5511"/>
    <w:rsid w:val="006D209E"/>
    <w:rsid w:val="006D2D36"/>
    <w:rsid w:val="006D4D83"/>
    <w:rsid w:val="006D79B7"/>
    <w:rsid w:val="006E40BB"/>
    <w:rsid w:val="006E6805"/>
    <w:rsid w:val="006E6FA7"/>
    <w:rsid w:val="006F4CCE"/>
    <w:rsid w:val="006F6043"/>
    <w:rsid w:val="00702413"/>
    <w:rsid w:val="00706D2B"/>
    <w:rsid w:val="007113BD"/>
    <w:rsid w:val="00713856"/>
    <w:rsid w:val="00713D95"/>
    <w:rsid w:val="00717F3F"/>
    <w:rsid w:val="007209E2"/>
    <w:rsid w:val="007241D4"/>
    <w:rsid w:val="00727D83"/>
    <w:rsid w:val="0073377D"/>
    <w:rsid w:val="00733B08"/>
    <w:rsid w:val="00733CCE"/>
    <w:rsid w:val="00743DD2"/>
    <w:rsid w:val="00745853"/>
    <w:rsid w:val="00750E94"/>
    <w:rsid w:val="00754E7E"/>
    <w:rsid w:val="00756A18"/>
    <w:rsid w:val="00761156"/>
    <w:rsid w:val="00761AC2"/>
    <w:rsid w:val="00761D31"/>
    <w:rsid w:val="00771CE5"/>
    <w:rsid w:val="007744E3"/>
    <w:rsid w:val="0077520D"/>
    <w:rsid w:val="00776C9A"/>
    <w:rsid w:val="00777884"/>
    <w:rsid w:val="00781BFC"/>
    <w:rsid w:val="0078229D"/>
    <w:rsid w:val="00784E82"/>
    <w:rsid w:val="007855F6"/>
    <w:rsid w:val="00786241"/>
    <w:rsid w:val="00787921"/>
    <w:rsid w:val="00787F66"/>
    <w:rsid w:val="00791423"/>
    <w:rsid w:val="00792F20"/>
    <w:rsid w:val="007939AE"/>
    <w:rsid w:val="007952D4"/>
    <w:rsid w:val="00797604"/>
    <w:rsid w:val="007A0F0A"/>
    <w:rsid w:val="007A352F"/>
    <w:rsid w:val="007B0159"/>
    <w:rsid w:val="007B0F27"/>
    <w:rsid w:val="007B4A65"/>
    <w:rsid w:val="007B4BC5"/>
    <w:rsid w:val="007B74A6"/>
    <w:rsid w:val="007C3111"/>
    <w:rsid w:val="007C465F"/>
    <w:rsid w:val="007E3882"/>
    <w:rsid w:val="007E456F"/>
    <w:rsid w:val="007E5320"/>
    <w:rsid w:val="007E6D56"/>
    <w:rsid w:val="007F4001"/>
    <w:rsid w:val="007F55EB"/>
    <w:rsid w:val="007F6278"/>
    <w:rsid w:val="007F632E"/>
    <w:rsid w:val="007F6B39"/>
    <w:rsid w:val="008029D3"/>
    <w:rsid w:val="00816CD2"/>
    <w:rsid w:val="00830877"/>
    <w:rsid w:val="00847CE8"/>
    <w:rsid w:val="008718A1"/>
    <w:rsid w:val="00872358"/>
    <w:rsid w:val="0087679E"/>
    <w:rsid w:val="0088232B"/>
    <w:rsid w:val="00890E59"/>
    <w:rsid w:val="008918AF"/>
    <w:rsid w:val="008924BF"/>
    <w:rsid w:val="00896C99"/>
    <w:rsid w:val="00897924"/>
    <w:rsid w:val="008A299F"/>
    <w:rsid w:val="008A3AD5"/>
    <w:rsid w:val="008B697B"/>
    <w:rsid w:val="008E048F"/>
    <w:rsid w:val="008E1707"/>
    <w:rsid w:val="008E3942"/>
    <w:rsid w:val="008F7A1E"/>
    <w:rsid w:val="00913D17"/>
    <w:rsid w:val="00920915"/>
    <w:rsid w:val="009210BC"/>
    <w:rsid w:val="009233E1"/>
    <w:rsid w:val="00924ECB"/>
    <w:rsid w:val="0092634F"/>
    <w:rsid w:val="00932313"/>
    <w:rsid w:val="00952A36"/>
    <w:rsid w:val="00957E6E"/>
    <w:rsid w:val="00960A1A"/>
    <w:rsid w:val="00965841"/>
    <w:rsid w:val="0096625D"/>
    <w:rsid w:val="00971141"/>
    <w:rsid w:val="00971B84"/>
    <w:rsid w:val="009770F2"/>
    <w:rsid w:val="009807B0"/>
    <w:rsid w:val="00981726"/>
    <w:rsid w:val="009839B8"/>
    <w:rsid w:val="00985384"/>
    <w:rsid w:val="009854A7"/>
    <w:rsid w:val="00985A53"/>
    <w:rsid w:val="00992BF4"/>
    <w:rsid w:val="009A4F7D"/>
    <w:rsid w:val="009A5357"/>
    <w:rsid w:val="009A5CB7"/>
    <w:rsid w:val="009B7F35"/>
    <w:rsid w:val="009C761D"/>
    <w:rsid w:val="009D65B6"/>
    <w:rsid w:val="009E35BE"/>
    <w:rsid w:val="009E36F7"/>
    <w:rsid w:val="009F118B"/>
    <w:rsid w:val="009F6794"/>
    <w:rsid w:val="00A0197D"/>
    <w:rsid w:val="00A073CB"/>
    <w:rsid w:val="00A0743B"/>
    <w:rsid w:val="00A164E0"/>
    <w:rsid w:val="00A16E6F"/>
    <w:rsid w:val="00A2007D"/>
    <w:rsid w:val="00A2215A"/>
    <w:rsid w:val="00A233D7"/>
    <w:rsid w:val="00A27EA0"/>
    <w:rsid w:val="00A34C5B"/>
    <w:rsid w:val="00A35142"/>
    <w:rsid w:val="00A413F3"/>
    <w:rsid w:val="00A6504D"/>
    <w:rsid w:val="00A92617"/>
    <w:rsid w:val="00A93D6C"/>
    <w:rsid w:val="00AA020A"/>
    <w:rsid w:val="00AA4E87"/>
    <w:rsid w:val="00AA5DA2"/>
    <w:rsid w:val="00AA684E"/>
    <w:rsid w:val="00AB3252"/>
    <w:rsid w:val="00AB48A8"/>
    <w:rsid w:val="00AB6159"/>
    <w:rsid w:val="00AB752A"/>
    <w:rsid w:val="00AC17E1"/>
    <w:rsid w:val="00AC5966"/>
    <w:rsid w:val="00AE00C8"/>
    <w:rsid w:val="00AE39F6"/>
    <w:rsid w:val="00AE6E6A"/>
    <w:rsid w:val="00B02AE3"/>
    <w:rsid w:val="00B13A6B"/>
    <w:rsid w:val="00B16C2B"/>
    <w:rsid w:val="00B2178A"/>
    <w:rsid w:val="00B30489"/>
    <w:rsid w:val="00B343C4"/>
    <w:rsid w:val="00B454D0"/>
    <w:rsid w:val="00B4725E"/>
    <w:rsid w:val="00B54F85"/>
    <w:rsid w:val="00B62188"/>
    <w:rsid w:val="00B6555F"/>
    <w:rsid w:val="00B95CDB"/>
    <w:rsid w:val="00B97696"/>
    <w:rsid w:val="00BA1C7F"/>
    <w:rsid w:val="00BA5EF8"/>
    <w:rsid w:val="00BA7283"/>
    <w:rsid w:val="00BB069D"/>
    <w:rsid w:val="00BB12C7"/>
    <w:rsid w:val="00BD6B84"/>
    <w:rsid w:val="00BE223A"/>
    <w:rsid w:val="00BE22FE"/>
    <w:rsid w:val="00BE7CCA"/>
    <w:rsid w:val="00BF4E9B"/>
    <w:rsid w:val="00C00008"/>
    <w:rsid w:val="00C11050"/>
    <w:rsid w:val="00C135E7"/>
    <w:rsid w:val="00C17508"/>
    <w:rsid w:val="00C17DF7"/>
    <w:rsid w:val="00C264C8"/>
    <w:rsid w:val="00C26A1B"/>
    <w:rsid w:val="00C27337"/>
    <w:rsid w:val="00C34A5E"/>
    <w:rsid w:val="00C3555F"/>
    <w:rsid w:val="00C35CA3"/>
    <w:rsid w:val="00C4080E"/>
    <w:rsid w:val="00C41E6D"/>
    <w:rsid w:val="00C42AD3"/>
    <w:rsid w:val="00C5341E"/>
    <w:rsid w:val="00C543F3"/>
    <w:rsid w:val="00C73E4D"/>
    <w:rsid w:val="00C9503E"/>
    <w:rsid w:val="00C95726"/>
    <w:rsid w:val="00CA0084"/>
    <w:rsid w:val="00CA0BF9"/>
    <w:rsid w:val="00CA50BD"/>
    <w:rsid w:val="00CA5F26"/>
    <w:rsid w:val="00CA68F4"/>
    <w:rsid w:val="00CB51F4"/>
    <w:rsid w:val="00CB7842"/>
    <w:rsid w:val="00CC1270"/>
    <w:rsid w:val="00CC3768"/>
    <w:rsid w:val="00CC37AF"/>
    <w:rsid w:val="00CC3854"/>
    <w:rsid w:val="00CD1F5E"/>
    <w:rsid w:val="00CD340E"/>
    <w:rsid w:val="00CE339E"/>
    <w:rsid w:val="00CF1C85"/>
    <w:rsid w:val="00CF2A11"/>
    <w:rsid w:val="00CF49B9"/>
    <w:rsid w:val="00D047A7"/>
    <w:rsid w:val="00D11E72"/>
    <w:rsid w:val="00D13547"/>
    <w:rsid w:val="00D21565"/>
    <w:rsid w:val="00D2396F"/>
    <w:rsid w:val="00D309B8"/>
    <w:rsid w:val="00D34A01"/>
    <w:rsid w:val="00D35F83"/>
    <w:rsid w:val="00D37C17"/>
    <w:rsid w:val="00D43BA4"/>
    <w:rsid w:val="00D46625"/>
    <w:rsid w:val="00D56E9A"/>
    <w:rsid w:val="00D6187C"/>
    <w:rsid w:val="00D647F8"/>
    <w:rsid w:val="00D75547"/>
    <w:rsid w:val="00D75BE7"/>
    <w:rsid w:val="00D75EF8"/>
    <w:rsid w:val="00D7794E"/>
    <w:rsid w:val="00D82E2E"/>
    <w:rsid w:val="00D8590D"/>
    <w:rsid w:val="00D87853"/>
    <w:rsid w:val="00D91814"/>
    <w:rsid w:val="00D93AE0"/>
    <w:rsid w:val="00D9438C"/>
    <w:rsid w:val="00DA0637"/>
    <w:rsid w:val="00DA218D"/>
    <w:rsid w:val="00DB3A59"/>
    <w:rsid w:val="00DB3E4A"/>
    <w:rsid w:val="00DB4B5B"/>
    <w:rsid w:val="00DC78BF"/>
    <w:rsid w:val="00DD1978"/>
    <w:rsid w:val="00DE414C"/>
    <w:rsid w:val="00DE5AE7"/>
    <w:rsid w:val="00E00E87"/>
    <w:rsid w:val="00E01524"/>
    <w:rsid w:val="00E07DE5"/>
    <w:rsid w:val="00E117EE"/>
    <w:rsid w:val="00E12D9E"/>
    <w:rsid w:val="00E17D80"/>
    <w:rsid w:val="00E2222E"/>
    <w:rsid w:val="00E23C6C"/>
    <w:rsid w:val="00E273AF"/>
    <w:rsid w:val="00E37715"/>
    <w:rsid w:val="00E40442"/>
    <w:rsid w:val="00E40931"/>
    <w:rsid w:val="00E55039"/>
    <w:rsid w:val="00E73D15"/>
    <w:rsid w:val="00E7688D"/>
    <w:rsid w:val="00E81403"/>
    <w:rsid w:val="00E84F61"/>
    <w:rsid w:val="00E909BE"/>
    <w:rsid w:val="00E909E4"/>
    <w:rsid w:val="00E95F3D"/>
    <w:rsid w:val="00E96E63"/>
    <w:rsid w:val="00EA31C5"/>
    <w:rsid w:val="00EB1FBA"/>
    <w:rsid w:val="00EB30FA"/>
    <w:rsid w:val="00EC3104"/>
    <w:rsid w:val="00EC59F9"/>
    <w:rsid w:val="00EC6882"/>
    <w:rsid w:val="00EC769F"/>
    <w:rsid w:val="00ED1A7A"/>
    <w:rsid w:val="00ED1C96"/>
    <w:rsid w:val="00ED7BA8"/>
    <w:rsid w:val="00EE2BEF"/>
    <w:rsid w:val="00F04540"/>
    <w:rsid w:val="00F05AE8"/>
    <w:rsid w:val="00F063F5"/>
    <w:rsid w:val="00F15ADF"/>
    <w:rsid w:val="00F21DD8"/>
    <w:rsid w:val="00F26F9A"/>
    <w:rsid w:val="00F312C6"/>
    <w:rsid w:val="00F32FC3"/>
    <w:rsid w:val="00F34A1F"/>
    <w:rsid w:val="00F4255E"/>
    <w:rsid w:val="00F43D4E"/>
    <w:rsid w:val="00F44858"/>
    <w:rsid w:val="00F57F1C"/>
    <w:rsid w:val="00F61170"/>
    <w:rsid w:val="00F676DD"/>
    <w:rsid w:val="00F754A7"/>
    <w:rsid w:val="00F85775"/>
    <w:rsid w:val="00F90A47"/>
    <w:rsid w:val="00F93864"/>
    <w:rsid w:val="00FA4B3D"/>
    <w:rsid w:val="00FB3378"/>
    <w:rsid w:val="00FC4535"/>
    <w:rsid w:val="00FD06D8"/>
    <w:rsid w:val="00FD6573"/>
    <w:rsid w:val="00FD7798"/>
    <w:rsid w:val="00FE0055"/>
    <w:rsid w:val="00FE0C91"/>
    <w:rsid w:val="00FF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A9B3222"/>
  <w15:chartTrackingRefBased/>
  <w15:docId w15:val="{4E9A3945-EB59-4A63-8F52-48C2A89CF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16EE2"/>
  </w:style>
  <w:style w:type="paragraph" w:styleId="Titre1">
    <w:name w:val="heading 1"/>
    <w:basedOn w:val="Normal"/>
    <w:next w:val="Normal"/>
    <w:link w:val="Titre1Car"/>
    <w:autoRedefine/>
    <w:uiPriority w:val="9"/>
    <w:rsid w:val="00490B3C"/>
    <w:pPr>
      <w:keepNext/>
      <w:keepLines/>
      <w:spacing w:after="360"/>
      <w:ind w:left="-851"/>
      <w:jc w:val="center"/>
      <w:outlineLvl w:val="0"/>
    </w:pPr>
    <w:rPr>
      <w:rFonts w:ascii="Segoe UI" w:eastAsiaTheme="majorEastAsia" w:hAnsi="Segoe UI" w:cs="Segoe UI"/>
      <w:b/>
      <w:bCs/>
      <w:color w:val="000091" w:themeColor="text1"/>
      <w:sz w:val="36"/>
    </w:rPr>
  </w:style>
  <w:style w:type="paragraph" w:styleId="Titre2">
    <w:name w:val="heading 2"/>
    <w:aliases w:val="Titre 04"/>
    <w:basedOn w:val="Normal"/>
    <w:next w:val="Normal"/>
    <w:link w:val="Titre2Car"/>
    <w:autoRedefine/>
    <w:uiPriority w:val="9"/>
    <w:unhideWhenUsed/>
    <w:rsid w:val="00472C6F"/>
    <w:pPr>
      <w:keepNext/>
      <w:keepLines/>
      <w:spacing w:after="120"/>
      <w:outlineLvl w:val="1"/>
    </w:pPr>
    <w:rPr>
      <w:rFonts w:ascii="Marianne Light" w:eastAsiaTheme="majorEastAsia" w:hAnsi="Marianne Light" w:cstheme="majorBidi"/>
      <w:caps/>
      <w:sz w:val="32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rsid w:val="00C26A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4740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rsid w:val="00F676D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6B60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itredulivre">
    <w:name w:val="Book Title"/>
    <w:basedOn w:val="Policepardfaut"/>
    <w:uiPriority w:val="33"/>
    <w:rsid w:val="00F676DD"/>
    <w:rPr>
      <w:b/>
      <w:bCs/>
      <w:i/>
      <w:iCs/>
      <w:spacing w:val="5"/>
    </w:rPr>
  </w:style>
  <w:style w:type="character" w:styleId="Lienhypertexte">
    <w:name w:val="Hyperlink"/>
    <w:basedOn w:val="Policepardfaut"/>
    <w:uiPriority w:val="99"/>
    <w:unhideWhenUsed/>
    <w:rsid w:val="00981726"/>
    <w:rPr>
      <w:color w:val="0000FF"/>
      <w:u w:val="single"/>
    </w:rPr>
  </w:style>
  <w:style w:type="character" w:customStyle="1" w:styleId="Titre4Car">
    <w:name w:val="Titre 4 Car"/>
    <w:basedOn w:val="Policepardfaut"/>
    <w:link w:val="Titre4"/>
    <w:uiPriority w:val="9"/>
    <w:rsid w:val="00F676DD"/>
    <w:rPr>
      <w:rFonts w:asciiTheme="majorHAnsi" w:eastAsiaTheme="majorEastAsia" w:hAnsiTheme="majorHAnsi" w:cstheme="majorBidi"/>
      <w:i/>
      <w:iCs/>
      <w:color w:val="006B60" w:themeColor="accent1" w:themeShade="BF"/>
    </w:rPr>
  </w:style>
  <w:style w:type="character" w:styleId="lev">
    <w:name w:val="Strong"/>
    <w:basedOn w:val="Policepardfaut"/>
    <w:uiPriority w:val="22"/>
    <w:rsid w:val="004D444C"/>
    <w:rPr>
      <w:b/>
      <w:bCs/>
    </w:rPr>
  </w:style>
  <w:style w:type="character" w:styleId="Accentuation">
    <w:name w:val="Emphasis"/>
    <w:aliases w:val="titre liste"/>
    <w:basedOn w:val="Policepardfaut"/>
    <w:uiPriority w:val="20"/>
    <w:qFormat/>
    <w:rsid w:val="00111C32"/>
    <w:rPr>
      <w:rFonts w:ascii="Marianne Medium" w:hAnsi="Marianne Medium"/>
      <w:b w:val="0"/>
      <w:i w:val="0"/>
      <w:iCs/>
      <w:color w:val="auto"/>
      <w:sz w:val="22"/>
      <w:u w:val="none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8172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81726"/>
    <w:rPr>
      <w:sz w:val="20"/>
      <w:szCs w:val="20"/>
    </w:rPr>
  </w:style>
  <w:style w:type="paragraph" w:customStyle="1" w:styleId="Miseenexergue">
    <w:name w:val="Mise en exergue"/>
    <w:basedOn w:val="Citation"/>
    <w:link w:val="MiseenexergueCar"/>
    <w:rsid w:val="00F15ADF"/>
    <w:pPr>
      <w:ind w:left="-567" w:right="2977"/>
    </w:pPr>
    <w:rPr>
      <w:rFonts w:ascii="Marianne Medium" w:hAnsi="Marianne Medium"/>
      <w:i w:val="0"/>
      <w:iCs w:val="0"/>
      <w:color w:val="000091" w:themeColor="text1"/>
      <w:sz w:val="32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981726"/>
    <w:rPr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817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81726"/>
    <w:rPr>
      <w:rFonts w:ascii="Segoe UI" w:hAnsi="Segoe UI" w:cs="Segoe UI"/>
      <w:sz w:val="18"/>
      <w:szCs w:val="18"/>
    </w:rPr>
  </w:style>
  <w:style w:type="paragraph" w:customStyle="1" w:styleId="miseenavantlienhypertexte">
    <w:name w:val="mise en avant lien hypertexte"/>
    <w:basedOn w:val="Hyperlien"/>
    <w:link w:val="miseenavantlienhypertexteCar"/>
    <w:rsid w:val="00F15ADF"/>
    <w:pPr>
      <w:ind w:right="-850"/>
    </w:pPr>
    <w:rPr>
      <w:rFonts w:ascii="Marianne Medium" w:hAnsi="Marianne Medium"/>
      <w:color w:val="auto"/>
      <w:u w:val="none"/>
    </w:rPr>
  </w:style>
  <w:style w:type="character" w:customStyle="1" w:styleId="MiseenexergueCar">
    <w:name w:val="Mise en exergue Car"/>
    <w:basedOn w:val="CitationCar"/>
    <w:link w:val="Miseenexergue"/>
    <w:rsid w:val="00F15ADF"/>
    <w:rPr>
      <w:rFonts w:ascii="Marianne Medium" w:hAnsi="Marianne Medium"/>
      <w:i w:val="0"/>
      <w:iCs w:val="0"/>
      <w:color w:val="000091" w:themeColor="text1"/>
      <w:sz w:val="32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C23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C2361"/>
  </w:style>
  <w:style w:type="paragraph" w:styleId="Sansinterligne">
    <w:name w:val="No Spacing"/>
    <w:link w:val="SansinterligneCar"/>
    <w:uiPriority w:val="1"/>
    <w:qFormat/>
    <w:rsid w:val="005B3D40"/>
    <w:pPr>
      <w:spacing w:after="0" w:line="240" w:lineRule="auto"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4585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45853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45853"/>
    <w:rPr>
      <w:vertAlign w:val="superscript"/>
    </w:rPr>
  </w:style>
  <w:style w:type="character" w:customStyle="1" w:styleId="Textedelespacerserv">
    <w:name w:val="Texte de l’espace réservé"/>
    <w:basedOn w:val="Policepardfaut"/>
    <w:uiPriority w:val="99"/>
    <w:semiHidden/>
    <w:rsid w:val="00152C27"/>
    <w:rPr>
      <w:color w:val="808080"/>
    </w:rPr>
  </w:style>
  <w:style w:type="character" w:styleId="Lienhypertextesuivivisit">
    <w:name w:val="FollowedHyperlink"/>
    <w:basedOn w:val="Policepardfaut"/>
    <w:uiPriority w:val="99"/>
    <w:semiHidden/>
    <w:unhideWhenUsed/>
    <w:rsid w:val="006A3795"/>
    <w:rPr>
      <w:color w:val="A558A0" w:themeColor="followedHyperlink"/>
      <w:u w:val="singl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A379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A3795"/>
    <w:rPr>
      <w:b/>
      <w:bCs/>
      <w:sz w:val="20"/>
      <w:szCs w:val="20"/>
    </w:rPr>
  </w:style>
  <w:style w:type="paragraph" w:customStyle="1" w:styleId="Titre02">
    <w:name w:val="Titre 02"/>
    <w:basedOn w:val="Normal"/>
    <w:link w:val="Titre02Car"/>
    <w:autoRedefine/>
    <w:qFormat/>
    <w:rsid w:val="00EE2BEF"/>
    <w:pPr>
      <w:spacing w:before="240" w:after="80" w:line="240" w:lineRule="auto"/>
      <w:ind w:left="-284"/>
      <w:jc w:val="both"/>
    </w:pPr>
    <w:rPr>
      <w:rFonts w:ascii="Segoe UI" w:hAnsi="Segoe UI" w:cs="Segoe UI"/>
      <w:bCs/>
      <w:color w:val="000091" w:themeColor="text1"/>
      <w:sz w:val="20"/>
      <w:szCs w:val="20"/>
    </w:rPr>
  </w:style>
  <w:style w:type="paragraph" w:customStyle="1" w:styleId="Soustitre">
    <w:name w:val="Sous titre"/>
    <w:basedOn w:val="Normal"/>
    <w:link w:val="SoustitreCar"/>
    <w:autoRedefine/>
    <w:rsid w:val="00E07DE5"/>
    <w:pPr>
      <w:ind w:left="709"/>
    </w:pPr>
    <w:rPr>
      <w:rFonts w:ascii="Marianne Light" w:eastAsia="Times New Roman" w:hAnsi="Marianne Light" w:cs="Arial"/>
      <w:b/>
      <w:sz w:val="44"/>
      <w:szCs w:val="96"/>
      <w:lang w:eastAsia="fr-FR"/>
    </w:rPr>
  </w:style>
  <w:style w:type="character" w:customStyle="1" w:styleId="Titre02Car">
    <w:name w:val="Titre 02 Car"/>
    <w:basedOn w:val="Policepardfaut"/>
    <w:link w:val="Titre02"/>
    <w:rsid w:val="00EE2BEF"/>
    <w:rPr>
      <w:rFonts w:ascii="Segoe UI" w:hAnsi="Segoe UI" w:cs="Segoe UI"/>
      <w:bCs/>
      <w:color w:val="000091" w:themeColor="text1"/>
      <w:sz w:val="20"/>
      <w:szCs w:val="20"/>
    </w:rPr>
  </w:style>
  <w:style w:type="paragraph" w:styleId="Titre">
    <w:name w:val="Title"/>
    <w:aliases w:val="Titre 01"/>
    <w:basedOn w:val="Normal"/>
    <w:next w:val="Normal"/>
    <w:link w:val="TitreCar"/>
    <w:uiPriority w:val="10"/>
    <w:rsid w:val="00E07DE5"/>
    <w:pPr>
      <w:spacing w:after="0" w:line="240" w:lineRule="auto"/>
      <w:contextualSpacing/>
    </w:pPr>
    <w:rPr>
      <w:rFonts w:ascii="Marianne ExtraBold" w:eastAsiaTheme="majorEastAsia" w:hAnsi="Marianne ExtraBold" w:cstheme="majorBidi"/>
      <w:spacing w:val="-10"/>
      <w:kern w:val="28"/>
      <w:sz w:val="96"/>
      <w:szCs w:val="56"/>
    </w:rPr>
  </w:style>
  <w:style w:type="character" w:customStyle="1" w:styleId="SoustitreCar">
    <w:name w:val="Sous titre Car"/>
    <w:basedOn w:val="Policepardfaut"/>
    <w:link w:val="Soustitre"/>
    <w:rsid w:val="00E07DE5"/>
    <w:rPr>
      <w:rFonts w:ascii="Marianne Light" w:eastAsia="Times New Roman" w:hAnsi="Marianne Light" w:cs="Arial"/>
      <w:b/>
      <w:sz w:val="44"/>
      <w:szCs w:val="96"/>
      <w:lang w:eastAsia="fr-FR"/>
    </w:rPr>
  </w:style>
  <w:style w:type="character" w:customStyle="1" w:styleId="TitreCar">
    <w:name w:val="Titre Car"/>
    <w:aliases w:val="Titre 01 Car"/>
    <w:basedOn w:val="Policepardfaut"/>
    <w:link w:val="Titre"/>
    <w:uiPriority w:val="10"/>
    <w:rsid w:val="00E07DE5"/>
    <w:rPr>
      <w:rFonts w:ascii="Marianne ExtraBold" w:eastAsiaTheme="majorEastAsia" w:hAnsi="Marianne ExtraBold" w:cstheme="majorBidi"/>
      <w:spacing w:val="-10"/>
      <w:kern w:val="28"/>
      <w:sz w:val="96"/>
      <w:szCs w:val="56"/>
    </w:rPr>
  </w:style>
  <w:style w:type="character" w:customStyle="1" w:styleId="Titre2Car">
    <w:name w:val="Titre 2 Car"/>
    <w:aliases w:val="Titre 04 Car"/>
    <w:basedOn w:val="Policepardfaut"/>
    <w:link w:val="Titre2"/>
    <w:uiPriority w:val="9"/>
    <w:rsid w:val="00472C6F"/>
    <w:rPr>
      <w:rFonts w:ascii="Marianne Light" w:eastAsiaTheme="majorEastAsia" w:hAnsi="Marianne Light" w:cstheme="majorBidi"/>
      <w:caps/>
      <w:sz w:val="32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490B3C"/>
    <w:rPr>
      <w:rFonts w:ascii="Segoe UI" w:eastAsiaTheme="majorEastAsia" w:hAnsi="Segoe UI" w:cs="Segoe UI"/>
      <w:b/>
      <w:bCs/>
      <w:color w:val="000091" w:themeColor="text1"/>
      <w:sz w:val="36"/>
    </w:rPr>
  </w:style>
  <w:style w:type="character" w:styleId="Accentuationlgre">
    <w:name w:val="Subtle Emphasis"/>
    <w:uiPriority w:val="19"/>
    <w:rsid w:val="00472C6F"/>
    <w:rPr>
      <w:rFonts w:ascii="Marianne" w:hAnsi="Marianne"/>
      <w:i w:val="0"/>
      <w:iCs/>
      <w:color w:val="FFFFFF" w:themeColor="background1"/>
      <w:sz w:val="22"/>
    </w:rPr>
  </w:style>
  <w:style w:type="character" w:styleId="Rfrenceintense">
    <w:name w:val="Intense Reference"/>
    <w:uiPriority w:val="32"/>
    <w:qFormat/>
    <w:rsid w:val="00AA020A"/>
    <w:rPr>
      <w:rFonts w:ascii="Segoe UI" w:hAnsi="Segoe UI" w:cs="Segoe UI"/>
      <w:color w:val="000091" w:themeColor="text1"/>
    </w:rPr>
  </w:style>
  <w:style w:type="paragraph" w:customStyle="1" w:styleId="Soustitrechapeau">
    <w:name w:val="Sous titre chapeau"/>
    <w:basedOn w:val="Normal"/>
    <w:link w:val="SoustitrechapeauCar"/>
    <w:qFormat/>
    <w:rsid w:val="007952D4"/>
    <w:pPr>
      <w:spacing w:before="240"/>
    </w:pPr>
    <w:rPr>
      <w:rFonts w:ascii="Marianne Light" w:hAnsi="Marianne Light"/>
      <w:color w:val="6A6AF4" w:themeColor="text2"/>
      <w:sz w:val="26"/>
      <w:szCs w:val="26"/>
    </w:rPr>
  </w:style>
  <w:style w:type="paragraph" w:customStyle="1" w:styleId="Titreliste">
    <w:name w:val="Titre liste"/>
    <w:basedOn w:val="Normal"/>
    <w:link w:val="TitrelisteCar"/>
    <w:rsid w:val="00DE5AE7"/>
    <w:pPr>
      <w:spacing w:before="240" w:after="80"/>
    </w:pPr>
    <w:rPr>
      <w:color w:val="000091" w:themeColor="text1"/>
    </w:rPr>
  </w:style>
  <w:style w:type="character" w:customStyle="1" w:styleId="SoustitrechapeauCar">
    <w:name w:val="Sous titre chapeau Car"/>
    <w:basedOn w:val="Policepardfaut"/>
    <w:link w:val="Soustitrechapeau"/>
    <w:rsid w:val="007952D4"/>
    <w:rPr>
      <w:rFonts w:ascii="Marianne Light" w:hAnsi="Marianne Light"/>
      <w:color w:val="6A6AF4" w:themeColor="text2"/>
      <w:sz w:val="26"/>
      <w:szCs w:val="26"/>
    </w:rPr>
  </w:style>
  <w:style w:type="paragraph" w:customStyle="1" w:styleId="Textecourant">
    <w:name w:val="Texte courant"/>
    <w:basedOn w:val="Normal"/>
    <w:link w:val="TextecourantCar"/>
    <w:qFormat/>
    <w:rsid w:val="00B02AE3"/>
    <w:pPr>
      <w:spacing w:after="0" w:line="240" w:lineRule="auto"/>
      <w:ind w:left="-284"/>
      <w:jc w:val="both"/>
    </w:pPr>
    <w:rPr>
      <w:rFonts w:ascii="Segoe UI" w:hAnsi="Segoe UI" w:cs="Segoe UI"/>
      <w:sz w:val="20"/>
      <w:szCs w:val="20"/>
    </w:rPr>
  </w:style>
  <w:style w:type="character" w:customStyle="1" w:styleId="TitrelisteCar">
    <w:name w:val="Titre liste Car"/>
    <w:basedOn w:val="Policepardfaut"/>
    <w:link w:val="Titreliste"/>
    <w:rsid w:val="00DE5AE7"/>
    <w:rPr>
      <w:color w:val="000091" w:themeColor="text1"/>
    </w:rPr>
  </w:style>
  <w:style w:type="character" w:customStyle="1" w:styleId="Titre3Car">
    <w:name w:val="Titre 3 Car"/>
    <w:basedOn w:val="Policepardfaut"/>
    <w:link w:val="Titre3"/>
    <w:uiPriority w:val="9"/>
    <w:rsid w:val="00C26A1B"/>
    <w:rPr>
      <w:rFonts w:asciiTheme="majorHAnsi" w:eastAsiaTheme="majorEastAsia" w:hAnsiTheme="majorHAnsi" w:cstheme="majorBidi"/>
      <w:color w:val="004740" w:themeColor="accent1" w:themeShade="7F"/>
      <w:sz w:val="24"/>
      <w:szCs w:val="24"/>
    </w:rPr>
  </w:style>
  <w:style w:type="character" w:customStyle="1" w:styleId="TextecourantCar">
    <w:name w:val="Texte courant Car"/>
    <w:basedOn w:val="Policepardfaut"/>
    <w:link w:val="Textecourant"/>
    <w:rsid w:val="00B02AE3"/>
    <w:rPr>
      <w:rFonts w:ascii="Segoe UI" w:hAnsi="Segoe UI" w:cs="Segoe UI"/>
      <w:sz w:val="20"/>
      <w:szCs w:val="20"/>
    </w:rPr>
  </w:style>
  <w:style w:type="paragraph" w:customStyle="1" w:styleId="listeTitre">
    <w:name w:val="liste Titre"/>
    <w:basedOn w:val="Titreliste"/>
    <w:link w:val="listeTitreCar"/>
    <w:qFormat/>
    <w:rsid w:val="00985384"/>
    <w:pPr>
      <w:spacing w:after="240"/>
    </w:pPr>
    <w:rPr>
      <w:rFonts w:ascii="Marianne Medium" w:hAnsi="Marianne Medium"/>
      <w:sz w:val="24"/>
    </w:rPr>
  </w:style>
  <w:style w:type="paragraph" w:customStyle="1" w:styleId="accentuation01">
    <w:name w:val="accentuation 01"/>
    <w:basedOn w:val="textecourant0"/>
    <w:link w:val="accentuation01Car"/>
    <w:qFormat/>
    <w:rsid w:val="00457B18"/>
    <w:pPr>
      <w:numPr>
        <w:numId w:val="14"/>
      </w:numPr>
      <w:spacing w:after="80" w:line="240" w:lineRule="auto"/>
      <w:ind w:left="-142" w:hanging="142"/>
      <w:jc w:val="left"/>
    </w:pPr>
    <w:rPr>
      <w:rFonts w:cs="Segoe UI"/>
      <w:color w:val="6A6AF4" w:themeColor="text2"/>
      <w:szCs w:val="20"/>
    </w:rPr>
  </w:style>
  <w:style w:type="character" w:customStyle="1" w:styleId="listeTitreCar">
    <w:name w:val="liste Titre Car"/>
    <w:basedOn w:val="TitrelisteCar"/>
    <w:link w:val="listeTitre"/>
    <w:rsid w:val="00985384"/>
    <w:rPr>
      <w:rFonts w:ascii="Marianne Medium" w:hAnsi="Marianne Medium"/>
      <w:color w:val="000091" w:themeColor="text1"/>
      <w:sz w:val="24"/>
    </w:rPr>
  </w:style>
  <w:style w:type="paragraph" w:customStyle="1" w:styleId="notesdebasdepage">
    <w:name w:val="notes de bas de page"/>
    <w:basedOn w:val="Textecourant"/>
    <w:link w:val="notesdebasdepageCar"/>
    <w:rsid w:val="00F15ADF"/>
    <w:rPr>
      <w:rFonts w:ascii="Marianne" w:hAnsi="Marianne"/>
      <w:color w:val="000091" w:themeColor="text1"/>
      <w:sz w:val="17"/>
      <w:szCs w:val="17"/>
    </w:rPr>
  </w:style>
  <w:style w:type="character" w:customStyle="1" w:styleId="accentuation01Car">
    <w:name w:val="accentuation 01 Car"/>
    <w:basedOn w:val="SoustitrechapeauCar"/>
    <w:link w:val="accentuation01"/>
    <w:rsid w:val="00457B18"/>
    <w:rPr>
      <w:rFonts w:ascii="Segoe UI" w:hAnsi="Segoe UI" w:cs="Segoe UI"/>
      <w:color w:val="6A6AF4" w:themeColor="text2"/>
      <w:sz w:val="20"/>
      <w:szCs w:val="20"/>
    </w:rPr>
  </w:style>
  <w:style w:type="paragraph" w:customStyle="1" w:styleId="Hyperlien">
    <w:name w:val="Hyperlien"/>
    <w:basedOn w:val="Normal"/>
    <w:link w:val="HyperlienCar"/>
    <w:qFormat/>
    <w:rsid w:val="00DA218D"/>
    <w:pPr>
      <w:spacing w:after="0"/>
    </w:pPr>
    <w:rPr>
      <w:rFonts w:ascii="Marianne Light" w:hAnsi="Marianne Light"/>
      <w:color w:val="1212FF"/>
      <w:u w:val="single"/>
    </w:rPr>
  </w:style>
  <w:style w:type="character" w:customStyle="1" w:styleId="miseenavantlienhypertexteCar">
    <w:name w:val="mise en avant lien hypertexte Car"/>
    <w:basedOn w:val="HyperlienCar"/>
    <w:link w:val="miseenavantlienhypertexte"/>
    <w:rsid w:val="00F15ADF"/>
    <w:rPr>
      <w:rFonts w:ascii="Marianne Medium" w:hAnsi="Marianne Medium"/>
      <w:color w:val="1212FF"/>
      <w:u w:val="single"/>
    </w:rPr>
  </w:style>
  <w:style w:type="character" w:customStyle="1" w:styleId="HyperlienCar">
    <w:name w:val="Hyperlien Car"/>
    <w:basedOn w:val="Policepardfaut"/>
    <w:link w:val="Hyperlien"/>
    <w:rsid w:val="00DA218D"/>
    <w:rPr>
      <w:rFonts w:ascii="Marianne Light" w:hAnsi="Marianne Light"/>
      <w:color w:val="1212FF"/>
      <w:u w:val="single"/>
    </w:rPr>
  </w:style>
  <w:style w:type="paragraph" w:styleId="Citation">
    <w:name w:val="Quote"/>
    <w:basedOn w:val="Normal"/>
    <w:next w:val="Normal"/>
    <w:link w:val="CitationCar"/>
    <w:uiPriority w:val="29"/>
    <w:rsid w:val="009A5CB7"/>
    <w:pPr>
      <w:spacing w:before="360" w:after="360"/>
      <w:ind w:left="862" w:right="862"/>
    </w:pPr>
    <w:rPr>
      <w:rFonts w:ascii="Spectral Medium" w:hAnsi="Spectral Medium"/>
      <w:i/>
      <w:iCs/>
      <w:color w:val="6D6DFF" w:themeColor="text1" w:themeTint="66"/>
      <w:sz w:val="28"/>
    </w:rPr>
  </w:style>
  <w:style w:type="character" w:customStyle="1" w:styleId="CitationCar">
    <w:name w:val="Citation Car"/>
    <w:basedOn w:val="Policepardfaut"/>
    <w:link w:val="Citation"/>
    <w:uiPriority w:val="29"/>
    <w:rsid w:val="009A5CB7"/>
    <w:rPr>
      <w:rFonts w:ascii="Spectral Medium" w:hAnsi="Spectral Medium"/>
      <w:i/>
      <w:iCs/>
      <w:color w:val="6D6DFF" w:themeColor="text1" w:themeTint="66"/>
      <w:sz w:val="28"/>
    </w:rPr>
  </w:style>
  <w:style w:type="character" w:customStyle="1" w:styleId="notesdebasdepageCar">
    <w:name w:val="notes de bas de page Car"/>
    <w:basedOn w:val="TextecourantCar"/>
    <w:link w:val="notesdebasdepage"/>
    <w:rsid w:val="00F15ADF"/>
    <w:rPr>
      <w:rFonts w:ascii="Marianne" w:hAnsi="Marianne" w:cs="Segoe UI"/>
      <w:color w:val="000091" w:themeColor="text1"/>
      <w:sz w:val="17"/>
      <w:szCs w:val="17"/>
    </w:rPr>
  </w:style>
  <w:style w:type="paragraph" w:styleId="En-tte">
    <w:name w:val="header"/>
    <w:basedOn w:val="Normal"/>
    <w:link w:val="En-tteCar"/>
    <w:uiPriority w:val="99"/>
    <w:unhideWhenUsed/>
    <w:rsid w:val="00DB4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B4B5B"/>
  </w:style>
  <w:style w:type="character" w:customStyle="1" w:styleId="listeCar">
    <w:name w:val="liste Car"/>
    <w:basedOn w:val="Policepardfaut"/>
    <w:link w:val="liste"/>
    <w:locked/>
    <w:rsid w:val="004311AF"/>
    <w:rPr>
      <w:rFonts w:ascii="Marianne Light" w:hAnsi="Marianne Light"/>
    </w:rPr>
  </w:style>
  <w:style w:type="paragraph" w:customStyle="1" w:styleId="liste">
    <w:name w:val="liste"/>
    <w:basedOn w:val="Paragraphedeliste"/>
    <w:link w:val="listeCar"/>
    <w:rsid w:val="004311AF"/>
    <w:pPr>
      <w:numPr>
        <w:numId w:val="11"/>
      </w:numPr>
      <w:spacing w:before="240" w:after="240" w:line="256" w:lineRule="auto"/>
      <w:ind w:left="0" w:firstLine="0"/>
    </w:pPr>
    <w:rPr>
      <w:rFonts w:ascii="Marianne Light" w:hAnsi="Marianne Light"/>
    </w:rPr>
  </w:style>
  <w:style w:type="character" w:customStyle="1" w:styleId="listeN-1Car">
    <w:name w:val="liste N-1 Car"/>
    <w:basedOn w:val="Policepardfaut"/>
    <w:link w:val="listeN-1"/>
    <w:locked/>
    <w:rsid w:val="004311AF"/>
    <w:rPr>
      <w:rFonts w:ascii="Marianne Light" w:hAnsi="Marianne Light"/>
    </w:rPr>
  </w:style>
  <w:style w:type="paragraph" w:customStyle="1" w:styleId="listeN-1">
    <w:name w:val="liste N-1"/>
    <w:basedOn w:val="Paragraphedeliste"/>
    <w:link w:val="listeN-1Car"/>
    <w:autoRedefine/>
    <w:qFormat/>
    <w:rsid w:val="004311AF"/>
    <w:pPr>
      <w:numPr>
        <w:numId w:val="12"/>
      </w:numPr>
      <w:spacing w:before="240" w:after="240" w:line="256" w:lineRule="auto"/>
      <w:ind w:left="567" w:firstLine="0"/>
    </w:pPr>
    <w:rPr>
      <w:rFonts w:ascii="Marianne Light" w:hAnsi="Marianne Light"/>
    </w:rPr>
  </w:style>
  <w:style w:type="paragraph" w:customStyle="1" w:styleId="ListeN-2">
    <w:name w:val="Liste N-2"/>
    <w:basedOn w:val="Paragraphedeliste"/>
    <w:rsid w:val="004311AF"/>
    <w:pPr>
      <w:numPr>
        <w:ilvl w:val="5"/>
        <w:numId w:val="12"/>
      </w:numPr>
      <w:tabs>
        <w:tab w:val="num" w:pos="360"/>
      </w:tabs>
      <w:spacing w:after="0" w:line="256" w:lineRule="auto"/>
      <w:ind w:left="1276" w:hanging="283"/>
    </w:pPr>
    <w:rPr>
      <w:rFonts w:ascii="Marianne Light" w:hAnsi="Marianne Light"/>
      <w:b/>
    </w:rPr>
  </w:style>
  <w:style w:type="paragraph" w:styleId="Paragraphedeliste">
    <w:name w:val="List Paragraph"/>
    <w:basedOn w:val="Normal"/>
    <w:link w:val="ParagraphedelisteCar"/>
    <w:uiPriority w:val="34"/>
    <w:rsid w:val="004311AF"/>
    <w:pPr>
      <w:ind w:left="720"/>
      <w:contextualSpacing/>
    </w:pPr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4311AF"/>
  </w:style>
  <w:style w:type="paragraph" w:customStyle="1" w:styleId="Titrenote">
    <w:name w:val="Titre note"/>
    <w:basedOn w:val="Normal"/>
    <w:link w:val="TitrenoteCar"/>
    <w:rsid w:val="00706D2B"/>
    <w:pPr>
      <w:ind w:right="-1417" w:hanging="709"/>
      <w:jc w:val="center"/>
    </w:pPr>
    <w:rPr>
      <w:rFonts w:ascii="Marianne" w:hAnsi="Marianne" w:cs="Segoe UI"/>
      <w:b/>
      <w:bCs/>
      <w:color w:val="E4A503" w:themeColor="accent2" w:themeShade="BF"/>
      <w:sz w:val="28"/>
      <w:szCs w:val="28"/>
    </w:rPr>
  </w:style>
  <w:style w:type="paragraph" w:customStyle="1" w:styleId="Commentairenote">
    <w:name w:val="Commentaire note"/>
    <w:basedOn w:val="Normal"/>
    <w:rsid w:val="00706D2B"/>
    <w:pPr>
      <w:ind w:right="-708"/>
    </w:pPr>
    <w:rPr>
      <w:rFonts w:ascii="Marianne" w:hAnsi="Marianne" w:cs="Segoe UI"/>
      <w:i/>
      <w:iCs/>
      <w:color w:val="6A6AF4" w:themeColor="text2"/>
    </w:rPr>
  </w:style>
  <w:style w:type="character" w:customStyle="1" w:styleId="TitrenoteCar">
    <w:name w:val="Titre note Car"/>
    <w:basedOn w:val="Policepardfaut"/>
    <w:link w:val="Titrenote"/>
    <w:rsid w:val="00706D2B"/>
    <w:rPr>
      <w:rFonts w:ascii="Marianne" w:hAnsi="Marianne" w:cs="Segoe UI"/>
      <w:b/>
      <w:bCs/>
      <w:color w:val="E4A503" w:themeColor="accent2" w:themeShade="BF"/>
      <w:sz w:val="28"/>
      <w:szCs w:val="28"/>
    </w:rPr>
  </w:style>
  <w:style w:type="character" w:customStyle="1" w:styleId="SansinterligneCar">
    <w:name w:val="Sans interligne Car"/>
    <w:basedOn w:val="Policepardfaut"/>
    <w:link w:val="Sansinterligne"/>
    <w:uiPriority w:val="1"/>
    <w:locked/>
    <w:rsid w:val="007209E2"/>
  </w:style>
  <w:style w:type="paragraph" w:styleId="Notedefin">
    <w:name w:val="endnote text"/>
    <w:basedOn w:val="Normal"/>
    <w:link w:val="NotedefinCar"/>
    <w:uiPriority w:val="99"/>
    <w:unhideWhenUsed/>
    <w:rsid w:val="007209E2"/>
    <w:pPr>
      <w:spacing w:after="0" w:line="240" w:lineRule="auto"/>
    </w:pPr>
    <w:rPr>
      <w:rFonts w:eastAsia="SimSun"/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rsid w:val="007209E2"/>
    <w:rPr>
      <w:rFonts w:eastAsia="SimSun"/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7209E2"/>
    <w:rPr>
      <w:vertAlign w:val="superscript"/>
    </w:rPr>
  </w:style>
  <w:style w:type="paragraph" w:customStyle="1" w:styleId="Brvesco-Normal">
    <w:name w:val="BrèvesÉco - Normal"/>
    <w:basedOn w:val="Normal"/>
    <w:rsid w:val="007209E2"/>
    <w:pPr>
      <w:spacing w:after="0" w:line="260" w:lineRule="exact"/>
      <w:jc w:val="both"/>
    </w:pPr>
    <w:rPr>
      <w:rFonts w:ascii="Marianne" w:hAnsi="Marianne" w:cs="Times New Roman (Corps CS)"/>
      <w:color w:val="1A171B"/>
      <w:sz w:val="20"/>
      <w:szCs w:val="24"/>
    </w:rPr>
  </w:style>
  <w:style w:type="paragraph" w:customStyle="1" w:styleId="notesbasdepage">
    <w:name w:val="notes bas de page"/>
    <w:basedOn w:val="Notedefin"/>
    <w:link w:val="notesbasdepageCar"/>
    <w:rsid w:val="007209E2"/>
    <w:pPr>
      <w:ind w:left="-567" w:right="142"/>
    </w:pPr>
    <w:rPr>
      <w:rFonts w:ascii="Segoe UI" w:hAnsi="Segoe UI" w:cs="Segoe UI"/>
      <w:sz w:val="18"/>
      <w:szCs w:val="18"/>
    </w:rPr>
  </w:style>
  <w:style w:type="paragraph" w:customStyle="1" w:styleId="textecourant0">
    <w:name w:val="texte courant"/>
    <w:basedOn w:val="Normal"/>
    <w:rsid w:val="00532CE3"/>
    <w:pPr>
      <w:spacing w:after="0" w:line="260" w:lineRule="exact"/>
      <w:jc w:val="both"/>
    </w:pPr>
    <w:rPr>
      <w:rFonts w:ascii="Segoe UI" w:hAnsi="Segoe UI" w:cs="Times New Roman (Corps CS)"/>
      <w:color w:val="1A171B"/>
      <w:sz w:val="20"/>
      <w:szCs w:val="24"/>
    </w:rPr>
  </w:style>
  <w:style w:type="character" w:customStyle="1" w:styleId="notesbasdepageCar">
    <w:name w:val="notes bas de page Car"/>
    <w:basedOn w:val="NotedefinCar"/>
    <w:link w:val="notesbasdepage"/>
    <w:rsid w:val="007209E2"/>
    <w:rPr>
      <w:rFonts w:ascii="Segoe UI" w:eastAsia="SimSun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9854A7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roconclusion">
    <w:name w:val="Intro/conclusion"/>
    <w:basedOn w:val="Sansinterligne"/>
    <w:link w:val="IntroconclusionCar"/>
    <w:qFormat/>
    <w:rsid w:val="00B343C4"/>
    <w:pPr>
      <w:spacing w:after="240"/>
      <w:ind w:left="-284"/>
      <w:jc w:val="both"/>
    </w:pPr>
    <w:rPr>
      <w:rFonts w:ascii="Segoe UI" w:hAnsi="Segoe UI" w:cs="Segoe UI"/>
      <w:color w:val="000091" w:themeColor="text1"/>
      <w:sz w:val="20"/>
      <w:szCs w:val="20"/>
      <w:lang w:eastAsia="fr-FR"/>
    </w:rPr>
  </w:style>
  <w:style w:type="character" w:customStyle="1" w:styleId="IntroconclusionCar">
    <w:name w:val="Intro/conclusion Car"/>
    <w:basedOn w:val="SansinterligneCar"/>
    <w:link w:val="Introconclusion"/>
    <w:rsid w:val="00B343C4"/>
    <w:rPr>
      <w:rFonts w:ascii="Segoe UI" w:hAnsi="Segoe UI" w:cs="Segoe UI"/>
      <w:color w:val="000091" w:themeColor="text1"/>
      <w:sz w:val="20"/>
      <w:szCs w:val="20"/>
      <w:lang w:eastAsia="fr-FR"/>
    </w:rPr>
  </w:style>
  <w:style w:type="table" w:styleId="TableauGrille4-Accentuation1">
    <w:name w:val="Grid Table 4 Accent 1"/>
    <w:basedOn w:val="TableauNormal"/>
    <w:uiPriority w:val="49"/>
    <w:rsid w:val="002C4D02"/>
    <w:pPr>
      <w:spacing w:after="0" w:line="240" w:lineRule="auto"/>
    </w:pPr>
    <w:tblPr>
      <w:tblStyleRowBandSize w:val="1"/>
      <w:tblStyleColBandSize w:val="1"/>
      <w:tblBorders>
        <w:top w:val="single" w:sz="4" w:space="0" w:color="23FFE7" w:themeColor="accent1" w:themeTint="99"/>
        <w:left w:val="single" w:sz="4" w:space="0" w:color="23FFE7" w:themeColor="accent1" w:themeTint="99"/>
        <w:bottom w:val="single" w:sz="4" w:space="0" w:color="23FFE7" w:themeColor="accent1" w:themeTint="99"/>
        <w:right w:val="single" w:sz="4" w:space="0" w:color="23FFE7" w:themeColor="accent1" w:themeTint="99"/>
        <w:insideH w:val="single" w:sz="4" w:space="0" w:color="23FFE7" w:themeColor="accent1" w:themeTint="99"/>
        <w:insideV w:val="single" w:sz="4" w:space="0" w:color="23FFE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081" w:themeColor="accent1"/>
          <w:left w:val="single" w:sz="4" w:space="0" w:color="009081" w:themeColor="accent1"/>
          <w:bottom w:val="single" w:sz="4" w:space="0" w:color="009081" w:themeColor="accent1"/>
          <w:right w:val="single" w:sz="4" w:space="0" w:color="009081" w:themeColor="accent1"/>
          <w:insideH w:val="nil"/>
          <w:insideV w:val="nil"/>
        </w:tcBorders>
        <w:shd w:val="clear" w:color="auto" w:fill="009081" w:themeFill="accent1"/>
      </w:tcPr>
    </w:tblStylePr>
    <w:tblStylePr w:type="lastRow">
      <w:rPr>
        <w:b/>
        <w:bCs/>
      </w:rPr>
      <w:tblPr/>
      <w:tcPr>
        <w:tcBorders>
          <w:top w:val="double" w:sz="4" w:space="0" w:color="00908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F7" w:themeFill="accent1" w:themeFillTint="33"/>
      </w:tcPr>
    </w:tblStylePr>
    <w:tblStylePr w:type="band1Horz">
      <w:tblPr/>
      <w:tcPr>
        <w:shd w:val="clear" w:color="auto" w:fill="B5FFF7" w:themeFill="accent1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C17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8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Couleurs charte Etat">
      <a:dk1>
        <a:srgbClr val="000091"/>
      </a:dk1>
      <a:lt1>
        <a:sysClr val="window" lastClr="FFFFFF"/>
      </a:lt1>
      <a:dk2>
        <a:srgbClr val="6A6AF4"/>
      </a:dk2>
      <a:lt2>
        <a:srgbClr val="FFFFFF"/>
      </a:lt2>
      <a:accent1>
        <a:srgbClr val="009081"/>
      </a:accent1>
      <a:accent2>
        <a:srgbClr val="FCC63A"/>
      </a:accent2>
      <a:accent3>
        <a:srgbClr val="E4794A"/>
      </a:accent3>
      <a:accent4>
        <a:srgbClr val="37635F"/>
      </a:accent4>
      <a:accent5>
        <a:srgbClr val="73E0CF"/>
      </a:accent5>
      <a:accent6>
        <a:srgbClr val="FCC0B0"/>
      </a:accent6>
      <a:hlink>
        <a:srgbClr val="0078F3"/>
      </a:hlink>
      <a:folHlink>
        <a:srgbClr val="A558A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7EFF4-20B2-4361-9893-41403B12B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919</Words>
  <Characters>5060</Characters>
  <Application>Microsoft Office Word</Application>
  <DocSecurity>4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DG Trésor</Company>
  <LinksUpToDate>false</LinksUpToDate>
  <CharactersWithSpaces>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Assouad</dc:creator>
  <cp:keywords>template</cp:keywords>
  <dc:description/>
  <cp:lastModifiedBy>SARACINSKA Iveta</cp:lastModifiedBy>
  <cp:revision>2</cp:revision>
  <cp:lastPrinted>2025-07-23T07:12:00Z</cp:lastPrinted>
  <dcterms:created xsi:type="dcterms:W3CDTF">2026-07-30T11:28:00Z</dcterms:created>
  <dcterms:modified xsi:type="dcterms:W3CDTF">2026-07-30T11:28:00Z</dcterms:modified>
</cp:coreProperties>
</file>