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A069" w14:textId="0A8FD2D3" w:rsidR="00756A18" w:rsidRDefault="00756A18" w:rsidP="006517B9">
      <w:pPr>
        <w:spacing w:after="120"/>
        <w:ind w:left="-426" w:right="-141"/>
        <w:rPr>
          <w:rFonts w:ascii="Segoe UI" w:hAnsi="Segoe UI" w:cs="Segoe UI"/>
          <w:bCs/>
          <w:color w:val="000091" w:themeColor="text1"/>
          <w:sz w:val="24"/>
          <w:szCs w:val="28"/>
        </w:rPr>
      </w:pPr>
      <w:r>
        <w:rPr>
          <w:rFonts w:ascii="Segoe UI" w:hAnsi="Segoe UI" w:cs="Segoe UI"/>
          <w:bCs/>
          <w:noProof/>
          <w:color w:val="000091" w:themeColor="text1"/>
          <w:sz w:val="24"/>
          <w:szCs w:val="28"/>
        </w:rPr>
        <mc:AlternateContent>
          <mc:Choice Requires="wps">
            <w:drawing>
              <wp:anchor distT="0" distB="0" distL="114300" distR="114300" simplePos="0" relativeHeight="251655165" behindDoc="1" locked="0" layoutInCell="1" allowOverlap="1" wp14:anchorId="5F263577" wp14:editId="2BF76131">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CF4A7"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e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" fillcolor="#fef8e8" stroked="f" strokeweight="1pt">
                <w10:wrap anchorx="page" anchory="page"/>
              </v:rect>
            </w:pict>
          </mc:Fallback>
        </mc:AlternateContent>
      </w:r>
      <w:r w:rsidR="00AA020A">
        <w:rPr>
          <w:rFonts w:ascii="Segoe UI" w:hAnsi="Segoe UI" w:cs="Segoe UI"/>
          <w:bCs/>
          <w:noProof/>
          <w:color w:val="000091" w:themeColor="text1"/>
          <w:sz w:val="24"/>
          <w:szCs w:val="28"/>
        </w:rPr>
        <mc:AlternateContent>
          <mc:Choice Requires="wps">
            <w:drawing>
              <wp:anchor distT="0" distB="0" distL="114300" distR="114300" simplePos="0" relativeHeight="251663360" behindDoc="1" locked="0" layoutInCell="1" allowOverlap="1" wp14:anchorId="73FF70B4" wp14:editId="2428AD39">
                <wp:simplePos x="0" y="0"/>
                <wp:positionH relativeFrom="page">
                  <wp:align>left</wp:align>
                </wp:positionH>
                <wp:positionV relativeFrom="paragraph">
                  <wp:posOffset>-448310</wp:posOffset>
                </wp:positionV>
                <wp:extent cx="7543800" cy="10677525"/>
                <wp:effectExtent l="0" t="0" r="0" b="9525"/>
                <wp:wrapNone/>
                <wp:docPr id="11" name="Rectangle 11"/>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3EEAA" id="Rectangle 11" o:spid="_x0000_s1026" style="position:absolute;margin-left:0;margin-top:-35.3pt;width:594pt;height:840.75pt;z-index:-25165312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xtR&#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" fillcolor="#fef8e8" stroked="f" strokeweight="1pt">
                <w10:wrap anchorx="page"/>
              </v:rect>
            </w:pict>
          </mc:Fallback>
        </mc:AlternateContent>
      </w:r>
      <w:r w:rsidR="009854A7" w:rsidRPr="009854A7">
        <w:rPr>
          <w:rFonts w:ascii="Segoe UI" w:hAnsi="Segoe UI" w:cs="Segoe UI"/>
          <w:bCs/>
          <w:color w:val="000091" w:themeColor="text1"/>
          <w:sz w:val="24"/>
          <w:szCs w:val="28"/>
        </w:rPr>
        <w:t xml:space="preserve">ANNEXE </w:t>
      </w:r>
      <w:r w:rsidR="00323A4A">
        <w:rPr>
          <w:rFonts w:ascii="Segoe UI" w:hAnsi="Segoe UI" w:cs="Segoe UI"/>
          <w:bCs/>
          <w:color w:val="000091" w:themeColor="text1"/>
          <w:sz w:val="24"/>
          <w:szCs w:val="28"/>
        </w:rPr>
        <w:t>1</w:t>
      </w:r>
      <w:r w:rsidR="009854A7" w:rsidRPr="009854A7">
        <w:rPr>
          <w:rFonts w:ascii="Segoe UI" w:hAnsi="Segoe UI" w:cs="Segoe UI"/>
          <w:bCs/>
          <w:color w:val="000091" w:themeColor="text1"/>
          <w:sz w:val="24"/>
          <w:szCs w:val="28"/>
        </w:rPr>
        <w:t xml:space="preserve"> : </w:t>
      </w:r>
      <w:r w:rsidR="00BC0B57" w:rsidRPr="00BC0B57">
        <w:rPr>
          <w:rFonts w:ascii="Segoe UI" w:hAnsi="Segoe UI" w:cs="Segoe UI"/>
          <w:bCs/>
          <w:color w:val="000091" w:themeColor="text1"/>
          <w:sz w:val="24"/>
          <w:szCs w:val="28"/>
        </w:rPr>
        <w:t>Commerce bilatéral entre la France et la Namibie entre 2015 et 202</w:t>
      </w:r>
      <w:r w:rsidR="00EE64F2">
        <w:rPr>
          <w:rFonts w:ascii="Segoe UI" w:hAnsi="Segoe UI" w:cs="Segoe UI"/>
          <w:bCs/>
          <w:color w:val="000091" w:themeColor="text1"/>
          <w:sz w:val="24"/>
          <w:szCs w:val="28"/>
        </w:rPr>
        <w:t>4</w:t>
      </w:r>
      <w:r w:rsidR="00BC0B57" w:rsidRPr="00BC0B57">
        <w:rPr>
          <w:rFonts w:ascii="Segoe UI" w:hAnsi="Segoe UI" w:cs="Segoe UI"/>
          <w:bCs/>
          <w:color w:val="000091" w:themeColor="text1"/>
          <w:sz w:val="24"/>
          <w:szCs w:val="28"/>
        </w:rPr>
        <w:t xml:space="preserve"> (en MEUR)</w:t>
      </w:r>
    </w:p>
    <w:p w14:paraId="13AEACD6" w14:textId="77777777" w:rsidR="0032683C" w:rsidRDefault="0032683C" w:rsidP="00D36A6F">
      <w:pPr>
        <w:spacing w:after="120"/>
        <w:ind w:left="-426" w:right="-141"/>
        <w:jc w:val="center"/>
        <w:rPr>
          <w:rFonts w:ascii="Segoe UI" w:hAnsi="Segoe UI" w:cs="Segoe UI"/>
          <w:bCs/>
          <w:color w:val="000091" w:themeColor="text1"/>
          <w:sz w:val="24"/>
          <w:szCs w:val="28"/>
        </w:rPr>
      </w:pPr>
    </w:p>
    <w:p w14:paraId="021FC853" w14:textId="45058520" w:rsidR="005F3C1A" w:rsidRDefault="00A76EEA" w:rsidP="00A93C3A">
      <w:pPr>
        <w:rPr>
          <w:rStyle w:val="Lienhypertexte"/>
          <w:rFonts w:ascii="Segoe UI" w:hAnsi="Segoe UI" w:cs="Segoe UI"/>
          <w:b/>
          <w:color w:val="auto"/>
          <w:sz w:val="18"/>
          <w:szCs w:val="18"/>
          <w:u w:val="none"/>
        </w:rPr>
      </w:pPr>
      <w:r>
        <w:rPr>
          <w:noProof/>
        </w:rPr>
        <w:drawing>
          <wp:inline distT="0" distB="0" distL="0" distR="0" wp14:anchorId="54C556B5" wp14:editId="4C611F95">
            <wp:extent cx="5851525" cy="2399665"/>
            <wp:effectExtent l="0" t="0" r="15875" b="635"/>
            <wp:docPr id="7" name="Graphique 7">
              <a:extLst xmlns:a="http://schemas.openxmlformats.org/drawingml/2006/main">
                <a:ext uri="{FF2B5EF4-FFF2-40B4-BE49-F238E27FC236}">
                  <a16:creationId xmlns:a16="http://schemas.microsoft.com/office/drawing/2014/main" id="{3DD922C0-CF42-4CDB-B034-5E84F9B42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2CA74" w14:textId="77777777" w:rsidR="0032683C" w:rsidRDefault="0032683C" w:rsidP="00A93C3A">
      <w:pPr>
        <w:rPr>
          <w:rFonts w:ascii="Segoe UI" w:hAnsi="Segoe UI" w:cs="Segoe UI"/>
          <w:bCs/>
          <w:color w:val="000091" w:themeColor="text1"/>
          <w:sz w:val="24"/>
          <w:szCs w:val="28"/>
        </w:rPr>
      </w:pPr>
    </w:p>
    <w:p w14:paraId="5E333D21" w14:textId="5D28DFB7" w:rsidR="001D36E3" w:rsidRDefault="001D36E3" w:rsidP="00D36A6F">
      <w:pPr>
        <w:spacing w:after="120"/>
        <w:jc w:val="center"/>
        <w:rPr>
          <w:rFonts w:ascii="Segoe UI" w:hAnsi="Segoe UI" w:cs="Segoe UI"/>
          <w:bCs/>
          <w:color w:val="000091" w:themeColor="text1"/>
          <w:sz w:val="24"/>
          <w:szCs w:val="28"/>
        </w:rPr>
      </w:pPr>
      <w:r w:rsidRPr="009854A7">
        <w:rPr>
          <w:rFonts w:ascii="Segoe UI" w:hAnsi="Segoe UI" w:cs="Segoe UI"/>
          <w:bCs/>
          <w:color w:val="000091" w:themeColor="text1"/>
          <w:sz w:val="24"/>
          <w:szCs w:val="28"/>
        </w:rPr>
        <w:t xml:space="preserve">ANNEXE </w:t>
      </w:r>
      <w:r>
        <w:rPr>
          <w:rFonts w:ascii="Segoe UI" w:hAnsi="Segoe UI" w:cs="Segoe UI"/>
          <w:bCs/>
          <w:color w:val="000091" w:themeColor="text1"/>
          <w:sz w:val="24"/>
          <w:szCs w:val="28"/>
        </w:rPr>
        <w:t>2</w:t>
      </w:r>
      <w:r w:rsidRPr="009854A7">
        <w:rPr>
          <w:rFonts w:ascii="Segoe UI" w:hAnsi="Segoe UI" w:cs="Segoe UI"/>
          <w:bCs/>
          <w:color w:val="000091" w:themeColor="text1"/>
          <w:sz w:val="24"/>
          <w:szCs w:val="28"/>
        </w:rPr>
        <w:t xml:space="preserve"> : </w:t>
      </w:r>
      <w:r w:rsidRPr="001D36E3">
        <w:rPr>
          <w:rFonts w:ascii="Segoe UI" w:hAnsi="Segoe UI" w:cs="Segoe UI"/>
          <w:bCs/>
          <w:color w:val="000091" w:themeColor="text1"/>
          <w:sz w:val="24"/>
          <w:szCs w:val="28"/>
        </w:rPr>
        <w:t>Principales exportations françaises à destination de Namibie en 202</w:t>
      </w:r>
      <w:r>
        <w:rPr>
          <w:rFonts w:ascii="Segoe UI" w:hAnsi="Segoe UI" w:cs="Segoe UI"/>
          <w:bCs/>
          <w:color w:val="000091" w:themeColor="text1"/>
          <w:sz w:val="24"/>
          <w:szCs w:val="28"/>
        </w:rPr>
        <w:t>4</w:t>
      </w:r>
      <w:r w:rsidRPr="001D36E3">
        <w:rPr>
          <w:rFonts w:ascii="Segoe UI" w:hAnsi="Segoe UI" w:cs="Segoe UI"/>
          <w:bCs/>
          <w:color w:val="000091" w:themeColor="text1"/>
          <w:sz w:val="24"/>
          <w:szCs w:val="28"/>
        </w:rPr>
        <w:t xml:space="preserve"> par produit (Douanes françaises, 202</w:t>
      </w:r>
      <w:r>
        <w:rPr>
          <w:rFonts w:ascii="Segoe UI" w:hAnsi="Segoe UI" w:cs="Segoe UI"/>
          <w:bCs/>
          <w:color w:val="000091" w:themeColor="text1"/>
          <w:sz w:val="24"/>
          <w:szCs w:val="28"/>
        </w:rPr>
        <w:t>5</w:t>
      </w:r>
      <w:r w:rsidRPr="001D36E3">
        <w:rPr>
          <w:rFonts w:ascii="Segoe UI" w:hAnsi="Segoe UI" w:cs="Segoe UI"/>
          <w:bCs/>
          <w:color w:val="000091" w:themeColor="text1"/>
          <w:sz w:val="24"/>
          <w:szCs w:val="28"/>
        </w:rPr>
        <w:t>)</w:t>
      </w:r>
    </w:p>
    <w:p w14:paraId="041B619A" w14:textId="77777777" w:rsidR="0032683C" w:rsidRDefault="0032683C" w:rsidP="00D36A6F">
      <w:pPr>
        <w:spacing w:after="120"/>
        <w:jc w:val="center"/>
        <w:rPr>
          <w:rFonts w:ascii="Segoe UI" w:hAnsi="Segoe UI" w:cs="Segoe UI"/>
          <w:bCs/>
          <w:color w:val="000091" w:themeColor="text1"/>
          <w:sz w:val="24"/>
          <w:szCs w:val="28"/>
        </w:rPr>
      </w:pPr>
    </w:p>
    <w:tbl>
      <w:tblPr>
        <w:tblStyle w:val="Tableausimple1"/>
        <w:tblW w:w="9331" w:type="dxa"/>
        <w:tblLayout w:type="fixed"/>
        <w:tblLook w:val="0000" w:firstRow="0" w:lastRow="0" w:firstColumn="0" w:lastColumn="0" w:noHBand="0" w:noVBand="0"/>
      </w:tblPr>
      <w:tblGrid>
        <w:gridCol w:w="4416"/>
        <w:gridCol w:w="1548"/>
        <w:gridCol w:w="1757"/>
        <w:gridCol w:w="1610"/>
      </w:tblGrid>
      <w:tr w:rsidR="007F67AE" w:rsidRPr="00B84FE0" w14:paraId="043A73CA" w14:textId="77777777" w:rsidTr="007F67AE">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4416" w:type="dxa"/>
          </w:tcPr>
          <w:p w14:paraId="3B8C9430"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 xml:space="preserve">Produits </w:t>
            </w:r>
          </w:p>
        </w:tc>
        <w:tc>
          <w:tcPr>
            <w:tcW w:w="1548" w:type="dxa"/>
          </w:tcPr>
          <w:p w14:paraId="1B1DBEF2" w14:textId="77777777" w:rsidR="00B84FE0" w:rsidRPr="00B84FE0" w:rsidRDefault="00B84FE0" w:rsidP="00B84F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B84FE0">
              <w:rPr>
                <w:rFonts w:ascii="Calibri" w:hAnsi="Calibri" w:cs="Calibri"/>
                <w:b/>
                <w:bCs/>
                <w:color w:val="000091" w:themeColor="text1"/>
                <w:sz w:val="18"/>
                <w:szCs w:val="18"/>
              </w:rPr>
              <w:t>% du total</w:t>
            </w:r>
          </w:p>
        </w:tc>
        <w:tc>
          <w:tcPr>
            <w:cnfStyle w:val="000010000000" w:firstRow="0" w:lastRow="0" w:firstColumn="0" w:lastColumn="0" w:oddVBand="1" w:evenVBand="0" w:oddHBand="0" w:evenHBand="0" w:firstRowFirstColumn="0" w:firstRowLastColumn="0" w:lastRowFirstColumn="0" w:lastRowLastColumn="0"/>
            <w:tcW w:w="1757" w:type="dxa"/>
          </w:tcPr>
          <w:p w14:paraId="5F3304A8" w14:textId="527B7B90"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 xml:space="preserve">Evolution (en %) </w:t>
            </w:r>
          </w:p>
        </w:tc>
        <w:tc>
          <w:tcPr>
            <w:tcW w:w="1610" w:type="dxa"/>
          </w:tcPr>
          <w:p w14:paraId="43468A75" w14:textId="4C602A65" w:rsidR="00B84FE0" w:rsidRPr="00B84FE0" w:rsidRDefault="007F67AE" w:rsidP="00B84F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Pr>
                <w:rFonts w:ascii="Calibri" w:hAnsi="Calibri" w:cs="Calibri"/>
                <w:b/>
                <w:bCs/>
                <w:color w:val="000091" w:themeColor="text1"/>
                <w:sz w:val="18"/>
                <w:szCs w:val="18"/>
              </w:rPr>
              <w:t>M</w:t>
            </w:r>
            <w:r w:rsidR="00B84FE0" w:rsidRPr="00B84FE0">
              <w:rPr>
                <w:rFonts w:ascii="Calibri" w:hAnsi="Calibri" w:cs="Calibri"/>
                <w:b/>
                <w:bCs/>
                <w:color w:val="000091" w:themeColor="text1"/>
                <w:sz w:val="18"/>
                <w:szCs w:val="18"/>
              </w:rPr>
              <w:t>ontant (MEUR)</w:t>
            </w:r>
          </w:p>
        </w:tc>
      </w:tr>
      <w:tr w:rsidR="007F67AE" w:rsidRPr="00B84FE0" w14:paraId="0C41584E" w14:textId="77777777" w:rsidTr="00D36A6F">
        <w:trPr>
          <w:trHeight w:val="649"/>
        </w:trPr>
        <w:tc>
          <w:tcPr>
            <w:cnfStyle w:val="000010000000" w:firstRow="0" w:lastRow="0" w:firstColumn="0" w:lastColumn="0" w:oddVBand="1" w:evenVBand="0" w:oddHBand="0" w:evenHBand="0" w:firstRowFirstColumn="0" w:firstRowLastColumn="0" w:lastRowFirstColumn="0" w:lastRowLastColumn="0"/>
            <w:tcW w:w="0" w:type="dxa"/>
          </w:tcPr>
          <w:p w14:paraId="5178B239"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Equipements mécaniques, matériel électrique, électronique et informatique</w:t>
            </w:r>
          </w:p>
        </w:tc>
        <w:tc>
          <w:tcPr>
            <w:tcW w:w="0" w:type="dxa"/>
          </w:tcPr>
          <w:p w14:paraId="1E5A0422"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35,5%</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E5D5481"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-23,5%</w:t>
            </w:r>
          </w:p>
        </w:tc>
        <w:tc>
          <w:tcPr>
            <w:tcW w:w="0" w:type="dxa"/>
          </w:tcPr>
          <w:p w14:paraId="5D7FD5FE"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13,2</w:t>
            </w:r>
          </w:p>
        </w:tc>
      </w:tr>
      <w:tr w:rsidR="007F67AE" w:rsidRPr="00B84FE0" w14:paraId="253CD1D0" w14:textId="77777777" w:rsidTr="00D36A6F">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dxa"/>
          </w:tcPr>
          <w:p w14:paraId="2B900943"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Matériels de transport</w:t>
            </w:r>
          </w:p>
        </w:tc>
        <w:tc>
          <w:tcPr>
            <w:tcW w:w="0" w:type="dxa"/>
            <w:shd w:val="clear" w:color="auto" w:fill="auto"/>
          </w:tcPr>
          <w:p w14:paraId="4FC02C40"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25,2%</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A6E7615"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1273,3%</w:t>
            </w:r>
          </w:p>
        </w:tc>
        <w:tc>
          <w:tcPr>
            <w:tcW w:w="0" w:type="dxa"/>
            <w:shd w:val="clear" w:color="auto" w:fill="auto"/>
          </w:tcPr>
          <w:p w14:paraId="1AB4CD83" w14:textId="3F4BF79A"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9,4</w:t>
            </w:r>
          </w:p>
        </w:tc>
      </w:tr>
      <w:tr w:rsidR="007F67AE" w:rsidRPr="00B84FE0" w14:paraId="41BE518D" w14:textId="77777777" w:rsidTr="00D36A6F">
        <w:trPr>
          <w:trHeight w:val="557"/>
        </w:trPr>
        <w:tc>
          <w:tcPr>
            <w:cnfStyle w:val="000010000000" w:firstRow="0" w:lastRow="0" w:firstColumn="0" w:lastColumn="0" w:oddVBand="1" w:evenVBand="0" w:oddHBand="0" w:evenHBand="0" w:firstRowFirstColumn="0" w:firstRowLastColumn="0" w:lastRowFirstColumn="0" w:lastRowLastColumn="0"/>
            <w:tcW w:w="0" w:type="dxa"/>
          </w:tcPr>
          <w:p w14:paraId="5B137FA1"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Produits chimiques, parfums et cosmétiques</w:t>
            </w:r>
          </w:p>
        </w:tc>
        <w:tc>
          <w:tcPr>
            <w:tcW w:w="0" w:type="dxa"/>
          </w:tcPr>
          <w:p w14:paraId="161419F6"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20,2%</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C34AE03"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77,7%</w:t>
            </w:r>
          </w:p>
        </w:tc>
        <w:tc>
          <w:tcPr>
            <w:tcW w:w="0" w:type="dxa"/>
          </w:tcPr>
          <w:p w14:paraId="2C04730C"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7,5</w:t>
            </w:r>
          </w:p>
        </w:tc>
      </w:tr>
      <w:tr w:rsidR="007F67AE" w:rsidRPr="00B84FE0" w14:paraId="5FAA3290" w14:textId="77777777" w:rsidTr="007F67AE">
        <w:trPr>
          <w:cnfStyle w:val="000000100000" w:firstRow="0" w:lastRow="0" w:firstColumn="0" w:lastColumn="0" w:oddVBand="0" w:evenVBand="0" w:oddHBand="1" w:evenHBand="0" w:firstRowFirstColumn="0" w:firstRowLastColumn="0" w:lastRowFirstColumn="0" w:lastRowLastColumn="0"/>
          <w:trHeight w:val="449"/>
        </w:trPr>
        <w:tc>
          <w:tcPr>
            <w:cnfStyle w:val="000010000000" w:firstRow="0" w:lastRow="0" w:firstColumn="0" w:lastColumn="0" w:oddVBand="1" w:evenVBand="0" w:oddHBand="0" w:evenHBand="0" w:firstRowFirstColumn="0" w:firstRowLastColumn="0" w:lastRowFirstColumn="0" w:lastRowLastColumn="0"/>
            <w:tcW w:w="4416" w:type="dxa"/>
          </w:tcPr>
          <w:p w14:paraId="46BB293B" w14:textId="149A3800" w:rsidR="00B84FE0" w:rsidRPr="00B84FE0" w:rsidRDefault="00B43F8B" w:rsidP="00B84FE0">
            <w:pPr>
              <w:autoSpaceDE w:val="0"/>
              <w:autoSpaceDN w:val="0"/>
              <w:adjustRightInd w:val="0"/>
              <w:jc w:val="right"/>
              <w:rPr>
                <w:rFonts w:ascii="Calibri" w:hAnsi="Calibri" w:cs="Calibri"/>
                <w:b/>
                <w:bCs/>
                <w:color w:val="000091" w:themeColor="text1"/>
              </w:rPr>
            </w:pPr>
            <w:r>
              <w:rPr>
                <w:rFonts w:ascii="Calibri" w:hAnsi="Calibri" w:cs="Calibri"/>
                <w:b/>
                <w:bCs/>
                <w:color w:val="000091" w:themeColor="text1"/>
              </w:rPr>
              <w:t>Sous-</w:t>
            </w:r>
            <w:r w:rsidR="00B84FE0" w:rsidRPr="00B84FE0">
              <w:rPr>
                <w:rFonts w:ascii="Calibri" w:hAnsi="Calibri" w:cs="Calibri"/>
                <w:b/>
                <w:bCs/>
                <w:color w:val="000091" w:themeColor="text1"/>
              </w:rPr>
              <w:t xml:space="preserve">Total      </w:t>
            </w:r>
          </w:p>
        </w:tc>
        <w:tc>
          <w:tcPr>
            <w:tcW w:w="1548" w:type="dxa"/>
          </w:tcPr>
          <w:p w14:paraId="15299EF8"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757" w:type="dxa"/>
          </w:tcPr>
          <w:p w14:paraId="78C43E19" w14:textId="77777777" w:rsidR="00B84FE0" w:rsidRPr="00B84FE0" w:rsidRDefault="00B84FE0" w:rsidP="00B84FE0">
            <w:pPr>
              <w:autoSpaceDE w:val="0"/>
              <w:autoSpaceDN w:val="0"/>
              <w:adjustRightInd w:val="0"/>
              <w:jc w:val="right"/>
              <w:rPr>
                <w:rFonts w:ascii="Calibri" w:hAnsi="Calibri" w:cs="Calibri"/>
                <w:b/>
                <w:bCs/>
                <w:color w:val="000091" w:themeColor="text1"/>
                <w:sz w:val="20"/>
                <w:szCs w:val="20"/>
              </w:rPr>
            </w:pPr>
          </w:p>
        </w:tc>
        <w:tc>
          <w:tcPr>
            <w:tcW w:w="1610" w:type="dxa"/>
          </w:tcPr>
          <w:p w14:paraId="1B8F3327"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20"/>
                <w:szCs w:val="20"/>
              </w:rPr>
            </w:pPr>
            <w:r w:rsidRPr="00B84FE0">
              <w:rPr>
                <w:rFonts w:ascii="Calibri" w:hAnsi="Calibri" w:cs="Calibri"/>
                <w:b/>
                <w:bCs/>
                <w:color w:val="000091" w:themeColor="text1"/>
                <w:sz w:val="20"/>
                <w:szCs w:val="20"/>
              </w:rPr>
              <w:t>30,0</w:t>
            </w:r>
          </w:p>
        </w:tc>
      </w:tr>
    </w:tbl>
    <w:p w14:paraId="408271CE" w14:textId="6CA95CE0" w:rsidR="00B84FE0" w:rsidRDefault="00B84FE0" w:rsidP="00A93C3A">
      <w:pPr>
        <w:rPr>
          <w:rFonts w:ascii="Segoe UI" w:hAnsi="Segoe UI" w:cs="Segoe UI"/>
          <w:bCs/>
          <w:color w:val="000091" w:themeColor="text1"/>
          <w:sz w:val="24"/>
          <w:szCs w:val="28"/>
        </w:rPr>
      </w:pPr>
    </w:p>
    <w:p w14:paraId="6F2490A0" w14:textId="77777777" w:rsidR="0032683C" w:rsidRDefault="0032683C" w:rsidP="00A93C3A">
      <w:pPr>
        <w:rPr>
          <w:rFonts w:ascii="Segoe UI" w:hAnsi="Segoe UI" w:cs="Segoe UI"/>
          <w:bCs/>
          <w:color w:val="000091" w:themeColor="text1"/>
          <w:sz w:val="24"/>
          <w:szCs w:val="28"/>
        </w:rPr>
      </w:pPr>
    </w:p>
    <w:p w14:paraId="4FBBA546" w14:textId="2F8DF0EE" w:rsidR="001D36E3" w:rsidRDefault="001D36E3" w:rsidP="00D36A6F">
      <w:pPr>
        <w:spacing w:after="120"/>
        <w:jc w:val="center"/>
        <w:rPr>
          <w:rFonts w:ascii="Segoe UI" w:hAnsi="Segoe UI" w:cs="Segoe UI"/>
          <w:bCs/>
          <w:color w:val="000091" w:themeColor="text1"/>
          <w:sz w:val="24"/>
          <w:szCs w:val="28"/>
        </w:rPr>
      </w:pPr>
      <w:r w:rsidRPr="009854A7">
        <w:rPr>
          <w:rFonts w:ascii="Segoe UI" w:hAnsi="Segoe UI" w:cs="Segoe UI"/>
          <w:bCs/>
          <w:color w:val="000091" w:themeColor="text1"/>
          <w:sz w:val="24"/>
          <w:szCs w:val="28"/>
        </w:rPr>
        <w:t xml:space="preserve">ANNEXE </w:t>
      </w:r>
      <w:r>
        <w:rPr>
          <w:rFonts w:ascii="Segoe UI" w:hAnsi="Segoe UI" w:cs="Segoe UI"/>
          <w:bCs/>
          <w:color w:val="000091" w:themeColor="text1"/>
          <w:sz w:val="24"/>
          <w:szCs w:val="28"/>
        </w:rPr>
        <w:t>3</w:t>
      </w:r>
      <w:r w:rsidRPr="009854A7">
        <w:rPr>
          <w:rFonts w:ascii="Segoe UI" w:hAnsi="Segoe UI" w:cs="Segoe UI"/>
          <w:bCs/>
          <w:color w:val="000091" w:themeColor="text1"/>
          <w:sz w:val="24"/>
          <w:szCs w:val="28"/>
        </w:rPr>
        <w:t xml:space="preserve"> : </w:t>
      </w:r>
      <w:r w:rsidRPr="001D36E3">
        <w:rPr>
          <w:rFonts w:ascii="Segoe UI" w:hAnsi="Segoe UI" w:cs="Segoe UI"/>
          <w:bCs/>
          <w:color w:val="000091" w:themeColor="text1"/>
          <w:sz w:val="24"/>
          <w:szCs w:val="28"/>
        </w:rPr>
        <w:t>Principales importations françaises en provenance de Namibie en 202</w:t>
      </w:r>
      <w:r>
        <w:rPr>
          <w:rFonts w:ascii="Segoe UI" w:hAnsi="Segoe UI" w:cs="Segoe UI"/>
          <w:bCs/>
          <w:color w:val="000091" w:themeColor="text1"/>
          <w:sz w:val="24"/>
          <w:szCs w:val="28"/>
        </w:rPr>
        <w:t>4</w:t>
      </w:r>
      <w:r w:rsidRPr="001D36E3">
        <w:rPr>
          <w:rFonts w:ascii="Segoe UI" w:hAnsi="Segoe UI" w:cs="Segoe UI"/>
          <w:bCs/>
          <w:color w:val="000091" w:themeColor="text1"/>
          <w:sz w:val="24"/>
          <w:szCs w:val="28"/>
        </w:rPr>
        <w:t>, par produit (Douanes françaises, 202</w:t>
      </w:r>
      <w:r>
        <w:rPr>
          <w:rFonts w:ascii="Segoe UI" w:hAnsi="Segoe UI" w:cs="Segoe UI"/>
          <w:bCs/>
          <w:color w:val="000091" w:themeColor="text1"/>
          <w:sz w:val="24"/>
          <w:szCs w:val="28"/>
        </w:rPr>
        <w:t>5</w:t>
      </w:r>
      <w:r w:rsidRPr="001D36E3">
        <w:rPr>
          <w:rFonts w:ascii="Segoe UI" w:hAnsi="Segoe UI" w:cs="Segoe UI"/>
          <w:bCs/>
          <w:color w:val="000091" w:themeColor="text1"/>
          <w:sz w:val="24"/>
          <w:szCs w:val="28"/>
        </w:rPr>
        <w:t>)</w:t>
      </w:r>
    </w:p>
    <w:p w14:paraId="7360A1B7" w14:textId="77777777" w:rsidR="0032683C" w:rsidRDefault="0032683C" w:rsidP="00D36A6F">
      <w:pPr>
        <w:spacing w:after="120"/>
        <w:jc w:val="center"/>
        <w:rPr>
          <w:rFonts w:ascii="Segoe UI" w:hAnsi="Segoe UI" w:cs="Segoe UI"/>
          <w:bCs/>
          <w:color w:val="000091" w:themeColor="text1"/>
          <w:sz w:val="24"/>
          <w:szCs w:val="28"/>
        </w:rPr>
      </w:pPr>
    </w:p>
    <w:tbl>
      <w:tblPr>
        <w:tblStyle w:val="Tableausimple1"/>
        <w:tblW w:w="9331" w:type="dxa"/>
        <w:tblLayout w:type="fixed"/>
        <w:tblLook w:val="0000" w:firstRow="0" w:lastRow="0" w:firstColumn="0" w:lastColumn="0" w:noHBand="0" w:noVBand="0"/>
      </w:tblPr>
      <w:tblGrid>
        <w:gridCol w:w="4416"/>
        <w:gridCol w:w="1548"/>
        <w:gridCol w:w="1757"/>
        <w:gridCol w:w="1610"/>
      </w:tblGrid>
      <w:tr w:rsidR="007F67AE" w:rsidRPr="007F67AE" w14:paraId="579EA8AE" w14:textId="77777777" w:rsidTr="007F67A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416" w:type="dxa"/>
          </w:tcPr>
          <w:p w14:paraId="55976391"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Produits </w:t>
            </w:r>
          </w:p>
        </w:tc>
        <w:tc>
          <w:tcPr>
            <w:tcW w:w="1548" w:type="dxa"/>
          </w:tcPr>
          <w:p w14:paraId="2BD386DF" w14:textId="77777777" w:rsidR="007F67AE" w:rsidRPr="007F67AE" w:rsidRDefault="007F67A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7F67AE">
              <w:rPr>
                <w:rFonts w:ascii="Calibri" w:hAnsi="Calibri" w:cs="Calibri"/>
                <w:b/>
                <w:bCs/>
                <w:color w:val="000091" w:themeColor="text1"/>
                <w:sz w:val="18"/>
                <w:szCs w:val="18"/>
              </w:rPr>
              <w:t>% du total</w:t>
            </w:r>
          </w:p>
        </w:tc>
        <w:tc>
          <w:tcPr>
            <w:cnfStyle w:val="000010000000" w:firstRow="0" w:lastRow="0" w:firstColumn="0" w:lastColumn="0" w:oddVBand="1" w:evenVBand="0" w:oddHBand="0" w:evenHBand="0" w:firstRowFirstColumn="0" w:firstRowLastColumn="0" w:lastRowFirstColumn="0" w:lastRowLastColumn="0"/>
            <w:tcW w:w="1757" w:type="dxa"/>
          </w:tcPr>
          <w:p w14:paraId="6CE9E0A4" w14:textId="19043BEC"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Evolution (en %) </w:t>
            </w:r>
          </w:p>
        </w:tc>
        <w:tc>
          <w:tcPr>
            <w:tcW w:w="1610" w:type="dxa"/>
          </w:tcPr>
          <w:p w14:paraId="635BE64B" w14:textId="41B35D04" w:rsidR="007F67AE" w:rsidRPr="007F67AE" w:rsidRDefault="0094732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Pr>
                <w:rFonts w:ascii="Calibri" w:hAnsi="Calibri" w:cs="Calibri"/>
                <w:b/>
                <w:bCs/>
                <w:color w:val="000091" w:themeColor="text1"/>
                <w:sz w:val="18"/>
                <w:szCs w:val="18"/>
              </w:rPr>
              <w:t>M</w:t>
            </w:r>
            <w:r w:rsidR="007F67AE" w:rsidRPr="007F67AE">
              <w:rPr>
                <w:rFonts w:ascii="Calibri" w:hAnsi="Calibri" w:cs="Calibri"/>
                <w:b/>
                <w:bCs/>
                <w:color w:val="000091" w:themeColor="text1"/>
                <w:sz w:val="18"/>
                <w:szCs w:val="18"/>
              </w:rPr>
              <w:t>ontant (MEUR)</w:t>
            </w:r>
          </w:p>
        </w:tc>
      </w:tr>
      <w:tr w:rsidR="007F67AE" w:rsidRPr="007F67AE" w14:paraId="48DDE7C5" w14:textId="77777777" w:rsidTr="0094732E">
        <w:trPr>
          <w:trHeight w:val="581"/>
        </w:trPr>
        <w:tc>
          <w:tcPr>
            <w:cnfStyle w:val="000010000000" w:firstRow="0" w:lastRow="0" w:firstColumn="0" w:lastColumn="0" w:oddVBand="1" w:evenVBand="0" w:oddHBand="0" w:evenHBand="0" w:firstRowFirstColumn="0" w:firstRowLastColumn="0" w:lastRowFirstColumn="0" w:lastRowLastColumn="0"/>
            <w:tcW w:w="4416" w:type="dxa"/>
          </w:tcPr>
          <w:p w14:paraId="7CBA0874"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Produits métallurgiques et métalliques (uranium)</w:t>
            </w:r>
          </w:p>
        </w:tc>
        <w:tc>
          <w:tcPr>
            <w:tcW w:w="1548" w:type="dxa"/>
            <w:shd w:val="clear" w:color="auto" w:fill="auto"/>
          </w:tcPr>
          <w:p w14:paraId="07E343E7"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71,1%</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34B0AED7"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-27,1%</w:t>
            </w:r>
          </w:p>
        </w:tc>
        <w:tc>
          <w:tcPr>
            <w:tcW w:w="1610" w:type="dxa"/>
            <w:shd w:val="clear" w:color="auto" w:fill="auto"/>
          </w:tcPr>
          <w:p w14:paraId="7930313D"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134,7</w:t>
            </w:r>
          </w:p>
        </w:tc>
      </w:tr>
      <w:tr w:rsidR="007F67AE" w:rsidRPr="007F67AE" w14:paraId="402DDCAC" w14:textId="77777777" w:rsidTr="0094732E">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4416" w:type="dxa"/>
          </w:tcPr>
          <w:p w14:paraId="5CF25976" w14:textId="4E2E744B"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Produits des industries agroalimentaires (IAA) </w:t>
            </w:r>
          </w:p>
        </w:tc>
        <w:tc>
          <w:tcPr>
            <w:tcW w:w="1548" w:type="dxa"/>
            <w:shd w:val="clear" w:color="auto" w:fill="auto"/>
          </w:tcPr>
          <w:p w14:paraId="585EF708" w14:textId="77777777" w:rsidR="007F67AE" w:rsidRPr="007F67AE" w:rsidRDefault="007F67AE" w:rsidP="007F67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19,1%</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4E37CEB7"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-18,2%</w:t>
            </w:r>
          </w:p>
        </w:tc>
        <w:tc>
          <w:tcPr>
            <w:tcW w:w="1610" w:type="dxa"/>
            <w:shd w:val="clear" w:color="auto" w:fill="auto"/>
          </w:tcPr>
          <w:p w14:paraId="4E021008" w14:textId="77777777" w:rsidR="007F67AE" w:rsidRPr="007F67AE" w:rsidRDefault="007F67AE" w:rsidP="007F67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36,2</w:t>
            </w:r>
          </w:p>
        </w:tc>
      </w:tr>
      <w:tr w:rsidR="007F67AE" w:rsidRPr="007F67AE" w14:paraId="2B3688EA" w14:textId="77777777" w:rsidTr="0094732E">
        <w:trPr>
          <w:trHeight w:val="290"/>
        </w:trPr>
        <w:tc>
          <w:tcPr>
            <w:cnfStyle w:val="000010000000" w:firstRow="0" w:lastRow="0" w:firstColumn="0" w:lastColumn="0" w:oddVBand="1" w:evenVBand="0" w:oddHBand="0" w:evenHBand="0" w:firstRowFirstColumn="0" w:firstRowLastColumn="0" w:lastRowFirstColumn="0" w:lastRowLastColumn="0"/>
            <w:tcW w:w="4416" w:type="dxa"/>
          </w:tcPr>
          <w:p w14:paraId="1BCF06BF"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Produits manufacturés divers (diamants)</w:t>
            </w:r>
          </w:p>
        </w:tc>
        <w:tc>
          <w:tcPr>
            <w:tcW w:w="1548" w:type="dxa"/>
            <w:shd w:val="clear" w:color="auto" w:fill="auto"/>
          </w:tcPr>
          <w:p w14:paraId="70428D26"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3,9%</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442DDABF"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-17,3%</w:t>
            </w:r>
          </w:p>
        </w:tc>
        <w:tc>
          <w:tcPr>
            <w:tcW w:w="1610" w:type="dxa"/>
            <w:shd w:val="clear" w:color="auto" w:fill="auto"/>
          </w:tcPr>
          <w:p w14:paraId="2E2DB99D"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7,4</w:t>
            </w:r>
          </w:p>
        </w:tc>
      </w:tr>
      <w:tr w:rsidR="007F67AE" w:rsidRPr="007F67AE" w14:paraId="73DDA7B0" w14:textId="77777777" w:rsidTr="007F67A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4416" w:type="dxa"/>
          </w:tcPr>
          <w:p w14:paraId="6E47D066" w14:textId="277C1150" w:rsidR="007F67AE" w:rsidRPr="007F67AE" w:rsidRDefault="00B43F8B" w:rsidP="0094732E">
            <w:pPr>
              <w:autoSpaceDE w:val="0"/>
              <w:autoSpaceDN w:val="0"/>
              <w:adjustRightInd w:val="0"/>
              <w:jc w:val="right"/>
              <w:rPr>
                <w:rFonts w:ascii="Calibri" w:hAnsi="Calibri" w:cs="Calibri"/>
                <w:b/>
                <w:bCs/>
                <w:color w:val="000091" w:themeColor="text1"/>
                <w:sz w:val="18"/>
                <w:szCs w:val="18"/>
              </w:rPr>
            </w:pPr>
            <w:r>
              <w:rPr>
                <w:rFonts w:ascii="Calibri" w:hAnsi="Calibri" w:cs="Calibri"/>
                <w:b/>
                <w:bCs/>
                <w:color w:val="000091" w:themeColor="text1"/>
              </w:rPr>
              <w:t>Sous-</w:t>
            </w:r>
            <w:r w:rsidR="007F67AE" w:rsidRPr="007F67AE">
              <w:rPr>
                <w:rFonts w:ascii="Calibri" w:hAnsi="Calibri" w:cs="Calibri"/>
                <w:b/>
                <w:bCs/>
                <w:color w:val="000091" w:themeColor="text1"/>
              </w:rPr>
              <w:t>Total</w:t>
            </w:r>
          </w:p>
        </w:tc>
        <w:tc>
          <w:tcPr>
            <w:tcW w:w="1548" w:type="dxa"/>
          </w:tcPr>
          <w:p w14:paraId="5412BD15" w14:textId="77777777" w:rsidR="007F67AE" w:rsidRPr="007F67AE" w:rsidRDefault="007F67A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1757" w:type="dxa"/>
          </w:tcPr>
          <w:p w14:paraId="6DECBB59"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p>
        </w:tc>
        <w:tc>
          <w:tcPr>
            <w:tcW w:w="1610" w:type="dxa"/>
          </w:tcPr>
          <w:p w14:paraId="2DDC34AD" w14:textId="77777777" w:rsidR="007F67AE" w:rsidRPr="007F67AE" w:rsidRDefault="007F67AE" w:rsidP="00D36A6F">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7F67AE">
              <w:rPr>
                <w:rFonts w:ascii="Calibri" w:hAnsi="Calibri" w:cs="Calibri"/>
                <w:b/>
                <w:bCs/>
                <w:color w:val="000091" w:themeColor="text1"/>
                <w:sz w:val="18"/>
                <w:szCs w:val="18"/>
              </w:rPr>
              <w:t>178,3</w:t>
            </w:r>
          </w:p>
        </w:tc>
      </w:tr>
    </w:tbl>
    <w:p w14:paraId="376FDA0A" w14:textId="77777777" w:rsidR="0094732E" w:rsidRDefault="0094732E" w:rsidP="0094732E">
      <w:pPr>
        <w:rPr>
          <w:rFonts w:ascii="Segoe UI" w:hAnsi="Segoe UI" w:cs="Segoe UI"/>
          <w:bCs/>
          <w:color w:val="000091" w:themeColor="text1"/>
          <w:sz w:val="24"/>
          <w:szCs w:val="28"/>
        </w:rPr>
        <w:sectPr w:rsidR="0094732E" w:rsidSect="00415F39">
          <w:endnotePr>
            <w:numFmt w:val="decimal"/>
          </w:endnotePr>
          <w:pgSz w:w="11906" w:h="16838"/>
          <w:pgMar w:top="709" w:right="1274" w:bottom="709" w:left="1417" w:header="708" w:footer="708" w:gutter="0"/>
          <w:cols w:space="708"/>
          <w:docGrid w:linePitch="360"/>
        </w:sectPr>
      </w:pPr>
    </w:p>
    <w:p w14:paraId="4DFF6DDC" w14:textId="77777777" w:rsidR="0094732E" w:rsidRDefault="00AA020A" w:rsidP="0094732E">
      <w:pPr>
        <w:rPr>
          <w:rFonts w:ascii="Segoe UI" w:hAnsi="Segoe UI" w:cs="Segoe UI"/>
          <w:bCs/>
          <w:color w:val="000091" w:themeColor="text1"/>
          <w:sz w:val="24"/>
          <w:szCs w:val="28"/>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65408" behindDoc="1" locked="0" layoutInCell="1" allowOverlap="1" wp14:anchorId="54087547" wp14:editId="1CD2738B">
                <wp:simplePos x="0" y="0"/>
                <wp:positionH relativeFrom="page">
                  <wp:posOffset>-114301</wp:posOffset>
                </wp:positionH>
                <wp:positionV relativeFrom="paragraph">
                  <wp:posOffset>-995680</wp:posOffset>
                </wp:positionV>
                <wp:extent cx="11782425" cy="11220450"/>
                <wp:effectExtent l="0" t="0" r="9525" b="0"/>
                <wp:wrapNone/>
                <wp:docPr id="12" name="Rectangle 12"/>
                <wp:cNvGraphicFramePr/>
                <a:graphic xmlns:a="http://schemas.openxmlformats.org/drawingml/2006/main">
                  <a:graphicData uri="http://schemas.microsoft.com/office/word/2010/wordprocessingShape">
                    <wps:wsp>
                      <wps:cNvSpPr/>
                      <wps:spPr>
                        <a:xfrm>
                          <a:off x="0" y="0"/>
                          <a:ext cx="11782425" cy="112204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5BE7" id="Rectangle 12" o:spid="_x0000_s1026" style="position:absolute;margin-left:-9pt;margin-top:-78.4pt;width:927.75pt;height:8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" fillcolor="#fef8e8" stroked="f" strokeweight="1pt">
                <w10:wrap anchorx="page"/>
              </v:rect>
            </w:pict>
          </mc:Fallback>
        </mc:AlternateContent>
      </w:r>
      <w:r w:rsidR="0094732E" w:rsidRPr="009854A7">
        <w:rPr>
          <w:rFonts w:ascii="Segoe UI" w:hAnsi="Segoe UI" w:cs="Segoe UI"/>
          <w:bCs/>
          <w:color w:val="000091" w:themeColor="text1"/>
          <w:sz w:val="24"/>
          <w:szCs w:val="28"/>
        </w:rPr>
        <w:t xml:space="preserve">ANNEXE </w:t>
      </w:r>
      <w:r w:rsidR="0094732E">
        <w:rPr>
          <w:rFonts w:ascii="Segoe UI" w:hAnsi="Segoe UI" w:cs="Segoe UI"/>
          <w:bCs/>
          <w:color w:val="000091" w:themeColor="text1"/>
          <w:sz w:val="24"/>
          <w:szCs w:val="28"/>
        </w:rPr>
        <w:t>4</w:t>
      </w:r>
      <w:r w:rsidR="0094732E" w:rsidRPr="009854A7">
        <w:rPr>
          <w:rFonts w:ascii="Segoe UI" w:hAnsi="Segoe UI" w:cs="Segoe UI"/>
          <w:bCs/>
          <w:color w:val="000091" w:themeColor="text1"/>
          <w:sz w:val="24"/>
          <w:szCs w:val="28"/>
        </w:rPr>
        <w:t xml:space="preserve"> : </w:t>
      </w:r>
      <w:r w:rsidR="0094732E">
        <w:rPr>
          <w:rFonts w:ascii="Segoe UI" w:hAnsi="Segoe UI" w:cs="Segoe UI"/>
          <w:bCs/>
          <w:color w:val="000091" w:themeColor="text1"/>
          <w:sz w:val="24"/>
          <w:szCs w:val="28"/>
        </w:rPr>
        <w:t xml:space="preserve"> </w:t>
      </w:r>
      <w:r w:rsidR="0094732E" w:rsidRPr="0094732E">
        <w:rPr>
          <w:rFonts w:ascii="Segoe UI" w:hAnsi="Segoe UI" w:cs="Segoe UI"/>
          <w:bCs/>
          <w:color w:val="000091" w:themeColor="text1"/>
          <w:sz w:val="24"/>
          <w:szCs w:val="28"/>
        </w:rPr>
        <w:t>Echanges bilatéraux entre la France et la Namibie– en EUR (Douanes françaises, 202</w:t>
      </w:r>
      <w:r w:rsidR="0094732E">
        <w:rPr>
          <w:rFonts w:ascii="Segoe UI" w:hAnsi="Segoe UI" w:cs="Segoe UI"/>
          <w:bCs/>
          <w:color w:val="000091" w:themeColor="text1"/>
          <w:sz w:val="24"/>
          <w:szCs w:val="28"/>
        </w:rPr>
        <w:t>5)</w:t>
      </w:r>
    </w:p>
    <w:p w14:paraId="4EE56E6F" w14:textId="1A51AA4E" w:rsidR="0094732E" w:rsidRPr="000D0CA0" w:rsidRDefault="0094732E" w:rsidP="0094732E">
      <w:pPr>
        <w:rPr>
          <w:rFonts w:ascii="Segoe UI" w:hAnsi="Segoe UI" w:cs="Segoe UI"/>
          <w:bCs/>
          <w:sz w:val="20"/>
        </w:rPr>
        <w:sectPr w:rsidR="0094732E" w:rsidRPr="000D0CA0" w:rsidSect="0094732E">
          <w:endnotePr>
            <w:numFmt w:val="decimal"/>
          </w:endnotePr>
          <w:pgSz w:w="16838" w:h="11906" w:orient="landscape"/>
          <w:pgMar w:top="1418" w:right="709" w:bottom="1276" w:left="709" w:header="709" w:footer="709" w:gutter="0"/>
          <w:cols w:space="708"/>
          <w:docGrid w:linePitch="360"/>
        </w:sectPr>
      </w:pPr>
      <w:r>
        <w:rPr>
          <w:rFonts w:ascii="Segoe UI" w:hAnsi="Segoe UI" w:cs="Segoe UI"/>
          <w:bCs/>
          <w:color w:val="000091" w:themeColor="text1"/>
          <w:sz w:val="24"/>
          <w:szCs w:val="28"/>
        </w:rPr>
        <w:t xml:space="preserve"> </w:t>
      </w:r>
      <w:r w:rsidR="006B3331" w:rsidRPr="006B3331">
        <w:rPr>
          <w:noProof/>
        </w:rPr>
        <w:drawing>
          <wp:inline distT="0" distB="0" distL="0" distR="0" wp14:anchorId="7902AF9E" wp14:editId="654971E3">
            <wp:extent cx="9791700" cy="49987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1700" cy="4998720"/>
                    </a:xfrm>
                    <a:prstGeom prst="rect">
                      <a:avLst/>
                    </a:prstGeom>
                    <a:noFill/>
                    <a:ln>
                      <a:noFill/>
                    </a:ln>
                  </pic:spPr>
                </pic:pic>
              </a:graphicData>
            </a:graphic>
          </wp:inline>
        </w:drawing>
      </w:r>
    </w:p>
    <w:p w14:paraId="1397BD10" w14:textId="590C7B5C" w:rsidR="0094732E" w:rsidRPr="00AA020A" w:rsidRDefault="0094732E">
      <w:pPr>
        <w:rPr>
          <w:rFonts w:ascii="Arial" w:hAnsi="Arial" w:cs="Arial"/>
          <w:bCs/>
          <w:color w:val="000091" w:themeColor="text1"/>
          <w:sz w:val="24"/>
          <w:szCs w:val="28"/>
        </w:rPr>
      </w:pPr>
    </w:p>
    <w:sectPr w:rsidR="0094732E" w:rsidRPr="00AA020A"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400F" w14:textId="77777777" w:rsidR="00E71CD9" w:rsidRDefault="00E71CD9" w:rsidP="001C2361">
      <w:pPr>
        <w:spacing w:after="0" w:line="240" w:lineRule="auto"/>
      </w:pPr>
      <w:r>
        <w:separator/>
      </w:r>
    </w:p>
  </w:endnote>
  <w:endnote w:type="continuationSeparator" w:id="0">
    <w:p w14:paraId="7E0AAB47" w14:textId="77777777" w:rsidR="00E71CD9" w:rsidRDefault="00E71CD9"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9CA3" w14:textId="77777777" w:rsidR="00E71CD9" w:rsidRDefault="00E71CD9" w:rsidP="001C2361">
      <w:pPr>
        <w:spacing w:after="0" w:line="240" w:lineRule="auto"/>
      </w:pPr>
      <w:r>
        <w:separator/>
      </w:r>
    </w:p>
  </w:footnote>
  <w:footnote w:type="continuationSeparator" w:id="0">
    <w:p w14:paraId="4EDA9139" w14:textId="77777777" w:rsidR="00E71CD9" w:rsidRDefault="00E71CD9"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7854E5"/>
    <w:multiLevelType w:val="hybridMultilevel"/>
    <w:tmpl w:val="968AD670"/>
    <w:lvl w:ilvl="0" w:tplc="040C000F">
      <w:start w:val="1"/>
      <w:numFmt w:val="decimal"/>
      <w:lvlText w:val="%1."/>
      <w:lvlJc w:val="left"/>
      <w:pPr>
        <w:ind w:left="436" w:hanging="360"/>
      </w:pPr>
    </w:lvl>
    <w:lvl w:ilvl="1" w:tplc="BB1A8C52">
      <w:numFmt w:val="bullet"/>
      <w:lvlText w:val="-"/>
      <w:lvlJc w:val="left"/>
      <w:pPr>
        <w:ind w:left="1156" w:hanging="360"/>
      </w:pPr>
      <w:rPr>
        <w:rFonts w:ascii="Times New Roman" w:eastAsia="Arial Unicode MS" w:hAnsi="Times New Roman" w:cs="Times New Roman" w:hint="default"/>
      </w:r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15:restartNumberingAfterBreak="0">
    <w:nsid w:val="4CF63425"/>
    <w:multiLevelType w:val="hybridMultilevel"/>
    <w:tmpl w:val="7C8A467C"/>
    <w:lvl w:ilvl="0" w:tplc="BB1A8C52">
      <w:numFmt w:val="bullet"/>
      <w:lvlText w:val="-"/>
      <w:lvlJc w:val="left"/>
      <w:pPr>
        <w:ind w:left="436" w:hanging="360"/>
      </w:pPr>
      <w:rPr>
        <w:rFonts w:ascii="Times New Roman" w:eastAsia="Arial Unicode MS"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88793E"/>
    <w:multiLevelType w:val="hybridMultilevel"/>
    <w:tmpl w:val="DDE06BAE"/>
    <w:lvl w:ilvl="0" w:tplc="4CDA9BB6">
      <w:start w:val="1"/>
      <w:numFmt w:val="decimal"/>
      <w:pStyle w:val="Titre02"/>
      <w:lvlText w:val="%1."/>
      <w:lvlJc w:val="left"/>
      <w:pPr>
        <w:ind w:left="76" w:hanging="360"/>
      </w:pPr>
      <w:rPr>
        <w:rFonts w:hint="default"/>
        <w:b/>
      </w:rPr>
    </w:lvl>
    <w:lvl w:ilvl="1" w:tplc="BB1A8C52">
      <w:numFmt w:val="bullet"/>
      <w:lvlText w:val="-"/>
      <w:lvlJc w:val="left"/>
      <w:pPr>
        <w:ind w:left="796" w:hanging="360"/>
      </w:pPr>
      <w:rPr>
        <w:rFonts w:ascii="Times New Roman" w:eastAsia="Arial Unicode MS" w:hAnsi="Times New Roman" w:cs="Times New Roman" w:hint="default"/>
      </w:rPr>
    </w:lvl>
    <w:lvl w:ilvl="2" w:tplc="040C001B">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4"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5"/>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2"/>
  </w:num>
  <w:num w:numId="15">
    <w:abstractNumId w:val="6"/>
  </w:num>
  <w:num w:numId="16">
    <w:abstractNumId w:val="13"/>
  </w:num>
  <w:num w:numId="17">
    <w:abstractNumId w:val="10"/>
  </w:num>
  <w:num w:numId="18">
    <w:abstractNumId w:val="9"/>
  </w:num>
  <w:num w:numId="19">
    <w:abstractNumId w:val="13"/>
  </w:num>
  <w:num w:numId="20">
    <w:abstractNumId w:val="1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754"/>
    <w:rsid w:val="00003FA1"/>
    <w:rsid w:val="000064C1"/>
    <w:rsid w:val="00006D9E"/>
    <w:rsid w:val="00006E50"/>
    <w:rsid w:val="00020EE2"/>
    <w:rsid w:val="00022880"/>
    <w:rsid w:val="00022F44"/>
    <w:rsid w:val="00031533"/>
    <w:rsid w:val="00045CF8"/>
    <w:rsid w:val="00050225"/>
    <w:rsid w:val="00052BD6"/>
    <w:rsid w:val="000534EC"/>
    <w:rsid w:val="00060C7B"/>
    <w:rsid w:val="00064115"/>
    <w:rsid w:val="000676F2"/>
    <w:rsid w:val="00071F97"/>
    <w:rsid w:val="000763B3"/>
    <w:rsid w:val="00080037"/>
    <w:rsid w:val="00081471"/>
    <w:rsid w:val="00097777"/>
    <w:rsid w:val="000A1918"/>
    <w:rsid w:val="000D0CA0"/>
    <w:rsid w:val="000E1E2F"/>
    <w:rsid w:val="000E5938"/>
    <w:rsid w:val="000E7793"/>
    <w:rsid w:val="000F2C4E"/>
    <w:rsid w:val="000F3DCF"/>
    <w:rsid w:val="00100569"/>
    <w:rsid w:val="00100C95"/>
    <w:rsid w:val="001105E1"/>
    <w:rsid w:val="001109EF"/>
    <w:rsid w:val="00111C32"/>
    <w:rsid w:val="0012430D"/>
    <w:rsid w:val="00132011"/>
    <w:rsid w:val="00133D54"/>
    <w:rsid w:val="00134DE8"/>
    <w:rsid w:val="001360A8"/>
    <w:rsid w:val="001378BA"/>
    <w:rsid w:val="001430A7"/>
    <w:rsid w:val="00145A59"/>
    <w:rsid w:val="00147754"/>
    <w:rsid w:val="001505C0"/>
    <w:rsid w:val="00152C27"/>
    <w:rsid w:val="00175E92"/>
    <w:rsid w:val="0017724D"/>
    <w:rsid w:val="00184135"/>
    <w:rsid w:val="0019173B"/>
    <w:rsid w:val="0019280B"/>
    <w:rsid w:val="001A1A43"/>
    <w:rsid w:val="001A1CD5"/>
    <w:rsid w:val="001A369F"/>
    <w:rsid w:val="001A5A37"/>
    <w:rsid w:val="001B1CF0"/>
    <w:rsid w:val="001C100F"/>
    <w:rsid w:val="001C2361"/>
    <w:rsid w:val="001D36E3"/>
    <w:rsid w:val="001E4D67"/>
    <w:rsid w:val="001F037D"/>
    <w:rsid w:val="001F235A"/>
    <w:rsid w:val="001F2D7C"/>
    <w:rsid w:val="002054D5"/>
    <w:rsid w:val="00220D07"/>
    <w:rsid w:val="00223554"/>
    <w:rsid w:val="00225798"/>
    <w:rsid w:val="00244CC2"/>
    <w:rsid w:val="00246107"/>
    <w:rsid w:val="00246C65"/>
    <w:rsid w:val="00250F27"/>
    <w:rsid w:val="002550BB"/>
    <w:rsid w:val="00255F30"/>
    <w:rsid w:val="00257E48"/>
    <w:rsid w:val="002762C9"/>
    <w:rsid w:val="00281BCD"/>
    <w:rsid w:val="002965B7"/>
    <w:rsid w:val="002D13A2"/>
    <w:rsid w:val="002D4C04"/>
    <w:rsid w:val="002D5703"/>
    <w:rsid w:val="002E4F5E"/>
    <w:rsid w:val="002E6890"/>
    <w:rsid w:val="002E7383"/>
    <w:rsid w:val="002F210F"/>
    <w:rsid w:val="0030017B"/>
    <w:rsid w:val="00301021"/>
    <w:rsid w:val="0030148A"/>
    <w:rsid w:val="00317870"/>
    <w:rsid w:val="00320D4B"/>
    <w:rsid w:val="00323A4A"/>
    <w:rsid w:val="003257BD"/>
    <w:rsid w:val="0032683C"/>
    <w:rsid w:val="0033036F"/>
    <w:rsid w:val="00330428"/>
    <w:rsid w:val="00332310"/>
    <w:rsid w:val="003339CE"/>
    <w:rsid w:val="003407BF"/>
    <w:rsid w:val="00341E94"/>
    <w:rsid w:val="00341EC1"/>
    <w:rsid w:val="00344131"/>
    <w:rsid w:val="00347F9E"/>
    <w:rsid w:val="00351E1C"/>
    <w:rsid w:val="00377143"/>
    <w:rsid w:val="00377431"/>
    <w:rsid w:val="003847EC"/>
    <w:rsid w:val="00386DF2"/>
    <w:rsid w:val="003A1D94"/>
    <w:rsid w:val="003A7EB8"/>
    <w:rsid w:val="003B1A22"/>
    <w:rsid w:val="003B33D3"/>
    <w:rsid w:val="003D2AD3"/>
    <w:rsid w:val="003D5550"/>
    <w:rsid w:val="003D6537"/>
    <w:rsid w:val="003F5BA5"/>
    <w:rsid w:val="0040330E"/>
    <w:rsid w:val="00406D60"/>
    <w:rsid w:val="00415F39"/>
    <w:rsid w:val="004311AF"/>
    <w:rsid w:val="004372C1"/>
    <w:rsid w:val="004418CF"/>
    <w:rsid w:val="00450D73"/>
    <w:rsid w:val="00452C51"/>
    <w:rsid w:val="00457B18"/>
    <w:rsid w:val="00463378"/>
    <w:rsid w:val="004716CD"/>
    <w:rsid w:val="00471702"/>
    <w:rsid w:val="00472C6F"/>
    <w:rsid w:val="00473FAF"/>
    <w:rsid w:val="004908E5"/>
    <w:rsid w:val="00490B3C"/>
    <w:rsid w:val="0049307C"/>
    <w:rsid w:val="00496D10"/>
    <w:rsid w:val="004A28DB"/>
    <w:rsid w:val="004C3273"/>
    <w:rsid w:val="004D444C"/>
    <w:rsid w:val="004D7C76"/>
    <w:rsid w:val="004E1164"/>
    <w:rsid w:val="004E6C1A"/>
    <w:rsid w:val="004E6DB3"/>
    <w:rsid w:val="004E7972"/>
    <w:rsid w:val="004F211B"/>
    <w:rsid w:val="005077FB"/>
    <w:rsid w:val="005140A1"/>
    <w:rsid w:val="00532CDF"/>
    <w:rsid w:val="00532CE3"/>
    <w:rsid w:val="00533C10"/>
    <w:rsid w:val="00541AB4"/>
    <w:rsid w:val="00542233"/>
    <w:rsid w:val="00543CA9"/>
    <w:rsid w:val="00545FE6"/>
    <w:rsid w:val="00551301"/>
    <w:rsid w:val="00557E89"/>
    <w:rsid w:val="00560368"/>
    <w:rsid w:val="00561CC4"/>
    <w:rsid w:val="00570D3F"/>
    <w:rsid w:val="00575F99"/>
    <w:rsid w:val="005806A2"/>
    <w:rsid w:val="00584799"/>
    <w:rsid w:val="00590894"/>
    <w:rsid w:val="00591EEF"/>
    <w:rsid w:val="0059242E"/>
    <w:rsid w:val="00595003"/>
    <w:rsid w:val="005A1ECF"/>
    <w:rsid w:val="005A5D69"/>
    <w:rsid w:val="005B28D9"/>
    <w:rsid w:val="005B3D40"/>
    <w:rsid w:val="005E1486"/>
    <w:rsid w:val="005E390E"/>
    <w:rsid w:val="005E6FED"/>
    <w:rsid w:val="005F3966"/>
    <w:rsid w:val="005F3C1A"/>
    <w:rsid w:val="005F6235"/>
    <w:rsid w:val="00610942"/>
    <w:rsid w:val="00613F7C"/>
    <w:rsid w:val="00616EE2"/>
    <w:rsid w:val="006256CB"/>
    <w:rsid w:val="00627753"/>
    <w:rsid w:val="00632692"/>
    <w:rsid w:val="00641868"/>
    <w:rsid w:val="00646BBC"/>
    <w:rsid w:val="006477A2"/>
    <w:rsid w:val="006517B9"/>
    <w:rsid w:val="006600F3"/>
    <w:rsid w:val="006A0293"/>
    <w:rsid w:val="006A3795"/>
    <w:rsid w:val="006B3331"/>
    <w:rsid w:val="006B4AE0"/>
    <w:rsid w:val="006B5511"/>
    <w:rsid w:val="006D209E"/>
    <w:rsid w:val="006D4D83"/>
    <w:rsid w:val="006E0157"/>
    <w:rsid w:val="006E40BB"/>
    <w:rsid w:val="006E6805"/>
    <w:rsid w:val="006E6FA7"/>
    <w:rsid w:val="006F4CCE"/>
    <w:rsid w:val="006F6043"/>
    <w:rsid w:val="00706D2B"/>
    <w:rsid w:val="0070782A"/>
    <w:rsid w:val="00713D95"/>
    <w:rsid w:val="007209E2"/>
    <w:rsid w:val="007241D4"/>
    <w:rsid w:val="00727D83"/>
    <w:rsid w:val="0073377D"/>
    <w:rsid w:val="00733B08"/>
    <w:rsid w:val="00733CCE"/>
    <w:rsid w:val="00743DD2"/>
    <w:rsid w:val="00745853"/>
    <w:rsid w:val="00754E7E"/>
    <w:rsid w:val="00756A18"/>
    <w:rsid w:val="0077520D"/>
    <w:rsid w:val="00776C9A"/>
    <w:rsid w:val="00777884"/>
    <w:rsid w:val="00781BFC"/>
    <w:rsid w:val="0078229D"/>
    <w:rsid w:val="007855F6"/>
    <w:rsid w:val="00786241"/>
    <w:rsid w:val="00787921"/>
    <w:rsid w:val="00791423"/>
    <w:rsid w:val="007939AE"/>
    <w:rsid w:val="007952D4"/>
    <w:rsid w:val="00797604"/>
    <w:rsid w:val="007A352F"/>
    <w:rsid w:val="007B0159"/>
    <w:rsid w:val="007B138C"/>
    <w:rsid w:val="007B206C"/>
    <w:rsid w:val="007B3589"/>
    <w:rsid w:val="007B4BC5"/>
    <w:rsid w:val="007B74A6"/>
    <w:rsid w:val="007C3111"/>
    <w:rsid w:val="007E352A"/>
    <w:rsid w:val="007E39A3"/>
    <w:rsid w:val="007E456F"/>
    <w:rsid w:val="007E6D56"/>
    <w:rsid w:val="007F4001"/>
    <w:rsid w:val="007F55EB"/>
    <w:rsid w:val="007F6278"/>
    <w:rsid w:val="007F632E"/>
    <w:rsid w:val="007F67AE"/>
    <w:rsid w:val="008029D3"/>
    <w:rsid w:val="00816CD2"/>
    <w:rsid w:val="00837D51"/>
    <w:rsid w:val="00844E59"/>
    <w:rsid w:val="00847CE8"/>
    <w:rsid w:val="00872358"/>
    <w:rsid w:val="0088232B"/>
    <w:rsid w:val="00886EBB"/>
    <w:rsid w:val="00890E59"/>
    <w:rsid w:val="008918AF"/>
    <w:rsid w:val="008924BF"/>
    <w:rsid w:val="008A1A29"/>
    <w:rsid w:val="008A299F"/>
    <w:rsid w:val="008A3AD5"/>
    <w:rsid w:val="008B109B"/>
    <w:rsid w:val="008B697B"/>
    <w:rsid w:val="008C03AF"/>
    <w:rsid w:val="008C2431"/>
    <w:rsid w:val="008E048F"/>
    <w:rsid w:val="008E1707"/>
    <w:rsid w:val="008E3942"/>
    <w:rsid w:val="008F202D"/>
    <w:rsid w:val="008F7A1E"/>
    <w:rsid w:val="009171CD"/>
    <w:rsid w:val="00920915"/>
    <w:rsid w:val="009210BC"/>
    <w:rsid w:val="00921A06"/>
    <w:rsid w:val="009233E1"/>
    <w:rsid w:val="00924ECB"/>
    <w:rsid w:val="0092634F"/>
    <w:rsid w:val="00926E0E"/>
    <w:rsid w:val="00932313"/>
    <w:rsid w:val="00933FDA"/>
    <w:rsid w:val="0094732E"/>
    <w:rsid w:val="00952A36"/>
    <w:rsid w:val="00957E6E"/>
    <w:rsid w:val="00965841"/>
    <w:rsid w:val="0096625D"/>
    <w:rsid w:val="00971B84"/>
    <w:rsid w:val="009770F2"/>
    <w:rsid w:val="00981726"/>
    <w:rsid w:val="00985384"/>
    <w:rsid w:val="009854A7"/>
    <w:rsid w:val="00985A53"/>
    <w:rsid w:val="009A5CB7"/>
    <w:rsid w:val="009B7F35"/>
    <w:rsid w:val="009D65B6"/>
    <w:rsid w:val="009E61CD"/>
    <w:rsid w:val="009F118B"/>
    <w:rsid w:val="00A0197D"/>
    <w:rsid w:val="00A073CB"/>
    <w:rsid w:val="00A0743B"/>
    <w:rsid w:val="00A164E0"/>
    <w:rsid w:val="00A16E6F"/>
    <w:rsid w:val="00A2007D"/>
    <w:rsid w:val="00A22CFC"/>
    <w:rsid w:val="00A233D7"/>
    <w:rsid w:val="00A27EA0"/>
    <w:rsid w:val="00A35142"/>
    <w:rsid w:val="00A413F3"/>
    <w:rsid w:val="00A41974"/>
    <w:rsid w:val="00A429DE"/>
    <w:rsid w:val="00A45435"/>
    <w:rsid w:val="00A710BC"/>
    <w:rsid w:val="00A76EEA"/>
    <w:rsid w:val="00A85427"/>
    <w:rsid w:val="00A91A50"/>
    <w:rsid w:val="00A92617"/>
    <w:rsid w:val="00A93C3A"/>
    <w:rsid w:val="00AA020A"/>
    <w:rsid w:val="00AA5DA2"/>
    <w:rsid w:val="00AA684E"/>
    <w:rsid w:val="00AB3252"/>
    <w:rsid w:val="00AB48A8"/>
    <w:rsid w:val="00AC17E1"/>
    <w:rsid w:val="00AE00C8"/>
    <w:rsid w:val="00B02AE3"/>
    <w:rsid w:val="00B16C2B"/>
    <w:rsid w:val="00B2739E"/>
    <w:rsid w:val="00B27721"/>
    <w:rsid w:val="00B30489"/>
    <w:rsid w:val="00B343C4"/>
    <w:rsid w:val="00B416BE"/>
    <w:rsid w:val="00B43F8B"/>
    <w:rsid w:val="00B454D0"/>
    <w:rsid w:val="00B6555F"/>
    <w:rsid w:val="00B75885"/>
    <w:rsid w:val="00B84FE0"/>
    <w:rsid w:val="00B95CDB"/>
    <w:rsid w:val="00BA5EF8"/>
    <w:rsid w:val="00BA7283"/>
    <w:rsid w:val="00BB069D"/>
    <w:rsid w:val="00BB12C7"/>
    <w:rsid w:val="00BB1AFA"/>
    <w:rsid w:val="00BB5797"/>
    <w:rsid w:val="00BC0B57"/>
    <w:rsid w:val="00BD0E68"/>
    <w:rsid w:val="00BE7CCA"/>
    <w:rsid w:val="00BF4E9B"/>
    <w:rsid w:val="00C165BA"/>
    <w:rsid w:val="00C17508"/>
    <w:rsid w:val="00C264C8"/>
    <w:rsid w:val="00C26A1B"/>
    <w:rsid w:val="00C34A5E"/>
    <w:rsid w:val="00C3555F"/>
    <w:rsid w:val="00C41E6D"/>
    <w:rsid w:val="00C42AD3"/>
    <w:rsid w:val="00C62BD3"/>
    <w:rsid w:val="00C637CE"/>
    <w:rsid w:val="00C9503E"/>
    <w:rsid w:val="00CA0084"/>
    <w:rsid w:val="00CA0BF9"/>
    <w:rsid w:val="00CA50BD"/>
    <w:rsid w:val="00CA5F26"/>
    <w:rsid w:val="00CB51F4"/>
    <w:rsid w:val="00CC1270"/>
    <w:rsid w:val="00CC3768"/>
    <w:rsid w:val="00CC37AF"/>
    <w:rsid w:val="00CD1F5E"/>
    <w:rsid w:val="00CD788F"/>
    <w:rsid w:val="00CF2A11"/>
    <w:rsid w:val="00CF49B9"/>
    <w:rsid w:val="00D02E33"/>
    <w:rsid w:val="00D047A7"/>
    <w:rsid w:val="00D06119"/>
    <w:rsid w:val="00D11E72"/>
    <w:rsid w:val="00D13547"/>
    <w:rsid w:val="00D21565"/>
    <w:rsid w:val="00D309B8"/>
    <w:rsid w:val="00D36A6F"/>
    <w:rsid w:val="00D6187C"/>
    <w:rsid w:val="00D647F8"/>
    <w:rsid w:val="00D75547"/>
    <w:rsid w:val="00D75E28"/>
    <w:rsid w:val="00D7794E"/>
    <w:rsid w:val="00D82E2E"/>
    <w:rsid w:val="00D8590D"/>
    <w:rsid w:val="00D87853"/>
    <w:rsid w:val="00D90ECF"/>
    <w:rsid w:val="00D91814"/>
    <w:rsid w:val="00D9438C"/>
    <w:rsid w:val="00DA218D"/>
    <w:rsid w:val="00DA5BFB"/>
    <w:rsid w:val="00DA5C96"/>
    <w:rsid w:val="00DA5FF8"/>
    <w:rsid w:val="00DB3A59"/>
    <w:rsid w:val="00DB3E4A"/>
    <w:rsid w:val="00DB4B5B"/>
    <w:rsid w:val="00DC5779"/>
    <w:rsid w:val="00DE5AE7"/>
    <w:rsid w:val="00E01524"/>
    <w:rsid w:val="00E01831"/>
    <w:rsid w:val="00E07562"/>
    <w:rsid w:val="00E07DE5"/>
    <w:rsid w:val="00E12D9E"/>
    <w:rsid w:val="00E17D80"/>
    <w:rsid w:val="00E2222E"/>
    <w:rsid w:val="00E22E89"/>
    <w:rsid w:val="00E23C6C"/>
    <w:rsid w:val="00E273AF"/>
    <w:rsid w:val="00E40931"/>
    <w:rsid w:val="00E55039"/>
    <w:rsid w:val="00E71CD9"/>
    <w:rsid w:val="00E73D15"/>
    <w:rsid w:val="00E81403"/>
    <w:rsid w:val="00E909BE"/>
    <w:rsid w:val="00E95F3D"/>
    <w:rsid w:val="00EA31C5"/>
    <w:rsid w:val="00EB1FBA"/>
    <w:rsid w:val="00EC3104"/>
    <w:rsid w:val="00EC6882"/>
    <w:rsid w:val="00EC769F"/>
    <w:rsid w:val="00ED2FEC"/>
    <w:rsid w:val="00ED7BA8"/>
    <w:rsid w:val="00EE64F2"/>
    <w:rsid w:val="00F05AE8"/>
    <w:rsid w:val="00F063F5"/>
    <w:rsid w:val="00F15ADF"/>
    <w:rsid w:val="00F26F9A"/>
    <w:rsid w:val="00F32FC3"/>
    <w:rsid w:val="00F4255E"/>
    <w:rsid w:val="00F432CE"/>
    <w:rsid w:val="00F43D4E"/>
    <w:rsid w:val="00F44858"/>
    <w:rsid w:val="00F450DD"/>
    <w:rsid w:val="00F61170"/>
    <w:rsid w:val="00F615AB"/>
    <w:rsid w:val="00F676DD"/>
    <w:rsid w:val="00F84538"/>
    <w:rsid w:val="00F90A47"/>
    <w:rsid w:val="00F93864"/>
    <w:rsid w:val="00FA5438"/>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DA5FF8"/>
    <w:pPr>
      <w:numPr>
        <w:numId w:val="16"/>
      </w:numPr>
      <w:spacing w:before="120" w:after="0" w:line="240" w:lineRule="auto"/>
      <w:ind w:left="-426" w:right="-141" w:firstLine="0"/>
      <w:jc w:val="both"/>
    </w:pPr>
    <w:rPr>
      <w:rFonts w:ascii="Segoe UI" w:hAnsi="Segoe UI" w:cs="Segoe UI"/>
      <w:b/>
      <w:noProof/>
      <w:sz w:val="20"/>
      <w:szCs w:val="18"/>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DA5FF8"/>
    <w:rPr>
      <w:rFonts w:ascii="Segoe UI" w:hAnsi="Segoe UI" w:cs="Segoe UI"/>
      <w:b/>
      <w:noProof/>
      <w:sz w:val="20"/>
      <w:szCs w:val="18"/>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table" w:styleId="Tableausimple1">
    <w:name w:val="Plain Table 1"/>
    <w:basedOn w:val="TableauNormal"/>
    <w:uiPriority w:val="41"/>
    <w:rsid w:val="007F67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P-NAS-PRY\PRY\Travail\1-SE\1.%20Finances\Namibie\Notes%202025\20252204%20-%20Commerce%20bilat&#233;ral%20Namibie\Annex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fr-FR" sz="1100">
                <a:solidFill>
                  <a:schemeClr val="tx1"/>
                </a:solidFill>
              </a:rPr>
              <a:t>Commerce bilatéral</a:t>
            </a:r>
            <a:r>
              <a:rPr lang="fr-FR" sz="1100" baseline="0">
                <a:solidFill>
                  <a:schemeClr val="tx1"/>
                </a:solidFill>
              </a:rPr>
              <a:t> entre la France et l'Afrique du Sud (en MEUR)</a:t>
            </a:r>
            <a:endParaRPr lang="fr-FR" sz="110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fr-FR"/>
        </a:p>
      </c:txPr>
    </c:title>
    <c:autoTitleDeleted val="0"/>
    <c:plotArea>
      <c:layout/>
      <c:barChart>
        <c:barDir val="col"/>
        <c:grouping val="clustered"/>
        <c:varyColors val="0"/>
        <c:ser>
          <c:idx val="0"/>
          <c:order val="0"/>
          <c:tx>
            <c:strRef>
              <c:f>'A129'!$A$14</c:f>
              <c:strCache>
                <c:ptCount val="1"/>
                <c:pt idx="0">
                  <c:v>Exportations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'A129'!$B$14:$J$14</c:f>
              <c:numCache>
                <c:formatCode>General</c:formatCode>
                <c:ptCount val="9"/>
                <c:pt idx="0">
                  <c:v>8711</c:v>
                </c:pt>
                <c:pt idx="1">
                  <c:v>11830</c:v>
                </c:pt>
                <c:pt idx="2">
                  <c:v>7385</c:v>
                </c:pt>
                <c:pt idx="3">
                  <c:v>9052</c:v>
                </c:pt>
                <c:pt idx="4">
                  <c:v>14435</c:v>
                </c:pt>
                <c:pt idx="5">
                  <c:v>19939</c:v>
                </c:pt>
                <c:pt idx="6">
                  <c:v>20527</c:v>
                </c:pt>
                <c:pt idx="7">
                  <c:v>32436</c:v>
                </c:pt>
                <c:pt idx="8">
                  <c:v>37028</c:v>
                </c:pt>
              </c:numCache>
            </c:numRef>
          </c:val>
          <c:extLst>
            <c:ext xmlns:c16="http://schemas.microsoft.com/office/drawing/2014/chart" uri="{C3380CC4-5D6E-409C-BE32-E72D297353CC}">
              <c16:uniqueId val="{00000000-ECE1-476D-8096-0293E5E084B4}"/>
            </c:ext>
          </c:extLst>
        </c:ser>
        <c:ser>
          <c:idx val="1"/>
          <c:order val="1"/>
          <c:tx>
            <c:strRef>
              <c:f>'A129'!$A$15</c:f>
              <c:strCache>
                <c:ptCount val="1"/>
                <c:pt idx="0">
                  <c:v>Importations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'A129'!$B$15:$J$15</c:f>
              <c:numCache>
                <c:formatCode>General</c:formatCode>
                <c:ptCount val="9"/>
                <c:pt idx="0">
                  <c:v>131478</c:v>
                </c:pt>
                <c:pt idx="1">
                  <c:v>105162</c:v>
                </c:pt>
                <c:pt idx="2">
                  <c:v>48916</c:v>
                </c:pt>
                <c:pt idx="3">
                  <c:v>52052</c:v>
                </c:pt>
                <c:pt idx="4">
                  <c:v>64476</c:v>
                </c:pt>
                <c:pt idx="5">
                  <c:v>102261</c:v>
                </c:pt>
                <c:pt idx="6">
                  <c:v>165091</c:v>
                </c:pt>
                <c:pt idx="7">
                  <c:v>250945</c:v>
                </c:pt>
                <c:pt idx="8">
                  <c:v>189477</c:v>
                </c:pt>
              </c:numCache>
            </c:numRef>
          </c:val>
          <c:extLst>
            <c:ext xmlns:c16="http://schemas.microsoft.com/office/drawing/2014/chart" uri="{C3380CC4-5D6E-409C-BE32-E72D297353CC}">
              <c16:uniqueId val="{00000001-ECE1-476D-8096-0293E5E084B4}"/>
            </c:ext>
          </c:extLst>
        </c:ser>
        <c:dLbls>
          <c:showLegendKey val="0"/>
          <c:showVal val="0"/>
          <c:showCatName val="0"/>
          <c:showSerName val="0"/>
          <c:showPercent val="0"/>
          <c:showBubbleSize val="0"/>
        </c:dLbls>
        <c:gapWidth val="150"/>
        <c:axId val="807180991"/>
        <c:axId val="807184735"/>
      </c:barChart>
      <c:lineChart>
        <c:grouping val="standard"/>
        <c:varyColors val="0"/>
        <c:ser>
          <c:idx val="2"/>
          <c:order val="2"/>
          <c:tx>
            <c:strRef>
              <c:f>'A129'!$A$16</c:f>
              <c:strCache>
                <c:ptCount val="1"/>
                <c:pt idx="0">
                  <c:v>Solde</c:v>
                </c:pt>
              </c:strCache>
            </c:strRef>
          </c:tx>
          <c:spPr>
            <a:ln w="28575" cap="rnd">
              <a:solidFill>
                <a:schemeClr val="accent3"/>
              </a:solidFill>
              <a:round/>
            </a:ln>
            <a:effectLst/>
          </c:spPr>
          <c:marker>
            <c:symbol val="none"/>
          </c:marker>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'A129'!$B$16:$J$16</c:f>
              <c:numCache>
                <c:formatCode>General</c:formatCode>
                <c:ptCount val="9"/>
                <c:pt idx="0">
                  <c:v>-122767</c:v>
                </c:pt>
                <c:pt idx="1">
                  <c:v>-93334</c:v>
                </c:pt>
                <c:pt idx="2">
                  <c:v>-41532</c:v>
                </c:pt>
                <c:pt idx="3">
                  <c:v>-43005</c:v>
                </c:pt>
                <c:pt idx="4">
                  <c:v>-50043</c:v>
                </c:pt>
                <c:pt idx="5">
                  <c:v>-82322</c:v>
                </c:pt>
                <c:pt idx="6">
                  <c:v>-144562</c:v>
                </c:pt>
                <c:pt idx="7">
                  <c:v>-218511</c:v>
                </c:pt>
                <c:pt idx="8">
                  <c:v>-152446</c:v>
                </c:pt>
              </c:numCache>
            </c:numRef>
          </c:val>
          <c:smooth val="0"/>
          <c:extLst>
            <c:ext xmlns:c16="http://schemas.microsoft.com/office/drawing/2014/chart" uri="{C3380CC4-5D6E-409C-BE32-E72D297353CC}">
              <c16:uniqueId val="{00000002-ECE1-476D-8096-0293E5E084B4}"/>
            </c:ext>
          </c:extLst>
        </c:ser>
        <c:dLbls>
          <c:showLegendKey val="0"/>
          <c:showVal val="0"/>
          <c:showCatName val="0"/>
          <c:showSerName val="0"/>
          <c:showPercent val="0"/>
          <c:showBubbleSize val="0"/>
        </c:dLbls>
        <c:marker val="1"/>
        <c:smooth val="0"/>
        <c:axId val="807180991"/>
        <c:axId val="807184735"/>
      </c:lineChart>
      <c:catAx>
        <c:axId val="80718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807184735"/>
        <c:crosses val="autoZero"/>
        <c:auto val="1"/>
        <c:lblAlgn val="ctr"/>
        <c:lblOffset val="100"/>
        <c:noMultiLvlLbl val="0"/>
      </c:catAx>
      <c:valAx>
        <c:axId val="807184735"/>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07180991"/>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0.71528</cdr:x>
      <cdr:y>0.92738</cdr:y>
    </cdr:from>
    <cdr:to>
      <cdr:x>1</cdr:x>
      <cdr:y>1</cdr:y>
    </cdr:to>
    <cdr:sp macro="" textlink="">
      <cdr:nvSpPr>
        <cdr:cNvPr id="2" name="ZoneTexte 1">
          <a:extLst xmlns:a="http://schemas.openxmlformats.org/drawingml/2006/main">
            <a:ext uri="{FF2B5EF4-FFF2-40B4-BE49-F238E27FC236}">
              <a16:creationId xmlns:a16="http://schemas.microsoft.com/office/drawing/2014/main" id="{CCA292E2-46F4-44EC-B92A-0B22EE462907}"/>
            </a:ext>
          </a:extLst>
        </cdr:cNvPr>
        <cdr:cNvSpPr txBox="1"/>
      </cdr:nvSpPr>
      <cdr:spPr>
        <a:xfrm xmlns:a="http://schemas.openxmlformats.org/drawingml/2006/main">
          <a:off x="4476191" y="2862263"/>
          <a:ext cx="1781734" cy="224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i="1">
              <a:solidFill>
                <a:schemeClr val="tx1"/>
              </a:solidFill>
            </a:rPr>
            <a:t>Source : Douanes</a:t>
          </a:r>
          <a:r>
            <a:rPr lang="fr-FR" sz="800" i="1" baseline="0">
              <a:solidFill>
                <a:schemeClr val="tx1"/>
              </a:solidFill>
            </a:rPr>
            <a:t> françaises, 2025</a:t>
          </a:r>
          <a:endParaRPr lang="fr-FR" sz="800" i="1">
            <a:solidFill>
              <a:schemeClr val="tx1"/>
            </a:solidFill>
          </a:endParaRPr>
        </a:p>
      </cdr:txBody>
    </cdr:sp>
  </cdr:relSizeAnchor>
</c:userShape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B591F387-A7B2-412E-9121-881A52675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833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JOLLY Claire</cp:lastModifiedBy>
  <cp:revision>5</cp:revision>
  <dcterms:created xsi:type="dcterms:W3CDTF">2025-07-03T08:48:00Z</dcterms:created>
  <dcterms:modified xsi:type="dcterms:W3CDTF">2025-07-11T11:30:00Z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